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63A14A" w14:textId="56B8320E" w:rsidR="00BC571C" w:rsidRPr="00657BA6" w:rsidRDefault="00BF4B6B" w:rsidP="0014780A">
      <w:pPr>
        <w:spacing w:after="0"/>
        <w:jc w:val="both"/>
        <w:rPr>
          <w:rFonts w:ascii="Arial" w:eastAsia="Times New Roman" w:hAnsi="Arial" w:cs="Arial"/>
          <w:b/>
          <w:lang w:eastAsia="es-MX"/>
        </w:rPr>
      </w:pPr>
      <w:bookmarkStart w:id="0" w:name="_GoBack"/>
      <w:bookmarkEnd w:id="0"/>
      <w:r w:rsidRPr="00657BA6">
        <w:rPr>
          <w:rFonts w:ascii="Arial" w:eastAsia="Times New Roman" w:hAnsi="Arial" w:cs="Arial"/>
          <w:b/>
          <w:lang w:eastAsia="es-MX"/>
        </w:rPr>
        <w:t xml:space="preserve">Anteproyecto de </w:t>
      </w:r>
      <w:r>
        <w:rPr>
          <w:rFonts w:ascii="Arial" w:eastAsia="Times New Roman" w:hAnsi="Arial" w:cs="Arial"/>
          <w:b/>
          <w:lang w:eastAsia="es-MX"/>
        </w:rPr>
        <w:t>C</w:t>
      </w:r>
      <w:r w:rsidRPr="00657BA6">
        <w:rPr>
          <w:rFonts w:ascii="Arial" w:eastAsia="Times New Roman" w:hAnsi="Arial" w:cs="Arial"/>
          <w:b/>
          <w:lang w:eastAsia="es-MX"/>
        </w:rPr>
        <w:t xml:space="preserve">ondiciones </w:t>
      </w:r>
      <w:r>
        <w:rPr>
          <w:rFonts w:ascii="Arial" w:eastAsia="Times New Roman" w:hAnsi="Arial" w:cs="Arial"/>
          <w:b/>
          <w:lang w:eastAsia="es-MX"/>
        </w:rPr>
        <w:t>T</w:t>
      </w:r>
      <w:r w:rsidRPr="00657BA6">
        <w:rPr>
          <w:rFonts w:ascii="Arial" w:eastAsia="Times New Roman" w:hAnsi="Arial" w:cs="Arial"/>
          <w:b/>
          <w:lang w:eastAsia="es-MX"/>
        </w:rPr>
        <w:t xml:space="preserve">écnicas </w:t>
      </w:r>
      <w:r>
        <w:rPr>
          <w:rFonts w:ascii="Arial" w:eastAsia="Times New Roman" w:hAnsi="Arial" w:cs="Arial"/>
          <w:b/>
          <w:lang w:eastAsia="es-MX"/>
        </w:rPr>
        <w:t>M</w:t>
      </w:r>
      <w:r w:rsidRPr="00657BA6">
        <w:rPr>
          <w:rFonts w:ascii="Arial" w:eastAsia="Times New Roman" w:hAnsi="Arial" w:cs="Arial"/>
          <w:b/>
          <w:lang w:eastAsia="es-MX"/>
        </w:rPr>
        <w:t xml:space="preserve">ínimas para la </w:t>
      </w:r>
      <w:r>
        <w:rPr>
          <w:rFonts w:ascii="Arial" w:eastAsia="Times New Roman" w:hAnsi="Arial" w:cs="Arial"/>
          <w:b/>
          <w:lang w:eastAsia="es-MX"/>
        </w:rPr>
        <w:t>I</w:t>
      </w:r>
      <w:r w:rsidRPr="00657BA6">
        <w:rPr>
          <w:rFonts w:ascii="Arial" w:eastAsia="Times New Roman" w:hAnsi="Arial" w:cs="Arial"/>
          <w:b/>
          <w:lang w:eastAsia="es-MX"/>
        </w:rPr>
        <w:t xml:space="preserve">nterconexión entre concesionarios que operen redes públicas de telecomunicaciones y las tarifas que resulten de las metodologías de costos que estarán vigentes del 1 de enero al 31 de diciembre de </w:t>
      </w:r>
      <w:r w:rsidR="00491DAA" w:rsidRPr="00657BA6">
        <w:rPr>
          <w:rFonts w:ascii="Arial" w:eastAsia="Times New Roman" w:hAnsi="Arial" w:cs="Arial"/>
          <w:b/>
          <w:lang w:eastAsia="es-MX"/>
        </w:rPr>
        <w:t>202</w:t>
      </w:r>
      <w:r>
        <w:rPr>
          <w:rFonts w:ascii="Arial" w:eastAsia="Times New Roman" w:hAnsi="Arial" w:cs="Arial"/>
          <w:b/>
          <w:lang w:eastAsia="es-MX"/>
        </w:rPr>
        <w:t>4</w:t>
      </w:r>
      <w:r w:rsidR="00BC571C" w:rsidRPr="00657BA6">
        <w:rPr>
          <w:rFonts w:ascii="Arial" w:eastAsia="Times New Roman" w:hAnsi="Arial" w:cs="Arial"/>
          <w:b/>
          <w:lang w:eastAsia="es-MX"/>
        </w:rPr>
        <w:t>.</w:t>
      </w:r>
    </w:p>
    <w:p w14:paraId="0E0F8722" w14:textId="77777777" w:rsidR="00244294" w:rsidRPr="00657BA6" w:rsidRDefault="00244294" w:rsidP="0014780A">
      <w:pPr>
        <w:spacing w:after="0"/>
        <w:jc w:val="both"/>
        <w:rPr>
          <w:rFonts w:ascii="Arial" w:eastAsia="Times New Roman" w:hAnsi="Arial" w:cs="Arial"/>
          <w:b/>
          <w:lang w:eastAsia="es-MX"/>
        </w:rPr>
      </w:pPr>
    </w:p>
    <w:p w14:paraId="6E075129" w14:textId="77777777" w:rsidR="00244294" w:rsidRPr="00657BA6" w:rsidRDefault="00244294" w:rsidP="0014780A">
      <w:pPr>
        <w:pStyle w:val="ANOTACION"/>
        <w:spacing w:before="0" w:after="0" w:line="276" w:lineRule="auto"/>
        <w:ind w:right="49"/>
        <w:rPr>
          <w:rFonts w:ascii="Arial" w:hAnsi="Arial" w:cs="Arial"/>
          <w:sz w:val="22"/>
          <w:szCs w:val="22"/>
        </w:rPr>
      </w:pPr>
      <w:r w:rsidRPr="00657BA6">
        <w:rPr>
          <w:rFonts w:ascii="Arial" w:hAnsi="Arial" w:cs="Arial"/>
          <w:sz w:val="22"/>
          <w:szCs w:val="22"/>
        </w:rPr>
        <w:t>Capítulo I</w:t>
      </w:r>
    </w:p>
    <w:p w14:paraId="29C18523" w14:textId="77777777" w:rsidR="00244294" w:rsidRPr="00657BA6" w:rsidRDefault="00244294" w:rsidP="0014780A">
      <w:pPr>
        <w:pStyle w:val="Texto0"/>
        <w:spacing w:after="0" w:line="276" w:lineRule="auto"/>
        <w:ind w:right="49" w:firstLine="0"/>
        <w:jc w:val="center"/>
        <w:rPr>
          <w:b/>
          <w:sz w:val="22"/>
          <w:szCs w:val="22"/>
        </w:rPr>
      </w:pPr>
      <w:r w:rsidRPr="00657BA6">
        <w:rPr>
          <w:b/>
          <w:sz w:val="22"/>
          <w:szCs w:val="22"/>
        </w:rPr>
        <w:t>Disposiciones Generales</w:t>
      </w:r>
    </w:p>
    <w:p w14:paraId="001D5148" w14:textId="77777777" w:rsidR="00244294" w:rsidRPr="00657BA6" w:rsidRDefault="00244294" w:rsidP="0014780A">
      <w:pPr>
        <w:pStyle w:val="Texto0"/>
        <w:spacing w:after="0" w:line="276" w:lineRule="auto"/>
        <w:ind w:right="49" w:firstLine="0"/>
        <w:jc w:val="center"/>
        <w:rPr>
          <w:b/>
          <w:sz w:val="22"/>
          <w:szCs w:val="22"/>
        </w:rPr>
      </w:pPr>
    </w:p>
    <w:p w14:paraId="7FC3E828" w14:textId="007B5353" w:rsidR="00244294" w:rsidRPr="00657BA6" w:rsidRDefault="00244294" w:rsidP="0014780A">
      <w:pPr>
        <w:spacing w:after="0"/>
        <w:ind w:right="49"/>
        <w:jc w:val="both"/>
        <w:rPr>
          <w:rFonts w:ascii="Arial" w:hAnsi="Arial" w:cs="Arial"/>
        </w:rPr>
      </w:pPr>
      <w:r w:rsidRPr="00657BA6">
        <w:rPr>
          <w:rFonts w:ascii="Arial" w:hAnsi="Arial" w:cs="Arial"/>
          <w:b/>
        </w:rPr>
        <w:t xml:space="preserve">Primera.- </w:t>
      </w:r>
      <w:r w:rsidRPr="00657BA6">
        <w:rPr>
          <w:rFonts w:ascii="Arial" w:hAnsi="Arial" w:cs="Arial"/>
        </w:rPr>
        <w:t xml:space="preserve">El presente Acuerdo tiene por objeto establecer las condiciones técnicas mínimas necesarias para la interconexión entre concesionarios que operen redes públicas de telecomunicaciones, y determinar las tarifas de los Servicios de Interconexión que han resultado de la metodología para el cálculo de costos de interconexión de conformidad con la Ley Federal de Telecomunicaciones y Radiodifusión (en lo sucesivo, la “LFTR”) mismas que estarán vigentes del 1 de enero al 31 de diciembre de </w:t>
      </w:r>
      <w:r w:rsidR="00491DAA" w:rsidRPr="00657BA6">
        <w:rPr>
          <w:rFonts w:ascii="Arial" w:hAnsi="Arial" w:cs="Arial"/>
        </w:rPr>
        <w:t>202</w:t>
      </w:r>
      <w:r w:rsidR="00D914BC">
        <w:rPr>
          <w:rFonts w:ascii="Arial" w:hAnsi="Arial" w:cs="Arial"/>
        </w:rPr>
        <w:t>4</w:t>
      </w:r>
      <w:r w:rsidRPr="00657BA6">
        <w:rPr>
          <w:rFonts w:ascii="Arial" w:hAnsi="Arial" w:cs="Arial"/>
        </w:rPr>
        <w:t xml:space="preserve">. </w:t>
      </w:r>
    </w:p>
    <w:p w14:paraId="19AE3ECC" w14:textId="77777777" w:rsidR="00244294" w:rsidRPr="00657BA6" w:rsidRDefault="00244294" w:rsidP="0014780A">
      <w:pPr>
        <w:spacing w:after="0"/>
        <w:ind w:right="49"/>
        <w:jc w:val="both"/>
        <w:rPr>
          <w:rFonts w:ascii="Arial" w:hAnsi="Arial" w:cs="Arial"/>
          <w:b/>
        </w:rPr>
      </w:pPr>
    </w:p>
    <w:p w14:paraId="4CABC823" w14:textId="77777777" w:rsidR="00244294" w:rsidRPr="00657BA6" w:rsidRDefault="00244294" w:rsidP="0014780A">
      <w:pPr>
        <w:pStyle w:val="ANOTACION"/>
        <w:spacing w:before="0" w:after="0" w:line="276" w:lineRule="auto"/>
        <w:ind w:right="49"/>
        <w:rPr>
          <w:rFonts w:ascii="Arial" w:hAnsi="Arial" w:cs="Arial"/>
          <w:sz w:val="22"/>
          <w:szCs w:val="22"/>
        </w:rPr>
      </w:pPr>
      <w:r w:rsidRPr="00657BA6">
        <w:rPr>
          <w:rFonts w:ascii="Arial" w:hAnsi="Arial" w:cs="Arial"/>
          <w:sz w:val="22"/>
          <w:szCs w:val="22"/>
        </w:rPr>
        <w:t>Capítulo II</w:t>
      </w:r>
    </w:p>
    <w:p w14:paraId="7529D11C" w14:textId="77777777" w:rsidR="00244294" w:rsidRPr="00657BA6" w:rsidRDefault="00244294" w:rsidP="0014780A">
      <w:pPr>
        <w:spacing w:after="0"/>
        <w:ind w:right="51"/>
        <w:jc w:val="center"/>
        <w:rPr>
          <w:rFonts w:ascii="Arial" w:hAnsi="Arial" w:cs="Arial"/>
          <w:b/>
        </w:rPr>
      </w:pPr>
      <w:r w:rsidRPr="00657BA6">
        <w:rPr>
          <w:rFonts w:ascii="Arial" w:hAnsi="Arial" w:cs="Arial"/>
          <w:b/>
        </w:rPr>
        <w:t>Definiciones</w:t>
      </w:r>
    </w:p>
    <w:p w14:paraId="60481CAD" w14:textId="77777777" w:rsidR="00244294" w:rsidRPr="00657BA6" w:rsidRDefault="00244294" w:rsidP="0014780A">
      <w:pPr>
        <w:spacing w:after="0"/>
        <w:ind w:right="51"/>
        <w:jc w:val="center"/>
        <w:rPr>
          <w:rFonts w:ascii="Arial" w:hAnsi="Arial" w:cs="Arial"/>
        </w:rPr>
      </w:pPr>
    </w:p>
    <w:p w14:paraId="4980FC47" w14:textId="77777777" w:rsidR="00244294" w:rsidRPr="00657BA6" w:rsidRDefault="00244294" w:rsidP="0014780A">
      <w:pPr>
        <w:spacing w:after="0"/>
        <w:ind w:right="51"/>
        <w:jc w:val="both"/>
        <w:rPr>
          <w:rFonts w:ascii="Arial" w:hAnsi="Arial" w:cs="Arial"/>
        </w:rPr>
      </w:pPr>
      <w:r w:rsidRPr="00657BA6">
        <w:rPr>
          <w:rFonts w:ascii="Arial" w:hAnsi="Arial" w:cs="Arial"/>
          <w:b/>
        </w:rPr>
        <w:t xml:space="preserve">Segunda.- </w:t>
      </w:r>
      <w:r w:rsidRPr="00657BA6">
        <w:rPr>
          <w:rFonts w:ascii="Arial" w:hAnsi="Arial" w:cs="Arial"/>
        </w:rPr>
        <w:t>Para efectos del presente Acuerdo, los siguientes términos tendrán el significado que a continuación se indica:</w:t>
      </w:r>
    </w:p>
    <w:p w14:paraId="745B0B0E" w14:textId="77777777" w:rsidR="00244294" w:rsidRPr="00657BA6" w:rsidRDefault="00244294" w:rsidP="0014780A">
      <w:pPr>
        <w:spacing w:after="0"/>
        <w:ind w:right="51"/>
        <w:jc w:val="both"/>
        <w:rPr>
          <w:rFonts w:ascii="Arial" w:hAnsi="Arial" w:cs="Arial"/>
        </w:rPr>
      </w:pPr>
    </w:p>
    <w:tbl>
      <w:tblPr>
        <w:tblStyle w:val="Tablaconcuadrcula"/>
        <w:tblW w:w="0" w:type="auto"/>
        <w:jc w:val="center"/>
        <w:tblLook w:val="04A0" w:firstRow="1" w:lastRow="0" w:firstColumn="1" w:lastColumn="0" w:noHBand="0" w:noVBand="1"/>
      </w:tblPr>
      <w:tblGrid>
        <w:gridCol w:w="2830"/>
        <w:gridCol w:w="5998"/>
      </w:tblGrid>
      <w:tr w:rsidR="00244294" w:rsidRPr="00657BA6" w14:paraId="02ADCF7E" w14:textId="77777777" w:rsidTr="00692AB4">
        <w:trPr>
          <w:trHeight w:val="642"/>
          <w:jc w:val="center"/>
        </w:trPr>
        <w:tc>
          <w:tcPr>
            <w:tcW w:w="2830" w:type="dxa"/>
          </w:tcPr>
          <w:p w14:paraId="63C3FB10" w14:textId="77777777" w:rsidR="00244294" w:rsidRPr="00657BA6" w:rsidRDefault="00244294" w:rsidP="0014780A">
            <w:pPr>
              <w:spacing w:after="0"/>
              <w:ind w:right="49"/>
              <w:rPr>
                <w:rFonts w:ascii="Arial" w:hAnsi="Arial" w:cs="Arial"/>
              </w:rPr>
            </w:pPr>
            <w:r w:rsidRPr="00657BA6">
              <w:rPr>
                <w:rFonts w:ascii="Arial" w:hAnsi="Arial" w:cs="Arial"/>
              </w:rPr>
              <w:t>Agente Económico Preponderante:</w:t>
            </w:r>
          </w:p>
        </w:tc>
        <w:tc>
          <w:tcPr>
            <w:tcW w:w="5998" w:type="dxa"/>
          </w:tcPr>
          <w:p w14:paraId="70839310" w14:textId="77777777" w:rsidR="00244294" w:rsidRPr="00657BA6" w:rsidRDefault="00244294" w:rsidP="0014780A">
            <w:pPr>
              <w:autoSpaceDE w:val="0"/>
              <w:autoSpaceDN w:val="0"/>
              <w:adjustRightInd w:val="0"/>
              <w:spacing w:after="0"/>
              <w:ind w:right="49"/>
              <w:jc w:val="both"/>
              <w:rPr>
                <w:rFonts w:ascii="Arial" w:hAnsi="Arial" w:cs="Arial"/>
              </w:rPr>
            </w:pPr>
            <w:r w:rsidRPr="00657BA6">
              <w:rPr>
                <w:rFonts w:ascii="Arial" w:hAnsi="Arial" w:cs="Arial"/>
              </w:rPr>
              <w:t xml:space="preserve">Aquel que fue declarado mediante Acuerdo P/IFT/EXT/060314/76. </w:t>
            </w:r>
          </w:p>
        </w:tc>
      </w:tr>
      <w:tr w:rsidR="00244294" w:rsidRPr="00657BA6" w14:paraId="42DFCA5F" w14:textId="77777777" w:rsidTr="00692AB4">
        <w:trPr>
          <w:jc w:val="center"/>
        </w:trPr>
        <w:tc>
          <w:tcPr>
            <w:tcW w:w="2830" w:type="dxa"/>
          </w:tcPr>
          <w:p w14:paraId="60FDBFDB" w14:textId="77777777" w:rsidR="00244294" w:rsidRPr="00657BA6" w:rsidRDefault="00244294" w:rsidP="0014780A">
            <w:pPr>
              <w:spacing w:after="0"/>
              <w:ind w:right="49"/>
              <w:rPr>
                <w:rFonts w:ascii="Arial" w:hAnsi="Arial" w:cs="Arial"/>
              </w:rPr>
            </w:pPr>
            <w:r w:rsidRPr="00657BA6">
              <w:rPr>
                <w:rFonts w:ascii="Arial" w:hAnsi="Arial" w:cs="Arial"/>
              </w:rPr>
              <w:t>Conducción de tráfico:</w:t>
            </w:r>
          </w:p>
        </w:tc>
        <w:tc>
          <w:tcPr>
            <w:tcW w:w="5998" w:type="dxa"/>
          </w:tcPr>
          <w:p w14:paraId="01B61F6A" w14:textId="77777777" w:rsidR="00244294" w:rsidRPr="00657BA6" w:rsidRDefault="00244294" w:rsidP="0014780A">
            <w:pPr>
              <w:autoSpaceDE w:val="0"/>
              <w:autoSpaceDN w:val="0"/>
              <w:adjustRightInd w:val="0"/>
              <w:spacing w:after="0"/>
              <w:ind w:right="49"/>
              <w:jc w:val="both"/>
              <w:rPr>
                <w:rFonts w:ascii="Arial" w:hAnsi="Arial" w:cs="Arial"/>
              </w:rPr>
            </w:pPr>
            <w:r w:rsidRPr="00657BA6">
              <w:rPr>
                <w:rFonts w:ascii="Arial" w:hAnsi="Arial" w:cs="Arial"/>
              </w:rPr>
              <w:t>Servicio por medio del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tc>
      </w:tr>
      <w:tr w:rsidR="00244294" w:rsidRPr="00657BA6" w14:paraId="2E16B948" w14:textId="77777777" w:rsidTr="00692AB4">
        <w:trPr>
          <w:jc w:val="center"/>
        </w:trPr>
        <w:tc>
          <w:tcPr>
            <w:tcW w:w="2830" w:type="dxa"/>
          </w:tcPr>
          <w:p w14:paraId="1E638671" w14:textId="77777777" w:rsidR="00244294" w:rsidRPr="00657BA6" w:rsidRDefault="00244294" w:rsidP="0014780A">
            <w:pPr>
              <w:spacing w:after="0"/>
              <w:ind w:right="49"/>
              <w:rPr>
                <w:rFonts w:ascii="Arial" w:hAnsi="Arial" w:cs="Arial"/>
              </w:rPr>
            </w:pPr>
            <w:r w:rsidRPr="00657BA6">
              <w:rPr>
                <w:rFonts w:ascii="Arial" w:hAnsi="Arial" w:cs="Arial"/>
              </w:rPr>
              <w:t>Compartición de Infraestructura para interconexión:</w:t>
            </w:r>
          </w:p>
        </w:tc>
        <w:tc>
          <w:tcPr>
            <w:tcW w:w="5998" w:type="dxa"/>
          </w:tcPr>
          <w:p w14:paraId="6B29650E" w14:textId="77777777" w:rsidR="00244294" w:rsidRPr="00657BA6" w:rsidRDefault="00244294" w:rsidP="0014780A">
            <w:pPr>
              <w:autoSpaceDE w:val="0"/>
              <w:autoSpaceDN w:val="0"/>
              <w:adjustRightInd w:val="0"/>
              <w:spacing w:after="0"/>
              <w:ind w:right="49"/>
              <w:jc w:val="both"/>
              <w:rPr>
                <w:rFonts w:ascii="Arial" w:hAnsi="Arial" w:cs="Arial"/>
              </w:rPr>
            </w:pPr>
            <w:r w:rsidRPr="00657BA6">
              <w:rPr>
                <w:rFonts w:ascii="Arial" w:hAnsi="Arial" w:cs="Arial"/>
              </w:rPr>
              <w:t>El uso por dos o más Redes Públicas de Telecomunicaciones de la infraestructura que resulta necesaria para la provisión de Servicios de Interconexión, tales como, equipo, sitios, ductos, canalizaciones, postes, torres, y otros elementos, dentro de las instalaciones del Concesionario, aún cuando dicha infraestructura pueda también ser utilizada para otros servicios.</w:t>
            </w:r>
          </w:p>
        </w:tc>
      </w:tr>
      <w:tr w:rsidR="00244294" w:rsidRPr="00657BA6" w14:paraId="50FBE104" w14:textId="77777777" w:rsidTr="00692AB4">
        <w:trPr>
          <w:jc w:val="center"/>
        </w:trPr>
        <w:tc>
          <w:tcPr>
            <w:tcW w:w="2830" w:type="dxa"/>
          </w:tcPr>
          <w:p w14:paraId="38CEC7EA" w14:textId="77777777" w:rsidR="00244294" w:rsidRPr="00657BA6" w:rsidRDefault="00244294" w:rsidP="0014780A">
            <w:pPr>
              <w:spacing w:after="0"/>
              <w:ind w:right="49"/>
              <w:rPr>
                <w:rFonts w:ascii="Arial" w:hAnsi="Arial" w:cs="Arial"/>
              </w:rPr>
            </w:pPr>
            <w:r w:rsidRPr="00657BA6">
              <w:rPr>
                <w:rFonts w:ascii="Arial" w:hAnsi="Arial" w:cs="Arial"/>
              </w:rPr>
              <w:t>Concesionario Solicitado:</w:t>
            </w:r>
          </w:p>
        </w:tc>
        <w:tc>
          <w:tcPr>
            <w:tcW w:w="5998" w:type="dxa"/>
          </w:tcPr>
          <w:p w14:paraId="6FD81DCB" w14:textId="77777777" w:rsidR="00244294" w:rsidRPr="00657BA6" w:rsidRDefault="00244294" w:rsidP="0014780A">
            <w:pPr>
              <w:spacing w:after="0"/>
              <w:ind w:right="49"/>
              <w:jc w:val="both"/>
              <w:rPr>
                <w:rFonts w:ascii="Arial" w:hAnsi="Arial" w:cs="Arial"/>
              </w:rPr>
            </w:pPr>
            <w:r w:rsidRPr="00657BA6">
              <w:rPr>
                <w:rFonts w:ascii="Arial" w:hAnsi="Arial" w:cs="Arial"/>
              </w:rPr>
              <w:t>Concesionario al cual se le solicitan los Servicios de Interconexión.</w:t>
            </w:r>
          </w:p>
        </w:tc>
      </w:tr>
      <w:tr w:rsidR="00244294" w:rsidRPr="00657BA6" w14:paraId="0BBAF04E" w14:textId="77777777" w:rsidTr="00692AB4">
        <w:trPr>
          <w:jc w:val="center"/>
        </w:trPr>
        <w:tc>
          <w:tcPr>
            <w:tcW w:w="2830" w:type="dxa"/>
          </w:tcPr>
          <w:p w14:paraId="69F4426C" w14:textId="77777777" w:rsidR="00244294" w:rsidRPr="00657BA6" w:rsidRDefault="00244294" w:rsidP="0014780A">
            <w:pPr>
              <w:spacing w:after="0"/>
              <w:ind w:right="49"/>
              <w:rPr>
                <w:rFonts w:ascii="Arial" w:hAnsi="Arial" w:cs="Arial"/>
              </w:rPr>
            </w:pPr>
            <w:r w:rsidRPr="00657BA6">
              <w:rPr>
                <w:rFonts w:ascii="Arial" w:hAnsi="Arial" w:cs="Arial"/>
              </w:rPr>
              <w:t>Concesionario Solicitante:</w:t>
            </w:r>
          </w:p>
        </w:tc>
        <w:tc>
          <w:tcPr>
            <w:tcW w:w="5998" w:type="dxa"/>
          </w:tcPr>
          <w:p w14:paraId="5AA51F9F" w14:textId="77777777" w:rsidR="00244294" w:rsidRPr="00657BA6" w:rsidRDefault="00244294" w:rsidP="0014780A">
            <w:pPr>
              <w:spacing w:after="0"/>
              <w:ind w:right="49"/>
              <w:jc w:val="both"/>
              <w:rPr>
                <w:rFonts w:ascii="Arial" w:hAnsi="Arial" w:cs="Arial"/>
              </w:rPr>
            </w:pPr>
            <w:r w:rsidRPr="00657BA6">
              <w:rPr>
                <w:rFonts w:ascii="Arial" w:hAnsi="Arial" w:cs="Arial"/>
              </w:rPr>
              <w:t>Concesionario que solicita los Servicios de Interconexión.</w:t>
            </w:r>
          </w:p>
        </w:tc>
      </w:tr>
      <w:tr w:rsidR="00244294" w:rsidRPr="00657BA6" w14:paraId="1688FDCD" w14:textId="77777777" w:rsidTr="00692AB4">
        <w:trPr>
          <w:jc w:val="center"/>
        </w:trPr>
        <w:tc>
          <w:tcPr>
            <w:tcW w:w="2830" w:type="dxa"/>
          </w:tcPr>
          <w:p w14:paraId="1DA19623" w14:textId="77777777" w:rsidR="00244294" w:rsidRPr="00657BA6" w:rsidRDefault="00244294" w:rsidP="0014780A">
            <w:pPr>
              <w:spacing w:after="0"/>
              <w:ind w:right="49"/>
              <w:rPr>
                <w:rFonts w:ascii="Arial" w:hAnsi="Arial" w:cs="Arial"/>
              </w:rPr>
            </w:pPr>
            <w:r w:rsidRPr="00657BA6">
              <w:rPr>
                <w:rFonts w:ascii="Arial" w:hAnsi="Arial" w:cs="Arial"/>
              </w:rPr>
              <w:t>Coubicación:</w:t>
            </w:r>
          </w:p>
        </w:tc>
        <w:tc>
          <w:tcPr>
            <w:tcW w:w="5998" w:type="dxa"/>
          </w:tcPr>
          <w:p w14:paraId="5B098039" w14:textId="77777777" w:rsidR="00244294" w:rsidRPr="00657BA6" w:rsidRDefault="00244294" w:rsidP="0014780A">
            <w:pPr>
              <w:pStyle w:val="Default"/>
              <w:spacing w:line="276" w:lineRule="auto"/>
              <w:ind w:right="49"/>
              <w:jc w:val="both"/>
              <w:rPr>
                <w:rFonts w:ascii="Arial" w:hAnsi="Arial" w:cs="Arial"/>
                <w:color w:val="auto"/>
                <w:sz w:val="20"/>
                <w:szCs w:val="20"/>
              </w:rPr>
            </w:pPr>
            <w:r w:rsidRPr="00657BA6">
              <w:rPr>
                <w:rFonts w:ascii="Arial" w:hAnsi="Arial" w:cs="Arial"/>
                <w:color w:val="auto"/>
                <w:sz w:val="20"/>
                <w:szCs w:val="20"/>
              </w:rPr>
              <w:t xml:space="preserve">Servicio de Interconexión para la colocación de equipos y dispositivos de la Red Pública de Telecomunicaciones del Concesionario Solicitante, necesarios para la Interoperabilidad y la provisión de otros Servicios de Interconexión de una Red Pública de Telecomunicaciones con otra, mediante su ubicación </w:t>
            </w:r>
            <w:r w:rsidRPr="00657BA6">
              <w:rPr>
                <w:rFonts w:ascii="Arial" w:hAnsi="Arial" w:cs="Arial"/>
                <w:color w:val="auto"/>
                <w:sz w:val="20"/>
                <w:szCs w:val="20"/>
              </w:rPr>
              <w:lastRenderedPageBreak/>
              <w:t xml:space="preserve">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 </w:t>
            </w:r>
          </w:p>
        </w:tc>
      </w:tr>
      <w:tr w:rsidR="00244294" w:rsidRPr="00657BA6" w14:paraId="0040A6AC" w14:textId="77777777" w:rsidTr="00692AB4">
        <w:trPr>
          <w:jc w:val="center"/>
        </w:trPr>
        <w:tc>
          <w:tcPr>
            <w:tcW w:w="2830" w:type="dxa"/>
          </w:tcPr>
          <w:p w14:paraId="207D54F3" w14:textId="77777777" w:rsidR="00244294" w:rsidRPr="00657BA6" w:rsidRDefault="00244294" w:rsidP="0014780A">
            <w:pPr>
              <w:spacing w:after="0"/>
              <w:ind w:right="49"/>
              <w:rPr>
                <w:rFonts w:ascii="Arial" w:hAnsi="Arial" w:cs="Arial"/>
              </w:rPr>
            </w:pPr>
            <w:r w:rsidRPr="00657BA6">
              <w:rPr>
                <w:rFonts w:ascii="Arial" w:hAnsi="Arial" w:cs="Arial"/>
              </w:rPr>
              <w:lastRenderedPageBreak/>
              <w:t>Enlaces de Transmisión:</w:t>
            </w:r>
          </w:p>
        </w:tc>
        <w:tc>
          <w:tcPr>
            <w:tcW w:w="5998" w:type="dxa"/>
          </w:tcPr>
          <w:p w14:paraId="0330BFF4" w14:textId="77777777" w:rsidR="00244294" w:rsidRPr="00657BA6" w:rsidRDefault="00244294" w:rsidP="0014780A">
            <w:pPr>
              <w:pStyle w:val="Default"/>
              <w:spacing w:line="276" w:lineRule="auto"/>
              <w:ind w:right="49"/>
              <w:jc w:val="both"/>
              <w:rPr>
                <w:rFonts w:ascii="Arial" w:hAnsi="Arial" w:cs="Arial"/>
                <w:color w:val="auto"/>
                <w:sz w:val="20"/>
                <w:szCs w:val="20"/>
              </w:rPr>
            </w:pPr>
            <w:r w:rsidRPr="00657BA6">
              <w:rPr>
                <w:rFonts w:ascii="Arial" w:hAnsi="Arial" w:cs="Arial"/>
                <w:color w:val="auto"/>
                <w:sz w:val="20"/>
                <w:szCs w:val="20"/>
              </w:rPr>
              <w:t>Servicio de Interconexión o capacidad que consiste en el establecimiento de enlaces de transmisión físicos o virtuales de cualquier tecnología, a través de los cuales se conduce Tráfico.</w:t>
            </w:r>
          </w:p>
        </w:tc>
      </w:tr>
      <w:tr w:rsidR="00244294" w:rsidRPr="00657BA6" w14:paraId="6F624FA4" w14:textId="77777777" w:rsidTr="00692AB4">
        <w:trPr>
          <w:jc w:val="center"/>
        </w:trPr>
        <w:tc>
          <w:tcPr>
            <w:tcW w:w="2830" w:type="dxa"/>
          </w:tcPr>
          <w:p w14:paraId="4B46BC59" w14:textId="77777777" w:rsidR="00244294" w:rsidRPr="00657BA6" w:rsidRDefault="00244294" w:rsidP="0014780A">
            <w:pPr>
              <w:spacing w:after="0"/>
              <w:ind w:right="49"/>
              <w:rPr>
                <w:rFonts w:ascii="Arial" w:hAnsi="Arial" w:cs="Arial"/>
              </w:rPr>
            </w:pPr>
            <w:r w:rsidRPr="00657BA6">
              <w:rPr>
                <w:rFonts w:ascii="Arial" w:hAnsi="Arial" w:cs="Arial"/>
              </w:rPr>
              <w:t>Facturación y Cobranza:</w:t>
            </w:r>
          </w:p>
        </w:tc>
        <w:tc>
          <w:tcPr>
            <w:tcW w:w="5998" w:type="dxa"/>
          </w:tcPr>
          <w:p w14:paraId="73B48514" w14:textId="77777777" w:rsidR="00244294" w:rsidRPr="00657BA6" w:rsidRDefault="00244294" w:rsidP="0014780A">
            <w:pPr>
              <w:spacing w:after="0"/>
              <w:ind w:right="49"/>
              <w:jc w:val="both"/>
              <w:rPr>
                <w:rFonts w:ascii="Arial" w:hAnsi="Arial" w:cs="Arial"/>
              </w:rPr>
            </w:pPr>
            <w:r w:rsidRPr="00657BA6">
              <w:rPr>
                <w:rFonts w:ascii="Arial" w:hAnsi="Arial" w:cs="Arial"/>
              </w:rPr>
              <w:t xml:space="preserve">Servicio de Interconexión que presta el Concesionario Solicitado, el cual incluye el procesamiento de los registros para la emisión de la factura y su impresión, el envío, la cobranza y gastos de contabilidad a efecto de cobrar al Suscriptor del Concesionario Solicitante por los servicios prestados. </w:t>
            </w:r>
          </w:p>
        </w:tc>
      </w:tr>
      <w:tr w:rsidR="00244294" w:rsidRPr="00657BA6" w14:paraId="2099FB96" w14:textId="77777777" w:rsidTr="00692AB4">
        <w:trPr>
          <w:jc w:val="center"/>
        </w:trPr>
        <w:tc>
          <w:tcPr>
            <w:tcW w:w="2830" w:type="dxa"/>
          </w:tcPr>
          <w:p w14:paraId="29963EB1" w14:textId="77777777" w:rsidR="00244294" w:rsidRPr="00657BA6" w:rsidRDefault="00244294" w:rsidP="0014780A">
            <w:pPr>
              <w:spacing w:after="0"/>
              <w:ind w:right="49"/>
              <w:rPr>
                <w:rFonts w:ascii="Arial" w:hAnsi="Arial" w:cs="Arial"/>
              </w:rPr>
            </w:pPr>
            <w:r w:rsidRPr="00657BA6">
              <w:rPr>
                <w:rFonts w:ascii="Arial" w:hAnsi="Arial" w:cs="Arial"/>
              </w:rPr>
              <w:t>Interconexión:</w:t>
            </w:r>
          </w:p>
        </w:tc>
        <w:tc>
          <w:tcPr>
            <w:tcW w:w="5998" w:type="dxa"/>
          </w:tcPr>
          <w:p w14:paraId="03EFC660" w14:textId="77777777" w:rsidR="00244294" w:rsidRPr="00657BA6" w:rsidRDefault="00244294" w:rsidP="0014780A">
            <w:pPr>
              <w:spacing w:after="0"/>
              <w:ind w:right="49"/>
              <w:jc w:val="both"/>
              <w:rPr>
                <w:rFonts w:ascii="Arial" w:hAnsi="Arial" w:cs="Arial"/>
              </w:rPr>
            </w:pPr>
            <w:r w:rsidRPr="00657BA6">
              <w:rPr>
                <w:rFonts w:ascii="Arial" w:hAnsi="Arial" w:cs="Arial"/>
              </w:rPr>
              <w:t>Conexión física o virtual,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tc>
      </w:tr>
      <w:tr w:rsidR="00244294" w:rsidRPr="00657BA6" w14:paraId="18E2F9A3" w14:textId="77777777" w:rsidTr="00692AB4">
        <w:trPr>
          <w:jc w:val="center"/>
        </w:trPr>
        <w:tc>
          <w:tcPr>
            <w:tcW w:w="2830" w:type="dxa"/>
          </w:tcPr>
          <w:p w14:paraId="4E55717F" w14:textId="77777777" w:rsidR="00244294" w:rsidRPr="00657BA6" w:rsidRDefault="00244294" w:rsidP="0014780A">
            <w:pPr>
              <w:spacing w:after="0"/>
              <w:ind w:right="49"/>
              <w:rPr>
                <w:rFonts w:ascii="Arial" w:hAnsi="Arial" w:cs="Arial"/>
              </w:rPr>
            </w:pPr>
            <w:r w:rsidRPr="00657BA6">
              <w:rPr>
                <w:rFonts w:ascii="Arial" w:hAnsi="Arial" w:cs="Arial"/>
              </w:rPr>
              <w:t>Interconexión Cruzada:</w:t>
            </w:r>
          </w:p>
        </w:tc>
        <w:tc>
          <w:tcPr>
            <w:tcW w:w="5998" w:type="dxa"/>
          </w:tcPr>
          <w:p w14:paraId="3EF00455" w14:textId="77777777" w:rsidR="00244294" w:rsidRPr="00657BA6" w:rsidRDefault="00244294" w:rsidP="0014780A">
            <w:pPr>
              <w:spacing w:after="0"/>
              <w:ind w:right="49"/>
              <w:jc w:val="both"/>
              <w:rPr>
                <w:rFonts w:ascii="Arial" w:hAnsi="Arial" w:cs="Arial"/>
              </w:rPr>
            </w:pPr>
            <w:r w:rsidRPr="00657BA6">
              <w:rPr>
                <w:rFonts w:ascii="Arial" w:hAnsi="Arial" w:cs="Arial"/>
              </w:rPr>
              <w:t>Interconexión directa realizada entre concesionarios que tienen presencia y/o espacios de coubicación en el mismo punto de interconexión. Para lo cual el propietario de las instalaciones proveerá las estructuras de soporte y el medio de transmisión para dicha interconexión. Dicho medio de transmisión podrá ser gestionado o no gestionado.</w:t>
            </w:r>
          </w:p>
        </w:tc>
      </w:tr>
      <w:tr w:rsidR="00244294" w:rsidRPr="00657BA6" w14:paraId="38ACC2F7" w14:textId="77777777" w:rsidTr="00692AB4">
        <w:trPr>
          <w:jc w:val="center"/>
        </w:trPr>
        <w:tc>
          <w:tcPr>
            <w:tcW w:w="2830" w:type="dxa"/>
          </w:tcPr>
          <w:p w14:paraId="568FA400" w14:textId="77777777" w:rsidR="00244294" w:rsidRPr="00657BA6" w:rsidRDefault="00244294" w:rsidP="0014780A">
            <w:pPr>
              <w:spacing w:after="0"/>
              <w:ind w:right="49"/>
              <w:rPr>
                <w:rFonts w:ascii="Arial" w:hAnsi="Arial" w:cs="Arial"/>
              </w:rPr>
            </w:pPr>
            <w:r w:rsidRPr="00657BA6">
              <w:rPr>
                <w:rFonts w:ascii="Arial" w:hAnsi="Arial" w:cs="Arial"/>
              </w:rPr>
              <w:t>Puertos de Acceso:</w:t>
            </w:r>
          </w:p>
        </w:tc>
        <w:tc>
          <w:tcPr>
            <w:tcW w:w="5998" w:type="dxa"/>
          </w:tcPr>
          <w:p w14:paraId="5F938045" w14:textId="77777777" w:rsidR="00244294" w:rsidRPr="00657BA6" w:rsidRDefault="00244294" w:rsidP="0014780A">
            <w:pPr>
              <w:pStyle w:val="Default"/>
              <w:spacing w:line="276" w:lineRule="auto"/>
              <w:ind w:right="49"/>
              <w:jc w:val="both"/>
              <w:rPr>
                <w:rFonts w:ascii="Arial" w:hAnsi="Arial" w:cs="Arial"/>
                <w:color w:val="auto"/>
                <w:sz w:val="20"/>
                <w:szCs w:val="20"/>
              </w:rPr>
            </w:pPr>
            <w:r w:rsidRPr="00657BA6">
              <w:rPr>
                <w:rFonts w:ascii="Arial" w:hAnsi="Arial" w:cs="Arial"/>
                <w:color w:val="auto"/>
                <w:sz w:val="20"/>
                <w:szCs w:val="20"/>
              </w:rPr>
              <w:t>Punto de acceso en los equipos de conmutación de una Red Pública de Telecomunicaciones.</w:t>
            </w:r>
          </w:p>
        </w:tc>
      </w:tr>
      <w:tr w:rsidR="00244294" w:rsidRPr="00657BA6" w14:paraId="25D17100" w14:textId="77777777" w:rsidTr="00692AB4">
        <w:trPr>
          <w:jc w:val="center"/>
        </w:trPr>
        <w:tc>
          <w:tcPr>
            <w:tcW w:w="2830" w:type="dxa"/>
          </w:tcPr>
          <w:p w14:paraId="56C046C9" w14:textId="77777777" w:rsidR="00244294" w:rsidRPr="00657BA6" w:rsidRDefault="00244294" w:rsidP="0014780A">
            <w:pPr>
              <w:spacing w:after="0"/>
              <w:ind w:right="49"/>
              <w:rPr>
                <w:rFonts w:ascii="Arial" w:hAnsi="Arial" w:cs="Arial"/>
              </w:rPr>
            </w:pPr>
            <w:r w:rsidRPr="00657BA6">
              <w:rPr>
                <w:rFonts w:ascii="Arial" w:hAnsi="Arial" w:cs="Arial"/>
              </w:rPr>
              <w:t>Servicios de Señalización:</w:t>
            </w:r>
          </w:p>
        </w:tc>
        <w:tc>
          <w:tcPr>
            <w:tcW w:w="5998" w:type="dxa"/>
          </w:tcPr>
          <w:p w14:paraId="29686AAE" w14:textId="77777777" w:rsidR="00244294" w:rsidRPr="00657BA6" w:rsidRDefault="00244294" w:rsidP="0014780A">
            <w:pPr>
              <w:pStyle w:val="Default"/>
              <w:spacing w:line="276" w:lineRule="auto"/>
              <w:ind w:right="49"/>
              <w:jc w:val="both"/>
              <w:rPr>
                <w:rFonts w:ascii="Arial" w:hAnsi="Arial" w:cs="Arial"/>
                <w:color w:val="auto"/>
                <w:sz w:val="20"/>
                <w:szCs w:val="20"/>
              </w:rPr>
            </w:pPr>
            <w:r w:rsidRPr="00657BA6">
              <w:rPr>
                <w:rFonts w:ascii="Arial" w:hAnsi="Arial" w:cs="Arial"/>
                <w:color w:val="auto"/>
                <w:sz w:val="20"/>
                <w:szCs w:val="20"/>
              </w:rPr>
              <w:t xml:space="preserve">Servicios de Interconexión que permiten el intercambio de información entre sistemas y equipos de diferentes redes de telecomunicaciones necesarios para establecer el enlace y la comunicación entre dos o más Usuarios, utilizando formatos, procesamientos y protocolos sujetos a normas nacionales y/o internacionales. Este servicio incluye la funcionalidad misma, los Puertos de Señalización, los Enlaces de Señalización y los Puntos de Transferencia de Señalización. </w:t>
            </w:r>
          </w:p>
        </w:tc>
      </w:tr>
      <w:tr w:rsidR="00244294" w:rsidRPr="00657BA6" w14:paraId="2B7DB434" w14:textId="77777777" w:rsidTr="00692AB4">
        <w:trPr>
          <w:jc w:val="center"/>
        </w:trPr>
        <w:tc>
          <w:tcPr>
            <w:tcW w:w="2830" w:type="dxa"/>
          </w:tcPr>
          <w:p w14:paraId="6EE8D408" w14:textId="77777777" w:rsidR="00244294" w:rsidRPr="00657BA6" w:rsidRDefault="00244294" w:rsidP="0014780A">
            <w:pPr>
              <w:spacing w:after="0"/>
              <w:ind w:right="49"/>
              <w:rPr>
                <w:rFonts w:ascii="Arial" w:hAnsi="Arial" w:cs="Arial"/>
              </w:rPr>
            </w:pPr>
            <w:r w:rsidRPr="00657BA6">
              <w:rPr>
                <w:rFonts w:ascii="Arial" w:hAnsi="Arial" w:cs="Arial"/>
              </w:rPr>
              <w:t>Servicio de Tránsito:</w:t>
            </w:r>
          </w:p>
        </w:tc>
        <w:tc>
          <w:tcPr>
            <w:tcW w:w="5998" w:type="dxa"/>
          </w:tcPr>
          <w:p w14:paraId="751B183C" w14:textId="77777777" w:rsidR="00244294" w:rsidRPr="00657BA6" w:rsidRDefault="00244294" w:rsidP="0014780A">
            <w:pPr>
              <w:pStyle w:val="Default"/>
              <w:spacing w:line="276" w:lineRule="auto"/>
              <w:ind w:right="49"/>
              <w:jc w:val="both"/>
              <w:rPr>
                <w:rFonts w:ascii="Arial" w:hAnsi="Arial" w:cs="Arial"/>
                <w:color w:val="auto"/>
                <w:sz w:val="20"/>
                <w:szCs w:val="20"/>
              </w:rPr>
            </w:pPr>
            <w:r w:rsidRPr="00657BA6">
              <w:rPr>
                <w:rFonts w:ascii="Arial" w:hAnsi="Arial" w:cs="Arial"/>
                <w:color w:val="auto"/>
                <w:sz w:val="20"/>
                <w:szCs w:val="20"/>
              </w:rPr>
              <w:t xml:space="preserve">Servicio de Interconexión para el enrutamiento de Tráfico que el concesionario de una Red Pública de Telecomunicaciones provee para la Interconexión de dos o más Redes Públicas de Telecomunicaciones distintas, ya sea para la Originación o Terminación de Tráfico dentro del territorio nacional. </w:t>
            </w:r>
          </w:p>
        </w:tc>
      </w:tr>
      <w:tr w:rsidR="00244294" w:rsidRPr="00657BA6" w14:paraId="06F0AEA1" w14:textId="77777777" w:rsidTr="00692AB4">
        <w:trPr>
          <w:jc w:val="center"/>
        </w:trPr>
        <w:tc>
          <w:tcPr>
            <w:tcW w:w="2830" w:type="dxa"/>
          </w:tcPr>
          <w:p w14:paraId="1076F2DB" w14:textId="77777777" w:rsidR="00244294" w:rsidRPr="00657BA6" w:rsidRDefault="00244294" w:rsidP="0014780A">
            <w:pPr>
              <w:spacing w:after="0"/>
              <w:ind w:right="49"/>
              <w:rPr>
                <w:rFonts w:ascii="Arial" w:hAnsi="Arial" w:cs="Arial"/>
              </w:rPr>
            </w:pPr>
            <w:r w:rsidRPr="00657BA6">
              <w:rPr>
                <w:rFonts w:ascii="Arial" w:hAnsi="Arial" w:cs="Arial"/>
              </w:rPr>
              <w:lastRenderedPageBreak/>
              <w:t>Servicios Auxiliares y Conexos:</w:t>
            </w:r>
          </w:p>
        </w:tc>
        <w:tc>
          <w:tcPr>
            <w:tcW w:w="5998" w:type="dxa"/>
          </w:tcPr>
          <w:p w14:paraId="3E4F655E" w14:textId="77777777" w:rsidR="00244294" w:rsidRPr="00657BA6" w:rsidRDefault="00244294" w:rsidP="0014780A">
            <w:pPr>
              <w:pStyle w:val="Default"/>
              <w:spacing w:line="276" w:lineRule="auto"/>
              <w:ind w:right="49"/>
              <w:jc w:val="both"/>
              <w:rPr>
                <w:rFonts w:ascii="Arial" w:hAnsi="Arial" w:cs="Arial"/>
                <w:color w:val="auto"/>
                <w:sz w:val="20"/>
                <w:szCs w:val="20"/>
              </w:rPr>
            </w:pPr>
            <w:r w:rsidRPr="00657BA6">
              <w:rPr>
                <w:rFonts w:ascii="Arial" w:hAnsi="Arial" w:cs="Arial"/>
                <w:color w:val="auto"/>
                <w:sz w:val="20"/>
                <w:szCs w:val="20"/>
              </w:rPr>
              <w:t xml:space="preserve">Servicios que forman parte de los Servicios de Interconexión necesarios para la Interoperabilidad de las Redes Públicas de Telecomunicaciones, que incluyen, entre otros, los servicios de información, de directorio, de emergencia, de cobro revertido o de origen, vía operadora, y los demás que se requieran para permitir a los Usuarios de un Concesionario comunicarse con los Usuarios de otro Concesionario y tener acceso a los servicios suministrados por éste último o por algún otro proveedor autorizado al efecto. </w:t>
            </w:r>
          </w:p>
        </w:tc>
      </w:tr>
      <w:tr w:rsidR="00244294" w:rsidRPr="00657BA6" w14:paraId="4FA8DFD3" w14:textId="77777777" w:rsidTr="00692AB4">
        <w:trPr>
          <w:jc w:val="center"/>
        </w:trPr>
        <w:tc>
          <w:tcPr>
            <w:tcW w:w="2830" w:type="dxa"/>
          </w:tcPr>
          <w:p w14:paraId="5A68040B" w14:textId="77777777" w:rsidR="00244294" w:rsidRPr="00657BA6" w:rsidRDefault="00244294" w:rsidP="0014780A">
            <w:pPr>
              <w:spacing w:after="0"/>
              <w:ind w:right="49"/>
              <w:rPr>
                <w:rFonts w:ascii="Arial" w:hAnsi="Arial" w:cs="Arial"/>
              </w:rPr>
            </w:pPr>
            <w:r w:rsidRPr="00657BA6">
              <w:rPr>
                <w:rFonts w:ascii="Arial" w:hAnsi="Arial" w:cs="Arial"/>
              </w:rPr>
              <w:t>Servicios de Interconexión:</w:t>
            </w:r>
          </w:p>
        </w:tc>
        <w:tc>
          <w:tcPr>
            <w:tcW w:w="5998" w:type="dxa"/>
          </w:tcPr>
          <w:p w14:paraId="6370049E" w14:textId="77777777" w:rsidR="00244294" w:rsidRPr="00657BA6" w:rsidRDefault="00244294" w:rsidP="0014780A">
            <w:pPr>
              <w:spacing w:after="0"/>
              <w:ind w:right="49"/>
              <w:jc w:val="both"/>
              <w:rPr>
                <w:rFonts w:ascii="Arial" w:hAnsi="Arial" w:cs="Arial"/>
              </w:rPr>
            </w:pPr>
            <w:r w:rsidRPr="00657BA6">
              <w:rPr>
                <w:rFonts w:ascii="Arial" w:hAnsi="Arial" w:cs="Arial"/>
              </w:rPr>
              <w:t>Servicios que se prestan entre concesionarios de servicios de telecomunicaciones, para realizar la interconexión entre sus redes e incluyen, entre otros, la conducción de tráfico, su originación y terminación, enlaces de transmisión, señalización, tránsito, puertos de acceso, coubicación, la compartición de infraestructura para interconexión, facturación y cobranza, así como otros servicios auxiliares de la misma y acceso a servicios.</w:t>
            </w:r>
          </w:p>
          <w:p w14:paraId="5B6E0D72" w14:textId="77777777" w:rsidR="00244294" w:rsidRPr="00657BA6" w:rsidRDefault="00244294" w:rsidP="0014780A">
            <w:pPr>
              <w:spacing w:after="0"/>
              <w:ind w:right="49"/>
              <w:jc w:val="both"/>
              <w:rPr>
                <w:rFonts w:ascii="Arial" w:hAnsi="Arial" w:cs="Arial"/>
              </w:rPr>
            </w:pPr>
          </w:p>
          <w:p w14:paraId="2806A568" w14:textId="77777777" w:rsidR="00244294" w:rsidRPr="00657BA6" w:rsidRDefault="00244294" w:rsidP="0014780A">
            <w:pPr>
              <w:spacing w:after="0"/>
              <w:ind w:right="49"/>
              <w:jc w:val="both"/>
              <w:rPr>
                <w:rFonts w:ascii="Arial" w:hAnsi="Arial" w:cs="Arial"/>
              </w:rPr>
            </w:pPr>
            <w:r w:rsidRPr="00657BA6">
              <w:rPr>
                <w:rFonts w:ascii="Arial" w:hAnsi="Arial" w:cs="Arial"/>
              </w:rPr>
              <w:t>Los servicios de interconexión que deben ser proporcionados por los Concesionarios son los siguientes:</w:t>
            </w:r>
          </w:p>
          <w:p w14:paraId="22045C34" w14:textId="77777777" w:rsidR="00244294" w:rsidRPr="00657BA6" w:rsidRDefault="00244294" w:rsidP="0014780A">
            <w:pPr>
              <w:spacing w:after="0"/>
              <w:ind w:right="49"/>
              <w:jc w:val="both"/>
              <w:rPr>
                <w:rFonts w:ascii="Arial" w:hAnsi="Arial" w:cs="Arial"/>
              </w:rPr>
            </w:pPr>
          </w:p>
          <w:p w14:paraId="1C51ED11" w14:textId="77777777" w:rsidR="00244294" w:rsidRPr="00657BA6" w:rsidRDefault="00244294" w:rsidP="009640AE">
            <w:pPr>
              <w:pStyle w:val="Prrafodelista"/>
              <w:numPr>
                <w:ilvl w:val="0"/>
                <w:numId w:val="25"/>
              </w:numPr>
              <w:spacing w:line="276" w:lineRule="auto"/>
              <w:ind w:right="49"/>
              <w:contextualSpacing/>
              <w:jc w:val="left"/>
              <w:rPr>
                <w:rFonts w:cs="Arial"/>
                <w:szCs w:val="20"/>
              </w:rPr>
            </w:pPr>
            <w:r w:rsidRPr="00657BA6">
              <w:rPr>
                <w:rFonts w:cs="Arial"/>
                <w:szCs w:val="20"/>
              </w:rPr>
              <w:t>Conducción de tráfico, que incluye su originación y terminación, así como llamadas y servicios de mensajes cortos.</w:t>
            </w:r>
          </w:p>
          <w:p w14:paraId="0E00652B" w14:textId="77777777" w:rsidR="00244294" w:rsidRPr="00657BA6" w:rsidRDefault="00244294" w:rsidP="009640AE">
            <w:pPr>
              <w:pStyle w:val="Prrafodelista"/>
              <w:numPr>
                <w:ilvl w:val="0"/>
                <w:numId w:val="25"/>
              </w:numPr>
              <w:spacing w:line="276" w:lineRule="auto"/>
              <w:ind w:right="49"/>
              <w:contextualSpacing/>
              <w:jc w:val="left"/>
              <w:rPr>
                <w:rFonts w:cs="Arial"/>
                <w:szCs w:val="20"/>
              </w:rPr>
            </w:pPr>
            <w:r w:rsidRPr="00657BA6">
              <w:rPr>
                <w:rFonts w:cs="Arial"/>
                <w:szCs w:val="20"/>
              </w:rPr>
              <w:t>Enlaces de transmisión;</w:t>
            </w:r>
          </w:p>
          <w:p w14:paraId="4035DABE" w14:textId="77777777" w:rsidR="00244294" w:rsidRPr="00657BA6" w:rsidRDefault="00244294" w:rsidP="009640AE">
            <w:pPr>
              <w:pStyle w:val="Prrafodelista"/>
              <w:numPr>
                <w:ilvl w:val="0"/>
                <w:numId w:val="25"/>
              </w:numPr>
              <w:spacing w:line="276" w:lineRule="auto"/>
              <w:ind w:right="49"/>
              <w:contextualSpacing/>
              <w:jc w:val="left"/>
              <w:rPr>
                <w:rFonts w:cs="Arial"/>
                <w:szCs w:val="20"/>
              </w:rPr>
            </w:pPr>
            <w:r w:rsidRPr="00657BA6">
              <w:rPr>
                <w:rFonts w:cs="Arial"/>
                <w:szCs w:val="20"/>
              </w:rPr>
              <w:t>Puertos de acceso;</w:t>
            </w:r>
          </w:p>
          <w:p w14:paraId="6D1586BC" w14:textId="77777777" w:rsidR="00244294" w:rsidRPr="00657BA6" w:rsidRDefault="00244294" w:rsidP="009640AE">
            <w:pPr>
              <w:pStyle w:val="Prrafodelista"/>
              <w:numPr>
                <w:ilvl w:val="0"/>
                <w:numId w:val="25"/>
              </w:numPr>
              <w:spacing w:line="276" w:lineRule="auto"/>
              <w:ind w:right="49"/>
              <w:contextualSpacing/>
              <w:jc w:val="left"/>
              <w:rPr>
                <w:rFonts w:cs="Arial"/>
                <w:szCs w:val="20"/>
              </w:rPr>
            </w:pPr>
            <w:r w:rsidRPr="00657BA6">
              <w:rPr>
                <w:rFonts w:cs="Arial"/>
                <w:szCs w:val="20"/>
              </w:rPr>
              <w:t>Señalización;</w:t>
            </w:r>
          </w:p>
          <w:p w14:paraId="6DDEC0B9" w14:textId="77777777" w:rsidR="00244294" w:rsidRPr="00657BA6" w:rsidRDefault="00244294" w:rsidP="009640AE">
            <w:pPr>
              <w:pStyle w:val="Prrafodelista"/>
              <w:numPr>
                <w:ilvl w:val="0"/>
                <w:numId w:val="25"/>
              </w:numPr>
              <w:spacing w:line="276" w:lineRule="auto"/>
              <w:ind w:right="49"/>
              <w:contextualSpacing/>
              <w:jc w:val="left"/>
              <w:rPr>
                <w:rFonts w:cs="Arial"/>
                <w:szCs w:val="20"/>
              </w:rPr>
            </w:pPr>
            <w:r w:rsidRPr="00657BA6">
              <w:rPr>
                <w:rFonts w:cs="Arial"/>
                <w:szCs w:val="20"/>
              </w:rPr>
              <w:t>Tránsito;</w:t>
            </w:r>
          </w:p>
          <w:p w14:paraId="15945EBD" w14:textId="77777777" w:rsidR="00244294" w:rsidRPr="00657BA6" w:rsidRDefault="00244294" w:rsidP="009640AE">
            <w:pPr>
              <w:pStyle w:val="Prrafodelista"/>
              <w:numPr>
                <w:ilvl w:val="0"/>
                <w:numId w:val="25"/>
              </w:numPr>
              <w:spacing w:line="276" w:lineRule="auto"/>
              <w:ind w:right="49"/>
              <w:contextualSpacing/>
              <w:jc w:val="left"/>
              <w:rPr>
                <w:rFonts w:cs="Arial"/>
                <w:szCs w:val="20"/>
              </w:rPr>
            </w:pPr>
            <w:r w:rsidRPr="00657BA6">
              <w:rPr>
                <w:rFonts w:cs="Arial"/>
                <w:szCs w:val="20"/>
              </w:rPr>
              <w:t>Coubicación;</w:t>
            </w:r>
          </w:p>
          <w:p w14:paraId="780330EE" w14:textId="77777777" w:rsidR="00244294" w:rsidRPr="00657BA6" w:rsidRDefault="00244294" w:rsidP="009640AE">
            <w:pPr>
              <w:pStyle w:val="Prrafodelista"/>
              <w:numPr>
                <w:ilvl w:val="0"/>
                <w:numId w:val="25"/>
              </w:numPr>
              <w:spacing w:line="276" w:lineRule="auto"/>
              <w:ind w:right="49"/>
              <w:contextualSpacing/>
              <w:jc w:val="left"/>
              <w:rPr>
                <w:rFonts w:cs="Arial"/>
                <w:szCs w:val="20"/>
              </w:rPr>
            </w:pPr>
            <w:r w:rsidRPr="00657BA6">
              <w:rPr>
                <w:rFonts w:cs="Arial"/>
                <w:szCs w:val="20"/>
              </w:rPr>
              <w:t>Compartición de infraestructura;</w:t>
            </w:r>
          </w:p>
          <w:p w14:paraId="2D79041C" w14:textId="77777777" w:rsidR="00244294" w:rsidRPr="00657BA6" w:rsidRDefault="00244294" w:rsidP="009640AE">
            <w:pPr>
              <w:pStyle w:val="Prrafodelista"/>
              <w:numPr>
                <w:ilvl w:val="0"/>
                <w:numId w:val="25"/>
              </w:numPr>
              <w:spacing w:line="276" w:lineRule="auto"/>
              <w:ind w:right="49"/>
              <w:contextualSpacing/>
              <w:jc w:val="left"/>
              <w:rPr>
                <w:rFonts w:cs="Arial"/>
                <w:szCs w:val="20"/>
              </w:rPr>
            </w:pPr>
            <w:r w:rsidRPr="00657BA6">
              <w:rPr>
                <w:rFonts w:cs="Arial"/>
                <w:szCs w:val="20"/>
              </w:rPr>
              <w:t>Auxiliares conexos, y</w:t>
            </w:r>
          </w:p>
          <w:p w14:paraId="169F8482" w14:textId="77777777" w:rsidR="00244294" w:rsidRPr="00657BA6" w:rsidRDefault="00244294" w:rsidP="009640AE">
            <w:pPr>
              <w:pStyle w:val="Prrafodelista"/>
              <w:numPr>
                <w:ilvl w:val="0"/>
                <w:numId w:val="25"/>
              </w:numPr>
              <w:spacing w:line="276" w:lineRule="auto"/>
              <w:ind w:right="49"/>
              <w:contextualSpacing/>
              <w:jc w:val="left"/>
              <w:rPr>
                <w:rFonts w:cs="Arial"/>
                <w:szCs w:val="20"/>
              </w:rPr>
            </w:pPr>
            <w:r w:rsidRPr="00657BA6">
              <w:rPr>
                <w:rFonts w:cs="Arial"/>
                <w:szCs w:val="20"/>
              </w:rPr>
              <w:t>Facturación y Cobranza;</w:t>
            </w:r>
          </w:p>
          <w:p w14:paraId="00AB3D02" w14:textId="77777777" w:rsidR="00244294" w:rsidRPr="00657BA6" w:rsidRDefault="00244294" w:rsidP="0014780A">
            <w:pPr>
              <w:spacing w:after="0"/>
              <w:ind w:right="49"/>
              <w:jc w:val="both"/>
              <w:rPr>
                <w:rFonts w:ascii="Arial" w:hAnsi="Arial" w:cs="Arial"/>
              </w:rPr>
            </w:pPr>
          </w:p>
          <w:p w14:paraId="445017AB" w14:textId="77777777" w:rsidR="00244294" w:rsidRPr="00657BA6" w:rsidRDefault="00244294" w:rsidP="0014780A">
            <w:pPr>
              <w:pStyle w:val="Default"/>
              <w:spacing w:line="276" w:lineRule="auto"/>
              <w:ind w:right="49"/>
              <w:jc w:val="both"/>
              <w:rPr>
                <w:rFonts w:ascii="Arial" w:hAnsi="Arial" w:cs="Arial"/>
                <w:color w:val="auto"/>
                <w:sz w:val="20"/>
                <w:szCs w:val="20"/>
              </w:rPr>
            </w:pPr>
            <w:r w:rsidRPr="00657BA6">
              <w:rPr>
                <w:rFonts w:ascii="Arial" w:hAnsi="Arial" w:cs="Arial"/>
                <w:color w:val="auto"/>
                <w:sz w:val="20"/>
                <w:szCs w:val="20"/>
              </w:rPr>
              <w:t>La prestación de todos los servicios será obligatoria para el agente económico preponderante; la prestación de los servicios de interconexión establecidos en las fracciones I a IV será obligatoria para todos los concesionarios; mientras que los servicios establecidos en las fracciones V a IX únicamente los deberán prestar cuando se actualice la hipótesis de no discriminación establecida en el artículo 125 de la LFTR.</w:t>
            </w:r>
          </w:p>
        </w:tc>
      </w:tr>
    </w:tbl>
    <w:p w14:paraId="1C9F8BC1" w14:textId="77777777" w:rsidR="00244294" w:rsidRPr="00657BA6" w:rsidRDefault="00244294" w:rsidP="0014780A">
      <w:pPr>
        <w:spacing w:after="0"/>
        <w:ind w:right="49"/>
        <w:jc w:val="both"/>
        <w:rPr>
          <w:rFonts w:ascii="Arial" w:hAnsi="Arial" w:cs="Arial"/>
        </w:rPr>
      </w:pPr>
    </w:p>
    <w:p w14:paraId="2FC12662" w14:textId="77777777" w:rsidR="00244294" w:rsidRPr="00657BA6" w:rsidRDefault="00244294" w:rsidP="0014780A">
      <w:pPr>
        <w:spacing w:after="0"/>
        <w:ind w:right="49"/>
        <w:jc w:val="both"/>
        <w:rPr>
          <w:rFonts w:ascii="Arial" w:hAnsi="Arial" w:cs="Arial"/>
          <w:snapToGrid w:val="0"/>
        </w:rPr>
      </w:pPr>
      <w:r w:rsidRPr="00657BA6">
        <w:rPr>
          <w:rFonts w:ascii="Arial" w:hAnsi="Arial" w:cs="Arial"/>
          <w:snapToGrid w:val="0"/>
        </w:rPr>
        <w:t xml:space="preserve">Aquellos términos no definidos en el presente Acuerdo tendrán el significado que les corresponda conforme a la </w:t>
      </w:r>
      <w:r w:rsidRPr="00657BA6">
        <w:rPr>
          <w:rFonts w:ascii="Arial" w:hAnsi="Arial" w:cs="Arial"/>
        </w:rPr>
        <w:t>LFTR</w:t>
      </w:r>
      <w:r w:rsidRPr="00657BA6">
        <w:rPr>
          <w:rFonts w:ascii="Arial" w:hAnsi="Arial" w:cs="Arial"/>
          <w:snapToGrid w:val="0"/>
        </w:rPr>
        <w:t>, al Plan Técnico Fundamental de Interconexión e Interoperabilidad, al Plan Técnico Fundamental de Señalización, al Plan Técnico Fundamental de Numeración, así como los demás ordenamientos legales, reglamentarios o administrativos aplicables en la materia, o aquellos que los sustituyan.</w:t>
      </w:r>
    </w:p>
    <w:p w14:paraId="1FEA4B14" w14:textId="77777777" w:rsidR="00244294" w:rsidRPr="00657BA6" w:rsidRDefault="00244294" w:rsidP="0014780A">
      <w:pPr>
        <w:spacing w:after="0"/>
        <w:ind w:right="49"/>
        <w:jc w:val="both"/>
        <w:rPr>
          <w:rFonts w:ascii="Arial" w:hAnsi="Arial" w:cs="Arial"/>
          <w:snapToGrid w:val="0"/>
        </w:rPr>
      </w:pPr>
    </w:p>
    <w:p w14:paraId="7A4F110F" w14:textId="77777777" w:rsidR="00244294" w:rsidRPr="00657BA6" w:rsidRDefault="00244294" w:rsidP="0014780A">
      <w:pPr>
        <w:pStyle w:val="ANOTACION"/>
        <w:spacing w:before="0" w:after="0" w:line="276" w:lineRule="auto"/>
        <w:ind w:right="49"/>
        <w:rPr>
          <w:rFonts w:ascii="Arial" w:hAnsi="Arial" w:cs="Arial"/>
          <w:sz w:val="22"/>
          <w:szCs w:val="22"/>
        </w:rPr>
      </w:pPr>
      <w:r w:rsidRPr="00657BA6">
        <w:rPr>
          <w:rFonts w:ascii="Arial" w:hAnsi="Arial" w:cs="Arial"/>
          <w:sz w:val="22"/>
          <w:szCs w:val="22"/>
        </w:rPr>
        <w:t>Capítulo III</w:t>
      </w:r>
    </w:p>
    <w:p w14:paraId="464E61A3" w14:textId="77777777" w:rsidR="00244294" w:rsidRPr="00657BA6" w:rsidRDefault="00244294" w:rsidP="0014780A">
      <w:pPr>
        <w:spacing w:after="0"/>
        <w:ind w:right="51"/>
        <w:jc w:val="center"/>
        <w:rPr>
          <w:rFonts w:ascii="Arial" w:hAnsi="Arial" w:cs="Arial"/>
        </w:rPr>
      </w:pPr>
      <w:r w:rsidRPr="00657BA6">
        <w:rPr>
          <w:rFonts w:ascii="Arial" w:hAnsi="Arial" w:cs="Arial"/>
          <w:b/>
        </w:rPr>
        <w:t>Condiciones Técnicas Mínimas</w:t>
      </w:r>
    </w:p>
    <w:p w14:paraId="4804875A" w14:textId="77777777" w:rsidR="00244294" w:rsidRPr="00657BA6" w:rsidRDefault="00244294" w:rsidP="0014780A">
      <w:pPr>
        <w:spacing w:after="0"/>
        <w:ind w:right="49"/>
        <w:jc w:val="both"/>
        <w:rPr>
          <w:rFonts w:ascii="Arial" w:hAnsi="Arial" w:cs="Arial"/>
          <w:b/>
        </w:rPr>
      </w:pPr>
    </w:p>
    <w:p w14:paraId="70C95911" w14:textId="77777777" w:rsidR="00244294" w:rsidRPr="00657BA6" w:rsidRDefault="00244294" w:rsidP="0014780A">
      <w:pPr>
        <w:spacing w:after="0"/>
        <w:ind w:right="51"/>
        <w:jc w:val="both"/>
        <w:rPr>
          <w:rFonts w:ascii="Arial" w:hAnsi="Arial" w:cs="Arial"/>
        </w:rPr>
      </w:pPr>
      <w:r w:rsidRPr="00657BA6">
        <w:rPr>
          <w:rFonts w:ascii="Arial" w:hAnsi="Arial" w:cs="Arial"/>
          <w:b/>
        </w:rPr>
        <w:t xml:space="preserve">Tercera.- </w:t>
      </w:r>
      <w:r w:rsidRPr="00657BA6">
        <w:rPr>
          <w:rFonts w:ascii="Arial" w:hAnsi="Arial" w:cs="Arial"/>
        </w:rPr>
        <w:t>La interconexión entre las redes públicas de telecomunicaciones deberá llevarse a cabo en los puntos de interconexión que cada concesionario haya designado, los cuales deberán establecerse mediante el protocolo de internet (IP).</w:t>
      </w:r>
    </w:p>
    <w:p w14:paraId="776AC50D" w14:textId="77777777" w:rsidR="00244294" w:rsidRPr="00657BA6" w:rsidRDefault="00244294" w:rsidP="0014780A">
      <w:pPr>
        <w:spacing w:after="0"/>
        <w:ind w:right="51"/>
        <w:jc w:val="both"/>
        <w:rPr>
          <w:rFonts w:ascii="Arial" w:hAnsi="Arial" w:cs="Arial"/>
        </w:rPr>
      </w:pPr>
    </w:p>
    <w:p w14:paraId="561688DF" w14:textId="77777777" w:rsidR="00244294" w:rsidRPr="00657BA6" w:rsidRDefault="00244294" w:rsidP="0014780A">
      <w:pPr>
        <w:spacing w:after="0"/>
        <w:ind w:right="51"/>
        <w:jc w:val="both"/>
        <w:rPr>
          <w:rFonts w:ascii="Arial" w:hAnsi="Arial" w:cs="Arial"/>
        </w:rPr>
      </w:pPr>
      <w:r w:rsidRPr="00657BA6">
        <w:rPr>
          <w:rFonts w:ascii="Arial" w:hAnsi="Arial" w:cs="Arial"/>
        </w:rPr>
        <w:t>El Concesionario Solicitado deberá proporcionar un listado de los puntos de interconexión que tenga disponibles al Concesionario Solicitante para realizar el intercambio de tráfico, dicho listado deberá contener la siguiente información:</w:t>
      </w:r>
    </w:p>
    <w:p w14:paraId="398DA44F" w14:textId="77777777" w:rsidR="00244294" w:rsidRPr="00657BA6" w:rsidRDefault="00244294" w:rsidP="0014780A">
      <w:pPr>
        <w:spacing w:after="0"/>
        <w:ind w:right="51"/>
        <w:jc w:val="both"/>
        <w:rPr>
          <w:rFonts w:ascii="Arial" w:hAnsi="Arial" w:cs="Arial"/>
        </w:rPr>
      </w:pPr>
    </w:p>
    <w:p w14:paraId="09E5479D" w14:textId="77777777" w:rsidR="00244294" w:rsidRPr="00657BA6" w:rsidRDefault="00244294" w:rsidP="009640AE">
      <w:pPr>
        <w:pStyle w:val="Prrafodelista"/>
        <w:numPr>
          <w:ilvl w:val="0"/>
          <w:numId w:val="26"/>
        </w:numPr>
        <w:spacing w:line="276" w:lineRule="auto"/>
        <w:ind w:right="51"/>
        <w:contextualSpacing/>
        <w:rPr>
          <w:rFonts w:cs="Arial"/>
          <w:szCs w:val="22"/>
        </w:rPr>
      </w:pPr>
      <w:r w:rsidRPr="00657BA6">
        <w:rPr>
          <w:rFonts w:cs="Arial"/>
          <w:szCs w:val="22"/>
        </w:rPr>
        <w:t>Nombre e identificación de los puntos de interconexión.</w:t>
      </w:r>
    </w:p>
    <w:p w14:paraId="3BF90E81" w14:textId="77777777" w:rsidR="00244294" w:rsidRPr="00657BA6" w:rsidRDefault="00244294" w:rsidP="009640AE">
      <w:pPr>
        <w:pStyle w:val="Prrafodelista"/>
        <w:numPr>
          <w:ilvl w:val="0"/>
          <w:numId w:val="26"/>
        </w:numPr>
        <w:spacing w:line="276" w:lineRule="auto"/>
        <w:ind w:right="51"/>
        <w:contextualSpacing/>
        <w:rPr>
          <w:rFonts w:cs="Arial"/>
          <w:szCs w:val="22"/>
        </w:rPr>
      </w:pPr>
      <w:r w:rsidRPr="00657BA6">
        <w:rPr>
          <w:rFonts w:cs="Arial"/>
          <w:szCs w:val="22"/>
        </w:rPr>
        <w:t>Dirección y coordenadas geográficas de los puntos de interconexión.</w:t>
      </w:r>
    </w:p>
    <w:p w14:paraId="5CAE34BE" w14:textId="77777777" w:rsidR="00244294" w:rsidRPr="00657BA6" w:rsidRDefault="00244294" w:rsidP="009640AE">
      <w:pPr>
        <w:pStyle w:val="Prrafodelista"/>
        <w:numPr>
          <w:ilvl w:val="0"/>
          <w:numId w:val="26"/>
        </w:numPr>
        <w:spacing w:line="276" w:lineRule="auto"/>
        <w:ind w:right="51"/>
        <w:contextualSpacing/>
        <w:rPr>
          <w:rFonts w:cs="Arial"/>
          <w:szCs w:val="22"/>
        </w:rPr>
      </w:pPr>
      <w:r w:rsidRPr="00657BA6">
        <w:rPr>
          <w:rFonts w:cs="Arial"/>
          <w:szCs w:val="22"/>
        </w:rPr>
        <w:t>Direcciones IP de los Controladores de Frontera de Sesión (SBC del inglés Session Border Controller) y/o de los gateways que permitan la interconexión.</w:t>
      </w:r>
    </w:p>
    <w:p w14:paraId="1D1E77EE" w14:textId="77777777" w:rsidR="00244294" w:rsidRPr="00657BA6" w:rsidRDefault="00244294" w:rsidP="0014780A">
      <w:pPr>
        <w:spacing w:after="0"/>
        <w:ind w:right="49"/>
        <w:jc w:val="both"/>
        <w:rPr>
          <w:rFonts w:ascii="Arial" w:hAnsi="Arial" w:cs="Arial"/>
        </w:rPr>
      </w:pPr>
    </w:p>
    <w:p w14:paraId="34EBA00E" w14:textId="77777777" w:rsidR="00244294" w:rsidRPr="00657BA6" w:rsidRDefault="00244294" w:rsidP="0014780A">
      <w:pPr>
        <w:spacing w:after="0"/>
        <w:ind w:right="49"/>
        <w:jc w:val="both"/>
        <w:rPr>
          <w:rFonts w:ascii="Arial" w:hAnsi="Arial" w:cs="Arial"/>
        </w:rPr>
      </w:pPr>
      <w:r w:rsidRPr="00657BA6">
        <w:rPr>
          <w:rFonts w:ascii="Arial" w:hAnsi="Arial" w:cs="Arial"/>
        </w:rPr>
        <w:t xml:space="preserve">Los concesionarios deberán contar con redundancia entre sitios o entre puntos de interconexión para garantizar la continuidad en la prestación del servicio. </w:t>
      </w:r>
    </w:p>
    <w:p w14:paraId="4E681493" w14:textId="77777777" w:rsidR="00244294" w:rsidRPr="00657BA6" w:rsidRDefault="00244294" w:rsidP="0014780A">
      <w:pPr>
        <w:spacing w:after="0"/>
        <w:ind w:right="49"/>
        <w:jc w:val="both"/>
        <w:rPr>
          <w:rFonts w:ascii="Arial" w:hAnsi="Arial" w:cs="Arial"/>
        </w:rPr>
      </w:pPr>
    </w:p>
    <w:p w14:paraId="09EA1CEE" w14:textId="77777777" w:rsidR="00244294" w:rsidRPr="00657BA6" w:rsidRDefault="00244294" w:rsidP="0014780A">
      <w:pPr>
        <w:spacing w:after="0"/>
        <w:ind w:right="49"/>
        <w:jc w:val="both"/>
        <w:rPr>
          <w:rFonts w:ascii="Arial" w:hAnsi="Arial" w:cs="Arial"/>
        </w:rPr>
      </w:pPr>
      <w:r w:rsidRPr="00657BA6">
        <w:rPr>
          <w:rFonts w:ascii="Arial" w:hAnsi="Arial" w:cs="Arial"/>
        </w:rPr>
        <w:t>Los concesionarios cuando así convenga a sus necesidades de tráfico podrán establecer redundancia física con conexión a dos puntos de interconexión en la misma ciudad con diversidad de trayectoria.</w:t>
      </w:r>
    </w:p>
    <w:p w14:paraId="75647B8C" w14:textId="77777777" w:rsidR="00244294" w:rsidRPr="00657BA6" w:rsidRDefault="00244294" w:rsidP="0014780A">
      <w:pPr>
        <w:spacing w:after="0"/>
        <w:ind w:right="49"/>
        <w:jc w:val="both"/>
        <w:rPr>
          <w:rFonts w:ascii="Arial" w:hAnsi="Arial" w:cs="Arial"/>
        </w:rPr>
      </w:pPr>
    </w:p>
    <w:p w14:paraId="2AE4A6B1" w14:textId="08E863B7" w:rsidR="00244294" w:rsidRPr="00657BA6" w:rsidRDefault="00244294" w:rsidP="0014780A">
      <w:pPr>
        <w:spacing w:after="0"/>
        <w:ind w:right="49"/>
        <w:jc w:val="both"/>
        <w:rPr>
          <w:rFonts w:ascii="Arial" w:hAnsi="Arial" w:cs="Arial"/>
        </w:rPr>
      </w:pPr>
      <w:r w:rsidRPr="00657BA6">
        <w:rPr>
          <w:rFonts w:ascii="Arial" w:hAnsi="Arial" w:cs="Arial"/>
          <w:b/>
        </w:rPr>
        <w:t xml:space="preserve">Cuarta.- </w:t>
      </w:r>
      <w:r w:rsidRPr="00657BA6">
        <w:rPr>
          <w:rFonts w:ascii="Arial" w:hAnsi="Arial" w:cs="Arial"/>
        </w:rPr>
        <w:t>Los concesionarios deberán conducir el tráfico dentro de su red pública de telecomunicaciones hasta los puntos de interconexión donde se realizará el intercambio de tráfico. Para tal efecto, a elección del Concesionario Solicitante el intercambio de tráfico en dichos puntos de interconexión se realizará a través de puertos de acceso y enlaces de transmisión en los cuales se permitirá el intercambio de tráfico de cualquier origen o destino dentro del territorio nacional, así como de cualquier tipo (local, entre localidades, tránsito, móvil</w:t>
      </w:r>
      <w:r w:rsidR="000E610F">
        <w:rPr>
          <w:rFonts w:ascii="Arial" w:hAnsi="Arial" w:cs="Arial"/>
        </w:rPr>
        <w:t xml:space="preserve"> y/o</w:t>
      </w:r>
      <w:r w:rsidR="000E610F" w:rsidRPr="00657BA6">
        <w:rPr>
          <w:rFonts w:ascii="Arial" w:hAnsi="Arial" w:cs="Arial"/>
        </w:rPr>
        <w:t xml:space="preserve"> </w:t>
      </w:r>
      <w:r w:rsidRPr="00657BA6">
        <w:rPr>
          <w:rFonts w:ascii="Arial" w:hAnsi="Arial" w:cs="Arial"/>
        </w:rPr>
        <w:t>fijo).</w:t>
      </w:r>
    </w:p>
    <w:p w14:paraId="20DB9F75" w14:textId="77777777" w:rsidR="00244294" w:rsidRPr="00657BA6" w:rsidRDefault="00244294" w:rsidP="0014780A">
      <w:pPr>
        <w:spacing w:after="0"/>
        <w:jc w:val="both"/>
        <w:rPr>
          <w:rFonts w:ascii="Arial" w:hAnsi="Arial" w:cs="Arial"/>
        </w:rPr>
      </w:pPr>
    </w:p>
    <w:p w14:paraId="2481061A" w14:textId="77777777" w:rsidR="00244294" w:rsidRPr="00657BA6" w:rsidRDefault="00244294" w:rsidP="0014780A">
      <w:pPr>
        <w:spacing w:after="0"/>
        <w:jc w:val="both"/>
        <w:rPr>
          <w:rFonts w:ascii="Arial" w:hAnsi="Arial" w:cs="Arial"/>
        </w:rPr>
      </w:pPr>
      <w:r w:rsidRPr="00657BA6">
        <w:rPr>
          <w:rFonts w:ascii="Arial" w:hAnsi="Arial" w:cs="Arial"/>
        </w:rPr>
        <w:t>Los concesionarios interconectados podrán realizar acuerdos para intercambiar tráfico que sean acordes a la arquitectura de sus redes y a sus necesidades de interconexión siempre que ello les permita llevar a cabo una efectiva y eficaz interconexión e interoperabilidad de sus redes públicas de telecomunicaciones.</w:t>
      </w:r>
    </w:p>
    <w:p w14:paraId="04D3C893" w14:textId="77777777" w:rsidR="00244294" w:rsidRPr="00657BA6" w:rsidRDefault="00244294" w:rsidP="0014780A">
      <w:pPr>
        <w:spacing w:after="0"/>
        <w:ind w:right="49"/>
        <w:jc w:val="both"/>
        <w:rPr>
          <w:rFonts w:ascii="Arial" w:hAnsi="Arial" w:cs="Arial"/>
        </w:rPr>
      </w:pPr>
    </w:p>
    <w:p w14:paraId="4BC25A90" w14:textId="77777777" w:rsidR="00244294" w:rsidRPr="00657BA6" w:rsidRDefault="00244294" w:rsidP="0014780A">
      <w:pPr>
        <w:spacing w:after="0"/>
        <w:ind w:right="49"/>
        <w:jc w:val="both"/>
        <w:rPr>
          <w:rFonts w:ascii="Arial" w:hAnsi="Arial" w:cs="Arial"/>
        </w:rPr>
      </w:pPr>
      <w:r w:rsidRPr="00657BA6">
        <w:rPr>
          <w:rFonts w:ascii="Arial" w:hAnsi="Arial" w:cs="Arial"/>
          <w:b/>
        </w:rPr>
        <w:t xml:space="preserve">Quinta.- </w:t>
      </w:r>
      <w:r w:rsidRPr="00657BA6">
        <w:rPr>
          <w:rFonts w:ascii="Arial" w:hAnsi="Arial" w:cs="Arial"/>
        </w:rPr>
        <w:t>Los enlaces de transmisión para realizar la interconexión deberán tener las siguientes características:</w:t>
      </w:r>
    </w:p>
    <w:p w14:paraId="7A1911C3" w14:textId="77777777" w:rsidR="00244294" w:rsidRPr="00657BA6" w:rsidRDefault="00244294" w:rsidP="0014780A">
      <w:pPr>
        <w:spacing w:after="0"/>
        <w:ind w:right="49"/>
        <w:jc w:val="both"/>
        <w:rPr>
          <w:rFonts w:ascii="Arial" w:hAnsi="Arial" w:cs="Arial"/>
        </w:rPr>
      </w:pPr>
    </w:p>
    <w:p w14:paraId="2ECB62AC" w14:textId="77777777" w:rsidR="00244294" w:rsidRPr="00657BA6" w:rsidRDefault="00244294" w:rsidP="009640AE">
      <w:pPr>
        <w:pStyle w:val="Prrafodelista"/>
        <w:numPr>
          <w:ilvl w:val="0"/>
          <w:numId w:val="26"/>
        </w:numPr>
        <w:spacing w:line="276" w:lineRule="auto"/>
        <w:ind w:right="49"/>
        <w:contextualSpacing/>
        <w:rPr>
          <w:rFonts w:cs="Arial"/>
          <w:szCs w:val="22"/>
        </w:rPr>
      </w:pPr>
      <w:r w:rsidRPr="00657BA6">
        <w:rPr>
          <w:rFonts w:cs="Arial"/>
          <w:szCs w:val="22"/>
        </w:rPr>
        <w:t>Tecnología Ethernet de 1 Gbps.</w:t>
      </w:r>
    </w:p>
    <w:p w14:paraId="4B952BA3" w14:textId="004CA7CC" w:rsidR="00244294" w:rsidRPr="00657BA6" w:rsidRDefault="00244294" w:rsidP="009640AE">
      <w:pPr>
        <w:pStyle w:val="Prrafodelista"/>
        <w:numPr>
          <w:ilvl w:val="0"/>
          <w:numId w:val="26"/>
        </w:numPr>
        <w:spacing w:line="276" w:lineRule="auto"/>
        <w:ind w:right="49"/>
        <w:contextualSpacing/>
        <w:rPr>
          <w:rFonts w:cs="Arial"/>
          <w:szCs w:val="22"/>
        </w:rPr>
      </w:pPr>
      <w:r w:rsidRPr="00657BA6">
        <w:rPr>
          <w:rFonts w:cs="Arial"/>
          <w:szCs w:val="22"/>
        </w:rPr>
        <w:lastRenderedPageBreak/>
        <w:t xml:space="preserve">Fibra óptica monomodo con conector LC </w:t>
      </w:r>
      <w:r w:rsidR="00F57E4D" w:rsidRPr="00657BA6">
        <w:rPr>
          <w:rFonts w:cs="Arial"/>
          <w:szCs w:val="22"/>
        </w:rPr>
        <w:t>de acuerdo con el</w:t>
      </w:r>
      <w:r w:rsidRPr="00657BA6">
        <w:rPr>
          <w:rFonts w:cs="Arial"/>
          <w:szCs w:val="22"/>
        </w:rPr>
        <w:t xml:space="preserve"> estándar 1000 BASE–LX especificado en IEEE 802.3-</w:t>
      </w:r>
      <w:r w:rsidR="000E610F" w:rsidRPr="00657BA6">
        <w:rPr>
          <w:rFonts w:cs="Arial"/>
          <w:szCs w:val="22"/>
        </w:rPr>
        <w:t>20</w:t>
      </w:r>
      <w:r w:rsidR="000E610F">
        <w:rPr>
          <w:rFonts w:cs="Arial"/>
          <w:szCs w:val="22"/>
        </w:rPr>
        <w:t>22</w:t>
      </w:r>
      <w:r w:rsidRPr="00657BA6">
        <w:rPr>
          <w:rStyle w:val="Refdenotaalpie"/>
          <w:rFonts w:cs="Arial"/>
          <w:szCs w:val="22"/>
        </w:rPr>
        <w:footnoteReference w:id="2"/>
      </w:r>
      <w:r w:rsidRPr="00657BA6">
        <w:rPr>
          <w:rFonts w:cs="Arial"/>
          <w:szCs w:val="22"/>
        </w:rPr>
        <w:t>.</w:t>
      </w:r>
    </w:p>
    <w:p w14:paraId="34B7ED2C" w14:textId="77777777" w:rsidR="00244294" w:rsidRPr="00657BA6" w:rsidRDefault="00244294" w:rsidP="009640AE">
      <w:pPr>
        <w:pStyle w:val="Prrafodelista"/>
        <w:numPr>
          <w:ilvl w:val="0"/>
          <w:numId w:val="26"/>
        </w:numPr>
        <w:spacing w:line="276" w:lineRule="auto"/>
        <w:ind w:right="49"/>
        <w:contextualSpacing/>
        <w:rPr>
          <w:rFonts w:cs="Arial"/>
          <w:szCs w:val="22"/>
        </w:rPr>
      </w:pPr>
      <w:r w:rsidRPr="00657BA6">
        <w:rPr>
          <w:rFonts w:cs="Arial"/>
          <w:szCs w:val="22"/>
        </w:rPr>
        <w:t>Tamaño de trama de 1 536 bytes, la utilización de Jumbo Frames será de común acuerdo entre las partes.</w:t>
      </w:r>
    </w:p>
    <w:p w14:paraId="0F128C7A" w14:textId="77777777" w:rsidR="00244294" w:rsidRPr="00657BA6" w:rsidRDefault="00244294" w:rsidP="0014780A">
      <w:pPr>
        <w:tabs>
          <w:tab w:val="left" w:pos="-142"/>
        </w:tabs>
        <w:spacing w:after="0"/>
        <w:ind w:right="49"/>
        <w:jc w:val="both"/>
        <w:rPr>
          <w:rFonts w:ascii="Arial" w:hAnsi="Arial" w:cs="Arial"/>
        </w:rPr>
      </w:pPr>
    </w:p>
    <w:p w14:paraId="55A3CF7A" w14:textId="77777777" w:rsidR="00244294" w:rsidRPr="00657BA6" w:rsidRDefault="00244294" w:rsidP="0014780A">
      <w:pPr>
        <w:tabs>
          <w:tab w:val="left" w:pos="-142"/>
        </w:tabs>
        <w:spacing w:after="0"/>
        <w:ind w:right="49"/>
        <w:jc w:val="both"/>
        <w:rPr>
          <w:rFonts w:ascii="Arial" w:hAnsi="Arial" w:cs="Arial"/>
        </w:rPr>
      </w:pPr>
      <w:r w:rsidRPr="00657BA6">
        <w:rPr>
          <w:rFonts w:ascii="Arial" w:hAnsi="Arial" w:cs="Arial"/>
        </w:rPr>
        <w:t xml:space="preserve">La interconexión física para el intercambio de tráfico de interconexión IP se establecerá empleando una topología SBC-SBC, mediante el establecimiento de enlaces dedicados punto a punto entre los concesionarios que intercambian tráfico. </w:t>
      </w:r>
    </w:p>
    <w:p w14:paraId="085B6D24" w14:textId="77777777" w:rsidR="00244294" w:rsidRPr="00657BA6" w:rsidRDefault="00244294" w:rsidP="0014780A">
      <w:pPr>
        <w:tabs>
          <w:tab w:val="left" w:pos="-142"/>
        </w:tabs>
        <w:spacing w:after="0"/>
        <w:ind w:right="49"/>
        <w:jc w:val="both"/>
        <w:rPr>
          <w:rFonts w:ascii="Arial" w:hAnsi="Arial" w:cs="Arial"/>
        </w:rPr>
      </w:pPr>
    </w:p>
    <w:p w14:paraId="3676AE2F" w14:textId="77777777" w:rsidR="00244294" w:rsidRPr="00657BA6" w:rsidRDefault="00244294" w:rsidP="0014780A">
      <w:pPr>
        <w:spacing w:after="0"/>
        <w:ind w:right="49"/>
        <w:jc w:val="center"/>
        <w:rPr>
          <w:rFonts w:ascii="Arial" w:hAnsi="Arial" w:cs="Arial"/>
        </w:rPr>
      </w:pPr>
      <w:r w:rsidRPr="00657BA6">
        <w:rPr>
          <w:rFonts w:ascii="Arial" w:hAnsi="Arial" w:cs="Arial"/>
          <w:noProof/>
        </w:rPr>
        <w:drawing>
          <wp:inline distT="0" distB="0" distL="0" distR="0" wp14:anchorId="24809099" wp14:editId="73380762">
            <wp:extent cx="5612130" cy="1577975"/>
            <wp:effectExtent l="0" t="0" r="7620" b="3175"/>
            <wp:docPr id="23" name="Imagen 2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Diagrama&#10;&#10;Descripción generada automáticamente con confianza media"/>
                    <pic:cNvPicPr/>
                  </pic:nvPicPr>
                  <pic:blipFill>
                    <a:blip r:embed="rId11">
                      <a:grayscl/>
                      <a:extLst>
                        <a:ext uri="{BEBA8EAE-BF5A-486C-A8C5-ECC9F3942E4B}">
                          <a14:imgProps xmlns:a14="http://schemas.microsoft.com/office/drawing/2010/main">
                            <a14:imgLayer r:embed="rId12">
                              <a14:imgEffect>
                                <a14:brightnessContrast contrast="-40000"/>
                              </a14:imgEffect>
                            </a14:imgLayer>
                          </a14:imgProps>
                        </a:ext>
                      </a:extLst>
                    </a:blip>
                    <a:stretch>
                      <a:fillRect/>
                    </a:stretch>
                  </pic:blipFill>
                  <pic:spPr>
                    <a:xfrm>
                      <a:off x="0" y="0"/>
                      <a:ext cx="5612130" cy="1577975"/>
                    </a:xfrm>
                    <a:prstGeom prst="rect">
                      <a:avLst/>
                    </a:prstGeom>
                  </pic:spPr>
                </pic:pic>
              </a:graphicData>
            </a:graphic>
          </wp:inline>
        </w:drawing>
      </w:r>
    </w:p>
    <w:p w14:paraId="02050C15" w14:textId="77777777" w:rsidR="00244294" w:rsidRPr="00657BA6" w:rsidRDefault="00244294" w:rsidP="0014780A">
      <w:pPr>
        <w:spacing w:after="0"/>
        <w:ind w:right="49"/>
        <w:jc w:val="both"/>
        <w:rPr>
          <w:rFonts w:ascii="Arial" w:hAnsi="Arial" w:cs="Arial"/>
        </w:rPr>
      </w:pPr>
    </w:p>
    <w:p w14:paraId="16AD2E4A" w14:textId="77777777" w:rsidR="00244294" w:rsidRPr="00657BA6" w:rsidRDefault="00244294" w:rsidP="0014780A">
      <w:pPr>
        <w:pStyle w:val="Prrafodelista"/>
        <w:autoSpaceDE w:val="0"/>
        <w:autoSpaceDN w:val="0"/>
        <w:adjustRightInd w:val="0"/>
        <w:spacing w:line="276" w:lineRule="auto"/>
        <w:ind w:left="0" w:right="49"/>
        <w:jc w:val="center"/>
        <w:rPr>
          <w:rFonts w:cs="Arial"/>
          <w:sz w:val="18"/>
          <w:szCs w:val="18"/>
        </w:rPr>
      </w:pPr>
      <w:r w:rsidRPr="00657BA6">
        <w:rPr>
          <w:rFonts w:cs="Arial"/>
          <w:sz w:val="18"/>
          <w:szCs w:val="18"/>
        </w:rPr>
        <w:t>Figura 1. Topología de interconexión SBC-SBC</w:t>
      </w:r>
    </w:p>
    <w:p w14:paraId="0CD58A41" w14:textId="77777777" w:rsidR="00244294" w:rsidRPr="00657BA6" w:rsidRDefault="00244294" w:rsidP="0014780A">
      <w:pPr>
        <w:spacing w:after="0"/>
        <w:ind w:right="49"/>
        <w:jc w:val="both"/>
        <w:rPr>
          <w:rFonts w:ascii="Arial" w:hAnsi="Arial" w:cs="Arial"/>
        </w:rPr>
      </w:pPr>
    </w:p>
    <w:p w14:paraId="7725A106" w14:textId="77777777" w:rsidR="00244294" w:rsidRPr="00657BA6" w:rsidRDefault="00244294" w:rsidP="0014780A">
      <w:pPr>
        <w:spacing w:after="0"/>
        <w:ind w:right="49"/>
        <w:jc w:val="both"/>
        <w:rPr>
          <w:rFonts w:ascii="Arial" w:hAnsi="Arial" w:cs="Arial"/>
        </w:rPr>
      </w:pPr>
      <w:r w:rsidRPr="00657BA6">
        <w:rPr>
          <w:rFonts w:ascii="Arial" w:hAnsi="Arial" w:cs="Arial"/>
        </w:rPr>
        <w:t xml:space="preserve">Los SBC deberán contar con la capacidad de procesamiento de tráfico necesaria para soportar la totalidad de tráfico de interconexión que reciban. </w:t>
      </w:r>
    </w:p>
    <w:p w14:paraId="799F52F8" w14:textId="77777777" w:rsidR="00244294" w:rsidRPr="00657BA6" w:rsidRDefault="00244294" w:rsidP="0014780A">
      <w:pPr>
        <w:spacing w:after="0"/>
        <w:ind w:right="49"/>
        <w:jc w:val="both"/>
        <w:rPr>
          <w:rFonts w:ascii="Arial" w:hAnsi="Arial" w:cs="Arial"/>
        </w:rPr>
      </w:pPr>
    </w:p>
    <w:p w14:paraId="703EF498" w14:textId="77777777" w:rsidR="00244294" w:rsidRPr="00657BA6" w:rsidRDefault="00244294" w:rsidP="0014780A">
      <w:pPr>
        <w:spacing w:after="0"/>
        <w:ind w:right="49"/>
        <w:jc w:val="both"/>
        <w:rPr>
          <w:rFonts w:ascii="Arial" w:hAnsi="Arial" w:cs="Arial"/>
        </w:rPr>
      </w:pPr>
      <w:r w:rsidRPr="00657BA6">
        <w:rPr>
          <w:rFonts w:ascii="Arial" w:hAnsi="Arial" w:cs="Arial"/>
        </w:rPr>
        <w:t>Tratándose del servicio de mensajes cortos, la interconexión se llevará a cabo de manera directa, mediante el establecimiento de enlaces dedicados entre los concesionarios que intercambian tráfico.</w:t>
      </w:r>
    </w:p>
    <w:p w14:paraId="3A3A58D7" w14:textId="77777777" w:rsidR="00244294" w:rsidRPr="00657BA6" w:rsidRDefault="00244294" w:rsidP="0014780A">
      <w:pPr>
        <w:spacing w:after="0"/>
        <w:ind w:right="49"/>
        <w:jc w:val="both"/>
        <w:rPr>
          <w:rFonts w:ascii="Arial" w:hAnsi="Arial" w:cs="Arial"/>
        </w:rPr>
      </w:pPr>
    </w:p>
    <w:p w14:paraId="6B6F000D" w14:textId="77777777" w:rsidR="00244294" w:rsidRPr="00657BA6" w:rsidRDefault="00244294" w:rsidP="0014780A">
      <w:pPr>
        <w:spacing w:after="0"/>
        <w:ind w:right="49"/>
        <w:jc w:val="both"/>
        <w:rPr>
          <w:rFonts w:ascii="Arial" w:hAnsi="Arial" w:cs="Arial"/>
        </w:rPr>
      </w:pPr>
      <w:r w:rsidRPr="00657BA6">
        <w:rPr>
          <w:rFonts w:ascii="Arial" w:hAnsi="Arial" w:cs="Arial"/>
        </w:rPr>
        <w:t>Los concesionarios podrán establecer otros esquemas de interconexión siempre que ello les permita llevar a cabo una efectiva y eficaz interconexión e interoperabilidad de sus redes públicas de telecomunicaciones.</w:t>
      </w:r>
    </w:p>
    <w:p w14:paraId="063FE24F" w14:textId="77777777" w:rsidR="00244294" w:rsidRPr="00657BA6" w:rsidRDefault="00244294" w:rsidP="0014780A">
      <w:pPr>
        <w:spacing w:after="0"/>
        <w:ind w:right="49"/>
        <w:jc w:val="both"/>
        <w:rPr>
          <w:rFonts w:ascii="Arial" w:hAnsi="Arial" w:cs="Arial"/>
        </w:rPr>
      </w:pPr>
    </w:p>
    <w:p w14:paraId="5BD9927E" w14:textId="77777777" w:rsidR="00244294" w:rsidRPr="00657BA6" w:rsidRDefault="00244294" w:rsidP="0014780A">
      <w:pPr>
        <w:spacing w:after="0"/>
        <w:ind w:right="49"/>
        <w:jc w:val="both"/>
        <w:rPr>
          <w:rFonts w:ascii="Arial" w:hAnsi="Arial" w:cs="Arial"/>
        </w:rPr>
      </w:pPr>
      <w:r w:rsidRPr="00657BA6">
        <w:rPr>
          <w:rFonts w:ascii="Arial" w:hAnsi="Arial" w:cs="Arial"/>
        </w:rPr>
        <w:t>En el caso de que el Concesionario Solicitado sea el Agente Económico Preponderante, los enlaces y puertos de acceso para la interconexión podrán establecerse atendiendo las características, parámetros y condiciones establecidos en las Ofertas de Referencia que resulten aplicables.</w:t>
      </w:r>
    </w:p>
    <w:p w14:paraId="44D5C28A" w14:textId="77777777" w:rsidR="00244294" w:rsidRPr="00657BA6" w:rsidRDefault="00244294" w:rsidP="0014780A">
      <w:pPr>
        <w:spacing w:after="0"/>
        <w:ind w:right="49"/>
        <w:jc w:val="both"/>
        <w:rPr>
          <w:rFonts w:ascii="Arial" w:hAnsi="Arial" w:cs="Arial"/>
        </w:rPr>
      </w:pPr>
    </w:p>
    <w:p w14:paraId="57950F02" w14:textId="17CDE7AC" w:rsidR="00244294" w:rsidRPr="00657BA6" w:rsidRDefault="00244294" w:rsidP="0014780A">
      <w:pPr>
        <w:spacing w:after="0"/>
        <w:ind w:right="49"/>
        <w:jc w:val="both"/>
        <w:rPr>
          <w:rFonts w:ascii="Arial" w:hAnsi="Arial" w:cs="Arial"/>
        </w:rPr>
      </w:pPr>
      <w:r w:rsidRPr="00657BA6">
        <w:rPr>
          <w:rFonts w:ascii="Arial" w:hAnsi="Arial" w:cs="Arial"/>
        </w:rPr>
        <w:t>A elección del Concesionario Solicitante el tipo de tráfico del servicio de voz que se podrá intercambiar a través de los enlaces de transmisión será de cualquier origen o destino dentro del territorio nacional, así como de cualquier tipo (local, entre localidades, tránsito, móvil</w:t>
      </w:r>
      <w:r w:rsidR="000E610F">
        <w:rPr>
          <w:rFonts w:ascii="Arial" w:hAnsi="Arial" w:cs="Arial"/>
        </w:rPr>
        <w:t xml:space="preserve"> y/o</w:t>
      </w:r>
      <w:r w:rsidR="000E610F" w:rsidRPr="00657BA6">
        <w:rPr>
          <w:rFonts w:ascii="Arial" w:hAnsi="Arial" w:cs="Arial"/>
        </w:rPr>
        <w:t xml:space="preserve"> </w:t>
      </w:r>
      <w:r w:rsidRPr="00657BA6">
        <w:rPr>
          <w:rFonts w:ascii="Arial" w:hAnsi="Arial" w:cs="Arial"/>
        </w:rPr>
        <w:t>fijo).</w:t>
      </w:r>
    </w:p>
    <w:p w14:paraId="0C6DA8A1" w14:textId="77777777" w:rsidR="00244294" w:rsidRPr="00657BA6" w:rsidRDefault="00244294" w:rsidP="0014780A">
      <w:pPr>
        <w:spacing w:after="0"/>
        <w:ind w:right="49"/>
        <w:jc w:val="both"/>
        <w:rPr>
          <w:rFonts w:ascii="Arial" w:hAnsi="Arial" w:cs="Arial"/>
        </w:rPr>
      </w:pPr>
    </w:p>
    <w:p w14:paraId="65EAE75A" w14:textId="513D6B8E" w:rsidR="00244294" w:rsidRPr="00657BA6" w:rsidRDefault="00244294" w:rsidP="0014780A">
      <w:pPr>
        <w:spacing w:after="0"/>
        <w:ind w:right="49"/>
        <w:jc w:val="both"/>
        <w:rPr>
          <w:rFonts w:ascii="Arial" w:hAnsi="Arial" w:cs="Arial"/>
        </w:rPr>
      </w:pPr>
      <w:r w:rsidRPr="00657BA6">
        <w:rPr>
          <w:rFonts w:ascii="Arial" w:hAnsi="Arial" w:cs="Arial"/>
        </w:rPr>
        <w:t xml:space="preserve">Los concesionarios interconectados deberán tener redundancia en los enlaces de transmisión que </w:t>
      </w:r>
      <w:r w:rsidR="000E610F">
        <w:rPr>
          <w:rFonts w:ascii="Arial" w:hAnsi="Arial" w:cs="Arial"/>
        </w:rPr>
        <w:t>garantice</w:t>
      </w:r>
      <w:r w:rsidR="000E610F" w:rsidRPr="00657BA6">
        <w:rPr>
          <w:rFonts w:ascii="Arial" w:hAnsi="Arial" w:cs="Arial"/>
        </w:rPr>
        <w:t xml:space="preserve"> </w:t>
      </w:r>
      <w:r w:rsidRPr="00657BA6">
        <w:rPr>
          <w:rFonts w:ascii="Arial" w:hAnsi="Arial" w:cs="Arial"/>
        </w:rPr>
        <w:t>la continuidad en la prestación del servicio.</w:t>
      </w:r>
    </w:p>
    <w:p w14:paraId="7FBA50BE" w14:textId="77777777" w:rsidR="00244294" w:rsidRPr="00657BA6" w:rsidRDefault="00244294" w:rsidP="0014780A">
      <w:pPr>
        <w:spacing w:after="0"/>
        <w:ind w:right="49"/>
        <w:jc w:val="both"/>
        <w:rPr>
          <w:rFonts w:ascii="Arial" w:hAnsi="Arial" w:cs="Arial"/>
        </w:rPr>
      </w:pPr>
    </w:p>
    <w:p w14:paraId="29B87C31" w14:textId="77777777" w:rsidR="00244294" w:rsidRPr="00657BA6" w:rsidRDefault="00244294" w:rsidP="0014780A">
      <w:pPr>
        <w:spacing w:after="0"/>
        <w:ind w:right="49"/>
        <w:jc w:val="both"/>
        <w:rPr>
          <w:rFonts w:ascii="Arial" w:hAnsi="Arial" w:cs="Arial"/>
        </w:rPr>
      </w:pPr>
      <w:r w:rsidRPr="00657BA6">
        <w:rPr>
          <w:rFonts w:ascii="Arial" w:hAnsi="Arial" w:cs="Arial"/>
          <w:b/>
        </w:rPr>
        <w:t xml:space="preserve">Sexta.- </w:t>
      </w:r>
      <w:r w:rsidRPr="00657BA6">
        <w:rPr>
          <w:rFonts w:ascii="Arial" w:hAnsi="Arial" w:cs="Arial"/>
        </w:rPr>
        <w:t xml:space="preserve">Los puertos de acceso que proporcione el Concesionario Solicitado serán de capacidades acordes a la capacidad del enlace de transmisión de interconexión. </w:t>
      </w:r>
    </w:p>
    <w:p w14:paraId="25811E52" w14:textId="77777777" w:rsidR="00244294" w:rsidRPr="00657BA6" w:rsidRDefault="00244294" w:rsidP="0014780A">
      <w:pPr>
        <w:spacing w:after="0"/>
        <w:ind w:right="49"/>
        <w:jc w:val="both"/>
        <w:rPr>
          <w:rFonts w:ascii="Arial" w:hAnsi="Arial" w:cs="Arial"/>
        </w:rPr>
      </w:pPr>
    </w:p>
    <w:p w14:paraId="6575044E" w14:textId="77777777" w:rsidR="00244294" w:rsidRPr="00657BA6" w:rsidRDefault="00244294" w:rsidP="0014780A">
      <w:pPr>
        <w:spacing w:after="0"/>
        <w:ind w:right="49"/>
        <w:jc w:val="both"/>
        <w:rPr>
          <w:rFonts w:ascii="Arial" w:hAnsi="Arial" w:cs="Arial"/>
        </w:rPr>
      </w:pPr>
      <w:r w:rsidRPr="00657BA6">
        <w:rPr>
          <w:rFonts w:ascii="Arial" w:hAnsi="Arial" w:cs="Arial"/>
        </w:rPr>
        <w:t>A elección del Concesionario Solicitante el tipo de tráfico del servicio de voz que se podrá intercambiar a través de los puertos de acceso será de cualquier origen o destino dentro del territorio nacional, así como de cualquier tipo (local, entre localidades, tránsito, móvil, fijo).</w:t>
      </w:r>
    </w:p>
    <w:p w14:paraId="55332057" w14:textId="77777777" w:rsidR="00244294" w:rsidRPr="00657BA6" w:rsidRDefault="00244294" w:rsidP="0014780A">
      <w:pPr>
        <w:spacing w:after="0"/>
        <w:ind w:right="49"/>
        <w:jc w:val="both"/>
        <w:rPr>
          <w:rFonts w:ascii="Arial" w:hAnsi="Arial" w:cs="Arial"/>
        </w:rPr>
      </w:pPr>
    </w:p>
    <w:p w14:paraId="256C9B0D" w14:textId="3C540607" w:rsidR="00244294" w:rsidRPr="00657BA6" w:rsidRDefault="00244294" w:rsidP="0014780A">
      <w:pPr>
        <w:spacing w:after="0"/>
        <w:ind w:right="49"/>
        <w:jc w:val="both"/>
        <w:rPr>
          <w:rFonts w:ascii="Arial" w:hAnsi="Arial" w:cs="Arial"/>
        </w:rPr>
      </w:pPr>
      <w:r w:rsidRPr="00657BA6">
        <w:rPr>
          <w:rFonts w:ascii="Arial" w:hAnsi="Arial" w:cs="Arial"/>
        </w:rPr>
        <w:t xml:space="preserve">Los concesionarios interconectados deberán tener redundancia en los puertos de acceso que </w:t>
      </w:r>
      <w:r w:rsidR="000E610F">
        <w:rPr>
          <w:rFonts w:ascii="Arial" w:hAnsi="Arial" w:cs="Arial"/>
        </w:rPr>
        <w:t>garantice</w:t>
      </w:r>
      <w:r w:rsidR="000E610F" w:rsidRPr="00657BA6">
        <w:rPr>
          <w:rFonts w:ascii="Arial" w:hAnsi="Arial" w:cs="Arial"/>
        </w:rPr>
        <w:t xml:space="preserve"> </w:t>
      </w:r>
      <w:r w:rsidRPr="00657BA6">
        <w:rPr>
          <w:rFonts w:ascii="Arial" w:hAnsi="Arial" w:cs="Arial"/>
        </w:rPr>
        <w:t>la continuidad en la prestación del servicio.</w:t>
      </w:r>
    </w:p>
    <w:p w14:paraId="5284F559" w14:textId="77777777" w:rsidR="00244294" w:rsidRPr="00657BA6" w:rsidRDefault="00244294" w:rsidP="0014780A">
      <w:pPr>
        <w:spacing w:after="0"/>
        <w:ind w:right="49"/>
        <w:jc w:val="both"/>
        <w:rPr>
          <w:rFonts w:ascii="Arial" w:hAnsi="Arial" w:cs="Arial"/>
          <w:b/>
        </w:rPr>
      </w:pPr>
    </w:p>
    <w:p w14:paraId="51C536F1" w14:textId="77777777" w:rsidR="00244294" w:rsidRPr="00657BA6" w:rsidRDefault="00244294" w:rsidP="0014780A">
      <w:pPr>
        <w:spacing w:after="0"/>
        <w:ind w:right="49"/>
        <w:jc w:val="both"/>
        <w:rPr>
          <w:rFonts w:ascii="Arial" w:hAnsi="Arial" w:cs="Arial"/>
        </w:rPr>
      </w:pPr>
      <w:r w:rsidRPr="00657BA6">
        <w:rPr>
          <w:rFonts w:ascii="Arial" w:hAnsi="Arial" w:cs="Arial"/>
        </w:rPr>
        <w:t>Los puertos de acceso de acuerdo con la tecnología utilizada deberán cumplir las siguientes características:</w:t>
      </w:r>
    </w:p>
    <w:p w14:paraId="15D98CB3" w14:textId="77777777" w:rsidR="00244294" w:rsidRPr="00657BA6" w:rsidRDefault="00244294" w:rsidP="0014780A">
      <w:pPr>
        <w:spacing w:after="0"/>
        <w:ind w:right="49"/>
        <w:jc w:val="both"/>
        <w:rPr>
          <w:rFonts w:ascii="Arial" w:hAnsi="Arial" w:cs="Arial"/>
        </w:rPr>
      </w:pPr>
    </w:p>
    <w:p w14:paraId="55F77E00" w14:textId="77777777" w:rsidR="00244294" w:rsidRPr="00657BA6" w:rsidRDefault="00244294" w:rsidP="0014780A">
      <w:pPr>
        <w:tabs>
          <w:tab w:val="left" w:pos="0"/>
        </w:tabs>
        <w:spacing w:after="0"/>
        <w:ind w:right="49"/>
        <w:jc w:val="both"/>
        <w:rPr>
          <w:rFonts w:ascii="Arial" w:hAnsi="Arial" w:cs="Arial"/>
          <w:b/>
        </w:rPr>
      </w:pPr>
      <w:r w:rsidRPr="00657BA6">
        <w:rPr>
          <w:rFonts w:ascii="Arial" w:hAnsi="Arial" w:cs="Arial"/>
          <w:b/>
        </w:rPr>
        <w:t>Interconexión IP</w:t>
      </w:r>
    </w:p>
    <w:p w14:paraId="12A9B113" w14:textId="77777777" w:rsidR="00244294" w:rsidRPr="00657BA6" w:rsidRDefault="00244294" w:rsidP="0014780A">
      <w:pPr>
        <w:tabs>
          <w:tab w:val="left" w:pos="0"/>
        </w:tabs>
        <w:spacing w:after="0"/>
        <w:ind w:right="49"/>
        <w:jc w:val="both"/>
        <w:rPr>
          <w:rFonts w:ascii="Arial" w:hAnsi="Arial" w:cs="Arial"/>
        </w:rPr>
      </w:pPr>
    </w:p>
    <w:p w14:paraId="12FAEF09" w14:textId="6815BD39" w:rsidR="00244294" w:rsidRPr="00657BA6" w:rsidRDefault="00244294" w:rsidP="0014780A">
      <w:pPr>
        <w:tabs>
          <w:tab w:val="left" w:pos="0"/>
        </w:tabs>
        <w:spacing w:after="0"/>
        <w:ind w:right="49"/>
        <w:jc w:val="both"/>
        <w:rPr>
          <w:rFonts w:ascii="Arial" w:hAnsi="Arial" w:cs="Arial"/>
        </w:rPr>
      </w:pPr>
      <w:r w:rsidRPr="00657BA6">
        <w:rPr>
          <w:rFonts w:ascii="Arial" w:hAnsi="Arial" w:cs="Arial"/>
        </w:rPr>
        <w:t xml:space="preserve">Los enlaces de transmisión y puertos de acceso deberán proporcionarse con una capacidad inicial de al menos 10 Mbps </w:t>
      </w:r>
      <w:r w:rsidR="002A5B9F" w:rsidRPr="00657BA6">
        <w:rPr>
          <w:rFonts w:ascii="Arial" w:hAnsi="Arial" w:cs="Arial"/>
        </w:rPr>
        <w:t xml:space="preserve">o </w:t>
      </w:r>
      <w:r w:rsidRPr="00657BA6">
        <w:rPr>
          <w:rFonts w:ascii="Arial" w:hAnsi="Arial" w:cs="Arial"/>
        </w:rPr>
        <w:t>100 Mbps y deberán ser modulares en saltos de 10 Mbps o 100 Mbps, todo ello a elección del Concesionario Solicitante, con independencia de que el canal físico soporte las velocidades señaladas en la Condición Quinta.</w:t>
      </w:r>
    </w:p>
    <w:p w14:paraId="3FB0EA89" w14:textId="77777777" w:rsidR="00244294" w:rsidRPr="00657BA6" w:rsidRDefault="00244294" w:rsidP="0014780A">
      <w:pPr>
        <w:tabs>
          <w:tab w:val="left" w:pos="0"/>
        </w:tabs>
        <w:spacing w:after="0"/>
        <w:ind w:right="49"/>
        <w:jc w:val="both"/>
        <w:rPr>
          <w:rFonts w:ascii="Arial" w:hAnsi="Arial" w:cs="Arial"/>
        </w:rPr>
      </w:pPr>
    </w:p>
    <w:p w14:paraId="067C3B9F" w14:textId="77777777" w:rsidR="00244294" w:rsidRPr="00657BA6" w:rsidRDefault="00244294" w:rsidP="0014780A">
      <w:pPr>
        <w:spacing w:after="0"/>
        <w:ind w:right="49"/>
        <w:jc w:val="both"/>
        <w:rPr>
          <w:rFonts w:ascii="Arial" w:hAnsi="Arial" w:cs="Arial"/>
        </w:rPr>
      </w:pPr>
      <w:r w:rsidRPr="00657BA6">
        <w:rPr>
          <w:rFonts w:ascii="Arial" w:hAnsi="Arial" w:cs="Arial"/>
          <w:b/>
        </w:rPr>
        <w:t>Séptima.-</w:t>
      </w:r>
      <w:r w:rsidRPr="00657BA6">
        <w:rPr>
          <w:rFonts w:ascii="Arial" w:hAnsi="Arial" w:cs="Arial"/>
        </w:rPr>
        <w:t xml:space="preserve"> La interconexión de redes públicas de telecomunicaciones se sujetará a la utilización de los siguientes protocolos de señalización.</w:t>
      </w:r>
    </w:p>
    <w:p w14:paraId="6707F629" w14:textId="77777777" w:rsidR="00244294" w:rsidRPr="00657BA6" w:rsidRDefault="00244294" w:rsidP="0014780A">
      <w:pPr>
        <w:spacing w:after="0"/>
        <w:ind w:right="49"/>
        <w:jc w:val="both"/>
        <w:rPr>
          <w:rFonts w:ascii="Arial" w:hAnsi="Arial" w:cs="Arial"/>
        </w:rPr>
      </w:pPr>
    </w:p>
    <w:p w14:paraId="377B73F6" w14:textId="77777777" w:rsidR="00244294" w:rsidRPr="00657BA6" w:rsidRDefault="00244294" w:rsidP="0014780A">
      <w:pPr>
        <w:spacing w:after="0"/>
        <w:ind w:right="49"/>
        <w:jc w:val="both"/>
        <w:rPr>
          <w:rFonts w:ascii="Arial" w:hAnsi="Arial" w:cs="Arial"/>
          <w:b/>
        </w:rPr>
      </w:pPr>
      <w:r w:rsidRPr="00657BA6">
        <w:rPr>
          <w:rFonts w:ascii="Arial" w:hAnsi="Arial" w:cs="Arial"/>
          <w:b/>
        </w:rPr>
        <w:t>Interconexión IP</w:t>
      </w:r>
    </w:p>
    <w:p w14:paraId="161C81E1" w14:textId="77777777" w:rsidR="00244294" w:rsidRPr="00657BA6" w:rsidRDefault="00244294" w:rsidP="0014780A">
      <w:pPr>
        <w:spacing w:after="0"/>
        <w:ind w:right="49"/>
        <w:jc w:val="both"/>
        <w:rPr>
          <w:rFonts w:ascii="Arial" w:hAnsi="Arial" w:cs="Arial"/>
        </w:rPr>
      </w:pPr>
    </w:p>
    <w:p w14:paraId="5EAF6296" w14:textId="77777777" w:rsidR="00244294" w:rsidRPr="00657BA6" w:rsidRDefault="00244294" w:rsidP="0014780A">
      <w:pPr>
        <w:spacing w:after="0"/>
        <w:ind w:right="51"/>
        <w:jc w:val="both"/>
        <w:rPr>
          <w:rFonts w:ascii="Arial" w:hAnsi="Arial" w:cs="Arial"/>
        </w:rPr>
      </w:pPr>
      <w:r w:rsidRPr="00657BA6">
        <w:rPr>
          <w:rFonts w:ascii="Arial" w:hAnsi="Arial" w:cs="Arial"/>
        </w:rPr>
        <w:t>El protocolo de señalización SIP-IP será obligatorio para la interconexión directa entre concesionarios y de acuerdo con la Recomendación IETF RFC 3261</w:t>
      </w:r>
      <w:r w:rsidRPr="00657BA6">
        <w:rPr>
          <w:rStyle w:val="Refdenotaalpie"/>
          <w:rFonts w:ascii="Arial" w:hAnsi="Arial" w:cs="Arial"/>
        </w:rPr>
        <w:footnoteReference w:id="3"/>
      </w:r>
      <w:r w:rsidRPr="00657BA6">
        <w:rPr>
          <w:rFonts w:ascii="Arial" w:hAnsi="Arial" w:cs="Arial"/>
        </w:rPr>
        <w:t xml:space="preserve"> y recomendaciones complementarias. </w:t>
      </w:r>
    </w:p>
    <w:p w14:paraId="09660A22" w14:textId="77777777" w:rsidR="00244294" w:rsidRPr="00657BA6" w:rsidRDefault="00244294" w:rsidP="0014780A">
      <w:pPr>
        <w:spacing w:after="0"/>
        <w:ind w:right="51"/>
        <w:jc w:val="both"/>
        <w:rPr>
          <w:rFonts w:ascii="Arial" w:hAnsi="Arial" w:cs="Arial"/>
        </w:rPr>
      </w:pPr>
    </w:p>
    <w:p w14:paraId="2A9F7493" w14:textId="77777777" w:rsidR="00244294" w:rsidRPr="00657BA6" w:rsidRDefault="00244294" w:rsidP="009640AE">
      <w:pPr>
        <w:pStyle w:val="Prrafodelista"/>
        <w:numPr>
          <w:ilvl w:val="0"/>
          <w:numId w:val="31"/>
        </w:numPr>
        <w:spacing w:line="276" w:lineRule="auto"/>
        <w:ind w:left="709" w:right="49" w:hanging="720"/>
        <w:contextualSpacing/>
        <w:rPr>
          <w:rFonts w:cs="Arial"/>
          <w:b/>
          <w:szCs w:val="22"/>
        </w:rPr>
      </w:pPr>
      <w:r w:rsidRPr="00657BA6">
        <w:rPr>
          <w:rFonts w:cs="Arial"/>
          <w:b/>
          <w:szCs w:val="22"/>
        </w:rPr>
        <w:t>Interconexión plano de control</w:t>
      </w:r>
    </w:p>
    <w:p w14:paraId="4247E40C" w14:textId="77777777" w:rsidR="00244294" w:rsidRPr="00657BA6" w:rsidRDefault="00244294" w:rsidP="0014780A">
      <w:pPr>
        <w:pStyle w:val="Prrafodelista"/>
        <w:spacing w:line="276" w:lineRule="auto"/>
        <w:ind w:left="0" w:right="49"/>
        <w:rPr>
          <w:rFonts w:cs="Arial"/>
          <w:b/>
          <w:szCs w:val="22"/>
        </w:rPr>
      </w:pPr>
    </w:p>
    <w:p w14:paraId="5B04867C" w14:textId="77777777" w:rsidR="00244294" w:rsidRPr="00657BA6" w:rsidRDefault="00244294" w:rsidP="009640AE">
      <w:pPr>
        <w:pStyle w:val="Prrafodelista"/>
        <w:numPr>
          <w:ilvl w:val="1"/>
          <w:numId w:val="31"/>
        </w:numPr>
        <w:spacing w:line="276" w:lineRule="auto"/>
        <w:ind w:right="49" w:hanging="720"/>
        <w:contextualSpacing/>
        <w:rPr>
          <w:rFonts w:cs="Arial"/>
          <w:b/>
          <w:szCs w:val="22"/>
        </w:rPr>
      </w:pPr>
      <w:r w:rsidRPr="00657BA6">
        <w:rPr>
          <w:rFonts w:cs="Arial"/>
          <w:b/>
          <w:szCs w:val="22"/>
        </w:rPr>
        <w:t>Métodos y Encabezados de Campo SIP</w:t>
      </w:r>
    </w:p>
    <w:p w14:paraId="57A832FD" w14:textId="77777777" w:rsidR="00244294" w:rsidRPr="00657BA6" w:rsidRDefault="00244294" w:rsidP="0014780A">
      <w:pPr>
        <w:pStyle w:val="Prrafodelista"/>
        <w:spacing w:line="276" w:lineRule="auto"/>
        <w:ind w:left="709" w:right="49"/>
        <w:rPr>
          <w:rFonts w:cs="Arial"/>
          <w:b/>
          <w:szCs w:val="22"/>
        </w:rPr>
      </w:pPr>
    </w:p>
    <w:p w14:paraId="6AB8FBFC" w14:textId="77777777" w:rsidR="00244294" w:rsidRPr="00657BA6" w:rsidRDefault="00244294" w:rsidP="009640AE">
      <w:pPr>
        <w:pStyle w:val="Prrafodelista"/>
        <w:numPr>
          <w:ilvl w:val="2"/>
          <w:numId w:val="31"/>
        </w:numPr>
        <w:spacing w:line="276" w:lineRule="auto"/>
        <w:ind w:left="709" w:right="49" w:hanging="709"/>
        <w:contextualSpacing/>
        <w:rPr>
          <w:rFonts w:cs="Arial"/>
          <w:b/>
          <w:szCs w:val="22"/>
        </w:rPr>
      </w:pPr>
      <w:r w:rsidRPr="00657BA6">
        <w:rPr>
          <w:rFonts w:cs="Arial"/>
          <w:b/>
          <w:szCs w:val="22"/>
        </w:rPr>
        <w:t>Métodos SIP aplicables para sesiones de VoIP</w:t>
      </w:r>
    </w:p>
    <w:p w14:paraId="55A7D7D9" w14:textId="77777777" w:rsidR="00244294" w:rsidRPr="00657BA6" w:rsidRDefault="00244294" w:rsidP="0014780A">
      <w:pPr>
        <w:spacing w:after="0"/>
        <w:ind w:right="49"/>
        <w:rPr>
          <w:rFonts w:ascii="Arial" w:hAnsi="Arial" w:cs="Arial"/>
        </w:rPr>
      </w:pPr>
    </w:p>
    <w:p w14:paraId="23108FDA" w14:textId="77777777" w:rsidR="00244294" w:rsidRPr="00657BA6" w:rsidRDefault="00244294" w:rsidP="0014780A">
      <w:pPr>
        <w:spacing w:after="0"/>
        <w:ind w:right="49"/>
        <w:rPr>
          <w:rFonts w:ascii="Arial" w:hAnsi="Arial" w:cs="Arial"/>
        </w:rPr>
      </w:pPr>
      <w:r w:rsidRPr="00657BA6">
        <w:rPr>
          <w:rFonts w:ascii="Arial" w:hAnsi="Arial" w:cs="Arial"/>
        </w:rPr>
        <w:t>Para el modelo de interconexión VoIP se considerarán los siguientes métodos.</w:t>
      </w:r>
    </w:p>
    <w:p w14:paraId="4D6B66E0" w14:textId="77777777" w:rsidR="00244294" w:rsidRPr="00657BA6" w:rsidRDefault="00244294" w:rsidP="0014780A">
      <w:pPr>
        <w:spacing w:after="0"/>
        <w:ind w:right="49"/>
        <w:rPr>
          <w:rFonts w:ascii="Arial" w:hAnsi="Arial" w:cs="Arial"/>
          <w:b/>
        </w:rPr>
      </w:pPr>
    </w:p>
    <w:tbl>
      <w:tblPr>
        <w:tblStyle w:val="Sombreadomedio2-nfasis12"/>
        <w:tblW w:w="288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
        <w:gridCol w:w="1379"/>
        <w:gridCol w:w="921"/>
        <w:gridCol w:w="2618"/>
      </w:tblGrid>
      <w:tr w:rsidR="00244294" w:rsidRPr="00657BA6" w14:paraId="11A4D7C4" w14:textId="77777777" w:rsidTr="00916A06">
        <w:trPr>
          <w:cnfStyle w:val="000000100000" w:firstRow="0" w:lastRow="0" w:firstColumn="0" w:lastColumn="0" w:oddVBand="0" w:evenVBand="0" w:oddHBand="1" w:evenHBand="0" w:firstRowFirstColumn="0" w:firstRowLastColumn="0" w:lastRowFirstColumn="0" w:lastRowLastColumn="0"/>
          <w:trHeight w:val="449"/>
          <w:jc w:val="center"/>
        </w:trPr>
        <w:tc>
          <w:tcPr>
            <w:tcW w:w="43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C56808F" w14:textId="77777777" w:rsidR="00244294" w:rsidRPr="00657BA6" w:rsidRDefault="00244294" w:rsidP="0014780A">
            <w:pPr>
              <w:pStyle w:val="TAH"/>
              <w:spacing w:line="276" w:lineRule="auto"/>
              <w:ind w:right="49"/>
              <w:rPr>
                <w:rFonts w:cs="Arial"/>
                <w:bCs/>
                <w:sz w:val="20"/>
              </w:rPr>
            </w:pPr>
            <w:r w:rsidRPr="00657BA6">
              <w:rPr>
                <w:rFonts w:cs="Arial"/>
                <w:bCs/>
                <w:sz w:val="20"/>
              </w:rPr>
              <w:t>#</w:t>
            </w:r>
          </w:p>
        </w:tc>
        <w:tc>
          <w:tcPr>
            <w:tcW w:w="128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D8EB7FB" w14:textId="77777777" w:rsidR="00244294" w:rsidRPr="00657BA6" w:rsidRDefault="00244294" w:rsidP="0014780A">
            <w:pPr>
              <w:pStyle w:val="TAH"/>
              <w:spacing w:line="276" w:lineRule="auto"/>
              <w:ind w:right="49"/>
              <w:rPr>
                <w:rFonts w:cs="Arial"/>
                <w:bCs/>
                <w:sz w:val="20"/>
              </w:rPr>
            </w:pPr>
            <w:r w:rsidRPr="00657BA6">
              <w:rPr>
                <w:rFonts w:cs="Arial"/>
                <w:bCs/>
                <w:sz w:val="20"/>
              </w:rPr>
              <w:t>Mensaje SIP</w:t>
            </w:r>
          </w:p>
        </w:tc>
        <w:tc>
          <w:tcPr>
            <w:tcW w:w="85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734DD58" w14:textId="77777777" w:rsidR="00244294" w:rsidRPr="00657BA6" w:rsidRDefault="00244294" w:rsidP="0014780A">
            <w:pPr>
              <w:pStyle w:val="TAH"/>
              <w:spacing w:line="276" w:lineRule="auto"/>
              <w:ind w:right="49"/>
              <w:rPr>
                <w:rFonts w:cs="Arial"/>
                <w:bCs/>
                <w:sz w:val="20"/>
              </w:rPr>
            </w:pPr>
            <w:r w:rsidRPr="00657BA6">
              <w:rPr>
                <w:rFonts w:cs="Arial"/>
                <w:bCs/>
                <w:sz w:val="20"/>
              </w:rPr>
              <w:t>Estado</w:t>
            </w:r>
          </w:p>
        </w:tc>
        <w:tc>
          <w:tcPr>
            <w:tcW w:w="243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21C458D" w14:textId="77777777" w:rsidR="00244294" w:rsidRPr="00657BA6" w:rsidRDefault="00244294" w:rsidP="0014780A">
            <w:pPr>
              <w:pStyle w:val="TAH"/>
              <w:spacing w:line="276" w:lineRule="auto"/>
              <w:ind w:right="49"/>
              <w:rPr>
                <w:rFonts w:cs="Arial"/>
                <w:bCs/>
                <w:sz w:val="20"/>
              </w:rPr>
            </w:pPr>
            <w:r w:rsidRPr="00657BA6">
              <w:rPr>
                <w:rFonts w:cs="Arial"/>
                <w:bCs/>
                <w:sz w:val="20"/>
              </w:rPr>
              <w:t>Referencia</w:t>
            </w:r>
          </w:p>
        </w:tc>
      </w:tr>
      <w:tr w:rsidR="00244294" w:rsidRPr="00657BA6" w14:paraId="15227528" w14:textId="77777777" w:rsidTr="00916A06">
        <w:trPr>
          <w:cnfStyle w:val="000000010000" w:firstRow="0" w:lastRow="0" w:firstColumn="0" w:lastColumn="0" w:oddVBand="0" w:evenVBand="0" w:oddHBand="0" w:evenHBand="1" w:firstRowFirstColumn="0" w:firstRowLastColumn="0" w:lastRowFirstColumn="0" w:lastRowLastColumn="0"/>
          <w:trHeight w:val="247"/>
          <w:jc w:val="center"/>
        </w:trPr>
        <w:tc>
          <w:tcPr>
            <w:tcW w:w="431" w:type="pct"/>
            <w:tcBorders>
              <w:top w:val="single" w:sz="4" w:space="0" w:color="000000"/>
            </w:tcBorders>
          </w:tcPr>
          <w:p w14:paraId="7BF62DC1" w14:textId="77777777" w:rsidR="00244294" w:rsidRPr="00657BA6" w:rsidRDefault="00244294" w:rsidP="0014780A">
            <w:pPr>
              <w:pStyle w:val="TAH"/>
              <w:spacing w:line="276" w:lineRule="auto"/>
              <w:ind w:right="49"/>
              <w:rPr>
                <w:rFonts w:cs="Arial"/>
                <w:b w:val="0"/>
                <w:sz w:val="20"/>
              </w:rPr>
            </w:pPr>
            <w:r w:rsidRPr="00657BA6">
              <w:rPr>
                <w:rFonts w:cs="Arial"/>
                <w:b w:val="0"/>
                <w:sz w:val="20"/>
              </w:rPr>
              <w:t>1</w:t>
            </w:r>
          </w:p>
        </w:tc>
        <w:tc>
          <w:tcPr>
            <w:tcW w:w="1281" w:type="pct"/>
            <w:tcBorders>
              <w:top w:val="single" w:sz="4" w:space="0" w:color="000000"/>
            </w:tcBorders>
          </w:tcPr>
          <w:p w14:paraId="2E4634C2" w14:textId="77777777" w:rsidR="00244294" w:rsidRPr="00657BA6" w:rsidRDefault="00244294" w:rsidP="0014780A">
            <w:pPr>
              <w:pStyle w:val="TAH"/>
              <w:spacing w:line="276" w:lineRule="auto"/>
              <w:ind w:right="49"/>
              <w:rPr>
                <w:rFonts w:cs="Arial"/>
                <w:b w:val="0"/>
                <w:sz w:val="20"/>
              </w:rPr>
            </w:pPr>
            <w:r w:rsidRPr="00657BA6">
              <w:rPr>
                <w:rFonts w:cs="Arial"/>
                <w:b w:val="0"/>
                <w:sz w:val="20"/>
              </w:rPr>
              <w:t>ACK</w:t>
            </w:r>
          </w:p>
        </w:tc>
        <w:tc>
          <w:tcPr>
            <w:tcW w:w="856" w:type="pct"/>
            <w:tcBorders>
              <w:top w:val="single" w:sz="4" w:space="0" w:color="000000"/>
            </w:tcBorders>
          </w:tcPr>
          <w:p w14:paraId="5662C2D4" w14:textId="77777777" w:rsidR="00244294" w:rsidRPr="00657BA6" w:rsidRDefault="00244294" w:rsidP="0014780A">
            <w:pPr>
              <w:pStyle w:val="TAH"/>
              <w:spacing w:line="276" w:lineRule="auto"/>
              <w:ind w:right="49"/>
              <w:rPr>
                <w:rFonts w:cs="Arial"/>
                <w:b w:val="0"/>
                <w:sz w:val="20"/>
              </w:rPr>
            </w:pPr>
            <w:r w:rsidRPr="00657BA6">
              <w:rPr>
                <w:rFonts w:cs="Arial"/>
                <w:b w:val="0"/>
                <w:sz w:val="20"/>
              </w:rPr>
              <w:t>M</w:t>
            </w:r>
          </w:p>
        </w:tc>
        <w:tc>
          <w:tcPr>
            <w:tcW w:w="2432" w:type="pct"/>
            <w:tcBorders>
              <w:top w:val="single" w:sz="4" w:space="0" w:color="000000"/>
            </w:tcBorders>
          </w:tcPr>
          <w:p w14:paraId="25D91C61" w14:textId="77777777" w:rsidR="00244294" w:rsidRPr="00657BA6" w:rsidRDefault="00244294" w:rsidP="0014780A">
            <w:pPr>
              <w:pStyle w:val="TAH"/>
              <w:spacing w:line="276" w:lineRule="auto"/>
              <w:ind w:right="49"/>
              <w:rPr>
                <w:rFonts w:cs="Arial"/>
                <w:b w:val="0"/>
                <w:sz w:val="20"/>
              </w:rPr>
            </w:pPr>
            <w:r w:rsidRPr="00657BA6">
              <w:rPr>
                <w:rFonts w:cs="Arial"/>
                <w:b w:val="0"/>
                <w:sz w:val="20"/>
              </w:rPr>
              <w:t>De acuerdo a RFC 3261</w:t>
            </w:r>
          </w:p>
        </w:tc>
      </w:tr>
      <w:tr w:rsidR="00244294" w:rsidRPr="00657BA6" w14:paraId="48CEACE4" w14:textId="77777777" w:rsidTr="00916A06">
        <w:trPr>
          <w:cnfStyle w:val="000000100000" w:firstRow="0" w:lastRow="0" w:firstColumn="0" w:lastColumn="0" w:oddVBand="0" w:evenVBand="0" w:oddHBand="1" w:evenHBand="0" w:firstRowFirstColumn="0" w:firstRowLastColumn="0" w:lastRowFirstColumn="0" w:lastRowLastColumn="0"/>
          <w:trHeight w:val="251"/>
          <w:jc w:val="center"/>
        </w:trPr>
        <w:tc>
          <w:tcPr>
            <w:tcW w:w="431" w:type="pct"/>
            <w:shd w:val="clear" w:color="auto" w:fill="FFFFFF" w:themeFill="background1"/>
          </w:tcPr>
          <w:p w14:paraId="65F530AF" w14:textId="77777777" w:rsidR="00244294" w:rsidRPr="00657BA6" w:rsidRDefault="00244294" w:rsidP="0014780A">
            <w:pPr>
              <w:pStyle w:val="TAH"/>
              <w:spacing w:line="276" w:lineRule="auto"/>
              <w:ind w:right="49"/>
              <w:rPr>
                <w:rFonts w:cs="Arial"/>
                <w:b w:val="0"/>
                <w:sz w:val="20"/>
              </w:rPr>
            </w:pPr>
            <w:r w:rsidRPr="00657BA6">
              <w:rPr>
                <w:rFonts w:cs="Arial"/>
                <w:b w:val="0"/>
                <w:sz w:val="20"/>
              </w:rPr>
              <w:t>2</w:t>
            </w:r>
          </w:p>
        </w:tc>
        <w:tc>
          <w:tcPr>
            <w:tcW w:w="1281" w:type="pct"/>
            <w:shd w:val="clear" w:color="auto" w:fill="FFFFFF" w:themeFill="background1"/>
          </w:tcPr>
          <w:p w14:paraId="0A598969" w14:textId="77777777" w:rsidR="00244294" w:rsidRPr="00657BA6" w:rsidRDefault="00244294" w:rsidP="0014780A">
            <w:pPr>
              <w:pStyle w:val="TAH"/>
              <w:spacing w:line="276" w:lineRule="auto"/>
              <w:ind w:right="49"/>
              <w:rPr>
                <w:rFonts w:cs="Arial"/>
                <w:b w:val="0"/>
                <w:sz w:val="20"/>
              </w:rPr>
            </w:pPr>
            <w:r w:rsidRPr="00657BA6">
              <w:rPr>
                <w:rFonts w:cs="Arial"/>
                <w:b w:val="0"/>
                <w:sz w:val="20"/>
              </w:rPr>
              <w:t>BYE</w:t>
            </w:r>
          </w:p>
        </w:tc>
        <w:tc>
          <w:tcPr>
            <w:tcW w:w="856" w:type="pct"/>
            <w:shd w:val="clear" w:color="auto" w:fill="FFFFFF" w:themeFill="background1"/>
          </w:tcPr>
          <w:p w14:paraId="27F940D6" w14:textId="77777777" w:rsidR="00244294" w:rsidRPr="00657BA6" w:rsidRDefault="00244294" w:rsidP="0014780A">
            <w:pPr>
              <w:pStyle w:val="TAH"/>
              <w:spacing w:line="276" w:lineRule="auto"/>
              <w:ind w:right="49"/>
              <w:rPr>
                <w:rFonts w:cs="Arial"/>
                <w:b w:val="0"/>
                <w:sz w:val="20"/>
              </w:rPr>
            </w:pPr>
            <w:r w:rsidRPr="00657BA6">
              <w:rPr>
                <w:rFonts w:cs="Arial"/>
                <w:b w:val="0"/>
                <w:sz w:val="20"/>
              </w:rPr>
              <w:t>M</w:t>
            </w:r>
          </w:p>
        </w:tc>
        <w:tc>
          <w:tcPr>
            <w:tcW w:w="2432" w:type="pct"/>
            <w:shd w:val="clear" w:color="auto" w:fill="FFFFFF" w:themeFill="background1"/>
          </w:tcPr>
          <w:p w14:paraId="2039145B" w14:textId="77777777" w:rsidR="00244294" w:rsidRPr="00657BA6" w:rsidRDefault="00244294" w:rsidP="0014780A">
            <w:pPr>
              <w:pStyle w:val="TAH"/>
              <w:spacing w:line="276" w:lineRule="auto"/>
              <w:ind w:right="49"/>
              <w:rPr>
                <w:rFonts w:cs="Arial"/>
                <w:b w:val="0"/>
                <w:sz w:val="20"/>
              </w:rPr>
            </w:pPr>
            <w:r w:rsidRPr="00657BA6">
              <w:rPr>
                <w:rFonts w:cs="Arial"/>
                <w:b w:val="0"/>
                <w:sz w:val="20"/>
              </w:rPr>
              <w:t>De acuerdo a RFC 3261</w:t>
            </w:r>
          </w:p>
        </w:tc>
      </w:tr>
      <w:tr w:rsidR="00244294" w:rsidRPr="00657BA6" w14:paraId="1A19A9EB" w14:textId="77777777" w:rsidTr="00916A06">
        <w:trPr>
          <w:cnfStyle w:val="000000010000" w:firstRow="0" w:lastRow="0" w:firstColumn="0" w:lastColumn="0" w:oddVBand="0" w:evenVBand="0" w:oddHBand="0" w:evenHBand="1" w:firstRowFirstColumn="0" w:firstRowLastColumn="0" w:lastRowFirstColumn="0" w:lastRowLastColumn="0"/>
          <w:trHeight w:val="255"/>
          <w:jc w:val="center"/>
        </w:trPr>
        <w:tc>
          <w:tcPr>
            <w:tcW w:w="431" w:type="pct"/>
          </w:tcPr>
          <w:p w14:paraId="3BCB8BC2" w14:textId="77777777" w:rsidR="00244294" w:rsidRPr="00657BA6" w:rsidRDefault="00244294" w:rsidP="0014780A">
            <w:pPr>
              <w:pStyle w:val="TAH"/>
              <w:spacing w:line="276" w:lineRule="auto"/>
              <w:ind w:right="49"/>
              <w:rPr>
                <w:rFonts w:cs="Arial"/>
                <w:b w:val="0"/>
                <w:sz w:val="20"/>
              </w:rPr>
            </w:pPr>
            <w:r w:rsidRPr="00657BA6">
              <w:rPr>
                <w:rFonts w:cs="Arial"/>
                <w:b w:val="0"/>
                <w:sz w:val="20"/>
              </w:rPr>
              <w:t>3</w:t>
            </w:r>
          </w:p>
        </w:tc>
        <w:tc>
          <w:tcPr>
            <w:tcW w:w="1281" w:type="pct"/>
            <w:shd w:val="clear" w:color="auto" w:fill="D9D9D9" w:themeFill="background1" w:themeFillShade="D9"/>
          </w:tcPr>
          <w:p w14:paraId="0ABD5EA8" w14:textId="77777777" w:rsidR="00244294" w:rsidRPr="00657BA6" w:rsidRDefault="00244294" w:rsidP="0014780A">
            <w:pPr>
              <w:pStyle w:val="TAH"/>
              <w:spacing w:line="276" w:lineRule="auto"/>
              <w:ind w:right="49"/>
              <w:rPr>
                <w:rFonts w:cs="Arial"/>
                <w:b w:val="0"/>
                <w:sz w:val="20"/>
              </w:rPr>
            </w:pPr>
            <w:r w:rsidRPr="00657BA6">
              <w:rPr>
                <w:rFonts w:cs="Arial"/>
                <w:b w:val="0"/>
                <w:sz w:val="20"/>
              </w:rPr>
              <w:t>CANCEL</w:t>
            </w:r>
          </w:p>
        </w:tc>
        <w:tc>
          <w:tcPr>
            <w:tcW w:w="856" w:type="pct"/>
          </w:tcPr>
          <w:p w14:paraId="1DE509F5" w14:textId="77777777" w:rsidR="00244294" w:rsidRPr="00657BA6" w:rsidRDefault="00244294" w:rsidP="0014780A">
            <w:pPr>
              <w:pStyle w:val="TAH"/>
              <w:spacing w:line="276" w:lineRule="auto"/>
              <w:ind w:right="49"/>
              <w:rPr>
                <w:rFonts w:cs="Arial"/>
                <w:b w:val="0"/>
                <w:sz w:val="20"/>
              </w:rPr>
            </w:pPr>
            <w:r w:rsidRPr="00657BA6">
              <w:rPr>
                <w:rFonts w:cs="Arial"/>
                <w:b w:val="0"/>
                <w:sz w:val="20"/>
              </w:rPr>
              <w:t>M</w:t>
            </w:r>
          </w:p>
        </w:tc>
        <w:tc>
          <w:tcPr>
            <w:tcW w:w="2432" w:type="pct"/>
          </w:tcPr>
          <w:p w14:paraId="76BBB4F2" w14:textId="77777777" w:rsidR="00244294" w:rsidRPr="00657BA6" w:rsidRDefault="00244294" w:rsidP="0014780A">
            <w:pPr>
              <w:pStyle w:val="TAH"/>
              <w:spacing w:line="276" w:lineRule="auto"/>
              <w:ind w:right="49"/>
              <w:rPr>
                <w:rFonts w:cs="Arial"/>
                <w:b w:val="0"/>
                <w:sz w:val="20"/>
              </w:rPr>
            </w:pPr>
            <w:r w:rsidRPr="00657BA6">
              <w:rPr>
                <w:rFonts w:cs="Arial"/>
                <w:b w:val="0"/>
                <w:sz w:val="20"/>
              </w:rPr>
              <w:t>De acuerdo a RFC 3261</w:t>
            </w:r>
          </w:p>
        </w:tc>
      </w:tr>
      <w:tr w:rsidR="00244294" w:rsidRPr="00657BA6" w14:paraId="112DBDE8" w14:textId="77777777" w:rsidTr="00916A06">
        <w:trPr>
          <w:cnfStyle w:val="000000100000" w:firstRow="0" w:lastRow="0" w:firstColumn="0" w:lastColumn="0" w:oddVBand="0" w:evenVBand="0" w:oddHBand="1" w:evenHBand="0" w:firstRowFirstColumn="0" w:firstRowLastColumn="0" w:lastRowFirstColumn="0" w:lastRowLastColumn="0"/>
          <w:trHeight w:val="259"/>
          <w:jc w:val="center"/>
        </w:trPr>
        <w:tc>
          <w:tcPr>
            <w:tcW w:w="431" w:type="pct"/>
            <w:shd w:val="clear" w:color="auto" w:fill="FFFFFF" w:themeFill="background1"/>
          </w:tcPr>
          <w:p w14:paraId="6598558A" w14:textId="77777777" w:rsidR="00244294" w:rsidRPr="00657BA6" w:rsidRDefault="00244294" w:rsidP="0014780A">
            <w:pPr>
              <w:pStyle w:val="TAH"/>
              <w:spacing w:line="276" w:lineRule="auto"/>
              <w:ind w:right="49"/>
              <w:rPr>
                <w:rFonts w:cs="Arial"/>
                <w:b w:val="0"/>
                <w:sz w:val="20"/>
              </w:rPr>
            </w:pPr>
            <w:r w:rsidRPr="00657BA6">
              <w:rPr>
                <w:rFonts w:cs="Arial"/>
                <w:b w:val="0"/>
                <w:sz w:val="20"/>
              </w:rPr>
              <w:t>4</w:t>
            </w:r>
          </w:p>
        </w:tc>
        <w:tc>
          <w:tcPr>
            <w:tcW w:w="1281" w:type="pct"/>
            <w:shd w:val="clear" w:color="auto" w:fill="FFFFFF" w:themeFill="background1"/>
          </w:tcPr>
          <w:p w14:paraId="20167FAD" w14:textId="77777777" w:rsidR="00244294" w:rsidRPr="00657BA6" w:rsidRDefault="00244294" w:rsidP="0014780A">
            <w:pPr>
              <w:pStyle w:val="TAH"/>
              <w:spacing w:line="276" w:lineRule="auto"/>
              <w:ind w:right="49"/>
              <w:rPr>
                <w:rFonts w:cs="Arial"/>
                <w:b w:val="0"/>
                <w:sz w:val="20"/>
              </w:rPr>
            </w:pPr>
            <w:r w:rsidRPr="00657BA6">
              <w:rPr>
                <w:rFonts w:cs="Arial"/>
                <w:b w:val="0"/>
                <w:sz w:val="20"/>
              </w:rPr>
              <w:t>INVITE</w:t>
            </w:r>
          </w:p>
        </w:tc>
        <w:tc>
          <w:tcPr>
            <w:tcW w:w="856" w:type="pct"/>
            <w:shd w:val="clear" w:color="auto" w:fill="FFFFFF" w:themeFill="background1"/>
          </w:tcPr>
          <w:p w14:paraId="1A2CE2F2" w14:textId="77777777" w:rsidR="00244294" w:rsidRPr="00657BA6" w:rsidRDefault="00244294" w:rsidP="0014780A">
            <w:pPr>
              <w:pStyle w:val="TAH"/>
              <w:spacing w:line="276" w:lineRule="auto"/>
              <w:ind w:right="49"/>
              <w:rPr>
                <w:rFonts w:cs="Arial"/>
                <w:b w:val="0"/>
                <w:sz w:val="20"/>
              </w:rPr>
            </w:pPr>
            <w:r w:rsidRPr="00657BA6">
              <w:rPr>
                <w:rFonts w:cs="Arial"/>
                <w:b w:val="0"/>
                <w:sz w:val="20"/>
              </w:rPr>
              <w:t>M</w:t>
            </w:r>
          </w:p>
        </w:tc>
        <w:tc>
          <w:tcPr>
            <w:tcW w:w="2432" w:type="pct"/>
            <w:shd w:val="clear" w:color="auto" w:fill="FFFFFF" w:themeFill="background1"/>
          </w:tcPr>
          <w:p w14:paraId="470B2240" w14:textId="77777777" w:rsidR="00244294" w:rsidRPr="00657BA6" w:rsidRDefault="00244294" w:rsidP="0014780A">
            <w:pPr>
              <w:pStyle w:val="TAH"/>
              <w:spacing w:line="276" w:lineRule="auto"/>
              <w:ind w:right="49"/>
              <w:rPr>
                <w:rFonts w:cs="Arial"/>
                <w:b w:val="0"/>
                <w:sz w:val="20"/>
              </w:rPr>
            </w:pPr>
            <w:r w:rsidRPr="00657BA6">
              <w:rPr>
                <w:rFonts w:cs="Arial"/>
                <w:b w:val="0"/>
                <w:sz w:val="20"/>
              </w:rPr>
              <w:t>De acuerdo a RFC 3261</w:t>
            </w:r>
          </w:p>
        </w:tc>
      </w:tr>
      <w:tr w:rsidR="00244294" w:rsidRPr="00657BA6" w14:paraId="0039DDC5" w14:textId="77777777" w:rsidTr="00916A06">
        <w:trPr>
          <w:cnfStyle w:val="000000010000" w:firstRow="0" w:lastRow="0" w:firstColumn="0" w:lastColumn="0" w:oddVBand="0" w:evenVBand="0" w:oddHBand="0" w:evenHBand="1" w:firstRowFirstColumn="0" w:firstRowLastColumn="0" w:lastRowFirstColumn="0" w:lastRowLastColumn="0"/>
          <w:trHeight w:val="252"/>
          <w:jc w:val="center"/>
        </w:trPr>
        <w:tc>
          <w:tcPr>
            <w:tcW w:w="431" w:type="pct"/>
          </w:tcPr>
          <w:p w14:paraId="22DB19CA" w14:textId="77777777" w:rsidR="00244294" w:rsidRPr="00657BA6" w:rsidRDefault="00244294" w:rsidP="0014780A">
            <w:pPr>
              <w:pStyle w:val="TAH"/>
              <w:spacing w:line="276" w:lineRule="auto"/>
              <w:ind w:right="49"/>
              <w:rPr>
                <w:rFonts w:cs="Arial"/>
                <w:b w:val="0"/>
                <w:sz w:val="20"/>
              </w:rPr>
            </w:pPr>
            <w:r w:rsidRPr="00657BA6">
              <w:rPr>
                <w:rFonts w:cs="Arial"/>
                <w:b w:val="0"/>
                <w:sz w:val="20"/>
              </w:rPr>
              <w:t>5</w:t>
            </w:r>
          </w:p>
        </w:tc>
        <w:tc>
          <w:tcPr>
            <w:tcW w:w="1281" w:type="pct"/>
          </w:tcPr>
          <w:p w14:paraId="4A79302D" w14:textId="77777777" w:rsidR="00244294" w:rsidRPr="00657BA6" w:rsidRDefault="00244294" w:rsidP="0014780A">
            <w:pPr>
              <w:pStyle w:val="TAH"/>
              <w:spacing w:line="276" w:lineRule="auto"/>
              <w:ind w:right="49"/>
              <w:rPr>
                <w:rFonts w:cs="Arial"/>
                <w:b w:val="0"/>
                <w:sz w:val="20"/>
              </w:rPr>
            </w:pPr>
            <w:r w:rsidRPr="00657BA6">
              <w:rPr>
                <w:rFonts w:cs="Arial"/>
                <w:b w:val="0"/>
                <w:sz w:val="20"/>
              </w:rPr>
              <w:t>UPDATE</w:t>
            </w:r>
          </w:p>
        </w:tc>
        <w:tc>
          <w:tcPr>
            <w:tcW w:w="856" w:type="pct"/>
          </w:tcPr>
          <w:p w14:paraId="263A075D" w14:textId="77777777" w:rsidR="00244294" w:rsidRPr="00657BA6" w:rsidRDefault="00244294" w:rsidP="0014780A">
            <w:pPr>
              <w:pStyle w:val="TAH"/>
              <w:spacing w:line="276" w:lineRule="auto"/>
              <w:ind w:right="49"/>
              <w:rPr>
                <w:rFonts w:cs="Arial"/>
                <w:b w:val="0"/>
                <w:sz w:val="20"/>
              </w:rPr>
            </w:pPr>
            <w:r w:rsidRPr="00657BA6">
              <w:rPr>
                <w:rFonts w:cs="Arial"/>
                <w:b w:val="0"/>
                <w:sz w:val="20"/>
              </w:rPr>
              <w:t>M</w:t>
            </w:r>
          </w:p>
        </w:tc>
        <w:tc>
          <w:tcPr>
            <w:tcW w:w="2432" w:type="pct"/>
          </w:tcPr>
          <w:p w14:paraId="1B394C89" w14:textId="77777777" w:rsidR="00244294" w:rsidRPr="00657BA6" w:rsidRDefault="00244294" w:rsidP="0014780A">
            <w:pPr>
              <w:pStyle w:val="TAH"/>
              <w:spacing w:line="276" w:lineRule="auto"/>
              <w:ind w:right="49"/>
              <w:rPr>
                <w:rFonts w:cs="Arial"/>
                <w:b w:val="0"/>
                <w:sz w:val="20"/>
              </w:rPr>
            </w:pPr>
            <w:r w:rsidRPr="00657BA6">
              <w:rPr>
                <w:rFonts w:cs="Arial"/>
                <w:b w:val="0"/>
                <w:sz w:val="20"/>
              </w:rPr>
              <w:t>De acuerdo a RFC 3311</w:t>
            </w:r>
            <w:r w:rsidRPr="00657BA6">
              <w:rPr>
                <w:rStyle w:val="Refdenotaalpie"/>
                <w:rFonts w:cs="Arial"/>
                <w:sz w:val="20"/>
              </w:rPr>
              <w:footnoteReference w:id="4"/>
            </w:r>
          </w:p>
        </w:tc>
      </w:tr>
      <w:tr w:rsidR="00244294" w:rsidRPr="00657BA6" w14:paraId="285CA633" w14:textId="77777777" w:rsidTr="00916A06">
        <w:trPr>
          <w:cnfStyle w:val="000000100000" w:firstRow="0" w:lastRow="0" w:firstColumn="0" w:lastColumn="0" w:oddVBand="0" w:evenVBand="0" w:oddHBand="1" w:evenHBand="0" w:firstRowFirstColumn="0" w:firstRowLastColumn="0" w:lastRowFirstColumn="0" w:lastRowLastColumn="0"/>
          <w:trHeight w:val="256"/>
          <w:jc w:val="center"/>
        </w:trPr>
        <w:tc>
          <w:tcPr>
            <w:tcW w:w="431" w:type="pct"/>
            <w:shd w:val="clear" w:color="auto" w:fill="FFFFFF" w:themeFill="background1"/>
          </w:tcPr>
          <w:p w14:paraId="46FD724F" w14:textId="77777777" w:rsidR="00244294" w:rsidRPr="00657BA6" w:rsidRDefault="00244294" w:rsidP="0014780A">
            <w:pPr>
              <w:pStyle w:val="TAH"/>
              <w:spacing w:line="276" w:lineRule="auto"/>
              <w:ind w:right="49"/>
              <w:rPr>
                <w:rFonts w:cs="Arial"/>
                <w:b w:val="0"/>
                <w:sz w:val="20"/>
              </w:rPr>
            </w:pPr>
            <w:r w:rsidRPr="00657BA6">
              <w:rPr>
                <w:rFonts w:cs="Arial"/>
                <w:b w:val="0"/>
                <w:sz w:val="20"/>
              </w:rPr>
              <w:t>6</w:t>
            </w:r>
          </w:p>
        </w:tc>
        <w:tc>
          <w:tcPr>
            <w:tcW w:w="1281" w:type="pct"/>
            <w:shd w:val="clear" w:color="auto" w:fill="FFFFFF" w:themeFill="background1"/>
          </w:tcPr>
          <w:p w14:paraId="04170CD5" w14:textId="77777777" w:rsidR="00244294" w:rsidRPr="00657BA6" w:rsidRDefault="00244294" w:rsidP="0014780A">
            <w:pPr>
              <w:pStyle w:val="TAH"/>
              <w:spacing w:line="276" w:lineRule="auto"/>
              <w:ind w:right="49"/>
              <w:rPr>
                <w:rFonts w:cs="Arial"/>
                <w:b w:val="0"/>
                <w:sz w:val="20"/>
              </w:rPr>
            </w:pPr>
            <w:r w:rsidRPr="00657BA6">
              <w:rPr>
                <w:rFonts w:cs="Arial"/>
                <w:b w:val="0"/>
                <w:sz w:val="20"/>
              </w:rPr>
              <w:t>PRACK</w:t>
            </w:r>
          </w:p>
        </w:tc>
        <w:tc>
          <w:tcPr>
            <w:tcW w:w="856" w:type="pct"/>
            <w:shd w:val="clear" w:color="auto" w:fill="FFFFFF" w:themeFill="background1"/>
          </w:tcPr>
          <w:p w14:paraId="0353F7DD" w14:textId="77777777" w:rsidR="00244294" w:rsidRPr="00657BA6" w:rsidRDefault="00244294" w:rsidP="0014780A">
            <w:pPr>
              <w:pStyle w:val="TAH"/>
              <w:spacing w:line="276" w:lineRule="auto"/>
              <w:ind w:right="49"/>
              <w:rPr>
                <w:rFonts w:cs="Arial"/>
                <w:b w:val="0"/>
                <w:sz w:val="20"/>
              </w:rPr>
            </w:pPr>
            <w:r w:rsidRPr="00657BA6">
              <w:rPr>
                <w:rFonts w:cs="Arial"/>
                <w:b w:val="0"/>
                <w:sz w:val="20"/>
              </w:rPr>
              <w:t>M</w:t>
            </w:r>
          </w:p>
        </w:tc>
        <w:tc>
          <w:tcPr>
            <w:tcW w:w="2432" w:type="pct"/>
            <w:shd w:val="clear" w:color="auto" w:fill="FFFFFF" w:themeFill="background1"/>
          </w:tcPr>
          <w:p w14:paraId="47587A67" w14:textId="77777777" w:rsidR="00244294" w:rsidRPr="00657BA6" w:rsidRDefault="00244294" w:rsidP="0014780A">
            <w:pPr>
              <w:pStyle w:val="TAH"/>
              <w:spacing w:line="276" w:lineRule="auto"/>
              <w:ind w:right="49"/>
              <w:rPr>
                <w:rFonts w:cs="Arial"/>
                <w:b w:val="0"/>
                <w:sz w:val="20"/>
              </w:rPr>
            </w:pPr>
            <w:r w:rsidRPr="00657BA6">
              <w:rPr>
                <w:rFonts w:cs="Arial"/>
                <w:b w:val="0"/>
                <w:sz w:val="20"/>
              </w:rPr>
              <w:t>De acuerdo a RFC 3262</w:t>
            </w:r>
            <w:r w:rsidRPr="00657BA6">
              <w:rPr>
                <w:rStyle w:val="Refdenotaalpie"/>
                <w:rFonts w:cs="Arial"/>
                <w:sz w:val="20"/>
              </w:rPr>
              <w:footnoteReference w:id="5"/>
            </w:r>
          </w:p>
        </w:tc>
      </w:tr>
      <w:tr w:rsidR="00244294" w:rsidRPr="00657BA6" w14:paraId="432F7799" w14:textId="77777777" w:rsidTr="00916A06">
        <w:trPr>
          <w:cnfStyle w:val="000000010000" w:firstRow="0" w:lastRow="0" w:firstColumn="0" w:lastColumn="0" w:oddVBand="0" w:evenVBand="0" w:oddHBand="0" w:evenHBand="1" w:firstRowFirstColumn="0" w:firstRowLastColumn="0" w:lastRowFirstColumn="0" w:lastRowLastColumn="0"/>
          <w:trHeight w:val="226"/>
          <w:jc w:val="center"/>
        </w:trPr>
        <w:tc>
          <w:tcPr>
            <w:tcW w:w="431" w:type="pct"/>
          </w:tcPr>
          <w:p w14:paraId="0560C8C6" w14:textId="77777777" w:rsidR="00244294" w:rsidRPr="00657BA6" w:rsidRDefault="00244294" w:rsidP="0014780A">
            <w:pPr>
              <w:pStyle w:val="TAH"/>
              <w:spacing w:line="276" w:lineRule="auto"/>
              <w:ind w:right="49"/>
              <w:rPr>
                <w:rFonts w:cs="Arial"/>
                <w:b w:val="0"/>
                <w:sz w:val="20"/>
              </w:rPr>
            </w:pPr>
            <w:r w:rsidRPr="00657BA6">
              <w:rPr>
                <w:rFonts w:cs="Arial"/>
                <w:b w:val="0"/>
                <w:sz w:val="20"/>
              </w:rPr>
              <w:t>7</w:t>
            </w:r>
          </w:p>
        </w:tc>
        <w:tc>
          <w:tcPr>
            <w:tcW w:w="1281" w:type="pct"/>
          </w:tcPr>
          <w:p w14:paraId="6D030A07" w14:textId="77777777" w:rsidR="00244294" w:rsidRPr="00657BA6" w:rsidRDefault="00244294" w:rsidP="0014780A">
            <w:pPr>
              <w:pStyle w:val="TAH"/>
              <w:spacing w:line="276" w:lineRule="auto"/>
              <w:ind w:right="49"/>
              <w:rPr>
                <w:rFonts w:cs="Arial"/>
                <w:b w:val="0"/>
                <w:sz w:val="20"/>
              </w:rPr>
            </w:pPr>
            <w:r w:rsidRPr="00657BA6">
              <w:rPr>
                <w:rFonts w:cs="Arial"/>
                <w:b w:val="0"/>
                <w:sz w:val="20"/>
              </w:rPr>
              <w:t>OPTIONS*</w:t>
            </w:r>
          </w:p>
        </w:tc>
        <w:tc>
          <w:tcPr>
            <w:tcW w:w="856" w:type="pct"/>
          </w:tcPr>
          <w:p w14:paraId="28A48DEE" w14:textId="77777777" w:rsidR="00244294" w:rsidRPr="00657BA6" w:rsidRDefault="00244294" w:rsidP="0014780A">
            <w:pPr>
              <w:pStyle w:val="TAH"/>
              <w:spacing w:line="276" w:lineRule="auto"/>
              <w:ind w:right="49"/>
              <w:rPr>
                <w:rFonts w:cs="Arial"/>
                <w:b w:val="0"/>
                <w:sz w:val="20"/>
              </w:rPr>
            </w:pPr>
            <w:r w:rsidRPr="00657BA6">
              <w:rPr>
                <w:rFonts w:cs="Arial"/>
                <w:b w:val="0"/>
                <w:sz w:val="20"/>
              </w:rPr>
              <w:t>M</w:t>
            </w:r>
          </w:p>
        </w:tc>
        <w:tc>
          <w:tcPr>
            <w:tcW w:w="2432" w:type="pct"/>
          </w:tcPr>
          <w:p w14:paraId="4BE59FC7" w14:textId="77777777" w:rsidR="00244294" w:rsidRPr="00657BA6" w:rsidRDefault="00244294" w:rsidP="0014780A">
            <w:pPr>
              <w:pStyle w:val="TAH"/>
              <w:spacing w:line="276" w:lineRule="auto"/>
              <w:ind w:right="49"/>
              <w:rPr>
                <w:rFonts w:cs="Arial"/>
                <w:b w:val="0"/>
                <w:sz w:val="20"/>
              </w:rPr>
            </w:pPr>
            <w:r w:rsidRPr="00657BA6">
              <w:rPr>
                <w:rFonts w:cs="Arial"/>
                <w:b w:val="0"/>
                <w:sz w:val="20"/>
              </w:rPr>
              <w:t>De acuerdo a RFC 3261</w:t>
            </w:r>
          </w:p>
        </w:tc>
      </w:tr>
    </w:tbl>
    <w:p w14:paraId="0F0C0E6A" w14:textId="77777777" w:rsidR="00244294" w:rsidRPr="00657BA6" w:rsidRDefault="00244294" w:rsidP="0014780A">
      <w:pPr>
        <w:spacing w:after="0"/>
        <w:ind w:right="49"/>
        <w:jc w:val="center"/>
        <w:rPr>
          <w:rFonts w:ascii="Arial" w:hAnsi="Arial" w:cs="Arial"/>
          <w:sz w:val="18"/>
          <w:szCs w:val="18"/>
        </w:rPr>
      </w:pPr>
      <w:r w:rsidRPr="00657BA6">
        <w:rPr>
          <w:rFonts w:ascii="Arial" w:hAnsi="Arial" w:cs="Arial"/>
          <w:sz w:val="18"/>
          <w:szCs w:val="18"/>
        </w:rPr>
        <w:t>*con Max-Forwards = 0, para verificar que el objetivo es alcanzable</w:t>
      </w:r>
    </w:p>
    <w:p w14:paraId="5C91A636" w14:textId="77777777" w:rsidR="00244294" w:rsidRPr="00657BA6" w:rsidRDefault="00244294" w:rsidP="0014780A">
      <w:pPr>
        <w:spacing w:after="0"/>
        <w:ind w:right="49"/>
        <w:jc w:val="center"/>
        <w:rPr>
          <w:rFonts w:ascii="Arial" w:hAnsi="Arial" w:cs="Arial"/>
          <w:sz w:val="18"/>
          <w:szCs w:val="18"/>
        </w:rPr>
      </w:pPr>
      <w:r w:rsidRPr="00657BA6">
        <w:rPr>
          <w:rFonts w:ascii="Arial" w:hAnsi="Arial" w:cs="Arial"/>
          <w:sz w:val="18"/>
          <w:szCs w:val="18"/>
        </w:rPr>
        <w:t>Tabla 1. Métodos aplicables para una sesión VoIP</w:t>
      </w:r>
    </w:p>
    <w:p w14:paraId="5AA25E2D" w14:textId="77777777" w:rsidR="00244294" w:rsidRPr="00657BA6" w:rsidRDefault="00244294" w:rsidP="0014780A">
      <w:pPr>
        <w:spacing w:after="0"/>
        <w:ind w:right="49"/>
        <w:jc w:val="both"/>
        <w:rPr>
          <w:rFonts w:ascii="Arial" w:hAnsi="Arial" w:cs="Arial"/>
        </w:rPr>
      </w:pPr>
    </w:p>
    <w:p w14:paraId="2203C827" w14:textId="77777777" w:rsidR="00244294" w:rsidRPr="00657BA6" w:rsidRDefault="00244294" w:rsidP="0014780A">
      <w:pPr>
        <w:spacing w:after="0"/>
        <w:ind w:right="49"/>
        <w:jc w:val="both"/>
        <w:rPr>
          <w:rFonts w:ascii="Arial" w:hAnsi="Arial" w:cs="Arial"/>
        </w:rPr>
      </w:pPr>
      <w:r w:rsidRPr="00657BA6">
        <w:rPr>
          <w:rFonts w:ascii="Arial" w:hAnsi="Arial" w:cs="Arial"/>
        </w:rPr>
        <w:t>El método OPTIONS será utilizado como método de “keep alive” de la siguiente forma:</w:t>
      </w:r>
    </w:p>
    <w:p w14:paraId="062257EA" w14:textId="77777777" w:rsidR="00244294" w:rsidRPr="00657BA6" w:rsidRDefault="00244294" w:rsidP="0014780A">
      <w:pPr>
        <w:spacing w:after="0"/>
        <w:ind w:right="49"/>
        <w:jc w:val="both"/>
        <w:rPr>
          <w:rFonts w:ascii="Arial" w:hAnsi="Arial" w:cs="Arial"/>
        </w:rPr>
      </w:pPr>
    </w:p>
    <w:p w14:paraId="6E935404" w14:textId="49831CDA" w:rsidR="00244294" w:rsidRDefault="00244294" w:rsidP="0014780A">
      <w:pPr>
        <w:spacing w:after="0"/>
        <w:ind w:right="49"/>
        <w:jc w:val="both"/>
        <w:rPr>
          <w:rFonts w:ascii="Arial" w:hAnsi="Arial" w:cs="Arial"/>
        </w:rPr>
      </w:pPr>
      <w:r w:rsidRPr="00657BA6">
        <w:rPr>
          <w:rFonts w:ascii="Arial" w:hAnsi="Arial" w:cs="Arial"/>
        </w:rPr>
        <w:t xml:space="preserve">El nodo A envía de manera periódica el método Options al nodo B, y el nodo B responde con un “200 OK”. Si el nodo B deja de responder o envía una respuesta SIP 503 (Servicio no disponible) entonces el nodo A bloquea la </w:t>
      </w:r>
      <w:r w:rsidR="00C171E1" w:rsidRPr="00657BA6">
        <w:rPr>
          <w:rFonts w:ascii="Arial" w:hAnsi="Arial" w:cs="Arial"/>
        </w:rPr>
        <w:t>ruta,</w:t>
      </w:r>
      <w:r w:rsidRPr="00657BA6">
        <w:rPr>
          <w:rFonts w:ascii="Arial" w:hAnsi="Arial" w:cs="Arial"/>
        </w:rPr>
        <w:t xml:space="preserve"> pero continúa enviando el mensaje. En el momento en el que el nodo B vuelve a responder se reactiva la ruta.</w:t>
      </w:r>
    </w:p>
    <w:p w14:paraId="79974AF5" w14:textId="77777777" w:rsidR="001626BC" w:rsidRPr="00657BA6" w:rsidRDefault="001626BC" w:rsidP="0014780A">
      <w:pPr>
        <w:spacing w:after="0"/>
        <w:ind w:right="49"/>
        <w:jc w:val="both"/>
        <w:rPr>
          <w:rFonts w:ascii="Arial" w:hAnsi="Arial" w:cs="Arial"/>
        </w:rPr>
      </w:pPr>
    </w:p>
    <w:p w14:paraId="250B1D82" w14:textId="3822D923" w:rsidR="00244294" w:rsidRPr="00657BA6" w:rsidRDefault="00244294" w:rsidP="0014780A">
      <w:pPr>
        <w:spacing w:after="0"/>
        <w:ind w:right="49"/>
        <w:jc w:val="both"/>
        <w:rPr>
          <w:rFonts w:ascii="Arial" w:hAnsi="Arial" w:cs="Arial"/>
        </w:rPr>
      </w:pPr>
      <w:r w:rsidRPr="00657BA6">
        <w:rPr>
          <w:rFonts w:ascii="Arial" w:hAnsi="Arial" w:cs="Arial"/>
        </w:rPr>
        <w:t xml:space="preserve">Se cumplirá con los campos de encabezado aplicables para los métodos definidos en la Tabla 1, </w:t>
      </w:r>
      <w:r w:rsidR="00DE7934" w:rsidRPr="00657BA6">
        <w:rPr>
          <w:rFonts w:ascii="Arial" w:hAnsi="Arial" w:cs="Arial"/>
        </w:rPr>
        <w:t>de acuerdo con</w:t>
      </w:r>
      <w:r w:rsidRPr="00657BA6">
        <w:rPr>
          <w:rFonts w:ascii="Arial" w:hAnsi="Arial" w:cs="Arial"/>
        </w:rPr>
        <w:t xml:space="preserve"> la recomendación correspondiente.</w:t>
      </w:r>
    </w:p>
    <w:p w14:paraId="3677C80A" w14:textId="77777777" w:rsidR="00244294" w:rsidRPr="00657BA6" w:rsidRDefault="00244294" w:rsidP="0014780A">
      <w:pPr>
        <w:spacing w:after="0"/>
        <w:ind w:right="49"/>
        <w:jc w:val="both"/>
        <w:rPr>
          <w:rFonts w:ascii="Arial" w:hAnsi="Arial" w:cs="Arial"/>
        </w:rPr>
      </w:pPr>
    </w:p>
    <w:p w14:paraId="2C41E9DF" w14:textId="77777777" w:rsidR="00244294" w:rsidRPr="00657BA6" w:rsidRDefault="00244294" w:rsidP="009640AE">
      <w:pPr>
        <w:pStyle w:val="Prrafodelista"/>
        <w:numPr>
          <w:ilvl w:val="2"/>
          <w:numId w:val="31"/>
        </w:numPr>
        <w:spacing w:line="276" w:lineRule="auto"/>
        <w:ind w:left="709" w:right="49" w:hanging="709"/>
        <w:contextualSpacing/>
        <w:rPr>
          <w:rFonts w:cs="Arial"/>
          <w:b/>
          <w:szCs w:val="22"/>
        </w:rPr>
      </w:pPr>
      <w:r w:rsidRPr="00657BA6">
        <w:rPr>
          <w:rFonts w:cs="Arial"/>
          <w:b/>
          <w:szCs w:val="22"/>
        </w:rPr>
        <w:t>Relaciones confiables</w:t>
      </w:r>
    </w:p>
    <w:p w14:paraId="77B5D95D" w14:textId="77777777" w:rsidR="00244294" w:rsidRPr="00657BA6" w:rsidRDefault="00244294" w:rsidP="0014780A">
      <w:pPr>
        <w:spacing w:after="0"/>
        <w:ind w:right="49"/>
        <w:rPr>
          <w:rFonts w:ascii="Arial" w:hAnsi="Arial" w:cs="Arial"/>
          <w:b/>
        </w:rPr>
      </w:pPr>
    </w:p>
    <w:p w14:paraId="1660BE52" w14:textId="77777777" w:rsidR="00244294" w:rsidRPr="00657BA6" w:rsidRDefault="00244294" w:rsidP="0014780A">
      <w:pPr>
        <w:spacing w:after="0"/>
        <w:ind w:right="49"/>
        <w:jc w:val="both"/>
        <w:rPr>
          <w:rFonts w:ascii="Arial" w:hAnsi="Arial" w:cs="Arial"/>
        </w:rPr>
      </w:pPr>
      <w:r w:rsidRPr="00657BA6">
        <w:rPr>
          <w:rFonts w:ascii="Arial" w:hAnsi="Arial" w:cs="Arial"/>
        </w:rPr>
        <w:t>A los elementos que conforman una red que tiene un acuerdo de interconexión se les llama dominio confiable.</w:t>
      </w:r>
    </w:p>
    <w:p w14:paraId="18721B3F" w14:textId="77777777" w:rsidR="00244294" w:rsidRPr="00657BA6" w:rsidRDefault="00244294" w:rsidP="0014780A">
      <w:pPr>
        <w:spacing w:after="0"/>
        <w:ind w:right="49"/>
        <w:jc w:val="both"/>
        <w:rPr>
          <w:rFonts w:ascii="Arial" w:hAnsi="Arial" w:cs="Arial"/>
        </w:rPr>
      </w:pPr>
    </w:p>
    <w:p w14:paraId="6C8BEFFD" w14:textId="77777777" w:rsidR="00244294" w:rsidRPr="00657BA6" w:rsidRDefault="00244294" w:rsidP="0014780A">
      <w:pPr>
        <w:spacing w:after="0"/>
        <w:ind w:right="49"/>
        <w:jc w:val="both"/>
        <w:rPr>
          <w:rFonts w:ascii="Arial" w:hAnsi="Arial" w:cs="Arial"/>
        </w:rPr>
      </w:pPr>
      <w:r w:rsidRPr="00657BA6">
        <w:rPr>
          <w:rFonts w:ascii="Arial" w:hAnsi="Arial" w:cs="Arial"/>
        </w:rPr>
        <w:t>Los dominios confiables en este caso determinan el cumplimiento de las configuraciones y especificaciones en este documento.</w:t>
      </w:r>
    </w:p>
    <w:p w14:paraId="4F82AE47" w14:textId="77777777" w:rsidR="00244294" w:rsidRPr="00657BA6" w:rsidRDefault="00244294" w:rsidP="0014780A">
      <w:pPr>
        <w:spacing w:after="0"/>
        <w:ind w:right="49"/>
        <w:jc w:val="both"/>
        <w:rPr>
          <w:rFonts w:ascii="Arial" w:hAnsi="Arial" w:cs="Arial"/>
          <w:b/>
        </w:rPr>
      </w:pPr>
    </w:p>
    <w:p w14:paraId="6364ACE3" w14:textId="77777777" w:rsidR="00244294" w:rsidRPr="00657BA6" w:rsidRDefault="00244294" w:rsidP="009640AE">
      <w:pPr>
        <w:pStyle w:val="Prrafodelista"/>
        <w:numPr>
          <w:ilvl w:val="2"/>
          <w:numId w:val="31"/>
        </w:numPr>
        <w:spacing w:line="276" w:lineRule="auto"/>
        <w:ind w:left="709" w:right="49" w:hanging="709"/>
        <w:contextualSpacing/>
        <w:rPr>
          <w:rFonts w:cs="Arial"/>
          <w:b/>
          <w:szCs w:val="22"/>
        </w:rPr>
      </w:pPr>
      <w:r w:rsidRPr="00657BA6">
        <w:rPr>
          <w:rFonts w:cs="Arial"/>
          <w:b/>
          <w:szCs w:val="22"/>
        </w:rPr>
        <w:t>Peticiones</w:t>
      </w:r>
    </w:p>
    <w:p w14:paraId="28496B2A" w14:textId="77777777" w:rsidR="00244294" w:rsidRPr="00657BA6" w:rsidRDefault="00244294" w:rsidP="0014780A">
      <w:pPr>
        <w:spacing w:after="0"/>
        <w:ind w:right="49"/>
        <w:rPr>
          <w:rFonts w:ascii="Arial" w:hAnsi="Arial" w:cs="Arial"/>
        </w:rPr>
      </w:pPr>
    </w:p>
    <w:p w14:paraId="23A0F6E9" w14:textId="77777777" w:rsidR="00244294" w:rsidRPr="00657BA6" w:rsidRDefault="00244294" w:rsidP="0014780A">
      <w:pPr>
        <w:spacing w:after="0"/>
        <w:ind w:right="49"/>
        <w:jc w:val="both"/>
        <w:rPr>
          <w:rFonts w:ascii="Arial" w:hAnsi="Arial" w:cs="Arial"/>
        </w:rPr>
      </w:pPr>
      <w:r w:rsidRPr="00657BA6">
        <w:rPr>
          <w:rFonts w:ascii="Arial" w:hAnsi="Arial" w:cs="Arial"/>
        </w:rPr>
        <w:t>Las solicitudes SIP se deben componer de un formato básico, la primera línea debe contener información del nombre del método o petición, la URI a la que se está realizando la solicitud y la versión del protocolo separados por un espacio simple:</w:t>
      </w:r>
    </w:p>
    <w:p w14:paraId="712D1B83" w14:textId="77777777" w:rsidR="00244294" w:rsidRPr="00657BA6" w:rsidRDefault="00244294" w:rsidP="0014780A">
      <w:pPr>
        <w:pStyle w:val="Prrafodelista"/>
        <w:spacing w:line="276" w:lineRule="auto"/>
        <w:ind w:left="-142" w:right="49"/>
        <w:rPr>
          <w:rFonts w:cs="Arial"/>
          <w:szCs w:val="22"/>
        </w:rPr>
      </w:pPr>
      <w:r w:rsidRPr="00657BA6">
        <w:rPr>
          <w:rFonts w:cs="Arial"/>
          <w:noProof/>
          <w:szCs w:val="22"/>
        </w:rPr>
        <w:drawing>
          <wp:anchor distT="0" distB="0" distL="114300" distR="114300" simplePos="0" relativeHeight="251658240" behindDoc="0" locked="0" layoutInCell="1" allowOverlap="1" wp14:anchorId="47803795" wp14:editId="1CE12812">
            <wp:simplePos x="0" y="0"/>
            <wp:positionH relativeFrom="margin">
              <wp:align>center</wp:align>
            </wp:positionH>
            <wp:positionV relativeFrom="paragraph">
              <wp:posOffset>0</wp:posOffset>
            </wp:positionV>
            <wp:extent cx="4257675" cy="466725"/>
            <wp:effectExtent l="0" t="0" r="952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257675" cy="466725"/>
                    </a:xfrm>
                    <a:prstGeom prst="rect">
                      <a:avLst/>
                    </a:prstGeom>
                  </pic:spPr>
                </pic:pic>
              </a:graphicData>
            </a:graphic>
          </wp:anchor>
        </w:drawing>
      </w:r>
    </w:p>
    <w:p w14:paraId="6A856CBE" w14:textId="77777777" w:rsidR="00244294" w:rsidRPr="00657BA6" w:rsidRDefault="00244294" w:rsidP="0014780A">
      <w:pPr>
        <w:spacing w:after="0"/>
        <w:ind w:right="49"/>
        <w:rPr>
          <w:rFonts w:ascii="Arial" w:hAnsi="Arial" w:cs="Arial"/>
        </w:rPr>
      </w:pPr>
    </w:p>
    <w:p w14:paraId="1BA9B47B" w14:textId="77777777" w:rsidR="00244294" w:rsidRPr="00657BA6" w:rsidRDefault="00244294" w:rsidP="0014780A">
      <w:pPr>
        <w:spacing w:after="0"/>
        <w:ind w:right="49"/>
        <w:rPr>
          <w:rFonts w:ascii="Arial" w:hAnsi="Arial" w:cs="Arial"/>
        </w:rPr>
      </w:pPr>
    </w:p>
    <w:p w14:paraId="587D8509" w14:textId="77777777" w:rsidR="00244294" w:rsidRPr="00657BA6" w:rsidRDefault="00244294" w:rsidP="0014780A">
      <w:pPr>
        <w:spacing w:after="0"/>
        <w:ind w:right="49"/>
        <w:rPr>
          <w:rFonts w:ascii="Arial" w:hAnsi="Arial" w:cs="Arial"/>
        </w:rPr>
      </w:pPr>
      <w:r w:rsidRPr="00657BA6">
        <w:rPr>
          <w:rFonts w:ascii="Arial" w:hAnsi="Arial" w:cs="Arial"/>
        </w:rPr>
        <w:t>Ejemplo:</w:t>
      </w:r>
    </w:p>
    <w:p w14:paraId="62658681" w14:textId="4EF77330" w:rsidR="00244294" w:rsidRPr="00657BA6" w:rsidRDefault="00244294" w:rsidP="0014780A">
      <w:pPr>
        <w:spacing w:after="0"/>
        <w:ind w:right="49"/>
        <w:rPr>
          <w:rFonts w:ascii="Arial" w:hAnsi="Arial" w:cs="Arial"/>
        </w:rPr>
      </w:pPr>
      <w:r w:rsidRPr="00657BA6">
        <w:rPr>
          <w:rFonts w:ascii="Arial" w:hAnsi="Arial" w:cs="Arial"/>
        </w:rPr>
        <w:lastRenderedPageBreak/>
        <w:t xml:space="preserve">INVITE </w:t>
      </w:r>
      <w:hyperlink r:id="rId14" w:history="1">
        <w:r w:rsidRPr="00657BA6">
          <w:rPr>
            <w:rStyle w:val="Hipervnculo"/>
            <w:rFonts w:ascii="Arial" w:hAnsi="Arial" w:cs="Arial"/>
          </w:rPr>
          <w:t>sip:&lt;5512345678@operador.mx</w:t>
        </w:r>
      </w:hyperlink>
      <w:r w:rsidRPr="00657BA6">
        <w:rPr>
          <w:rFonts w:ascii="Arial" w:hAnsi="Arial" w:cs="Arial"/>
        </w:rPr>
        <w:t xml:space="preserve"> o dirección ip&gt;;user=phone SIP/2.0</w:t>
      </w:r>
    </w:p>
    <w:p w14:paraId="6BE5F3B4" w14:textId="77777777" w:rsidR="00244294" w:rsidRPr="00657BA6" w:rsidRDefault="00244294" w:rsidP="0014780A">
      <w:pPr>
        <w:spacing w:after="0"/>
        <w:ind w:right="49"/>
        <w:rPr>
          <w:rFonts w:ascii="Arial" w:hAnsi="Arial" w:cs="Arial"/>
          <w:b/>
        </w:rPr>
      </w:pPr>
    </w:p>
    <w:p w14:paraId="6FC32F5B" w14:textId="77777777" w:rsidR="00244294" w:rsidRPr="00657BA6" w:rsidRDefault="00244294" w:rsidP="009640AE">
      <w:pPr>
        <w:pStyle w:val="Prrafodelista"/>
        <w:numPr>
          <w:ilvl w:val="2"/>
          <w:numId w:val="31"/>
        </w:numPr>
        <w:spacing w:line="276" w:lineRule="auto"/>
        <w:ind w:left="709" w:right="49" w:hanging="709"/>
        <w:contextualSpacing/>
        <w:rPr>
          <w:rFonts w:cs="Arial"/>
          <w:b/>
          <w:szCs w:val="22"/>
        </w:rPr>
      </w:pPr>
      <w:r w:rsidRPr="00657BA6">
        <w:rPr>
          <w:rFonts w:cs="Arial"/>
          <w:b/>
          <w:szCs w:val="22"/>
        </w:rPr>
        <w:t>Campos de encabezado método INVITE</w:t>
      </w:r>
    </w:p>
    <w:p w14:paraId="2DFCB6B6" w14:textId="77777777" w:rsidR="00244294" w:rsidRPr="00657BA6" w:rsidRDefault="00244294" w:rsidP="0014780A">
      <w:pPr>
        <w:tabs>
          <w:tab w:val="left" w:pos="1365"/>
        </w:tabs>
        <w:spacing w:after="0"/>
        <w:ind w:right="49"/>
        <w:rPr>
          <w:rFonts w:ascii="Arial" w:hAnsi="Arial" w:cs="Arial"/>
        </w:rPr>
      </w:pPr>
      <w:r w:rsidRPr="00657BA6">
        <w:rPr>
          <w:rFonts w:ascii="Arial" w:hAnsi="Arial" w:cs="Arial"/>
        </w:rPr>
        <w:tab/>
      </w:r>
    </w:p>
    <w:p w14:paraId="52FA394F" w14:textId="77777777" w:rsidR="00244294" w:rsidRPr="00657BA6" w:rsidRDefault="00244294" w:rsidP="0014780A">
      <w:pPr>
        <w:spacing w:after="0"/>
        <w:ind w:right="49"/>
        <w:jc w:val="both"/>
        <w:rPr>
          <w:rFonts w:ascii="Arial" w:hAnsi="Arial" w:cs="Arial"/>
        </w:rPr>
      </w:pPr>
      <w:r w:rsidRPr="00657BA6">
        <w:rPr>
          <w:rFonts w:ascii="Arial" w:hAnsi="Arial" w:cs="Arial"/>
        </w:rPr>
        <w:t>Los campos de encabezado que conformarán la petición INVITE inicial son los siguientes:</w:t>
      </w:r>
    </w:p>
    <w:p w14:paraId="647579B1" w14:textId="77777777" w:rsidR="00244294" w:rsidRPr="00657BA6" w:rsidRDefault="00244294" w:rsidP="0014780A">
      <w:pPr>
        <w:spacing w:after="0"/>
        <w:ind w:right="49"/>
        <w:jc w:val="both"/>
        <w:rPr>
          <w:rFonts w:ascii="Arial" w:hAnsi="Arial" w:cs="Arial"/>
        </w:rPr>
      </w:pPr>
    </w:p>
    <w:tbl>
      <w:tblPr>
        <w:tblStyle w:val="Tabladelista3"/>
        <w:tblW w:w="2236" w:type="pct"/>
        <w:jc w:val="center"/>
        <w:tblLook w:val="00A0" w:firstRow="1" w:lastRow="0" w:firstColumn="1" w:lastColumn="0" w:noHBand="0" w:noVBand="0"/>
      </w:tblPr>
      <w:tblGrid>
        <w:gridCol w:w="563"/>
        <w:gridCol w:w="2303"/>
        <w:gridCol w:w="1312"/>
      </w:tblGrid>
      <w:tr w:rsidR="00244294" w:rsidRPr="00657BA6" w14:paraId="3D49089F" w14:textId="77777777" w:rsidTr="006C794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67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9CA6E05" w14:textId="77777777" w:rsidR="00244294" w:rsidRPr="00657BA6" w:rsidRDefault="00244294" w:rsidP="0014780A">
            <w:pPr>
              <w:spacing w:after="0"/>
              <w:ind w:right="49"/>
              <w:jc w:val="center"/>
              <w:rPr>
                <w:rFonts w:ascii="Arial" w:hAnsi="Arial" w:cs="Arial"/>
                <w:color w:val="auto"/>
                <w:sz w:val="20"/>
                <w:szCs w:val="20"/>
                <w:lang w:eastAsia="es-MX"/>
              </w:rPr>
            </w:pPr>
            <w:r w:rsidRPr="00657BA6">
              <w:rPr>
                <w:rFonts w:ascii="Arial" w:hAnsi="Arial" w:cs="Arial"/>
                <w:color w:val="auto"/>
                <w:sz w:val="20"/>
                <w:szCs w:val="20"/>
                <w:lang w:eastAsia="es-MX"/>
              </w:rPr>
              <w:t>#</w:t>
            </w:r>
          </w:p>
        </w:tc>
        <w:tc>
          <w:tcPr>
            <w:cnfStyle w:val="000010000000" w:firstRow="0" w:lastRow="0" w:firstColumn="0" w:lastColumn="0" w:oddVBand="1" w:evenVBand="0" w:oddHBand="0" w:evenHBand="0" w:firstRowFirstColumn="0" w:firstRowLastColumn="0" w:lastRowFirstColumn="0" w:lastRowLastColumn="0"/>
            <w:tcW w:w="275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5EB6CD1" w14:textId="77777777" w:rsidR="00244294" w:rsidRPr="00657BA6" w:rsidRDefault="00244294" w:rsidP="0014780A">
            <w:pPr>
              <w:spacing w:after="0"/>
              <w:ind w:right="49"/>
              <w:jc w:val="center"/>
              <w:rPr>
                <w:rFonts w:ascii="Arial" w:hAnsi="Arial" w:cs="Arial"/>
                <w:color w:val="auto"/>
                <w:sz w:val="20"/>
                <w:szCs w:val="20"/>
                <w:lang w:eastAsia="es-MX"/>
              </w:rPr>
            </w:pPr>
            <w:r w:rsidRPr="00657BA6">
              <w:rPr>
                <w:rFonts w:ascii="Arial" w:hAnsi="Arial" w:cs="Arial"/>
                <w:color w:val="auto"/>
                <w:sz w:val="20"/>
                <w:szCs w:val="20"/>
                <w:lang w:eastAsia="es-MX"/>
              </w:rPr>
              <w:t>Campo de encabezado</w:t>
            </w:r>
          </w:p>
        </w:tc>
        <w:tc>
          <w:tcPr>
            <w:tcW w:w="157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3BA4DD7" w14:textId="77777777" w:rsidR="00244294" w:rsidRPr="00657BA6" w:rsidRDefault="00244294" w:rsidP="0014780A">
            <w:pPr>
              <w:spacing w:after="0"/>
              <w:ind w:right="49"/>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es-MX"/>
              </w:rPr>
            </w:pPr>
            <w:r w:rsidRPr="00657BA6">
              <w:rPr>
                <w:rFonts w:ascii="Arial" w:hAnsi="Arial" w:cs="Arial"/>
                <w:color w:val="auto"/>
                <w:sz w:val="20"/>
                <w:szCs w:val="20"/>
                <w:lang w:eastAsia="es-MX"/>
              </w:rPr>
              <w:t>Referencia</w:t>
            </w:r>
          </w:p>
        </w:tc>
      </w:tr>
      <w:tr w:rsidR="00244294" w:rsidRPr="00657BA6" w14:paraId="462387E7" w14:textId="77777777" w:rsidTr="006C79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tcBorders>
              <w:top w:val="single" w:sz="4" w:space="0" w:color="000000"/>
            </w:tcBorders>
            <w:shd w:val="clear" w:color="auto" w:fill="D9D9D9" w:themeFill="background1" w:themeFillShade="D9"/>
          </w:tcPr>
          <w:p w14:paraId="35DC9B99" w14:textId="77777777" w:rsidR="00244294" w:rsidRPr="00657BA6" w:rsidRDefault="00244294" w:rsidP="0014780A">
            <w:pPr>
              <w:spacing w:after="0"/>
              <w:ind w:right="49"/>
              <w:jc w:val="center"/>
              <w:rPr>
                <w:rFonts w:ascii="Arial" w:hAnsi="Arial" w:cs="Arial"/>
                <w:sz w:val="20"/>
                <w:szCs w:val="20"/>
              </w:rPr>
            </w:pPr>
            <w:r w:rsidRPr="00657BA6">
              <w:rPr>
                <w:rFonts w:ascii="Arial" w:hAnsi="Arial" w:cs="Arial"/>
                <w:sz w:val="20"/>
                <w:szCs w:val="20"/>
              </w:rPr>
              <w:t>1</w:t>
            </w:r>
          </w:p>
        </w:tc>
        <w:tc>
          <w:tcPr>
            <w:cnfStyle w:val="000010000000" w:firstRow="0" w:lastRow="0" w:firstColumn="0" w:lastColumn="0" w:oddVBand="1" w:evenVBand="0" w:oddHBand="0" w:evenHBand="0" w:firstRowFirstColumn="0" w:firstRowLastColumn="0" w:lastRowFirstColumn="0" w:lastRowLastColumn="0"/>
            <w:tcW w:w="2756" w:type="pct"/>
            <w:tcBorders>
              <w:top w:val="single" w:sz="4" w:space="0" w:color="000000"/>
            </w:tcBorders>
            <w:shd w:val="clear" w:color="auto" w:fill="D9D9D9" w:themeFill="background1" w:themeFillShade="D9"/>
          </w:tcPr>
          <w:p w14:paraId="6B49FC45" w14:textId="77777777" w:rsidR="00244294" w:rsidRPr="00657BA6" w:rsidRDefault="00244294" w:rsidP="0014780A">
            <w:pPr>
              <w:spacing w:after="0"/>
              <w:ind w:right="49"/>
              <w:rPr>
                <w:rFonts w:ascii="Arial" w:hAnsi="Arial" w:cs="Arial"/>
                <w:sz w:val="20"/>
                <w:szCs w:val="20"/>
              </w:rPr>
            </w:pPr>
            <w:r w:rsidRPr="00657BA6">
              <w:rPr>
                <w:rFonts w:ascii="Arial" w:hAnsi="Arial" w:cs="Arial"/>
                <w:sz w:val="20"/>
                <w:szCs w:val="20"/>
              </w:rPr>
              <w:t>Via</w:t>
            </w:r>
          </w:p>
        </w:tc>
        <w:tc>
          <w:tcPr>
            <w:tcW w:w="1570" w:type="pct"/>
            <w:tcBorders>
              <w:top w:val="single" w:sz="4" w:space="0" w:color="000000"/>
            </w:tcBorders>
            <w:shd w:val="clear" w:color="auto" w:fill="D9D9D9" w:themeFill="background1" w:themeFillShade="D9"/>
          </w:tcPr>
          <w:p w14:paraId="105FCC0B" w14:textId="77777777" w:rsidR="00244294" w:rsidRPr="00657BA6" w:rsidRDefault="00244294" w:rsidP="0014780A">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r w:rsidR="00244294" w:rsidRPr="00657BA6" w14:paraId="49B9DA41" w14:textId="77777777" w:rsidTr="006C794D">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5C2194D0" w14:textId="77777777" w:rsidR="00244294" w:rsidRPr="00657BA6" w:rsidRDefault="00244294" w:rsidP="0014780A">
            <w:pPr>
              <w:spacing w:after="0"/>
              <w:ind w:right="49"/>
              <w:jc w:val="center"/>
              <w:rPr>
                <w:rFonts w:ascii="Arial" w:hAnsi="Arial" w:cs="Arial"/>
                <w:sz w:val="20"/>
                <w:szCs w:val="20"/>
              </w:rPr>
            </w:pPr>
            <w:r w:rsidRPr="00657BA6">
              <w:rPr>
                <w:rFonts w:ascii="Arial" w:hAnsi="Arial" w:cs="Arial"/>
                <w:sz w:val="20"/>
                <w:szCs w:val="20"/>
              </w:rPr>
              <w:t>2</w:t>
            </w:r>
          </w:p>
        </w:tc>
        <w:tc>
          <w:tcPr>
            <w:cnfStyle w:val="000010000000" w:firstRow="0" w:lastRow="0" w:firstColumn="0" w:lastColumn="0" w:oddVBand="1" w:evenVBand="0" w:oddHBand="0" w:evenHBand="0" w:firstRowFirstColumn="0" w:firstRowLastColumn="0" w:lastRowFirstColumn="0" w:lastRowLastColumn="0"/>
            <w:tcW w:w="2756" w:type="pct"/>
          </w:tcPr>
          <w:p w14:paraId="0F56DEFC" w14:textId="77777777" w:rsidR="00244294" w:rsidRPr="00657BA6" w:rsidRDefault="00244294" w:rsidP="0014780A">
            <w:pPr>
              <w:spacing w:after="0"/>
              <w:ind w:right="49"/>
              <w:rPr>
                <w:rFonts w:ascii="Arial" w:hAnsi="Arial" w:cs="Arial"/>
                <w:sz w:val="20"/>
                <w:szCs w:val="20"/>
              </w:rPr>
            </w:pPr>
            <w:r w:rsidRPr="00657BA6">
              <w:rPr>
                <w:rFonts w:ascii="Arial" w:hAnsi="Arial" w:cs="Arial"/>
                <w:sz w:val="20"/>
                <w:szCs w:val="20"/>
              </w:rPr>
              <w:t>Supported</w:t>
            </w:r>
          </w:p>
        </w:tc>
        <w:tc>
          <w:tcPr>
            <w:tcW w:w="1570" w:type="pct"/>
          </w:tcPr>
          <w:p w14:paraId="12B520D9" w14:textId="77777777" w:rsidR="00244294" w:rsidRPr="00657BA6" w:rsidRDefault="00244294" w:rsidP="0014780A">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r w:rsidR="00244294" w:rsidRPr="00657BA6" w14:paraId="5CCE6FA8" w14:textId="77777777" w:rsidTr="006C79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79F6DD01" w14:textId="77777777" w:rsidR="00244294" w:rsidRPr="00657BA6" w:rsidRDefault="00244294" w:rsidP="0014780A">
            <w:pPr>
              <w:spacing w:after="0"/>
              <w:ind w:right="49"/>
              <w:jc w:val="center"/>
              <w:rPr>
                <w:rFonts w:ascii="Arial" w:hAnsi="Arial" w:cs="Arial"/>
                <w:sz w:val="20"/>
                <w:szCs w:val="20"/>
              </w:rPr>
            </w:pPr>
            <w:r w:rsidRPr="00657BA6">
              <w:rPr>
                <w:rFonts w:ascii="Arial" w:hAnsi="Arial" w:cs="Arial"/>
                <w:sz w:val="20"/>
                <w:szCs w:val="20"/>
              </w:rPr>
              <w:t>3</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0E897710" w14:textId="77777777" w:rsidR="00244294" w:rsidRPr="00657BA6" w:rsidRDefault="00244294" w:rsidP="0014780A">
            <w:pPr>
              <w:spacing w:after="0"/>
              <w:ind w:right="49"/>
              <w:rPr>
                <w:rFonts w:ascii="Arial" w:hAnsi="Arial" w:cs="Arial"/>
                <w:sz w:val="20"/>
                <w:szCs w:val="20"/>
              </w:rPr>
            </w:pPr>
            <w:r w:rsidRPr="00657BA6">
              <w:rPr>
                <w:rFonts w:ascii="Arial" w:hAnsi="Arial" w:cs="Arial"/>
                <w:sz w:val="20"/>
                <w:szCs w:val="20"/>
              </w:rPr>
              <w:t>Session-Expires</w:t>
            </w:r>
          </w:p>
        </w:tc>
        <w:tc>
          <w:tcPr>
            <w:tcW w:w="1570" w:type="pct"/>
            <w:shd w:val="clear" w:color="auto" w:fill="D9D9D9" w:themeFill="background1" w:themeFillShade="D9"/>
          </w:tcPr>
          <w:p w14:paraId="4AA9527D" w14:textId="77777777" w:rsidR="00244294" w:rsidRPr="00657BA6" w:rsidRDefault="00244294" w:rsidP="0014780A">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7BA6">
              <w:rPr>
                <w:rFonts w:ascii="Arial" w:hAnsi="Arial" w:cs="Arial"/>
                <w:sz w:val="20"/>
                <w:szCs w:val="20"/>
              </w:rPr>
              <w:t>RFC 4028</w:t>
            </w:r>
            <w:r w:rsidRPr="00657BA6">
              <w:rPr>
                <w:rStyle w:val="Refdenotaalpie"/>
                <w:rFonts w:ascii="Arial" w:hAnsi="Arial" w:cs="Arial"/>
                <w:sz w:val="20"/>
                <w:szCs w:val="20"/>
              </w:rPr>
              <w:footnoteReference w:id="6"/>
            </w:r>
          </w:p>
        </w:tc>
      </w:tr>
      <w:tr w:rsidR="00244294" w:rsidRPr="00657BA6" w14:paraId="20BB0FC3" w14:textId="77777777" w:rsidTr="006C794D">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769E6F99" w14:textId="77777777" w:rsidR="00244294" w:rsidRPr="00657BA6" w:rsidRDefault="00244294" w:rsidP="0014780A">
            <w:pPr>
              <w:spacing w:after="0"/>
              <w:ind w:right="49"/>
              <w:jc w:val="center"/>
              <w:rPr>
                <w:rFonts w:ascii="Arial" w:hAnsi="Arial" w:cs="Arial"/>
                <w:sz w:val="20"/>
                <w:szCs w:val="20"/>
              </w:rPr>
            </w:pPr>
            <w:r w:rsidRPr="00657BA6">
              <w:rPr>
                <w:rFonts w:ascii="Arial" w:hAnsi="Arial" w:cs="Arial"/>
                <w:sz w:val="20"/>
                <w:szCs w:val="20"/>
              </w:rPr>
              <w:t>4</w:t>
            </w:r>
          </w:p>
        </w:tc>
        <w:tc>
          <w:tcPr>
            <w:cnfStyle w:val="000010000000" w:firstRow="0" w:lastRow="0" w:firstColumn="0" w:lastColumn="0" w:oddVBand="1" w:evenVBand="0" w:oddHBand="0" w:evenHBand="0" w:firstRowFirstColumn="0" w:firstRowLastColumn="0" w:lastRowFirstColumn="0" w:lastRowLastColumn="0"/>
            <w:tcW w:w="2756" w:type="pct"/>
          </w:tcPr>
          <w:p w14:paraId="372C2C2E" w14:textId="77777777" w:rsidR="00244294" w:rsidRPr="00657BA6" w:rsidRDefault="00244294" w:rsidP="0014780A">
            <w:pPr>
              <w:spacing w:after="0"/>
              <w:ind w:right="49"/>
              <w:rPr>
                <w:rFonts w:ascii="Arial" w:hAnsi="Arial" w:cs="Arial"/>
                <w:sz w:val="20"/>
                <w:szCs w:val="20"/>
              </w:rPr>
            </w:pPr>
            <w:r w:rsidRPr="00657BA6">
              <w:rPr>
                <w:rFonts w:ascii="Arial" w:hAnsi="Arial" w:cs="Arial"/>
                <w:sz w:val="20"/>
                <w:szCs w:val="20"/>
              </w:rPr>
              <w:t>Min-SE</w:t>
            </w:r>
          </w:p>
        </w:tc>
        <w:tc>
          <w:tcPr>
            <w:tcW w:w="1570" w:type="pct"/>
          </w:tcPr>
          <w:p w14:paraId="34A7B442" w14:textId="77777777" w:rsidR="00244294" w:rsidRPr="00657BA6" w:rsidRDefault="00244294" w:rsidP="0014780A">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7BA6">
              <w:rPr>
                <w:rFonts w:ascii="Arial" w:hAnsi="Arial" w:cs="Arial"/>
                <w:sz w:val="20"/>
                <w:szCs w:val="20"/>
              </w:rPr>
              <w:t>RFC 4028</w:t>
            </w:r>
          </w:p>
        </w:tc>
      </w:tr>
      <w:tr w:rsidR="00244294" w:rsidRPr="00657BA6" w14:paraId="20EB4167" w14:textId="77777777" w:rsidTr="006C79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43585FC4" w14:textId="77777777" w:rsidR="00244294" w:rsidRPr="00657BA6" w:rsidRDefault="00244294" w:rsidP="0014780A">
            <w:pPr>
              <w:spacing w:after="0"/>
              <w:ind w:right="49"/>
              <w:jc w:val="center"/>
              <w:rPr>
                <w:rFonts w:ascii="Arial" w:hAnsi="Arial" w:cs="Arial"/>
                <w:sz w:val="20"/>
                <w:szCs w:val="20"/>
              </w:rPr>
            </w:pPr>
            <w:r w:rsidRPr="00657BA6">
              <w:rPr>
                <w:rFonts w:ascii="Arial" w:hAnsi="Arial" w:cs="Arial"/>
                <w:sz w:val="20"/>
                <w:szCs w:val="20"/>
              </w:rPr>
              <w:t>5</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305EB753" w14:textId="77777777" w:rsidR="00244294" w:rsidRPr="00657BA6" w:rsidRDefault="00244294" w:rsidP="0014780A">
            <w:pPr>
              <w:spacing w:after="0"/>
              <w:ind w:right="49"/>
              <w:rPr>
                <w:rFonts w:ascii="Arial" w:hAnsi="Arial" w:cs="Arial"/>
                <w:sz w:val="20"/>
                <w:szCs w:val="20"/>
              </w:rPr>
            </w:pPr>
            <w:r w:rsidRPr="00657BA6">
              <w:rPr>
                <w:rFonts w:ascii="Arial" w:hAnsi="Arial" w:cs="Arial"/>
                <w:sz w:val="20"/>
                <w:szCs w:val="20"/>
              </w:rPr>
              <w:t>Max-Forwards</w:t>
            </w:r>
          </w:p>
        </w:tc>
        <w:tc>
          <w:tcPr>
            <w:tcW w:w="1570" w:type="pct"/>
            <w:shd w:val="clear" w:color="auto" w:fill="D9D9D9" w:themeFill="background1" w:themeFillShade="D9"/>
          </w:tcPr>
          <w:p w14:paraId="3CABABD1" w14:textId="77777777" w:rsidR="00244294" w:rsidRPr="00657BA6" w:rsidRDefault="00244294" w:rsidP="0014780A">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r w:rsidR="00244294" w:rsidRPr="00657BA6" w14:paraId="09780B98" w14:textId="77777777" w:rsidTr="006C794D">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7C38C30A" w14:textId="77777777" w:rsidR="00244294" w:rsidRPr="00657BA6" w:rsidRDefault="00244294" w:rsidP="0014780A">
            <w:pPr>
              <w:spacing w:after="0"/>
              <w:ind w:right="49"/>
              <w:jc w:val="center"/>
              <w:rPr>
                <w:rFonts w:ascii="Arial" w:hAnsi="Arial" w:cs="Arial"/>
                <w:sz w:val="20"/>
                <w:szCs w:val="20"/>
              </w:rPr>
            </w:pPr>
            <w:r w:rsidRPr="00657BA6">
              <w:rPr>
                <w:rFonts w:ascii="Arial" w:hAnsi="Arial" w:cs="Arial"/>
                <w:sz w:val="20"/>
                <w:szCs w:val="20"/>
              </w:rPr>
              <w:t>6</w:t>
            </w:r>
          </w:p>
        </w:tc>
        <w:tc>
          <w:tcPr>
            <w:cnfStyle w:val="000010000000" w:firstRow="0" w:lastRow="0" w:firstColumn="0" w:lastColumn="0" w:oddVBand="1" w:evenVBand="0" w:oddHBand="0" w:evenHBand="0" w:firstRowFirstColumn="0" w:firstRowLastColumn="0" w:lastRowFirstColumn="0" w:lastRowLastColumn="0"/>
            <w:tcW w:w="2756" w:type="pct"/>
          </w:tcPr>
          <w:p w14:paraId="289F406F" w14:textId="77777777" w:rsidR="00244294" w:rsidRPr="00657BA6" w:rsidRDefault="00244294" w:rsidP="0014780A">
            <w:pPr>
              <w:spacing w:after="0"/>
              <w:ind w:right="49"/>
              <w:rPr>
                <w:rFonts w:ascii="Arial" w:hAnsi="Arial" w:cs="Arial"/>
                <w:sz w:val="20"/>
                <w:szCs w:val="20"/>
              </w:rPr>
            </w:pPr>
            <w:r w:rsidRPr="00657BA6">
              <w:rPr>
                <w:rFonts w:ascii="Arial" w:hAnsi="Arial" w:cs="Arial"/>
                <w:sz w:val="20"/>
                <w:szCs w:val="20"/>
              </w:rPr>
              <w:t>To</w:t>
            </w:r>
          </w:p>
        </w:tc>
        <w:tc>
          <w:tcPr>
            <w:tcW w:w="1570" w:type="pct"/>
          </w:tcPr>
          <w:p w14:paraId="0077A816" w14:textId="77777777" w:rsidR="00244294" w:rsidRPr="00657BA6" w:rsidRDefault="00244294" w:rsidP="0014780A">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r w:rsidR="00244294" w:rsidRPr="00657BA6" w14:paraId="1D190365" w14:textId="77777777" w:rsidTr="006C79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5D617127" w14:textId="77777777" w:rsidR="00244294" w:rsidRPr="00657BA6" w:rsidRDefault="00244294" w:rsidP="0014780A">
            <w:pPr>
              <w:spacing w:after="0"/>
              <w:ind w:right="49"/>
              <w:jc w:val="center"/>
              <w:rPr>
                <w:rFonts w:ascii="Arial" w:hAnsi="Arial" w:cs="Arial"/>
                <w:sz w:val="20"/>
                <w:szCs w:val="20"/>
              </w:rPr>
            </w:pPr>
            <w:r w:rsidRPr="00657BA6">
              <w:rPr>
                <w:rFonts w:ascii="Arial" w:hAnsi="Arial" w:cs="Arial"/>
                <w:sz w:val="20"/>
                <w:szCs w:val="20"/>
              </w:rPr>
              <w:t>7</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7E3ECD94" w14:textId="77777777" w:rsidR="00244294" w:rsidRPr="00657BA6" w:rsidRDefault="00244294" w:rsidP="0014780A">
            <w:pPr>
              <w:spacing w:after="0"/>
              <w:ind w:right="49"/>
              <w:rPr>
                <w:rFonts w:ascii="Arial" w:hAnsi="Arial" w:cs="Arial"/>
                <w:sz w:val="20"/>
                <w:szCs w:val="20"/>
              </w:rPr>
            </w:pPr>
            <w:r w:rsidRPr="00657BA6">
              <w:rPr>
                <w:rFonts w:ascii="Arial" w:hAnsi="Arial" w:cs="Arial"/>
                <w:sz w:val="20"/>
                <w:szCs w:val="20"/>
              </w:rPr>
              <w:t>From</w:t>
            </w:r>
          </w:p>
        </w:tc>
        <w:tc>
          <w:tcPr>
            <w:tcW w:w="1570" w:type="pct"/>
            <w:shd w:val="clear" w:color="auto" w:fill="D9D9D9" w:themeFill="background1" w:themeFillShade="D9"/>
          </w:tcPr>
          <w:p w14:paraId="4A619835" w14:textId="77777777" w:rsidR="00244294" w:rsidRPr="00657BA6" w:rsidRDefault="00244294" w:rsidP="0014780A">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r w:rsidR="00244294" w:rsidRPr="00657BA6" w14:paraId="3B81DAC5" w14:textId="77777777" w:rsidTr="006C794D">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63A400DF" w14:textId="77777777" w:rsidR="00244294" w:rsidRPr="00657BA6" w:rsidRDefault="00244294" w:rsidP="0014780A">
            <w:pPr>
              <w:spacing w:after="0"/>
              <w:ind w:right="49"/>
              <w:jc w:val="center"/>
              <w:rPr>
                <w:rFonts w:ascii="Arial" w:hAnsi="Arial" w:cs="Arial"/>
                <w:sz w:val="20"/>
                <w:szCs w:val="20"/>
              </w:rPr>
            </w:pPr>
            <w:r w:rsidRPr="00657BA6">
              <w:rPr>
                <w:rFonts w:ascii="Arial" w:hAnsi="Arial" w:cs="Arial"/>
                <w:sz w:val="20"/>
                <w:szCs w:val="20"/>
              </w:rPr>
              <w:t>8</w:t>
            </w:r>
          </w:p>
        </w:tc>
        <w:tc>
          <w:tcPr>
            <w:cnfStyle w:val="000010000000" w:firstRow="0" w:lastRow="0" w:firstColumn="0" w:lastColumn="0" w:oddVBand="1" w:evenVBand="0" w:oddHBand="0" w:evenHBand="0" w:firstRowFirstColumn="0" w:firstRowLastColumn="0" w:lastRowFirstColumn="0" w:lastRowLastColumn="0"/>
            <w:tcW w:w="2756" w:type="pct"/>
          </w:tcPr>
          <w:p w14:paraId="25C25A48" w14:textId="77777777" w:rsidR="00244294" w:rsidRPr="00657BA6" w:rsidRDefault="00244294" w:rsidP="0014780A">
            <w:pPr>
              <w:spacing w:after="0"/>
              <w:ind w:right="49"/>
              <w:rPr>
                <w:rFonts w:ascii="Arial" w:hAnsi="Arial" w:cs="Arial"/>
                <w:sz w:val="20"/>
                <w:szCs w:val="20"/>
              </w:rPr>
            </w:pPr>
            <w:r w:rsidRPr="00657BA6">
              <w:rPr>
                <w:rFonts w:ascii="Arial" w:hAnsi="Arial" w:cs="Arial"/>
                <w:sz w:val="20"/>
                <w:szCs w:val="20"/>
              </w:rPr>
              <w:t>Call-ID</w:t>
            </w:r>
          </w:p>
        </w:tc>
        <w:tc>
          <w:tcPr>
            <w:tcW w:w="1570" w:type="pct"/>
          </w:tcPr>
          <w:p w14:paraId="2C0E4BE2" w14:textId="77777777" w:rsidR="00244294" w:rsidRPr="00657BA6" w:rsidRDefault="00244294" w:rsidP="0014780A">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r w:rsidR="00244294" w:rsidRPr="00657BA6" w14:paraId="32306DA8" w14:textId="77777777" w:rsidTr="006C79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7FB27DD8" w14:textId="77777777" w:rsidR="00244294" w:rsidRPr="00657BA6" w:rsidRDefault="00244294" w:rsidP="0014780A">
            <w:pPr>
              <w:spacing w:after="0"/>
              <w:ind w:right="49"/>
              <w:jc w:val="center"/>
              <w:rPr>
                <w:rFonts w:ascii="Arial" w:hAnsi="Arial" w:cs="Arial"/>
                <w:sz w:val="20"/>
                <w:szCs w:val="20"/>
              </w:rPr>
            </w:pPr>
            <w:r w:rsidRPr="00657BA6">
              <w:rPr>
                <w:rFonts w:ascii="Arial" w:hAnsi="Arial" w:cs="Arial"/>
                <w:sz w:val="20"/>
                <w:szCs w:val="20"/>
              </w:rPr>
              <w:t>9</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7D92D634" w14:textId="5BA0CA19" w:rsidR="00244294" w:rsidRPr="00657BA6" w:rsidRDefault="00244294" w:rsidP="0014780A">
            <w:pPr>
              <w:spacing w:after="0"/>
              <w:ind w:right="49"/>
              <w:rPr>
                <w:rFonts w:ascii="Arial" w:hAnsi="Arial" w:cs="Arial"/>
                <w:sz w:val="20"/>
                <w:szCs w:val="20"/>
              </w:rPr>
            </w:pPr>
            <w:r w:rsidRPr="00657BA6">
              <w:rPr>
                <w:rFonts w:ascii="Arial" w:hAnsi="Arial" w:cs="Arial"/>
                <w:sz w:val="20"/>
                <w:szCs w:val="20"/>
              </w:rPr>
              <w:t>C</w:t>
            </w:r>
            <w:r w:rsidR="001626BC" w:rsidRPr="00657BA6">
              <w:rPr>
                <w:rFonts w:ascii="Arial" w:hAnsi="Arial" w:cs="Arial"/>
                <w:sz w:val="20"/>
                <w:szCs w:val="20"/>
              </w:rPr>
              <w:t>s</w:t>
            </w:r>
            <w:r w:rsidRPr="00657BA6">
              <w:rPr>
                <w:rFonts w:ascii="Arial" w:hAnsi="Arial" w:cs="Arial"/>
                <w:sz w:val="20"/>
                <w:szCs w:val="20"/>
              </w:rPr>
              <w:t>eq</w:t>
            </w:r>
          </w:p>
        </w:tc>
        <w:tc>
          <w:tcPr>
            <w:tcW w:w="1570" w:type="pct"/>
            <w:shd w:val="clear" w:color="auto" w:fill="D9D9D9" w:themeFill="background1" w:themeFillShade="D9"/>
          </w:tcPr>
          <w:p w14:paraId="05308A25" w14:textId="77777777" w:rsidR="00244294" w:rsidRPr="00657BA6" w:rsidRDefault="00244294" w:rsidP="0014780A">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r w:rsidR="00244294" w:rsidRPr="00657BA6" w14:paraId="12810049" w14:textId="77777777" w:rsidTr="006C794D">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06EB9310" w14:textId="77777777" w:rsidR="00244294" w:rsidRPr="00657BA6" w:rsidRDefault="00244294" w:rsidP="0014780A">
            <w:pPr>
              <w:spacing w:after="0"/>
              <w:ind w:right="49"/>
              <w:jc w:val="center"/>
              <w:rPr>
                <w:rFonts w:ascii="Arial" w:hAnsi="Arial" w:cs="Arial"/>
                <w:sz w:val="20"/>
                <w:szCs w:val="20"/>
              </w:rPr>
            </w:pPr>
            <w:r w:rsidRPr="00657BA6">
              <w:rPr>
                <w:rFonts w:ascii="Arial" w:hAnsi="Arial" w:cs="Arial"/>
                <w:sz w:val="20"/>
                <w:szCs w:val="20"/>
              </w:rPr>
              <w:t>10</w:t>
            </w:r>
          </w:p>
        </w:tc>
        <w:tc>
          <w:tcPr>
            <w:cnfStyle w:val="000010000000" w:firstRow="0" w:lastRow="0" w:firstColumn="0" w:lastColumn="0" w:oddVBand="1" w:evenVBand="0" w:oddHBand="0" w:evenHBand="0" w:firstRowFirstColumn="0" w:firstRowLastColumn="0" w:lastRowFirstColumn="0" w:lastRowLastColumn="0"/>
            <w:tcW w:w="2756" w:type="pct"/>
          </w:tcPr>
          <w:p w14:paraId="167575CD" w14:textId="77777777" w:rsidR="00244294" w:rsidRPr="00657BA6" w:rsidRDefault="00244294" w:rsidP="0014780A">
            <w:pPr>
              <w:spacing w:after="0"/>
              <w:ind w:right="49"/>
              <w:rPr>
                <w:rFonts w:ascii="Arial" w:hAnsi="Arial" w:cs="Arial"/>
                <w:sz w:val="20"/>
                <w:szCs w:val="20"/>
              </w:rPr>
            </w:pPr>
            <w:r w:rsidRPr="00657BA6">
              <w:rPr>
                <w:rFonts w:ascii="Arial" w:hAnsi="Arial" w:cs="Arial"/>
                <w:sz w:val="20"/>
                <w:szCs w:val="20"/>
              </w:rPr>
              <w:t>Contact</w:t>
            </w:r>
          </w:p>
        </w:tc>
        <w:tc>
          <w:tcPr>
            <w:tcW w:w="1570" w:type="pct"/>
          </w:tcPr>
          <w:p w14:paraId="3334FAA9" w14:textId="77777777" w:rsidR="00244294" w:rsidRPr="00657BA6" w:rsidRDefault="00244294" w:rsidP="0014780A">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r w:rsidR="00244294" w:rsidRPr="00657BA6" w14:paraId="24A479B9" w14:textId="77777777" w:rsidTr="006C79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79F4B0A8" w14:textId="77777777" w:rsidR="00244294" w:rsidRPr="00657BA6" w:rsidRDefault="00244294" w:rsidP="0014780A">
            <w:pPr>
              <w:spacing w:after="0"/>
              <w:ind w:right="49"/>
              <w:jc w:val="center"/>
              <w:rPr>
                <w:rFonts w:ascii="Arial" w:hAnsi="Arial" w:cs="Arial"/>
                <w:sz w:val="20"/>
                <w:szCs w:val="20"/>
              </w:rPr>
            </w:pPr>
            <w:r w:rsidRPr="00657BA6">
              <w:rPr>
                <w:rFonts w:ascii="Arial" w:hAnsi="Arial" w:cs="Arial"/>
                <w:sz w:val="20"/>
                <w:szCs w:val="20"/>
              </w:rPr>
              <w:t>11</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3B2A0974" w14:textId="77777777" w:rsidR="00244294" w:rsidRPr="00657BA6" w:rsidRDefault="00244294" w:rsidP="0014780A">
            <w:pPr>
              <w:spacing w:after="0"/>
              <w:ind w:right="49"/>
              <w:rPr>
                <w:rFonts w:ascii="Arial" w:hAnsi="Arial" w:cs="Arial"/>
                <w:sz w:val="20"/>
                <w:szCs w:val="20"/>
              </w:rPr>
            </w:pPr>
            <w:r w:rsidRPr="00657BA6">
              <w:rPr>
                <w:rFonts w:ascii="Arial" w:hAnsi="Arial" w:cs="Arial"/>
                <w:sz w:val="20"/>
                <w:szCs w:val="20"/>
              </w:rPr>
              <w:t>Content-Type</w:t>
            </w:r>
          </w:p>
        </w:tc>
        <w:tc>
          <w:tcPr>
            <w:tcW w:w="1570" w:type="pct"/>
            <w:shd w:val="clear" w:color="auto" w:fill="D9D9D9" w:themeFill="background1" w:themeFillShade="D9"/>
          </w:tcPr>
          <w:p w14:paraId="56B97AAF" w14:textId="77777777" w:rsidR="00244294" w:rsidRPr="00657BA6" w:rsidRDefault="00244294" w:rsidP="0014780A">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r w:rsidR="00244294" w:rsidRPr="00657BA6" w14:paraId="05DCBD50" w14:textId="77777777" w:rsidTr="006C794D">
        <w:trPr>
          <w:jc w:val="center"/>
        </w:trPr>
        <w:tc>
          <w:tcPr>
            <w:cnfStyle w:val="001000000000" w:firstRow="0" w:lastRow="0" w:firstColumn="1" w:lastColumn="0" w:oddVBand="0" w:evenVBand="0" w:oddHBand="0" w:evenHBand="0" w:firstRowFirstColumn="0" w:firstRowLastColumn="0" w:lastRowFirstColumn="0" w:lastRowLastColumn="0"/>
            <w:tcW w:w="674" w:type="pct"/>
          </w:tcPr>
          <w:p w14:paraId="54DE6222" w14:textId="77777777" w:rsidR="00244294" w:rsidRPr="00657BA6" w:rsidRDefault="00244294" w:rsidP="0014780A">
            <w:pPr>
              <w:spacing w:after="0"/>
              <w:ind w:right="49"/>
              <w:jc w:val="center"/>
              <w:rPr>
                <w:rFonts w:ascii="Arial" w:hAnsi="Arial" w:cs="Arial"/>
                <w:sz w:val="20"/>
                <w:szCs w:val="20"/>
              </w:rPr>
            </w:pPr>
            <w:r w:rsidRPr="00657BA6">
              <w:rPr>
                <w:rFonts w:ascii="Arial" w:hAnsi="Arial" w:cs="Arial"/>
                <w:sz w:val="20"/>
                <w:szCs w:val="20"/>
              </w:rPr>
              <w:t>12</w:t>
            </w:r>
          </w:p>
        </w:tc>
        <w:tc>
          <w:tcPr>
            <w:cnfStyle w:val="000010000000" w:firstRow="0" w:lastRow="0" w:firstColumn="0" w:lastColumn="0" w:oddVBand="1" w:evenVBand="0" w:oddHBand="0" w:evenHBand="0" w:firstRowFirstColumn="0" w:firstRowLastColumn="0" w:lastRowFirstColumn="0" w:lastRowLastColumn="0"/>
            <w:tcW w:w="2756" w:type="pct"/>
          </w:tcPr>
          <w:p w14:paraId="72678778" w14:textId="77777777" w:rsidR="00244294" w:rsidRPr="00657BA6" w:rsidRDefault="00244294" w:rsidP="0014780A">
            <w:pPr>
              <w:spacing w:after="0"/>
              <w:ind w:right="49"/>
              <w:rPr>
                <w:rFonts w:ascii="Arial" w:hAnsi="Arial" w:cs="Arial"/>
                <w:sz w:val="20"/>
                <w:szCs w:val="20"/>
              </w:rPr>
            </w:pPr>
            <w:r w:rsidRPr="00657BA6">
              <w:rPr>
                <w:rFonts w:ascii="Arial" w:hAnsi="Arial" w:cs="Arial"/>
                <w:sz w:val="20"/>
                <w:szCs w:val="20"/>
              </w:rPr>
              <w:t>Content-Length</w:t>
            </w:r>
          </w:p>
        </w:tc>
        <w:tc>
          <w:tcPr>
            <w:tcW w:w="1570" w:type="pct"/>
          </w:tcPr>
          <w:p w14:paraId="08C4EDA0" w14:textId="77777777" w:rsidR="00244294" w:rsidRPr="00657BA6" w:rsidRDefault="00244294" w:rsidP="0014780A">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r w:rsidR="00244294" w:rsidRPr="00657BA6" w14:paraId="17D2250F" w14:textId="77777777" w:rsidTr="006C79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4" w:type="pct"/>
            <w:shd w:val="clear" w:color="auto" w:fill="D9D9D9" w:themeFill="background1" w:themeFillShade="D9"/>
          </w:tcPr>
          <w:p w14:paraId="005763A8" w14:textId="77777777" w:rsidR="00244294" w:rsidRPr="00657BA6" w:rsidRDefault="00244294" w:rsidP="0014780A">
            <w:pPr>
              <w:spacing w:after="0"/>
              <w:ind w:right="49"/>
              <w:jc w:val="center"/>
              <w:rPr>
                <w:rFonts w:ascii="Arial" w:hAnsi="Arial" w:cs="Arial"/>
                <w:sz w:val="20"/>
                <w:szCs w:val="20"/>
              </w:rPr>
            </w:pPr>
            <w:r w:rsidRPr="00657BA6">
              <w:rPr>
                <w:rFonts w:ascii="Arial" w:hAnsi="Arial" w:cs="Arial"/>
                <w:sz w:val="20"/>
                <w:szCs w:val="20"/>
              </w:rPr>
              <w:t>13</w:t>
            </w:r>
          </w:p>
        </w:tc>
        <w:tc>
          <w:tcPr>
            <w:cnfStyle w:val="000010000000" w:firstRow="0" w:lastRow="0" w:firstColumn="0" w:lastColumn="0" w:oddVBand="1" w:evenVBand="0" w:oddHBand="0" w:evenHBand="0" w:firstRowFirstColumn="0" w:firstRowLastColumn="0" w:lastRowFirstColumn="0" w:lastRowLastColumn="0"/>
            <w:tcW w:w="2756" w:type="pct"/>
            <w:shd w:val="clear" w:color="auto" w:fill="D9D9D9" w:themeFill="background1" w:themeFillShade="D9"/>
          </w:tcPr>
          <w:p w14:paraId="3396E359" w14:textId="77777777" w:rsidR="00244294" w:rsidRPr="00657BA6" w:rsidRDefault="00244294" w:rsidP="0014780A">
            <w:pPr>
              <w:spacing w:after="0"/>
              <w:ind w:right="49"/>
              <w:rPr>
                <w:rFonts w:ascii="Arial" w:hAnsi="Arial" w:cs="Arial"/>
                <w:sz w:val="20"/>
                <w:szCs w:val="20"/>
              </w:rPr>
            </w:pPr>
            <w:r w:rsidRPr="00657BA6">
              <w:rPr>
                <w:rFonts w:ascii="Arial" w:hAnsi="Arial" w:cs="Arial"/>
                <w:sz w:val="20"/>
                <w:szCs w:val="20"/>
              </w:rPr>
              <w:t>Allow</w:t>
            </w:r>
          </w:p>
        </w:tc>
        <w:tc>
          <w:tcPr>
            <w:tcW w:w="1570" w:type="pct"/>
            <w:shd w:val="clear" w:color="auto" w:fill="D9D9D9" w:themeFill="background1" w:themeFillShade="D9"/>
          </w:tcPr>
          <w:p w14:paraId="3E9C9377" w14:textId="77777777" w:rsidR="00244294" w:rsidRPr="00657BA6" w:rsidRDefault="00244294" w:rsidP="0014780A">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7BA6">
              <w:rPr>
                <w:rFonts w:ascii="Arial" w:hAnsi="Arial" w:cs="Arial"/>
                <w:sz w:val="20"/>
                <w:szCs w:val="20"/>
              </w:rPr>
              <w:t>RFC 3261</w:t>
            </w:r>
          </w:p>
        </w:tc>
      </w:tr>
    </w:tbl>
    <w:p w14:paraId="73E46858" w14:textId="77777777" w:rsidR="00244294" w:rsidRPr="00657BA6" w:rsidRDefault="00244294" w:rsidP="0014780A">
      <w:pPr>
        <w:spacing w:after="0"/>
        <w:ind w:right="49"/>
        <w:jc w:val="center"/>
        <w:rPr>
          <w:rFonts w:ascii="Arial" w:hAnsi="Arial" w:cs="Arial"/>
          <w:sz w:val="18"/>
          <w:szCs w:val="18"/>
        </w:rPr>
      </w:pPr>
      <w:r w:rsidRPr="00657BA6">
        <w:rPr>
          <w:rFonts w:ascii="Arial" w:hAnsi="Arial" w:cs="Arial"/>
          <w:sz w:val="18"/>
          <w:szCs w:val="18"/>
        </w:rPr>
        <w:t>Tabla 2. Campos de encabezado método INVITE.</w:t>
      </w:r>
    </w:p>
    <w:p w14:paraId="1C83E524" w14:textId="77777777" w:rsidR="00244294" w:rsidRPr="00657BA6" w:rsidRDefault="00244294" w:rsidP="0014780A">
      <w:pPr>
        <w:spacing w:after="0"/>
        <w:ind w:right="49"/>
        <w:jc w:val="both"/>
        <w:rPr>
          <w:rFonts w:ascii="Arial" w:hAnsi="Arial" w:cs="Arial"/>
        </w:rPr>
      </w:pPr>
    </w:p>
    <w:p w14:paraId="0AFA6295" w14:textId="77777777" w:rsidR="00244294" w:rsidRPr="00657BA6" w:rsidRDefault="00244294" w:rsidP="0014780A">
      <w:pPr>
        <w:spacing w:after="0"/>
        <w:ind w:right="49"/>
        <w:jc w:val="both"/>
        <w:rPr>
          <w:rFonts w:ascii="Arial" w:hAnsi="Arial" w:cs="Arial"/>
        </w:rPr>
      </w:pPr>
      <w:r w:rsidRPr="00657BA6">
        <w:rPr>
          <w:rFonts w:ascii="Arial" w:hAnsi="Arial" w:cs="Arial"/>
        </w:rPr>
        <w:t>La contestación a la petición INVITE será la respuesta SIP 100 “Intentando”, siempre que dicha petición progrese con éxito.</w:t>
      </w:r>
    </w:p>
    <w:p w14:paraId="42A4B310" w14:textId="77777777" w:rsidR="00244294" w:rsidRPr="00657BA6" w:rsidRDefault="00244294" w:rsidP="0014780A">
      <w:pPr>
        <w:spacing w:after="0"/>
        <w:ind w:right="49"/>
        <w:rPr>
          <w:rFonts w:ascii="Arial" w:hAnsi="Arial" w:cs="Arial"/>
        </w:rPr>
      </w:pPr>
    </w:p>
    <w:p w14:paraId="2C223F19" w14:textId="77777777" w:rsidR="00244294" w:rsidRPr="00657BA6" w:rsidRDefault="00244294" w:rsidP="009640AE">
      <w:pPr>
        <w:pStyle w:val="Prrafodelista"/>
        <w:numPr>
          <w:ilvl w:val="2"/>
          <w:numId w:val="31"/>
        </w:numPr>
        <w:spacing w:line="276" w:lineRule="auto"/>
        <w:ind w:left="709" w:right="49" w:hanging="709"/>
        <w:contextualSpacing/>
        <w:rPr>
          <w:rFonts w:cs="Arial"/>
          <w:b/>
          <w:szCs w:val="22"/>
        </w:rPr>
      </w:pPr>
      <w:r w:rsidRPr="00657BA6">
        <w:rPr>
          <w:rFonts w:cs="Arial"/>
          <w:b/>
          <w:szCs w:val="22"/>
        </w:rPr>
        <w:t>Encabezados adicionales SIP aplicables para sesiones de VoIP</w:t>
      </w:r>
    </w:p>
    <w:p w14:paraId="38DB7ADF" w14:textId="77777777" w:rsidR="00244294" w:rsidRPr="00657BA6" w:rsidRDefault="00244294" w:rsidP="0014780A">
      <w:pPr>
        <w:spacing w:after="0"/>
        <w:ind w:right="49"/>
        <w:rPr>
          <w:rFonts w:ascii="Arial" w:hAnsi="Arial" w:cs="Arial"/>
        </w:rPr>
      </w:pPr>
    </w:p>
    <w:p w14:paraId="5705A037" w14:textId="77777777" w:rsidR="00244294" w:rsidRPr="00657BA6" w:rsidRDefault="00244294" w:rsidP="0014780A">
      <w:pPr>
        <w:spacing w:after="0"/>
        <w:ind w:right="49"/>
        <w:rPr>
          <w:rFonts w:ascii="Arial" w:hAnsi="Arial" w:cs="Arial"/>
        </w:rPr>
      </w:pPr>
      <w:r w:rsidRPr="00657BA6">
        <w:rPr>
          <w:rFonts w:ascii="Arial" w:hAnsi="Arial" w:cs="Arial"/>
        </w:rPr>
        <w:t xml:space="preserve">Adicionalmente, se considerarán los siguientes encabezados:  </w:t>
      </w:r>
    </w:p>
    <w:p w14:paraId="0DE04AB4" w14:textId="77777777" w:rsidR="00244294" w:rsidRPr="00657BA6" w:rsidRDefault="00244294" w:rsidP="0014780A">
      <w:pPr>
        <w:spacing w:after="0"/>
        <w:ind w:right="49"/>
        <w:rPr>
          <w:rFonts w:ascii="Arial" w:hAnsi="Arial" w:cs="Arial"/>
        </w:rPr>
      </w:pPr>
    </w:p>
    <w:tbl>
      <w:tblPr>
        <w:tblStyle w:val="Tabladelista3"/>
        <w:tblW w:w="3715" w:type="pct"/>
        <w:jc w:val="center"/>
        <w:tblLayout w:type="fixed"/>
        <w:tblLook w:val="00A0" w:firstRow="1" w:lastRow="0" w:firstColumn="1" w:lastColumn="0" w:noHBand="0" w:noVBand="0"/>
      </w:tblPr>
      <w:tblGrid>
        <w:gridCol w:w="464"/>
        <w:gridCol w:w="2792"/>
        <w:gridCol w:w="993"/>
        <w:gridCol w:w="2693"/>
      </w:tblGrid>
      <w:tr w:rsidR="00244294" w:rsidRPr="00657BA6" w14:paraId="549A20BB" w14:textId="77777777" w:rsidTr="001A0CC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3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09EA45E" w14:textId="77777777" w:rsidR="00244294" w:rsidRPr="00657BA6" w:rsidRDefault="00244294" w:rsidP="0014780A">
            <w:pPr>
              <w:spacing w:after="0"/>
              <w:ind w:right="49"/>
              <w:jc w:val="center"/>
              <w:rPr>
                <w:rFonts w:ascii="Arial" w:hAnsi="Arial" w:cs="Arial"/>
                <w:color w:val="auto"/>
                <w:sz w:val="20"/>
                <w:szCs w:val="20"/>
                <w:lang w:eastAsia="es-MX"/>
              </w:rPr>
            </w:pPr>
            <w:r w:rsidRPr="00657BA6">
              <w:rPr>
                <w:rFonts w:ascii="Arial" w:hAnsi="Arial" w:cs="Arial"/>
                <w:color w:val="auto"/>
                <w:sz w:val="20"/>
                <w:szCs w:val="20"/>
                <w:lang w:eastAsia="es-MX"/>
              </w:rPr>
              <w:t>#</w:t>
            </w:r>
          </w:p>
        </w:tc>
        <w:tc>
          <w:tcPr>
            <w:cnfStyle w:val="000010000000" w:firstRow="0" w:lastRow="0" w:firstColumn="0" w:lastColumn="0" w:oddVBand="1" w:evenVBand="0" w:oddHBand="0" w:evenHBand="0" w:firstRowFirstColumn="0" w:firstRowLastColumn="0" w:lastRowFirstColumn="0" w:lastRowLastColumn="0"/>
            <w:tcW w:w="201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114A735" w14:textId="77777777" w:rsidR="00244294" w:rsidRPr="00657BA6" w:rsidRDefault="00244294" w:rsidP="0014780A">
            <w:pPr>
              <w:spacing w:after="0"/>
              <w:ind w:right="49"/>
              <w:jc w:val="center"/>
              <w:rPr>
                <w:rFonts w:ascii="Arial" w:hAnsi="Arial" w:cs="Arial"/>
                <w:color w:val="auto"/>
                <w:sz w:val="20"/>
                <w:szCs w:val="20"/>
                <w:lang w:eastAsia="es-MX"/>
              </w:rPr>
            </w:pPr>
            <w:r w:rsidRPr="00657BA6">
              <w:rPr>
                <w:rFonts w:ascii="Arial" w:hAnsi="Arial" w:cs="Arial"/>
                <w:color w:val="auto"/>
                <w:sz w:val="20"/>
                <w:szCs w:val="20"/>
                <w:lang w:eastAsia="es-MX"/>
              </w:rPr>
              <w:t>Encabezado</w:t>
            </w:r>
          </w:p>
        </w:tc>
        <w:tc>
          <w:tcPr>
            <w:tcW w:w="71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05F55DF" w14:textId="77777777" w:rsidR="00244294" w:rsidRPr="00657BA6" w:rsidRDefault="00244294" w:rsidP="0014780A">
            <w:pPr>
              <w:spacing w:after="0"/>
              <w:ind w:right="49"/>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es-MX"/>
              </w:rPr>
            </w:pPr>
            <w:r w:rsidRPr="00657BA6">
              <w:rPr>
                <w:rFonts w:ascii="Arial" w:hAnsi="Arial" w:cs="Arial"/>
                <w:color w:val="auto"/>
                <w:sz w:val="20"/>
                <w:szCs w:val="20"/>
                <w:lang w:eastAsia="es-MX"/>
              </w:rPr>
              <w:t>Estado</w:t>
            </w:r>
          </w:p>
        </w:tc>
        <w:tc>
          <w:tcPr>
            <w:cnfStyle w:val="000010000000" w:firstRow="0" w:lastRow="0" w:firstColumn="0" w:lastColumn="0" w:oddVBand="1" w:evenVBand="0" w:oddHBand="0" w:evenHBand="0" w:firstRowFirstColumn="0" w:firstRowLastColumn="0" w:lastRowFirstColumn="0" w:lastRowLastColumn="0"/>
            <w:tcW w:w="194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46E4000" w14:textId="77777777" w:rsidR="00244294" w:rsidRPr="00657BA6" w:rsidRDefault="00244294" w:rsidP="0014780A">
            <w:pPr>
              <w:spacing w:after="0"/>
              <w:ind w:right="49"/>
              <w:jc w:val="center"/>
              <w:rPr>
                <w:rFonts w:ascii="Arial" w:hAnsi="Arial" w:cs="Arial"/>
                <w:color w:val="auto"/>
                <w:sz w:val="20"/>
                <w:szCs w:val="20"/>
                <w:lang w:eastAsia="es-MX"/>
              </w:rPr>
            </w:pPr>
            <w:r w:rsidRPr="00657BA6">
              <w:rPr>
                <w:rFonts w:ascii="Arial" w:hAnsi="Arial" w:cs="Arial"/>
                <w:color w:val="auto"/>
                <w:sz w:val="20"/>
                <w:szCs w:val="20"/>
                <w:lang w:eastAsia="es-MX"/>
              </w:rPr>
              <w:t>Referencia</w:t>
            </w:r>
          </w:p>
        </w:tc>
      </w:tr>
      <w:tr w:rsidR="00244294" w:rsidRPr="00657BA6" w14:paraId="06E1D085" w14:textId="77777777" w:rsidTr="001A0C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 w:type="pct"/>
            <w:tcBorders>
              <w:top w:val="single" w:sz="4" w:space="0" w:color="000000"/>
            </w:tcBorders>
            <w:shd w:val="clear" w:color="auto" w:fill="D9D9D9" w:themeFill="background1" w:themeFillShade="D9"/>
          </w:tcPr>
          <w:p w14:paraId="37E692E1"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1</w:t>
            </w:r>
          </w:p>
        </w:tc>
        <w:tc>
          <w:tcPr>
            <w:cnfStyle w:val="000010000000" w:firstRow="0" w:lastRow="0" w:firstColumn="0" w:lastColumn="0" w:oddVBand="1" w:evenVBand="0" w:oddHBand="0" w:evenHBand="0" w:firstRowFirstColumn="0" w:firstRowLastColumn="0" w:lastRowFirstColumn="0" w:lastRowLastColumn="0"/>
            <w:tcW w:w="2011" w:type="pct"/>
            <w:tcBorders>
              <w:top w:val="single" w:sz="4" w:space="0" w:color="000000"/>
            </w:tcBorders>
            <w:shd w:val="clear" w:color="auto" w:fill="D9D9D9" w:themeFill="background1" w:themeFillShade="D9"/>
          </w:tcPr>
          <w:p w14:paraId="239D9FA0"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Privacy</w:t>
            </w:r>
          </w:p>
        </w:tc>
        <w:tc>
          <w:tcPr>
            <w:tcW w:w="715" w:type="pct"/>
            <w:tcBorders>
              <w:top w:val="single" w:sz="4" w:space="0" w:color="000000"/>
            </w:tcBorders>
            <w:shd w:val="clear" w:color="auto" w:fill="D9D9D9" w:themeFill="background1" w:themeFillShade="D9"/>
          </w:tcPr>
          <w:p w14:paraId="71018774" w14:textId="77777777" w:rsidR="00244294" w:rsidRPr="00657BA6" w:rsidRDefault="00244294" w:rsidP="0014780A">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M</w:t>
            </w:r>
          </w:p>
        </w:tc>
        <w:tc>
          <w:tcPr>
            <w:cnfStyle w:val="000010000000" w:firstRow="0" w:lastRow="0" w:firstColumn="0" w:lastColumn="0" w:oddVBand="1" w:evenVBand="0" w:oddHBand="0" w:evenHBand="0" w:firstRowFirstColumn="0" w:firstRowLastColumn="0" w:lastRowFirstColumn="0" w:lastRowLastColumn="0"/>
            <w:tcW w:w="1940" w:type="pct"/>
            <w:tcBorders>
              <w:top w:val="single" w:sz="4" w:space="0" w:color="000000"/>
            </w:tcBorders>
            <w:shd w:val="clear" w:color="auto" w:fill="D9D9D9" w:themeFill="background1" w:themeFillShade="D9"/>
          </w:tcPr>
          <w:p w14:paraId="62B64E2C"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De acuerdo a RFC 3323</w:t>
            </w:r>
            <w:r w:rsidRPr="00657BA6">
              <w:rPr>
                <w:rStyle w:val="Refdenotaalpie"/>
                <w:rFonts w:ascii="Arial" w:hAnsi="Arial" w:cs="Arial"/>
                <w:sz w:val="20"/>
                <w:szCs w:val="20"/>
                <w:lang w:eastAsia="es-MX"/>
              </w:rPr>
              <w:footnoteReference w:id="7"/>
            </w:r>
          </w:p>
        </w:tc>
      </w:tr>
      <w:tr w:rsidR="00244294" w:rsidRPr="00657BA6" w14:paraId="3DE13891" w14:textId="77777777" w:rsidTr="001A0CC9">
        <w:trPr>
          <w:jc w:val="center"/>
        </w:trPr>
        <w:tc>
          <w:tcPr>
            <w:cnfStyle w:val="001000000000" w:firstRow="0" w:lastRow="0" w:firstColumn="1" w:lastColumn="0" w:oddVBand="0" w:evenVBand="0" w:oddHBand="0" w:evenHBand="0" w:firstRowFirstColumn="0" w:firstRowLastColumn="0" w:lastRowFirstColumn="0" w:lastRowLastColumn="0"/>
            <w:tcW w:w="334" w:type="pct"/>
          </w:tcPr>
          <w:p w14:paraId="20092C53"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2</w:t>
            </w:r>
          </w:p>
        </w:tc>
        <w:tc>
          <w:tcPr>
            <w:cnfStyle w:val="000010000000" w:firstRow="0" w:lastRow="0" w:firstColumn="0" w:lastColumn="0" w:oddVBand="1" w:evenVBand="0" w:oddHBand="0" w:evenHBand="0" w:firstRowFirstColumn="0" w:firstRowLastColumn="0" w:lastRowFirstColumn="0" w:lastRowLastColumn="0"/>
            <w:tcW w:w="2011" w:type="pct"/>
          </w:tcPr>
          <w:p w14:paraId="1AF633DC"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Reason (en una respuesta)</w:t>
            </w:r>
          </w:p>
        </w:tc>
        <w:tc>
          <w:tcPr>
            <w:tcW w:w="715" w:type="pct"/>
          </w:tcPr>
          <w:p w14:paraId="7230523D" w14:textId="77777777" w:rsidR="00244294" w:rsidRPr="00657BA6" w:rsidRDefault="00244294" w:rsidP="0014780A">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M</w:t>
            </w:r>
          </w:p>
        </w:tc>
        <w:tc>
          <w:tcPr>
            <w:cnfStyle w:val="000010000000" w:firstRow="0" w:lastRow="0" w:firstColumn="0" w:lastColumn="0" w:oddVBand="1" w:evenVBand="0" w:oddHBand="0" w:evenHBand="0" w:firstRowFirstColumn="0" w:firstRowLastColumn="0" w:lastRowFirstColumn="0" w:lastRowLastColumn="0"/>
            <w:tcW w:w="1940" w:type="pct"/>
          </w:tcPr>
          <w:p w14:paraId="42CFEDC3"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De acuerdo a RFC 3326</w:t>
            </w:r>
            <w:r w:rsidRPr="00657BA6">
              <w:rPr>
                <w:rStyle w:val="Refdenotaalpie"/>
                <w:rFonts w:ascii="Arial" w:hAnsi="Arial" w:cs="Arial"/>
                <w:sz w:val="20"/>
                <w:szCs w:val="20"/>
                <w:lang w:eastAsia="es-MX"/>
              </w:rPr>
              <w:footnoteReference w:id="8"/>
            </w:r>
          </w:p>
        </w:tc>
      </w:tr>
      <w:tr w:rsidR="00244294" w:rsidRPr="00657BA6" w14:paraId="05DE2101" w14:textId="77777777" w:rsidTr="001A0C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 w:type="pct"/>
            <w:shd w:val="clear" w:color="auto" w:fill="D9D9D9" w:themeFill="background1" w:themeFillShade="D9"/>
          </w:tcPr>
          <w:p w14:paraId="0443EDA5"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3</w:t>
            </w:r>
          </w:p>
        </w:tc>
        <w:tc>
          <w:tcPr>
            <w:cnfStyle w:val="000010000000" w:firstRow="0" w:lastRow="0" w:firstColumn="0" w:lastColumn="0" w:oddVBand="1" w:evenVBand="0" w:oddHBand="0" w:evenHBand="0" w:firstRowFirstColumn="0" w:firstRowLastColumn="0" w:lastRowFirstColumn="0" w:lastRowLastColumn="0"/>
            <w:tcW w:w="2011" w:type="pct"/>
            <w:shd w:val="clear" w:color="auto" w:fill="D9D9D9" w:themeFill="background1" w:themeFillShade="D9"/>
          </w:tcPr>
          <w:p w14:paraId="3D0073B0"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P-Asserted-Identity</w:t>
            </w:r>
          </w:p>
        </w:tc>
        <w:tc>
          <w:tcPr>
            <w:tcW w:w="715" w:type="pct"/>
            <w:shd w:val="clear" w:color="auto" w:fill="D9D9D9" w:themeFill="background1" w:themeFillShade="D9"/>
          </w:tcPr>
          <w:p w14:paraId="5562E8E0" w14:textId="77777777" w:rsidR="00244294" w:rsidRPr="00657BA6" w:rsidRDefault="00244294" w:rsidP="0014780A">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M</w:t>
            </w:r>
          </w:p>
        </w:tc>
        <w:tc>
          <w:tcPr>
            <w:cnfStyle w:val="000010000000" w:firstRow="0" w:lastRow="0" w:firstColumn="0" w:lastColumn="0" w:oddVBand="1" w:evenVBand="0" w:oddHBand="0" w:evenHBand="0" w:firstRowFirstColumn="0" w:firstRowLastColumn="0" w:lastRowFirstColumn="0" w:lastRowLastColumn="0"/>
            <w:tcW w:w="1940" w:type="pct"/>
            <w:shd w:val="clear" w:color="auto" w:fill="D9D9D9" w:themeFill="background1" w:themeFillShade="D9"/>
          </w:tcPr>
          <w:p w14:paraId="4E8CAD38"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De acuerdo al RFC 3325</w:t>
            </w:r>
            <w:r w:rsidRPr="00657BA6">
              <w:rPr>
                <w:rStyle w:val="Refdenotaalpie"/>
                <w:rFonts w:ascii="Arial" w:hAnsi="Arial" w:cs="Arial"/>
                <w:sz w:val="20"/>
                <w:szCs w:val="20"/>
                <w:lang w:eastAsia="es-MX"/>
              </w:rPr>
              <w:footnoteReference w:id="9"/>
            </w:r>
          </w:p>
        </w:tc>
      </w:tr>
      <w:tr w:rsidR="00244294" w:rsidRPr="00657BA6" w14:paraId="22442C69" w14:textId="77777777" w:rsidTr="001A0CC9">
        <w:trPr>
          <w:jc w:val="center"/>
        </w:trPr>
        <w:tc>
          <w:tcPr>
            <w:cnfStyle w:val="001000000000" w:firstRow="0" w:lastRow="0" w:firstColumn="1" w:lastColumn="0" w:oddVBand="0" w:evenVBand="0" w:oddHBand="0" w:evenHBand="0" w:firstRowFirstColumn="0" w:firstRowLastColumn="0" w:lastRowFirstColumn="0" w:lastRowLastColumn="0"/>
            <w:tcW w:w="334" w:type="pct"/>
          </w:tcPr>
          <w:p w14:paraId="35A4C6CE"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4</w:t>
            </w:r>
          </w:p>
        </w:tc>
        <w:tc>
          <w:tcPr>
            <w:cnfStyle w:val="000010000000" w:firstRow="0" w:lastRow="0" w:firstColumn="0" w:lastColumn="0" w:oddVBand="1" w:evenVBand="0" w:oddHBand="0" w:evenHBand="0" w:firstRowFirstColumn="0" w:firstRowLastColumn="0" w:lastRowFirstColumn="0" w:lastRowLastColumn="0"/>
            <w:tcW w:w="2011" w:type="pct"/>
          </w:tcPr>
          <w:p w14:paraId="0D6BA375"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P-Early-Media</w:t>
            </w:r>
          </w:p>
        </w:tc>
        <w:tc>
          <w:tcPr>
            <w:tcW w:w="715" w:type="pct"/>
          </w:tcPr>
          <w:p w14:paraId="756A7214" w14:textId="77777777" w:rsidR="00244294" w:rsidRPr="00657BA6" w:rsidRDefault="00244294" w:rsidP="0014780A">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O</w:t>
            </w:r>
          </w:p>
        </w:tc>
        <w:tc>
          <w:tcPr>
            <w:cnfStyle w:val="000010000000" w:firstRow="0" w:lastRow="0" w:firstColumn="0" w:lastColumn="0" w:oddVBand="1" w:evenVBand="0" w:oddHBand="0" w:evenHBand="0" w:firstRowFirstColumn="0" w:firstRowLastColumn="0" w:lastRowFirstColumn="0" w:lastRowLastColumn="0"/>
            <w:tcW w:w="1940" w:type="pct"/>
          </w:tcPr>
          <w:p w14:paraId="0FA75A69"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De acuerdo al RFC 5009</w:t>
            </w:r>
            <w:r w:rsidRPr="00657BA6">
              <w:rPr>
                <w:rStyle w:val="Refdenotaalpie"/>
                <w:rFonts w:ascii="Arial" w:hAnsi="Arial" w:cs="Arial"/>
                <w:sz w:val="20"/>
                <w:szCs w:val="20"/>
                <w:lang w:eastAsia="es-MX"/>
              </w:rPr>
              <w:footnoteReference w:id="10"/>
            </w:r>
          </w:p>
        </w:tc>
      </w:tr>
    </w:tbl>
    <w:p w14:paraId="2C688FD0" w14:textId="77777777" w:rsidR="00244294" w:rsidRPr="00657BA6" w:rsidRDefault="00244294" w:rsidP="0014780A">
      <w:pPr>
        <w:spacing w:after="0"/>
        <w:ind w:right="49"/>
        <w:jc w:val="center"/>
        <w:rPr>
          <w:rFonts w:ascii="Arial" w:hAnsi="Arial" w:cs="Arial"/>
          <w:sz w:val="18"/>
          <w:szCs w:val="18"/>
        </w:rPr>
      </w:pPr>
      <w:r w:rsidRPr="00657BA6">
        <w:rPr>
          <w:rFonts w:ascii="Arial" w:hAnsi="Arial" w:cs="Arial"/>
          <w:sz w:val="18"/>
          <w:szCs w:val="18"/>
        </w:rPr>
        <w:t>Tabla 3. Encabezados adicionales SIP para VoIP.</w:t>
      </w:r>
    </w:p>
    <w:p w14:paraId="4261E5F8" w14:textId="77777777" w:rsidR="00244294" w:rsidRPr="00657BA6" w:rsidRDefault="00244294" w:rsidP="0014780A">
      <w:pPr>
        <w:spacing w:after="0"/>
        <w:ind w:right="49"/>
        <w:rPr>
          <w:rFonts w:ascii="Arial" w:hAnsi="Arial" w:cs="Arial"/>
        </w:rPr>
      </w:pPr>
    </w:p>
    <w:p w14:paraId="40C038E7" w14:textId="77777777" w:rsidR="00244294" w:rsidRPr="00657BA6" w:rsidRDefault="00244294" w:rsidP="009640AE">
      <w:pPr>
        <w:pStyle w:val="Prrafodelista"/>
        <w:numPr>
          <w:ilvl w:val="1"/>
          <w:numId w:val="31"/>
        </w:numPr>
        <w:spacing w:line="276" w:lineRule="auto"/>
        <w:ind w:left="709" w:right="49" w:hanging="709"/>
        <w:contextualSpacing/>
        <w:rPr>
          <w:rFonts w:cs="Arial"/>
          <w:b/>
          <w:szCs w:val="22"/>
        </w:rPr>
      </w:pPr>
      <w:r w:rsidRPr="00657BA6">
        <w:rPr>
          <w:rFonts w:cs="Arial"/>
          <w:b/>
          <w:szCs w:val="22"/>
        </w:rPr>
        <w:t>Protocolo de Descripción de Sesión</w:t>
      </w:r>
    </w:p>
    <w:p w14:paraId="2953DFA5" w14:textId="77777777" w:rsidR="00244294" w:rsidRPr="00657BA6" w:rsidRDefault="00244294" w:rsidP="0014780A">
      <w:pPr>
        <w:autoSpaceDE w:val="0"/>
        <w:autoSpaceDN w:val="0"/>
        <w:adjustRightInd w:val="0"/>
        <w:spacing w:after="0"/>
        <w:ind w:right="51"/>
        <w:jc w:val="both"/>
        <w:rPr>
          <w:rFonts w:ascii="Arial" w:hAnsi="Arial" w:cs="Arial"/>
        </w:rPr>
      </w:pPr>
    </w:p>
    <w:p w14:paraId="11B77BBC" w14:textId="4A4AB7B0" w:rsidR="00244294" w:rsidRPr="00657BA6" w:rsidRDefault="00244294" w:rsidP="0014780A">
      <w:pPr>
        <w:autoSpaceDE w:val="0"/>
        <w:autoSpaceDN w:val="0"/>
        <w:adjustRightInd w:val="0"/>
        <w:spacing w:after="0"/>
        <w:ind w:right="51"/>
        <w:jc w:val="both"/>
        <w:rPr>
          <w:rFonts w:ascii="Arial" w:hAnsi="Arial" w:cs="Arial"/>
        </w:rPr>
      </w:pPr>
      <w:r w:rsidRPr="00657BA6">
        <w:rPr>
          <w:rFonts w:ascii="Arial" w:hAnsi="Arial" w:cs="Arial"/>
        </w:rPr>
        <w:t xml:space="preserve">La solicitud INVITE incluirá en el cuerpo, una descripción de la sesión en formato Protocolo de Descripción de Sesión (“SDP”, por sus siglas en inglés) </w:t>
      </w:r>
      <w:r w:rsidR="00DE7934" w:rsidRPr="00657BA6">
        <w:rPr>
          <w:rFonts w:ascii="Arial" w:hAnsi="Arial" w:cs="Arial"/>
        </w:rPr>
        <w:t>de acuerdo con</w:t>
      </w:r>
      <w:r w:rsidRPr="00657BA6">
        <w:rPr>
          <w:rFonts w:ascii="Arial" w:hAnsi="Arial" w:cs="Arial"/>
        </w:rPr>
        <w:t xml:space="preserve"> la Recomendación IETF RFC 4566</w:t>
      </w:r>
      <w:r w:rsidRPr="00657BA6">
        <w:rPr>
          <w:rStyle w:val="Refdenotaalpie"/>
          <w:rFonts w:ascii="Arial" w:hAnsi="Arial" w:cs="Arial"/>
        </w:rPr>
        <w:footnoteReference w:id="11"/>
      </w:r>
      <w:r w:rsidRPr="00657BA6">
        <w:rPr>
          <w:rFonts w:ascii="Arial" w:hAnsi="Arial" w:cs="Arial"/>
        </w:rPr>
        <w:t>, en la cual se señalan las características del medio.</w:t>
      </w:r>
    </w:p>
    <w:p w14:paraId="47129704" w14:textId="77777777" w:rsidR="00244294" w:rsidRPr="00657BA6" w:rsidRDefault="00244294" w:rsidP="0014780A">
      <w:pPr>
        <w:pStyle w:val="Prrafodelista"/>
        <w:autoSpaceDE w:val="0"/>
        <w:autoSpaceDN w:val="0"/>
        <w:adjustRightInd w:val="0"/>
        <w:spacing w:line="276" w:lineRule="auto"/>
        <w:ind w:right="51"/>
        <w:rPr>
          <w:rFonts w:cs="Arial"/>
          <w:szCs w:val="22"/>
        </w:rPr>
      </w:pPr>
    </w:p>
    <w:p w14:paraId="2F384561" w14:textId="77777777" w:rsidR="00244294" w:rsidRPr="00657BA6" w:rsidRDefault="00244294" w:rsidP="0014780A">
      <w:pPr>
        <w:autoSpaceDE w:val="0"/>
        <w:autoSpaceDN w:val="0"/>
        <w:adjustRightInd w:val="0"/>
        <w:spacing w:after="0"/>
        <w:ind w:right="51"/>
        <w:jc w:val="both"/>
        <w:rPr>
          <w:rFonts w:ascii="Arial" w:hAnsi="Arial" w:cs="Arial"/>
        </w:rPr>
      </w:pPr>
      <w:r w:rsidRPr="00657BA6">
        <w:rPr>
          <w:rFonts w:ascii="Arial" w:hAnsi="Arial" w:cs="Arial"/>
        </w:rPr>
        <w:t>El mensaje SDP se compondrá de los siguientes campos y se respetará el orden especificado.</w:t>
      </w:r>
    </w:p>
    <w:p w14:paraId="1CCA544F" w14:textId="77777777" w:rsidR="00244294" w:rsidRPr="00657BA6" w:rsidRDefault="00244294" w:rsidP="0014780A">
      <w:pPr>
        <w:autoSpaceDE w:val="0"/>
        <w:autoSpaceDN w:val="0"/>
        <w:adjustRightInd w:val="0"/>
        <w:spacing w:after="0"/>
        <w:ind w:right="51"/>
        <w:jc w:val="both"/>
        <w:rPr>
          <w:rFonts w:ascii="Arial" w:hAnsi="Arial" w:cs="Arial"/>
        </w:rPr>
      </w:pPr>
    </w:p>
    <w:tbl>
      <w:tblPr>
        <w:tblStyle w:val="Tabladelista3"/>
        <w:tblW w:w="4365" w:type="pct"/>
        <w:jc w:val="center"/>
        <w:tblLook w:val="00A0" w:firstRow="1" w:lastRow="0" w:firstColumn="1" w:lastColumn="0" w:noHBand="0" w:noVBand="0"/>
      </w:tblPr>
      <w:tblGrid>
        <w:gridCol w:w="707"/>
        <w:gridCol w:w="6517"/>
        <w:gridCol w:w="932"/>
      </w:tblGrid>
      <w:tr w:rsidR="00244294" w:rsidRPr="00657BA6" w14:paraId="086C6A93" w14:textId="77777777" w:rsidTr="006C794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43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9112BC6" w14:textId="77777777" w:rsidR="00244294" w:rsidRPr="00657BA6" w:rsidRDefault="00244294" w:rsidP="0014780A">
            <w:pPr>
              <w:pStyle w:val="TAH"/>
              <w:spacing w:line="276" w:lineRule="auto"/>
              <w:ind w:right="49"/>
              <w:rPr>
                <w:rFonts w:cs="Arial"/>
                <w:b/>
                <w:bCs w:val="0"/>
                <w:color w:val="auto"/>
                <w:sz w:val="20"/>
              </w:rPr>
            </w:pPr>
            <w:r w:rsidRPr="00657BA6">
              <w:rPr>
                <w:rFonts w:cs="Arial"/>
                <w:b/>
                <w:bCs w:val="0"/>
                <w:color w:val="auto"/>
                <w:sz w:val="20"/>
              </w:rPr>
              <w:t>Tipo</w:t>
            </w:r>
          </w:p>
        </w:tc>
        <w:tc>
          <w:tcPr>
            <w:cnfStyle w:val="000010000000" w:firstRow="0" w:lastRow="0" w:firstColumn="0" w:lastColumn="0" w:oddVBand="1" w:evenVBand="0" w:oddHBand="0" w:evenHBand="0" w:firstRowFirstColumn="0" w:firstRowLastColumn="0" w:lastRowFirstColumn="0" w:lastRowLastColumn="0"/>
            <w:tcW w:w="399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2C912F0" w14:textId="77777777" w:rsidR="00244294" w:rsidRPr="00657BA6" w:rsidRDefault="00244294" w:rsidP="0014780A">
            <w:pPr>
              <w:pStyle w:val="TAH"/>
              <w:spacing w:line="276" w:lineRule="auto"/>
              <w:ind w:right="49"/>
              <w:rPr>
                <w:rFonts w:cs="Arial"/>
                <w:b/>
                <w:bCs w:val="0"/>
                <w:color w:val="auto"/>
                <w:sz w:val="20"/>
              </w:rPr>
            </w:pPr>
            <w:r w:rsidRPr="00657BA6">
              <w:rPr>
                <w:rFonts w:cs="Arial"/>
                <w:b/>
                <w:bCs w:val="0"/>
                <w:color w:val="auto"/>
                <w:sz w:val="20"/>
              </w:rPr>
              <w:t>Descripción</w:t>
            </w:r>
          </w:p>
        </w:tc>
        <w:tc>
          <w:tcPr>
            <w:tcW w:w="56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6E84A05" w14:textId="77777777" w:rsidR="00244294" w:rsidRPr="00657BA6" w:rsidRDefault="00244294" w:rsidP="0014780A">
            <w:pPr>
              <w:pStyle w:val="TAH"/>
              <w:spacing w:line="276" w:lineRule="auto"/>
              <w:ind w:right="49"/>
              <w:cnfStyle w:val="100000000000" w:firstRow="1" w:lastRow="0" w:firstColumn="0" w:lastColumn="0" w:oddVBand="0" w:evenVBand="0" w:oddHBand="0" w:evenHBand="0" w:firstRowFirstColumn="0" w:firstRowLastColumn="0" w:lastRowFirstColumn="0" w:lastRowLastColumn="0"/>
              <w:rPr>
                <w:rFonts w:cs="Arial"/>
                <w:b/>
                <w:bCs w:val="0"/>
                <w:color w:val="auto"/>
                <w:sz w:val="20"/>
              </w:rPr>
            </w:pPr>
            <w:r w:rsidRPr="00657BA6">
              <w:rPr>
                <w:rFonts w:cs="Arial"/>
                <w:b/>
                <w:bCs w:val="0"/>
                <w:color w:val="auto"/>
                <w:sz w:val="20"/>
              </w:rPr>
              <w:t>Estado</w:t>
            </w:r>
          </w:p>
        </w:tc>
      </w:tr>
      <w:tr w:rsidR="00244294" w:rsidRPr="00657BA6" w14:paraId="48660AB9" w14:textId="77777777" w:rsidTr="006C794D">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437" w:type="pct"/>
            <w:tcBorders>
              <w:top w:val="single" w:sz="4" w:space="0" w:color="000000"/>
            </w:tcBorders>
            <w:shd w:val="clear" w:color="auto" w:fill="D9D9D9" w:themeFill="background1" w:themeFillShade="D9"/>
          </w:tcPr>
          <w:p w14:paraId="42414B31"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v</w:t>
            </w:r>
          </w:p>
        </w:tc>
        <w:tc>
          <w:tcPr>
            <w:cnfStyle w:val="000010000000" w:firstRow="0" w:lastRow="0" w:firstColumn="0" w:lastColumn="0" w:oddVBand="1" w:evenVBand="0" w:oddHBand="0" w:evenHBand="0" w:firstRowFirstColumn="0" w:firstRowLastColumn="0" w:lastRowFirstColumn="0" w:lastRowLastColumn="0"/>
            <w:tcW w:w="3999" w:type="pct"/>
            <w:tcBorders>
              <w:top w:val="single" w:sz="4" w:space="0" w:color="000000"/>
            </w:tcBorders>
            <w:shd w:val="clear" w:color="auto" w:fill="D9D9D9" w:themeFill="background1" w:themeFillShade="D9"/>
          </w:tcPr>
          <w:p w14:paraId="5DEE5CB5"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Versión del protocolo</w:t>
            </w:r>
          </w:p>
        </w:tc>
        <w:tc>
          <w:tcPr>
            <w:tcW w:w="565" w:type="pct"/>
            <w:tcBorders>
              <w:top w:val="single" w:sz="4" w:space="0" w:color="000000"/>
            </w:tcBorders>
            <w:shd w:val="clear" w:color="auto" w:fill="D9D9D9" w:themeFill="background1" w:themeFillShade="D9"/>
          </w:tcPr>
          <w:p w14:paraId="1C6777A7" w14:textId="77777777" w:rsidR="00244294" w:rsidRPr="00657BA6" w:rsidRDefault="00244294" w:rsidP="0014780A">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M</w:t>
            </w:r>
          </w:p>
        </w:tc>
      </w:tr>
      <w:tr w:rsidR="00244294" w:rsidRPr="00657BA6" w14:paraId="65459F2C" w14:textId="77777777" w:rsidTr="006C794D">
        <w:trPr>
          <w:trHeight w:val="240"/>
          <w:jc w:val="center"/>
        </w:trPr>
        <w:tc>
          <w:tcPr>
            <w:cnfStyle w:val="001000000000" w:firstRow="0" w:lastRow="0" w:firstColumn="1" w:lastColumn="0" w:oddVBand="0" w:evenVBand="0" w:oddHBand="0" w:evenHBand="0" w:firstRowFirstColumn="0" w:firstRowLastColumn="0" w:lastRowFirstColumn="0" w:lastRowLastColumn="0"/>
            <w:tcW w:w="437" w:type="pct"/>
          </w:tcPr>
          <w:p w14:paraId="0DB638DF"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o</w:t>
            </w:r>
          </w:p>
        </w:tc>
        <w:tc>
          <w:tcPr>
            <w:cnfStyle w:val="000010000000" w:firstRow="0" w:lastRow="0" w:firstColumn="0" w:lastColumn="0" w:oddVBand="1" w:evenVBand="0" w:oddHBand="0" w:evenHBand="0" w:firstRowFirstColumn="0" w:firstRowLastColumn="0" w:lastRowFirstColumn="0" w:lastRowLastColumn="0"/>
            <w:tcW w:w="3999" w:type="pct"/>
          </w:tcPr>
          <w:p w14:paraId="22B07870"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Identificador de la sesión</w:t>
            </w:r>
          </w:p>
        </w:tc>
        <w:tc>
          <w:tcPr>
            <w:tcW w:w="565" w:type="pct"/>
          </w:tcPr>
          <w:p w14:paraId="670927B8" w14:textId="77777777" w:rsidR="00244294" w:rsidRPr="00657BA6" w:rsidRDefault="00244294" w:rsidP="0014780A">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M</w:t>
            </w:r>
          </w:p>
        </w:tc>
      </w:tr>
      <w:tr w:rsidR="00244294" w:rsidRPr="00657BA6" w14:paraId="1A60AE79" w14:textId="77777777" w:rsidTr="006C794D">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437" w:type="pct"/>
            <w:shd w:val="clear" w:color="auto" w:fill="D9D9D9" w:themeFill="background1" w:themeFillShade="D9"/>
          </w:tcPr>
          <w:p w14:paraId="3AF85950"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s</w:t>
            </w:r>
          </w:p>
        </w:tc>
        <w:tc>
          <w:tcPr>
            <w:cnfStyle w:val="000010000000" w:firstRow="0" w:lastRow="0" w:firstColumn="0" w:lastColumn="0" w:oddVBand="1" w:evenVBand="0" w:oddHBand="0" w:evenHBand="0" w:firstRowFirstColumn="0" w:firstRowLastColumn="0" w:lastRowFirstColumn="0" w:lastRowLastColumn="0"/>
            <w:tcW w:w="3999" w:type="pct"/>
            <w:shd w:val="clear" w:color="auto" w:fill="D9D9D9" w:themeFill="background1" w:themeFillShade="D9"/>
          </w:tcPr>
          <w:p w14:paraId="64873557"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Nombre de la sesión</w:t>
            </w:r>
          </w:p>
        </w:tc>
        <w:tc>
          <w:tcPr>
            <w:tcW w:w="565" w:type="pct"/>
            <w:shd w:val="clear" w:color="auto" w:fill="D9D9D9" w:themeFill="background1" w:themeFillShade="D9"/>
          </w:tcPr>
          <w:p w14:paraId="32163E4C" w14:textId="77777777" w:rsidR="00244294" w:rsidRPr="00657BA6" w:rsidRDefault="00244294" w:rsidP="0014780A">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O</w:t>
            </w:r>
          </w:p>
        </w:tc>
      </w:tr>
      <w:tr w:rsidR="00244294" w:rsidRPr="00657BA6" w14:paraId="47EB9544" w14:textId="77777777" w:rsidTr="006C794D">
        <w:trPr>
          <w:trHeight w:val="150"/>
          <w:jc w:val="center"/>
        </w:trPr>
        <w:tc>
          <w:tcPr>
            <w:cnfStyle w:val="001000000000" w:firstRow="0" w:lastRow="0" w:firstColumn="1" w:lastColumn="0" w:oddVBand="0" w:evenVBand="0" w:oddHBand="0" w:evenHBand="0" w:firstRowFirstColumn="0" w:firstRowLastColumn="0" w:lastRowFirstColumn="0" w:lastRowLastColumn="0"/>
            <w:tcW w:w="437" w:type="pct"/>
          </w:tcPr>
          <w:p w14:paraId="0A1208AA"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i</w:t>
            </w:r>
          </w:p>
        </w:tc>
        <w:tc>
          <w:tcPr>
            <w:cnfStyle w:val="000010000000" w:firstRow="0" w:lastRow="0" w:firstColumn="0" w:lastColumn="0" w:oddVBand="1" w:evenVBand="0" w:oddHBand="0" w:evenHBand="0" w:firstRowFirstColumn="0" w:firstRowLastColumn="0" w:lastRowFirstColumn="0" w:lastRowLastColumn="0"/>
            <w:tcW w:w="3999" w:type="pct"/>
          </w:tcPr>
          <w:p w14:paraId="70E317C7"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 xml:space="preserve">Información de la sesión </w:t>
            </w:r>
          </w:p>
        </w:tc>
        <w:tc>
          <w:tcPr>
            <w:tcW w:w="565" w:type="pct"/>
          </w:tcPr>
          <w:p w14:paraId="53142C12" w14:textId="77777777" w:rsidR="00244294" w:rsidRPr="00657BA6" w:rsidRDefault="00244294" w:rsidP="0014780A">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O</w:t>
            </w:r>
          </w:p>
        </w:tc>
      </w:tr>
      <w:tr w:rsidR="00244294" w:rsidRPr="00657BA6" w14:paraId="642E605B" w14:textId="77777777" w:rsidTr="006C794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437" w:type="pct"/>
            <w:shd w:val="clear" w:color="auto" w:fill="D9D9D9" w:themeFill="background1" w:themeFillShade="D9"/>
          </w:tcPr>
          <w:p w14:paraId="33CA2CAB"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c</w:t>
            </w:r>
          </w:p>
        </w:tc>
        <w:tc>
          <w:tcPr>
            <w:cnfStyle w:val="000010000000" w:firstRow="0" w:lastRow="0" w:firstColumn="0" w:lastColumn="0" w:oddVBand="1" w:evenVBand="0" w:oddHBand="0" w:evenHBand="0" w:firstRowFirstColumn="0" w:firstRowLastColumn="0" w:lastRowFirstColumn="0" w:lastRowLastColumn="0"/>
            <w:tcW w:w="3999" w:type="pct"/>
            <w:shd w:val="clear" w:color="auto" w:fill="D9D9D9" w:themeFill="background1" w:themeFillShade="D9"/>
          </w:tcPr>
          <w:p w14:paraId="6E20633A"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Información de conexión – no se requiere si está incluida en todos los medios</w:t>
            </w:r>
          </w:p>
        </w:tc>
        <w:tc>
          <w:tcPr>
            <w:tcW w:w="565" w:type="pct"/>
            <w:shd w:val="clear" w:color="auto" w:fill="D9D9D9" w:themeFill="background1" w:themeFillShade="D9"/>
          </w:tcPr>
          <w:p w14:paraId="6B8B905E" w14:textId="77777777" w:rsidR="00244294" w:rsidRPr="00657BA6" w:rsidRDefault="00244294" w:rsidP="0014780A">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M</w:t>
            </w:r>
          </w:p>
        </w:tc>
      </w:tr>
      <w:tr w:rsidR="00244294" w:rsidRPr="00657BA6" w14:paraId="6EAD16DB" w14:textId="77777777" w:rsidTr="006C794D">
        <w:trPr>
          <w:trHeight w:val="202"/>
          <w:jc w:val="center"/>
        </w:trPr>
        <w:tc>
          <w:tcPr>
            <w:cnfStyle w:val="001000000000" w:firstRow="0" w:lastRow="0" w:firstColumn="1" w:lastColumn="0" w:oddVBand="0" w:evenVBand="0" w:oddHBand="0" w:evenHBand="0" w:firstRowFirstColumn="0" w:firstRowLastColumn="0" w:lastRowFirstColumn="0" w:lastRowLastColumn="0"/>
            <w:tcW w:w="437" w:type="pct"/>
          </w:tcPr>
          <w:p w14:paraId="623366C9"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a</w:t>
            </w:r>
          </w:p>
        </w:tc>
        <w:tc>
          <w:tcPr>
            <w:cnfStyle w:val="000010000000" w:firstRow="0" w:lastRow="0" w:firstColumn="0" w:lastColumn="0" w:oddVBand="1" w:evenVBand="0" w:oddHBand="0" w:evenHBand="0" w:firstRowFirstColumn="0" w:firstRowLastColumn="0" w:lastRowFirstColumn="0" w:lastRowLastColumn="0"/>
            <w:tcW w:w="3999" w:type="pct"/>
          </w:tcPr>
          <w:p w14:paraId="68FB2427"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Cero o más líneas de atributos de sesión</w:t>
            </w:r>
          </w:p>
        </w:tc>
        <w:tc>
          <w:tcPr>
            <w:tcW w:w="565" w:type="pct"/>
          </w:tcPr>
          <w:p w14:paraId="05A6E508" w14:textId="77777777" w:rsidR="00244294" w:rsidRPr="00657BA6" w:rsidRDefault="00244294" w:rsidP="0014780A">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M</w:t>
            </w:r>
          </w:p>
        </w:tc>
      </w:tr>
      <w:tr w:rsidR="00244294" w:rsidRPr="00657BA6" w14:paraId="2D2D657B" w14:textId="77777777" w:rsidTr="006C794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37" w:type="pct"/>
            <w:shd w:val="clear" w:color="auto" w:fill="D9D9D9" w:themeFill="background1" w:themeFillShade="D9"/>
          </w:tcPr>
          <w:p w14:paraId="0152BD2F"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t</w:t>
            </w:r>
          </w:p>
        </w:tc>
        <w:tc>
          <w:tcPr>
            <w:cnfStyle w:val="000010000000" w:firstRow="0" w:lastRow="0" w:firstColumn="0" w:lastColumn="0" w:oddVBand="1" w:evenVBand="0" w:oddHBand="0" w:evenHBand="0" w:firstRowFirstColumn="0" w:firstRowLastColumn="0" w:lastRowFirstColumn="0" w:lastRowLastColumn="0"/>
            <w:tcW w:w="3999" w:type="pct"/>
            <w:shd w:val="clear" w:color="auto" w:fill="D9D9D9" w:themeFill="background1" w:themeFillShade="D9"/>
          </w:tcPr>
          <w:p w14:paraId="5E305DA8"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Tiempo que la sesión se encuentra activa</w:t>
            </w:r>
          </w:p>
        </w:tc>
        <w:tc>
          <w:tcPr>
            <w:tcW w:w="565" w:type="pct"/>
            <w:shd w:val="clear" w:color="auto" w:fill="D9D9D9" w:themeFill="background1" w:themeFillShade="D9"/>
          </w:tcPr>
          <w:p w14:paraId="0085EEF9" w14:textId="77777777" w:rsidR="00244294" w:rsidRPr="00657BA6" w:rsidRDefault="00244294" w:rsidP="0014780A">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M</w:t>
            </w:r>
          </w:p>
        </w:tc>
      </w:tr>
      <w:tr w:rsidR="00244294" w:rsidRPr="00657BA6" w14:paraId="79956683" w14:textId="77777777" w:rsidTr="006C794D">
        <w:trPr>
          <w:trHeight w:val="210"/>
          <w:jc w:val="center"/>
        </w:trPr>
        <w:tc>
          <w:tcPr>
            <w:cnfStyle w:val="001000000000" w:firstRow="0" w:lastRow="0" w:firstColumn="1" w:lastColumn="0" w:oddVBand="0" w:evenVBand="0" w:oddHBand="0" w:evenHBand="0" w:firstRowFirstColumn="0" w:firstRowLastColumn="0" w:lastRowFirstColumn="0" w:lastRowLastColumn="0"/>
            <w:tcW w:w="437" w:type="pct"/>
          </w:tcPr>
          <w:p w14:paraId="419ADACE"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m</w:t>
            </w:r>
          </w:p>
        </w:tc>
        <w:tc>
          <w:tcPr>
            <w:cnfStyle w:val="000010000000" w:firstRow="0" w:lastRow="0" w:firstColumn="0" w:lastColumn="0" w:oddVBand="1" w:evenVBand="0" w:oddHBand="0" w:evenHBand="0" w:firstRowFirstColumn="0" w:firstRowLastColumn="0" w:lastRowFirstColumn="0" w:lastRowLastColumn="0"/>
            <w:tcW w:w="3999" w:type="pct"/>
          </w:tcPr>
          <w:p w14:paraId="6CC8DBE0"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Información del protocolo de transporte (media)</w:t>
            </w:r>
          </w:p>
        </w:tc>
        <w:tc>
          <w:tcPr>
            <w:tcW w:w="565" w:type="pct"/>
          </w:tcPr>
          <w:p w14:paraId="70A80A05" w14:textId="77777777" w:rsidR="00244294" w:rsidRPr="00657BA6" w:rsidRDefault="00244294" w:rsidP="0014780A">
            <w:pPr>
              <w:spacing w:after="0"/>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M</w:t>
            </w:r>
          </w:p>
        </w:tc>
      </w:tr>
      <w:tr w:rsidR="00244294" w:rsidRPr="00657BA6" w14:paraId="38216BE2" w14:textId="77777777" w:rsidTr="006C794D">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437" w:type="pct"/>
            <w:shd w:val="clear" w:color="auto" w:fill="D9D9D9" w:themeFill="background1" w:themeFillShade="D9"/>
          </w:tcPr>
          <w:p w14:paraId="738AA3CD"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a</w:t>
            </w:r>
          </w:p>
        </w:tc>
        <w:tc>
          <w:tcPr>
            <w:cnfStyle w:val="000010000000" w:firstRow="0" w:lastRow="0" w:firstColumn="0" w:lastColumn="0" w:oddVBand="1" w:evenVBand="0" w:oddHBand="0" w:evenHBand="0" w:firstRowFirstColumn="0" w:firstRowLastColumn="0" w:lastRowFirstColumn="0" w:lastRowLastColumn="0"/>
            <w:tcW w:w="3999" w:type="pct"/>
            <w:shd w:val="clear" w:color="auto" w:fill="D9D9D9" w:themeFill="background1" w:themeFillShade="D9"/>
          </w:tcPr>
          <w:p w14:paraId="28BAE530"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Cero o más líneas de atributos de los medios</w:t>
            </w:r>
          </w:p>
        </w:tc>
        <w:tc>
          <w:tcPr>
            <w:tcW w:w="565" w:type="pct"/>
            <w:shd w:val="clear" w:color="auto" w:fill="D9D9D9" w:themeFill="background1" w:themeFillShade="D9"/>
          </w:tcPr>
          <w:p w14:paraId="24F723B4" w14:textId="77777777" w:rsidR="00244294" w:rsidRPr="00657BA6" w:rsidRDefault="00244294" w:rsidP="0014780A">
            <w:pPr>
              <w:spacing w:after="0"/>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M</w:t>
            </w:r>
          </w:p>
        </w:tc>
      </w:tr>
    </w:tbl>
    <w:p w14:paraId="75349F7B" w14:textId="77777777" w:rsidR="00244294" w:rsidRPr="00657BA6" w:rsidRDefault="00244294" w:rsidP="0014780A">
      <w:pPr>
        <w:spacing w:after="0"/>
        <w:ind w:right="49"/>
        <w:jc w:val="center"/>
        <w:rPr>
          <w:rFonts w:ascii="Arial" w:hAnsi="Arial" w:cs="Arial"/>
          <w:sz w:val="18"/>
          <w:szCs w:val="18"/>
        </w:rPr>
      </w:pPr>
      <w:r w:rsidRPr="00657BA6">
        <w:rPr>
          <w:rFonts w:ascii="Arial" w:hAnsi="Arial" w:cs="Arial"/>
          <w:sz w:val="18"/>
          <w:szCs w:val="18"/>
        </w:rPr>
        <w:t>Tabla 4. Campos SDP.</w:t>
      </w:r>
    </w:p>
    <w:p w14:paraId="7ED71E7A" w14:textId="77777777" w:rsidR="00244294" w:rsidRPr="00657BA6" w:rsidRDefault="00244294" w:rsidP="0014780A">
      <w:pPr>
        <w:spacing w:after="0"/>
        <w:ind w:right="49"/>
        <w:rPr>
          <w:rFonts w:ascii="Arial" w:hAnsi="Arial" w:cs="Arial"/>
        </w:rPr>
      </w:pPr>
    </w:p>
    <w:p w14:paraId="1DB924A2" w14:textId="77777777" w:rsidR="00244294" w:rsidRPr="00657BA6" w:rsidRDefault="00244294" w:rsidP="0014780A">
      <w:pPr>
        <w:spacing w:after="0"/>
        <w:ind w:right="49"/>
        <w:jc w:val="both"/>
        <w:rPr>
          <w:rFonts w:ascii="Arial" w:hAnsi="Arial" w:cs="Arial"/>
        </w:rPr>
      </w:pPr>
      <w:r w:rsidRPr="00657BA6">
        <w:rPr>
          <w:rFonts w:ascii="Arial" w:hAnsi="Arial" w:cs="Arial"/>
        </w:rPr>
        <w:t>Nota: Cada sesión debe contener un campo “c” en la descripción de sesión o en la descripción del medio si está presente en ambos la descripción del medio sobreescribe la descripción de sesión.</w:t>
      </w:r>
    </w:p>
    <w:p w14:paraId="62BF2D7F" w14:textId="77777777" w:rsidR="00244294" w:rsidRPr="00657BA6" w:rsidRDefault="00244294" w:rsidP="0014780A">
      <w:pPr>
        <w:spacing w:after="0"/>
        <w:ind w:right="49"/>
        <w:rPr>
          <w:rFonts w:ascii="Arial" w:hAnsi="Arial" w:cs="Arial"/>
        </w:rPr>
      </w:pPr>
    </w:p>
    <w:p w14:paraId="5B414863" w14:textId="77777777" w:rsidR="00244294" w:rsidRPr="00657BA6" w:rsidRDefault="00244294" w:rsidP="009640AE">
      <w:pPr>
        <w:pStyle w:val="Prrafodelista"/>
        <w:numPr>
          <w:ilvl w:val="2"/>
          <w:numId w:val="31"/>
        </w:numPr>
        <w:spacing w:line="276" w:lineRule="auto"/>
        <w:ind w:left="709" w:right="49" w:hanging="709"/>
        <w:contextualSpacing/>
        <w:rPr>
          <w:rFonts w:cs="Arial"/>
          <w:b/>
          <w:szCs w:val="22"/>
        </w:rPr>
      </w:pPr>
      <w:r w:rsidRPr="00657BA6">
        <w:rPr>
          <w:rFonts w:cs="Arial"/>
          <w:b/>
          <w:szCs w:val="22"/>
        </w:rPr>
        <w:t xml:space="preserve">Notación </w:t>
      </w:r>
    </w:p>
    <w:p w14:paraId="7282E357" w14:textId="77777777" w:rsidR="00244294" w:rsidRPr="00657BA6" w:rsidRDefault="00244294" w:rsidP="0014780A">
      <w:pPr>
        <w:spacing w:after="0"/>
        <w:ind w:right="49"/>
        <w:rPr>
          <w:rFonts w:ascii="Arial" w:hAnsi="Arial" w:cs="Arial"/>
        </w:rPr>
      </w:pPr>
    </w:p>
    <w:p w14:paraId="22587798" w14:textId="77777777" w:rsidR="00244294" w:rsidRPr="00657BA6" w:rsidRDefault="00244294" w:rsidP="0014780A">
      <w:pPr>
        <w:spacing w:after="0"/>
        <w:ind w:right="49"/>
        <w:rPr>
          <w:rFonts w:ascii="Arial" w:hAnsi="Arial" w:cs="Arial"/>
        </w:rPr>
      </w:pPr>
      <w:r w:rsidRPr="00657BA6">
        <w:rPr>
          <w:rFonts w:ascii="Arial" w:hAnsi="Arial" w:cs="Arial"/>
        </w:rPr>
        <w:t>En las tablas 1 y 3 el código de estado “M” y “O” significan lo siguiente:</w:t>
      </w:r>
    </w:p>
    <w:p w14:paraId="36F0C6C7" w14:textId="77777777" w:rsidR="00244294" w:rsidRPr="00657BA6" w:rsidRDefault="00244294" w:rsidP="0014780A">
      <w:pPr>
        <w:spacing w:after="0"/>
        <w:ind w:right="49"/>
        <w:rPr>
          <w:rFonts w:ascii="Arial" w:hAnsi="Arial" w:cs="Arial"/>
        </w:rPr>
      </w:pPr>
    </w:p>
    <w:tbl>
      <w:tblPr>
        <w:tblStyle w:val="Tabladelista3"/>
        <w:tblW w:w="5000" w:type="pct"/>
        <w:tblLayout w:type="fixed"/>
        <w:tblLook w:val="00A0" w:firstRow="1" w:lastRow="0" w:firstColumn="1" w:lastColumn="0" w:noHBand="0" w:noVBand="0"/>
      </w:tblPr>
      <w:tblGrid>
        <w:gridCol w:w="1156"/>
        <w:gridCol w:w="1507"/>
        <w:gridCol w:w="3210"/>
        <w:gridCol w:w="3470"/>
      </w:tblGrid>
      <w:tr w:rsidR="00244294" w:rsidRPr="00657BA6" w14:paraId="2BB27977" w14:textId="77777777" w:rsidTr="006C79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1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E06A1D9" w14:textId="77777777" w:rsidR="00244294" w:rsidRPr="00657BA6" w:rsidRDefault="00244294" w:rsidP="0014780A">
            <w:pPr>
              <w:pStyle w:val="TAH"/>
              <w:spacing w:line="276" w:lineRule="auto"/>
              <w:ind w:right="49"/>
              <w:rPr>
                <w:rFonts w:cs="Arial"/>
                <w:b/>
                <w:bCs w:val="0"/>
                <w:color w:val="auto"/>
                <w:sz w:val="20"/>
              </w:rPr>
            </w:pPr>
            <w:r w:rsidRPr="00657BA6">
              <w:rPr>
                <w:rFonts w:cs="Arial"/>
                <w:b/>
                <w:bCs w:val="0"/>
                <w:color w:val="auto"/>
                <w:sz w:val="20"/>
              </w:rPr>
              <w:t>Código</w:t>
            </w:r>
          </w:p>
        </w:tc>
        <w:tc>
          <w:tcPr>
            <w:cnfStyle w:val="000010000000" w:firstRow="0" w:lastRow="0" w:firstColumn="0" w:lastColumn="0" w:oddVBand="1" w:evenVBand="0" w:oddHBand="0" w:evenHBand="0" w:firstRowFirstColumn="0" w:firstRowLastColumn="0" w:lastRowFirstColumn="0" w:lastRowLastColumn="0"/>
            <w:tcW w:w="80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F7BEEB3" w14:textId="77777777" w:rsidR="00244294" w:rsidRPr="00657BA6" w:rsidRDefault="00244294" w:rsidP="0014780A">
            <w:pPr>
              <w:pStyle w:val="TAH"/>
              <w:spacing w:line="276" w:lineRule="auto"/>
              <w:ind w:right="49"/>
              <w:rPr>
                <w:rFonts w:cs="Arial"/>
                <w:b/>
                <w:bCs w:val="0"/>
                <w:color w:val="auto"/>
                <w:sz w:val="20"/>
              </w:rPr>
            </w:pPr>
          </w:p>
        </w:tc>
        <w:tc>
          <w:tcPr>
            <w:tcW w:w="171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00814650" w14:textId="77777777" w:rsidR="00244294" w:rsidRPr="00657BA6" w:rsidRDefault="00244294" w:rsidP="0014780A">
            <w:pPr>
              <w:pStyle w:val="TAH"/>
              <w:spacing w:line="276" w:lineRule="auto"/>
              <w:ind w:right="49"/>
              <w:cnfStyle w:val="100000000000" w:firstRow="1" w:lastRow="0" w:firstColumn="0" w:lastColumn="0" w:oddVBand="0" w:evenVBand="0" w:oddHBand="0" w:evenHBand="0" w:firstRowFirstColumn="0" w:firstRowLastColumn="0" w:lastRowFirstColumn="0" w:lastRowLastColumn="0"/>
              <w:rPr>
                <w:rFonts w:cs="Arial"/>
                <w:b/>
                <w:bCs w:val="0"/>
                <w:color w:val="auto"/>
                <w:sz w:val="20"/>
              </w:rPr>
            </w:pPr>
            <w:r w:rsidRPr="00657BA6">
              <w:rPr>
                <w:rFonts w:cs="Arial"/>
                <w:b/>
                <w:bCs w:val="0"/>
                <w:color w:val="auto"/>
                <w:sz w:val="20"/>
              </w:rPr>
              <w:t>Tratamiento en el envío</w:t>
            </w:r>
          </w:p>
        </w:tc>
        <w:tc>
          <w:tcPr>
            <w:cnfStyle w:val="000010000000" w:firstRow="0" w:lastRow="0" w:firstColumn="0" w:lastColumn="0" w:oddVBand="1" w:evenVBand="0" w:oddHBand="0" w:evenHBand="0" w:firstRowFirstColumn="0" w:firstRowLastColumn="0" w:lastRowFirstColumn="0" w:lastRowLastColumn="0"/>
            <w:tcW w:w="185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A731325" w14:textId="77777777" w:rsidR="00244294" w:rsidRPr="00657BA6" w:rsidRDefault="00244294" w:rsidP="0014780A">
            <w:pPr>
              <w:pStyle w:val="TAH"/>
              <w:spacing w:line="276" w:lineRule="auto"/>
              <w:ind w:right="49"/>
              <w:rPr>
                <w:rFonts w:cs="Arial"/>
                <w:b/>
                <w:bCs w:val="0"/>
                <w:color w:val="auto"/>
                <w:sz w:val="20"/>
              </w:rPr>
            </w:pPr>
            <w:r w:rsidRPr="00657BA6">
              <w:rPr>
                <w:rFonts w:cs="Arial"/>
                <w:b/>
                <w:bCs w:val="0"/>
                <w:color w:val="auto"/>
                <w:sz w:val="20"/>
              </w:rPr>
              <w:t>Tratamiento en la recepción</w:t>
            </w:r>
          </w:p>
        </w:tc>
      </w:tr>
      <w:tr w:rsidR="00244294" w:rsidRPr="00657BA6" w14:paraId="4D9C7869" w14:textId="77777777" w:rsidTr="006C7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pct"/>
            <w:tcBorders>
              <w:top w:val="single" w:sz="4" w:space="0" w:color="000000"/>
            </w:tcBorders>
            <w:shd w:val="clear" w:color="auto" w:fill="D9D9D9" w:themeFill="background1" w:themeFillShade="D9"/>
          </w:tcPr>
          <w:p w14:paraId="78EA9561"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M</w:t>
            </w:r>
          </w:p>
        </w:tc>
        <w:tc>
          <w:tcPr>
            <w:cnfStyle w:val="000010000000" w:firstRow="0" w:lastRow="0" w:firstColumn="0" w:lastColumn="0" w:oddVBand="1" w:evenVBand="0" w:oddHBand="0" w:evenHBand="0" w:firstRowFirstColumn="0" w:firstRowLastColumn="0" w:lastRowFirstColumn="0" w:lastRowLastColumn="0"/>
            <w:tcW w:w="806" w:type="pct"/>
            <w:tcBorders>
              <w:top w:val="single" w:sz="4" w:space="0" w:color="000000"/>
            </w:tcBorders>
            <w:shd w:val="clear" w:color="auto" w:fill="D9D9D9" w:themeFill="background1" w:themeFillShade="D9"/>
          </w:tcPr>
          <w:p w14:paraId="5A71B18F"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Obligatorio</w:t>
            </w:r>
          </w:p>
        </w:tc>
        <w:tc>
          <w:tcPr>
            <w:tcW w:w="1718" w:type="pct"/>
            <w:tcBorders>
              <w:top w:val="single" w:sz="4" w:space="0" w:color="000000"/>
            </w:tcBorders>
            <w:shd w:val="clear" w:color="auto" w:fill="D9D9D9" w:themeFill="background1" w:themeFillShade="D9"/>
          </w:tcPr>
          <w:p w14:paraId="56B59696" w14:textId="77777777" w:rsidR="00244294" w:rsidRPr="00657BA6" w:rsidRDefault="00244294" w:rsidP="0014780A">
            <w:pPr>
              <w:spacing w:after="0"/>
              <w:ind w:right="49"/>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p>
          <w:p w14:paraId="0F5ED7F4" w14:textId="77777777" w:rsidR="00244294" w:rsidRPr="00657BA6" w:rsidRDefault="00244294" w:rsidP="0014780A">
            <w:pPr>
              <w:spacing w:after="0"/>
              <w:ind w:right="49"/>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MX"/>
              </w:rPr>
            </w:pPr>
            <w:r w:rsidRPr="00657BA6">
              <w:rPr>
                <w:rFonts w:ascii="Arial" w:hAnsi="Arial" w:cs="Arial"/>
                <w:sz w:val="20"/>
                <w:szCs w:val="20"/>
                <w:lang w:eastAsia="es-MX"/>
              </w:rPr>
              <w:t>Significa que el encabezado de campo debe estar presente en la petición cuando se requiera.</w:t>
            </w:r>
          </w:p>
        </w:tc>
        <w:tc>
          <w:tcPr>
            <w:cnfStyle w:val="000010000000" w:firstRow="0" w:lastRow="0" w:firstColumn="0" w:lastColumn="0" w:oddVBand="1" w:evenVBand="0" w:oddHBand="0" w:evenHBand="0" w:firstRowFirstColumn="0" w:firstRowLastColumn="0" w:lastRowFirstColumn="0" w:lastRowLastColumn="0"/>
            <w:tcW w:w="1857" w:type="pct"/>
            <w:tcBorders>
              <w:top w:val="single" w:sz="4" w:space="0" w:color="000000"/>
            </w:tcBorders>
            <w:shd w:val="clear" w:color="auto" w:fill="D9D9D9" w:themeFill="background1" w:themeFillShade="D9"/>
          </w:tcPr>
          <w:p w14:paraId="448F6EDA" w14:textId="77777777" w:rsidR="00244294" w:rsidRPr="00657BA6" w:rsidRDefault="00244294" w:rsidP="0014780A">
            <w:pPr>
              <w:spacing w:after="0"/>
              <w:ind w:right="49"/>
              <w:jc w:val="both"/>
              <w:rPr>
                <w:rFonts w:ascii="Arial" w:hAnsi="Arial" w:cs="Arial"/>
                <w:sz w:val="20"/>
                <w:szCs w:val="20"/>
                <w:lang w:eastAsia="es-MX"/>
              </w:rPr>
            </w:pPr>
            <w:r w:rsidRPr="00657BA6">
              <w:rPr>
                <w:rFonts w:ascii="Arial" w:hAnsi="Arial" w:cs="Arial"/>
                <w:snapToGrid w:val="0"/>
                <w:sz w:val="20"/>
                <w:szCs w:val="20"/>
              </w:rPr>
              <w:t>Significa que el mensaje debe estar presente en la respuesta, y que el campo de encabezado debe ser comprendido por la red que responde.</w:t>
            </w:r>
          </w:p>
        </w:tc>
      </w:tr>
      <w:tr w:rsidR="00244294" w:rsidRPr="00657BA6" w14:paraId="27E916B8" w14:textId="77777777" w:rsidTr="006C794D">
        <w:trPr>
          <w:trHeight w:val="927"/>
        </w:trPr>
        <w:tc>
          <w:tcPr>
            <w:cnfStyle w:val="001000000000" w:firstRow="0" w:lastRow="0" w:firstColumn="1" w:lastColumn="0" w:oddVBand="0" w:evenVBand="0" w:oddHBand="0" w:evenHBand="0" w:firstRowFirstColumn="0" w:firstRowLastColumn="0" w:lastRowFirstColumn="0" w:lastRowLastColumn="0"/>
            <w:tcW w:w="618" w:type="pct"/>
          </w:tcPr>
          <w:p w14:paraId="06C43E79"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O</w:t>
            </w:r>
          </w:p>
        </w:tc>
        <w:tc>
          <w:tcPr>
            <w:cnfStyle w:val="000010000000" w:firstRow="0" w:lastRow="0" w:firstColumn="0" w:lastColumn="0" w:oddVBand="1" w:evenVBand="0" w:oddHBand="0" w:evenHBand="0" w:firstRowFirstColumn="0" w:firstRowLastColumn="0" w:lastRowFirstColumn="0" w:lastRowLastColumn="0"/>
            <w:tcW w:w="806" w:type="pct"/>
          </w:tcPr>
          <w:p w14:paraId="319D51C5" w14:textId="77777777" w:rsidR="00244294" w:rsidRPr="00657BA6" w:rsidRDefault="00244294" w:rsidP="0014780A">
            <w:pPr>
              <w:spacing w:after="0"/>
              <w:ind w:right="49"/>
              <w:jc w:val="center"/>
              <w:rPr>
                <w:rFonts w:ascii="Arial" w:hAnsi="Arial" w:cs="Arial"/>
                <w:sz w:val="20"/>
                <w:szCs w:val="20"/>
                <w:lang w:eastAsia="es-MX"/>
              </w:rPr>
            </w:pPr>
            <w:r w:rsidRPr="00657BA6">
              <w:rPr>
                <w:rFonts w:ascii="Arial" w:hAnsi="Arial" w:cs="Arial"/>
                <w:sz w:val="20"/>
                <w:szCs w:val="20"/>
                <w:lang w:eastAsia="es-MX"/>
              </w:rPr>
              <w:t xml:space="preserve">Opcional </w:t>
            </w:r>
          </w:p>
        </w:tc>
        <w:tc>
          <w:tcPr>
            <w:tcW w:w="1718" w:type="pct"/>
          </w:tcPr>
          <w:p w14:paraId="7B56B3AD" w14:textId="77777777" w:rsidR="00244294" w:rsidRPr="00657BA6" w:rsidRDefault="00244294" w:rsidP="0014780A">
            <w:pPr>
              <w:spacing w:after="0"/>
              <w:ind w:right="49"/>
              <w:jc w:val="both"/>
              <w:cnfStyle w:val="000000000000" w:firstRow="0" w:lastRow="0" w:firstColumn="0" w:lastColumn="0" w:oddVBand="0" w:evenVBand="0" w:oddHBand="0" w:evenHBand="0" w:firstRowFirstColumn="0" w:firstRowLastColumn="0" w:lastRowFirstColumn="0" w:lastRowLastColumn="0"/>
              <w:rPr>
                <w:rFonts w:ascii="Arial" w:hAnsi="Arial" w:cs="Arial"/>
                <w:snapToGrid w:val="0"/>
                <w:sz w:val="20"/>
                <w:szCs w:val="20"/>
              </w:rPr>
            </w:pPr>
            <w:r w:rsidRPr="00657BA6">
              <w:rPr>
                <w:rFonts w:ascii="Arial" w:hAnsi="Arial" w:cs="Arial"/>
                <w:snapToGrid w:val="0"/>
                <w:sz w:val="20"/>
                <w:szCs w:val="20"/>
              </w:rPr>
              <w:t>Significa que el uso del encabezado de campo en la petición se realizará de común acuerdo entre los concesionarios.</w:t>
            </w:r>
          </w:p>
        </w:tc>
        <w:tc>
          <w:tcPr>
            <w:cnfStyle w:val="000010000000" w:firstRow="0" w:lastRow="0" w:firstColumn="0" w:lastColumn="0" w:oddVBand="1" w:evenVBand="0" w:oddHBand="0" w:evenHBand="0" w:firstRowFirstColumn="0" w:firstRowLastColumn="0" w:lastRowFirstColumn="0" w:lastRowLastColumn="0"/>
            <w:tcW w:w="1857" w:type="pct"/>
          </w:tcPr>
          <w:p w14:paraId="4837EE21" w14:textId="77777777" w:rsidR="00244294" w:rsidRPr="00657BA6" w:rsidRDefault="00244294" w:rsidP="0014780A">
            <w:pPr>
              <w:spacing w:after="0"/>
              <w:ind w:right="49"/>
              <w:jc w:val="both"/>
              <w:rPr>
                <w:rFonts w:ascii="Arial" w:hAnsi="Arial" w:cs="Arial"/>
                <w:snapToGrid w:val="0"/>
                <w:sz w:val="20"/>
                <w:szCs w:val="20"/>
              </w:rPr>
            </w:pPr>
            <w:r w:rsidRPr="00657BA6">
              <w:rPr>
                <w:rFonts w:ascii="Arial" w:hAnsi="Arial" w:cs="Arial"/>
                <w:snapToGrid w:val="0"/>
                <w:sz w:val="20"/>
                <w:szCs w:val="20"/>
              </w:rPr>
              <w:t>Significa que el tratamiento de la recepción se realizará de común acuerdo entre los concesionarios.</w:t>
            </w:r>
          </w:p>
          <w:p w14:paraId="24B7529D" w14:textId="77777777" w:rsidR="00244294" w:rsidRPr="00657BA6" w:rsidRDefault="00244294" w:rsidP="0014780A">
            <w:pPr>
              <w:spacing w:after="0"/>
              <w:ind w:right="49"/>
              <w:jc w:val="both"/>
              <w:rPr>
                <w:rFonts w:ascii="Arial" w:hAnsi="Arial" w:cs="Arial"/>
                <w:snapToGrid w:val="0"/>
                <w:sz w:val="20"/>
                <w:szCs w:val="20"/>
              </w:rPr>
            </w:pPr>
          </w:p>
        </w:tc>
      </w:tr>
    </w:tbl>
    <w:p w14:paraId="341967D6" w14:textId="77777777" w:rsidR="00244294" w:rsidRPr="00657BA6" w:rsidRDefault="00244294" w:rsidP="0014780A">
      <w:pPr>
        <w:spacing w:after="0"/>
        <w:ind w:right="49"/>
        <w:jc w:val="center"/>
        <w:rPr>
          <w:rFonts w:ascii="Arial" w:hAnsi="Arial" w:cs="Arial"/>
          <w:sz w:val="18"/>
          <w:szCs w:val="18"/>
        </w:rPr>
      </w:pPr>
      <w:r w:rsidRPr="00657BA6">
        <w:rPr>
          <w:rFonts w:ascii="Arial" w:hAnsi="Arial" w:cs="Arial"/>
          <w:sz w:val="18"/>
          <w:szCs w:val="18"/>
        </w:rPr>
        <w:t>Tabla 5. Códigos de Estado.</w:t>
      </w:r>
    </w:p>
    <w:p w14:paraId="4DB15229" w14:textId="77777777" w:rsidR="00244294" w:rsidRPr="00657BA6" w:rsidRDefault="00244294" w:rsidP="0014780A">
      <w:pPr>
        <w:spacing w:after="0"/>
        <w:ind w:right="49"/>
        <w:rPr>
          <w:rFonts w:ascii="Arial" w:hAnsi="Arial" w:cs="Arial"/>
        </w:rPr>
      </w:pPr>
    </w:p>
    <w:p w14:paraId="26A9CB6F" w14:textId="77777777" w:rsidR="00244294" w:rsidRPr="00657BA6" w:rsidRDefault="00244294" w:rsidP="009640AE">
      <w:pPr>
        <w:pStyle w:val="Prrafodelista"/>
        <w:numPr>
          <w:ilvl w:val="1"/>
          <w:numId w:val="31"/>
        </w:numPr>
        <w:spacing w:line="276" w:lineRule="auto"/>
        <w:ind w:left="709" w:right="49" w:hanging="709"/>
        <w:contextualSpacing/>
        <w:rPr>
          <w:rFonts w:cs="Arial"/>
          <w:b/>
          <w:szCs w:val="22"/>
        </w:rPr>
      </w:pPr>
      <w:r w:rsidRPr="00657BA6">
        <w:rPr>
          <w:rFonts w:cs="Arial"/>
          <w:b/>
          <w:szCs w:val="22"/>
        </w:rPr>
        <w:lastRenderedPageBreak/>
        <w:t>Descripción del medio de transporte</w:t>
      </w:r>
    </w:p>
    <w:p w14:paraId="5AEE2150" w14:textId="77777777" w:rsidR="00244294" w:rsidRPr="00657BA6" w:rsidRDefault="00244294" w:rsidP="0014780A">
      <w:pPr>
        <w:spacing w:after="0"/>
        <w:ind w:right="49"/>
        <w:rPr>
          <w:rFonts w:ascii="Arial" w:hAnsi="Arial" w:cs="Arial"/>
          <w:b/>
        </w:rPr>
      </w:pPr>
    </w:p>
    <w:p w14:paraId="7C80D88B" w14:textId="77777777" w:rsidR="00244294" w:rsidRPr="00657BA6" w:rsidRDefault="00244294" w:rsidP="0014780A">
      <w:pPr>
        <w:spacing w:after="0"/>
        <w:ind w:right="49"/>
        <w:jc w:val="both"/>
        <w:rPr>
          <w:rFonts w:ascii="Arial" w:hAnsi="Arial" w:cs="Arial"/>
        </w:rPr>
      </w:pPr>
      <w:r w:rsidRPr="00657BA6">
        <w:rPr>
          <w:rFonts w:ascii="Arial" w:hAnsi="Arial" w:cs="Arial"/>
        </w:rPr>
        <w:t xml:space="preserve">Una descripción de sesión puede contener un número de descripciones de medios. </w:t>
      </w:r>
    </w:p>
    <w:p w14:paraId="76004E92" w14:textId="77777777" w:rsidR="00244294" w:rsidRPr="00657BA6" w:rsidRDefault="00244294" w:rsidP="0014780A">
      <w:pPr>
        <w:spacing w:after="0"/>
        <w:ind w:right="49"/>
        <w:jc w:val="both"/>
        <w:rPr>
          <w:rFonts w:ascii="Arial" w:hAnsi="Arial" w:cs="Arial"/>
        </w:rPr>
      </w:pPr>
    </w:p>
    <w:p w14:paraId="04D31D78" w14:textId="77777777" w:rsidR="00244294" w:rsidRPr="00657BA6" w:rsidRDefault="00244294" w:rsidP="0014780A">
      <w:pPr>
        <w:spacing w:after="0"/>
        <w:ind w:right="49"/>
        <w:jc w:val="both"/>
        <w:rPr>
          <w:rFonts w:ascii="Arial" w:hAnsi="Arial" w:cs="Arial"/>
        </w:rPr>
      </w:pPr>
      <w:r w:rsidRPr="00657BA6">
        <w:rPr>
          <w:rFonts w:ascii="Arial" w:hAnsi="Arial" w:cs="Arial"/>
        </w:rPr>
        <w:t>Cada campo de medios está conformado por los siguientes subcampos:</w:t>
      </w:r>
    </w:p>
    <w:p w14:paraId="64CDC9B5" w14:textId="77777777" w:rsidR="001626BC" w:rsidRDefault="001626BC" w:rsidP="0014780A">
      <w:pPr>
        <w:spacing w:after="0"/>
        <w:ind w:right="49"/>
        <w:jc w:val="both"/>
        <w:rPr>
          <w:rFonts w:ascii="Arial" w:hAnsi="Arial" w:cs="Arial"/>
        </w:rPr>
      </w:pPr>
    </w:p>
    <w:p w14:paraId="321E43C2" w14:textId="01779CFA" w:rsidR="00244294" w:rsidRPr="00657BA6" w:rsidRDefault="00244294" w:rsidP="0014780A">
      <w:pPr>
        <w:spacing w:after="0"/>
        <w:ind w:right="49"/>
        <w:jc w:val="both"/>
        <w:rPr>
          <w:rFonts w:ascii="Arial" w:hAnsi="Arial" w:cs="Arial"/>
        </w:rPr>
      </w:pPr>
      <w:r w:rsidRPr="00657BA6">
        <w:rPr>
          <w:rFonts w:ascii="Arial" w:hAnsi="Arial" w:cs="Arial"/>
        </w:rPr>
        <w:t>m=&lt;medio&gt; &lt;puerto&gt; &lt;transporte&gt; &lt;lista fmt&gt;</w:t>
      </w:r>
    </w:p>
    <w:p w14:paraId="2E45FDFA" w14:textId="77777777" w:rsidR="001626BC" w:rsidRDefault="001626BC" w:rsidP="0014780A">
      <w:pPr>
        <w:spacing w:after="0"/>
        <w:ind w:right="49"/>
        <w:jc w:val="both"/>
        <w:rPr>
          <w:rFonts w:ascii="Arial" w:hAnsi="Arial" w:cs="Arial"/>
        </w:rPr>
      </w:pPr>
    </w:p>
    <w:p w14:paraId="4E1A4809" w14:textId="1D6B0906" w:rsidR="00244294" w:rsidRPr="00657BA6" w:rsidRDefault="00244294" w:rsidP="0014780A">
      <w:pPr>
        <w:spacing w:after="0"/>
        <w:ind w:right="49"/>
        <w:jc w:val="both"/>
        <w:rPr>
          <w:rFonts w:ascii="Arial" w:hAnsi="Arial" w:cs="Arial"/>
        </w:rPr>
      </w:pPr>
      <w:r w:rsidRPr="00657BA6">
        <w:rPr>
          <w:rFonts w:ascii="Arial" w:hAnsi="Arial" w:cs="Arial"/>
        </w:rPr>
        <w:t xml:space="preserve">En el subcampo &lt;medio&gt; el cual corresponde al tipo de medio, se deberá enviar “audio” </w:t>
      </w:r>
    </w:p>
    <w:p w14:paraId="614A63F3" w14:textId="77777777" w:rsidR="00244294" w:rsidRPr="00657BA6" w:rsidRDefault="00244294" w:rsidP="0014780A">
      <w:pPr>
        <w:spacing w:after="0"/>
        <w:ind w:right="49"/>
        <w:jc w:val="both"/>
        <w:rPr>
          <w:rFonts w:ascii="Arial" w:hAnsi="Arial" w:cs="Arial"/>
        </w:rPr>
      </w:pPr>
    </w:p>
    <w:p w14:paraId="7DE94394" w14:textId="77777777" w:rsidR="00244294" w:rsidRPr="00657BA6" w:rsidRDefault="00244294" w:rsidP="0014780A">
      <w:pPr>
        <w:spacing w:after="0"/>
        <w:ind w:right="49"/>
        <w:jc w:val="both"/>
        <w:rPr>
          <w:rFonts w:ascii="Arial" w:hAnsi="Arial" w:cs="Arial"/>
        </w:rPr>
      </w:pPr>
      <w:r w:rsidRPr="00657BA6">
        <w:rPr>
          <w:rFonts w:ascii="Arial" w:hAnsi="Arial" w:cs="Arial"/>
        </w:rPr>
        <w:t>En el subcampo &lt;puerto&gt; el cual corresponde al puerto de transporte al cual se enviará el flujo de medios, en el caso de transporte basado en UDP el valor deberá estar en el rango de 1024 a 65535, respetando los números de puertos definidos por la IANA destinados para un uso específico, en el caso de RTP debe ser un número par.</w:t>
      </w:r>
    </w:p>
    <w:p w14:paraId="78D290F4" w14:textId="77777777" w:rsidR="00244294" w:rsidRPr="00657BA6" w:rsidRDefault="00244294" w:rsidP="0014780A">
      <w:pPr>
        <w:spacing w:after="0"/>
        <w:ind w:right="49"/>
        <w:jc w:val="both"/>
        <w:rPr>
          <w:rFonts w:ascii="Arial" w:hAnsi="Arial" w:cs="Arial"/>
        </w:rPr>
      </w:pPr>
    </w:p>
    <w:p w14:paraId="410FDB26" w14:textId="77777777" w:rsidR="00244294" w:rsidRPr="00657BA6" w:rsidRDefault="00244294" w:rsidP="0014780A">
      <w:pPr>
        <w:spacing w:after="0"/>
        <w:ind w:right="49"/>
        <w:jc w:val="both"/>
        <w:rPr>
          <w:rFonts w:ascii="Arial" w:hAnsi="Arial" w:cs="Arial"/>
        </w:rPr>
      </w:pPr>
      <w:r w:rsidRPr="00657BA6">
        <w:rPr>
          <w:rFonts w:ascii="Arial" w:hAnsi="Arial" w:cs="Arial"/>
        </w:rPr>
        <w:t>En el subcampo &lt;transporte&gt; el cual corresponde al protocolo de transporte se deberá especificar RTP/AVP.</w:t>
      </w:r>
    </w:p>
    <w:p w14:paraId="18571A0C" w14:textId="77777777" w:rsidR="00244294" w:rsidRPr="00657BA6" w:rsidRDefault="00244294" w:rsidP="0014780A">
      <w:pPr>
        <w:spacing w:after="0"/>
        <w:ind w:right="49"/>
        <w:jc w:val="both"/>
        <w:rPr>
          <w:rFonts w:ascii="Arial" w:hAnsi="Arial" w:cs="Arial"/>
        </w:rPr>
      </w:pPr>
    </w:p>
    <w:p w14:paraId="608EFEA5" w14:textId="77777777" w:rsidR="00244294" w:rsidRPr="00657BA6" w:rsidRDefault="00244294" w:rsidP="0014780A">
      <w:pPr>
        <w:spacing w:after="0"/>
        <w:ind w:right="49"/>
        <w:jc w:val="both"/>
        <w:rPr>
          <w:rFonts w:ascii="Arial" w:hAnsi="Arial" w:cs="Arial"/>
        </w:rPr>
      </w:pPr>
      <w:r w:rsidRPr="00657BA6">
        <w:rPr>
          <w:rFonts w:ascii="Arial" w:hAnsi="Arial" w:cs="Arial"/>
        </w:rPr>
        <w:t>En el subcampo &lt;lista fmt&gt; el cual corresponde al tipo de carga útil del medio correspondiente a los códecs que se podrán utilizar. El primero de éstos es el formato de mayor preferencia en la sesión.</w:t>
      </w:r>
    </w:p>
    <w:p w14:paraId="68CBFA4C" w14:textId="77777777" w:rsidR="00244294" w:rsidRPr="00657BA6" w:rsidRDefault="00244294" w:rsidP="0014780A">
      <w:pPr>
        <w:spacing w:after="0"/>
        <w:ind w:right="49"/>
        <w:jc w:val="both"/>
        <w:rPr>
          <w:rFonts w:ascii="Arial" w:hAnsi="Arial" w:cs="Arial"/>
        </w:rPr>
      </w:pPr>
    </w:p>
    <w:p w14:paraId="744E2733" w14:textId="720BECB8" w:rsidR="00244294" w:rsidRPr="00657BA6" w:rsidRDefault="00244294" w:rsidP="0014780A">
      <w:pPr>
        <w:spacing w:after="0"/>
        <w:ind w:right="49"/>
        <w:jc w:val="both"/>
        <w:rPr>
          <w:rFonts w:ascii="Arial" w:hAnsi="Arial" w:cs="Arial"/>
        </w:rPr>
      </w:pPr>
      <w:r w:rsidRPr="00657BA6">
        <w:rPr>
          <w:rFonts w:ascii="Arial" w:hAnsi="Arial" w:cs="Arial"/>
        </w:rPr>
        <w:t xml:space="preserve">Se definirán los atributos rtpmap para cada formato de medio especificado </w:t>
      </w:r>
      <w:r w:rsidR="00DE7934" w:rsidRPr="00657BA6">
        <w:rPr>
          <w:rFonts w:ascii="Arial" w:hAnsi="Arial" w:cs="Arial"/>
        </w:rPr>
        <w:t>de acuerdo con</w:t>
      </w:r>
      <w:r w:rsidRPr="00657BA6">
        <w:rPr>
          <w:rFonts w:ascii="Arial" w:hAnsi="Arial" w:cs="Arial"/>
        </w:rPr>
        <w:t xml:space="preserve"> la Recomendación RFC 3551</w:t>
      </w:r>
      <w:r w:rsidRPr="00657BA6">
        <w:rPr>
          <w:rStyle w:val="Refdenotaalpie"/>
          <w:rFonts w:ascii="Arial" w:hAnsi="Arial" w:cs="Arial"/>
        </w:rPr>
        <w:footnoteReference w:id="12"/>
      </w:r>
      <w:r w:rsidRPr="00657BA6">
        <w:rPr>
          <w:rFonts w:ascii="Arial" w:hAnsi="Arial" w:cs="Arial"/>
        </w:rPr>
        <w:t xml:space="preserve"> por ejemplo:</w:t>
      </w:r>
    </w:p>
    <w:p w14:paraId="00F9A30C" w14:textId="77777777" w:rsidR="001626BC" w:rsidRDefault="001626BC" w:rsidP="0014780A">
      <w:pPr>
        <w:spacing w:after="0"/>
        <w:ind w:right="49"/>
        <w:jc w:val="both"/>
        <w:rPr>
          <w:rFonts w:ascii="Arial" w:hAnsi="Arial" w:cs="Arial"/>
        </w:rPr>
      </w:pPr>
    </w:p>
    <w:p w14:paraId="7542B773" w14:textId="7AB80736" w:rsidR="00244294" w:rsidRPr="00657BA6" w:rsidRDefault="00244294" w:rsidP="0014780A">
      <w:pPr>
        <w:spacing w:after="0"/>
        <w:ind w:right="49"/>
        <w:jc w:val="both"/>
        <w:rPr>
          <w:rFonts w:ascii="Arial" w:hAnsi="Arial" w:cs="Arial"/>
        </w:rPr>
      </w:pPr>
      <w:r w:rsidRPr="00657BA6">
        <w:rPr>
          <w:rFonts w:ascii="Arial" w:hAnsi="Arial" w:cs="Arial"/>
        </w:rPr>
        <w:t>a=rtpmap:18 G729/8000</w:t>
      </w:r>
    </w:p>
    <w:p w14:paraId="1B84B496" w14:textId="77777777" w:rsidR="00244294" w:rsidRPr="00657BA6" w:rsidRDefault="00244294" w:rsidP="0014780A">
      <w:pPr>
        <w:spacing w:after="0"/>
        <w:ind w:right="49"/>
        <w:jc w:val="both"/>
        <w:rPr>
          <w:rFonts w:ascii="Arial" w:hAnsi="Arial" w:cs="Arial"/>
        </w:rPr>
      </w:pPr>
    </w:p>
    <w:p w14:paraId="4D109111" w14:textId="77777777" w:rsidR="00244294" w:rsidRPr="00657BA6" w:rsidRDefault="00244294" w:rsidP="0014780A">
      <w:pPr>
        <w:spacing w:after="0"/>
        <w:ind w:right="49"/>
        <w:jc w:val="both"/>
        <w:rPr>
          <w:rFonts w:ascii="Arial" w:hAnsi="Arial" w:cs="Arial"/>
        </w:rPr>
      </w:pPr>
      <w:r w:rsidRPr="00657BA6">
        <w:rPr>
          <w:rFonts w:ascii="Arial" w:hAnsi="Arial" w:cs="Arial"/>
        </w:rPr>
        <w:t>Para el caso de métodos, encabezados o atributos que no aparecen en este documento, el Concesionario receptor de la señalización es libre de procesarlos o ignorarlos.</w:t>
      </w:r>
    </w:p>
    <w:p w14:paraId="0F9A2A52" w14:textId="77777777" w:rsidR="00244294" w:rsidRPr="00657BA6" w:rsidRDefault="00244294" w:rsidP="0014780A">
      <w:pPr>
        <w:pStyle w:val="NormalWeb"/>
        <w:spacing w:before="0" w:beforeAutospacing="0" w:after="0" w:afterAutospacing="0" w:line="276" w:lineRule="auto"/>
        <w:ind w:right="49"/>
        <w:rPr>
          <w:rFonts w:ascii="Arial" w:hAnsi="Arial" w:cs="Arial"/>
          <w:b/>
          <w:sz w:val="22"/>
          <w:szCs w:val="22"/>
        </w:rPr>
      </w:pPr>
    </w:p>
    <w:p w14:paraId="285649E8" w14:textId="77777777" w:rsidR="00244294" w:rsidRPr="00657BA6" w:rsidRDefault="00244294" w:rsidP="009640AE">
      <w:pPr>
        <w:pStyle w:val="Prrafodelista"/>
        <w:numPr>
          <w:ilvl w:val="1"/>
          <w:numId w:val="31"/>
        </w:numPr>
        <w:spacing w:line="276" w:lineRule="auto"/>
        <w:ind w:left="709" w:right="49" w:hanging="709"/>
        <w:contextualSpacing/>
        <w:rPr>
          <w:rFonts w:cs="Arial"/>
          <w:b/>
          <w:szCs w:val="22"/>
        </w:rPr>
      </w:pPr>
      <w:r w:rsidRPr="00657BA6">
        <w:rPr>
          <w:rFonts w:cs="Arial"/>
          <w:b/>
          <w:szCs w:val="22"/>
        </w:rPr>
        <w:t>Número de saltos entre las redes</w:t>
      </w:r>
    </w:p>
    <w:p w14:paraId="115E1304" w14:textId="77777777" w:rsidR="00244294" w:rsidRPr="00657BA6" w:rsidRDefault="00244294" w:rsidP="0014780A">
      <w:pPr>
        <w:pStyle w:val="NormalWeb"/>
        <w:spacing w:before="0" w:beforeAutospacing="0" w:after="0" w:afterAutospacing="0" w:line="276" w:lineRule="auto"/>
        <w:ind w:right="49"/>
        <w:rPr>
          <w:rFonts w:ascii="Arial" w:hAnsi="Arial" w:cs="Arial"/>
          <w:b/>
          <w:sz w:val="22"/>
          <w:szCs w:val="22"/>
        </w:rPr>
      </w:pPr>
    </w:p>
    <w:p w14:paraId="610C29BD" w14:textId="77777777" w:rsidR="00244294" w:rsidRPr="00657BA6" w:rsidRDefault="00244294" w:rsidP="0014780A">
      <w:pPr>
        <w:spacing w:after="0"/>
        <w:ind w:right="49"/>
        <w:jc w:val="both"/>
        <w:rPr>
          <w:rFonts w:ascii="Arial" w:hAnsi="Arial" w:cs="Arial"/>
        </w:rPr>
      </w:pPr>
      <w:r w:rsidRPr="00657BA6">
        <w:rPr>
          <w:rFonts w:ascii="Arial" w:hAnsi="Arial" w:cs="Arial"/>
        </w:rPr>
        <w:t>El número de saltos máximo que un mensaje SIP puede realizar entre las redes será de 70, y se decrementará en 1 en cada salto, por lo que el valor del encabezado de campo Max-forwards será 70 como valor máximo y al llegar a 0 sin que la petición alcance su destino será rechazada con una respuesta de error 483 (Demasiados saltos).</w:t>
      </w:r>
    </w:p>
    <w:p w14:paraId="2AAA14B9" w14:textId="77777777" w:rsidR="00244294" w:rsidRPr="00657BA6" w:rsidRDefault="00244294" w:rsidP="0014780A">
      <w:pPr>
        <w:spacing w:after="0"/>
        <w:ind w:right="49"/>
        <w:rPr>
          <w:rFonts w:ascii="Arial" w:hAnsi="Arial" w:cs="Arial"/>
        </w:rPr>
      </w:pPr>
    </w:p>
    <w:p w14:paraId="59E9C79C" w14:textId="77777777" w:rsidR="00244294" w:rsidRPr="00657BA6" w:rsidRDefault="00244294" w:rsidP="009640AE">
      <w:pPr>
        <w:pStyle w:val="Prrafodelista"/>
        <w:numPr>
          <w:ilvl w:val="1"/>
          <w:numId w:val="31"/>
        </w:numPr>
        <w:spacing w:line="276" w:lineRule="auto"/>
        <w:ind w:left="709" w:right="49" w:hanging="709"/>
        <w:contextualSpacing/>
        <w:rPr>
          <w:rFonts w:cs="Arial"/>
          <w:b/>
          <w:szCs w:val="22"/>
        </w:rPr>
      </w:pPr>
      <w:r w:rsidRPr="00657BA6">
        <w:rPr>
          <w:rFonts w:cs="Arial"/>
          <w:b/>
          <w:szCs w:val="22"/>
        </w:rPr>
        <w:t>Actualización de sesión</w:t>
      </w:r>
    </w:p>
    <w:p w14:paraId="789B93AB" w14:textId="77777777" w:rsidR="00244294" w:rsidRPr="00657BA6" w:rsidRDefault="00244294" w:rsidP="0014780A">
      <w:pPr>
        <w:pStyle w:val="NormalWeb"/>
        <w:spacing w:before="0" w:beforeAutospacing="0" w:after="0" w:afterAutospacing="0" w:line="276" w:lineRule="auto"/>
        <w:ind w:left="540" w:right="49"/>
        <w:rPr>
          <w:rFonts w:ascii="Arial" w:hAnsi="Arial" w:cs="Arial"/>
          <w:b/>
          <w:sz w:val="22"/>
          <w:szCs w:val="22"/>
        </w:rPr>
      </w:pPr>
    </w:p>
    <w:p w14:paraId="037D0BD3" w14:textId="77777777" w:rsidR="00244294" w:rsidRPr="00657BA6" w:rsidRDefault="00244294" w:rsidP="0014780A">
      <w:pPr>
        <w:spacing w:after="0"/>
        <w:ind w:right="49"/>
        <w:jc w:val="both"/>
        <w:rPr>
          <w:rFonts w:ascii="Arial" w:hAnsi="Arial" w:cs="Arial"/>
        </w:rPr>
      </w:pPr>
      <w:r w:rsidRPr="00657BA6">
        <w:rPr>
          <w:rFonts w:ascii="Arial" w:hAnsi="Arial" w:cs="Arial"/>
        </w:rPr>
        <w:lastRenderedPageBreak/>
        <w:t>Los temporizadores de actualización de sesión deberán ser manejados conforme a la recomendación RFC 4028.</w:t>
      </w:r>
    </w:p>
    <w:p w14:paraId="6F3B4523" w14:textId="77777777" w:rsidR="00244294" w:rsidRPr="00657BA6" w:rsidRDefault="00244294" w:rsidP="0014780A">
      <w:pPr>
        <w:spacing w:after="0"/>
        <w:ind w:right="49"/>
        <w:jc w:val="both"/>
        <w:rPr>
          <w:rFonts w:ascii="Arial" w:hAnsi="Arial" w:cs="Arial"/>
        </w:rPr>
      </w:pPr>
    </w:p>
    <w:p w14:paraId="4FD8455A" w14:textId="77777777" w:rsidR="00244294" w:rsidRPr="00657BA6" w:rsidRDefault="00244294" w:rsidP="0014780A">
      <w:pPr>
        <w:spacing w:after="0"/>
        <w:ind w:right="49"/>
        <w:jc w:val="both"/>
        <w:rPr>
          <w:rFonts w:ascii="Arial" w:hAnsi="Arial" w:cs="Arial"/>
        </w:rPr>
      </w:pPr>
      <w:r w:rsidRPr="00657BA6">
        <w:rPr>
          <w:rFonts w:ascii="Arial" w:hAnsi="Arial" w:cs="Arial"/>
        </w:rPr>
        <w:t>La petición INVITE inicial debe contener los siguientes campos de encabezado: Supported:timer, Session Expires, Refresher:uac, Min-SE.</w:t>
      </w:r>
    </w:p>
    <w:p w14:paraId="36E96E6E" w14:textId="77777777" w:rsidR="00244294" w:rsidRPr="00657BA6" w:rsidRDefault="00244294" w:rsidP="0014780A">
      <w:pPr>
        <w:spacing w:after="0"/>
        <w:ind w:right="49"/>
        <w:jc w:val="both"/>
        <w:rPr>
          <w:rFonts w:ascii="Arial" w:hAnsi="Arial" w:cs="Arial"/>
        </w:rPr>
      </w:pPr>
    </w:p>
    <w:p w14:paraId="343E388B" w14:textId="77777777" w:rsidR="00244294" w:rsidRPr="00657BA6" w:rsidRDefault="00244294" w:rsidP="0014780A">
      <w:pPr>
        <w:spacing w:after="0"/>
        <w:ind w:right="49"/>
        <w:jc w:val="both"/>
        <w:rPr>
          <w:rFonts w:ascii="Arial" w:hAnsi="Arial" w:cs="Arial"/>
        </w:rPr>
      </w:pPr>
      <w:r w:rsidRPr="00657BA6">
        <w:rPr>
          <w:rFonts w:ascii="Arial" w:hAnsi="Arial" w:cs="Arial"/>
        </w:rPr>
        <w:t>Los valores correspondientes a los campos de encabezado Session Expires y Min-SE estarán sujetos al proceso de negociación entre el UAS y el UAC. El valor del campo de encabezado Session Expires deberá estar dentro del intervalo de 90s-1800s. El valor del campo de encabezado Min-SE no podrá ser menor a 90s.</w:t>
      </w:r>
    </w:p>
    <w:p w14:paraId="520C0A61" w14:textId="77777777" w:rsidR="00244294" w:rsidRPr="00657BA6" w:rsidRDefault="00244294" w:rsidP="0014780A">
      <w:pPr>
        <w:spacing w:after="0"/>
        <w:ind w:right="49"/>
        <w:jc w:val="both"/>
        <w:rPr>
          <w:rFonts w:ascii="Arial" w:hAnsi="Arial" w:cs="Arial"/>
        </w:rPr>
      </w:pPr>
      <w:r w:rsidRPr="00657BA6">
        <w:rPr>
          <w:rFonts w:ascii="Arial" w:hAnsi="Arial" w:cs="Arial"/>
        </w:rPr>
        <w:t xml:space="preserve"> </w:t>
      </w:r>
    </w:p>
    <w:p w14:paraId="32F71BEE" w14:textId="77777777" w:rsidR="00244294" w:rsidRPr="00657BA6" w:rsidRDefault="00244294" w:rsidP="0014780A">
      <w:pPr>
        <w:spacing w:after="0"/>
        <w:ind w:right="49"/>
        <w:jc w:val="both"/>
        <w:rPr>
          <w:rFonts w:ascii="Arial" w:hAnsi="Arial" w:cs="Arial"/>
        </w:rPr>
      </w:pPr>
      <w:r w:rsidRPr="00657BA6">
        <w:rPr>
          <w:rFonts w:ascii="Arial" w:hAnsi="Arial" w:cs="Arial"/>
        </w:rPr>
        <w:t>Por omisión se considerarán los siguientes valores: Supported:timer, Session Expires:1800, Refresher:uac, Min-SE:600</w:t>
      </w:r>
    </w:p>
    <w:p w14:paraId="4CF75A7E" w14:textId="77777777" w:rsidR="00244294" w:rsidRPr="00657BA6" w:rsidRDefault="00244294" w:rsidP="0014780A">
      <w:pPr>
        <w:spacing w:after="0"/>
        <w:ind w:right="49"/>
        <w:jc w:val="both"/>
        <w:rPr>
          <w:rFonts w:ascii="Arial" w:hAnsi="Arial" w:cs="Arial"/>
        </w:rPr>
      </w:pPr>
    </w:p>
    <w:p w14:paraId="4857763B" w14:textId="77777777" w:rsidR="00244294" w:rsidRPr="00657BA6" w:rsidRDefault="00244294" w:rsidP="0014780A">
      <w:pPr>
        <w:spacing w:after="0"/>
        <w:ind w:right="49"/>
        <w:jc w:val="both"/>
        <w:rPr>
          <w:rFonts w:ascii="Arial" w:hAnsi="Arial" w:cs="Arial"/>
        </w:rPr>
      </w:pPr>
      <w:r w:rsidRPr="00657BA6">
        <w:rPr>
          <w:rFonts w:ascii="Arial" w:hAnsi="Arial" w:cs="Arial"/>
        </w:rPr>
        <w:t>La actualización de la sesión SIP se realizará a través de un UPDATE, el tiempo de envío del método UPDATE será a la mitad del tiempo definido en el campo de encabezado Session-Expires.</w:t>
      </w:r>
    </w:p>
    <w:p w14:paraId="5E5F82D5" w14:textId="77777777" w:rsidR="00244294" w:rsidRPr="00657BA6" w:rsidRDefault="00244294" w:rsidP="0014780A">
      <w:pPr>
        <w:spacing w:after="0"/>
        <w:ind w:right="49"/>
        <w:rPr>
          <w:rFonts w:ascii="Arial" w:hAnsi="Arial" w:cs="Arial"/>
        </w:rPr>
      </w:pPr>
    </w:p>
    <w:p w14:paraId="112B1793" w14:textId="77777777" w:rsidR="00244294" w:rsidRPr="00657BA6" w:rsidRDefault="00244294" w:rsidP="009640AE">
      <w:pPr>
        <w:pStyle w:val="Prrafodelista"/>
        <w:numPr>
          <w:ilvl w:val="1"/>
          <w:numId w:val="31"/>
        </w:numPr>
        <w:spacing w:line="276" w:lineRule="auto"/>
        <w:ind w:left="709" w:right="49" w:hanging="709"/>
        <w:contextualSpacing/>
        <w:rPr>
          <w:rFonts w:cs="Arial"/>
          <w:szCs w:val="22"/>
        </w:rPr>
      </w:pPr>
      <w:r w:rsidRPr="00657BA6">
        <w:rPr>
          <w:rFonts w:cs="Arial"/>
          <w:b/>
          <w:szCs w:val="22"/>
        </w:rPr>
        <w:t xml:space="preserve">Modelo de Oferta/Contestación </w:t>
      </w:r>
    </w:p>
    <w:p w14:paraId="3D340EFC" w14:textId="77777777" w:rsidR="00244294" w:rsidRPr="00657BA6" w:rsidRDefault="00244294" w:rsidP="0014780A">
      <w:pPr>
        <w:pStyle w:val="Prrafodelista"/>
        <w:spacing w:line="276" w:lineRule="auto"/>
        <w:ind w:left="709" w:right="51"/>
        <w:rPr>
          <w:rFonts w:cs="Arial"/>
          <w:szCs w:val="22"/>
        </w:rPr>
      </w:pPr>
    </w:p>
    <w:p w14:paraId="112FB650" w14:textId="29DA22F5" w:rsidR="00244294" w:rsidRPr="00657BA6" w:rsidRDefault="00244294" w:rsidP="0014780A">
      <w:pPr>
        <w:spacing w:after="0"/>
        <w:ind w:right="51"/>
        <w:jc w:val="both"/>
        <w:rPr>
          <w:rFonts w:ascii="Arial" w:hAnsi="Arial" w:cs="Arial"/>
        </w:rPr>
      </w:pPr>
      <w:r w:rsidRPr="00657BA6">
        <w:rPr>
          <w:rFonts w:ascii="Arial" w:hAnsi="Arial" w:cs="Arial"/>
        </w:rPr>
        <w:t xml:space="preserve">Para el establecimiento de una llamada se enviará en la petición INVITE inicial la oferta SDP con las características del medio y conexión, </w:t>
      </w:r>
      <w:r w:rsidR="00DE7934" w:rsidRPr="00657BA6">
        <w:rPr>
          <w:rFonts w:ascii="Arial" w:hAnsi="Arial" w:cs="Arial"/>
        </w:rPr>
        <w:t>de acuerdo con</w:t>
      </w:r>
      <w:r w:rsidRPr="00657BA6">
        <w:rPr>
          <w:rFonts w:ascii="Arial" w:hAnsi="Arial" w:cs="Arial"/>
        </w:rPr>
        <w:t xml:space="preserve"> la Recomendación RFC 3264</w:t>
      </w:r>
      <w:r w:rsidRPr="00657BA6">
        <w:rPr>
          <w:rStyle w:val="Refdenotaalpie"/>
          <w:rFonts w:ascii="Arial" w:hAnsi="Arial" w:cs="Arial"/>
        </w:rPr>
        <w:footnoteReference w:id="13"/>
      </w:r>
      <w:r w:rsidRPr="00657BA6">
        <w:rPr>
          <w:rFonts w:ascii="Arial" w:hAnsi="Arial" w:cs="Arial"/>
        </w:rPr>
        <w:t>. La contestación de la oferta debe ser dada en la respuesta provisional SIP 18x ó 200 OK.</w:t>
      </w:r>
    </w:p>
    <w:p w14:paraId="6E71C997" w14:textId="77777777" w:rsidR="00244294" w:rsidRPr="00657BA6" w:rsidRDefault="00244294" w:rsidP="0014780A">
      <w:pPr>
        <w:spacing w:after="0"/>
        <w:ind w:right="49"/>
        <w:rPr>
          <w:rFonts w:ascii="Arial" w:hAnsi="Arial" w:cs="Arial"/>
        </w:rPr>
      </w:pPr>
    </w:p>
    <w:p w14:paraId="1E4F9E58" w14:textId="77777777" w:rsidR="00244294" w:rsidRPr="00657BA6" w:rsidRDefault="00244294" w:rsidP="0014780A">
      <w:pPr>
        <w:spacing w:after="0"/>
        <w:ind w:right="49"/>
        <w:jc w:val="both"/>
        <w:rPr>
          <w:rFonts w:ascii="Arial" w:hAnsi="Arial" w:cs="Arial"/>
        </w:rPr>
      </w:pPr>
      <w:r w:rsidRPr="00657BA6">
        <w:rPr>
          <w:rFonts w:ascii="Arial" w:hAnsi="Arial" w:cs="Arial"/>
        </w:rPr>
        <w:t>El tipo de mensaje “application/sdp” debe ser soportado por los métodos INVITE, PRACK y UPDATE y las respuestas a estos métodos.</w:t>
      </w:r>
    </w:p>
    <w:p w14:paraId="6F7A4C70" w14:textId="77777777" w:rsidR="00244294" w:rsidRPr="00657BA6" w:rsidRDefault="00244294" w:rsidP="0014780A">
      <w:pPr>
        <w:spacing w:after="0"/>
        <w:ind w:right="49"/>
        <w:rPr>
          <w:rFonts w:ascii="Arial" w:hAnsi="Arial" w:cs="Arial"/>
        </w:rPr>
      </w:pPr>
    </w:p>
    <w:p w14:paraId="41D366EA" w14:textId="77777777" w:rsidR="00244294" w:rsidRPr="00657BA6" w:rsidRDefault="00244294" w:rsidP="009640AE">
      <w:pPr>
        <w:pStyle w:val="Prrafodelista"/>
        <w:numPr>
          <w:ilvl w:val="1"/>
          <w:numId w:val="31"/>
        </w:numPr>
        <w:spacing w:line="276" w:lineRule="auto"/>
        <w:ind w:left="709" w:right="49" w:hanging="709"/>
        <w:contextualSpacing/>
        <w:rPr>
          <w:rFonts w:cs="Arial"/>
          <w:b/>
          <w:szCs w:val="22"/>
        </w:rPr>
      </w:pPr>
      <w:r w:rsidRPr="00657BA6">
        <w:rPr>
          <w:rFonts w:cs="Arial"/>
          <w:b/>
          <w:szCs w:val="22"/>
        </w:rPr>
        <w:t>Notificación del proceso de la llamada</w:t>
      </w:r>
    </w:p>
    <w:p w14:paraId="661FED28" w14:textId="77777777" w:rsidR="00244294" w:rsidRPr="00657BA6" w:rsidRDefault="00244294" w:rsidP="0014780A">
      <w:pPr>
        <w:autoSpaceDE w:val="0"/>
        <w:autoSpaceDN w:val="0"/>
        <w:adjustRightInd w:val="0"/>
        <w:spacing w:after="0"/>
        <w:ind w:right="49"/>
        <w:rPr>
          <w:rFonts w:ascii="Arial" w:hAnsi="Arial" w:cs="Arial"/>
        </w:rPr>
      </w:pPr>
    </w:p>
    <w:p w14:paraId="71DA02AD" w14:textId="77777777" w:rsidR="00244294" w:rsidRPr="00657BA6" w:rsidRDefault="00244294" w:rsidP="0014780A">
      <w:pPr>
        <w:autoSpaceDE w:val="0"/>
        <w:autoSpaceDN w:val="0"/>
        <w:adjustRightInd w:val="0"/>
        <w:spacing w:after="0"/>
        <w:ind w:right="49"/>
        <w:jc w:val="both"/>
        <w:rPr>
          <w:rFonts w:ascii="Arial" w:hAnsi="Arial" w:cs="Arial"/>
        </w:rPr>
      </w:pPr>
      <w:r w:rsidRPr="00657BA6">
        <w:rPr>
          <w:rFonts w:ascii="Arial" w:hAnsi="Arial" w:cs="Arial"/>
        </w:rPr>
        <w:t>Se entenderá como “early media” o medio temprano al tono de timbrado, anuncios y en general, a cualquier medio que es intercambiado antes de que una sesión sea aceptada por el usuario que se llama.</w:t>
      </w:r>
    </w:p>
    <w:p w14:paraId="53A59D4F" w14:textId="77777777" w:rsidR="00244294" w:rsidRPr="00657BA6" w:rsidRDefault="00244294" w:rsidP="0014780A">
      <w:pPr>
        <w:spacing w:after="0"/>
        <w:ind w:right="49"/>
        <w:rPr>
          <w:rFonts w:ascii="Arial" w:hAnsi="Arial" w:cs="Arial"/>
        </w:rPr>
      </w:pPr>
    </w:p>
    <w:p w14:paraId="1390C049" w14:textId="77777777" w:rsidR="00244294" w:rsidRPr="00657BA6" w:rsidRDefault="00244294" w:rsidP="009640AE">
      <w:pPr>
        <w:pStyle w:val="Prrafodelista"/>
        <w:numPr>
          <w:ilvl w:val="1"/>
          <w:numId w:val="31"/>
        </w:numPr>
        <w:spacing w:line="276" w:lineRule="auto"/>
        <w:ind w:left="709" w:right="49" w:hanging="709"/>
        <w:contextualSpacing/>
        <w:rPr>
          <w:rFonts w:cs="Arial"/>
          <w:b/>
          <w:szCs w:val="22"/>
        </w:rPr>
      </w:pPr>
      <w:r w:rsidRPr="00657BA6">
        <w:rPr>
          <w:rFonts w:cs="Arial"/>
          <w:b/>
          <w:szCs w:val="22"/>
        </w:rPr>
        <w:t>Manejo de respuesta 180</w:t>
      </w:r>
    </w:p>
    <w:p w14:paraId="332D692B" w14:textId="77777777" w:rsidR="00244294" w:rsidRPr="00657BA6" w:rsidRDefault="00244294" w:rsidP="0014780A">
      <w:pPr>
        <w:spacing w:after="0"/>
        <w:ind w:right="49"/>
        <w:rPr>
          <w:rFonts w:ascii="Arial" w:hAnsi="Arial" w:cs="Arial"/>
        </w:rPr>
      </w:pPr>
    </w:p>
    <w:p w14:paraId="70285662" w14:textId="74B2250C" w:rsidR="00244294" w:rsidRPr="00657BA6" w:rsidRDefault="00244294" w:rsidP="0014780A">
      <w:pPr>
        <w:spacing w:after="0"/>
        <w:ind w:right="49"/>
        <w:jc w:val="both"/>
        <w:rPr>
          <w:rFonts w:ascii="Arial" w:hAnsi="Arial" w:cs="Arial"/>
        </w:rPr>
      </w:pPr>
      <w:r w:rsidRPr="00657BA6">
        <w:rPr>
          <w:rFonts w:ascii="Arial" w:hAnsi="Arial" w:cs="Arial"/>
        </w:rPr>
        <w:t xml:space="preserve">La respuesta 180 debe cumplir con las reglas para la reproducción de tono de llamada </w:t>
      </w:r>
      <w:r w:rsidR="00DE7934" w:rsidRPr="00657BA6">
        <w:rPr>
          <w:rFonts w:ascii="Arial" w:hAnsi="Arial" w:cs="Arial"/>
        </w:rPr>
        <w:t>de acuerdo con</w:t>
      </w:r>
      <w:r w:rsidRPr="00657BA6">
        <w:rPr>
          <w:rFonts w:ascii="Arial" w:hAnsi="Arial" w:cs="Arial"/>
        </w:rPr>
        <w:t xml:space="preserve"> la Recomendación RFC 3960</w:t>
      </w:r>
      <w:r w:rsidRPr="00657BA6">
        <w:rPr>
          <w:rStyle w:val="Refdenotaalpie"/>
          <w:rFonts w:ascii="Arial" w:hAnsi="Arial" w:cs="Arial"/>
        </w:rPr>
        <w:footnoteReference w:id="14"/>
      </w:r>
      <w:r w:rsidRPr="00657BA6">
        <w:rPr>
          <w:rFonts w:ascii="Arial" w:hAnsi="Arial" w:cs="Arial"/>
        </w:rPr>
        <w:t>. Si se recibe la respuesta 180 sin medio temprano entonces se deberá proveer un “Ring back tone” sin exceder de 90 s.</w:t>
      </w:r>
    </w:p>
    <w:p w14:paraId="5686DD8B" w14:textId="77777777" w:rsidR="00244294" w:rsidRPr="00657BA6" w:rsidRDefault="00244294" w:rsidP="0014780A">
      <w:pPr>
        <w:spacing w:after="0"/>
        <w:ind w:right="49"/>
        <w:rPr>
          <w:rFonts w:ascii="Arial" w:hAnsi="Arial" w:cs="Arial"/>
        </w:rPr>
      </w:pPr>
    </w:p>
    <w:p w14:paraId="0EEE05BA" w14:textId="77777777" w:rsidR="00244294" w:rsidRPr="00657BA6" w:rsidRDefault="00244294" w:rsidP="009640AE">
      <w:pPr>
        <w:pStyle w:val="Prrafodelista"/>
        <w:numPr>
          <w:ilvl w:val="1"/>
          <w:numId w:val="31"/>
        </w:numPr>
        <w:spacing w:line="276" w:lineRule="auto"/>
        <w:ind w:left="709" w:right="49" w:hanging="709"/>
        <w:contextualSpacing/>
        <w:rPr>
          <w:rFonts w:cs="Arial"/>
          <w:b/>
          <w:szCs w:val="22"/>
        </w:rPr>
      </w:pPr>
      <w:r w:rsidRPr="00657BA6">
        <w:rPr>
          <w:rFonts w:cs="Arial"/>
          <w:b/>
          <w:szCs w:val="22"/>
        </w:rPr>
        <w:lastRenderedPageBreak/>
        <w:t>Envío de anuncios sobre el RTP</w:t>
      </w:r>
    </w:p>
    <w:p w14:paraId="5C5E5715" w14:textId="77777777" w:rsidR="00244294" w:rsidRPr="00657BA6" w:rsidRDefault="00244294" w:rsidP="0014780A">
      <w:pPr>
        <w:spacing w:after="0"/>
        <w:ind w:right="49"/>
        <w:rPr>
          <w:rFonts w:ascii="Arial" w:hAnsi="Arial" w:cs="Arial"/>
          <w:b/>
        </w:rPr>
      </w:pPr>
    </w:p>
    <w:p w14:paraId="2A3FA868" w14:textId="77777777" w:rsidR="00244294" w:rsidRPr="00657BA6" w:rsidRDefault="00244294" w:rsidP="0014780A">
      <w:pPr>
        <w:spacing w:after="0"/>
        <w:ind w:right="49"/>
        <w:jc w:val="both"/>
        <w:rPr>
          <w:rFonts w:ascii="Arial" w:hAnsi="Arial" w:cs="Arial"/>
        </w:rPr>
      </w:pPr>
      <w:r w:rsidRPr="00657BA6">
        <w:rPr>
          <w:rFonts w:ascii="Arial" w:hAnsi="Arial" w:cs="Arial"/>
        </w:rPr>
        <w:t xml:space="preserve">Debe estar permitido el envío de información dentro de banda sobre el RTP unidireccional que se establece con la respuesta 183 con SDP, de tal forma que se abra el canal de audio sin exceder de 90 s. </w:t>
      </w:r>
    </w:p>
    <w:p w14:paraId="672C6735" w14:textId="77777777" w:rsidR="00244294" w:rsidRPr="00657BA6" w:rsidRDefault="00244294" w:rsidP="0014780A">
      <w:pPr>
        <w:spacing w:after="0"/>
        <w:ind w:right="49"/>
        <w:rPr>
          <w:rFonts w:ascii="Arial" w:hAnsi="Arial" w:cs="Arial"/>
        </w:rPr>
      </w:pPr>
    </w:p>
    <w:p w14:paraId="2D805CC2" w14:textId="77777777" w:rsidR="00244294" w:rsidRPr="00657BA6" w:rsidRDefault="00244294" w:rsidP="009640AE">
      <w:pPr>
        <w:pStyle w:val="Prrafodelista"/>
        <w:numPr>
          <w:ilvl w:val="1"/>
          <w:numId w:val="31"/>
        </w:numPr>
        <w:spacing w:line="276" w:lineRule="auto"/>
        <w:ind w:left="709" w:right="49" w:hanging="709"/>
        <w:contextualSpacing/>
        <w:rPr>
          <w:rFonts w:cs="Arial"/>
          <w:b/>
          <w:szCs w:val="22"/>
        </w:rPr>
      </w:pPr>
      <w:r w:rsidRPr="00657BA6">
        <w:rPr>
          <w:rFonts w:cs="Arial"/>
          <w:b/>
          <w:szCs w:val="22"/>
        </w:rPr>
        <w:t>Transmisión de Fax y DTMF</w:t>
      </w:r>
    </w:p>
    <w:p w14:paraId="307345A9" w14:textId="77777777" w:rsidR="00244294" w:rsidRPr="00657BA6" w:rsidRDefault="00244294" w:rsidP="0014780A">
      <w:pPr>
        <w:spacing w:after="0"/>
        <w:ind w:right="49"/>
        <w:jc w:val="both"/>
        <w:rPr>
          <w:rFonts w:ascii="Arial" w:hAnsi="Arial" w:cs="Arial"/>
          <w:b/>
        </w:rPr>
      </w:pPr>
    </w:p>
    <w:p w14:paraId="51442D4D" w14:textId="77777777" w:rsidR="00244294" w:rsidRPr="00657BA6" w:rsidRDefault="00244294" w:rsidP="0014780A">
      <w:pPr>
        <w:spacing w:after="0"/>
        <w:ind w:right="49"/>
        <w:jc w:val="both"/>
        <w:rPr>
          <w:rFonts w:ascii="Arial" w:hAnsi="Arial" w:cs="Arial"/>
        </w:rPr>
      </w:pPr>
      <w:r w:rsidRPr="00657BA6">
        <w:rPr>
          <w:rFonts w:ascii="Arial" w:hAnsi="Arial" w:cs="Arial"/>
        </w:rPr>
        <w:t>Con respecto a la marcación por tonos o sistema multifrecuencial (Dual Tone Multi Frequency, DTMF) se utilizarán las Recomendaciones RFC 4734</w:t>
      </w:r>
      <w:r w:rsidRPr="00657BA6">
        <w:rPr>
          <w:rStyle w:val="Refdenotaalpie"/>
          <w:rFonts w:ascii="Arial" w:hAnsi="Arial" w:cs="Arial"/>
        </w:rPr>
        <w:footnoteReference w:id="15"/>
      </w:r>
      <w:r w:rsidRPr="00657BA6">
        <w:rPr>
          <w:rFonts w:ascii="Arial" w:hAnsi="Arial" w:cs="Arial"/>
        </w:rPr>
        <w:t xml:space="preserve"> y RFC 4733</w:t>
      </w:r>
      <w:r w:rsidRPr="00657BA6">
        <w:rPr>
          <w:rStyle w:val="Refdenotaalpie"/>
          <w:rFonts w:ascii="Arial" w:hAnsi="Arial" w:cs="Arial"/>
        </w:rPr>
        <w:footnoteReference w:id="16"/>
      </w:r>
      <w:r w:rsidRPr="00657BA6">
        <w:rPr>
          <w:rFonts w:ascii="Arial" w:hAnsi="Arial" w:cs="Arial"/>
        </w:rPr>
        <w:t xml:space="preserve"> en lo relacionado a los eventos 0-9, *, #, A, B, C, D.</w:t>
      </w:r>
    </w:p>
    <w:p w14:paraId="3F8AB2B2" w14:textId="77777777" w:rsidR="00244294" w:rsidRPr="00657BA6" w:rsidRDefault="00244294" w:rsidP="0014780A">
      <w:pPr>
        <w:spacing w:after="0"/>
        <w:ind w:right="49"/>
        <w:jc w:val="both"/>
        <w:rPr>
          <w:rFonts w:ascii="Arial" w:hAnsi="Arial" w:cs="Arial"/>
        </w:rPr>
      </w:pPr>
    </w:p>
    <w:p w14:paraId="46F63AB1" w14:textId="77777777" w:rsidR="00244294" w:rsidRPr="00657BA6" w:rsidRDefault="00244294" w:rsidP="0014780A">
      <w:pPr>
        <w:spacing w:after="0"/>
        <w:ind w:right="49"/>
        <w:jc w:val="both"/>
        <w:rPr>
          <w:rFonts w:ascii="Arial" w:hAnsi="Arial" w:cs="Arial"/>
        </w:rPr>
      </w:pPr>
      <w:r w:rsidRPr="00657BA6">
        <w:rPr>
          <w:rFonts w:ascii="Arial" w:hAnsi="Arial" w:cs="Arial"/>
        </w:rPr>
        <w:t>La transmisión de Fax debe ser en la modalidad de módem/fax en donde una vez establecida una llamada de voz es prioritario establecer primero la sesión de Módem sobre IP (MoIP) y posteriormente conmutar al protocolo T.38, conforme al anexo F de la Recomendación T.38 de la UIT-T.</w:t>
      </w:r>
    </w:p>
    <w:p w14:paraId="6F3684F2" w14:textId="77777777" w:rsidR="00244294" w:rsidRPr="00657BA6" w:rsidRDefault="00244294" w:rsidP="0014780A">
      <w:pPr>
        <w:spacing w:after="0"/>
        <w:ind w:right="49"/>
        <w:jc w:val="both"/>
        <w:rPr>
          <w:rFonts w:ascii="Arial" w:hAnsi="Arial" w:cs="Arial"/>
        </w:rPr>
      </w:pPr>
    </w:p>
    <w:p w14:paraId="1997204B" w14:textId="7056DCAB" w:rsidR="00244294" w:rsidRPr="00657BA6" w:rsidRDefault="00244294" w:rsidP="0014780A">
      <w:pPr>
        <w:spacing w:after="0"/>
        <w:ind w:right="49"/>
        <w:jc w:val="both"/>
        <w:rPr>
          <w:rFonts w:ascii="Arial" w:hAnsi="Arial" w:cs="Arial"/>
        </w:rPr>
      </w:pPr>
      <w:r w:rsidRPr="00657BA6">
        <w:rPr>
          <w:rFonts w:ascii="Arial" w:hAnsi="Arial" w:cs="Arial"/>
        </w:rPr>
        <w:t xml:space="preserve">Para las sesiones de MoIP se debe negociar el medio en el modo de datos en banda vocal (VBD) </w:t>
      </w:r>
      <w:r w:rsidR="00DE7934" w:rsidRPr="00657BA6">
        <w:rPr>
          <w:rFonts w:ascii="Arial" w:hAnsi="Arial" w:cs="Arial"/>
        </w:rPr>
        <w:t>de acuerdo con</w:t>
      </w:r>
      <w:r w:rsidRPr="00657BA6">
        <w:rPr>
          <w:rFonts w:ascii="Arial" w:hAnsi="Arial" w:cs="Arial"/>
        </w:rPr>
        <w:t xml:space="preserve"> lo siguiente:</w:t>
      </w:r>
    </w:p>
    <w:p w14:paraId="55BE91C5" w14:textId="77777777" w:rsidR="00244294" w:rsidRPr="00657BA6" w:rsidRDefault="00244294" w:rsidP="0014780A">
      <w:pPr>
        <w:spacing w:after="0"/>
        <w:ind w:right="49"/>
        <w:jc w:val="both"/>
        <w:rPr>
          <w:rFonts w:ascii="Arial" w:hAnsi="Arial" w:cs="Arial"/>
        </w:rPr>
      </w:pPr>
    </w:p>
    <w:p w14:paraId="0AEB1912" w14:textId="77777777" w:rsidR="00244294" w:rsidRPr="00657BA6" w:rsidRDefault="00244294" w:rsidP="0014780A">
      <w:pPr>
        <w:spacing w:after="0"/>
        <w:ind w:right="49"/>
        <w:jc w:val="both"/>
        <w:rPr>
          <w:rFonts w:ascii="Arial" w:hAnsi="Arial" w:cs="Arial"/>
        </w:rPr>
      </w:pPr>
      <w:r w:rsidRPr="00657BA6">
        <w:rPr>
          <w:rFonts w:ascii="Arial" w:hAnsi="Arial" w:cs="Arial"/>
        </w:rPr>
        <w:t>m=audio1024-65535 RTP/AVP 8 0</w:t>
      </w:r>
    </w:p>
    <w:p w14:paraId="782D8D98" w14:textId="77777777" w:rsidR="00244294" w:rsidRPr="00657BA6" w:rsidRDefault="00244294" w:rsidP="0014780A">
      <w:pPr>
        <w:spacing w:after="0"/>
        <w:ind w:right="49"/>
        <w:jc w:val="both"/>
        <w:rPr>
          <w:rFonts w:ascii="Arial" w:hAnsi="Arial" w:cs="Arial"/>
        </w:rPr>
      </w:pPr>
    </w:p>
    <w:p w14:paraId="069DFA0E" w14:textId="77777777" w:rsidR="00244294" w:rsidRPr="00657BA6" w:rsidRDefault="00244294" w:rsidP="0014780A">
      <w:pPr>
        <w:spacing w:after="0"/>
        <w:ind w:right="49"/>
        <w:jc w:val="both"/>
        <w:rPr>
          <w:rFonts w:ascii="Arial" w:hAnsi="Arial" w:cs="Arial"/>
        </w:rPr>
      </w:pPr>
      <w:r w:rsidRPr="00657BA6">
        <w:rPr>
          <w:rFonts w:ascii="Arial" w:hAnsi="Arial" w:cs="Arial"/>
        </w:rPr>
        <w:t>Una vez establecida la sesión MoIP se podrá negociar el medio para FoIP (T.38) conforme al anexo F de la recomendación T.38 de la UIT-T con las siguientes características:</w:t>
      </w:r>
    </w:p>
    <w:p w14:paraId="758EAC0C" w14:textId="77777777" w:rsidR="00244294" w:rsidRPr="00657BA6" w:rsidRDefault="00244294" w:rsidP="0014780A">
      <w:pPr>
        <w:spacing w:after="0"/>
        <w:ind w:right="49"/>
        <w:jc w:val="both"/>
        <w:rPr>
          <w:rFonts w:ascii="Arial" w:hAnsi="Arial" w:cs="Arial"/>
        </w:rPr>
      </w:pPr>
    </w:p>
    <w:p w14:paraId="7D6B34B4" w14:textId="77777777" w:rsidR="00244294" w:rsidRPr="00657BA6" w:rsidRDefault="00244294" w:rsidP="0014780A">
      <w:pPr>
        <w:spacing w:after="0"/>
        <w:ind w:right="49"/>
        <w:jc w:val="both"/>
        <w:rPr>
          <w:rFonts w:ascii="Arial" w:hAnsi="Arial" w:cs="Arial"/>
        </w:rPr>
      </w:pPr>
      <w:r w:rsidRPr="00657BA6">
        <w:rPr>
          <w:rFonts w:ascii="Arial" w:hAnsi="Arial" w:cs="Arial"/>
        </w:rPr>
        <w:t>m=image1024-65535 udptl t38</w:t>
      </w:r>
    </w:p>
    <w:p w14:paraId="14D1D069" w14:textId="77777777" w:rsidR="00244294" w:rsidRPr="00657BA6" w:rsidRDefault="00244294" w:rsidP="0014780A">
      <w:pPr>
        <w:spacing w:after="0"/>
        <w:ind w:right="49"/>
        <w:jc w:val="both"/>
        <w:rPr>
          <w:rFonts w:ascii="Arial" w:hAnsi="Arial" w:cs="Arial"/>
        </w:rPr>
      </w:pPr>
    </w:p>
    <w:p w14:paraId="5034F8BA" w14:textId="77777777" w:rsidR="00244294" w:rsidRPr="00657BA6" w:rsidRDefault="00244294" w:rsidP="009640AE">
      <w:pPr>
        <w:pStyle w:val="Prrafodelista"/>
        <w:numPr>
          <w:ilvl w:val="1"/>
          <w:numId w:val="31"/>
        </w:numPr>
        <w:spacing w:line="276" w:lineRule="auto"/>
        <w:ind w:left="709" w:right="49" w:hanging="709"/>
        <w:contextualSpacing/>
        <w:rPr>
          <w:rFonts w:cs="Arial"/>
          <w:b/>
          <w:szCs w:val="22"/>
        </w:rPr>
      </w:pPr>
      <w:r w:rsidRPr="00657BA6">
        <w:rPr>
          <w:rFonts w:cs="Arial"/>
          <w:b/>
          <w:szCs w:val="22"/>
        </w:rPr>
        <w:t>Temporizadores de SIP</w:t>
      </w:r>
      <w:r w:rsidRPr="00657BA6">
        <w:rPr>
          <w:rFonts w:cs="Arial"/>
          <w:b/>
          <w:szCs w:val="22"/>
        </w:rPr>
        <w:tab/>
      </w:r>
      <w:r w:rsidRPr="00657BA6">
        <w:rPr>
          <w:rFonts w:cs="Arial"/>
          <w:b/>
          <w:szCs w:val="22"/>
        </w:rPr>
        <w:tab/>
      </w:r>
      <w:r w:rsidRPr="00657BA6">
        <w:rPr>
          <w:rFonts w:cs="Arial"/>
          <w:b/>
          <w:szCs w:val="22"/>
        </w:rPr>
        <w:tab/>
      </w:r>
      <w:r w:rsidRPr="00657BA6">
        <w:rPr>
          <w:rFonts w:cs="Arial"/>
          <w:b/>
          <w:szCs w:val="22"/>
        </w:rPr>
        <w:tab/>
      </w:r>
      <w:r w:rsidRPr="00657BA6">
        <w:rPr>
          <w:rFonts w:cs="Arial"/>
          <w:b/>
          <w:szCs w:val="22"/>
        </w:rPr>
        <w:tab/>
      </w:r>
      <w:r w:rsidRPr="00657BA6">
        <w:rPr>
          <w:rFonts w:cs="Arial"/>
          <w:b/>
          <w:szCs w:val="22"/>
        </w:rPr>
        <w:tab/>
      </w:r>
    </w:p>
    <w:p w14:paraId="1B36D456" w14:textId="77777777" w:rsidR="00244294" w:rsidRPr="00657BA6" w:rsidRDefault="00244294" w:rsidP="0014780A">
      <w:pPr>
        <w:pStyle w:val="NormalWeb"/>
        <w:spacing w:before="0" w:beforeAutospacing="0" w:after="0" w:afterAutospacing="0" w:line="276" w:lineRule="auto"/>
        <w:ind w:left="540" w:right="49"/>
        <w:rPr>
          <w:rFonts w:ascii="Arial" w:hAnsi="Arial" w:cs="Arial"/>
          <w:b/>
          <w:sz w:val="22"/>
          <w:szCs w:val="22"/>
        </w:rPr>
      </w:pPr>
    </w:p>
    <w:p w14:paraId="217C95C6" w14:textId="77777777" w:rsidR="00244294" w:rsidRPr="00657BA6" w:rsidRDefault="00244294" w:rsidP="0014780A">
      <w:pPr>
        <w:autoSpaceDE w:val="0"/>
        <w:autoSpaceDN w:val="0"/>
        <w:adjustRightInd w:val="0"/>
        <w:spacing w:after="0"/>
        <w:ind w:right="49"/>
        <w:rPr>
          <w:rFonts w:ascii="Arial" w:hAnsi="Arial" w:cs="Arial"/>
        </w:rPr>
      </w:pPr>
      <w:r w:rsidRPr="00657BA6">
        <w:rPr>
          <w:rFonts w:ascii="Arial" w:hAnsi="Arial" w:cs="Arial"/>
        </w:rPr>
        <w:t xml:space="preserve">El concesionario al recibir el mensaje INVITE debe cumplir con la Recomendación IETF RFC 3261 sobre temporizadores. </w:t>
      </w:r>
      <w:r w:rsidRPr="00657BA6">
        <w:rPr>
          <w:rFonts w:ascii="Arial" w:hAnsi="Arial" w:cs="Arial"/>
        </w:rPr>
        <w:tab/>
        <w:t xml:space="preserve"> </w:t>
      </w:r>
    </w:p>
    <w:p w14:paraId="438A9F0D" w14:textId="77777777" w:rsidR="00244294" w:rsidRPr="00657BA6" w:rsidRDefault="00244294" w:rsidP="0014780A">
      <w:pPr>
        <w:spacing w:after="0"/>
        <w:ind w:right="49"/>
        <w:rPr>
          <w:rFonts w:ascii="Arial" w:hAnsi="Arial" w:cs="Arial"/>
        </w:rPr>
      </w:pPr>
    </w:p>
    <w:tbl>
      <w:tblPr>
        <w:tblStyle w:val="Sombreadomedio2-nfasis12"/>
        <w:tblW w:w="4855"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4678"/>
        <w:gridCol w:w="2693"/>
      </w:tblGrid>
      <w:tr w:rsidR="00244294" w:rsidRPr="00657BA6" w14:paraId="16091187" w14:textId="77777777" w:rsidTr="001A0CC9">
        <w:trPr>
          <w:cnfStyle w:val="000000100000" w:firstRow="0" w:lastRow="0" w:firstColumn="0" w:lastColumn="0" w:oddVBand="0" w:evenVBand="0" w:oddHBand="1" w:evenHBand="0" w:firstRowFirstColumn="0" w:firstRowLastColumn="0" w:lastRowFirstColumn="0" w:lastRowLastColumn="0"/>
          <w:trHeight w:val="284"/>
        </w:trPr>
        <w:tc>
          <w:tcPr>
            <w:tcW w:w="93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804928F" w14:textId="77777777" w:rsidR="00244294" w:rsidRPr="00657BA6" w:rsidRDefault="00244294" w:rsidP="0014780A">
            <w:pPr>
              <w:pStyle w:val="TAH"/>
              <w:spacing w:line="276" w:lineRule="auto"/>
              <w:ind w:right="49"/>
              <w:rPr>
                <w:rFonts w:cs="Arial"/>
                <w:bCs/>
                <w:sz w:val="20"/>
              </w:rPr>
            </w:pPr>
            <w:r w:rsidRPr="00657BA6">
              <w:rPr>
                <w:rFonts w:cs="Arial"/>
                <w:bCs/>
                <w:sz w:val="20"/>
              </w:rPr>
              <w:lastRenderedPageBreak/>
              <w:t>Temporizador</w:t>
            </w:r>
          </w:p>
        </w:tc>
        <w:tc>
          <w:tcPr>
            <w:tcW w:w="257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27753D0" w14:textId="77777777" w:rsidR="00244294" w:rsidRPr="00657BA6" w:rsidRDefault="00244294" w:rsidP="0014780A">
            <w:pPr>
              <w:pStyle w:val="TAH"/>
              <w:spacing w:line="276" w:lineRule="auto"/>
              <w:ind w:right="49"/>
              <w:rPr>
                <w:rFonts w:cs="Arial"/>
                <w:bCs/>
                <w:sz w:val="20"/>
              </w:rPr>
            </w:pPr>
            <w:r w:rsidRPr="00657BA6">
              <w:rPr>
                <w:rFonts w:cs="Arial"/>
                <w:bCs/>
                <w:sz w:val="20"/>
              </w:rPr>
              <w:t>Significado</w:t>
            </w:r>
          </w:p>
        </w:tc>
        <w:tc>
          <w:tcPr>
            <w:tcW w:w="148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6D72090" w14:textId="77777777" w:rsidR="00244294" w:rsidRPr="00657BA6" w:rsidRDefault="00244294" w:rsidP="0014780A">
            <w:pPr>
              <w:pStyle w:val="TAH"/>
              <w:spacing w:line="276" w:lineRule="auto"/>
              <w:ind w:right="49"/>
              <w:rPr>
                <w:rFonts w:cs="Arial"/>
                <w:bCs/>
                <w:sz w:val="20"/>
              </w:rPr>
            </w:pPr>
            <w:r w:rsidRPr="00657BA6">
              <w:rPr>
                <w:rFonts w:cs="Arial"/>
                <w:bCs/>
                <w:sz w:val="20"/>
              </w:rPr>
              <w:t>Valores recomendados</w:t>
            </w:r>
          </w:p>
        </w:tc>
      </w:tr>
      <w:tr w:rsidR="00244294" w:rsidRPr="00657BA6" w14:paraId="6D1628E2" w14:textId="77777777" w:rsidTr="001A0CC9">
        <w:trPr>
          <w:cnfStyle w:val="000000010000" w:firstRow="0" w:lastRow="0" w:firstColumn="0" w:lastColumn="0" w:oddVBand="0" w:evenVBand="0" w:oddHBand="0" w:evenHBand="1" w:firstRowFirstColumn="0" w:firstRowLastColumn="0" w:lastRowFirstColumn="0" w:lastRowLastColumn="0"/>
        </w:trPr>
        <w:tc>
          <w:tcPr>
            <w:tcW w:w="938" w:type="pct"/>
            <w:tcBorders>
              <w:top w:val="single" w:sz="4" w:space="0" w:color="000000"/>
              <w:left w:val="none" w:sz="0" w:space="0" w:color="auto"/>
              <w:bottom w:val="none" w:sz="0" w:space="0" w:color="auto"/>
              <w:right w:val="none" w:sz="0" w:space="0" w:color="auto"/>
              <w:tl2br w:val="none" w:sz="0" w:space="0" w:color="auto"/>
              <w:tr2bl w:val="none" w:sz="0" w:space="0" w:color="auto"/>
            </w:tcBorders>
          </w:tcPr>
          <w:p w14:paraId="74F21A04" w14:textId="77777777" w:rsidR="00244294" w:rsidRPr="00657BA6" w:rsidRDefault="00244294" w:rsidP="0014780A">
            <w:pPr>
              <w:pStyle w:val="TAL"/>
              <w:spacing w:line="276" w:lineRule="auto"/>
              <w:ind w:right="49"/>
              <w:rPr>
                <w:rFonts w:eastAsia="Arial Unicode MS" w:cs="Arial"/>
                <w:sz w:val="20"/>
                <w:lang w:eastAsia="en-US"/>
              </w:rPr>
            </w:pPr>
            <w:r w:rsidRPr="00657BA6">
              <w:rPr>
                <w:rFonts w:cs="Arial"/>
                <w:sz w:val="20"/>
                <w:lang w:eastAsia="en-US"/>
              </w:rPr>
              <w:t>T1</w:t>
            </w:r>
          </w:p>
        </w:tc>
        <w:tc>
          <w:tcPr>
            <w:tcW w:w="2578" w:type="pct"/>
            <w:tcBorders>
              <w:top w:val="single" w:sz="4" w:space="0" w:color="000000"/>
              <w:left w:val="none" w:sz="0" w:space="0" w:color="auto"/>
              <w:bottom w:val="none" w:sz="0" w:space="0" w:color="auto"/>
              <w:right w:val="none" w:sz="0" w:space="0" w:color="auto"/>
              <w:tl2br w:val="none" w:sz="0" w:space="0" w:color="auto"/>
              <w:tr2bl w:val="none" w:sz="0" w:space="0" w:color="auto"/>
            </w:tcBorders>
          </w:tcPr>
          <w:p w14:paraId="06DD1194" w14:textId="77777777" w:rsidR="00244294" w:rsidRPr="00657BA6" w:rsidRDefault="00244294" w:rsidP="0014780A">
            <w:pPr>
              <w:pStyle w:val="TAL"/>
              <w:spacing w:line="276" w:lineRule="auto"/>
              <w:ind w:right="49"/>
              <w:rPr>
                <w:rFonts w:cs="Arial"/>
                <w:sz w:val="20"/>
                <w:lang w:eastAsia="en-US"/>
              </w:rPr>
            </w:pPr>
            <w:r w:rsidRPr="00657BA6">
              <w:rPr>
                <w:rFonts w:cs="Arial"/>
                <w:sz w:val="20"/>
                <w:lang w:eastAsia="en-US"/>
              </w:rPr>
              <w:t>Estimación del RTT</w:t>
            </w:r>
          </w:p>
        </w:tc>
        <w:tc>
          <w:tcPr>
            <w:tcW w:w="1484" w:type="pct"/>
            <w:tcBorders>
              <w:top w:val="single" w:sz="4" w:space="0" w:color="000000"/>
              <w:left w:val="none" w:sz="0" w:space="0" w:color="auto"/>
              <w:bottom w:val="none" w:sz="0" w:space="0" w:color="auto"/>
              <w:right w:val="none" w:sz="0" w:space="0" w:color="auto"/>
              <w:tl2br w:val="none" w:sz="0" w:space="0" w:color="auto"/>
              <w:tr2bl w:val="none" w:sz="0" w:space="0" w:color="auto"/>
            </w:tcBorders>
          </w:tcPr>
          <w:p w14:paraId="69F813A2" w14:textId="77777777" w:rsidR="00244294" w:rsidRPr="00657BA6" w:rsidRDefault="00244294" w:rsidP="0014780A">
            <w:pPr>
              <w:pStyle w:val="TAL"/>
              <w:spacing w:line="276" w:lineRule="auto"/>
              <w:ind w:right="49"/>
              <w:jc w:val="center"/>
              <w:rPr>
                <w:rFonts w:cs="Arial"/>
                <w:sz w:val="20"/>
                <w:lang w:eastAsia="en-US"/>
              </w:rPr>
            </w:pPr>
            <w:r w:rsidRPr="00657BA6">
              <w:rPr>
                <w:rFonts w:cs="Arial"/>
                <w:sz w:val="20"/>
                <w:lang w:eastAsia="en-US"/>
              </w:rPr>
              <w:t>500ms (valor por omisión)</w:t>
            </w:r>
          </w:p>
        </w:tc>
      </w:tr>
      <w:tr w:rsidR="00244294" w:rsidRPr="00657BA6" w14:paraId="59A3E78E" w14:textId="77777777" w:rsidTr="001A0CC9">
        <w:trPr>
          <w:cnfStyle w:val="000000100000" w:firstRow="0" w:lastRow="0" w:firstColumn="0" w:lastColumn="0" w:oddVBand="0" w:evenVBand="0" w:oddHBand="1" w:evenHBand="0" w:firstRowFirstColumn="0" w:firstRowLastColumn="0" w:lastRowFirstColumn="0" w:lastRowLastColumn="0"/>
        </w:trPr>
        <w:tc>
          <w:tcPr>
            <w:tcW w:w="93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62B49AF" w14:textId="77777777" w:rsidR="00244294" w:rsidRPr="00657BA6" w:rsidRDefault="00244294" w:rsidP="0014780A">
            <w:pPr>
              <w:pStyle w:val="TAL"/>
              <w:spacing w:line="276" w:lineRule="auto"/>
              <w:ind w:right="49"/>
              <w:rPr>
                <w:rFonts w:eastAsia="Arial Unicode MS" w:cs="Arial"/>
                <w:sz w:val="20"/>
                <w:lang w:eastAsia="en-US"/>
              </w:rPr>
            </w:pPr>
            <w:r w:rsidRPr="00657BA6">
              <w:rPr>
                <w:rFonts w:cs="Arial"/>
                <w:sz w:val="20"/>
                <w:lang w:eastAsia="en-US"/>
              </w:rPr>
              <w:t>T2</w:t>
            </w:r>
          </w:p>
        </w:tc>
        <w:tc>
          <w:tcPr>
            <w:tcW w:w="25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45B6817C" w14:textId="77777777" w:rsidR="00244294" w:rsidRPr="00657BA6" w:rsidRDefault="00244294" w:rsidP="0014780A">
            <w:pPr>
              <w:pStyle w:val="TAL"/>
              <w:spacing w:line="276" w:lineRule="auto"/>
              <w:ind w:right="49"/>
              <w:rPr>
                <w:rFonts w:cs="Arial"/>
                <w:sz w:val="20"/>
                <w:lang w:val="es-ES" w:eastAsia="en-US"/>
              </w:rPr>
            </w:pPr>
            <w:r w:rsidRPr="00657BA6">
              <w:rPr>
                <w:rFonts w:cs="Arial"/>
                <w:sz w:val="20"/>
                <w:lang w:val="es-ES" w:eastAsia="en-US"/>
              </w:rPr>
              <w:t>Intervalo de retransmisión máximo para peticiones no INVITE y respuestas INVITE</w:t>
            </w: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59253C2" w14:textId="77777777" w:rsidR="00244294" w:rsidRPr="00657BA6" w:rsidRDefault="00244294" w:rsidP="0014780A">
            <w:pPr>
              <w:pStyle w:val="TAL"/>
              <w:spacing w:line="276" w:lineRule="auto"/>
              <w:ind w:right="49"/>
              <w:jc w:val="center"/>
              <w:rPr>
                <w:rFonts w:cs="Arial"/>
                <w:sz w:val="20"/>
                <w:lang w:eastAsia="en-US"/>
              </w:rPr>
            </w:pPr>
            <w:r w:rsidRPr="00657BA6">
              <w:rPr>
                <w:rFonts w:cs="Arial"/>
                <w:sz w:val="20"/>
                <w:lang w:eastAsia="en-US"/>
              </w:rPr>
              <w:t>4s</w:t>
            </w:r>
          </w:p>
        </w:tc>
      </w:tr>
      <w:tr w:rsidR="00244294" w:rsidRPr="00657BA6" w14:paraId="5EC53B34" w14:textId="77777777" w:rsidTr="001A0CC9">
        <w:trPr>
          <w:cnfStyle w:val="000000010000" w:firstRow="0" w:lastRow="0" w:firstColumn="0" w:lastColumn="0" w:oddVBand="0" w:evenVBand="0" w:oddHBand="0" w:evenHBand="1" w:firstRowFirstColumn="0" w:firstRowLastColumn="0" w:lastRowFirstColumn="0" w:lastRowLastColumn="0"/>
        </w:trPr>
        <w:tc>
          <w:tcPr>
            <w:tcW w:w="93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F7279F" w14:textId="77777777" w:rsidR="00244294" w:rsidRPr="00657BA6" w:rsidRDefault="00244294" w:rsidP="0014780A">
            <w:pPr>
              <w:pStyle w:val="TAL"/>
              <w:spacing w:line="276" w:lineRule="auto"/>
              <w:ind w:right="49"/>
              <w:rPr>
                <w:rFonts w:eastAsia="Arial Unicode MS" w:cs="Arial"/>
                <w:sz w:val="20"/>
                <w:lang w:eastAsia="en-US"/>
              </w:rPr>
            </w:pPr>
            <w:r w:rsidRPr="00657BA6">
              <w:rPr>
                <w:rFonts w:cs="Arial"/>
                <w:sz w:val="20"/>
                <w:lang w:eastAsia="en-US"/>
              </w:rPr>
              <w:t>T4</w:t>
            </w:r>
          </w:p>
        </w:tc>
        <w:tc>
          <w:tcPr>
            <w:tcW w:w="257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B7F453" w14:textId="77777777" w:rsidR="00244294" w:rsidRPr="00657BA6" w:rsidRDefault="00244294" w:rsidP="0014780A">
            <w:pPr>
              <w:pStyle w:val="TAL"/>
              <w:spacing w:line="276" w:lineRule="auto"/>
              <w:ind w:right="49"/>
              <w:rPr>
                <w:rFonts w:cs="Arial"/>
                <w:sz w:val="20"/>
                <w:lang w:val="es-ES" w:eastAsia="en-US"/>
              </w:rPr>
            </w:pPr>
            <w:r w:rsidRPr="00657BA6">
              <w:rPr>
                <w:rFonts w:cs="Arial"/>
                <w:sz w:val="20"/>
                <w:lang w:val="es-ES" w:eastAsia="en-US"/>
              </w:rPr>
              <w:t>Duración máxima que un mensaje permanecerá en la red</w:t>
            </w: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24EDD7" w14:textId="77777777" w:rsidR="00244294" w:rsidRPr="00657BA6" w:rsidRDefault="00244294" w:rsidP="0014780A">
            <w:pPr>
              <w:pStyle w:val="TAL"/>
              <w:spacing w:line="276" w:lineRule="auto"/>
              <w:ind w:right="49"/>
              <w:jc w:val="center"/>
              <w:rPr>
                <w:rFonts w:cs="Arial"/>
                <w:sz w:val="20"/>
                <w:lang w:eastAsia="en-US"/>
              </w:rPr>
            </w:pPr>
            <w:r w:rsidRPr="00657BA6">
              <w:rPr>
                <w:rFonts w:cs="Arial"/>
                <w:sz w:val="20"/>
                <w:lang w:eastAsia="en-US"/>
              </w:rPr>
              <w:t>5s</w:t>
            </w:r>
          </w:p>
        </w:tc>
      </w:tr>
      <w:tr w:rsidR="00244294" w:rsidRPr="00657BA6" w14:paraId="792A4B56" w14:textId="77777777" w:rsidTr="001A0CC9">
        <w:trPr>
          <w:cnfStyle w:val="000000100000" w:firstRow="0" w:lastRow="0" w:firstColumn="0" w:lastColumn="0" w:oddVBand="0" w:evenVBand="0" w:oddHBand="1" w:evenHBand="0" w:firstRowFirstColumn="0" w:firstRowLastColumn="0" w:lastRowFirstColumn="0" w:lastRowLastColumn="0"/>
        </w:trPr>
        <w:tc>
          <w:tcPr>
            <w:tcW w:w="93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4F7D1B86" w14:textId="77777777" w:rsidR="00244294" w:rsidRPr="00657BA6" w:rsidRDefault="00244294" w:rsidP="0014780A">
            <w:pPr>
              <w:pStyle w:val="TAL"/>
              <w:spacing w:line="276" w:lineRule="auto"/>
              <w:ind w:right="49"/>
              <w:rPr>
                <w:rFonts w:eastAsia="Arial Unicode MS" w:cs="Arial"/>
                <w:sz w:val="20"/>
                <w:lang w:eastAsia="en-US"/>
              </w:rPr>
            </w:pPr>
            <w:r w:rsidRPr="00657BA6">
              <w:rPr>
                <w:rFonts w:cs="Arial"/>
                <w:sz w:val="20"/>
                <w:lang w:eastAsia="en-US"/>
              </w:rPr>
              <w:t>Timer A</w:t>
            </w:r>
          </w:p>
        </w:tc>
        <w:tc>
          <w:tcPr>
            <w:tcW w:w="25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D95B129" w14:textId="77777777" w:rsidR="00244294" w:rsidRPr="00657BA6" w:rsidRDefault="00244294" w:rsidP="0014780A">
            <w:pPr>
              <w:pStyle w:val="TAL"/>
              <w:spacing w:line="276" w:lineRule="auto"/>
              <w:ind w:right="49"/>
              <w:rPr>
                <w:rFonts w:cs="Arial"/>
                <w:sz w:val="20"/>
                <w:lang w:val="es-ES" w:eastAsia="en-US"/>
              </w:rPr>
            </w:pPr>
            <w:r w:rsidRPr="00657BA6">
              <w:rPr>
                <w:rFonts w:cs="Arial"/>
                <w:sz w:val="20"/>
                <w:lang w:val="es-ES" w:eastAsia="en-US"/>
              </w:rPr>
              <w:t>Intervalo de retransmisión de la petición solamente para UDP</w:t>
            </w: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42BA1E54" w14:textId="77777777" w:rsidR="00244294" w:rsidRPr="00657BA6" w:rsidRDefault="00244294" w:rsidP="0014780A">
            <w:pPr>
              <w:pStyle w:val="TAL"/>
              <w:spacing w:line="276" w:lineRule="auto"/>
              <w:ind w:right="49"/>
              <w:jc w:val="center"/>
              <w:rPr>
                <w:rFonts w:cs="Arial"/>
                <w:sz w:val="20"/>
                <w:lang w:eastAsia="en-US"/>
              </w:rPr>
            </w:pPr>
            <w:r w:rsidRPr="00657BA6">
              <w:rPr>
                <w:rFonts w:cs="Arial"/>
                <w:sz w:val="20"/>
                <w:lang w:eastAsia="en-US"/>
              </w:rPr>
              <w:t>inicialmente T1</w:t>
            </w:r>
          </w:p>
        </w:tc>
      </w:tr>
      <w:tr w:rsidR="00244294" w:rsidRPr="00657BA6" w14:paraId="356E2AA4" w14:textId="77777777" w:rsidTr="001A0CC9">
        <w:trPr>
          <w:cnfStyle w:val="000000010000" w:firstRow="0" w:lastRow="0" w:firstColumn="0" w:lastColumn="0" w:oddVBand="0" w:evenVBand="0" w:oddHBand="0" w:evenHBand="1" w:firstRowFirstColumn="0" w:firstRowLastColumn="0" w:lastRowFirstColumn="0" w:lastRowLastColumn="0"/>
        </w:trPr>
        <w:tc>
          <w:tcPr>
            <w:tcW w:w="93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9925BD" w14:textId="77777777" w:rsidR="00244294" w:rsidRPr="00657BA6" w:rsidRDefault="00244294" w:rsidP="0014780A">
            <w:pPr>
              <w:pStyle w:val="TAL"/>
              <w:spacing w:line="276" w:lineRule="auto"/>
              <w:ind w:right="49"/>
              <w:rPr>
                <w:rFonts w:eastAsia="Arial Unicode MS" w:cs="Arial"/>
                <w:sz w:val="20"/>
                <w:lang w:eastAsia="en-US"/>
              </w:rPr>
            </w:pPr>
            <w:r w:rsidRPr="00657BA6">
              <w:rPr>
                <w:rFonts w:cs="Arial"/>
                <w:sz w:val="20"/>
                <w:lang w:eastAsia="en-US"/>
              </w:rPr>
              <w:t>Timer B</w:t>
            </w:r>
          </w:p>
        </w:tc>
        <w:tc>
          <w:tcPr>
            <w:tcW w:w="257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49BB79" w14:textId="77777777" w:rsidR="00244294" w:rsidRPr="00657BA6" w:rsidRDefault="00244294" w:rsidP="0014780A">
            <w:pPr>
              <w:pStyle w:val="TAL"/>
              <w:spacing w:line="276" w:lineRule="auto"/>
              <w:ind w:right="49"/>
              <w:rPr>
                <w:rFonts w:cs="Arial"/>
                <w:sz w:val="20"/>
                <w:lang w:val="es-ES" w:eastAsia="en-US"/>
              </w:rPr>
            </w:pPr>
            <w:r w:rsidRPr="00657BA6">
              <w:rPr>
                <w:rFonts w:cs="Arial"/>
                <w:sz w:val="20"/>
                <w:lang w:val="es-ES" w:eastAsia="en-US"/>
              </w:rPr>
              <w:t>Vencimiento del temporizador de la transacción INVITE</w:t>
            </w: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A9D571" w14:textId="77777777" w:rsidR="00244294" w:rsidRPr="00657BA6" w:rsidRDefault="00244294" w:rsidP="0014780A">
            <w:pPr>
              <w:pStyle w:val="TAL"/>
              <w:spacing w:line="276" w:lineRule="auto"/>
              <w:ind w:right="49"/>
              <w:jc w:val="center"/>
              <w:rPr>
                <w:rFonts w:cs="Arial"/>
                <w:sz w:val="20"/>
                <w:lang w:eastAsia="en-US"/>
              </w:rPr>
            </w:pPr>
            <w:r w:rsidRPr="00657BA6">
              <w:rPr>
                <w:rFonts w:cs="Arial"/>
                <w:sz w:val="20"/>
                <w:lang w:eastAsia="en-US"/>
              </w:rPr>
              <w:t>64*T1</w:t>
            </w:r>
          </w:p>
        </w:tc>
      </w:tr>
      <w:tr w:rsidR="00244294" w:rsidRPr="00657BA6" w14:paraId="62E7A787" w14:textId="77777777" w:rsidTr="001A0CC9">
        <w:trPr>
          <w:cnfStyle w:val="000000100000" w:firstRow="0" w:lastRow="0" w:firstColumn="0" w:lastColumn="0" w:oddVBand="0" w:evenVBand="0" w:oddHBand="1" w:evenHBand="0" w:firstRowFirstColumn="0" w:firstRowLastColumn="0" w:lastRowFirstColumn="0" w:lastRowLastColumn="0"/>
        </w:trPr>
        <w:tc>
          <w:tcPr>
            <w:tcW w:w="93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5E66A035" w14:textId="77777777" w:rsidR="00244294" w:rsidRPr="00657BA6" w:rsidRDefault="00244294" w:rsidP="0014780A">
            <w:pPr>
              <w:pStyle w:val="TAL"/>
              <w:spacing w:line="276" w:lineRule="auto"/>
              <w:ind w:right="49"/>
              <w:rPr>
                <w:rFonts w:eastAsia="Arial Unicode MS" w:cs="Arial"/>
                <w:sz w:val="20"/>
                <w:lang w:eastAsia="en-US"/>
              </w:rPr>
            </w:pPr>
            <w:r w:rsidRPr="00657BA6">
              <w:rPr>
                <w:rFonts w:cs="Arial"/>
                <w:sz w:val="20"/>
                <w:lang w:eastAsia="en-US"/>
              </w:rPr>
              <w:t>Timer C</w:t>
            </w:r>
          </w:p>
        </w:tc>
        <w:tc>
          <w:tcPr>
            <w:tcW w:w="25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221CE7CC" w14:textId="77777777" w:rsidR="00244294" w:rsidRPr="00657BA6" w:rsidRDefault="00244294" w:rsidP="0014780A">
            <w:pPr>
              <w:pStyle w:val="TAL"/>
              <w:spacing w:line="276" w:lineRule="auto"/>
              <w:ind w:right="49"/>
              <w:rPr>
                <w:rFonts w:cs="Arial"/>
                <w:sz w:val="20"/>
                <w:lang w:val="es-ES" w:eastAsia="en-US"/>
              </w:rPr>
            </w:pPr>
            <w:r w:rsidRPr="00657BA6">
              <w:rPr>
                <w:rFonts w:cs="Arial"/>
                <w:sz w:val="20"/>
                <w:lang w:val="es-ES" w:eastAsia="en-US"/>
              </w:rPr>
              <w:t>Vencimiento de la transacción INVITE en el proxy</w:t>
            </w: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49F54F15" w14:textId="77777777" w:rsidR="00244294" w:rsidRPr="00657BA6" w:rsidRDefault="00244294" w:rsidP="0014780A">
            <w:pPr>
              <w:pStyle w:val="TAL"/>
              <w:spacing w:line="276" w:lineRule="auto"/>
              <w:ind w:right="49"/>
              <w:jc w:val="center"/>
              <w:rPr>
                <w:rFonts w:cs="Arial"/>
                <w:sz w:val="20"/>
                <w:lang w:eastAsia="en-US"/>
              </w:rPr>
            </w:pPr>
            <w:r w:rsidRPr="00657BA6">
              <w:rPr>
                <w:rFonts w:cs="Arial"/>
                <w:sz w:val="20"/>
                <w:lang w:eastAsia="en-US"/>
              </w:rPr>
              <w:t>&gt; 3min</w:t>
            </w:r>
          </w:p>
        </w:tc>
      </w:tr>
      <w:tr w:rsidR="00244294" w:rsidRPr="00657BA6" w14:paraId="1B9356AB" w14:textId="77777777" w:rsidTr="001A0CC9">
        <w:trPr>
          <w:cnfStyle w:val="000000010000" w:firstRow="0" w:lastRow="0" w:firstColumn="0" w:lastColumn="0" w:oddVBand="0" w:evenVBand="0" w:oddHBand="0" w:evenHBand="1" w:firstRowFirstColumn="0" w:firstRowLastColumn="0" w:lastRowFirstColumn="0" w:lastRowLastColumn="0"/>
        </w:trPr>
        <w:tc>
          <w:tcPr>
            <w:tcW w:w="938"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12CA25" w14:textId="77777777" w:rsidR="00244294" w:rsidRPr="00657BA6" w:rsidRDefault="00244294" w:rsidP="0014780A">
            <w:pPr>
              <w:pStyle w:val="TAL"/>
              <w:spacing w:line="276" w:lineRule="auto"/>
              <w:ind w:right="49"/>
              <w:rPr>
                <w:rFonts w:eastAsia="Arial Unicode MS" w:cs="Arial"/>
                <w:sz w:val="20"/>
                <w:lang w:eastAsia="en-US"/>
              </w:rPr>
            </w:pPr>
            <w:r w:rsidRPr="00657BA6">
              <w:rPr>
                <w:rFonts w:cs="Arial"/>
                <w:sz w:val="20"/>
                <w:lang w:eastAsia="en-US"/>
              </w:rPr>
              <w:t>Timer D</w:t>
            </w:r>
          </w:p>
        </w:tc>
        <w:tc>
          <w:tcPr>
            <w:tcW w:w="2578"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E1E10F" w14:textId="77777777" w:rsidR="00244294" w:rsidRPr="00657BA6" w:rsidRDefault="00244294" w:rsidP="0014780A">
            <w:pPr>
              <w:pStyle w:val="TAL"/>
              <w:spacing w:line="276" w:lineRule="auto"/>
              <w:ind w:right="49"/>
              <w:rPr>
                <w:rFonts w:cs="Arial"/>
                <w:sz w:val="20"/>
                <w:lang w:val="es-ES" w:eastAsia="en-US"/>
              </w:rPr>
            </w:pPr>
            <w:r w:rsidRPr="00657BA6">
              <w:rPr>
                <w:rFonts w:cs="Arial"/>
                <w:sz w:val="20"/>
                <w:lang w:val="es-ES" w:eastAsia="en-US"/>
              </w:rPr>
              <w:t>Tiempo de espera para retransmisiones de respuestas</w:t>
            </w: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83BA6B" w14:textId="77777777" w:rsidR="00244294" w:rsidRPr="00657BA6" w:rsidRDefault="00244294" w:rsidP="0014780A">
            <w:pPr>
              <w:pStyle w:val="TAL"/>
              <w:spacing w:line="276" w:lineRule="auto"/>
              <w:ind w:right="49"/>
              <w:jc w:val="center"/>
              <w:rPr>
                <w:rFonts w:cs="Arial"/>
                <w:sz w:val="20"/>
                <w:lang w:eastAsia="en-US"/>
              </w:rPr>
            </w:pPr>
            <w:r w:rsidRPr="00657BA6">
              <w:rPr>
                <w:rFonts w:cs="Arial"/>
                <w:sz w:val="20"/>
                <w:lang w:eastAsia="en-US"/>
              </w:rPr>
              <w:t>&gt; 32s para UDP</w:t>
            </w:r>
          </w:p>
        </w:tc>
      </w:tr>
      <w:tr w:rsidR="00244294" w:rsidRPr="00657BA6" w14:paraId="177A7652" w14:textId="77777777" w:rsidTr="001A0CC9">
        <w:trPr>
          <w:cnfStyle w:val="000000100000" w:firstRow="0" w:lastRow="0" w:firstColumn="0" w:lastColumn="0" w:oddVBand="0" w:evenVBand="0" w:oddHBand="1" w:evenHBand="0" w:firstRowFirstColumn="0" w:firstRowLastColumn="0" w:lastRowFirstColumn="0" w:lastRowLastColumn="0"/>
        </w:trPr>
        <w:tc>
          <w:tcPr>
            <w:tcW w:w="938" w:type="pct"/>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708FA5" w14:textId="77777777" w:rsidR="00244294" w:rsidRPr="00657BA6" w:rsidRDefault="00244294" w:rsidP="0014780A">
            <w:pPr>
              <w:pStyle w:val="TAL"/>
              <w:spacing w:line="276" w:lineRule="auto"/>
              <w:ind w:right="49"/>
              <w:rPr>
                <w:rFonts w:eastAsia="Arial Unicode MS" w:cs="Arial"/>
                <w:sz w:val="20"/>
                <w:lang w:eastAsia="en-US"/>
              </w:rPr>
            </w:pPr>
          </w:p>
        </w:tc>
        <w:tc>
          <w:tcPr>
            <w:tcW w:w="2578" w:type="pct"/>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43AF9E" w14:textId="77777777" w:rsidR="00244294" w:rsidRPr="00657BA6" w:rsidRDefault="00244294" w:rsidP="0014780A">
            <w:pPr>
              <w:pStyle w:val="TAL"/>
              <w:spacing w:line="276" w:lineRule="auto"/>
              <w:ind w:right="49"/>
              <w:rPr>
                <w:rFonts w:cs="Arial"/>
                <w:sz w:val="20"/>
                <w:lang w:eastAsia="en-US"/>
              </w:rPr>
            </w:pP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B511D9" w14:textId="77777777" w:rsidR="00244294" w:rsidRPr="00657BA6" w:rsidRDefault="00244294" w:rsidP="0014780A">
            <w:pPr>
              <w:pStyle w:val="TAL"/>
              <w:spacing w:line="276" w:lineRule="auto"/>
              <w:ind w:right="49"/>
              <w:jc w:val="center"/>
              <w:rPr>
                <w:rFonts w:eastAsia="Arial Unicode MS" w:cs="Arial"/>
                <w:sz w:val="20"/>
                <w:lang w:eastAsia="en-US"/>
              </w:rPr>
            </w:pPr>
            <w:r w:rsidRPr="00657BA6">
              <w:rPr>
                <w:rFonts w:cs="Arial"/>
                <w:sz w:val="20"/>
                <w:lang w:eastAsia="en-US"/>
              </w:rPr>
              <w:t>0s para TCP/SCTP</w:t>
            </w:r>
          </w:p>
        </w:tc>
      </w:tr>
      <w:tr w:rsidR="00244294" w:rsidRPr="00657BA6" w14:paraId="2402C5F5" w14:textId="77777777" w:rsidTr="001A0CC9">
        <w:trPr>
          <w:cnfStyle w:val="000000010000" w:firstRow="0" w:lastRow="0" w:firstColumn="0" w:lastColumn="0" w:oddVBand="0" w:evenVBand="0" w:oddHBand="0" w:evenHBand="1" w:firstRowFirstColumn="0" w:firstRowLastColumn="0" w:lastRowFirstColumn="0" w:lastRowLastColumn="0"/>
        </w:trPr>
        <w:tc>
          <w:tcPr>
            <w:tcW w:w="93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5019DC03" w14:textId="77777777" w:rsidR="00244294" w:rsidRPr="00657BA6" w:rsidRDefault="00244294" w:rsidP="0014780A">
            <w:pPr>
              <w:pStyle w:val="TAL"/>
              <w:spacing w:line="276" w:lineRule="auto"/>
              <w:ind w:right="49"/>
              <w:rPr>
                <w:rFonts w:eastAsia="Arial Unicode MS" w:cs="Arial"/>
                <w:sz w:val="20"/>
                <w:lang w:eastAsia="en-US"/>
              </w:rPr>
            </w:pPr>
            <w:r w:rsidRPr="00657BA6">
              <w:rPr>
                <w:rFonts w:cs="Arial"/>
                <w:sz w:val="20"/>
                <w:lang w:eastAsia="en-US"/>
              </w:rPr>
              <w:t>Timer E</w:t>
            </w:r>
          </w:p>
        </w:tc>
        <w:tc>
          <w:tcPr>
            <w:tcW w:w="25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B1A5016" w14:textId="77777777" w:rsidR="00244294" w:rsidRPr="00657BA6" w:rsidRDefault="00244294" w:rsidP="0014780A">
            <w:pPr>
              <w:pStyle w:val="TAL"/>
              <w:spacing w:line="276" w:lineRule="auto"/>
              <w:ind w:right="49"/>
              <w:rPr>
                <w:rFonts w:cs="Arial"/>
                <w:sz w:val="20"/>
                <w:lang w:val="es-ES" w:eastAsia="en-US"/>
              </w:rPr>
            </w:pPr>
            <w:r w:rsidRPr="00657BA6">
              <w:rPr>
                <w:rFonts w:cs="Arial"/>
                <w:sz w:val="20"/>
                <w:lang w:val="es-ES" w:eastAsia="en-US"/>
              </w:rPr>
              <w:t>Intervalo de retransmisión de peticiones distintas al INVITE, solamente para UDP</w:t>
            </w: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B7F0C2D" w14:textId="77777777" w:rsidR="00244294" w:rsidRPr="00657BA6" w:rsidRDefault="00244294" w:rsidP="0014780A">
            <w:pPr>
              <w:pStyle w:val="TAL"/>
              <w:spacing w:line="276" w:lineRule="auto"/>
              <w:ind w:right="49"/>
              <w:jc w:val="center"/>
              <w:rPr>
                <w:rFonts w:cs="Arial"/>
                <w:sz w:val="20"/>
                <w:lang w:eastAsia="en-US"/>
              </w:rPr>
            </w:pPr>
            <w:r w:rsidRPr="00657BA6">
              <w:rPr>
                <w:rFonts w:cs="Arial"/>
                <w:sz w:val="20"/>
                <w:lang w:eastAsia="en-US"/>
              </w:rPr>
              <w:t>inicialmente T1</w:t>
            </w:r>
          </w:p>
        </w:tc>
      </w:tr>
      <w:tr w:rsidR="00244294" w:rsidRPr="00657BA6" w14:paraId="5B55E737" w14:textId="77777777" w:rsidTr="001A0CC9">
        <w:trPr>
          <w:cnfStyle w:val="000000100000" w:firstRow="0" w:lastRow="0" w:firstColumn="0" w:lastColumn="0" w:oddVBand="0" w:evenVBand="0" w:oddHBand="1" w:evenHBand="0" w:firstRowFirstColumn="0" w:firstRowLastColumn="0" w:lastRowFirstColumn="0" w:lastRowLastColumn="0"/>
        </w:trPr>
        <w:tc>
          <w:tcPr>
            <w:tcW w:w="93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7116E8" w14:textId="77777777" w:rsidR="00244294" w:rsidRPr="00657BA6" w:rsidRDefault="00244294" w:rsidP="0014780A">
            <w:pPr>
              <w:pStyle w:val="TAL"/>
              <w:spacing w:line="276" w:lineRule="auto"/>
              <w:ind w:right="49"/>
              <w:rPr>
                <w:rFonts w:eastAsia="Arial Unicode MS" w:cs="Arial"/>
                <w:sz w:val="20"/>
                <w:lang w:eastAsia="en-US"/>
              </w:rPr>
            </w:pPr>
            <w:r w:rsidRPr="00657BA6">
              <w:rPr>
                <w:rFonts w:cs="Arial"/>
                <w:sz w:val="20"/>
                <w:lang w:eastAsia="en-US"/>
              </w:rPr>
              <w:t>Timer F</w:t>
            </w:r>
          </w:p>
        </w:tc>
        <w:tc>
          <w:tcPr>
            <w:tcW w:w="257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888006" w14:textId="77777777" w:rsidR="00244294" w:rsidRPr="00657BA6" w:rsidRDefault="00244294" w:rsidP="0014780A">
            <w:pPr>
              <w:pStyle w:val="TAL"/>
              <w:spacing w:line="276" w:lineRule="auto"/>
              <w:ind w:right="49"/>
              <w:rPr>
                <w:rFonts w:cs="Arial"/>
                <w:sz w:val="20"/>
                <w:lang w:val="es-ES" w:eastAsia="en-US"/>
              </w:rPr>
            </w:pPr>
            <w:r w:rsidRPr="00657BA6">
              <w:rPr>
                <w:rFonts w:cs="Arial"/>
                <w:sz w:val="20"/>
                <w:lang w:val="es-ES" w:eastAsia="en-US"/>
              </w:rPr>
              <w:t>Vencimiento del temporizador de transacción diferente del INVITE</w:t>
            </w: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A4336E" w14:textId="77777777" w:rsidR="00244294" w:rsidRPr="00657BA6" w:rsidRDefault="00244294" w:rsidP="0014780A">
            <w:pPr>
              <w:pStyle w:val="TAL"/>
              <w:spacing w:line="276" w:lineRule="auto"/>
              <w:ind w:right="49"/>
              <w:jc w:val="center"/>
              <w:rPr>
                <w:rFonts w:cs="Arial"/>
                <w:sz w:val="20"/>
                <w:lang w:eastAsia="en-US"/>
              </w:rPr>
            </w:pPr>
            <w:r w:rsidRPr="00657BA6">
              <w:rPr>
                <w:rFonts w:cs="Arial"/>
                <w:sz w:val="20"/>
                <w:lang w:eastAsia="en-US"/>
              </w:rPr>
              <w:t>64*T1</w:t>
            </w:r>
          </w:p>
        </w:tc>
      </w:tr>
      <w:tr w:rsidR="00244294" w:rsidRPr="00657BA6" w14:paraId="0EB8FD5B" w14:textId="77777777" w:rsidTr="001A0CC9">
        <w:trPr>
          <w:cnfStyle w:val="000000010000" w:firstRow="0" w:lastRow="0" w:firstColumn="0" w:lastColumn="0" w:oddVBand="0" w:evenVBand="0" w:oddHBand="0" w:evenHBand="1" w:firstRowFirstColumn="0" w:firstRowLastColumn="0" w:lastRowFirstColumn="0" w:lastRowLastColumn="0"/>
        </w:trPr>
        <w:tc>
          <w:tcPr>
            <w:tcW w:w="93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994042C" w14:textId="77777777" w:rsidR="00244294" w:rsidRPr="00657BA6" w:rsidRDefault="00244294" w:rsidP="0014780A">
            <w:pPr>
              <w:pStyle w:val="TAL"/>
              <w:spacing w:line="276" w:lineRule="auto"/>
              <w:ind w:right="49"/>
              <w:rPr>
                <w:rFonts w:eastAsia="Arial Unicode MS" w:cs="Arial"/>
                <w:sz w:val="20"/>
                <w:lang w:eastAsia="en-US"/>
              </w:rPr>
            </w:pPr>
            <w:r w:rsidRPr="00657BA6">
              <w:rPr>
                <w:rFonts w:cs="Arial"/>
                <w:sz w:val="20"/>
                <w:lang w:eastAsia="en-US"/>
              </w:rPr>
              <w:t>Timer G</w:t>
            </w:r>
          </w:p>
        </w:tc>
        <w:tc>
          <w:tcPr>
            <w:tcW w:w="257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E70C1A3" w14:textId="77777777" w:rsidR="00244294" w:rsidRPr="00657BA6" w:rsidRDefault="00244294" w:rsidP="0014780A">
            <w:pPr>
              <w:pStyle w:val="TAL"/>
              <w:spacing w:line="276" w:lineRule="auto"/>
              <w:ind w:right="49"/>
              <w:rPr>
                <w:rFonts w:cs="Arial"/>
                <w:sz w:val="20"/>
                <w:lang w:val="es-ES" w:eastAsia="en-US"/>
              </w:rPr>
            </w:pPr>
            <w:r w:rsidRPr="00657BA6">
              <w:rPr>
                <w:rFonts w:cs="Arial"/>
                <w:sz w:val="20"/>
                <w:lang w:val="es-ES" w:eastAsia="en-US"/>
              </w:rPr>
              <w:t>Intervalo de retransmisión de la respuesta al INVITE</w:t>
            </w: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16C13FCB" w14:textId="77777777" w:rsidR="00244294" w:rsidRPr="00657BA6" w:rsidRDefault="00244294" w:rsidP="0014780A">
            <w:pPr>
              <w:pStyle w:val="TAL"/>
              <w:spacing w:line="276" w:lineRule="auto"/>
              <w:ind w:right="49"/>
              <w:jc w:val="center"/>
              <w:rPr>
                <w:rFonts w:cs="Arial"/>
                <w:sz w:val="20"/>
                <w:lang w:eastAsia="en-US"/>
              </w:rPr>
            </w:pPr>
            <w:r w:rsidRPr="00657BA6">
              <w:rPr>
                <w:rFonts w:cs="Arial"/>
                <w:sz w:val="20"/>
                <w:lang w:eastAsia="en-US"/>
              </w:rPr>
              <w:t>inicialmente T1</w:t>
            </w:r>
          </w:p>
        </w:tc>
      </w:tr>
      <w:tr w:rsidR="00244294" w:rsidRPr="00657BA6" w14:paraId="220D5F40" w14:textId="77777777" w:rsidTr="001A0CC9">
        <w:trPr>
          <w:cnfStyle w:val="000000100000" w:firstRow="0" w:lastRow="0" w:firstColumn="0" w:lastColumn="0" w:oddVBand="0" w:evenVBand="0" w:oddHBand="1" w:evenHBand="0" w:firstRowFirstColumn="0" w:firstRowLastColumn="0" w:lastRowFirstColumn="0" w:lastRowLastColumn="0"/>
        </w:trPr>
        <w:tc>
          <w:tcPr>
            <w:tcW w:w="93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DC3EC8" w14:textId="77777777" w:rsidR="00244294" w:rsidRPr="00657BA6" w:rsidRDefault="00244294" w:rsidP="0014780A">
            <w:pPr>
              <w:pStyle w:val="TAL"/>
              <w:spacing w:line="276" w:lineRule="auto"/>
              <w:ind w:right="49"/>
              <w:rPr>
                <w:rFonts w:eastAsia="Arial Unicode MS" w:cs="Arial"/>
                <w:sz w:val="20"/>
                <w:lang w:eastAsia="en-US"/>
              </w:rPr>
            </w:pPr>
            <w:r w:rsidRPr="00657BA6">
              <w:rPr>
                <w:rFonts w:cs="Arial"/>
                <w:sz w:val="20"/>
                <w:lang w:eastAsia="en-US"/>
              </w:rPr>
              <w:t>Timer H</w:t>
            </w:r>
          </w:p>
        </w:tc>
        <w:tc>
          <w:tcPr>
            <w:tcW w:w="257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617DBC" w14:textId="77777777" w:rsidR="00244294" w:rsidRPr="00657BA6" w:rsidRDefault="00244294" w:rsidP="0014780A">
            <w:pPr>
              <w:pStyle w:val="TAL"/>
              <w:spacing w:line="276" w:lineRule="auto"/>
              <w:ind w:right="49"/>
              <w:rPr>
                <w:rFonts w:cs="Arial"/>
                <w:sz w:val="20"/>
                <w:lang w:val="es-ES" w:eastAsia="en-US"/>
              </w:rPr>
            </w:pPr>
            <w:r w:rsidRPr="00657BA6">
              <w:rPr>
                <w:rFonts w:cs="Arial"/>
                <w:sz w:val="20"/>
                <w:lang w:val="es-ES" w:eastAsia="en-US"/>
              </w:rPr>
              <w:t>Tiempo de espera para recibir un ACK</w:t>
            </w: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217188" w14:textId="77777777" w:rsidR="00244294" w:rsidRPr="00657BA6" w:rsidRDefault="00244294" w:rsidP="0014780A">
            <w:pPr>
              <w:pStyle w:val="TAL"/>
              <w:spacing w:line="276" w:lineRule="auto"/>
              <w:ind w:right="49"/>
              <w:jc w:val="center"/>
              <w:rPr>
                <w:rFonts w:cs="Arial"/>
                <w:sz w:val="20"/>
                <w:lang w:eastAsia="en-US"/>
              </w:rPr>
            </w:pPr>
            <w:r w:rsidRPr="00657BA6">
              <w:rPr>
                <w:rFonts w:cs="Arial"/>
                <w:sz w:val="20"/>
                <w:lang w:eastAsia="en-US"/>
              </w:rPr>
              <w:t>64*T1</w:t>
            </w:r>
          </w:p>
        </w:tc>
      </w:tr>
      <w:tr w:rsidR="00244294" w:rsidRPr="00657BA6" w14:paraId="477FE96A" w14:textId="77777777" w:rsidTr="001A0CC9">
        <w:trPr>
          <w:cnfStyle w:val="000000010000" w:firstRow="0" w:lastRow="0" w:firstColumn="0" w:lastColumn="0" w:oddVBand="0" w:evenVBand="0" w:oddHBand="0" w:evenHBand="1" w:firstRowFirstColumn="0" w:firstRowLastColumn="0" w:lastRowFirstColumn="0" w:lastRowLastColumn="0"/>
        </w:trPr>
        <w:tc>
          <w:tcPr>
            <w:tcW w:w="938"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760BE2DA" w14:textId="77777777" w:rsidR="00244294" w:rsidRPr="00657BA6" w:rsidRDefault="00244294" w:rsidP="0014780A">
            <w:pPr>
              <w:pStyle w:val="TAL"/>
              <w:spacing w:line="276" w:lineRule="auto"/>
              <w:ind w:right="49"/>
              <w:rPr>
                <w:rFonts w:eastAsia="Arial Unicode MS" w:cs="Arial"/>
                <w:sz w:val="20"/>
                <w:lang w:eastAsia="en-US"/>
              </w:rPr>
            </w:pPr>
            <w:r w:rsidRPr="00657BA6">
              <w:rPr>
                <w:rFonts w:cs="Arial"/>
                <w:sz w:val="20"/>
                <w:lang w:eastAsia="en-US"/>
              </w:rPr>
              <w:t>Timer I</w:t>
            </w:r>
          </w:p>
        </w:tc>
        <w:tc>
          <w:tcPr>
            <w:tcW w:w="2578"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410AC5C6" w14:textId="77777777" w:rsidR="00244294" w:rsidRPr="00657BA6" w:rsidRDefault="00244294" w:rsidP="0014780A">
            <w:pPr>
              <w:pStyle w:val="TAL"/>
              <w:spacing w:line="276" w:lineRule="auto"/>
              <w:ind w:right="49"/>
              <w:rPr>
                <w:rFonts w:cs="Arial"/>
                <w:sz w:val="20"/>
                <w:lang w:val="es-ES" w:eastAsia="en-US"/>
              </w:rPr>
            </w:pPr>
            <w:r w:rsidRPr="00657BA6">
              <w:rPr>
                <w:rFonts w:cs="Arial"/>
                <w:sz w:val="20"/>
                <w:lang w:val="es-ES" w:eastAsia="en-US"/>
              </w:rPr>
              <w:t>Tiempo de espera para retransmitir el ACK</w:t>
            </w: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55520B14" w14:textId="77777777" w:rsidR="00244294" w:rsidRPr="00657BA6" w:rsidRDefault="00244294" w:rsidP="0014780A">
            <w:pPr>
              <w:pStyle w:val="TAL"/>
              <w:spacing w:line="276" w:lineRule="auto"/>
              <w:ind w:right="49"/>
              <w:jc w:val="center"/>
              <w:rPr>
                <w:rFonts w:cs="Arial"/>
                <w:sz w:val="20"/>
                <w:lang w:eastAsia="en-US"/>
              </w:rPr>
            </w:pPr>
            <w:r w:rsidRPr="00657BA6">
              <w:rPr>
                <w:rFonts w:cs="Arial"/>
                <w:sz w:val="20"/>
                <w:lang w:eastAsia="en-US"/>
              </w:rPr>
              <w:t>T4 para UDP</w:t>
            </w:r>
          </w:p>
        </w:tc>
      </w:tr>
      <w:tr w:rsidR="00244294" w:rsidRPr="00657BA6" w14:paraId="03A8EFFC" w14:textId="77777777" w:rsidTr="001A0CC9">
        <w:trPr>
          <w:cnfStyle w:val="000000100000" w:firstRow="0" w:lastRow="0" w:firstColumn="0" w:lastColumn="0" w:oddVBand="0" w:evenVBand="0" w:oddHBand="1" w:evenHBand="0" w:firstRowFirstColumn="0" w:firstRowLastColumn="0" w:lastRowFirstColumn="0" w:lastRowLastColumn="0"/>
        </w:trPr>
        <w:tc>
          <w:tcPr>
            <w:tcW w:w="938"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112A579C" w14:textId="77777777" w:rsidR="00244294" w:rsidRPr="00657BA6" w:rsidRDefault="00244294" w:rsidP="0014780A">
            <w:pPr>
              <w:pStyle w:val="TAL"/>
              <w:spacing w:line="276" w:lineRule="auto"/>
              <w:ind w:right="49"/>
              <w:rPr>
                <w:rFonts w:eastAsia="Arial Unicode MS" w:cs="Arial"/>
                <w:sz w:val="20"/>
                <w:lang w:eastAsia="en-US"/>
              </w:rPr>
            </w:pPr>
          </w:p>
        </w:tc>
        <w:tc>
          <w:tcPr>
            <w:tcW w:w="2578"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206FB5D2" w14:textId="77777777" w:rsidR="00244294" w:rsidRPr="00657BA6" w:rsidRDefault="00244294" w:rsidP="0014780A">
            <w:pPr>
              <w:pStyle w:val="TAL"/>
              <w:spacing w:line="276" w:lineRule="auto"/>
              <w:ind w:right="49"/>
              <w:rPr>
                <w:rFonts w:cs="Arial"/>
                <w:sz w:val="20"/>
                <w:lang w:eastAsia="en-US"/>
              </w:rPr>
            </w:pP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789EEAF7" w14:textId="77777777" w:rsidR="00244294" w:rsidRPr="00657BA6" w:rsidRDefault="00244294" w:rsidP="0014780A">
            <w:pPr>
              <w:pStyle w:val="TAL"/>
              <w:spacing w:line="276" w:lineRule="auto"/>
              <w:ind w:right="49"/>
              <w:jc w:val="center"/>
              <w:rPr>
                <w:rFonts w:eastAsia="Arial Unicode MS" w:cs="Arial"/>
                <w:sz w:val="20"/>
                <w:lang w:eastAsia="en-US"/>
              </w:rPr>
            </w:pPr>
            <w:r w:rsidRPr="00657BA6">
              <w:rPr>
                <w:rFonts w:cs="Arial"/>
                <w:sz w:val="20"/>
                <w:lang w:eastAsia="en-US"/>
              </w:rPr>
              <w:t>0s para TCP/SCTP</w:t>
            </w:r>
          </w:p>
        </w:tc>
      </w:tr>
      <w:tr w:rsidR="00244294" w:rsidRPr="00657BA6" w14:paraId="2C97881D" w14:textId="77777777" w:rsidTr="001A0CC9">
        <w:trPr>
          <w:cnfStyle w:val="000000010000" w:firstRow="0" w:lastRow="0" w:firstColumn="0" w:lastColumn="0" w:oddVBand="0" w:evenVBand="0" w:oddHBand="0" w:evenHBand="1" w:firstRowFirstColumn="0" w:firstRowLastColumn="0" w:lastRowFirstColumn="0" w:lastRowLastColumn="0"/>
        </w:trPr>
        <w:tc>
          <w:tcPr>
            <w:tcW w:w="938"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0B398B" w14:textId="77777777" w:rsidR="00244294" w:rsidRPr="00657BA6" w:rsidRDefault="00244294" w:rsidP="0014780A">
            <w:pPr>
              <w:pStyle w:val="TAL"/>
              <w:spacing w:line="276" w:lineRule="auto"/>
              <w:ind w:right="49"/>
              <w:rPr>
                <w:rFonts w:eastAsia="Arial Unicode MS" w:cs="Arial"/>
                <w:sz w:val="20"/>
                <w:lang w:eastAsia="en-US"/>
              </w:rPr>
            </w:pPr>
            <w:r w:rsidRPr="00657BA6">
              <w:rPr>
                <w:rFonts w:cs="Arial"/>
                <w:sz w:val="20"/>
                <w:lang w:eastAsia="en-US"/>
              </w:rPr>
              <w:t>Timer J</w:t>
            </w:r>
          </w:p>
        </w:tc>
        <w:tc>
          <w:tcPr>
            <w:tcW w:w="2578"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AB364D" w14:textId="77777777" w:rsidR="00244294" w:rsidRPr="00657BA6" w:rsidRDefault="00244294" w:rsidP="0014780A">
            <w:pPr>
              <w:pStyle w:val="TAL"/>
              <w:spacing w:line="276" w:lineRule="auto"/>
              <w:ind w:right="49"/>
              <w:rPr>
                <w:rFonts w:cs="Arial"/>
                <w:sz w:val="20"/>
                <w:lang w:val="es-ES" w:eastAsia="en-US"/>
              </w:rPr>
            </w:pPr>
            <w:r w:rsidRPr="00657BA6">
              <w:rPr>
                <w:rFonts w:cs="Arial"/>
                <w:sz w:val="20"/>
                <w:lang w:val="es-ES" w:eastAsia="en-US"/>
              </w:rPr>
              <w:t>Tiempo de espera para peticiones distintas al INVITE</w:t>
            </w: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4F19A5" w14:textId="77777777" w:rsidR="00244294" w:rsidRPr="00657BA6" w:rsidRDefault="00244294" w:rsidP="0014780A">
            <w:pPr>
              <w:pStyle w:val="TAL"/>
              <w:spacing w:line="276" w:lineRule="auto"/>
              <w:ind w:right="49"/>
              <w:jc w:val="center"/>
              <w:rPr>
                <w:rFonts w:cs="Arial"/>
                <w:sz w:val="20"/>
                <w:lang w:eastAsia="en-US"/>
              </w:rPr>
            </w:pPr>
            <w:r w:rsidRPr="00657BA6">
              <w:rPr>
                <w:rFonts w:cs="Arial"/>
                <w:sz w:val="20"/>
                <w:lang w:eastAsia="en-US"/>
              </w:rPr>
              <w:t>64*T1 para UDP</w:t>
            </w:r>
          </w:p>
        </w:tc>
      </w:tr>
      <w:tr w:rsidR="00244294" w:rsidRPr="00657BA6" w14:paraId="001EC51A" w14:textId="77777777" w:rsidTr="001A0CC9">
        <w:trPr>
          <w:cnfStyle w:val="000000100000" w:firstRow="0" w:lastRow="0" w:firstColumn="0" w:lastColumn="0" w:oddVBand="0" w:evenVBand="0" w:oddHBand="1" w:evenHBand="0" w:firstRowFirstColumn="0" w:firstRowLastColumn="0" w:lastRowFirstColumn="0" w:lastRowLastColumn="0"/>
        </w:trPr>
        <w:tc>
          <w:tcPr>
            <w:tcW w:w="938" w:type="pct"/>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4D8AB7" w14:textId="77777777" w:rsidR="00244294" w:rsidRPr="00657BA6" w:rsidRDefault="00244294" w:rsidP="0014780A">
            <w:pPr>
              <w:pStyle w:val="TAL"/>
              <w:spacing w:line="276" w:lineRule="auto"/>
              <w:ind w:right="49"/>
              <w:rPr>
                <w:rFonts w:eastAsia="Arial Unicode MS" w:cs="Arial"/>
                <w:sz w:val="20"/>
                <w:lang w:eastAsia="en-US"/>
              </w:rPr>
            </w:pPr>
          </w:p>
        </w:tc>
        <w:tc>
          <w:tcPr>
            <w:tcW w:w="2578" w:type="pct"/>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CF6193" w14:textId="77777777" w:rsidR="00244294" w:rsidRPr="00657BA6" w:rsidRDefault="00244294" w:rsidP="0014780A">
            <w:pPr>
              <w:pStyle w:val="TAL"/>
              <w:spacing w:line="276" w:lineRule="auto"/>
              <w:ind w:right="49"/>
              <w:rPr>
                <w:rFonts w:cs="Arial"/>
                <w:sz w:val="20"/>
                <w:lang w:eastAsia="en-US"/>
              </w:rPr>
            </w:pP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DF2F1A" w14:textId="77777777" w:rsidR="00244294" w:rsidRPr="00657BA6" w:rsidRDefault="00244294" w:rsidP="0014780A">
            <w:pPr>
              <w:pStyle w:val="TAL"/>
              <w:spacing w:line="276" w:lineRule="auto"/>
              <w:ind w:right="49"/>
              <w:jc w:val="center"/>
              <w:rPr>
                <w:rFonts w:eastAsia="Arial Unicode MS" w:cs="Arial"/>
                <w:sz w:val="20"/>
                <w:lang w:eastAsia="en-US"/>
              </w:rPr>
            </w:pPr>
            <w:r w:rsidRPr="00657BA6">
              <w:rPr>
                <w:rFonts w:cs="Arial"/>
                <w:sz w:val="20"/>
                <w:lang w:eastAsia="en-US"/>
              </w:rPr>
              <w:t>0s para TCP/SCTP</w:t>
            </w:r>
          </w:p>
        </w:tc>
      </w:tr>
      <w:tr w:rsidR="00244294" w:rsidRPr="00657BA6" w14:paraId="594D3185" w14:textId="77777777" w:rsidTr="001A0CC9">
        <w:trPr>
          <w:cnfStyle w:val="000000010000" w:firstRow="0" w:lastRow="0" w:firstColumn="0" w:lastColumn="0" w:oddVBand="0" w:evenVBand="0" w:oddHBand="0" w:evenHBand="1" w:firstRowFirstColumn="0" w:firstRowLastColumn="0" w:lastRowFirstColumn="0" w:lastRowLastColumn="0"/>
        </w:trPr>
        <w:tc>
          <w:tcPr>
            <w:tcW w:w="938"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377C22F4" w14:textId="77777777" w:rsidR="00244294" w:rsidRPr="00657BA6" w:rsidRDefault="00244294" w:rsidP="0014780A">
            <w:pPr>
              <w:pStyle w:val="TAL"/>
              <w:spacing w:line="276" w:lineRule="auto"/>
              <w:ind w:right="49"/>
              <w:rPr>
                <w:rFonts w:eastAsia="Arial Unicode MS" w:cs="Arial"/>
                <w:sz w:val="20"/>
                <w:lang w:eastAsia="en-US"/>
              </w:rPr>
            </w:pPr>
            <w:r w:rsidRPr="00657BA6">
              <w:rPr>
                <w:rFonts w:cs="Arial"/>
                <w:sz w:val="20"/>
                <w:lang w:eastAsia="en-US"/>
              </w:rPr>
              <w:t>Timer K</w:t>
            </w:r>
          </w:p>
        </w:tc>
        <w:tc>
          <w:tcPr>
            <w:tcW w:w="2578" w:type="pct"/>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3055C070" w14:textId="77777777" w:rsidR="00244294" w:rsidRPr="00657BA6" w:rsidRDefault="00244294" w:rsidP="0014780A">
            <w:pPr>
              <w:pStyle w:val="TAL"/>
              <w:spacing w:line="276" w:lineRule="auto"/>
              <w:ind w:right="49"/>
              <w:rPr>
                <w:rFonts w:cs="Arial"/>
                <w:sz w:val="20"/>
                <w:lang w:val="es-ES" w:eastAsia="en-US"/>
              </w:rPr>
            </w:pPr>
            <w:r w:rsidRPr="00657BA6">
              <w:rPr>
                <w:rFonts w:cs="Arial"/>
                <w:sz w:val="20"/>
                <w:lang w:val="es-ES" w:eastAsia="en-US"/>
              </w:rPr>
              <w:t>Tiempo de espera para retransmisiones de respuestas</w:t>
            </w: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64C449B9" w14:textId="77777777" w:rsidR="00244294" w:rsidRPr="00657BA6" w:rsidRDefault="00244294" w:rsidP="0014780A">
            <w:pPr>
              <w:pStyle w:val="TAL"/>
              <w:spacing w:line="276" w:lineRule="auto"/>
              <w:ind w:right="49"/>
              <w:jc w:val="center"/>
              <w:rPr>
                <w:rFonts w:cs="Arial"/>
                <w:sz w:val="20"/>
                <w:lang w:eastAsia="en-US"/>
              </w:rPr>
            </w:pPr>
            <w:r w:rsidRPr="00657BA6">
              <w:rPr>
                <w:rFonts w:cs="Arial"/>
                <w:sz w:val="20"/>
                <w:lang w:eastAsia="en-US"/>
              </w:rPr>
              <w:t>T4 para UDP</w:t>
            </w:r>
          </w:p>
        </w:tc>
      </w:tr>
      <w:tr w:rsidR="00244294" w:rsidRPr="00657BA6" w14:paraId="020FD975" w14:textId="77777777" w:rsidTr="001A0CC9">
        <w:trPr>
          <w:cnfStyle w:val="000000100000" w:firstRow="0" w:lastRow="0" w:firstColumn="0" w:lastColumn="0" w:oddVBand="0" w:evenVBand="0" w:oddHBand="1" w:evenHBand="0" w:firstRowFirstColumn="0" w:firstRowLastColumn="0" w:lastRowFirstColumn="0" w:lastRowLastColumn="0"/>
        </w:trPr>
        <w:tc>
          <w:tcPr>
            <w:tcW w:w="938"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171AA11" w14:textId="77777777" w:rsidR="00244294" w:rsidRPr="00657BA6" w:rsidRDefault="00244294" w:rsidP="0014780A">
            <w:pPr>
              <w:pStyle w:val="TAL"/>
              <w:spacing w:line="276" w:lineRule="auto"/>
              <w:ind w:right="49"/>
              <w:rPr>
                <w:rFonts w:eastAsia="Arial Unicode MS" w:cs="Arial"/>
                <w:sz w:val="20"/>
                <w:lang w:eastAsia="en-US"/>
              </w:rPr>
            </w:pPr>
          </w:p>
        </w:tc>
        <w:tc>
          <w:tcPr>
            <w:tcW w:w="2578" w:type="pct"/>
            <w:vMerge/>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0095ED20" w14:textId="77777777" w:rsidR="00244294" w:rsidRPr="00657BA6" w:rsidRDefault="00244294" w:rsidP="0014780A">
            <w:pPr>
              <w:pStyle w:val="TAL"/>
              <w:spacing w:line="276" w:lineRule="auto"/>
              <w:ind w:right="49"/>
              <w:rPr>
                <w:rFonts w:cs="Arial"/>
                <w:sz w:val="20"/>
                <w:lang w:eastAsia="en-US"/>
              </w:rPr>
            </w:pPr>
          </w:p>
        </w:tc>
        <w:tc>
          <w:tcPr>
            <w:tcW w:w="148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12B698C8" w14:textId="77777777" w:rsidR="00244294" w:rsidRPr="00657BA6" w:rsidRDefault="00244294" w:rsidP="0014780A">
            <w:pPr>
              <w:pStyle w:val="TAL"/>
              <w:spacing w:line="276" w:lineRule="auto"/>
              <w:ind w:right="49"/>
              <w:jc w:val="center"/>
              <w:rPr>
                <w:rFonts w:eastAsia="Arial Unicode MS" w:cs="Arial"/>
                <w:sz w:val="20"/>
                <w:lang w:eastAsia="en-US"/>
              </w:rPr>
            </w:pPr>
            <w:r w:rsidRPr="00657BA6">
              <w:rPr>
                <w:rFonts w:cs="Arial"/>
                <w:sz w:val="20"/>
                <w:lang w:eastAsia="en-US"/>
              </w:rPr>
              <w:t>0s para TCP/SCTP</w:t>
            </w:r>
          </w:p>
        </w:tc>
      </w:tr>
    </w:tbl>
    <w:p w14:paraId="35160973" w14:textId="77777777" w:rsidR="00244294" w:rsidRPr="00657BA6" w:rsidRDefault="00244294" w:rsidP="0014780A">
      <w:pPr>
        <w:spacing w:after="0"/>
        <w:ind w:right="49"/>
        <w:jc w:val="center"/>
        <w:rPr>
          <w:rFonts w:ascii="Arial" w:hAnsi="Arial" w:cs="Arial"/>
          <w:sz w:val="18"/>
          <w:szCs w:val="18"/>
        </w:rPr>
      </w:pPr>
      <w:r w:rsidRPr="00657BA6">
        <w:rPr>
          <w:rFonts w:ascii="Arial" w:hAnsi="Arial" w:cs="Arial"/>
          <w:sz w:val="18"/>
          <w:szCs w:val="18"/>
        </w:rPr>
        <w:t>Tabla 6. Temporizadores SIP.</w:t>
      </w:r>
    </w:p>
    <w:p w14:paraId="29755BDB" w14:textId="77777777" w:rsidR="00244294" w:rsidRPr="00657BA6" w:rsidRDefault="00244294" w:rsidP="0014780A">
      <w:pPr>
        <w:spacing w:after="0"/>
        <w:ind w:right="49"/>
        <w:rPr>
          <w:rFonts w:ascii="Arial" w:hAnsi="Arial" w:cs="Arial"/>
        </w:rPr>
      </w:pPr>
    </w:p>
    <w:p w14:paraId="1651B5F1" w14:textId="77777777" w:rsidR="00244294" w:rsidRPr="00657BA6" w:rsidRDefault="00244294" w:rsidP="009640AE">
      <w:pPr>
        <w:pStyle w:val="Prrafodelista"/>
        <w:numPr>
          <w:ilvl w:val="0"/>
          <w:numId w:val="31"/>
        </w:numPr>
        <w:spacing w:line="276" w:lineRule="auto"/>
        <w:ind w:left="709" w:right="49" w:hanging="720"/>
        <w:contextualSpacing/>
        <w:rPr>
          <w:rFonts w:cs="Arial"/>
          <w:b/>
          <w:szCs w:val="22"/>
        </w:rPr>
      </w:pPr>
      <w:r w:rsidRPr="00657BA6">
        <w:rPr>
          <w:rFonts w:cs="Arial"/>
          <w:b/>
          <w:szCs w:val="22"/>
        </w:rPr>
        <w:t>Interconexión Plano Usuario</w:t>
      </w:r>
    </w:p>
    <w:p w14:paraId="57BDA46C" w14:textId="77777777" w:rsidR="00244294" w:rsidRPr="00657BA6" w:rsidRDefault="00244294" w:rsidP="0014780A">
      <w:pPr>
        <w:pStyle w:val="Prrafodelista"/>
        <w:spacing w:line="276" w:lineRule="auto"/>
        <w:ind w:left="709" w:right="49"/>
        <w:rPr>
          <w:rFonts w:cs="Arial"/>
          <w:b/>
          <w:szCs w:val="22"/>
        </w:rPr>
      </w:pPr>
    </w:p>
    <w:p w14:paraId="21599878" w14:textId="77777777" w:rsidR="00244294" w:rsidRPr="00657BA6" w:rsidRDefault="00244294" w:rsidP="009640AE">
      <w:pPr>
        <w:pStyle w:val="Prrafodelista"/>
        <w:numPr>
          <w:ilvl w:val="1"/>
          <w:numId w:val="31"/>
        </w:numPr>
        <w:spacing w:line="276" w:lineRule="auto"/>
        <w:ind w:right="49" w:hanging="720"/>
        <w:contextualSpacing/>
        <w:rPr>
          <w:rFonts w:cs="Arial"/>
          <w:b/>
          <w:szCs w:val="22"/>
        </w:rPr>
      </w:pPr>
      <w:r w:rsidRPr="00657BA6">
        <w:rPr>
          <w:rFonts w:cs="Arial"/>
          <w:b/>
          <w:szCs w:val="22"/>
        </w:rPr>
        <w:t>Transporte de voz</w:t>
      </w:r>
      <w:r w:rsidRPr="00657BA6">
        <w:rPr>
          <w:rFonts w:cs="Arial"/>
          <w:b/>
          <w:szCs w:val="22"/>
        </w:rPr>
        <w:tab/>
      </w:r>
      <w:r w:rsidRPr="00657BA6">
        <w:rPr>
          <w:rFonts w:cs="Arial"/>
          <w:b/>
          <w:szCs w:val="22"/>
        </w:rPr>
        <w:tab/>
      </w:r>
      <w:r w:rsidRPr="00657BA6">
        <w:rPr>
          <w:rFonts w:cs="Arial"/>
          <w:b/>
          <w:szCs w:val="22"/>
        </w:rPr>
        <w:tab/>
      </w:r>
      <w:r w:rsidRPr="00657BA6">
        <w:rPr>
          <w:rFonts w:cs="Arial"/>
          <w:b/>
          <w:szCs w:val="22"/>
        </w:rPr>
        <w:tab/>
      </w:r>
      <w:r w:rsidRPr="00657BA6">
        <w:rPr>
          <w:rFonts w:cs="Arial"/>
          <w:b/>
          <w:szCs w:val="22"/>
        </w:rPr>
        <w:tab/>
      </w:r>
      <w:r w:rsidRPr="00657BA6">
        <w:rPr>
          <w:rFonts w:cs="Arial"/>
          <w:b/>
          <w:szCs w:val="22"/>
        </w:rPr>
        <w:tab/>
      </w:r>
    </w:p>
    <w:p w14:paraId="053AEB7F" w14:textId="77777777" w:rsidR="00244294" w:rsidRPr="00657BA6" w:rsidRDefault="00244294" w:rsidP="0014780A">
      <w:pPr>
        <w:spacing w:after="0"/>
        <w:ind w:right="49"/>
        <w:rPr>
          <w:rFonts w:ascii="Arial" w:hAnsi="Arial" w:cs="Arial"/>
        </w:rPr>
      </w:pPr>
    </w:p>
    <w:p w14:paraId="40690795" w14:textId="77777777" w:rsidR="00244294" w:rsidRPr="00657BA6" w:rsidRDefault="00244294" w:rsidP="0014780A">
      <w:pPr>
        <w:spacing w:after="0"/>
        <w:ind w:right="49"/>
        <w:jc w:val="both"/>
        <w:rPr>
          <w:rFonts w:ascii="Arial" w:hAnsi="Arial" w:cs="Arial"/>
        </w:rPr>
      </w:pPr>
      <w:r w:rsidRPr="00657BA6">
        <w:rPr>
          <w:rFonts w:ascii="Arial" w:hAnsi="Arial" w:cs="Arial"/>
        </w:rPr>
        <w:t xml:space="preserve">Para el transporte de los paquetes de voz, los concesionarios harán uso de los protocolos UDP y RTP, por su mejor aprovechamiento del ancho de banda y su mejor adaptación a la naturaleza de tiempo real de las comunicaciones de voz. </w:t>
      </w:r>
    </w:p>
    <w:p w14:paraId="1854AB8F" w14:textId="77777777" w:rsidR="00244294" w:rsidRPr="00657BA6" w:rsidRDefault="00244294" w:rsidP="0014780A">
      <w:pPr>
        <w:spacing w:after="0"/>
        <w:ind w:right="49"/>
        <w:jc w:val="both"/>
        <w:rPr>
          <w:rFonts w:ascii="Arial" w:hAnsi="Arial" w:cs="Arial"/>
        </w:rPr>
      </w:pPr>
    </w:p>
    <w:p w14:paraId="03464AEB" w14:textId="7BA7F532" w:rsidR="00244294" w:rsidRPr="00657BA6" w:rsidRDefault="00244294" w:rsidP="0014780A">
      <w:pPr>
        <w:spacing w:after="0"/>
        <w:ind w:right="49"/>
        <w:jc w:val="both"/>
        <w:rPr>
          <w:rFonts w:ascii="Arial" w:hAnsi="Arial" w:cs="Arial"/>
        </w:rPr>
      </w:pPr>
      <w:r w:rsidRPr="00657BA6">
        <w:rPr>
          <w:rFonts w:ascii="Arial" w:hAnsi="Arial" w:cs="Arial"/>
        </w:rPr>
        <w:t xml:space="preserve">El protocolo UDP (User Datagram Protocol) se utilizará </w:t>
      </w:r>
      <w:r w:rsidR="00DE7934" w:rsidRPr="00657BA6">
        <w:rPr>
          <w:rFonts w:ascii="Arial" w:hAnsi="Arial" w:cs="Arial"/>
        </w:rPr>
        <w:t>de acuerdo con</w:t>
      </w:r>
      <w:r w:rsidRPr="00657BA6">
        <w:rPr>
          <w:rFonts w:ascii="Arial" w:hAnsi="Arial" w:cs="Arial"/>
        </w:rPr>
        <w:t xml:space="preserve"> la Recomendación IETF RFC 768</w:t>
      </w:r>
      <w:r w:rsidRPr="00657BA6">
        <w:rPr>
          <w:rStyle w:val="Refdenotaalpie"/>
          <w:rFonts w:ascii="Arial" w:hAnsi="Arial" w:cs="Arial"/>
        </w:rPr>
        <w:footnoteReference w:id="17"/>
      </w:r>
      <w:r w:rsidRPr="00657BA6">
        <w:rPr>
          <w:rFonts w:ascii="Arial" w:hAnsi="Arial" w:cs="Arial"/>
        </w:rPr>
        <w:t>. Para la transmisión de información en tiempo real (audio) se usará el protocolo de sesión RTP (Protocolo de Transporte de Tiempo real) de acuerdo con las recomendaciones IETF RFC 3550</w:t>
      </w:r>
      <w:r w:rsidRPr="00657BA6">
        <w:rPr>
          <w:rStyle w:val="Refdenotaalpie"/>
          <w:rFonts w:ascii="Arial" w:hAnsi="Arial" w:cs="Arial"/>
        </w:rPr>
        <w:footnoteReference w:id="18"/>
      </w:r>
      <w:r w:rsidRPr="00657BA6">
        <w:rPr>
          <w:rFonts w:ascii="Arial" w:hAnsi="Arial" w:cs="Arial"/>
        </w:rPr>
        <w:t xml:space="preserve"> y 3551.</w:t>
      </w:r>
    </w:p>
    <w:p w14:paraId="3AB4D52A" w14:textId="77777777" w:rsidR="00244294" w:rsidRPr="00657BA6" w:rsidRDefault="00244294" w:rsidP="0014780A">
      <w:pPr>
        <w:spacing w:after="0"/>
        <w:ind w:right="49"/>
        <w:rPr>
          <w:rFonts w:ascii="Arial" w:hAnsi="Arial" w:cs="Arial"/>
        </w:rPr>
      </w:pPr>
    </w:p>
    <w:p w14:paraId="46628427" w14:textId="77777777" w:rsidR="00244294" w:rsidRPr="00657BA6" w:rsidRDefault="00244294" w:rsidP="009640AE">
      <w:pPr>
        <w:pStyle w:val="Prrafodelista"/>
        <w:numPr>
          <w:ilvl w:val="1"/>
          <w:numId w:val="31"/>
        </w:numPr>
        <w:spacing w:line="276" w:lineRule="auto"/>
        <w:ind w:right="49" w:hanging="720"/>
        <w:contextualSpacing/>
        <w:rPr>
          <w:rFonts w:cs="Arial"/>
          <w:b/>
          <w:szCs w:val="22"/>
        </w:rPr>
      </w:pPr>
      <w:r w:rsidRPr="00657BA6">
        <w:rPr>
          <w:rFonts w:cs="Arial"/>
          <w:b/>
          <w:szCs w:val="22"/>
        </w:rPr>
        <w:lastRenderedPageBreak/>
        <w:t>Control de la Transmisión</w:t>
      </w:r>
    </w:p>
    <w:p w14:paraId="4C74991E" w14:textId="77777777" w:rsidR="00244294" w:rsidRPr="00657BA6" w:rsidRDefault="00244294" w:rsidP="0014780A">
      <w:pPr>
        <w:spacing w:after="0"/>
        <w:ind w:right="49"/>
        <w:rPr>
          <w:rFonts w:ascii="Arial" w:hAnsi="Arial" w:cs="Arial"/>
        </w:rPr>
      </w:pPr>
    </w:p>
    <w:p w14:paraId="302302A5" w14:textId="77777777" w:rsidR="00244294" w:rsidRPr="00657BA6" w:rsidRDefault="00244294" w:rsidP="0014780A">
      <w:pPr>
        <w:spacing w:after="0"/>
        <w:ind w:right="49"/>
        <w:jc w:val="both"/>
        <w:rPr>
          <w:rFonts w:ascii="Arial" w:hAnsi="Arial" w:cs="Arial"/>
        </w:rPr>
      </w:pPr>
      <w:r w:rsidRPr="00657BA6">
        <w:rPr>
          <w:rFonts w:ascii="Arial" w:hAnsi="Arial" w:cs="Arial"/>
        </w:rPr>
        <w:t>Los concesionarios podrán utilizar el protocolo RTCP (Protocolo de control de transporte en tiempo real) conforme a la recomendación IETF RFC 3550 para fines de verificar las condiciones de la transmisión.</w:t>
      </w:r>
    </w:p>
    <w:p w14:paraId="2A8626C4" w14:textId="77777777" w:rsidR="00244294" w:rsidRPr="00657BA6" w:rsidRDefault="00244294" w:rsidP="0014780A">
      <w:pPr>
        <w:spacing w:after="0"/>
        <w:ind w:right="49"/>
        <w:rPr>
          <w:rFonts w:ascii="Arial" w:hAnsi="Arial" w:cs="Arial"/>
          <w:b/>
        </w:rPr>
      </w:pPr>
    </w:p>
    <w:p w14:paraId="7789F0DC" w14:textId="77777777" w:rsidR="00244294" w:rsidRPr="00657BA6" w:rsidRDefault="00244294" w:rsidP="009640AE">
      <w:pPr>
        <w:pStyle w:val="Prrafodelista"/>
        <w:numPr>
          <w:ilvl w:val="1"/>
          <w:numId w:val="31"/>
        </w:numPr>
        <w:spacing w:line="276" w:lineRule="auto"/>
        <w:ind w:right="49" w:hanging="720"/>
        <w:contextualSpacing/>
        <w:rPr>
          <w:rFonts w:cs="Arial"/>
          <w:b/>
          <w:szCs w:val="22"/>
        </w:rPr>
      </w:pPr>
      <w:r w:rsidRPr="00657BA6">
        <w:rPr>
          <w:rFonts w:cs="Arial"/>
          <w:b/>
          <w:szCs w:val="22"/>
        </w:rPr>
        <w:t xml:space="preserve">Códec de voz </w:t>
      </w:r>
    </w:p>
    <w:p w14:paraId="01EA28F4" w14:textId="77777777" w:rsidR="00244294" w:rsidRPr="00657BA6" w:rsidRDefault="00244294" w:rsidP="0014780A">
      <w:pPr>
        <w:spacing w:after="0"/>
        <w:ind w:right="49"/>
        <w:rPr>
          <w:rFonts w:ascii="Arial" w:hAnsi="Arial" w:cs="Arial"/>
        </w:rPr>
      </w:pPr>
    </w:p>
    <w:p w14:paraId="0F31C407" w14:textId="57162AAD" w:rsidR="00244294" w:rsidRPr="00657BA6" w:rsidRDefault="00244294" w:rsidP="0014780A">
      <w:pPr>
        <w:spacing w:after="0"/>
        <w:ind w:right="49"/>
        <w:jc w:val="both"/>
        <w:rPr>
          <w:rFonts w:ascii="Arial" w:hAnsi="Arial" w:cs="Arial"/>
        </w:rPr>
      </w:pPr>
      <w:r w:rsidRPr="00657BA6">
        <w:rPr>
          <w:rFonts w:ascii="Arial" w:hAnsi="Arial" w:cs="Arial"/>
        </w:rPr>
        <w:t>Dentro de la negociación inicial SDP, la red origen deberá enviar los perfiles de codificación y compresión de voz siguientes:</w:t>
      </w:r>
    </w:p>
    <w:p w14:paraId="087008EA" w14:textId="77777777" w:rsidR="00244294" w:rsidRPr="00657BA6" w:rsidRDefault="00244294" w:rsidP="0014780A">
      <w:pPr>
        <w:spacing w:after="0"/>
        <w:ind w:right="49"/>
        <w:jc w:val="both"/>
        <w:rPr>
          <w:rFonts w:ascii="Arial" w:hAnsi="Arial" w:cs="Arial"/>
        </w:rPr>
      </w:pPr>
    </w:p>
    <w:p w14:paraId="0339FA8B" w14:textId="77777777" w:rsidR="00244294" w:rsidRPr="00657BA6" w:rsidRDefault="00244294" w:rsidP="0014780A">
      <w:pPr>
        <w:pStyle w:val="Prrafodelista"/>
        <w:numPr>
          <w:ilvl w:val="0"/>
          <w:numId w:val="10"/>
        </w:numPr>
        <w:spacing w:line="276" w:lineRule="auto"/>
        <w:ind w:left="720" w:right="49"/>
        <w:contextualSpacing/>
        <w:rPr>
          <w:rFonts w:cs="Arial"/>
          <w:szCs w:val="22"/>
        </w:rPr>
      </w:pPr>
      <w:r w:rsidRPr="00657BA6">
        <w:rPr>
          <w:rFonts w:cs="Arial"/>
          <w:szCs w:val="22"/>
        </w:rPr>
        <w:t xml:space="preserve">G.729   </w:t>
      </w:r>
      <w:r w:rsidRPr="00657BA6">
        <w:rPr>
          <w:rFonts w:cs="Arial"/>
          <w:szCs w:val="22"/>
        </w:rPr>
        <w:tab/>
        <w:t>Payload Type: 18</w:t>
      </w:r>
    </w:p>
    <w:p w14:paraId="624D613D" w14:textId="77777777" w:rsidR="00244294" w:rsidRPr="00657BA6" w:rsidRDefault="00244294" w:rsidP="0014780A">
      <w:pPr>
        <w:pStyle w:val="Prrafodelista"/>
        <w:numPr>
          <w:ilvl w:val="0"/>
          <w:numId w:val="10"/>
        </w:numPr>
        <w:spacing w:line="276" w:lineRule="auto"/>
        <w:ind w:left="720" w:right="49"/>
        <w:contextualSpacing/>
        <w:rPr>
          <w:rFonts w:cs="Arial"/>
          <w:szCs w:val="22"/>
          <w:lang w:val="en-US"/>
        </w:rPr>
      </w:pPr>
      <w:r w:rsidRPr="00657BA6">
        <w:rPr>
          <w:rFonts w:cs="Arial"/>
          <w:szCs w:val="22"/>
          <w:lang w:val="en-US"/>
        </w:rPr>
        <w:t>G.729b</w:t>
      </w:r>
      <w:r w:rsidRPr="00657BA6">
        <w:rPr>
          <w:rFonts w:cs="Arial"/>
          <w:szCs w:val="22"/>
          <w:lang w:val="en-US"/>
        </w:rPr>
        <w:tab/>
        <w:t>Payload Type: 18</w:t>
      </w:r>
    </w:p>
    <w:p w14:paraId="4D984A96" w14:textId="77777777" w:rsidR="00244294" w:rsidRPr="00657BA6" w:rsidRDefault="00244294" w:rsidP="0014780A">
      <w:pPr>
        <w:pStyle w:val="Prrafodelista"/>
        <w:numPr>
          <w:ilvl w:val="0"/>
          <w:numId w:val="10"/>
        </w:numPr>
        <w:spacing w:line="276" w:lineRule="auto"/>
        <w:ind w:left="720" w:right="49"/>
        <w:contextualSpacing/>
        <w:rPr>
          <w:rFonts w:cs="Arial"/>
          <w:szCs w:val="22"/>
          <w:lang w:val="en-US"/>
        </w:rPr>
      </w:pPr>
      <w:r w:rsidRPr="00657BA6">
        <w:rPr>
          <w:rFonts w:cs="Arial"/>
          <w:szCs w:val="22"/>
          <w:lang w:val="en-US"/>
        </w:rPr>
        <w:t xml:space="preserve">G.711 Ley A </w:t>
      </w:r>
      <w:r w:rsidRPr="00657BA6">
        <w:rPr>
          <w:rFonts w:cs="Arial"/>
          <w:szCs w:val="22"/>
          <w:lang w:val="en-US"/>
        </w:rPr>
        <w:tab/>
        <w:t>Payload Type: 8</w:t>
      </w:r>
    </w:p>
    <w:p w14:paraId="66723CC6" w14:textId="77777777" w:rsidR="00244294" w:rsidRPr="00657BA6" w:rsidRDefault="00244294" w:rsidP="0014780A">
      <w:pPr>
        <w:pStyle w:val="Prrafodelista"/>
        <w:numPr>
          <w:ilvl w:val="0"/>
          <w:numId w:val="10"/>
        </w:numPr>
        <w:spacing w:line="276" w:lineRule="auto"/>
        <w:ind w:left="720" w:right="49"/>
        <w:contextualSpacing/>
        <w:rPr>
          <w:rFonts w:cs="Arial"/>
          <w:szCs w:val="22"/>
        </w:rPr>
      </w:pPr>
      <w:r w:rsidRPr="00657BA6">
        <w:rPr>
          <w:rFonts w:cs="Arial"/>
          <w:szCs w:val="22"/>
        </w:rPr>
        <w:t>AMR-NB</w:t>
      </w:r>
      <w:r w:rsidRPr="00657BA6">
        <w:rPr>
          <w:rFonts w:cs="Arial"/>
          <w:szCs w:val="22"/>
        </w:rPr>
        <w:tab/>
        <w:t>Payload Type: 96-127</w:t>
      </w:r>
    </w:p>
    <w:p w14:paraId="4792616E" w14:textId="77777777" w:rsidR="00244294" w:rsidRPr="00657BA6" w:rsidRDefault="00244294" w:rsidP="0014780A">
      <w:pPr>
        <w:pStyle w:val="Prrafodelista"/>
        <w:numPr>
          <w:ilvl w:val="0"/>
          <w:numId w:val="10"/>
        </w:numPr>
        <w:spacing w:line="276" w:lineRule="auto"/>
        <w:ind w:left="720" w:right="49"/>
        <w:contextualSpacing/>
        <w:rPr>
          <w:rFonts w:cs="Arial"/>
          <w:szCs w:val="22"/>
        </w:rPr>
      </w:pPr>
      <w:r w:rsidRPr="00657BA6">
        <w:rPr>
          <w:rFonts w:cs="Arial"/>
          <w:szCs w:val="22"/>
        </w:rPr>
        <w:t>AMR-WB</w:t>
      </w:r>
      <w:r w:rsidRPr="00657BA6">
        <w:rPr>
          <w:rFonts w:cs="Arial"/>
          <w:szCs w:val="22"/>
        </w:rPr>
        <w:tab/>
        <w:t>Payload Type: 98</w:t>
      </w:r>
    </w:p>
    <w:p w14:paraId="55B08935" w14:textId="77777777" w:rsidR="00244294" w:rsidRPr="00657BA6" w:rsidRDefault="00244294" w:rsidP="0014780A">
      <w:pPr>
        <w:pStyle w:val="Prrafodelista"/>
        <w:spacing w:line="276" w:lineRule="auto"/>
        <w:ind w:right="51"/>
        <w:rPr>
          <w:rFonts w:cs="Arial"/>
          <w:szCs w:val="22"/>
        </w:rPr>
      </w:pPr>
      <w:r w:rsidRPr="00657BA6">
        <w:rPr>
          <w:rFonts w:cs="Arial"/>
          <w:szCs w:val="22"/>
        </w:rPr>
        <w:tab/>
      </w:r>
      <w:r w:rsidRPr="00657BA6">
        <w:rPr>
          <w:rFonts w:cs="Arial"/>
          <w:szCs w:val="22"/>
        </w:rPr>
        <w:tab/>
      </w:r>
    </w:p>
    <w:p w14:paraId="708CA4B2" w14:textId="77777777" w:rsidR="00244294" w:rsidRPr="00657BA6" w:rsidRDefault="00244294" w:rsidP="0014780A">
      <w:pPr>
        <w:spacing w:after="0"/>
        <w:ind w:right="51"/>
        <w:jc w:val="both"/>
        <w:rPr>
          <w:rFonts w:ascii="Arial" w:hAnsi="Arial" w:cs="Arial"/>
        </w:rPr>
      </w:pPr>
      <w:r w:rsidRPr="00657BA6">
        <w:rPr>
          <w:rFonts w:ascii="Arial" w:hAnsi="Arial" w:cs="Arial"/>
        </w:rPr>
        <w:t>En el modelo de oferta/contestación la red origen propondrá la preferencia en el orden de uso de los códecs y la red destino determinará el códec a utilizar.</w:t>
      </w:r>
    </w:p>
    <w:p w14:paraId="5E9736D3" w14:textId="77777777" w:rsidR="00244294" w:rsidRPr="00657BA6" w:rsidRDefault="00244294" w:rsidP="0014780A">
      <w:pPr>
        <w:spacing w:after="0"/>
        <w:ind w:right="51"/>
        <w:jc w:val="both"/>
        <w:rPr>
          <w:rFonts w:ascii="Arial" w:hAnsi="Arial" w:cs="Arial"/>
        </w:rPr>
      </w:pPr>
    </w:p>
    <w:p w14:paraId="6A1F27B9" w14:textId="101E2F22" w:rsidR="00244294" w:rsidRPr="00657BA6" w:rsidRDefault="00D914BC" w:rsidP="0014780A">
      <w:pPr>
        <w:spacing w:after="0"/>
        <w:ind w:right="51"/>
        <w:jc w:val="both"/>
        <w:rPr>
          <w:rFonts w:ascii="Arial" w:hAnsi="Arial" w:cs="Arial"/>
        </w:rPr>
      </w:pPr>
      <w:r>
        <w:rPr>
          <w:rFonts w:ascii="Arial" w:hAnsi="Arial" w:cs="Arial"/>
        </w:rPr>
        <w:t>L</w:t>
      </w:r>
      <w:r w:rsidR="00244294" w:rsidRPr="00657BA6">
        <w:rPr>
          <w:rFonts w:ascii="Arial" w:hAnsi="Arial" w:cs="Arial"/>
        </w:rPr>
        <w:t>a red de tránsito no realizará ningún proceso de transcodificación permitiendo fluir los paquetes de voz, tal como las redes extremas lo hayan negociado, por lo que no se modificarán los descriptores de sesión del protocolo SDP.</w:t>
      </w:r>
    </w:p>
    <w:p w14:paraId="1AC52AB3" w14:textId="77777777" w:rsidR="00244294" w:rsidRPr="00657BA6" w:rsidRDefault="00244294" w:rsidP="0014780A">
      <w:pPr>
        <w:spacing w:after="0"/>
        <w:ind w:right="51"/>
        <w:jc w:val="both"/>
        <w:rPr>
          <w:rFonts w:ascii="Arial" w:hAnsi="Arial" w:cs="Arial"/>
        </w:rPr>
      </w:pPr>
    </w:p>
    <w:p w14:paraId="1903DC96" w14:textId="77777777" w:rsidR="00244294" w:rsidRPr="00657BA6" w:rsidRDefault="00244294" w:rsidP="009640AE">
      <w:pPr>
        <w:pStyle w:val="Prrafodelista"/>
        <w:numPr>
          <w:ilvl w:val="1"/>
          <w:numId w:val="31"/>
        </w:numPr>
        <w:spacing w:line="276" w:lineRule="auto"/>
        <w:ind w:right="49" w:hanging="720"/>
        <w:contextualSpacing/>
        <w:rPr>
          <w:rFonts w:cs="Arial"/>
          <w:b/>
          <w:szCs w:val="22"/>
        </w:rPr>
      </w:pPr>
      <w:r w:rsidRPr="00657BA6">
        <w:rPr>
          <w:rFonts w:cs="Arial"/>
          <w:b/>
          <w:szCs w:val="22"/>
        </w:rPr>
        <w:t>Numeración e identificación</w:t>
      </w:r>
    </w:p>
    <w:p w14:paraId="44322BE0" w14:textId="77777777" w:rsidR="00244294" w:rsidRPr="00657BA6" w:rsidRDefault="00244294" w:rsidP="0014780A">
      <w:pPr>
        <w:pStyle w:val="Prrafodelista"/>
        <w:spacing w:line="276" w:lineRule="auto"/>
        <w:ind w:left="0" w:right="49"/>
        <w:rPr>
          <w:rFonts w:cs="Arial"/>
          <w:b/>
          <w:szCs w:val="22"/>
        </w:rPr>
      </w:pPr>
    </w:p>
    <w:p w14:paraId="53CA11DB" w14:textId="77777777" w:rsidR="00244294" w:rsidRPr="00657BA6" w:rsidRDefault="00244294" w:rsidP="009640AE">
      <w:pPr>
        <w:pStyle w:val="Prrafodelista"/>
        <w:numPr>
          <w:ilvl w:val="2"/>
          <w:numId w:val="31"/>
        </w:numPr>
        <w:spacing w:line="276" w:lineRule="auto"/>
        <w:ind w:left="709" w:right="49" w:hanging="709"/>
        <w:contextualSpacing/>
        <w:rPr>
          <w:rFonts w:cs="Arial"/>
          <w:b/>
          <w:szCs w:val="22"/>
        </w:rPr>
      </w:pPr>
      <w:r w:rsidRPr="00657BA6">
        <w:rPr>
          <w:rFonts w:cs="Arial"/>
          <w:b/>
          <w:szCs w:val="22"/>
        </w:rPr>
        <w:t>Formato de Numeración E.164</w:t>
      </w:r>
    </w:p>
    <w:p w14:paraId="0A1BE477" w14:textId="77777777" w:rsidR="00244294" w:rsidRPr="00657BA6" w:rsidRDefault="00244294" w:rsidP="0014780A">
      <w:pPr>
        <w:pStyle w:val="Prrafodelista"/>
        <w:spacing w:line="276" w:lineRule="auto"/>
        <w:ind w:right="51"/>
        <w:rPr>
          <w:rFonts w:cs="Arial"/>
          <w:b/>
          <w:szCs w:val="22"/>
        </w:rPr>
      </w:pPr>
    </w:p>
    <w:p w14:paraId="6B185DE7" w14:textId="77777777" w:rsidR="00244294" w:rsidRPr="00657BA6" w:rsidRDefault="00244294" w:rsidP="0014780A">
      <w:pPr>
        <w:spacing w:after="0"/>
        <w:ind w:right="51"/>
        <w:jc w:val="both"/>
        <w:rPr>
          <w:rFonts w:ascii="Arial" w:hAnsi="Arial" w:cs="Arial"/>
        </w:rPr>
      </w:pPr>
      <w:r w:rsidRPr="00657BA6">
        <w:rPr>
          <w:rFonts w:ascii="Arial" w:hAnsi="Arial" w:cs="Arial"/>
        </w:rPr>
        <w:t>Se utilizará el formato de numeración conforme al estándar E.164</w:t>
      </w:r>
      <w:r w:rsidRPr="00657BA6">
        <w:rPr>
          <w:rStyle w:val="Refdenotaalpie"/>
          <w:rFonts w:ascii="Arial" w:hAnsi="Arial" w:cs="Arial"/>
        </w:rPr>
        <w:footnoteReference w:id="19"/>
      </w:r>
      <w:r w:rsidRPr="00657BA6">
        <w:rPr>
          <w:rFonts w:ascii="Arial" w:hAnsi="Arial" w:cs="Arial"/>
        </w:rPr>
        <w:t xml:space="preserve"> en la SIP URI en donde el número contendrá la información necesaria para enrutar la llamada siguiendo el formato de Número Nacional (NN) establecido en el Plan Técnico Fundamental de Numeración, así como aquellas disposiciones que lo modifiquen o substituyan.</w:t>
      </w:r>
    </w:p>
    <w:p w14:paraId="20D75B5C" w14:textId="77777777" w:rsidR="00244294" w:rsidRPr="00657BA6" w:rsidRDefault="00244294" w:rsidP="0014780A">
      <w:pPr>
        <w:spacing w:after="0"/>
        <w:ind w:right="51"/>
        <w:rPr>
          <w:rFonts w:ascii="Arial" w:hAnsi="Arial" w:cs="Arial"/>
        </w:rPr>
      </w:pPr>
    </w:p>
    <w:p w14:paraId="00D89664" w14:textId="77777777" w:rsidR="00244294" w:rsidRPr="00657BA6" w:rsidRDefault="00244294" w:rsidP="0014780A">
      <w:pPr>
        <w:spacing w:after="0"/>
        <w:ind w:right="51"/>
        <w:rPr>
          <w:rFonts w:ascii="Arial" w:hAnsi="Arial" w:cs="Arial"/>
        </w:rPr>
      </w:pPr>
      <w:r w:rsidRPr="00657BA6">
        <w:rPr>
          <w:rFonts w:ascii="Arial" w:hAnsi="Arial" w:cs="Arial"/>
        </w:rPr>
        <w:t>En donde:</w:t>
      </w:r>
    </w:p>
    <w:p w14:paraId="100E3620" w14:textId="77777777" w:rsidR="00244294" w:rsidRPr="00657BA6" w:rsidRDefault="00244294" w:rsidP="0014780A">
      <w:pPr>
        <w:spacing w:after="0"/>
        <w:ind w:right="49" w:firstLine="708"/>
        <w:jc w:val="both"/>
        <w:rPr>
          <w:rFonts w:ascii="Arial" w:hAnsi="Arial" w:cs="Arial"/>
        </w:rPr>
      </w:pPr>
      <w:r w:rsidRPr="00657BA6">
        <w:rPr>
          <w:rFonts w:ascii="Arial" w:hAnsi="Arial" w:cs="Arial"/>
        </w:rPr>
        <w:t>NN (Número Nacional) = es el número de directorio a 10 dígitos</w:t>
      </w:r>
    </w:p>
    <w:p w14:paraId="0C3F1B28" w14:textId="77777777" w:rsidR="00244294" w:rsidRPr="00657BA6" w:rsidRDefault="00244294" w:rsidP="0014780A">
      <w:pPr>
        <w:spacing w:after="0"/>
        <w:ind w:right="49"/>
        <w:jc w:val="both"/>
        <w:rPr>
          <w:rFonts w:ascii="Arial" w:hAnsi="Arial" w:cs="Arial"/>
        </w:rPr>
      </w:pPr>
    </w:p>
    <w:p w14:paraId="6C018EFB" w14:textId="77777777" w:rsidR="00244294" w:rsidRPr="00657BA6" w:rsidRDefault="00244294" w:rsidP="0014780A">
      <w:pPr>
        <w:spacing w:after="0"/>
        <w:ind w:right="51"/>
        <w:jc w:val="both"/>
        <w:rPr>
          <w:rFonts w:ascii="Arial" w:hAnsi="Arial" w:cs="Arial"/>
        </w:rPr>
      </w:pPr>
      <w:r w:rsidRPr="00657BA6">
        <w:rPr>
          <w:rFonts w:ascii="Arial" w:hAnsi="Arial" w:cs="Arial"/>
        </w:rPr>
        <w:t>El formato de numeración que se utilizará para el caso de códigos especiales será el establecido en el Plan Técnico Fundamental de Numeración, así como aquellas disposiciones que lo modifiquen o lo sustituyan.</w:t>
      </w:r>
    </w:p>
    <w:p w14:paraId="12D71348" w14:textId="77777777" w:rsidR="00244294" w:rsidRPr="00657BA6" w:rsidRDefault="00244294" w:rsidP="0014780A">
      <w:pPr>
        <w:tabs>
          <w:tab w:val="left" w:pos="1002"/>
        </w:tabs>
        <w:spacing w:after="0"/>
        <w:ind w:right="49"/>
        <w:jc w:val="both"/>
        <w:rPr>
          <w:rFonts w:ascii="Arial" w:hAnsi="Arial" w:cs="Arial"/>
        </w:rPr>
      </w:pPr>
      <w:r w:rsidRPr="00657BA6">
        <w:rPr>
          <w:rFonts w:ascii="Arial" w:hAnsi="Arial" w:cs="Arial"/>
        </w:rPr>
        <w:tab/>
      </w:r>
    </w:p>
    <w:p w14:paraId="600B762A" w14:textId="77777777" w:rsidR="00244294" w:rsidRPr="00657BA6" w:rsidRDefault="00244294" w:rsidP="009640AE">
      <w:pPr>
        <w:pStyle w:val="Prrafodelista"/>
        <w:numPr>
          <w:ilvl w:val="2"/>
          <w:numId w:val="31"/>
        </w:numPr>
        <w:spacing w:line="276" w:lineRule="auto"/>
        <w:ind w:left="709" w:right="49" w:hanging="709"/>
        <w:contextualSpacing/>
        <w:rPr>
          <w:rFonts w:cs="Arial"/>
          <w:b/>
          <w:szCs w:val="22"/>
        </w:rPr>
      </w:pPr>
      <w:r w:rsidRPr="00657BA6">
        <w:rPr>
          <w:rFonts w:cs="Arial"/>
          <w:b/>
          <w:szCs w:val="22"/>
        </w:rPr>
        <w:lastRenderedPageBreak/>
        <w:t>URI</w:t>
      </w:r>
    </w:p>
    <w:p w14:paraId="32C10E43" w14:textId="77777777" w:rsidR="00244294" w:rsidRPr="00657BA6" w:rsidRDefault="00244294" w:rsidP="0014780A">
      <w:pPr>
        <w:spacing w:after="0"/>
        <w:ind w:right="49"/>
        <w:rPr>
          <w:rFonts w:ascii="Arial" w:hAnsi="Arial" w:cs="Arial"/>
        </w:rPr>
      </w:pPr>
    </w:p>
    <w:p w14:paraId="334CF47C" w14:textId="53E1CCB5" w:rsidR="00244294" w:rsidRPr="00657BA6" w:rsidRDefault="00244294" w:rsidP="0014780A">
      <w:pPr>
        <w:spacing w:after="0"/>
        <w:ind w:right="49"/>
        <w:jc w:val="both"/>
        <w:rPr>
          <w:rFonts w:ascii="Arial" w:hAnsi="Arial" w:cs="Arial"/>
        </w:rPr>
      </w:pPr>
      <w:r w:rsidRPr="00657BA6">
        <w:rPr>
          <w:rFonts w:ascii="Arial" w:hAnsi="Arial" w:cs="Arial"/>
        </w:rPr>
        <w:t xml:space="preserve">Para la interconexión de voz IP, el formato de URI habrá de adaptarse al formato TEL URI </w:t>
      </w:r>
      <w:r w:rsidR="00DE7934" w:rsidRPr="00657BA6">
        <w:rPr>
          <w:rFonts w:ascii="Arial" w:hAnsi="Arial" w:cs="Arial"/>
        </w:rPr>
        <w:t>de acuerdo con</w:t>
      </w:r>
      <w:r w:rsidRPr="00657BA6">
        <w:rPr>
          <w:rFonts w:ascii="Arial" w:hAnsi="Arial" w:cs="Arial"/>
        </w:rPr>
        <w:t xml:space="preserve"> lo establecido dentro de la Recomendación IETF RFC 3966</w:t>
      </w:r>
      <w:r w:rsidRPr="00657BA6">
        <w:rPr>
          <w:rStyle w:val="Refdenotaalpie"/>
          <w:rFonts w:ascii="Arial" w:hAnsi="Arial" w:cs="Arial"/>
        </w:rPr>
        <w:footnoteReference w:id="20"/>
      </w:r>
      <w:r w:rsidRPr="00657BA6">
        <w:rPr>
          <w:rFonts w:ascii="Arial" w:hAnsi="Arial" w:cs="Arial"/>
        </w:rPr>
        <w:t xml:space="preserve"> y se conformará de la siguiente forma:</w:t>
      </w:r>
    </w:p>
    <w:p w14:paraId="2A4C1237" w14:textId="77777777" w:rsidR="00244294" w:rsidRPr="00657BA6" w:rsidRDefault="00244294" w:rsidP="0014780A">
      <w:pPr>
        <w:spacing w:after="0"/>
        <w:ind w:right="49"/>
        <w:jc w:val="both"/>
        <w:rPr>
          <w:rFonts w:ascii="Arial" w:hAnsi="Arial" w:cs="Arial"/>
        </w:rPr>
      </w:pPr>
    </w:p>
    <w:p w14:paraId="4363814D" w14:textId="77777777" w:rsidR="00244294" w:rsidRPr="00657BA6" w:rsidRDefault="00244294" w:rsidP="0014780A">
      <w:pPr>
        <w:spacing w:after="0"/>
        <w:ind w:left="708" w:right="49"/>
        <w:jc w:val="both"/>
        <w:rPr>
          <w:rFonts w:ascii="Arial" w:hAnsi="Arial" w:cs="Arial"/>
          <w:b/>
        </w:rPr>
      </w:pPr>
      <w:r w:rsidRPr="00657BA6">
        <w:rPr>
          <w:rFonts w:ascii="Arial" w:hAnsi="Arial" w:cs="Arial"/>
          <w:b/>
        </w:rPr>
        <w:t>&lt;sip:Número @ hostportion&gt;; user=phone</w:t>
      </w:r>
    </w:p>
    <w:p w14:paraId="5B643F16" w14:textId="77777777" w:rsidR="00244294" w:rsidRPr="00657BA6" w:rsidRDefault="00244294" w:rsidP="0014780A">
      <w:pPr>
        <w:spacing w:after="0"/>
        <w:ind w:left="708" w:right="49"/>
        <w:jc w:val="both"/>
        <w:rPr>
          <w:rFonts w:ascii="Arial" w:hAnsi="Arial" w:cs="Arial"/>
          <w:b/>
        </w:rPr>
      </w:pPr>
    </w:p>
    <w:p w14:paraId="2FD52036" w14:textId="77777777" w:rsidR="00244294" w:rsidRPr="00657BA6" w:rsidRDefault="00244294" w:rsidP="0014780A">
      <w:pPr>
        <w:spacing w:after="0"/>
        <w:ind w:right="49"/>
        <w:jc w:val="both"/>
        <w:rPr>
          <w:rFonts w:ascii="Arial" w:hAnsi="Arial" w:cs="Arial"/>
        </w:rPr>
      </w:pPr>
      <w:r w:rsidRPr="00657BA6">
        <w:rPr>
          <w:rFonts w:ascii="Arial" w:hAnsi="Arial" w:cs="Arial"/>
        </w:rPr>
        <w:t>En donde:</w:t>
      </w:r>
    </w:p>
    <w:p w14:paraId="1E417CB4" w14:textId="77777777" w:rsidR="00244294" w:rsidRPr="00657BA6" w:rsidRDefault="00244294" w:rsidP="0014780A">
      <w:pPr>
        <w:spacing w:after="0"/>
        <w:ind w:right="49"/>
        <w:jc w:val="both"/>
        <w:rPr>
          <w:rFonts w:ascii="Arial" w:hAnsi="Arial" w:cs="Arial"/>
        </w:rPr>
      </w:pPr>
    </w:p>
    <w:p w14:paraId="5159CB00" w14:textId="77777777" w:rsidR="00244294" w:rsidRPr="00657BA6" w:rsidRDefault="00244294" w:rsidP="0014780A">
      <w:pPr>
        <w:spacing w:after="0"/>
        <w:ind w:right="49"/>
        <w:jc w:val="both"/>
        <w:rPr>
          <w:rFonts w:ascii="Arial" w:hAnsi="Arial" w:cs="Arial"/>
        </w:rPr>
      </w:pPr>
      <w:r w:rsidRPr="00657BA6">
        <w:rPr>
          <w:rFonts w:ascii="Arial" w:hAnsi="Arial" w:cs="Arial"/>
        </w:rPr>
        <w:t>Número representa la tel URI compuesta por el número de directorio E.164, en formato nacional</w:t>
      </w:r>
    </w:p>
    <w:p w14:paraId="7CCD8F05" w14:textId="77777777" w:rsidR="00244294" w:rsidRPr="00657BA6" w:rsidRDefault="00244294" w:rsidP="0014780A">
      <w:pPr>
        <w:spacing w:after="0"/>
        <w:ind w:right="49"/>
        <w:jc w:val="both"/>
        <w:rPr>
          <w:rFonts w:ascii="Arial" w:hAnsi="Arial" w:cs="Arial"/>
        </w:rPr>
      </w:pPr>
    </w:p>
    <w:p w14:paraId="74F4B2B7" w14:textId="77777777" w:rsidR="00244294" w:rsidRPr="00657BA6" w:rsidRDefault="00244294" w:rsidP="0014780A">
      <w:pPr>
        <w:spacing w:after="0"/>
        <w:ind w:right="49"/>
        <w:jc w:val="both"/>
        <w:rPr>
          <w:rFonts w:ascii="Arial" w:hAnsi="Arial" w:cs="Arial"/>
        </w:rPr>
      </w:pPr>
      <w:r w:rsidRPr="00657BA6">
        <w:rPr>
          <w:rFonts w:ascii="Arial" w:hAnsi="Arial" w:cs="Arial"/>
        </w:rPr>
        <w:t>hostportion es el identificador asociado al dominio o dirección IP en el que se encuentra el recurso identificado por la tel URI</w:t>
      </w:r>
    </w:p>
    <w:p w14:paraId="6A791914" w14:textId="77777777" w:rsidR="00244294" w:rsidRPr="00657BA6" w:rsidRDefault="00244294" w:rsidP="0014780A">
      <w:pPr>
        <w:spacing w:after="0"/>
        <w:ind w:right="49"/>
        <w:jc w:val="both"/>
        <w:rPr>
          <w:rFonts w:ascii="Arial" w:hAnsi="Arial" w:cs="Arial"/>
        </w:rPr>
      </w:pPr>
    </w:p>
    <w:p w14:paraId="42C4052F" w14:textId="77777777" w:rsidR="00244294" w:rsidRPr="00657BA6" w:rsidRDefault="00244294" w:rsidP="0014780A">
      <w:pPr>
        <w:spacing w:after="0"/>
        <w:ind w:right="49"/>
        <w:jc w:val="both"/>
        <w:rPr>
          <w:rFonts w:ascii="Arial" w:hAnsi="Arial" w:cs="Arial"/>
        </w:rPr>
      </w:pPr>
      <w:r w:rsidRPr="00657BA6">
        <w:rPr>
          <w:rFonts w:ascii="Arial" w:hAnsi="Arial" w:cs="Arial"/>
        </w:rPr>
        <w:t>user= phone es el parámetro de la URI que indica el tipo de recurso que se está identificando (en este caso un teléfono)</w:t>
      </w:r>
    </w:p>
    <w:p w14:paraId="7507ABA5" w14:textId="77777777" w:rsidR="00244294" w:rsidRPr="00657BA6" w:rsidRDefault="00244294" w:rsidP="0014780A">
      <w:pPr>
        <w:pStyle w:val="Ejemplo"/>
        <w:spacing w:before="0" w:after="0"/>
        <w:ind w:right="49"/>
        <w:jc w:val="both"/>
        <w:rPr>
          <w:rFonts w:ascii="Arial" w:hAnsi="Arial"/>
          <w:bCs/>
        </w:rPr>
      </w:pPr>
    </w:p>
    <w:p w14:paraId="4250D566" w14:textId="77777777" w:rsidR="00244294" w:rsidRPr="00657BA6" w:rsidRDefault="00244294" w:rsidP="0014780A">
      <w:pPr>
        <w:pStyle w:val="Ejemplo"/>
        <w:spacing w:before="0" w:after="0"/>
        <w:ind w:right="49"/>
        <w:jc w:val="both"/>
        <w:rPr>
          <w:rFonts w:ascii="Arial" w:hAnsi="Arial"/>
          <w:bCs/>
        </w:rPr>
      </w:pPr>
      <w:r w:rsidRPr="00657BA6">
        <w:rPr>
          <w:rFonts w:ascii="Arial" w:hAnsi="Arial"/>
          <w:bCs/>
        </w:rPr>
        <w:t>Ejemplo:</w:t>
      </w:r>
      <w:r w:rsidRPr="00657BA6">
        <w:rPr>
          <w:rFonts w:ascii="Arial" w:hAnsi="Arial"/>
        </w:rPr>
        <w:t xml:space="preserve"> &lt;</w:t>
      </w:r>
      <w:r w:rsidRPr="00657BA6">
        <w:rPr>
          <w:rFonts w:ascii="Arial" w:hAnsi="Arial"/>
          <w:bCs/>
        </w:rPr>
        <w:t xml:space="preserve">sip: </w:t>
      </w:r>
      <w:hyperlink r:id="rId15" w:history="1">
        <w:r w:rsidRPr="00657BA6">
          <w:rPr>
            <w:rStyle w:val="Hipervnculo"/>
            <w:rFonts w:ascii="Arial" w:hAnsi="Arial"/>
          </w:rPr>
          <w:t>5550154000@operador.mx</w:t>
        </w:r>
      </w:hyperlink>
      <w:r w:rsidRPr="00657BA6">
        <w:rPr>
          <w:rFonts w:ascii="Arial" w:hAnsi="Arial"/>
          <w:bCs/>
        </w:rPr>
        <w:t xml:space="preserve"> </w:t>
      </w:r>
      <w:r w:rsidRPr="00657BA6">
        <w:rPr>
          <w:rStyle w:val="Hipervnculo"/>
          <w:rFonts w:ascii="Arial" w:hAnsi="Arial"/>
        </w:rPr>
        <w:t>o dirección IP&gt;;</w:t>
      </w:r>
      <w:r w:rsidRPr="00657BA6">
        <w:rPr>
          <w:rFonts w:ascii="Arial" w:hAnsi="Arial"/>
          <w:bCs/>
        </w:rPr>
        <w:t>user=phone</w:t>
      </w:r>
    </w:p>
    <w:p w14:paraId="321778A8" w14:textId="77777777" w:rsidR="00244294" w:rsidRPr="00657BA6" w:rsidRDefault="00244294" w:rsidP="0014780A">
      <w:pPr>
        <w:pStyle w:val="Ejemplo"/>
        <w:spacing w:before="0" w:after="0"/>
        <w:ind w:right="49"/>
        <w:jc w:val="both"/>
        <w:rPr>
          <w:rFonts w:ascii="Arial" w:hAnsi="Arial"/>
          <w:bCs/>
        </w:rPr>
      </w:pPr>
    </w:p>
    <w:p w14:paraId="497C8D43" w14:textId="77777777" w:rsidR="00244294" w:rsidRPr="00657BA6" w:rsidRDefault="00244294" w:rsidP="009640AE">
      <w:pPr>
        <w:pStyle w:val="Prrafodelista"/>
        <w:numPr>
          <w:ilvl w:val="2"/>
          <w:numId w:val="31"/>
        </w:numPr>
        <w:spacing w:line="276" w:lineRule="auto"/>
        <w:ind w:left="709" w:right="49" w:hanging="709"/>
        <w:contextualSpacing/>
        <w:rPr>
          <w:rFonts w:cs="Arial"/>
          <w:b/>
          <w:szCs w:val="22"/>
        </w:rPr>
      </w:pPr>
      <w:r w:rsidRPr="00657BA6">
        <w:rPr>
          <w:rFonts w:cs="Arial"/>
          <w:b/>
          <w:szCs w:val="22"/>
        </w:rPr>
        <w:t>Identificación del número llamante</w:t>
      </w:r>
    </w:p>
    <w:p w14:paraId="4A442113" w14:textId="77777777" w:rsidR="00244294" w:rsidRPr="00657BA6" w:rsidRDefault="00244294" w:rsidP="0014780A">
      <w:pPr>
        <w:autoSpaceDE w:val="0"/>
        <w:autoSpaceDN w:val="0"/>
        <w:adjustRightInd w:val="0"/>
        <w:spacing w:after="0"/>
        <w:ind w:right="49"/>
        <w:jc w:val="both"/>
        <w:rPr>
          <w:rFonts w:ascii="Arial" w:hAnsi="Arial" w:cs="Arial"/>
        </w:rPr>
      </w:pPr>
      <w:r w:rsidRPr="00657BA6">
        <w:rPr>
          <w:rFonts w:ascii="Arial" w:hAnsi="Arial" w:cs="Arial"/>
        </w:rPr>
        <w:t>El número llamante (número A) consistente en la SIP URI del originador de la petición, se enviará en los campos de encabezado From y P-Asserted-Identity del método INVITE con formato de NN.</w:t>
      </w:r>
    </w:p>
    <w:p w14:paraId="32B5B8A9" w14:textId="77777777" w:rsidR="00244294" w:rsidRPr="00657BA6" w:rsidRDefault="00244294" w:rsidP="0014780A">
      <w:pPr>
        <w:autoSpaceDE w:val="0"/>
        <w:autoSpaceDN w:val="0"/>
        <w:adjustRightInd w:val="0"/>
        <w:spacing w:after="0"/>
        <w:ind w:right="49"/>
        <w:jc w:val="both"/>
        <w:rPr>
          <w:rFonts w:ascii="Arial" w:hAnsi="Arial" w:cs="Arial"/>
          <w:b/>
        </w:rPr>
      </w:pPr>
    </w:p>
    <w:p w14:paraId="0079EE4F" w14:textId="77777777" w:rsidR="00244294" w:rsidRPr="00657BA6" w:rsidRDefault="00244294" w:rsidP="0014780A">
      <w:pPr>
        <w:autoSpaceDE w:val="0"/>
        <w:autoSpaceDN w:val="0"/>
        <w:adjustRightInd w:val="0"/>
        <w:spacing w:after="0"/>
        <w:ind w:right="49"/>
        <w:jc w:val="both"/>
        <w:rPr>
          <w:rFonts w:ascii="Arial" w:hAnsi="Arial" w:cs="Arial"/>
        </w:rPr>
      </w:pPr>
      <w:r w:rsidRPr="00657BA6">
        <w:rPr>
          <w:rFonts w:ascii="Arial" w:hAnsi="Arial" w:cs="Arial"/>
        </w:rPr>
        <w:t xml:space="preserve">Ejemplo: From:&lt;sip: </w:t>
      </w:r>
      <w:hyperlink r:id="rId16" w:history="1">
        <w:r w:rsidRPr="00657BA6">
          <w:rPr>
            <w:rStyle w:val="Hipervnculo"/>
            <w:rFonts w:ascii="Arial" w:hAnsi="Arial" w:cs="Arial"/>
          </w:rPr>
          <w:t>5550154000@operador.mx o dirección IP&gt;;user=phone</w:t>
        </w:r>
      </w:hyperlink>
    </w:p>
    <w:p w14:paraId="60B8080A" w14:textId="77777777" w:rsidR="00244294" w:rsidRPr="00657BA6" w:rsidRDefault="00244294" w:rsidP="0014780A">
      <w:pPr>
        <w:autoSpaceDE w:val="0"/>
        <w:autoSpaceDN w:val="0"/>
        <w:adjustRightInd w:val="0"/>
        <w:spacing w:after="0"/>
        <w:ind w:right="49" w:firstLine="708"/>
        <w:jc w:val="both"/>
        <w:rPr>
          <w:rFonts w:ascii="Arial" w:hAnsi="Arial" w:cs="Arial"/>
        </w:rPr>
      </w:pPr>
    </w:p>
    <w:p w14:paraId="0F196272" w14:textId="77777777" w:rsidR="00244294" w:rsidRPr="00657BA6" w:rsidRDefault="00244294" w:rsidP="0014780A">
      <w:pPr>
        <w:spacing w:after="0"/>
        <w:ind w:right="49"/>
        <w:jc w:val="both"/>
        <w:rPr>
          <w:rFonts w:ascii="Arial" w:hAnsi="Arial" w:cs="Arial"/>
        </w:rPr>
      </w:pPr>
      <w:r w:rsidRPr="00657BA6">
        <w:rPr>
          <w:rFonts w:ascii="Arial" w:hAnsi="Arial" w:cs="Arial"/>
        </w:rPr>
        <w:t xml:space="preserve">Si se recibe una petición INVITE con From igual a </w:t>
      </w:r>
      <w:hyperlink r:id="rId17" w:history="1">
        <w:r w:rsidRPr="00657BA6">
          <w:rPr>
            <w:rStyle w:val="Hipervnculo"/>
            <w:rFonts w:ascii="Arial" w:hAnsi="Arial" w:cs="Arial"/>
          </w:rPr>
          <w:t>unknown@unknown.invalid</w:t>
        </w:r>
      </w:hyperlink>
      <w:r w:rsidRPr="00657BA6">
        <w:rPr>
          <w:rFonts w:ascii="Arial" w:hAnsi="Arial" w:cs="Arial"/>
        </w:rPr>
        <w:t xml:space="preserve"> o </w:t>
      </w:r>
      <w:hyperlink r:id="rId18" w:history="1">
        <w:r w:rsidRPr="00657BA6">
          <w:rPr>
            <w:rStyle w:val="Hipervnculo"/>
            <w:rFonts w:ascii="Arial" w:hAnsi="Arial" w:cs="Arial"/>
          </w:rPr>
          <w:t>unavailable@unavailable.invalid</w:t>
        </w:r>
      </w:hyperlink>
      <w:r w:rsidRPr="00657BA6">
        <w:rPr>
          <w:rFonts w:ascii="Arial" w:hAnsi="Arial" w:cs="Arial"/>
        </w:rPr>
        <w:t>, se asumirá que se trata de tráfico internacional/mundial y se aceptará la llamada. Los concesionarios deberán limitarse a emplear este valor exclusivamente a casos de llamadas provenientes de interconexión internacional en los que no se reciba el identificador del número llamante válido.</w:t>
      </w:r>
    </w:p>
    <w:p w14:paraId="5BE26330" w14:textId="77777777" w:rsidR="00244294" w:rsidRPr="00657BA6" w:rsidRDefault="00244294" w:rsidP="0014780A">
      <w:pPr>
        <w:spacing w:after="0"/>
        <w:ind w:right="49"/>
        <w:jc w:val="both"/>
        <w:rPr>
          <w:rFonts w:ascii="Arial" w:hAnsi="Arial" w:cs="Arial"/>
        </w:rPr>
      </w:pPr>
    </w:p>
    <w:p w14:paraId="170415FC" w14:textId="77777777" w:rsidR="00244294" w:rsidRPr="00657BA6" w:rsidRDefault="00244294" w:rsidP="0014780A">
      <w:pPr>
        <w:spacing w:after="0"/>
        <w:ind w:right="49"/>
        <w:jc w:val="both"/>
        <w:rPr>
          <w:rFonts w:ascii="Arial" w:hAnsi="Arial" w:cs="Arial"/>
        </w:rPr>
      </w:pPr>
      <w:r w:rsidRPr="00657BA6">
        <w:rPr>
          <w:rFonts w:ascii="Arial" w:hAnsi="Arial" w:cs="Arial"/>
        </w:rPr>
        <w:t>En todos los casos deberá enviarse en el encabezado From y P-Asserted-Identity la categoría de usuario y el encabezado de campo privacidad, cuando se requiera. En ningún caso el encabezado de campo privacidad o cualquier otro, podrán ser utilizados para ocultar el envío del número de A en el intercambio de tráfico entre Concesionarios.</w:t>
      </w:r>
    </w:p>
    <w:p w14:paraId="12CC2D75" w14:textId="77777777" w:rsidR="00244294" w:rsidRPr="00657BA6" w:rsidRDefault="00244294" w:rsidP="0014780A">
      <w:pPr>
        <w:spacing w:after="0"/>
        <w:ind w:right="49"/>
        <w:jc w:val="both"/>
        <w:rPr>
          <w:rFonts w:ascii="Arial" w:hAnsi="Arial" w:cs="Arial"/>
        </w:rPr>
      </w:pPr>
    </w:p>
    <w:p w14:paraId="3DF88ADD" w14:textId="528981A1" w:rsidR="00244294" w:rsidRPr="00657BA6" w:rsidRDefault="00244294" w:rsidP="0014780A">
      <w:pPr>
        <w:spacing w:after="0"/>
        <w:ind w:right="49"/>
        <w:jc w:val="both"/>
        <w:rPr>
          <w:rFonts w:ascii="Arial" w:hAnsi="Arial" w:cs="Arial"/>
        </w:rPr>
      </w:pPr>
      <w:r w:rsidRPr="00657BA6">
        <w:rPr>
          <w:rFonts w:ascii="Arial" w:hAnsi="Arial" w:cs="Arial"/>
        </w:rPr>
        <w:lastRenderedPageBreak/>
        <w:t xml:space="preserve">Para todos los escenarios de tráfico nacional el envío de número de A se apegará a lo establecido en el Plan Técnico Fundamental de </w:t>
      </w:r>
      <w:r w:rsidR="00B16EFD" w:rsidRPr="00657BA6">
        <w:rPr>
          <w:rFonts w:ascii="Arial" w:hAnsi="Arial" w:cs="Arial"/>
        </w:rPr>
        <w:t>Señalización,</w:t>
      </w:r>
      <w:r w:rsidRPr="00657BA6">
        <w:rPr>
          <w:rFonts w:ascii="Arial" w:hAnsi="Arial" w:cs="Arial"/>
        </w:rPr>
        <w:t xml:space="preserve"> así como aquellas disposiciones que lo modifiquen o substituyan.</w:t>
      </w:r>
    </w:p>
    <w:p w14:paraId="02F42452" w14:textId="77777777" w:rsidR="00244294" w:rsidRPr="00657BA6" w:rsidRDefault="00244294" w:rsidP="0014780A">
      <w:pPr>
        <w:spacing w:after="0"/>
        <w:ind w:right="49"/>
        <w:rPr>
          <w:rFonts w:ascii="Arial" w:hAnsi="Arial" w:cs="Arial"/>
        </w:rPr>
      </w:pPr>
    </w:p>
    <w:p w14:paraId="6B21FDB5" w14:textId="77777777" w:rsidR="00244294" w:rsidRPr="00657BA6" w:rsidRDefault="00244294" w:rsidP="009640AE">
      <w:pPr>
        <w:pStyle w:val="Prrafodelista"/>
        <w:numPr>
          <w:ilvl w:val="2"/>
          <w:numId w:val="31"/>
        </w:numPr>
        <w:spacing w:line="276" w:lineRule="auto"/>
        <w:ind w:left="709" w:right="49" w:hanging="709"/>
        <w:contextualSpacing/>
        <w:rPr>
          <w:rFonts w:cs="Arial"/>
          <w:b/>
          <w:szCs w:val="22"/>
        </w:rPr>
      </w:pPr>
      <w:r w:rsidRPr="00657BA6">
        <w:rPr>
          <w:rFonts w:cs="Arial"/>
          <w:b/>
          <w:szCs w:val="22"/>
        </w:rPr>
        <w:t>Códigos de Identificación de Operadores</w:t>
      </w:r>
    </w:p>
    <w:p w14:paraId="120EF122" w14:textId="77777777" w:rsidR="00244294" w:rsidRPr="00657BA6" w:rsidRDefault="00244294" w:rsidP="0014780A">
      <w:pPr>
        <w:spacing w:after="0"/>
        <w:ind w:right="49"/>
        <w:rPr>
          <w:rFonts w:ascii="Arial" w:hAnsi="Arial" w:cs="Arial"/>
        </w:rPr>
      </w:pPr>
    </w:p>
    <w:p w14:paraId="624570CD" w14:textId="29A699A2" w:rsidR="00244294" w:rsidRPr="00657BA6" w:rsidRDefault="00244294" w:rsidP="0014780A">
      <w:pPr>
        <w:spacing w:after="0"/>
        <w:ind w:right="49"/>
        <w:jc w:val="both"/>
        <w:rPr>
          <w:rFonts w:ascii="Arial" w:hAnsi="Arial" w:cs="Arial"/>
        </w:rPr>
      </w:pPr>
      <w:r w:rsidRPr="00657BA6">
        <w:rPr>
          <w:rFonts w:ascii="Arial" w:hAnsi="Arial" w:cs="Arial"/>
        </w:rPr>
        <w:t>Al número de B, el cual se encuentra en la SIP URI hacia la cual se dirigió la petición, se le antepondrán los parámetros asociados a la portabilidad numérica. Dichos parámetros, así como el procesamiento correspondiente, se apegarán a lo establecido en la Recomendación IETF RFC 4694</w:t>
      </w:r>
      <w:r w:rsidRPr="00657BA6">
        <w:rPr>
          <w:rStyle w:val="Refdenotaalpie"/>
          <w:rFonts w:ascii="Arial" w:hAnsi="Arial" w:cs="Arial"/>
        </w:rPr>
        <w:footnoteReference w:id="21"/>
      </w:r>
      <w:r w:rsidRPr="00657BA6">
        <w:rPr>
          <w:rFonts w:ascii="Arial" w:hAnsi="Arial" w:cs="Arial"/>
        </w:rPr>
        <w:t xml:space="preserve"> así como al Plan Técnico Fundamental de Numeración, al Plan Técnico Fundamental de </w:t>
      </w:r>
      <w:r w:rsidR="00B16EFD" w:rsidRPr="00657BA6">
        <w:rPr>
          <w:rFonts w:ascii="Arial" w:hAnsi="Arial" w:cs="Arial"/>
        </w:rPr>
        <w:t>Señalización,</w:t>
      </w:r>
      <w:r w:rsidRPr="00657BA6">
        <w:rPr>
          <w:rFonts w:ascii="Arial" w:hAnsi="Arial" w:cs="Arial"/>
        </w:rPr>
        <w:t xml:space="preserve"> así como aquellas disposiciones que los modifiquen o sustituyan.</w:t>
      </w:r>
    </w:p>
    <w:p w14:paraId="1D05654E" w14:textId="77777777" w:rsidR="00244294" w:rsidRPr="00657BA6" w:rsidRDefault="00244294" w:rsidP="0014780A">
      <w:pPr>
        <w:spacing w:after="0"/>
        <w:ind w:right="49"/>
        <w:jc w:val="both"/>
        <w:rPr>
          <w:rFonts w:ascii="Arial" w:hAnsi="Arial" w:cs="Arial"/>
        </w:rPr>
      </w:pPr>
    </w:p>
    <w:p w14:paraId="730C2C56" w14:textId="77777777" w:rsidR="00244294" w:rsidRPr="00657BA6" w:rsidRDefault="00244294" w:rsidP="0014780A">
      <w:pPr>
        <w:spacing w:after="0"/>
        <w:ind w:right="49"/>
        <w:jc w:val="both"/>
        <w:rPr>
          <w:rFonts w:ascii="Arial" w:hAnsi="Arial" w:cs="Arial"/>
        </w:rPr>
      </w:pPr>
      <w:r w:rsidRPr="00657BA6">
        <w:rPr>
          <w:rFonts w:ascii="Arial" w:hAnsi="Arial" w:cs="Arial"/>
        </w:rPr>
        <w:t>El número de B así como los códigos de identificación de operadores se enviarán en los campos de encabezado Request URI del método INVITE.</w:t>
      </w:r>
    </w:p>
    <w:p w14:paraId="350DD8A1" w14:textId="77777777" w:rsidR="00244294" w:rsidRPr="00657BA6" w:rsidRDefault="00244294" w:rsidP="0014780A">
      <w:pPr>
        <w:spacing w:after="0"/>
        <w:ind w:right="49"/>
        <w:rPr>
          <w:rFonts w:ascii="Arial" w:hAnsi="Arial" w:cs="Arial"/>
        </w:rPr>
      </w:pPr>
    </w:p>
    <w:p w14:paraId="6F3C55DA" w14:textId="77777777" w:rsidR="00244294" w:rsidRPr="00657BA6" w:rsidRDefault="00244294" w:rsidP="0014780A">
      <w:pPr>
        <w:spacing w:after="0"/>
        <w:ind w:right="49"/>
        <w:rPr>
          <w:rFonts w:ascii="Arial" w:hAnsi="Arial" w:cs="Arial"/>
        </w:rPr>
      </w:pPr>
      <w:r w:rsidRPr="00657BA6">
        <w:rPr>
          <w:rFonts w:ascii="Arial" w:hAnsi="Arial" w:cs="Arial"/>
        </w:rPr>
        <w:t xml:space="preserve">Ejemplo: &lt;sip: IDD + IDO </w:t>
      </w:r>
      <w:hyperlink r:id="rId19" w:history="1">
        <w:r w:rsidRPr="00657BA6">
          <w:rPr>
            <w:rStyle w:val="Hipervnculo"/>
            <w:rFonts w:ascii="Arial" w:hAnsi="Arial" w:cs="Arial"/>
          </w:rPr>
          <w:t>+NN@operador.mx</w:t>
        </w:r>
      </w:hyperlink>
      <w:r w:rsidRPr="00657BA6">
        <w:rPr>
          <w:rFonts w:ascii="Arial" w:hAnsi="Arial" w:cs="Arial"/>
        </w:rPr>
        <w:t xml:space="preserve"> o dirección IP&gt;;user=phone</w:t>
      </w:r>
    </w:p>
    <w:p w14:paraId="78B68354" w14:textId="77777777" w:rsidR="00244294" w:rsidRPr="00657BA6" w:rsidRDefault="00244294" w:rsidP="0014780A">
      <w:pPr>
        <w:spacing w:after="0"/>
        <w:ind w:right="49" w:firstLine="708"/>
        <w:rPr>
          <w:rFonts w:ascii="Arial" w:hAnsi="Arial" w:cs="Arial"/>
        </w:rPr>
      </w:pPr>
      <w:r w:rsidRPr="00657BA6">
        <w:rPr>
          <w:rFonts w:ascii="Arial" w:hAnsi="Arial" w:cs="Arial"/>
        </w:rPr>
        <w:t xml:space="preserve">     </w:t>
      </w:r>
    </w:p>
    <w:p w14:paraId="0CD92687" w14:textId="77777777" w:rsidR="00244294" w:rsidRPr="00657BA6" w:rsidRDefault="00244294" w:rsidP="009640AE">
      <w:pPr>
        <w:pStyle w:val="Prrafodelista"/>
        <w:numPr>
          <w:ilvl w:val="1"/>
          <w:numId w:val="31"/>
        </w:numPr>
        <w:spacing w:line="276" w:lineRule="auto"/>
        <w:ind w:right="49" w:hanging="720"/>
        <w:contextualSpacing/>
        <w:rPr>
          <w:rFonts w:cs="Arial"/>
          <w:b/>
          <w:szCs w:val="22"/>
        </w:rPr>
      </w:pPr>
      <w:r w:rsidRPr="00657BA6">
        <w:rPr>
          <w:rFonts w:cs="Arial"/>
          <w:b/>
          <w:szCs w:val="22"/>
        </w:rPr>
        <w:t>Versión IP</w:t>
      </w:r>
    </w:p>
    <w:p w14:paraId="01A7CA03" w14:textId="77777777" w:rsidR="00244294" w:rsidRPr="00657BA6" w:rsidRDefault="00244294" w:rsidP="0014780A">
      <w:pPr>
        <w:spacing w:after="0"/>
        <w:ind w:right="49"/>
        <w:rPr>
          <w:rFonts w:ascii="Arial" w:hAnsi="Arial" w:cs="Arial"/>
        </w:rPr>
      </w:pPr>
    </w:p>
    <w:p w14:paraId="1CFD74B6" w14:textId="77777777" w:rsidR="00244294" w:rsidRPr="00657BA6" w:rsidRDefault="00244294" w:rsidP="0014780A">
      <w:pPr>
        <w:spacing w:after="0"/>
        <w:ind w:right="49"/>
        <w:jc w:val="both"/>
        <w:rPr>
          <w:rFonts w:ascii="Arial" w:hAnsi="Arial" w:cs="Arial"/>
        </w:rPr>
      </w:pPr>
      <w:r w:rsidRPr="00657BA6">
        <w:rPr>
          <w:rFonts w:ascii="Arial" w:hAnsi="Arial" w:cs="Arial"/>
        </w:rPr>
        <w:t xml:space="preserve">Se deberá utilizar el esquema de direccionamiento IPv6, se podrá utilizar direccionamiento IPv4 de común acuerdo entre las partes. </w:t>
      </w:r>
    </w:p>
    <w:p w14:paraId="4273369F" w14:textId="77777777" w:rsidR="00244294" w:rsidRPr="00657BA6" w:rsidRDefault="00244294" w:rsidP="0014780A">
      <w:pPr>
        <w:spacing w:after="0"/>
        <w:rPr>
          <w:rFonts w:ascii="Arial" w:hAnsi="Arial" w:cs="Arial"/>
        </w:rPr>
      </w:pPr>
      <w:r w:rsidRPr="00657BA6">
        <w:rPr>
          <w:rFonts w:ascii="Arial" w:hAnsi="Arial" w:cs="Arial"/>
        </w:rPr>
        <w:br w:type="page"/>
      </w:r>
    </w:p>
    <w:p w14:paraId="59034232" w14:textId="77777777" w:rsidR="00244294" w:rsidRPr="00657BA6" w:rsidRDefault="00244294" w:rsidP="009640AE">
      <w:pPr>
        <w:pStyle w:val="Prrafodelista"/>
        <w:numPr>
          <w:ilvl w:val="1"/>
          <w:numId w:val="31"/>
        </w:numPr>
        <w:spacing w:line="276" w:lineRule="auto"/>
        <w:ind w:right="49" w:hanging="720"/>
        <w:contextualSpacing/>
        <w:rPr>
          <w:rFonts w:cs="Arial"/>
          <w:b/>
          <w:szCs w:val="22"/>
        </w:rPr>
      </w:pPr>
      <w:r w:rsidRPr="00657BA6">
        <w:rPr>
          <w:rFonts w:cs="Arial"/>
          <w:b/>
          <w:szCs w:val="22"/>
        </w:rPr>
        <w:lastRenderedPageBreak/>
        <w:t>Flujos de Señalización</w:t>
      </w:r>
    </w:p>
    <w:p w14:paraId="6D0F64CF" w14:textId="77777777" w:rsidR="00244294" w:rsidRPr="00657BA6" w:rsidRDefault="00244294" w:rsidP="0014780A">
      <w:pPr>
        <w:spacing w:after="0"/>
        <w:ind w:right="49"/>
        <w:rPr>
          <w:rFonts w:ascii="Arial" w:hAnsi="Arial" w:cs="Arial"/>
          <w:b/>
        </w:rPr>
      </w:pPr>
      <w:r w:rsidRPr="00657BA6">
        <w:rPr>
          <w:rFonts w:ascii="Arial" w:hAnsi="Arial" w:cs="Arial"/>
          <w:b/>
          <w:noProof/>
          <w:lang w:eastAsia="es-MX"/>
        </w:rPr>
        <w:drawing>
          <wp:inline distT="0" distB="0" distL="0" distR="0" wp14:anchorId="04CB0552" wp14:editId="7B97D8E7">
            <wp:extent cx="5940425" cy="5026513"/>
            <wp:effectExtent l="0" t="0" r="3175" b="3175"/>
            <wp:docPr id="41" name="Imagen 4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abla&#10;&#10;Descripción generada automáticamente con confianza media"/>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5940425" cy="5026513"/>
                    </a:xfrm>
                    <a:prstGeom prst="rect">
                      <a:avLst/>
                    </a:prstGeom>
                    <a:noFill/>
                    <a:ln>
                      <a:noFill/>
                    </a:ln>
                  </pic:spPr>
                </pic:pic>
              </a:graphicData>
            </a:graphic>
          </wp:inline>
        </w:drawing>
      </w:r>
    </w:p>
    <w:p w14:paraId="029B4194" w14:textId="77777777" w:rsidR="00244294" w:rsidRPr="00657BA6" w:rsidRDefault="00244294" w:rsidP="0014780A">
      <w:pPr>
        <w:spacing w:after="0"/>
        <w:ind w:right="49"/>
        <w:jc w:val="center"/>
        <w:rPr>
          <w:rFonts w:ascii="Arial" w:hAnsi="Arial" w:cs="Arial"/>
          <w:sz w:val="18"/>
          <w:szCs w:val="18"/>
        </w:rPr>
      </w:pPr>
      <w:r w:rsidRPr="00657BA6">
        <w:rPr>
          <w:rFonts w:ascii="Arial" w:hAnsi="Arial" w:cs="Arial"/>
          <w:sz w:val="18"/>
          <w:szCs w:val="18"/>
        </w:rPr>
        <w:t>Diagrama 1. Establecimiento de una llamada básica.</w:t>
      </w:r>
    </w:p>
    <w:p w14:paraId="192F7F4B" w14:textId="77777777" w:rsidR="00244294" w:rsidRPr="00657BA6" w:rsidRDefault="00244294" w:rsidP="0014780A">
      <w:pPr>
        <w:spacing w:after="0"/>
        <w:ind w:right="49"/>
        <w:jc w:val="center"/>
        <w:rPr>
          <w:rFonts w:ascii="Arial" w:hAnsi="Arial" w:cs="Arial"/>
        </w:rPr>
      </w:pPr>
    </w:p>
    <w:p w14:paraId="4E332063" w14:textId="77777777" w:rsidR="00244294" w:rsidRPr="00657BA6" w:rsidRDefault="00244294" w:rsidP="0014780A">
      <w:pPr>
        <w:spacing w:after="0"/>
        <w:ind w:right="49"/>
        <w:jc w:val="center"/>
        <w:rPr>
          <w:rFonts w:ascii="Arial" w:hAnsi="Arial" w:cs="Arial"/>
        </w:rPr>
      </w:pPr>
    </w:p>
    <w:p w14:paraId="1A6E5307" w14:textId="77777777" w:rsidR="00244294" w:rsidRPr="00657BA6" w:rsidRDefault="00244294" w:rsidP="0014780A">
      <w:pPr>
        <w:spacing w:after="0"/>
        <w:ind w:right="49"/>
        <w:jc w:val="center"/>
        <w:rPr>
          <w:rFonts w:ascii="Arial" w:hAnsi="Arial" w:cs="Arial"/>
        </w:rPr>
      </w:pPr>
      <w:r w:rsidRPr="00657BA6">
        <w:rPr>
          <w:rFonts w:ascii="Arial" w:hAnsi="Arial" w:cs="Arial"/>
          <w:noProof/>
          <w:lang w:eastAsia="es-MX"/>
        </w:rPr>
        <w:lastRenderedPageBreak/>
        <w:drawing>
          <wp:inline distT="0" distB="0" distL="0" distR="0" wp14:anchorId="0B690604" wp14:editId="571870BD">
            <wp:extent cx="5939790" cy="5534025"/>
            <wp:effectExtent l="0" t="0" r="3810" b="9525"/>
            <wp:docPr id="42" name="Imagen 42"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Calendario&#10;&#10;Descripción generada automáticamente"/>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14:paraId="1573FDF3" w14:textId="77777777" w:rsidR="00244294" w:rsidRPr="00657BA6" w:rsidRDefault="00244294" w:rsidP="0014780A">
      <w:pPr>
        <w:spacing w:after="0"/>
        <w:ind w:right="49"/>
        <w:jc w:val="center"/>
        <w:rPr>
          <w:rFonts w:ascii="Arial" w:hAnsi="Arial" w:cs="Arial"/>
          <w:sz w:val="18"/>
          <w:szCs w:val="18"/>
        </w:rPr>
      </w:pPr>
      <w:r w:rsidRPr="00657BA6">
        <w:rPr>
          <w:rFonts w:ascii="Arial" w:hAnsi="Arial" w:cs="Arial"/>
          <w:sz w:val="18"/>
          <w:szCs w:val="18"/>
        </w:rPr>
        <w:t>Diagrama 2. Establecimiento de una llamada básica con medio temprano.</w:t>
      </w:r>
    </w:p>
    <w:p w14:paraId="1DE214EB" w14:textId="77777777" w:rsidR="00244294" w:rsidRPr="00657BA6" w:rsidRDefault="00244294" w:rsidP="0014780A">
      <w:pPr>
        <w:spacing w:after="0"/>
        <w:ind w:right="49"/>
        <w:rPr>
          <w:rFonts w:ascii="Arial" w:hAnsi="Arial" w:cs="Arial"/>
        </w:rPr>
      </w:pPr>
    </w:p>
    <w:p w14:paraId="05493359" w14:textId="77777777" w:rsidR="00244294" w:rsidRPr="00657BA6" w:rsidRDefault="00244294" w:rsidP="0014780A">
      <w:pPr>
        <w:spacing w:after="0"/>
        <w:ind w:right="49"/>
        <w:rPr>
          <w:rFonts w:ascii="Arial" w:hAnsi="Arial" w:cs="Arial"/>
        </w:rPr>
      </w:pPr>
      <w:r w:rsidRPr="00657BA6">
        <w:rPr>
          <w:rFonts w:ascii="Arial" w:hAnsi="Arial" w:cs="Arial"/>
          <w:noProof/>
          <w:lang w:eastAsia="es-MX"/>
        </w:rPr>
        <w:lastRenderedPageBreak/>
        <w:drawing>
          <wp:inline distT="0" distB="0" distL="0" distR="0" wp14:anchorId="5FA9DFB8" wp14:editId="12F8869D">
            <wp:extent cx="5939790" cy="5534025"/>
            <wp:effectExtent l="0" t="0" r="3810" b="9525"/>
            <wp:docPr id="43" name="Imagen 4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Tabla&#10;&#10;Descripción generada automáticamente"/>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14:paraId="644384BE" w14:textId="77777777" w:rsidR="00244294" w:rsidRPr="00657BA6" w:rsidRDefault="00244294" w:rsidP="0014780A">
      <w:pPr>
        <w:spacing w:after="0"/>
        <w:ind w:right="49"/>
        <w:jc w:val="center"/>
        <w:rPr>
          <w:rFonts w:ascii="Arial" w:hAnsi="Arial" w:cs="Arial"/>
          <w:sz w:val="18"/>
          <w:szCs w:val="18"/>
        </w:rPr>
      </w:pPr>
      <w:r w:rsidRPr="00657BA6">
        <w:rPr>
          <w:rFonts w:ascii="Arial" w:hAnsi="Arial" w:cs="Arial"/>
          <w:sz w:val="18"/>
          <w:szCs w:val="18"/>
        </w:rPr>
        <w:t>Diagrama 3. Actualización de sesión.</w:t>
      </w:r>
    </w:p>
    <w:p w14:paraId="0D485BB2" w14:textId="77777777" w:rsidR="00244294" w:rsidRPr="00657BA6" w:rsidRDefault="00244294" w:rsidP="0014780A">
      <w:pPr>
        <w:spacing w:after="0"/>
        <w:ind w:right="49"/>
        <w:rPr>
          <w:rFonts w:ascii="Arial" w:hAnsi="Arial" w:cs="Arial"/>
        </w:rPr>
      </w:pPr>
    </w:p>
    <w:p w14:paraId="2BF27A02" w14:textId="77777777" w:rsidR="00244294" w:rsidRPr="00657BA6" w:rsidRDefault="00244294" w:rsidP="0014780A">
      <w:pPr>
        <w:spacing w:after="0"/>
        <w:ind w:right="49"/>
        <w:rPr>
          <w:rFonts w:ascii="Arial" w:hAnsi="Arial" w:cs="Arial"/>
        </w:rPr>
      </w:pPr>
      <w:r w:rsidRPr="00657BA6">
        <w:rPr>
          <w:rFonts w:ascii="Arial" w:hAnsi="Arial" w:cs="Arial"/>
          <w:noProof/>
          <w:lang w:eastAsia="es-MX"/>
        </w:rPr>
        <w:lastRenderedPageBreak/>
        <w:drawing>
          <wp:inline distT="0" distB="0" distL="0" distR="0" wp14:anchorId="6350F6AC" wp14:editId="341402D2">
            <wp:extent cx="5939790" cy="5398770"/>
            <wp:effectExtent l="0" t="0" r="3810" b="0"/>
            <wp:docPr id="44" name="Imagen 4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Tabla&#10;&#10;Descripción generada automáticamente"/>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5939790" cy="5398770"/>
                    </a:xfrm>
                    <a:prstGeom prst="rect">
                      <a:avLst/>
                    </a:prstGeom>
                    <a:noFill/>
                    <a:ln>
                      <a:noFill/>
                    </a:ln>
                  </pic:spPr>
                </pic:pic>
              </a:graphicData>
            </a:graphic>
          </wp:inline>
        </w:drawing>
      </w:r>
    </w:p>
    <w:p w14:paraId="103F5700" w14:textId="77777777" w:rsidR="00244294" w:rsidRPr="00657BA6" w:rsidRDefault="00244294" w:rsidP="0014780A">
      <w:pPr>
        <w:spacing w:after="0"/>
        <w:ind w:right="49"/>
        <w:jc w:val="center"/>
        <w:rPr>
          <w:rFonts w:ascii="Arial" w:hAnsi="Arial" w:cs="Arial"/>
          <w:sz w:val="18"/>
          <w:szCs w:val="18"/>
        </w:rPr>
      </w:pPr>
      <w:r w:rsidRPr="00657BA6">
        <w:rPr>
          <w:rFonts w:ascii="Arial" w:hAnsi="Arial" w:cs="Arial"/>
          <w:sz w:val="18"/>
          <w:szCs w:val="18"/>
        </w:rPr>
        <w:t>Diagrama 4. Actualización del medio.</w:t>
      </w:r>
    </w:p>
    <w:p w14:paraId="68F95E49" w14:textId="77777777" w:rsidR="00244294" w:rsidRPr="00657BA6" w:rsidRDefault="00244294" w:rsidP="0014780A">
      <w:pPr>
        <w:spacing w:after="0"/>
        <w:ind w:right="49"/>
        <w:rPr>
          <w:rFonts w:ascii="Arial" w:hAnsi="Arial" w:cs="Arial"/>
        </w:rPr>
      </w:pPr>
    </w:p>
    <w:p w14:paraId="41A2F4B4" w14:textId="77777777" w:rsidR="00244294" w:rsidRPr="00657BA6" w:rsidRDefault="00244294" w:rsidP="0014780A">
      <w:pPr>
        <w:spacing w:after="0"/>
        <w:ind w:right="49"/>
        <w:rPr>
          <w:rFonts w:ascii="Arial" w:hAnsi="Arial" w:cs="Arial"/>
        </w:rPr>
      </w:pPr>
    </w:p>
    <w:p w14:paraId="23928398" w14:textId="77777777" w:rsidR="00244294" w:rsidRPr="00657BA6" w:rsidRDefault="00244294" w:rsidP="0014780A">
      <w:pPr>
        <w:spacing w:after="0"/>
        <w:ind w:right="49"/>
        <w:rPr>
          <w:rFonts w:ascii="Arial" w:hAnsi="Arial" w:cs="Arial"/>
        </w:rPr>
      </w:pPr>
    </w:p>
    <w:p w14:paraId="46CF2EC4" w14:textId="77777777" w:rsidR="00244294" w:rsidRPr="00657BA6" w:rsidRDefault="00244294" w:rsidP="0014780A">
      <w:pPr>
        <w:spacing w:after="0"/>
        <w:ind w:right="49"/>
        <w:rPr>
          <w:rFonts w:ascii="Arial" w:hAnsi="Arial" w:cs="Arial"/>
        </w:rPr>
      </w:pPr>
    </w:p>
    <w:p w14:paraId="1541F929" w14:textId="77777777" w:rsidR="00244294" w:rsidRPr="00657BA6" w:rsidRDefault="00244294" w:rsidP="0014780A">
      <w:pPr>
        <w:spacing w:after="0"/>
        <w:ind w:right="49"/>
        <w:rPr>
          <w:rFonts w:ascii="Arial" w:hAnsi="Arial" w:cs="Arial"/>
        </w:rPr>
      </w:pPr>
    </w:p>
    <w:p w14:paraId="1F005936" w14:textId="77777777" w:rsidR="00244294" w:rsidRPr="00657BA6" w:rsidRDefault="00244294" w:rsidP="0014780A">
      <w:pPr>
        <w:spacing w:after="0"/>
        <w:ind w:right="49"/>
        <w:rPr>
          <w:rFonts w:ascii="Arial" w:hAnsi="Arial" w:cs="Arial"/>
        </w:rPr>
      </w:pPr>
    </w:p>
    <w:p w14:paraId="6B6B32BF" w14:textId="77777777" w:rsidR="00244294" w:rsidRPr="00657BA6" w:rsidRDefault="00244294" w:rsidP="0014780A">
      <w:pPr>
        <w:spacing w:after="0"/>
        <w:ind w:right="49"/>
        <w:rPr>
          <w:rFonts w:ascii="Arial" w:hAnsi="Arial" w:cs="Arial"/>
        </w:rPr>
      </w:pPr>
      <w:r w:rsidRPr="00657BA6">
        <w:rPr>
          <w:rFonts w:ascii="Arial" w:hAnsi="Arial" w:cs="Arial"/>
          <w:noProof/>
          <w:lang w:eastAsia="es-MX"/>
        </w:rPr>
        <w:lastRenderedPageBreak/>
        <w:drawing>
          <wp:inline distT="0" distB="0" distL="0" distR="0" wp14:anchorId="7EBD0010" wp14:editId="33B8547C">
            <wp:extent cx="5939790" cy="5327650"/>
            <wp:effectExtent l="0" t="0" r="3810" b="6350"/>
            <wp:docPr id="45" name="Imagen 45"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Calendario&#10;&#10;Descripción generada automáticamente"/>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5939790" cy="5327650"/>
                    </a:xfrm>
                    <a:prstGeom prst="rect">
                      <a:avLst/>
                    </a:prstGeom>
                    <a:noFill/>
                    <a:ln>
                      <a:noFill/>
                    </a:ln>
                  </pic:spPr>
                </pic:pic>
              </a:graphicData>
            </a:graphic>
          </wp:inline>
        </w:drawing>
      </w:r>
    </w:p>
    <w:p w14:paraId="0A86CA31" w14:textId="77777777" w:rsidR="00244294" w:rsidRPr="00657BA6" w:rsidRDefault="00244294" w:rsidP="0014780A">
      <w:pPr>
        <w:spacing w:after="0"/>
        <w:ind w:right="49"/>
        <w:jc w:val="center"/>
        <w:rPr>
          <w:rFonts w:ascii="Arial" w:hAnsi="Arial" w:cs="Arial"/>
          <w:sz w:val="18"/>
          <w:szCs w:val="18"/>
        </w:rPr>
      </w:pPr>
      <w:r w:rsidRPr="00657BA6">
        <w:rPr>
          <w:rFonts w:ascii="Arial" w:hAnsi="Arial" w:cs="Arial"/>
          <w:sz w:val="18"/>
          <w:szCs w:val="18"/>
        </w:rPr>
        <w:t>Diagrama 5. Establecimiento de una llamada de tránsito.</w:t>
      </w:r>
    </w:p>
    <w:p w14:paraId="70077691" w14:textId="77777777" w:rsidR="00244294" w:rsidRPr="00657BA6" w:rsidRDefault="00244294" w:rsidP="0014780A">
      <w:pPr>
        <w:spacing w:after="0"/>
        <w:ind w:right="49"/>
        <w:rPr>
          <w:rFonts w:ascii="Arial" w:hAnsi="Arial" w:cs="Arial"/>
        </w:rPr>
      </w:pPr>
    </w:p>
    <w:p w14:paraId="695C7E6D" w14:textId="77777777" w:rsidR="00244294" w:rsidRPr="00657BA6" w:rsidRDefault="00244294" w:rsidP="009640AE">
      <w:pPr>
        <w:pStyle w:val="Prrafodelista"/>
        <w:numPr>
          <w:ilvl w:val="1"/>
          <w:numId w:val="31"/>
        </w:numPr>
        <w:spacing w:line="276" w:lineRule="auto"/>
        <w:ind w:right="49" w:hanging="720"/>
        <w:contextualSpacing/>
        <w:rPr>
          <w:rFonts w:cs="Arial"/>
          <w:b/>
          <w:szCs w:val="22"/>
        </w:rPr>
      </w:pPr>
      <w:r w:rsidRPr="00657BA6">
        <w:rPr>
          <w:rFonts w:cs="Arial"/>
          <w:b/>
          <w:szCs w:val="22"/>
        </w:rPr>
        <w:t>Liberación de las peticiones</w:t>
      </w:r>
    </w:p>
    <w:p w14:paraId="1C6B0F37" w14:textId="77777777" w:rsidR="00244294" w:rsidRPr="00657BA6" w:rsidRDefault="00244294" w:rsidP="0014780A">
      <w:pPr>
        <w:spacing w:after="0"/>
        <w:ind w:right="49"/>
        <w:rPr>
          <w:rFonts w:ascii="Arial" w:hAnsi="Arial" w:cs="Arial"/>
        </w:rPr>
      </w:pPr>
    </w:p>
    <w:p w14:paraId="52336EDF" w14:textId="77777777" w:rsidR="00244294" w:rsidRPr="00657BA6" w:rsidRDefault="00244294" w:rsidP="0014780A">
      <w:pPr>
        <w:spacing w:after="0"/>
        <w:ind w:right="49"/>
        <w:rPr>
          <w:rFonts w:ascii="Arial" w:hAnsi="Arial" w:cs="Arial"/>
        </w:rPr>
      </w:pPr>
      <w:r w:rsidRPr="00657BA6">
        <w:rPr>
          <w:rFonts w:ascii="Arial" w:hAnsi="Arial" w:cs="Arial"/>
        </w:rPr>
        <w:t>Se realizará la liberación de la sesión en los siguientes casos:</w:t>
      </w:r>
    </w:p>
    <w:p w14:paraId="1A313C34" w14:textId="77777777" w:rsidR="00244294" w:rsidRPr="00657BA6" w:rsidRDefault="00244294" w:rsidP="0014780A">
      <w:pPr>
        <w:spacing w:after="0"/>
        <w:ind w:right="49"/>
        <w:rPr>
          <w:rFonts w:ascii="Arial" w:hAnsi="Arial" w:cs="Arial"/>
        </w:rPr>
      </w:pPr>
    </w:p>
    <w:p w14:paraId="6DDF4C89" w14:textId="77777777" w:rsidR="00244294" w:rsidRPr="00657BA6" w:rsidRDefault="00244294" w:rsidP="009640AE">
      <w:pPr>
        <w:pStyle w:val="Prrafodelista"/>
        <w:numPr>
          <w:ilvl w:val="0"/>
          <w:numId w:val="30"/>
        </w:numPr>
        <w:spacing w:line="276" w:lineRule="auto"/>
        <w:ind w:right="49"/>
        <w:contextualSpacing/>
        <w:rPr>
          <w:rFonts w:cs="Arial"/>
          <w:szCs w:val="22"/>
        </w:rPr>
      </w:pPr>
      <w:r w:rsidRPr="00657BA6">
        <w:rPr>
          <w:rFonts w:cs="Arial"/>
          <w:szCs w:val="22"/>
        </w:rPr>
        <w:t>Cancelación de la petición con el método CANCEL. Valor de causa 31 (Normal. Sin especificar)</w:t>
      </w:r>
    </w:p>
    <w:p w14:paraId="2A882612" w14:textId="77777777" w:rsidR="00244294" w:rsidRPr="00657BA6" w:rsidRDefault="00244294" w:rsidP="009640AE">
      <w:pPr>
        <w:pStyle w:val="Prrafodelista"/>
        <w:numPr>
          <w:ilvl w:val="0"/>
          <w:numId w:val="30"/>
        </w:numPr>
        <w:spacing w:line="276" w:lineRule="auto"/>
        <w:ind w:right="49"/>
        <w:contextualSpacing/>
        <w:rPr>
          <w:rFonts w:cs="Arial"/>
          <w:szCs w:val="22"/>
        </w:rPr>
      </w:pPr>
      <w:r w:rsidRPr="00657BA6">
        <w:rPr>
          <w:rFonts w:cs="Arial"/>
          <w:szCs w:val="22"/>
        </w:rPr>
        <w:t>Terminación de la petición con el método BYE. Valor de causa 16 (liberación normal de la llamada)</w:t>
      </w:r>
    </w:p>
    <w:p w14:paraId="44295595" w14:textId="77777777" w:rsidR="00244294" w:rsidRPr="00657BA6" w:rsidRDefault="00244294" w:rsidP="009640AE">
      <w:pPr>
        <w:pStyle w:val="Prrafodelista"/>
        <w:numPr>
          <w:ilvl w:val="0"/>
          <w:numId w:val="30"/>
        </w:numPr>
        <w:spacing w:line="276" w:lineRule="auto"/>
        <w:ind w:right="49"/>
        <w:contextualSpacing/>
        <w:rPr>
          <w:rFonts w:cs="Arial"/>
          <w:szCs w:val="22"/>
        </w:rPr>
      </w:pPr>
      <w:r w:rsidRPr="00657BA6">
        <w:rPr>
          <w:rFonts w:cs="Arial"/>
          <w:szCs w:val="22"/>
        </w:rPr>
        <w:t>Recepción de algún código de estado 4xx, 5xx, o 6xx.</w:t>
      </w:r>
    </w:p>
    <w:p w14:paraId="00C51531" w14:textId="77777777" w:rsidR="00244294" w:rsidRPr="00657BA6" w:rsidRDefault="00244294" w:rsidP="0014780A">
      <w:pPr>
        <w:spacing w:after="0"/>
        <w:ind w:right="49"/>
        <w:jc w:val="center"/>
        <w:rPr>
          <w:rFonts w:ascii="Arial" w:hAnsi="Arial" w:cs="Arial"/>
        </w:rPr>
      </w:pPr>
    </w:p>
    <w:tbl>
      <w:tblPr>
        <w:tblStyle w:val="Tablabsica3"/>
        <w:tblW w:w="4753"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4"/>
        <w:gridCol w:w="7927"/>
      </w:tblGrid>
      <w:tr w:rsidR="00244294" w:rsidRPr="00657BA6" w14:paraId="55DE52C6" w14:textId="77777777" w:rsidTr="006C794D">
        <w:trPr>
          <w:cnfStyle w:val="100000000000" w:firstRow="1" w:lastRow="0" w:firstColumn="0" w:lastColumn="0" w:oddVBand="0" w:evenVBand="0" w:oddHBand="0" w:evenHBand="0" w:firstRowFirstColumn="0" w:firstRowLastColumn="0" w:lastRowFirstColumn="0" w:lastRowLastColumn="0"/>
          <w:trHeight w:val="318"/>
        </w:trPr>
        <w:tc>
          <w:tcPr>
            <w:tcW w:w="49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3CAA709" w14:textId="77777777" w:rsidR="00244294" w:rsidRPr="00657BA6" w:rsidRDefault="00244294" w:rsidP="0014780A">
            <w:pPr>
              <w:keepNext/>
              <w:spacing w:after="0"/>
              <w:ind w:right="49"/>
              <w:jc w:val="center"/>
              <w:rPr>
                <w:rFonts w:ascii="Arial" w:hAnsi="Arial" w:cs="Arial"/>
                <w:color w:val="auto"/>
              </w:rPr>
            </w:pPr>
            <w:r w:rsidRPr="00657BA6">
              <w:rPr>
                <w:rFonts w:ascii="Arial" w:hAnsi="Arial" w:cs="Arial"/>
                <w:color w:val="auto"/>
              </w:rPr>
              <w:lastRenderedPageBreak/>
              <w:t>Código</w:t>
            </w:r>
          </w:p>
        </w:tc>
        <w:tc>
          <w:tcPr>
            <w:tcW w:w="450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076BA85" w14:textId="77777777" w:rsidR="00244294" w:rsidRPr="00657BA6" w:rsidRDefault="00244294" w:rsidP="0014780A">
            <w:pPr>
              <w:keepNext/>
              <w:spacing w:after="0"/>
              <w:ind w:right="49"/>
              <w:jc w:val="center"/>
              <w:rPr>
                <w:rFonts w:ascii="Arial" w:hAnsi="Arial" w:cs="Arial"/>
                <w:color w:val="auto"/>
              </w:rPr>
            </w:pPr>
            <w:r w:rsidRPr="00657BA6">
              <w:rPr>
                <w:rFonts w:ascii="Arial" w:hAnsi="Arial" w:cs="Arial"/>
                <w:color w:val="auto"/>
              </w:rPr>
              <w:t>Descripción</w:t>
            </w:r>
          </w:p>
        </w:tc>
      </w:tr>
      <w:tr w:rsidR="00244294" w:rsidRPr="00657BA6" w14:paraId="640DF279" w14:textId="77777777" w:rsidTr="006C794D">
        <w:tc>
          <w:tcPr>
            <w:tcW w:w="496" w:type="pct"/>
            <w:tcBorders>
              <w:top w:val="single" w:sz="4" w:space="0" w:color="000000"/>
            </w:tcBorders>
            <w:shd w:val="clear" w:color="auto" w:fill="D9D9D9" w:themeFill="background1" w:themeFillShade="D9"/>
          </w:tcPr>
          <w:p w14:paraId="4D1A5EF1" w14:textId="77777777" w:rsidR="00244294" w:rsidRPr="00657BA6" w:rsidRDefault="00244294" w:rsidP="0014780A">
            <w:pPr>
              <w:keepNext/>
              <w:spacing w:after="0"/>
              <w:ind w:right="49"/>
              <w:jc w:val="center"/>
              <w:rPr>
                <w:rFonts w:ascii="Arial" w:hAnsi="Arial" w:cs="Arial"/>
              </w:rPr>
            </w:pPr>
            <w:r w:rsidRPr="00657BA6">
              <w:rPr>
                <w:rFonts w:ascii="Arial" w:hAnsi="Arial" w:cs="Arial"/>
              </w:rPr>
              <w:t>1xx</w:t>
            </w:r>
          </w:p>
        </w:tc>
        <w:tc>
          <w:tcPr>
            <w:tcW w:w="4504" w:type="pct"/>
            <w:tcBorders>
              <w:top w:val="single" w:sz="4" w:space="0" w:color="000000"/>
            </w:tcBorders>
            <w:shd w:val="clear" w:color="auto" w:fill="D9D9D9" w:themeFill="background1" w:themeFillShade="D9"/>
          </w:tcPr>
          <w:p w14:paraId="07B92004" w14:textId="77777777" w:rsidR="00244294" w:rsidRPr="00657BA6" w:rsidRDefault="00244294" w:rsidP="0014780A">
            <w:pPr>
              <w:keepNext/>
              <w:spacing w:after="0"/>
              <w:ind w:right="49"/>
              <w:rPr>
                <w:rFonts w:ascii="Arial" w:hAnsi="Arial" w:cs="Arial"/>
              </w:rPr>
            </w:pPr>
            <w:r w:rsidRPr="00657BA6">
              <w:rPr>
                <w:rFonts w:ascii="Arial" w:hAnsi="Arial" w:cs="Arial"/>
              </w:rPr>
              <w:t>Temporales; petición recibida, se procesa la petición</w:t>
            </w:r>
            <w:r w:rsidRPr="00657BA6">
              <w:rPr>
                <w:rStyle w:val="Refdenotaalpie"/>
                <w:rFonts w:ascii="Arial" w:hAnsi="Arial" w:cs="Arial"/>
              </w:rPr>
              <w:footnoteReference w:id="22"/>
            </w:r>
          </w:p>
        </w:tc>
      </w:tr>
      <w:tr w:rsidR="00244294" w:rsidRPr="00657BA6" w14:paraId="0FC5FB42" w14:textId="77777777" w:rsidTr="006C794D">
        <w:tc>
          <w:tcPr>
            <w:tcW w:w="496" w:type="pct"/>
          </w:tcPr>
          <w:p w14:paraId="061BEE91" w14:textId="77777777" w:rsidR="00244294" w:rsidRPr="00657BA6" w:rsidRDefault="00244294" w:rsidP="0014780A">
            <w:pPr>
              <w:keepNext/>
              <w:spacing w:after="0"/>
              <w:ind w:right="49"/>
              <w:jc w:val="center"/>
              <w:rPr>
                <w:rFonts w:ascii="Arial" w:hAnsi="Arial" w:cs="Arial"/>
              </w:rPr>
            </w:pPr>
            <w:r w:rsidRPr="00657BA6">
              <w:rPr>
                <w:rFonts w:ascii="Arial" w:hAnsi="Arial" w:cs="Arial"/>
              </w:rPr>
              <w:t>2xx</w:t>
            </w:r>
          </w:p>
        </w:tc>
        <w:tc>
          <w:tcPr>
            <w:tcW w:w="4504" w:type="pct"/>
          </w:tcPr>
          <w:p w14:paraId="789BE5A6" w14:textId="77777777" w:rsidR="00244294" w:rsidRPr="00657BA6" w:rsidRDefault="00244294" w:rsidP="0014780A">
            <w:pPr>
              <w:keepNext/>
              <w:spacing w:after="0"/>
              <w:ind w:right="49"/>
              <w:rPr>
                <w:rFonts w:ascii="Arial" w:hAnsi="Arial" w:cs="Arial"/>
              </w:rPr>
            </w:pPr>
            <w:r w:rsidRPr="00657BA6">
              <w:rPr>
                <w:rFonts w:ascii="Arial" w:hAnsi="Arial" w:cs="Arial"/>
              </w:rPr>
              <w:t>Exitoso; la acción fue recibida, entendida, y aceptada con éxito</w:t>
            </w:r>
          </w:p>
        </w:tc>
      </w:tr>
      <w:tr w:rsidR="00244294" w:rsidRPr="00657BA6" w14:paraId="71E2EAB2" w14:textId="77777777" w:rsidTr="006C794D">
        <w:tc>
          <w:tcPr>
            <w:tcW w:w="496" w:type="pct"/>
            <w:shd w:val="clear" w:color="auto" w:fill="D9D9D9" w:themeFill="background1" w:themeFillShade="D9"/>
          </w:tcPr>
          <w:p w14:paraId="3944C075" w14:textId="77777777" w:rsidR="00244294" w:rsidRPr="00657BA6" w:rsidRDefault="00244294" w:rsidP="0014780A">
            <w:pPr>
              <w:keepNext/>
              <w:spacing w:after="0"/>
              <w:ind w:right="49"/>
              <w:jc w:val="center"/>
              <w:rPr>
                <w:rFonts w:ascii="Arial" w:hAnsi="Arial" w:cs="Arial"/>
              </w:rPr>
            </w:pPr>
            <w:r w:rsidRPr="00657BA6">
              <w:rPr>
                <w:rFonts w:ascii="Arial" w:hAnsi="Arial" w:cs="Arial"/>
              </w:rPr>
              <w:t>3xx</w:t>
            </w:r>
          </w:p>
        </w:tc>
        <w:tc>
          <w:tcPr>
            <w:tcW w:w="4504" w:type="pct"/>
            <w:shd w:val="clear" w:color="auto" w:fill="D9D9D9" w:themeFill="background1" w:themeFillShade="D9"/>
          </w:tcPr>
          <w:p w14:paraId="1D982C29" w14:textId="77777777" w:rsidR="00244294" w:rsidRPr="00657BA6" w:rsidRDefault="00244294" w:rsidP="0014780A">
            <w:pPr>
              <w:keepNext/>
              <w:spacing w:after="0"/>
              <w:ind w:right="49"/>
              <w:rPr>
                <w:rFonts w:ascii="Arial" w:hAnsi="Arial" w:cs="Arial"/>
              </w:rPr>
            </w:pPr>
            <w:r w:rsidRPr="00657BA6">
              <w:rPr>
                <w:rFonts w:ascii="Arial" w:hAnsi="Arial" w:cs="Arial"/>
              </w:rPr>
              <w:t>Redirección; se requieren acciones adicionales para terminar la petición</w:t>
            </w:r>
          </w:p>
        </w:tc>
      </w:tr>
      <w:tr w:rsidR="00244294" w:rsidRPr="00657BA6" w14:paraId="1AA7F5E2" w14:textId="77777777" w:rsidTr="006C794D">
        <w:tc>
          <w:tcPr>
            <w:tcW w:w="496" w:type="pct"/>
          </w:tcPr>
          <w:p w14:paraId="2952ABA5" w14:textId="77777777" w:rsidR="00244294" w:rsidRPr="00657BA6" w:rsidRDefault="00244294" w:rsidP="0014780A">
            <w:pPr>
              <w:keepNext/>
              <w:spacing w:after="0"/>
              <w:ind w:right="49"/>
              <w:jc w:val="center"/>
              <w:rPr>
                <w:rFonts w:ascii="Arial" w:hAnsi="Arial" w:cs="Arial"/>
              </w:rPr>
            </w:pPr>
            <w:r w:rsidRPr="00657BA6">
              <w:rPr>
                <w:rFonts w:ascii="Arial" w:hAnsi="Arial" w:cs="Arial"/>
              </w:rPr>
              <w:t>4xx</w:t>
            </w:r>
          </w:p>
        </w:tc>
        <w:tc>
          <w:tcPr>
            <w:tcW w:w="4504" w:type="pct"/>
          </w:tcPr>
          <w:p w14:paraId="638FB1E1" w14:textId="77777777" w:rsidR="00244294" w:rsidRPr="00657BA6" w:rsidRDefault="00244294" w:rsidP="0014780A">
            <w:pPr>
              <w:keepNext/>
              <w:spacing w:after="0"/>
              <w:ind w:right="49"/>
              <w:rPr>
                <w:rFonts w:ascii="Arial" w:hAnsi="Arial" w:cs="Arial"/>
              </w:rPr>
            </w:pPr>
            <w:r w:rsidRPr="00657BA6">
              <w:rPr>
                <w:rFonts w:ascii="Arial" w:hAnsi="Arial" w:cs="Arial"/>
              </w:rPr>
              <w:t>Error de cliente; la petición contiene sintaxis errónea o no se puede llevar a cabo en ese servidor</w:t>
            </w:r>
          </w:p>
        </w:tc>
      </w:tr>
      <w:tr w:rsidR="00244294" w:rsidRPr="00657BA6" w14:paraId="6709A38D" w14:textId="77777777" w:rsidTr="006C794D">
        <w:tc>
          <w:tcPr>
            <w:tcW w:w="496" w:type="pct"/>
            <w:shd w:val="clear" w:color="auto" w:fill="D9D9D9" w:themeFill="background1" w:themeFillShade="D9"/>
          </w:tcPr>
          <w:p w14:paraId="38909D38" w14:textId="77777777" w:rsidR="00244294" w:rsidRPr="00657BA6" w:rsidRDefault="00244294" w:rsidP="0014780A">
            <w:pPr>
              <w:keepNext/>
              <w:spacing w:after="0"/>
              <w:ind w:right="49"/>
              <w:jc w:val="center"/>
              <w:rPr>
                <w:rFonts w:ascii="Arial" w:hAnsi="Arial" w:cs="Arial"/>
              </w:rPr>
            </w:pPr>
            <w:r w:rsidRPr="00657BA6">
              <w:rPr>
                <w:rFonts w:ascii="Arial" w:hAnsi="Arial" w:cs="Arial"/>
              </w:rPr>
              <w:t>5xx</w:t>
            </w:r>
          </w:p>
        </w:tc>
        <w:tc>
          <w:tcPr>
            <w:tcW w:w="4504" w:type="pct"/>
            <w:shd w:val="clear" w:color="auto" w:fill="D9D9D9" w:themeFill="background1" w:themeFillShade="D9"/>
          </w:tcPr>
          <w:p w14:paraId="1EEC3713" w14:textId="77777777" w:rsidR="00244294" w:rsidRPr="00657BA6" w:rsidRDefault="00244294" w:rsidP="0014780A">
            <w:pPr>
              <w:keepNext/>
              <w:spacing w:after="0"/>
              <w:ind w:right="49"/>
              <w:rPr>
                <w:rFonts w:ascii="Arial" w:hAnsi="Arial" w:cs="Arial"/>
              </w:rPr>
            </w:pPr>
            <w:r w:rsidRPr="00657BA6">
              <w:rPr>
                <w:rFonts w:ascii="Arial" w:hAnsi="Arial" w:cs="Arial"/>
              </w:rPr>
              <w:t>Error de servidor; el servidor no pudo llevar a cabo una petición al parecer válida</w:t>
            </w:r>
          </w:p>
        </w:tc>
      </w:tr>
      <w:tr w:rsidR="00244294" w:rsidRPr="00657BA6" w14:paraId="442974CF" w14:textId="77777777" w:rsidTr="006C794D">
        <w:tc>
          <w:tcPr>
            <w:tcW w:w="496" w:type="pct"/>
          </w:tcPr>
          <w:p w14:paraId="77D43548" w14:textId="77777777" w:rsidR="00244294" w:rsidRPr="00657BA6" w:rsidRDefault="00244294" w:rsidP="0014780A">
            <w:pPr>
              <w:keepNext/>
              <w:spacing w:after="0"/>
              <w:ind w:right="49"/>
              <w:jc w:val="center"/>
              <w:rPr>
                <w:rFonts w:ascii="Arial" w:hAnsi="Arial" w:cs="Arial"/>
              </w:rPr>
            </w:pPr>
            <w:r w:rsidRPr="00657BA6">
              <w:rPr>
                <w:rFonts w:ascii="Arial" w:hAnsi="Arial" w:cs="Arial"/>
              </w:rPr>
              <w:t>6xx</w:t>
            </w:r>
          </w:p>
        </w:tc>
        <w:tc>
          <w:tcPr>
            <w:tcW w:w="4504" w:type="pct"/>
          </w:tcPr>
          <w:p w14:paraId="230CFBED" w14:textId="77777777" w:rsidR="00244294" w:rsidRPr="00657BA6" w:rsidRDefault="00244294" w:rsidP="0014780A">
            <w:pPr>
              <w:keepNext/>
              <w:spacing w:after="0"/>
              <w:ind w:right="49"/>
              <w:rPr>
                <w:rFonts w:ascii="Arial" w:hAnsi="Arial" w:cs="Arial"/>
              </w:rPr>
            </w:pPr>
            <w:r w:rsidRPr="00657BA6">
              <w:rPr>
                <w:rFonts w:ascii="Arial" w:hAnsi="Arial" w:cs="Arial"/>
              </w:rPr>
              <w:t>Falla global; la petición no se puede satisfacer en ningún servidor</w:t>
            </w:r>
          </w:p>
        </w:tc>
      </w:tr>
    </w:tbl>
    <w:p w14:paraId="05730E82" w14:textId="77777777" w:rsidR="00244294" w:rsidRPr="00657BA6" w:rsidRDefault="00244294" w:rsidP="0014780A">
      <w:pPr>
        <w:spacing w:after="0"/>
        <w:ind w:right="49"/>
        <w:jc w:val="center"/>
        <w:rPr>
          <w:rFonts w:ascii="Arial" w:hAnsi="Arial" w:cs="Arial"/>
          <w:i/>
          <w:sz w:val="18"/>
          <w:szCs w:val="18"/>
          <w:lang w:eastAsia="es-ES"/>
        </w:rPr>
      </w:pPr>
      <w:r w:rsidRPr="00657BA6">
        <w:rPr>
          <w:rFonts w:ascii="Arial" w:hAnsi="Arial" w:cs="Arial"/>
          <w:sz w:val="18"/>
          <w:szCs w:val="18"/>
        </w:rPr>
        <w:t>Tabla 7. Códigos generales de respuesta SIP.</w:t>
      </w:r>
    </w:p>
    <w:p w14:paraId="2A003485" w14:textId="77777777" w:rsidR="00244294" w:rsidRPr="00657BA6" w:rsidRDefault="00244294" w:rsidP="0014780A">
      <w:pPr>
        <w:spacing w:after="0"/>
        <w:ind w:right="49"/>
        <w:jc w:val="center"/>
        <w:rPr>
          <w:rFonts w:ascii="Arial" w:hAnsi="Arial" w:cs="Arial"/>
        </w:rPr>
      </w:pPr>
    </w:p>
    <w:p w14:paraId="64EB9AFF" w14:textId="6128897C" w:rsidR="00244294" w:rsidRPr="00657BA6" w:rsidRDefault="00244294" w:rsidP="0014780A">
      <w:pPr>
        <w:spacing w:after="0"/>
        <w:ind w:right="49"/>
        <w:jc w:val="both"/>
        <w:rPr>
          <w:rFonts w:ascii="Arial" w:hAnsi="Arial" w:cs="Arial"/>
        </w:rPr>
      </w:pPr>
      <w:r w:rsidRPr="00657BA6">
        <w:rPr>
          <w:rFonts w:ascii="Arial" w:hAnsi="Arial" w:cs="Arial"/>
        </w:rPr>
        <w:t xml:space="preserve">Los servicios de transferencia de llamadas y redireccionamiento de llamadas se prestarán </w:t>
      </w:r>
      <w:r w:rsidR="00DE7934" w:rsidRPr="00657BA6">
        <w:rPr>
          <w:rFonts w:ascii="Arial" w:hAnsi="Arial" w:cs="Arial"/>
        </w:rPr>
        <w:t>de acuerdo con</w:t>
      </w:r>
      <w:r w:rsidRPr="00657BA6">
        <w:rPr>
          <w:rFonts w:ascii="Arial" w:hAnsi="Arial" w:cs="Arial"/>
        </w:rPr>
        <w:t xml:space="preserve"> la Recomendación RFC 5359</w:t>
      </w:r>
      <w:r w:rsidRPr="00657BA6">
        <w:rPr>
          <w:rStyle w:val="Refdenotaalpie"/>
          <w:rFonts w:ascii="Arial" w:hAnsi="Arial" w:cs="Arial"/>
        </w:rPr>
        <w:footnoteReference w:id="23"/>
      </w:r>
      <w:r w:rsidRPr="00657BA6">
        <w:rPr>
          <w:rFonts w:ascii="Arial" w:hAnsi="Arial" w:cs="Arial"/>
        </w:rPr>
        <w:t xml:space="preserve">. </w:t>
      </w:r>
    </w:p>
    <w:p w14:paraId="3DA609D2" w14:textId="77777777" w:rsidR="00244294" w:rsidRPr="00657BA6" w:rsidRDefault="00244294" w:rsidP="0014780A">
      <w:pPr>
        <w:spacing w:after="0"/>
        <w:ind w:right="49"/>
        <w:rPr>
          <w:rFonts w:ascii="Arial" w:hAnsi="Arial" w:cs="Arial"/>
        </w:rPr>
      </w:pPr>
    </w:p>
    <w:p w14:paraId="25D38752" w14:textId="6853D565" w:rsidR="00244294" w:rsidRPr="00657BA6" w:rsidRDefault="00244294" w:rsidP="0014780A">
      <w:pPr>
        <w:spacing w:after="0"/>
        <w:ind w:right="49"/>
        <w:jc w:val="both"/>
        <w:rPr>
          <w:rFonts w:ascii="Arial" w:hAnsi="Arial" w:cs="Arial"/>
        </w:rPr>
      </w:pPr>
      <w:r w:rsidRPr="00657BA6">
        <w:rPr>
          <w:rFonts w:ascii="Arial" w:hAnsi="Arial" w:cs="Arial"/>
        </w:rPr>
        <w:t xml:space="preserve">El encabezado REASON debe estar presente en cualquier CANCEL o BYE, </w:t>
      </w:r>
      <w:r w:rsidR="00DE7934" w:rsidRPr="00657BA6">
        <w:rPr>
          <w:rFonts w:ascii="Arial" w:hAnsi="Arial" w:cs="Arial"/>
        </w:rPr>
        <w:t>de acuerdo con</w:t>
      </w:r>
      <w:r w:rsidRPr="00657BA6">
        <w:rPr>
          <w:rFonts w:ascii="Arial" w:hAnsi="Arial" w:cs="Arial"/>
        </w:rPr>
        <w:t xml:space="preserve"> lo siguiente:</w:t>
      </w:r>
    </w:p>
    <w:p w14:paraId="3EFB19F3" w14:textId="77777777" w:rsidR="00244294" w:rsidRPr="00657BA6" w:rsidRDefault="00244294" w:rsidP="0014780A">
      <w:pPr>
        <w:spacing w:after="0"/>
        <w:ind w:right="49"/>
        <w:rPr>
          <w:rFonts w:ascii="Arial" w:hAnsi="Arial" w:cs="Arial"/>
        </w:rPr>
      </w:pPr>
    </w:p>
    <w:tbl>
      <w:tblPr>
        <w:tblStyle w:val="Tablaconcuadrcula1"/>
        <w:tblW w:w="4753" w:type="pct"/>
        <w:tblInd w:w="421" w:type="dxa"/>
        <w:tblLook w:val="00A0" w:firstRow="1" w:lastRow="0" w:firstColumn="1" w:lastColumn="0" w:noHBand="0" w:noVBand="0"/>
      </w:tblPr>
      <w:tblGrid>
        <w:gridCol w:w="3232"/>
        <w:gridCol w:w="2071"/>
        <w:gridCol w:w="3578"/>
      </w:tblGrid>
      <w:tr w:rsidR="00244294" w:rsidRPr="00657BA6" w14:paraId="325FF54C" w14:textId="77777777" w:rsidTr="006C794D">
        <w:trPr>
          <w:trHeight w:val="318"/>
        </w:trPr>
        <w:tc>
          <w:tcPr>
            <w:tcW w:w="184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21F4BDB" w14:textId="77777777" w:rsidR="00244294" w:rsidRPr="00657BA6" w:rsidRDefault="00244294" w:rsidP="0014780A">
            <w:pPr>
              <w:keepNext/>
              <w:spacing w:after="0"/>
              <w:ind w:right="49"/>
              <w:jc w:val="center"/>
              <w:rPr>
                <w:rFonts w:ascii="Arial" w:hAnsi="Arial" w:cs="Arial"/>
                <w:b/>
                <w:bCs/>
              </w:rPr>
            </w:pPr>
            <w:r w:rsidRPr="00657BA6">
              <w:rPr>
                <w:rFonts w:ascii="Arial" w:hAnsi="Arial" w:cs="Arial"/>
                <w:b/>
                <w:bCs/>
              </w:rPr>
              <w:t>Componente del campo de encabezado</w:t>
            </w:r>
          </w:p>
        </w:tc>
        <w:tc>
          <w:tcPr>
            <w:tcW w:w="111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5ADDC76" w14:textId="77777777" w:rsidR="00244294" w:rsidRPr="00657BA6" w:rsidRDefault="00244294" w:rsidP="0014780A">
            <w:pPr>
              <w:keepNext/>
              <w:spacing w:after="0"/>
              <w:ind w:right="49"/>
              <w:jc w:val="center"/>
              <w:rPr>
                <w:rFonts w:ascii="Arial" w:hAnsi="Arial" w:cs="Arial"/>
                <w:b/>
                <w:bCs/>
              </w:rPr>
            </w:pPr>
            <w:r w:rsidRPr="00657BA6">
              <w:rPr>
                <w:rFonts w:ascii="Arial" w:hAnsi="Arial" w:cs="Arial"/>
                <w:b/>
                <w:bCs/>
              </w:rPr>
              <w:t>Valor</w:t>
            </w:r>
          </w:p>
        </w:tc>
        <w:tc>
          <w:tcPr>
            <w:tcW w:w="203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9EF74C8" w14:textId="77777777" w:rsidR="00244294" w:rsidRPr="00657BA6" w:rsidRDefault="00244294" w:rsidP="0014780A">
            <w:pPr>
              <w:keepNext/>
              <w:spacing w:after="0"/>
              <w:ind w:right="49"/>
              <w:jc w:val="center"/>
              <w:rPr>
                <w:rFonts w:ascii="Arial" w:hAnsi="Arial" w:cs="Arial"/>
                <w:b/>
                <w:bCs/>
              </w:rPr>
            </w:pPr>
            <w:r w:rsidRPr="00657BA6">
              <w:rPr>
                <w:rFonts w:ascii="Arial" w:hAnsi="Arial" w:cs="Arial"/>
                <w:b/>
                <w:bCs/>
              </w:rPr>
              <w:t>Descripción de la causa de liberación</w:t>
            </w:r>
          </w:p>
        </w:tc>
      </w:tr>
      <w:tr w:rsidR="00244294" w:rsidRPr="00657BA6" w14:paraId="6A2C2F7A" w14:textId="77777777" w:rsidTr="006C794D">
        <w:tc>
          <w:tcPr>
            <w:tcW w:w="1845" w:type="pct"/>
            <w:tcBorders>
              <w:top w:val="single" w:sz="4" w:space="0" w:color="000000"/>
            </w:tcBorders>
            <w:shd w:val="clear" w:color="auto" w:fill="D9D9D9" w:themeFill="background1" w:themeFillShade="D9"/>
          </w:tcPr>
          <w:p w14:paraId="265239E1" w14:textId="77777777" w:rsidR="00244294" w:rsidRPr="00657BA6" w:rsidRDefault="00244294" w:rsidP="0014780A">
            <w:pPr>
              <w:keepNext/>
              <w:spacing w:after="0"/>
              <w:ind w:right="49"/>
              <w:rPr>
                <w:rFonts w:ascii="Arial" w:hAnsi="Arial" w:cs="Arial"/>
              </w:rPr>
            </w:pPr>
            <w:r w:rsidRPr="00657BA6">
              <w:rPr>
                <w:rFonts w:ascii="Arial" w:hAnsi="Arial" w:cs="Arial"/>
              </w:rPr>
              <w:t>Protocolo</w:t>
            </w:r>
          </w:p>
        </w:tc>
        <w:tc>
          <w:tcPr>
            <w:tcW w:w="1115" w:type="pct"/>
            <w:tcBorders>
              <w:top w:val="single" w:sz="4" w:space="0" w:color="000000"/>
            </w:tcBorders>
            <w:shd w:val="clear" w:color="auto" w:fill="D9D9D9" w:themeFill="background1" w:themeFillShade="D9"/>
          </w:tcPr>
          <w:p w14:paraId="3B833B57" w14:textId="77777777" w:rsidR="00244294" w:rsidRPr="00657BA6" w:rsidRDefault="00244294" w:rsidP="0014780A">
            <w:pPr>
              <w:keepNext/>
              <w:spacing w:after="0"/>
              <w:ind w:right="49"/>
              <w:jc w:val="center"/>
              <w:rPr>
                <w:rFonts w:ascii="Arial" w:hAnsi="Arial" w:cs="Arial"/>
              </w:rPr>
            </w:pPr>
            <w:r w:rsidRPr="00657BA6">
              <w:rPr>
                <w:rFonts w:ascii="Arial" w:hAnsi="Arial" w:cs="Arial"/>
              </w:rPr>
              <w:t>SIP</w:t>
            </w:r>
          </w:p>
        </w:tc>
        <w:tc>
          <w:tcPr>
            <w:tcW w:w="2039" w:type="pct"/>
            <w:tcBorders>
              <w:top w:val="single" w:sz="4" w:space="0" w:color="000000"/>
            </w:tcBorders>
            <w:shd w:val="clear" w:color="auto" w:fill="D9D9D9" w:themeFill="background1" w:themeFillShade="D9"/>
          </w:tcPr>
          <w:p w14:paraId="348840D6" w14:textId="77777777" w:rsidR="00244294" w:rsidRPr="00657BA6" w:rsidRDefault="00244294" w:rsidP="0014780A">
            <w:pPr>
              <w:keepNext/>
              <w:spacing w:after="0"/>
              <w:ind w:right="49"/>
              <w:rPr>
                <w:rFonts w:ascii="Arial" w:hAnsi="Arial" w:cs="Arial"/>
              </w:rPr>
            </w:pPr>
            <w:r w:rsidRPr="00657BA6">
              <w:rPr>
                <w:rFonts w:ascii="Arial" w:hAnsi="Arial" w:cs="Arial"/>
              </w:rPr>
              <w:t>Parámetros indicadores de la causa</w:t>
            </w:r>
          </w:p>
        </w:tc>
      </w:tr>
      <w:tr w:rsidR="00244294" w:rsidRPr="00657BA6" w14:paraId="21B89588" w14:textId="77777777" w:rsidTr="006C794D">
        <w:tc>
          <w:tcPr>
            <w:tcW w:w="1845" w:type="pct"/>
          </w:tcPr>
          <w:p w14:paraId="3C263E14" w14:textId="77777777" w:rsidR="00244294" w:rsidRPr="00657BA6" w:rsidRDefault="00244294" w:rsidP="0014780A">
            <w:pPr>
              <w:keepNext/>
              <w:spacing w:after="0"/>
              <w:ind w:right="49"/>
              <w:rPr>
                <w:rFonts w:ascii="Arial" w:hAnsi="Arial" w:cs="Arial"/>
              </w:rPr>
            </w:pPr>
            <w:r w:rsidRPr="00657BA6">
              <w:rPr>
                <w:rFonts w:ascii="Arial" w:hAnsi="Arial" w:cs="Arial"/>
              </w:rPr>
              <w:t>Causa del protocolo</w:t>
            </w:r>
          </w:p>
        </w:tc>
        <w:tc>
          <w:tcPr>
            <w:tcW w:w="1115" w:type="pct"/>
          </w:tcPr>
          <w:p w14:paraId="2228482E" w14:textId="77777777" w:rsidR="00244294" w:rsidRPr="00657BA6" w:rsidRDefault="00244294" w:rsidP="0014780A">
            <w:pPr>
              <w:keepNext/>
              <w:spacing w:after="0"/>
              <w:ind w:right="49"/>
              <w:jc w:val="center"/>
              <w:rPr>
                <w:rFonts w:ascii="Arial" w:hAnsi="Arial" w:cs="Arial"/>
              </w:rPr>
            </w:pPr>
            <w:r w:rsidRPr="00657BA6">
              <w:rPr>
                <w:rFonts w:ascii="Arial" w:hAnsi="Arial" w:cs="Arial"/>
              </w:rPr>
              <w:t>Cause=XX</w:t>
            </w:r>
          </w:p>
        </w:tc>
        <w:tc>
          <w:tcPr>
            <w:tcW w:w="2039" w:type="pct"/>
          </w:tcPr>
          <w:p w14:paraId="7E65C80D" w14:textId="77777777" w:rsidR="00244294" w:rsidRPr="00657BA6" w:rsidRDefault="00244294" w:rsidP="0014780A">
            <w:pPr>
              <w:keepNext/>
              <w:spacing w:after="0"/>
              <w:ind w:right="49"/>
              <w:rPr>
                <w:rFonts w:ascii="Arial" w:hAnsi="Arial" w:cs="Arial"/>
              </w:rPr>
            </w:pPr>
            <w:r w:rsidRPr="00657BA6">
              <w:rPr>
                <w:rFonts w:ascii="Arial" w:hAnsi="Arial" w:cs="Arial"/>
              </w:rPr>
              <w:t>Valor de causa definido de forma numérica</w:t>
            </w:r>
          </w:p>
        </w:tc>
      </w:tr>
      <w:tr w:rsidR="00244294" w:rsidRPr="00657BA6" w14:paraId="208FE2D3" w14:textId="77777777" w:rsidTr="006C794D">
        <w:tc>
          <w:tcPr>
            <w:tcW w:w="1845" w:type="pct"/>
            <w:shd w:val="clear" w:color="auto" w:fill="D9D9D9" w:themeFill="background1" w:themeFillShade="D9"/>
          </w:tcPr>
          <w:p w14:paraId="414D5128" w14:textId="77777777" w:rsidR="00244294" w:rsidRPr="00657BA6" w:rsidRDefault="00244294" w:rsidP="0014780A">
            <w:pPr>
              <w:keepNext/>
              <w:spacing w:after="0"/>
              <w:ind w:right="49"/>
              <w:rPr>
                <w:rFonts w:ascii="Arial" w:hAnsi="Arial" w:cs="Arial"/>
              </w:rPr>
            </w:pPr>
            <w:r w:rsidRPr="00657BA6">
              <w:rPr>
                <w:rFonts w:ascii="Arial" w:hAnsi="Arial" w:cs="Arial"/>
              </w:rPr>
              <w:t>Descripción de la causa de liberación</w:t>
            </w:r>
          </w:p>
        </w:tc>
        <w:tc>
          <w:tcPr>
            <w:tcW w:w="1115" w:type="pct"/>
            <w:shd w:val="clear" w:color="auto" w:fill="D9D9D9" w:themeFill="background1" w:themeFillShade="D9"/>
          </w:tcPr>
          <w:p w14:paraId="4E2F41B3" w14:textId="77777777" w:rsidR="00244294" w:rsidRPr="00657BA6" w:rsidRDefault="00244294" w:rsidP="0014780A">
            <w:pPr>
              <w:keepNext/>
              <w:spacing w:after="0"/>
              <w:ind w:right="49"/>
              <w:jc w:val="center"/>
              <w:rPr>
                <w:rFonts w:ascii="Arial" w:hAnsi="Arial" w:cs="Arial"/>
              </w:rPr>
            </w:pPr>
            <w:r w:rsidRPr="00657BA6">
              <w:rPr>
                <w:rFonts w:ascii="Arial" w:hAnsi="Arial" w:cs="Arial"/>
              </w:rPr>
              <w:t>Text=xxxxxxxxxxxxx</w:t>
            </w:r>
          </w:p>
        </w:tc>
        <w:tc>
          <w:tcPr>
            <w:tcW w:w="2039" w:type="pct"/>
            <w:shd w:val="clear" w:color="auto" w:fill="D9D9D9" w:themeFill="background1" w:themeFillShade="D9"/>
          </w:tcPr>
          <w:p w14:paraId="05F84586" w14:textId="77777777" w:rsidR="00244294" w:rsidRPr="00657BA6" w:rsidRDefault="00244294" w:rsidP="0014780A">
            <w:pPr>
              <w:keepNext/>
              <w:spacing w:after="0"/>
              <w:ind w:right="49"/>
              <w:rPr>
                <w:rFonts w:ascii="Arial" w:hAnsi="Arial" w:cs="Arial"/>
              </w:rPr>
            </w:pPr>
            <w:r w:rsidRPr="00657BA6">
              <w:rPr>
                <w:rFonts w:ascii="Arial" w:hAnsi="Arial" w:cs="Arial"/>
              </w:rPr>
              <w:t>Valor alfanumérico</w:t>
            </w:r>
          </w:p>
        </w:tc>
      </w:tr>
    </w:tbl>
    <w:p w14:paraId="4AFD7485" w14:textId="77777777" w:rsidR="00244294" w:rsidRPr="00657BA6" w:rsidRDefault="00244294" w:rsidP="0014780A">
      <w:pPr>
        <w:spacing w:after="0"/>
        <w:ind w:right="49"/>
        <w:jc w:val="center"/>
        <w:rPr>
          <w:rFonts w:ascii="Arial" w:hAnsi="Arial" w:cs="Arial"/>
          <w:sz w:val="18"/>
          <w:szCs w:val="18"/>
        </w:rPr>
      </w:pPr>
      <w:r w:rsidRPr="00657BA6">
        <w:rPr>
          <w:rFonts w:ascii="Arial" w:hAnsi="Arial" w:cs="Arial"/>
          <w:sz w:val="18"/>
          <w:szCs w:val="18"/>
        </w:rPr>
        <w:t>Tabla 8. Códigos generales de respuesta SIP.</w:t>
      </w:r>
    </w:p>
    <w:p w14:paraId="786BF12C" w14:textId="77777777" w:rsidR="00244294" w:rsidRPr="00657BA6" w:rsidRDefault="00244294" w:rsidP="0014780A">
      <w:pPr>
        <w:spacing w:after="0"/>
        <w:ind w:right="49"/>
        <w:rPr>
          <w:rFonts w:ascii="Arial" w:hAnsi="Arial" w:cs="Arial"/>
        </w:rPr>
      </w:pPr>
    </w:p>
    <w:tbl>
      <w:tblPr>
        <w:tblStyle w:val="Tablaconcuadrcula1"/>
        <w:tblW w:w="4748" w:type="pct"/>
        <w:tblInd w:w="421" w:type="dxa"/>
        <w:tblLook w:val="00A0" w:firstRow="1" w:lastRow="0" w:firstColumn="1" w:lastColumn="0" w:noHBand="0" w:noVBand="0"/>
      </w:tblPr>
      <w:tblGrid>
        <w:gridCol w:w="642"/>
        <w:gridCol w:w="5169"/>
        <w:gridCol w:w="3061"/>
      </w:tblGrid>
      <w:tr w:rsidR="00244294" w:rsidRPr="00657BA6" w14:paraId="5FD2FAF7" w14:textId="77777777" w:rsidTr="00A5562E">
        <w:trPr>
          <w:trHeight w:val="318"/>
        </w:trPr>
        <w:tc>
          <w:tcPr>
            <w:tcW w:w="36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0102389" w14:textId="77777777" w:rsidR="00244294" w:rsidRPr="00657BA6" w:rsidRDefault="00244294" w:rsidP="0014780A">
            <w:pPr>
              <w:keepNext/>
              <w:spacing w:after="0"/>
              <w:ind w:right="49"/>
              <w:jc w:val="center"/>
              <w:rPr>
                <w:rFonts w:ascii="Arial" w:hAnsi="Arial" w:cs="Arial"/>
                <w:b/>
                <w:bCs/>
              </w:rPr>
            </w:pPr>
            <w:r w:rsidRPr="00657BA6">
              <w:rPr>
                <w:rFonts w:ascii="Arial" w:hAnsi="Arial" w:cs="Arial"/>
                <w:b/>
                <w:bCs/>
              </w:rPr>
              <w:t>No.</w:t>
            </w:r>
          </w:p>
        </w:tc>
        <w:tc>
          <w:tcPr>
            <w:tcW w:w="291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6303707" w14:textId="77777777" w:rsidR="00244294" w:rsidRPr="00657BA6" w:rsidRDefault="00244294" w:rsidP="0014780A">
            <w:pPr>
              <w:keepNext/>
              <w:spacing w:after="0"/>
              <w:ind w:right="49"/>
              <w:jc w:val="center"/>
              <w:rPr>
                <w:rFonts w:ascii="Arial" w:hAnsi="Arial" w:cs="Arial"/>
                <w:b/>
                <w:bCs/>
              </w:rPr>
            </w:pPr>
            <w:r w:rsidRPr="00657BA6">
              <w:rPr>
                <w:rFonts w:ascii="Arial" w:hAnsi="Arial" w:cs="Arial"/>
                <w:b/>
                <w:bCs/>
              </w:rPr>
              <w:t>Motivo de rechazo</w:t>
            </w:r>
          </w:p>
        </w:tc>
        <w:tc>
          <w:tcPr>
            <w:tcW w:w="172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2BBF5D6" w14:textId="77777777" w:rsidR="00244294" w:rsidRPr="00657BA6" w:rsidRDefault="00244294" w:rsidP="0014780A">
            <w:pPr>
              <w:keepNext/>
              <w:spacing w:after="0"/>
              <w:ind w:right="49"/>
              <w:jc w:val="center"/>
              <w:rPr>
                <w:rFonts w:ascii="Arial" w:hAnsi="Arial" w:cs="Arial"/>
                <w:b/>
                <w:bCs/>
              </w:rPr>
            </w:pPr>
            <w:r w:rsidRPr="00657BA6">
              <w:rPr>
                <w:rFonts w:ascii="Arial" w:hAnsi="Arial" w:cs="Arial"/>
                <w:b/>
                <w:bCs/>
              </w:rPr>
              <w:t>Mensaje SIP</w:t>
            </w:r>
          </w:p>
        </w:tc>
      </w:tr>
      <w:tr w:rsidR="00244294" w:rsidRPr="00657BA6" w14:paraId="0678EE32" w14:textId="77777777" w:rsidTr="00A5562E">
        <w:tc>
          <w:tcPr>
            <w:tcW w:w="362" w:type="pct"/>
            <w:tcBorders>
              <w:top w:val="single" w:sz="4" w:space="0" w:color="000000"/>
            </w:tcBorders>
            <w:shd w:val="clear" w:color="auto" w:fill="D9D9D9" w:themeFill="background1" w:themeFillShade="D9"/>
          </w:tcPr>
          <w:p w14:paraId="3BF2C8F9" w14:textId="77777777" w:rsidR="00244294" w:rsidRPr="00657BA6" w:rsidRDefault="00244294" w:rsidP="0014780A">
            <w:pPr>
              <w:keepNext/>
              <w:spacing w:after="0"/>
              <w:ind w:right="49"/>
              <w:jc w:val="center"/>
              <w:rPr>
                <w:rFonts w:ascii="Arial" w:hAnsi="Arial" w:cs="Arial"/>
              </w:rPr>
            </w:pPr>
            <w:r w:rsidRPr="00657BA6">
              <w:rPr>
                <w:rFonts w:ascii="Arial" w:hAnsi="Arial" w:cs="Arial"/>
              </w:rPr>
              <w:t>1</w:t>
            </w:r>
          </w:p>
        </w:tc>
        <w:tc>
          <w:tcPr>
            <w:tcW w:w="2913" w:type="pct"/>
            <w:tcBorders>
              <w:top w:val="single" w:sz="4" w:space="0" w:color="000000"/>
            </w:tcBorders>
            <w:shd w:val="clear" w:color="auto" w:fill="D9D9D9" w:themeFill="background1" w:themeFillShade="D9"/>
          </w:tcPr>
          <w:p w14:paraId="6C14B9DE" w14:textId="77777777" w:rsidR="00244294" w:rsidRPr="00657BA6" w:rsidRDefault="00244294" w:rsidP="0014780A">
            <w:pPr>
              <w:keepNext/>
              <w:spacing w:after="0"/>
              <w:ind w:right="49"/>
              <w:rPr>
                <w:rFonts w:ascii="Arial" w:hAnsi="Arial" w:cs="Arial"/>
              </w:rPr>
            </w:pPr>
            <w:r w:rsidRPr="00657BA6">
              <w:rPr>
                <w:rFonts w:ascii="Arial" w:hAnsi="Arial" w:cs="Arial"/>
              </w:rPr>
              <w:t>Formato de número inválido o sintaxis incorrecta de la petición.</w:t>
            </w:r>
          </w:p>
        </w:tc>
        <w:tc>
          <w:tcPr>
            <w:tcW w:w="1725" w:type="pct"/>
            <w:tcBorders>
              <w:top w:val="single" w:sz="4" w:space="0" w:color="000000"/>
            </w:tcBorders>
            <w:shd w:val="clear" w:color="auto" w:fill="D9D9D9" w:themeFill="background1" w:themeFillShade="D9"/>
          </w:tcPr>
          <w:p w14:paraId="722B6970" w14:textId="77777777" w:rsidR="00244294" w:rsidRPr="00657BA6" w:rsidRDefault="00244294" w:rsidP="0014780A">
            <w:pPr>
              <w:keepNext/>
              <w:spacing w:after="0"/>
              <w:ind w:right="49"/>
              <w:rPr>
                <w:rFonts w:ascii="Arial" w:hAnsi="Arial" w:cs="Arial"/>
              </w:rPr>
            </w:pPr>
            <w:r w:rsidRPr="00657BA6">
              <w:rPr>
                <w:rFonts w:ascii="Arial" w:hAnsi="Arial" w:cs="Arial"/>
              </w:rPr>
              <w:t>400 Petición incorrecta</w:t>
            </w:r>
          </w:p>
        </w:tc>
      </w:tr>
      <w:tr w:rsidR="00244294" w:rsidRPr="00657BA6" w14:paraId="3D14EF85" w14:textId="77777777" w:rsidTr="00A5562E">
        <w:tc>
          <w:tcPr>
            <w:tcW w:w="362" w:type="pct"/>
          </w:tcPr>
          <w:p w14:paraId="6856950E" w14:textId="77777777" w:rsidR="00244294" w:rsidRPr="00657BA6" w:rsidRDefault="00244294" w:rsidP="0014780A">
            <w:pPr>
              <w:keepNext/>
              <w:spacing w:after="0"/>
              <w:ind w:right="49"/>
              <w:jc w:val="center"/>
              <w:rPr>
                <w:rFonts w:ascii="Arial" w:hAnsi="Arial" w:cs="Arial"/>
              </w:rPr>
            </w:pPr>
            <w:r w:rsidRPr="00657BA6">
              <w:rPr>
                <w:rFonts w:ascii="Arial" w:hAnsi="Arial" w:cs="Arial"/>
              </w:rPr>
              <w:t>2</w:t>
            </w:r>
          </w:p>
        </w:tc>
        <w:tc>
          <w:tcPr>
            <w:tcW w:w="2913" w:type="pct"/>
          </w:tcPr>
          <w:p w14:paraId="5CA13052" w14:textId="77777777" w:rsidR="00244294" w:rsidRPr="00657BA6" w:rsidRDefault="00244294" w:rsidP="0014780A">
            <w:pPr>
              <w:keepNext/>
              <w:spacing w:after="0"/>
              <w:ind w:right="49"/>
              <w:rPr>
                <w:rFonts w:ascii="Arial" w:hAnsi="Arial" w:cs="Arial"/>
              </w:rPr>
            </w:pPr>
            <w:r w:rsidRPr="00657BA6">
              <w:rPr>
                <w:rFonts w:ascii="Arial" w:hAnsi="Arial" w:cs="Arial"/>
              </w:rPr>
              <w:t>Número cambió</w:t>
            </w:r>
          </w:p>
        </w:tc>
        <w:tc>
          <w:tcPr>
            <w:tcW w:w="1725" w:type="pct"/>
          </w:tcPr>
          <w:p w14:paraId="2EC7ABC2" w14:textId="77777777" w:rsidR="00244294" w:rsidRPr="00657BA6" w:rsidRDefault="00244294" w:rsidP="0014780A">
            <w:pPr>
              <w:keepNext/>
              <w:spacing w:after="0"/>
              <w:ind w:right="49"/>
              <w:rPr>
                <w:rFonts w:ascii="Arial" w:hAnsi="Arial" w:cs="Arial"/>
              </w:rPr>
            </w:pPr>
            <w:r w:rsidRPr="00657BA6">
              <w:rPr>
                <w:rFonts w:ascii="Arial" w:hAnsi="Arial" w:cs="Arial"/>
              </w:rPr>
              <w:t>410 Se fue</w:t>
            </w:r>
          </w:p>
        </w:tc>
      </w:tr>
      <w:tr w:rsidR="00244294" w:rsidRPr="00657BA6" w14:paraId="059804EF" w14:textId="77777777" w:rsidTr="00A5562E">
        <w:tc>
          <w:tcPr>
            <w:tcW w:w="362" w:type="pct"/>
            <w:shd w:val="clear" w:color="auto" w:fill="D9D9D9" w:themeFill="background1" w:themeFillShade="D9"/>
          </w:tcPr>
          <w:p w14:paraId="67358413" w14:textId="77777777" w:rsidR="00244294" w:rsidRPr="00657BA6" w:rsidRDefault="00244294" w:rsidP="0014780A">
            <w:pPr>
              <w:keepNext/>
              <w:spacing w:after="0"/>
              <w:ind w:right="49"/>
              <w:jc w:val="center"/>
              <w:rPr>
                <w:rFonts w:ascii="Arial" w:hAnsi="Arial" w:cs="Arial"/>
              </w:rPr>
            </w:pPr>
            <w:r w:rsidRPr="00657BA6">
              <w:rPr>
                <w:rFonts w:ascii="Arial" w:hAnsi="Arial" w:cs="Arial"/>
              </w:rPr>
              <w:t>3</w:t>
            </w:r>
          </w:p>
        </w:tc>
        <w:tc>
          <w:tcPr>
            <w:tcW w:w="2913" w:type="pct"/>
            <w:shd w:val="clear" w:color="auto" w:fill="D9D9D9" w:themeFill="background1" w:themeFillShade="D9"/>
          </w:tcPr>
          <w:p w14:paraId="0B18C70A" w14:textId="77777777" w:rsidR="00244294" w:rsidRPr="00657BA6" w:rsidRDefault="00244294" w:rsidP="0014780A">
            <w:pPr>
              <w:keepNext/>
              <w:spacing w:after="0"/>
              <w:ind w:right="49"/>
              <w:rPr>
                <w:rFonts w:ascii="Arial" w:hAnsi="Arial" w:cs="Arial"/>
              </w:rPr>
            </w:pPr>
            <w:r w:rsidRPr="00657BA6">
              <w:rPr>
                <w:rFonts w:ascii="Arial" w:hAnsi="Arial" w:cs="Arial"/>
              </w:rPr>
              <w:t>Número destino incompleto</w:t>
            </w:r>
          </w:p>
        </w:tc>
        <w:tc>
          <w:tcPr>
            <w:tcW w:w="1725" w:type="pct"/>
            <w:shd w:val="clear" w:color="auto" w:fill="D9D9D9" w:themeFill="background1" w:themeFillShade="D9"/>
          </w:tcPr>
          <w:p w14:paraId="509880F5" w14:textId="77777777" w:rsidR="00244294" w:rsidRPr="00657BA6" w:rsidRDefault="00244294" w:rsidP="0014780A">
            <w:pPr>
              <w:keepNext/>
              <w:spacing w:after="0"/>
              <w:ind w:right="49"/>
              <w:rPr>
                <w:rFonts w:ascii="Arial" w:hAnsi="Arial" w:cs="Arial"/>
              </w:rPr>
            </w:pPr>
            <w:r w:rsidRPr="00657BA6">
              <w:rPr>
                <w:rFonts w:ascii="Arial" w:hAnsi="Arial" w:cs="Arial"/>
              </w:rPr>
              <w:t>484 Dirección incompleta</w:t>
            </w:r>
          </w:p>
        </w:tc>
      </w:tr>
      <w:tr w:rsidR="00244294" w:rsidRPr="00657BA6" w14:paraId="095B3360" w14:textId="77777777" w:rsidTr="00A5562E">
        <w:tc>
          <w:tcPr>
            <w:tcW w:w="362" w:type="pct"/>
          </w:tcPr>
          <w:p w14:paraId="3401F4B4" w14:textId="77777777" w:rsidR="00244294" w:rsidRPr="00657BA6" w:rsidRDefault="00244294" w:rsidP="0014780A">
            <w:pPr>
              <w:keepNext/>
              <w:spacing w:after="0"/>
              <w:ind w:right="49"/>
              <w:jc w:val="center"/>
              <w:rPr>
                <w:rFonts w:ascii="Arial" w:hAnsi="Arial" w:cs="Arial"/>
              </w:rPr>
            </w:pPr>
            <w:r w:rsidRPr="00657BA6">
              <w:rPr>
                <w:rFonts w:ascii="Arial" w:hAnsi="Arial" w:cs="Arial"/>
              </w:rPr>
              <w:t>4</w:t>
            </w:r>
          </w:p>
        </w:tc>
        <w:tc>
          <w:tcPr>
            <w:tcW w:w="2913" w:type="pct"/>
          </w:tcPr>
          <w:p w14:paraId="4A1579DA" w14:textId="77777777" w:rsidR="00244294" w:rsidRPr="00657BA6" w:rsidRDefault="00244294" w:rsidP="0014780A">
            <w:pPr>
              <w:keepNext/>
              <w:spacing w:after="0"/>
              <w:ind w:right="49"/>
              <w:rPr>
                <w:rFonts w:ascii="Arial" w:hAnsi="Arial" w:cs="Arial"/>
              </w:rPr>
            </w:pPr>
            <w:r w:rsidRPr="00657BA6">
              <w:rPr>
                <w:rFonts w:ascii="Arial" w:hAnsi="Arial" w:cs="Arial"/>
              </w:rPr>
              <w:t>Destino descolgado</w:t>
            </w:r>
          </w:p>
        </w:tc>
        <w:tc>
          <w:tcPr>
            <w:tcW w:w="1725" w:type="pct"/>
          </w:tcPr>
          <w:p w14:paraId="34F07F94" w14:textId="77777777" w:rsidR="00244294" w:rsidRPr="00657BA6" w:rsidRDefault="00244294" w:rsidP="0014780A">
            <w:pPr>
              <w:keepNext/>
              <w:spacing w:after="0"/>
              <w:ind w:right="49"/>
              <w:rPr>
                <w:rFonts w:ascii="Arial" w:hAnsi="Arial" w:cs="Arial"/>
              </w:rPr>
            </w:pPr>
            <w:r w:rsidRPr="00657BA6">
              <w:rPr>
                <w:rFonts w:ascii="Arial" w:hAnsi="Arial" w:cs="Arial"/>
              </w:rPr>
              <w:t>502 Compuerta incorrecta</w:t>
            </w:r>
          </w:p>
        </w:tc>
      </w:tr>
      <w:tr w:rsidR="00244294" w:rsidRPr="00657BA6" w14:paraId="2248E26A" w14:textId="77777777" w:rsidTr="00A5562E">
        <w:tc>
          <w:tcPr>
            <w:tcW w:w="362" w:type="pct"/>
            <w:shd w:val="clear" w:color="auto" w:fill="D9D9D9" w:themeFill="background1" w:themeFillShade="D9"/>
          </w:tcPr>
          <w:p w14:paraId="0ACE9EDA" w14:textId="77777777" w:rsidR="00244294" w:rsidRPr="00657BA6" w:rsidRDefault="00244294" w:rsidP="0014780A">
            <w:pPr>
              <w:keepNext/>
              <w:spacing w:after="0"/>
              <w:ind w:right="49"/>
              <w:jc w:val="center"/>
              <w:rPr>
                <w:rFonts w:ascii="Arial" w:hAnsi="Arial" w:cs="Arial"/>
              </w:rPr>
            </w:pPr>
            <w:r w:rsidRPr="00657BA6">
              <w:rPr>
                <w:rFonts w:ascii="Arial" w:hAnsi="Arial" w:cs="Arial"/>
              </w:rPr>
              <w:t>5</w:t>
            </w:r>
          </w:p>
        </w:tc>
        <w:tc>
          <w:tcPr>
            <w:tcW w:w="2913" w:type="pct"/>
            <w:shd w:val="clear" w:color="auto" w:fill="D9D9D9" w:themeFill="background1" w:themeFillShade="D9"/>
          </w:tcPr>
          <w:p w14:paraId="33B0D4C8" w14:textId="77777777" w:rsidR="00244294" w:rsidRPr="00657BA6" w:rsidRDefault="00244294" w:rsidP="0014780A">
            <w:pPr>
              <w:keepNext/>
              <w:spacing w:after="0"/>
              <w:ind w:right="49"/>
              <w:rPr>
                <w:rFonts w:ascii="Arial" w:hAnsi="Arial" w:cs="Arial"/>
              </w:rPr>
            </w:pPr>
            <w:r w:rsidRPr="00657BA6">
              <w:rPr>
                <w:rFonts w:ascii="Arial" w:hAnsi="Arial" w:cs="Arial"/>
              </w:rPr>
              <w:t>Marcar a un número que no existe en la red destino</w:t>
            </w:r>
          </w:p>
        </w:tc>
        <w:tc>
          <w:tcPr>
            <w:tcW w:w="1725" w:type="pct"/>
            <w:shd w:val="clear" w:color="auto" w:fill="D9D9D9" w:themeFill="background1" w:themeFillShade="D9"/>
          </w:tcPr>
          <w:p w14:paraId="21DFD05A" w14:textId="77777777" w:rsidR="00244294" w:rsidRPr="00657BA6" w:rsidRDefault="00244294" w:rsidP="0014780A">
            <w:pPr>
              <w:keepNext/>
              <w:spacing w:after="0"/>
              <w:ind w:right="49"/>
              <w:rPr>
                <w:rFonts w:ascii="Arial" w:hAnsi="Arial" w:cs="Arial"/>
              </w:rPr>
            </w:pPr>
            <w:r w:rsidRPr="00657BA6">
              <w:rPr>
                <w:rFonts w:ascii="Arial" w:hAnsi="Arial" w:cs="Arial"/>
              </w:rPr>
              <w:t>604 No existe en ninguna parte</w:t>
            </w:r>
          </w:p>
        </w:tc>
      </w:tr>
    </w:tbl>
    <w:p w14:paraId="6122CE8D" w14:textId="77777777" w:rsidR="00244294" w:rsidRPr="00657BA6" w:rsidRDefault="00244294" w:rsidP="0014780A">
      <w:pPr>
        <w:spacing w:after="0"/>
        <w:ind w:right="49"/>
        <w:jc w:val="center"/>
        <w:rPr>
          <w:rFonts w:ascii="Arial" w:hAnsi="Arial" w:cs="Arial"/>
          <w:sz w:val="18"/>
          <w:szCs w:val="18"/>
        </w:rPr>
      </w:pPr>
      <w:r w:rsidRPr="00657BA6">
        <w:rPr>
          <w:rFonts w:ascii="Arial" w:hAnsi="Arial" w:cs="Arial"/>
          <w:sz w:val="18"/>
          <w:szCs w:val="18"/>
        </w:rPr>
        <w:t>Tabla 9. Códigos de respuesta SIP</w:t>
      </w:r>
      <w:r w:rsidRPr="00657BA6">
        <w:rPr>
          <w:rStyle w:val="Refdenotaalpie"/>
          <w:rFonts w:ascii="Arial" w:hAnsi="Arial" w:cs="Arial"/>
          <w:sz w:val="18"/>
          <w:szCs w:val="18"/>
        </w:rPr>
        <w:footnoteReference w:id="24"/>
      </w:r>
      <w:r w:rsidRPr="00657BA6">
        <w:rPr>
          <w:rFonts w:ascii="Arial" w:hAnsi="Arial" w:cs="Arial"/>
          <w:sz w:val="18"/>
          <w:szCs w:val="18"/>
        </w:rPr>
        <w:t>.</w:t>
      </w:r>
    </w:p>
    <w:p w14:paraId="0F5AF375" w14:textId="77777777" w:rsidR="00244294" w:rsidRPr="00657BA6" w:rsidRDefault="00244294" w:rsidP="0014780A">
      <w:pPr>
        <w:spacing w:after="0"/>
        <w:ind w:right="49"/>
        <w:rPr>
          <w:rFonts w:ascii="Arial" w:hAnsi="Arial" w:cs="Arial"/>
        </w:rPr>
      </w:pPr>
    </w:p>
    <w:p w14:paraId="2F3A8920" w14:textId="77777777" w:rsidR="00244294" w:rsidRPr="00657BA6" w:rsidRDefault="00244294" w:rsidP="009640AE">
      <w:pPr>
        <w:pStyle w:val="Prrafodelista"/>
        <w:numPr>
          <w:ilvl w:val="1"/>
          <w:numId w:val="31"/>
        </w:numPr>
        <w:spacing w:line="276" w:lineRule="auto"/>
        <w:ind w:right="49" w:hanging="720"/>
        <w:contextualSpacing/>
        <w:rPr>
          <w:rFonts w:cs="Arial"/>
          <w:b/>
          <w:szCs w:val="22"/>
        </w:rPr>
      </w:pPr>
      <w:r w:rsidRPr="00657BA6">
        <w:rPr>
          <w:rFonts w:cs="Arial"/>
          <w:b/>
          <w:szCs w:val="22"/>
        </w:rPr>
        <w:t>Calidad de servicio</w:t>
      </w:r>
    </w:p>
    <w:p w14:paraId="73AB5E3F" w14:textId="77777777" w:rsidR="00244294" w:rsidRPr="00657BA6" w:rsidRDefault="00244294" w:rsidP="0014780A">
      <w:pPr>
        <w:spacing w:after="0"/>
        <w:ind w:right="49"/>
        <w:rPr>
          <w:rFonts w:ascii="Arial" w:hAnsi="Arial" w:cs="Arial"/>
        </w:rPr>
      </w:pPr>
    </w:p>
    <w:p w14:paraId="3E3416BF" w14:textId="77777777" w:rsidR="00244294" w:rsidRPr="00657BA6" w:rsidRDefault="00244294" w:rsidP="0014780A">
      <w:pPr>
        <w:spacing w:after="0"/>
        <w:ind w:right="49"/>
        <w:jc w:val="both"/>
        <w:rPr>
          <w:rFonts w:ascii="Arial" w:hAnsi="Arial" w:cs="Arial"/>
        </w:rPr>
      </w:pPr>
      <w:r w:rsidRPr="00657BA6">
        <w:rPr>
          <w:rFonts w:ascii="Arial" w:hAnsi="Arial" w:cs="Arial"/>
        </w:rPr>
        <w:lastRenderedPageBreak/>
        <w:t>Los Concesionarios habrán de respetar las Recomendaciones ITU Y 1540</w:t>
      </w:r>
      <w:r w:rsidRPr="00657BA6">
        <w:rPr>
          <w:rStyle w:val="Refdenotaalpie"/>
          <w:rFonts w:ascii="Arial" w:hAnsi="Arial" w:cs="Arial"/>
        </w:rPr>
        <w:footnoteReference w:id="25"/>
      </w:r>
      <w:r w:rsidRPr="00657BA6">
        <w:rPr>
          <w:rFonts w:ascii="Arial" w:hAnsi="Arial" w:cs="Arial"/>
        </w:rPr>
        <w:t xml:space="preserve"> e ITU Y 1541</w:t>
      </w:r>
      <w:r w:rsidRPr="00657BA6">
        <w:rPr>
          <w:rStyle w:val="Refdenotaalpie"/>
          <w:rFonts w:ascii="Arial" w:hAnsi="Arial" w:cs="Arial"/>
        </w:rPr>
        <w:footnoteReference w:id="26"/>
      </w:r>
      <w:r w:rsidRPr="00657BA6">
        <w:rPr>
          <w:rFonts w:ascii="Arial" w:hAnsi="Arial" w:cs="Arial"/>
        </w:rPr>
        <w:t>, debiéndose alcanzar niveles de calidad correspondientes a la clase de servicio 0 para el tráfico de voz y a la clase de servicio 2 para el tráfico de señalización.</w:t>
      </w:r>
    </w:p>
    <w:p w14:paraId="6F596398" w14:textId="77777777" w:rsidR="00244294" w:rsidRPr="00657BA6" w:rsidRDefault="00244294" w:rsidP="0014780A">
      <w:pPr>
        <w:spacing w:after="0"/>
        <w:ind w:right="51"/>
        <w:jc w:val="both"/>
        <w:rPr>
          <w:rFonts w:ascii="Arial" w:hAnsi="Arial" w:cs="Arial"/>
        </w:rPr>
      </w:pPr>
    </w:p>
    <w:p w14:paraId="534E9FA0" w14:textId="1F9B5569" w:rsidR="00244294" w:rsidRPr="00657BA6" w:rsidRDefault="00244294" w:rsidP="0014780A">
      <w:pPr>
        <w:spacing w:after="0"/>
        <w:ind w:right="51"/>
        <w:jc w:val="both"/>
        <w:rPr>
          <w:rFonts w:ascii="Arial" w:hAnsi="Arial" w:cs="Arial"/>
        </w:rPr>
      </w:pPr>
      <w:r w:rsidRPr="00657BA6">
        <w:rPr>
          <w:rFonts w:ascii="Arial" w:hAnsi="Arial" w:cs="Arial"/>
        </w:rPr>
        <w:t xml:space="preserve">Los concesionarios podrán identificar el tráfico </w:t>
      </w:r>
      <w:r w:rsidR="00DE7934" w:rsidRPr="00657BA6">
        <w:rPr>
          <w:rFonts w:ascii="Arial" w:hAnsi="Arial" w:cs="Arial"/>
        </w:rPr>
        <w:t>de acuerdo con</w:t>
      </w:r>
      <w:r w:rsidRPr="00657BA6">
        <w:rPr>
          <w:rFonts w:ascii="Arial" w:hAnsi="Arial" w:cs="Arial"/>
        </w:rPr>
        <w:t xml:space="preserve"> la arquitectura de Diferenciación de Servicio (DiffServ) y </w:t>
      </w:r>
      <w:r w:rsidR="00B67887" w:rsidRPr="00657BA6">
        <w:rPr>
          <w:rFonts w:ascii="Arial" w:hAnsi="Arial" w:cs="Arial"/>
        </w:rPr>
        <w:t>de acuerdo con</w:t>
      </w:r>
      <w:r w:rsidRPr="00657BA6">
        <w:rPr>
          <w:rFonts w:ascii="Arial" w:hAnsi="Arial" w:cs="Arial"/>
        </w:rPr>
        <w:t xml:space="preserve"> la Recomendación RFC 4594</w:t>
      </w:r>
      <w:r w:rsidRPr="00657BA6">
        <w:rPr>
          <w:rStyle w:val="Refdenotaalpie"/>
          <w:rFonts w:ascii="Arial" w:hAnsi="Arial" w:cs="Arial"/>
        </w:rPr>
        <w:footnoteReference w:id="27"/>
      </w:r>
      <w:r w:rsidRPr="00657BA6">
        <w:rPr>
          <w:rFonts w:ascii="Arial" w:hAnsi="Arial" w:cs="Arial"/>
        </w:rPr>
        <w:t xml:space="preserve"> con el fin de facilitar la gestión de la calidad de servicio de los tráficos de voz y señalización IP. </w:t>
      </w:r>
    </w:p>
    <w:p w14:paraId="0A4E9C10" w14:textId="77777777" w:rsidR="00244294" w:rsidRPr="00657BA6" w:rsidRDefault="00244294" w:rsidP="0014780A">
      <w:pPr>
        <w:spacing w:after="0"/>
        <w:ind w:right="51"/>
        <w:jc w:val="both"/>
        <w:rPr>
          <w:rFonts w:ascii="Arial" w:hAnsi="Arial" w:cs="Arial"/>
          <w:lang w:eastAsia="es-ES"/>
        </w:rPr>
      </w:pPr>
    </w:p>
    <w:p w14:paraId="04C5CA9D" w14:textId="037C5708" w:rsidR="00244294" w:rsidRPr="00657BA6" w:rsidRDefault="00244294" w:rsidP="0014780A">
      <w:pPr>
        <w:spacing w:after="0"/>
        <w:ind w:right="51"/>
        <w:jc w:val="both"/>
        <w:rPr>
          <w:rFonts w:ascii="Arial" w:hAnsi="Arial" w:cs="Arial"/>
          <w:lang w:eastAsia="es-ES"/>
        </w:rPr>
      </w:pPr>
      <w:r w:rsidRPr="00657BA6">
        <w:rPr>
          <w:rFonts w:ascii="Arial" w:hAnsi="Arial" w:cs="Arial"/>
          <w:lang w:eastAsia="es-ES"/>
        </w:rPr>
        <w:t>Lo anterior con independencia de las disposiciones administrativas que para regular la calidad en la prestación del servicio de interconexión emita el Instituto.</w:t>
      </w:r>
    </w:p>
    <w:p w14:paraId="5423802F" w14:textId="77777777" w:rsidR="00D11B5C" w:rsidRPr="00657BA6" w:rsidRDefault="00D11B5C" w:rsidP="0014780A">
      <w:pPr>
        <w:spacing w:after="0"/>
        <w:ind w:right="51"/>
        <w:jc w:val="both"/>
        <w:rPr>
          <w:rFonts w:ascii="Arial" w:hAnsi="Arial" w:cs="Arial"/>
          <w:lang w:eastAsia="es-ES"/>
        </w:rPr>
      </w:pPr>
    </w:p>
    <w:p w14:paraId="32FA9060" w14:textId="77777777" w:rsidR="00244294" w:rsidRPr="00657BA6" w:rsidRDefault="00244294" w:rsidP="009640AE">
      <w:pPr>
        <w:pStyle w:val="Prrafodelista"/>
        <w:numPr>
          <w:ilvl w:val="1"/>
          <w:numId w:val="31"/>
        </w:numPr>
        <w:spacing w:line="276" w:lineRule="auto"/>
        <w:ind w:right="49" w:hanging="720"/>
        <w:contextualSpacing/>
        <w:rPr>
          <w:rFonts w:cs="Arial"/>
          <w:b/>
          <w:szCs w:val="22"/>
        </w:rPr>
      </w:pPr>
      <w:r w:rsidRPr="00657BA6">
        <w:rPr>
          <w:rFonts w:cs="Arial"/>
          <w:b/>
          <w:szCs w:val="22"/>
        </w:rPr>
        <w:t>Seguridad</w:t>
      </w:r>
    </w:p>
    <w:p w14:paraId="51817436" w14:textId="77777777" w:rsidR="00244294" w:rsidRPr="00657BA6" w:rsidRDefault="00244294" w:rsidP="0014780A">
      <w:pPr>
        <w:spacing w:after="0"/>
        <w:ind w:right="49"/>
        <w:rPr>
          <w:rFonts w:ascii="Arial" w:hAnsi="Arial" w:cs="Arial"/>
        </w:rPr>
      </w:pPr>
    </w:p>
    <w:p w14:paraId="6E542470" w14:textId="77777777" w:rsidR="00244294" w:rsidRPr="00657BA6" w:rsidRDefault="00244294" w:rsidP="0014780A">
      <w:pPr>
        <w:spacing w:after="0"/>
        <w:ind w:right="49"/>
        <w:jc w:val="both"/>
        <w:rPr>
          <w:rFonts w:ascii="Arial" w:hAnsi="Arial" w:cs="Arial"/>
          <w:b/>
        </w:rPr>
      </w:pPr>
      <w:r w:rsidRPr="00657BA6">
        <w:rPr>
          <w:rFonts w:ascii="Arial" w:hAnsi="Arial" w:cs="Arial"/>
        </w:rPr>
        <w:t xml:space="preserve">La conexión física entre concesionarios corresponderá a un modelo punto a punto. </w:t>
      </w:r>
    </w:p>
    <w:p w14:paraId="2D06E150" w14:textId="77777777" w:rsidR="00244294" w:rsidRPr="00657BA6" w:rsidRDefault="00244294" w:rsidP="0014780A">
      <w:pPr>
        <w:spacing w:after="0"/>
        <w:ind w:right="49"/>
        <w:jc w:val="both"/>
        <w:rPr>
          <w:rFonts w:ascii="Arial" w:hAnsi="Arial" w:cs="Arial"/>
          <w:b/>
        </w:rPr>
      </w:pPr>
      <w:r w:rsidRPr="00657BA6">
        <w:rPr>
          <w:rFonts w:ascii="Arial" w:hAnsi="Arial" w:cs="Arial"/>
        </w:rPr>
        <w:t xml:space="preserve"> </w:t>
      </w:r>
    </w:p>
    <w:p w14:paraId="7BFE8104" w14:textId="77777777" w:rsidR="00244294" w:rsidRPr="00657BA6" w:rsidRDefault="00244294" w:rsidP="0014780A">
      <w:pPr>
        <w:spacing w:after="0"/>
        <w:ind w:right="49"/>
        <w:jc w:val="both"/>
        <w:rPr>
          <w:rFonts w:ascii="Arial" w:hAnsi="Arial" w:cs="Arial"/>
        </w:rPr>
      </w:pPr>
      <w:r w:rsidRPr="00657BA6">
        <w:rPr>
          <w:rFonts w:ascii="Arial" w:hAnsi="Arial" w:cs="Arial"/>
        </w:rPr>
        <w:t xml:space="preserve">Los concesionarios podrán acordar otros esquemas de conectividad, en cuyo caso determinarán los mecanismos que garanticen la seguridad de la comunicación. </w:t>
      </w:r>
    </w:p>
    <w:p w14:paraId="6DA8772D" w14:textId="77777777" w:rsidR="00244294" w:rsidRPr="00657BA6" w:rsidRDefault="00244294" w:rsidP="0014780A">
      <w:pPr>
        <w:spacing w:after="0"/>
        <w:ind w:right="49"/>
        <w:jc w:val="both"/>
        <w:rPr>
          <w:rFonts w:ascii="Arial" w:hAnsi="Arial" w:cs="Arial"/>
        </w:rPr>
      </w:pPr>
    </w:p>
    <w:p w14:paraId="72F0FBF2" w14:textId="77777777" w:rsidR="00244294" w:rsidRPr="00657BA6" w:rsidRDefault="00244294" w:rsidP="009640AE">
      <w:pPr>
        <w:pStyle w:val="Prrafodelista"/>
        <w:numPr>
          <w:ilvl w:val="1"/>
          <w:numId w:val="31"/>
        </w:numPr>
        <w:spacing w:line="276" w:lineRule="auto"/>
        <w:ind w:right="49" w:hanging="720"/>
        <w:contextualSpacing/>
        <w:rPr>
          <w:rFonts w:cs="Arial"/>
          <w:b/>
          <w:szCs w:val="22"/>
        </w:rPr>
      </w:pPr>
      <w:r w:rsidRPr="00657BA6">
        <w:rPr>
          <w:rFonts w:cs="Arial"/>
          <w:b/>
          <w:szCs w:val="22"/>
        </w:rPr>
        <w:t>Tasación y Facturación</w:t>
      </w:r>
    </w:p>
    <w:p w14:paraId="21FE63D5" w14:textId="77777777" w:rsidR="00244294" w:rsidRPr="00657BA6" w:rsidRDefault="00244294" w:rsidP="0014780A">
      <w:pPr>
        <w:spacing w:after="0"/>
        <w:ind w:right="49"/>
        <w:rPr>
          <w:rFonts w:ascii="Arial" w:hAnsi="Arial" w:cs="Arial"/>
          <w:b/>
        </w:rPr>
      </w:pPr>
    </w:p>
    <w:p w14:paraId="3748B207" w14:textId="77777777" w:rsidR="00244294" w:rsidRPr="00657BA6" w:rsidRDefault="00244294" w:rsidP="0014780A">
      <w:pPr>
        <w:spacing w:after="0"/>
        <w:ind w:right="49"/>
        <w:jc w:val="both"/>
        <w:rPr>
          <w:rFonts w:ascii="Arial" w:hAnsi="Arial" w:cs="Arial"/>
        </w:rPr>
      </w:pPr>
      <w:r w:rsidRPr="00657BA6">
        <w:rPr>
          <w:rFonts w:ascii="Arial" w:hAnsi="Arial" w:cs="Arial"/>
        </w:rPr>
        <w:t>El inicio de tasación de la llamada comenzará cuando se reciba el código de respuesta 200 OK del método INVITE, el final de la misma será con el código de respuesta BYE.</w:t>
      </w:r>
    </w:p>
    <w:p w14:paraId="7AE2939A" w14:textId="77777777" w:rsidR="00244294" w:rsidRPr="00657BA6" w:rsidRDefault="00244294" w:rsidP="0014780A">
      <w:pPr>
        <w:spacing w:after="0"/>
        <w:ind w:right="49"/>
        <w:jc w:val="both"/>
        <w:rPr>
          <w:rFonts w:ascii="Arial" w:hAnsi="Arial" w:cs="Arial"/>
        </w:rPr>
      </w:pPr>
      <w:r w:rsidRPr="00657BA6">
        <w:rPr>
          <w:rFonts w:ascii="Arial" w:hAnsi="Arial" w:cs="Arial"/>
        </w:rPr>
        <w:t xml:space="preserve"> </w:t>
      </w:r>
    </w:p>
    <w:p w14:paraId="279CA1EF" w14:textId="77777777" w:rsidR="00244294" w:rsidRPr="00657BA6" w:rsidRDefault="00244294" w:rsidP="0014780A">
      <w:pPr>
        <w:spacing w:after="0"/>
        <w:ind w:right="51"/>
        <w:jc w:val="both"/>
        <w:rPr>
          <w:rFonts w:ascii="Arial" w:hAnsi="Arial" w:cs="Arial"/>
        </w:rPr>
      </w:pPr>
      <w:r w:rsidRPr="00657BA6">
        <w:rPr>
          <w:rFonts w:ascii="Arial" w:hAnsi="Arial" w:cs="Arial"/>
          <w:b/>
        </w:rPr>
        <w:t xml:space="preserve">Octava.- </w:t>
      </w:r>
      <w:r w:rsidRPr="00657BA6">
        <w:rPr>
          <w:rFonts w:ascii="Arial" w:hAnsi="Arial" w:cs="Arial"/>
        </w:rPr>
        <w:t>El servicio de tránsito se proporcionará entre las redes que se encuentren interconectadas de manera directa y bidireccional con la red que presta el servicio de tránsito, esto es, que envíen y reciban tráfico de manera directa con el concesionario que preste el servicio de tránsito.</w:t>
      </w:r>
    </w:p>
    <w:p w14:paraId="3EFD2232" w14:textId="77777777" w:rsidR="00244294" w:rsidRPr="00657BA6" w:rsidRDefault="00244294" w:rsidP="0014780A">
      <w:pPr>
        <w:spacing w:after="0"/>
        <w:ind w:right="51"/>
        <w:jc w:val="both"/>
        <w:rPr>
          <w:rFonts w:ascii="Arial" w:hAnsi="Arial" w:cs="Arial"/>
        </w:rPr>
      </w:pPr>
    </w:p>
    <w:p w14:paraId="10159FE0" w14:textId="77777777" w:rsidR="00244294" w:rsidRPr="00657BA6" w:rsidRDefault="00244294" w:rsidP="0014780A">
      <w:pPr>
        <w:spacing w:after="0"/>
        <w:ind w:right="51"/>
        <w:jc w:val="both"/>
        <w:rPr>
          <w:rFonts w:ascii="Arial" w:hAnsi="Arial" w:cs="Arial"/>
        </w:rPr>
      </w:pPr>
      <w:r w:rsidRPr="00657BA6">
        <w:rPr>
          <w:rFonts w:ascii="Arial" w:hAnsi="Arial" w:cs="Arial"/>
          <w:b/>
        </w:rPr>
        <w:t>Novena.-</w:t>
      </w:r>
      <w:r w:rsidRPr="00657BA6">
        <w:rPr>
          <w:rFonts w:ascii="Arial" w:hAnsi="Arial" w:cs="Arial"/>
        </w:rPr>
        <w:t xml:space="preserve"> Las condiciones técnicas para la coubicación serán las siguientes:</w:t>
      </w:r>
    </w:p>
    <w:p w14:paraId="3E59AC8D" w14:textId="77777777" w:rsidR="00244294" w:rsidRPr="00657BA6" w:rsidRDefault="00244294" w:rsidP="0014780A">
      <w:pPr>
        <w:spacing w:after="0"/>
        <w:ind w:right="51"/>
        <w:jc w:val="both"/>
        <w:rPr>
          <w:rFonts w:ascii="Arial" w:hAnsi="Arial" w:cs="Arial"/>
        </w:rPr>
      </w:pPr>
    </w:p>
    <w:tbl>
      <w:tblPr>
        <w:tblW w:w="8497" w:type="dxa"/>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3111"/>
        <w:gridCol w:w="5386"/>
      </w:tblGrid>
      <w:tr w:rsidR="00244294" w:rsidRPr="00657BA6" w14:paraId="4B7994F7" w14:textId="77777777" w:rsidTr="006C794D">
        <w:trPr>
          <w:trHeight w:val="259"/>
          <w:jc w:val="center"/>
        </w:trPr>
        <w:tc>
          <w:tcPr>
            <w:tcW w:w="3111" w:type="dxa"/>
            <w:tcBorders>
              <w:top w:val="single" w:sz="6" w:space="0" w:color="auto"/>
              <w:bottom w:val="nil"/>
            </w:tcBorders>
          </w:tcPr>
          <w:p w14:paraId="113D7138" w14:textId="77777777" w:rsidR="00244294" w:rsidRPr="00657BA6" w:rsidRDefault="00244294" w:rsidP="009640AE">
            <w:pPr>
              <w:numPr>
                <w:ilvl w:val="0"/>
                <w:numId w:val="27"/>
              </w:numPr>
              <w:spacing w:after="0"/>
              <w:ind w:right="49"/>
              <w:rPr>
                <w:rFonts w:ascii="Arial" w:hAnsi="Arial" w:cs="Arial"/>
                <w:sz w:val="20"/>
                <w:szCs w:val="20"/>
              </w:rPr>
            </w:pPr>
            <w:r w:rsidRPr="00657BA6">
              <w:rPr>
                <w:rFonts w:ascii="Arial" w:hAnsi="Arial" w:cs="Arial"/>
                <w:sz w:val="20"/>
                <w:szCs w:val="20"/>
              </w:rPr>
              <w:t>Espacio:</w:t>
            </w:r>
          </w:p>
        </w:tc>
        <w:tc>
          <w:tcPr>
            <w:tcW w:w="5386" w:type="dxa"/>
            <w:tcBorders>
              <w:top w:val="single" w:sz="6" w:space="0" w:color="auto"/>
              <w:bottom w:val="nil"/>
            </w:tcBorders>
          </w:tcPr>
          <w:p w14:paraId="7D2D3C91" w14:textId="77777777" w:rsidR="00244294" w:rsidRPr="00657BA6" w:rsidRDefault="00244294" w:rsidP="0014780A">
            <w:pPr>
              <w:pStyle w:val="Ttulo3"/>
              <w:spacing w:line="276" w:lineRule="auto"/>
              <w:ind w:left="0" w:right="49"/>
              <w:rPr>
                <w:sz w:val="20"/>
              </w:rPr>
            </w:pPr>
            <w:r w:rsidRPr="00657BA6">
              <w:rPr>
                <w:sz w:val="20"/>
              </w:rPr>
              <w:t>Con delimitación física</w:t>
            </w:r>
          </w:p>
        </w:tc>
      </w:tr>
      <w:tr w:rsidR="00244294" w:rsidRPr="00657BA6" w14:paraId="1F9F6AB7" w14:textId="77777777" w:rsidTr="006C794D">
        <w:trPr>
          <w:trHeight w:val="2467"/>
          <w:jc w:val="center"/>
        </w:trPr>
        <w:tc>
          <w:tcPr>
            <w:tcW w:w="3111" w:type="dxa"/>
            <w:tcBorders>
              <w:top w:val="single" w:sz="6" w:space="0" w:color="auto"/>
              <w:bottom w:val="nil"/>
            </w:tcBorders>
          </w:tcPr>
          <w:p w14:paraId="12549F2D" w14:textId="77777777" w:rsidR="00244294" w:rsidRPr="00657BA6" w:rsidRDefault="00244294" w:rsidP="009640AE">
            <w:pPr>
              <w:numPr>
                <w:ilvl w:val="0"/>
                <w:numId w:val="27"/>
              </w:numPr>
              <w:spacing w:after="0"/>
              <w:ind w:right="49"/>
              <w:rPr>
                <w:rFonts w:ascii="Arial" w:hAnsi="Arial" w:cs="Arial"/>
                <w:sz w:val="20"/>
                <w:szCs w:val="20"/>
              </w:rPr>
            </w:pPr>
            <w:r w:rsidRPr="00657BA6">
              <w:rPr>
                <w:rFonts w:ascii="Arial" w:hAnsi="Arial" w:cs="Arial"/>
                <w:sz w:val="20"/>
                <w:szCs w:val="20"/>
              </w:rPr>
              <w:lastRenderedPageBreak/>
              <w:t>Tipos de coubicación:</w:t>
            </w:r>
          </w:p>
        </w:tc>
        <w:tc>
          <w:tcPr>
            <w:tcW w:w="5386" w:type="dxa"/>
            <w:tcBorders>
              <w:top w:val="single" w:sz="6" w:space="0" w:color="auto"/>
              <w:bottom w:val="nil"/>
            </w:tcBorders>
          </w:tcPr>
          <w:p w14:paraId="536B33D9" w14:textId="77777777" w:rsidR="00244294" w:rsidRPr="00657BA6" w:rsidRDefault="00244294" w:rsidP="0014780A">
            <w:pPr>
              <w:spacing w:after="0"/>
              <w:ind w:right="49"/>
              <w:jc w:val="both"/>
              <w:rPr>
                <w:rFonts w:ascii="Arial" w:hAnsi="Arial" w:cs="Arial"/>
                <w:sz w:val="20"/>
                <w:szCs w:val="20"/>
              </w:rPr>
            </w:pPr>
            <w:r w:rsidRPr="00657BA6">
              <w:rPr>
                <w:rFonts w:ascii="Arial" w:hAnsi="Arial" w:cs="Arial"/>
                <w:sz w:val="20"/>
                <w:szCs w:val="20"/>
              </w:rPr>
              <w:t>Tipo 1 (Local): Área de 9 m</w:t>
            </w:r>
            <w:r w:rsidRPr="00657BA6">
              <w:rPr>
                <w:rFonts w:ascii="Arial" w:hAnsi="Arial" w:cs="Arial"/>
                <w:sz w:val="20"/>
                <w:szCs w:val="20"/>
                <w:vertAlign w:val="superscript"/>
              </w:rPr>
              <w:t>2</w:t>
            </w:r>
            <w:r w:rsidRPr="00657BA6">
              <w:rPr>
                <w:rFonts w:ascii="Arial" w:hAnsi="Arial" w:cs="Arial"/>
                <w:sz w:val="20"/>
                <w:szCs w:val="20"/>
              </w:rPr>
              <w:t xml:space="preserve"> (3x3) con delimitación de tabla roca pudiendo utilizar las paredes existentes.</w:t>
            </w:r>
          </w:p>
          <w:p w14:paraId="52B0F601" w14:textId="77777777" w:rsidR="00244294" w:rsidRPr="00657BA6" w:rsidRDefault="00244294" w:rsidP="0014780A">
            <w:pPr>
              <w:spacing w:after="0"/>
              <w:ind w:right="49"/>
              <w:jc w:val="both"/>
              <w:rPr>
                <w:rFonts w:ascii="Arial" w:hAnsi="Arial" w:cs="Arial"/>
                <w:sz w:val="20"/>
                <w:szCs w:val="20"/>
              </w:rPr>
            </w:pPr>
            <w:r w:rsidRPr="00657BA6">
              <w:rPr>
                <w:rFonts w:ascii="Arial" w:hAnsi="Arial" w:cs="Arial"/>
                <w:sz w:val="20"/>
                <w:szCs w:val="20"/>
              </w:rPr>
              <w:t>Tipo 2 (Local): Área de 4 m</w:t>
            </w:r>
            <w:r w:rsidRPr="00657BA6">
              <w:rPr>
                <w:rFonts w:ascii="Arial" w:hAnsi="Arial" w:cs="Arial"/>
                <w:sz w:val="20"/>
                <w:szCs w:val="20"/>
                <w:vertAlign w:val="superscript"/>
                <w:lang w:val="es-ES_tradnl"/>
              </w:rPr>
              <w:t>2</w:t>
            </w:r>
            <w:r w:rsidRPr="00657BA6">
              <w:rPr>
                <w:rFonts w:ascii="Arial" w:hAnsi="Arial" w:cs="Arial"/>
                <w:sz w:val="20"/>
                <w:szCs w:val="20"/>
              </w:rPr>
              <w:t xml:space="preserve"> (2x2) con delimitación de tabla roca pudiendo utilizar las paredes existentes.</w:t>
            </w:r>
          </w:p>
          <w:p w14:paraId="69DA6CF6" w14:textId="77777777" w:rsidR="00244294" w:rsidRPr="00657BA6" w:rsidRDefault="00244294" w:rsidP="0014780A">
            <w:pPr>
              <w:spacing w:after="0"/>
              <w:ind w:right="51"/>
              <w:jc w:val="both"/>
              <w:rPr>
                <w:rFonts w:ascii="Arial" w:hAnsi="Arial" w:cs="Arial"/>
                <w:sz w:val="20"/>
                <w:szCs w:val="20"/>
              </w:rPr>
            </w:pPr>
            <w:r w:rsidRPr="00657BA6">
              <w:rPr>
                <w:rFonts w:ascii="Arial" w:hAnsi="Arial" w:cs="Arial"/>
                <w:sz w:val="20"/>
                <w:szCs w:val="20"/>
              </w:rPr>
              <w:t>Tipo 3 (gabinete): Las dimensiones del gabinete serán las que el Concesionario Solicitado proporcione.</w:t>
            </w:r>
          </w:p>
          <w:p w14:paraId="7B930915" w14:textId="77777777" w:rsidR="00244294" w:rsidRPr="00657BA6" w:rsidRDefault="00244294" w:rsidP="0014780A">
            <w:pPr>
              <w:spacing w:after="0"/>
              <w:ind w:right="51"/>
              <w:jc w:val="both"/>
              <w:rPr>
                <w:rFonts w:ascii="Arial" w:hAnsi="Arial" w:cs="Arial"/>
                <w:sz w:val="20"/>
                <w:szCs w:val="20"/>
              </w:rPr>
            </w:pPr>
          </w:p>
          <w:p w14:paraId="52D06429" w14:textId="77777777" w:rsidR="00244294" w:rsidRPr="00657BA6" w:rsidRDefault="00244294" w:rsidP="0014780A">
            <w:pPr>
              <w:spacing w:after="0"/>
              <w:ind w:right="51"/>
              <w:jc w:val="both"/>
              <w:rPr>
                <w:rFonts w:ascii="Arial" w:hAnsi="Arial" w:cs="Arial"/>
                <w:sz w:val="20"/>
                <w:szCs w:val="20"/>
              </w:rPr>
            </w:pPr>
            <w:r w:rsidRPr="00657BA6">
              <w:rPr>
                <w:rFonts w:ascii="Arial" w:hAnsi="Arial" w:cs="Arial"/>
                <w:sz w:val="20"/>
                <w:szCs w:val="20"/>
              </w:rPr>
              <w:t>El tipo de coubicación será a elección del Concesionario Solicitado siempre y cuando las dimensiones permitan la colocación del equipo del Concesionario Solicitante.</w:t>
            </w:r>
          </w:p>
        </w:tc>
      </w:tr>
      <w:tr w:rsidR="00244294" w:rsidRPr="00657BA6" w14:paraId="0D44FA29" w14:textId="77777777" w:rsidTr="006C794D">
        <w:trPr>
          <w:trHeight w:val="482"/>
          <w:jc w:val="center"/>
        </w:trPr>
        <w:tc>
          <w:tcPr>
            <w:tcW w:w="3111" w:type="dxa"/>
            <w:tcBorders>
              <w:top w:val="single" w:sz="6" w:space="0" w:color="auto"/>
              <w:bottom w:val="single" w:sz="4" w:space="0" w:color="auto"/>
            </w:tcBorders>
          </w:tcPr>
          <w:p w14:paraId="41CD9E96" w14:textId="77777777" w:rsidR="00244294" w:rsidRPr="00657BA6" w:rsidRDefault="00244294" w:rsidP="009640AE">
            <w:pPr>
              <w:numPr>
                <w:ilvl w:val="0"/>
                <w:numId w:val="27"/>
              </w:numPr>
              <w:spacing w:after="0"/>
              <w:ind w:right="49"/>
              <w:rPr>
                <w:rFonts w:ascii="Arial" w:hAnsi="Arial" w:cs="Arial"/>
                <w:sz w:val="20"/>
                <w:szCs w:val="20"/>
                <w:lang w:val="es-ES_tradnl"/>
              </w:rPr>
            </w:pPr>
            <w:r w:rsidRPr="00657BA6">
              <w:rPr>
                <w:rFonts w:ascii="Arial" w:hAnsi="Arial" w:cs="Arial"/>
                <w:sz w:val="20"/>
                <w:szCs w:val="20"/>
                <w:lang w:val="es-ES_tradnl"/>
              </w:rPr>
              <w:t>Acceso:</w:t>
            </w:r>
          </w:p>
        </w:tc>
        <w:tc>
          <w:tcPr>
            <w:tcW w:w="5386" w:type="dxa"/>
            <w:tcBorders>
              <w:top w:val="single" w:sz="6" w:space="0" w:color="auto"/>
              <w:bottom w:val="single" w:sz="4" w:space="0" w:color="auto"/>
            </w:tcBorders>
          </w:tcPr>
          <w:p w14:paraId="0849AB80" w14:textId="77777777" w:rsidR="00244294" w:rsidRPr="00657BA6" w:rsidRDefault="00244294" w:rsidP="0014780A">
            <w:pPr>
              <w:spacing w:after="0"/>
              <w:ind w:right="49"/>
              <w:jc w:val="both"/>
              <w:rPr>
                <w:rFonts w:ascii="Arial" w:hAnsi="Arial" w:cs="Arial"/>
                <w:sz w:val="20"/>
                <w:szCs w:val="20"/>
                <w:u w:val="single"/>
                <w:lang w:val="es-ES_tradnl"/>
              </w:rPr>
            </w:pPr>
            <w:r w:rsidRPr="00657BA6">
              <w:rPr>
                <w:rFonts w:ascii="Arial" w:hAnsi="Arial" w:cs="Arial"/>
                <w:sz w:val="20"/>
                <w:szCs w:val="20"/>
                <w:lang w:val="es-ES_tradnl"/>
              </w:rPr>
              <w:t>7X24 horas todos los días del año atendiendo los procedimientos que para ello establezcan los concesionarios.</w:t>
            </w:r>
            <w:r w:rsidRPr="00657BA6">
              <w:rPr>
                <w:rFonts w:ascii="Arial" w:hAnsi="Arial" w:cs="Arial"/>
                <w:sz w:val="20"/>
                <w:szCs w:val="20"/>
                <w:u w:val="single"/>
                <w:lang w:val="es-ES_tradnl"/>
              </w:rPr>
              <w:t xml:space="preserve"> </w:t>
            </w:r>
          </w:p>
        </w:tc>
      </w:tr>
      <w:tr w:rsidR="00244294" w:rsidRPr="00657BA6" w14:paraId="5B370E08" w14:textId="77777777" w:rsidTr="006C794D">
        <w:trPr>
          <w:trHeight w:val="693"/>
          <w:jc w:val="center"/>
        </w:trPr>
        <w:tc>
          <w:tcPr>
            <w:tcW w:w="3111" w:type="dxa"/>
            <w:tcBorders>
              <w:top w:val="single" w:sz="4" w:space="0" w:color="auto"/>
              <w:left w:val="single" w:sz="4" w:space="0" w:color="auto"/>
              <w:bottom w:val="single" w:sz="4" w:space="0" w:color="auto"/>
            </w:tcBorders>
          </w:tcPr>
          <w:p w14:paraId="2A3DB443" w14:textId="77777777" w:rsidR="00244294" w:rsidRPr="00657BA6" w:rsidRDefault="00244294" w:rsidP="009640AE">
            <w:pPr>
              <w:numPr>
                <w:ilvl w:val="0"/>
                <w:numId w:val="27"/>
              </w:numPr>
              <w:spacing w:after="0"/>
              <w:ind w:right="49"/>
              <w:rPr>
                <w:rFonts w:ascii="Arial" w:hAnsi="Arial" w:cs="Arial"/>
                <w:sz w:val="20"/>
                <w:szCs w:val="20"/>
                <w:lang w:val="es-ES_tradnl"/>
              </w:rPr>
            </w:pPr>
            <w:r w:rsidRPr="00657BA6">
              <w:rPr>
                <w:rFonts w:ascii="Arial" w:hAnsi="Arial" w:cs="Arial"/>
                <w:sz w:val="20"/>
                <w:szCs w:val="20"/>
                <w:lang w:val="es-ES_tradnl"/>
              </w:rPr>
              <w:t>Contactos eléctricos:</w:t>
            </w:r>
          </w:p>
        </w:tc>
        <w:tc>
          <w:tcPr>
            <w:tcW w:w="5386" w:type="dxa"/>
            <w:tcBorders>
              <w:top w:val="single" w:sz="4" w:space="0" w:color="auto"/>
              <w:bottom w:val="single" w:sz="4" w:space="0" w:color="auto"/>
              <w:right w:val="single" w:sz="4" w:space="0" w:color="auto"/>
            </w:tcBorders>
          </w:tcPr>
          <w:p w14:paraId="1C393F1D" w14:textId="77777777" w:rsidR="00244294" w:rsidRPr="00657BA6" w:rsidRDefault="00244294" w:rsidP="0014780A">
            <w:pPr>
              <w:spacing w:after="0"/>
              <w:ind w:right="49"/>
              <w:jc w:val="both"/>
              <w:rPr>
                <w:rFonts w:ascii="Arial" w:hAnsi="Arial" w:cs="Arial"/>
                <w:sz w:val="20"/>
                <w:szCs w:val="20"/>
                <w:lang w:val="es-ES_tradnl"/>
              </w:rPr>
            </w:pPr>
            <w:r w:rsidRPr="00657BA6">
              <w:rPr>
                <w:rFonts w:ascii="Arial" w:hAnsi="Arial" w:cs="Arial"/>
                <w:sz w:val="20"/>
                <w:szCs w:val="20"/>
                <w:lang w:val="es-ES_tradnl"/>
              </w:rPr>
              <w:t xml:space="preserve">2 contactos dobles polarizados de 127 V </w:t>
            </w:r>
            <w:r w:rsidRPr="00657BA6">
              <w:rPr>
                <w:rFonts w:ascii="Arial" w:hAnsi="Arial" w:cs="Arial"/>
                <w:sz w:val="20"/>
                <w:szCs w:val="20"/>
                <w:u w:val="single"/>
                <w:lang w:val="es-ES_tradnl"/>
              </w:rPr>
              <w:t>+</w:t>
            </w:r>
            <w:r w:rsidRPr="00657BA6">
              <w:rPr>
                <w:rFonts w:ascii="Arial" w:hAnsi="Arial" w:cs="Arial"/>
                <w:sz w:val="20"/>
                <w:szCs w:val="20"/>
                <w:lang w:val="es-ES_tradnl"/>
              </w:rPr>
              <w:t xml:space="preserve"> 10%, los cuales soportan un máximo de 180 VA con energía no regulada y sin respaldo.</w:t>
            </w:r>
          </w:p>
        </w:tc>
      </w:tr>
      <w:tr w:rsidR="00244294" w:rsidRPr="00657BA6" w14:paraId="01DCF29C" w14:textId="77777777" w:rsidTr="006C794D">
        <w:trPr>
          <w:trHeight w:val="313"/>
          <w:jc w:val="center"/>
        </w:trPr>
        <w:tc>
          <w:tcPr>
            <w:tcW w:w="3111" w:type="dxa"/>
            <w:tcBorders>
              <w:top w:val="single" w:sz="4" w:space="0" w:color="auto"/>
              <w:bottom w:val="nil"/>
            </w:tcBorders>
          </w:tcPr>
          <w:p w14:paraId="6A222238" w14:textId="77777777" w:rsidR="00244294" w:rsidRPr="00657BA6" w:rsidRDefault="00244294" w:rsidP="009640AE">
            <w:pPr>
              <w:numPr>
                <w:ilvl w:val="0"/>
                <w:numId w:val="27"/>
              </w:numPr>
              <w:spacing w:after="0"/>
              <w:ind w:right="49"/>
              <w:rPr>
                <w:rFonts w:ascii="Arial" w:hAnsi="Arial" w:cs="Arial"/>
                <w:sz w:val="20"/>
                <w:szCs w:val="20"/>
                <w:lang w:val="es-ES_tradnl"/>
              </w:rPr>
            </w:pPr>
            <w:r w:rsidRPr="00657BA6">
              <w:rPr>
                <w:rFonts w:ascii="Arial" w:hAnsi="Arial" w:cs="Arial"/>
                <w:sz w:val="20"/>
                <w:szCs w:val="20"/>
                <w:lang w:val="es-ES_tradnl"/>
              </w:rPr>
              <w:t>Corriente Directa:</w:t>
            </w:r>
          </w:p>
        </w:tc>
        <w:tc>
          <w:tcPr>
            <w:tcW w:w="5386" w:type="dxa"/>
            <w:tcBorders>
              <w:top w:val="single" w:sz="4" w:space="0" w:color="auto"/>
              <w:bottom w:val="nil"/>
            </w:tcBorders>
          </w:tcPr>
          <w:p w14:paraId="3A87ABF7" w14:textId="77777777" w:rsidR="00244294" w:rsidRPr="00657BA6" w:rsidRDefault="00244294" w:rsidP="0014780A">
            <w:pPr>
              <w:spacing w:after="0"/>
              <w:ind w:right="49"/>
              <w:rPr>
                <w:rFonts w:ascii="Arial" w:hAnsi="Arial" w:cs="Arial"/>
                <w:sz w:val="20"/>
                <w:szCs w:val="20"/>
                <w:lang w:val="es-ES_tradnl"/>
              </w:rPr>
            </w:pPr>
            <w:r w:rsidRPr="00657BA6">
              <w:rPr>
                <w:rFonts w:ascii="Arial" w:hAnsi="Arial" w:cs="Arial"/>
                <w:sz w:val="20"/>
                <w:szCs w:val="20"/>
                <w:lang w:val="es-ES_tradnl"/>
              </w:rPr>
              <w:t xml:space="preserve"> - 48 VCD, +20%, -15%, 4 horas mínimo de respaldo.</w:t>
            </w:r>
          </w:p>
        </w:tc>
      </w:tr>
      <w:tr w:rsidR="00244294" w:rsidRPr="00657BA6" w14:paraId="5280A67C" w14:textId="77777777" w:rsidTr="006C794D">
        <w:trPr>
          <w:trHeight w:val="362"/>
          <w:jc w:val="center"/>
        </w:trPr>
        <w:tc>
          <w:tcPr>
            <w:tcW w:w="3111" w:type="dxa"/>
            <w:tcBorders>
              <w:top w:val="single" w:sz="6" w:space="0" w:color="auto"/>
              <w:bottom w:val="single" w:sz="4" w:space="0" w:color="auto"/>
            </w:tcBorders>
          </w:tcPr>
          <w:p w14:paraId="1453EFEA" w14:textId="77777777" w:rsidR="00244294" w:rsidRPr="00657BA6" w:rsidRDefault="00244294" w:rsidP="009640AE">
            <w:pPr>
              <w:numPr>
                <w:ilvl w:val="0"/>
                <w:numId w:val="27"/>
              </w:numPr>
              <w:spacing w:after="0"/>
              <w:ind w:right="49"/>
              <w:rPr>
                <w:rFonts w:ascii="Arial" w:hAnsi="Arial" w:cs="Arial"/>
                <w:sz w:val="20"/>
                <w:szCs w:val="20"/>
                <w:lang w:val="es-ES_tradnl"/>
              </w:rPr>
            </w:pPr>
            <w:r w:rsidRPr="00657BA6">
              <w:rPr>
                <w:rFonts w:ascii="Arial" w:hAnsi="Arial" w:cs="Arial"/>
                <w:sz w:val="20"/>
                <w:szCs w:val="20"/>
                <w:lang w:val="es-ES_tradnl"/>
              </w:rPr>
              <w:t>Planta de Emergencia:</w:t>
            </w:r>
          </w:p>
        </w:tc>
        <w:tc>
          <w:tcPr>
            <w:tcW w:w="5386" w:type="dxa"/>
            <w:tcBorders>
              <w:top w:val="single" w:sz="6" w:space="0" w:color="auto"/>
              <w:bottom w:val="single" w:sz="4" w:space="0" w:color="auto"/>
            </w:tcBorders>
          </w:tcPr>
          <w:p w14:paraId="7327A20C" w14:textId="77777777" w:rsidR="00244294" w:rsidRPr="00657BA6" w:rsidRDefault="00244294" w:rsidP="0014780A">
            <w:pPr>
              <w:spacing w:after="0"/>
              <w:ind w:right="49"/>
              <w:rPr>
                <w:rFonts w:ascii="Arial" w:hAnsi="Arial" w:cs="Arial"/>
                <w:sz w:val="20"/>
                <w:szCs w:val="20"/>
                <w:lang w:val="es-ES_tradnl"/>
              </w:rPr>
            </w:pPr>
            <w:r w:rsidRPr="00657BA6">
              <w:rPr>
                <w:rFonts w:ascii="Arial" w:hAnsi="Arial" w:cs="Arial"/>
                <w:sz w:val="20"/>
                <w:szCs w:val="20"/>
                <w:lang w:val="es-ES_tradnl"/>
              </w:rPr>
              <w:t>Como respaldo de la instalación.</w:t>
            </w:r>
          </w:p>
        </w:tc>
      </w:tr>
      <w:tr w:rsidR="00244294" w:rsidRPr="00657BA6" w14:paraId="56C17FFD" w14:textId="77777777" w:rsidTr="006C794D">
        <w:trPr>
          <w:trHeight w:val="558"/>
          <w:jc w:val="center"/>
        </w:trPr>
        <w:tc>
          <w:tcPr>
            <w:tcW w:w="3111" w:type="dxa"/>
            <w:tcBorders>
              <w:top w:val="single" w:sz="4" w:space="0" w:color="auto"/>
              <w:left w:val="single" w:sz="4" w:space="0" w:color="auto"/>
              <w:bottom w:val="single" w:sz="4" w:space="0" w:color="auto"/>
              <w:right w:val="nil"/>
            </w:tcBorders>
          </w:tcPr>
          <w:p w14:paraId="2C7FD444" w14:textId="77777777" w:rsidR="00244294" w:rsidRPr="00657BA6" w:rsidRDefault="00244294" w:rsidP="009640AE">
            <w:pPr>
              <w:numPr>
                <w:ilvl w:val="0"/>
                <w:numId w:val="27"/>
              </w:numPr>
              <w:spacing w:after="0"/>
              <w:ind w:right="49"/>
              <w:rPr>
                <w:rFonts w:ascii="Arial" w:hAnsi="Arial" w:cs="Arial"/>
                <w:sz w:val="20"/>
                <w:szCs w:val="20"/>
                <w:lang w:val="es-ES_tradnl"/>
              </w:rPr>
            </w:pPr>
            <w:r w:rsidRPr="00657BA6">
              <w:rPr>
                <w:rFonts w:ascii="Arial" w:hAnsi="Arial" w:cs="Arial"/>
                <w:sz w:val="20"/>
                <w:szCs w:val="20"/>
                <w:lang w:val="es-ES_tradnl"/>
              </w:rPr>
              <w:t>Acabado del piso:</w:t>
            </w:r>
          </w:p>
        </w:tc>
        <w:tc>
          <w:tcPr>
            <w:tcW w:w="5386" w:type="dxa"/>
            <w:tcBorders>
              <w:top w:val="single" w:sz="4" w:space="0" w:color="auto"/>
              <w:left w:val="nil"/>
              <w:bottom w:val="single" w:sz="4" w:space="0" w:color="auto"/>
              <w:right w:val="single" w:sz="4" w:space="0" w:color="auto"/>
            </w:tcBorders>
          </w:tcPr>
          <w:p w14:paraId="3EFEF9CA" w14:textId="77777777" w:rsidR="00244294" w:rsidRPr="00657BA6" w:rsidRDefault="00244294" w:rsidP="0014780A">
            <w:pPr>
              <w:spacing w:after="0"/>
              <w:ind w:right="49"/>
              <w:jc w:val="both"/>
              <w:rPr>
                <w:rFonts w:ascii="Arial" w:hAnsi="Arial" w:cs="Arial"/>
                <w:sz w:val="20"/>
                <w:szCs w:val="20"/>
                <w:lang w:val="es-ES_tradnl"/>
              </w:rPr>
            </w:pPr>
            <w:r w:rsidRPr="00657BA6">
              <w:rPr>
                <w:rFonts w:ascii="Arial" w:hAnsi="Arial" w:cs="Arial"/>
                <w:sz w:val="20"/>
                <w:szCs w:val="20"/>
                <w:lang w:val="es-ES_tradnl"/>
              </w:rPr>
              <w:t>Firme de concreto 400 Kg/m</w:t>
            </w:r>
            <w:r w:rsidRPr="00657BA6">
              <w:rPr>
                <w:rFonts w:ascii="Arial" w:hAnsi="Arial" w:cs="Arial"/>
                <w:sz w:val="20"/>
                <w:szCs w:val="20"/>
                <w:vertAlign w:val="superscript"/>
                <w:lang w:val="es-ES_tradnl"/>
              </w:rPr>
              <w:t>2</w:t>
            </w:r>
            <w:r w:rsidRPr="00657BA6">
              <w:rPr>
                <w:rFonts w:ascii="Arial" w:hAnsi="Arial" w:cs="Arial"/>
                <w:sz w:val="20"/>
                <w:szCs w:val="20"/>
                <w:lang w:val="es-ES_tradnl"/>
              </w:rPr>
              <w:t>, sin ondulaciones, máximo 3 mm de desnivel, cubierto con loseta vinílica.</w:t>
            </w:r>
          </w:p>
        </w:tc>
      </w:tr>
      <w:tr w:rsidR="00244294" w:rsidRPr="00657BA6" w14:paraId="204011F8" w14:textId="77777777" w:rsidTr="006C794D">
        <w:trPr>
          <w:trHeight w:val="555"/>
          <w:jc w:val="center"/>
        </w:trPr>
        <w:tc>
          <w:tcPr>
            <w:tcW w:w="3111" w:type="dxa"/>
            <w:tcBorders>
              <w:top w:val="single" w:sz="4" w:space="0" w:color="auto"/>
              <w:bottom w:val="single" w:sz="6" w:space="0" w:color="auto"/>
            </w:tcBorders>
          </w:tcPr>
          <w:p w14:paraId="5858034C" w14:textId="77777777" w:rsidR="00244294" w:rsidRPr="00657BA6" w:rsidRDefault="00244294" w:rsidP="009640AE">
            <w:pPr>
              <w:numPr>
                <w:ilvl w:val="0"/>
                <w:numId w:val="27"/>
              </w:numPr>
              <w:spacing w:after="0"/>
              <w:ind w:right="49"/>
              <w:rPr>
                <w:rFonts w:ascii="Arial" w:hAnsi="Arial" w:cs="Arial"/>
                <w:sz w:val="20"/>
                <w:szCs w:val="20"/>
                <w:lang w:val="es-ES_tradnl"/>
              </w:rPr>
            </w:pPr>
            <w:r w:rsidRPr="00657BA6">
              <w:rPr>
                <w:rFonts w:ascii="Arial" w:hAnsi="Arial" w:cs="Arial"/>
                <w:sz w:val="20"/>
                <w:szCs w:val="20"/>
                <w:lang w:val="es-ES_tradnl"/>
              </w:rPr>
              <w:t>Altura libre:</w:t>
            </w:r>
          </w:p>
        </w:tc>
        <w:tc>
          <w:tcPr>
            <w:tcW w:w="5386" w:type="dxa"/>
            <w:tcBorders>
              <w:top w:val="single" w:sz="4" w:space="0" w:color="auto"/>
              <w:bottom w:val="single" w:sz="6" w:space="0" w:color="auto"/>
            </w:tcBorders>
          </w:tcPr>
          <w:p w14:paraId="43835426" w14:textId="77777777" w:rsidR="00244294" w:rsidRPr="00657BA6" w:rsidRDefault="00244294" w:rsidP="0014780A">
            <w:pPr>
              <w:spacing w:after="0"/>
              <w:ind w:right="49"/>
              <w:jc w:val="both"/>
              <w:rPr>
                <w:rFonts w:ascii="Arial" w:hAnsi="Arial" w:cs="Arial"/>
                <w:sz w:val="20"/>
                <w:szCs w:val="20"/>
                <w:lang w:val="es-ES_tradnl"/>
              </w:rPr>
            </w:pPr>
            <w:r w:rsidRPr="00657BA6">
              <w:rPr>
                <w:rFonts w:ascii="Arial" w:hAnsi="Arial" w:cs="Arial"/>
                <w:sz w:val="20"/>
                <w:szCs w:val="20"/>
                <w:lang w:val="es-ES_tradnl"/>
              </w:rPr>
              <w:t>3.0 m para instalación de equipo. Los ductos y escalerillas estarán dentro de esta altura (2.40 m)</w:t>
            </w:r>
          </w:p>
        </w:tc>
      </w:tr>
      <w:tr w:rsidR="00244294" w:rsidRPr="00657BA6" w14:paraId="0AE3281D" w14:textId="77777777" w:rsidTr="006C794D">
        <w:trPr>
          <w:trHeight w:val="827"/>
          <w:jc w:val="center"/>
        </w:trPr>
        <w:tc>
          <w:tcPr>
            <w:tcW w:w="3111" w:type="dxa"/>
            <w:tcBorders>
              <w:top w:val="single" w:sz="6" w:space="0" w:color="auto"/>
              <w:bottom w:val="single" w:sz="4" w:space="0" w:color="auto"/>
            </w:tcBorders>
          </w:tcPr>
          <w:p w14:paraId="54FE1A9A" w14:textId="77777777" w:rsidR="00244294" w:rsidRPr="00657BA6" w:rsidRDefault="00244294" w:rsidP="009640AE">
            <w:pPr>
              <w:numPr>
                <w:ilvl w:val="0"/>
                <w:numId w:val="27"/>
              </w:numPr>
              <w:spacing w:after="0"/>
              <w:ind w:right="49"/>
              <w:rPr>
                <w:rFonts w:ascii="Arial" w:hAnsi="Arial" w:cs="Arial"/>
                <w:sz w:val="20"/>
                <w:szCs w:val="20"/>
                <w:lang w:val="es-ES_tradnl"/>
              </w:rPr>
            </w:pPr>
            <w:r w:rsidRPr="00657BA6">
              <w:rPr>
                <w:rFonts w:ascii="Arial" w:hAnsi="Arial" w:cs="Arial"/>
                <w:sz w:val="20"/>
                <w:szCs w:val="20"/>
                <w:lang w:val="es-ES_tradnl"/>
              </w:rPr>
              <w:t>Sistema de tierras:</w:t>
            </w:r>
          </w:p>
        </w:tc>
        <w:tc>
          <w:tcPr>
            <w:tcW w:w="5386" w:type="dxa"/>
            <w:tcBorders>
              <w:top w:val="single" w:sz="6" w:space="0" w:color="auto"/>
              <w:bottom w:val="single" w:sz="4" w:space="0" w:color="auto"/>
            </w:tcBorders>
          </w:tcPr>
          <w:p w14:paraId="334F7909" w14:textId="77777777" w:rsidR="00244294" w:rsidRPr="00657BA6" w:rsidRDefault="00244294" w:rsidP="0014780A">
            <w:pPr>
              <w:spacing w:after="0"/>
              <w:ind w:right="49"/>
              <w:jc w:val="both"/>
              <w:rPr>
                <w:rFonts w:ascii="Arial" w:hAnsi="Arial" w:cs="Arial"/>
                <w:sz w:val="20"/>
                <w:szCs w:val="20"/>
                <w:lang w:val="es-ES_tradnl"/>
              </w:rPr>
            </w:pPr>
            <w:r w:rsidRPr="00657BA6">
              <w:rPr>
                <w:rFonts w:ascii="Arial" w:hAnsi="Arial" w:cs="Arial"/>
                <w:sz w:val="20"/>
                <w:szCs w:val="20"/>
                <w:lang w:val="es-ES_tradnl"/>
              </w:rPr>
              <w:t>Conductor principal de puesta a tierra calibre 1/0 AWG con derivación a cada local con cable calibre 6 AWG con un valor máximo de 5 ohms.</w:t>
            </w:r>
          </w:p>
        </w:tc>
      </w:tr>
      <w:tr w:rsidR="00244294" w:rsidRPr="00657BA6" w14:paraId="6306E425" w14:textId="77777777" w:rsidTr="006C794D">
        <w:trPr>
          <w:trHeight w:val="390"/>
          <w:jc w:val="center"/>
        </w:trPr>
        <w:tc>
          <w:tcPr>
            <w:tcW w:w="3111" w:type="dxa"/>
            <w:tcBorders>
              <w:top w:val="single" w:sz="4" w:space="0" w:color="auto"/>
              <w:bottom w:val="single" w:sz="4" w:space="0" w:color="auto"/>
            </w:tcBorders>
          </w:tcPr>
          <w:p w14:paraId="47868BD8" w14:textId="77777777" w:rsidR="00244294" w:rsidRPr="00657BA6" w:rsidRDefault="00244294" w:rsidP="009640AE">
            <w:pPr>
              <w:numPr>
                <w:ilvl w:val="0"/>
                <w:numId w:val="27"/>
              </w:numPr>
              <w:spacing w:after="0"/>
              <w:ind w:right="49"/>
              <w:rPr>
                <w:rFonts w:ascii="Arial" w:hAnsi="Arial" w:cs="Arial"/>
                <w:sz w:val="20"/>
                <w:szCs w:val="20"/>
                <w:lang w:val="es-ES_tradnl"/>
              </w:rPr>
            </w:pPr>
            <w:r w:rsidRPr="00657BA6">
              <w:rPr>
                <w:rFonts w:ascii="Arial" w:hAnsi="Arial" w:cs="Arial"/>
                <w:sz w:val="20"/>
                <w:szCs w:val="20"/>
                <w:lang w:val="es-ES_tradnl"/>
              </w:rPr>
              <w:t>Temperatura:</w:t>
            </w:r>
          </w:p>
        </w:tc>
        <w:tc>
          <w:tcPr>
            <w:tcW w:w="5386" w:type="dxa"/>
            <w:tcBorders>
              <w:top w:val="single" w:sz="4" w:space="0" w:color="auto"/>
              <w:bottom w:val="single" w:sz="4" w:space="0" w:color="auto"/>
            </w:tcBorders>
          </w:tcPr>
          <w:p w14:paraId="0FAFB6DD" w14:textId="77777777" w:rsidR="00244294" w:rsidRPr="00657BA6" w:rsidRDefault="00244294" w:rsidP="0014780A">
            <w:pPr>
              <w:spacing w:after="0"/>
              <w:ind w:right="49"/>
              <w:jc w:val="both"/>
              <w:rPr>
                <w:rFonts w:ascii="Arial" w:hAnsi="Arial" w:cs="Arial"/>
                <w:sz w:val="20"/>
                <w:szCs w:val="20"/>
                <w:lang w:val="es-ES_tradnl"/>
              </w:rPr>
            </w:pPr>
            <w:r w:rsidRPr="00657BA6">
              <w:rPr>
                <w:rFonts w:ascii="Arial" w:hAnsi="Arial" w:cs="Arial"/>
                <w:sz w:val="20"/>
                <w:szCs w:val="20"/>
                <w:lang w:val="es-ES_tradnl"/>
              </w:rPr>
              <w:t>Entre 10 y 25 °C y una humedad relativa entre 40% a 60%.</w:t>
            </w:r>
          </w:p>
        </w:tc>
      </w:tr>
      <w:tr w:rsidR="00244294" w:rsidRPr="00657BA6" w14:paraId="7324B2FA" w14:textId="77777777" w:rsidTr="006C794D">
        <w:trPr>
          <w:trHeight w:val="838"/>
          <w:jc w:val="center"/>
        </w:trPr>
        <w:tc>
          <w:tcPr>
            <w:tcW w:w="3111" w:type="dxa"/>
            <w:tcBorders>
              <w:top w:val="single" w:sz="4" w:space="0" w:color="auto"/>
              <w:bottom w:val="single" w:sz="6" w:space="0" w:color="auto"/>
            </w:tcBorders>
          </w:tcPr>
          <w:p w14:paraId="1A6B518F" w14:textId="77777777" w:rsidR="00244294" w:rsidRPr="00657BA6" w:rsidRDefault="00244294" w:rsidP="009640AE">
            <w:pPr>
              <w:numPr>
                <w:ilvl w:val="0"/>
                <w:numId w:val="27"/>
              </w:numPr>
              <w:spacing w:after="0"/>
              <w:ind w:right="49"/>
              <w:rPr>
                <w:rFonts w:ascii="Arial" w:hAnsi="Arial" w:cs="Arial"/>
                <w:sz w:val="20"/>
                <w:szCs w:val="20"/>
                <w:lang w:val="es-ES_tradnl"/>
              </w:rPr>
            </w:pPr>
            <w:r w:rsidRPr="00657BA6">
              <w:rPr>
                <w:rFonts w:ascii="Arial" w:hAnsi="Arial" w:cs="Arial"/>
                <w:sz w:val="20"/>
                <w:szCs w:val="20"/>
                <w:lang w:val="es-ES_tradnl"/>
              </w:rPr>
              <w:t>Iluminación:</w:t>
            </w:r>
          </w:p>
        </w:tc>
        <w:tc>
          <w:tcPr>
            <w:tcW w:w="5386" w:type="dxa"/>
            <w:tcBorders>
              <w:top w:val="single" w:sz="4" w:space="0" w:color="auto"/>
              <w:bottom w:val="single" w:sz="6" w:space="0" w:color="auto"/>
            </w:tcBorders>
          </w:tcPr>
          <w:p w14:paraId="2224A6EE" w14:textId="77777777" w:rsidR="00244294" w:rsidRPr="00657BA6" w:rsidRDefault="00244294" w:rsidP="0014780A">
            <w:pPr>
              <w:spacing w:after="0"/>
              <w:ind w:right="49"/>
              <w:jc w:val="both"/>
              <w:rPr>
                <w:rFonts w:ascii="Arial" w:hAnsi="Arial" w:cs="Arial"/>
                <w:sz w:val="20"/>
                <w:szCs w:val="20"/>
                <w:lang w:val="es-ES_tradnl"/>
              </w:rPr>
            </w:pPr>
            <w:r w:rsidRPr="00657BA6">
              <w:rPr>
                <w:rFonts w:ascii="Arial" w:hAnsi="Arial" w:cs="Arial"/>
                <w:sz w:val="20"/>
                <w:szCs w:val="20"/>
                <w:lang w:val="es-ES_tradnl"/>
              </w:rPr>
              <w:t>Iluminación general de sala de 300 luxes medidos en forma vertical bajo la lámpara en la parte anterior y posterior del equipo instalado.</w:t>
            </w:r>
          </w:p>
        </w:tc>
      </w:tr>
      <w:tr w:rsidR="00244294" w:rsidRPr="00657BA6" w14:paraId="690D8A58" w14:textId="77777777" w:rsidTr="006C794D">
        <w:trPr>
          <w:trHeight w:val="856"/>
          <w:jc w:val="center"/>
        </w:trPr>
        <w:tc>
          <w:tcPr>
            <w:tcW w:w="3111" w:type="dxa"/>
            <w:tcBorders>
              <w:top w:val="single" w:sz="6" w:space="0" w:color="auto"/>
              <w:bottom w:val="nil"/>
            </w:tcBorders>
          </w:tcPr>
          <w:p w14:paraId="61F31BB3" w14:textId="77777777" w:rsidR="00244294" w:rsidRPr="00657BA6" w:rsidRDefault="00244294" w:rsidP="009640AE">
            <w:pPr>
              <w:keepNext/>
              <w:keepLines/>
              <w:numPr>
                <w:ilvl w:val="0"/>
                <w:numId w:val="28"/>
              </w:numPr>
              <w:spacing w:after="0"/>
              <w:ind w:right="49"/>
              <w:rPr>
                <w:rFonts w:ascii="Arial" w:hAnsi="Arial" w:cs="Arial"/>
                <w:sz w:val="20"/>
                <w:szCs w:val="20"/>
                <w:lang w:val="es-ES_tradnl"/>
              </w:rPr>
            </w:pPr>
            <w:r w:rsidRPr="00657BA6">
              <w:rPr>
                <w:rFonts w:ascii="Arial" w:hAnsi="Arial" w:cs="Arial"/>
                <w:sz w:val="20"/>
                <w:szCs w:val="20"/>
                <w:lang w:val="es-ES_tradnl"/>
              </w:rPr>
              <w:t>Herraje y/o ductería:</w:t>
            </w:r>
          </w:p>
        </w:tc>
        <w:tc>
          <w:tcPr>
            <w:tcW w:w="5386" w:type="dxa"/>
            <w:tcBorders>
              <w:top w:val="single" w:sz="6" w:space="0" w:color="auto"/>
              <w:bottom w:val="nil"/>
            </w:tcBorders>
          </w:tcPr>
          <w:p w14:paraId="467A9E09" w14:textId="77777777" w:rsidR="00244294" w:rsidRPr="00657BA6" w:rsidRDefault="00244294" w:rsidP="0014780A">
            <w:pPr>
              <w:keepNext/>
              <w:keepLines/>
              <w:spacing w:after="0"/>
              <w:ind w:right="49"/>
              <w:jc w:val="both"/>
              <w:rPr>
                <w:rFonts w:ascii="Arial" w:hAnsi="Arial" w:cs="Arial"/>
                <w:sz w:val="20"/>
                <w:szCs w:val="20"/>
                <w:lang w:val="es-ES_tradnl"/>
              </w:rPr>
            </w:pPr>
            <w:r w:rsidRPr="00657BA6">
              <w:rPr>
                <w:rFonts w:ascii="Arial" w:hAnsi="Arial" w:cs="Arial"/>
                <w:sz w:val="20"/>
                <w:szCs w:val="20"/>
                <w:lang w:val="es-ES_tradnl"/>
              </w:rPr>
              <w:t>Provisto por el propietario del edificio, para conectar el punto de llegada al edificio con las áreas asignadas y con otras coubicaciones en caso de requerirse.</w:t>
            </w:r>
          </w:p>
        </w:tc>
      </w:tr>
      <w:tr w:rsidR="00244294" w:rsidRPr="00657BA6" w14:paraId="7B696133" w14:textId="77777777" w:rsidTr="006C794D">
        <w:trPr>
          <w:trHeight w:val="271"/>
          <w:jc w:val="center"/>
        </w:trPr>
        <w:tc>
          <w:tcPr>
            <w:tcW w:w="3111" w:type="dxa"/>
            <w:tcBorders>
              <w:top w:val="single" w:sz="6" w:space="0" w:color="auto"/>
              <w:bottom w:val="nil"/>
            </w:tcBorders>
          </w:tcPr>
          <w:p w14:paraId="47815252" w14:textId="77777777" w:rsidR="00244294" w:rsidRPr="00657BA6" w:rsidRDefault="00244294" w:rsidP="009640AE">
            <w:pPr>
              <w:numPr>
                <w:ilvl w:val="0"/>
                <w:numId w:val="29"/>
              </w:numPr>
              <w:spacing w:after="0"/>
              <w:ind w:right="49"/>
              <w:rPr>
                <w:rFonts w:ascii="Arial" w:hAnsi="Arial" w:cs="Arial"/>
                <w:sz w:val="20"/>
                <w:szCs w:val="20"/>
                <w:lang w:val="es-ES_tradnl"/>
              </w:rPr>
            </w:pPr>
            <w:r w:rsidRPr="00657BA6">
              <w:rPr>
                <w:rFonts w:ascii="Arial" w:hAnsi="Arial" w:cs="Arial"/>
                <w:sz w:val="20"/>
                <w:szCs w:val="20"/>
                <w:lang w:val="es-ES_tradnl"/>
              </w:rPr>
              <w:t xml:space="preserve"> Acceso por mantenimiento:</w:t>
            </w:r>
          </w:p>
        </w:tc>
        <w:tc>
          <w:tcPr>
            <w:tcW w:w="5386" w:type="dxa"/>
            <w:tcBorders>
              <w:top w:val="single" w:sz="6" w:space="0" w:color="auto"/>
              <w:bottom w:val="nil"/>
            </w:tcBorders>
          </w:tcPr>
          <w:p w14:paraId="473FF366" w14:textId="77777777" w:rsidR="00244294" w:rsidRPr="00657BA6" w:rsidRDefault="00244294" w:rsidP="0014780A">
            <w:pPr>
              <w:spacing w:after="0"/>
              <w:ind w:right="49"/>
              <w:jc w:val="both"/>
              <w:rPr>
                <w:rFonts w:ascii="Arial" w:hAnsi="Arial" w:cs="Arial"/>
                <w:sz w:val="20"/>
                <w:szCs w:val="20"/>
                <w:lang w:val="es-ES_tradnl"/>
              </w:rPr>
            </w:pPr>
            <w:r w:rsidRPr="00657BA6">
              <w:rPr>
                <w:rFonts w:ascii="Arial" w:hAnsi="Arial" w:cs="Arial"/>
                <w:sz w:val="20"/>
                <w:szCs w:val="20"/>
                <w:lang w:val="es-ES_tradnl"/>
              </w:rPr>
              <w:t>Avisar previamente al centro de control de la Red.</w:t>
            </w:r>
          </w:p>
        </w:tc>
      </w:tr>
      <w:tr w:rsidR="00244294" w:rsidRPr="00657BA6" w14:paraId="1F279D4C" w14:textId="77777777" w:rsidTr="006C794D">
        <w:trPr>
          <w:trHeight w:val="348"/>
          <w:jc w:val="center"/>
        </w:trPr>
        <w:tc>
          <w:tcPr>
            <w:tcW w:w="3111" w:type="dxa"/>
            <w:tcBorders>
              <w:top w:val="single" w:sz="6" w:space="0" w:color="auto"/>
              <w:bottom w:val="single" w:sz="6" w:space="0" w:color="auto"/>
            </w:tcBorders>
          </w:tcPr>
          <w:p w14:paraId="14C2D6DE" w14:textId="77777777" w:rsidR="00244294" w:rsidRPr="00657BA6" w:rsidRDefault="00244294" w:rsidP="009640AE">
            <w:pPr>
              <w:numPr>
                <w:ilvl w:val="0"/>
                <w:numId w:val="29"/>
              </w:numPr>
              <w:spacing w:after="0"/>
              <w:ind w:right="49"/>
              <w:rPr>
                <w:rFonts w:ascii="Arial" w:hAnsi="Arial" w:cs="Arial"/>
                <w:sz w:val="20"/>
                <w:szCs w:val="20"/>
                <w:lang w:val="es-ES_tradnl"/>
              </w:rPr>
            </w:pPr>
            <w:r w:rsidRPr="00657BA6">
              <w:rPr>
                <w:rFonts w:ascii="Arial" w:hAnsi="Arial" w:cs="Arial"/>
                <w:sz w:val="20"/>
                <w:szCs w:val="20"/>
                <w:lang w:val="es-ES_tradnl"/>
              </w:rPr>
              <w:t>Fijación del Equipo:</w:t>
            </w:r>
          </w:p>
        </w:tc>
        <w:tc>
          <w:tcPr>
            <w:tcW w:w="5386" w:type="dxa"/>
            <w:tcBorders>
              <w:top w:val="single" w:sz="6" w:space="0" w:color="auto"/>
              <w:bottom w:val="single" w:sz="6" w:space="0" w:color="auto"/>
            </w:tcBorders>
          </w:tcPr>
          <w:p w14:paraId="11B9C783" w14:textId="77777777" w:rsidR="00244294" w:rsidRPr="00657BA6" w:rsidRDefault="00244294" w:rsidP="0014780A">
            <w:pPr>
              <w:spacing w:after="0"/>
              <w:ind w:right="49"/>
              <w:rPr>
                <w:rFonts w:ascii="Arial" w:hAnsi="Arial" w:cs="Arial"/>
                <w:sz w:val="20"/>
                <w:szCs w:val="20"/>
                <w:lang w:val="es-ES_tradnl"/>
              </w:rPr>
            </w:pPr>
            <w:r w:rsidRPr="00657BA6">
              <w:rPr>
                <w:rFonts w:ascii="Arial" w:hAnsi="Arial" w:cs="Arial"/>
                <w:sz w:val="20"/>
                <w:szCs w:val="20"/>
                <w:lang w:val="es-ES_tradnl"/>
              </w:rPr>
              <w:t xml:space="preserve">Anclaje a piso y/o techo de común acuerdo. </w:t>
            </w:r>
          </w:p>
        </w:tc>
      </w:tr>
      <w:tr w:rsidR="00244294" w:rsidRPr="00657BA6" w14:paraId="26FC0C6F" w14:textId="77777777" w:rsidTr="006C794D">
        <w:trPr>
          <w:trHeight w:val="479"/>
          <w:jc w:val="center"/>
        </w:trPr>
        <w:tc>
          <w:tcPr>
            <w:tcW w:w="3111" w:type="dxa"/>
            <w:tcBorders>
              <w:top w:val="nil"/>
              <w:bottom w:val="single" w:sz="6" w:space="0" w:color="auto"/>
            </w:tcBorders>
          </w:tcPr>
          <w:p w14:paraId="4DCA22A2" w14:textId="77777777" w:rsidR="00244294" w:rsidRPr="00657BA6" w:rsidRDefault="00244294" w:rsidP="009640AE">
            <w:pPr>
              <w:numPr>
                <w:ilvl w:val="0"/>
                <w:numId w:val="29"/>
              </w:numPr>
              <w:spacing w:after="0"/>
              <w:ind w:right="49"/>
              <w:rPr>
                <w:rFonts w:ascii="Arial" w:hAnsi="Arial" w:cs="Arial"/>
                <w:sz w:val="20"/>
                <w:szCs w:val="20"/>
                <w:lang w:val="es-ES_tradnl"/>
              </w:rPr>
            </w:pPr>
            <w:r w:rsidRPr="00657BA6">
              <w:rPr>
                <w:rFonts w:ascii="Arial" w:hAnsi="Arial" w:cs="Arial"/>
                <w:sz w:val="20"/>
                <w:szCs w:val="20"/>
                <w:lang w:val="es-ES_tradnl"/>
              </w:rPr>
              <w:t>Identificación de Alimentación:</w:t>
            </w:r>
          </w:p>
        </w:tc>
        <w:tc>
          <w:tcPr>
            <w:tcW w:w="5386" w:type="dxa"/>
            <w:tcBorders>
              <w:top w:val="nil"/>
              <w:bottom w:val="single" w:sz="6" w:space="0" w:color="auto"/>
            </w:tcBorders>
          </w:tcPr>
          <w:p w14:paraId="5E9F7944" w14:textId="77777777" w:rsidR="00244294" w:rsidRPr="00657BA6" w:rsidRDefault="00244294" w:rsidP="0014780A">
            <w:pPr>
              <w:spacing w:after="0"/>
              <w:ind w:right="49"/>
              <w:jc w:val="both"/>
              <w:rPr>
                <w:rFonts w:ascii="Arial" w:hAnsi="Arial" w:cs="Arial"/>
                <w:sz w:val="20"/>
                <w:szCs w:val="20"/>
                <w:lang w:val="es-ES_tradnl"/>
              </w:rPr>
            </w:pPr>
            <w:r w:rsidRPr="00657BA6">
              <w:rPr>
                <w:rFonts w:ascii="Arial" w:hAnsi="Arial" w:cs="Arial"/>
                <w:sz w:val="20"/>
                <w:szCs w:val="20"/>
                <w:lang w:val="es-ES_tradnl"/>
              </w:rPr>
              <w:t>Identificación de los interruptores termomagnéticos asignados a los Concesionarios en el tablero general de CA.</w:t>
            </w:r>
          </w:p>
        </w:tc>
      </w:tr>
    </w:tbl>
    <w:p w14:paraId="2E75B2ED" w14:textId="77777777" w:rsidR="00244294" w:rsidRPr="00657BA6" w:rsidRDefault="00244294" w:rsidP="0014780A">
      <w:pPr>
        <w:spacing w:after="0"/>
        <w:ind w:right="49"/>
        <w:jc w:val="both"/>
        <w:rPr>
          <w:rFonts w:ascii="Arial" w:hAnsi="Arial" w:cs="Arial"/>
        </w:rPr>
      </w:pPr>
    </w:p>
    <w:p w14:paraId="745DF534" w14:textId="77777777" w:rsidR="00244294" w:rsidRPr="00657BA6" w:rsidRDefault="00244294" w:rsidP="0014780A">
      <w:pPr>
        <w:spacing w:after="0"/>
        <w:ind w:right="49"/>
        <w:jc w:val="both"/>
        <w:rPr>
          <w:rFonts w:ascii="Arial" w:hAnsi="Arial" w:cs="Arial"/>
        </w:rPr>
      </w:pPr>
      <w:r w:rsidRPr="00657BA6">
        <w:rPr>
          <w:rFonts w:ascii="Arial" w:hAnsi="Arial" w:cs="Arial"/>
        </w:rPr>
        <w:t xml:space="preserve">En caso de que dos concesionarios tengan presencia en un mismo punto de interconexión y ambos manifiesten su intención en llevar a cabo la interconexión cruzada, es decir la interconexión directa entre sí, ésta se realizará por medio de las estructuras de soporte y enlaces </w:t>
      </w:r>
      <w:r w:rsidRPr="00657BA6">
        <w:rPr>
          <w:rFonts w:ascii="Arial" w:hAnsi="Arial" w:cs="Arial"/>
        </w:rPr>
        <w:lastRenderedPageBreak/>
        <w:t>de transmisión que deberán ser proporcionados por el concesionario propietario de las instalaciones en que se encuentren coubicados los concesionarios interesados.</w:t>
      </w:r>
    </w:p>
    <w:p w14:paraId="5394B431" w14:textId="77777777" w:rsidR="00244294" w:rsidRPr="00657BA6" w:rsidRDefault="00244294" w:rsidP="0014780A">
      <w:pPr>
        <w:spacing w:after="0"/>
        <w:ind w:right="49"/>
        <w:jc w:val="both"/>
        <w:rPr>
          <w:rFonts w:ascii="Arial" w:hAnsi="Arial" w:cs="Arial"/>
        </w:rPr>
      </w:pPr>
    </w:p>
    <w:p w14:paraId="0AD18FA6" w14:textId="77777777" w:rsidR="00244294" w:rsidRPr="00657BA6" w:rsidRDefault="00244294" w:rsidP="0014780A">
      <w:pPr>
        <w:spacing w:after="0"/>
        <w:ind w:right="51"/>
        <w:jc w:val="both"/>
        <w:rPr>
          <w:rFonts w:ascii="Arial" w:hAnsi="Arial" w:cs="Arial"/>
        </w:rPr>
      </w:pPr>
      <w:r w:rsidRPr="00657BA6">
        <w:rPr>
          <w:rFonts w:ascii="Arial" w:hAnsi="Arial" w:cs="Arial"/>
        </w:rPr>
        <w:t>Los servicios auxiliares conexos que se requieran para permitir a los Usuarios de un Concesionario comunicarse con los de otro Concesionario como los servicios de emergencia, servicios de cobro revertido, así como el Servicio de Facturación y Cobranza indispensable para el cobro correcto de los servicios proporcionados, se sujetarán a las condiciones que permitan la eficiente prestación del servicio de común acuerdo entre el Concesionario Solicitado y el Concesionario Solicitante, y en su caso, de lo que determine el Instituto al resolver un desacuerdo de interconexión sobre dichos servicios.</w:t>
      </w:r>
    </w:p>
    <w:p w14:paraId="4D4117FB" w14:textId="7C7819EA" w:rsidR="00ED26F7" w:rsidRPr="00657BA6" w:rsidRDefault="00ED26F7" w:rsidP="0014780A">
      <w:pPr>
        <w:spacing w:after="0"/>
        <w:ind w:right="51"/>
        <w:jc w:val="both"/>
        <w:rPr>
          <w:rFonts w:ascii="Arial" w:hAnsi="Arial" w:cs="Arial"/>
        </w:rPr>
      </w:pPr>
    </w:p>
    <w:p w14:paraId="5541D35F" w14:textId="601C9DA2" w:rsidR="00135650" w:rsidRPr="00657BA6" w:rsidRDefault="00135650" w:rsidP="0014780A">
      <w:pPr>
        <w:pStyle w:val="ANOTACION"/>
        <w:spacing w:before="0" w:after="0" w:line="276" w:lineRule="auto"/>
        <w:ind w:right="49"/>
        <w:rPr>
          <w:rFonts w:ascii="Arial" w:hAnsi="Arial" w:cs="Arial"/>
          <w:sz w:val="22"/>
          <w:szCs w:val="22"/>
        </w:rPr>
      </w:pPr>
      <w:r w:rsidRPr="00657BA6">
        <w:rPr>
          <w:rFonts w:ascii="Arial" w:hAnsi="Arial" w:cs="Arial"/>
          <w:sz w:val="22"/>
          <w:szCs w:val="22"/>
        </w:rPr>
        <w:t>C</w:t>
      </w:r>
      <w:r w:rsidR="00921DC8" w:rsidRPr="00657BA6">
        <w:rPr>
          <w:rFonts w:ascii="Arial" w:hAnsi="Arial" w:cs="Arial"/>
          <w:sz w:val="22"/>
          <w:szCs w:val="22"/>
        </w:rPr>
        <w:t>apítulo</w:t>
      </w:r>
      <w:r w:rsidRPr="00657BA6">
        <w:rPr>
          <w:rFonts w:ascii="Arial" w:hAnsi="Arial" w:cs="Arial"/>
          <w:sz w:val="22"/>
          <w:szCs w:val="22"/>
        </w:rPr>
        <w:t xml:space="preserve"> IV</w:t>
      </w:r>
    </w:p>
    <w:p w14:paraId="5956BF86" w14:textId="77777777" w:rsidR="00135650" w:rsidRPr="00657BA6" w:rsidRDefault="00135650" w:rsidP="0014780A">
      <w:pPr>
        <w:spacing w:after="0"/>
        <w:ind w:right="51"/>
        <w:jc w:val="center"/>
        <w:rPr>
          <w:rFonts w:ascii="Arial" w:hAnsi="Arial" w:cs="Arial"/>
        </w:rPr>
      </w:pPr>
      <w:r w:rsidRPr="00657BA6">
        <w:rPr>
          <w:rFonts w:ascii="Arial" w:hAnsi="Arial" w:cs="Arial"/>
          <w:b/>
        </w:rPr>
        <w:t>Tarifas de los Servicios de Interconexión</w:t>
      </w:r>
      <w:r w:rsidR="001F3A85" w:rsidRPr="00657BA6">
        <w:rPr>
          <w:rFonts w:ascii="Arial" w:hAnsi="Arial" w:cs="Arial"/>
          <w:b/>
        </w:rPr>
        <w:t xml:space="preserve"> Conmutados</w:t>
      </w:r>
    </w:p>
    <w:p w14:paraId="6FFE539D" w14:textId="77777777" w:rsidR="00135650" w:rsidRPr="00657BA6" w:rsidRDefault="00135650" w:rsidP="0014780A">
      <w:pPr>
        <w:spacing w:after="0"/>
        <w:ind w:right="49"/>
        <w:jc w:val="both"/>
        <w:rPr>
          <w:rFonts w:ascii="Arial" w:hAnsi="Arial" w:cs="Arial"/>
          <w:b/>
        </w:rPr>
      </w:pPr>
    </w:p>
    <w:p w14:paraId="6E94B32B" w14:textId="54EAB22C" w:rsidR="0053174C" w:rsidRPr="00657BA6" w:rsidRDefault="00E712EF" w:rsidP="0014780A">
      <w:pPr>
        <w:spacing w:after="0"/>
        <w:jc w:val="both"/>
        <w:rPr>
          <w:rFonts w:ascii="Arial" w:hAnsi="Arial" w:cs="Arial"/>
        </w:rPr>
      </w:pPr>
      <w:r w:rsidRPr="00657BA6">
        <w:rPr>
          <w:rFonts w:ascii="Arial" w:hAnsi="Arial" w:cs="Arial"/>
          <w:b/>
          <w:lang w:val="es-ES"/>
        </w:rPr>
        <w:t xml:space="preserve">Décima. – Modelo de costos multianual. </w:t>
      </w:r>
      <w:r w:rsidR="0053174C" w:rsidRPr="00657BA6">
        <w:rPr>
          <w:rFonts w:ascii="Arial" w:hAnsi="Arial" w:cs="Arial"/>
        </w:rPr>
        <w:t>El modelo de costos utilizado para la determinación de las tarifas de los servicios de interconexión modela una red de telecomunicaciones que a partir de un año específico comienza a prestar diversos servicios</w:t>
      </w:r>
      <w:r w:rsidR="00C1024F" w:rsidRPr="00657BA6">
        <w:rPr>
          <w:rFonts w:ascii="Arial" w:hAnsi="Arial" w:cs="Arial"/>
        </w:rPr>
        <w:t>,</w:t>
      </w:r>
      <w:r w:rsidR="0053174C" w:rsidRPr="00657BA6">
        <w:rPr>
          <w:rFonts w:ascii="Arial" w:hAnsi="Arial" w:cs="Arial"/>
        </w:rPr>
        <w:t xml:space="preserve"> entre ellos los de interconexión a través de tecnologías eficientes disponibles de tal forma que, las características y cantidad de equipo considerado en el diseño permite soportar el volumen de tráfico cursado y</w:t>
      </w:r>
      <w:r w:rsidR="00C1024F" w:rsidRPr="00657BA6">
        <w:rPr>
          <w:rFonts w:ascii="Arial" w:hAnsi="Arial" w:cs="Arial"/>
        </w:rPr>
        <w:t>,</w:t>
      </w:r>
      <w:r w:rsidR="0053174C" w:rsidRPr="00657BA6">
        <w:rPr>
          <w:rFonts w:ascii="Arial" w:hAnsi="Arial" w:cs="Arial"/>
        </w:rPr>
        <w:t xml:space="preserve"> dado que dicha red presta servicios por un amplio periodo de tiempo también se consideran para su despliegue los pronósticos de demanda de los servicios. Asimismo, se consideran las características de un concesionario hipotético como la fecha de entrada al mercado y su participación de mercado, entre otros factores.</w:t>
      </w:r>
    </w:p>
    <w:p w14:paraId="59AA6D49" w14:textId="77777777" w:rsidR="0053174C" w:rsidRPr="00657BA6" w:rsidRDefault="0053174C" w:rsidP="0014780A">
      <w:pPr>
        <w:spacing w:after="0"/>
        <w:jc w:val="both"/>
        <w:rPr>
          <w:rFonts w:ascii="Arial" w:hAnsi="Arial" w:cs="Arial"/>
        </w:rPr>
      </w:pPr>
    </w:p>
    <w:p w14:paraId="7A2F5C50" w14:textId="645E0518" w:rsidR="0053174C" w:rsidRPr="00657BA6" w:rsidRDefault="0053174C" w:rsidP="0014780A">
      <w:pPr>
        <w:spacing w:after="0"/>
        <w:jc w:val="both"/>
        <w:rPr>
          <w:rFonts w:ascii="Arial" w:hAnsi="Arial" w:cs="Arial"/>
        </w:rPr>
      </w:pPr>
      <w:r w:rsidRPr="00657BA6">
        <w:rPr>
          <w:rFonts w:ascii="Arial" w:hAnsi="Arial" w:cs="Arial"/>
        </w:rPr>
        <w:t>Para la determinación de los costos por la prestación de los servicios de interconexión además del despliegue de red se consideran parámetros económicos como los costos de los insumos, la inflación, el tipo de cambio</w:t>
      </w:r>
      <w:r w:rsidR="00BE73D5">
        <w:rPr>
          <w:rFonts w:ascii="Arial" w:hAnsi="Arial" w:cs="Arial"/>
        </w:rPr>
        <w:t xml:space="preserve"> del año relevante</w:t>
      </w:r>
      <w:r w:rsidRPr="00657BA6">
        <w:rPr>
          <w:rFonts w:ascii="Arial" w:hAnsi="Arial" w:cs="Arial"/>
        </w:rPr>
        <w:t xml:space="preserve">, el Costo de Capital Promedio Ponderado (en lo sucesivo, “CCPP”), entre otros. Es así </w:t>
      </w:r>
      <w:r w:rsidR="00BE73D5" w:rsidRPr="00657BA6">
        <w:rPr>
          <w:rFonts w:ascii="Arial" w:hAnsi="Arial" w:cs="Arial"/>
        </w:rPr>
        <w:t>como</w:t>
      </w:r>
      <w:r w:rsidRPr="00657BA6">
        <w:rPr>
          <w:rFonts w:ascii="Arial" w:hAnsi="Arial" w:cs="Arial"/>
        </w:rPr>
        <w:t>, dado el despliegue de red y los costos derivados del mismo, se determinan los costos por la prestación de los servicios de interconexión en el periodo regulatorio correspondiente, en este caso 202</w:t>
      </w:r>
      <w:r w:rsidR="00ED0E99">
        <w:rPr>
          <w:rFonts w:ascii="Arial" w:hAnsi="Arial" w:cs="Arial"/>
        </w:rPr>
        <w:t>4</w:t>
      </w:r>
      <w:r w:rsidRPr="00657BA6">
        <w:rPr>
          <w:rFonts w:ascii="Arial" w:hAnsi="Arial" w:cs="Arial"/>
        </w:rPr>
        <w:t xml:space="preserve"> a 202</w:t>
      </w:r>
      <w:r w:rsidR="00ED0E99">
        <w:rPr>
          <w:rFonts w:ascii="Arial" w:hAnsi="Arial" w:cs="Arial"/>
        </w:rPr>
        <w:t>6</w:t>
      </w:r>
      <w:r w:rsidRPr="00657BA6">
        <w:rPr>
          <w:rFonts w:ascii="Arial" w:hAnsi="Arial" w:cs="Arial"/>
        </w:rPr>
        <w:t>.</w:t>
      </w:r>
    </w:p>
    <w:p w14:paraId="05F55E41" w14:textId="77777777" w:rsidR="0053174C" w:rsidRPr="00657BA6" w:rsidRDefault="0053174C" w:rsidP="0014780A">
      <w:pPr>
        <w:spacing w:after="0"/>
        <w:jc w:val="both"/>
        <w:rPr>
          <w:rFonts w:ascii="Arial" w:hAnsi="Arial" w:cs="Arial"/>
        </w:rPr>
      </w:pPr>
    </w:p>
    <w:p w14:paraId="312D9A63" w14:textId="77777777" w:rsidR="0053174C" w:rsidRPr="00657BA6" w:rsidRDefault="0053174C" w:rsidP="0014780A">
      <w:pPr>
        <w:spacing w:after="0"/>
        <w:jc w:val="both"/>
        <w:rPr>
          <w:rFonts w:ascii="Arial" w:hAnsi="Arial" w:cs="Arial"/>
        </w:rPr>
      </w:pPr>
      <w:r w:rsidRPr="00657BA6">
        <w:rPr>
          <w:rFonts w:ascii="Arial" w:hAnsi="Arial" w:cs="Arial"/>
        </w:rPr>
        <w:t>En este sentido, los modelos de costos permiten determinar las tarifas de los servicios de interconexión para diversos años y su difusión permite a los concesionarios elaborar planes financieros a futuro considerando las tarifas resultado del modelo de costos.</w:t>
      </w:r>
    </w:p>
    <w:p w14:paraId="3D889956" w14:textId="77777777" w:rsidR="0053174C" w:rsidRPr="00657BA6" w:rsidRDefault="0053174C" w:rsidP="0014780A">
      <w:pPr>
        <w:spacing w:after="0"/>
        <w:jc w:val="both"/>
        <w:rPr>
          <w:rFonts w:ascii="Arial" w:hAnsi="Arial" w:cs="Arial"/>
          <w:sz w:val="18"/>
          <w:szCs w:val="18"/>
        </w:rPr>
      </w:pPr>
    </w:p>
    <w:p w14:paraId="3C6F5C1F" w14:textId="77777777" w:rsidR="0053174C" w:rsidRPr="00657BA6" w:rsidRDefault="0053174C" w:rsidP="0014780A">
      <w:pPr>
        <w:spacing w:after="0"/>
        <w:jc w:val="both"/>
        <w:rPr>
          <w:rFonts w:ascii="Arial" w:eastAsia="Times New Roman" w:hAnsi="Arial" w:cs="Arial"/>
        </w:rPr>
      </w:pPr>
      <w:r w:rsidRPr="00657BA6">
        <w:rPr>
          <w:rFonts w:ascii="Arial" w:eastAsia="Times New Roman" w:hAnsi="Arial" w:cs="Arial"/>
        </w:rPr>
        <w:t>Por otra parte, el Capítulo III de la Metodología de Costos, referente a la información de los modelos, establece lo siguiente:</w:t>
      </w:r>
    </w:p>
    <w:p w14:paraId="172DEFF9" w14:textId="77777777" w:rsidR="0053174C" w:rsidRPr="00657BA6" w:rsidRDefault="0053174C" w:rsidP="0014780A">
      <w:pPr>
        <w:spacing w:after="0"/>
        <w:jc w:val="both"/>
        <w:rPr>
          <w:rFonts w:ascii="Arial" w:eastAsia="Times New Roman" w:hAnsi="Arial" w:cs="Arial"/>
          <w:sz w:val="18"/>
          <w:szCs w:val="18"/>
        </w:rPr>
      </w:pPr>
    </w:p>
    <w:p w14:paraId="585BEDB6" w14:textId="77777777" w:rsidR="0053174C" w:rsidRPr="00657BA6" w:rsidRDefault="0053174C" w:rsidP="0014780A">
      <w:pPr>
        <w:spacing w:after="0"/>
        <w:ind w:left="567" w:right="848"/>
        <w:jc w:val="center"/>
        <w:rPr>
          <w:rFonts w:ascii="Arial" w:eastAsia="Times New Roman" w:hAnsi="Arial" w:cs="Arial"/>
          <w:i/>
          <w:sz w:val="20"/>
          <w:szCs w:val="20"/>
        </w:rPr>
      </w:pPr>
      <w:r w:rsidRPr="00657BA6">
        <w:rPr>
          <w:rFonts w:ascii="Arial" w:eastAsia="Times New Roman" w:hAnsi="Arial" w:cs="Arial"/>
          <w:i/>
          <w:sz w:val="20"/>
          <w:szCs w:val="20"/>
        </w:rPr>
        <w:t>CAPÍTULO III</w:t>
      </w:r>
    </w:p>
    <w:p w14:paraId="59BB392E" w14:textId="77777777" w:rsidR="0053174C" w:rsidRPr="00657BA6" w:rsidRDefault="0053174C" w:rsidP="0014780A">
      <w:pPr>
        <w:spacing w:after="0"/>
        <w:ind w:left="567" w:right="848"/>
        <w:jc w:val="center"/>
        <w:rPr>
          <w:rFonts w:ascii="Arial" w:eastAsia="Times New Roman" w:hAnsi="Arial" w:cs="Arial"/>
          <w:i/>
          <w:sz w:val="20"/>
          <w:szCs w:val="20"/>
        </w:rPr>
      </w:pPr>
      <w:r w:rsidRPr="00657BA6">
        <w:rPr>
          <w:rFonts w:ascii="Arial" w:eastAsia="Times New Roman" w:hAnsi="Arial" w:cs="Arial"/>
          <w:i/>
          <w:sz w:val="20"/>
          <w:szCs w:val="20"/>
        </w:rPr>
        <w:t>De la Información del Modelo de Costos</w:t>
      </w:r>
    </w:p>
    <w:p w14:paraId="7E8D8049" w14:textId="77777777" w:rsidR="0053174C" w:rsidRPr="00657BA6" w:rsidRDefault="0053174C" w:rsidP="0014780A">
      <w:pPr>
        <w:spacing w:after="0"/>
        <w:ind w:left="567" w:right="848"/>
        <w:jc w:val="both"/>
        <w:rPr>
          <w:rFonts w:ascii="Arial" w:eastAsia="Times New Roman" w:hAnsi="Arial" w:cs="Arial"/>
          <w:i/>
          <w:sz w:val="20"/>
          <w:szCs w:val="20"/>
        </w:rPr>
      </w:pPr>
    </w:p>
    <w:p w14:paraId="157F63E9" w14:textId="77777777" w:rsidR="0053174C" w:rsidRPr="00657BA6" w:rsidRDefault="0053174C" w:rsidP="0014780A">
      <w:pPr>
        <w:spacing w:after="0"/>
        <w:ind w:left="567" w:right="848"/>
        <w:jc w:val="both"/>
        <w:rPr>
          <w:rFonts w:ascii="Arial" w:eastAsia="Times New Roman" w:hAnsi="Arial" w:cs="Arial"/>
          <w:i/>
          <w:sz w:val="20"/>
          <w:szCs w:val="20"/>
        </w:rPr>
      </w:pPr>
      <w:r w:rsidRPr="00657BA6">
        <w:rPr>
          <w:rFonts w:ascii="Arial" w:eastAsia="Times New Roman" w:hAnsi="Arial" w:cs="Arial"/>
          <w:i/>
          <w:sz w:val="20"/>
          <w:szCs w:val="20"/>
        </w:rPr>
        <w:lastRenderedPageBreak/>
        <w:t>DÉCIMO TERCERO-. Los resultados del Modelo de Costos del Servicio de Interconexión relevante tendrán vigencia del 1o. de enero al 31 de diciembre de cada año. El Instituto Federal de Telecomunicaciones podrá actualizar anualmente la información de la demanda de los servicios, los precios de los insumos empleados, el Costo de Capital Promedio Ponderado y el tipo de cambio utilizados en el Modelo de Costos del Servicio de Interconexión relevante para garantizar que refleje las condiciones del mercado.</w:t>
      </w:r>
    </w:p>
    <w:p w14:paraId="5328B0FE" w14:textId="77777777" w:rsidR="0053174C" w:rsidRPr="00657BA6" w:rsidRDefault="0053174C" w:rsidP="0014780A">
      <w:pPr>
        <w:spacing w:after="0"/>
        <w:ind w:left="567" w:right="848"/>
        <w:jc w:val="both"/>
        <w:rPr>
          <w:rFonts w:ascii="Arial" w:eastAsia="Times New Roman" w:hAnsi="Arial" w:cs="Arial"/>
          <w:i/>
          <w:sz w:val="20"/>
          <w:szCs w:val="20"/>
        </w:rPr>
      </w:pPr>
    </w:p>
    <w:p w14:paraId="5B1AE7D3" w14:textId="77777777" w:rsidR="0053174C" w:rsidRPr="00657BA6" w:rsidDel="0061244E" w:rsidRDefault="0053174C" w:rsidP="0014780A">
      <w:pPr>
        <w:spacing w:after="0"/>
        <w:ind w:left="567" w:right="848"/>
        <w:jc w:val="both"/>
        <w:rPr>
          <w:rFonts w:ascii="Arial" w:eastAsia="Times New Roman" w:hAnsi="Arial" w:cs="Arial"/>
          <w:b/>
          <w:i/>
          <w:sz w:val="20"/>
          <w:szCs w:val="20"/>
        </w:rPr>
      </w:pPr>
      <w:r w:rsidRPr="00657BA6">
        <w:rPr>
          <w:rFonts w:ascii="Arial" w:eastAsia="Times New Roman" w:hAnsi="Arial" w:cs="Arial"/>
          <w:i/>
          <w:sz w:val="20"/>
          <w:szCs w:val="20"/>
        </w:rPr>
        <w:t xml:space="preserve">Sin perjuicio de lo anterior, </w:t>
      </w:r>
      <w:r w:rsidRPr="00657BA6">
        <w:rPr>
          <w:rFonts w:ascii="Arial" w:eastAsia="Times New Roman" w:hAnsi="Arial" w:cs="Arial"/>
          <w:b/>
          <w:i/>
          <w:sz w:val="20"/>
          <w:szCs w:val="20"/>
        </w:rPr>
        <w:t>el Instituto Federal de Telecomunicaciones</w:t>
      </w:r>
      <w:r w:rsidRPr="00657BA6">
        <w:rPr>
          <w:rFonts w:ascii="Arial" w:eastAsia="Times New Roman" w:hAnsi="Arial" w:cs="Arial"/>
          <w:i/>
          <w:sz w:val="20"/>
          <w:szCs w:val="20"/>
        </w:rPr>
        <w:t xml:space="preserve">, a petición de las partes que sometan a consideración de ésta el desacuerdo de interconexión de que se trate, </w:t>
      </w:r>
      <w:r w:rsidRPr="00657BA6">
        <w:rPr>
          <w:rFonts w:ascii="Arial" w:eastAsia="Times New Roman" w:hAnsi="Arial" w:cs="Arial"/>
          <w:b/>
          <w:i/>
          <w:sz w:val="20"/>
          <w:szCs w:val="20"/>
        </w:rPr>
        <w:t>podrá resolver tarifas para los Servicios de Interconexión para periodos multianuales.</w:t>
      </w:r>
    </w:p>
    <w:p w14:paraId="323C648B" w14:textId="77777777" w:rsidR="0053174C" w:rsidRPr="00657BA6" w:rsidRDefault="0053174C" w:rsidP="0014780A">
      <w:pPr>
        <w:spacing w:after="0"/>
        <w:ind w:left="567" w:right="848"/>
        <w:jc w:val="both"/>
        <w:rPr>
          <w:rFonts w:ascii="Arial" w:eastAsia="Times New Roman" w:hAnsi="Arial" w:cs="Arial"/>
          <w:i/>
          <w:sz w:val="20"/>
          <w:szCs w:val="20"/>
        </w:rPr>
      </w:pPr>
    </w:p>
    <w:p w14:paraId="51E9E8A2" w14:textId="77777777" w:rsidR="0053174C" w:rsidRPr="00657BA6" w:rsidRDefault="0053174C" w:rsidP="0014780A">
      <w:pPr>
        <w:spacing w:after="0"/>
        <w:ind w:left="567" w:right="848"/>
        <w:jc w:val="both"/>
        <w:rPr>
          <w:rFonts w:ascii="Arial" w:eastAsia="Times New Roman" w:hAnsi="Arial" w:cs="Arial"/>
          <w:i/>
          <w:sz w:val="20"/>
          <w:szCs w:val="20"/>
        </w:rPr>
      </w:pPr>
      <w:r w:rsidRPr="00657BA6">
        <w:rPr>
          <w:rFonts w:ascii="Arial" w:eastAsia="Times New Roman" w:hAnsi="Arial" w:cs="Arial"/>
          <w:i/>
          <w:sz w:val="20"/>
          <w:szCs w:val="20"/>
        </w:rPr>
        <w:t>Los Modelos de Costos de los Servicios de Interconexión se inscribirán en el Registro Público de Concesiones.</w:t>
      </w:r>
    </w:p>
    <w:p w14:paraId="158E7B47" w14:textId="77777777" w:rsidR="0053174C" w:rsidRPr="00657BA6" w:rsidRDefault="0053174C" w:rsidP="0014780A">
      <w:pPr>
        <w:spacing w:after="0"/>
        <w:ind w:left="567" w:right="848"/>
        <w:jc w:val="right"/>
        <w:rPr>
          <w:rFonts w:ascii="Arial" w:eastAsia="Times New Roman" w:hAnsi="Arial" w:cs="Arial"/>
        </w:rPr>
      </w:pPr>
    </w:p>
    <w:p w14:paraId="161BFFE7" w14:textId="77777777" w:rsidR="0053174C" w:rsidRPr="00657BA6" w:rsidRDefault="0053174C" w:rsidP="0014780A">
      <w:pPr>
        <w:spacing w:after="0"/>
        <w:ind w:left="567" w:right="848"/>
        <w:jc w:val="right"/>
        <w:rPr>
          <w:rFonts w:ascii="Arial" w:eastAsia="Times New Roman" w:hAnsi="Arial" w:cs="Arial"/>
          <w:sz w:val="18"/>
          <w:szCs w:val="18"/>
        </w:rPr>
      </w:pPr>
      <w:r w:rsidRPr="00657BA6">
        <w:rPr>
          <w:rFonts w:ascii="Arial" w:eastAsia="Times New Roman" w:hAnsi="Arial" w:cs="Arial"/>
          <w:sz w:val="18"/>
          <w:szCs w:val="18"/>
        </w:rPr>
        <w:t>(Énfasis añadido)</w:t>
      </w:r>
    </w:p>
    <w:p w14:paraId="4B3501BB" w14:textId="77777777" w:rsidR="0053174C" w:rsidRPr="00657BA6" w:rsidRDefault="0053174C" w:rsidP="0014780A">
      <w:pPr>
        <w:spacing w:after="0"/>
        <w:jc w:val="both"/>
        <w:rPr>
          <w:rFonts w:ascii="Arial" w:eastAsia="Times New Roman" w:hAnsi="Arial" w:cs="Arial"/>
          <w:sz w:val="18"/>
          <w:szCs w:val="18"/>
        </w:rPr>
      </w:pPr>
    </w:p>
    <w:p w14:paraId="4B904158" w14:textId="77777777" w:rsidR="0053174C" w:rsidRPr="00657BA6" w:rsidRDefault="0053174C" w:rsidP="0014780A">
      <w:pPr>
        <w:spacing w:after="0"/>
        <w:jc w:val="both"/>
        <w:rPr>
          <w:rFonts w:ascii="Arial" w:eastAsia="Times New Roman" w:hAnsi="Arial" w:cs="Arial"/>
        </w:rPr>
      </w:pPr>
      <w:r w:rsidRPr="00657BA6">
        <w:rPr>
          <w:rFonts w:ascii="Arial" w:eastAsia="Times New Roman" w:hAnsi="Arial" w:cs="Arial"/>
        </w:rPr>
        <w:t>Conforme lo anterior, a petición de los concesionarios mediante la solicitud de los diversos desacuerdos de interconexión, este Instituto se encuentra facultado para resolver las tarifas de los servicios de interconexión para periodos multianuales.</w:t>
      </w:r>
    </w:p>
    <w:p w14:paraId="7827A1B6" w14:textId="77777777" w:rsidR="0053174C" w:rsidRPr="00657BA6" w:rsidRDefault="0053174C" w:rsidP="0014780A">
      <w:pPr>
        <w:spacing w:after="0"/>
        <w:jc w:val="both"/>
        <w:rPr>
          <w:rFonts w:ascii="Arial" w:eastAsia="Times New Roman" w:hAnsi="Arial" w:cs="Arial"/>
        </w:rPr>
      </w:pPr>
    </w:p>
    <w:p w14:paraId="2373ADAB" w14:textId="06067C83" w:rsidR="0053174C" w:rsidRPr="00657BA6" w:rsidRDefault="0053174C" w:rsidP="0014780A">
      <w:pPr>
        <w:spacing w:after="0"/>
        <w:jc w:val="both"/>
        <w:rPr>
          <w:rFonts w:ascii="Arial" w:hAnsi="Arial" w:cs="Arial"/>
        </w:rPr>
      </w:pPr>
      <w:r w:rsidRPr="00657BA6">
        <w:rPr>
          <w:rFonts w:ascii="Arial" w:hAnsi="Arial" w:cs="Arial"/>
        </w:rPr>
        <w:t>Lo anterior dado que, el modelo de costos desarrollado permite calcular las tarifas del período 202</w:t>
      </w:r>
      <w:r w:rsidR="00ED0E99">
        <w:rPr>
          <w:rFonts w:ascii="Arial" w:hAnsi="Arial" w:cs="Arial"/>
        </w:rPr>
        <w:t>4</w:t>
      </w:r>
      <w:r w:rsidRPr="00657BA6">
        <w:rPr>
          <w:rFonts w:ascii="Arial" w:hAnsi="Arial" w:cs="Arial"/>
        </w:rPr>
        <w:t>-202</w:t>
      </w:r>
      <w:r w:rsidR="00ED0E99">
        <w:rPr>
          <w:rFonts w:ascii="Arial" w:hAnsi="Arial" w:cs="Arial"/>
        </w:rPr>
        <w:t>6</w:t>
      </w:r>
      <w:r w:rsidRPr="00657BA6">
        <w:rPr>
          <w:rFonts w:ascii="Arial" w:hAnsi="Arial" w:cs="Arial"/>
        </w:rPr>
        <w:t>, independientemente que, en términos del Lineamiento antes citado, el resultado para 202</w:t>
      </w:r>
      <w:r w:rsidR="00ED0E99">
        <w:rPr>
          <w:rFonts w:ascii="Arial" w:hAnsi="Arial" w:cs="Arial"/>
        </w:rPr>
        <w:t>4</w:t>
      </w:r>
      <w:r w:rsidRPr="00657BA6">
        <w:rPr>
          <w:rFonts w:ascii="Arial" w:hAnsi="Arial" w:cs="Arial"/>
        </w:rPr>
        <w:t xml:space="preserve"> es considerado para la determinación de tarifas realizada por virtud del presente Acuerdo. </w:t>
      </w:r>
    </w:p>
    <w:p w14:paraId="27DA37FD" w14:textId="77777777" w:rsidR="0053174C" w:rsidRPr="00657BA6" w:rsidRDefault="0053174C" w:rsidP="0014780A">
      <w:pPr>
        <w:spacing w:after="0"/>
        <w:jc w:val="both"/>
        <w:rPr>
          <w:rFonts w:ascii="Arial" w:hAnsi="Arial" w:cs="Arial"/>
        </w:rPr>
      </w:pPr>
    </w:p>
    <w:p w14:paraId="79A2A798" w14:textId="4990D792" w:rsidR="0053174C" w:rsidRPr="00657BA6" w:rsidRDefault="0053174C" w:rsidP="0014780A">
      <w:pPr>
        <w:spacing w:after="0"/>
        <w:jc w:val="both"/>
        <w:rPr>
          <w:rFonts w:ascii="Arial" w:hAnsi="Arial" w:cs="Arial"/>
        </w:rPr>
      </w:pPr>
      <w:r w:rsidRPr="00657BA6">
        <w:rPr>
          <w:rFonts w:ascii="Arial" w:hAnsi="Arial" w:cs="Arial"/>
        </w:rPr>
        <w:t>Por otro lado, la actualización anual de la información de demanda de los servicios, los precios de los insumos empleados</w:t>
      </w:r>
      <w:r w:rsidR="00BE73D5">
        <w:rPr>
          <w:rFonts w:ascii="Arial" w:hAnsi="Arial" w:cs="Arial"/>
        </w:rPr>
        <w:t xml:space="preserve"> y</w:t>
      </w:r>
      <w:r w:rsidRPr="00657BA6">
        <w:rPr>
          <w:rFonts w:ascii="Arial" w:hAnsi="Arial" w:cs="Arial"/>
        </w:rPr>
        <w:t xml:space="preserve"> el </w:t>
      </w:r>
      <w:r w:rsidR="00BE73D5">
        <w:rPr>
          <w:rFonts w:ascii="Arial" w:hAnsi="Arial" w:cs="Arial"/>
        </w:rPr>
        <w:t>CCPP</w:t>
      </w:r>
      <w:r w:rsidR="00287588">
        <w:rPr>
          <w:rFonts w:ascii="Arial" w:hAnsi="Arial" w:cs="Arial"/>
        </w:rPr>
        <w:t xml:space="preserve"> se ha llevado a cabo </w:t>
      </w:r>
      <w:r w:rsidR="00597191">
        <w:rPr>
          <w:rFonts w:ascii="Arial" w:hAnsi="Arial" w:cs="Arial"/>
        </w:rPr>
        <w:t xml:space="preserve">con la mejor información disponible al momento de </w:t>
      </w:r>
      <w:r w:rsidR="002864DF">
        <w:rPr>
          <w:rFonts w:ascii="Arial" w:hAnsi="Arial" w:cs="Arial"/>
        </w:rPr>
        <w:t>desarrollar los modelo</w:t>
      </w:r>
      <w:r w:rsidR="004D774F">
        <w:rPr>
          <w:rFonts w:ascii="Arial" w:hAnsi="Arial" w:cs="Arial"/>
        </w:rPr>
        <w:t>s</w:t>
      </w:r>
      <w:r w:rsidRPr="00657BA6">
        <w:rPr>
          <w:rFonts w:ascii="Arial" w:hAnsi="Arial" w:cs="Arial"/>
        </w:rPr>
        <w:t xml:space="preserve">, </w:t>
      </w:r>
      <w:r w:rsidR="00EC711E">
        <w:rPr>
          <w:rFonts w:ascii="Arial" w:hAnsi="Arial" w:cs="Arial"/>
        </w:rPr>
        <w:t>y en su caso</w:t>
      </w:r>
      <w:r w:rsidR="00FD7B3B">
        <w:rPr>
          <w:rFonts w:ascii="Arial" w:hAnsi="Arial" w:cs="Arial"/>
        </w:rPr>
        <w:t xml:space="preserve"> y al ser un modelo prospectivo</w:t>
      </w:r>
      <w:r w:rsidR="00EC711E">
        <w:rPr>
          <w:rFonts w:ascii="Arial" w:hAnsi="Arial" w:cs="Arial"/>
        </w:rPr>
        <w:t>, también se han usado</w:t>
      </w:r>
      <w:r w:rsidRPr="00657BA6">
        <w:rPr>
          <w:rFonts w:ascii="Arial" w:hAnsi="Arial" w:cs="Arial"/>
        </w:rPr>
        <w:t xml:space="preserve"> pronóstico</w:t>
      </w:r>
      <w:r w:rsidR="00FD7B3B">
        <w:rPr>
          <w:rFonts w:ascii="Arial" w:hAnsi="Arial" w:cs="Arial"/>
        </w:rPr>
        <w:t>s</w:t>
      </w:r>
      <w:r w:rsidRPr="00657BA6">
        <w:rPr>
          <w:rFonts w:ascii="Arial" w:hAnsi="Arial" w:cs="Arial"/>
        </w:rPr>
        <w:t xml:space="preserve"> basado en el comportamiento observado en años anteriores para establecer los valores futuros. De esta forma, por lo que hace a la demanda de los servicios considerada en el modelo de costos, la misma ha sido determinada con base en el comportamiento de tráfico observado en años previos, esto es, de la misma forma que los prestadores de servicios realizan sus pronósticos de demanda y con base en ellos planifican el incremento de la capacidad de su red.  </w:t>
      </w:r>
    </w:p>
    <w:p w14:paraId="70046562" w14:textId="77777777" w:rsidR="0053174C" w:rsidRPr="00657BA6" w:rsidRDefault="0053174C" w:rsidP="0014780A">
      <w:pPr>
        <w:shd w:val="clear" w:color="auto" w:fill="FFFFFF"/>
        <w:spacing w:after="0"/>
        <w:rPr>
          <w:rFonts w:ascii="Arial" w:eastAsia="Times New Roman" w:hAnsi="Arial" w:cs="Arial"/>
          <w:lang w:eastAsia="es-MX"/>
        </w:rPr>
      </w:pPr>
    </w:p>
    <w:p w14:paraId="73B2417B" w14:textId="66AB8D72" w:rsidR="0053174C" w:rsidRPr="00657BA6" w:rsidRDefault="0053174C" w:rsidP="0014780A">
      <w:pPr>
        <w:spacing w:after="0"/>
        <w:jc w:val="both"/>
        <w:rPr>
          <w:rFonts w:ascii="Arial" w:hAnsi="Arial" w:cs="Arial"/>
        </w:rPr>
      </w:pPr>
      <w:r w:rsidRPr="00657BA6">
        <w:rPr>
          <w:rFonts w:ascii="Arial" w:hAnsi="Arial" w:cs="Arial"/>
          <w:shd w:val="clear" w:color="auto" w:fill="FFFFFF"/>
        </w:rPr>
        <w:t>Por lo que hace a los precios de los insumos empleados en el modelo, estos están determinados a precios reales de 20</w:t>
      </w:r>
      <w:r w:rsidR="00FB2DCC">
        <w:rPr>
          <w:rFonts w:ascii="Arial" w:hAnsi="Arial" w:cs="Arial"/>
          <w:shd w:val="clear" w:color="auto" w:fill="FFFFFF"/>
        </w:rPr>
        <w:t>22</w:t>
      </w:r>
      <w:r w:rsidRPr="00657BA6">
        <w:rPr>
          <w:rFonts w:ascii="Arial" w:hAnsi="Arial" w:cs="Arial"/>
          <w:shd w:val="clear" w:color="auto" w:fill="FFFFFF"/>
        </w:rPr>
        <w:t xml:space="preserve"> y el modelo incluye una proyección sobre la tendencia que se esperaría tuvieran los costos reales de los elementos de red desplegados, la cual refleja razonablemente la evolución tecnológica.</w:t>
      </w:r>
      <w:r w:rsidRPr="00657BA6" w:rsidDel="002C4CEC">
        <w:rPr>
          <w:rFonts w:ascii="Arial" w:hAnsi="Arial" w:cs="Arial"/>
        </w:rPr>
        <w:t xml:space="preserve"> </w:t>
      </w:r>
    </w:p>
    <w:p w14:paraId="188706A5" w14:textId="77777777" w:rsidR="0053174C" w:rsidRPr="00657BA6" w:rsidRDefault="0053174C" w:rsidP="0014780A">
      <w:pPr>
        <w:spacing w:after="0"/>
        <w:jc w:val="both"/>
        <w:rPr>
          <w:rFonts w:ascii="Arial" w:hAnsi="Arial" w:cs="Arial"/>
        </w:rPr>
      </w:pPr>
    </w:p>
    <w:p w14:paraId="0F169E45" w14:textId="6068E9AA" w:rsidR="0053174C" w:rsidRPr="007417C1" w:rsidRDefault="0053174C" w:rsidP="0014780A">
      <w:pPr>
        <w:spacing w:after="0"/>
        <w:jc w:val="both"/>
        <w:rPr>
          <w:rFonts w:ascii="Arial" w:hAnsi="Arial" w:cs="Arial"/>
          <w:shd w:val="clear" w:color="auto" w:fill="FFFFFF"/>
        </w:rPr>
      </w:pPr>
      <w:r w:rsidRPr="007417C1">
        <w:rPr>
          <w:rFonts w:ascii="Arial" w:hAnsi="Arial" w:cs="Arial"/>
          <w:shd w:val="clear" w:color="auto" w:fill="FFFFFF"/>
        </w:rPr>
        <w:t>Asimismo, en el modelo de costos 202</w:t>
      </w:r>
      <w:r w:rsidR="00FB2DCC" w:rsidRPr="007417C1">
        <w:rPr>
          <w:rFonts w:ascii="Arial" w:hAnsi="Arial" w:cs="Arial"/>
          <w:shd w:val="clear" w:color="auto" w:fill="FFFFFF"/>
        </w:rPr>
        <w:t>4</w:t>
      </w:r>
      <w:r w:rsidRPr="007417C1">
        <w:rPr>
          <w:rFonts w:ascii="Arial" w:hAnsi="Arial" w:cs="Arial"/>
          <w:shd w:val="clear" w:color="auto" w:fill="FFFFFF"/>
        </w:rPr>
        <w:t>-202</w:t>
      </w:r>
      <w:r w:rsidR="00FB2DCC" w:rsidRPr="007417C1">
        <w:rPr>
          <w:rFonts w:ascii="Arial" w:hAnsi="Arial" w:cs="Arial"/>
          <w:shd w:val="clear" w:color="auto" w:fill="FFFFFF"/>
        </w:rPr>
        <w:t>6</w:t>
      </w:r>
      <w:r w:rsidRPr="007417C1">
        <w:rPr>
          <w:rFonts w:ascii="Arial" w:hAnsi="Arial" w:cs="Arial"/>
          <w:shd w:val="clear" w:color="auto" w:fill="FFFFFF"/>
        </w:rPr>
        <w:t xml:space="preserve"> se utilizan pronósticos de tasas de inflación anual para </w:t>
      </w:r>
      <w:r w:rsidR="0077093C" w:rsidRPr="007417C1">
        <w:rPr>
          <w:rFonts w:ascii="Arial" w:hAnsi="Arial" w:cs="Arial"/>
          <w:shd w:val="clear" w:color="auto" w:fill="FFFFFF"/>
        </w:rPr>
        <w:t>calcular la inflación acumulada que se transfiere a las tarifas al convertir los precios de reales a nominales</w:t>
      </w:r>
      <w:r w:rsidRPr="007417C1">
        <w:rPr>
          <w:rFonts w:ascii="Arial" w:hAnsi="Arial" w:cs="Arial"/>
          <w:shd w:val="clear" w:color="auto" w:fill="FFFFFF"/>
        </w:rPr>
        <w:t>.</w:t>
      </w:r>
    </w:p>
    <w:p w14:paraId="71C264A0" w14:textId="77777777" w:rsidR="0053174C" w:rsidRPr="007417C1" w:rsidRDefault="0053174C" w:rsidP="0014780A">
      <w:pPr>
        <w:spacing w:after="0"/>
        <w:jc w:val="both"/>
        <w:rPr>
          <w:rFonts w:ascii="Arial" w:hAnsi="Arial" w:cs="Arial"/>
          <w:shd w:val="clear" w:color="auto" w:fill="FFFFFF"/>
        </w:rPr>
      </w:pPr>
    </w:p>
    <w:p w14:paraId="499B4ABB" w14:textId="2A82E0AE" w:rsidR="0053174C" w:rsidRPr="00657BA6" w:rsidRDefault="0053174C" w:rsidP="0014780A">
      <w:pPr>
        <w:spacing w:after="0"/>
        <w:jc w:val="both"/>
        <w:rPr>
          <w:rFonts w:ascii="Arial" w:hAnsi="Arial" w:cs="Arial"/>
          <w:shd w:val="clear" w:color="auto" w:fill="FFFFFF"/>
        </w:rPr>
      </w:pPr>
      <w:r w:rsidRPr="007417C1">
        <w:rPr>
          <w:rFonts w:ascii="Arial" w:hAnsi="Arial" w:cs="Arial"/>
          <w:shd w:val="clear" w:color="auto" w:fill="FFFFFF"/>
        </w:rPr>
        <w:t>Respecto al tipo de cambio, en el modelo de costos se determina el precio de los activos en dólares reales de 20</w:t>
      </w:r>
      <w:r w:rsidR="0077093C" w:rsidRPr="007417C1">
        <w:rPr>
          <w:rFonts w:ascii="Arial" w:hAnsi="Arial" w:cs="Arial"/>
          <w:shd w:val="clear" w:color="auto" w:fill="FFFFFF"/>
        </w:rPr>
        <w:t>22</w:t>
      </w:r>
      <w:r w:rsidRPr="007417C1">
        <w:rPr>
          <w:rFonts w:ascii="Arial" w:hAnsi="Arial" w:cs="Arial"/>
          <w:shd w:val="clear" w:color="auto" w:fill="FFFFFF"/>
        </w:rPr>
        <w:t xml:space="preserve">, por lo que al realizar la conversión a pesos mexicanos de </w:t>
      </w:r>
      <w:r w:rsidR="0077093C" w:rsidRPr="007417C1">
        <w:rPr>
          <w:rFonts w:ascii="Arial" w:hAnsi="Arial" w:cs="Arial"/>
          <w:shd w:val="clear" w:color="auto" w:fill="FFFFFF"/>
        </w:rPr>
        <w:t>2022</w:t>
      </w:r>
      <w:r w:rsidRPr="007417C1">
        <w:rPr>
          <w:rFonts w:ascii="Arial" w:hAnsi="Arial" w:cs="Arial"/>
          <w:shd w:val="clear" w:color="auto" w:fill="FFFFFF"/>
        </w:rPr>
        <w:t xml:space="preserve"> se usa el tipo de cambio del mismo año, por lo que no es necesario hacer proyecciones sobre la variable, ya que los efectos cambiarios son considerados en las proyecciones de inflación.</w:t>
      </w:r>
    </w:p>
    <w:p w14:paraId="658EC478" w14:textId="77777777" w:rsidR="0053174C" w:rsidRPr="00657BA6" w:rsidRDefault="0053174C" w:rsidP="0014780A">
      <w:pPr>
        <w:spacing w:after="0"/>
        <w:jc w:val="both"/>
        <w:rPr>
          <w:rFonts w:ascii="Arial" w:hAnsi="Arial" w:cs="Arial"/>
          <w:shd w:val="clear" w:color="auto" w:fill="FFFFFF"/>
        </w:rPr>
      </w:pPr>
    </w:p>
    <w:p w14:paraId="311415F2" w14:textId="4CFCC67B" w:rsidR="0053174C" w:rsidRPr="00657BA6" w:rsidRDefault="0053174C" w:rsidP="0014780A">
      <w:pPr>
        <w:spacing w:after="0"/>
        <w:jc w:val="both"/>
        <w:rPr>
          <w:rFonts w:ascii="Arial" w:hAnsi="Arial" w:cs="Arial"/>
        </w:rPr>
      </w:pPr>
      <w:r w:rsidRPr="00657BA6">
        <w:rPr>
          <w:rFonts w:ascii="Arial" w:hAnsi="Arial" w:cs="Arial"/>
        </w:rPr>
        <w:t xml:space="preserve">Finalmente, respecto del CCPP </w:t>
      </w:r>
      <w:r w:rsidR="0077093C">
        <w:rPr>
          <w:rFonts w:ascii="Arial" w:hAnsi="Arial" w:cs="Arial"/>
        </w:rPr>
        <w:t xml:space="preserve">se ha buscado </w:t>
      </w:r>
      <w:r w:rsidRPr="00657BA6">
        <w:rPr>
          <w:rFonts w:ascii="Arial" w:hAnsi="Arial" w:cs="Arial"/>
        </w:rPr>
        <w:t>estabiliza</w:t>
      </w:r>
      <w:r w:rsidR="0077093C">
        <w:rPr>
          <w:rFonts w:ascii="Arial" w:hAnsi="Arial" w:cs="Arial"/>
        </w:rPr>
        <w:t>r</w:t>
      </w:r>
      <w:r w:rsidRPr="00657BA6">
        <w:rPr>
          <w:rFonts w:ascii="Arial" w:hAnsi="Arial" w:cs="Arial"/>
        </w:rPr>
        <w:t xml:space="preserve"> los valores de sus parámetros</w:t>
      </w:r>
      <w:r w:rsidR="0077093C">
        <w:rPr>
          <w:rFonts w:ascii="Arial" w:hAnsi="Arial" w:cs="Arial"/>
        </w:rPr>
        <w:t xml:space="preserve"> con la implementación metodológica</w:t>
      </w:r>
      <w:r w:rsidRPr="00657BA6">
        <w:rPr>
          <w:rFonts w:ascii="Arial" w:hAnsi="Arial" w:cs="Arial"/>
        </w:rPr>
        <w:t xml:space="preserve">, lo </w:t>
      </w:r>
      <w:r w:rsidR="0077093C">
        <w:rPr>
          <w:rFonts w:ascii="Arial" w:hAnsi="Arial" w:cs="Arial"/>
        </w:rPr>
        <w:t>que lleva a que las</w:t>
      </w:r>
      <w:r w:rsidRPr="00657BA6">
        <w:rPr>
          <w:rFonts w:ascii="Arial" w:hAnsi="Arial" w:cs="Arial"/>
        </w:rPr>
        <w:t xml:space="preserve"> condiciones de volatilidad en el cálculo de este </w:t>
      </w:r>
      <w:r w:rsidR="0077093C">
        <w:rPr>
          <w:rFonts w:ascii="Arial" w:hAnsi="Arial" w:cs="Arial"/>
        </w:rPr>
        <w:t>pierdan</w:t>
      </w:r>
      <w:r w:rsidRPr="00657BA6">
        <w:rPr>
          <w:rFonts w:ascii="Arial" w:hAnsi="Arial" w:cs="Arial"/>
        </w:rPr>
        <w:t xml:space="preserve"> relevancia. Por otro lado, el cálculo del CCPP representa un costo de oportunidad de largo plazo, por lo que toma en cuenta decisiones de inversión de largo plazo</w:t>
      </w:r>
      <w:r w:rsidR="0077093C">
        <w:rPr>
          <w:rFonts w:ascii="Arial" w:hAnsi="Arial" w:cs="Arial"/>
        </w:rPr>
        <w:t xml:space="preserve">, </w:t>
      </w:r>
      <w:r w:rsidRPr="00657BA6">
        <w:rPr>
          <w:rFonts w:ascii="Arial" w:hAnsi="Arial" w:cs="Arial"/>
        </w:rPr>
        <w:t>así al tener poca volatilidad en el cálculo del CCPP es razonable que el calculado en el presente represente el pago al riesgo de inversión de largo plazo para los periodos proyectados.</w:t>
      </w:r>
    </w:p>
    <w:p w14:paraId="6A9AC365" w14:textId="77777777" w:rsidR="0053174C" w:rsidRPr="00657BA6" w:rsidRDefault="0053174C" w:rsidP="0014780A">
      <w:pPr>
        <w:spacing w:after="0"/>
        <w:jc w:val="both"/>
        <w:rPr>
          <w:rFonts w:ascii="Arial" w:hAnsi="Arial" w:cs="Arial"/>
        </w:rPr>
      </w:pPr>
    </w:p>
    <w:p w14:paraId="4E46FBC4" w14:textId="18574596" w:rsidR="0053174C" w:rsidRPr="00657BA6" w:rsidRDefault="0053174C" w:rsidP="0014780A">
      <w:pPr>
        <w:spacing w:after="0"/>
        <w:jc w:val="both"/>
        <w:rPr>
          <w:rFonts w:ascii="Arial" w:eastAsia="Times New Roman" w:hAnsi="Arial" w:cs="Arial"/>
          <w:i/>
        </w:rPr>
      </w:pPr>
      <w:r w:rsidRPr="00657BA6">
        <w:rPr>
          <w:rFonts w:ascii="Arial" w:hAnsi="Arial" w:cs="Arial"/>
        </w:rPr>
        <w:t>Por lo antes expuesto, considerando el despliegue de red y los valores de los parámetros económicos pronosticados es posible estimar las tarifas de los servicios de interconexión para el periodo 202</w:t>
      </w:r>
      <w:r w:rsidR="00E82A64">
        <w:rPr>
          <w:rFonts w:ascii="Arial" w:hAnsi="Arial" w:cs="Arial"/>
        </w:rPr>
        <w:t>4</w:t>
      </w:r>
      <w:r w:rsidRPr="00657BA6">
        <w:rPr>
          <w:rFonts w:ascii="Arial" w:hAnsi="Arial" w:cs="Arial"/>
        </w:rPr>
        <w:t xml:space="preserve"> a partir del modelo de costos.</w:t>
      </w:r>
    </w:p>
    <w:p w14:paraId="143574A2" w14:textId="77777777" w:rsidR="0053174C" w:rsidRPr="00657BA6" w:rsidRDefault="0053174C" w:rsidP="0014780A">
      <w:pPr>
        <w:spacing w:after="0"/>
        <w:jc w:val="both"/>
        <w:rPr>
          <w:rFonts w:ascii="Arial" w:hAnsi="Arial" w:cs="Arial"/>
        </w:rPr>
      </w:pPr>
    </w:p>
    <w:p w14:paraId="61C829F0" w14:textId="77777777" w:rsidR="0053174C" w:rsidRPr="00657BA6" w:rsidRDefault="0053174C" w:rsidP="0014780A">
      <w:pPr>
        <w:spacing w:after="0"/>
        <w:jc w:val="both"/>
        <w:rPr>
          <w:rFonts w:ascii="Arial" w:hAnsi="Arial" w:cs="Arial"/>
        </w:rPr>
      </w:pPr>
      <w:r w:rsidRPr="00657BA6">
        <w:rPr>
          <w:rFonts w:ascii="Arial" w:hAnsi="Arial" w:cs="Arial"/>
        </w:rPr>
        <w:t>Lo anterior, sin perjuicio que, en cumplimiento a lo previsto por el artículo 137 de la LFTR, este Instituto, en el último trimestre del año, determine a través del instrumento regulatorio aplicable, las condiciones técnicas mínimas y las tarifas que hayan resultado de las metodologías de costos que estarán vigentes en el año calendario correspondiente</w:t>
      </w:r>
    </w:p>
    <w:p w14:paraId="54B29BE2" w14:textId="56FDDA24" w:rsidR="0058660F" w:rsidRPr="00657BA6" w:rsidRDefault="0058660F" w:rsidP="0014780A">
      <w:pPr>
        <w:spacing w:after="0"/>
        <w:jc w:val="both"/>
        <w:rPr>
          <w:rFonts w:ascii="Arial" w:hAnsi="Arial" w:cs="Arial"/>
        </w:rPr>
      </w:pPr>
    </w:p>
    <w:p w14:paraId="748406B1" w14:textId="259863C2" w:rsidR="004A3027" w:rsidRPr="00657BA6" w:rsidRDefault="004F1356" w:rsidP="0014780A">
      <w:pPr>
        <w:pStyle w:val="Texto0"/>
        <w:spacing w:after="0" w:line="276" w:lineRule="auto"/>
        <w:ind w:firstLine="0"/>
        <w:rPr>
          <w:rFonts w:eastAsia="Calibri"/>
          <w:sz w:val="22"/>
          <w:szCs w:val="22"/>
          <w:lang w:val="es-MX" w:eastAsia="en-US"/>
        </w:rPr>
      </w:pPr>
      <w:r w:rsidRPr="00657BA6">
        <w:rPr>
          <w:b/>
          <w:sz w:val="22"/>
          <w:szCs w:val="22"/>
        </w:rPr>
        <w:t>Décima</w:t>
      </w:r>
      <w:r w:rsidR="00E712EF" w:rsidRPr="00657BA6">
        <w:rPr>
          <w:b/>
          <w:sz w:val="22"/>
          <w:szCs w:val="22"/>
        </w:rPr>
        <w:t xml:space="preserve"> primera</w:t>
      </w:r>
      <w:r w:rsidR="00923352" w:rsidRPr="00657BA6">
        <w:rPr>
          <w:b/>
          <w:sz w:val="22"/>
          <w:szCs w:val="22"/>
        </w:rPr>
        <w:t>.</w:t>
      </w:r>
      <w:r w:rsidR="00A544A4" w:rsidRPr="00657BA6">
        <w:rPr>
          <w:b/>
          <w:sz w:val="22"/>
          <w:szCs w:val="22"/>
        </w:rPr>
        <w:t xml:space="preserve"> </w:t>
      </w:r>
      <w:r w:rsidR="004A3027" w:rsidRPr="00657BA6">
        <w:rPr>
          <w:rFonts w:eastAsia="Calibri"/>
          <w:sz w:val="22"/>
          <w:szCs w:val="22"/>
          <w:lang w:val="es-MX" w:eastAsia="en-US"/>
        </w:rPr>
        <w:t xml:space="preserve">De conformidad con lo señalado en los Lineamientos Tercero y Cuarto de la Metodología de Costos para los servicios de conducción de tráfico, así como de tránsito se empleará el enfoque de Costos Incrementales de Largo Plazo Puros (CILP) para la determinación de tarifas, es así que el modelo de costos fijo (en lo sucesivo, el “Modelo Fijo”) y el modelo de costos móvil (en lo sucesivo, el “Modelo Móvil”), se construyeron </w:t>
      </w:r>
      <w:r w:rsidR="0077093C">
        <w:rPr>
          <w:rFonts w:eastAsia="Calibri"/>
          <w:sz w:val="22"/>
          <w:szCs w:val="22"/>
          <w:lang w:val="es-MX" w:eastAsia="en-US"/>
        </w:rPr>
        <w:t>para que las tarifas de estos servicio cumplan con este</w:t>
      </w:r>
      <w:r w:rsidR="004A3027" w:rsidRPr="00657BA6">
        <w:rPr>
          <w:rFonts w:eastAsia="Calibri"/>
          <w:sz w:val="22"/>
          <w:szCs w:val="22"/>
          <w:lang w:val="es-MX" w:eastAsia="en-US"/>
        </w:rPr>
        <w:t xml:space="preserve"> principio</w:t>
      </w:r>
      <w:r w:rsidR="0077093C">
        <w:rPr>
          <w:rFonts w:eastAsia="Calibri"/>
          <w:sz w:val="22"/>
          <w:szCs w:val="22"/>
          <w:lang w:val="es-MX" w:eastAsia="en-US"/>
        </w:rPr>
        <w:t xml:space="preserve">, sin dejar de lado </w:t>
      </w:r>
      <w:r w:rsidR="003029A3">
        <w:rPr>
          <w:rFonts w:eastAsia="Calibri"/>
          <w:sz w:val="22"/>
          <w:szCs w:val="22"/>
          <w:lang w:val="es-MX" w:eastAsia="en-US"/>
        </w:rPr>
        <w:t>la posibilidad de que los modelos sea</w:t>
      </w:r>
      <w:r w:rsidR="00D61DBD">
        <w:rPr>
          <w:rFonts w:eastAsia="Calibri"/>
          <w:sz w:val="22"/>
          <w:szCs w:val="22"/>
          <w:lang w:val="es-MX" w:eastAsia="en-US"/>
        </w:rPr>
        <w:t>n</w:t>
      </w:r>
      <w:r w:rsidR="003029A3">
        <w:rPr>
          <w:rFonts w:eastAsia="Calibri"/>
          <w:sz w:val="22"/>
          <w:szCs w:val="22"/>
          <w:lang w:val="es-MX" w:eastAsia="en-US"/>
        </w:rPr>
        <w:t xml:space="preserve"> utilizados como herramientas para otro tipo de implementación metodológica</w:t>
      </w:r>
      <w:r w:rsidR="004A3027" w:rsidRPr="00657BA6">
        <w:rPr>
          <w:rFonts w:eastAsia="Calibri"/>
          <w:sz w:val="22"/>
          <w:szCs w:val="22"/>
          <w:lang w:val="es-MX" w:eastAsia="en-US"/>
        </w:rPr>
        <w:t>.</w:t>
      </w:r>
    </w:p>
    <w:p w14:paraId="0801BC4D" w14:textId="77777777" w:rsidR="004A3027" w:rsidRPr="00D61DBD" w:rsidRDefault="004A3027" w:rsidP="0014780A">
      <w:pPr>
        <w:pStyle w:val="Texto0"/>
        <w:spacing w:after="0" w:line="276" w:lineRule="auto"/>
        <w:ind w:firstLine="0"/>
        <w:rPr>
          <w:sz w:val="22"/>
          <w:szCs w:val="22"/>
          <w:lang w:val="es-MX"/>
        </w:rPr>
      </w:pPr>
    </w:p>
    <w:p w14:paraId="45A17D29" w14:textId="77777777" w:rsidR="004A3027" w:rsidRPr="00657BA6" w:rsidRDefault="004A3027" w:rsidP="0014780A">
      <w:pPr>
        <w:spacing w:after="0"/>
        <w:jc w:val="both"/>
        <w:rPr>
          <w:rFonts w:ascii="Arial" w:eastAsia="Times New Roman" w:hAnsi="Arial" w:cs="Arial"/>
          <w:b/>
          <w:lang w:eastAsia="es-ES"/>
        </w:rPr>
      </w:pPr>
      <w:r w:rsidRPr="00657BA6">
        <w:rPr>
          <w:rFonts w:ascii="Arial" w:eastAsia="Times New Roman" w:hAnsi="Arial" w:cs="Arial"/>
          <w:b/>
          <w:lang w:eastAsia="es-ES"/>
        </w:rPr>
        <w:t>1.1</w:t>
      </w:r>
      <w:r w:rsidRPr="00657BA6">
        <w:rPr>
          <w:rFonts w:ascii="Arial" w:eastAsia="Times New Roman" w:hAnsi="Arial" w:cs="Arial"/>
          <w:lang w:eastAsia="es-ES"/>
        </w:rPr>
        <w:t xml:space="preserve"> </w:t>
      </w:r>
      <w:r w:rsidRPr="00657BA6">
        <w:rPr>
          <w:rFonts w:ascii="Arial" w:eastAsia="Times New Roman" w:hAnsi="Arial" w:cs="Arial"/>
          <w:b/>
          <w:lang w:eastAsia="es-ES"/>
        </w:rPr>
        <w:t>Aspectos del concesionario</w:t>
      </w:r>
    </w:p>
    <w:p w14:paraId="5F4B67A8" w14:textId="77777777" w:rsidR="004A3027" w:rsidRPr="00657BA6" w:rsidRDefault="004A3027" w:rsidP="0014780A">
      <w:pPr>
        <w:spacing w:after="0"/>
        <w:jc w:val="both"/>
        <w:rPr>
          <w:rFonts w:ascii="Arial" w:eastAsia="Times New Roman" w:hAnsi="Arial" w:cs="Arial"/>
          <w:lang w:eastAsia="es-ES"/>
        </w:rPr>
      </w:pPr>
    </w:p>
    <w:p w14:paraId="6AD48919" w14:textId="77777777" w:rsidR="004A3027" w:rsidRPr="00657BA6" w:rsidRDefault="004A3027" w:rsidP="0014780A">
      <w:pPr>
        <w:spacing w:after="0"/>
        <w:jc w:val="both"/>
        <w:rPr>
          <w:rFonts w:ascii="Arial" w:eastAsia="Times New Roman" w:hAnsi="Arial" w:cs="Arial"/>
          <w:b/>
          <w:lang w:eastAsia="es-ES"/>
        </w:rPr>
      </w:pPr>
      <w:r w:rsidRPr="00657BA6">
        <w:rPr>
          <w:rFonts w:ascii="Arial" w:eastAsia="Times New Roman" w:hAnsi="Arial" w:cs="Arial"/>
          <w:b/>
          <w:lang w:eastAsia="es-ES"/>
        </w:rPr>
        <w:t>Tipo de concesionario</w:t>
      </w:r>
    </w:p>
    <w:p w14:paraId="769C6197" w14:textId="77777777" w:rsidR="004A3027" w:rsidRPr="00657BA6" w:rsidRDefault="004A3027" w:rsidP="0014780A">
      <w:pPr>
        <w:spacing w:after="0"/>
        <w:jc w:val="both"/>
        <w:rPr>
          <w:rFonts w:ascii="Arial" w:eastAsia="Times New Roman" w:hAnsi="Arial" w:cs="Arial"/>
          <w:lang w:eastAsia="es-ES"/>
        </w:rPr>
      </w:pPr>
    </w:p>
    <w:p w14:paraId="6858D211"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 xml:space="preserve">Para el diseño de la red a modelarse es necesario definir el tipo de concesionario que se trata de representar, siendo este uno de los principales aspectos conceptuales que determinará la estructura y los parámetros del modelo. </w:t>
      </w:r>
    </w:p>
    <w:p w14:paraId="327FCBE4" w14:textId="77777777" w:rsidR="004A3027" w:rsidRPr="00657BA6" w:rsidRDefault="004A3027" w:rsidP="0014780A">
      <w:pPr>
        <w:tabs>
          <w:tab w:val="left" w:pos="1515"/>
        </w:tabs>
        <w:spacing w:after="0"/>
        <w:jc w:val="both"/>
        <w:rPr>
          <w:rFonts w:ascii="Arial" w:eastAsia="Times New Roman" w:hAnsi="Arial" w:cs="Arial"/>
          <w:lang w:eastAsia="es-ES"/>
        </w:rPr>
      </w:pPr>
      <w:r w:rsidRPr="00657BA6">
        <w:rPr>
          <w:rFonts w:ascii="Arial" w:eastAsia="Times New Roman" w:hAnsi="Arial" w:cs="Arial"/>
          <w:lang w:eastAsia="es-ES"/>
        </w:rPr>
        <w:tab/>
      </w:r>
    </w:p>
    <w:p w14:paraId="6BBDAB03"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Existen en el ámbito internacional las siguientes opciones para definir el tipo de concesionario:</w:t>
      </w:r>
    </w:p>
    <w:p w14:paraId="66569357" w14:textId="77777777" w:rsidR="004A3027" w:rsidRPr="00657BA6" w:rsidRDefault="004A3027" w:rsidP="0014780A">
      <w:pPr>
        <w:spacing w:after="0"/>
        <w:ind w:left="426"/>
        <w:jc w:val="both"/>
        <w:rPr>
          <w:rFonts w:ascii="Arial" w:eastAsia="Times New Roman" w:hAnsi="Arial" w:cs="Arial"/>
          <w:lang w:eastAsia="es-ES"/>
        </w:rPr>
      </w:pPr>
    </w:p>
    <w:p w14:paraId="225F572F" w14:textId="77777777" w:rsidR="004A3027" w:rsidRPr="00657BA6" w:rsidRDefault="004A3027" w:rsidP="0014780A">
      <w:pPr>
        <w:numPr>
          <w:ilvl w:val="0"/>
          <w:numId w:val="4"/>
        </w:numPr>
        <w:tabs>
          <w:tab w:val="num" w:pos="709"/>
        </w:tabs>
        <w:spacing w:after="0"/>
        <w:ind w:left="709"/>
        <w:jc w:val="both"/>
        <w:rPr>
          <w:rFonts w:ascii="Arial" w:hAnsi="Arial" w:cs="Arial"/>
          <w:spacing w:val="-4"/>
        </w:rPr>
      </w:pPr>
      <w:r w:rsidRPr="00657BA6">
        <w:rPr>
          <w:rFonts w:ascii="Arial" w:hAnsi="Arial" w:cs="Arial"/>
          <w:b/>
          <w:spacing w:val="-4"/>
        </w:rPr>
        <w:lastRenderedPageBreak/>
        <w:t xml:space="preserve">Concesionarios existentes – </w:t>
      </w:r>
      <w:r w:rsidRPr="00657BA6">
        <w:rPr>
          <w:rFonts w:ascii="Arial" w:hAnsi="Arial" w:cs="Arial"/>
          <w:spacing w:val="-4"/>
        </w:rPr>
        <w:t>se calculan los costos de todos los concesionarios que prestan servicios en el mercado.</w:t>
      </w:r>
    </w:p>
    <w:p w14:paraId="3EA0731A" w14:textId="77777777" w:rsidR="004A3027" w:rsidRPr="00657BA6" w:rsidRDefault="004A3027" w:rsidP="0014780A">
      <w:pPr>
        <w:numPr>
          <w:ilvl w:val="0"/>
          <w:numId w:val="4"/>
        </w:numPr>
        <w:tabs>
          <w:tab w:val="num" w:pos="709"/>
        </w:tabs>
        <w:spacing w:after="0"/>
        <w:ind w:left="709"/>
        <w:jc w:val="both"/>
        <w:rPr>
          <w:rFonts w:ascii="Arial" w:hAnsi="Arial" w:cs="Arial"/>
        </w:rPr>
      </w:pPr>
      <w:r w:rsidRPr="00657BA6">
        <w:rPr>
          <w:rFonts w:ascii="Arial" w:hAnsi="Arial" w:cs="Arial"/>
          <w:b/>
        </w:rPr>
        <w:t xml:space="preserve">Concesionario promedio – </w:t>
      </w:r>
      <w:r w:rsidRPr="00657BA6">
        <w:rPr>
          <w:rFonts w:ascii="Arial" w:hAnsi="Arial" w:cs="Arial"/>
        </w:rPr>
        <w:t>se promedian los costos de todos los concesionarios que prestan servicios para cada uno de los mercados (fijo y móvil) para definir un operador ‘típico’.</w:t>
      </w:r>
    </w:p>
    <w:p w14:paraId="2C6C7BCC" w14:textId="77777777" w:rsidR="004A3027" w:rsidRPr="00657BA6" w:rsidRDefault="004A3027" w:rsidP="0014780A">
      <w:pPr>
        <w:numPr>
          <w:ilvl w:val="0"/>
          <w:numId w:val="4"/>
        </w:numPr>
        <w:tabs>
          <w:tab w:val="num" w:pos="709"/>
        </w:tabs>
        <w:spacing w:after="0"/>
        <w:ind w:left="709"/>
        <w:jc w:val="both"/>
        <w:rPr>
          <w:rFonts w:ascii="Arial" w:hAnsi="Arial" w:cs="Arial"/>
          <w:b/>
          <w:bCs/>
        </w:rPr>
      </w:pPr>
      <w:r w:rsidRPr="00657BA6">
        <w:rPr>
          <w:rFonts w:ascii="Arial" w:hAnsi="Arial" w:cs="Arial"/>
          <w:b/>
        </w:rPr>
        <w:t xml:space="preserve">Concesionario hipotético– </w:t>
      </w:r>
      <w:r w:rsidRPr="00657BA6">
        <w:rPr>
          <w:rFonts w:ascii="Arial" w:hAnsi="Arial" w:cs="Arial"/>
        </w:rPr>
        <w:t>se define un concesionario con características similares a, o derivadas de, los concesionarios existentes en el mercado, pero se ajustan ciertos aspectos hipotéticos como puede ser la fecha de entrada al mercado, la participación de mercado, la tecnología utilizada, el diseño de red, entre otros, y que alcanza la participación de mercado antes del periodo regulatorio para el cual se calculan los costos.</w:t>
      </w:r>
    </w:p>
    <w:p w14:paraId="58D6024C" w14:textId="278D1A74" w:rsidR="004A3027" w:rsidRPr="00657BA6" w:rsidRDefault="004A3027" w:rsidP="0014780A">
      <w:pPr>
        <w:numPr>
          <w:ilvl w:val="0"/>
          <w:numId w:val="6"/>
        </w:numPr>
        <w:tabs>
          <w:tab w:val="num" w:pos="709"/>
        </w:tabs>
        <w:spacing w:after="0"/>
        <w:ind w:left="709" w:hanging="283"/>
        <w:jc w:val="both"/>
        <w:rPr>
          <w:rFonts w:ascii="Arial" w:hAnsi="Arial" w:cs="Arial"/>
          <w:b/>
          <w:bCs/>
          <w:lang w:eastAsia="es-ES"/>
        </w:rPr>
      </w:pPr>
      <w:r w:rsidRPr="00657BA6">
        <w:rPr>
          <w:rFonts w:ascii="Arial" w:hAnsi="Arial" w:cs="Arial"/>
          <w:b/>
        </w:rPr>
        <w:t>Nuevo entrante hipotético –</w:t>
      </w:r>
      <w:r w:rsidRPr="00657BA6">
        <w:rPr>
          <w:rFonts w:ascii="Arial" w:hAnsi="Arial" w:cs="Arial"/>
          <w:b/>
          <w:bCs/>
          <w:lang w:eastAsia="es-ES"/>
        </w:rPr>
        <w:t xml:space="preserve"> </w:t>
      </w:r>
      <w:r w:rsidRPr="00657BA6">
        <w:rPr>
          <w:rFonts w:ascii="Arial" w:hAnsi="Arial" w:cs="Arial"/>
        </w:rPr>
        <w:t>se define un nuevo concesionario que entra al mercado en</w:t>
      </w:r>
      <w:r w:rsidR="003029A3">
        <w:rPr>
          <w:rFonts w:ascii="Arial" w:hAnsi="Arial" w:cs="Arial"/>
        </w:rPr>
        <w:t xml:space="preserve"> un año específico cercano al periodo regulatorio</w:t>
      </w:r>
      <w:r w:rsidRPr="00657BA6">
        <w:rPr>
          <w:rFonts w:ascii="Arial" w:hAnsi="Arial" w:cs="Arial"/>
        </w:rPr>
        <w:t>, con una arquitectura de red moderna y que alcanza la participación de mercado eficiente del operador representativo.</w:t>
      </w:r>
    </w:p>
    <w:p w14:paraId="2522F880" w14:textId="77777777" w:rsidR="004A3027" w:rsidRPr="00657BA6" w:rsidRDefault="004A3027" w:rsidP="0014780A">
      <w:pPr>
        <w:spacing w:after="0"/>
        <w:ind w:left="993"/>
        <w:jc w:val="both"/>
        <w:rPr>
          <w:rFonts w:ascii="Arial" w:eastAsia="Times New Roman" w:hAnsi="Arial" w:cs="Arial"/>
          <w:lang w:eastAsia="es-ES"/>
        </w:rPr>
      </w:pPr>
    </w:p>
    <w:p w14:paraId="49A406A3"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Cabe mencionar que construir modelos de costos tomando en consideración a un operador existente no es acorde a las mejores prácticas internacionales debido a lo siguiente:</w:t>
      </w:r>
    </w:p>
    <w:p w14:paraId="349F87A3" w14:textId="77777777" w:rsidR="004A3027" w:rsidRPr="00657BA6" w:rsidRDefault="004A3027" w:rsidP="0014780A">
      <w:pPr>
        <w:spacing w:after="0"/>
        <w:jc w:val="both"/>
        <w:rPr>
          <w:rFonts w:ascii="Arial" w:eastAsia="Times New Roman" w:hAnsi="Arial" w:cs="Arial"/>
          <w:lang w:eastAsia="es-ES"/>
        </w:rPr>
      </w:pPr>
    </w:p>
    <w:p w14:paraId="67234BAF" w14:textId="77777777" w:rsidR="004A3027" w:rsidRPr="00657BA6" w:rsidRDefault="004A3027" w:rsidP="0014780A">
      <w:pPr>
        <w:numPr>
          <w:ilvl w:val="0"/>
          <w:numId w:val="4"/>
        </w:numPr>
        <w:spacing w:after="0"/>
        <w:ind w:left="709"/>
        <w:jc w:val="both"/>
        <w:rPr>
          <w:rFonts w:ascii="Arial" w:hAnsi="Arial" w:cs="Arial"/>
        </w:rPr>
      </w:pPr>
      <w:r w:rsidRPr="00657BA6">
        <w:rPr>
          <w:rFonts w:ascii="Arial" w:hAnsi="Arial" w:cs="Arial"/>
        </w:rPr>
        <w:t>Reduce la transparencia en costos y precios, debido a que la información necesaria para construir el modelo provendría de la red del operador modelado situación en la cual existen asimetrías de información entre la empresa regulada y el regulador.</w:t>
      </w:r>
    </w:p>
    <w:p w14:paraId="501B5FC0" w14:textId="77777777" w:rsidR="004A3027" w:rsidRPr="00657BA6" w:rsidRDefault="004A3027" w:rsidP="0014780A">
      <w:pPr>
        <w:numPr>
          <w:ilvl w:val="0"/>
          <w:numId w:val="4"/>
        </w:numPr>
        <w:spacing w:after="0"/>
        <w:ind w:left="709"/>
        <w:jc w:val="both"/>
        <w:rPr>
          <w:rFonts w:ascii="Arial" w:hAnsi="Arial" w:cs="Arial"/>
        </w:rPr>
      </w:pPr>
      <w:r w:rsidRPr="00657BA6">
        <w:rPr>
          <w:rFonts w:ascii="Arial" w:hAnsi="Arial" w:cs="Arial"/>
        </w:rPr>
        <w:t>Incrementa la complejidad de asegurar que se apliquen principios consistentes si el método se aplicara a modelos individuales para cada operador fijo y móvil.</w:t>
      </w:r>
    </w:p>
    <w:p w14:paraId="45352729" w14:textId="77777777" w:rsidR="004A3027" w:rsidRPr="00657BA6" w:rsidRDefault="004A3027" w:rsidP="0014780A">
      <w:pPr>
        <w:numPr>
          <w:ilvl w:val="0"/>
          <w:numId w:val="4"/>
        </w:numPr>
        <w:spacing w:after="0"/>
        <w:ind w:left="709"/>
        <w:jc w:val="both"/>
        <w:rPr>
          <w:rFonts w:ascii="Arial" w:hAnsi="Arial" w:cs="Arial"/>
        </w:rPr>
      </w:pPr>
      <w:r w:rsidRPr="00657BA6">
        <w:rPr>
          <w:rFonts w:ascii="Arial" w:hAnsi="Arial" w:cs="Arial"/>
        </w:rPr>
        <w:t>Aumenta la dificultad para asegurar cumplir con el principio de eficiencia, debido a que reflejaría las ineficiencias históricas asociadas a la red modelada.</w:t>
      </w:r>
    </w:p>
    <w:p w14:paraId="232C24A4" w14:textId="77777777" w:rsidR="004A3027" w:rsidRPr="00657BA6" w:rsidRDefault="004A3027" w:rsidP="0014780A">
      <w:pPr>
        <w:spacing w:after="0"/>
        <w:jc w:val="both"/>
        <w:rPr>
          <w:rFonts w:ascii="Arial" w:eastAsia="Times New Roman" w:hAnsi="Arial" w:cs="Arial"/>
          <w:lang w:eastAsia="es-ES"/>
        </w:rPr>
      </w:pPr>
    </w:p>
    <w:p w14:paraId="6F866BC3"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Por consiguiente, el considerar los costos incurridos por un operador existente no es acorde con el mandato a cargo del Instituto, de garantizar la eficiente prestación de los servicios públicos de interés general de telecomunicaciones y para tales efectos, establecer condiciones de competencia efectiva en la prestación de dichos servicios consagrado en el artículo 2 de la LFTR, así como en la Metodología de Costos y las mejores prácticas internacionales.</w:t>
      </w:r>
    </w:p>
    <w:p w14:paraId="12E0FCEC"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 xml:space="preserve"> </w:t>
      </w:r>
    </w:p>
    <w:p w14:paraId="5C539E8F"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Por lo tanto, sólo se consideran tres opciones reales para el tipo de operador sobre el que se basarán los modelos. Las características de estas opciones se encuentran detalladas a continuación.</w:t>
      </w:r>
    </w:p>
    <w:p w14:paraId="0EF6AFF7" w14:textId="77777777" w:rsidR="004A3027" w:rsidRPr="00657BA6" w:rsidRDefault="004A3027" w:rsidP="0014780A">
      <w:pPr>
        <w:spacing w:after="0"/>
        <w:jc w:val="both"/>
        <w:rPr>
          <w:rFonts w:ascii="Arial" w:eastAsia="Times New Roman" w:hAnsi="Arial" w:cs="Arial"/>
          <w:lang w:eastAsia="es-ES"/>
        </w:rPr>
      </w:pPr>
    </w:p>
    <w:tbl>
      <w:tblPr>
        <w:tblStyle w:val="Tabladecuadrcula4"/>
        <w:tblW w:w="5000" w:type="pct"/>
        <w:tblLook w:val="0420" w:firstRow="1" w:lastRow="0" w:firstColumn="0" w:lastColumn="0" w:noHBand="0" w:noVBand="1"/>
      </w:tblPr>
      <w:tblGrid>
        <w:gridCol w:w="1653"/>
        <w:gridCol w:w="2340"/>
        <w:gridCol w:w="2900"/>
        <w:gridCol w:w="2450"/>
      </w:tblGrid>
      <w:tr w:rsidR="004A3027" w:rsidRPr="00657BA6" w14:paraId="7C3CC54C" w14:textId="77777777" w:rsidTr="006C794D">
        <w:trPr>
          <w:cnfStyle w:val="100000000000" w:firstRow="1" w:lastRow="0" w:firstColumn="0" w:lastColumn="0" w:oddVBand="0" w:evenVBand="0" w:oddHBand="0" w:evenHBand="0" w:firstRowFirstColumn="0" w:firstRowLastColumn="0" w:lastRowFirstColumn="0" w:lastRowLastColumn="0"/>
        </w:trPr>
        <w:tc>
          <w:tcPr>
            <w:tcW w:w="88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28C94C4E" w14:textId="77777777" w:rsidR="004A3027" w:rsidRPr="00657BA6" w:rsidRDefault="004A3027" w:rsidP="0014780A">
            <w:pPr>
              <w:keepNext/>
              <w:spacing w:after="0"/>
              <w:ind w:right="113"/>
              <w:jc w:val="center"/>
              <w:rPr>
                <w:rFonts w:ascii="Arial" w:hAnsi="Arial" w:cs="Arial"/>
                <w:color w:val="auto"/>
                <w:sz w:val="20"/>
                <w:szCs w:val="20"/>
              </w:rPr>
            </w:pPr>
            <w:r w:rsidRPr="00657BA6">
              <w:rPr>
                <w:rFonts w:ascii="Arial" w:hAnsi="Arial" w:cs="Arial"/>
                <w:color w:val="auto"/>
                <w:sz w:val="20"/>
                <w:szCs w:val="20"/>
              </w:rPr>
              <w:t>Característica</w:t>
            </w:r>
          </w:p>
        </w:tc>
        <w:tc>
          <w:tcPr>
            <w:tcW w:w="125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D81214E" w14:textId="77777777" w:rsidR="004A3027" w:rsidRPr="00657BA6" w:rsidRDefault="004A3027" w:rsidP="0014780A">
            <w:pPr>
              <w:keepNext/>
              <w:spacing w:after="0"/>
              <w:ind w:right="113"/>
              <w:jc w:val="center"/>
              <w:rPr>
                <w:rFonts w:ascii="Arial" w:hAnsi="Arial" w:cs="Arial"/>
                <w:color w:val="auto"/>
                <w:sz w:val="20"/>
                <w:szCs w:val="20"/>
              </w:rPr>
            </w:pPr>
            <w:r w:rsidRPr="00657BA6">
              <w:rPr>
                <w:rFonts w:ascii="Arial" w:hAnsi="Arial" w:cs="Arial"/>
                <w:color w:val="auto"/>
                <w:sz w:val="20"/>
                <w:szCs w:val="20"/>
              </w:rPr>
              <w:t>Opción 1: Operador promedio</w:t>
            </w:r>
          </w:p>
        </w:tc>
        <w:tc>
          <w:tcPr>
            <w:tcW w:w="155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DE7866C" w14:textId="77777777" w:rsidR="004A3027" w:rsidRPr="00657BA6" w:rsidRDefault="004A3027" w:rsidP="0014780A">
            <w:pPr>
              <w:keepNext/>
              <w:spacing w:after="0"/>
              <w:ind w:right="113"/>
              <w:jc w:val="center"/>
              <w:rPr>
                <w:rFonts w:ascii="Arial" w:hAnsi="Arial" w:cs="Arial"/>
                <w:color w:val="auto"/>
                <w:sz w:val="20"/>
                <w:szCs w:val="20"/>
              </w:rPr>
            </w:pPr>
            <w:r w:rsidRPr="00657BA6">
              <w:rPr>
                <w:rFonts w:ascii="Arial" w:hAnsi="Arial" w:cs="Arial"/>
                <w:color w:val="auto"/>
                <w:sz w:val="20"/>
                <w:szCs w:val="20"/>
              </w:rPr>
              <w:t>Opción 2: Operador hipotético existente</w:t>
            </w:r>
          </w:p>
        </w:tc>
        <w:tc>
          <w:tcPr>
            <w:tcW w:w="131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61CDC50" w14:textId="77777777" w:rsidR="004A3027" w:rsidRPr="00657BA6" w:rsidRDefault="004A3027" w:rsidP="0014780A">
            <w:pPr>
              <w:keepNext/>
              <w:spacing w:after="0"/>
              <w:ind w:right="113"/>
              <w:jc w:val="center"/>
              <w:rPr>
                <w:rFonts w:ascii="Arial" w:hAnsi="Arial" w:cs="Arial"/>
                <w:color w:val="auto"/>
                <w:sz w:val="20"/>
                <w:szCs w:val="20"/>
              </w:rPr>
            </w:pPr>
            <w:r w:rsidRPr="00657BA6">
              <w:rPr>
                <w:rFonts w:ascii="Arial" w:hAnsi="Arial" w:cs="Arial"/>
                <w:color w:val="auto"/>
                <w:sz w:val="20"/>
                <w:szCs w:val="20"/>
              </w:rPr>
              <w:t>Opción 3: Nuevo entrante hipotético</w:t>
            </w:r>
          </w:p>
        </w:tc>
      </w:tr>
      <w:tr w:rsidR="004A3027" w:rsidRPr="00657BA6" w14:paraId="3426C604" w14:textId="77777777" w:rsidTr="006C794D">
        <w:trPr>
          <w:cnfStyle w:val="000000100000" w:firstRow="0" w:lastRow="0" w:firstColumn="0" w:lastColumn="0" w:oddVBand="0" w:evenVBand="0" w:oddHBand="1" w:evenHBand="0" w:firstRowFirstColumn="0" w:firstRowLastColumn="0" w:lastRowFirstColumn="0" w:lastRowLastColumn="0"/>
        </w:trPr>
        <w:tc>
          <w:tcPr>
            <w:tcW w:w="884" w:type="pct"/>
            <w:tcBorders>
              <w:top w:val="single" w:sz="4" w:space="0" w:color="000000"/>
              <w:left w:val="single" w:sz="4" w:space="0" w:color="000000"/>
              <w:bottom w:val="single" w:sz="4" w:space="0" w:color="000000"/>
              <w:right w:val="single" w:sz="4" w:space="0" w:color="000000"/>
            </w:tcBorders>
          </w:tcPr>
          <w:p w14:paraId="4269E574" w14:textId="77777777" w:rsidR="004A3027" w:rsidRPr="00657BA6" w:rsidRDefault="004A3027" w:rsidP="0014780A">
            <w:pPr>
              <w:spacing w:after="0"/>
              <w:ind w:right="113"/>
              <w:jc w:val="both"/>
              <w:rPr>
                <w:rFonts w:ascii="Arial" w:hAnsi="Arial" w:cs="Arial"/>
                <w:sz w:val="20"/>
                <w:szCs w:val="20"/>
              </w:rPr>
            </w:pPr>
            <w:r w:rsidRPr="00657BA6">
              <w:rPr>
                <w:rFonts w:ascii="Arial" w:hAnsi="Arial" w:cs="Arial"/>
                <w:sz w:val="20"/>
                <w:szCs w:val="20"/>
              </w:rPr>
              <w:t>Fecha de lanzamiento</w:t>
            </w:r>
          </w:p>
        </w:tc>
        <w:tc>
          <w:tcPr>
            <w:tcW w:w="1253" w:type="pct"/>
            <w:tcBorders>
              <w:top w:val="single" w:sz="4" w:space="0" w:color="000000"/>
              <w:left w:val="single" w:sz="4" w:space="0" w:color="000000"/>
              <w:bottom w:val="single" w:sz="4" w:space="0" w:color="000000"/>
              <w:right w:val="single" w:sz="4" w:space="0" w:color="000000"/>
            </w:tcBorders>
          </w:tcPr>
          <w:p w14:paraId="73945BE5" w14:textId="50E14235" w:rsidR="004A3027" w:rsidRPr="00657BA6" w:rsidRDefault="004A3027" w:rsidP="0014780A">
            <w:pPr>
              <w:spacing w:after="0"/>
              <w:ind w:right="113"/>
              <w:jc w:val="both"/>
              <w:rPr>
                <w:rFonts w:ascii="Arial" w:hAnsi="Arial" w:cs="Arial"/>
                <w:sz w:val="20"/>
                <w:szCs w:val="20"/>
              </w:rPr>
            </w:pPr>
            <w:r w:rsidRPr="00657BA6">
              <w:rPr>
                <w:rFonts w:ascii="Arial" w:hAnsi="Arial" w:cs="Arial"/>
                <w:sz w:val="20"/>
                <w:szCs w:val="20"/>
              </w:rPr>
              <w:t xml:space="preserve">Diferente para todos los operadores, por lo </w:t>
            </w:r>
            <w:r w:rsidR="009C2477" w:rsidRPr="00657BA6">
              <w:rPr>
                <w:rFonts w:ascii="Arial" w:hAnsi="Arial" w:cs="Arial"/>
                <w:sz w:val="20"/>
                <w:szCs w:val="20"/>
              </w:rPr>
              <w:t>tanto,</w:t>
            </w:r>
            <w:r w:rsidRPr="00657BA6">
              <w:rPr>
                <w:rFonts w:ascii="Arial" w:hAnsi="Arial" w:cs="Arial"/>
                <w:sz w:val="20"/>
                <w:szCs w:val="20"/>
              </w:rPr>
              <w:t xml:space="preserve"> utilizar un </w:t>
            </w:r>
            <w:r w:rsidRPr="00657BA6">
              <w:rPr>
                <w:rFonts w:ascii="Arial" w:hAnsi="Arial" w:cs="Arial"/>
                <w:sz w:val="20"/>
                <w:szCs w:val="20"/>
              </w:rPr>
              <w:lastRenderedPageBreak/>
              <w:t>promedio no es representativo.</w:t>
            </w:r>
          </w:p>
        </w:tc>
        <w:tc>
          <w:tcPr>
            <w:tcW w:w="1552" w:type="pct"/>
            <w:tcBorders>
              <w:top w:val="single" w:sz="4" w:space="0" w:color="000000"/>
              <w:left w:val="single" w:sz="4" w:space="0" w:color="000000"/>
              <w:bottom w:val="single" w:sz="4" w:space="0" w:color="000000"/>
              <w:right w:val="single" w:sz="4" w:space="0" w:color="000000"/>
            </w:tcBorders>
          </w:tcPr>
          <w:p w14:paraId="1D964858" w14:textId="77777777" w:rsidR="004A3027" w:rsidRPr="00657BA6" w:rsidRDefault="004A3027" w:rsidP="0014780A">
            <w:pPr>
              <w:spacing w:after="0"/>
              <w:ind w:right="113"/>
              <w:jc w:val="both"/>
              <w:rPr>
                <w:rFonts w:ascii="Arial" w:hAnsi="Arial" w:cs="Arial"/>
                <w:sz w:val="20"/>
                <w:szCs w:val="20"/>
              </w:rPr>
            </w:pPr>
            <w:r w:rsidRPr="00657BA6">
              <w:rPr>
                <w:rFonts w:ascii="Arial" w:hAnsi="Arial" w:cs="Arial"/>
                <w:sz w:val="20"/>
                <w:szCs w:val="20"/>
              </w:rPr>
              <w:lastRenderedPageBreak/>
              <w:t xml:space="preserve">Puede ser establecida de forma consistente para los modelos fijo y móvil tomando en consideración hitos clave </w:t>
            </w:r>
            <w:r w:rsidRPr="00657BA6">
              <w:rPr>
                <w:rFonts w:ascii="Arial" w:hAnsi="Arial" w:cs="Arial"/>
                <w:sz w:val="20"/>
                <w:szCs w:val="20"/>
              </w:rPr>
              <w:lastRenderedPageBreak/>
              <w:t>en el despliegue de las redes reales.</w:t>
            </w:r>
          </w:p>
        </w:tc>
        <w:tc>
          <w:tcPr>
            <w:tcW w:w="1311" w:type="pct"/>
            <w:tcBorders>
              <w:top w:val="single" w:sz="4" w:space="0" w:color="000000"/>
              <w:left w:val="single" w:sz="4" w:space="0" w:color="000000"/>
              <w:bottom w:val="single" w:sz="4" w:space="0" w:color="000000"/>
              <w:right w:val="single" w:sz="4" w:space="0" w:color="000000"/>
            </w:tcBorders>
          </w:tcPr>
          <w:p w14:paraId="29621E07" w14:textId="6B3CA5CF" w:rsidR="004A3027" w:rsidRPr="00657BA6" w:rsidRDefault="004A3027" w:rsidP="0014780A">
            <w:pPr>
              <w:spacing w:after="0"/>
              <w:ind w:right="113"/>
              <w:jc w:val="both"/>
              <w:rPr>
                <w:rFonts w:ascii="Arial" w:hAnsi="Arial" w:cs="Arial"/>
                <w:sz w:val="20"/>
                <w:szCs w:val="20"/>
              </w:rPr>
            </w:pPr>
            <w:r w:rsidRPr="00657BA6">
              <w:rPr>
                <w:rFonts w:ascii="Arial" w:hAnsi="Arial" w:cs="Arial"/>
                <w:sz w:val="20"/>
                <w:szCs w:val="20"/>
              </w:rPr>
              <w:lastRenderedPageBreak/>
              <w:t xml:space="preserve">Por definición, utilizar el año </w:t>
            </w:r>
            <w:r w:rsidR="00A86A91">
              <w:rPr>
                <w:rFonts w:ascii="Arial" w:hAnsi="Arial" w:cs="Arial"/>
                <w:sz w:val="20"/>
                <w:szCs w:val="20"/>
              </w:rPr>
              <w:t>2022</w:t>
            </w:r>
            <w:r w:rsidR="00A86A91" w:rsidRPr="00657BA6">
              <w:rPr>
                <w:rFonts w:ascii="Arial" w:hAnsi="Arial" w:cs="Arial"/>
                <w:sz w:val="20"/>
                <w:szCs w:val="20"/>
              </w:rPr>
              <w:t xml:space="preserve"> </w:t>
            </w:r>
            <w:r w:rsidRPr="00657BA6">
              <w:rPr>
                <w:rFonts w:ascii="Arial" w:hAnsi="Arial" w:cs="Arial"/>
                <w:sz w:val="20"/>
                <w:szCs w:val="20"/>
              </w:rPr>
              <w:t xml:space="preserve">sería consistente para </w:t>
            </w:r>
            <w:r w:rsidRPr="00657BA6">
              <w:rPr>
                <w:rFonts w:ascii="Arial" w:hAnsi="Arial" w:cs="Arial"/>
                <w:sz w:val="20"/>
                <w:szCs w:val="20"/>
              </w:rPr>
              <w:lastRenderedPageBreak/>
              <w:t>operadores fijos y móviles.</w:t>
            </w:r>
          </w:p>
        </w:tc>
      </w:tr>
      <w:tr w:rsidR="004A3027" w:rsidRPr="00657BA6" w14:paraId="6606ECAF" w14:textId="77777777" w:rsidTr="006C794D">
        <w:tc>
          <w:tcPr>
            <w:tcW w:w="884" w:type="pct"/>
            <w:tcBorders>
              <w:top w:val="single" w:sz="4" w:space="0" w:color="000000"/>
            </w:tcBorders>
          </w:tcPr>
          <w:p w14:paraId="4E874844" w14:textId="77777777" w:rsidR="004A3027" w:rsidRPr="00657BA6" w:rsidRDefault="004A3027" w:rsidP="0014780A">
            <w:pPr>
              <w:spacing w:after="0"/>
              <w:ind w:right="113"/>
              <w:jc w:val="both"/>
              <w:rPr>
                <w:rFonts w:ascii="Arial" w:hAnsi="Arial" w:cs="Arial"/>
                <w:sz w:val="20"/>
                <w:szCs w:val="20"/>
              </w:rPr>
            </w:pPr>
            <w:r w:rsidRPr="00657BA6">
              <w:rPr>
                <w:rFonts w:ascii="Arial" w:hAnsi="Arial" w:cs="Arial"/>
                <w:sz w:val="20"/>
                <w:szCs w:val="20"/>
              </w:rPr>
              <w:lastRenderedPageBreak/>
              <w:t>Tecnología</w:t>
            </w:r>
          </w:p>
        </w:tc>
        <w:tc>
          <w:tcPr>
            <w:tcW w:w="1253" w:type="pct"/>
            <w:tcBorders>
              <w:top w:val="single" w:sz="4" w:space="0" w:color="000000"/>
            </w:tcBorders>
          </w:tcPr>
          <w:p w14:paraId="36EC371D" w14:textId="77777777" w:rsidR="004A3027" w:rsidRPr="00657BA6" w:rsidRDefault="004A3027" w:rsidP="0014780A">
            <w:pPr>
              <w:spacing w:after="0"/>
              <w:ind w:right="113"/>
              <w:jc w:val="both"/>
              <w:rPr>
                <w:rFonts w:ascii="Arial" w:hAnsi="Arial" w:cs="Arial"/>
                <w:sz w:val="20"/>
                <w:szCs w:val="20"/>
              </w:rPr>
            </w:pPr>
            <w:r w:rsidRPr="00657BA6">
              <w:rPr>
                <w:rFonts w:ascii="Arial" w:hAnsi="Arial" w:cs="Arial"/>
                <w:sz w:val="20"/>
                <w:szCs w:val="20"/>
              </w:rPr>
              <w:t xml:space="preserve">Grandes diferencias en tecnología para el operador histórico, alternativos y los operadores de cable por lo que un promedio no sería representativo. </w:t>
            </w:r>
          </w:p>
        </w:tc>
        <w:tc>
          <w:tcPr>
            <w:tcW w:w="1552" w:type="pct"/>
            <w:tcBorders>
              <w:top w:val="single" w:sz="4" w:space="0" w:color="000000"/>
            </w:tcBorders>
          </w:tcPr>
          <w:p w14:paraId="1F0B2848" w14:textId="77777777" w:rsidR="004A3027" w:rsidRPr="00657BA6" w:rsidRDefault="004A3027" w:rsidP="0014780A">
            <w:pPr>
              <w:spacing w:after="0"/>
              <w:ind w:right="113"/>
              <w:jc w:val="both"/>
              <w:rPr>
                <w:rFonts w:ascii="Arial" w:hAnsi="Arial" w:cs="Arial"/>
                <w:sz w:val="20"/>
                <w:szCs w:val="20"/>
              </w:rPr>
            </w:pPr>
            <w:r w:rsidRPr="00657BA6">
              <w:rPr>
                <w:rFonts w:ascii="Arial" w:hAnsi="Arial" w:cs="Arial"/>
                <w:sz w:val="20"/>
                <w:szCs w:val="20"/>
              </w:rPr>
              <w:t>La tecnología utilizada por un operador hipotético puede definirse de forma específica, tomando en consideración componentes relevantes de las redes existentes.</w:t>
            </w:r>
          </w:p>
        </w:tc>
        <w:tc>
          <w:tcPr>
            <w:tcW w:w="1311" w:type="pct"/>
            <w:tcBorders>
              <w:top w:val="single" w:sz="4" w:space="0" w:color="000000"/>
            </w:tcBorders>
          </w:tcPr>
          <w:p w14:paraId="0A151658" w14:textId="77777777" w:rsidR="004A3027" w:rsidRPr="00657BA6" w:rsidRDefault="004A3027" w:rsidP="0014780A">
            <w:pPr>
              <w:spacing w:after="0"/>
              <w:ind w:right="113"/>
              <w:jc w:val="both"/>
              <w:rPr>
                <w:rFonts w:ascii="Arial" w:hAnsi="Arial" w:cs="Arial"/>
                <w:sz w:val="20"/>
                <w:szCs w:val="20"/>
              </w:rPr>
            </w:pPr>
            <w:r w:rsidRPr="00657BA6">
              <w:rPr>
                <w:rFonts w:ascii="Arial" w:hAnsi="Arial" w:cs="Arial"/>
                <w:sz w:val="20"/>
                <w:szCs w:val="20"/>
              </w:rPr>
              <w:t>Por definición, un nuevo entrante utilizaría la tecnología moderna existente.</w:t>
            </w:r>
          </w:p>
        </w:tc>
      </w:tr>
      <w:tr w:rsidR="004A3027" w:rsidRPr="00657BA6" w14:paraId="78B19782" w14:textId="77777777" w:rsidTr="006C794D">
        <w:trPr>
          <w:cnfStyle w:val="000000100000" w:firstRow="0" w:lastRow="0" w:firstColumn="0" w:lastColumn="0" w:oddVBand="0" w:evenVBand="0" w:oddHBand="1" w:evenHBand="0" w:firstRowFirstColumn="0" w:firstRowLastColumn="0" w:lastRowFirstColumn="0" w:lastRowLastColumn="0"/>
        </w:trPr>
        <w:tc>
          <w:tcPr>
            <w:tcW w:w="884" w:type="pct"/>
          </w:tcPr>
          <w:p w14:paraId="32B2D0B0" w14:textId="77777777" w:rsidR="004A3027" w:rsidRPr="00657BA6" w:rsidRDefault="004A3027" w:rsidP="0014780A">
            <w:pPr>
              <w:spacing w:after="0"/>
              <w:ind w:right="113"/>
              <w:jc w:val="both"/>
              <w:rPr>
                <w:rFonts w:ascii="Arial" w:hAnsi="Arial" w:cs="Arial"/>
                <w:sz w:val="20"/>
                <w:szCs w:val="20"/>
              </w:rPr>
            </w:pPr>
            <w:r w:rsidRPr="00657BA6">
              <w:rPr>
                <w:rFonts w:ascii="Arial" w:hAnsi="Arial" w:cs="Arial"/>
                <w:sz w:val="20"/>
                <w:szCs w:val="20"/>
              </w:rPr>
              <w:t xml:space="preserve">Evolución y migración a tecnología moderna </w:t>
            </w:r>
          </w:p>
        </w:tc>
        <w:tc>
          <w:tcPr>
            <w:tcW w:w="1253" w:type="pct"/>
          </w:tcPr>
          <w:p w14:paraId="10FCC4FC" w14:textId="77777777" w:rsidR="004A3027" w:rsidRPr="00657BA6" w:rsidRDefault="004A3027" w:rsidP="0014780A">
            <w:pPr>
              <w:spacing w:after="0"/>
              <w:ind w:right="113"/>
              <w:jc w:val="both"/>
              <w:rPr>
                <w:rFonts w:ascii="Arial" w:hAnsi="Arial" w:cs="Arial"/>
                <w:sz w:val="20"/>
                <w:szCs w:val="20"/>
              </w:rPr>
            </w:pPr>
            <w:r w:rsidRPr="00657BA6">
              <w:rPr>
                <w:rFonts w:ascii="Arial" w:hAnsi="Arial" w:cs="Arial"/>
                <w:sz w:val="20"/>
                <w:szCs w:val="20"/>
              </w:rPr>
              <w:t>Los principales operadores fijos han evolucionado en formas distintas por lo que es complicado definir una evolución promedio; los operadores móviles evolucionan de distinto modo.</w:t>
            </w:r>
          </w:p>
        </w:tc>
        <w:tc>
          <w:tcPr>
            <w:tcW w:w="1552" w:type="pct"/>
          </w:tcPr>
          <w:p w14:paraId="4C1DB13E" w14:textId="77777777" w:rsidR="004A3027" w:rsidRPr="00657BA6" w:rsidRDefault="004A3027" w:rsidP="0014780A">
            <w:pPr>
              <w:spacing w:after="0"/>
              <w:ind w:right="113"/>
              <w:jc w:val="both"/>
              <w:rPr>
                <w:rFonts w:ascii="Arial" w:hAnsi="Arial" w:cs="Arial"/>
                <w:sz w:val="20"/>
                <w:szCs w:val="20"/>
              </w:rPr>
            </w:pPr>
            <w:r w:rsidRPr="00657BA6">
              <w:rPr>
                <w:rFonts w:ascii="Arial" w:hAnsi="Arial" w:cs="Arial"/>
                <w:sz w:val="20"/>
                <w:szCs w:val="20"/>
              </w:rPr>
              <w:t>La evolución y migración de un operador hipotético puede definirse de forma específica, teniendo en cuenta las redes existentes. Los despliegues de red anteriores pueden ser ignorados si se espera una migración a una tecnología de nueva generación en el corto/mediano plazo (lo cual ya está siendo observado en las redes actuales).</w:t>
            </w:r>
          </w:p>
        </w:tc>
        <w:tc>
          <w:tcPr>
            <w:tcW w:w="1311" w:type="pct"/>
          </w:tcPr>
          <w:p w14:paraId="2A256C1E" w14:textId="77777777" w:rsidR="004A3027" w:rsidRPr="00657BA6" w:rsidRDefault="004A3027" w:rsidP="0014780A">
            <w:pPr>
              <w:spacing w:after="0"/>
              <w:ind w:right="113"/>
              <w:jc w:val="both"/>
              <w:rPr>
                <w:rFonts w:ascii="Arial" w:hAnsi="Arial" w:cs="Arial"/>
                <w:sz w:val="20"/>
                <w:szCs w:val="20"/>
              </w:rPr>
            </w:pPr>
            <w:r w:rsidRPr="00657BA6">
              <w:rPr>
                <w:rFonts w:ascii="Arial" w:hAnsi="Arial" w:cs="Arial"/>
                <w:sz w:val="20"/>
                <w:szCs w:val="20"/>
              </w:rPr>
              <w:t>Por definición, un nuevo entrante hipotético comenzaría a operar con tecnología moderna, por lo que la evolución y migración no son relevantes. Sin embargo, la velocidad de despliegue y adquisición de usuarios serían datos clave para el modelo.</w:t>
            </w:r>
          </w:p>
        </w:tc>
      </w:tr>
      <w:tr w:rsidR="004A3027" w:rsidRPr="00657BA6" w14:paraId="12876FB9" w14:textId="77777777" w:rsidTr="006C794D">
        <w:tc>
          <w:tcPr>
            <w:tcW w:w="884" w:type="pct"/>
          </w:tcPr>
          <w:p w14:paraId="500E438C" w14:textId="77777777" w:rsidR="004A3027" w:rsidRPr="00657BA6" w:rsidRDefault="004A3027" w:rsidP="0014780A">
            <w:pPr>
              <w:spacing w:after="0"/>
              <w:ind w:right="113"/>
              <w:jc w:val="both"/>
              <w:rPr>
                <w:rFonts w:ascii="Arial" w:hAnsi="Arial" w:cs="Arial"/>
                <w:sz w:val="20"/>
                <w:szCs w:val="20"/>
              </w:rPr>
            </w:pPr>
            <w:r w:rsidRPr="00657BA6">
              <w:rPr>
                <w:rFonts w:ascii="Arial" w:hAnsi="Arial" w:cs="Arial"/>
                <w:sz w:val="20"/>
                <w:szCs w:val="20"/>
              </w:rPr>
              <w:t>Eficiencia</w:t>
            </w:r>
          </w:p>
        </w:tc>
        <w:tc>
          <w:tcPr>
            <w:tcW w:w="1253" w:type="pct"/>
          </w:tcPr>
          <w:p w14:paraId="4E422C4C" w14:textId="77777777" w:rsidR="004A3027" w:rsidRPr="00657BA6" w:rsidRDefault="004A3027" w:rsidP="0014780A">
            <w:pPr>
              <w:spacing w:after="0"/>
              <w:ind w:right="113"/>
              <w:jc w:val="both"/>
              <w:rPr>
                <w:rFonts w:ascii="Arial" w:hAnsi="Arial" w:cs="Arial"/>
                <w:sz w:val="20"/>
                <w:szCs w:val="20"/>
              </w:rPr>
            </w:pPr>
            <w:r w:rsidRPr="00657BA6">
              <w:rPr>
                <w:rFonts w:ascii="Arial" w:hAnsi="Arial" w:cs="Arial"/>
                <w:sz w:val="20"/>
                <w:szCs w:val="20"/>
              </w:rPr>
              <w:t>Se podrían incluir costos ineficientes con un promedio.</w:t>
            </w:r>
          </w:p>
        </w:tc>
        <w:tc>
          <w:tcPr>
            <w:tcW w:w="1552" w:type="pct"/>
          </w:tcPr>
          <w:p w14:paraId="5BAA42AA" w14:textId="77777777" w:rsidR="004A3027" w:rsidRPr="00657BA6" w:rsidRDefault="004A3027" w:rsidP="0014780A">
            <w:pPr>
              <w:spacing w:after="0"/>
              <w:ind w:right="113"/>
              <w:jc w:val="both"/>
              <w:rPr>
                <w:rFonts w:ascii="Arial" w:hAnsi="Arial" w:cs="Arial"/>
                <w:sz w:val="20"/>
                <w:szCs w:val="20"/>
              </w:rPr>
            </w:pPr>
            <w:r w:rsidRPr="00657BA6">
              <w:rPr>
                <w:rFonts w:ascii="Arial" w:hAnsi="Arial" w:cs="Arial"/>
                <w:sz w:val="20"/>
                <w:szCs w:val="20"/>
              </w:rPr>
              <w:t>Los aspectos de eficiencia pueden ser definidos.</w:t>
            </w:r>
          </w:p>
        </w:tc>
        <w:tc>
          <w:tcPr>
            <w:tcW w:w="1311" w:type="pct"/>
          </w:tcPr>
          <w:p w14:paraId="2DCC528B" w14:textId="77777777" w:rsidR="004A3027" w:rsidRPr="00657BA6" w:rsidRDefault="004A3027" w:rsidP="0014780A">
            <w:pPr>
              <w:spacing w:after="0"/>
              <w:ind w:right="113"/>
              <w:jc w:val="both"/>
              <w:rPr>
                <w:rFonts w:ascii="Arial" w:hAnsi="Arial" w:cs="Arial"/>
                <w:sz w:val="20"/>
                <w:szCs w:val="20"/>
              </w:rPr>
            </w:pPr>
            <w:r w:rsidRPr="00657BA6">
              <w:rPr>
                <w:rFonts w:ascii="Arial" w:hAnsi="Arial" w:cs="Arial"/>
                <w:sz w:val="20"/>
                <w:szCs w:val="20"/>
              </w:rPr>
              <w:t>Las opciones eficientes se pueden seleccionar para el modelo.</w:t>
            </w:r>
          </w:p>
        </w:tc>
      </w:tr>
      <w:tr w:rsidR="004A3027" w:rsidRPr="00657BA6" w14:paraId="7366970A" w14:textId="77777777" w:rsidTr="006C794D">
        <w:trPr>
          <w:cnfStyle w:val="000000100000" w:firstRow="0" w:lastRow="0" w:firstColumn="0" w:lastColumn="0" w:oddVBand="0" w:evenVBand="0" w:oddHBand="1" w:evenHBand="0" w:firstRowFirstColumn="0" w:firstRowLastColumn="0" w:lastRowFirstColumn="0" w:lastRowLastColumn="0"/>
        </w:trPr>
        <w:tc>
          <w:tcPr>
            <w:tcW w:w="884" w:type="pct"/>
          </w:tcPr>
          <w:p w14:paraId="70D5BBC9" w14:textId="77777777" w:rsidR="004A3027" w:rsidRPr="00657BA6" w:rsidRDefault="004A3027" w:rsidP="0014780A">
            <w:pPr>
              <w:spacing w:after="0"/>
              <w:ind w:right="113"/>
              <w:jc w:val="both"/>
              <w:rPr>
                <w:rFonts w:ascii="Arial" w:hAnsi="Arial" w:cs="Arial"/>
                <w:sz w:val="20"/>
                <w:szCs w:val="20"/>
              </w:rPr>
            </w:pPr>
            <w:r w:rsidRPr="00657BA6">
              <w:rPr>
                <w:rFonts w:ascii="Arial" w:hAnsi="Arial" w:cs="Arial"/>
                <w:sz w:val="20"/>
                <w:szCs w:val="20"/>
              </w:rPr>
              <w:t>Transparencia con respecto al uso de un modelo ascendente (</w:t>
            </w:r>
            <w:r w:rsidRPr="00657BA6">
              <w:rPr>
                <w:rFonts w:ascii="Arial" w:hAnsi="Arial" w:cs="Arial"/>
                <w:i/>
                <w:sz w:val="20"/>
                <w:szCs w:val="20"/>
              </w:rPr>
              <w:t>bottom up</w:t>
            </w:r>
            <w:r w:rsidRPr="00657BA6">
              <w:rPr>
                <w:rFonts w:ascii="Arial" w:hAnsi="Arial" w:cs="Arial"/>
                <w:sz w:val="20"/>
                <w:szCs w:val="20"/>
              </w:rPr>
              <w:t>)</w:t>
            </w:r>
          </w:p>
        </w:tc>
        <w:tc>
          <w:tcPr>
            <w:tcW w:w="1253" w:type="pct"/>
          </w:tcPr>
          <w:p w14:paraId="5291F4F8" w14:textId="77777777" w:rsidR="004A3027" w:rsidRPr="00657BA6" w:rsidRDefault="004A3027" w:rsidP="0014780A">
            <w:pPr>
              <w:spacing w:after="0"/>
              <w:ind w:right="113"/>
              <w:jc w:val="both"/>
              <w:rPr>
                <w:rFonts w:ascii="Arial" w:hAnsi="Arial" w:cs="Arial"/>
                <w:sz w:val="20"/>
                <w:szCs w:val="20"/>
              </w:rPr>
            </w:pPr>
            <w:r w:rsidRPr="00657BA6">
              <w:rPr>
                <w:rFonts w:ascii="Arial" w:hAnsi="Arial" w:cs="Arial"/>
                <w:sz w:val="20"/>
                <w:szCs w:val="20"/>
              </w:rPr>
              <w:t>Puede ser difícil en el caso de las redes fijas ya que el operador promedio sería muy abstracto en comparación con los operadores existentes.</w:t>
            </w:r>
          </w:p>
          <w:p w14:paraId="446FBE1D" w14:textId="77777777" w:rsidR="004A3027" w:rsidRPr="00657BA6" w:rsidRDefault="004A3027" w:rsidP="0014780A">
            <w:pPr>
              <w:spacing w:after="0"/>
              <w:ind w:right="113"/>
              <w:jc w:val="both"/>
              <w:rPr>
                <w:rFonts w:ascii="Arial" w:hAnsi="Arial" w:cs="Arial"/>
                <w:sz w:val="20"/>
                <w:szCs w:val="20"/>
              </w:rPr>
            </w:pPr>
            <w:r w:rsidRPr="00657BA6">
              <w:rPr>
                <w:rFonts w:ascii="Arial" w:hAnsi="Arial" w:cs="Arial"/>
                <w:sz w:val="20"/>
                <w:szCs w:val="20"/>
              </w:rPr>
              <w:t>El operador promedio móvil tendría más semejanzas con los operadores existentes.</w:t>
            </w:r>
          </w:p>
        </w:tc>
        <w:tc>
          <w:tcPr>
            <w:tcW w:w="1552" w:type="pct"/>
          </w:tcPr>
          <w:p w14:paraId="0DDD2738" w14:textId="77777777" w:rsidR="004A3027" w:rsidRPr="00657BA6" w:rsidRDefault="004A3027" w:rsidP="0014780A">
            <w:pPr>
              <w:spacing w:after="0"/>
              <w:ind w:right="113"/>
              <w:jc w:val="both"/>
              <w:rPr>
                <w:rFonts w:ascii="Arial" w:hAnsi="Arial" w:cs="Arial"/>
                <w:sz w:val="20"/>
                <w:szCs w:val="20"/>
              </w:rPr>
            </w:pPr>
            <w:r w:rsidRPr="00657BA6">
              <w:rPr>
                <w:rFonts w:ascii="Arial" w:hAnsi="Arial" w:cs="Arial"/>
                <w:sz w:val="20"/>
                <w:szCs w:val="20"/>
              </w:rPr>
              <w:t xml:space="preserve">La transparencia aumenta cuando el diseño del operador fijo es único y explícito y no el promedio de operaciones diversas. </w:t>
            </w:r>
          </w:p>
          <w:p w14:paraId="78364A29" w14:textId="77777777" w:rsidR="004A3027" w:rsidRPr="00657BA6" w:rsidRDefault="004A3027" w:rsidP="0014780A">
            <w:pPr>
              <w:spacing w:after="0"/>
              <w:ind w:right="113"/>
              <w:jc w:val="both"/>
              <w:rPr>
                <w:rFonts w:ascii="Arial" w:hAnsi="Arial" w:cs="Arial"/>
                <w:sz w:val="20"/>
                <w:szCs w:val="20"/>
              </w:rPr>
            </w:pPr>
            <w:r w:rsidRPr="00657BA6">
              <w:rPr>
                <w:rFonts w:ascii="Arial" w:hAnsi="Arial" w:cs="Arial"/>
                <w:sz w:val="20"/>
                <w:szCs w:val="20"/>
              </w:rPr>
              <w:t>Debido a las semejanzas entre los operadores móviles, este enfoque sería transparente y un buen reflejo de la realidad.</w:t>
            </w:r>
          </w:p>
        </w:tc>
        <w:tc>
          <w:tcPr>
            <w:tcW w:w="1311" w:type="pct"/>
          </w:tcPr>
          <w:p w14:paraId="55C7F749" w14:textId="7B7861EE" w:rsidR="004A3027" w:rsidRPr="00657BA6" w:rsidRDefault="004A3027" w:rsidP="0014780A">
            <w:pPr>
              <w:spacing w:after="0"/>
              <w:ind w:right="113"/>
              <w:jc w:val="both"/>
              <w:rPr>
                <w:rFonts w:ascii="Arial" w:hAnsi="Arial" w:cs="Arial"/>
                <w:sz w:val="20"/>
                <w:szCs w:val="20"/>
              </w:rPr>
            </w:pPr>
            <w:r w:rsidRPr="00657BA6">
              <w:rPr>
                <w:rFonts w:ascii="Arial" w:hAnsi="Arial" w:cs="Arial"/>
                <w:sz w:val="20"/>
                <w:szCs w:val="20"/>
              </w:rPr>
              <w:t xml:space="preserve">En principio, un nuevo entrante hipotético tendría un diseño transparente, sin </w:t>
            </w:r>
            <w:r w:rsidR="009C2477" w:rsidRPr="00657BA6">
              <w:rPr>
                <w:rFonts w:ascii="Arial" w:hAnsi="Arial" w:cs="Arial"/>
                <w:sz w:val="20"/>
                <w:szCs w:val="20"/>
              </w:rPr>
              <w:t>embargo,</w:t>
            </w:r>
            <w:r w:rsidRPr="00657BA6">
              <w:rPr>
                <w:rFonts w:ascii="Arial" w:hAnsi="Arial" w:cs="Arial"/>
                <w:sz w:val="20"/>
                <w:szCs w:val="20"/>
              </w:rPr>
              <w:t xml:space="preserve"> esto implica que se necesiten más datos de los operadores reales para los parámetros hipotéticos.</w:t>
            </w:r>
          </w:p>
        </w:tc>
      </w:tr>
      <w:tr w:rsidR="004A3027" w:rsidRPr="00657BA6" w14:paraId="429B4994" w14:textId="77777777" w:rsidTr="006C794D">
        <w:tc>
          <w:tcPr>
            <w:tcW w:w="884" w:type="pct"/>
          </w:tcPr>
          <w:p w14:paraId="41BD4D93" w14:textId="77777777" w:rsidR="004A3027" w:rsidRPr="00657BA6" w:rsidRDefault="004A3027" w:rsidP="0014780A">
            <w:pPr>
              <w:spacing w:after="0"/>
              <w:ind w:right="113"/>
              <w:jc w:val="both"/>
              <w:rPr>
                <w:rFonts w:ascii="Arial" w:hAnsi="Arial" w:cs="Arial"/>
                <w:sz w:val="20"/>
                <w:szCs w:val="20"/>
              </w:rPr>
            </w:pPr>
            <w:r w:rsidRPr="00657BA6">
              <w:rPr>
                <w:rFonts w:ascii="Arial" w:hAnsi="Arial" w:cs="Arial"/>
                <w:sz w:val="20"/>
                <w:szCs w:val="20"/>
              </w:rPr>
              <w:t>Reconciliación práctica con contabilidad descendente (</w:t>
            </w:r>
            <w:r w:rsidRPr="00657BA6">
              <w:rPr>
                <w:rFonts w:ascii="Arial" w:hAnsi="Arial" w:cs="Arial"/>
                <w:i/>
                <w:sz w:val="20"/>
                <w:szCs w:val="20"/>
              </w:rPr>
              <w:t>top-down)</w:t>
            </w:r>
          </w:p>
        </w:tc>
        <w:tc>
          <w:tcPr>
            <w:tcW w:w="1253" w:type="pct"/>
          </w:tcPr>
          <w:p w14:paraId="1655CC75" w14:textId="77777777" w:rsidR="004A3027" w:rsidRPr="00657BA6" w:rsidRDefault="004A3027" w:rsidP="0014780A">
            <w:pPr>
              <w:spacing w:after="0"/>
              <w:ind w:right="113"/>
              <w:jc w:val="both"/>
              <w:rPr>
                <w:rFonts w:ascii="Arial" w:hAnsi="Arial" w:cs="Arial"/>
                <w:sz w:val="20"/>
                <w:szCs w:val="20"/>
              </w:rPr>
            </w:pPr>
            <w:r w:rsidRPr="00657BA6">
              <w:rPr>
                <w:rFonts w:ascii="Arial" w:hAnsi="Arial" w:cs="Arial"/>
                <w:sz w:val="20"/>
                <w:szCs w:val="20"/>
              </w:rPr>
              <w:t xml:space="preserve">No es posible comparar directamente los costos de un operador promedio con los costos reales de los operadores. Sólo es posible realizar comparaciones </w:t>
            </w:r>
            <w:r w:rsidRPr="00657BA6">
              <w:rPr>
                <w:rFonts w:ascii="Arial" w:hAnsi="Arial" w:cs="Arial"/>
                <w:sz w:val="20"/>
                <w:szCs w:val="20"/>
              </w:rPr>
              <w:lastRenderedPageBreak/>
              <w:t>indirectas (p.ej. total de gastos y asignaciones sobre costos).</w:t>
            </w:r>
          </w:p>
        </w:tc>
        <w:tc>
          <w:tcPr>
            <w:tcW w:w="1552" w:type="pct"/>
          </w:tcPr>
          <w:p w14:paraId="749165FD" w14:textId="77777777" w:rsidR="004A3027" w:rsidRPr="00657BA6" w:rsidRDefault="004A3027" w:rsidP="0014780A">
            <w:pPr>
              <w:spacing w:after="0"/>
              <w:ind w:right="113"/>
              <w:jc w:val="both"/>
              <w:rPr>
                <w:rFonts w:ascii="Arial" w:hAnsi="Arial" w:cs="Arial"/>
                <w:sz w:val="20"/>
                <w:szCs w:val="20"/>
              </w:rPr>
            </w:pPr>
            <w:r w:rsidRPr="00657BA6">
              <w:rPr>
                <w:rFonts w:ascii="Arial" w:hAnsi="Arial" w:cs="Arial"/>
                <w:sz w:val="20"/>
                <w:szCs w:val="20"/>
              </w:rPr>
              <w:lastRenderedPageBreak/>
              <w:t>No es posible comparar directamente los costos de un operador hipotético con los costos reales de los operadores. Sólo es posible realizar comparaciones indirectas (p.ej. total de gastos y asignaciones sobre costos).</w:t>
            </w:r>
          </w:p>
        </w:tc>
        <w:tc>
          <w:tcPr>
            <w:tcW w:w="1311" w:type="pct"/>
          </w:tcPr>
          <w:p w14:paraId="090291AD" w14:textId="77777777" w:rsidR="004A3027" w:rsidRPr="00657BA6" w:rsidRDefault="004A3027" w:rsidP="0014780A">
            <w:pPr>
              <w:spacing w:after="0"/>
              <w:ind w:right="113"/>
              <w:jc w:val="both"/>
              <w:rPr>
                <w:rFonts w:ascii="Arial" w:hAnsi="Arial" w:cs="Arial"/>
                <w:sz w:val="20"/>
                <w:szCs w:val="20"/>
              </w:rPr>
            </w:pPr>
            <w:r w:rsidRPr="00657BA6">
              <w:rPr>
                <w:rFonts w:ascii="Arial" w:hAnsi="Arial" w:cs="Arial"/>
                <w:sz w:val="20"/>
                <w:szCs w:val="20"/>
              </w:rPr>
              <w:t>No es posible comparar directa o indirectamente los costos de un nuevo entrante con los costos reales de los operadores sin realizar ajustes adicionales ya que no existen estados de resultados futuros.</w:t>
            </w:r>
          </w:p>
        </w:tc>
      </w:tr>
    </w:tbl>
    <w:p w14:paraId="5A62814A" w14:textId="77777777" w:rsidR="004A3027" w:rsidRPr="00657BA6" w:rsidRDefault="004A3027" w:rsidP="0014780A">
      <w:pPr>
        <w:spacing w:after="0"/>
        <w:ind w:left="426"/>
        <w:jc w:val="center"/>
        <w:rPr>
          <w:rFonts w:ascii="Arial" w:eastAsia="Times New Roman" w:hAnsi="Arial" w:cs="Arial"/>
          <w:lang w:eastAsia="es-ES"/>
        </w:rPr>
      </w:pPr>
      <w:r w:rsidRPr="00657BA6">
        <w:rPr>
          <w:rFonts w:ascii="Arial" w:eastAsia="Times New Roman" w:hAnsi="Arial" w:cs="Arial"/>
          <w:lang w:eastAsia="es-ES"/>
        </w:rPr>
        <w:t>Tabla 1. Opciones del operador a modelar.</w:t>
      </w:r>
    </w:p>
    <w:p w14:paraId="1006DB83" w14:textId="77777777" w:rsidR="004A3027" w:rsidRPr="00657BA6" w:rsidRDefault="004A3027" w:rsidP="0014780A">
      <w:pPr>
        <w:spacing w:after="0"/>
        <w:jc w:val="both"/>
        <w:rPr>
          <w:rFonts w:ascii="Arial" w:eastAsia="Times New Roman" w:hAnsi="Arial" w:cs="Arial"/>
          <w:lang w:eastAsia="es-ES"/>
        </w:rPr>
      </w:pPr>
    </w:p>
    <w:p w14:paraId="721FEC15"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 xml:space="preserve">De esta forma, el Instituto considera que, entre las distintas opciones para la determinación de un concesionario representativo, la elección de un operador hipotético existente permite determinar costos de interconexión compatibles y representativos en el mercado mexicano.   </w:t>
      </w:r>
    </w:p>
    <w:p w14:paraId="4DB0C402" w14:textId="77777777" w:rsidR="004A3027" w:rsidRPr="00657BA6" w:rsidRDefault="004A3027" w:rsidP="0014780A">
      <w:pPr>
        <w:spacing w:after="0"/>
        <w:jc w:val="both"/>
        <w:rPr>
          <w:rFonts w:ascii="Arial" w:eastAsia="Times New Roman" w:hAnsi="Arial" w:cs="Arial"/>
          <w:lang w:eastAsia="es-ES"/>
        </w:rPr>
      </w:pPr>
    </w:p>
    <w:p w14:paraId="115C6D9A"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 xml:space="preserve">Esta opción permite determinar un costo que tiene en cuenta las características técnicas y económicas reales de las redes de los principales operadores fijos y móviles del mercado mexicano. Esto se consigue mediante un proceso de calibración con los datos proporcionados por los propios </w:t>
      </w:r>
      <w:r w:rsidRPr="00657BA6">
        <w:rPr>
          <w:rFonts w:ascii="Arial" w:hAnsi="Arial" w:cs="Arial"/>
        </w:rPr>
        <w:t>concesionarios</w:t>
      </w:r>
      <w:r w:rsidRPr="00657BA6">
        <w:rPr>
          <w:rFonts w:ascii="Arial" w:eastAsia="Times New Roman" w:hAnsi="Arial" w:cs="Arial"/>
          <w:lang w:eastAsia="es-ES"/>
        </w:rPr>
        <w:t>.</w:t>
      </w:r>
    </w:p>
    <w:p w14:paraId="21E55D80" w14:textId="77777777" w:rsidR="004A3027" w:rsidRPr="00657BA6" w:rsidRDefault="004A3027" w:rsidP="0014780A">
      <w:pPr>
        <w:spacing w:after="0"/>
        <w:jc w:val="both"/>
        <w:rPr>
          <w:rFonts w:ascii="Arial" w:eastAsia="Times New Roman" w:hAnsi="Arial" w:cs="Arial"/>
          <w:lang w:eastAsia="es-ES"/>
        </w:rPr>
      </w:pPr>
    </w:p>
    <w:p w14:paraId="7740C5F2" w14:textId="18AE7346"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Es importante señalar que la calibración</w:t>
      </w:r>
      <w:r w:rsidRPr="00657BA6">
        <w:rPr>
          <w:rFonts w:ascii="Arial" w:hAnsi="Arial" w:cs="Arial"/>
          <w:vertAlign w:val="superscript"/>
        </w:rPr>
        <w:footnoteReference w:id="28"/>
      </w:r>
      <w:r w:rsidRPr="00657BA6">
        <w:rPr>
          <w:rFonts w:ascii="Arial" w:eastAsia="Times New Roman" w:hAnsi="Arial" w:cs="Arial"/>
          <w:lang w:eastAsia="es-ES"/>
        </w:rPr>
        <w:t xml:space="preserve"> consiste en un procedimiento estándar en la construcción de modelos, donde se verifica que los datos estimados por el modelo se ajusten razonablemente a la información disponible. </w:t>
      </w:r>
    </w:p>
    <w:p w14:paraId="0AF6DBF0" w14:textId="77777777" w:rsidR="004A3027" w:rsidRPr="00657BA6" w:rsidRDefault="004A3027" w:rsidP="0014780A">
      <w:pPr>
        <w:spacing w:after="0"/>
        <w:jc w:val="both"/>
        <w:rPr>
          <w:rFonts w:ascii="Arial" w:eastAsia="Times New Roman" w:hAnsi="Arial" w:cs="Arial"/>
          <w:lang w:eastAsia="es-ES"/>
        </w:rPr>
      </w:pPr>
    </w:p>
    <w:p w14:paraId="3B6045F4" w14:textId="1DDDEB43"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 xml:space="preserve">En ese orden de ideas el Instituto considera que la elección de un operador hipotético existente permite la determinación de un concesionario representativo que utilice tecnología eficiente disponible, la determinación de costos </w:t>
      </w:r>
      <w:r w:rsidR="00B80B37" w:rsidRPr="00657BA6">
        <w:rPr>
          <w:rFonts w:ascii="Arial" w:eastAsia="Times New Roman" w:hAnsi="Arial" w:cs="Arial"/>
          <w:lang w:eastAsia="es-ES"/>
        </w:rPr>
        <w:t>de acuerdo con</w:t>
      </w:r>
      <w:r w:rsidRPr="00657BA6">
        <w:rPr>
          <w:rFonts w:ascii="Arial" w:eastAsia="Times New Roman" w:hAnsi="Arial" w:cs="Arial"/>
          <w:lang w:eastAsia="es-ES"/>
        </w:rPr>
        <w:t xml:space="preserve"> las condiciones de mercados competitivos y la calibración de los resultados con información de los operadores actuales. </w:t>
      </w:r>
    </w:p>
    <w:p w14:paraId="77686B38" w14:textId="77777777" w:rsidR="004A3027" w:rsidRPr="00657BA6" w:rsidRDefault="004A3027" w:rsidP="0014780A">
      <w:pPr>
        <w:spacing w:after="0"/>
        <w:jc w:val="both"/>
        <w:rPr>
          <w:rFonts w:ascii="Arial" w:eastAsia="Times New Roman" w:hAnsi="Arial" w:cs="Arial"/>
          <w:lang w:eastAsia="es-ES"/>
        </w:rPr>
      </w:pPr>
    </w:p>
    <w:p w14:paraId="7BE62B6A"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De lo antes expuesto los operadores modelados para el Modelo Móvil y el Modelo Fijo son:</w:t>
      </w:r>
    </w:p>
    <w:p w14:paraId="481C8D40" w14:textId="77777777" w:rsidR="004A3027" w:rsidRPr="00657BA6" w:rsidRDefault="004A3027" w:rsidP="0014780A">
      <w:pPr>
        <w:spacing w:after="0"/>
        <w:ind w:left="426"/>
        <w:jc w:val="both"/>
        <w:rPr>
          <w:rFonts w:ascii="Arial" w:eastAsia="Times New Roman" w:hAnsi="Arial" w:cs="Arial"/>
          <w:lang w:eastAsia="es-ES"/>
        </w:rPr>
      </w:pPr>
    </w:p>
    <w:p w14:paraId="75DC27C0" w14:textId="77890C48" w:rsidR="003C4BD0" w:rsidRPr="0067461A" w:rsidRDefault="003C4BD0" w:rsidP="0014780A">
      <w:pPr>
        <w:pStyle w:val="Listaconvietas"/>
        <w:tabs>
          <w:tab w:val="clear" w:pos="360"/>
        </w:tabs>
        <w:spacing w:line="276" w:lineRule="auto"/>
        <w:contextualSpacing w:val="0"/>
      </w:pPr>
      <w:r w:rsidRPr="0067461A">
        <w:t>Un operador hipotético de redes fijas basado en el AEP de redes fijas</w:t>
      </w:r>
      <w:r w:rsidR="003029A3">
        <w:t>.</w:t>
      </w:r>
    </w:p>
    <w:p w14:paraId="19EDF5E6" w14:textId="3477208A" w:rsidR="003C4BD0" w:rsidRPr="0067461A" w:rsidRDefault="003C4BD0" w:rsidP="0014780A">
      <w:pPr>
        <w:pStyle w:val="Listaconvietas"/>
        <w:tabs>
          <w:tab w:val="clear" w:pos="360"/>
        </w:tabs>
        <w:spacing w:line="276" w:lineRule="auto"/>
        <w:contextualSpacing w:val="0"/>
      </w:pPr>
      <w:r w:rsidRPr="0067461A">
        <w:t>Un concesionario alternativo hipotético de redes fijas</w:t>
      </w:r>
      <w:r w:rsidR="003029A3">
        <w:t>.</w:t>
      </w:r>
    </w:p>
    <w:p w14:paraId="58FF49DA" w14:textId="2BE1DFD1" w:rsidR="003C4BD0" w:rsidRPr="0067461A" w:rsidRDefault="003C4BD0" w:rsidP="0014780A">
      <w:pPr>
        <w:pStyle w:val="Listaconvietas"/>
        <w:tabs>
          <w:tab w:val="clear" w:pos="360"/>
        </w:tabs>
        <w:spacing w:line="276" w:lineRule="auto"/>
        <w:contextualSpacing w:val="0"/>
      </w:pPr>
      <w:r w:rsidRPr="0067461A">
        <w:t>Un operador hipotético de redes móviles basado en el AEP de redes móviles</w:t>
      </w:r>
      <w:r w:rsidR="003029A3">
        <w:t>.</w:t>
      </w:r>
    </w:p>
    <w:p w14:paraId="0EF1CB35" w14:textId="36B1791D" w:rsidR="003C4BD0" w:rsidRPr="003C4BD0" w:rsidRDefault="003C4BD0" w:rsidP="00D47BB9">
      <w:pPr>
        <w:pStyle w:val="Listaconvietas"/>
        <w:tabs>
          <w:tab w:val="clear" w:pos="360"/>
        </w:tabs>
        <w:spacing w:line="276" w:lineRule="auto"/>
        <w:contextualSpacing w:val="0"/>
      </w:pPr>
      <w:r w:rsidRPr="0067461A">
        <w:t xml:space="preserve">Un concesionario alternativo hipotético de redes </w:t>
      </w:r>
      <w:r>
        <w:t>móviles</w:t>
      </w:r>
      <w:r w:rsidR="003029A3">
        <w:t>.</w:t>
      </w:r>
    </w:p>
    <w:p w14:paraId="19984D51" w14:textId="77777777" w:rsidR="004A3027" w:rsidRPr="00657BA6" w:rsidRDefault="004A3027" w:rsidP="0014780A">
      <w:pPr>
        <w:spacing w:after="0"/>
        <w:jc w:val="both"/>
        <w:rPr>
          <w:rFonts w:ascii="Arial" w:eastAsia="Times New Roman" w:hAnsi="Arial" w:cs="Arial"/>
          <w:b/>
          <w:lang w:eastAsia="es-ES"/>
        </w:rPr>
      </w:pPr>
    </w:p>
    <w:p w14:paraId="02DAC976" w14:textId="77777777" w:rsidR="004A3027" w:rsidRPr="00657BA6" w:rsidRDefault="004A3027" w:rsidP="0014780A">
      <w:pPr>
        <w:spacing w:after="0"/>
        <w:jc w:val="both"/>
        <w:rPr>
          <w:rFonts w:ascii="Arial" w:eastAsia="Times New Roman" w:hAnsi="Arial" w:cs="Arial"/>
          <w:b/>
          <w:lang w:eastAsia="es-ES"/>
        </w:rPr>
      </w:pPr>
      <w:r w:rsidRPr="00657BA6">
        <w:rPr>
          <w:rFonts w:ascii="Arial" w:eastAsia="Times New Roman" w:hAnsi="Arial" w:cs="Arial"/>
          <w:b/>
          <w:lang w:eastAsia="es-ES"/>
        </w:rPr>
        <w:t>Configuración de la red de un concesionario eficiente</w:t>
      </w:r>
    </w:p>
    <w:p w14:paraId="1E6F6DB7" w14:textId="77777777" w:rsidR="004A3027" w:rsidRPr="00657BA6" w:rsidRDefault="004A3027" w:rsidP="0014780A">
      <w:pPr>
        <w:spacing w:after="0"/>
        <w:jc w:val="both"/>
        <w:rPr>
          <w:rFonts w:ascii="Arial" w:eastAsia="Times New Roman" w:hAnsi="Arial" w:cs="Arial"/>
          <w:lang w:eastAsia="es-ES"/>
        </w:rPr>
      </w:pPr>
    </w:p>
    <w:p w14:paraId="33D0C1A7"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La cobertura que ofrece un concesionario es un aspecto central del despliegue de una red y es un dato de entrada fundamental para el Modelo Móvil y el Modelo Fijo. Un enfoque consistente con la utilización de operadores hipotéticos existentes fijos y móviles implicará que los concesionarios hipotéticos existentes tendrán características comparables de cobertura con los operadores reales.</w:t>
      </w:r>
    </w:p>
    <w:p w14:paraId="6AA1E8AD" w14:textId="77777777" w:rsidR="004A3027" w:rsidRPr="00657BA6" w:rsidRDefault="004A3027" w:rsidP="0014780A">
      <w:pPr>
        <w:spacing w:after="0"/>
        <w:jc w:val="both"/>
        <w:rPr>
          <w:rFonts w:ascii="Arial" w:eastAsia="Times New Roman" w:hAnsi="Arial" w:cs="Arial"/>
          <w:lang w:eastAsia="es-ES"/>
        </w:rPr>
      </w:pPr>
    </w:p>
    <w:p w14:paraId="606819D9"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lastRenderedPageBreak/>
        <w:t>La consistencia entre los modelos de costos sugeriría que se asumiera cobertura cuasinacional para el operador fijo. Aunque se podría definir un límite para el despliegue de la red fija determinado por las zonas rurales donde los costos de terminación fija fueran mayores que los de una solución inalámbrica (p.ej. GSM), esto implicaría usar una medida subjetiva. Por lo tanto, utilizar la cobertura fija actual del operador de alcance nacional, que corresponde a la red fija del Agente Económico Preponderante sería una forma más pragmática para definir la huella del operador fijo.</w:t>
      </w:r>
    </w:p>
    <w:p w14:paraId="14B49458" w14:textId="77777777" w:rsidR="004A3027" w:rsidRPr="00657BA6" w:rsidRDefault="004A3027" w:rsidP="0014780A">
      <w:pPr>
        <w:spacing w:after="0"/>
        <w:jc w:val="both"/>
        <w:rPr>
          <w:rFonts w:ascii="Arial" w:eastAsia="Times New Roman" w:hAnsi="Arial" w:cs="Arial"/>
          <w:lang w:eastAsia="es-ES"/>
        </w:rPr>
      </w:pPr>
    </w:p>
    <w:p w14:paraId="6EABA6C5" w14:textId="77777777" w:rsidR="004A3027" w:rsidRPr="00657BA6" w:rsidRDefault="004A3027" w:rsidP="0014780A">
      <w:pPr>
        <w:spacing w:after="0"/>
        <w:jc w:val="both"/>
        <w:rPr>
          <w:rFonts w:ascii="Arial" w:eastAsia="Times New Roman" w:hAnsi="Arial" w:cs="Arial"/>
          <w:lang w:eastAsia="es-ES"/>
        </w:rPr>
      </w:pPr>
      <w:r w:rsidRPr="004D197A">
        <w:rPr>
          <w:rFonts w:ascii="Arial" w:eastAsia="Times New Roman" w:hAnsi="Arial" w:cs="Arial"/>
          <w:lang w:eastAsia="es-ES"/>
        </w:rPr>
        <w:t>Si una cobertura</w:t>
      </w:r>
      <w:r w:rsidRPr="00657BA6">
        <w:rPr>
          <w:rFonts w:ascii="Arial" w:eastAsia="Times New Roman" w:hAnsi="Arial" w:cs="Arial"/>
          <w:lang w:eastAsia="es-ES"/>
        </w:rPr>
        <w:t xml:space="preserve"> de ámbito inferior al nacional fuese a redundar en diferencias de costos considerables y exógenos, podría argumentarse a favor de modelar la cobertura de menor ámbito. Sin embargo, los operadores regionales de cable no están limitados por factores exógenos para ampliar su cobertura ya que pueden expandir sus redes o fusionarse con otros operadores. En efecto, los operadores alternativos con concesión de operación nacional parecen haber lanzado operaciones comerciales en zonas específicas del país, mientras que los operadores de cable han ido expandiendo su cobertura mediante la adquisición de licencias en ciudades y regiones que les interesaban. Por lo tanto, no es probable que se reflejen costos distintos a nivel regional por economías de escala geográficas menores a los costos de un operador eficiente </w:t>
      </w:r>
      <w:r w:rsidRPr="00657BA6">
        <w:rPr>
          <w:rFonts w:ascii="Arial" w:hAnsi="Arial" w:cs="Arial"/>
        </w:rPr>
        <w:t>nacional</w:t>
      </w:r>
      <w:r w:rsidRPr="00657BA6">
        <w:rPr>
          <w:rFonts w:ascii="Arial" w:eastAsia="Times New Roman" w:hAnsi="Arial" w:cs="Arial"/>
          <w:lang w:eastAsia="es-ES"/>
        </w:rPr>
        <w:t>.</w:t>
      </w:r>
    </w:p>
    <w:p w14:paraId="4A29B340" w14:textId="77777777" w:rsidR="004A3027" w:rsidRPr="00657BA6" w:rsidRDefault="004A3027" w:rsidP="0014780A">
      <w:pPr>
        <w:spacing w:after="0"/>
        <w:jc w:val="both"/>
        <w:rPr>
          <w:rFonts w:ascii="Arial" w:eastAsia="Times New Roman" w:hAnsi="Arial" w:cs="Arial"/>
          <w:lang w:eastAsia="es-ES"/>
        </w:rPr>
      </w:pPr>
    </w:p>
    <w:p w14:paraId="651BD0A2" w14:textId="3462DB6A" w:rsidR="00103A7D" w:rsidRDefault="004A3027" w:rsidP="0014780A">
      <w:pPr>
        <w:spacing w:after="0"/>
        <w:jc w:val="both"/>
        <w:rPr>
          <w:rFonts w:ascii="Arial" w:eastAsia="Times New Roman" w:hAnsi="Arial" w:cs="Arial"/>
          <w:lang w:eastAsia="es-ES"/>
        </w:rPr>
      </w:pPr>
      <w:r w:rsidRPr="00103A7D">
        <w:rPr>
          <w:rFonts w:ascii="Arial" w:eastAsia="Times New Roman" w:hAnsi="Arial" w:cs="Arial"/>
          <w:lang w:eastAsia="es-ES"/>
        </w:rPr>
        <w:t xml:space="preserve">En consecuencia, se modelan niveles de cobertura geográfica comparables con los ofrecidos por </w:t>
      </w:r>
      <w:r w:rsidR="00103A7D" w:rsidRPr="00D47BB9">
        <w:rPr>
          <w:rFonts w:ascii="Arial" w:eastAsia="Times New Roman" w:hAnsi="Arial" w:cs="Arial"/>
          <w:lang w:eastAsia="es-ES"/>
        </w:rPr>
        <w:t xml:space="preserve">los operadores mexicanos. </w:t>
      </w:r>
    </w:p>
    <w:p w14:paraId="2F5C2FC3" w14:textId="77777777" w:rsidR="0014780A" w:rsidRPr="00D47BB9" w:rsidRDefault="0014780A" w:rsidP="0014780A">
      <w:pPr>
        <w:spacing w:after="0"/>
        <w:jc w:val="both"/>
        <w:rPr>
          <w:rFonts w:ascii="Arial" w:eastAsia="Times New Roman" w:hAnsi="Arial" w:cs="Arial"/>
          <w:lang w:eastAsia="es-ES"/>
        </w:rPr>
      </w:pPr>
    </w:p>
    <w:p w14:paraId="771FCEF5" w14:textId="5058BD40" w:rsidR="00103A7D" w:rsidRPr="00103A7D" w:rsidRDefault="00103A7D" w:rsidP="009640AE">
      <w:pPr>
        <w:pStyle w:val="Prrafodelista"/>
        <w:numPr>
          <w:ilvl w:val="0"/>
          <w:numId w:val="55"/>
        </w:numPr>
        <w:spacing w:line="276" w:lineRule="auto"/>
        <w:rPr>
          <w:rFonts w:cs="Arial"/>
        </w:rPr>
      </w:pPr>
      <w:r w:rsidRPr="00103A7D">
        <w:rPr>
          <w:rFonts w:cs="Arial"/>
        </w:rPr>
        <w:t xml:space="preserve">Operador hipotético de redes fijas representativo del AEP: cobertura </w:t>
      </w:r>
      <w:r w:rsidR="00FC7A99">
        <w:rPr>
          <w:rFonts w:cs="Arial"/>
        </w:rPr>
        <w:t>nacional</w:t>
      </w:r>
      <w:r w:rsidR="004F2F0E">
        <w:rPr>
          <w:rFonts w:cs="Arial"/>
        </w:rPr>
        <w:t>.</w:t>
      </w:r>
    </w:p>
    <w:p w14:paraId="1A5393BA" w14:textId="77611451" w:rsidR="00103A7D" w:rsidRPr="00D47BB9" w:rsidRDefault="00103A7D" w:rsidP="009640AE">
      <w:pPr>
        <w:pStyle w:val="Prrafodelista"/>
        <w:numPr>
          <w:ilvl w:val="0"/>
          <w:numId w:val="55"/>
        </w:numPr>
        <w:spacing w:line="276" w:lineRule="auto"/>
        <w:rPr>
          <w:rFonts w:cs="Arial"/>
        </w:rPr>
      </w:pPr>
      <w:r w:rsidRPr="00103A7D">
        <w:rPr>
          <w:rFonts w:cs="Arial"/>
        </w:rPr>
        <w:t xml:space="preserve">Concesionario alternativo hipotético de redes fijas: cobertura </w:t>
      </w:r>
      <w:r w:rsidR="00FC7A99">
        <w:rPr>
          <w:rFonts w:cs="Arial"/>
        </w:rPr>
        <w:t>nacional</w:t>
      </w:r>
      <w:r w:rsidR="004F2F0E">
        <w:rPr>
          <w:rFonts w:cs="Arial"/>
        </w:rPr>
        <w:t>.</w:t>
      </w:r>
    </w:p>
    <w:p w14:paraId="135710D4" w14:textId="62555FFC" w:rsidR="00103A7D" w:rsidRPr="00103A7D" w:rsidRDefault="00103A7D" w:rsidP="009640AE">
      <w:pPr>
        <w:pStyle w:val="Prrafodelista"/>
        <w:numPr>
          <w:ilvl w:val="0"/>
          <w:numId w:val="55"/>
        </w:numPr>
        <w:spacing w:line="276" w:lineRule="auto"/>
        <w:rPr>
          <w:rFonts w:cs="Arial"/>
        </w:rPr>
      </w:pPr>
      <w:r w:rsidRPr="00103A7D">
        <w:rPr>
          <w:rFonts w:cs="Arial"/>
        </w:rPr>
        <w:t xml:space="preserve">Operador hipotético de redes móviles representativo del AEP: cobertura similar a la provista por </w:t>
      </w:r>
      <w:r w:rsidR="003029A3">
        <w:rPr>
          <w:rFonts w:cs="Arial"/>
        </w:rPr>
        <w:t>el AEP en redes móviles</w:t>
      </w:r>
      <w:r w:rsidR="004F2F0E">
        <w:rPr>
          <w:rFonts w:cs="Arial"/>
        </w:rPr>
        <w:t>.</w:t>
      </w:r>
    </w:p>
    <w:p w14:paraId="57A29EDF" w14:textId="797ABA62" w:rsidR="004A3027" w:rsidRPr="00657BA6" w:rsidRDefault="00103A7D" w:rsidP="009640AE">
      <w:pPr>
        <w:pStyle w:val="Prrafodelista"/>
        <w:numPr>
          <w:ilvl w:val="0"/>
          <w:numId w:val="55"/>
        </w:numPr>
        <w:spacing w:line="276" w:lineRule="auto"/>
        <w:rPr>
          <w:rFonts w:cs="Arial"/>
        </w:rPr>
      </w:pPr>
      <w:r w:rsidRPr="00103A7D">
        <w:rPr>
          <w:rFonts w:cs="Arial"/>
        </w:rPr>
        <w:t xml:space="preserve">Concesionario alternativo hipotético de redes móviles: cobertura basada en </w:t>
      </w:r>
      <w:r w:rsidRPr="00D47BB9">
        <w:rPr>
          <w:rFonts w:cs="Arial"/>
        </w:rPr>
        <w:t xml:space="preserve">provista por los </w:t>
      </w:r>
      <w:r w:rsidRPr="00103A7D">
        <w:rPr>
          <w:rFonts w:cs="Arial"/>
        </w:rPr>
        <w:t>concesionarios alternativos al AEP</w:t>
      </w:r>
      <w:r w:rsidRPr="00D47BB9">
        <w:rPr>
          <w:rFonts w:cs="Arial"/>
        </w:rPr>
        <w:t xml:space="preserve"> con red de acceso móvil de escala nacional</w:t>
      </w:r>
      <w:r w:rsidR="004F2F0E">
        <w:rPr>
          <w:rFonts w:cs="Arial"/>
        </w:rPr>
        <w:t>.</w:t>
      </w:r>
    </w:p>
    <w:p w14:paraId="4B4BB756" w14:textId="77777777" w:rsidR="00103A7D" w:rsidRDefault="00103A7D" w:rsidP="0014780A">
      <w:pPr>
        <w:spacing w:after="0"/>
        <w:jc w:val="both"/>
        <w:rPr>
          <w:rFonts w:ascii="Arial" w:eastAsia="Times New Roman" w:hAnsi="Arial" w:cs="Arial"/>
          <w:b/>
          <w:lang w:eastAsia="es-ES"/>
        </w:rPr>
      </w:pPr>
    </w:p>
    <w:p w14:paraId="14B5B857" w14:textId="744D3E21" w:rsidR="004A3027" w:rsidRPr="00657BA6" w:rsidRDefault="004A3027" w:rsidP="0014780A">
      <w:pPr>
        <w:spacing w:after="0"/>
        <w:jc w:val="both"/>
        <w:rPr>
          <w:rFonts w:ascii="Arial" w:eastAsia="Times New Roman" w:hAnsi="Arial" w:cs="Arial"/>
          <w:b/>
          <w:lang w:eastAsia="es-ES"/>
        </w:rPr>
      </w:pPr>
      <w:r w:rsidRPr="00657BA6">
        <w:rPr>
          <w:rFonts w:ascii="Arial" w:eastAsia="Times New Roman" w:hAnsi="Arial" w:cs="Arial"/>
          <w:b/>
          <w:lang w:eastAsia="es-ES"/>
        </w:rPr>
        <w:t xml:space="preserve">Tamaño de </w:t>
      </w:r>
      <w:r w:rsidR="00706900">
        <w:rPr>
          <w:rFonts w:ascii="Arial" w:eastAsia="Times New Roman" w:hAnsi="Arial" w:cs="Arial"/>
          <w:b/>
          <w:lang w:eastAsia="es-ES"/>
        </w:rPr>
        <w:t>los operadores modelados</w:t>
      </w:r>
    </w:p>
    <w:p w14:paraId="1A6DA797" w14:textId="77777777" w:rsidR="004A3027" w:rsidRPr="00657BA6" w:rsidRDefault="004A3027" w:rsidP="0014780A">
      <w:pPr>
        <w:spacing w:after="0"/>
        <w:ind w:left="993"/>
        <w:jc w:val="both"/>
        <w:rPr>
          <w:rFonts w:ascii="Arial" w:eastAsia="Times New Roman" w:hAnsi="Arial" w:cs="Arial"/>
          <w:b/>
          <w:lang w:eastAsia="es-ES"/>
        </w:rPr>
      </w:pPr>
    </w:p>
    <w:p w14:paraId="34797FAC" w14:textId="7E78059E" w:rsidR="00BF3DF1" w:rsidRDefault="00BF3DF1" w:rsidP="0014780A">
      <w:pPr>
        <w:spacing w:after="0"/>
        <w:jc w:val="both"/>
        <w:rPr>
          <w:rFonts w:ascii="Arial" w:eastAsia="Times New Roman" w:hAnsi="Arial" w:cs="Arial"/>
          <w:lang w:eastAsia="es-ES"/>
        </w:rPr>
      </w:pPr>
      <w:r w:rsidRPr="00D47BB9">
        <w:rPr>
          <w:rFonts w:ascii="Arial" w:eastAsia="Times New Roman" w:hAnsi="Arial" w:cs="Arial"/>
          <w:lang w:eastAsia="es-ES"/>
        </w:rPr>
        <w:t xml:space="preserve">Uno de los principales parámetros para definir a un operador hipotético es </w:t>
      </w:r>
      <w:r w:rsidR="00FD75C1">
        <w:rPr>
          <w:rFonts w:ascii="Arial" w:eastAsia="Times New Roman" w:hAnsi="Arial" w:cs="Arial"/>
          <w:lang w:eastAsia="es-ES"/>
        </w:rPr>
        <w:t>el</w:t>
      </w:r>
      <w:r w:rsidR="00FD75C1" w:rsidRPr="00D47BB9">
        <w:rPr>
          <w:rFonts w:ascii="Arial" w:eastAsia="Times New Roman" w:hAnsi="Arial" w:cs="Arial"/>
          <w:lang w:eastAsia="es-ES"/>
        </w:rPr>
        <w:t xml:space="preserve"> </w:t>
      </w:r>
      <w:r w:rsidRPr="00D47BB9">
        <w:rPr>
          <w:rFonts w:ascii="Arial" w:eastAsia="Times New Roman" w:hAnsi="Arial" w:cs="Arial"/>
          <w:lang w:eastAsia="es-ES"/>
        </w:rPr>
        <w:t>de determinar su tamaño potencial. Con este fin, normalmente se define la cuota de mercado que se supone razonable para este operador y, adicionalmente, la evolución de la cuota de mercado del operador en el tiempo.</w:t>
      </w:r>
    </w:p>
    <w:p w14:paraId="2F601521" w14:textId="77777777" w:rsidR="00BF3DF1" w:rsidRPr="00D47BB9" w:rsidRDefault="00BF3DF1" w:rsidP="00D47BB9">
      <w:pPr>
        <w:spacing w:after="0"/>
        <w:jc w:val="both"/>
        <w:rPr>
          <w:rFonts w:ascii="Arial" w:eastAsia="Times New Roman" w:hAnsi="Arial" w:cs="Arial"/>
          <w:lang w:eastAsia="es-ES"/>
        </w:rPr>
      </w:pPr>
    </w:p>
    <w:p w14:paraId="3423B58A" w14:textId="77777777" w:rsidR="00BF3DF1" w:rsidRDefault="00BF3DF1" w:rsidP="0014780A">
      <w:pPr>
        <w:spacing w:after="0"/>
        <w:jc w:val="both"/>
        <w:rPr>
          <w:rFonts w:ascii="Arial" w:eastAsia="Times New Roman" w:hAnsi="Arial" w:cs="Arial"/>
          <w:lang w:eastAsia="es-ES"/>
        </w:rPr>
      </w:pPr>
      <w:r w:rsidRPr="00D47BB9">
        <w:rPr>
          <w:rFonts w:ascii="Arial" w:eastAsia="Times New Roman" w:hAnsi="Arial" w:cs="Arial"/>
          <w:lang w:eastAsia="es-ES"/>
        </w:rPr>
        <w:t xml:space="preserve">Los parámetros seleccionados para definir la cuota de mercado de un operador en el tiempo tienen un impacto sobre el nivel de los costos económicos calculados por el modelo. Estos costos pueden cambiar si las economías de escala en el corto plazo (despliegue de red en los primeros </w:t>
      </w:r>
      <w:r w:rsidRPr="00D47BB9">
        <w:rPr>
          <w:rFonts w:ascii="Arial" w:eastAsia="Times New Roman" w:hAnsi="Arial" w:cs="Arial"/>
          <w:lang w:eastAsia="es-ES"/>
        </w:rPr>
        <w:lastRenderedPageBreak/>
        <w:t>años) y en el largo plazo (costo del espectro) son explotados en su totalidad. Cuanto más rápido crezca un operador,</w:t>
      </w:r>
      <w:r w:rsidRPr="00D47BB9">
        <w:rPr>
          <w:rFonts w:ascii="Arial" w:eastAsia="Times New Roman" w:hAnsi="Arial" w:cs="Arial"/>
          <w:vertAlign w:val="superscript"/>
          <w:lang w:eastAsia="es-ES"/>
        </w:rPr>
        <w:footnoteReference w:id="29"/>
      </w:r>
      <w:r w:rsidRPr="00D47BB9">
        <w:rPr>
          <w:rFonts w:ascii="Arial" w:eastAsia="Times New Roman" w:hAnsi="Arial" w:cs="Arial"/>
          <w:lang w:eastAsia="es-ES"/>
        </w:rPr>
        <w:t xml:space="preserve"> menor será el costo unitario eventual.</w:t>
      </w:r>
    </w:p>
    <w:p w14:paraId="5E8134E2" w14:textId="77777777" w:rsidR="00BF3DF1" w:rsidRPr="00D47BB9" w:rsidRDefault="00BF3DF1" w:rsidP="00D47BB9">
      <w:pPr>
        <w:spacing w:after="0"/>
        <w:jc w:val="both"/>
        <w:rPr>
          <w:rFonts w:ascii="Arial" w:eastAsia="Times New Roman" w:hAnsi="Arial" w:cs="Arial"/>
          <w:lang w:eastAsia="es-ES"/>
        </w:rPr>
      </w:pPr>
    </w:p>
    <w:p w14:paraId="58F8309E" w14:textId="0124CF4B" w:rsidR="00BF3DF1" w:rsidRDefault="00EE1477" w:rsidP="0014780A">
      <w:pPr>
        <w:spacing w:after="0"/>
        <w:jc w:val="both"/>
        <w:rPr>
          <w:rFonts w:ascii="Arial" w:eastAsia="Times New Roman" w:hAnsi="Arial" w:cs="Arial"/>
          <w:lang w:eastAsia="es-ES"/>
        </w:rPr>
      </w:pPr>
      <w:r>
        <w:rPr>
          <w:rFonts w:ascii="Arial" w:eastAsia="Times New Roman" w:hAnsi="Arial" w:cs="Arial"/>
          <w:lang w:eastAsia="es-ES"/>
        </w:rPr>
        <w:t>L</w:t>
      </w:r>
      <w:r w:rsidR="00BF3DF1" w:rsidRPr="00D47BB9">
        <w:rPr>
          <w:rFonts w:ascii="Arial" w:eastAsia="Times New Roman" w:hAnsi="Arial" w:cs="Arial"/>
          <w:lang w:eastAsia="es-ES"/>
        </w:rPr>
        <w:t xml:space="preserve">a cuota del operador hipotético representativo del AEP debe estar alineada con la experimentada en el mercado, tanto para redes móviles como para redes fijas, para poder dotarlo de unas economías de escala proporcionales a </w:t>
      </w:r>
      <w:r>
        <w:rPr>
          <w:rFonts w:ascii="Arial" w:eastAsia="Times New Roman" w:hAnsi="Arial" w:cs="Arial"/>
          <w:lang w:eastAsia="es-ES"/>
        </w:rPr>
        <w:t>su</w:t>
      </w:r>
      <w:r w:rsidR="00BF3DF1" w:rsidRPr="00D47BB9">
        <w:rPr>
          <w:rFonts w:ascii="Arial" w:eastAsia="Times New Roman" w:hAnsi="Arial" w:cs="Arial"/>
          <w:lang w:eastAsia="es-ES"/>
        </w:rPr>
        <w:t xml:space="preserve"> realidad. Por este motivo, el operador hipotético representativo del AEP de redes móviles se modelará para alinearse con el tamaño real observado para </w:t>
      </w:r>
      <w:r>
        <w:rPr>
          <w:rFonts w:ascii="Arial" w:eastAsia="Times New Roman" w:hAnsi="Arial" w:cs="Arial"/>
          <w:lang w:eastAsia="es-ES"/>
        </w:rPr>
        <w:t>el AEP móvil</w:t>
      </w:r>
      <w:r w:rsidR="00BF3DF1" w:rsidRPr="00D47BB9">
        <w:rPr>
          <w:rFonts w:ascii="Arial" w:eastAsia="Times New Roman" w:hAnsi="Arial" w:cs="Arial"/>
          <w:lang w:eastAsia="es-ES"/>
        </w:rPr>
        <w:t xml:space="preserve"> y el operador hipotético representativo del AEP de redes fijas se adaptará para alinearse con el tamaño de</w:t>
      </w:r>
      <w:r>
        <w:rPr>
          <w:rFonts w:ascii="Arial" w:eastAsia="Times New Roman" w:hAnsi="Arial" w:cs="Arial"/>
          <w:lang w:eastAsia="es-ES"/>
        </w:rPr>
        <w:t>l AEP fijo</w:t>
      </w:r>
      <w:r w:rsidR="00BF3DF1" w:rsidRPr="00D47BB9">
        <w:rPr>
          <w:rFonts w:ascii="Arial" w:eastAsia="Times New Roman" w:hAnsi="Arial" w:cs="Arial"/>
          <w:lang w:eastAsia="es-ES"/>
        </w:rPr>
        <w:t>.</w:t>
      </w:r>
    </w:p>
    <w:p w14:paraId="7901D7A1" w14:textId="77777777" w:rsidR="00BF3DF1" w:rsidRPr="00D47BB9" w:rsidRDefault="00BF3DF1" w:rsidP="00D47BB9">
      <w:pPr>
        <w:spacing w:after="0"/>
        <w:jc w:val="both"/>
        <w:rPr>
          <w:rFonts w:ascii="Arial" w:eastAsia="Times New Roman" w:hAnsi="Arial" w:cs="Arial"/>
          <w:lang w:eastAsia="es-ES"/>
        </w:rPr>
      </w:pPr>
    </w:p>
    <w:p w14:paraId="4E083EE9" w14:textId="2DC22845" w:rsidR="00BF3DF1" w:rsidRDefault="00BF3DF1" w:rsidP="0014780A">
      <w:pPr>
        <w:spacing w:after="0"/>
        <w:jc w:val="both"/>
        <w:rPr>
          <w:rFonts w:ascii="Arial" w:eastAsia="Times New Roman" w:hAnsi="Arial" w:cs="Arial"/>
          <w:lang w:eastAsia="es-ES"/>
        </w:rPr>
      </w:pPr>
      <w:r w:rsidRPr="00D47BB9">
        <w:rPr>
          <w:rFonts w:ascii="Arial" w:eastAsia="Times New Roman" w:hAnsi="Arial" w:cs="Arial"/>
          <w:lang w:eastAsia="es-ES"/>
        </w:rPr>
        <w:t xml:space="preserve">Por otro lado, el tamaño de la red del operador hipotético alternativo </w:t>
      </w:r>
      <w:r w:rsidR="00EE1477">
        <w:rPr>
          <w:rFonts w:ascii="Arial" w:eastAsia="Times New Roman" w:hAnsi="Arial" w:cs="Arial"/>
          <w:lang w:eastAsia="es-ES"/>
        </w:rPr>
        <w:t>será el</w:t>
      </w:r>
      <w:r w:rsidRPr="00D47BB9">
        <w:rPr>
          <w:rFonts w:ascii="Arial" w:eastAsia="Times New Roman" w:hAnsi="Arial" w:cs="Arial"/>
          <w:lang w:eastAsia="es-ES"/>
        </w:rPr>
        <w:t xml:space="preserve"> promedio de los principales concesionarios alternativos al AEP en el mercado, descartando aquellos con una cuota de mercado (en términos de conexiones) menor al 10%. </w:t>
      </w:r>
    </w:p>
    <w:p w14:paraId="026978B7" w14:textId="77777777" w:rsidR="00BF3DF1" w:rsidRPr="00D47BB9" w:rsidRDefault="00BF3DF1" w:rsidP="00D47BB9">
      <w:pPr>
        <w:spacing w:after="0"/>
        <w:jc w:val="both"/>
        <w:rPr>
          <w:rFonts w:ascii="Arial" w:eastAsia="Times New Roman" w:hAnsi="Arial" w:cs="Arial"/>
          <w:lang w:eastAsia="es-ES"/>
        </w:rPr>
      </w:pPr>
    </w:p>
    <w:p w14:paraId="2D625E91" w14:textId="347F4EE9" w:rsidR="00BF3DF1" w:rsidRDefault="00BF3DF1" w:rsidP="0014780A">
      <w:pPr>
        <w:spacing w:after="0"/>
        <w:jc w:val="both"/>
        <w:rPr>
          <w:rFonts w:ascii="Arial" w:eastAsia="Times New Roman" w:hAnsi="Arial" w:cs="Arial"/>
          <w:lang w:eastAsia="es-ES"/>
        </w:rPr>
      </w:pPr>
      <w:r w:rsidRPr="00D47BB9">
        <w:rPr>
          <w:rFonts w:ascii="Arial" w:eastAsia="Times New Roman" w:hAnsi="Arial" w:cs="Arial"/>
          <w:lang w:eastAsia="es-ES"/>
        </w:rPr>
        <w:t xml:space="preserve">Con respecto al mercado móvil, en la actualidad, en México existen dos principales redes alternativas a la del AEP: AT&amp;T y Altán. Se hace notar que Telefónica ha decidido devolver el espectro que tiene disponible y ofrecer sus servicios a través de la red de AT&amp;T, no a través de su propia infraestructura, con lo cual es razonable no considerarse como una opción para modelar la red del operador hipotético alternativo. Con respecto a Altán, además de disponer de un espectro limitado, su cuota de mercado </w:t>
      </w:r>
      <w:r w:rsidR="00B80B37" w:rsidRPr="00D47BB9">
        <w:rPr>
          <w:rFonts w:ascii="Arial" w:eastAsia="Times New Roman" w:hAnsi="Arial" w:cs="Arial"/>
          <w:lang w:eastAsia="es-ES"/>
        </w:rPr>
        <w:t>hoy</w:t>
      </w:r>
      <w:r w:rsidRPr="00D47BB9">
        <w:rPr>
          <w:rFonts w:ascii="Arial" w:eastAsia="Times New Roman" w:hAnsi="Arial" w:cs="Arial"/>
          <w:lang w:eastAsia="es-ES"/>
        </w:rPr>
        <w:t xml:space="preserve"> no supera el 5% de las líneas totales, por lo que podría carecer de una escala lo suficientemente relevante para influenciar el tamaño del operador hipotético alternativo. Por este motivo, se considera que solamente existe una red alternativa de un tamaño relevante para emplear en la definición del operador hipotético alternativo para el modelo móvil.</w:t>
      </w:r>
    </w:p>
    <w:p w14:paraId="3E084790" w14:textId="77777777" w:rsidR="00BF3DF1" w:rsidRPr="00D47BB9" w:rsidRDefault="00BF3DF1" w:rsidP="00D47BB9">
      <w:pPr>
        <w:spacing w:after="0"/>
        <w:jc w:val="both"/>
        <w:rPr>
          <w:rFonts w:ascii="Arial" w:eastAsia="Times New Roman" w:hAnsi="Arial" w:cs="Arial"/>
          <w:lang w:eastAsia="es-ES"/>
        </w:rPr>
      </w:pPr>
    </w:p>
    <w:p w14:paraId="31D2A610" w14:textId="77777777" w:rsidR="00BF3DF1" w:rsidRDefault="00BF3DF1" w:rsidP="0014780A">
      <w:pPr>
        <w:spacing w:after="0"/>
        <w:jc w:val="both"/>
        <w:rPr>
          <w:rFonts w:ascii="Arial" w:eastAsia="Times New Roman" w:hAnsi="Arial" w:cs="Arial"/>
          <w:lang w:eastAsia="es-ES"/>
        </w:rPr>
      </w:pPr>
      <w:r w:rsidRPr="00D47BB9">
        <w:rPr>
          <w:rFonts w:ascii="Arial" w:eastAsia="Times New Roman" w:hAnsi="Arial" w:cs="Arial"/>
          <w:lang w:eastAsia="es-ES"/>
        </w:rPr>
        <w:t>En el mercado fijo se observa que, si bien no existe un concesionario alternativo al AEP con una red de tamaño nacional, existen varios con presencia dispersa, pero relevante, en las distintas entidades federativas. Una aproximación razonable de definir el operador hipotético alternativo de redes fijas es la de estimar la cuota de mercado de los principales operadores en cada una de las entidades federativas, obteniendo el tamaño a nivel nacional como el promedio ponderado de las cuotas de mercado de los concesionarios alternativos al AEP en las distintas entidades federativas. Siguiendo una metodología alineada con la empleada en el modelo móvil, se considera razonable descartar aquellos operadores de menor tamaño en cada una de las entidades federativas (esto es, aquellos que no alcancen una cuota a nivel de Entidad Federativa superior al 10%).</w:t>
      </w:r>
    </w:p>
    <w:p w14:paraId="6F03E01C" w14:textId="77777777" w:rsidR="00BF3DF1" w:rsidRPr="00D47BB9" w:rsidRDefault="00BF3DF1" w:rsidP="00D47BB9">
      <w:pPr>
        <w:spacing w:after="0"/>
        <w:jc w:val="both"/>
        <w:rPr>
          <w:rFonts w:ascii="Arial" w:eastAsia="Times New Roman" w:hAnsi="Arial" w:cs="Arial"/>
          <w:lang w:eastAsia="es-ES"/>
        </w:rPr>
      </w:pPr>
    </w:p>
    <w:p w14:paraId="67001045" w14:textId="1FFB0C58" w:rsidR="00BF3DF1" w:rsidRDefault="00BF3DF1" w:rsidP="0014780A">
      <w:pPr>
        <w:spacing w:after="0"/>
        <w:jc w:val="both"/>
        <w:rPr>
          <w:rFonts w:ascii="Arial" w:eastAsia="Times New Roman" w:hAnsi="Arial" w:cs="Arial"/>
          <w:lang w:eastAsia="es-ES"/>
        </w:rPr>
      </w:pPr>
      <w:r w:rsidRPr="00D47BB9">
        <w:rPr>
          <w:rFonts w:ascii="Arial" w:eastAsia="Times New Roman" w:hAnsi="Arial" w:cs="Arial"/>
          <w:lang w:eastAsia="es-ES"/>
        </w:rPr>
        <w:t xml:space="preserve">Una última cuestión en lo que respecta al tamaño eficiente del operador que debe modelarse es el tiempo que requerirá para llegar a este estado estable. La velocidad con la que esto se logrará estará determinada (por separado) por la velocidad del despliegue de red y el aumento de tráfico sobre la tecnología moderna dentro del mercado fijo y móvil relevante. </w:t>
      </w:r>
    </w:p>
    <w:p w14:paraId="76E311CB" w14:textId="77777777" w:rsidR="00BF3DF1" w:rsidRDefault="00BF3DF1" w:rsidP="0014780A">
      <w:pPr>
        <w:spacing w:after="0"/>
        <w:jc w:val="both"/>
        <w:rPr>
          <w:rFonts w:ascii="Arial" w:eastAsia="Times New Roman" w:hAnsi="Arial" w:cs="Arial"/>
          <w:lang w:eastAsia="es-ES"/>
        </w:rPr>
      </w:pPr>
    </w:p>
    <w:p w14:paraId="297C74EF" w14:textId="77777777" w:rsidR="00BF3DF1" w:rsidRDefault="00BF3DF1" w:rsidP="0014780A">
      <w:pPr>
        <w:spacing w:after="0"/>
        <w:jc w:val="both"/>
        <w:rPr>
          <w:rFonts w:ascii="Arial" w:eastAsia="Times New Roman" w:hAnsi="Arial" w:cs="Arial"/>
          <w:lang w:eastAsia="es-ES"/>
        </w:rPr>
      </w:pPr>
      <w:r w:rsidRPr="00D47BB9">
        <w:rPr>
          <w:rFonts w:ascii="Arial" w:eastAsia="Times New Roman" w:hAnsi="Arial" w:cs="Arial"/>
          <w:lang w:eastAsia="es-ES"/>
        </w:rPr>
        <w:t>En el largo plazo, los volúmenes de los operadores hipotéticos existentes modelados serán equivalentes a:</w:t>
      </w:r>
    </w:p>
    <w:p w14:paraId="74413653" w14:textId="77777777" w:rsidR="00BF3DF1" w:rsidRPr="00D47BB9" w:rsidRDefault="00BF3DF1" w:rsidP="00D47BB9">
      <w:pPr>
        <w:spacing w:after="0"/>
        <w:jc w:val="both"/>
        <w:rPr>
          <w:rFonts w:ascii="Arial" w:eastAsia="Times New Roman" w:hAnsi="Arial" w:cs="Arial"/>
          <w:lang w:eastAsia="es-ES"/>
        </w:rPr>
      </w:pPr>
    </w:p>
    <w:p w14:paraId="269EBFE7" w14:textId="7D1555B2" w:rsidR="00BF3DF1" w:rsidRPr="00692B7D" w:rsidRDefault="00BF3DF1" w:rsidP="009640AE">
      <w:pPr>
        <w:pStyle w:val="Prrafodelista"/>
        <w:numPr>
          <w:ilvl w:val="0"/>
          <w:numId w:val="56"/>
        </w:numPr>
        <w:spacing w:line="276" w:lineRule="auto"/>
        <w:rPr>
          <w:rFonts w:cs="Arial"/>
        </w:rPr>
      </w:pPr>
      <w:r w:rsidRPr="00692B7D">
        <w:rPr>
          <w:rFonts w:cs="Arial"/>
        </w:rPr>
        <w:t>Operador hipotético de redes fijas representativo del AEP: Escala basada en la cuota de mercado de</w:t>
      </w:r>
      <w:r w:rsidR="00EE1477">
        <w:rPr>
          <w:rFonts w:cs="Arial"/>
        </w:rPr>
        <w:t>l AEP fijo.</w:t>
      </w:r>
    </w:p>
    <w:p w14:paraId="3334DAE8" w14:textId="15E7934F" w:rsidR="00BF3DF1" w:rsidRPr="00D47BB9" w:rsidRDefault="00BF3DF1" w:rsidP="009640AE">
      <w:pPr>
        <w:pStyle w:val="Prrafodelista"/>
        <w:numPr>
          <w:ilvl w:val="0"/>
          <w:numId w:val="56"/>
        </w:numPr>
        <w:spacing w:line="276" w:lineRule="auto"/>
        <w:rPr>
          <w:rFonts w:cs="Arial"/>
        </w:rPr>
      </w:pPr>
      <w:r w:rsidRPr="00692B7D">
        <w:rPr>
          <w:rFonts w:cs="Arial"/>
        </w:rPr>
        <w:t xml:space="preserve">Concesionario alternativo hipotético de redes fijas: Escala basada en </w:t>
      </w:r>
      <w:r w:rsidRPr="00D47BB9">
        <w:rPr>
          <w:rFonts w:cs="Arial"/>
        </w:rPr>
        <w:t xml:space="preserve">la cuota de mercado de los </w:t>
      </w:r>
      <w:r w:rsidRPr="00692B7D">
        <w:rPr>
          <w:rFonts w:cs="Arial"/>
        </w:rPr>
        <w:t>concesionarios alternativos al AEP</w:t>
      </w:r>
      <w:r w:rsidRPr="00D47BB9">
        <w:rPr>
          <w:rFonts w:cs="Arial"/>
        </w:rPr>
        <w:t xml:space="preserve"> con red de acceso fija propia a nivel nacional, excluyendo aquellos con una cuota de mercado menor al 10% </w:t>
      </w:r>
      <w:r w:rsidRPr="00692B7D">
        <w:rPr>
          <w:rFonts w:cs="Arial"/>
        </w:rPr>
        <w:t>a nivel de entidad federativa</w:t>
      </w:r>
      <w:r w:rsidR="00EE1477">
        <w:rPr>
          <w:rFonts w:cs="Arial"/>
        </w:rPr>
        <w:t>.</w:t>
      </w:r>
    </w:p>
    <w:p w14:paraId="0DBED5E5" w14:textId="36858F2E" w:rsidR="00BF3DF1" w:rsidRPr="00692B7D" w:rsidRDefault="00BF3DF1" w:rsidP="009640AE">
      <w:pPr>
        <w:pStyle w:val="Prrafodelista"/>
        <w:numPr>
          <w:ilvl w:val="0"/>
          <w:numId w:val="56"/>
        </w:numPr>
        <w:spacing w:line="276" w:lineRule="auto"/>
        <w:rPr>
          <w:rFonts w:cs="Arial"/>
        </w:rPr>
      </w:pPr>
      <w:r w:rsidRPr="00692B7D">
        <w:rPr>
          <w:rFonts w:cs="Arial"/>
        </w:rPr>
        <w:t>Operador hipotético de redes móviles representativo del AEP: Escala basada en la cuota de mercado de</w:t>
      </w:r>
      <w:r w:rsidR="00EE1477">
        <w:rPr>
          <w:rFonts w:cs="Arial"/>
        </w:rPr>
        <w:t>l AEP móvil.</w:t>
      </w:r>
    </w:p>
    <w:p w14:paraId="6212BFEB" w14:textId="62A8817D" w:rsidR="00BF3DF1" w:rsidRPr="00692B7D" w:rsidRDefault="00BF3DF1" w:rsidP="009640AE">
      <w:pPr>
        <w:pStyle w:val="Prrafodelista"/>
        <w:numPr>
          <w:ilvl w:val="0"/>
          <w:numId w:val="56"/>
        </w:numPr>
        <w:spacing w:line="276" w:lineRule="auto"/>
        <w:rPr>
          <w:rFonts w:cs="Arial"/>
        </w:rPr>
      </w:pPr>
      <w:r w:rsidRPr="00692B7D">
        <w:rPr>
          <w:rFonts w:cs="Arial"/>
        </w:rPr>
        <w:t xml:space="preserve">Concesionario alternativo hipotético de redes móviles: Escala basada en </w:t>
      </w:r>
      <w:r w:rsidRPr="00D47BB9">
        <w:rPr>
          <w:rFonts w:cs="Arial"/>
        </w:rPr>
        <w:t xml:space="preserve">la cuota de mercado de los </w:t>
      </w:r>
      <w:r w:rsidRPr="00692B7D">
        <w:rPr>
          <w:rFonts w:cs="Arial"/>
        </w:rPr>
        <w:t>concesionarios alternativos al AEP</w:t>
      </w:r>
      <w:r w:rsidRPr="00D47BB9">
        <w:rPr>
          <w:rFonts w:cs="Arial"/>
        </w:rPr>
        <w:t xml:space="preserve"> con red de acceso móvil propia a nivel nacional, excluyendo aquellos con una cuota de mercado menor al 10%</w:t>
      </w:r>
      <w:r w:rsidR="00E67760">
        <w:rPr>
          <w:rFonts w:cs="Arial"/>
        </w:rPr>
        <w:t>.</w:t>
      </w:r>
    </w:p>
    <w:p w14:paraId="49ECE188" w14:textId="77777777" w:rsidR="004A3027" w:rsidRPr="00657BA6" w:rsidRDefault="004A3027" w:rsidP="0014780A">
      <w:pPr>
        <w:spacing w:after="0"/>
        <w:ind w:left="426"/>
        <w:jc w:val="both"/>
        <w:rPr>
          <w:rFonts w:ascii="Arial" w:eastAsia="Times New Roman" w:hAnsi="Arial" w:cs="Arial"/>
          <w:lang w:eastAsia="es-ES"/>
        </w:rPr>
      </w:pPr>
    </w:p>
    <w:p w14:paraId="1F94ECEF" w14:textId="77777777" w:rsidR="004A3027" w:rsidRPr="00657BA6" w:rsidRDefault="004A3027" w:rsidP="0014780A">
      <w:pPr>
        <w:spacing w:after="0"/>
        <w:jc w:val="both"/>
        <w:rPr>
          <w:rFonts w:ascii="Arial" w:eastAsia="Times New Roman" w:hAnsi="Arial" w:cs="Arial"/>
          <w:b/>
          <w:lang w:eastAsia="es-ES"/>
        </w:rPr>
      </w:pPr>
      <w:r w:rsidRPr="00657BA6">
        <w:rPr>
          <w:rFonts w:ascii="Arial" w:eastAsia="Times New Roman" w:hAnsi="Arial" w:cs="Arial"/>
          <w:b/>
          <w:lang w:eastAsia="es-ES"/>
        </w:rPr>
        <w:t>1.2 Aspectos relacionados con la tecnología</w:t>
      </w:r>
    </w:p>
    <w:p w14:paraId="2F524E17" w14:textId="77777777" w:rsidR="004A3027" w:rsidRPr="00657BA6" w:rsidRDefault="004A3027" w:rsidP="0014780A">
      <w:pPr>
        <w:spacing w:after="0"/>
        <w:jc w:val="both"/>
        <w:rPr>
          <w:rFonts w:ascii="Arial" w:eastAsia="Times New Roman" w:hAnsi="Arial" w:cs="Arial"/>
          <w:b/>
          <w:lang w:eastAsia="es-ES"/>
        </w:rPr>
      </w:pPr>
    </w:p>
    <w:p w14:paraId="038A83DA" w14:textId="77777777" w:rsidR="004A3027" w:rsidRPr="00657BA6" w:rsidRDefault="004A3027" w:rsidP="0014780A">
      <w:pPr>
        <w:spacing w:after="0"/>
        <w:jc w:val="both"/>
        <w:rPr>
          <w:rFonts w:ascii="Arial" w:eastAsia="Times New Roman" w:hAnsi="Arial" w:cs="Arial"/>
          <w:b/>
          <w:lang w:eastAsia="es-ES"/>
        </w:rPr>
      </w:pPr>
      <w:r w:rsidRPr="00657BA6">
        <w:rPr>
          <w:rFonts w:ascii="Arial" w:eastAsia="Times New Roman" w:hAnsi="Arial" w:cs="Arial"/>
          <w:b/>
          <w:lang w:eastAsia="es-ES"/>
        </w:rPr>
        <w:t>Arquitectura moderna de red</w:t>
      </w:r>
    </w:p>
    <w:p w14:paraId="73F0FE36" w14:textId="77777777" w:rsidR="004A3027" w:rsidRPr="00657BA6" w:rsidRDefault="004A3027" w:rsidP="0014780A">
      <w:pPr>
        <w:spacing w:after="0"/>
        <w:jc w:val="both"/>
        <w:rPr>
          <w:rFonts w:ascii="Arial" w:eastAsia="Times New Roman" w:hAnsi="Arial" w:cs="Arial"/>
          <w:lang w:eastAsia="es-ES"/>
        </w:rPr>
      </w:pPr>
    </w:p>
    <w:p w14:paraId="7F554A69"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El Lineamiento Séptimo de la Metodología de Costos a la letra señala:</w:t>
      </w:r>
    </w:p>
    <w:p w14:paraId="06149476" w14:textId="77777777" w:rsidR="004A3027" w:rsidRPr="00657BA6" w:rsidRDefault="004A3027" w:rsidP="0014780A">
      <w:pPr>
        <w:spacing w:after="0"/>
        <w:jc w:val="both"/>
        <w:rPr>
          <w:rFonts w:ascii="Arial" w:eastAsia="Times New Roman" w:hAnsi="Arial" w:cs="Arial"/>
          <w:lang w:eastAsia="es-ES"/>
        </w:rPr>
      </w:pPr>
    </w:p>
    <w:p w14:paraId="5E901F26" w14:textId="77777777" w:rsidR="004A3027" w:rsidRPr="00657BA6" w:rsidRDefault="004A3027" w:rsidP="0014780A">
      <w:pPr>
        <w:spacing w:after="0"/>
        <w:ind w:left="567" w:right="616"/>
        <w:jc w:val="both"/>
        <w:rPr>
          <w:rFonts w:ascii="Arial" w:eastAsia="Times New Roman" w:hAnsi="Arial" w:cs="Arial"/>
          <w:i/>
          <w:sz w:val="20"/>
          <w:szCs w:val="20"/>
          <w:lang w:eastAsia="es-ES"/>
        </w:rPr>
      </w:pPr>
      <w:r w:rsidRPr="00657BA6">
        <w:rPr>
          <w:rFonts w:ascii="Arial" w:eastAsia="Times New Roman" w:hAnsi="Arial" w:cs="Arial"/>
          <w:b/>
          <w:i/>
          <w:sz w:val="20"/>
          <w:szCs w:val="20"/>
          <w:lang w:eastAsia="es-ES"/>
        </w:rPr>
        <w:t>SÉPTIMO.-</w:t>
      </w:r>
      <w:r w:rsidRPr="00657BA6">
        <w:rPr>
          <w:rFonts w:ascii="Arial" w:eastAsia="Times New Roman" w:hAnsi="Arial" w:cs="Arial"/>
          <w:i/>
          <w:sz w:val="20"/>
          <w:szCs w:val="20"/>
          <w:lang w:eastAsia="es-ES"/>
        </w:rPr>
        <w:t xml:space="preserve"> Dentro del período temporal utilizado por los Modelos de Costos se deberán considerar las tecnologías eficientes disponibles, debiendo ser consistente con lo siguiente:</w:t>
      </w:r>
    </w:p>
    <w:p w14:paraId="5A07DC0E" w14:textId="77777777" w:rsidR="004A3027" w:rsidRPr="00657BA6" w:rsidRDefault="004A3027" w:rsidP="0014780A">
      <w:pPr>
        <w:spacing w:after="0"/>
        <w:ind w:left="567" w:right="616"/>
        <w:jc w:val="both"/>
        <w:rPr>
          <w:rFonts w:ascii="Arial" w:eastAsia="Times New Roman" w:hAnsi="Arial" w:cs="Arial"/>
          <w:i/>
          <w:sz w:val="20"/>
          <w:szCs w:val="20"/>
          <w:lang w:eastAsia="es-ES"/>
        </w:rPr>
      </w:pPr>
    </w:p>
    <w:p w14:paraId="7A91EA76" w14:textId="77777777" w:rsidR="004A3027" w:rsidRPr="00657BA6" w:rsidRDefault="004A3027" w:rsidP="009640AE">
      <w:pPr>
        <w:numPr>
          <w:ilvl w:val="0"/>
          <w:numId w:val="19"/>
        </w:numPr>
        <w:tabs>
          <w:tab w:val="left" w:pos="720"/>
        </w:tabs>
        <w:spacing w:after="0"/>
        <w:ind w:left="709" w:right="616" w:hanging="142"/>
        <w:jc w:val="both"/>
        <w:rPr>
          <w:rFonts w:ascii="Arial" w:eastAsia="Times New Roman" w:hAnsi="Arial" w:cs="Arial"/>
          <w:i/>
          <w:sz w:val="20"/>
          <w:szCs w:val="20"/>
          <w:lang w:val="es-ES_tradnl" w:eastAsia="es-ES"/>
        </w:rPr>
      </w:pPr>
      <w:r w:rsidRPr="00657BA6">
        <w:rPr>
          <w:rFonts w:ascii="Arial" w:eastAsia="Times New Roman" w:hAnsi="Arial" w:cs="Arial"/>
          <w:i/>
          <w:sz w:val="20"/>
          <w:szCs w:val="20"/>
          <w:lang w:val="es-ES_tradnl" w:eastAsia="es-ES"/>
        </w:rPr>
        <w:t>La tecnología debe ser utilizada en las redes de los concesionarios que proveen servicios de telecomunicaciones tanto en nuestro país como en otros, es decir, no se debe seleccionar una tecnología que se encuentre en fase de desarrollo o de prueba.</w:t>
      </w:r>
    </w:p>
    <w:p w14:paraId="4ADCA7DA" w14:textId="77777777" w:rsidR="004A3027" w:rsidRPr="00657BA6" w:rsidRDefault="004A3027" w:rsidP="009640AE">
      <w:pPr>
        <w:numPr>
          <w:ilvl w:val="0"/>
          <w:numId w:val="19"/>
        </w:numPr>
        <w:tabs>
          <w:tab w:val="left" w:pos="720"/>
        </w:tabs>
        <w:spacing w:after="0"/>
        <w:ind w:left="709" w:right="616" w:hanging="142"/>
        <w:jc w:val="both"/>
        <w:rPr>
          <w:rFonts w:ascii="Arial" w:eastAsia="Times New Roman" w:hAnsi="Arial" w:cs="Arial"/>
          <w:i/>
          <w:sz w:val="20"/>
          <w:szCs w:val="20"/>
          <w:lang w:val="es-ES_tradnl" w:eastAsia="es-ES"/>
        </w:rPr>
      </w:pPr>
      <w:r w:rsidRPr="00657BA6">
        <w:rPr>
          <w:rFonts w:ascii="Arial" w:eastAsia="Times New Roman" w:hAnsi="Arial" w:cs="Arial"/>
          <w:i/>
          <w:sz w:val="20"/>
          <w:szCs w:val="20"/>
          <w:lang w:val="es-ES_tradnl" w:eastAsia="es-ES"/>
        </w:rPr>
        <w:t>Deben replicarse los costos y por lo tanto considerarse los equipos que se proveen en un mercado competitivo, es decir, no se deben emplear tecnologías propietarias que podrían obligar a los concesionarios de redes públicas de telecomunicaciones a depender de un solo proveedor.</w:t>
      </w:r>
    </w:p>
    <w:p w14:paraId="0E20411F" w14:textId="77777777" w:rsidR="004A3027" w:rsidRPr="00657BA6" w:rsidRDefault="004A3027" w:rsidP="009640AE">
      <w:pPr>
        <w:numPr>
          <w:ilvl w:val="0"/>
          <w:numId w:val="19"/>
        </w:numPr>
        <w:tabs>
          <w:tab w:val="left" w:pos="720"/>
        </w:tabs>
        <w:spacing w:after="0"/>
        <w:ind w:left="709" w:right="616" w:hanging="142"/>
        <w:jc w:val="both"/>
        <w:rPr>
          <w:rFonts w:ascii="Arial" w:eastAsia="Times New Roman" w:hAnsi="Arial" w:cs="Arial"/>
          <w:i/>
          <w:sz w:val="20"/>
          <w:szCs w:val="20"/>
          <w:lang w:eastAsia="es-ES"/>
        </w:rPr>
      </w:pPr>
      <w:r w:rsidRPr="00657BA6">
        <w:rPr>
          <w:rFonts w:ascii="Arial" w:eastAsia="Times New Roman" w:hAnsi="Arial" w:cs="Arial"/>
          <w:i/>
          <w:sz w:val="20"/>
          <w:szCs w:val="20"/>
          <w:lang w:val="es-ES_tradnl" w:eastAsia="es-ES"/>
        </w:rPr>
        <w:t xml:space="preserve">La tecnología debe permitir prestar como mínimo los servicios que ofrecen la mayoría de los concesionarios o proveedores de los servicios básicos como voz y transmisión de datos. Además, con ciertas adecuaciones en la red o en sus sistemas, esta tecnología deberá permitir a los concesionarios ofrecer nuevas aplicaciones y servicios, como acceso de banda ancha a Internet, transmisión de datos a gran velocidad, entre otros. Los </w:t>
      </w:r>
      <w:r w:rsidRPr="00657BA6">
        <w:rPr>
          <w:rFonts w:ascii="Arial" w:eastAsia="Times New Roman" w:hAnsi="Arial" w:cs="Arial"/>
          <w:i/>
          <w:sz w:val="20"/>
          <w:szCs w:val="20"/>
          <w:lang w:eastAsia="es-ES"/>
        </w:rPr>
        <w:t>Modelos de Costos deberán de incluir un Anexo Técnico en el que se expliquen detalladamente los supuestos, cálculos y metodología empleada en la elaboración de los mismos.</w:t>
      </w:r>
    </w:p>
    <w:p w14:paraId="066EFD75" w14:textId="77777777" w:rsidR="004A3027" w:rsidRPr="00657BA6" w:rsidRDefault="004A3027" w:rsidP="0014780A">
      <w:pPr>
        <w:spacing w:after="0"/>
        <w:jc w:val="both"/>
        <w:rPr>
          <w:rFonts w:ascii="Arial" w:eastAsia="Times New Roman" w:hAnsi="Arial" w:cs="Arial"/>
          <w:lang w:eastAsia="es-ES"/>
        </w:rPr>
      </w:pPr>
    </w:p>
    <w:p w14:paraId="6AFE3802" w14:textId="395E645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 xml:space="preserve">Es así </w:t>
      </w:r>
      <w:r w:rsidR="00806CFD" w:rsidRPr="00657BA6">
        <w:rPr>
          <w:rFonts w:ascii="Arial" w:eastAsia="Times New Roman" w:hAnsi="Arial" w:cs="Arial"/>
          <w:lang w:eastAsia="es-ES"/>
        </w:rPr>
        <w:t>como</w:t>
      </w:r>
      <w:r w:rsidRPr="00657BA6">
        <w:rPr>
          <w:rFonts w:ascii="Arial" w:eastAsia="Times New Roman" w:hAnsi="Arial" w:cs="Arial"/>
          <w:lang w:eastAsia="es-ES"/>
        </w:rPr>
        <w:t xml:space="preserve"> el Modelo Fijo y el Modelo Móvil tienen un diseño de arquitectura de red basado en una elección específica de tecnología moderna eficiente. Desde la perspectiva de regulación de </w:t>
      </w:r>
      <w:r w:rsidRPr="00657BA6">
        <w:rPr>
          <w:rFonts w:ascii="Arial" w:eastAsia="Times New Roman" w:hAnsi="Arial" w:cs="Arial"/>
          <w:lang w:eastAsia="es-ES"/>
        </w:rPr>
        <w:lastRenderedPageBreak/>
        <w:t>la interconexión, en estos modelos deben reflejarse tecnologías modernas equivalentes: esto es, tecnologías disponibles y probadas con el costo más bajo previsto a lo largo de su vida útil.</w:t>
      </w:r>
    </w:p>
    <w:p w14:paraId="35B7A202" w14:textId="77777777" w:rsidR="004A3027" w:rsidRPr="00657BA6" w:rsidRDefault="004A3027" w:rsidP="0014780A">
      <w:pPr>
        <w:spacing w:after="0"/>
        <w:jc w:val="both"/>
        <w:rPr>
          <w:rFonts w:ascii="Arial" w:eastAsia="Times New Roman" w:hAnsi="Arial" w:cs="Arial"/>
          <w:lang w:eastAsia="es-ES"/>
        </w:rPr>
      </w:pPr>
    </w:p>
    <w:p w14:paraId="60CEF52D" w14:textId="77777777" w:rsidR="004A3027" w:rsidRPr="00657BA6" w:rsidRDefault="004A3027" w:rsidP="0014780A">
      <w:pPr>
        <w:spacing w:after="0"/>
        <w:rPr>
          <w:rFonts w:ascii="Arial" w:eastAsia="Times New Roman" w:hAnsi="Arial" w:cs="Arial"/>
          <w:lang w:eastAsia="es-ES"/>
        </w:rPr>
      </w:pPr>
      <w:r w:rsidRPr="00657BA6">
        <w:rPr>
          <w:rFonts w:ascii="Arial" w:hAnsi="Arial" w:cs="Arial"/>
          <w:b/>
        </w:rPr>
        <w:t>Red de telecomunicaciones móviles</w:t>
      </w:r>
    </w:p>
    <w:p w14:paraId="7EA0A000" w14:textId="77777777" w:rsidR="004A3027" w:rsidRPr="00657BA6" w:rsidRDefault="004A3027" w:rsidP="0014780A">
      <w:pPr>
        <w:spacing w:after="0"/>
        <w:jc w:val="both"/>
        <w:rPr>
          <w:rFonts w:ascii="Arial" w:eastAsia="Times New Roman" w:hAnsi="Arial" w:cs="Arial"/>
          <w:lang w:eastAsia="es-ES"/>
        </w:rPr>
      </w:pPr>
    </w:p>
    <w:p w14:paraId="73272C57" w14:textId="3738126A"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Las redes móviles se han caracterizado por generaciones sucesivas de tecnología, donde los dos pasos más significativos han sido la transición del sistema analógico al digital utilizando tecnología GSM también denominada 2G para efectos del presente Acuerdo, y una expansión continua para incluir elementos de red y servicios relacionados con la tecnología UMTS, también denominada 3G para efectos del presente Acuerdo y más recientemente despliegues de la tecnología LTE también denominada 4G para efectos del presente Acuerdo con miras, fundamentalmente a incrementar la capacidad y velocidad transmisión de datos móviles</w:t>
      </w:r>
      <w:r w:rsidR="000975BC">
        <w:rPr>
          <w:rFonts w:ascii="Arial" w:eastAsia="Times New Roman" w:hAnsi="Arial" w:cs="Arial"/>
          <w:lang w:eastAsia="es-ES"/>
        </w:rPr>
        <w:t xml:space="preserve"> </w:t>
      </w:r>
      <w:r w:rsidR="000975BC" w:rsidRPr="00D47BB9">
        <w:rPr>
          <w:rFonts w:ascii="Arial" w:eastAsia="Times New Roman" w:hAnsi="Arial" w:cs="Arial"/>
          <w:lang w:eastAsia="es-ES"/>
        </w:rPr>
        <w:t>y más recientemente despliegues de la tecnología 5G</w:t>
      </w:r>
      <w:r w:rsidRPr="00657BA6">
        <w:rPr>
          <w:rFonts w:ascii="Arial" w:eastAsia="Times New Roman" w:hAnsi="Arial" w:cs="Arial"/>
          <w:lang w:eastAsia="es-ES"/>
        </w:rPr>
        <w:t xml:space="preserve">. La arquitectura de redes de telefonía móvil se divide en tres partes: una capa de radio, una red de conmutación y una red de transmisión. </w:t>
      </w:r>
    </w:p>
    <w:p w14:paraId="40DCE7B0" w14:textId="77777777" w:rsidR="004A3027" w:rsidRPr="00657BA6" w:rsidRDefault="004A3027" w:rsidP="0014780A">
      <w:pPr>
        <w:spacing w:after="0"/>
        <w:rPr>
          <w:rFonts w:ascii="Arial" w:hAnsi="Arial" w:cs="Arial"/>
          <w:b/>
        </w:rPr>
      </w:pPr>
    </w:p>
    <w:p w14:paraId="75B11BEF" w14:textId="77777777" w:rsidR="004A3027" w:rsidRPr="00657BA6" w:rsidRDefault="004A3027" w:rsidP="0014780A">
      <w:pPr>
        <w:spacing w:after="0"/>
        <w:rPr>
          <w:rFonts w:ascii="Arial" w:hAnsi="Arial" w:cs="Arial"/>
          <w:i/>
        </w:rPr>
      </w:pPr>
      <w:r w:rsidRPr="00657BA6">
        <w:rPr>
          <w:rFonts w:ascii="Arial" w:hAnsi="Arial" w:cs="Arial"/>
          <w:i/>
        </w:rPr>
        <w:t xml:space="preserve">Capa de radio </w:t>
      </w:r>
    </w:p>
    <w:p w14:paraId="2689873A" w14:textId="77777777" w:rsidR="004A3027" w:rsidRPr="00657BA6" w:rsidRDefault="004A3027" w:rsidP="0014780A">
      <w:pPr>
        <w:spacing w:after="0"/>
        <w:ind w:left="993"/>
        <w:jc w:val="both"/>
        <w:rPr>
          <w:rFonts w:ascii="Arial" w:eastAsia="Times New Roman" w:hAnsi="Arial" w:cs="Arial"/>
          <w:lang w:eastAsia="es-ES"/>
        </w:rPr>
      </w:pPr>
    </w:p>
    <w:p w14:paraId="05158907" w14:textId="55215CE3"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Hay tres generaciones de estándares de tecnología móvil que podrían ser utilizados en el modelo, bien secuencialmente o de forma combinada: GSM (2G), UMTS (3G)</w:t>
      </w:r>
      <w:r w:rsidR="000975BC">
        <w:rPr>
          <w:rFonts w:ascii="Arial" w:eastAsia="Times New Roman" w:hAnsi="Arial" w:cs="Arial"/>
          <w:lang w:eastAsia="es-ES"/>
        </w:rPr>
        <w:t>,</w:t>
      </w:r>
      <w:r w:rsidRPr="00657BA6">
        <w:rPr>
          <w:rFonts w:ascii="Arial" w:eastAsia="Times New Roman" w:hAnsi="Arial" w:cs="Arial"/>
          <w:lang w:eastAsia="es-ES"/>
        </w:rPr>
        <w:t xml:space="preserve"> LTE (4G)</w:t>
      </w:r>
      <w:r w:rsidR="000975BC">
        <w:rPr>
          <w:rFonts w:ascii="Arial" w:eastAsia="Times New Roman" w:hAnsi="Arial" w:cs="Arial"/>
          <w:lang w:eastAsia="es-ES"/>
        </w:rPr>
        <w:t xml:space="preserve"> y 5G</w:t>
      </w:r>
      <w:r w:rsidRPr="00657BA6">
        <w:rPr>
          <w:rFonts w:ascii="Arial" w:eastAsia="Times New Roman" w:hAnsi="Arial" w:cs="Arial"/>
          <w:lang w:eastAsia="es-ES"/>
        </w:rPr>
        <w:t>. Si bien las primeras redes en México empleaban también tecnologías como CDMA o CDMA-2000 ya no están operativas y por lo tanto</w:t>
      </w:r>
      <w:r w:rsidRPr="00657BA6" w:rsidDel="00F54E4D">
        <w:rPr>
          <w:rFonts w:ascii="Arial" w:eastAsia="Times New Roman" w:hAnsi="Arial" w:cs="Arial"/>
          <w:lang w:eastAsia="es-ES"/>
        </w:rPr>
        <w:t xml:space="preserve"> </w:t>
      </w:r>
      <w:r w:rsidRPr="00657BA6">
        <w:rPr>
          <w:rFonts w:ascii="Arial" w:eastAsia="Times New Roman" w:hAnsi="Arial" w:cs="Arial"/>
          <w:lang w:eastAsia="es-ES"/>
        </w:rPr>
        <w:t>no son relevantes para este modelo de Costos Incrementales de Largo Plazo de abajo hacia arriba (en lo sucesivo, “CILP ascendente”).</w:t>
      </w:r>
    </w:p>
    <w:p w14:paraId="26367390" w14:textId="77777777" w:rsidR="004A3027" w:rsidRPr="00657BA6" w:rsidRDefault="004A3027" w:rsidP="0014780A">
      <w:pPr>
        <w:tabs>
          <w:tab w:val="left" w:pos="5572"/>
        </w:tabs>
        <w:spacing w:after="0"/>
        <w:jc w:val="both"/>
        <w:rPr>
          <w:rFonts w:ascii="Arial" w:eastAsia="Times New Roman" w:hAnsi="Arial" w:cs="Arial"/>
          <w:lang w:eastAsia="es-ES"/>
        </w:rPr>
      </w:pPr>
    </w:p>
    <w:p w14:paraId="63899AEC" w14:textId="77777777" w:rsidR="00606DF2" w:rsidRDefault="00606DF2" w:rsidP="00D47BB9">
      <w:pPr>
        <w:spacing w:after="0"/>
        <w:jc w:val="both"/>
        <w:rPr>
          <w:rFonts w:ascii="Arial" w:hAnsi="Arial" w:cs="Arial"/>
        </w:rPr>
      </w:pPr>
      <w:r w:rsidRPr="00D47BB9">
        <w:rPr>
          <w:rFonts w:ascii="Arial" w:hAnsi="Arial" w:cs="Arial"/>
        </w:rPr>
        <w:t>La situación actual en México para las distintas tecnologías de acceso radio es la siguiente:</w:t>
      </w:r>
    </w:p>
    <w:p w14:paraId="76FEB015" w14:textId="77777777" w:rsidR="00616C94" w:rsidRPr="00D47BB9" w:rsidRDefault="00616C94" w:rsidP="00D47BB9">
      <w:pPr>
        <w:spacing w:after="0"/>
        <w:jc w:val="both"/>
        <w:rPr>
          <w:rFonts w:ascii="Arial" w:hAnsi="Arial" w:cs="Arial"/>
        </w:rPr>
      </w:pPr>
    </w:p>
    <w:p w14:paraId="31093976" w14:textId="79877405" w:rsidR="00606DF2" w:rsidRPr="00D47BB9" w:rsidRDefault="00606DF2" w:rsidP="0014780A">
      <w:pPr>
        <w:pStyle w:val="ListBulletCompact"/>
        <w:numPr>
          <w:ilvl w:val="0"/>
          <w:numId w:val="4"/>
        </w:numPr>
        <w:tabs>
          <w:tab w:val="clear" w:pos="360"/>
        </w:tabs>
        <w:spacing w:line="276" w:lineRule="auto"/>
        <w:ind w:left="357" w:hanging="357"/>
        <w:contextualSpacing/>
        <w:rPr>
          <w:rFonts w:ascii="Arial" w:hAnsi="Arial" w:cs="Arial"/>
        </w:rPr>
      </w:pPr>
      <w:r w:rsidRPr="00D47BB9">
        <w:rPr>
          <w:rFonts w:ascii="Arial" w:hAnsi="Arial" w:cs="Arial"/>
        </w:rPr>
        <w:t>2G: Tanto Telefónica como AT&amp;T han apagado recientemente sus redes de la tecnología 2G por lo que Telcel es el único operador que mantiene la red 2G</w:t>
      </w:r>
      <w:r w:rsidRPr="00D47BB9">
        <w:rPr>
          <w:rStyle w:val="Refdenotaalpie"/>
          <w:rFonts w:ascii="Arial" w:hAnsi="Arial" w:cs="Arial"/>
        </w:rPr>
        <w:footnoteReference w:id="30"/>
      </w:r>
      <w:r w:rsidRPr="00D47BB9">
        <w:rPr>
          <w:rFonts w:ascii="Arial" w:hAnsi="Arial" w:cs="Arial"/>
        </w:rPr>
        <w:t>, principalmente para tráfico de voz</w:t>
      </w:r>
      <w:r w:rsidR="00BA1530">
        <w:rPr>
          <w:rFonts w:ascii="Arial" w:hAnsi="Arial" w:cs="Arial"/>
        </w:rPr>
        <w:t>.</w:t>
      </w:r>
    </w:p>
    <w:p w14:paraId="49EE22A8" w14:textId="2E9A9A06" w:rsidR="00606DF2" w:rsidRPr="00D47BB9" w:rsidRDefault="00606DF2" w:rsidP="0014780A">
      <w:pPr>
        <w:pStyle w:val="ListBulletCompact"/>
        <w:numPr>
          <w:ilvl w:val="0"/>
          <w:numId w:val="4"/>
        </w:numPr>
        <w:tabs>
          <w:tab w:val="clear" w:pos="360"/>
        </w:tabs>
        <w:spacing w:line="276" w:lineRule="auto"/>
        <w:ind w:left="357" w:hanging="357"/>
        <w:contextualSpacing/>
        <w:rPr>
          <w:rFonts w:ascii="Arial" w:hAnsi="Arial" w:cs="Arial"/>
        </w:rPr>
      </w:pPr>
      <w:r w:rsidRPr="00D47BB9">
        <w:rPr>
          <w:rFonts w:ascii="Arial" w:hAnsi="Arial" w:cs="Arial"/>
        </w:rPr>
        <w:t>3G: Tanto Telcel como AT&amp;T operan redes 3G, la cual es relevante tanto para servicios de voz como para servicios de datos</w:t>
      </w:r>
      <w:r w:rsidR="00BA1530">
        <w:rPr>
          <w:rFonts w:ascii="Arial" w:hAnsi="Arial" w:cs="Arial"/>
        </w:rPr>
        <w:t>.</w:t>
      </w:r>
    </w:p>
    <w:p w14:paraId="4FB4691D" w14:textId="2799FA85" w:rsidR="00606DF2" w:rsidRPr="00D47BB9" w:rsidRDefault="00606DF2" w:rsidP="0014780A">
      <w:pPr>
        <w:pStyle w:val="ListBulletCompact"/>
        <w:numPr>
          <w:ilvl w:val="0"/>
          <w:numId w:val="4"/>
        </w:numPr>
        <w:tabs>
          <w:tab w:val="clear" w:pos="360"/>
        </w:tabs>
        <w:spacing w:line="276" w:lineRule="auto"/>
        <w:ind w:left="357" w:hanging="357"/>
        <w:contextualSpacing/>
        <w:rPr>
          <w:rFonts w:ascii="Arial" w:hAnsi="Arial" w:cs="Arial"/>
        </w:rPr>
      </w:pPr>
      <w:r w:rsidRPr="00D47BB9">
        <w:rPr>
          <w:rFonts w:ascii="Arial" w:hAnsi="Arial" w:cs="Arial"/>
        </w:rPr>
        <w:t>4G: Telcel, AT&amp;T y Altán operan redes 4G, siendo esta la principal red de transporte para servicios de datos. Adicionalmente, los distintos operadores</w:t>
      </w:r>
      <w:r w:rsidRPr="00D47BB9">
        <w:rPr>
          <w:rStyle w:val="Refdenotaalpie"/>
          <w:rFonts w:ascii="Arial" w:hAnsi="Arial" w:cs="Arial"/>
        </w:rPr>
        <w:footnoteReference w:id="31"/>
      </w:r>
      <w:r w:rsidRPr="00D47BB9">
        <w:rPr>
          <w:rFonts w:ascii="Arial" w:hAnsi="Arial" w:cs="Arial"/>
        </w:rPr>
        <w:t xml:space="preserve"> comenzaron a prestar servicios de voz basados en esta tecnología a sus clientes en 2017 y 2018</w:t>
      </w:r>
      <w:r w:rsidR="00BA1530">
        <w:rPr>
          <w:rFonts w:ascii="Arial" w:hAnsi="Arial" w:cs="Arial"/>
        </w:rPr>
        <w:t>.</w:t>
      </w:r>
    </w:p>
    <w:p w14:paraId="57314E75" w14:textId="2FB13301" w:rsidR="00606DF2" w:rsidRDefault="00606DF2" w:rsidP="0014780A">
      <w:pPr>
        <w:pStyle w:val="ListBulletCompact"/>
        <w:numPr>
          <w:ilvl w:val="0"/>
          <w:numId w:val="4"/>
        </w:numPr>
        <w:tabs>
          <w:tab w:val="clear" w:pos="360"/>
        </w:tabs>
        <w:spacing w:line="276" w:lineRule="auto"/>
        <w:ind w:left="357" w:hanging="357"/>
        <w:contextualSpacing/>
        <w:rPr>
          <w:rFonts w:ascii="Arial" w:hAnsi="Arial" w:cs="Arial"/>
        </w:rPr>
      </w:pPr>
      <w:r w:rsidRPr="00D47BB9">
        <w:rPr>
          <w:rFonts w:ascii="Arial" w:hAnsi="Arial" w:cs="Arial"/>
        </w:rPr>
        <w:t>5G: Tanto Telcel como AT&amp;T han lanzado comercialmente el servicio en los últimos meses, en la banda de 2500MHz en el caso de AT&amp;T, y en la banda de 3500MHz en el caso de Telcel.</w:t>
      </w:r>
    </w:p>
    <w:p w14:paraId="5FF774FD" w14:textId="77777777" w:rsidR="0014780A" w:rsidRPr="00D47BB9" w:rsidRDefault="0014780A" w:rsidP="0014780A">
      <w:pPr>
        <w:pStyle w:val="ListBulletCompact"/>
        <w:numPr>
          <w:ilvl w:val="0"/>
          <w:numId w:val="0"/>
        </w:numPr>
        <w:spacing w:line="276" w:lineRule="auto"/>
        <w:ind w:left="357"/>
        <w:contextualSpacing/>
        <w:rPr>
          <w:rFonts w:ascii="Arial" w:hAnsi="Arial" w:cs="Arial"/>
        </w:rPr>
      </w:pPr>
    </w:p>
    <w:p w14:paraId="199BBEF0" w14:textId="4B391165" w:rsidR="00606DF2" w:rsidRDefault="00606DF2" w:rsidP="0014780A">
      <w:pPr>
        <w:spacing w:after="0"/>
        <w:jc w:val="both"/>
        <w:rPr>
          <w:rFonts w:ascii="Arial" w:hAnsi="Arial" w:cs="Arial"/>
        </w:rPr>
      </w:pPr>
      <w:r w:rsidRPr="00D47BB9">
        <w:rPr>
          <w:rFonts w:ascii="Arial" w:hAnsi="Arial" w:cs="Arial"/>
        </w:rPr>
        <w:lastRenderedPageBreak/>
        <w:t xml:space="preserve">Con esta situación, el modelo móvil deberá considerar las tecnologías 2G, 3G, 4G y 5G, incorporando esta última de manera acorde a los planes de despliegue de los operadores. Con respecto a la tecnología 2G, se considera oportuno modelar el apagado en el año 2022, en línea con lo acontecido con las redes de varios operadores en México. El espectro utilizado para los servicios 2G se cederá en gran medida a las capas de capacidad de las tecnologías 3G y 4G. Por otra parte, </w:t>
      </w:r>
      <w:r w:rsidR="00EE1477">
        <w:rPr>
          <w:rFonts w:ascii="Arial" w:hAnsi="Arial" w:cs="Arial"/>
        </w:rPr>
        <w:t>es</w:t>
      </w:r>
      <w:r w:rsidRPr="00D47BB9">
        <w:rPr>
          <w:rFonts w:ascii="Arial" w:hAnsi="Arial" w:cs="Arial"/>
        </w:rPr>
        <w:t xml:space="preserve"> razonable considerar la tecnología VoLTE para el trasporte de voz, pues se empezó a utilizar en 2017 y 2018 y hoy en día ya absorbe un porcentaje de tráfico elevado.</w:t>
      </w:r>
    </w:p>
    <w:p w14:paraId="34F9C9C9" w14:textId="77777777" w:rsidR="002B108A" w:rsidRPr="00034C67" w:rsidRDefault="002B108A" w:rsidP="0014780A">
      <w:pPr>
        <w:spacing w:after="0"/>
        <w:jc w:val="both"/>
        <w:rPr>
          <w:rFonts w:ascii="Arial" w:eastAsia="Times New Roman" w:hAnsi="Arial" w:cs="Arial"/>
          <w:lang w:eastAsia="es-ES"/>
        </w:rPr>
      </w:pPr>
    </w:p>
    <w:p w14:paraId="5BF2ECF8" w14:textId="0C176B70" w:rsidR="002B108A" w:rsidRPr="00657BA6" w:rsidRDefault="002B108A" w:rsidP="0014780A">
      <w:pPr>
        <w:spacing w:after="0"/>
        <w:jc w:val="both"/>
        <w:rPr>
          <w:rFonts w:ascii="Arial" w:eastAsia="Times New Roman" w:hAnsi="Arial" w:cs="Arial"/>
          <w:lang w:eastAsia="es-ES"/>
        </w:rPr>
      </w:pPr>
      <w:r w:rsidRPr="00D47BB9">
        <w:rPr>
          <w:rFonts w:ascii="Arial" w:hAnsi="Arial" w:cs="Arial"/>
        </w:rPr>
        <w:t xml:space="preserve">En el modelo móvil se modelarán las tecnologías de radio 2G, 3G, 4G y 5G. Se considerará el apagado de la red 2G en el año 2022, para los diferentes operadores modelados. Se considerará que el despliegue de redes 5G </w:t>
      </w:r>
      <w:r w:rsidR="00FD75C1" w:rsidRPr="00D47BB9">
        <w:rPr>
          <w:rFonts w:ascii="Arial" w:hAnsi="Arial" w:cs="Arial"/>
        </w:rPr>
        <w:t>comenz</w:t>
      </w:r>
      <w:r w:rsidR="00FD75C1">
        <w:rPr>
          <w:rFonts w:ascii="Arial" w:hAnsi="Arial" w:cs="Arial"/>
        </w:rPr>
        <w:t>ó</w:t>
      </w:r>
      <w:r w:rsidR="00FD75C1" w:rsidRPr="00D47BB9">
        <w:rPr>
          <w:rFonts w:ascii="Arial" w:hAnsi="Arial" w:cs="Arial"/>
        </w:rPr>
        <w:t xml:space="preserve"> </w:t>
      </w:r>
      <w:r w:rsidRPr="00D47BB9">
        <w:rPr>
          <w:rFonts w:ascii="Arial" w:hAnsi="Arial" w:cs="Arial"/>
        </w:rPr>
        <w:t xml:space="preserve">en el año 2022, para </w:t>
      </w:r>
      <w:r w:rsidR="00FD75C1">
        <w:rPr>
          <w:rFonts w:ascii="Arial" w:hAnsi="Arial" w:cs="Arial"/>
        </w:rPr>
        <w:t>iniciar</w:t>
      </w:r>
      <w:r w:rsidR="00FD75C1" w:rsidRPr="00D47BB9">
        <w:rPr>
          <w:rFonts w:ascii="Arial" w:hAnsi="Arial" w:cs="Arial"/>
        </w:rPr>
        <w:t xml:space="preserve"> </w:t>
      </w:r>
      <w:r w:rsidRPr="00D47BB9">
        <w:rPr>
          <w:rFonts w:ascii="Arial" w:hAnsi="Arial" w:cs="Arial"/>
        </w:rPr>
        <w:t>la provisión comercial del servicio en el año 2023.</w:t>
      </w:r>
    </w:p>
    <w:p w14:paraId="27866E0F" w14:textId="77777777" w:rsidR="004A3027" w:rsidRPr="00657BA6" w:rsidRDefault="004A3027" w:rsidP="0014780A">
      <w:pPr>
        <w:spacing w:after="0"/>
        <w:jc w:val="both"/>
        <w:rPr>
          <w:rFonts w:ascii="Arial" w:eastAsia="Times New Roman" w:hAnsi="Arial" w:cs="Arial"/>
          <w:lang w:eastAsia="es-ES"/>
        </w:rPr>
      </w:pPr>
    </w:p>
    <w:p w14:paraId="6B38F476" w14:textId="77777777" w:rsidR="004A3027" w:rsidRPr="00657BA6" w:rsidRDefault="004A3027" w:rsidP="0014780A">
      <w:pPr>
        <w:spacing w:after="0"/>
        <w:rPr>
          <w:rFonts w:ascii="Arial" w:hAnsi="Arial" w:cs="Arial"/>
        </w:rPr>
      </w:pPr>
      <w:r w:rsidRPr="00657BA6">
        <w:rPr>
          <w:rFonts w:ascii="Arial" w:hAnsi="Arial" w:cs="Arial"/>
          <w:i/>
        </w:rPr>
        <w:t>Espectro radioeléctrico</w:t>
      </w:r>
    </w:p>
    <w:p w14:paraId="030749DB" w14:textId="77777777" w:rsidR="004A3027" w:rsidRPr="00657BA6" w:rsidRDefault="004A3027" w:rsidP="0014780A">
      <w:pPr>
        <w:spacing w:after="0"/>
        <w:jc w:val="both"/>
        <w:rPr>
          <w:rFonts w:ascii="Arial" w:eastAsia="Times New Roman" w:hAnsi="Arial" w:cs="Arial"/>
          <w:lang w:eastAsia="es-ES"/>
        </w:rPr>
      </w:pPr>
    </w:p>
    <w:p w14:paraId="57E645B4" w14:textId="77777777" w:rsidR="00034C67" w:rsidRDefault="00034C67" w:rsidP="0014780A">
      <w:pPr>
        <w:spacing w:after="0"/>
        <w:jc w:val="both"/>
        <w:rPr>
          <w:rFonts w:ascii="Arial" w:hAnsi="Arial" w:cs="Arial"/>
        </w:rPr>
      </w:pPr>
      <w:r w:rsidRPr="00D47BB9">
        <w:rPr>
          <w:rFonts w:ascii="Arial" w:hAnsi="Arial" w:cs="Arial"/>
        </w:rPr>
        <w:t xml:space="preserve">Para lograr altos niveles de cobertura, el costo de desplegar una red móvil estará fuertemente influenciado por la banda de frecuencia en la que se realice el despliegue. En efecto, una red de cobertura con base en una banda de espectro alta –como 3500MHz– resultará en un costo mayor que su equivalente en una banda de espectro baja –850MHz–. Esto se debe al menor radio de cobertura de las estaciones base que utilizan frecuencias en bandas de espectro como 3500MHz o 1700–2100MHz, que requieren una malla de estaciones base más estrecha y que tienen una menor penetración en edificios de las señales de 850MHz. No obstante, en muchos casos, la elección de la banda de cobertura para cada tecnología responde no solo a criterios técno-económicos, si no a factores condicionantes adicionales. </w:t>
      </w:r>
    </w:p>
    <w:p w14:paraId="1BAB7726" w14:textId="77777777" w:rsidR="0014780A" w:rsidRPr="00D47BB9" w:rsidRDefault="0014780A" w:rsidP="0014780A">
      <w:pPr>
        <w:spacing w:after="0"/>
        <w:jc w:val="both"/>
        <w:rPr>
          <w:rFonts w:ascii="Arial" w:hAnsi="Arial" w:cs="Arial"/>
        </w:rPr>
      </w:pPr>
    </w:p>
    <w:p w14:paraId="380CE2BB" w14:textId="4E4E1A38" w:rsidR="00034C67" w:rsidRDefault="00034C67" w:rsidP="0014780A">
      <w:pPr>
        <w:spacing w:after="0"/>
        <w:jc w:val="both"/>
        <w:rPr>
          <w:rFonts w:ascii="Arial" w:hAnsi="Arial" w:cs="Arial"/>
        </w:rPr>
      </w:pPr>
      <w:r w:rsidRPr="00D47BB9">
        <w:rPr>
          <w:rFonts w:ascii="Arial" w:hAnsi="Arial" w:cs="Arial"/>
        </w:rPr>
        <w:t>De esta manera, en México los operadores desplegaron su red de cobertura GSM inicialmente en bandas de frecuencia inferiores a 1GHz –la banda de 850MHz– para dar cobertura en aquellas regiones en las que disponían del espectro (Movistar e Iusacell, actualmente AT&amp;T, habrían desplegado su red de cobertura utilizando la banda de 1900MHz en las regiones donde no disponían de espectro en bandas inferiores a 1GHz). Cuando se comenzaron a desplegar las redes UMTS en 2007/08, los operadores siguieron un esquema de despliegue de una red de capacidad en frecuencias altas (1900MHz). Actualmente, se viene utilizando para la red 4G</w:t>
      </w:r>
      <w:r w:rsidRPr="00D47BB9">
        <w:rPr>
          <w:rStyle w:val="Refdenotaalpie"/>
          <w:rFonts w:ascii="Arial" w:hAnsi="Arial" w:cs="Arial"/>
        </w:rPr>
        <w:footnoteReference w:id="32"/>
      </w:r>
      <w:r w:rsidRPr="00D47BB9">
        <w:rPr>
          <w:rFonts w:ascii="Arial" w:hAnsi="Arial" w:cs="Arial"/>
        </w:rPr>
        <w:t xml:space="preserve"> espectro en la banda AWS (1700–2100MHz) adquirido por los operadores en la subasta de espectro que tuvo lugar en 2010 y posteriormente en 2016, así como en la banda 2500MHz subastada en 2018. Con respecto a las redes 5G, tanto Telcel como AT&amp;T han lanzado comercialmente el servicio en los últimos meses, en la banda de 3500MHz y 2500MHz respectivamente.</w:t>
      </w:r>
    </w:p>
    <w:p w14:paraId="48562C28" w14:textId="77777777" w:rsidR="0014780A" w:rsidRPr="00D47BB9" w:rsidRDefault="0014780A" w:rsidP="0014780A">
      <w:pPr>
        <w:spacing w:after="0"/>
        <w:jc w:val="both"/>
        <w:rPr>
          <w:rFonts w:ascii="Arial" w:hAnsi="Arial" w:cs="Arial"/>
        </w:rPr>
      </w:pPr>
    </w:p>
    <w:p w14:paraId="5A6AE12F" w14:textId="17F37349" w:rsidR="004A3027" w:rsidRPr="00D47BB9" w:rsidRDefault="00034C67" w:rsidP="0014780A">
      <w:pPr>
        <w:spacing w:after="0"/>
        <w:jc w:val="both"/>
        <w:rPr>
          <w:rFonts w:ascii="Arial" w:hAnsi="Arial" w:cs="Arial"/>
        </w:rPr>
      </w:pPr>
      <w:r w:rsidRPr="00D47BB9">
        <w:rPr>
          <w:rFonts w:ascii="Arial" w:hAnsi="Arial" w:cs="Arial"/>
        </w:rPr>
        <w:lastRenderedPageBreak/>
        <w:t>Las bandas de cobertura de los distintos operadores se basarán en las bandas empleadas por los operadores para cada una de las tecnologías.</w:t>
      </w:r>
    </w:p>
    <w:p w14:paraId="1BDFC17C" w14:textId="77777777" w:rsidR="00034C67" w:rsidRPr="00D47BB9" w:rsidRDefault="00034C67" w:rsidP="0014780A">
      <w:pPr>
        <w:spacing w:after="0"/>
        <w:jc w:val="both"/>
        <w:rPr>
          <w:rFonts w:ascii="Arial" w:hAnsi="Arial" w:cs="Arial"/>
        </w:rPr>
      </w:pPr>
    </w:p>
    <w:p w14:paraId="486711C8" w14:textId="77777777" w:rsidR="00034C67" w:rsidRDefault="00034C67" w:rsidP="0014780A">
      <w:pPr>
        <w:spacing w:after="0"/>
        <w:jc w:val="both"/>
        <w:rPr>
          <w:rFonts w:ascii="Arial" w:hAnsi="Arial" w:cs="Arial"/>
        </w:rPr>
      </w:pPr>
      <w:r w:rsidRPr="00D47BB9">
        <w:rPr>
          <w:rFonts w:ascii="Arial" w:hAnsi="Arial" w:cs="Arial"/>
        </w:rPr>
        <w:t xml:space="preserve">Por otro lado, los operadores deben complementar el despliegue de cobertura con capacidad adicional para satisfacer las necesidades de los usuarios. En México, por ejemplo, los operadores complementaron el despliegue de cobertura GSM con un despliegue posterior de estaciones base en la banda de 1900MHz para aportar capacidad adicional a la red.  </w:t>
      </w:r>
    </w:p>
    <w:p w14:paraId="0B6CD58C" w14:textId="77777777" w:rsidR="0014780A" w:rsidRPr="00D47BB9" w:rsidRDefault="0014780A" w:rsidP="0014780A">
      <w:pPr>
        <w:spacing w:after="0"/>
        <w:jc w:val="both"/>
        <w:rPr>
          <w:rFonts w:ascii="Arial" w:hAnsi="Arial" w:cs="Arial"/>
        </w:rPr>
      </w:pPr>
    </w:p>
    <w:p w14:paraId="3521EEDD" w14:textId="77777777" w:rsidR="00034C67" w:rsidRDefault="00034C67" w:rsidP="0014780A">
      <w:pPr>
        <w:spacing w:after="0"/>
        <w:jc w:val="both"/>
        <w:rPr>
          <w:rFonts w:ascii="Arial" w:hAnsi="Arial" w:cs="Arial"/>
        </w:rPr>
      </w:pPr>
      <w:r w:rsidRPr="00D47BB9">
        <w:rPr>
          <w:rFonts w:ascii="Arial" w:hAnsi="Arial" w:cs="Arial"/>
        </w:rPr>
        <w:t>Existen marcadas diferencias entre los operadores mexicanos en cuanto a sus tenencias de espectro, tanto en lo que respecta a la cantidad total de espectro que poseen como a nivel regional. En este sentido, creemos que es relevante asegurar consistencia en el espectro definido para los operadores hipotéticos y el tamaño del operador determinado. En el caso concreto del CS hipotético, se deberá asegurar la razonabilidad del espectro asociado, a fin de asegurar que se cumplen con unos criterios de modularidad mínima para cada una de las tecnologías (por ejemplo, en el caso de la tecnología 4G, es menos eficiente el despliegue de portadoras de tamaño menor a 2x5 MHz en una banda concreta).</w:t>
      </w:r>
    </w:p>
    <w:p w14:paraId="7223B015" w14:textId="77777777" w:rsidR="00B176C2" w:rsidRDefault="00B176C2" w:rsidP="0014780A">
      <w:pPr>
        <w:spacing w:after="0"/>
        <w:jc w:val="both"/>
        <w:rPr>
          <w:rFonts w:ascii="Arial" w:hAnsi="Arial" w:cs="Arial"/>
        </w:rPr>
      </w:pPr>
    </w:p>
    <w:p w14:paraId="12F0B4A9" w14:textId="14F0BA31" w:rsidR="00034C67" w:rsidRDefault="00034C67" w:rsidP="0014780A">
      <w:pPr>
        <w:spacing w:after="0"/>
        <w:jc w:val="both"/>
        <w:rPr>
          <w:rFonts w:ascii="Arial" w:hAnsi="Arial" w:cs="Arial"/>
        </w:rPr>
      </w:pPr>
      <w:r w:rsidRPr="00D47BB9">
        <w:rPr>
          <w:rFonts w:ascii="Arial" w:hAnsi="Arial" w:cs="Arial"/>
        </w:rPr>
        <w:t>Se considera una asignación de espectro en línea con las tenencias de los operadores en México.</w:t>
      </w:r>
    </w:p>
    <w:p w14:paraId="378A7602" w14:textId="77777777" w:rsidR="0014780A" w:rsidRPr="00D47BB9" w:rsidRDefault="0014780A" w:rsidP="0014780A">
      <w:pPr>
        <w:spacing w:after="0"/>
        <w:jc w:val="both"/>
        <w:rPr>
          <w:rFonts w:ascii="Arial" w:hAnsi="Arial" w:cs="Arial"/>
        </w:rPr>
      </w:pPr>
    </w:p>
    <w:p w14:paraId="374F6F85" w14:textId="02B0844F" w:rsidR="00034C67" w:rsidRPr="00D47BB9" w:rsidRDefault="00034C67" w:rsidP="0014780A">
      <w:pPr>
        <w:pStyle w:val="ListBulletCompact"/>
        <w:numPr>
          <w:ilvl w:val="0"/>
          <w:numId w:val="4"/>
        </w:numPr>
        <w:tabs>
          <w:tab w:val="clear" w:pos="360"/>
        </w:tabs>
        <w:spacing w:line="276" w:lineRule="auto"/>
        <w:ind w:left="357" w:hanging="357"/>
        <w:contextualSpacing/>
        <w:rPr>
          <w:rFonts w:ascii="Arial" w:hAnsi="Arial" w:cs="Arial"/>
        </w:rPr>
      </w:pPr>
      <w:r w:rsidRPr="00D47BB9">
        <w:rPr>
          <w:rFonts w:ascii="Arial" w:hAnsi="Arial" w:cs="Arial"/>
        </w:rPr>
        <w:t>Operador hipotético de redes fijas representativo del AEP: Tenencias de espectro de</w:t>
      </w:r>
      <w:r w:rsidR="008561FF">
        <w:rPr>
          <w:rFonts w:ascii="Arial" w:hAnsi="Arial" w:cs="Arial"/>
        </w:rPr>
        <w:t>l AEP móvil.</w:t>
      </w:r>
    </w:p>
    <w:p w14:paraId="7D760DAA" w14:textId="38A1BCFF" w:rsidR="00034C67" w:rsidRDefault="00034C67" w:rsidP="0014780A">
      <w:pPr>
        <w:pStyle w:val="ListBulletCompact"/>
        <w:numPr>
          <w:ilvl w:val="0"/>
          <w:numId w:val="4"/>
        </w:numPr>
        <w:tabs>
          <w:tab w:val="clear" w:pos="360"/>
        </w:tabs>
        <w:spacing w:line="276" w:lineRule="auto"/>
        <w:ind w:left="357" w:hanging="357"/>
        <w:contextualSpacing/>
        <w:rPr>
          <w:rFonts w:ascii="Arial" w:hAnsi="Arial" w:cs="Arial"/>
        </w:rPr>
      </w:pPr>
      <w:r w:rsidRPr="00D47BB9">
        <w:rPr>
          <w:rFonts w:ascii="Arial" w:hAnsi="Arial" w:cs="Arial"/>
        </w:rPr>
        <w:t>Concesionario alternativo hipotético de redes móviles: Tenencia de espectro promedio de operadores alternativos considerados como relevantes (en línea con la definición del tamaño del operador modelado), asegurando la eficiencia en la modularidad del espectro asignado</w:t>
      </w:r>
      <w:r>
        <w:rPr>
          <w:rFonts w:ascii="Arial" w:hAnsi="Arial" w:cs="Arial"/>
        </w:rPr>
        <w:t>.</w:t>
      </w:r>
    </w:p>
    <w:p w14:paraId="170B8886" w14:textId="77777777" w:rsidR="0014780A" w:rsidRPr="00D47BB9" w:rsidRDefault="0014780A" w:rsidP="0014780A">
      <w:pPr>
        <w:pStyle w:val="ListBulletCompact"/>
        <w:numPr>
          <w:ilvl w:val="0"/>
          <w:numId w:val="0"/>
        </w:numPr>
        <w:spacing w:line="276" w:lineRule="auto"/>
        <w:ind w:left="357"/>
        <w:contextualSpacing/>
        <w:rPr>
          <w:rFonts w:ascii="Arial" w:hAnsi="Arial" w:cs="Arial"/>
        </w:rPr>
      </w:pPr>
    </w:p>
    <w:p w14:paraId="1D54747D" w14:textId="48D06CDE" w:rsidR="00034C67" w:rsidRDefault="00034C67" w:rsidP="0014780A">
      <w:pPr>
        <w:spacing w:after="0"/>
        <w:jc w:val="both"/>
        <w:rPr>
          <w:rFonts w:ascii="Arial" w:hAnsi="Arial" w:cs="Arial"/>
        </w:rPr>
      </w:pPr>
      <w:r w:rsidRPr="00D47BB9">
        <w:rPr>
          <w:rFonts w:ascii="Arial" w:hAnsi="Arial" w:cs="Arial"/>
        </w:rPr>
        <w:t xml:space="preserve">Los pagos asociados a las diferentes bandas de frecuencia se basarán en los pagos efectuados por los operadores históricos en el momento de la adquisición de la frecuencia o durante </w:t>
      </w:r>
      <w:r w:rsidR="008561FF">
        <w:rPr>
          <w:rFonts w:ascii="Arial" w:hAnsi="Arial" w:cs="Arial"/>
        </w:rPr>
        <w:t>alguna</w:t>
      </w:r>
      <w:r w:rsidRPr="00D47BB9">
        <w:rPr>
          <w:rFonts w:ascii="Arial" w:hAnsi="Arial" w:cs="Arial"/>
        </w:rPr>
        <w:t xml:space="preserve"> renovación de la concesión de espectro. Este enfoque es consistente con la utilización del precio de mercado del espectro.</w:t>
      </w:r>
    </w:p>
    <w:p w14:paraId="5666B86D" w14:textId="77777777" w:rsidR="0014780A" w:rsidRPr="00D47BB9" w:rsidRDefault="0014780A" w:rsidP="0014780A">
      <w:pPr>
        <w:spacing w:after="0"/>
        <w:jc w:val="both"/>
        <w:rPr>
          <w:rFonts w:ascii="Arial" w:hAnsi="Arial" w:cs="Arial"/>
        </w:rPr>
      </w:pPr>
    </w:p>
    <w:p w14:paraId="4C05A910" w14:textId="77777777" w:rsidR="00034C67" w:rsidRDefault="00034C67" w:rsidP="0014780A">
      <w:pPr>
        <w:spacing w:after="0"/>
        <w:jc w:val="both"/>
        <w:rPr>
          <w:rFonts w:ascii="Arial" w:hAnsi="Arial" w:cs="Arial"/>
        </w:rPr>
      </w:pPr>
      <w:r w:rsidRPr="00D47BB9">
        <w:rPr>
          <w:rFonts w:ascii="Arial" w:hAnsi="Arial" w:cs="Arial"/>
        </w:rPr>
        <w:t>La inversión inicial (capex) en espectro en la banda de 850MHz se calcula con base en el precio promedio pagado en la prórroga de la concesión otorgada en mayo de 2010 por región por MHz, multiplicándolo por la cantidad de espectro que tendrá el operador hipotético.</w:t>
      </w:r>
    </w:p>
    <w:p w14:paraId="2796FAE6" w14:textId="77777777" w:rsidR="0014780A" w:rsidRPr="00D47BB9" w:rsidRDefault="0014780A" w:rsidP="0014780A">
      <w:pPr>
        <w:spacing w:after="0"/>
        <w:jc w:val="both"/>
        <w:rPr>
          <w:rFonts w:ascii="Arial" w:hAnsi="Arial" w:cs="Arial"/>
        </w:rPr>
      </w:pPr>
    </w:p>
    <w:p w14:paraId="1033B9DC" w14:textId="77777777" w:rsidR="00034C67" w:rsidRDefault="00034C67" w:rsidP="0014780A">
      <w:pPr>
        <w:spacing w:after="0"/>
        <w:jc w:val="both"/>
        <w:rPr>
          <w:rFonts w:ascii="Arial" w:hAnsi="Arial" w:cs="Arial"/>
        </w:rPr>
      </w:pPr>
      <w:r w:rsidRPr="00D47BB9">
        <w:rPr>
          <w:rFonts w:ascii="Arial" w:hAnsi="Arial" w:cs="Arial"/>
        </w:rPr>
        <w:t>De forma similar, la inversión inicial (capex) en espectro en las bandas de 1900MHz (PCS), 1700/2100MHz (AWS), 2.5GHz y 3.5GHz se calcula a partir de los precios pagados por el espectro en la prórroga de la concesión otorgada en 2019 y las subastas realizadas en los años 2016, 2018 y 2020.</w:t>
      </w:r>
    </w:p>
    <w:p w14:paraId="00D957A3" w14:textId="77777777" w:rsidR="0014780A" w:rsidRPr="00D47BB9" w:rsidRDefault="0014780A" w:rsidP="0014780A">
      <w:pPr>
        <w:spacing w:after="0"/>
        <w:jc w:val="both"/>
        <w:rPr>
          <w:rFonts w:ascii="Arial" w:hAnsi="Arial" w:cs="Arial"/>
        </w:rPr>
      </w:pPr>
    </w:p>
    <w:p w14:paraId="2B6DE7BE" w14:textId="77777777" w:rsidR="00034C67" w:rsidRDefault="00034C67" w:rsidP="0014780A">
      <w:pPr>
        <w:spacing w:after="0"/>
        <w:jc w:val="both"/>
        <w:rPr>
          <w:rFonts w:ascii="Arial" w:hAnsi="Arial" w:cs="Arial"/>
        </w:rPr>
      </w:pPr>
      <w:r w:rsidRPr="00D47BB9">
        <w:rPr>
          <w:rFonts w:ascii="Arial" w:hAnsi="Arial" w:cs="Arial"/>
        </w:rPr>
        <w:lastRenderedPageBreak/>
        <w:t>Respecto a la banda de 700MHz, no se asume ninguna inversión inicial (capex) ya que su licitación no llevaba asociada una contraprestación por el otorgamiento de la concesión, pero sí un monto anual (opex) en concepto de pago de derechos.</w:t>
      </w:r>
    </w:p>
    <w:p w14:paraId="4F7568AF" w14:textId="77777777" w:rsidR="0014780A" w:rsidRPr="00D47BB9" w:rsidRDefault="0014780A" w:rsidP="0014780A">
      <w:pPr>
        <w:spacing w:after="0"/>
        <w:jc w:val="both"/>
        <w:rPr>
          <w:rFonts w:ascii="Arial" w:hAnsi="Arial" w:cs="Arial"/>
        </w:rPr>
      </w:pPr>
    </w:p>
    <w:p w14:paraId="34F3233B" w14:textId="77777777" w:rsidR="00034C67" w:rsidRDefault="00034C67" w:rsidP="0014780A">
      <w:pPr>
        <w:spacing w:after="0"/>
        <w:jc w:val="both"/>
        <w:rPr>
          <w:rFonts w:ascii="Arial" w:hAnsi="Arial" w:cs="Arial"/>
        </w:rPr>
      </w:pPr>
      <w:r w:rsidRPr="00D47BB9">
        <w:rPr>
          <w:rFonts w:ascii="Arial" w:hAnsi="Arial" w:cs="Arial"/>
        </w:rPr>
        <w:t>El costo del espectro se modelará de la siguiente manera:</w:t>
      </w:r>
    </w:p>
    <w:p w14:paraId="6AD0E3F5" w14:textId="77777777" w:rsidR="0014780A" w:rsidRPr="00D47BB9" w:rsidRDefault="0014780A" w:rsidP="0014780A">
      <w:pPr>
        <w:spacing w:after="0"/>
        <w:jc w:val="both"/>
        <w:rPr>
          <w:rFonts w:ascii="Arial" w:hAnsi="Arial" w:cs="Arial"/>
        </w:rPr>
      </w:pPr>
    </w:p>
    <w:p w14:paraId="6E9B4FFE" w14:textId="77777777" w:rsidR="00034C67" w:rsidRPr="00034C67" w:rsidRDefault="00034C67" w:rsidP="0014780A">
      <w:pPr>
        <w:pStyle w:val="Listaconvietas"/>
        <w:spacing w:line="276" w:lineRule="auto"/>
        <w:rPr>
          <w:rFonts w:cs="Arial"/>
        </w:rPr>
      </w:pPr>
      <w:r w:rsidRPr="00034C67">
        <w:rPr>
          <w:rFonts w:cs="Arial"/>
        </w:rPr>
        <w:t>La inversión inicial (capex) en espectro en la banda de 850MHz se calculará con base en el precio promedio pagado en la prórroga de la concesión otorgada en mayo de 2010 y, más recientemente, en 2021 por región por MHz, multiplicándolo por la cantidad de espectro que tendrá el operador hipotético.</w:t>
      </w:r>
    </w:p>
    <w:p w14:paraId="5758C101" w14:textId="77777777" w:rsidR="00034C67" w:rsidRPr="00034C67" w:rsidRDefault="00034C67" w:rsidP="0014780A">
      <w:pPr>
        <w:pStyle w:val="Listaconvietas"/>
        <w:spacing w:line="276" w:lineRule="auto"/>
        <w:rPr>
          <w:rFonts w:cs="Arial"/>
        </w:rPr>
      </w:pPr>
      <w:r w:rsidRPr="00034C67">
        <w:rPr>
          <w:rFonts w:cs="Arial"/>
        </w:rPr>
        <w:t>La inversión inicial (capex) correspondiente al espectro en la banda PCS se calculará promediando el pago de la reciente prórroga de la concesión concedida en 2019.</w:t>
      </w:r>
    </w:p>
    <w:p w14:paraId="02F1156A" w14:textId="77777777" w:rsidR="00034C67" w:rsidRPr="00034C67" w:rsidRDefault="00034C67" w:rsidP="0014780A">
      <w:pPr>
        <w:pStyle w:val="Listaconvietas"/>
        <w:spacing w:line="276" w:lineRule="auto"/>
        <w:rPr>
          <w:rFonts w:cs="Arial"/>
        </w:rPr>
      </w:pPr>
      <w:r w:rsidRPr="00034C67">
        <w:rPr>
          <w:rFonts w:cs="Arial"/>
        </w:rPr>
        <w:t>De forma similar, la inversión inicial (capex) en espectro en la banda AWS se calculará para la cantidad de espectro que posea el operador hipotético a partir del precio pagado en la subasta realizada en 2016.</w:t>
      </w:r>
    </w:p>
    <w:p w14:paraId="75CF3302" w14:textId="77777777" w:rsidR="00034C67" w:rsidRPr="00034C67" w:rsidRDefault="00034C67" w:rsidP="0014780A">
      <w:pPr>
        <w:pStyle w:val="Listaconvietas"/>
        <w:spacing w:line="276" w:lineRule="auto"/>
        <w:rPr>
          <w:rFonts w:cs="Arial"/>
        </w:rPr>
      </w:pPr>
      <w:r w:rsidRPr="00034C67">
        <w:rPr>
          <w:rFonts w:cs="Arial"/>
        </w:rPr>
        <w:t>La inversión inicial (capex) aplicable a la banda de 2500MHz se calculará con base en el precio promedio pagado en la subasta de 2018.</w:t>
      </w:r>
    </w:p>
    <w:p w14:paraId="28E4DA14" w14:textId="77777777" w:rsidR="00034C67" w:rsidRPr="00034C67" w:rsidRDefault="00034C67" w:rsidP="0014780A">
      <w:pPr>
        <w:pStyle w:val="Listaconvietas"/>
        <w:spacing w:line="276" w:lineRule="auto"/>
        <w:rPr>
          <w:rFonts w:cs="Arial"/>
        </w:rPr>
      </w:pPr>
      <w:r w:rsidRPr="00034C67">
        <w:rPr>
          <w:rFonts w:cs="Arial"/>
        </w:rPr>
        <w:t>La inversión inicial (capex) aplicable a la banda de 3500MHz se calculará con base en el precio promedio pagado en la subasta de 2020.</w:t>
      </w:r>
    </w:p>
    <w:p w14:paraId="4C344375" w14:textId="77777777" w:rsidR="00034C67" w:rsidRPr="00034C67" w:rsidRDefault="00034C67" w:rsidP="00D47BB9">
      <w:pPr>
        <w:pStyle w:val="Listaconvietas"/>
        <w:numPr>
          <w:ilvl w:val="0"/>
          <w:numId w:val="0"/>
        </w:numPr>
        <w:spacing w:line="276" w:lineRule="auto"/>
        <w:ind w:left="360"/>
        <w:rPr>
          <w:rFonts w:cs="Arial"/>
        </w:rPr>
      </w:pPr>
    </w:p>
    <w:p w14:paraId="4D8EDCE4" w14:textId="6E8EEF87" w:rsidR="00034C67" w:rsidRPr="00D47BB9" w:rsidRDefault="00034C67" w:rsidP="0014780A">
      <w:pPr>
        <w:spacing w:after="0"/>
        <w:jc w:val="both"/>
        <w:rPr>
          <w:rFonts w:ascii="Arial" w:hAnsi="Arial" w:cs="Arial"/>
        </w:rPr>
      </w:pPr>
      <w:r w:rsidRPr="00D47BB9">
        <w:rPr>
          <w:rFonts w:ascii="Arial" w:hAnsi="Arial" w:cs="Arial"/>
          <w:spacing w:val="-4"/>
        </w:rPr>
        <w:t>Los costos asociados a la banda de 700MHz se calcularán sin necesidad de promediarlos, directamente con base en los pagos realizados por Altán, que es el único operador con espectro en esta banda, y figurarán como gastos operativos (opex), ya que los pagos son anuales en concepto de contraprestación por los derechos de uso y explotación del espectro.</w:t>
      </w:r>
    </w:p>
    <w:p w14:paraId="7FCC761A" w14:textId="77777777" w:rsidR="00034C67" w:rsidRPr="00657BA6" w:rsidRDefault="00034C67" w:rsidP="0014780A">
      <w:pPr>
        <w:spacing w:after="0"/>
        <w:jc w:val="both"/>
        <w:rPr>
          <w:rFonts w:ascii="Arial" w:eastAsia="Times New Roman" w:hAnsi="Arial" w:cs="Arial"/>
          <w:lang w:eastAsia="es-ES"/>
        </w:rPr>
      </w:pPr>
    </w:p>
    <w:p w14:paraId="514DBE03" w14:textId="77777777" w:rsidR="004A3027" w:rsidRPr="00657BA6" w:rsidRDefault="004A3027" w:rsidP="0014780A">
      <w:pPr>
        <w:spacing w:after="0"/>
        <w:rPr>
          <w:rFonts w:ascii="Arial" w:hAnsi="Arial" w:cs="Arial"/>
          <w:i/>
        </w:rPr>
      </w:pPr>
      <w:r w:rsidRPr="00657BA6">
        <w:rPr>
          <w:rFonts w:ascii="Arial" w:hAnsi="Arial" w:cs="Arial"/>
          <w:i/>
        </w:rPr>
        <w:t xml:space="preserve">Red de conmutación </w:t>
      </w:r>
    </w:p>
    <w:p w14:paraId="2E7F4F2F" w14:textId="77777777" w:rsidR="004A3027" w:rsidRPr="00657BA6" w:rsidRDefault="004A3027" w:rsidP="0014780A">
      <w:pPr>
        <w:spacing w:after="0"/>
        <w:rPr>
          <w:rFonts w:ascii="Arial" w:hAnsi="Arial" w:cs="Arial"/>
          <w:i/>
        </w:rPr>
      </w:pPr>
    </w:p>
    <w:p w14:paraId="44DE5FCE" w14:textId="70BD53ED" w:rsidR="00A6688A" w:rsidRDefault="00A85EFE" w:rsidP="0014780A">
      <w:pPr>
        <w:spacing w:after="0"/>
        <w:jc w:val="both"/>
        <w:rPr>
          <w:rFonts w:ascii="Arial" w:hAnsi="Arial" w:cs="Arial"/>
          <w:spacing w:val="-4"/>
        </w:rPr>
      </w:pPr>
      <w:r w:rsidRPr="00D47BB9">
        <w:rPr>
          <w:rFonts w:ascii="Arial" w:hAnsi="Arial" w:cs="Arial"/>
          <w:spacing w:val="-4"/>
        </w:rPr>
        <w:t>Se modelará una arquitectura de conmutación IP combinada para la red de conmutación.</w:t>
      </w:r>
      <w:r w:rsidR="00A6688A">
        <w:rPr>
          <w:rFonts w:ascii="Arial" w:hAnsi="Arial" w:cs="Arial"/>
          <w:spacing w:val="-4"/>
        </w:rPr>
        <w:t xml:space="preserve"> </w:t>
      </w:r>
      <w:r w:rsidR="00A6688A" w:rsidRPr="00D47BB9">
        <w:rPr>
          <w:rFonts w:ascii="Arial" w:hAnsi="Arial" w:cs="Arial"/>
          <w:spacing w:val="-4"/>
        </w:rPr>
        <w:t>Al igual que en el modelo fijo, las plataformas del núcleo de la red del operador modelado se encuentran en los nodos core y nacionales y cumplen un papel fundamental para poder ofrecer los distintos servicios. A continuación, se listan algunas de estas plataformas con sus reglas de dimensionado:</w:t>
      </w:r>
    </w:p>
    <w:p w14:paraId="567CE062" w14:textId="77777777" w:rsidR="00A6688A" w:rsidRDefault="00A6688A" w:rsidP="00D47BB9">
      <w:pPr>
        <w:pStyle w:val="Prrafodelista"/>
        <w:spacing w:line="276" w:lineRule="auto"/>
        <w:ind w:left="720"/>
        <w:contextualSpacing/>
        <w:rPr>
          <w:lang w:val="es-ES"/>
        </w:rPr>
      </w:pPr>
    </w:p>
    <w:p w14:paraId="55D65598" w14:textId="0DC4F505" w:rsidR="00A6688A" w:rsidRDefault="00A6688A" w:rsidP="009640AE">
      <w:pPr>
        <w:pStyle w:val="Prrafodelista"/>
        <w:numPr>
          <w:ilvl w:val="0"/>
          <w:numId w:val="57"/>
        </w:numPr>
        <w:spacing w:line="276" w:lineRule="auto"/>
        <w:contextualSpacing/>
        <w:rPr>
          <w:lang w:val="es-ES"/>
        </w:rPr>
      </w:pPr>
      <w:r w:rsidRPr="00126C1F">
        <w:rPr>
          <w:lang w:val="es-ES"/>
        </w:rPr>
        <w:t>Switches y servidores: incluyen una variedad de plataformas de red como pueden ser call servers (supervisan el tráfico de voz), MSC (Mobile Switching Center - gestiona el tráfico de telefonía móvil), MSS (Mobile Switching System - realiza la conmutación y gestión de llamadas móviles), MGW (Media Gateway - convierte señales entre redes de telefonía y redes IP), NMS (Network Management System - sistema de gestión de red) o SBC (Session Border Controller - vigila la conexión IP entre la red de acceso común y la red de voz controlada por el servidor de llamadas</w:t>
      </w:r>
      <w:r w:rsidR="00126C1F" w:rsidRPr="00126C1F">
        <w:rPr>
          <w:lang w:val="es-ES"/>
        </w:rPr>
        <w:t>.</w:t>
      </w:r>
      <w:r w:rsidR="00126C1F">
        <w:rPr>
          <w:lang w:val="es-ES"/>
        </w:rPr>
        <w:t xml:space="preserve"> </w:t>
      </w:r>
      <w:r w:rsidRPr="00126C1F">
        <w:rPr>
          <w:lang w:val="es-ES"/>
        </w:rPr>
        <w:t xml:space="preserve">Estas plataformas se estiman en función de los requerimientos generales del sistema y el volumen en términos de capacidad </w:t>
      </w:r>
      <w:r w:rsidRPr="00126C1F">
        <w:rPr>
          <w:lang w:val="es-ES"/>
        </w:rPr>
        <w:lastRenderedPageBreak/>
        <w:t>máxima que puede cursar cada una de las plataformas, teniendo en cuenta también el número mínimo de plataformas necesarias en la red</w:t>
      </w:r>
      <w:r w:rsidR="00126C1F">
        <w:rPr>
          <w:lang w:val="es-ES"/>
        </w:rPr>
        <w:t>.</w:t>
      </w:r>
    </w:p>
    <w:p w14:paraId="20C2F2D3" w14:textId="77777777" w:rsidR="0014780A" w:rsidRPr="00126C1F" w:rsidRDefault="0014780A" w:rsidP="0014780A">
      <w:pPr>
        <w:pStyle w:val="Prrafodelista"/>
        <w:spacing w:line="276" w:lineRule="auto"/>
        <w:ind w:left="720"/>
        <w:contextualSpacing/>
        <w:rPr>
          <w:lang w:val="es-ES"/>
        </w:rPr>
      </w:pPr>
    </w:p>
    <w:p w14:paraId="44D2CC10" w14:textId="45191CE7" w:rsidR="004A3027" w:rsidRPr="00657BA6" w:rsidRDefault="004A3027" w:rsidP="0014780A">
      <w:pPr>
        <w:spacing w:after="0"/>
        <w:rPr>
          <w:rFonts w:ascii="Arial" w:hAnsi="Arial" w:cs="Arial"/>
          <w:i/>
        </w:rPr>
      </w:pPr>
      <w:r w:rsidRPr="00657BA6">
        <w:rPr>
          <w:rFonts w:ascii="Arial" w:hAnsi="Arial" w:cs="Arial"/>
          <w:i/>
        </w:rPr>
        <w:t>Red de transmisión</w:t>
      </w:r>
    </w:p>
    <w:p w14:paraId="65EB6B62" w14:textId="77777777" w:rsidR="004A3027" w:rsidRPr="00657BA6" w:rsidRDefault="004A3027" w:rsidP="0014780A">
      <w:pPr>
        <w:spacing w:after="0"/>
        <w:rPr>
          <w:rFonts w:ascii="Arial" w:hAnsi="Arial" w:cs="Arial"/>
          <w:i/>
        </w:rPr>
      </w:pPr>
    </w:p>
    <w:p w14:paraId="13838C2F"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La conectividad entre nodos de redes de telefonía móvil se ajusta a varios tipos:</w:t>
      </w:r>
    </w:p>
    <w:p w14:paraId="38A5AB09" w14:textId="77777777" w:rsidR="004A3027" w:rsidRPr="00657BA6" w:rsidRDefault="004A3027" w:rsidP="0014780A">
      <w:pPr>
        <w:spacing w:after="0"/>
        <w:ind w:left="993"/>
        <w:jc w:val="both"/>
        <w:rPr>
          <w:rFonts w:ascii="Arial" w:eastAsia="Times New Roman" w:hAnsi="Arial" w:cs="Arial"/>
          <w:lang w:eastAsia="es-ES"/>
        </w:rPr>
      </w:pPr>
    </w:p>
    <w:p w14:paraId="469F4871" w14:textId="77777777" w:rsidR="004A3027" w:rsidRPr="00657BA6" w:rsidRDefault="004A3027" w:rsidP="0014780A">
      <w:pPr>
        <w:numPr>
          <w:ilvl w:val="0"/>
          <w:numId w:val="13"/>
        </w:numPr>
        <w:spacing w:after="0"/>
        <w:ind w:left="709" w:hanging="283"/>
        <w:jc w:val="both"/>
        <w:rPr>
          <w:rFonts w:ascii="Arial" w:eastAsia="Times New Roman" w:hAnsi="Arial" w:cs="Arial"/>
          <w:lang w:eastAsia="es-ES"/>
        </w:rPr>
      </w:pPr>
      <w:r w:rsidRPr="00657BA6">
        <w:rPr>
          <w:rFonts w:ascii="Arial" w:eastAsia="Times New Roman" w:hAnsi="Arial" w:cs="Arial"/>
          <w:lang w:eastAsia="es-ES"/>
        </w:rPr>
        <w:t>Acceso de última milla de BTS, Nodos o eNodosB a un concentrador (</w:t>
      </w:r>
      <w:r w:rsidRPr="00657BA6">
        <w:rPr>
          <w:rFonts w:ascii="Arial" w:eastAsia="Times New Roman" w:hAnsi="Arial" w:cs="Arial"/>
          <w:i/>
          <w:lang w:eastAsia="es-ES"/>
        </w:rPr>
        <w:t>hub</w:t>
      </w:r>
      <w:r w:rsidRPr="00657BA6">
        <w:rPr>
          <w:rFonts w:ascii="Arial" w:eastAsia="Times New Roman" w:hAnsi="Arial" w:cs="Arial"/>
          <w:lang w:eastAsia="es-ES"/>
        </w:rPr>
        <w:t>).</w:t>
      </w:r>
    </w:p>
    <w:p w14:paraId="67AAFE86" w14:textId="77777777" w:rsidR="004A3027" w:rsidRPr="00657BA6" w:rsidRDefault="004A3027" w:rsidP="0014780A">
      <w:pPr>
        <w:numPr>
          <w:ilvl w:val="0"/>
          <w:numId w:val="13"/>
        </w:numPr>
        <w:spacing w:after="0"/>
        <w:ind w:left="709" w:hanging="283"/>
        <w:jc w:val="both"/>
        <w:rPr>
          <w:rFonts w:ascii="Arial" w:eastAsia="Times New Roman" w:hAnsi="Arial" w:cs="Arial"/>
          <w:lang w:eastAsia="es-ES"/>
        </w:rPr>
      </w:pPr>
      <w:r w:rsidRPr="00657BA6">
        <w:rPr>
          <w:rFonts w:ascii="Arial" w:eastAsia="Times New Roman" w:hAnsi="Arial" w:cs="Arial"/>
          <w:lang w:eastAsia="es-ES"/>
        </w:rPr>
        <w:t>Concentrador a Controlador Estación Base (BSC de sus siglas en inglés, Base Station Controller), Controlador de Red de Radio (RNC de sus siglas en inglés, Radio Network Controller) o punto de agregación LTE (LTE-AP).</w:t>
      </w:r>
    </w:p>
    <w:p w14:paraId="25F354F7" w14:textId="77777777" w:rsidR="004A3027" w:rsidRPr="00657BA6" w:rsidRDefault="004A3027" w:rsidP="0014780A">
      <w:pPr>
        <w:numPr>
          <w:ilvl w:val="0"/>
          <w:numId w:val="13"/>
        </w:numPr>
        <w:spacing w:after="0"/>
        <w:ind w:left="709" w:hanging="283"/>
        <w:jc w:val="both"/>
        <w:rPr>
          <w:rFonts w:ascii="Arial" w:eastAsia="Times New Roman" w:hAnsi="Arial" w:cs="Arial"/>
          <w:lang w:eastAsia="es-ES"/>
        </w:rPr>
      </w:pPr>
      <w:r w:rsidRPr="00657BA6">
        <w:rPr>
          <w:rFonts w:ascii="Arial" w:eastAsia="Times New Roman" w:hAnsi="Arial" w:cs="Arial"/>
          <w:lang w:eastAsia="es-ES"/>
        </w:rPr>
        <w:t xml:space="preserve">BSC, RNC o LTE (LTE de sus siglas en inglés, </w:t>
      </w:r>
      <w:r w:rsidRPr="00657BA6">
        <w:rPr>
          <w:rFonts w:ascii="Arial" w:eastAsia="Times New Roman" w:hAnsi="Arial" w:cs="Arial"/>
          <w:iCs/>
          <w:lang w:eastAsia="es-ES"/>
        </w:rPr>
        <w:t>Long Term Evolution)</w:t>
      </w:r>
      <w:r w:rsidRPr="00657BA6">
        <w:rPr>
          <w:rFonts w:ascii="Arial" w:eastAsia="Times New Roman" w:hAnsi="Arial" w:cs="Arial"/>
          <w:lang w:eastAsia="es-ES"/>
        </w:rPr>
        <w:t xml:space="preserve"> a emplazamientos de conmutación principales (que contengan MSC, MGW o SGW) si no están coubicados.</w:t>
      </w:r>
    </w:p>
    <w:p w14:paraId="030F4BFF" w14:textId="77777777" w:rsidR="004A3027" w:rsidRPr="00657BA6" w:rsidRDefault="004A3027" w:rsidP="0014780A">
      <w:pPr>
        <w:numPr>
          <w:ilvl w:val="0"/>
          <w:numId w:val="13"/>
        </w:numPr>
        <w:spacing w:after="0"/>
        <w:ind w:left="709" w:hanging="283"/>
        <w:jc w:val="both"/>
        <w:rPr>
          <w:rFonts w:ascii="Arial" w:eastAsia="Times New Roman" w:hAnsi="Arial" w:cs="Arial"/>
          <w:lang w:eastAsia="es-ES"/>
        </w:rPr>
      </w:pPr>
      <w:r w:rsidRPr="00657BA6">
        <w:rPr>
          <w:rFonts w:ascii="Arial" w:eastAsia="Times New Roman" w:hAnsi="Arial" w:cs="Arial"/>
          <w:lang w:eastAsia="es-ES"/>
        </w:rPr>
        <w:t>Entre emplazamientos de conmutación principales (entre MSC, MGW o SGW).</w:t>
      </w:r>
    </w:p>
    <w:p w14:paraId="7CE314F4" w14:textId="77777777" w:rsidR="004A3027" w:rsidRPr="00657BA6" w:rsidRDefault="004A3027" w:rsidP="0014780A">
      <w:pPr>
        <w:spacing w:after="0"/>
        <w:jc w:val="both"/>
        <w:rPr>
          <w:rFonts w:ascii="Arial" w:eastAsia="Times New Roman" w:hAnsi="Arial" w:cs="Arial"/>
          <w:lang w:eastAsia="es-ES"/>
        </w:rPr>
      </w:pPr>
    </w:p>
    <w:p w14:paraId="2EA7D200" w14:textId="1693AA5F"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Las soluciones típicas para la provisión de transmisión incluyen los siguientes elementos,</w:t>
      </w:r>
      <w:r w:rsidRPr="00657BA6">
        <w:rPr>
          <w:rFonts w:ascii="Arial" w:eastAsiaTheme="minorHAnsi" w:hAnsi="Arial" w:cs="Arial"/>
        </w:rPr>
        <w:t xml:space="preserve"> </w:t>
      </w:r>
      <w:r w:rsidRPr="00657BA6">
        <w:rPr>
          <w:rFonts w:ascii="Arial" w:eastAsia="Times New Roman" w:hAnsi="Arial" w:cs="Arial"/>
          <w:lang w:eastAsia="es-ES"/>
        </w:rPr>
        <w:t>todos ellos disponibles con enlaces Ethernet (velocidades de 10, 30, 100</w:t>
      </w:r>
      <w:r w:rsidR="006C1BC4">
        <w:rPr>
          <w:rFonts w:ascii="Arial" w:eastAsia="Times New Roman" w:hAnsi="Arial" w:cs="Arial"/>
          <w:lang w:eastAsia="es-ES"/>
        </w:rPr>
        <w:t>,</w:t>
      </w:r>
      <w:r w:rsidRPr="00657BA6">
        <w:rPr>
          <w:rFonts w:ascii="Arial" w:eastAsia="Times New Roman" w:hAnsi="Arial" w:cs="Arial"/>
          <w:lang w:eastAsia="es-ES"/>
        </w:rPr>
        <w:t xml:space="preserve"> 300</w:t>
      </w:r>
      <w:r w:rsidR="006C1BC4">
        <w:rPr>
          <w:rFonts w:ascii="Arial" w:eastAsia="Times New Roman" w:hAnsi="Arial" w:cs="Arial"/>
          <w:lang w:eastAsia="es-ES"/>
        </w:rPr>
        <w:t xml:space="preserve"> y 1000 </w:t>
      </w:r>
      <w:r w:rsidRPr="00657BA6">
        <w:rPr>
          <w:rFonts w:ascii="Arial" w:eastAsia="Times New Roman" w:hAnsi="Arial" w:cs="Arial"/>
          <w:lang w:eastAsia="es-ES"/>
        </w:rPr>
        <w:t>Mbit/s):</w:t>
      </w:r>
    </w:p>
    <w:p w14:paraId="7730100E" w14:textId="77777777" w:rsidR="004A3027" w:rsidRPr="00657BA6" w:rsidRDefault="004A3027" w:rsidP="0014780A">
      <w:pPr>
        <w:spacing w:after="0"/>
        <w:ind w:left="993"/>
        <w:jc w:val="both"/>
        <w:rPr>
          <w:rFonts w:ascii="Arial" w:eastAsia="Times New Roman" w:hAnsi="Arial" w:cs="Arial"/>
          <w:lang w:eastAsia="es-ES"/>
        </w:rPr>
      </w:pPr>
    </w:p>
    <w:p w14:paraId="09E4E2EC" w14:textId="24A2B62F" w:rsidR="004A3027" w:rsidRPr="00657BA6" w:rsidRDefault="004A3027" w:rsidP="0014780A">
      <w:pPr>
        <w:numPr>
          <w:ilvl w:val="0"/>
          <w:numId w:val="13"/>
        </w:numPr>
        <w:spacing w:after="0"/>
        <w:ind w:left="709" w:hanging="283"/>
        <w:jc w:val="both"/>
        <w:rPr>
          <w:rFonts w:ascii="Arial" w:eastAsia="Times New Roman" w:hAnsi="Arial" w:cs="Arial"/>
          <w:lang w:eastAsia="es-ES"/>
        </w:rPr>
      </w:pPr>
      <w:r w:rsidRPr="00657BA6">
        <w:rPr>
          <w:rFonts w:ascii="Arial" w:eastAsia="Times New Roman" w:hAnsi="Arial" w:cs="Arial"/>
          <w:lang w:eastAsia="es-ES"/>
        </w:rPr>
        <w:t>Enlaces dedicados</w:t>
      </w:r>
      <w:r w:rsidR="00C52C2B">
        <w:rPr>
          <w:rFonts w:ascii="Arial" w:eastAsia="Times New Roman" w:hAnsi="Arial" w:cs="Arial"/>
          <w:lang w:eastAsia="es-ES"/>
        </w:rPr>
        <w:t>.</w:t>
      </w:r>
      <w:r w:rsidRPr="00657BA6">
        <w:rPr>
          <w:rFonts w:ascii="Arial" w:eastAsia="Times New Roman" w:hAnsi="Arial" w:cs="Arial"/>
          <w:lang w:eastAsia="es-ES"/>
        </w:rPr>
        <w:t xml:space="preserve"> </w:t>
      </w:r>
    </w:p>
    <w:p w14:paraId="2CE238B3" w14:textId="16A319EE" w:rsidR="004A3027" w:rsidRPr="00657BA6" w:rsidRDefault="004A3027" w:rsidP="0014780A">
      <w:pPr>
        <w:numPr>
          <w:ilvl w:val="0"/>
          <w:numId w:val="13"/>
        </w:numPr>
        <w:spacing w:after="0"/>
        <w:ind w:left="709" w:hanging="283"/>
        <w:jc w:val="both"/>
        <w:rPr>
          <w:rFonts w:ascii="Arial" w:eastAsia="Times New Roman" w:hAnsi="Arial" w:cs="Arial"/>
          <w:lang w:val="en-US" w:eastAsia="es-ES"/>
        </w:rPr>
      </w:pPr>
      <w:r w:rsidRPr="00657BA6">
        <w:rPr>
          <w:rFonts w:ascii="Arial" w:eastAsia="Times New Roman" w:hAnsi="Arial" w:cs="Arial"/>
          <w:lang w:val="en-US" w:eastAsia="es-ES"/>
        </w:rPr>
        <w:t xml:space="preserve">Enlaces por microondas </w:t>
      </w:r>
      <w:r w:rsidR="002F3EEC" w:rsidRPr="00657BA6">
        <w:rPr>
          <w:rFonts w:ascii="Arial" w:eastAsia="Times New Roman" w:hAnsi="Arial" w:cs="Arial"/>
          <w:lang w:val="en-US" w:eastAsia="es-ES"/>
        </w:rPr>
        <w:t>autoprovistos.</w:t>
      </w:r>
      <w:r w:rsidRPr="00657BA6">
        <w:rPr>
          <w:rFonts w:ascii="Arial" w:eastAsia="Times New Roman" w:hAnsi="Arial" w:cs="Arial"/>
          <w:lang w:val="en-US" w:eastAsia="es-ES"/>
        </w:rPr>
        <w:t xml:space="preserve"> </w:t>
      </w:r>
    </w:p>
    <w:p w14:paraId="7DA5F102" w14:textId="1134014E" w:rsidR="004A3027" w:rsidRPr="00657BA6" w:rsidRDefault="004A3027" w:rsidP="0014780A">
      <w:pPr>
        <w:numPr>
          <w:ilvl w:val="0"/>
          <w:numId w:val="13"/>
        </w:numPr>
        <w:spacing w:after="0"/>
        <w:ind w:left="709" w:hanging="283"/>
        <w:jc w:val="both"/>
        <w:rPr>
          <w:rFonts w:ascii="Arial" w:eastAsia="Times New Roman" w:hAnsi="Arial" w:cs="Arial"/>
          <w:lang w:eastAsia="es-ES"/>
        </w:rPr>
      </w:pPr>
      <w:r w:rsidRPr="00657BA6">
        <w:rPr>
          <w:rFonts w:ascii="Arial" w:eastAsia="Times New Roman" w:hAnsi="Arial" w:cs="Arial"/>
          <w:lang w:eastAsia="es-ES"/>
        </w:rPr>
        <w:t>Red de fibra alquilada (fibra oscura alquilada/IRU</w:t>
      </w:r>
      <w:r w:rsidR="00C52C2B">
        <w:rPr>
          <w:rFonts w:ascii="Arial" w:eastAsia="Times New Roman" w:hAnsi="Arial" w:cs="Arial"/>
          <w:lang w:eastAsia="es-ES"/>
        </w:rPr>
        <w:t>.</w:t>
      </w:r>
      <w:r w:rsidRPr="00657BA6">
        <w:rPr>
          <w:rFonts w:ascii="Arial" w:hAnsi="Arial" w:cs="Arial"/>
          <w:spacing w:val="-4"/>
          <w:vertAlign w:val="superscript"/>
        </w:rPr>
        <w:footnoteReference w:id="33"/>
      </w:r>
      <w:r w:rsidRPr="00657BA6">
        <w:rPr>
          <w:rFonts w:ascii="Arial" w:hAnsi="Arial" w:cs="Arial"/>
          <w:spacing w:val="-4"/>
          <w:vertAlign w:val="superscript"/>
        </w:rPr>
        <w:t xml:space="preserve"> </w:t>
      </w:r>
    </w:p>
    <w:p w14:paraId="621BCC97" w14:textId="77777777" w:rsidR="004A3027" w:rsidRPr="00657BA6" w:rsidRDefault="004A3027" w:rsidP="0014780A">
      <w:pPr>
        <w:spacing w:after="0"/>
        <w:ind w:left="993"/>
        <w:jc w:val="both"/>
        <w:rPr>
          <w:rFonts w:ascii="Arial" w:eastAsia="Times New Roman" w:hAnsi="Arial" w:cs="Arial"/>
          <w:lang w:eastAsia="es-ES"/>
        </w:rPr>
      </w:pPr>
    </w:p>
    <w:p w14:paraId="5F84A83A"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La elección del tipo de transmisión de la red móvil varía entre los distintos operadores móviles existentes y puede cambiar con el tiempo. En la actualidad, es probable que un nuevo entrante adopte una red de transmisión basada en tecnología Ethernet escalable y perdurable para el futuro.</w:t>
      </w:r>
    </w:p>
    <w:p w14:paraId="7F369E12" w14:textId="77777777" w:rsidR="004A3027" w:rsidRPr="00657BA6" w:rsidRDefault="004A3027" w:rsidP="0014780A">
      <w:pPr>
        <w:spacing w:after="0"/>
        <w:jc w:val="both"/>
        <w:rPr>
          <w:rFonts w:ascii="Arial" w:eastAsia="Times New Roman" w:hAnsi="Arial" w:cs="Arial"/>
          <w:lang w:eastAsia="es-ES"/>
        </w:rPr>
      </w:pPr>
    </w:p>
    <w:p w14:paraId="6D5B130B"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En este sentido, en consistencia con la mejor tecnología disponible, los operadores modelados disponen de una red de transmisión basada principalmente en enlaces de microondas y enlaces dedicados.</w:t>
      </w:r>
    </w:p>
    <w:p w14:paraId="59F68C99" w14:textId="77777777" w:rsidR="004A3027" w:rsidRPr="00657BA6" w:rsidRDefault="004A3027" w:rsidP="0014780A">
      <w:pPr>
        <w:spacing w:after="0"/>
        <w:ind w:left="426"/>
        <w:jc w:val="both"/>
        <w:rPr>
          <w:rFonts w:ascii="Arial" w:eastAsia="Times New Roman" w:hAnsi="Arial" w:cs="Arial"/>
          <w:lang w:eastAsia="es-ES"/>
        </w:rPr>
      </w:pPr>
    </w:p>
    <w:p w14:paraId="627CB04F" w14:textId="77777777" w:rsidR="004A3027" w:rsidRPr="00657BA6" w:rsidRDefault="004A3027" w:rsidP="0014780A">
      <w:pPr>
        <w:spacing w:after="0"/>
        <w:jc w:val="both"/>
        <w:rPr>
          <w:rFonts w:ascii="Arial" w:eastAsia="Times New Roman" w:hAnsi="Arial" w:cs="Arial"/>
          <w:b/>
          <w:lang w:eastAsia="es-ES"/>
        </w:rPr>
      </w:pPr>
      <w:r w:rsidRPr="00657BA6">
        <w:rPr>
          <w:rFonts w:ascii="Arial" w:eastAsia="Times New Roman" w:hAnsi="Arial" w:cs="Arial"/>
          <w:b/>
          <w:lang w:eastAsia="es-ES"/>
        </w:rPr>
        <w:t>Red de telecomunicaciones fija</w:t>
      </w:r>
    </w:p>
    <w:p w14:paraId="6484A1A9" w14:textId="77777777" w:rsidR="004A3027" w:rsidRPr="00657BA6" w:rsidRDefault="004A3027" w:rsidP="0014780A">
      <w:pPr>
        <w:spacing w:after="0"/>
        <w:jc w:val="both"/>
        <w:rPr>
          <w:rFonts w:ascii="Arial" w:eastAsia="Times New Roman" w:hAnsi="Arial" w:cs="Arial"/>
          <w:i/>
          <w:lang w:eastAsia="es-ES"/>
        </w:rPr>
      </w:pPr>
    </w:p>
    <w:p w14:paraId="4F3ABDDD"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Las redes fijas suelen estar formadas de dos capas de activos, las cuales pueden ser desplegadas en base a diferentes tecnologías. Estas son generalmente la capa de acceso y la capa troncal (</w:t>
      </w:r>
      <w:r w:rsidRPr="00657BA6">
        <w:rPr>
          <w:rFonts w:ascii="Arial" w:eastAsia="Times New Roman" w:hAnsi="Arial" w:cs="Arial"/>
          <w:i/>
          <w:lang w:eastAsia="es-ES"/>
        </w:rPr>
        <w:t>core</w:t>
      </w:r>
      <w:r w:rsidRPr="00657BA6">
        <w:rPr>
          <w:rFonts w:ascii="Arial" w:eastAsia="Times New Roman" w:hAnsi="Arial" w:cs="Arial"/>
          <w:lang w:eastAsia="es-ES"/>
        </w:rPr>
        <w:t>) (que incorpora la red de transmisión), aunque el límite preciso entre las dos capas depende de la tecnología y debe ser cuidadosamente definido. Se describen a continuación cada una de estas capas.</w:t>
      </w:r>
    </w:p>
    <w:p w14:paraId="1B92AF96" w14:textId="77777777" w:rsidR="004A3027" w:rsidRPr="00657BA6" w:rsidRDefault="004A3027" w:rsidP="0014780A">
      <w:pPr>
        <w:spacing w:after="0"/>
        <w:jc w:val="both"/>
        <w:rPr>
          <w:rFonts w:ascii="Arial" w:eastAsia="Times New Roman" w:hAnsi="Arial" w:cs="Arial"/>
          <w:lang w:eastAsia="es-ES"/>
        </w:rPr>
      </w:pPr>
    </w:p>
    <w:p w14:paraId="6566E156" w14:textId="77777777" w:rsidR="004A3027" w:rsidRPr="00657BA6" w:rsidRDefault="004A3027" w:rsidP="0014780A">
      <w:pPr>
        <w:spacing w:after="0"/>
        <w:jc w:val="both"/>
        <w:rPr>
          <w:rFonts w:ascii="Arial" w:eastAsia="Times New Roman" w:hAnsi="Arial" w:cs="Arial"/>
          <w:i/>
          <w:lang w:eastAsia="es-ES"/>
        </w:rPr>
      </w:pPr>
      <w:r w:rsidRPr="00657BA6">
        <w:rPr>
          <w:rFonts w:ascii="Arial" w:eastAsia="Times New Roman" w:hAnsi="Arial" w:cs="Arial"/>
          <w:i/>
          <w:lang w:eastAsia="es-ES"/>
        </w:rPr>
        <w:lastRenderedPageBreak/>
        <w:t>Red de acceso</w:t>
      </w:r>
    </w:p>
    <w:p w14:paraId="36DF83E6" w14:textId="77777777" w:rsidR="004A3027" w:rsidRPr="00657BA6" w:rsidRDefault="004A3027" w:rsidP="0014780A">
      <w:pPr>
        <w:spacing w:after="0"/>
        <w:jc w:val="both"/>
        <w:rPr>
          <w:rFonts w:ascii="Arial" w:eastAsia="Times New Roman" w:hAnsi="Arial" w:cs="Arial"/>
          <w:lang w:eastAsia="es-ES"/>
        </w:rPr>
      </w:pPr>
    </w:p>
    <w:p w14:paraId="37D3D85C"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 xml:space="preserve">La capa de acceso conecta los suscriptores a la red, lo que les permite utilizar los servicios de telefonía fija. Las opciones de arquitectura para esta capa son el cobre, la fibra o el cable coaxial, que cubren la conexión desde el punto de terminación de red (NTP) en las instalaciones del usuario hasta los nodos de agregación en la estructura en árbol de la red. </w:t>
      </w:r>
    </w:p>
    <w:p w14:paraId="5520180A" w14:textId="77777777" w:rsidR="004A3027" w:rsidRPr="00657BA6" w:rsidRDefault="004A3027" w:rsidP="0014780A">
      <w:pPr>
        <w:spacing w:after="0"/>
        <w:jc w:val="both"/>
        <w:rPr>
          <w:rFonts w:ascii="Arial" w:eastAsia="Times New Roman" w:hAnsi="Arial" w:cs="Arial"/>
          <w:lang w:eastAsia="es-ES"/>
        </w:rPr>
      </w:pPr>
    </w:p>
    <w:p w14:paraId="352EFBED" w14:textId="39FBB210" w:rsidR="00AE6397" w:rsidRPr="00AE6397" w:rsidRDefault="00AE6397" w:rsidP="0014780A">
      <w:pPr>
        <w:spacing w:after="0"/>
        <w:jc w:val="both"/>
        <w:rPr>
          <w:rFonts w:ascii="Arial" w:eastAsia="Times New Roman" w:hAnsi="Arial" w:cs="Arial"/>
          <w:lang w:val="es-ES" w:eastAsia="es-ES"/>
        </w:rPr>
      </w:pPr>
      <w:r>
        <w:rPr>
          <w:rFonts w:ascii="Arial" w:eastAsia="Times New Roman" w:hAnsi="Arial" w:cs="Arial"/>
          <w:lang w:val="es-ES" w:eastAsia="es-ES"/>
        </w:rPr>
        <w:t>L</w:t>
      </w:r>
      <w:r w:rsidRPr="00AE6397">
        <w:rPr>
          <w:rFonts w:ascii="Arial" w:eastAsia="Times New Roman" w:hAnsi="Arial" w:cs="Arial"/>
          <w:lang w:val="es-ES" w:eastAsia="es-ES"/>
        </w:rPr>
        <w:t xml:space="preserve">os costos de los servicios de acceso </w:t>
      </w:r>
      <w:r>
        <w:rPr>
          <w:rFonts w:ascii="Arial" w:eastAsia="Times New Roman" w:hAnsi="Arial" w:cs="Arial"/>
          <w:lang w:val="es-ES" w:eastAsia="es-ES"/>
        </w:rPr>
        <w:t xml:space="preserve">se </w:t>
      </w:r>
      <w:r w:rsidRPr="00AE6397">
        <w:rPr>
          <w:rFonts w:ascii="Arial" w:eastAsia="Times New Roman" w:hAnsi="Arial" w:cs="Arial"/>
          <w:lang w:val="es-ES" w:eastAsia="es-ES"/>
        </w:rPr>
        <w:t>modela</w:t>
      </w:r>
      <w:r>
        <w:rPr>
          <w:rFonts w:ascii="Arial" w:eastAsia="Times New Roman" w:hAnsi="Arial" w:cs="Arial"/>
          <w:lang w:val="es-ES" w:eastAsia="es-ES"/>
        </w:rPr>
        <w:t>n</w:t>
      </w:r>
      <w:r w:rsidRPr="00AE6397">
        <w:rPr>
          <w:rFonts w:ascii="Arial" w:eastAsia="Times New Roman" w:hAnsi="Arial" w:cs="Arial"/>
          <w:lang w:val="es-ES" w:eastAsia="es-ES"/>
        </w:rPr>
        <w:t xml:space="preserve"> en el modelo integral de acceso fijo. Por este motivo, el modelo no incluirá los elementos de la red de acceso. La red modelada, considera como punto de demarcación el nodo de acceso multiservicio (MSAN</w:t>
      </w:r>
      <w:r>
        <w:rPr>
          <w:rFonts w:ascii="Arial" w:eastAsia="Times New Roman" w:hAnsi="Arial" w:cs="Arial"/>
          <w:lang w:val="es-ES" w:eastAsia="es-ES"/>
        </w:rPr>
        <w:t xml:space="preserve">, </w:t>
      </w:r>
      <w:r w:rsidRPr="00657BA6">
        <w:rPr>
          <w:rFonts w:ascii="Arial" w:eastAsia="Times New Roman" w:hAnsi="Arial" w:cs="Arial"/>
          <w:i/>
          <w:lang w:eastAsia="es-ES"/>
        </w:rPr>
        <w:t>Multi- Service Access Node</w:t>
      </w:r>
      <w:r w:rsidRPr="00AE6397">
        <w:rPr>
          <w:rFonts w:ascii="Arial" w:eastAsia="Times New Roman" w:hAnsi="Arial" w:cs="Arial"/>
          <w:lang w:val="es-ES" w:eastAsia="es-ES"/>
        </w:rPr>
        <w:t>). El MSAN no se incluye en el modelo para asegurar la consistencia con el modelo de desagregación. En todo caso, se asumirá que el tráfico generado empleará el protocolo Ethernet para su conexión a las capas superiores de la red.</w:t>
      </w:r>
    </w:p>
    <w:p w14:paraId="0053A22F" w14:textId="77777777" w:rsidR="004A3027" w:rsidRPr="00657BA6" w:rsidRDefault="004A3027" w:rsidP="0014780A">
      <w:pPr>
        <w:spacing w:after="0"/>
        <w:jc w:val="both"/>
        <w:rPr>
          <w:rFonts w:ascii="Arial" w:eastAsia="Times New Roman" w:hAnsi="Arial" w:cs="Arial"/>
          <w:lang w:eastAsia="es-ES"/>
        </w:rPr>
      </w:pPr>
    </w:p>
    <w:p w14:paraId="2381A331" w14:textId="77777777" w:rsidR="004A3027" w:rsidRPr="00657BA6" w:rsidRDefault="004A3027" w:rsidP="0014780A">
      <w:pPr>
        <w:spacing w:after="0"/>
        <w:jc w:val="both"/>
        <w:rPr>
          <w:rFonts w:ascii="Arial" w:eastAsia="Times New Roman" w:hAnsi="Arial" w:cs="Arial"/>
          <w:i/>
          <w:lang w:eastAsia="es-ES"/>
        </w:rPr>
      </w:pPr>
      <w:r w:rsidRPr="00657BA6">
        <w:rPr>
          <w:rFonts w:ascii="Arial" w:eastAsia="Times New Roman" w:hAnsi="Arial" w:cs="Arial"/>
          <w:i/>
          <w:lang w:eastAsia="es-ES"/>
        </w:rPr>
        <w:t>Red troncal (core) y NGN</w:t>
      </w:r>
    </w:p>
    <w:p w14:paraId="3F5E5888" w14:textId="77777777" w:rsidR="004A3027" w:rsidRPr="00657BA6" w:rsidRDefault="004A3027" w:rsidP="0014780A">
      <w:pPr>
        <w:spacing w:after="0"/>
        <w:ind w:left="567"/>
        <w:jc w:val="both"/>
        <w:rPr>
          <w:rFonts w:ascii="Arial" w:eastAsia="Times New Roman" w:hAnsi="Arial" w:cs="Arial"/>
          <w:lang w:eastAsia="es-ES"/>
        </w:rPr>
      </w:pPr>
    </w:p>
    <w:p w14:paraId="7596C250" w14:textId="31AA8F30" w:rsidR="004A3027"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 xml:space="preserve">Al igual que en la red de acceso, existen arquitecturas tradicionales y de nueva generación (NGN). </w:t>
      </w:r>
    </w:p>
    <w:p w14:paraId="298B4F9C" w14:textId="77777777" w:rsidR="009E3368" w:rsidRPr="00657BA6" w:rsidRDefault="009E3368" w:rsidP="0014780A">
      <w:pPr>
        <w:spacing w:after="0"/>
        <w:jc w:val="both"/>
        <w:rPr>
          <w:rFonts w:ascii="Arial" w:eastAsia="Times New Roman" w:hAnsi="Arial" w:cs="Arial"/>
          <w:lang w:eastAsia="es-ES"/>
        </w:rPr>
      </w:pPr>
    </w:p>
    <w:p w14:paraId="33A97638"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 xml:space="preserve">Las redes históricas PSTN se basan en tecnología de conmutación de circuitos. Dicha tecnología asigna un camino físico dedicado a cada llamada de voz y reserva una cantidad asociada de ancho de banda dedicado (habitualmente un canal de voz PSTN tiene un ancho de banda de 64kbit/s) en toda la red. Este ancho de banda es dedicado para la llamada durante la duración de la misma, independientemente de si se está transmitiendo señal de audio entre los participantes. </w:t>
      </w:r>
    </w:p>
    <w:p w14:paraId="0728FF44" w14:textId="77777777" w:rsidR="004A3027" w:rsidRPr="00657BA6" w:rsidRDefault="004A3027" w:rsidP="0014780A">
      <w:pPr>
        <w:spacing w:after="0"/>
        <w:jc w:val="center"/>
        <w:rPr>
          <w:rFonts w:ascii="Arial" w:eastAsia="Times New Roman" w:hAnsi="Arial" w:cs="Arial"/>
          <w:lang w:eastAsia="es-ES"/>
        </w:rPr>
      </w:pPr>
    </w:p>
    <w:p w14:paraId="4AD57AAA" w14:textId="45632788"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 xml:space="preserve">Por el contrario, las NGN se basan en tecnologías de conmutación de paquetes, gracias a las cuales la voz se envía en ‘paquetes’ de datos digitalizados utilizando VoIP. Sin especificaciones de red especiales, </w:t>
      </w:r>
      <w:r w:rsidR="002F3EEC" w:rsidRPr="00657BA6">
        <w:rPr>
          <w:rFonts w:ascii="Arial" w:eastAsia="Times New Roman" w:hAnsi="Arial" w:cs="Arial"/>
          <w:lang w:eastAsia="es-ES"/>
        </w:rPr>
        <w:t>como,</w:t>
      </w:r>
      <w:r w:rsidRPr="00657BA6">
        <w:rPr>
          <w:rFonts w:ascii="Arial" w:eastAsia="Times New Roman" w:hAnsi="Arial" w:cs="Arial"/>
          <w:lang w:eastAsia="es-ES"/>
        </w:rPr>
        <w:t xml:space="preserve"> por ejemplo, mecanismos de QoS, cada paquete de voz compite en igualdad de condiciones con los paquetes de otros servicios (voz u otros tipos de datos en una red NGN) por los recursos de red disponibles, como por ejemplo el ancho de banda. Los mecanismos existentes para garantizar la calidad de servicio pueden priorizar los paquetes que llevan voz sobre otros tipos de paquetes de datos ayudando a asegurar que los paquetes de voz circulen por la red sin problemas y según reglas de transmisión (tiempo, retardo, jitter, etc.) asociadas al servicio de voz.</w:t>
      </w:r>
      <w:r w:rsidRPr="00657BA6">
        <w:rPr>
          <w:rFonts w:ascii="Arial" w:eastAsia="Times New Roman" w:hAnsi="Arial" w:cs="Arial"/>
          <w:vertAlign w:val="superscript"/>
          <w:lang w:eastAsia="es-ES"/>
        </w:rPr>
        <w:footnoteReference w:id="34"/>
      </w:r>
    </w:p>
    <w:p w14:paraId="7ACFB6FA" w14:textId="77777777" w:rsidR="004A3027" w:rsidRPr="00657BA6" w:rsidRDefault="004A3027" w:rsidP="0014780A">
      <w:pPr>
        <w:spacing w:after="0"/>
        <w:jc w:val="both"/>
        <w:rPr>
          <w:rFonts w:ascii="Arial" w:eastAsia="Times New Roman" w:hAnsi="Arial" w:cs="Arial"/>
          <w:lang w:eastAsia="es-ES"/>
        </w:rPr>
      </w:pPr>
    </w:p>
    <w:p w14:paraId="0DAB9241" w14:textId="77777777" w:rsidR="004A3027" w:rsidRPr="00657BA6" w:rsidRDefault="004A3027" w:rsidP="0014780A">
      <w:pPr>
        <w:spacing w:after="0"/>
        <w:jc w:val="center"/>
        <w:rPr>
          <w:rFonts w:ascii="Arial" w:hAnsi="Arial" w:cs="Arial"/>
        </w:rPr>
      </w:pPr>
      <w:r w:rsidRPr="00657BA6">
        <w:rPr>
          <w:rFonts w:ascii="Arial" w:hAnsi="Arial" w:cs="Arial"/>
          <w:noProof/>
          <w:lang w:eastAsia="es-MX"/>
        </w:rPr>
        <w:lastRenderedPageBreak/>
        <w:drawing>
          <wp:inline distT="0" distB="0" distL="0" distR="0" wp14:anchorId="450AF78D" wp14:editId="50C7BF94">
            <wp:extent cx="5545455" cy="3458210"/>
            <wp:effectExtent l="0" t="0" r="0" b="8890"/>
            <wp:docPr id="4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5545455" cy="3458210"/>
                    </a:xfrm>
                    <a:prstGeom prst="rect">
                      <a:avLst/>
                    </a:prstGeom>
                    <a:noFill/>
                    <a:ln>
                      <a:noFill/>
                    </a:ln>
                  </pic:spPr>
                </pic:pic>
              </a:graphicData>
            </a:graphic>
          </wp:inline>
        </w:drawing>
      </w:r>
    </w:p>
    <w:p w14:paraId="0A167DCA" w14:textId="77777777" w:rsidR="004A3027" w:rsidRPr="00657BA6" w:rsidRDefault="004A3027" w:rsidP="0014780A">
      <w:pPr>
        <w:keepNext/>
        <w:tabs>
          <w:tab w:val="left" w:pos="2041"/>
        </w:tabs>
        <w:spacing w:after="0"/>
        <w:jc w:val="center"/>
        <w:rPr>
          <w:rFonts w:ascii="Arial" w:hAnsi="Arial" w:cs="Arial"/>
          <w:bCs/>
        </w:rPr>
      </w:pPr>
      <w:r w:rsidRPr="00657BA6">
        <w:rPr>
          <w:rFonts w:ascii="Arial" w:hAnsi="Arial" w:cs="Arial"/>
          <w:bCs/>
        </w:rPr>
        <w:t>Figura 2. Comparación entre redes de conmutación de circuitos y de conmutación de paquetes</w:t>
      </w:r>
    </w:p>
    <w:p w14:paraId="1BE46E60" w14:textId="77777777" w:rsidR="004A3027" w:rsidRPr="00657BA6" w:rsidRDefault="004A3027" w:rsidP="0014780A">
      <w:pPr>
        <w:spacing w:after="0"/>
        <w:jc w:val="both"/>
        <w:rPr>
          <w:rFonts w:ascii="Arial" w:eastAsia="Times New Roman" w:hAnsi="Arial" w:cs="Arial"/>
          <w:lang w:eastAsia="es-ES"/>
        </w:rPr>
      </w:pPr>
    </w:p>
    <w:p w14:paraId="256B1100"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Las figuras 2 y 3 comparan la arquitectura de una red PSTN y una red NGN y se pueden ver los dos conceptos que rigen una red NGN:</w:t>
      </w:r>
    </w:p>
    <w:p w14:paraId="1777E25A" w14:textId="77777777" w:rsidR="004A3027" w:rsidRPr="00657BA6" w:rsidRDefault="004A3027" w:rsidP="0014780A">
      <w:pPr>
        <w:spacing w:after="0"/>
        <w:jc w:val="both"/>
        <w:rPr>
          <w:rFonts w:ascii="Arial" w:eastAsia="Times New Roman" w:hAnsi="Arial" w:cs="Arial"/>
          <w:lang w:eastAsia="es-ES"/>
        </w:rPr>
      </w:pPr>
    </w:p>
    <w:p w14:paraId="6D3356C2" w14:textId="77777777" w:rsidR="004A3027" w:rsidRPr="00657BA6" w:rsidRDefault="004A3027" w:rsidP="0014780A">
      <w:pPr>
        <w:numPr>
          <w:ilvl w:val="0"/>
          <w:numId w:val="4"/>
        </w:numPr>
        <w:tabs>
          <w:tab w:val="num" w:pos="426"/>
        </w:tabs>
        <w:spacing w:after="0"/>
        <w:ind w:left="426" w:firstLine="0"/>
        <w:jc w:val="both"/>
        <w:rPr>
          <w:rFonts w:ascii="Arial" w:eastAsia="Times New Roman" w:hAnsi="Arial" w:cs="Arial"/>
          <w:lang w:eastAsia="es-ES"/>
        </w:rPr>
      </w:pPr>
      <w:r w:rsidRPr="00657BA6">
        <w:rPr>
          <w:rFonts w:ascii="Arial" w:eastAsia="Times New Roman" w:hAnsi="Arial" w:cs="Arial"/>
          <w:i/>
          <w:lang w:eastAsia="es-ES"/>
        </w:rPr>
        <w:t>La separación entre los planos de control y de usuario</w:t>
      </w:r>
      <w:r w:rsidRPr="00657BA6">
        <w:rPr>
          <w:rFonts w:ascii="Arial" w:eastAsia="Times New Roman" w:hAnsi="Arial" w:cs="Arial"/>
          <w:lang w:eastAsia="es-ES"/>
        </w:rPr>
        <w:t>. En una red PSTN los conmutadores (</w:t>
      </w:r>
      <w:r w:rsidRPr="00657BA6">
        <w:rPr>
          <w:rFonts w:ascii="Arial" w:eastAsia="Times New Roman" w:hAnsi="Arial" w:cs="Arial"/>
          <w:i/>
          <w:lang w:eastAsia="es-ES"/>
        </w:rPr>
        <w:t>switches</w:t>
      </w:r>
      <w:r w:rsidRPr="00657BA6">
        <w:rPr>
          <w:rFonts w:ascii="Arial" w:eastAsia="Times New Roman" w:hAnsi="Arial" w:cs="Arial"/>
          <w:lang w:eastAsia="es-ES"/>
        </w:rPr>
        <w:t xml:space="preserve">) realizan la conmutación de las llamadas de voz y gestionan la señalización; en una red NGN, los </w:t>
      </w:r>
      <w:r w:rsidRPr="00657BA6">
        <w:rPr>
          <w:rFonts w:ascii="Arial" w:eastAsia="Times New Roman" w:hAnsi="Arial" w:cs="Arial"/>
          <w:i/>
          <w:lang w:eastAsia="es-ES"/>
        </w:rPr>
        <w:t>call servers</w:t>
      </w:r>
      <w:r w:rsidRPr="00657BA6">
        <w:rPr>
          <w:rFonts w:ascii="Arial" w:eastAsia="Times New Roman" w:hAnsi="Arial" w:cs="Arial"/>
          <w:lang w:eastAsia="es-ES"/>
        </w:rPr>
        <w:t xml:space="preserve"> son los que gestionan la señalización, y los </w:t>
      </w:r>
      <w:r w:rsidRPr="00657BA6">
        <w:rPr>
          <w:rFonts w:ascii="Arial" w:eastAsia="Times New Roman" w:hAnsi="Arial" w:cs="Arial"/>
          <w:i/>
          <w:lang w:eastAsia="es-ES"/>
        </w:rPr>
        <w:t>routers</w:t>
      </w:r>
      <w:r w:rsidRPr="00657BA6">
        <w:rPr>
          <w:rFonts w:ascii="Arial" w:eastAsia="Times New Roman" w:hAnsi="Arial" w:cs="Arial"/>
          <w:lang w:eastAsia="es-ES"/>
        </w:rPr>
        <w:t xml:space="preserve"> (o </w:t>
      </w:r>
      <w:r w:rsidRPr="00657BA6">
        <w:rPr>
          <w:rFonts w:ascii="Arial" w:eastAsia="Times New Roman" w:hAnsi="Arial" w:cs="Arial"/>
          <w:i/>
          <w:lang w:eastAsia="es-ES"/>
        </w:rPr>
        <w:t>media gateways</w:t>
      </w:r>
      <w:r w:rsidRPr="00657BA6">
        <w:rPr>
          <w:rFonts w:ascii="Arial" w:eastAsia="Times New Roman" w:hAnsi="Arial" w:cs="Arial"/>
          <w:lang w:eastAsia="es-ES"/>
        </w:rPr>
        <w:t xml:space="preserve"> especializadas) enrutan y gestionan el tráfico de paquetes de voz. Adicionalmente, y como se puede comprobar en la Figura 3, las capas separadas de las redes de </w:t>
      </w:r>
      <w:r w:rsidRPr="00657BA6">
        <w:rPr>
          <w:rFonts w:ascii="Arial" w:eastAsia="Times New Roman" w:hAnsi="Arial" w:cs="Arial"/>
          <w:i/>
          <w:lang w:eastAsia="es-ES"/>
        </w:rPr>
        <w:t>switches</w:t>
      </w:r>
      <w:r w:rsidRPr="00657BA6">
        <w:rPr>
          <w:rFonts w:ascii="Arial" w:eastAsia="Times New Roman" w:hAnsi="Arial" w:cs="Arial"/>
          <w:lang w:eastAsia="es-ES"/>
        </w:rPr>
        <w:t xml:space="preserve"> locales y de tránsito se reemplazan por </w:t>
      </w:r>
      <w:r w:rsidRPr="00657BA6">
        <w:rPr>
          <w:rFonts w:ascii="Arial" w:eastAsia="Times New Roman" w:hAnsi="Arial" w:cs="Arial"/>
          <w:i/>
          <w:lang w:eastAsia="es-ES"/>
        </w:rPr>
        <w:t>call servers</w:t>
      </w:r>
      <w:r w:rsidRPr="00657BA6">
        <w:rPr>
          <w:rFonts w:ascii="Arial" w:eastAsia="Times New Roman" w:hAnsi="Arial" w:cs="Arial"/>
          <w:lang w:eastAsia="es-ES"/>
        </w:rPr>
        <w:t xml:space="preserve"> en una estructura de una sola capa. Típicamente, en una red PSTN de 100 </w:t>
      </w:r>
      <w:r w:rsidRPr="00657BA6">
        <w:rPr>
          <w:rFonts w:ascii="Arial" w:eastAsia="Times New Roman" w:hAnsi="Arial" w:cs="Arial"/>
          <w:i/>
          <w:lang w:eastAsia="es-ES"/>
        </w:rPr>
        <w:t>switches</w:t>
      </w:r>
      <w:r w:rsidRPr="00657BA6">
        <w:rPr>
          <w:rFonts w:ascii="Arial" w:eastAsia="Times New Roman" w:hAnsi="Arial" w:cs="Arial"/>
          <w:lang w:eastAsia="es-ES"/>
        </w:rPr>
        <w:t xml:space="preserve"> locales y 10 </w:t>
      </w:r>
      <w:r w:rsidRPr="00657BA6">
        <w:rPr>
          <w:rFonts w:ascii="Arial" w:eastAsia="Times New Roman" w:hAnsi="Arial" w:cs="Arial"/>
          <w:i/>
          <w:lang w:eastAsia="es-ES"/>
        </w:rPr>
        <w:t>switches</w:t>
      </w:r>
      <w:r w:rsidRPr="00657BA6">
        <w:rPr>
          <w:rFonts w:ascii="Arial" w:eastAsia="Times New Roman" w:hAnsi="Arial" w:cs="Arial"/>
          <w:lang w:eastAsia="es-ES"/>
        </w:rPr>
        <w:t xml:space="preserve"> de tránsito, éstos podrían ser remplazados por un menor número de </w:t>
      </w:r>
      <w:r w:rsidRPr="00657BA6">
        <w:rPr>
          <w:rFonts w:ascii="Arial" w:eastAsia="Times New Roman" w:hAnsi="Arial" w:cs="Arial"/>
          <w:i/>
          <w:lang w:eastAsia="es-ES"/>
        </w:rPr>
        <w:t>call servers</w:t>
      </w:r>
      <w:r w:rsidRPr="00657BA6">
        <w:rPr>
          <w:rFonts w:ascii="Arial" w:eastAsia="Times New Roman" w:hAnsi="Arial" w:cs="Arial"/>
          <w:lang w:eastAsia="es-ES"/>
        </w:rPr>
        <w:t xml:space="preserve"> (menos de 5) en una red NGN.</w:t>
      </w:r>
    </w:p>
    <w:p w14:paraId="659435ED" w14:textId="77777777" w:rsidR="004A3027" w:rsidRPr="00657BA6" w:rsidRDefault="004A3027" w:rsidP="0014780A">
      <w:pPr>
        <w:spacing w:after="0"/>
        <w:ind w:left="426"/>
        <w:jc w:val="both"/>
        <w:rPr>
          <w:rFonts w:ascii="Arial" w:eastAsia="Times New Roman" w:hAnsi="Arial" w:cs="Arial"/>
          <w:lang w:eastAsia="es-ES"/>
        </w:rPr>
      </w:pPr>
    </w:p>
    <w:p w14:paraId="01E5C335" w14:textId="77777777" w:rsidR="004A3027" w:rsidRPr="00657BA6" w:rsidRDefault="004A3027" w:rsidP="0014780A">
      <w:pPr>
        <w:numPr>
          <w:ilvl w:val="0"/>
          <w:numId w:val="4"/>
        </w:numPr>
        <w:tabs>
          <w:tab w:val="num" w:pos="426"/>
        </w:tabs>
        <w:spacing w:after="0"/>
        <w:ind w:left="426" w:firstLine="0"/>
        <w:jc w:val="both"/>
        <w:rPr>
          <w:rFonts w:ascii="Arial" w:eastAsia="Times New Roman" w:hAnsi="Arial" w:cs="Arial"/>
          <w:lang w:eastAsia="es-ES"/>
        </w:rPr>
      </w:pPr>
      <w:r w:rsidRPr="00657BA6">
        <w:rPr>
          <w:rFonts w:ascii="Arial" w:eastAsia="Times New Roman" w:hAnsi="Arial" w:cs="Arial"/>
          <w:i/>
          <w:lang w:eastAsia="es-ES"/>
        </w:rPr>
        <w:t>La realización de la transmisión de paquetes de voz a través de una capa de routers común al resto de servicios transmitidos por la red NGN</w:t>
      </w:r>
      <w:r w:rsidRPr="00657BA6">
        <w:rPr>
          <w:rFonts w:ascii="Arial" w:eastAsia="Times New Roman" w:hAnsi="Arial" w:cs="Arial"/>
          <w:lang w:eastAsia="es-ES"/>
        </w:rPr>
        <w:t xml:space="preserve">. Estos </w:t>
      </w:r>
      <w:r w:rsidRPr="00657BA6">
        <w:rPr>
          <w:rFonts w:ascii="Arial" w:eastAsia="Times New Roman" w:hAnsi="Arial" w:cs="Arial"/>
          <w:i/>
          <w:lang w:eastAsia="es-ES"/>
        </w:rPr>
        <w:t xml:space="preserve">routers </w:t>
      </w:r>
      <w:r w:rsidRPr="00657BA6">
        <w:rPr>
          <w:rFonts w:ascii="Arial" w:eastAsia="Times New Roman" w:hAnsi="Arial" w:cs="Arial"/>
          <w:lang w:eastAsia="es-ES"/>
        </w:rPr>
        <w:t>gestionan la transmisión de los paquetes IP y pueden utilizar, en las capas de transporte y física, tecnologías como Ethernet y SDH (tanto tradicional como de próxima generación) sobre fibra (utilizando tecnologías WDM) dependiendo de la relación costo-beneficio y de la escala de la red.</w:t>
      </w:r>
    </w:p>
    <w:p w14:paraId="667E7043" w14:textId="77777777" w:rsidR="004A3027" w:rsidRPr="00657BA6" w:rsidRDefault="004A3027" w:rsidP="0014780A">
      <w:pPr>
        <w:spacing w:after="0"/>
        <w:ind w:left="426"/>
        <w:jc w:val="both"/>
        <w:rPr>
          <w:rFonts w:ascii="Arial" w:eastAsia="Times New Roman" w:hAnsi="Arial" w:cs="Arial"/>
          <w:lang w:eastAsia="es-ES"/>
        </w:rPr>
      </w:pPr>
    </w:p>
    <w:p w14:paraId="1BA5BA66"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lastRenderedPageBreak/>
        <w:t>La aplicación de ambos principios implica importantes ahorros en inversiones y gastos operativos.</w:t>
      </w:r>
    </w:p>
    <w:p w14:paraId="3FEC8F6E" w14:textId="77777777" w:rsidR="004A3027" w:rsidRPr="00657BA6" w:rsidRDefault="004A3027" w:rsidP="0014780A">
      <w:pPr>
        <w:spacing w:after="0"/>
        <w:jc w:val="both"/>
        <w:rPr>
          <w:rFonts w:ascii="Arial" w:eastAsia="Times New Roman" w:hAnsi="Arial" w:cs="Arial"/>
          <w:lang w:eastAsia="es-ES"/>
        </w:rPr>
      </w:pPr>
    </w:p>
    <w:p w14:paraId="71474786" w14:textId="77777777" w:rsidR="004A3027" w:rsidRPr="00657BA6" w:rsidRDefault="004A3027" w:rsidP="0014780A">
      <w:pPr>
        <w:spacing w:after="0"/>
        <w:jc w:val="center"/>
        <w:rPr>
          <w:rFonts w:ascii="Arial" w:hAnsi="Arial" w:cs="Arial"/>
        </w:rPr>
      </w:pPr>
      <w:r w:rsidRPr="00657BA6">
        <w:rPr>
          <w:rFonts w:ascii="Arial" w:hAnsi="Arial" w:cs="Arial"/>
          <w:noProof/>
          <w:lang w:eastAsia="es-MX"/>
        </w:rPr>
        <w:drawing>
          <wp:inline distT="0" distB="0" distL="0" distR="0" wp14:anchorId="1A0D6510" wp14:editId="0EEAD78E">
            <wp:extent cx="5545455" cy="2831465"/>
            <wp:effectExtent l="0" t="0" r="0" b="6985"/>
            <wp:docPr id="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5545455" cy="2831465"/>
                    </a:xfrm>
                    <a:prstGeom prst="rect">
                      <a:avLst/>
                    </a:prstGeom>
                    <a:noFill/>
                    <a:ln>
                      <a:noFill/>
                    </a:ln>
                  </pic:spPr>
                </pic:pic>
              </a:graphicData>
            </a:graphic>
          </wp:inline>
        </w:drawing>
      </w:r>
    </w:p>
    <w:p w14:paraId="568FD458" w14:textId="77777777" w:rsidR="004A3027" w:rsidRPr="00657BA6" w:rsidRDefault="004A3027" w:rsidP="0014780A">
      <w:pPr>
        <w:keepNext/>
        <w:tabs>
          <w:tab w:val="left" w:pos="2041"/>
        </w:tabs>
        <w:spacing w:after="0"/>
        <w:jc w:val="center"/>
        <w:rPr>
          <w:rFonts w:ascii="Arial" w:hAnsi="Arial" w:cs="Arial"/>
          <w:bCs/>
        </w:rPr>
      </w:pPr>
      <w:r w:rsidRPr="00657BA6">
        <w:rPr>
          <w:rFonts w:ascii="Arial" w:hAnsi="Arial" w:cs="Arial"/>
          <w:bCs/>
        </w:rPr>
        <w:t>Figura 3. Comparación de la red PSTN tradicional y los servicios de voz sobre una NGN</w:t>
      </w:r>
    </w:p>
    <w:p w14:paraId="66D206C3" w14:textId="77777777" w:rsidR="004A3027" w:rsidRPr="00657BA6" w:rsidRDefault="004A3027" w:rsidP="0014780A">
      <w:pPr>
        <w:spacing w:after="0"/>
        <w:jc w:val="both"/>
        <w:rPr>
          <w:rFonts w:ascii="Arial" w:eastAsia="Times New Roman" w:hAnsi="Arial" w:cs="Arial"/>
          <w:lang w:eastAsia="es-ES"/>
        </w:rPr>
      </w:pPr>
    </w:p>
    <w:p w14:paraId="225A5C08" w14:textId="5ABBDD90"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La interconexión con las redes de otros operadores en una red NGN se implementa a través de pasarelas frontera (</w:t>
      </w:r>
      <w:r w:rsidRPr="00657BA6">
        <w:rPr>
          <w:rFonts w:ascii="Arial" w:eastAsia="Times New Roman" w:hAnsi="Arial" w:cs="Arial"/>
          <w:i/>
          <w:lang w:eastAsia="es-ES"/>
        </w:rPr>
        <w:t xml:space="preserve">border </w:t>
      </w:r>
      <w:r w:rsidRPr="00D47BB9">
        <w:rPr>
          <w:rFonts w:ascii="Arial" w:eastAsia="Times New Roman" w:hAnsi="Arial" w:cs="Arial"/>
          <w:lang w:eastAsia="es-ES"/>
        </w:rPr>
        <w:t>gateways</w:t>
      </w:r>
      <w:r w:rsidRPr="00657BA6">
        <w:rPr>
          <w:rFonts w:ascii="Arial" w:eastAsia="Times New Roman" w:hAnsi="Arial" w:cs="Arial"/>
          <w:lang w:eastAsia="es-ES"/>
        </w:rPr>
        <w:t xml:space="preserve"> en inglés)</w:t>
      </w:r>
      <w:r w:rsidR="00936FFB">
        <w:rPr>
          <w:rFonts w:ascii="Arial" w:eastAsia="Times New Roman" w:hAnsi="Arial" w:cs="Arial"/>
          <w:lang w:eastAsia="es-ES"/>
        </w:rPr>
        <w:t xml:space="preserve">, </w:t>
      </w:r>
      <w:r w:rsidR="00936FFB" w:rsidRPr="00D47BB9">
        <w:rPr>
          <w:rFonts w:ascii="Arial" w:eastAsia="Times New Roman" w:hAnsi="Arial" w:cs="Arial"/>
          <w:lang w:eastAsia="es-ES"/>
        </w:rPr>
        <w:t>también conocidos como Session Border Controllers (SBC) que controlan el acceso a la red. Adicionalmente un operador deberá desplegar equipamiento adicional en su red de núcleo para encaminar el tráfico de datos a internet (por ejemplo, BRAS y servidores DNS), así como plataformas adicionales para proporcionar servicios de valor añadido (por ejemplo, IPTV).</w:t>
      </w:r>
      <w:r w:rsidRPr="00657BA6">
        <w:rPr>
          <w:rFonts w:ascii="Arial" w:eastAsia="Times New Roman" w:hAnsi="Arial" w:cs="Arial"/>
          <w:lang w:eastAsia="es-ES"/>
        </w:rPr>
        <w:t xml:space="preserve"> que controlan el acceso a la red. </w:t>
      </w:r>
    </w:p>
    <w:p w14:paraId="7F8955AD" w14:textId="77777777" w:rsidR="004A3027" w:rsidRPr="00657BA6" w:rsidRDefault="004A3027" w:rsidP="0014780A">
      <w:pPr>
        <w:spacing w:after="0"/>
        <w:ind w:left="567"/>
        <w:jc w:val="both"/>
        <w:rPr>
          <w:rFonts w:ascii="Arial" w:eastAsia="Times New Roman" w:hAnsi="Arial" w:cs="Arial"/>
          <w:lang w:eastAsia="es-ES"/>
        </w:rPr>
      </w:pPr>
    </w:p>
    <w:p w14:paraId="1891869D" w14:textId="2C4DB37F" w:rsidR="0060082F" w:rsidRPr="00D47BB9" w:rsidRDefault="0060082F" w:rsidP="00D47BB9">
      <w:pPr>
        <w:spacing w:after="0"/>
        <w:jc w:val="both"/>
        <w:rPr>
          <w:rFonts w:ascii="Arial" w:eastAsia="Times New Roman" w:hAnsi="Arial" w:cs="Arial"/>
          <w:lang w:eastAsia="es-ES"/>
        </w:rPr>
      </w:pPr>
      <w:r w:rsidRPr="00D47BB9">
        <w:rPr>
          <w:rFonts w:ascii="Arial" w:eastAsia="Times New Roman" w:hAnsi="Arial" w:cs="Arial"/>
          <w:lang w:eastAsia="es-ES"/>
        </w:rPr>
        <w:t xml:space="preserve">En el caso del modelo de costos, se debe considerar el uso de una tecnología eficiente. En este sentido, existen diversas opciones para desplegar una red NGN, donde algunas alternativas son meramente actualizaciones de la red PSTN. </w:t>
      </w:r>
      <w:r>
        <w:rPr>
          <w:rFonts w:ascii="Arial" w:eastAsia="Times New Roman" w:hAnsi="Arial" w:cs="Arial"/>
          <w:lang w:eastAsia="es-ES"/>
        </w:rPr>
        <w:t>L</w:t>
      </w:r>
      <w:r w:rsidRPr="00D47BB9">
        <w:rPr>
          <w:rFonts w:ascii="Arial" w:eastAsia="Times New Roman" w:hAnsi="Arial" w:cs="Arial"/>
          <w:lang w:eastAsia="es-ES"/>
        </w:rPr>
        <w:t>a opción común desplegada por los operadores es la presentada anteriormente, basadas en enrutadores IP/Ethernet NGN, que dirigen el tráfico de voz y datos entre los nodos de la red. Esta aproximación será la incluida en el modelo de costos.</w:t>
      </w:r>
    </w:p>
    <w:p w14:paraId="2D07D6B9" w14:textId="77777777" w:rsidR="004A3027" w:rsidRPr="00657BA6" w:rsidRDefault="004A3027" w:rsidP="0014780A">
      <w:pPr>
        <w:spacing w:after="0"/>
        <w:jc w:val="both"/>
        <w:rPr>
          <w:rFonts w:ascii="Arial" w:eastAsia="Times New Roman" w:hAnsi="Arial" w:cs="Arial"/>
          <w:lang w:eastAsia="es-ES"/>
        </w:rPr>
      </w:pPr>
    </w:p>
    <w:p w14:paraId="20C55206" w14:textId="77777777" w:rsidR="004A3027" w:rsidRPr="00657BA6" w:rsidRDefault="004A3027" w:rsidP="0014780A">
      <w:pPr>
        <w:spacing w:after="0"/>
        <w:jc w:val="both"/>
        <w:rPr>
          <w:rFonts w:ascii="Arial" w:eastAsia="Times New Roman" w:hAnsi="Arial" w:cs="Arial"/>
          <w:i/>
          <w:lang w:eastAsia="es-ES"/>
        </w:rPr>
      </w:pPr>
      <w:r w:rsidRPr="00657BA6">
        <w:rPr>
          <w:rFonts w:ascii="Arial" w:eastAsia="Times New Roman" w:hAnsi="Arial" w:cs="Arial"/>
          <w:i/>
          <w:lang w:eastAsia="es-ES"/>
        </w:rPr>
        <w:t>Red de transmisión</w:t>
      </w:r>
    </w:p>
    <w:p w14:paraId="4CE86959" w14:textId="77777777" w:rsidR="004A3027" w:rsidRPr="00657BA6" w:rsidRDefault="004A3027" w:rsidP="0014780A">
      <w:pPr>
        <w:spacing w:after="0"/>
        <w:jc w:val="both"/>
        <w:rPr>
          <w:rFonts w:ascii="Arial" w:eastAsia="Times New Roman" w:hAnsi="Arial" w:cs="Arial"/>
          <w:lang w:eastAsia="es-ES"/>
        </w:rPr>
      </w:pPr>
    </w:p>
    <w:p w14:paraId="0B1E6BE1"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La transmisión en una red fija puede realizase a través de una serie de métodos alternativos:</w:t>
      </w:r>
    </w:p>
    <w:p w14:paraId="291D4379" w14:textId="77777777" w:rsidR="004A3027" w:rsidRPr="00657BA6" w:rsidRDefault="004A3027" w:rsidP="0014780A">
      <w:pPr>
        <w:spacing w:after="0"/>
        <w:jc w:val="both"/>
        <w:rPr>
          <w:rFonts w:ascii="Arial" w:eastAsia="Times New Roman" w:hAnsi="Arial" w:cs="Arial"/>
          <w:lang w:eastAsia="es-ES"/>
        </w:rPr>
      </w:pPr>
    </w:p>
    <w:p w14:paraId="62B23D4A" w14:textId="77777777" w:rsidR="004A3027" w:rsidRPr="00657BA6" w:rsidRDefault="004A3027" w:rsidP="009640AE">
      <w:pPr>
        <w:numPr>
          <w:ilvl w:val="0"/>
          <w:numId w:val="22"/>
        </w:numPr>
        <w:spacing w:after="0"/>
        <w:ind w:left="426" w:firstLine="0"/>
        <w:contextualSpacing/>
        <w:jc w:val="both"/>
        <w:rPr>
          <w:rFonts w:ascii="Arial" w:eastAsia="Times New Roman" w:hAnsi="Arial" w:cs="Arial"/>
          <w:lang w:eastAsia="es-ES"/>
        </w:rPr>
      </w:pPr>
      <w:r w:rsidRPr="00657BA6">
        <w:rPr>
          <w:rFonts w:ascii="Arial" w:eastAsia="Times New Roman" w:hAnsi="Arial" w:cs="Arial"/>
          <w:lang w:eastAsia="es-ES"/>
        </w:rPr>
        <w:t>ATM (</w:t>
      </w:r>
      <w:r w:rsidRPr="00657BA6">
        <w:rPr>
          <w:rFonts w:ascii="Arial" w:eastAsia="Times New Roman" w:hAnsi="Arial" w:cs="Arial"/>
          <w:i/>
          <w:lang w:eastAsia="es-ES"/>
        </w:rPr>
        <w:t>Asynchronous Transfer Mode)</w:t>
      </w:r>
      <w:r w:rsidRPr="00657BA6">
        <w:rPr>
          <w:rFonts w:ascii="Arial" w:eastAsia="Times New Roman" w:hAnsi="Arial" w:cs="Arial"/>
          <w:lang w:eastAsia="es-ES"/>
        </w:rPr>
        <w:t xml:space="preserve"> sobre SDH o SDH de próxima generación;</w:t>
      </w:r>
    </w:p>
    <w:p w14:paraId="6AE632E5" w14:textId="77777777" w:rsidR="004A3027" w:rsidRPr="00657BA6" w:rsidRDefault="004A3027" w:rsidP="009640AE">
      <w:pPr>
        <w:numPr>
          <w:ilvl w:val="0"/>
          <w:numId w:val="22"/>
        </w:numPr>
        <w:spacing w:after="0"/>
        <w:ind w:left="426" w:firstLine="0"/>
        <w:contextualSpacing/>
        <w:jc w:val="both"/>
        <w:rPr>
          <w:rFonts w:ascii="Arial" w:eastAsia="Times New Roman" w:hAnsi="Arial" w:cs="Arial"/>
          <w:lang w:eastAsia="es-ES"/>
        </w:rPr>
      </w:pPr>
      <w:r w:rsidRPr="00657BA6">
        <w:rPr>
          <w:rFonts w:ascii="Arial" w:eastAsia="Times New Roman" w:hAnsi="Arial" w:cs="Arial"/>
          <w:lang w:eastAsia="es-ES"/>
        </w:rPr>
        <w:t xml:space="preserve">Microondas STM punto-a-punto; </w:t>
      </w:r>
    </w:p>
    <w:p w14:paraId="1C3B746E" w14:textId="77777777" w:rsidR="004A3027" w:rsidRPr="00657BA6" w:rsidRDefault="004A3027" w:rsidP="009640AE">
      <w:pPr>
        <w:numPr>
          <w:ilvl w:val="0"/>
          <w:numId w:val="22"/>
        </w:numPr>
        <w:spacing w:after="0"/>
        <w:ind w:left="426" w:firstLine="0"/>
        <w:contextualSpacing/>
        <w:jc w:val="both"/>
        <w:rPr>
          <w:rFonts w:ascii="Arial" w:eastAsia="Times New Roman" w:hAnsi="Arial" w:cs="Arial"/>
          <w:lang w:eastAsia="es-ES"/>
        </w:rPr>
      </w:pPr>
      <w:r w:rsidRPr="00657BA6">
        <w:rPr>
          <w:rFonts w:ascii="Arial" w:eastAsia="Times New Roman" w:hAnsi="Arial" w:cs="Arial"/>
          <w:lang w:eastAsia="es-ES"/>
        </w:rPr>
        <w:t>IP/MPLS sobre SDH o SDH de próxima generación;</w:t>
      </w:r>
    </w:p>
    <w:p w14:paraId="2FEE4F8B" w14:textId="77777777" w:rsidR="004A3027" w:rsidRPr="00657BA6" w:rsidRDefault="004A3027" w:rsidP="009640AE">
      <w:pPr>
        <w:numPr>
          <w:ilvl w:val="0"/>
          <w:numId w:val="22"/>
        </w:numPr>
        <w:spacing w:after="0"/>
        <w:ind w:left="426" w:firstLine="0"/>
        <w:contextualSpacing/>
        <w:jc w:val="both"/>
        <w:rPr>
          <w:rFonts w:ascii="Arial" w:eastAsia="Times New Roman" w:hAnsi="Arial" w:cs="Arial"/>
          <w:lang w:eastAsia="es-ES"/>
        </w:rPr>
      </w:pPr>
      <w:r w:rsidRPr="00657BA6">
        <w:rPr>
          <w:rFonts w:ascii="Arial" w:eastAsia="Times New Roman" w:hAnsi="Arial" w:cs="Arial"/>
          <w:lang w:eastAsia="es-ES"/>
        </w:rPr>
        <w:t>IP/MPLS sobre Ethernet nativo.</w:t>
      </w:r>
    </w:p>
    <w:p w14:paraId="646E4815" w14:textId="77777777" w:rsidR="004A3027" w:rsidRPr="00657BA6" w:rsidRDefault="004A3027" w:rsidP="0014780A">
      <w:pPr>
        <w:spacing w:after="0"/>
        <w:jc w:val="both"/>
        <w:rPr>
          <w:rFonts w:ascii="Arial" w:eastAsia="Times New Roman" w:hAnsi="Arial" w:cs="Arial"/>
          <w:lang w:eastAsia="es-ES"/>
        </w:rPr>
      </w:pPr>
    </w:p>
    <w:p w14:paraId="7A9E93E2" w14:textId="68AFFF38" w:rsidR="007E4D7D" w:rsidRPr="00D47BB9" w:rsidRDefault="007E4D7D" w:rsidP="00D47BB9">
      <w:pPr>
        <w:spacing w:after="0"/>
        <w:jc w:val="both"/>
        <w:rPr>
          <w:rFonts w:ascii="Arial" w:eastAsia="Times New Roman" w:hAnsi="Arial" w:cs="Arial"/>
          <w:lang w:eastAsia="es-ES"/>
        </w:rPr>
      </w:pPr>
      <w:r w:rsidRPr="00D47BB9">
        <w:rPr>
          <w:rFonts w:ascii="Arial" w:eastAsia="Times New Roman" w:hAnsi="Arial" w:cs="Arial"/>
          <w:lang w:eastAsia="es-ES"/>
        </w:rPr>
        <w:t>La tecnología moderna eficiente que la mayoría de los operadores están operando es IP/MPLS sobre Ethernet nativo y sobre tecnología DWDM. La utilización de esta tecnología se considera como mejor práctica internacional y es una de las principales tecnologías desplegadas por operadores con red troncal NGN-IP a nivel mundial. Se modelará un operador hipotético con una red de transmisión IP/MPLS sobre Ethernet nativo.</w:t>
      </w:r>
    </w:p>
    <w:p w14:paraId="339FDC8F" w14:textId="77777777" w:rsidR="004A3027" w:rsidRPr="00657BA6" w:rsidRDefault="004A3027" w:rsidP="0014780A">
      <w:pPr>
        <w:spacing w:after="0"/>
        <w:jc w:val="both"/>
        <w:rPr>
          <w:rFonts w:ascii="Arial" w:eastAsia="Times New Roman" w:hAnsi="Arial" w:cs="Arial"/>
          <w:lang w:eastAsia="es-ES"/>
        </w:rPr>
      </w:pPr>
    </w:p>
    <w:p w14:paraId="16DD264E" w14:textId="77777777" w:rsidR="004A3027" w:rsidRPr="00657BA6" w:rsidRDefault="004A3027" w:rsidP="0014780A">
      <w:pPr>
        <w:spacing w:after="0"/>
        <w:jc w:val="both"/>
        <w:rPr>
          <w:rFonts w:ascii="Arial" w:eastAsia="Times New Roman" w:hAnsi="Arial" w:cs="Arial"/>
          <w:i/>
          <w:lang w:eastAsia="es-ES"/>
        </w:rPr>
      </w:pPr>
      <w:r w:rsidRPr="00657BA6">
        <w:rPr>
          <w:rFonts w:ascii="Arial" w:eastAsia="Times New Roman" w:hAnsi="Arial" w:cs="Arial"/>
          <w:i/>
          <w:lang w:eastAsia="es-ES"/>
        </w:rPr>
        <w:t>Demarcación de las capas de red</w:t>
      </w:r>
    </w:p>
    <w:p w14:paraId="3D133555" w14:textId="77777777" w:rsidR="004A3027" w:rsidRPr="00657BA6" w:rsidRDefault="004A3027" w:rsidP="0014780A">
      <w:pPr>
        <w:spacing w:after="0"/>
        <w:jc w:val="both"/>
        <w:rPr>
          <w:rFonts w:ascii="Arial" w:eastAsia="Times New Roman" w:hAnsi="Arial" w:cs="Arial"/>
          <w:lang w:eastAsia="es-ES"/>
        </w:rPr>
      </w:pPr>
    </w:p>
    <w:p w14:paraId="24F1E428"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En Europa, la Recomendación de la Comisión sobre el tratamiento regulatorio de las tarifas de terminación fija y móvil en la Unión Europea establece lo siguiente: “El punto de demarcación por defecto entre los costos relacionados con el tráfico y los no relacionados con el tráfico es normalmente el punto en el que se produce la primera concentración de tráfico.”</w:t>
      </w:r>
    </w:p>
    <w:p w14:paraId="6ECAAA0C" w14:textId="77777777" w:rsidR="004A3027" w:rsidRPr="00657BA6" w:rsidRDefault="004A3027" w:rsidP="0014780A">
      <w:pPr>
        <w:spacing w:after="0"/>
        <w:ind w:left="567"/>
        <w:jc w:val="both"/>
        <w:rPr>
          <w:rFonts w:ascii="Arial" w:eastAsia="Times New Roman" w:hAnsi="Arial" w:cs="Arial"/>
          <w:lang w:eastAsia="es-ES"/>
        </w:rPr>
      </w:pPr>
    </w:p>
    <w:p w14:paraId="6FEA6E31"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En los modelos de costos fijos, los costos históricos relacionados con la red de acceso a través de las cuotas de suscripción. En el caso del presente modelo, no se tendrán en cuenta los costos asociados con la red de acceso, por lo que es imprescindible definir de forma consistente y con exactitud el punto de separación entre la red de acceso y el resto de la infraestructura tanto para las redes fijas como móviles.</w:t>
      </w:r>
    </w:p>
    <w:p w14:paraId="0F9233EE" w14:textId="77777777" w:rsidR="004A3027" w:rsidRPr="00657BA6" w:rsidRDefault="004A3027" w:rsidP="0014780A">
      <w:pPr>
        <w:spacing w:after="0"/>
        <w:jc w:val="both"/>
        <w:rPr>
          <w:rFonts w:ascii="Arial" w:eastAsia="Times New Roman" w:hAnsi="Arial" w:cs="Arial"/>
          <w:lang w:eastAsia="es-ES"/>
        </w:rPr>
      </w:pPr>
    </w:p>
    <w:p w14:paraId="76DEFB1D"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 xml:space="preserve">Las redes fijas y móviles utilizan una estructura en árbol de forma lógica, ya que no sería factible tener rutas dedicadas para todas las combinaciones posibles entre usuarios finales. Como resultado, el tráfico se concentra a medida que atraviesa la red. Los activos relacionados con la prestación de acceso al usuario final son los que se dedican a la conexión del usuario final a la red de telecomunicaciones, lo que le permite utilizar los servicios disponibles. </w:t>
      </w:r>
    </w:p>
    <w:p w14:paraId="63547694" w14:textId="77777777" w:rsidR="004A3027" w:rsidRPr="00657BA6" w:rsidRDefault="004A3027" w:rsidP="0014780A">
      <w:pPr>
        <w:spacing w:after="0"/>
        <w:jc w:val="both"/>
        <w:rPr>
          <w:rFonts w:ascii="Arial" w:eastAsia="Times New Roman" w:hAnsi="Arial" w:cs="Arial"/>
          <w:lang w:eastAsia="es-ES"/>
        </w:rPr>
      </w:pPr>
    </w:p>
    <w:p w14:paraId="3A55ED19" w14:textId="67F24498"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 xml:space="preserve">Esta capa transmite el tráfico y no tiene la capacidad de concentrarlo en función de la carga de tráfico. La capa de red de acceso termina en el primer activo que tiene esta capacidad específica. Los activos utilizados para la prestación de acceso sólo se utilizan con el fin de conectar los usuarios finales a la red y por lo tanto su número es proporcional al número de usuarios que utilizan la red. El resto de </w:t>
      </w:r>
      <w:r w:rsidR="00754427" w:rsidRPr="00657BA6">
        <w:rPr>
          <w:rFonts w:ascii="Arial" w:eastAsia="Times New Roman" w:hAnsi="Arial" w:cs="Arial"/>
          <w:lang w:eastAsia="es-ES"/>
        </w:rPr>
        <w:t>los activos</w:t>
      </w:r>
      <w:r w:rsidRPr="00657BA6">
        <w:rPr>
          <w:rFonts w:ascii="Arial" w:eastAsia="Times New Roman" w:hAnsi="Arial" w:cs="Arial"/>
          <w:lang w:eastAsia="es-ES"/>
        </w:rPr>
        <w:t xml:space="preserve"> varía según el volumen de tráfico cursado en la red.</w:t>
      </w:r>
    </w:p>
    <w:p w14:paraId="0D75B00D" w14:textId="77777777" w:rsidR="004A3027" w:rsidRPr="00657BA6" w:rsidRDefault="004A3027" w:rsidP="0014780A">
      <w:pPr>
        <w:spacing w:after="0"/>
        <w:jc w:val="both"/>
        <w:rPr>
          <w:rFonts w:ascii="Arial" w:eastAsia="Times New Roman" w:hAnsi="Arial" w:cs="Arial"/>
          <w:lang w:eastAsia="es-ES"/>
        </w:rPr>
      </w:pPr>
    </w:p>
    <w:p w14:paraId="76EF9FA3"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De esta forma, el punto de demarcación entre la red de acceso y las otras capas de la red del operador hipotético es el primer punto donde ocurre una concentración de tráfico, de manera que los recursos se asignan en función de la carga de tráfico cursado en la red.</w:t>
      </w:r>
    </w:p>
    <w:p w14:paraId="61CC23E7" w14:textId="77777777" w:rsidR="004A3027" w:rsidRPr="00657BA6" w:rsidRDefault="004A3027" w:rsidP="0014780A">
      <w:pPr>
        <w:spacing w:after="0"/>
        <w:jc w:val="both"/>
        <w:rPr>
          <w:rFonts w:ascii="Arial" w:eastAsia="Times New Roman" w:hAnsi="Arial" w:cs="Arial"/>
          <w:lang w:eastAsia="es-ES"/>
        </w:rPr>
      </w:pPr>
    </w:p>
    <w:p w14:paraId="6F8A4023" w14:textId="2F234F41"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 xml:space="preserve">Al aplicar este principio a las redes fijas para un usuario de telefonía fija, el punto de demarcación se encuentra </w:t>
      </w:r>
      <w:r w:rsidR="00853BC1">
        <w:rPr>
          <w:rFonts w:ascii="Arial" w:eastAsia="Times New Roman" w:hAnsi="Arial" w:cs="Arial"/>
          <w:lang w:eastAsia="es-ES"/>
        </w:rPr>
        <w:t>en el MSAN</w:t>
      </w:r>
      <w:r w:rsidRPr="00657BA6">
        <w:rPr>
          <w:rFonts w:ascii="Arial" w:eastAsia="Times New Roman" w:hAnsi="Arial" w:cs="Arial"/>
          <w:lang w:eastAsia="es-ES"/>
        </w:rPr>
        <w:t>.</w:t>
      </w:r>
    </w:p>
    <w:p w14:paraId="25CB7C26" w14:textId="77777777" w:rsidR="004A3027" w:rsidRPr="00657BA6" w:rsidRDefault="004A3027" w:rsidP="0014780A">
      <w:pPr>
        <w:spacing w:after="0"/>
        <w:jc w:val="both"/>
        <w:rPr>
          <w:rFonts w:ascii="Arial" w:eastAsia="Times New Roman" w:hAnsi="Arial" w:cs="Arial"/>
          <w:lang w:eastAsia="es-ES"/>
        </w:rPr>
      </w:pPr>
    </w:p>
    <w:p w14:paraId="0A6673FB" w14:textId="78A44C53" w:rsidR="004A3027" w:rsidRPr="00657BA6" w:rsidRDefault="004A3027" w:rsidP="0014780A">
      <w:pPr>
        <w:spacing w:after="0"/>
        <w:jc w:val="both"/>
        <w:rPr>
          <w:rFonts w:ascii="Arial" w:eastAsia="Times New Roman" w:hAnsi="Arial" w:cs="Arial"/>
          <w:lang w:eastAsia="es-ES"/>
        </w:rPr>
      </w:pPr>
      <w:r w:rsidRPr="00D47BB9">
        <w:rPr>
          <w:rFonts w:ascii="Arial" w:eastAsia="Times New Roman" w:hAnsi="Arial" w:cs="Arial"/>
          <w:lang w:eastAsia="es-ES"/>
        </w:rPr>
        <w:lastRenderedPageBreak/>
        <w:t xml:space="preserve">Para un usuario de telefonía móvil, el punto de demarcación se encuentra en la tarjeta SIM </w:t>
      </w:r>
      <w:r w:rsidR="00853BC1" w:rsidRPr="00D47BB9">
        <w:rPr>
          <w:rFonts w:ascii="Arial" w:eastAsia="Times New Roman" w:hAnsi="Arial" w:cs="Arial"/>
          <w:lang w:eastAsia="es-ES"/>
        </w:rPr>
        <w:t>, ya que el costo de la interfaz radio depende exclusivamente del tráfico generado por los abonados y no del número de abonados</w:t>
      </w:r>
      <w:r w:rsidRPr="00D47BB9">
        <w:rPr>
          <w:rFonts w:ascii="Arial" w:eastAsia="Times New Roman" w:hAnsi="Arial" w:cs="Arial"/>
          <w:lang w:eastAsia="es-ES"/>
        </w:rPr>
        <w:t>.</w:t>
      </w:r>
    </w:p>
    <w:p w14:paraId="177C242D" w14:textId="77777777" w:rsidR="004A3027" w:rsidRPr="00657BA6" w:rsidRDefault="004A3027" w:rsidP="0014780A">
      <w:pPr>
        <w:spacing w:after="0"/>
        <w:jc w:val="both"/>
        <w:rPr>
          <w:rFonts w:ascii="Arial" w:eastAsia="Times New Roman" w:hAnsi="Arial" w:cs="Arial"/>
          <w:lang w:eastAsia="es-ES"/>
        </w:rPr>
      </w:pPr>
    </w:p>
    <w:p w14:paraId="10848A79" w14:textId="77777777" w:rsidR="004A3027" w:rsidRPr="00657BA6" w:rsidRDefault="004A3027" w:rsidP="0014780A">
      <w:pPr>
        <w:spacing w:after="0"/>
        <w:jc w:val="both"/>
        <w:rPr>
          <w:rFonts w:ascii="Arial" w:eastAsia="Times New Roman" w:hAnsi="Arial" w:cs="Arial"/>
          <w:b/>
          <w:lang w:eastAsia="es-ES"/>
        </w:rPr>
      </w:pPr>
      <w:r w:rsidRPr="00657BA6">
        <w:rPr>
          <w:rFonts w:ascii="Arial" w:eastAsia="Times New Roman" w:hAnsi="Arial" w:cs="Arial"/>
          <w:b/>
          <w:lang w:eastAsia="es-ES"/>
        </w:rPr>
        <w:t>Nodos de la red</w:t>
      </w:r>
    </w:p>
    <w:p w14:paraId="47C0F94E" w14:textId="77777777" w:rsidR="004A3027" w:rsidRPr="00657BA6" w:rsidRDefault="004A3027" w:rsidP="0014780A">
      <w:pPr>
        <w:spacing w:after="0"/>
        <w:ind w:left="426"/>
        <w:jc w:val="both"/>
        <w:rPr>
          <w:rFonts w:ascii="Arial" w:hAnsi="Arial" w:cs="Arial"/>
        </w:rPr>
      </w:pPr>
    </w:p>
    <w:p w14:paraId="51290BC3"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 xml:space="preserve">Las redes fijas y móviles pueden considerarse como una serie de nodos (con diferentes funciones) y de enlaces entre ellos. Al modelar una red eficiente utilizando un enfoque </w:t>
      </w:r>
      <w:r w:rsidRPr="00657BA6">
        <w:rPr>
          <w:rFonts w:ascii="Arial" w:eastAsia="Times New Roman" w:hAnsi="Arial" w:cs="Arial"/>
          <w:i/>
          <w:lang w:eastAsia="es-ES"/>
        </w:rPr>
        <w:t>bottom-up</w:t>
      </w:r>
      <w:r w:rsidRPr="00657BA6">
        <w:rPr>
          <w:rFonts w:ascii="Arial" w:eastAsia="Times New Roman" w:hAnsi="Arial" w:cs="Arial"/>
          <w:lang w:eastAsia="es-ES"/>
        </w:rPr>
        <w:t xml:space="preserve">, hay varias opciones disponibles en cuanto al nivel de detalle utilizado en redes reales. Cuanto mayor sea el nivel de granularidad/detalle utilizado directamente en los cálculos, menor será el nivel de </w:t>
      </w:r>
      <w:r w:rsidRPr="00657BA6">
        <w:rPr>
          <w:rFonts w:ascii="Arial" w:eastAsia="Times New Roman" w:hAnsi="Arial" w:cs="Arial"/>
          <w:i/>
          <w:lang w:eastAsia="es-ES"/>
        </w:rPr>
        <w:t>scorching</w:t>
      </w:r>
      <w:r w:rsidRPr="00657BA6">
        <w:rPr>
          <w:rFonts w:ascii="Arial" w:eastAsia="Times New Roman" w:hAnsi="Arial" w:cs="Arial"/>
          <w:lang w:eastAsia="es-ES"/>
        </w:rPr>
        <w:t xml:space="preserve"> utilizado. </w:t>
      </w:r>
    </w:p>
    <w:p w14:paraId="2EB51D4B" w14:textId="77777777" w:rsidR="004A3027" w:rsidRPr="00657BA6" w:rsidRDefault="004A3027" w:rsidP="0014780A">
      <w:pPr>
        <w:tabs>
          <w:tab w:val="left" w:pos="2925"/>
        </w:tabs>
        <w:spacing w:after="0"/>
        <w:jc w:val="both"/>
        <w:rPr>
          <w:rFonts w:ascii="Arial" w:eastAsia="Times New Roman" w:hAnsi="Arial" w:cs="Arial"/>
          <w:lang w:eastAsia="es-ES"/>
        </w:rPr>
      </w:pPr>
    </w:p>
    <w:p w14:paraId="75319DD6"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El Lineamiento Quinto de la Metodología de Costos señala a la letra lo siguiente:</w:t>
      </w:r>
    </w:p>
    <w:p w14:paraId="0B81018C" w14:textId="77777777" w:rsidR="004A3027" w:rsidRPr="00657BA6" w:rsidRDefault="004A3027" w:rsidP="0014780A">
      <w:pPr>
        <w:spacing w:after="0"/>
        <w:jc w:val="both"/>
        <w:rPr>
          <w:rFonts w:ascii="Arial" w:eastAsia="Times New Roman" w:hAnsi="Arial" w:cs="Arial"/>
          <w:lang w:eastAsia="es-ES"/>
        </w:rPr>
      </w:pPr>
    </w:p>
    <w:p w14:paraId="6F25136D" w14:textId="77777777" w:rsidR="004A3027" w:rsidRPr="00657BA6" w:rsidRDefault="004A3027" w:rsidP="0014780A">
      <w:pPr>
        <w:spacing w:after="0"/>
        <w:ind w:left="567" w:right="616"/>
        <w:jc w:val="both"/>
        <w:rPr>
          <w:rFonts w:ascii="Arial" w:eastAsia="Times New Roman" w:hAnsi="Arial" w:cs="Arial"/>
          <w:i/>
          <w:sz w:val="20"/>
          <w:szCs w:val="20"/>
          <w:lang w:eastAsia="es-ES"/>
        </w:rPr>
      </w:pPr>
      <w:r w:rsidRPr="00657BA6">
        <w:rPr>
          <w:rFonts w:ascii="Arial" w:eastAsia="Times New Roman" w:hAnsi="Arial" w:cs="Arial"/>
          <w:i/>
          <w:sz w:val="20"/>
          <w:szCs w:val="20"/>
          <w:lang w:eastAsia="es-ES"/>
        </w:rPr>
        <w:t>“</w:t>
      </w:r>
      <w:r w:rsidRPr="00657BA6">
        <w:rPr>
          <w:rFonts w:ascii="Arial" w:eastAsia="Times New Roman" w:hAnsi="Arial" w:cs="Arial"/>
          <w:b/>
          <w:i/>
          <w:sz w:val="20"/>
          <w:szCs w:val="20"/>
          <w:lang w:eastAsia="es-ES"/>
        </w:rPr>
        <w:t>QUINTO.-</w:t>
      </w:r>
      <w:r w:rsidRPr="00657BA6">
        <w:rPr>
          <w:rFonts w:ascii="Arial" w:eastAsia="Times New Roman" w:hAnsi="Arial" w:cs="Arial"/>
          <w:i/>
          <w:sz w:val="20"/>
          <w:szCs w:val="20"/>
          <w:lang w:eastAsia="es-ES"/>
        </w:rPr>
        <w:t xml:space="preserve"> Los Modelos de Costos que se elaboren deberán considerar elementos técnicos y económicos de los Servicios de Interconexión, debiéndose emplear el enfoque de modelos ascendentes o ingenieriles (Bottom-Up).</w:t>
      </w:r>
    </w:p>
    <w:p w14:paraId="7C6725F2" w14:textId="77777777" w:rsidR="004A3027" w:rsidRPr="00657BA6" w:rsidRDefault="004A3027" w:rsidP="0014780A">
      <w:pPr>
        <w:spacing w:after="0"/>
        <w:ind w:left="567" w:right="616"/>
        <w:jc w:val="both"/>
        <w:rPr>
          <w:rFonts w:ascii="Arial" w:eastAsia="Times New Roman" w:hAnsi="Arial" w:cs="Arial"/>
          <w:i/>
          <w:sz w:val="20"/>
          <w:szCs w:val="20"/>
          <w:lang w:eastAsia="es-ES"/>
        </w:rPr>
      </w:pPr>
    </w:p>
    <w:p w14:paraId="1C279DBE" w14:textId="77777777" w:rsidR="004A3027" w:rsidRPr="00657BA6" w:rsidRDefault="004A3027" w:rsidP="0014780A">
      <w:pPr>
        <w:spacing w:after="0"/>
        <w:ind w:left="567" w:right="616"/>
        <w:jc w:val="both"/>
        <w:rPr>
          <w:rFonts w:ascii="Arial" w:eastAsia="Times New Roman" w:hAnsi="Arial" w:cs="Arial"/>
          <w:i/>
          <w:sz w:val="20"/>
          <w:szCs w:val="20"/>
          <w:lang w:eastAsia="es-ES"/>
        </w:rPr>
      </w:pPr>
      <w:r w:rsidRPr="00657BA6">
        <w:rPr>
          <w:rFonts w:ascii="Arial" w:eastAsia="Times New Roman" w:hAnsi="Arial" w:cs="Arial"/>
          <w:i/>
          <w:sz w:val="20"/>
          <w:szCs w:val="20"/>
          <w:lang w:eastAsia="es-ES"/>
        </w:rPr>
        <w:t>El Instituto Federal de Telecomunicaciones podrá hacer uso de otros modelos de costos y de información financiera y de contabilidad separada con que disponga para verificar y mejorar la solidez de los resultados.</w:t>
      </w:r>
    </w:p>
    <w:p w14:paraId="36DB39FF" w14:textId="77777777" w:rsidR="004A3027" w:rsidRPr="00657BA6" w:rsidRDefault="004A3027" w:rsidP="0014780A">
      <w:pPr>
        <w:spacing w:after="0"/>
        <w:ind w:left="567" w:right="616"/>
        <w:jc w:val="both"/>
        <w:rPr>
          <w:rFonts w:ascii="Arial" w:eastAsia="Times New Roman" w:hAnsi="Arial" w:cs="Arial"/>
          <w:i/>
          <w:sz w:val="20"/>
          <w:szCs w:val="20"/>
          <w:lang w:eastAsia="es-ES"/>
        </w:rPr>
      </w:pPr>
      <w:r w:rsidRPr="00657BA6">
        <w:rPr>
          <w:rFonts w:ascii="Arial" w:eastAsia="Times New Roman" w:hAnsi="Arial" w:cs="Arial"/>
          <w:i/>
          <w:sz w:val="20"/>
          <w:szCs w:val="20"/>
          <w:lang w:eastAsia="es-ES"/>
        </w:rPr>
        <w:t>En cuanto al diseño y configuración de la red, se propone utilizar un enfoque Scorched-Earth que utilice información sobre las características geográficas y demográficas del país para considerar los factores que son externos a los operadores y que representan limitaciones o restricciones para el diseño de las redes. Los resultados de este modelo se calibrarán con información del número de elementos de red que conforman las redes actuales.”</w:t>
      </w:r>
    </w:p>
    <w:p w14:paraId="134CB96A" w14:textId="77777777" w:rsidR="004A3027" w:rsidRPr="00657BA6" w:rsidRDefault="004A3027" w:rsidP="0014780A">
      <w:pPr>
        <w:spacing w:after="0"/>
        <w:jc w:val="both"/>
        <w:rPr>
          <w:rFonts w:ascii="Arial" w:eastAsia="Times New Roman" w:hAnsi="Arial" w:cs="Arial"/>
          <w:lang w:eastAsia="es-ES"/>
        </w:rPr>
      </w:pPr>
    </w:p>
    <w:p w14:paraId="0171DFD1" w14:textId="79949CB4"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 xml:space="preserve">Es así </w:t>
      </w:r>
      <w:r w:rsidR="00806CFD" w:rsidRPr="00657BA6">
        <w:rPr>
          <w:rFonts w:ascii="Arial" w:eastAsia="Times New Roman" w:hAnsi="Arial" w:cs="Arial"/>
          <w:lang w:eastAsia="es-ES"/>
        </w:rPr>
        <w:t>como</w:t>
      </w:r>
      <w:r w:rsidRPr="00657BA6">
        <w:rPr>
          <w:rFonts w:ascii="Arial" w:eastAsia="Times New Roman" w:hAnsi="Arial" w:cs="Arial"/>
          <w:lang w:eastAsia="es-ES"/>
        </w:rPr>
        <w:t xml:space="preserve">, de acuerdo con la Metodología de Costos, la red fija y la red móvil se modelaron siguiendo un enfoque </w:t>
      </w:r>
      <w:r w:rsidRPr="00657BA6">
        <w:rPr>
          <w:rFonts w:ascii="Arial" w:eastAsia="Times New Roman" w:hAnsi="Arial" w:cs="Arial"/>
          <w:i/>
          <w:lang w:eastAsia="es-ES"/>
        </w:rPr>
        <w:t>scorched-earth</w:t>
      </w:r>
      <w:r w:rsidRPr="00657BA6">
        <w:rPr>
          <w:rFonts w:ascii="Arial" w:eastAsia="Times New Roman" w:hAnsi="Arial" w:cs="Arial"/>
          <w:lang w:eastAsia="es-ES"/>
        </w:rPr>
        <w:t xml:space="preserve"> calibrado con los datos de la red de los concesionarios actuales, lo cual resultará en una red más eficiente que la de los operadores existentes. </w:t>
      </w:r>
    </w:p>
    <w:p w14:paraId="08A41345" w14:textId="77777777" w:rsidR="004A3027" w:rsidRPr="00657BA6" w:rsidRDefault="004A3027" w:rsidP="0014780A">
      <w:pPr>
        <w:spacing w:after="0"/>
        <w:jc w:val="both"/>
        <w:rPr>
          <w:rFonts w:ascii="Arial" w:eastAsia="Times New Roman" w:hAnsi="Arial" w:cs="Arial"/>
          <w:lang w:eastAsia="es-ES"/>
        </w:rPr>
      </w:pPr>
    </w:p>
    <w:p w14:paraId="1983F657"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 xml:space="preserve">El enfoque </w:t>
      </w:r>
      <w:r w:rsidRPr="00657BA6">
        <w:rPr>
          <w:rFonts w:ascii="Arial" w:eastAsia="Times New Roman" w:hAnsi="Arial" w:cs="Arial"/>
          <w:i/>
          <w:lang w:eastAsia="es-ES"/>
        </w:rPr>
        <w:t>scorched-earth</w:t>
      </w:r>
      <w:r w:rsidRPr="00657BA6">
        <w:rPr>
          <w:rFonts w:ascii="Arial" w:eastAsia="Times New Roman" w:hAnsi="Arial" w:cs="Arial"/>
          <w:lang w:eastAsia="es-ES"/>
        </w:rPr>
        <w:t xml:space="preserve"> determina el costo eficiente de una red que proporciona los mismos servicios que las redes existentes, sin poner ninguna restricción en su configuración, como puede ser la ubicación de los nodos en la red. Este enfoque modela la red que un nuevo entrante desplegaría en base a la distribución geográfica de sus clientes y a los pronósticos de la demanda de los diferentes servicios ofrecidos, si no tuviese una red previamente desplegada.</w:t>
      </w:r>
    </w:p>
    <w:p w14:paraId="768E3664" w14:textId="77777777" w:rsidR="004A3027" w:rsidRPr="00657BA6" w:rsidRDefault="004A3027" w:rsidP="0014780A">
      <w:pPr>
        <w:spacing w:after="0"/>
        <w:jc w:val="both"/>
        <w:rPr>
          <w:rFonts w:ascii="Arial" w:eastAsia="Times New Roman" w:hAnsi="Arial" w:cs="Arial"/>
          <w:lang w:eastAsia="es-ES"/>
        </w:rPr>
      </w:pPr>
    </w:p>
    <w:p w14:paraId="48C98729"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A continuación, se presenta un esquema con la metodología utilizada para la calibración del modelo fijo.</w:t>
      </w:r>
    </w:p>
    <w:p w14:paraId="7653169E" w14:textId="77777777" w:rsidR="004A3027" w:rsidRPr="00657BA6" w:rsidRDefault="004A3027" w:rsidP="0014780A">
      <w:pPr>
        <w:spacing w:after="0"/>
        <w:jc w:val="both"/>
        <w:rPr>
          <w:rFonts w:ascii="Arial" w:hAnsi="Arial" w:cs="Arial"/>
        </w:rPr>
      </w:pPr>
    </w:p>
    <w:p w14:paraId="6C97ACB9" w14:textId="77777777" w:rsidR="004A3027" w:rsidRPr="00657BA6" w:rsidRDefault="004A3027" w:rsidP="0014780A">
      <w:pPr>
        <w:spacing w:after="0"/>
        <w:jc w:val="center"/>
        <w:rPr>
          <w:rFonts w:ascii="Arial" w:hAnsi="Arial" w:cs="Arial"/>
        </w:rPr>
      </w:pPr>
      <w:r w:rsidRPr="00657BA6">
        <w:rPr>
          <w:rFonts w:ascii="Arial" w:hAnsi="Arial" w:cs="Arial"/>
          <w:noProof/>
          <w:lang w:eastAsia="es-MX"/>
        </w:rPr>
        <w:lastRenderedPageBreak/>
        <w:drawing>
          <wp:inline distT="0" distB="0" distL="0" distR="0" wp14:anchorId="625C13AA" wp14:editId="016B39A0">
            <wp:extent cx="3371491" cy="2965450"/>
            <wp:effectExtent l="0" t="0" r="0"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3423936" cy="3011579"/>
                    </a:xfrm>
                    <a:prstGeom prst="rect">
                      <a:avLst/>
                    </a:prstGeom>
                    <a:noFill/>
                    <a:ln>
                      <a:noFill/>
                    </a:ln>
                  </pic:spPr>
                </pic:pic>
              </a:graphicData>
            </a:graphic>
          </wp:inline>
        </w:drawing>
      </w:r>
    </w:p>
    <w:p w14:paraId="11CA22D5" w14:textId="77777777" w:rsidR="004A3027" w:rsidRPr="00657BA6" w:rsidRDefault="004A3027" w:rsidP="0014780A">
      <w:pPr>
        <w:spacing w:after="0"/>
        <w:ind w:left="284"/>
        <w:jc w:val="center"/>
        <w:rPr>
          <w:rFonts w:ascii="Arial" w:eastAsia="Times New Roman" w:hAnsi="Arial" w:cs="Arial"/>
          <w:lang w:eastAsia="es-ES"/>
        </w:rPr>
      </w:pPr>
      <w:r w:rsidRPr="00657BA6">
        <w:rPr>
          <w:rFonts w:ascii="Arial" w:hAnsi="Arial" w:cs="Arial"/>
        </w:rPr>
        <w:t>Figura 4. Esquema de modelado scorched-earth calibrado para el operador fijo</w:t>
      </w:r>
    </w:p>
    <w:p w14:paraId="12A6EEF8" w14:textId="77777777" w:rsidR="004A3027" w:rsidRPr="00657BA6" w:rsidRDefault="004A3027" w:rsidP="0014780A">
      <w:pPr>
        <w:spacing w:after="0"/>
        <w:jc w:val="both"/>
        <w:rPr>
          <w:rFonts w:ascii="Arial" w:eastAsia="Times New Roman" w:hAnsi="Arial" w:cs="Arial"/>
          <w:lang w:eastAsia="es-ES"/>
        </w:rPr>
      </w:pPr>
    </w:p>
    <w:p w14:paraId="292A4C4E"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A continuación, se muestra un esquema con la metodología utilizada para la calibración del Modelo Móvil.</w:t>
      </w:r>
    </w:p>
    <w:p w14:paraId="56BE0641" w14:textId="77777777" w:rsidR="004A3027" w:rsidRPr="00657BA6" w:rsidRDefault="004A3027" w:rsidP="0014780A">
      <w:pPr>
        <w:spacing w:after="0"/>
        <w:jc w:val="center"/>
        <w:rPr>
          <w:rFonts w:ascii="Arial" w:eastAsia="Times New Roman" w:hAnsi="Arial" w:cs="Arial"/>
          <w:lang w:eastAsia="es-ES"/>
        </w:rPr>
      </w:pPr>
      <w:r w:rsidRPr="00657BA6">
        <w:rPr>
          <w:rFonts w:ascii="Arial" w:hAnsi="Arial" w:cs="Arial"/>
          <w:noProof/>
          <w:lang w:eastAsia="es-MX"/>
        </w:rPr>
        <w:drawing>
          <wp:inline distT="0" distB="0" distL="0" distR="0" wp14:anchorId="098E72F0" wp14:editId="38DC236D">
            <wp:extent cx="3371719" cy="2971800"/>
            <wp:effectExtent l="0" t="0" r="0" b="0"/>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3380711" cy="2979726"/>
                    </a:xfrm>
                    <a:prstGeom prst="rect">
                      <a:avLst/>
                    </a:prstGeom>
                    <a:noFill/>
                    <a:ln>
                      <a:noFill/>
                    </a:ln>
                  </pic:spPr>
                </pic:pic>
              </a:graphicData>
            </a:graphic>
          </wp:inline>
        </w:drawing>
      </w:r>
    </w:p>
    <w:p w14:paraId="5302D51D" w14:textId="77777777" w:rsidR="004A3027" w:rsidRPr="00657BA6" w:rsidRDefault="004A3027" w:rsidP="0014780A">
      <w:pPr>
        <w:spacing w:after="0"/>
        <w:ind w:left="426"/>
        <w:jc w:val="center"/>
        <w:rPr>
          <w:rFonts w:ascii="Arial" w:hAnsi="Arial" w:cs="Arial"/>
        </w:rPr>
      </w:pPr>
      <w:r w:rsidRPr="00657BA6">
        <w:rPr>
          <w:rFonts w:ascii="Arial" w:hAnsi="Arial" w:cs="Arial"/>
        </w:rPr>
        <w:t>Figura 5. Esquema de modelado scorched earth calibrado para el operador móvil</w:t>
      </w:r>
    </w:p>
    <w:p w14:paraId="2EB689C9" w14:textId="77777777" w:rsidR="004A3027" w:rsidRPr="00657BA6" w:rsidRDefault="004A3027" w:rsidP="0014780A">
      <w:pPr>
        <w:spacing w:after="0"/>
        <w:jc w:val="both"/>
        <w:rPr>
          <w:rFonts w:ascii="Arial" w:eastAsia="Times New Roman" w:hAnsi="Arial" w:cs="Arial"/>
          <w:lang w:eastAsia="es-ES"/>
        </w:rPr>
      </w:pPr>
    </w:p>
    <w:p w14:paraId="2BD0AC1A" w14:textId="77777777" w:rsidR="004A3027" w:rsidRPr="00657BA6" w:rsidRDefault="004A3027" w:rsidP="0014780A">
      <w:pPr>
        <w:spacing w:after="0"/>
        <w:jc w:val="both"/>
        <w:rPr>
          <w:rFonts w:ascii="Arial" w:hAnsi="Arial" w:cs="Arial"/>
        </w:rPr>
      </w:pPr>
      <w:r w:rsidRPr="00657BA6">
        <w:rPr>
          <w:rFonts w:ascii="Arial" w:eastAsia="Times New Roman" w:hAnsi="Arial" w:cs="Arial"/>
          <w:lang w:eastAsia="es-ES"/>
        </w:rPr>
        <w:t>En este enfoque el número total de nodos no variaría (es decir, resulta calibrado con la información de la red actual de los operadores móviles), pero permite revisar su función o capacidad, lo que implica que el número de nodos por subtipo puede cambiar.</w:t>
      </w:r>
    </w:p>
    <w:p w14:paraId="7F67313E" w14:textId="77777777" w:rsidR="004A3027" w:rsidRPr="00657BA6" w:rsidRDefault="004A3027" w:rsidP="0014780A">
      <w:pPr>
        <w:spacing w:after="0"/>
        <w:ind w:left="426"/>
        <w:jc w:val="both"/>
        <w:rPr>
          <w:rFonts w:ascii="Arial" w:hAnsi="Arial" w:cs="Arial"/>
        </w:rPr>
      </w:pPr>
    </w:p>
    <w:p w14:paraId="34D90286" w14:textId="77777777" w:rsidR="004A3027" w:rsidRPr="00657BA6" w:rsidRDefault="004A3027" w:rsidP="0014780A">
      <w:pPr>
        <w:spacing w:after="0"/>
        <w:jc w:val="both"/>
        <w:rPr>
          <w:rFonts w:ascii="Arial" w:hAnsi="Arial" w:cs="Arial"/>
          <w:b/>
        </w:rPr>
      </w:pPr>
      <w:r w:rsidRPr="00657BA6">
        <w:rPr>
          <w:rFonts w:ascii="Arial" w:hAnsi="Arial" w:cs="Arial"/>
          <w:b/>
        </w:rPr>
        <w:t>1.3 Aspectos relacionados con los servicios</w:t>
      </w:r>
    </w:p>
    <w:p w14:paraId="044290D8" w14:textId="77777777" w:rsidR="004A3027" w:rsidRPr="00657BA6" w:rsidRDefault="004A3027" w:rsidP="0014780A">
      <w:pPr>
        <w:spacing w:after="0"/>
        <w:ind w:left="426"/>
        <w:jc w:val="both"/>
        <w:rPr>
          <w:rFonts w:ascii="Arial" w:hAnsi="Arial" w:cs="Arial"/>
          <w:b/>
        </w:rPr>
      </w:pPr>
    </w:p>
    <w:p w14:paraId="08BB70DC" w14:textId="77777777" w:rsidR="004A3027" w:rsidRPr="00657BA6" w:rsidRDefault="004A3027" w:rsidP="0014780A">
      <w:pPr>
        <w:spacing w:after="0"/>
        <w:jc w:val="both"/>
        <w:rPr>
          <w:rFonts w:ascii="Arial" w:hAnsi="Arial" w:cs="Arial"/>
          <w:spacing w:val="-4"/>
        </w:rPr>
      </w:pPr>
      <w:r w:rsidRPr="00657BA6">
        <w:rPr>
          <w:rFonts w:ascii="Arial" w:hAnsi="Arial" w:cs="Arial"/>
          <w:spacing w:val="-4"/>
        </w:rPr>
        <w:t xml:space="preserve">Un aspecto fundamental de los modelos es calcular el costo de los servicios regulados como por ejemplo el servicio de terminación de llamadas en redes telefónicas públicas individuales facilitada en una ubicación fija y en el servicio de terminación de llamadas de voz y mensajes cortos en redes móviles individuales. Sin embargo, las redes fijas y móviles suelen transportar una amplia gama de servicios. La medida en la que el operador modelado puede ofrecer servicios en las zonas donde tiene cobertura determina las economías de alcance del operador, y por lo tanto este aspecto debe ser considerado en los modelos. </w:t>
      </w:r>
    </w:p>
    <w:p w14:paraId="19E558DA" w14:textId="77777777" w:rsidR="004A3027" w:rsidRPr="00657BA6" w:rsidRDefault="004A3027" w:rsidP="0014780A">
      <w:pPr>
        <w:spacing w:after="0"/>
        <w:ind w:left="993"/>
        <w:jc w:val="both"/>
        <w:rPr>
          <w:rFonts w:ascii="Arial" w:eastAsia="Times New Roman" w:hAnsi="Arial" w:cs="Arial"/>
          <w:lang w:eastAsia="es-ES"/>
        </w:rPr>
      </w:pPr>
    </w:p>
    <w:p w14:paraId="0E8E6E20" w14:textId="77777777" w:rsidR="004A3027" w:rsidRPr="00657BA6" w:rsidRDefault="004A3027" w:rsidP="0014780A">
      <w:pPr>
        <w:keepNext/>
        <w:spacing w:after="0"/>
        <w:rPr>
          <w:rFonts w:ascii="Arial" w:hAnsi="Arial" w:cs="Arial"/>
          <w:b/>
        </w:rPr>
      </w:pPr>
      <w:r w:rsidRPr="00657BA6">
        <w:rPr>
          <w:rFonts w:ascii="Arial" w:hAnsi="Arial" w:cs="Arial"/>
          <w:b/>
        </w:rPr>
        <w:t>Servicios a modelar</w:t>
      </w:r>
    </w:p>
    <w:p w14:paraId="09238DAE" w14:textId="77777777" w:rsidR="004A3027" w:rsidRPr="00657BA6" w:rsidRDefault="004A3027" w:rsidP="0014780A">
      <w:pPr>
        <w:spacing w:after="0"/>
        <w:jc w:val="both"/>
        <w:rPr>
          <w:rFonts w:ascii="Arial" w:eastAsia="Times New Roman" w:hAnsi="Arial" w:cs="Arial"/>
          <w:lang w:eastAsia="es-ES"/>
        </w:rPr>
      </w:pPr>
    </w:p>
    <w:p w14:paraId="33FF0DB3"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Las economías de alcance derivadas de la prestación de servicios de voz y datos a través de una única infraestructura resultarán en un costo unitario menor de los servicios de voz y datos. Lo anterior, resulta aplicable para el caso de redes basadas en una arquitectura de nueva generación, donde los servicios de voz y datos pueden ser transportados a través de una plataforma única.</w:t>
      </w:r>
    </w:p>
    <w:p w14:paraId="5ABD5C6D" w14:textId="77777777" w:rsidR="004A3027" w:rsidRPr="00657BA6" w:rsidRDefault="004A3027" w:rsidP="0014780A">
      <w:pPr>
        <w:spacing w:after="0"/>
        <w:jc w:val="both"/>
        <w:rPr>
          <w:rFonts w:ascii="Arial" w:eastAsia="Times New Roman" w:hAnsi="Arial" w:cs="Arial"/>
          <w:lang w:eastAsia="es-ES"/>
        </w:rPr>
      </w:pPr>
    </w:p>
    <w:p w14:paraId="2D8F979E"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Por consiguiente, se debe incluir una lista completa de los servicios de voz y datos en el modelo; esto implica también que tanto los servicios a los usuarios finales como los servicios mayoristas de voz tendrán que ser modelados para que la plataforma de voz esté correctamente dimensionada y los costos sean totalmente recuperados a través de los volúmenes de tráfico correspondientes.</w:t>
      </w:r>
    </w:p>
    <w:p w14:paraId="78B84FF4" w14:textId="77777777" w:rsidR="004A3027" w:rsidRPr="00657BA6" w:rsidRDefault="004A3027" w:rsidP="0014780A">
      <w:pPr>
        <w:spacing w:after="0"/>
        <w:jc w:val="both"/>
        <w:rPr>
          <w:rFonts w:ascii="Arial" w:eastAsia="Times New Roman" w:hAnsi="Arial" w:cs="Arial"/>
          <w:lang w:eastAsia="es-ES"/>
        </w:rPr>
      </w:pPr>
    </w:p>
    <w:p w14:paraId="51E02F63"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La inclusión de los servicios de voz y datos en el modelo aumenta la complejidad de los cálculos y de los datos necesarios para sustentarlos. Sin embargo, la exclusión de los costos relacionados con servicios distintos al servicio de voz (y el desarrollo de un modelo de costos de voz independiente) puede ser también un proceso complejo.</w:t>
      </w:r>
      <w:r w:rsidRPr="00657BA6">
        <w:rPr>
          <w:rFonts w:ascii="Arial" w:eastAsia="Times New Roman" w:hAnsi="Arial" w:cs="Arial"/>
          <w:vertAlign w:val="superscript"/>
          <w:lang w:eastAsia="es-ES"/>
        </w:rPr>
        <w:footnoteReference w:id="35"/>
      </w:r>
    </w:p>
    <w:p w14:paraId="2086CA99" w14:textId="77777777" w:rsidR="004A3027" w:rsidRPr="00657BA6" w:rsidRDefault="004A3027" w:rsidP="0014780A">
      <w:pPr>
        <w:spacing w:after="0"/>
        <w:jc w:val="both"/>
        <w:rPr>
          <w:rFonts w:ascii="Arial" w:eastAsia="Times New Roman" w:hAnsi="Arial" w:cs="Arial"/>
          <w:lang w:eastAsia="es-ES"/>
        </w:rPr>
      </w:pPr>
    </w:p>
    <w:p w14:paraId="6E171D0E"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 xml:space="preserve">Será necesario analizar y comprender el efecto que pueden llegar a tener las previsiones de demanda de servicios distintos a los servicios de voz en los costos de los servicios de voz. </w:t>
      </w:r>
    </w:p>
    <w:p w14:paraId="07C29B40" w14:textId="77777777" w:rsidR="004A3027" w:rsidRPr="00657BA6" w:rsidRDefault="004A3027" w:rsidP="0014780A">
      <w:pPr>
        <w:spacing w:after="0"/>
        <w:jc w:val="both"/>
        <w:rPr>
          <w:rFonts w:ascii="Arial" w:eastAsia="Times New Roman" w:hAnsi="Arial" w:cs="Arial"/>
          <w:lang w:eastAsia="es-ES"/>
        </w:rPr>
      </w:pPr>
    </w:p>
    <w:p w14:paraId="2BF3B39F" w14:textId="1006CFB5" w:rsidR="00841288"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 xml:space="preserve">En este sentido, </w:t>
      </w:r>
      <w:r w:rsidR="00841288">
        <w:rPr>
          <w:rFonts w:ascii="Arial" w:eastAsia="Times New Roman" w:hAnsi="Arial" w:cs="Arial"/>
          <w:lang w:eastAsia="es-ES"/>
        </w:rPr>
        <w:t>l</w:t>
      </w:r>
      <w:r w:rsidR="00841288" w:rsidRPr="00D47BB9">
        <w:rPr>
          <w:rFonts w:ascii="Arial" w:eastAsia="Times New Roman" w:hAnsi="Arial" w:cs="Arial"/>
          <w:lang w:eastAsia="es-ES"/>
        </w:rPr>
        <w:t>os operadores modelados proporcionarán todos los servicios relevantes para cada tipo de red:</w:t>
      </w:r>
    </w:p>
    <w:p w14:paraId="6B0FE7F5" w14:textId="77777777" w:rsidR="00841288" w:rsidRPr="00D47BB9" w:rsidRDefault="00841288" w:rsidP="00D47BB9">
      <w:pPr>
        <w:spacing w:after="0"/>
        <w:jc w:val="both"/>
        <w:rPr>
          <w:rFonts w:ascii="Arial" w:eastAsia="Times New Roman" w:hAnsi="Arial" w:cs="Arial"/>
          <w:lang w:eastAsia="es-ES"/>
        </w:rPr>
      </w:pPr>
    </w:p>
    <w:p w14:paraId="3F3EB1D4" w14:textId="77777777" w:rsidR="00841288" w:rsidRDefault="00841288" w:rsidP="009640AE">
      <w:pPr>
        <w:pStyle w:val="Prrafodelista"/>
        <w:numPr>
          <w:ilvl w:val="0"/>
          <w:numId w:val="54"/>
        </w:numPr>
        <w:spacing w:line="276" w:lineRule="auto"/>
        <w:rPr>
          <w:rFonts w:cs="Arial"/>
        </w:rPr>
      </w:pPr>
      <w:r w:rsidRPr="00841288">
        <w:rPr>
          <w:rFonts w:cs="Arial"/>
        </w:rPr>
        <w:t>redes móviles: servicios de voz, banda ancha móvil, SMS, tanto para usuarios propios como para usuarios visitantes (roaming nacional e internacional)</w:t>
      </w:r>
    </w:p>
    <w:p w14:paraId="6E481521" w14:textId="77777777" w:rsidR="00D41827" w:rsidRPr="00841288" w:rsidRDefault="00D41827" w:rsidP="00D47BB9">
      <w:pPr>
        <w:pStyle w:val="Prrafodelista"/>
        <w:spacing w:line="276" w:lineRule="auto"/>
        <w:ind w:left="720"/>
        <w:rPr>
          <w:rFonts w:cs="Arial"/>
        </w:rPr>
      </w:pPr>
    </w:p>
    <w:p w14:paraId="6338EE66" w14:textId="77777777" w:rsidR="00841288" w:rsidRDefault="00841288" w:rsidP="009640AE">
      <w:pPr>
        <w:pStyle w:val="Prrafodelista"/>
        <w:numPr>
          <w:ilvl w:val="0"/>
          <w:numId w:val="54"/>
        </w:numPr>
        <w:spacing w:line="276" w:lineRule="auto"/>
        <w:rPr>
          <w:rFonts w:cs="Arial"/>
        </w:rPr>
      </w:pPr>
      <w:r w:rsidRPr="00841288">
        <w:rPr>
          <w:rFonts w:cs="Arial"/>
        </w:rPr>
        <w:t>redes fijas: servicios de voz (originación y terminación de voz, VoIP, tránsito e interconexión) que tengan volúmenes de tráfico relevantes, banda ancha (minorista y mayorista) y enlaces dedicados</w:t>
      </w:r>
    </w:p>
    <w:p w14:paraId="38662600" w14:textId="77777777" w:rsidR="00841288" w:rsidRPr="00841288" w:rsidRDefault="00841288" w:rsidP="00D47BB9">
      <w:pPr>
        <w:pStyle w:val="Prrafodelista"/>
        <w:spacing w:line="276" w:lineRule="auto"/>
        <w:ind w:left="720"/>
        <w:rPr>
          <w:rFonts w:cs="Arial"/>
        </w:rPr>
      </w:pPr>
    </w:p>
    <w:p w14:paraId="46943CEB" w14:textId="34E535AB" w:rsidR="00841288" w:rsidRPr="00657BA6" w:rsidRDefault="00841288" w:rsidP="0014780A">
      <w:pPr>
        <w:spacing w:after="0"/>
        <w:jc w:val="both"/>
        <w:rPr>
          <w:rFonts w:ascii="Arial" w:eastAsia="Times New Roman" w:hAnsi="Arial" w:cs="Arial"/>
          <w:lang w:eastAsia="es-ES"/>
        </w:rPr>
      </w:pPr>
      <w:r w:rsidRPr="00D47BB9">
        <w:rPr>
          <w:rFonts w:ascii="Arial" w:eastAsia="Times New Roman" w:hAnsi="Arial" w:cs="Arial"/>
          <w:lang w:eastAsia="es-ES"/>
        </w:rPr>
        <w:t>En el caso de los operadores modelados a partir de los concesionarios alternativos, no se incluirá tráfico para aquellos servicios mayoristas regulados que no tengan la obligación de proporcionar</w:t>
      </w:r>
      <w:r>
        <w:rPr>
          <w:rFonts w:ascii="Arial" w:eastAsia="Times New Roman" w:hAnsi="Arial" w:cs="Arial"/>
          <w:lang w:eastAsia="es-ES"/>
        </w:rPr>
        <w:t>.</w:t>
      </w:r>
    </w:p>
    <w:p w14:paraId="28D49920" w14:textId="77777777" w:rsidR="004A3027" w:rsidRPr="00657BA6" w:rsidRDefault="004A3027" w:rsidP="0014780A">
      <w:pPr>
        <w:spacing w:after="0"/>
        <w:jc w:val="both"/>
        <w:rPr>
          <w:rFonts w:ascii="Arial" w:eastAsia="Times New Roman" w:hAnsi="Arial" w:cs="Arial"/>
          <w:lang w:eastAsia="es-ES"/>
        </w:rPr>
      </w:pPr>
    </w:p>
    <w:p w14:paraId="7F032DDF" w14:textId="77777777" w:rsidR="004A3027" w:rsidRPr="00657BA6" w:rsidRDefault="004A3027" w:rsidP="0014780A">
      <w:pPr>
        <w:spacing w:after="0"/>
        <w:rPr>
          <w:rFonts w:ascii="Arial" w:hAnsi="Arial" w:cs="Arial"/>
          <w:b/>
        </w:rPr>
      </w:pPr>
      <w:r w:rsidRPr="00657BA6">
        <w:rPr>
          <w:rFonts w:ascii="Arial" w:hAnsi="Arial" w:cs="Arial"/>
          <w:b/>
        </w:rPr>
        <w:t>Servicios que se ofrecen a través de redes fijas</w:t>
      </w:r>
    </w:p>
    <w:p w14:paraId="3803CEA1" w14:textId="77777777" w:rsidR="004A3027" w:rsidRPr="00657BA6" w:rsidRDefault="004A3027" w:rsidP="0014780A">
      <w:pPr>
        <w:spacing w:after="0"/>
        <w:jc w:val="both"/>
        <w:rPr>
          <w:rFonts w:ascii="Arial" w:eastAsia="Times New Roman" w:hAnsi="Arial" w:cs="Arial"/>
          <w:lang w:eastAsia="es-ES"/>
        </w:rPr>
      </w:pPr>
    </w:p>
    <w:p w14:paraId="051AD1D4"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En la tabla 2 se presentan los servicios de voz considerados en el desarrollo del Modelo Fijo. Estos servicios contribuyen al despliegue de la red troncal.</w:t>
      </w:r>
    </w:p>
    <w:p w14:paraId="70F07599" w14:textId="77777777" w:rsidR="004A3027" w:rsidRPr="00657BA6" w:rsidRDefault="004A3027" w:rsidP="0014780A">
      <w:pPr>
        <w:spacing w:after="0"/>
        <w:jc w:val="both"/>
        <w:rPr>
          <w:rFonts w:ascii="Arial" w:eastAsia="Times New Roman" w:hAnsi="Arial" w:cs="Arial"/>
          <w:lang w:eastAsia="es-ES"/>
        </w:rPr>
      </w:pPr>
    </w:p>
    <w:tbl>
      <w:tblPr>
        <w:tblStyle w:val="Tabladecuadrcula4"/>
        <w:tblW w:w="0" w:type="auto"/>
        <w:tblLook w:val="0420" w:firstRow="1" w:lastRow="0" w:firstColumn="0" w:lastColumn="0" w:noHBand="0" w:noVBand="1"/>
      </w:tblPr>
      <w:tblGrid>
        <w:gridCol w:w="2560"/>
        <w:gridCol w:w="6783"/>
      </w:tblGrid>
      <w:tr w:rsidR="004A3027" w:rsidRPr="00657BA6" w14:paraId="2E1DE287" w14:textId="77777777" w:rsidTr="006C794D">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3DC68A4" w14:textId="77777777" w:rsidR="004A3027" w:rsidRPr="00657BA6" w:rsidRDefault="004A3027" w:rsidP="0014780A">
            <w:pPr>
              <w:spacing w:after="0"/>
              <w:ind w:right="113"/>
              <w:jc w:val="center"/>
              <w:rPr>
                <w:rFonts w:ascii="Arial" w:hAnsi="Arial" w:cs="Arial"/>
                <w:b w:val="0"/>
                <w:bCs w:val="0"/>
                <w:color w:val="auto"/>
              </w:rPr>
            </w:pPr>
            <w:r w:rsidRPr="00657BA6">
              <w:rPr>
                <w:rFonts w:ascii="Arial" w:hAnsi="Arial" w:cs="Arial"/>
                <w:color w:val="auto"/>
              </w:rPr>
              <w:t>Servicio</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9A7315F" w14:textId="77777777" w:rsidR="004A3027" w:rsidRPr="00657BA6" w:rsidRDefault="004A3027" w:rsidP="0014780A">
            <w:pPr>
              <w:spacing w:after="0"/>
              <w:ind w:right="113"/>
              <w:jc w:val="center"/>
              <w:rPr>
                <w:rFonts w:ascii="Arial" w:hAnsi="Arial" w:cs="Arial"/>
                <w:b w:val="0"/>
                <w:bCs w:val="0"/>
                <w:color w:val="auto"/>
              </w:rPr>
            </w:pPr>
            <w:r w:rsidRPr="00657BA6">
              <w:rPr>
                <w:rFonts w:ascii="Arial" w:hAnsi="Arial" w:cs="Arial"/>
                <w:color w:val="auto"/>
              </w:rPr>
              <w:t>Descripción del servicio</w:t>
            </w:r>
          </w:p>
        </w:tc>
      </w:tr>
      <w:tr w:rsidR="004A3027" w:rsidRPr="00657BA6" w14:paraId="0D478A22" w14:textId="77777777" w:rsidTr="006C794D">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000000"/>
            </w:tcBorders>
          </w:tcPr>
          <w:p w14:paraId="4B8826CA" w14:textId="77777777" w:rsidR="004A3027" w:rsidRPr="00657BA6" w:rsidRDefault="004A3027" w:rsidP="0014780A">
            <w:pPr>
              <w:spacing w:after="0"/>
              <w:ind w:right="113"/>
              <w:rPr>
                <w:rFonts w:ascii="Arial" w:hAnsi="Arial" w:cs="Arial"/>
              </w:rPr>
            </w:pPr>
            <w:r w:rsidRPr="00657BA6">
              <w:rPr>
                <w:rFonts w:ascii="Arial" w:hAnsi="Arial" w:cs="Arial"/>
              </w:rPr>
              <w:t>Llamadas salientes on-net</w:t>
            </w:r>
          </w:p>
        </w:tc>
        <w:tc>
          <w:tcPr>
            <w:tcW w:w="0" w:type="auto"/>
            <w:tcBorders>
              <w:top w:val="single" w:sz="4" w:space="0" w:color="000000"/>
            </w:tcBorders>
          </w:tcPr>
          <w:p w14:paraId="4144F3BE" w14:textId="77777777" w:rsidR="004A3027" w:rsidRPr="00657BA6" w:rsidRDefault="004A3027" w:rsidP="00D47BB9">
            <w:pPr>
              <w:spacing w:after="0"/>
              <w:ind w:right="113"/>
              <w:jc w:val="both"/>
              <w:rPr>
                <w:rFonts w:ascii="Arial" w:hAnsi="Arial" w:cs="Arial"/>
              </w:rPr>
            </w:pPr>
            <w:r w:rsidRPr="00657BA6">
              <w:rPr>
                <w:rFonts w:ascii="Arial" w:hAnsi="Arial" w:cs="Arial"/>
              </w:rPr>
              <w:t>Llamadas de voz entre dos suscriptores minoristas del operador fijo modelado.</w:t>
            </w:r>
          </w:p>
        </w:tc>
      </w:tr>
      <w:tr w:rsidR="004A3027" w:rsidRPr="00657BA6" w14:paraId="01551A57" w14:textId="77777777" w:rsidTr="006C794D">
        <w:tc>
          <w:tcPr>
            <w:tcW w:w="0" w:type="auto"/>
          </w:tcPr>
          <w:p w14:paraId="0C8AE01E" w14:textId="77777777" w:rsidR="004A3027" w:rsidRPr="00657BA6" w:rsidRDefault="004A3027" w:rsidP="0014780A">
            <w:pPr>
              <w:spacing w:after="0"/>
              <w:ind w:right="113"/>
              <w:rPr>
                <w:rFonts w:ascii="Arial" w:hAnsi="Arial" w:cs="Arial"/>
              </w:rPr>
            </w:pPr>
            <w:r w:rsidRPr="00657BA6">
              <w:rPr>
                <w:rFonts w:ascii="Arial" w:hAnsi="Arial" w:cs="Arial"/>
              </w:rPr>
              <w:t>Llamadas salientes a otros operadores fijos</w:t>
            </w:r>
          </w:p>
        </w:tc>
        <w:tc>
          <w:tcPr>
            <w:tcW w:w="0" w:type="auto"/>
          </w:tcPr>
          <w:p w14:paraId="46C4A75B" w14:textId="77777777" w:rsidR="004A3027" w:rsidRPr="00657BA6" w:rsidRDefault="004A3027" w:rsidP="00D47BB9">
            <w:pPr>
              <w:spacing w:after="0"/>
              <w:ind w:right="113"/>
              <w:jc w:val="both"/>
              <w:rPr>
                <w:rFonts w:ascii="Arial" w:hAnsi="Arial" w:cs="Arial"/>
              </w:rPr>
            </w:pPr>
            <w:r w:rsidRPr="00657BA6">
              <w:rPr>
                <w:rFonts w:ascii="Arial" w:hAnsi="Arial" w:cs="Arial"/>
              </w:rPr>
              <w:t>Llamadas de voz de un suscriptor minorista del operador fijo modelado a un operador fijo doméstico.</w:t>
            </w:r>
          </w:p>
        </w:tc>
      </w:tr>
      <w:tr w:rsidR="004A3027" w:rsidRPr="00657BA6" w14:paraId="39A009DB" w14:textId="77777777" w:rsidTr="006C794D">
        <w:trPr>
          <w:cnfStyle w:val="000000100000" w:firstRow="0" w:lastRow="0" w:firstColumn="0" w:lastColumn="0" w:oddVBand="0" w:evenVBand="0" w:oddHBand="1" w:evenHBand="0" w:firstRowFirstColumn="0" w:firstRowLastColumn="0" w:lastRowFirstColumn="0" w:lastRowLastColumn="0"/>
        </w:trPr>
        <w:tc>
          <w:tcPr>
            <w:tcW w:w="0" w:type="auto"/>
          </w:tcPr>
          <w:p w14:paraId="38E02BA3" w14:textId="77777777" w:rsidR="004A3027" w:rsidRPr="00657BA6" w:rsidRDefault="004A3027" w:rsidP="0014780A">
            <w:pPr>
              <w:spacing w:after="0"/>
              <w:ind w:right="113"/>
              <w:rPr>
                <w:rFonts w:ascii="Arial" w:hAnsi="Arial" w:cs="Arial"/>
              </w:rPr>
            </w:pPr>
            <w:r w:rsidRPr="00657BA6">
              <w:rPr>
                <w:rFonts w:ascii="Arial" w:hAnsi="Arial" w:cs="Arial"/>
              </w:rPr>
              <w:t>Llamadas salientes a móvil</w:t>
            </w:r>
          </w:p>
        </w:tc>
        <w:tc>
          <w:tcPr>
            <w:tcW w:w="0" w:type="auto"/>
          </w:tcPr>
          <w:p w14:paraId="0AF6D041" w14:textId="77777777" w:rsidR="004A3027" w:rsidRPr="00657BA6" w:rsidRDefault="004A3027" w:rsidP="00D47BB9">
            <w:pPr>
              <w:spacing w:after="0"/>
              <w:ind w:right="113"/>
              <w:jc w:val="both"/>
              <w:rPr>
                <w:rFonts w:ascii="Arial" w:hAnsi="Arial" w:cs="Arial"/>
              </w:rPr>
            </w:pPr>
            <w:r w:rsidRPr="00657BA6">
              <w:rPr>
                <w:rFonts w:ascii="Arial" w:hAnsi="Arial" w:cs="Arial"/>
              </w:rPr>
              <w:t>Llamadas de voz de un suscriptor minorista del operador fijo modelado a un operador móvil doméstico.</w:t>
            </w:r>
          </w:p>
        </w:tc>
      </w:tr>
      <w:tr w:rsidR="004A3027" w:rsidRPr="00657BA6" w14:paraId="72FCE0C5" w14:textId="77777777" w:rsidTr="006C794D">
        <w:tc>
          <w:tcPr>
            <w:tcW w:w="0" w:type="auto"/>
          </w:tcPr>
          <w:p w14:paraId="4BA6F1E5" w14:textId="77777777" w:rsidR="004A3027" w:rsidRPr="00657BA6" w:rsidRDefault="004A3027" w:rsidP="0014780A">
            <w:pPr>
              <w:spacing w:after="0"/>
              <w:ind w:right="113"/>
              <w:rPr>
                <w:rFonts w:ascii="Arial" w:hAnsi="Arial" w:cs="Arial"/>
              </w:rPr>
            </w:pPr>
            <w:r w:rsidRPr="00657BA6">
              <w:rPr>
                <w:rFonts w:ascii="Arial" w:hAnsi="Arial" w:cs="Arial"/>
              </w:rPr>
              <w:t>Llamadas salientes a internacional</w:t>
            </w:r>
          </w:p>
        </w:tc>
        <w:tc>
          <w:tcPr>
            <w:tcW w:w="0" w:type="auto"/>
          </w:tcPr>
          <w:p w14:paraId="5E9AC823" w14:textId="77777777" w:rsidR="004A3027" w:rsidRPr="00657BA6" w:rsidRDefault="004A3027" w:rsidP="00D47BB9">
            <w:pPr>
              <w:spacing w:after="0"/>
              <w:ind w:right="113"/>
              <w:jc w:val="both"/>
              <w:rPr>
                <w:rFonts w:ascii="Arial" w:hAnsi="Arial" w:cs="Arial"/>
              </w:rPr>
            </w:pPr>
            <w:r w:rsidRPr="00657BA6">
              <w:rPr>
                <w:rFonts w:ascii="Arial" w:hAnsi="Arial" w:cs="Arial"/>
              </w:rPr>
              <w:t>Llamadas de voz de un suscriptor minorista del operador fijo modelado a un destino internacional.</w:t>
            </w:r>
          </w:p>
        </w:tc>
      </w:tr>
      <w:tr w:rsidR="004A3027" w:rsidRPr="00657BA6" w14:paraId="72C4A58F" w14:textId="77777777" w:rsidTr="006C794D">
        <w:trPr>
          <w:cnfStyle w:val="000000100000" w:firstRow="0" w:lastRow="0" w:firstColumn="0" w:lastColumn="0" w:oddVBand="0" w:evenVBand="0" w:oddHBand="1" w:evenHBand="0" w:firstRowFirstColumn="0" w:firstRowLastColumn="0" w:lastRowFirstColumn="0" w:lastRowLastColumn="0"/>
        </w:trPr>
        <w:tc>
          <w:tcPr>
            <w:tcW w:w="0" w:type="auto"/>
          </w:tcPr>
          <w:p w14:paraId="6A47E1A5" w14:textId="77777777" w:rsidR="004A3027" w:rsidRPr="00657BA6" w:rsidRDefault="004A3027" w:rsidP="0014780A">
            <w:pPr>
              <w:spacing w:after="0"/>
              <w:ind w:right="113"/>
              <w:rPr>
                <w:rFonts w:ascii="Arial" w:hAnsi="Arial" w:cs="Arial"/>
              </w:rPr>
            </w:pPr>
            <w:r w:rsidRPr="00657BA6">
              <w:rPr>
                <w:rFonts w:ascii="Arial" w:hAnsi="Arial" w:cs="Arial"/>
              </w:rPr>
              <w:t xml:space="preserve">Llamadas salientes a números no geográficos </w:t>
            </w:r>
          </w:p>
        </w:tc>
        <w:tc>
          <w:tcPr>
            <w:tcW w:w="0" w:type="auto"/>
          </w:tcPr>
          <w:p w14:paraId="62A86F59" w14:textId="77777777" w:rsidR="004A3027" w:rsidRPr="00657BA6" w:rsidRDefault="004A3027" w:rsidP="00D47BB9">
            <w:pPr>
              <w:spacing w:after="0"/>
              <w:ind w:right="113"/>
              <w:jc w:val="both"/>
              <w:rPr>
                <w:rFonts w:ascii="Arial" w:hAnsi="Arial" w:cs="Arial"/>
              </w:rPr>
            </w:pPr>
            <w:r w:rsidRPr="00657BA6">
              <w:rPr>
                <w:rFonts w:ascii="Arial" w:hAnsi="Arial" w:cs="Arial"/>
              </w:rPr>
              <w:t>Llamadas de voz de un suscriptor minorista del operador fijo modelado a números no geográficos, incluidos números comerciales de pago, consultas del directorio y servicios de emergencia.</w:t>
            </w:r>
          </w:p>
        </w:tc>
      </w:tr>
      <w:tr w:rsidR="004A3027" w:rsidRPr="00657BA6" w14:paraId="3198D87A" w14:textId="77777777" w:rsidTr="006C794D">
        <w:tc>
          <w:tcPr>
            <w:tcW w:w="0" w:type="auto"/>
          </w:tcPr>
          <w:p w14:paraId="7D10654B" w14:textId="77777777" w:rsidR="004A3027" w:rsidRPr="00657BA6" w:rsidRDefault="004A3027" w:rsidP="0014780A">
            <w:pPr>
              <w:spacing w:after="0"/>
              <w:ind w:right="113"/>
              <w:rPr>
                <w:rFonts w:ascii="Arial" w:hAnsi="Arial" w:cs="Arial"/>
              </w:rPr>
            </w:pPr>
            <w:r w:rsidRPr="00657BA6">
              <w:rPr>
                <w:rFonts w:ascii="Arial" w:hAnsi="Arial" w:cs="Arial"/>
              </w:rPr>
              <w:t>Llamadas entrantes de otros operadores fijos</w:t>
            </w:r>
          </w:p>
        </w:tc>
        <w:tc>
          <w:tcPr>
            <w:tcW w:w="0" w:type="auto"/>
          </w:tcPr>
          <w:p w14:paraId="790AE24F" w14:textId="77777777" w:rsidR="004A3027" w:rsidRPr="00657BA6" w:rsidRDefault="004A3027" w:rsidP="00D47BB9">
            <w:pPr>
              <w:spacing w:after="0"/>
              <w:ind w:right="113"/>
              <w:jc w:val="both"/>
              <w:rPr>
                <w:rFonts w:ascii="Arial" w:hAnsi="Arial" w:cs="Arial"/>
              </w:rPr>
            </w:pPr>
            <w:r w:rsidRPr="00657BA6">
              <w:rPr>
                <w:rFonts w:ascii="Arial" w:hAnsi="Arial" w:cs="Arial"/>
              </w:rPr>
              <w:t>Llamadas de voz recibidas de otro operador fijo y terminadas en la red de un suscriptor minorista del operador fijo modelado.</w:t>
            </w:r>
          </w:p>
        </w:tc>
      </w:tr>
      <w:tr w:rsidR="004A3027" w:rsidRPr="00657BA6" w14:paraId="67DBAFE6" w14:textId="77777777" w:rsidTr="006C794D">
        <w:trPr>
          <w:cnfStyle w:val="000000100000" w:firstRow="0" w:lastRow="0" w:firstColumn="0" w:lastColumn="0" w:oddVBand="0" w:evenVBand="0" w:oddHBand="1" w:evenHBand="0" w:firstRowFirstColumn="0" w:firstRowLastColumn="0" w:lastRowFirstColumn="0" w:lastRowLastColumn="0"/>
        </w:trPr>
        <w:tc>
          <w:tcPr>
            <w:tcW w:w="0" w:type="auto"/>
          </w:tcPr>
          <w:p w14:paraId="4FB589D3" w14:textId="77777777" w:rsidR="004A3027" w:rsidRPr="00657BA6" w:rsidRDefault="004A3027" w:rsidP="0014780A">
            <w:pPr>
              <w:spacing w:after="0"/>
              <w:ind w:right="113"/>
              <w:rPr>
                <w:rFonts w:ascii="Arial" w:hAnsi="Arial" w:cs="Arial"/>
              </w:rPr>
            </w:pPr>
            <w:r w:rsidRPr="00657BA6">
              <w:rPr>
                <w:rFonts w:ascii="Arial" w:hAnsi="Arial" w:cs="Arial"/>
              </w:rPr>
              <w:t>Llamadas entrantes de móvil</w:t>
            </w:r>
          </w:p>
        </w:tc>
        <w:tc>
          <w:tcPr>
            <w:tcW w:w="0" w:type="auto"/>
          </w:tcPr>
          <w:p w14:paraId="027544C3" w14:textId="77777777" w:rsidR="004A3027" w:rsidRPr="00657BA6" w:rsidRDefault="004A3027" w:rsidP="00D47BB9">
            <w:pPr>
              <w:spacing w:after="0"/>
              <w:ind w:right="113"/>
              <w:jc w:val="both"/>
              <w:rPr>
                <w:rFonts w:ascii="Arial" w:hAnsi="Arial" w:cs="Arial"/>
              </w:rPr>
            </w:pPr>
            <w:r w:rsidRPr="00657BA6">
              <w:rPr>
                <w:rFonts w:ascii="Arial" w:hAnsi="Arial" w:cs="Arial"/>
              </w:rPr>
              <w:t>Llamadas de voz recibidas de otro operador móvil y terminadas en la red de un suscriptor minorista del operador fijo modelado.</w:t>
            </w:r>
          </w:p>
        </w:tc>
      </w:tr>
      <w:tr w:rsidR="004A3027" w:rsidRPr="00657BA6" w14:paraId="12ED47A8" w14:textId="77777777" w:rsidTr="006C794D">
        <w:tc>
          <w:tcPr>
            <w:tcW w:w="0" w:type="auto"/>
          </w:tcPr>
          <w:p w14:paraId="71F7FA33" w14:textId="77777777" w:rsidR="004A3027" w:rsidRPr="00657BA6" w:rsidRDefault="004A3027" w:rsidP="0014780A">
            <w:pPr>
              <w:spacing w:after="0"/>
              <w:ind w:right="113"/>
              <w:rPr>
                <w:rFonts w:ascii="Arial" w:hAnsi="Arial" w:cs="Arial"/>
              </w:rPr>
            </w:pPr>
            <w:r w:rsidRPr="00657BA6">
              <w:rPr>
                <w:rFonts w:ascii="Arial" w:hAnsi="Arial" w:cs="Arial"/>
              </w:rPr>
              <w:t>Llamadas entrantes de tráfico internacional</w:t>
            </w:r>
          </w:p>
        </w:tc>
        <w:tc>
          <w:tcPr>
            <w:tcW w:w="0" w:type="auto"/>
          </w:tcPr>
          <w:p w14:paraId="514659BB" w14:textId="77777777" w:rsidR="004A3027" w:rsidRPr="00657BA6" w:rsidRDefault="004A3027" w:rsidP="00D47BB9">
            <w:pPr>
              <w:spacing w:after="0"/>
              <w:ind w:right="113"/>
              <w:jc w:val="both"/>
              <w:rPr>
                <w:rFonts w:ascii="Arial" w:hAnsi="Arial" w:cs="Arial"/>
              </w:rPr>
            </w:pPr>
            <w:r w:rsidRPr="00657BA6">
              <w:rPr>
                <w:rFonts w:ascii="Arial" w:hAnsi="Arial" w:cs="Arial"/>
              </w:rPr>
              <w:t>Llamadas de voz recibidas de otro operador internacional y terminadas en la red de un suscriptor minorista del operador fijo modelado.</w:t>
            </w:r>
          </w:p>
        </w:tc>
      </w:tr>
      <w:tr w:rsidR="004A3027" w:rsidRPr="00657BA6" w14:paraId="0C5AE691" w14:textId="77777777" w:rsidTr="006C794D">
        <w:trPr>
          <w:cnfStyle w:val="000000100000" w:firstRow="0" w:lastRow="0" w:firstColumn="0" w:lastColumn="0" w:oddVBand="0" w:evenVBand="0" w:oddHBand="1" w:evenHBand="0" w:firstRowFirstColumn="0" w:firstRowLastColumn="0" w:lastRowFirstColumn="0" w:lastRowLastColumn="0"/>
        </w:trPr>
        <w:tc>
          <w:tcPr>
            <w:tcW w:w="0" w:type="auto"/>
          </w:tcPr>
          <w:p w14:paraId="33E2C103" w14:textId="77777777" w:rsidR="004A3027" w:rsidRPr="00657BA6" w:rsidRDefault="004A3027" w:rsidP="0014780A">
            <w:pPr>
              <w:spacing w:after="0"/>
              <w:ind w:right="113"/>
              <w:rPr>
                <w:rFonts w:ascii="Arial" w:hAnsi="Arial" w:cs="Arial"/>
              </w:rPr>
            </w:pPr>
            <w:r w:rsidRPr="00657BA6">
              <w:rPr>
                <w:rFonts w:ascii="Arial" w:hAnsi="Arial" w:cs="Arial"/>
              </w:rPr>
              <w:t>Llamadas entrantes a números no geográficos</w:t>
            </w:r>
          </w:p>
        </w:tc>
        <w:tc>
          <w:tcPr>
            <w:tcW w:w="0" w:type="auto"/>
          </w:tcPr>
          <w:p w14:paraId="1D1366C9" w14:textId="77777777" w:rsidR="004A3027" w:rsidRPr="00657BA6" w:rsidRDefault="004A3027" w:rsidP="00D47BB9">
            <w:pPr>
              <w:spacing w:after="0"/>
              <w:ind w:right="113"/>
              <w:jc w:val="both"/>
              <w:rPr>
                <w:rFonts w:ascii="Arial" w:hAnsi="Arial" w:cs="Arial"/>
              </w:rPr>
            </w:pPr>
            <w:r w:rsidRPr="00657BA6">
              <w:rPr>
                <w:rFonts w:ascii="Arial" w:hAnsi="Arial" w:cs="Arial"/>
              </w:rPr>
              <w:t>Llamadas de voz recibidas de un suscriptor minorista de otro operador a números no geográficos, incluidos números comerciales de pago, consultas del Directorio y servicios de emergencia.</w:t>
            </w:r>
          </w:p>
        </w:tc>
      </w:tr>
      <w:tr w:rsidR="004A3027" w:rsidRPr="00657BA6" w14:paraId="1B293682" w14:textId="77777777" w:rsidTr="006C794D">
        <w:tc>
          <w:tcPr>
            <w:tcW w:w="0" w:type="auto"/>
          </w:tcPr>
          <w:p w14:paraId="164C0F56" w14:textId="77777777" w:rsidR="004A3027" w:rsidRPr="00657BA6" w:rsidRDefault="004A3027" w:rsidP="0014780A">
            <w:pPr>
              <w:spacing w:after="0"/>
              <w:ind w:right="113"/>
              <w:rPr>
                <w:rFonts w:ascii="Arial" w:hAnsi="Arial" w:cs="Arial"/>
              </w:rPr>
            </w:pPr>
            <w:r w:rsidRPr="00657BA6">
              <w:rPr>
                <w:rFonts w:ascii="Arial" w:hAnsi="Arial" w:cs="Arial"/>
              </w:rPr>
              <w:t>Llamadas en tránsito</w:t>
            </w:r>
          </w:p>
        </w:tc>
        <w:tc>
          <w:tcPr>
            <w:tcW w:w="0" w:type="auto"/>
          </w:tcPr>
          <w:p w14:paraId="7EF514BB" w14:textId="77777777" w:rsidR="004A3027" w:rsidRPr="00657BA6" w:rsidRDefault="004A3027" w:rsidP="00D47BB9">
            <w:pPr>
              <w:spacing w:after="0"/>
              <w:ind w:right="113"/>
              <w:jc w:val="both"/>
              <w:rPr>
                <w:rFonts w:ascii="Arial" w:hAnsi="Arial" w:cs="Arial"/>
              </w:rPr>
            </w:pPr>
            <w:r w:rsidRPr="00657BA6">
              <w:rPr>
                <w:rFonts w:ascii="Arial" w:hAnsi="Arial" w:cs="Arial"/>
              </w:rPr>
              <w:t>Llamadas de voz recibidas de otro operador, móvil o fijo y terminadas en la red de otro operador internacional, móvil o fijo.</w:t>
            </w:r>
          </w:p>
        </w:tc>
      </w:tr>
      <w:tr w:rsidR="004A3027" w:rsidRPr="00657BA6" w14:paraId="6CEC5B0C" w14:textId="77777777" w:rsidTr="006C794D">
        <w:trPr>
          <w:cnfStyle w:val="000000100000" w:firstRow="0" w:lastRow="0" w:firstColumn="0" w:lastColumn="0" w:oddVBand="0" w:evenVBand="0" w:oddHBand="1" w:evenHBand="0" w:firstRowFirstColumn="0" w:firstRowLastColumn="0" w:lastRowFirstColumn="0" w:lastRowLastColumn="0"/>
        </w:trPr>
        <w:tc>
          <w:tcPr>
            <w:tcW w:w="0" w:type="auto"/>
          </w:tcPr>
          <w:p w14:paraId="171CD459" w14:textId="77777777" w:rsidR="004A3027" w:rsidRPr="00657BA6" w:rsidRDefault="004A3027" w:rsidP="0014780A">
            <w:pPr>
              <w:spacing w:after="0"/>
              <w:ind w:right="113"/>
              <w:rPr>
                <w:rFonts w:ascii="Arial" w:hAnsi="Arial" w:cs="Arial"/>
              </w:rPr>
            </w:pPr>
            <w:r w:rsidRPr="00657BA6">
              <w:rPr>
                <w:rFonts w:ascii="Arial" w:hAnsi="Arial" w:cs="Arial"/>
              </w:rPr>
              <w:t>SMS salientes</w:t>
            </w:r>
          </w:p>
        </w:tc>
        <w:tc>
          <w:tcPr>
            <w:tcW w:w="0" w:type="auto"/>
          </w:tcPr>
          <w:p w14:paraId="480B19DF" w14:textId="77777777" w:rsidR="004A3027" w:rsidRPr="00657BA6" w:rsidRDefault="004A3027" w:rsidP="00D47BB9">
            <w:pPr>
              <w:spacing w:after="0"/>
              <w:ind w:right="113"/>
              <w:jc w:val="both"/>
              <w:rPr>
                <w:rFonts w:ascii="Arial" w:hAnsi="Arial" w:cs="Arial"/>
              </w:rPr>
            </w:pPr>
            <w:r w:rsidRPr="00657BA6">
              <w:rPr>
                <w:rFonts w:ascii="Arial" w:hAnsi="Arial" w:cs="Arial"/>
              </w:rPr>
              <w:t>SMS de un suscriptor del operador fijo modelado a otro operador.</w:t>
            </w:r>
          </w:p>
        </w:tc>
      </w:tr>
      <w:tr w:rsidR="004A3027" w:rsidRPr="00657BA6" w14:paraId="18760FD9" w14:textId="77777777" w:rsidTr="006C794D">
        <w:tc>
          <w:tcPr>
            <w:tcW w:w="0" w:type="auto"/>
          </w:tcPr>
          <w:p w14:paraId="426DCFCC" w14:textId="77777777" w:rsidR="004A3027" w:rsidRPr="00657BA6" w:rsidRDefault="004A3027" w:rsidP="0014780A">
            <w:pPr>
              <w:spacing w:after="0"/>
              <w:ind w:right="113"/>
              <w:rPr>
                <w:rFonts w:ascii="Arial" w:hAnsi="Arial" w:cs="Arial"/>
              </w:rPr>
            </w:pPr>
            <w:r w:rsidRPr="00657BA6">
              <w:rPr>
                <w:rFonts w:ascii="Arial" w:hAnsi="Arial" w:cs="Arial"/>
              </w:rPr>
              <w:lastRenderedPageBreak/>
              <w:t>SMS entrantes</w:t>
            </w:r>
          </w:p>
        </w:tc>
        <w:tc>
          <w:tcPr>
            <w:tcW w:w="0" w:type="auto"/>
          </w:tcPr>
          <w:p w14:paraId="09C9A971" w14:textId="77777777" w:rsidR="004A3027" w:rsidRPr="00657BA6" w:rsidRDefault="004A3027" w:rsidP="00D47BB9">
            <w:pPr>
              <w:spacing w:after="0"/>
              <w:ind w:right="113"/>
              <w:jc w:val="both"/>
              <w:rPr>
                <w:rFonts w:ascii="Arial" w:hAnsi="Arial" w:cs="Arial"/>
              </w:rPr>
            </w:pPr>
            <w:r w:rsidRPr="00657BA6">
              <w:rPr>
                <w:rFonts w:ascii="Arial" w:hAnsi="Arial" w:cs="Arial"/>
              </w:rPr>
              <w:t>SMS recibido de otro operador y terminado en la red de un suscriptor del operador fijo modelado.</w:t>
            </w:r>
          </w:p>
        </w:tc>
      </w:tr>
    </w:tbl>
    <w:p w14:paraId="044AA95D" w14:textId="77777777" w:rsidR="004A3027" w:rsidRPr="00657BA6" w:rsidRDefault="004A3027" w:rsidP="0014780A">
      <w:pPr>
        <w:spacing w:after="0"/>
        <w:jc w:val="center"/>
        <w:rPr>
          <w:rFonts w:ascii="Arial" w:eastAsia="Times New Roman" w:hAnsi="Arial" w:cs="Arial"/>
          <w:lang w:eastAsia="es-ES"/>
        </w:rPr>
      </w:pPr>
      <w:r w:rsidRPr="00657BA6">
        <w:rPr>
          <w:rFonts w:ascii="Arial" w:eastAsia="Times New Roman" w:hAnsi="Arial" w:cs="Arial"/>
          <w:lang w:eastAsia="es-ES"/>
        </w:rPr>
        <w:t>Tabla 2. Servicios que se ofrecen a través de redes fijas.</w:t>
      </w:r>
    </w:p>
    <w:p w14:paraId="3F500ABC" w14:textId="77777777" w:rsidR="004A3027" w:rsidRPr="00657BA6" w:rsidRDefault="004A3027" w:rsidP="0014780A">
      <w:pPr>
        <w:spacing w:after="0"/>
        <w:jc w:val="both"/>
        <w:rPr>
          <w:rFonts w:ascii="Arial" w:eastAsia="Times New Roman" w:hAnsi="Arial" w:cs="Arial"/>
          <w:lang w:eastAsia="es-ES"/>
        </w:rPr>
      </w:pPr>
    </w:p>
    <w:p w14:paraId="7CB89FBE"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Estos servicios se han incluido a fin de estimar precisamente los costos totales y su distribución entre los servicios que utilizan la red (esto no implica que resulte en una regulación de sus precios).</w:t>
      </w:r>
    </w:p>
    <w:p w14:paraId="51D526DF" w14:textId="77777777" w:rsidR="004A3027" w:rsidRPr="00657BA6" w:rsidRDefault="004A3027" w:rsidP="0014780A">
      <w:pPr>
        <w:spacing w:after="0"/>
        <w:jc w:val="both"/>
        <w:rPr>
          <w:rFonts w:ascii="Arial" w:eastAsia="Times New Roman" w:hAnsi="Arial" w:cs="Arial"/>
          <w:lang w:eastAsia="es-ES"/>
        </w:rPr>
      </w:pPr>
    </w:p>
    <w:p w14:paraId="794113BF"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En el Modelo Fijo se considera que el tráfico generado por las líneas ISDN (</w:t>
      </w:r>
      <w:r w:rsidRPr="00657BA6">
        <w:rPr>
          <w:rFonts w:ascii="Arial" w:eastAsia="Times New Roman" w:hAnsi="Arial" w:cs="Arial"/>
          <w:i/>
          <w:lang w:eastAsia="es-ES"/>
        </w:rPr>
        <w:t>Integrated Service for Digital Network</w:t>
      </w:r>
      <w:r w:rsidRPr="00657BA6">
        <w:rPr>
          <w:rFonts w:ascii="Arial" w:eastAsia="Times New Roman" w:hAnsi="Arial" w:cs="Arial"/>
          <w:lang w:eastAsia="es-ES"/>
        </w:rPr>
        <w:t>) se incluirá en los servicios fijos de voz, es decir, no hay servicios específicos de voz ISDN.</w:t>
      </w:r>
    </w:p>
    <w:p w14:paraId="509F8551" w14:textId="77777777" w:rsidR="004A3027" w:rsidRPr="00657BA6" w:rsidRDefault="004A3027" w:rsidP="0014780A">
      <w:pPr>
        <w:spacing w:after="0"/>
        <w:jc w:val="both"/>
        <w:rPr>
          <w:rFonts w:ascii="Arial" w:eastAsia="Times New Roman" w:hAnsi="Arial" w:cs="Arial"/>
          <w:lang w:eastAsia="es-ES"/>
        </w:rPr>
      </w:pPr>
    </w:p>
    <w:p w14:paraId="12CA42E1"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Los servicios relacionados con el acceso a Internet que se incluirán en el modelo se presentan en la siguiente tabla. Estos servicios se incluyen para considerar los requerimientos de</w:t>
      </w:r>
      <w:r w:rsidRPr="00657BA6">
        <w:rPr>
          <w:rFonts w:ascii="Arial" w:eastAsia="Times New Roman" w:hAnsi="Arial" w:cs="Arial"/>
          <w:i/>
          <w:lang w:eastAsia="es-ES"/>
        </w:rPr>
        <w:t xml:space="preserve"> backhaul</w:t>
      </w:r>
      <w:r w:rsidRPr="00657BA6">
        <w:rPr>
          <w:rFonts w:ascii="Arial" w:eastAsia="Times New Roman" w:hAnsi="Arial" w:cs="Arial"/>
          <w:lang w:eastAsia="es-ES"/>
        </w:rPr>
        <w:t xml:space="preserve"> de retorno de la central local a la red troncal.</w:t>
      </w:r>
    </w:p>
    <w:p w14:paraId="74746C08" w14:textId="77777777" w:rsidR="004A3027" w:rsidRPr="00657BA6" w:rsidRDefault="004A3027" w:rsidP="0014780A">
      <w:pPr>
        <w:spacing w:after="0"/>
        <w:jc w:val="both"/>
        <w:rPr>
          <w:rFonts w:ascii="Arial" w:eastAsia="Times New Roman" w:hAnsi="Arial" w:cs="Arial"/>
          <w:lang w:eastAsia="es-ES"/>
        </w:rPr>
      </w:pPr>
    </w:p>
    <w:p w14:paraId="153F4726" w14:textId="76D4FC95" w:rsidR="004E0A74" w:rsidRPr="00657BA6" w:rsidRDefault="004E0A74" w:rsidP="0014780A">
      <w:pPr>
        <w:spacing w:after="0"/>
        <w:jc w:val="both"/>
        <w:rPr>
          <w:rFonts w:ascii="Arial" w:eastAsia="Times New Roman" w:hAnsi="Arial" w:cs="Arial"/>
          <w:lang w:eastAsia="es-ES"/>
        </w:rPr>
      </w:pPr>
    </w:p>
    <w:tbl>
      <w:tblPr>
        <w:tblStyle w:val="Tabladecuadrcula4"/>
        <w:tblpPr w:leftFromText="141" w:rightFromText="141" w:vertAnchor="text" w:horzAnchor="margin" w:tblpX="279" w:tblpY="119"/>
        <w:tblW w:w="8788" w:type="dxa"/>
        <w:tblLook w:val="0420" w:firstRow="1" w:lastRow="0" w:firstColumn="0" w:lastColumn="0" w:noHBand="0" w:noVBand="1"/>
      </w:tblPr>
      <w:tblGrid>
        <w:gridCol w:w="1612"/>
        <w:gridCol w:w="7176"/>
      </w:tblGrid>
      <w:tr w:rsidR="004E0A74" w:rsidRPr="00657BA6" w14:paraId="70A9AB45" w14:textId="77777777" w:rsidTr="004E0A74">
        <w:trPr>
          <w:cnfStyle w:val="100000000000" w:firstRow="1" w:lastRow="0" w:firstColumn="0" w:lastColumn="0" w:oddVBand="0" w:evenVBand="0" w:oddHBand="0" w:evenHBand="0" w:firstRowFirstColumn="0" w:firstRowLastColumn="0" w:lastRowFirstColumn="0" w:lastRowLastColumn="0"/>
        </w:trPr>
        <w:tc>
          <w:tcPr>
            <w:tcW w:w="161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1F21996" w14:textId="77777777" w:rsidR="004E0A74" w:rsidRPr="00657BA6" w:rsidRDefault="004E0A74" w:rsidP="0014780A">
            <w:pPr>
              <w:spacing w:after="0"/>
              <w:ind w:left="426" w:right="113"/>
              <w:jc w:val="center"/>
              <w:rPr>
                <w:rFonts w:ascii="Arial" w:hAnsi="Arial" w:cs="Arial"/>
                <w:color w:val="auto"/>
              </w:rPr>
            </w:pPr>
            <w:r w:rsidRPr="00657BA6">
              <w:rPr>
                <w:rFonts w:ascii="Arial" w:hAnsi="Arial" w:cs="Arial"/>
                <w:color w:val="auto"/>
              </w:rPr>
              <w:t>Servicio</w:t>
            </w:r>
          </w:p>
        </w:tc>
        <w:tc>
          <w:tcPr>
            <w:tcW w:w="717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FCC6E20" w14:textId="77777777" w:rsidR="004E0A74" w:rsidRPr="00657BA6" w:rsidRDefault="004E0A74" w:rsidP="0014780A">
            <w:pPr>
              <w:keepNext/>
              <w:tabs>
                <w:tab w:val="center" w:pos="2990"/>
              </w:tabs>
              <w:spacing w:after="0"/>
              <w:ind w:right="113"/>
              <w:jc w:val="center"/>
              <w:rPr>
                <w:rFonts w:ascii="Arial" w:hAnsi="Arial" w:cs="Arial"/>
                <w:color w:val="auto"/>
              </w:rPr>
            </w:pPr>
            <w:r w:rsidRPr="00657BA6">
              <w:rPr>
                <w:rFonts w:ascii="Arial" w:hAnsi="Arial" w:cs="Arial"/>
                <w:color w:val="auto"/>
              </w:rPr>
              <w:t>Descripción del servicio</w:t>
            </w:r>
          </w:p>
        </w:tc>
      </w:tr>
      <w:tr w:rsidR="004E0A74" w:rsidRPr="00657BA6" w14:paraId="79F03793" w14:textId="77777777" w:rsidTr="004E0A74">
        <w:trPr>
          <w:cnfStyle w:val="000000100000" w:firstRow="0" w:lastRow="0" w:firstColumn="0" w:lastColumn="0" w:oddVBand="0" w:evenVBand="0" w:oddHBand="1" w:evenHBand="0" w:firstRowFirstColumn="0" w:firstRowLastColumn="0" w:lastRowFirstColumn="0" w:lastRowLastColumn="0"/>
        </w:trPr>
        <w:tc>
          <w:tcPr>
            <w:tcW w:w="1612" w:type="dxa"/>
            <w:tcBorders>
              <w:top w:val="single" w:sz="4" w:space="0" w:color="000000"/>
            </w:tcBorders>
          </w:tcPr>
          <w:p w14:paraId="381C7A9E" w14:textId="69B2A7A9" w:rsidR="004E0A74" w:rsidRPr="00657BA6" w:rsidRDefault="004E0A74" w:rsidP="0014780A">
            <w:pPr>
              <w:spacing w:after="0"/>
              <w:ind w:left="26"/>
              <w:rPr>
                <w:rFonts w:ascii="Arial" w:hAnsi="Arial" w:cs="Arial"/>
                <w:spacing w:val="-4"/>
              </w:rPr>
            </w:pPr>
            <w:r w:rsidRPr="00D47BB9">
              <w:rPr>
                <w:rFonts w:ascii="Arial" w:hAnsi="Arial" w:cs="Arial"/>
                <w:spacing w:val="-4"/>
              </w:rPr>
              <w:t>Banda ancha propia (líneas)</w:t>
            </w:r>
          </w:p>
        </w:tc>
        <w:tc>
          <w:tcPr>
            <w:tcW w:w="7176" w:type="dxa"/>
            <w:tcBorders>
              <w:top w:val="single" w:sz="4" w:space="0" w:color="000000"/>
            </w:tcBorders>
          </w:tcPr>
          <w:p w14:paraId="3798BF50" w14:textId="67A5A92F" w:rsidR="004E0A74" w:rsidRPr="00657BA6" w:rsidRDefault="004E0A74" w:rsidP="00D47BB9">
            <w:pPr>
              <w:spacing w:after="0"/>
              <w:ind w:left="26"/>
              <w:jc w:val="both"/>
              <w:rPr>
                <w:rFonts w:ascii="Arial" w:hAnsi="Arial" w:cs="Arial"/>
                <w:spacing w:val="-4"/>
              </w:rPr>
            </w:pPr>
            <w:r w:rsidRPr="00D47BB9">
              <w:rPr>
                <w:rFonts w:ascii="Arial" w:hAnsi="Arial" w:cs="Arial"/>
                <w:spacing w:val="-4"/>
              </w:rPr>
              <w:t>Provisión de una línea de acceso para el servicio de internet comercializado por el departamento minorista del operador modelado</w:t>
            </w:r>
          </w:p>
        </w:tc>
      </w:tr>
      <w:tr w:rsidR="004E0A74" w:rsidRPr="00657BA6" w14:paraId="0C44FEB3" w14:textId="77777777" w:rsidTr="004E0A74">
        <w:tc>
          <w:tcPr>
            <w:tcW w:w="1612" w:type="dxa"/>
          </w:tcPr>
          <w:p w14:paraId="0F91089A" w14:textId="30230D9D" w:rsidR="004E0A74" w:rsidRPr="00657BA6" w:rsidRDefault="004E0A74" w:rsidP="00D47BB9">
            <w:pPr>
              <w:spacing w:after="0"/>
              <w:ind w:left="26"/>
              <w:jc w:val="both"/>
              <w:rPr>
                <w:rFonts w:ascii="Arial" w:hAnsi="Arial" w:cs="Arial"/>
                <w:spacing w:val="-4"/>
              </w:rPr>
            </w:pPr>
            <w:r w:rsidRPr="00D47BB9">
              <w:rPr>
                <w:rFonts w:ascii="Arial" w:hAnsi="Arial" w:cs="Arial"/>
                <w:spacing w:val="-4"/>
              </w:rPr>
              <w:t>Banda ancha propia (contenido)</w:t>
            </w:r>
          </w:p>
        </w:tc>
        <w:tc>
          <w:tcPr>
            <w:tcW w:w="7176" w:type="dxa"/>
          </w:tcPr>
          <w:p w14:paraId="4A03BBB6" w14:textId="3B5C2837" w:rsidR="004E0A74" w:rsidRPr="00657BA6" w:rsidRDefault="004E0A74" w:rsidP="00D47BB9">
            <w:pPr>
              <w:spacing w:after="0"/>
              <w:ind w:left="26"/>
              <w:jc w:val="both"/>
              <w:rPr>
                <w:rFonts w:ascii="Arial" w:hAnsi="Arial" w:cs="Arial"/>
                <w:spacing w:val="-4"/>
              </w:rPr>
            </w:pPr>
            <w:r w:rsidRPr="00D47BB9">
              <w:rPr>
                <w:rFonts w:ascii="Arial" w:hAnsi="Arial" w:cs="Arial"/>
                <w:spacing w:val="-4"/>
              </w:rPr>
              <w:t>Ancho de banda en una línea para el servicio de internet comercializado por el departamento minorista del operador modelado, independiente de la tecnología de acceso</w:t>
            </w:r>
          </w:p>
        </w:tc>
      </w:tr>
      <w:tr w:rsidR="004E0A74" w:rsidRPr="00657BA6" w14:paraId="31CBEF5D" w14:textId="77777777" w:rsidTr="00D47BB9">
        <w:trPr>
          <w:cnfStyle w:val="000000100000" w:firstRow="0" w:lastRow="0" w:firstColumn="0" w:lastColumn="0" w:oddVBand="0" w:evenVBand="0" w:oddHBand="1" w:evenHBand="0" w:firstRowFirstColumn="0" w:firstRowLastColumn="0" w:lastRowFirstColumn="0" w:lastRowLastColumn="0"/>
        </w:trPr>
        <w:tc>
          <w:tcPr>
            <w:tcW w:w="0" w:type="dxa"/>
            <w:shd w:val="clear" w:color="auto" w:fill="D0CECE" w:themeFill="background2" w:themeFillShade="E6"/>
          </w:tcPr>
          <w:p w14:paraId="566AFFD4" w14:textId="3C67B2BE" w:rsidR="004E0A74" w:rsidRPr="00657BA6" w:rsidRDefault="004E0A74" w:rsidP="0014780A">
            <w:pPr>
              <w:spacing w:after="0"/>
              <w:ind w:left="26"/>
              <w:rPr>
                <w:rFonts w:ascii="Arial" w:hAnsi="Arial" w:cs="Arial"/>
                <w:spacing w:val="-4"/>
              </w:rPr>
            </w:pPr>
            <w:r w:rsidRPr="00D47BB9">
              <w:rPr>
                <w:rFonts w:ascii="Arial" w:hAnsi="Arial" w:cs="Arial"/>
                <w:spacing w:val="-4"/>
              </w:rPr>
              <w:t>Banda ancha ajena (líneas)</w:t>
            </w:r>
          </w:p>
        </w:tc>
        <w:tc>
          <w:tcPr>
            <w:tcW w:w="0" w:type="dxa"/>
            <w:shd w:val="clear" w:color="auto" w:fill="D0CECE" w:themeFill="background2" w:themeFillShade="E6"/>
          </w:tcPr>
          <w:p w14:paraId="61E53916" w14:textId="7140FB96" w:rsidR="004E0A74" w:rsidRPr="00657BA6" w:rsidRDefault="004E0A74" w:rsidP="00D47BB9">
            <w:pPr>
              <w:spacing w:after="0"/>
              <w:ind w:left="26"/>
              <w:jc w:val="both"/>
              <w:rPr>
                <w:rFonts w:ascii="Arial" w:hAnsi="Arial" w:cs="Arial"/>
                <w:spacing w:val="-4"/>
              </w:rPr>
            </w:pPr>
            <w:r w:rsidRPr="00D47BB9">
              <w:rPr>
                <w:rFonts w:ascii="Arial" w:hAnsi="Arial" w:cs="Arial"/>
                <w:spacing w:val="-4"/>
              </w:rPr>
              <w:t>Provisión de una línea de acceso para el servicio de internet comercializado por el departamento mayorista del operador modelado</w:t>
            </w:r>
          </w:p>
        </w:tc>
      </w:tr>
      <w:tr w:rsidR="004E0A74" w:rsidRPr="00657BA6" w14:paraId="60201B96" w14:textId="77777777" w:rsidTr="004E0A74">
        <w:tc>
          <w:tcPr>
            <w:tcW w:w="1612" w:type="dxa"/>
          </w:tcPr>
          <w:p w14:paraId="496BF4E5" w14:textId="1A132473" w:rsidR="004E0A74" w:rsidRPr="00657BA6" w:rsidRDefault="004E0A74" w:rsidP="00D47BB9">
            <w:pPr>
              <w:spacing w:after="0"/>
              <w:ind w:left="26"/>
              <w:jc w:val="both"/>
              <w:rPr>
                <w:rFonts w:ascii="Arial" w:hAnsi="Arial" w:cs="Arial"/>
                <w:spacing w:val="-4"/>
              </w:rPr>
            </w:pPr>
            <w:r w:rsidRPr="00D47BB9">
              <w:rPr>
                <w:rFonts w:ascii="Arial" w:hAnsi="Arial" w:cs="Arial"/>
                <w:spacing w:val="-4"/>
              </w:rPr>
              <w:t>Servicio de concentración y distribución por nivel de agregación de tráfico (nacional, regional, local)</w:t>
            </w:r>
            <w:r w:rsidRPr="00083873">
              <w:rPr>
                <w:rFonts w:ascii="Arial" w:hAnsi="Arial" w:cs="Arial"/>
                <w:spacing w:val="-4"/>
                <w:vertAlign w:val="superscript"/>
              </w:rPr>
              <w:footnoteReference w:id="36"/>
            </w:r>
            <w:r w:rsidRPr="00D47BB9">
              <w:rPr>
                <w:rFonts w:ascii="Arial" w:hAnsi="Arial" w:cs="Arial"/>
                <w:spacing w:val="-4"/>
              </w:rPr>
              <w:t xml:space="preserve">, </w:t>
            </w:r>
          </w:p>
        </w:tc>
        <w:tc>
          <w:tcPr>
            <w:tcW w:w="7176" w:type="dxa"/>
          </w:tcPr>
          <w:p w14:paraId="5F6FEABD" w14:textId="77777777" w:rsidR="004E0A74" w:rsidRPr="00D47BB9" w:rsidRDefault="004E0A74" w:rsidP="00D47BB9">
            <w:pPr>
              <w:pStyle w:val="Tablecells"/>
              <w:spacing w:before="0" w:after="0" w:line="276" w:lineRule="auto"/>
              <w:jc w:val="both"/>
              <w:rPr>
                <w:rFonts w:cs="Arial"/>
                <w:spacing w:val="-4"/>
                <w:sz w:val="22"/>
                <w:lang w:val="es-MX"/>
              </w:rPr>
            </w:pPr>
            <w:r w:rsidRPr="00D47BB9">
              <w:rPr>
                <w:rFonts w:cs="Arial"/>
                <w:spacing w:val="-4"/>
                <w:sz w:val="22"/>
                <w:lang w:val="es-MX"/>
              </w:rPr>
              <w:t>Ancho de banda en una línea para el servicio de internet comercializado por el departamento mayorista del operador modelado, independiente de la tecnología de acceso.</w:t>
            </w:r>
          </w:p>
          <w:p w14:paraId="4D9ECCB5" w14:textId="54773960" w:rsidR="004E0A74" w:rsidRPr="00657BA6" w:rsidRDefault="004E0A74" w:rsidP="00D47BB9">
            <w:pPr>
              <w:spacing w:after="0"/>
              <w:ind w:left="26"/>
              <w:jc w:val="both"/>
              <w:rPr>
                <w:rFonts w:ascii="Arial" w:hAnsi="Arial" w:cs="Arial"/>
                <w:spacing w:val="-4"/>
              </w:rPr>
            </w:pPr>
            <w:r w:rsidRPr="00D47BB9">
              <w:rPr>
                <w:rFonts w:ascii="Arial" w:hAnsi="Arial" w:cs="Arial"/>
                <w:spacing w:val="-4"/>
              </w:rPr>
              <w:t xml:space="preserve">El </w:t>
            </w:r>
            <w:r w:rsidR="002F3EEC" w:rsidRPr="00D47BB9">
              <w:rPr>
                <w:rFonts w:ascii="Arial" w:hAnsi="Arial" w:cs="Arial"/>
                <w:spacing w:val="-4"/>
              </w:rPr>
              <w:t>módulo</w:t>
            </w:r>
            <w:r w:rsidRPr="00D47BB9">
              <w:rPr>
                <w:rFonts w:ascii="Arial" w:hAnsi="Arial" w:cs="Arial"/>
                <w:spacing w:val="-4"/>
              </w:rPr>
              <w:t xml:space="preserve"> </w:t>
            </w:r>
            <w:r w:rsidR="00B16EFD" w:rsidRPr="00D47BB9">
              <w:rPr>
                <w:rFonts w:ascii="Arial" w:hAnsi="Arial" w:cs="Arial"/>
                <w:spacing w:val="-4"/>
              </w:rPr>
              <w:t>del servicio</w:t>
            </w:r>
            <w:r w:rsidRPr="00D47BB9">
              <w:rPr>
                <w:rFonts w:ascii="Arial" w:hAnsi="Arial" w:cs="Arial"/>
                <w:spacing w:val="-4"/>
              </w:rPr>
              <w:t xml:space="preserve"> de concentración y distribución proporcionara la desagregación del costo del servicio para las distintas variantes existentes </w:t>
            </w:r>
          </w:p>
        </w:tc>
      </w:tr>
    </w:tbl>
    <w:p w14:paraId="6CACB442" w14:textId="77777777" w:rsidR="004A3027" w:rsidRPr="00657BA6" w:rsidRDefault="004A3027" w:rsidP="0014780A">
      <w:pPr>
        <w:spacing w:after="0"/>
        <w:jc w:val="center"/>
        <w:rPr>
          <w:rFonts w:ascii="Arial" w:hAnsi="Arial" w:cs="Arial"/>
        </w:rPr>
      </w:pPr>
      <w:r w:rsidRPr="00657BA6">
        <w:rPr>
          <w:rFonts w:ascii="Arial" w:eastAsia="Times New Roman" w:hAnsi="Arial" w:cs="Arial"/>
          <w:lang w:eastAsia="es-ES"/>
        </w:rPr>
        <w:t>Tabla 3. Servicios de acceso a Internet</w:t>
      </w:r>
    </w:p>
    <w:p w14:paraId="388C3BAB" w14:textId="77777777" w:rsidR="004A3027" w:rsidRPr="00657BA6" w:rsidRDefault="004A3027" w:rsidP="0014780A">
      <w:pPr>
        <w:spacing w:after="0"/>
        <w:ind w:right="113"/>
        <w:rPr>
          <w:rFonts w:ascii="Arial" w:hAnsi="Arial" w:cs="Arial"/>
          <w:b/>
          <w:bCs/>
        </w:rPr>
      </w:pPr>
    </w:p>
    <w:tbl>
      <w:tblPr>
        <w:tblStyle w:val="Tabladecuadrcula4"/>
        <w:tblpPr w:leftFromText="141" w:rightFromText="141" w:vertAnchor="text" w:horzAnchor="margin" w:tblpX="279" w:tblpY="119"/>
        <w:tblW w:w="8788" w:type="dxa"/>
        <w:tblLook w:val="0420" w:firstRow="1" w:lastRow="0" w:firstColumn="0" w:lastColumn="0" w:noHBand="0" w:noVBand="1"/>
      </w:tblPr>
      <w:tblGrid>
        <w:gridCol w:w="1612"/>
        <w:gridCol w:w="7176"/>
      </w:tblGrid>
      <w:tr w:rsidR="004A3027" w:rsidRPr="00657BA6" w14:paraId="087042CA" w14:textId="77777777" w:rsidTr="006C794D">
        <w:trPr>
          <w:cnfStyle w:val="100000000000" w:firstRow="1" w:lastRow="0" w:firstColumn="0" w:lastColumn="0" w:oddVBand="0" w:evenVBand="0" w:oddHBand="0" w:evenHBand="0" w:firstRowFirstColumn="0" w:firstRowLastColumn="0" w:lastRowFirstColumn="0" w:lastRowLastColumn="0"/>
        </w:trPr>
        <w:tc>
          <w:tcPr>
            <w:tcW w:w="140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6D9D3FA" w14:textId="77777777" w:rsidR="004A3027" w:rsidRPr="00657BA6" w:rsidRDefault="004A3027" w:rsidP="0014780A">
            <w:pPr>
              <w:spacing w:after="0"/>
              <w:ind w:left="426" w:right="113"/>
              <w:jc w:val="center"/>
              <w:rPr>
                <w:rFonts w:ascii="Arial" w:hAnsi="Arial" w:cs="Arial"/>
                <w:color w:val="auto"/>
              </w:rPr>
            </w:pPr>
            <w:r w:rsidRPr="00657BA6">
              <w:rPr>
                <w:rFonts w:ascii="Arial" w:hAnsi="Arial" w:cs="Arial"/>
                <w:color w:val="auto"/>
              </w:rPr>
              <w:t>Servicio</w:t>
            </w:r>
          </w:p>
        </w:tc>
        <w:tc>
          <w:tcPr>
            <w:tcW w:w="737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DA61B41" w14:textId="77777777" w:rsidR="004A3027" w:rsidRPr="00657BA6" w:rsidRDefault="004A3027" w:rsidP="0014780A">
            <w:pPr>
              <w:keepNext/>
              <w:tabs>
                <w:tab w:val="center" w:pos="2990"/>
              </w:tabs>
              <w:spacing w:after="0"/>
              <w:ind w:right="113"/>
              <w:jc w:val="center"/>
              <w:rPr>
                <w:rFonts w:ascii="Arial" w:hAnsi="Arial" w:cs="Arial"/>
                <w:color w:val="auto"/>
              </w:rPr>
            </w:pPr>
            <w:r w:rsidRPr="00657BA6">
              <w:rPr>
                <w:rFonts w:ascii="Arial" w:hAnsi="Arial" w:cs="Arial"/>
                <w:color w:val="auto"/>
              </w:rPr>
              <w:t>Descripción del servicio</w:t>
            </w:r>
          </w:p>
        </w:tc>
      </w:tr>
      <w:tr w:rsidR="004A3027" w:rsidRPr="00657BA6" w14:paraId="1020BB5A" w14:textId="77777777" w:rsidTr="006C794D">
        <w:trPr>
          <w:cnfStyle w:val="000000100000" w:firstRow="0" w:lastRow="0" w:firstColumn="0" w:lastColumn="0" w:oddVBand="0" w:evenVBand="0" w:oddHBand="1" w:evenHBand="0" w:firstRowFirstColumn="0" w:firstRowLastColumn="0" w:lastRowFirstColumn="0" w:lastRowLastColumn="0"/>
        </w:trPr>
        <w:tc>
          <w:tcPr>
            <w:tcW w:w="1409" w:type="dxa"/>
            <w:tcBorders>
              <w:top w:val="single" w:sz="4" w:space="0" w:color="000000"/>
            </w:tcBorders>
          </w:tcPr>
          <w:p w14:paraId="55BEFF5F" w14:textId="77777777" w:rsidR="004A3027" w:rsidRPr="00657BA6" w:rsidRDefault="004A3027" w:rsidP="0014780A">
            <w:pPr>
              <w:spacing w:after="0"/>
              <w:ind w:left="26"/>
              <w:rPr>
                <w:rFonts w:ascii="Arial" w:hAnsi="Arial" w:cs="Arial"/>
                <w:spacing w:val="-4"/>
              </w:rPr>
            </w:pPr>
            <w:r w:rsidRPr="00657BA6">
              <w:rPr>
                <w:rFonts w:ascii="Arial" w:hAnsi="Arial" w:cs="Arial"/>
                <w:spacing w:val="-4"/>
              </w:rPr>
              <w:lastRenderedPageBreak/>
              <w:t>Enlaces dedicados</w:t>
            </w:r>
          </w:p>
        </w:tc>
        <w:tc>
          <w:tcPr>
            <w:tcW w:w="7379" w:type="dxa"/>
            <w:tcBorders>
              <w:top w:val="single" w:sz="4" w:space="0" w:color="000000"/>
            </w:tcBorders>
          </w:tcPr>
          <w:p w14:paraId="1B57BE00" w14:textId="77777777" w:rsidR="004A3027" w:rsidRPr="00657BA6" w:rsidRDefault="004A3027" w:rsidP="00D47BB9">
            <w:pPr>
              <w:spacing w:after="0"/>
              <w:ind w:left="26"/>
              <w:jc w:val="both"/>
              <w:rPr>
                <w:rFonts w:ascii="Arial" w:hAnsi="Arial" w:cs="Arial"/>
                <w:spacing w:val="-4"/>
              </w:rPr>
            </w:pPr>
            <w:r w:rsidRPr="00657BA6">
              <w:rPr>
                <w:rFonts w:ascii="Arial" w:hAnsi="Arial" w:cs="Arial"/>
                <w:spacing w:val="-4"/>
              </w:rPr>
              <w:t>Incluye servicios de líneas alquiladas, ya sea para aprovisionar a clientes minoristas u otros operadores</w:t>
            </w:r>
          </w:p>
        </w:tc>
      </w:tr>
      <w:tr w:rsidR="004A3027" w:rsidRPr="00657BA6" w14:paraId="21BA000E" w14:textId="77777777" w:rsidTr="006C794D">
        <w:tc>
          <w:tcPr>
            <w:tcW w:w="1409" w:type="dxa"/>
          </w:tcPr>
          <w:p w14:paraId="52C02BC2" w14:textId="77777777" w:rsidR="004A3027" w:rsidRPr="00657BA6" w:rsidRDefault="004A3027" w:rsidP="0014780A">
            <w:pPr>
              <w:spacing w:after="0"/>
              <w:ind w:left="26"/>
              <w:rPr>
                <w:rFonts w:ascii="Arial" w:hAnsi="Arial" w:cs="Arial"/>
                <w:spacing w:val="-4"/>
              </w:rPr>
            </w:pPr>
            <w:r w:rsidRPr="00657BA6">
              <w:rPr>
                <w:rFonts w:ascii="Arial" w:hAnsi="Arial" w:cs="Arial"/>
                <w:spacing w:val="-4"/>
              </w:rPr>
              <w:t>Televisión</w:t>
            </w:r>
          </w:p>
        </w:tc>
        <w:tc>
          <w:tcPr>
            <w:tcW w:w="7379" w:type="dxa"/>
          </w:tcPr>
          <w:p w14:paraId="315B96EE" w14:textId="77777777" w:rsidR="004A3027" w:rsidRPr="00657BA6" w:rsidRDefault="004A3027" w:rsidP="00D47BB9">
            <w:pPr>
              <w:spacing w:after="0"/>
              <w:ind w:left="26"/>
              <w:jc w:val="both"/>
              <w:rPr>
                <w:rFonts w:ascii="Arial" w:hAnsi="Arial" w:cs="Arial"/>
                <w:spacing w:val="-4"/>
              </w:rPr>
            </w:pPr>
            <w:r w:rsidRPr="00657BA6">
              <w:rPr>
                <w:rFonts w:ascii="Arial" w:hAnsi="Arial" w:cs="Arial"/>
                <w:spacing w:val="-4"/>
              </w:rPr>
              <w:t>Provisión del servicio de televisión, ya sea lineal o de vídeo bajo demanda, comercializado por el departamento minorista del operador modelado</w:t>
            </w:r>
          </w:p>
        </w:tc>
      </w:tr>
    </w:tbl>
    <w:p w14:paraId="77A0D985" w14:textId="77777777" w:rsidR="004A3027" w:rsidRPr="00657BA6" w:rsidRDefault="004A3027" w:rsidP="0014780A">
      <w:pPr>
        <w:spacing w:after="0"/>
        <w:jc w:val="center"/>
        <w:rPr>
          <w:rFonts w:ascii="Arial" w:hAnsi="Arial" w:cs="Arial"/>
        </w:rPr>
      </w:pPr>
      <w:r w:rsidRPr="00657BA6">
        <w:rPr>
          <w:rFonts w:ascii="Arial" w:eastAsia="Times New Roman" w:hAnsi="Arial" w:cs="Arial"/>
          <w:lang w:eastAsia="es-ES"/>
        </w:rPr>
        <w:t>Tabla 4. Otros servicios fijos</w:t>
      </w:r>
    </w:p>
    <w:p w14:paraId="2C03E719" w14:textId="77777777" w:rsidR="004A3027" w:rsidRPr="00657BA6" w:rsidRDefault="004A3027" w:rsidP="0014780A">
      <w:pPr>
        <w:spacing w:after="0"/>
        <w:jc w:val="both"/>
        <w:rPr>
          <w:rFonts w:ascii="Arial" w:hAnsi="Arial" w:cs="Arial"/>
        </w:rPr>
      </w:pPr>
    </w:p>
    <w:p w14:paraId="2CC56E7E" w14:textId="77777777" w:rsidR="004A3027" w:rsidRPr="00657BA6" w:rsidRDefault="004A3027" w:rsidP="0014780A">
      <w:pPr>
        <w:spacing w:after="0"/>
        <w:rPr>
          <w:rFonts w:ascii="Arial" w:hAnsi="Arial" w:cs="Arial"/>
          <w:b/>
        </w:rPr>
      </w:pPr>
      <w:r w:rsidRPr="00657BA6">
        <w:rPr>
          <w:rFonts w:ascii="Arial" w:hAnsi="Arial" w:cs="Arial"/>
          <w:b/>
        </w:rPr>
        <w:t>Servicios que se ofrecen a través de redes móviles</w:t>
      </w:r>
    </w:p>
    <w:p w14:paraId="2D2CAB65" w14:textId="77777777" w:rsidR="004A3027" w:rsidRPr="00657BA6" w:rsidRDefault="004A3027" w:rsidP="0014780A">
      <w:pPr>
        <w:spacing w:after="0"/>
        <w:rPr>
          <w:rFonts w:ascii="Arial" w:hAnsi="Arial" w:cs="Arial"/>
          <w:b/>
          <w:bCs/>
        </w:rPr>
      </w:pPr>
    </w:p>
    <w:p w14:paraId="5AED0C20" w14:textId="36F43CFA" w:rsidR="00004626" w:rsidRDefault="00004626" w:rsidP="0014780A">
      <w:pPr>
        <w:spacing w:after="0"/>
        <w:jc w:val="both"/>
        <w:rPr>
          <w:rFonts w:ascii="Arial" w:eastAsia="Times New Roman" w:hAnsi="Arial" w:cs="Arial"/>
          <w:lang w:eastAsia="es-ES"/>
        </w:rPr>
      </w:pPr>
      <w:r w:rsidRPr="00D47BB9">
        <w:rPr>
          <w:rFonts w:ascii="Arial" w:eastAsia="Times New Roman" w:hAnsi="Arial" w:cs="Arial"/>
          <w:lang w:eastAsia="es-ES"/>
        </w:rPr>
        <w:t xml:space="preserve">Los servicios provistos a través de redes móviles pueden desagregarse en tres tipos principales: servicios de voz, servicios de SMS y servicios de datos. A </w:t>
      </w:r>
      <w:r w:rsidR="008C4DF7" w:rsidRPr="00D47BB9">
        <w:rPr>
          <w:rFonts w:ascii="Arial" w:eastAsia="Times New Roman" w:hAnsi="Arial" w:cs="Arial"/>
          <w:lang w:eastAsia="es-ES"/>
        </w:rPr>
        <w:t>continuación,</w:t>
      </w:r>
      <w:r w:rsidRPr="00D47BB9">
        <w:rPr>
          <w:rFonts w:ascii="Arial" w:eastAsia="Times New Roman" w:hAnsi="Arial" w:cs="Arial"/>
          <w:lang w:eastAsia="es-ES"/>
        </w:rPr>
        <w:t xml:space="preserve"> se presentan los distintos servicios móviles modelados.</w:t>
      </w:r>
    </w:p>
    <w:p w14:paraId="3C9A3302" w14:textId="77777777" w:rsidR="00704323" w:rsidRDefault="00704323" w:rsidP="0014780A">
      <w:pPr>
        <w:spacing w:after="0"/>
        <w:jc w:val="both"/>
        <w:rPr>
          <w:rFonts w:ascii="Arial" w:eastAsia="Times New Roman" w:hAnsi="Arial" w:cs="Arial"/>
          <w:lang w:eastAsia="es-ES"/>
        </w:rPr>
      </w:pPr>
    </w:p>
    <w:p w14:paraId="50778BD2" w14:textId="30185540" w:rsidR="00704323" w:rsidRPr="00D47BB9" w:rsidRDefault="00704323" w:rsidP="00D47BB9">
      <w:pPr>
        <w:spacing w:after="0"/>
        <w:jc w:val="both"/>
        <w:rPr>
          <w:rFonts w:ascii="Arial" w:eastAsia="Times New Roman" w:hAnsi="Arial" w:cs="Arial"/>
          <w:lang w:eastAsia="es-ES"/>
        </w:rPr>
      </w:pPr>
      <w:r w:rsidRPr="00D47BB9">
        <w:rPr>
          <w:rFonts w:ascii="Arial" w:eastAsia="Times New Roman" w:hAnsi="Arial" w:cs="Arial"/>
          <w:lang w:eastAsia="es-ES"/>
        </w:rPr>
        <w:t>En la tabla 5 se presenta una serie de servicios de voz móviles que aportan tráfico a la red troncal.</w:t>
      </w:r>
    </w:p>
    <w:p w14:paraId="215B9538" w14:textId="77777777" w:rsidR="004A3027" w:rsidRPr="00657BA6" w:rsidRDefault="004A3027" w:rsidP="0014780A">
      <w:pPr>
        <w:spacing w:after="0"/>
        <w:jc w:val="both"/>
        <w:rPr>
          <w:rFonts w:ascii="Arial" w:hAnsi="Arial" w:cs="Arial"/>
        </w:rPr>
      </w:pPr>
    </w:p>
    <w:tbl>
      <w:tblPr>
        <w:tblStyle w:val="Tabladecuadrcula4"/>
        <w:tblW w:w="0" w:type="auto"/>
        <w:tblInd w:w="-5" w:type="dxa"/>
        <w:tblLook w:val="0420" w:firstRow="1" w:lastRow="0" w:firstColumn="0" w:lastColumn="0" w:noHBand="0" w:noVBand="1"/>
      </w:tblPr>
      <w:tblGrid>
        <w:gridCol w:w="2616"/>
        <w:gridCol w:w="6732"/>
      </w:tblGrid>
      <w:tr w:rsidR="004A3027" w:rsidRPr="00657BA6" w14:paraId="1EB9FE1F" w14:textId="77777777" w:rsidTr="006C794D">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1785AD6" w14:textId="77777777" w:rsidR="004A3027" w:rsidRPr="00657BA6" w:rsidRDefault="004A3027" w:rsidP="0014780A">
            <w:pPr>
              <w:spacing w:after="0"/>
              <w:ind w:right="113"/>
              <w:jc w:val="center"/>
              <w:rPr>
                <w:rFonts w:ascii="Arial" w:hAnsi="Arial" w:cs="Arial"/>
                <w:color w:val="auto"/>
              </w:rPr>
            </w:pPr>
            <w:r w:rsidRPr="00657BA6">
              <w:rPr>
                <w:rFonts w:ascii="Arial" w:hAnsi="Arial" w:cs="Arial"/>
                <w:color w:val="auto"/>
              </w:rPr>
              <w:t>Servicio</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141A740" w14:textId="77777777" w:rsidR="004A3027" w:rsidRPr="00657BA6" w:rsidRDefault="004A3027" w:rsidP="0014780A">
            <w:pPr>
              <w:spacing w:after="0"/>
              <w:ind w:right="113"/>
              <w:jc w:val="center"/>
              <w:rPr>
                <w:rFonts w:ascii="Arial" w:hAnsi="Arial" w:cs="Arial"/>
                <w:color w:val="auto"/>
              </w:rPr>
            </w:pPr>
            <w:r w:rsidRPr="00657BA6">
              <w:rPr>
                <w:rFonts w:ascii="Arial" w:hAnsi="Arial" w:cs="Arial"/>
                <w:color w:val="auto"/>
              </w:rPr>
              <w:t>Descripción del servicio</w:t>
            </w:r>
          </w:p>
        </w:tc>
      </w:tr>
      <w:tr w:rsidR="00004626" w:rsidRPr="00657BA6" w14:paraId="69796EF1" w14:textId="77777777" w:rsidTr="006C794D">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000000"/>
            </w:tcBorders>
          </w:tcPr>
          <w:p w14:paraId="6056A3C2" w14:textId="5A4C2D2B" w:rsidR="00004626" w:rsidRPr="00657BA6" w:rsidRDefault="00004626" w:rsidP="0014780A">
            <w:pPr>
              <w:spacing w:after="0"/>
              <w:ind w:right="113"/>
              <w:rPr>
                <w:rFonts w:ascii="Arial" w:hAnsi="Arial" w:cs="Arial"/>
              </w:rPr>
            </w:pPr>
            <w:r w:rsidRPr="00D47BB9">
              <w:rPr>
                <w:rFonts w:ascii="Arial" w:hAnsi="Arial" w:cs="Arial"/>
              </w:rPr>
              <w:t xml:space="preserve">Llamadas móviles </w:t>
            </w:r>
            <w:r w:rsidRPr="00D47BB9">
              <w:rPr>
                <w:rFonts w:ascii="Arial" w:hAnsi="Arial" w:cs="Arial"/>
              </w:rPr>
              <w:br/>
              <w:t>on-net por tecnología</w:t>
            </w:r>
          </w:p>
        </w:tc>
        <w:tc>
          <w:tcPr>
            <w:tcW w:w="0" w:type="auto"/>
            <w:tcBorders>
              <w:top w:val="single" w:sz="4" w:space="0" w:color="000000"/>
            </w:tcBorders>
          </w:tcPr>
          <w:p w14:paraId="76D521AA" w14:textId="376DA61C" w:rsidR="00004626" w:rsidRPr="00657BA6" w:rsidRDefault="00004626" w:rsidP="00D47BB9">
            <w:pPr>
              <w:spacing w:after="0"/>
              <w:ind w:right="113"/>
              <w:jc w:val="both"/>
              <w:rPr>
                <w:rFonts w:ascii="Arial" w:hAnsi="Arial" w:cs="Arial"/>
              </w:rPr>
            </w:pPr>
            <w:r w:rsidRPr="00D47BB9">
              <w:rPr>
                <w:rFonts w:ascii="Arial" w:hAnsi="Arial" w:cs="Arial"/>
              </w:rPr>
              <w:t>Llamadas de voz entre dos suscriptores (minoristas o de operadores móviles virtuales, OMV)) del operador móvil modelado</w:t>
            </w:r>
          </w:p>
        </w:tc>
      </w:tr>
      <w:tr w:rsidR="00004626" w:rsidRPr="00657BA6" w14:paraId="7E5938DB" w14:textId="77777777" w:rsidTr="006C794D">
        <w:tc>
          <w:tcPr>
            <w:tcW w:w="0" w:type="auto"/>
          </w:tcPr>
          <w:p w14:paraId="72A1FAE0" w14:textId="048A51B3" w:rsidR="00004626" w:rsidRPr="00657BA6" w:rsidRDefault="00004626" w:rsidP="0014780A">
            <w:pPr>
              <w:spacing w:after="0"/>
              <w:ind w:right="113"/>
              <w:rPr>
                <w:rFonts w:ascii="Arial" w:hAnsi="Arial" w:cs="Arial"/>
              </w:rPr>
            </w:pPr>
            <w:r w:rsidRPr="00D47BB9">
              <w:rPr>
                <w:rFonts w:ascii="Arial" w:hAnsi="Arial" w:cs="Arial"/>
              </w:rPr>
              <w:t>Llamadas salientes nacionales por tecnología</w:t>
            </w:r>
          </w:p>
        </w:tc>
        <w:tc>
          <w:tcPr>
            <w:tcW w:w="0" w:type="auto"/>
          </w:tcPr>
          <w:p w14:paraId="4B224FB9" w14:textId="719E865D" w:rsidR="00004626" w:rsidRPr="00D47BB9" w:rsidRDefault="00004626" w:rsidP="00D47BB9">
            <w:pPr>
              <w:spacing w:after="0"/>
              <w:ind w:right="113"/>
              <w:jc w:val="both"/>
              <w:rPr>
                <w:rFonts w:ascii="Arial" w:hAnsi="Arial" w:cs="Arial"/>
              </w:rPr>
            </w:pPr>
            <w:r w:rsidRPr="00D47BB9">
              <w:rPr>
                <w:rFonts w:ascii="Arial" w:hAnsi="Arial" w:cs="Arial"/>
              </w:rPr>
              <w:t>Llamadas de voz de un suscriptor (minorista u OMV) del operador móvil modelado a un destino fijo (incluyendo números no geográficos, etc.) o a otro operador móvil doméstico</w:t>
            </w:r>
          </w:p>
        </w:tc>
      </w:tr>
      <w:tr w:rsidR="00004626" w:rsidRPr="00657BA6" w14:paraId="141795E4" w14:textId="77777777" w:rsidTr="006C794D">
        <w:trPr>
          <w:cnfStyle w:val="000000100000" w:firstRow="0" w:lastRow="0" w:firstColumn="0" w:lastColumn="0" w:oddVBand="0" w:evenVBand="0" w:oddHBand="1" w:evenHBand="0" w:firstRowFirstColumn="0" w:firstRowLastColumn="0" w:lastRowFirstColumn="0" w:lastRowLastColumn="0"/>
        </w:trPr>
        <w:tc>
          <w:tcPr>
            <w:tcW w:w="0" w:type="auto"/>
          </w:tcPr>
          <w:p w14:paraId="3FE722CB" w14:textId="69958F26" w:rsidR="00004626" w:rsidRPr="00657BA6" w:rsidRDefault="00004626" w:rsidP="0014780A">
            <w:pPr>
              <w:spacing w:after="0"/>
              <w:ind w:right="113"/>
              <w:rPr>
                <w:rFonts w:ascii="Arial" w:hAnsi="Arial" w:cs="Arial"/>
              </w:rPr>
            </w:pPr>
            <w:r w:rsidRPr="00D47BB9">
              <w:rPr>
                <w:rFonts w:ascii="Arial" w:hAnsi="Arial" w:cs="Arial"/>
              </w:rPr>
              <w:t>Llamadas móviles salientes a internacional por tecnología</w:t>
            </w:r>
          </w:p>
        </w:tc>
        <w:tc>
          <w:tcPr>
            <w:tcW w:w="0" w:type="auto"/>
          </w:tcPr>
          <w:p w14:paraId="212E9BB1" w14:textId="29A19E44" w:rsidR="00004626" w:rsidRPr="00657BA6" w:rsidRDefault="00004626" w:rsidP="00D47BB9">
            <w:pPr>
              <w:spacing w:after="0"/>
              <w:ind w:right="113"/>
              <w:jc w:val="both"/>
              <w:rPr>
                <w:rFonts w:ascii="Arial" w:hAnsi="Arial" w:cs="Arial"/>
              </w:rPr>
            </w:pPr>
            <w:r w:rsidRPr="00D47BB9">
              <w:rPr>
                <w:rFonts w:ascii="Arial" w:hAnsi="Arial" w:cs="Arial"/>
              </w:rPr>
              <w:t>Llamadas de voz de un suscriptor (minorista u OMV) del operador móvil modelado a un destino internacional</w:t>
            </w:r>
          </w:p>
        </w:tc>
      </w:tr>
      <w:tr w:rsidR="00004626" w:rsidRPr="00657BA6" w14:paraId="6EAE32F8" w14:textId="77777777" w:rsidTr="006C794D">
        <w:tc>
          <w:tcPr>
            <w:tcW w:w="0" w:type="auto"/>
          </w:tcPr>
          <w:p w14:paraId="67DE1555" w14:textId="38415B0A" w:rsidR="00004626" w:rsidRPr="00657BA6" w:rsidRDefault="00004626" w:rsidP="0014780A">
            <w:pPr>
              <w:spacing w:after="0"/>
              <w:ind w:right="113"/>
              <w:rPr>
                <w:rFonts w:ascii="Arial" w:hAnsi="Arial" w:cs="Arial"/>
              </w:rPr>
            </w:pPr>
            <w:r w:rsidRPr="00D47BB9">
              <w:rPr>
                <w:rFonts w:ascii="Arial" w:hAnsi="Arial" w:cs="Arial"/>
              </w:rPr>
              <w:t>Llamadas entrantes nacionales por tecnología</w:t>
            </w:r>
          </w:p>
        </w:tc>
        <w:tc>
          <w:tcPr>
            <w:tcW w:w="0" w:type="auto"/>
          </w:tcPr>
          <w:p w14:paraId="4DE53EFC" w14:textId="3E4E5B49" w:rsidR="00004626" w:rsidRPr="00657BA6" w:rsidRDefault="00004626" w:rsidP="00D47BB9">
            <w:pPr>
              <w:spacing w:after="0"/>
              <w:ind w:right="113"/>
              <w:jc w:val="both"/>
              <w:rPr>
                <w:rFonts w:ascii="Arial" w:hAnsi="Arial" w:cs="Arial"/>
              </w:rPr>
            </w:pPr>
            <w:r w:rsidRPr="00D47BB9">
              <w:rPr>
                <w:rFonts w:ascii="Arial" w:hAnsi="Arial" w:cs="Arial"/>
              </w:rPr>
              <w:t>Llamadas de voz recibidas desde otro operador fijo o móvil, y terminadas en la red de un suscriptor (minorista u OMV) del operador móvil modelado</w:t>
            </w:r>
          </w:p>
        </w:tc>
      </w:tr>
      <w:tr w:rsidR="00004626" w:rsidRPr="00657BA6" w14:paraId="07D92E74" w14:textId="77777777" w:rsidTr="006C794D">
        <w:trPr>
          <w:cnfStyle w:val="000000100000" w:firstRow="0" w:lastRow="0" w:firstColumn="0" w:lastColumn="0" w:oddVBand="0" w:evenVBand="0" w:oddHBand="1" w:evenHBand="0" w:firstRowFirstColumn="0" w:firstRowLastColumn="0" w:lastRowFirstColumn="0" w:lastRowLastColumn="0"/>
        </w:trPr>
        <w:tc>
          <w:tcPr>
            <w:tcW w:w="0" w:type="auto"/>
          </w:tcPr>
          <w:p w14:paraId="2BE643BD" w14:textId="5F10D263" w:rsidR="00004626" w:rsidRPr="00657BA6" w:rsidRDefault="00004626" w:rsidP="0014780A">
            <w:pPr>
              <w:spacing w:after="0"/>
              <w:ind w:right="113"/>
              <w:rPr>
                <w:rFonts w:ascii="Arial" w:hAnsi="Arial" w:cs="Arial"/>
              </w:rPr>
            </w:pPr>
            <w:r w:rsidRPr="00D47BB9">
              <w:rPr>
                <w:rFonts w:ascii="Arial" w:hAnsi="Arial" w:cs="Arial"/>
              </w:rPr>
              <w:t>Llamadas entrantes de operadores internacionales por tecnología</w:t>
            </w:r>
          </w:p>
        </w:tc>
        <w:tc>
          <w:tcPr>
            <w:tcW w:w="0" w:type="auto"/>
          </w:tcPr>
          <w:p w14:paraId="3BC17603" w14:textId="5297AA47" w:rsidR="00004626" w:rsidRPr="00657BA6" w:rsidRDefault="00004626" w:rsidP="00D47BB9">
            <w:pPr>
              <w:spacing w:after="0"/>
              <w:ind w:right="113"/>
              <w:jc w:val="both"/>
              <w:rPr>
                <w:rFonts w:ascii="Arial" w:hAnsi="Arial" w:cs="Arial"/>
              </w:rPr>
            </w:pPr>
            <w:r w:rsidRPr="00D47BB9">
              <w:rPr>
                <w:rFonts w:ascii="Arial" w:hAnsi="Arial" w:cs="Arial"/>
              </w:rPr>
              <w:t>Llamadas de voz recibidas desde otro operador internacional y terminadas en la red de un suscriptor (minorista u OMV) del operador móvil modelado</w:t>
            </w:r>
          </w:p>
        </w:tc>
      </w:tr>
      <w:tr w:rsidR="00004626" w:rsidRPr="00657BA6" w14:paraId="4C21BBC7" w14:textId="77777777" w:rsidTr="006C794D">
        <w:tc>
          <w:tcPr>
            <w:tcW w:w="0" w:type="auto"/>
          </w:tcPr>
          <w:p w14:paraId="31D7D80E" w14:textId="1F6C378B" w:rsidR="00004626" w:rsidRPr="00657BA6" w:rsidRDefault="00004626" w:rsidP="00D47BB9">
            <w:pPr>
              <w:spacing w:after="0"/>
              <w:ind w:right="113"/>
              <w:rPr>
                <w:rFonts w:ascii="Arial" w:hAnsi="Arial" w:cs="Arial"/>
              </w:rPr>
            </w:pPr>
            <w:r w:rsidRPr="00D47BB9">
              <w:rPr>
                <w:rFonts w:ascii="Arial" w:hAnsi="Arial" w:cs="Arial"/>
              </w:rPr>
              <w:t>Originación de voz roaming por tecnología</w:t>
            </w:r>
          </w:p>
        </w:tc>
        <w:tc>
          <w:tcPr>
            <w:tcW w:w="0" w:type="auto"/>
          </w:tcPr>
          <w:p w14:paraId="4088689A" w14:textId="159B897E" w:rsidR="00004626" w:rsidRPr="00657BA6" w:rsidRDefault="00004626" w:rsidP="00D47BB9">
            <w:pPr>
              <w:spacing w:after="0"/>
              <w:ind w:right="113"/>
              <w:jc w:val="both"/>
              <w:rPr>
                <w:rFonts w:ascii="Arial" w:hAnsi="Arial" w:cs="Arial"/>
              </w:rPr>
            </w:pPr>
            <w:r w:rsidRPr="00D47BB9">
              <w:rPr>
                <w:rFonts w:ascii="Arial" w:hAnsi="Arial" w:cs="Arial"/>
              </w:rPr>
              <w:t>Llamadas de voz de un usuario visitante (nacional o internacional) en la red del operador móvil modelado a un destino móvil, fijo o internacional</w:t>
            </w:r>
          </w:p>
        </w:tc>
      </w:tr>
      <w:tr w:rsidR="00004626" w:rsidRPr="00657BA6" w14:paraId="715EE0BF" w14:textId="77777777" w:rsidTr="006C794D">
        <w:trPr>
          <w:cnfStyle w:val="000000100000" w:firstRow="0" w:lastRow="0" w:firstColumn="0" w:lastColumn="0" w:oddVBand="0" w:evenVBand="0" w:oddHBand="1" w:evenHBand="0" w:firstRowFirstColumn="0" w:firstRowLastColumn="0" w:lastRowFirstColumn="0" w:lastRowLastColumn="0"/>
        </w:trPr>
        <w:tc>
          <w:tcPr>
            <w:tcW w:w="0" w:type="auto"/>
          </w:tcPr>
          <w:p w14:paraId="452DA758" w14:textId="79815970" w:rsidR="00004626" w:rsidRPr="00D47BB9" w:rsidRDefault="00004626" w:rsidP="0014780A">
            <w:pPr>
              <w:spacing w:after="0"/>
              <w:ind w:right="113"/>
              <w:rPr>
                <w:rFonts w:ascii="Arial" w:hAnsi="Arial" w:cs="Arial"/>
              </w:rPr>
            </w:pPr>
            <w:r w:rsidRPr="00D47BB9">
              <w:rPr>
                <w:rFonts w:ascii="Arial" w:hAnsi="Arial" w:cs="Arial"/>
              </w:rPr>
              <w:t>Terminación voz roaming por tecnología</w:t>
            </w:r>
          </w:p>
        </w:tc>
        <w:tc>
          <w:tcPr>
            <w:tcW w:w="0" w:type="auto"/>
          </w:tcPr>
          <w:p w14:paraId="0379C3F3" w14:textId="7EB3941A" w:rsidR="00004626" w:rsidRPr="00657BA6" w:rsidRDefault="00004626" w:rsidP="00D47BB9">
            <w:pPr>
              <w:spacing w:after="0"/>
              <w:ind w:right="113"/>
              <w:jc w:val="both"/>
              <w:rPr>
                <w:rFonts w:ascii="Arial" w:hAnsi="Arial" w:cs="Arial"/>
              </w:rPr>
            </w:pPr>
            <w:r w:rsidRPr="00D47BB9">
              <w:rPr>
                <w:rFonts w:ascii="Arial" w:hAnsi="Arial" w:cs="Arial"/>
              </w:rPr>
              <w:t>Llamadas de voz recibidas desde otro operador móvil, fijo o internacional y terminadas en la red de un usuario visitante (nacional o internacional) del operador móvil modelado</w:t>
            </w:r>
          </w:p>
        </w:tc>
      </w:tr>
      <w:tr w:rsidR="00004626" w:rsidRPr="00657BA6" w14:paraId="12BD051B" w14:textId="77777777" w:rsidTr="006C794D">
        <w:tc>
          <w:tcPr>
            <w:tcW w:w="0" w:type="auto"/>
          </w:tcPr>
          <w:p w14:paraId="5FE0E450" w14:textId="4A459C16" w:rsidR="00004626" w:rsidRPr="00657BA6" w:rsidRDefault="00004626" w:rsidP="0014780A">
            <w:pPr>
              <w:spacing w:after="0"/>
              <w:ind w:right="113"/>
              <w:rPr>
                <w:rFonts w:ascii="Arial" w:hAnsi="Arial" w:cs="Arial"/>
              </w:rPr>
            </w:pPr>
            <w:r w:rsidRPr="00D47BB9">
              <w:rPr>
                <w:rFonts w:ascii="Arial" w:hAnsi="Arial" w:cs="Arial"/>
              </w:rPr>
              <w:t>Llamadas en tránsito local</w:t>
            </w:r>
          </w:p>
        </w:tc>
        <w:tc>
          <w:tcPr>
            <w:tcW w:w="0" w:type="auto"/>
          </w:tcPr>
          <w:p w14:paraId="51A3C4AD" w14:textId="76C80001" w:rsidR="00004626" w:rsidRPr="00657BA6" w:rsidRDefault="00004626" w:rsidP="00D47BB9">
            <w:pPr>
              <w:spacing w:after="0"/>
              <w:ind w:right="113"/>
              <w:jc w:val="both"/>
              <w:rPr>
                <w:rFonts w:ascii="Arial" w:hAnsi="Arial" w:cs="Arial"/>
              </w:rPr>
            </w:pPr>
            <w:r w:rsidRPr="00D47BB9">
              <w:rPr>
                <w:rFonts w:ascii="Arial" w:hAnsi="Arial" w:cs="Arial"/>
              </w:rPr>
              <w:t xml:space="preserve">Llamadas de voz recibidas de otro operador internacional, móvil o fijo y terminadas en la red de otro operador internacional, móvil o fijo, sin tránsito en otro MSC del operador móvil modelado; este </w:t>
            </w:r>
            <w:r w:rsidRPr="00D47BB9">
              <w:rPr>
                <w:rFonts w:ascii="Arial" w:hAnsi="Arial" w:cs="Arial"/>
              </w:rPr>
              <w:lastRenderedPageBreak/>
              <w:t>servicio solo es prestado por el operador con la escala y el alcance del AEP</w:t>
            </w:r>
          </w:p>
        </w:tc>
      </w:tr>
      <w:tr w:rsidR="00004626" w:rsidRPr="00657BA6" w14:paraId="01372D3A" w14:textId="77777777" w:rsidTr="006C794D">
        <w:trPr>
          <w:cnfStyle w:val="000000100000" w:firstRow="0" w:lastRow="0" w:firstColumn="0" w:lastColumn="0" w:oddVBand="0" w:evenVBand="0" w:oddHBand="1" w:evenHBand="0" w:firstRowFirstColumn="0" w:firstRowLastColumn="0" w:lastRowFirstColumn="0" w:lastRowLastColumn="0"/>
        </w:trPr>
        <w:tc>
          <w:tcPr>
            <w:tcW w:w="0" w:type="auto"/>
          </w:tcPr>
          <w:p w14:paraId="787991A1" w14:textId="71B52D9B" w:rsidR="00004626" w:rsidRPr="00657BA6" w:rsidRDefault="00004626" w:rsidP="0014780A">
            <w:pPr>
              <w:spacing w:after="0"/>
              <w:ind w:right="113"/>
              <w:rPr>
                <w:rFonts w:ascii="Arial" w:hAnsi="Arial" w:cs="Arial"/>
              </w:rPr>
            </w:pPr>
            <w:r w:rsidRPr="00D47BB9">
              <w:rPr>
                <w:rFonts w:ascii="Arial" w:hAnsi="Arial" w:cs="Arial"/>
              </w:rPr>
              <w:lastRenderedPageBreak/>
              <w:t>Llamadas en tránsito de larga distancia</w:t>
            </w:r>
          </w:p>
        </w:tc>
        <w:tc>
          <w:tcPr>
            <w:tcW w:w="0" w:type="auto"/>
          </w:tcPr>
          <w:p w14:paraId="6AD4CFDC" w14:textId="0BD4455A" w:rsidR="00004626" w:rsidRPr="00657BA6" w:rsidRDefault="00004626" w:rsidP="00D47BB9">
            <w:pPr>
              <w:spacing w:after="0"/>
              <w:ind w:right="113"/>
              <w:jc w:val="both"/>
              <w:rPr>
                <w:rFonts w:ascii="Arial" w:hAnsi="Arial" w:cs="Arial"/>
              </w:rPr>
            </w:pPr>
            <w:r w:rsidRPr="00D47BB9">
              <w:rPr>
                <w:rFonts w:ascii="Arial" w:hAnsi="Arial" w:cs="Arial"/>
              </w:rPr>
              <w:t>Llamadas de voz recibidas de otro operador internacional, móvil o fijo y terminadas en la red de otro operador internacional, móvil o fijo, tras transitar en otro MSC del operador móvil modelado; este servicio solo es prestado por el operador con la escala y el alcance del AEP, consideradas exclusivamente a nivel de enrutamiento</w:t>
            </w:r>
          </w:p>
        </w:tc>
      </w:tr>
    </w:tbl>
    <w:p w14:paraId="68FB2342" w14:textId="77777777" w:rsidR="004A3027" w:rsidRPr="00657BA6" w:rsidRDefault="004A3027" w:rsidP="0014780A">
      <w:pPr>
        <w:spacing w:after="0"/>
        <w:jc w:val="center"/>
        <w:rPr>
          <w:rFonts w:ascii="Arial" w:hAnsi="Arial" w:cs="Arial"/>
        </w:rPr>
      </w:pPr>
      <w:r w:rsidRPr="00657BA6">
        <w:rPr>
          <w:rFonts w:ascii="Arial" w:eastAsia="Times New Roman" w:hAnsi="Arial" w:cs="Arial"/>
          <w:lang w:eastAsia="es-ES"/>
        </w:rPr>
        <w:t>Tabla 5. Servicios que se ofrecen a través de redes móviles.</w:t>
      </w:r>
    </w:p>
    <w:p w14:paraId="5B65A10E" w14:textId="77777777" w:rsidR="00704323" w:rsidRDefault="00704323" w:rsidP="0014780A">
      <w:pPr>
        <w:spacing w:after="0"/>
        <w:ind w:left="426"/>
        <w:jc w:val="both"/>
        <w:rPr>
          <w:rFonts w:ascii="Arial" w:hAnsi="Arial" w:cs="Arial"/>
        </w:rPr>
      </w:pPr>
    </w:p>
    <w:p w14:paraId="10A20938" w14:textId="16BAE259" w:rsidR="00704323" w:rsidRPr="0099422C" w:rsidRDefault="00704323" w:rsidP="0014780A">
      <w:pPr>
        <w:spacing w:after="0"/>
        <w:jc w:val="both"/>
        <w:rPr>
          <w:rFonts w:ascii="Arial" w:eastAsia="Times New Roman" w:hAnsi="Arial" w:cs="Arial"/>
          <w:lang w:eastAsia="es-ES"/>
        </w:rPr>
      </w:pPr>
      <w:r w:rsidRPr="0099422C">
        <w:rPr>
          <w:rFonts w:ascii="Arial" w:eastAsia="Times New Roman" w:hAnsi="Arial" w:cs="Arial"/>
          <w:lang w:eastAsia="es-ES"/>
        </w:rPr>
        <w:t xml:space="preserve">En la tabla </w:t>
      </w:r>
      <w:r>
        <w:rPr>
          <w:rFonts w:ascii="Arial" w:eastAsia="Times New Roman" w:hAnsi="Arial" w:cs="Arial"/>
          <w:lang w:eastAsia="es-ES"/>
        </w:rPr>
        <w:t>6</w:t>
      </w:r>
      <w:r w:rsidRPr="0099422C">
        <w:rPr>
          <w:rFonts w:ascii="Arial" w:eastAsia="Times New Roman" w:hAnsi="Arial" w:cs="Arial"/>
          <w:lang w:eastAsia="es-ES"/>
        </w:rPr>
        <w:t xml:space="preserve"> se presenta</w:t>
      </w:r>
      <w:r>
        <w:rPr>
          <w:rFonts w:ascii="Arial" w:eastAsia="Times New Roman" w:hAnsi="Arial" w:cs="Arial"/>
          <w:lang w:eastAsia="es-ES"/>
        </w:rPr>
        <w:t>n</w:t>
      </w:r>
      <w:r w:rsidRPr="0099422C">
        <w:rPr>
          <w:rFonts w:ascii="Arial" w:eastAsia="Times New Roman" w:hAnsi="Arial" w:cs="Arial"/>
          <w:lang w:eastAsia="es-ES"/>
        </w:rPr>
        <w:t xml:space="preserve"> </w:t>
      </w:r>
      <w:r>
        <w:rPr>
          <w:rFonts w:ascii="Arial" w:eastAsia="Times New Roman" w:hAnsi="Arial" w:cs="Arial"/>
          <w:lang w:eastAsia="es-ES"/>
        </w:rPr>
        <w:t xml:space="preserve">los </w:t>
      </w:r>
      <w:r w:rsidRPr="0099422C">
        <w:rPr>
          <w:rFonts w:ascii="Arial" w:eastAsia="Times New Roman" w:hAnsi="Arial" w:cs="Arial"/>
          <w:lang w:eastAsia="es-ES"/>
        </w:rPr>
        <w:t xml:space="preserve">servicios </w:t>
      </w:r>
      <w:r>
        <w:rPr>
          <w:rFonts w:ascii="Arial" w:eastAsia="Times New Roman" w:hAnsi="Arial" w:cs="Arial"/>
          <w:lang w:eastAsia="es-ES"/>
        </w:rPr>
        <w:t>de SMS que se ofrecen a través de las redes móviles.</w:t>
      </w:r>
    </w:p>
    <w:p w14:paraId="34A49D70" w14:textId="77777777" w:rsidR="00704323" w:rsidRPr="00657BA6" w:rsidRDefault="00704323" w:rsidP="0014780A">
      <w:pPr>
        <w:spacing w:after="0"/>
        <w:ind w:left="426"/>
        <w:jc w:val="both"/>
        <w:rPr>
          <w:rFonts w:ascii="Arial" w:hAnsi="Arial" w:cs="Arial"/>
        </w:rPr>
      </w:pPr>
    </w:p>
    <w:tbl>
      <w:tblPr>
        <w:tblStyle w:val="Tabladecuadrcula4"/>
        <w:tblW w:w="0" w:type="auto"/>
        <w:tblInd w:w="-5" w:type="dxa"/>
        <w:tblLook w:val="0420" w:firstRow="1" w:lastRow="0" w:firstColumn="0" w:lastColumn="0" w:noHBand="0" w:noVBand="1"/>
      </w:tblPr>
      <w:tblGrid>
        <w:gridCol w:w="2539"/>
        <w:gridCol w:w="6809"/>
      </w:tblGrid>
      <w:tr w:rsidR="00704323" w:rsidRPr="00657BA6" w14:paraId="18A40017" w14:textId="77777777" w:rsidTr="0099422C">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3D4D3BA0" w14:textId="77777777" w:rsidR="00704323" w:rsidRPr="00657BA6" w:rsidRDefault="00704323" w:rsidP="0014780A">
            <w:pPr>
              <w:spacing w:after="0"/>
              <w:ind w:right="113"/>
              <w:jc w:val="center"/>
              <w:rPr>
                <w:rFonts w:ascii="Arial" w:hAnsi="Arial" w:cs="Arial"/>
                <w:color w:val="auto"/>
              </w:rPr>
            </w:pPr>
            <w:r w:rsidRPr="00657BA6">
              <w:rPr>
                <w:rFonts w:ascii="Arial" w:hAnsi="Arial" w:cs="Arial"/>
                <w:color w:val="auto"/>
              </w:rPr>
              <w:t>Servicio</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56F5394C" w14:textId="77777777" w:rsidR="00704323" w:rsidRPr="00657BA6" w:rsidRDefault="00704323" w:rsidP="0014780A">
            <w:pPr>
              <w:spacing w:after="0"/>
              <w:ind w:right="113"/>
              <w:jc w:val="center"/>
              <w:rPr>
                <w:rFonts w:ascii="Arial" w:hAnsi="Arial" w:cs="Arial"/>
                <w:color w:val="auto"/>
              </w:rPr>
            </w:pPr>
            <w:r w:rsidRPr="00657BA6">
              <w:rPr>
                <w:rFonts w:ascii="Arial" w:hAnsi="Arial" w:cs="Arial"/>
                <w:color w:val="auto"/>
              </w:rPr>
              <w:t>Descripción del servicio</w:t>
            </w:r>
          </w:p>
        </w:tc>
      </w:tr>
      <w:tr w:rsidR="00704323" w:rsidRPr="00657BA6" w14:paraId="77D4D4BF" w14:textId="77777777" w:rsidTr="0099422C">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000000"/>
            </w:tcBorders>
          </w:tcPr>
          <w:p w14:paraId="66A41FE9" w14:textId="3E52A50F" w:rsidR="00704323" w:rsidRPr="00657BA6" w:rsidRDefault="00704323" w:rsidP="0014780A">
            <w:pPr>
              <w:spacing w:after="0"/>
              <w:ind w:right="113"/>
              <w:rPr>
                <w:rFonts w:ascii="Arial" w:hAnsi="Arial" w:cs="Arial"/>
              </w:rPr>
            </w:pPr>
            <w:r w:rsidRPr="00D47BB9">
              <w:rPr>
                <w:rFonts w:ascii="Arial" w:hAnsi="Arial" w:cs="Arial"/>
              </w:rPr>
              <w:t>Roaming SMS saliente por tecnología</w:t>
            </w:r>
          </w:p>
        </w:tc>
        <w:tc>
          <w:tcPr>
            <w:tcW w:w="0" w:type="auto"/>
            <w:tcBorders>
              <w:top w:val="single" w:sz="4" w:space="0" w:color="000000"/>
            </w:tcBorders>
          </w:tcPr>
          <w:p w14:paraId="41691845" w14:textId="03931681" w:rsidR="00704323" w:rsidRPr="00657BA6" w:rsidRDefault="00704323" w:rsidP="0014780A">
            <w:pPr>
              <w:spacing w:after="0"/>
              <w:ind w:right="113"/>
              <w:jc w:val="both"/>
              <w:rPr>
                <w:rFonts w:ascii="Arial" w:hAnsi="Arial" w:cs="Arial"/>
              </w:rPr>
            </w:pPr>
            <w:r w:rsidRPr="00D47BB9">
              <w:rPr>
                <w:rFonts w:ascii="Arial" w:hAnsi="Arial" w:cs="Arial"/>
              </w:rPr>
              <w:t>SMS de un usuario visitante (nacional o internacional) en la red del operador móvil modelado a un destino móvil, fijo o internacional</w:t>
            </w:r>
          </w:p>
        </w:tc>
      </w:tr>
      <w:tr w:rsidR="00704323" w:rsidRPr="00657BA6" w14:paraId="6355A175" w14:textId="77777777" w:rsidTr="0099422C">
        <w:tc>
          <w:tcPr>
            <w:tcW w:w="0" w:type="auto"/>
          </w:tcPr>
          <w:p w14:paraId="3AF2A0BE" w14:textId="3CD3157A" w:rsidR="00704323" w:rsidRPr="00657BA6" w:rsidRDefault="00704323" w:rsidP="0014780A">
            <w:pPr>
              <w:spacing w:after="0"/>
              <w:ind w:right="113"/>
              <w:rPr>
                <w:rFonts w:ascii="Arial" w:hAnsi="Arial" w:cs="Arial"/>
              </w:rPr>
            </w:pPr>
            <w:r w:rsidRPr="00D47BB9">
              <w:rPr>
                <w:rFonts w:ascii="Arial" w:hAnsi="Arial" w:cs="Arial"/>
              </w:rPr>
              <w:t>Roaming SMS entrante por tecnología</w:t>
            </w:r>
          </w:p>
        </w:tc>
        <w:tc>
          <w:tcPr>
            <w:tcW w:w="0" w:type="auto"/>
          </w:tcPr>
          <w:p w14:paraId="090D6E85" w14:textId="08EBAF28" w:rsidR="00704323" w:rsidRPr="0099422C" w:rsidRDefault="00704323" w:rsidP="0014780A">
            <w:pPr>
              <w:spacing w:after="0"/>
              <w:ind w:right="113"/>
              <w:jc w:val="both"/>
              <w:rPr>
                <w:rFonts w:ascii="Arial" w:hAnsi="Arial" w:cs="Arial"/>
              </w:rPr>
            </w:pPr>
            <w:r w:rsidRPr="00D47BB9">
              <w:rPr>
                <w:rFonts w:ascii="Arial" w:hAnsi="Arial" w:cs="Arial"/>
              </w:rPr>
              <w:t>SMS recibidos desde otro operador móvil, fijo o internacional y terminados en la red de un usuario visitante (nacional o internacional) del operador móvil modelado</w:t>
            </w:r>
          </w:p>
        </w:tc>
      </w:tr>
      <w:tr w:rsidR="00704323" w:rsidRPr="00657BA6" w14:paraId="6F3534B8" w14:textId="77777777" w:rsidTr="0099422C">
        <w:trPr>
          <w:cnfStyle w:val="000000100000" w:firstRow="0" w:lastRow="0" w:firstColumn="0" w:lastColumn="0" w:oddVBand="0" w:evenVBand="0" w:oddHBand="1" w:evenHBand="0" w:firstRowFirstColumn="0" w:firstRowLastColumn="0" w:lastRowFirstColumn="0" w:lastRowLastColumn="0"/>
        </w:trPr>
        <w:tc>
          <w:tcPr>
            <w:tcW w:w="0" w:type="auto"/>
          </w:tcPr>
          <w:p w14:paraId="671FE7BC" w14:textId="54AB5018" w:rsidR="00704323" w:rsidRPr="00657BA6" w:rsidRDefault="00704323" w:rsidP="0014780A">
            <w:pPr>
              <w:spacing w:after="0"/>
              <w:ind w:right="113"/>
              <w:rPr>
                <w:rFonts w:ascii="Arial" w:hAnsi="Arial" w:cs="Arial"/>
              </w:rPr>
            </w:pPr>
            <w:r w:rsidRPr="00D47BB9">
              <w:rPr>
                <w:rFonts w:ascii="Arial" w:hAnsi="Arial" w:cs="Arial"/>
              </w:rPr>
              <w:t>SMS on-net por tecnología</w:t>
            </w:r>
          </w:p>
        </w:tc>
        <w:tc>
          <w:tcPr>
            <w:tcW w:w="0" w:type="auto"/>
          </w:tcPr>
          <w:p w14:paraId="4E09F628" w14:textId="4B2C9C42" w:rsidR="00704323" w:rsidRPr="00657BA6" w:rsidRDefault="00704323" w:rsidP="0014780A">
            <w:pPr>
              <w:spacing w:after="0"/>
              <w:ind w:right="113"/>
              <w:jc w:val="both"/>
              <w:rPr>
                <w:rFonts w:ascii="Arial" w:hAnsi="Arial" w:cs="Arial"/>
              </w:rPr>
            </w:pPr>
            <w:r w:rsidRPr="00D47BB9">
              <w:rPr>
                <w:rFonts w:ascii="Arial" w:hAnsi="Arial"/>
              </w:rPr>
              <w:t xml:space="preserve">SMS entre dos suscriptores </w:t>
            </w:r>
            <w:r w:rsidRPr="00D47BB9">
              <w:rPr>
                <w:rFonts w:ascii="Arial" w:hAnsi="Arial" w:cs="Arial"/>
              </w:rPr>
              <w:t xml:space="preserve">(minoristas u OMV o inbound roamer) </w:t>
            </w:r>
            <w:r w:rsidRPr="00D47BB9">
              <w:rPr>
                <w:rFonts w:ascii="Arial" w:hAnsi="Arial"/>
              </w:rPr>
              <w:t>del operador móvil modelado</w:t>
            </w:r>
          </w:p>
        </w:tc>
      </w:tr>
      <w:tr w:rsidR="00704323" w:rsidRPr="00657BA6" w14:paraId="106F9EFF" w14:textId="77777777" w:rsidTr="0099422C">
        <w:tc>
          <w:tcPr>
            <w:tcW w:w="0" w:type="auto"/>
          </w:tcPr>
          <w:p w14:paraId="67346F07" w14:textId="09736D44" w:rsidR="00704323" w:rsidRPr="00657BA6" w:rsidRDefault="00704323" w:rsidP="0014780A">
            <w:pPr>
              <w:spacing w:after="0"/>
              <w:ind w:right="113"/>
              <w:rPr>
                <w:rFonts w:ascii="Arial" w:hAnsi="Arial" w:cs="Arial"/>
              </w:rPr>
            </w:pPr>
            <w:r w:rsidRPr="00D47BB9">
              <w:rPr>
                <w:rFonts w:ascii="Arial" w:hAnsi="Arial" w:cs="Arial"/>
              </w:rPr>
              <w:t>SMS salientes a otras redes por tecnología</w:t>
            </w:r>
          </w:p>
        </w:tc>
        <w:tc>
          <w:tcPr>
            <w:tcW w:w="0" w:type="auto"/>
          </w:tcPr>
          <w:p w14:paraId="619446DE" w14:textId="2C3382A6" w:rsidR="00704323" w:rsidRPr="00657BA6" w:rsidRDefault="00704323" w:rsidP="0014780A">
            <w:pPr>
              <w:spacing w:after="0"/>
              <w:ind w:right="113"/>
              <w:jc w:val="both"/>
              <w:rPr>
                <w:rFonts w:ascii="Arial" w:hAnsi="Arial" w:cs="Arial"/>
              </w:rPr>
            </w:pPr>
            <w:r w:rsidRPr="00D47BB9">
              <w:rPr>
                <w:rFonts w:ascii="Arial" w:hAnsi="Arial"/>
              </w:rPr>
              <w:t xml:space="preserve">SMS de un suscriptor </w:t>
            </w:r>
            <w:r w:rsidRPr="00D47BB9">
              <w:rPr>
                <w:rFonts w:ascii="Arial" w:hAnsi="Arial" w:cs="Arial"/>
              </w:rPr>
              <w:t xml:space="preserve">(minorista u OMV o inbound roamer) </w:t>
            </w:r>
            <w:r w:rsidRPr="00D47BB9">
              <w:rPr>
                <w:rFonts w:ascii="Arial" w:hAnsi="Arial"/>
              </w:rPr>
              <w:t>del operador móvil modelado a otro operador de red</w:t>
            </w:r>
          </w:p>
        </w:tc>
      </w:tr>
      <w:tr w:rsidR="00704323" w:rsidRPr="00657BA6" w14:paraId="23C50420" w14:textId="77777777" w:rsidTr="0099422C">
        <w:trPr>
          <w:cnfStyle w:val="000000100000" w:firstRow="0" w:lastRow="0" w:firstColumn="0" w:lastColumn="0" w:oddVBand="0" w:evenVBand="0" w:oddHBand="1" w:evenHBand="0" w:firstRowFirstColumn="0" w:firstRowLastColumn="0" w:lastRowFirstColumn="0" w:lastRowLastColumn="0"/>
        </w:trPr>
        <w:tc>
          <w:tcPr>
            <w:tcW w:w="0" w:type="auto"/>
          </w:tcPr>
          <w:p w14:paraId="25336924" w14:textId="4F27F5F1" w:rsidR="00704323" w:rsidRPr="00657BA6" w:rsidRDefault="00704323" w:rsidP="0014780A">
            <w:pPr>
              <w:spacing w:after="0"/>
              <w:ind w:right="113"/>
              <w:rPr>
                <w:rFonts w:ascii="Arial" w:hAnsi="Arial" w:cs="Arial"/>
              </w:rPr>
            </w:pPr>
            <w:r w:rsidRPr="00D47BB9">
              <w:rPr>
                <w:rFonts w:ascii="Arial" w:hAnsi="Arial" w:cs="Arial"/>
              </w:rPr>
              <w:t>SMS entrantes de otras redes por tecnología</w:t>
            </w:r>
          </w:p>
        </w:tc>
        <w:tc>
          <w:tcPr>
            <w:tcW w:w="0" w:type="auto"/>
          </w:tcPr>
          <w:p w14:paraId="40554F03" w14:textId="4B12FE02" w:rsidR="00704323" w:rsidRPr="00657BA6" w:rsidRDefault="00704323" w:rsidP="0014780A">
            <w:pPr>
              <w:spacing w:after="0"/>
              <w:ind w:right="113"/>
              <w:jc w:val="both"/>
              <w:rPr>
                <w:rFonts w:ascii="Arial" w:hAnsi="Arial" w:cs="Arial"/>
              </w:rPr>
            </w:pPr>
            <w:r w:rsidRPr="00D47BB9">
              <w:rPr>
                <w:rFonts w:ascii="Arial" w:hAnsi="Arial"/>
              </w:rPr>
              <w:t xml:space="preserve">SMS recibidos de otro operador y terminados en un abonado </w:t>
            </w:r>
            <w:r w:rsidRPr="00D47BB9">
              <w:rPr>
                <w:rFonts w:ascii="Arial" w:hAnsi="Arial" w:cs="Arial"/>
              </w:rPr>
              <w:t xml:space="preserve">(minorista u OMV o inbound roamer) </w:t>
            </w:r>
            <w:r w:rsidRPr="00D47BB9">
              <w:rPr>
                <w:rFonts w:ascii="Arial" w:hAnsi="Arial"/>
              </w:rPr>
              <w:t>del operador móvil modelado</w:t>
            </w:r>
          </w:p>
        </w:tc>
      </w:tr>
    </w:tbl>
    <w:p w14:paraId="666F7FB6" w14:textId="3A870ECA" w:rsidR="00704323" w:rsidRPr="00657BA6" w:rsidRDefault="00704323" w:rsidP="0014780A">
      <w:pPr>
        <w:spacing w:after="0"/>
        <w:jc w:val="center"/>
        <w:rPr>
          <w:rFonts w:ascii="Arial" w:hAnsi="Arial" w:cs="Arial"/>
        </w:rPr>
      </w:pPr>
      <w:r w:rsidRPr="00657BA6">
        <w:rPr>
          <w:rFonts w:ascii="Arial" w:eastAsia="Times New Roman" w:hAnsi="Arial" w:cs="Arial"/>
          <w:lang w:eastAsia="es-ES"/>
        </w:rPr>
        <w:t xml:space="preserve">Tabla </w:t>
      </w:r>
      <w:r>
        <w:rPr>
          <w:rFonts w:ascii="Arial" w:eastAsia="Times New Roman" w:hAnsi="Arial" w:cs="Arial"/>
          <w:lang w:eastAsia="es-ES"/>
        </w:rPr>
        <w:t>6</w:t>
      </w:r>
      <w:r w:rsidRPr="00657BA6">
        <w:rPr>
          <w:rFonts w:ascii="Arial" w:eastAsia="Times New Roman" w:hAnsi="Arial" w:cs="Arial"/>
          <w:lang w:eastAsia="es-ES"/>
        </w:rPr>
        <w:t xml:space="preserve">. Servicios </w:t>
      </w:r>
      <w:r>
        <w:rPr>
          <w:rFonts w:ascii="Arial" w:eastAsia="Times New Roman" w:hAnsi="Arial" w:cs="Arial"/>
          <w:lang w:eastAsia="es-ES"/>
        </w:rPr>
        <w:t xml:space="preserve">SMS </w:t>
      </w:r>
      <w:r w:rsidRPr="00657BA6">
        <w:rPr>
          <w:rFonts w:ascii="Arial" w:eastAsia="Times New Roman" w:hAnsi="Arial" w:cs="Arial"/>
          <w:lang w:eastAsia="es-ES"/>
        </w:rPr>
        <w:t>que se ofrecen a través de redes móviles.</w:t>
      </w:r>
    </w:p>
    <w:p w14:paraId="4788F035" w14:textId="77777777" w:rsidR="004A3027" w:rsidRDefault="004A3027" w:rsidP="0014780A">
      <w:pPr>
        <w:spacing w:after="0"/>
        <w:jc w:val="both"/>
        <w:rPr>
          <w:rFonts w:ascii="Arial" w:eastAsia="Times New Roman" w:hAnsi="Arial" w:cs="Arial"/>
          <w:lang w:eastAsia="es-ES"/>
        </w:rPr>
      </w:pPr>
    </w:p>
    <w:p w14:paraId="2BCB7770" w14:textId="6BF97CCD" w:rsidR="00704323" w:rsidRDefault="00704323" w:rsidP="0014780A">
      <w:pPr>
        <w:spacing w:after="0"/>
        <w:jc w:val="both"/>
        <w:rPr>
          <w:rFonts w:ascii="Arial" w:eastAsia="Times New Roman" w:hAnsi="Arial" w:cs="Arial"/>
          <w:lang w:eastAsia="es-ES"/>
        </w:rPr>
      </w:pPr>
      <w:r w:rsidRPr="0099422C">
        <w:rPr>
          <w:rFonts w:ascii="Arial" w:eastAsia="Times New Roman" w:hAnsi="Arial" w:cs="Arial"/>
          <w:lang w:eastAsia="es-ES"/>
        </w:rPr>
        <w:t xml:space="preserve">En la tabla </w:t>
      </w:r>
      <w:r>
        <w:rPr>
          <w:rFonts w:ascii="Arial" w:eastAsia="Times New Roman" w:hAnsi="Arial" w:cs="Arial"/>
          <w:lang w:eastAsia="es-ES"/>
        </w:rPr>
        <w:t>7</w:t>
      </w:r>
      <w:r w:rsidRPr="0099422C">
        <w:rPr>
          <w:rFonts w:ascii="Arial" w:eastAsia="Times New Roman" w:hAnsi="Arial" w:cs="Arial"/>
          <w:lang w:eastAsia="es-ES"/>
        </w:rPr>
        <w:t xml:space="preserve"> se presenta</w:t>
      </w:r>
      <w:r>
        <w:rPr>
          <w:rFonts w:ascii="Arial" w:eastAsia="Times New Roman" w:hAnsi="Arial" w:cs="Arial"/>
          <w:lang w:eastAsia="es-ES"/>
        </w:rPr>
        <w:t>n</w:t>
      </w:r>
      <w:r w:rsidRPr="0099422C">
        <w:rPr>
          <w:rFonts w:ascii="Arial" w:eastAsia="Times New Roman" w:hAnsi="Arial" w:cs="Arial"/>
          <w:lang w:eastAsia="es-ES"/>
        </w:rPr>
        <w:t xml:space="preserve"> </w:t>
      </w:r>
      <w:r>
        <w:rPr>
          <w:rFonts w:ascii="Arial" w:eastAsia="Times New Roman" w:hAnsi="Arial" w:cs="Arial"/>
          <w:lang w:eastAsia="es-ES"/>
        </w:rPr>
        <w:t xml:space="preserve">los </w:t>
      </w:r>
      <w:r w:rsidRPr="0099422C">
        <w:rPr>
          <w:rFonts w:ascii="Arial" w:eastAsia="Times New Roman" w:hAnsi="Arial" w:cs="Arial"/>
          <w:lang w:eastAsia="es-ES"/>
        </w:rPr>
        <w:t xml:space="preserve">servicios </w:t>
      </w:r>
      <w:r>
        <w:rPr>
          <w:rFonts w:ascii="Arial" w:eastAsia="Times New Roman" w:hAnsi="Arial" w:cs="Arial"/>
          <w:lang w:eastAsia="es-ES"/>
        </w:rPr>
        <w:t>de datos que se ofrecen a través de las redes móviles.</w:t>
      </w:r>
    </w:p>
    <w:p w14:paraId="088303A0" w14:textId="77777777" w:rsidR="00704323" w:rsidRPr="0099422C" w:rsidRDefault="00704323" w:rsidP="0014780A">
      <w:pPr>
        <w:spacing w:after="0"/>
        <w:jc w:val="both"/>
        <w:rPr>
          <w:rFonts w:ascii="Arial" w:eastAsia="Times New Roman" w:hAnsi="Arial" w:cs="Arial"/>
          <w:lang w:eastAsia="es-ES"/>
        </w:rPr>
      </w:pPr>
    </w:p>
    <w:tbl>
      <w:tblPr>
        <w:tblStyle w:val="Tabladecuadrcula4"/>
        <w:tblW w:w="0" w:type="auto"/>
        <w:tblInd w:w="-5" w:type="dxa"/>
        <w:tblLook w:val="0420" w:firstRow="1" w:lastRow="0" w:firstColumn="0" w:lastColumn="0" w:noHBand="0" w:noVBand="1"/>
      </w:tblPr>
      <w:tblGrid>
        <w:gridCol w:w="1826"/>
        <w:gridCol w:w="7522"/>
      </w:tblGrid>
      <w:tr w:rsidR="00704323" w:rsidRPr="00657BA6" w14:paraId="4CA93728" w14:textId="77777777" w:rsidTr="0099422C">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4DB10C7C" w14:textId="77777777" w:rsidR="00704323" w:rsidRPr="00657BA6" w:rsidRDefault="00704323" w:rsidP="0014780A">
            <w:pPr>
              <w:spacing w:after="0"/>
              <w:ind w:right="113"/>
              <w:jc w:val="center"/>
              <w:rPr>
                <w:rFonts w:ascii="Arial" w:hAnsi="Arial" w:cs="Arial"/>
                <w:color w:val="auto"/>
              </w:rPr>
            </w:pPr>
            <w:r w:rsidRPr="00657BA6">
              <w:rPr>
                <w:rFonts w:ascii="Arial" w:hAnsi="Arial" w:cs="Arial"/>
                <w:color w:val="auto"/>
              </w:rPr>
              <w:t>Servicio</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1C38DDFF" w14:textId="77777777" w:rsidR="00704323" w:rsidRPr="00657BA6" w:rsidRDefault="00704323" w:rsidP="0014780A">
            <w:pPr>
              <w:spacing w:after="0"/>
              <w:ind w:right="113"/>
              <w:jc w:val="center"/>
              <w:rPr>
                <w:rFonts w:ascii="Arial" w:hAnsi="Arial" w:cs="Arial"/>
                <w:color w:val="auto"/>
              </w:rPr>
            </w:pPr>
            <w:r w:rsidRPr="00657BA6">
              <w:rPr>
                <w:rFonts w:ascii="Arial" w:hAnsi="Arial" w:cs="Arial"/>
                <w:color w:val="auto"/>
              </w:rPr>
              <w:t>Descripción del servicio</w:t>
            </w:r>
          </w:p>
        </w:tc>
      </w:tr>
      <w:tr w:rsidR="00CE1E00" w:rsidRPr="00657BA6" w14:paraId="3469CE1E" w14:textId="77777777" w:rsidTr="0099422C">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000000"/>
            </w:tcBorders>
          </w:tcPr>
          <w:p w14:paraId="12B5EA3A" w14:textId="0A27E2B8" w:rsidR="00CE1E00" w:rsidRPr="00CE1E00" w:rsidRDefault="00CE1E00" w:rsidP="00D47BB9">
            <w:pPr>
              <w:spacing w:after="0"/>
              <w:ind w:right="113"/>
              <w:jc w:val="both"/>
              <w:rPr>
                <w:rFonts w:ascii="Arial" w:hAnsi="Arial"/>
              </w:rPr>
            </w:pPr>
            <w:r w:rsidRPr="00D47BB9">
              <w:rPr>
                <w:rFonts w:ascii="Arial" w:hAnsi="Arial"/>
              </w:rPr>
              <w:t>Servicio de datos R99</w:t>
            </w:r>
          </w:p>
        </w:tc>
        <w:tc>
          <w:tcPr>
            <w:tcW w:w="0" w:type="auto"/>
            <w:tcBorders>
              <w:top w:val="single" w:sz="4" w:space="0" w:color="000000"/>
            </w:tcBorders>
          </w:tcPr>
          <w:p w14:paraId="67E76DBD" w14:textId="373169D7" w:rsidR="00CE1E00" w:rsidRPr="00CE1E00" w:rsidRDefault="00CE1E00" w:rsidP="0014780A">
            <w:pPr>
              <w:spacing w:after="0"/>
              <w:ind w:right="113"/>
              <w:jc w:val="both"/>
              <w:rPr>
                <w:rFonts w:ascii="Arial" w:hAnsi="Arial"/>
              </w:rPr>
            </w:pPr>
            <w:r w:rsidRPr="00D47BB9">
              <w:rPr>
                <w:rFonts w:ascii="Arial" w:hAnsi="Arial"/>
              </w:rPr>
              <w:t>Megabytes de servicio de datos (excluyendo las cabeceras de los paquetes IP) transferidos desde y hacia un suscriptor (minorista u OMV o inbound roamer) a través de la red de datos de baja velocidad 3G (portadoras Release 99)</w:t>
            </w:r>
          </w:p>
        </w:tc>
      </w:tr>
      <w:tr w:rsidR="00CE1E00" w:rsidRPr="00657BA6" w14:paraId="42521E6B" w14:textId="77777777" w:rsidTr="0099422C">
        <w:tc>
          <w:tcPr>
            <w:tcW w:w="0" w:type="auto"/>
          </w:tcPr>
          <w:p w14:paraId="5A15224C" w14:textId="683E1D95" w:rsidR="00CE1E00" w:rsidRPr="00CE1E00" w:rsidRDefault="00CE1E00" w:rsidP="00D47BB9">
            <w:pPr>
              <w:spacing w:after="0"/>
              <w:ind w:right="113"/>
              <w:jc w:val="both"/>
              <w:rPr>
                <w:rFonts w:ascii="Arial" w:hAnsi="Arial"/>
              </w:rPr>
            </w:pPr>
            <w:r w:rsidRPr="00D47BB9">
              <w:rPr>
                <w:rFonts w:ascii="Arial" w:hAnsi="Arial"/>
              </w:rPr>
              <w:t>Servicio de datos HSDPA</w:t>
            </w:r>
          </w:p>
        </w:tc>
        <w:tc>
          <w:tcPr>
            <w:tcW w:w="0" w:type="auto"/>
          </w:tcPr>
          <w:p w14:paraId="77D1AFCC" w14:textId="3201CEB9" w:rsidR="00CE1E00" w:rsidRPr="00CE1E00" w:rsidRDefault="00CE1E00" w:rsidP="0014780A">
            <w:pPr>
              <w:spacing w:after="0"/>
              <w:ind w:right="113"/>
              <w:jc w:val="both"/>
              <w:rPr>
                <w:rFonts w:ascii="Arial" w:hAnsi="Arial"/>
              </w:rPr>
            </w:pPr>
            <w:r w:rsidRPr="00D47BB9">
              <w:rPr>
                <w:rFonts w:ascii="Arial" w:hAnsi="Arial"/>
              </w:rPr>
              <w:t>Megabytes de servicio de datos (excluyendo las cabeceras de los paquetes IP) transferidos hacia un suscriptor (minorista u OMV o inbound roamer) a través de la red HSPA</w:t>
            </w:r>
          </w:p>
        </w:tc>
      </w:tr>
      <w:tr w:rsidR="00CE1E00" w:rsidRPr="00657BA6" w14:paraId="0EB80D67" w14:textId="77777777" w:rsidTr="0099422C">
        <w:trPr>
          <w:cnfStyle w:val="000000100000" w:firstRow="0" w:lastRow="0" w:firstColumn="0" w:lastColumn="0" w:oddVBand="0" w:evenVBand="0" w:oddHBand="1" w:evenHBand="0" w:firstRowFirstColumn="0" w:firstRowLastColumn="0" w:lastRowFirstColumn="0" w:lastRowLastColumn="0"/>
        </w:trPr>
        <w:tc>
          <w:tcPr>
            <w:tcW w:w="0" w:type="auto"/>
          </w:tcPr>
          <w:p w14:paraId="6365CBB5" w14:textId="0A6450C6" w:rsidR="00CE1E00" w:rsidRPr="00CE1E00" w:rsidRDefault="00CE1E00" w:rsidP="00D47BB9">
            <w:pPr>
              <w:spacing w:after="0"/>
              <w:ind w:right="113"/>
              <w:jc w:val="both"/>
              <w:rPr>
                <w:rFonts w:ascii="Arial" w:hAnsi="Arial"/>
              </w:rPr>
            </w:pPr>
            <w:r w:rsidRPr="00D47BB9">
              <w:rPr>
                <w:rFonts w:ascii="Arial" w:hAnsi="Arial"/>
              </w:rPr>
              <w:t>Servicio de datos HSUPA</w:t>
            </w:r>
          </w:p>
        </w:tc>
        <w:tc>
          <w:tcPr>
            <w:tcW w:w="0" w:type="auto"/>
          </w:tcPr>
          <w:p w14:paraId="5344BA9D" w14:textId="457B6CEF" w:rsidR="00CE1E00" w:rsidRPr="00CE1E00" w:rsidRDefault="00CE1E00" w:rsidP="0014780A">
            <w:pPr>
              <w:spacing w:after="0"/>
              <w:ind w:right="113"/>
              <w:jc w:val="both"/>
              <w:rPr>
                <w:rFonts w:ascii="Arial" w:hAnsi="Arial"/>
              </w:rPr>
            </w:pPr>
            <w:r w:rsidRPr="00D47BB9">
              <w:rPr>
                <w:rFonts w:ascii="Arial" w:hAnsi="Arial"/>
              </w:rPr>
              <w:t>Megabytes de servicio de datos (excluyendo las cabeceras de los paquetes IP) transferidos desde un suscriptor (minorista u OMV o inbound roamer) a través de la red HSPA</w:t>
            </w:r>
          </w:p>
        </w:tc>
      </w:tr>
      <w:tr w:rsidR="00CE1E00" w:rsidRPr="00657BA6" w14:paraId="13AAE1C2" w14:textId="77777777" w:rsidTr="0099422C">
        <w:tc>
          <w:tcPr>
            <w:tcW w:w="0" w:type="auto"/>
          </w:tcPr>
          <w:p w14:paraId="45E6DF44" w14:textId="2B0EDEB9" w:rsidR="00CE1E00" w:rsidRPr="00CE1E00" w:rsidRDefault="00CE1E00" w:rsidP="00D47BB9">
            <w:pPr>
              <w:spacing w:after="0"/>
              <w:ind w:right="113"/>
              <w:jc w:val="both"/>
              <w:rPr>
                <w:rFonts w:ascii="Arial" w:hAnsi="Arial"/>
              </w:rPr>
            </w:pPr>
            <w:r w:rsidRPr="00D47BB9">
              <w:rPr>
                <w:rFonts w:ascii="Arial" w:hAnsi="Arial"/>
              </w:rPr>
              <w:lastRenderedPageBreak/>
              <w:t>Servicio de datos LTE</w:t>
            </w:r>
          </w:p>
        </w:tc>
        <w:tc>
          <w:tcPr>
            <w:tcW w:w="0" w:type="auto"/>
          </w:tcPr>
          <w:p w14:paraId="45100C0B" w14:textId="74832723" w:rsidR="00CE1E00" w:rsidRPr="00CE1E00" w:rsidRDefault="00CE1E00" w:rsidP="0014780A">
            <w:pPr>
              <w:spacing w:after="0"/>
              <w:ind w:right="113"/>
              <w:jc w:val="both"/>
              <w:rPr>
                <w:rFonts w:ascii="Arial" w:hAnsi="Arial"/>
              </w:rPr>
            </w:pPr>
            <w:r w:rsidRPr="00D47BB9">
              <w:rPr>
                <w:rFonts w:ascii="Arial" w:hAnsi="Arial"/>
              </w:rPr>
              <w:t>Megabytes de servicio de datos (excluyendo las cabeceras de los paquetes IP) transferidos desde y hacia un suscriptor (minorista u OMV o inbound roamer) a través de la red LTE</w:t>
            </w:r>
          </w:p>
        </w:tc>
      </w:tr>
      <w:tr w:rsidR="00CE1E00" w:rsidRPr="00657BA6" w14:paraId="723176CC" w14:textId="77777777" w:rsidTr="0099422C">
        <w:trPr>
          <w:cnfStyle w:val="000000100000" w:firstRow="0" w:lastRow="0" w:firstColumn="0" w:lastColumn="0" w:oddVBand="0" w:evenVBand="0" w:oddHBand="1" w:evenHBand="0" w:firstRowFirstColumn="0" w:firstRowLastColumn="0" w:lastRowFirstColumn="0" w:lastRowLastColumn="0"/>
        </w:trPr>
        <w:tc>
          <w:tcPr>
            <w:tcW w:w="0" w:type="auto"/>
          </w:tcPr>
          <w:p w14:paraId="1DA38833" w14:textId="668151F0" w:rsidR="00CE1E00" w:rsidRPr="00CE1E00" w:rsidRDefault="00CE1E00" w:rsidP="00D47BB9">
            <w:pPr>
              <w:spacing w:after="0"/>
              <w:ind w:right="113"/>
              <w:jc w:val="both"/>
              <w:rPr>
                <w:rFonts w:ascii="Arial" w:hAnsi="Arial"/>
              </w:rPr>
            </w:pPr>
            <w:r w:rsidRPr="00D47BB9">
              <w:rPr>
                <w:rFonts w:ascii="Arial" w:hAnsi="Arial"/>
              </w:rPr>
              <w:t>Servicio de datos 5G</w:t>
            </w:r>
          </w:p>
        </w:tc>
        <w:tc>
          <w:tcPr>
            <w:tcW w:w="0" w:type="auto"/>
          </w:tcPr>
          <w:p w14:paraId="25ACD343" w14:textId="0A315781" w:rsidR="00CE1E00" w:rsidRPr="00CE1E00" w:rsidRDefault="00CE1E00" w:rsidP="0014780A">
            <w:pPr>
              <w:spacing w:after="0"/>
              <w:ind w:right="113"/>
              <w:jc w:val="both"/>
              <w:rPr>
                <w:rFonts w:ascii="Arial" w:hAnsi="Arial"/>
              </w:rPr>
            </w:pPr>
            <w:r w:rsidRPr="00D47BB9">
              <w:rPr>
                <w:rFonts w:ascii="Arial" w:hAnsi="Arial"/>
              </w:rPr>
              <w:t>Megabytes de servicio de datos (excluyendo las cabeceras de los paquetes IP) transferidos desde y hacia un suscriptor (minorista u OMV o inbound roamer) a través de la red 5G</w:t>
            </w:r>
          </w:p>
        </w:tc>
      </w:tr>
      <w:tr w:rsidR="00CE1E00" w:rsidRPr="00657BA6" w14:paraId="2ED97A5B" w14:textId="77777777" w:rsidTr="00D47BB9">
        <w:tc>
          <w:tcPr>
            <w:tcW w:w="0" w:type="auto"/>
            <w:shd w:val="clear" w:color="auto" w:fill="FFFFFF" w:themeFill="background1"/>
          </w:tcPr>
          <w:p w14:paraId="39CE68B1" w14:textId="21F6B83F" w:rsidR="00CE1E00" w:rsidRPr="00CE1E00" w:rsidRDefault="00CE1E00" w:rsidP="00D47BB9">
            <w:pPr>
              <w:spacing w:after="0"/>
              <w:ind w:right="113"/>
              <w:jc w:val="both"/>
              <w:rPr>
                <w:rFonts w:ascii="Arial" w:hAnsi="Arial"/>
              </w:rPr>
            </w:pPr>
            <w:r w:rsidRPr="00D47BB9">
              <w:rPr>
                <w:rFonts w:ascii="Arial" w:hAnsi="Arial"/>
              </w:rPr>
              <w:t>Roaming datos por tecnología</w:t>
            </w:r>
          </w:p>
        </w:tc>
        <w:tc>
          <w:tcPr>
            <w:tcW w:w="0" w:type="auto"/>
            <w:shd w:val="clear" w:color="auto" w:fill="FFFFFF" w:themeFill="background1"/>
          </w:tcPr>
          <w:p w14:paraId="3E932AB0" w14:textId="11070E33" w:rsidR="00CE1E00" w:rsidRPr="0099422C" w:rsidRDefault="00CE1E00" w:rsidP="0014780A">
            <w:pPr>
              <w:spacing w:after="0"/>
              <w:ind w:right="113"/>
              <w:jc w:val="both"/>
              <w:rPr>
                <w:rFonts w:ascii="Arial" w:hAnsi="Arial"/>
              </w:rPr>
            </w:pPr>
            <w:r w:rsidRPr="00D47BB9">
              <w:rPr>
                <w:rFonts w:ascii="Arial" w:hAnsi="Arial"/>
              </w:rPr>
              <w:t>Megabytes de servicio de datos (excluyendo las cabeceras de los paquetes IP) transferidos desde y hacia un suscriptor (minorista u OMV o inbound roamer) de un usuario visitante (nacional o internacional) a través de la red del operador móvil modelado</w:t>
            </w:r>
          </w:p>
        </w:tc>
      </w:tr>
    </w:tbl>
    <w:p w14:paraId="6A8D8CA6" w14:textId="5F858A39" w:rsidR="00CE1E00" w:rsidRPr="00657BA6" w:rsidRDefault="00CE1E00" w:rsidP="0014780A">
      <w:pPr>
        <w:spacing w:after="0"/>
        <w:jc w:val="center"/>
        <w:rPr>
          <w:rFonts w:ascii="Arial" w:hAnsi="Arial" w:cs="Arial"/>
        </w:rPr>
      </w:pPr>
      <w:r w:rsidRPr="00657BA6">
        <w:rPr>
          <w:rFonts w:ascii="Arial" w:eastAsia="Times New Roman" w:hAnsi="Arial" w:cs="Arial"/>
          <w:lang w:eastAsia="es-ES"/>
        </w:rPr>
        <w:t xml:space="preserve">Tabla </w:t>
      </w:r>
      <w:r>
        <w:rPr>
          <w:rFonts w:ascii="Arial" w:eastAsia="Times New Roman" w:hAnsi="Arial" w:cs="Arial"/>
          <w:lang w:eastAsia="es-ES"/>
        </w:rPr>
        <w:t>7</w:t>
      </w:r>
      <w:r w:rsidRPr="00657BA6">
        <w:rPr>
          <w:rFonts w:ascii="Arial" w:eastAsia="Times New Roman" w:hAnsi="Arial" w:cs="Arial"/>
          <w:lang w:eastAsia="es-ES"/>
        </w:rPr>
        <w:t xml:space="preserve">. Servicios </w:t>
      </w:r>
      <w:r>
        <w:rPr>
          <w:rFonts w:ascii="Arial" w:eastAsia="Times New Roman" w:hAnsi="Arial" w:cs="Arial"/>
          <w:lang w:eastAsia="es-ES"/>
        </w:rPr>
        <w:t xml:space="preserve">de datos </w:t>
      </w:r>
      <w:r w:rsidRPr="00657BA6">
        <w:rPr>
          <w:rFonts w:ascii="Arial" w:eastAsia="Times New Roman" w:hAnsi="Arial" w:cs="Arial"/>
          <w:lang w:eastAsia="es-ES"/>
        </w:rPr>
        <w:t>que se ofrecen a través de redes móviles.</w:t>
      </w:r>
    </w:p>
    <w:p w14:paraId="63DF031D" w14:textId="77777777" w:rsidR="00704323" w:rsidRPr="00657BA6" w:rsidRDefault="00704323" w:rsidP="0014780A">
      <w:pPr>
        <w:spacing w:after="0"/>
        <w:jc w:val="both"/>
        <w:rPr>
          <w:rFonts w:ascii="Arial" w:eastAsia="Times New Roman" w:hAnsi="Arial" w:cs="Arial"/>
          <w:lang w:eastAsia="es-ES"/>
        </w:rPr>
      </w:pPr>
    </w:p>
    <w:p w14:paraId="6B740A14" w14:textId="77777777" w:rsidR="004A3027" w:rsidRPr="00657BA6" w:rsidRDefault="004A3027" w:rsidP="0014780A">
      <w:pPr>
        <w:spacing w:after="0"/>
        <w:rPr>
          <w:rFonts w:ascii="Arial" w:hAnsi="Arial" w:cs="Arial"/>
          <w:b/>
        </w:rPr>
      </w:pPr>
      <w:r w:rsidRPr="00657BA6">
        <w:rPr>
          <w:rFonts w:ascii="Arial" w:hAnsi="Arial" w:cs="Arial"/>
          <w:b/>
        </w:rPr>
        <w:t>Volúmenes de tráfico</w:t>
      </w:r>
    </w:p>
    <w:p w14:paraId="5DB37F86" w14:textId="77777777" w:rsidR="004A3027" w:rsidRPr="00657BA6" w:rsidRDefault="004A3027" w:rsidP="0014780A">
      <w:pPr>
        <w:spacing w:after="0"/>
        <w:jc w:val="both"/>
        <w:rPr>
          <w:rFonts w:ascii="Arial" w:hAnsi="Arial" w:cs="Arial"/>
        </w:rPr>
      </w:pPr>
    </w:p>
    <w:p w14:paraId="3D400ADF" w14:textId="43B6CB64" w:rsidR="004A3027" w:rsidRPr="00657BA6" w:rsidRDefault="004A3027" w:rsidP="0014780A">
      <w:pPr>
        <w:spacing w:after="0"/>
        <w:jc w:val="both"/>
        <w:rPr>
          <w:rFonts w:ascii="Arial" w:hAnsi="Arial" w:cs="Arial"/>
        </w:rPr>
      </w:pPr>
      <w:r w:rsidRPr="00657BA6">
        <w:rPr>
          <w:rFonts w:ascii="Arial" w:hAnsi="Arial" w:cs="Arial"/>
        </w:rPr>
        <w:t>Es necesario definir el volumen y el perfil</w:t>
      </w:r>
      <w:r w:rsidRPr="00657BA6">
        <w:rPr>
          <w:rFonts w:ascii="Arial" w:hAnsi="Arial" w:cs="Arial"/>
          <w:vertAlign w:val="superscript"/>
        </w:rPr>
        <w:footnoteReference w:id="37"/>
      </w:r>
      <w:r w:rsidRPr="00657BA6">
        <w:rPr>
          <w:rFonts w:ascii="Arial" w:hAnsi="Arial" w:cs="Arial"/>
        </w:rPr>
        <w:t xml:space="preserve"> del tráfico cursado en la red del operador modelado. Dado que la definición del operador incorpora la definición de una participación de mercado, se propone definir el volumen de tráfico y su perfil para un usuario promedio. Este perfil de tráfico deberá tener en cuenta el equilibrio de tráfico entre los diferentes servicios que compiten en el mercado. Se requerirá por lo tanto un enfoque integral para la estimación de la evolución del tráfico de voz y datos.</w:t>
      </w:r>
      <w:r w:rsidR="002E1A4B">
        <w:rPr>
          <w:rFonts w:ascii="Arial" w:hAnsi="Arial" w:cs="Arial"/>
        </w:rPr>
        <w:t xml:space="preserve"> </w:t>
      </w:r>
      <w:r w:rsidRPr="00657BA6">
        <w:rPr>
          <w:rFonts w:ascii="Arial" w:hAnsi="Arial" w:cs="Arial"/>
        </w:rPr>
        <w:t>En consecuencia, los diferentes modelos deberían basarse en un módulo común de predicción de tráfico.</w:t>
      </w:r>
    </w:p>
    <w:p w14:paraId="5CEDEFEA" w14:textId="77777777" w:rsidR="004A3027" w:rsidRPr="00657BA6" w:rsidRDefault="004A3027" w:rsidP="0014780A">
      <w:pPr>
        <w:spacing w:after="0"/>
        <w:ind w:left="426"/>
        <w:jc w:val="both"/>
        <w:rPr>
          <w:rFonts w:ascii="Arial" w:hAnsi="Arial" w:cs="Arial"/>
        </w:rPr>
      </w:pPr>
    </w:p>
    <w:p w14:paraId="2F19DB38" w14:textId="77777777" w:rsidR="004A3027" w:rsidRPr="00657BA6" w:rsidRDefault="004A3027" w:rsidP="0014780A">
      <w:pPr>
        <w:spacing w:after="0"/>
        <w:jc w:val="both"/>
        <w:rPr>
          <w:rFonts w:ascii="Arial" w:hAnsi="Arial" w:cs="Arial"/>
        </w:rPr>
      </w:pPr>
      <w:r w:rsidRPr="00657BA6">
        <w:rPr>
          <w:rFonts w:ascii="Arial" w:hAnsi="Arial" w:cs="Arial"/>
        </w:rPr>
        <w:t>El volumen de tráfico asociado a los usuarios del operador modelado es el principal inductor de los costos asociados con la red troncal, y la medida que permitirá explotar las economías de escala.</w:t>
      </w:r>
    </w:p>
    <w:p w14:paraId="0DFBCCD0" w14:textId="77777777" w:rsidR="004A3027" w:rsidRPr="00657BA6" w:rsidRDefault="004A3027" w:rsidP="0014780A">
      <w:pPr>
        <w:spacing w:after="0"/>
        <w:ind w:left="426"/>
        <w:jc w:val="both"/>
        <w:rPr>
          <w:rFonts w:ascii="Arial" w:hAnsi="Arial" w:cs="Arial"/>
          <w:spacing w:val="-4"/>
        </w:rPr>
      </w:pPr>
    </w:p>
    <w:p w14:paraId="0FECF665" w14:textId="77777777" w:rsidR="004A3027" w:rsidRPr="00657BA6" w:rsidRDefault="004A3027" w:rsidP="0014780A">
      <w:pPr>
        <w:spacing w:after="0"/>
        <w:jc w:val="both"/>
        <w:rPr>
          <w:rFonts w:ascii="Arial" w:hAnsi="Arial" w:cs="Arial"/>
          <w:spacing w:val="-4"/>
        </w:rPr>
      </w:pPr>
      <w:r w:rsidRPr="00657BA6">
        <w:rPr>
          <w:rFonts w:ascii="Arial" w:hAnsi="Arial" w:cs="Arial"/>
          <w:spacing w:val="-4"/>
        </w:rPr>
        <w:t>En el mercado hipotético competitivo la base de suscriptores de cada operador tendrá el mismo perfil de uso. Por lo tanto, el perfil de tráfico del operador modelado debería ser definido como la media del mercado, manteniendo la consistencia con la escala de dicho operador.</w:t>
      </w:r>
      <w:r w:rsidRPr="00657BA6">
        <w:rPr>
          <w:rFonts w:ascii="Arial" w:hAnsi="Arial" w:cs="Arial"/>
          <w:spacing w:val="-4"/>
          <w:vertAlign w:val="superscript"/>
        </w:rPr>
        <w:footnoteReference w:id="38"/>
      </w:r>
    </w:p>
    <w:p w14:paraId="10B54853" w14:textId="77777777" w:rsidR="004A3027" w:rsidRPr="00657BA6" w:rsidRDefault="004A3027" w:rsidP="0014780A">
      <w:pPr>
        <w:spacing w:after="0"/>
        <w:ind w:left="426"/>
        <w:jc w:val="both"/>
        <w:rPr>
          <w:rFonts w:ascii="Arial" w:hAnsi="Arial" w:cs="Arial"/>
        </w:rPr>
      </w:pPr>
    </w:p>
    <w:p w14:paraId="15A46482" w14:textId="77777777" w:rsidR="004A3027" w:rsidRPr="00657BA6" w:rsidRDefault="004A3027" w:rsidP="0014780A">
      <w:pPr>
        <w:spacing w:after="0"/>
        <w:jc w:val="both"/>
        <w:rPr>
          <w:rFonts w:ascii="Arial" w:hAnsi="Arial" w:cs="Arial"/>
          <w:spacing w:val="-4"/>
        </w:rPr>
      </w:pPr>
      <w:r w:rsidRPr="00657BA6">
        <w:rPr>
          <w:rFonts w:ascii="Arial" w:hAnsi="Arial" w:cs="Arial"/>
        </w:rPr>
        <w:t>El pronóstico del perfil de tráfico del operador modelado se basará en el perfil de la media del mercado, es decir la base de suscriptores de cada operador tendrá el mismo perfil de uso.</w:t>
      </w:r>
    </w:p>
    <w:p w14:paraId="5EB08639" w14:textId="77777777" w:rsidR="004A3027" w:rsidRPr="00657BA6" w:rsidRDefault="004A3027" w:rsidP="0014780A">
      <w:pPr>
        <w:spacing w:after="0"/>
        <w:ind w:left="426"/>
        <w:jc w:val="both"/>
        <w:rPr>
          <w:rFonts w:ascii="Arial" w:hAnsi="Arial" w:cs="Arial"/>
        </w:rPr>
      </w:pPr>
    </w:p>
    <w:p w14:paraId="351A1EFC" w14:textId="77777777" w:rsidR="004A3027" w:rsidRPr="00657BA6" w:rsidRDefault="004A3027" w:rsidP="0014780A">
      <w:pPr>
        <w:spacing w:after="0"/>
        <w:rPr>
          <w:rFonts w:ascii="Arial" w:hAnsi="Arial" w:cs="Arial"/>
        </w:rPr>
      </w:pPr>
      <w:r w:rsidRPr="00657BA6">
        <w:rPr>
          <w:rFonts w:ascii="Arial" w:hAnsi="Arial" w:cs="Arial"/>
          <w:b/>
        </w:rPr>
        <w:t>Costos mayoristas o minoristas</w:t>
      </w:r>
    </w:p>
    <w:p w14:paraId="46238110" w14:textId="77777777" w:rsidR="004A3027" w:rsidRPr="00657BA6" w:rsidRDefault="004A3027" w:rsidP="0014780A">
      <w:pPr>
        <w:spacing w:after="0"/>
        <w:jc w:val="both"/>
        <w:rPr>
          <w:rFonts w:ascii="Arial" w:hAnsi="Arial" w:cs="Arial"/>
        </w:rPr>
      </w:pPr>
    </w:p>
    <w:p w14:paraId="5B1B22A5" w14:textId="77777777" w:rsidR="004A3027" w:rsidRPr="00657BA6" w:rsidRDefault="004A3027" w:rsidP="0014780A">
      <w:pPr>
        <w:spacing w:after="0"/>
        <w:jc w:val="both"/>
        <w:rPr>
          <w:rFonts w:ascii="Arial" w:hAnsi="Arial" w:cs="Arial"/>
        </w:rPr>
      </w:pPr>
      <w:r w:rsidRPr="00657BA6">
        <w:rPr>
          <w:rFonts w:ascii="Arial" w:hAnsi="Arial" w:cs="Arial"/>
        </w:rPr>
        <w:t>Este aspecto se describe a continuación.</w:t>
      </w:r>
    </w:p>
    <w:p w14:paraId="3B0CF9FF" w14:textId="77777777" w:rsidR="004A3027" w:rsidRPr="00657BA6" w:rsidRDefault="004A3027" w:rsidP="0014780A">
      <w:pPr>
        <w:spacing w:after="0"/>
        <w:jc w:val="both"/>
        <w:rPr>
          <w:rFonts w:ascii="Arial" w:hAnsi="Arial" w:cs="Arial"/>
        </w:rPr>
      </w:pPr>
    </w:p>
    <w:p w14:paraId="7BDF6E3F" w14:textId="77777777" w:rsidR="004A3027" w:rsidRPr="00657BA6" w:rsidRDefault="004A3027" w:rsidP="0014780A">
      <w:pPr>
        <w:spacing w:after="0"/>
        <w:jc w:val="center"/>
        <w:rPr>
          <w:rFonts w:ascii="Arial" w:hAnsi="Arial" w:cs="Arial"/>
        </w:rPr>
      </w:pPr>
      <w:r w:rsidRPr="00657BA6">
        <w:rPr>
          <w:rFonts w:ascii="Arial" w:hAnsi="Arial" w:cs="Arial"/>
          <w:noProof/>
          <w:sz w:val="28"/>
          <w:szCs w:val="28"/>
          <w:lang w:eastAsia="es-MX"/>
        </w:rPr>
        <w:lastRenderedPageBreak/>
        <w:drawing>
          <wp:inline distT="0" distB="0" distL="0" distR="0" wp14:anchorId="7047E174" wp14:editId="10A10100">
            <wp:extent cx="2827769" cy="1679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2838420" cy="1685726"/>
                    </a:xfrm>
                    <a:prstGeom prst="rect">
                      <a:avLst/>
                    </a:prstGeom>
                    <a:noFill/>
                    <a:ln w="12700">
                      <a:noFill/>
                    </a:ln>
                  </pic:spPr>
                </pic:pic>
              </a:graphicData>
            </a:graphic>
          </wp:inline>
        </w:drawing>
      </w:r>
    </w:p>
    <w:p w14:paraId="45955315" w14:textId="77777777" w:rsidR="004A3027" w:rsidRPr="00657BA6" w:rsidRDefault="004A3027" w:rsidP="0014780A">
      <w:pPr>
        <w:spacing w:after="0"/>
        <w:ind w:left="426"/>
        <w:jc w:val="center"/>
        <w:rPr>
          <w:rFonts w:ascii="Arial" w:hAnsi="Arial" w:cs="Arial"/>
        </w:rPr>
      </w:pPr>
      <w:r w:rsidRPr="00657BA6">
        <w:rPr>
          <w:rFonts w:ascii="Arial" w:hAnsi="Arial" w:cs="Arial"/>
        </w:rPr>
        <w:t>Figura 6. Costos mayoristas o minoristas.</w:t>
      </w:r>
    </w:p>
    <w:p w14:paraId="0CA13190" w14:textId="77777777" w:rsidR="004A3027" w:rsidRPr="00657BA6" w:rsidRDefault="004A3027" w:rsidP="0014780A">
      <w:pPr>
        <w:spacing w:after="0"/>
        <w:ind w:left="426"/>
        <w:jc w:val="both"/>
        <w:rPr>
          <w:rFonts w:ascii="Arial" w:hAnsi="Arial" w:cs="Arial"/>
        </w:rPr>
      </w:pPr>
    </w:p>
    <w:p w14:paraId="1EF70821" w14:textId="77777777" w:rsidR="004A3027" w:rsidRPr="00657BA6" w:rsidRDefault="004A3027" w:rsidP="0014780A">
      <w:pPr>
        <w:spacing w:after="0"/>
        <w:jc w:val="both"/>
        <w:rPr>
          <w:rFonts w:ascii="Arial" w:hAnsi="Arial" w:cs="Arial"/>
        </w:rPr>
      </w:pPr>
      <w:r w:rsidRPr="00657BA6">
        <w:rPr>
          <w:rFonts w:ascii="Arial" w:hAnsi="Arial" w:cs="Arial"/>
        </w:rPr>
        <w:t xml:space="preserve">En el modelo separado verticalmente, los servicios de red (tales como el tráfico) son presupuestados por separado de las actividades minoristas (como las subvenciones de las terminales o el marketing). A los gastos generales se añade un </w:t>
      </w:r>
      <w:r w:rsidRPr="00657BA6">
        <w:rPr>
          <w:rFonts w:ascii="Arial" w:hAnsi="Arial" w:cs="Arial"/>
          <w:i/>
        </w:rPr>
        <w:t>mark-up</w:t>
      </w:r>
      <w:r w:rsidRPr="00657BA6">
        <w:rPr>
          <w:rFonts w:ascii="Arial" w:hAnsi="Arial" w:cs="Arial"/>
        </w:rPr>
        <w:t xml:space="preserve"> a la red y las actividades minoristas, y se considera para el costo mayorista de suministro de interconexión únicamente los costos de la red más la proporción de los gastos generales.</w:t>
      </w:r>
    </w:p>
    <w:p w14:paraId="05FF90EA" w14:textId="77777777" w:rsidR="004A3027" w:rsidRPr="00657BA6" w:rsidRDefault="004A3027" w:rsidP="0014780A">
      <w:pPr>
        <w:spacing w:after="0"/>
        <w:ind w:left="426"/>
        <w:jc w:val="both"/>
        <w:rPr>
          <w:rFonts w:ascii="Arial" w:hAnsi="Arial" w:cs="Arial"/>
        </w:rPr>
      </w:pPr>
    </w:p>
    <w:p w14:paraId="386719F4" w14:textId="77777777" w:rsidR="004A3027" w:rsidRPr="00657BA6" w:rsidRDefault="004A3027" w:rsidP="0014780A">
      <w:pPr>
        <w:spacing w:after="0"/>
        <w:jc w:val="both"/>
        <w:rPr>
          <w:rFonts w:ascii="Arial" w:hAnsi="Arial" w:cs="Arial"/>
        </w:rPr>
      </w:pPr>
      <w:r w:rsidRPr="00657BA6">
        <w:rPr>
          <w:rFonts w:ascii="Arial" w:hAnsi="Arial" w:cs="Arial"/>
        </w:rPr>
        <w:t xml:space="preserve">En el modelo de integración vertical, los costos minoristas se consideran como parte integral de los servicios de red y se incluyen en los costos del servicio a través de un </w:t>
      </w:r>
      <w:r w:rsidRPr="00657BA6">
        <w:rPr>
          <w:rFonts w:ascii="Arial" w:hAnsi="Arial" w:cs="Arial"/>
          <w:i/>
        </w:rPr>
        <w:t>mark-up</w:t>
      </w:r>
      <w:r w:rsidRPr="00657BA6">
        <w:rPr>
          <w:rFonts w:ascii="Arial" w:hAnsi="Arial" w:cs="Arial"/>
        </w:rPr>
        <w:t>, junto con los gastos generales. En consecuencia, no existe el concepto de acceso ‘mayorista’ a la terminación de llamadas móviles en el modelo de integración vertical ya que todos los costos minoristas se incluyen en el cálculo de los costos de los servicios.</w:t>
      </w:r>
    </w:p>
    <w:p w14:paraId="665B8147" w14:textId="77777777" w:rsidR="004A3027" w:rsidRPr="00657BA6" w:rsidRDefault="004A3027" w:rsidP="0014780A">
      <w:pPr>
        <w:spacing w:after="0"/>
        <w:jc w:val="both"/>
        <w:rPr>
          <w:rFonts w:ascii="Arial" w:hAnsi="Arial" w:cs="Arial"/>
          <w:spacing w:val="-2"/>
        </w:rPr>
      </w:pPr>
    </w:p>
    <w:p w14:paraId="5F7B6040" w14:textId="1F1C8581" w:rsidR="004A3027" w:rsidRPr="00657BA6" w:rsidRDefault="004A3027" w:rsidP="0014780A">
      <w:pPr>
        <w:spacing w:after="0"/>
        <w:jc w:val="both"/>
        <w:rPr>
          <w:rFonts w:ascii="Arial" w:hAnsi="Arial" w:cs="Arial"/>
        </w:rPr>
      </w:pPr>
      <w:r w:rsidRPr="00657BA6">
        <w:rPr>
          <w:rFonts w:ascii="Arial" w:hAnsi="Arial" w:cs="Arial"/>
        </w:rPr>
        <w:t xml:space="preserve">En la Metodología de Costos el Instituto regula los servicios de interconexión entre los que se encuentran los de conducción de tráfico y tránsito que son materia del Modelo Fijo y del Modelo Móvil, es así </w:t>
      </w:r>
      <w:r w:rsidR="00806CFD" w:rsidRPr="00657BA6">
        <w:rPr>
          <w:rFonts w:ascii="Arial" w:hAnsi="Arial" w:cs="Arial"/>
        </w:rPr>
        <w:t>como</w:t>
      </w:r>
      <w:r w:rsidRPr="00657BA6">
        <w:rPr>
          <w:rFonts w:ascii="Arial" w:hAnsi="Arial" w:cs="Arial"/>
        </w:rPr>
        <w:t xml:space="preserve"> únicamente se consideran los costos que son relevantes para la prestación de los servicios mayoristas de un negocio verticalmente separado que se pretenden regular con el desarrollo del modelo. </w:t>
      </w:r>
    </w:p>
    <w:p w14:paraId="1B2860D4" w14:textId="77777777" w:rsidR="004A3027" w:rsidRPr="00657BA6" w:rsidRDefault="004A3027" w:rsidP="0014780A">
      <w:pPr>
        <w:spacing w:after="0"/>
        <w:ind w:left="426"/>
        <w:jc w:val="both"/>
        <w:rPr>
          <w:rFonts w:ascii="Arial" w:hAnsi="Arial" w:cs="Arial"/>
        </w:rPr>
      </w:pPr>
    </w:p>
    <w:p w14:paraId="771755DE" w14:textId="77777777" w:rsidR="004A3027" w:rsidRPr="00657BA6" w:rsidRDefault="004A3027" w:rsidP="0014780A">
      <w:pPr>
        <w:spacing w:after="0"/>
        <w:jc w:val="both"/>
        <w:rPr>
          <w:rFonts w:ascii="Arial" w:hAnsi="Arial" w:cs="Arial"/>
        </w:rPr>
      </w:pPr>
      <w:r w:rsidRPr="00657BA6">
        <w:rPr>
          <w:rFonts w:ascii="Arial" w:hAnsi="Arial" w:cs="Arial"/>
        </w:rPr>
        <w:t xml:space="preserve">Sin embargo, los costos comunes a las actividades de red y minoristas pueden ser recuperados a través de los servicios de red mayoristas y los servicios minoristas en el caso de un modelo CIPLP (tratados como un </w:t>
      </w:r>
      <w:r w:rsidRPr="00657BA6">
        <w:rPr>
          <w:rFonts w:ascii="Arial" w:hAnsi="Arial" w:cs="Arial"/>
          <w:i/>
        </w:rPr>
        <w:t>mark-up</w:t>
      </w:r>
      <w:r w:rsidRPr="00657BA6">
        <w:rPr>
          <w:rFonts w:ascii="Arial" w:hAnsi="Arial" w:cs="Arial"/>
        </w:rPr>
        <w:t xml:space="preserve"> del resultado del CIPLP) pero no en el caso de un modelo CILP Puro. </w:t>
      </w:r>
    </w:p>
    <w:p w14:paraId="55460FF9" w14:textId="77777777" w:rsidR="004A3027" w:rsidRPr="00657BA6" w:rsidRDefault="004A3027" w:rsidP="0014780A">
      <w:pPr>
        <w:spacing w:after="0"/>
        <w:jc w:val="both"/>
        <w:rPr>
          <w:rFonts w:ascii="Arial" w:hAnsi="Arial" w:cs="Arial"/>
        </w:rPr>
      </w:pPr>
    </w:p>
    <w:p w14:paraId="7BDF93B4" w14:textId="77777777" w:rsidR="004A3027" w:rsidRPr="00657BA6" w:rsidRDefault="004A3027" w:rsidP="0014780A">
      <w:pPr>
        <w:spacing w:after="0"/>
        <w:jc w:val="both"/>
        <w:rPr>
          <w:rFonts w:ascii="Arial" w:hAnsi="Arial" w:cs="Arial"/>
        </w:rPr>
      </w:pPr>
      <w:r w:rsidRPr="00657BA6">
        <w:rPr>
          <w:rFonts w:ascii="Arial" w:hAnsi="Arial" w:cs="Arial"/>
        </w:rPr>
        <w:t>Un enfoque de separación vertical resulta en la exclusión de bastantes costos no relacionados con la red de los costos de terminación. Sin embargo, trae consigo la necesidad de determinar el tamaño relativo de los costos económicos de las actividades minoristas con el fin de determinar la magnitud de los costos generales (</w:t>
      </w:r>
      <w:r w:rsidRPr="00657BA6">
        <w:rPr>
          <w:rFonts w:ascii="Arial" w:hAnsi="Arial" w:cs="Arial"/>
          <w:i/>
        </w:rPr>
        <w:t>business overheads</w:t>
      </w:r>
      <w:r w:rsidRPr="00657BA6">
        <w:rPr>
          <w:rFonts w:ascii="Arial" w:hAnsi="Arial" w:cs="Arial"/>
        </w:rPr>
        <w:t xml:space="preserve">, en inglés) a añadir a los costos de red incrementales. </w:t>
      </w:r>
    </w:p>
    <w:p w14:paraId="4B324ED6" w14:textId="77777777" w:rsidR="004A3027" w:rsidRPr="00657BA6" w:rsidRDefault="004A3027" w:rsidP="0014780A">
      <w:pPr>
        <w:spacing w:after="0"/>
        <w:ind w:left="426"/>
        <w:jc w:val="both"/>
        <w:rPr>
          <w:rFonts w:ascii="Arial" w:hAnsi="Arial" w:cs="Arial"/>
        </w:rPr>
      </w:pPr>
    </w:p>
    <w:p w14:paraId="227163A6" w14:textId="361C4B36" w:rsidR="008A133E" w:rsidRPr="00657BA6" w:rsidRDefault="008A133E" w:rsidP="0014780A">
      <w:pPr>
        <w:spacing w:after="0"/>
        <w:jc w:val="both"/>
        <w:rPr>
          <w:rFonts w:ascii="Arial" w:hAnsi="Arial" w:cs="Arial"/>
        </w:rPr>
      </w:pPr>
      <w:r w:rsidRPr="00D47BB9">
        <w:rPr>
          <w:rFonts w:ascii="Arial" w:hAnsi="Arial" w:cs="Arial"/>
        </w:rPr>
        <w:lastRenderedPageBreak/>
        <w:t>El modelo calculará los costos de red, incluyendo los costos generales en el caso de los servicios sujetos a una metodología CIPLP. La proporción de gastos generales comunes que corresponde a la red se recupera como un costo operativo, que se revisa anualmente con la inflación y se distribuye entre todos los servicios en el caso de un modelo CIPLP, pero se excluyen de los gastos distribuibles al servicio de terminación en un modelo CILP puro. El modelo excluye los costos de naturaleza minorista.</w:t>
      </w:r>
    </w:p>
    <w:p w14:paraId="03F053E0" w14:textId="77777777" w:rsidR="004A3027" w:rsidRPr="00657BA6" w:rsidRDefault="004A3027" w:rsidP="0014780A">
      <w:pPr>
        <w:spacing w:after="0"/>
        <w:ind w:left="426"/>
        <w:jc w:val="both"/>
        <w:rPr>
          <w:rFonts w:ascii="Arial" w:hAnsi="Arial" w:cs="Arial"/>
        </w:rPr>
      </w:pPr>
    </w:p>
    <w:p w14:paraId="35CE724C" w14:textId="77777777" w:rsidR="004A3027" w:rsidRPr="00657BA6" w:rsidRDefault="004A3027" w:rsidP="0014780A">
      <w:pPr>
        <w:spacing w:after="0"/>
        <w:jc w:val="both"/>
        <w:rPr>
          <w:rFonts w:ascii="Arial" w:hAnsi="Arial" w:cs="Arial"/>
          <w:b/>
        </w:rPr>
      </w:pPr>
      <w:r w:rsidRPr="00657BA6">
        <w:rPr>
          <w:rFonts w:ascii="Arial" w:hAnsi="Arial" w:cs="Arial"/>
          <w:b/>
        </w:rPr>
        <w:t>1.4 Aspectos relacionados con la implementación de los modelos</w:t>
      </w:r>
    </w:p>
    <w:p w14:paraId="4C0390BF" w14:textId="77777777" w:rsidR="004A3027" w:rsidRPr="00657BA6" w:rsidRDefault="004A3027" w:rsidP="0014780A">
      <w:pPr>
        <w:spacing w:after="0"/>
        <w:ind w:left="426"/>
        <w:jc w:val="both"/>
        <w:rPr>
          <w:rFonts w:ascii="Arial" w:hAnsi="Arial" w:cs="Arial"/>
          <w:b/>
        </w:rPr>
      </w:pPr>
    </w:p>
    <w:p w14:paraId="3FD4BFA3" w14:textId="77777777" w:rsidR="004A3027" w:rsidRPr="00A73942" w:rsidRDefault="004A3027" w:rsidP="0014780A">
      <w:pPr>
        <w:spacing w:after="0"/>
        <w:rPr>
          <w:rFonts w:ascii="Arial" w:hAnsi="Arial" w:cs="Arial"/>
          <w:b/>
        </w:rPr>
      </w:pPr>
      <w:r w:rsidRPr="00A73942">
        <w:rPr>
          <w:rFonts w:ascii="Arial" w:hAnsi="Arial" w:cs="Arial"/>
          <w:b/>
        </w:rPr>
        <w:t>Selección del incremento de servicio</w:t>
      </w:r>
    </w:p>
    <w:p w14:paraId="5FC8984B" w14:textId="77777777" w:rsidR="004A3027" w:rsidRPr="00A73942" w:rsidRDefault="004A3027" w:rsidP="0014780A">
      <w:pPr>
        <w:spacing w:after="0"/>
        <w:rPr>
          <w:rFonts w:ascii="Arial" w:hAnsi="Arial" w:cs="Arial"/>
          <w:b/>
        </w:rPr>
      </w:pPr>
    </w:p>
    <w:p w14:paraId="2D876B69" w14:textId="77777777" w:rsidR="004A3027" w:rsidRPr="00A73942" w:rsidRDefault="004A3027" w:rsidP="0014780A">
      <w:pPr>
        <w:spacing w:after="0"/>
        <w:jc w:val="both"/>
        <w:rPr>
          <w:rFonts w:ascii="Arial" w:hAnsi="Arial" w:cs="Arial"/>
          <w:spacing w:val="-4"/>
        </w:rPr>
      </w:pPr>
      <w:r w:rsidRPr="00A73942">
        <w:rPr>
          <w:rFonts w:ascii="Arial" w:hAnsi="Arial" w:cs="Arial"/>
          <w:spacing w:val="-4"/>
        </w:rPr>
        <w:t xml:space="preserve">El costo incremental es el costo que incurre un operador para satisfacer el incremento en la demanda de uno de sus servicios, bajo el supuesto de que la demanda de los otros servicios que ofrece el operador no sufre cambios. Por otro lado, es el costo total que evitaría el operador si cesara la provisión de ese servicio particular. De esta forma los incrementos toman la forma de un servicio, o conjunto de servicios, al que se distribuyen los costos, ya sea de forma directa (en el caso de los costos incrementales) o mediante un </w:t>
      </w:r>
      <w:r w:rsidRPr="00A73942">
        <w:rPr>
          <w:rFonts w:ascii="Arial" w:hAnsi="Arial" w:cs="Arial"/>
          <w:i/>
          <w:spacing w:val="-4"/>
        </w:rPr>
        <w:t>mark-up</w:t>
      </w:r>
      <w:r w:rsidRPr="00A73942">
        <w:rPr>
          <w:rFonts w:ascii="Arial" w:hAnsi="Arial" w:cs="Arial"/>
          <w:spacing w:val="-4"/>
        </w:rPr>
        <w:t xml:space="preserve"> (si se incluyen los costos comunes). El tamaño y número del incremento afecta la complejidad</w:t>
      </w:r>
      <w:r w:rsidRPr="00A73942">
        <w:rPr>
          <w:rFonts w:ascii="Arial" w:hAnsi="Arial" w:cs="Arial"/>
          <w:spacing w:val="-4"/>
          <w:vertAlign w:val="superscript"/>
        </w:rPr>
        <w:footnoteReference w:id="39"/>
      </w:r>
      <w:r w:rsidRPr="00A73942">
        <w:rPr>
          <w:rFonts w:ascii="Arial" w:hAnsi="Arial" w:cs="Arial"/>
          <w:spacing w:val="-4"/>
          <w:vertAlign w:val="superscript"/>
        </w:rPr>
        <w:t xml:space="preserve"> </w:t>
      </w:r>
      <w:r w:rsidRPr="00A73942">
        <w:rPr>
          <w:rFonts w:ascii="Arial" w:hAnsi="Arial" w:cs="Arial"/>
          <w:spacing w:val="-4"/>
        </w:rPr>
        <w:t>de los resultados y la magnitud</w:t>
      </w:r>
      <w:r w:rsidRPr="00A73942">
        <w:rPr>
          <w:rFonts w:ascii="Arial" w:hAnsi="Arial" w:cs="Arial"/>
          <w:spacing w:val="-4"/>
          <w:vertAlign w:val="superscript"/>
        </w:rPr>
        <w:footnoteReference w:id="40"/>
      </w:r>
      <w:r w:rsidRPr="00A73942">
        <w:rPr>
          <w:rFonts w:ascii="Arial" w:hAnsi="Arial" w:cs="Arial"/>
          <w:spacing w:val="-4"/>
        </w:rPr>
        <w:t xml:space="preserve"> de los costos resultantes.</w:t>
      </w:r>
    </w:p>
    <w:p w14:paraId="3F305FC7" w14:textId="77777777" w:rsidR="004A3027" w:rsidRPr="00677BB3" w:rsidRDefault="004A3027" w:rsidP="0014780A">
      <w:pPr>
        <w:spacing w:after="0"/>
        <w:rPr>
          <w:rFonts w:ascii="Arial" w:hAnsi="Arial" w:cs="Arial"/>
          <w:b/>
        </w:rPr>
      </w:pPr>
    </w:p>
    <w:p w14:paraId="3DD73DD2" w14:textId="77777777" w:rsidR="004A3027" w:rsidRPr="00677BB3" w:rsidRDefault="004A3027" w:rsidP="0014780A">
      <w:pPr>
        <w:spacing w:after="0"/>
        <w:rPr>
          <w:rFonts w:ascii="Arial" w:hAnsi="Arial" w:cs="Arial"/>
          <w:b/>
        </w:rPr>
      </w:pPr>
      <w:r w:rsidRPr="00677BB3">
        <w:rPr>
          <w:rFonts w:ascii="Arial" w:hAnsi="Arial" w:cs="Arial"/>
          <w:b/>
        </w:rPr>
        <w:t xml:space="preserve">Enfoque CITLP </w:t>
      </w:r>
    </w:p>
    <w:p w14:paraId="056B63AE" w14:textId="77777777" w:rsidR="004A3027" w:rsidRPr="00677BB3" w:rsidRDefault="004A3027" w:rsidP="0014780A">
      <w:pPr>
        <w:spacing w:after="0"/>
        <w:rPr>
          <w:rFonts w:ascii="Arial" w:hAnsi="Arial" w:cs="Arial"/>
          <w:b/>
        </w:rPr>
      </w:pPr>
    </w:p>
    <w:p w14:paraId="03DBBB25" w14:textId="77777777" w:rsidR="004A3027" w:rsidRPr="00677BB3" w:rsidRDefault="004A3027" w:rsidP="0014780A">
      <w:pPr>
        <w:spacing w:after="0"/>
        <w:jc w:val="both"/>
        <w:rPr>
          <w:rFonts w:ascii="Arial" w:hAnsi="Arial" w:cs="Arial"/>
          <w:spacing w:val="-4"/>
        </w:rPr>
      </w:pPr>
      <w:r w:rsidRPr="00677BB3">
        <w:rPr>
          <w:rFonts w:ascii="Arial" w:hAnsi="Arial" w:cs="Arial"/>
          <w:spacing w:val="-4"/>
        </w:rPr>
        <w:t>El costo incremental total promedio de largo plazo</w:t>
      </w:r>
      <w:r w:rsidRPr="00677BB3">
        <w:rPr>
          <w:rFonts w:ascii="Arial" w:hAnsi="Arial" w:cs="Arial"/>
          <w:spacing w:val="-4"/>
          <w:vertAlign w:val="superscript"/>
        </w:rPr>
        <w:footnoteReference w:id="41"/>
      </w:r>
      <w:r w:rsidRPr="00677BB3">
        <w:rPr>
          <w:rFonts w:ascii="Arial" w:hAnsi="Arial" w:cs="Arial"/>
          <w:spacing w:val="-4"/>
        </w:rPr>
        <w:t xml:space="preserve"> (CITLP, CIPLP+ o LRAIC+) puede ser descrito como un enfoque de grandes incrementos – todos los servicios que contribuyen a las economías de escala en la red se suman en un gran incremento; los costos de servicios individuales se identifican mediante la repartición del gran costo incremental (tráfico) de acuerdo con los factores de ruteo del uso de recursos promedio. </w:t>
      </w:r>
    </w:p>
    <w:p w14:paraId="1FA71F02" w14:textId="77777777" w:rsidR="004A3027" w:rsidRPr="00677BB3" w:rsidRDefault="004A3027" w:rsidP="0014780A">
      <w:pPr>
        <w:spacing w:after="0"/>
        <w:jc w:val="both"/>
        <w:rPr>
          <w:rFonts w:ascii="Arial" w:hAnsi="Arial" w:cs="Arial"/>
          <w:spacing w:val="-4"/>
        </w:rPr>
      </w:pPr>
    </w:p>
    <w:p w14:paraId="695D5BC7" w14:textId="77777777" w:rsidR="004A3027" w:rsidRPr="00677BB3" w:rsidRDefault="004A3027" w:rsidP="0014780A">
      <w:pPr>
        <w:spacing w:after="0"/>
        <w:jc w:val="both"/>
        <w:rPr>
          <w:rFonts w:ascii="Arial" w:hAnsi="Arial" w:cs="Arial"/>
          <w:spacing w:val="-4"/>
        </w:rPr>
      </w:pPr>
      <w:r w:rsidRPr="00677BB3">
        <w:rPr>
          <w:rFonts w:ascii="Arial" w:hAnsi="Arial" w:cs="Arial"/>
          <w:spacing w:val="-4"/>
        </w:rPr>
        <w:t>La adopción de un gran incremento – en general alguna forma de “tráfico” agregado – significa que todos los servicios que son suministrados se tratan juntos y con igualdad. Cuando uno de estos servicios está regulado, se beneficia de las economías de escala promedio y no de una mayor o menor dimensión de estas economías. El uso de un gran incremento también limita los costos comunes a una evaluación del mínimo despliegue de red necesario para ofrecer el servicio.</w:t>
      </w:r>
    </w:p>
    <w:p w14:paraId="3D96C925" w14:textId="77777777" w:rsidR="004A3027" w:rsidRPr="00677BB3" w:rsidRDefault="004A3027" w:rsidP="0014780A">
      <w:pPr>
        <w:spacing w:after="0"/>
        <w:jc w:val="both"/>
        <w:rPr>
          <w:rFonts w:ascii="Arial" w:hAnsi="Arial" w:cs="Arial"/>
          <w:spacing w:val="-4"/>
        </w:rPr>
      </w:pPr>
    </w:p>
    <w:p w14:paraId="5CAF60D7" w14:textId="77777777" w:rsidR="004A3027" w:rsidRPr="00677BB3" w:rsidRDefault="004A3027" w:rsidP="0014780A">
      <w:pPr>
        <w:spacing w:after="0"/>
        <w:jc w:val="both"/>
        <w:rPr>
          <w:rFonts w:ascii="Arial" w:hAnsi="Arial" w:cs="Arial"/>
          <w:spacing w:val="-4"/>
        </w:rPr>
      </w:pPr>
      <w:r w:rsidRPr="00677BB3">
        <w:rPr>
          <w:rFonts w:ascii="Arial" w:hAnsi="Arial" w:cs="Arial"/>
          <w:spacing w:val="-4"/>
        </w:rPr>
        <w:t xml:space="preserve">Este enfoque implica la inclusión de costos comunes, por ejemplo, costos de la red que son comunes a todo el tráfico como pueden ser cobertura, licencias y gastos generales. El uso de un incremento </w:t>
      </w:r>
      <w:r w:rsidRPr="00677BB3">
        <w:rPr>
          <w:rFonts w:ascii="Arial" w:hAnsi="Arial" w:cs="Arial"/>
          <w:spacing w:val="-4"/>
        </w:rPr>
        <w:lastRenderedPageBreak/>
        <w:t>grande implica que los costos comunes para los servicios de tráfico son automáticamente incluidos en el incremento.</w:t>
      </w:r>
    </w:p>
    <w:p w14:paraId="4F22EE1F" w14:textId="77777777" w:rsidR="004A3027" w:rsidRPr="00677BB3" w:rsidRDefault="004A3027" w:rsidP="0014780A">
      <w:pPr>
        <w:spacing w:after="0"/>
        <w:jc w:val="both"/>
        <w:rPr>
          <w:rFonts w:ascii="Arial" w:hAnsi="Arial" w:cs="Arial"/>
          <w:spacing w:val="-4"/>
        </w:rPr>
      </w:pPr>
    </w:p>
    <w:p w14:paraId="0A16092F" w14:textId="77777777" w:rsidR="004A3027" w:rsidRDefault="004A3027" w:rsidP="0014780A">
      <w:pPr>
        <w:spacing w:after="0"/>
        <w:jc w:val="both"/>
        <w:rPr>
          <w:rFonts w:ascii="Arial" w:hAnsi="Arial" w:cs="Arial"/>
          <w:spacing w:val="-4"/>
        </w:rPr>
      </w:pPr>
      <w:r w:rsidRPr="00677BB3">
        <w:rPr>
          <w:rFonts w:ascii="Arial" w:hAnsi="Arial" w:cs="Arial"/>
          <w:spacing w:val="-4"/>
        </w:rPr>
        <w:t>Un método generalmente utilizado debido a su objetividad y facilidad de implementación para la repartición de costos comunes es el de Márgenes Equiproporcionales (EPMU), mismo que es consistente con las prácticas regulatorias a nivel mundial.</w:t>
      </w:r>
    </w:p>
    <w:p w14:paraId="2111EF37" w14:textId="77777777" w:rsidR="007D6E3B" w:rsidRPr="00677BB3" w:rsidRDefault="007D6E3B" w:rsidP="0014780A">
      <w:pPr>
        <w:spacing w:after="0"/>
        <w:jc w:val="both"/>
        <w:rPr>
          <w:rFonts w:ascii="Arial" w:hAnsi="Arial" w:cs="Arial"/>
          <w:spacing w:val="-4"/>
        </w:rPr>
      </w:pPr>
    </w:p>
    <w:p w14:paraId="0A6B1576" w14:textId="767E22BE" w:rsidR="004A3027" w:rsidRDefault="004A3027" w:rsidP="0014780A">
      <w:pPr>
        <w:spacing w:after="0"/>
        <w:jc w:val="both"/>
        <w:rPr>
          <w:rFonts w:ascii="Arial" w:hAnsi="Arial" w:cs="Arial"/>
          <w:spacing w:val="-4"/>
        </w:rPr>
      </w:pPr>
      <w:r w:rsidRPr="00677BB3">
        <w:rPr>
          <w:rFonts w:ascii="Arial" w:hAnsi="Arial" w:cs="Arial"/>
          <w:spacing w:val="-4"/>
        </w:rPr>
        <w:t>En el modelo de costos se emplea el método EPMU para distribuir los costos comunes a cada servicio en el modelo CI</w:t>
      </w:r>
      <w:r w:rsidR="007D6E3B">
        <w:rPr>
          <w:rFonts w:ascii="Arial" w:hAnsi="Arial" w:cs="Arial"/>
          <w:spacing w:val="-4"/>
        </w:rPr>
        <w:t>T</w:t>
      </w:r>
      <w:r w:rsidRPr="00677BB3">
        <w:rPr>
          <w:rFonts w:ascii="Arial" w:hAnsi="Arial" w:cs="Arial"/>
          <w:spacing w:val="-4"/>
        </w:rPr>
        <w:t xml:space="preserve">LP (para uso meramente informativo) pero se excluirá el </w:t>
      </w:r>
      <w:r w:rsidRPr="00677BB3">
        <w:rPr>
          <w:rFonts w:ascii="Arial" w:hAnsi="Arial" w:cs="Arial"/>
          <w:i/>
          <w:spacing w:val="-4"/>
        </w:rPr>
        <w:t>mark-up</w:t>
      </w:r>
      <w:r w:rsidRPr="00677BB3">
        <w:rPr>
          <w:rFonts w:ascii="Arial" w:hAnsi="Arial" w:cs="Arial"/>
          <w:spacing w:val="-4"/>
        </w:rPr>
        <w:t xml:space="preserve"> del modelo CILP puro. </w:t>
      </w:r>
    </w:p>
    <w:p w14:paraId="4C8467BA" w14:textId="77777777" w:rsidR="007D6E3B" w:rsidRPr="00677BB3" w:rsidRDefault="007D6E3B" w:rsidP="0014780A">
      <w:pPr>
        <w:spacing w:after="0"/>
        <w:jc w:val="both"/>
        <w:rPr>
          <w:rFonts w:ascii="Arial" w:hAnsi="Arial" w:cs="Arial"/>
          <w:spacing w:val="-4"/>
        </w:rPr>
      </w:pPr>
    </w:p>
    <w:p w14:paraId="49230AFC" w14:textId="77777777" w:rsidR="004A3027" w:rsidRPr="00677BB3" w:rsidRDefault="004A3027" w:rsidP="0014780A">
      <w:pPr>
        <w:spacing w:after="0"/>
        <w:jc w:val="both"/>
        <w:rPr>
          <w:rFonts w:ascii="Arial" w:hAnsi="Arial" w:cs="Arial"/>
          <w:spacing w:val="-4"/>
        </w:rPr>
      </w:pPr>
      <w:r w:rsidRPr="00677BB3">
        <w:rPr>
          <w:rFonts w:ascii="Arial" w:hAnsi="Arial" w:cs="Arial"/>
          <w:spacing w:val="-4"/>
        </w:rPr>
        <w:t>En este contexto es también necesario identificar un incremento de usuarios que capture los costos que varían con el volumen de usuarios (no por cambios en volumen de tráfico). El incremento de usuarios, que capturará estos costos, debe ser definido con cuidado para ser consistente y transparente para las redes fija y móvil. Estos costos son definidos como los costos promedio incrementales cuando nuevos usuarios son agregados a la red.</w:t>
      </w:r>
    </w:p>
    <w:p w14:paraId="60694B73" w14:textId="77777777" w:rsidR="004A3027" w:rsidRPr="00677BB3" w:rsidRDefault="004A3027" w:rsidP="0014780A">
      <w:pPr>
        <w:spacing w:after="0"/>
        <w:jc w:val="both"/>
        <w:rPr>
          <w:rFonts w:ascii="Arial" w:hAnsi="Arial" w:cs="Arial"/>
          <w:spacing w:val="-4"/>
        </w:rPr>
      </w:pPr>
    </w:p>
    <w:p w14:paraId="428055D1" w14:textId="77777777" w:rsidR="004A3027" w:rsidRPr="00677BB3" w:rsidRDefault="004A3027" w:rsidP="0014780A">
      <w:pPr>
        <w:numPr>
          <w:ilvl w:val="0"/>
          <w:numId w:val="14"/>
        </w:numPr>
        <w:spacing w:after="0"/>
        <w:jc w:val="both"/>
        <w:rPr>
          <w:rFonts w:ascii="Arial" w:hAnsi="Arial" w:cs="Arial"/>
          <w:spacing w:val="-4"/>
        </w:rPr>
      </w:pPr>
      <w:r w:rsidRPr="00677BB3">
        <w:rPr>
          <w:rFonts w:ascii="Arial" w:hAnsi="Arial" w:cs="Arial"/>
          <w:spacing w:val="-4"/>
        </w:rPr>
        <w:t>En una red móvil, un nuevo usuario recibe una tarjeta SIM para poder enviar y recibir tráfico en el punto de concentración (el aire es la interfaz).</w:t>
      </w:r>
    </w:p>
    <w:p w14:paraId="50690100" w14:textId="77777777" w:rsidR="004A3027" w:rsidRPr="00677BB3" w:rsidRDefault="004A3027" w:rsidP="0014780A">
      <w:pPr>
        <w:numPr>
          <w:ilvl w:val="0"/>
          <w:numId w:val="14"/>
        </w:numPr>
        <w:spacing w:after="0"/>
        <w:ind w:left="714" w:hanging="357"/>
        <w:jc w:val="both"/>
        <w:rPr>
          <w:rFonts w:ascii="Arial" w:hAnsi="Arial" w:cs="Arial"/>
          <w:spacing w:val="-4"/>
        </w:rPr>
      </w:pPr>
      <w:r w:rsidRPr="00677BB3">
        <w:rPr>
          <w:rFonts w:ascii="Arial" w:hAnsi="Arial" w:cs="Arial"/>
          <w:spacing w:val="-4"/>
        </w:rPr>
        <w:t>En una red fija, un nuevo usuario requerirá ser conectado a la tarjeta del conmutador, o equivalente en una red de nueva generación, mediante cobre/cable/fibra que vaya del usuario al punto de concentración.</w:t>
      </w:r>
    </w:p>
    <w:p w14:paraId="6758412D" w14:textId="77777777" w:rsidR="004A3027" w:rsidRPr="00677BB3" w:rsidRDefault="004A3027" w:rsidP="0014780A">
      <w:pPr>
        <w:spacing w:after="0"/>
        <w:ind w:left="714"/>
        <w:jc w:val="both"/>
        <w:rPr>
          <w:rFonts w:ascii="Arial" w:hAnsi="Arial" w:cs="Arial"/>
          <w:spacing w:val="-4"/>
        </w:rPr>
      </w:pPr>
    </w:p>
    <w:p w14:paraId="3FC955EE" w14:textId="77777777" w:rsidR="004A3027" w:rsidRPr="00677BB3" w:rsidRDefault="004A3027" w:rsidP="0014780A">
      <w:pPr>
        <w:spacing w:after="0"/>
        <w:jc w:val="both"/>
        <w:rPr>
          <w:rFonts w:ascii="Arial" w:hAnsi="Arial" w:cs="Arial"/>
          <w:spacing w:val="-4"/>
        </w:rPr>
      </w:pPr>
      <w:r w:rsidRPr="00677BB3">
        <w:rPr>
          <w:rFonts w:ascii="Arial" w:hAnsi="Arial" w:cs="Arial"/>
          <w:spacing w:val="-4"/>
        </w:rPr>
        <w:t xml:space="preserve">Para propósitos del modelo este “servicio incremental de usuario” es definido sencillamente como el derecho a unirse a la red de usuarios. Cualquier otro costo, incluyendo los costos requeridos para establecer una red operacional pero sólo con capacidad mínima, son recuperados mediante los incrementos de uso. Por consiguiente, todo el equipo para usuarios será también excluido (p.ej. teléfonos, módems, etc.). </w:t>
      </w:r>
    </w:p>
    <w:p w14:paraId="29F26B98" w14:textId="77777777" w:rsidR="004A3027" w:rsidRPr="00677BB3" w:rsidRDefault="004A3027" w:rsidP="0014780A">
      <w:pPr>
        <w:spacing w:after="0"/>
        <w:jc w:val="both"/>
        <w:rPr>
          <w:rFonts w:ascii="Arial" w:hAnsi="Arial" w:cs="Arial"/>
          <w:spacing w:val="-4"/>
        </w:rPr>
      </w:pPr>
    </w:p>
    <w:p w14:paraId="541681C8" w14:textId="77777777" w:rsidR="004A3027" w:rsidRPr="00A73942" w:rsidRDefault="004A3027" w:rsidP="0014780A">
      <w:pPr>
        <w:spacing w:after="0"/>
        <w:jc w:val="both"/>
        <w:rPr>
          <w:rFonts w:ascii="Arial" w:hAnsi="Arial" w:cs="Arial"/>
          <w:spacing w:val="-4"/>
        </w:rPr>
      </w:pPr>
      <w:r w:rsidRPr="00A73942">
        <w:rPr>
          <w:rFonts w:ascii="Arial" w:hAnsi="Arial" w:cs="Arial"/>
          <w:spacing w:val="-4"/>
        </w:rPr>
        <w:t>En el siguiente diagrama se encuentran reflejados los costos a incluirse siguiendo este método.</w:t>
      </w:r>
    </w:p>
    <w:p w14:paraId="7E7DAE25" w14:textId="77777777" w:rsidR="004A3027" w:rsidRPr="00A73942" w:rsidRDefault="004A3027" w:rsidP="0014780A">
      <w:pPr>
        <w:spacing w:after="0"/>
        <w:jc w:val="center"/>
        <w:rPr>
          <w:rFonts w:ascii="Arial" w:hAnsi="Arial" w:cs="Arial"/>
        </w:rPr>
      </w:pPr>
      <w:r w:rsidRPr="00A73942">
        <w:rPr>
          <w:rFonts w:ascii="Arial" w:eastAsia="Times New Roman" w:hAnsi="Arial" w:cs="Arial"/>
          <w:bCs/>
          <w:i/>
          <w:iCs/>
          <w:noProof/>
          <w:lang w:eastAsia="es-MX"/>
        </w:rPr>
        <w:drawing>
          <wp:inline distT="0" distB="0" distL="0" distR="0" wp14:anchorId="0BB0192C" wp14:editId="7DC25AFD">
            <wp:extent cx="4498002" cy="2103094"/>
            <wp:effectExtent l="0" t="0" r="0" b="0"/>
            <wp:docPr id="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4501412" cy="2104688"/>
                    </a:xfrm>
                    <a:prstGeom prst="rect">
                      <a:avLst/>
                    </a:prstGeom>
                    <a:noFill/>
                    <a:ln>
                      <a:noFill/>
                    </a:ln>
                  </pic:spPr>
                </pic:pic>
              </a:graphicData>
            </a:graphic>
          </wp:inline>
        </w:drawing>
      </w:r>
    </w:p>
    <w:p w14:paraId="368EAF23" w14:textId="77777777" w:rsidR="004A3027" w:rsidRPr="00657BA6" w:rsidRDefault="004A3027" w:rsidP="0014780A">
      <w:pPr>
        <w:spacing w:after="0"/>
        <w:jc w:val="center"/>
        <w:rPr>
          <w:rFonts w:ascii="Arial" w:hAnsi="Arial" w:cs="Arial"/>
          <w:spacing w:val="-4"/>
        </w:rPr>
      </w:pPr>
      <w:r w:rsidRPr="00A73942">
        <w:rPr>
          <w:rFonts w:ascii="Arial" w:hAnsi="Arial" w:cs="Arial"/>
          <w:spacing w:val="-4"/>
        </w:rPr>
        <w:lastRenderedPageBreak/>
        <w:t>Figura 7. Distribución de costos usando CIPLP Plus.</w:t>
      </w:r>
    </w:p>
    <w:p w14:paraId="1AE1A88F" w14:textId="77777777" w:rsidR="004A3027" w:rsidRPr="00657BA6" w:rsidRDefault="004A3027" w:rsidP="0014780A">
      <w:pPr>
        <w:spacing w:after="0"/>
        <w:rPr>
          <w:rFonts w:ascii="Arial" w:hAnsi="Arial" w:cs="Arial"/>
          <w:lang w:eastAsia="es-ES"/>
        </w:rPr>
      </w:pPr>
    </w:p>
    <w:p w14:paraId="5E0C3D6E" w14:textId="77777777" w:rsidR="004A3027" w:rsidRPr="00657BA6" w:rsidRDefault="004A3027" w:rsidP="0014780A">
      <w:pPr>
        <w:spacing w:after="0"/>
        <w:rPr>
          <w:rFonts w:ascii="Arial" w:hAnsi="Arial" w:cs="Arial"/>
          <w:b/>
        </w:rPr>
      </w:pPr>
      <w:r w:rsidRPr="00657BA6">
        <w:rPr>
          <w:rFonts w:ascii="Arial" w:hAnsi="Arial" w:cs="Arial"/>
          <w:b/>
        </w:rPr>
        <w:t>Enfoque CILP Puro</w:t>
      </w:r>
    </w:p>
    <w:p w14:paraId="169D89BE" w14:textId="77777777" w:rsidR="004A3027" w:rsidRPr="00657BA6" w:rsidRDefault="004A3027" w:rsidP="0014780A">
      <w:pPr>
        <w:spacing w:after="0"/>
        <w:jc w:val="both"/>
        <w:rPr>
          <w:rFonts w:ascii="Arial" w:hAnsi="Arial" w:cs="Arial"/>
          <w:spacing w:val="-4"/>
        </w:rPr>
      </w:pPr>
    </w:p>
    <w:p w14:paraId="34B9FD44" w14:textId="77777777" w:rsidR="004A3027" w:rsidRPr="00657BA6" w:rsidRDefault="004A3027" w:rsidP="0014780A">
      <w:pPr>
        <w:spacing w:after="0"/>
        <w:jc w:val="both"/>
        <w:rPr>
          <w:rFonts w:ascii="Arial" w:hAnsi="Arial" w:cs="Arial"/>
          <w:spacing w:val="-4"/>
        </w:rPr>
      </w:pPr>
      <w:r w:rsidRPr="00657BA6">
        <w:rPr>
          <w:rFonts w:ascii="Arial" w:hAnsi="Arial" w:cs="Arial"/>
          <w:spacing w:val="-4"/>
        </w:rPr>
        <w:t>El costo incremental de largo plazo puro es acorde a los Lineamientos Tercero y Cuarto de la Metodología de Costos, que a la letra establecen:</w:t>
      </w:r>
    </w:p>
    <w:p w14:paraId="5E35D8DE" w14:textId="77777777" w:rsidR="004A3027" w:rsidRPr="00657BA6" w:rsidRDefault="004A3027" w:rsidP="0014780A">
      <w:pPr>
        <w:spacing w:after="0"/>
        <w:jc w:val="both"/>
        <w:rPr>
          <w:rFonts w:ascii="Arial" w:hAnsi="Arial" w:cs="Arial"/>
          <w:spacing w:val="-4"/>
        </w:rPr>
      </w:pPr>
    </w:p>
    <w:p w14:paraId="52CD9B35" w14:textId="77777777" w:rsidR="004A3027" w:rsidRPr="00657BA6" w:rsidRDefault="004A3027" w:rsidP="0014780A">
      <w:pPr>
        <w:spacing w:after="0"/>
        <w:ind w:left="567" w:right="651"/>
        <w:jc w:val="both"/>
        <w:rPr>
          <w:rFonts w:ascii="Arial" w:eastAsia="Times New Roman" w:hAnsi="Arial" w:cs="Arial"/>
          <w:i/>
          <w:sz w:val="20"/>
          <w:szCs w:val="20"/>
          <w:lang w:eastAsia="es-ES"/>
        </w:rPr>
      </w:pPr>
      <w:r w:rsidRPr="00657BA6">
        <w:rPr>
          <w:rFonts w:ascii="Arial" w:eastAsia="Times New Roman" w:hAnsi="Arial" w:cs="Arial"/>
          <w:i/>
          <w:sz w:val="20"/>
          <w:szCs w:val="20"/>
          <w:lang w:eastAsia="es-ES"/>
        </w:rPr>
        <w:t>“</w:t>
      </w:r>
      <w:r w:rsidRPr="00657BA6">
        <w:rPr>
          <w:rFonts w:ascii="Arial" w:eastAsia="Times New Roman" w:hAnsi="Arial" w:cs="Arial"/>
          <w:b/>
          <w:i/>
          <w:sz w:val="20"/>
          <w:szCs w:val="20"/>
          <w:lang w:eastAsia="es-ES"/>
        </w:rPr>
        <w:t xml:space="preserve">TERCERO.- </w:t>
      </w:r>
      <w:r w:rsidRPr="00657BA6">
        <w:rPr>
          <w:rFonts w:ascii="Arial" w:eastAsia="Times New Roman" w:hAnsi="Arial" w:cs="Arial"/>
          <w:i/>
          <w:sz w:val="20"/>
          <w:szCs w:val="20"/>
          <w:lang w:eastAsia="es-ES"/>
        </w:rPr>
        <w:t xml:space="preserve">En la elaboración de los Modelos de Costos, para los servicios de conducción de tráfico,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34C822EF" w14:textId="77777777" w:rsidR="004A3027" w:rsidRPr="00657BA6" w:rsidRDefault="004A3027" w:rsidP="0014780A">
      <w:pPr>
        <w:spacing w:after="0"/>
        <w:ind w:left="567" w:right="651"/>
        <w:jc w:val="both"/>
        <w:rPr>
          <w:rFonts w:ascii="Arial" w:eastAsia="Times New Roman" w:hAnsi="Arial" w:cs="Arial"/>
          <w:i/>
          <w:sz w:val="20"/>
          <w:szCs w:val="20"/>
          <w:lang w:eastAsia="es-ES"/>
        </w:rPr>
      </w:pPr>
    </w:p>
    <w:p w14:paraId="7CF10D20" w14:textId="77777777" w:rsidR="004A3027" w:rsidRPr="00657BA6" w:rsidRDefault="004A3027" w:rsidP="0014780A">
      <w:pPr>
        <w:spacing w:after="0"/>
        <w:ind w:left="567" w:right="651"/>
        <w:jc w:val="both"/>
        <w:rPr>
          <w:rFonts w:ascii="Arial" w:eastAsia="Times New Roman" w:hAnsi="Arial" w:cs="Arial"/>
          <w:i/>
          <w:sz w:val="20"/>
          <w:szCs w:val="20"/>
          <w:lang w:eastAsia="es-ES"/>
        </w:rPr>
      </w:pPr>
      <w:r w:rsidRPr="00657BA6">
        <w:rPr>
          <w:rFonts w:ascii="Arial" w:eastAsia="Times New Roman" w:hAnsi="Arial" w:cs="Arial"/>
          <w:i/>
          <w:sz w:val="20"/>
          <w:szCs w:val="20"/>
          <w:lang w:eastAsia="es-ES"/>
        </w:rPr>
        <w:t xml:space="preserve">La unidad de medida que se empleará en los Modelos de Costos para los servicios de conducción de tráfico cuando éstos se midan por tiempo, será el segundo. </w:t>
      </w:r>
    </w:p>
    <w:p w14:paraId="469190D1" w14:textId="77777777" w:rsidR="004A3027" w:rsidRPr="00657BA6" w:rsidRDefault="004A3027" w:rsidP="0014780A">
      <w:pPr>
        <w:spacing w:after="0"/>
        <w:ind w:left="567" w:right="651"/>
        <w:jc w:val="both"/>
        <w:rPr>
          <w:rFonts w:ascii="Arial" w:eastAsia="Times New Roman" w:hAnsi="Arial" w:cs="Arial"/>
          <w:i/>
          <w:sz w:val="20"/>
          <w:szCs w:val="20"/>
          <w:lang w:eastAsia="es-ES"/>
        </w:rPr>
      </w:pPr>
      <w:r w:rsidRPr="00657BA6">
        <w:rPr>
          <w:rFonts w:ascii="Arial" w:eastAsia="Times New Roman" w:hAnsi="Arial" w:cs="Arial"/>
          <w:i/>
          <w:sz w:val="20"/>
          <w:szCs w:val="20"/>
          <w:lang w:eastAsia="es-ES"/>
        </w:rPr>
        <w:t>La unidad monetaria en la que se expresarán los resultados de los Modelos de Costos será en pesos mexicanos.”</w:t>
      </w:r>
    </w:p>
    <w:p w14:paraId="596D7612" w14:textId="77777777" w:rsidR="004A3027" w:rsidRPr="00657BA6" w:rsidRDefault="004A3027" w:rsidP="0014780A">
      <w:pPr>
        <w:spacing w:after="0"/>
        <w:ind w:left="567" w:right="651"/>
        <w:jc w:val="both"/>
        <w:rPr>
          <w:rFonts w:ascii="Arial" w:eastAsia="Times New Roman" w:hAnsi="Arial" w:cs="Arial"/>
          <w:i/>
          <w:sz w:val="20"/>
          <w:szCs w:val="20"/>
          <w:lang w:eastAsia="es-ES"/>
        </w:rPr>
      </w:pPr>
    </w:p>
    <w:p w14:paraId="575769B4" w14:textId="77777777" w:rsidR="004A3027" w:rsidRPr="00657BA6" w:rsidRDefault="004A3027" w:rsidP="0014780A">
      <w:pPr>
        <w:spacing w:after="0"/>
        <w:ind w:left="567" w:right="651"/>
        <w:jc w:val="both"/>
        <w:rPr>
          <w:rFonts w:ascii="Arial" w:eastAsia="Times New Roman" w:hAnsi="Arial" w:cs="Arial"/>
          <w:i/>
          <w:sz w:val="20"/>
          <w:szCs w:val="20"/>
          <w:lang w:eastAsia="es-ES"/>
        </w:rPr>
      </w:pPr>
      <w:r w:rsidRPr="00657BA6">
        <w:rPr>
          <w:rFonts w:ascii="Arial" w:eastAsia="Times New Roman" w:hAnsi="Arial" w:cs="Arial"/>
          <w:i/>
          <w:sz w:val="20"/>
          <w:szCs w:val="20"/>
          <w:lang w:eastAsia="es-ES"/>
        </w:rPr>
        <w:t>“</w:t>
      </w:r>
      <w:r w:rsidRPr="00657BA6">
        <w:rPr>
          <w:rFonts w:ascii="Arial" w:eastAsia="Times New Roman" w:hAnsi="Arial" w:cs="Arial"/>
          <w:b/>
          <w:i/>
          <w:sz w:val="20"/>
          <w:szCs w:val="20"/>
          <w:lang w:eastAsia="es-ES"/>
        </w:rPr>
        <w:t xml:space="preserve">CUARTO.- </w:t>
      </w:r>
      <w:r w:rsidRPr="00657BA6">
        <w:rPr>
          <w:rFonts w:ascii="Arial" w:eastAsia="Times New Roman" w:hAnsi="Arial" w:cs="Arial"/>
          <w:i/>
          <w:sz w:val="20"/>
          <w:szCs w:val="20"/>
          <w:lang w:eastAsia="es-ES"/>
        </w:rPr>
        <w:t xml:space="preserve">En la elaboración de los Modelos de Costos, para el servicio de tránsito,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4F7EFE13" w14:textId="77777777" w:rsidR="004A3027" w:rsidRPr="00657BA6" w:rsidRDefault="004A3027" w:rsidP="0014780A">
      <w:pPr>
        <w:spacing w:after="0"/>
        <w:ind w:left="567" w:right="651"/>
        <w:jc w:val="both"/>
        <w:rPr>
          <w:rFonts w:ascii="Arial" w:eastAsia="Times New Roman" w:hAnsi="Arial" w:cs="Arial"/>
          <w:i/>
          <w:sz w:val="20"/>
          <w:szCs w:val="20"/>
          <w:lang w:eastAsia="es-ES"/>
        </w:rPr>
      </w:pPr>
    </w:p>
    <w:p w14:paraId="55E5F704" w14:textId="77777777" w:rsidR="004A3027" w:rsidRPr="00657BA6" w:rsidRDefault="004A3027" w:rsidP="0014780A">
      <w:pPr>
        <w:spacing w:after="0"/>
        <w:ind w:left="567" w:right="651"/>
        <w:jc w:val="both"/>
        <w:rPr>
          <w:rFonts w:ascii="Arial" w:eastAsia="Times New Roman" w:hAnsi="Arial" w:cs="Arial"/>
          <w:i/>
          <w:sz w:val="20"/>
          <w:szCs w:val="20"/>
          <w:lang w:eastAsia="es-ES"/>
        </w:rPr>
      </w:pPr>
      <w:r w:rsidRPr="00657BA6">
        <w:rPr>
          <w:rFonts w:ascii="Arial" w:eastAsia="Times New Roman" w:hAnsi="Arial" w:cs="Arial"/>
          <w:i/>
          <w:sz w:val="20"/>
          <w:szCs w:val="20"/>
          <w:lang w:eastAsia="es-ES"/>
        </w:rPr>
        <w:t xml:space="preserve">La unidad de medida que se empleará en los Modelos de Costos para el servicio de tránsito cuando éste se mida por tiempo, será el segundo. </w:t>
      </w:r>
    </w:p>
    <w:p w14:paraId="724245AB" w14:textId="77777777" w:rsidR="004A3027" w:rsidRPr="00657BA6" w:rsidRDefault="004A3027" w:rsidP="0014780A">
      <w:pPr>
        <w:spacing w:after="0"/>
        <w:ind w:left="567" w:right="651"/>
        <w:jc w:val="both"/>
        <w:rPr>
          <w:rFonts w:ascii="Arial" w:eastAsia="Times New Roman" w:hAnsi="Arial" w:cs="Arial"/>
          <w:i/>
          <w:sz w:val="20"/>
          <w:szCs w:val="20"/>
          <w:lang w:eastAsia="es-ES"/>
        </w:rPr>
      </w:pPr>
    </w:p>
    <w:p w14:paraId="73779C91" w14:textId="77777777" w:rsidR="004A3027" w:rsidRPr="00657BA6" w:rsidRDefault="004A3027" w:rsidP="0014780A">
      <w:pPr>
        <w:spacing w:after="0"/>
        <w:ind w:left="567" w:right="651"/>
        <w:jc w:val="both"/>
        <w:rPr>
          <w:rFonts w:ascii="Arial" w:eastAsia="Times New Roman" w:hAnsi="Arial" w:cs="Arial"/>
          <w:i/>
          <w:sz w:val="20"/>
          <w:szCs w:val="20"/>
          <w:lang w:eastAsia="es-ES"/>
        </w:rPr>
      </w:pPr>
      <w:r w:rsidRPr="00657BA6">
        <w:rPr>
          <w:rFonts w:ascii="Arial" w:eastAsia="Times New Roman" w:hAnsi="Arial" w:cs="Arial"/>
          <w:i/>
          <w:sz w:val="20"/>
          <w:szCs w:val="20"/>
          <w:lang w:eastAsia="es-ES"/>
        </w:rPr>
        <w:t>La unidad monetaria en la que se expresarán los resultados de los Modelos de Costos será en pesos mexicanos.”</w:t>
      </w:r>
    </w:p>
    <w:p w14:paraId="4EBE52CC" w14:textId="77777777" w:rsidR="004A3027" w:rsidRPr="00657BA6" w:rsidRDefault="004A3027" w:rsidP="0014780A">
      <w:pPr>
        <w:spacing w:after="0"/>
        <w:jc w:val="both"/>
        <w:rPr>
          <w:rFonts w:ascii="Arial" w:hAnsi="Arial" w:cs="Arial"/>
          <w:spacing w:val="-4"/>
        </w:rPr>
      </w:pPr>
    </w:p>
    <w:p w14:paraId="767B3A24" w14:textId="77777777" w:rsidR="004A3027" w:rsidRPr="00657BA6" w:rsidRDefault="004A3027" w:rsidP="0014780A">
      <w:pPr>
        <w:spacing w:after="0"/>
        <w:jc w:val="both"/>
        <w:rPr>
          <w:rFonts w:ascii="Arial" w:hAnsi="Arial" w:cs="Arial"/>
          <w:spacing w:val="-4"/>
        </w:rPr>
      </w:pPr>
      <w:r w:rsidRPr="00657BA6">
        <w:rPr>
          <w:rFonts w:ascii="Arial" w:hAnsi="Arial" w:cs="Arial"/>
          <w:spacing w:val="-4"/>
        </w:rPr>
        <w:t>El CILP Puro calcula los costos de un servicio con base en la diferencia entre los costos totales a largo plazo de un operador que provee el abanico total de servicios y los costos totales a largo plazo de un operador que ofrece todos los servicios salvo el del servicio que se está costeando, tal y como se muestra en la siguiente figura.</w:t>
      </w:r>
    </w:p>
    <w:p w14:paraId="707275B4" w14:textId="77777777" w:rsidR="004A3027" w:rsidRPr="00657BA6" w:rsidRDefault="004A3027" w:rsidP="0014780A">
      <w:pPr>
        <w:spacing w:after="0"/>
        <w:jc w:val="both"/>
        <w:rPr>
          <w:rFonts w:ascii="Arial" w:hAnsi="Arial" w:cs="Arial"/>
          <w:spacing w:val="-4"/>
        </w:rPr>
      </w:pPr>
    </w:p>
    <w:p w14:paraId="721A79B1" w14:textId="77777777" w:rsidR="004A3027" w:rsidRPr="00657BA6" w:rsidRDefault="004A3027" w:rsidP="0014780A">
      <w:pPr>
        <w:spacing w:after="0"/>
        <w:jc w:val="both"/>
        <w:rPr>
          <w:rFonts w:ascii="Arial" w:hAnsi="Arial" w:cs="Arial"/>
          <w:spacing w:val="-4"/>
        </w:rPr>
      </w:pPr>
      <w:r w:rsidRPr="00657BA6">
        <w:rPr>
          <w:rFonts w:ascii="Arial" w:hAnsi="Arial" w:cs="Arial"/>
          <w:spacing w:val="-4"/>
        </w:rPr>
        <w:t xml:space="preserve">Para el cálculo del CILP Puro, se calcula el costo incremental ejecutando el modelo </w:t>
      </w:r>
      <w:r w:rsidRPr="00657BA6">
        <w:rPr>
          <w:rFonts w:ascii="Arial" w:hAnsi="Arial" w:cs="Arial"/>
          <w:i/>
          <w:spacing w:val="-4"/>
        </w:rPr>
        <w:t xml:space="preserve">con </w:t>
      </w:r>
      <w:r w:rsidRPr="00657BA6">
        <w:rPr>
          <w:rFonts w:ascii="Arial" w:hAnsi="Arial" w:cs="Arial"/>
          <w:spacing w:val="-4"/>
        </w:rPr>
        <w:t xml:space="preserve">y </w:t>
      </w:r>
      <w:r w:rsidRPr="00657BA6">
        <w:rPr>
          <w:rFonts w:ascii="Arial" w:hAnsi="Arial" w:cs="Arial"/>
          <w:i/>
          <w:spacing w:val="-4"/>
        </w:rPr>
        <w:t xml:space="preserve">sin </w:t>
      </w:r>
      <w:r w:rsidRPr="00657BA6">
        <w:rPr>
          <w:rFonts w:ascii="Arial" w:hAnsi="Arial" w:cs="Arial"/>
          <w:spacing w:val="-4"/>
        </w:rPr>
        <w:t>el incremento que se quiera costear. Los costos unitarios son entonces determinados como el cociente entre este costo incremental y el volumen de tráfico incremental del servicio (ver Figura 8).</w:t>
      </w:r>
    </w:p>
    <w:p w14:paraId="7CBB6C84" w14:textId="77777777" w:rsidR="004A3027" w:rsidRPr="00657BA6" w:rsidRDefault="004A3027" w:rsidP="0014780A">
      <w:pPr>
        <w:spacing w:after="0"/>
        <w:jc w:val="both"/>
        <w:rPr>
          <w:rFonts w:ascii="Arial" w:hAnsi="Arial" w:cs="Arial"/>
          <w:spacing w:val="-4"/>
        </w:rPr>
      </w:pPr>
    </w:p>
    <w:p w14:paraId="3D3EEF7A" w14:textId="77777777" w:rsidR="004A3027" w:rsidRPr="00657BA6" w:rsidRDefault="004A3027" w:rsidP="0014780A">
      <w:pPr>
        <w:spacing w:after="0"/>
        <w:jc w:val="center"/>
        <w:rPr>
          <w:rFonts w:ascii="Arial" w:hAnsi="Arial" w:cs="Arial"/>
          <w:spacing w:val="-4"/>
        </w:rPr>
      </w:pPr>
      <w:r w:rsidRPr="00657BA6">
        <w:rPr>
          <w:rFonts w:ascii="Arial" w:hAnsi="Arial" w:cs="Arial"/>
          <w:noProof/>
          <w:sz w:val="28"/>
          <w:szCs w:val="28"/>
          <w:lang w:eastAsia="es-MX"/>
        </w:rPr>
        <w:lastRenderedPageBreak/>
        <w:drawing>
          <wp:inline distT="0" distB="0" distL="0" distR="0" wp14:anchorId="242989FB" wp14:editId="689F3594">
            <wp:extent cx="2932665" cy="2213637"/>
            <wp:effectExtent l="19050" t="19050" r="20320" b="15240"/>
            <wp:docPr id="1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b="6462"/>
                    <a:stretch>
                      <a:fillRect/>
                    </a:stretch>
                  </pic:blipFill>
                  <pic:spPr bwMode="auto">
                    <a:xfrm>
                      <a:off x="0" y="0"/>
                      <a:ext cx="2942970" cy="2221415"/>
                    </a:xfrm>
                    <a:prstGeom prst="rect">
                      <a:avLst/>
                    </a:prstGeom>
                    <a:noFill/>
                    <a:ln w="12700">
                      <a:solidFill>
                        <a:schemeClr val="tx1"/>
                      </a:solidFill>
                    </a:ln>
                  </pic:spPr>
                </pic:pic>
              </a:graphicData>
            </a:graphic>
          </wp:inline>
        </w:drawing>
      </w:r>
    </w:p>
    <w:p w14:paraId="3275E7F9" w14:textId="77777777" w:rsidR="004A3027" w:rsidRPr="00657BA6" w:rsidRDefault="004A3027" w:rsidP="0014780A">
      <w:pPr>
        <w:spacing w:after="0"/>
        <w:jc w:val="center"/>
        <w:rPr>
          <w:rFonts w:ascii="Arial" w:hAnsi="Arial" w:cs="Arial"/>
          <w:spacing w:val="-4"/>
        </w:rPr>
      </w:pPr>
      <w:r w:rsidRPr="00657BA6">
        <w:rPr>
          <w:rFonts w:ascii="Arial" w:hAnsi="Arial" w:cs="Arial"/>
          <w:spacing w:val="-4"/>
        </w:rPr>
        <w:t>Figura 8. Cálculo del costo incremental del tráfico de terminación.</w:t>
      </w:r>
    </w:p>
    <w:p w14:paraId="70510E53" w14:textId="77777777" w:rsidR="004A3027" w:rsidRPr="00657BA6" w:rsidRDefault="004A3027" w:rsidP="0014780A">
      <w:pPr>
        <w:spacing w:after="0"/>
        <w:jc w:val="both"/>
        <w:rPr>
          <w:rFonts w:ascii="Arial" w:hAnsi="Arial" w:cs="Arial"/>
          <w:spacing w:val="-4"/>
        </w:rPr>
      </w:pPr>
    </w:p>
    <w:p w14:paraId="709F824E" w14:textId="77777777" w:rsidR="004A3027" w:rsidRPr="00677BB3" w:rsidRDefault="004A3027" w:rsidP="0014780A">
      <w:pPr>
        <w:spacing w:after="0"/>
        <w:jc w:val="both"/>
        <w:rPr>
          <w:rFonts w:ascii="Arial" w:hAnsi="Arial" w:cs="Arial"/>
          <w:spacing w:val="-4"/>
        </w:rPr>
      </w:pPr>
      <w:r w:rsidRPr="00677BB3">
        <w:rPr>
          <w:rFonts w:ascii="Arial" w:hAnsi="Arial" w:cs="Arial"/>
          <w:spacing w:val="-4"/>
        </w:rPr>
        <w:t xml:space="preserve">Debido a los requisitos específicos de la Metodología de Costos, es necesario que el modelo de costos: </w:t>
      </w:r>
    </w:p>
    <w:p w14:paraId="3256E9CA" w14:textId="77777777" w:rsidR="004A3027" w:rsidRPr="00677BB3" w:rsidRDefault="004A3027" w:rsidP="009640AE">
      <w:pPr>
        <w:numPr>
          <w:ilvl w:val="0"/>
          <w:numId w:val="21"/>
        </w:numPr>
        <w:spacing w:after="0"/>
        <w:jc w:val="both"/>
        <w:rPr>
          <w:rFonts w:ascii="Arial" w:hAnsi="Arial" w:cs="Arial"/>
          <w:spacing w:val="-4"/>
        </w:rPr>
      </w:pPr>
      <w:r w:rsidRPr="00677BB3">
        <w:rPr>
          <w:rFonts w:ascii="Arial" w:hAnsi="Arial" w:cs="Arial"/>
          <w:spacing w:val="-4"/>
        </w:rPr>
        <w:t>Permita calcular los costos incrementales puros para cada incremento de los siguientes: tráfico de terminación, tráfico de originación, y tránsito.</w:t>
      </w:r>
    </w:p>
    <w:p w14:paraId="4B53C32C" w14:textId="77777777" w:rsidR="004A3027" w:rsidRPr="00677BB3" w:rsidRDefault="004A3027" w:rsidP="009640AE">
      <w:pPr>
        <w:numPr>
          <w:ilvl w:val="0"/>
          <w:numId w:val="20"/>
        </w:numPr>
        <w:spacing w:after="0"/>
        <w:jc w:val="both"/>
        <w:rPr>
          <w:rFonts w:ascii="Arial" w:hAnsi="Arial" w:cs="Arial"/>
          <w:spacing w:val="-4"/>
        </w:rPr>
      </w:pPr>
      <w:r w:rsidRPr="00677BB3">
        <w:rPr>
          <w:rFonts w:ascii="Arial" w:hAnsi="Arial" w:cs="Arial"/>
          <w:spacing w:val="-4"/>
        </w:rPr>
        <w:t>Excluya los costos compartidos y comunes a los servicios de interconexión de los asignables a los servicios costeados con un modelo CILP puro.</w:t>
      </w:r>
    </w:p>
    <w:p w14:paraId="67735230" w14:textId="77777777" w:rsidR="004A3027" w:rsidRPr="00677BB3" w:rsidRDefault="004A3027" w:rsidP="009640AE">
      <w:pPr>
        <w:numPr>
          <w:ilvl w:val="0"/>
          <w:numId w:val="20"/>
        </w:numPr>
        <w:spacing w:after="0"/>
        <w:jc w:val="both"/>
        <w:rPr>
          <w:rFonts w:ascii="Arial" w:hAnsi="Arial" w:cs="Arial"/>
          <w:spacing w:val="-4"/>
        </w:rPr>
      </w:pPr>
      <w:r w:rsidRPr="00677BB3">
        <w:rPr>
          <w:rFonts w:ascii="Arial" w:hAnsi="Arial" w:cs="Arial"/>
          <w:spacing w:val="-4"/>
        </w:rPr>
        <w:t>Permita ser competitivamente neutral con las operaciones móvil y fija.</w:t>
      </w:r>
    </w:p>
    <w:p w14:paraId="4E24E828" w14:textId="77777777" w:rsidR="004A3027" w:rsidRPr="00657BA6" w:rsidRDefault="004A3027" w:rsidP="0014780A">
      <w:pPr>
        <w:spacing w:after="0"/>
        <w:jc w:val="both"/>
        <w:rPr>
          <w:rFonts w:ascii="Arial" w:hAnsi="Arial" w:cs="Arial"/>
          <w:spacing w:val="-4"/>
        </w:rPr>
      </w:pPr>
    </w:p>
    <w:p w14:paraId="78EB35DF" w14:textId="77777777" w:rsidR="004A3027" w:rsidRDefault="004A3027" w:rsidP="0014780A">
      <w:pPr>
        <w:spacing w:after="0"/>
        <w:jc w:val="both"/>
        <w:rPr>
          <w:rFonts w:ascii="Arial" w:hAnsi="Arial" w:cs="Arial"/>
          <w:spacing w:val="-4"/>
        </w:rPr>
      </w:pPr>
      <w:r w:rsidRPr="00657BA6">
        <w:rPr>
          <w:rFonts w:ascii="Arial" w:hAnsi="Arial" w:cs="Arial"/>
          <w:spacing w:val="-4"/>
        </w:rPr>
        <w:t>El cálculo de los resultados obtenidos al aplicar la metodología CILP puro se basa en los siguientes pasos (ver Figura 9).</w:t>
      </w:r>
    </w:p>
    <w:p w14:paraId="0FBA8D9D" w14:textId="77777777" w:rsidR="00013492" w:rsidRPr="00657BA6" w:rsidRDefault="00013492" w:rsidP="0014780A">
      <w:pPr>
        <w:spacing w:after="0"/>
        <w:jc w:val="both"/>
        <w:rPr>
          <w:rFonts w:ascii="Arial" w:hAnsi="Arial" w:cs="Arial"/>
          <w:spacing w:val="-4"/>
        </w:rPr>
      </w:pPr>
    </w:p>
    <w:p w14:paraId="727EA910" w14:textId="77777777" w:rsidR="004A3027" w:rsidRPr="00657BA6" w:rsidRDefault="004A3027" w:rsidP="009640AE">
      <w:pPr>
        <w:numPr>
          <w:ilvl w:val="0"/>
          <w:numId w:val="20"/>
        </w:numPr>
        <w:spacing w:after="0"/>
        <w:jc w:val="both"/>
        <w:rPr>
          <w:rFonts w:ascii="Arial" w:hAnsi="Arial" w:cs="Arial"/>
          <w:spacing w:val="-4"/>
        </w:rPr>
      </w:pPr>
      <w:r w:rsidRPr="00657BA6">
        <w:rPr>
          <w:rFonts w:ascii="Arial" w:hAnsi="Arial" w:cs="Arial"/>
          <w:spacing w:val="-4"/>
        </w:rPr>
        <w:t xml:space="preserve">Cálculo de los costos de la red completa del operador, </w:t>
      </w:r>
      <w:r w:rsidRPr="00657BA6">
        <w:rPr>
          <w:rFonts w:ascii="Arial" w:hAnsi="Arial" w:cs="Arial"/>
          <w:i/>
          <w:spacing w:val="-4"/>
        </w:rPr>
        <w:t>sin</w:t>
      </w:r>
      <w:r w:rsidRPr="00657BA6">
        <w:rPr>
          <w:rFonts w:ascii="Arial" w:hAnsi="Arial" w:cs="Arial"/>
          <w:spacing w:val="-4"/>
        </w:rPr>
        <w:t xml:space="preserve"> el incremento del servicio considerado (tráfico de originación, o terminación de otras redes o tránsito).</w:t>
      </w:r>
    </w:p>
    <w:p w14:paraId="0028D12A" w14:textId="77777777" w:rsidR="004A3027" w:rsidRPr="00657BA6" w:rsidRDefault="004A3027" w:rsidP="009640AE">
      <w:pPr>
        <w:numPr>
          <w:ilvl w:val="0"/>
          <w:numId w:val="20"/>
        </w:numPr>
        <w:spacing w:after="0"/>
        <w:jc w:val="both"/>
        <w:rPr>
          <w:rFonts w:ascii="Arial" w:hAnsi="Arial" w:cs="Arial"/>
          <w:spacing w:val="-4"/>
        </w:rPr>
      </w:pPr>
      <w:r w:rsidRPr="00657BA6">
        <w:rPr>
          <w:rFonts w:ascii="Arial" w:hAnsi="Arial" w:cs="Arial"/>
          <w:spacing w:val="-4"/>
        </w:rPr>
        <w:t xml:space="preserve">Cálculo de los costos de la red completa del operador, </w:t>
      </w:r>
      <w:r w:rsidRPr="00657BA6">
        <w:rPr>
          <w:rFonts w:ascii="Arial" w:hAnsi="Arial" w:cs="Arial"/>
          <w:i/>
          <w:spacing w:val="-4"/>
        </w:rPr>
        <w:t xml:space="preserve">con </w:t>
      </w:r>
      <w:r w:rsidRPr="00657BA6">
        <w:rPr>
          <w:rFonts w:ascii="Arial" w:hAnsi="Arial" w:cs="Arial"/>
          <w:spacing w:val="-4"/>
        </w:rPr>
        <w:t>el incremento del servicio considerado (tráfico de originación, terminación de otras redes o tránsito).</w:t>
      </w:r>
    </w:p>
    <w:p w14:paraId="38ECDF99" w14:textId="77777777" w:rsidR="004A3027" w:rsidRPr="00657BA6" w:rsidRDefault="004A3027" w:rsidP="009640AE">
      <w:pPr>
        <w:numPr>
          <w:ilvl w:val="0"/>
          <w:numId w:val="20"/>
        </w:numPr>
        <w:spacing w:after="0"/>
        <w:jc w:val="both"/>
        <w:rPr>
          <w:rFonts w:ascii="Arial" w:hAnsi="Arial" w:cs="Arial"/>
          <w:spacing w:val="-4"/>
        </w:rPr>
      </w:pPr>
      <w:r w:rsidRPr="00657BA6">
        <w:rPr>
          <w:rFonts w:ascii="Arial" w:hAnsi="Arial" w:cs="Arial"/>
          <w:spacing w:val="-4"/>
        </w:rPr>
        <w:t>Obtención de la diferencia en costos entre los dos cálculos obtenidos y anualización de esta diferencia en base a la metodología de depreciación económica</w:t>
      </w:r>
    </w:p>
    <w:p w14:paraId="724AB1EB" w14:textId="77777777" w:rsidR="004A3027" w:rsidRPr="00657BA6" w:rsidRDefault="004A3027" w:rsidP="009640AE">
      <w:pPr>
        <w:numPr>
          <w:ilvl w:val="0"/>
          <w:numId w:val="20"/>
        </w:numPr>
        <w:spacing w:after="0"/>
        <w:jc w:val="both"/>
        <w:rPr>
          <w:rFonts w:ascii="Arial" w:hAnsi="Arial" w:cs="Arial"/>
          <w:spacing w:val="-4"/>
        </w:rPr>
      </w:pPr>
      <w:r w:rsidRPr="00657BA6">
        <w:rPr>
          <w:rFonts w:ascii="Arial" w:hAnsi="Arial" w:cs="Arial"/>
          <w:spacing w:val="-4"/>
        </w:rPr>
        <w:t>División del costo anualizado total por el número de minutos incrementales del servicio considerado (originación, tráfico de originación, terminación de otras redes o tránsito) para la obtención del costo del minuto incremental.</w:t>
      </w:r>
    </w:p>
    <w:p w14:paraId="36987B95" w14:textId="77777777" w:rsidR="004A3027" w:rsidRPr="00657BA6" w:rsidRDefault="004A3027" w:rsidP="0014780A">
      <w:pPr>
        <w:spacing w:after="0"/>
        <w:ind w:left="720"/>
        <w:jc w:val="both"/>
        <w:rPr>
          <w:rFonts w:ascii="Arial" w:hAnsi="Arial" w:cs="Arial"/>
          <w:spacing w:val="-4"/>
        </w:rPr>
      </w:pPr>
    </w:p>
    <w:p w14:paraId="12C9DCAC" w14:textId="77777777" w:rsidR="004A3027" w:rsidRPr="00657BA6" w:rsidRDefault="004A3027" w:rsidP="0014780A">
      <w:pPr>
        <w:spacing w:after="0"/>
        <w:ind w:left="720" w:hanging="153"/>
        <w:jc w:val="center"/>
        <w:rPr>
          <w:rFonts w:ascii="Arial" w:hAnsi="Arial" w:cs="Arial"/>
          <w:spacing w:val="-4"/>
        </w:rPr>
      </w:pPr>
      <w:r w:rsidRPr="00657BA6">
        <w:rPr>
          <w:rFonts w:ascii="Arial" w:hAnsi="Arial" w:cs="Arial"/>
          <w:noProof/>
          <w:spacing w:val="-4"/>
          <w:lang w:eastAsia="es-MX"/>
        </w:rPr>
        <w:lastRenderedPageBreak/>
        <w:drawing>
          <wp:inline distT="0" distB="0" distL="0" distR="0" wp14:anchorId="3ED74EF9" wp14:editId="64FD88FC">
            <wp:extent cx="4857293" cy="3161012"/>
            <wp:effectExtent l="0" t="0" r="0" b="1905"/>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4874949" cy="3172502"/>
                    </a:xfrm>
                    <a:prstGeom prst="rect">
                      <a:avLst/>
                    </a:prstGeom>
                    <a:noFill/>
                    <a:ln>
                      <a:noFill/>
                    </a:ln>
                  </pic:spPr>
                </pic:pic>
              </a:graphicData>
            </a:graphic>
          </wp:inline>
        </w:drawing>
      </w:r>
    </w:p>
    <w:p w14:paraId="65236848" w14:textId="77777777" w:rsidR="004A3027" w:rsidRPr="00657BA6" w:rsidRDefault="004A3027" w:rsidP="0014780A">
      <w:pPr>
        <w:spacing w:after="0"/>
        <w:ind w:left="720"/>
        <w:jc w:val="center"/>
        <w:rPr>
          <w:rFonts w:ascii="Arial" w:hAnsi="Arial" w:cs="Arial"/>
          <w:spacing w:val="-4"/>
        </w:rPr>
      </w:pPr>
      <w:r w:rsidRPr="00657BA6">
        <w:rPr>
          <w:rFonts w:ascii="Arial" w:hAnsi="Arial" w:cs="Arial"/>
          <w:spacing w:val="-4"/>
        </w:rPr>
        <w:t>Figura 9. Etapas necesarias para el cálculo del CILP puro.</w:t>
      </w:r>
    </w:p>
    <w:p w14:paraId="1A647C08" w14:textId="77777777" w:rsidR="004A3027" w:rsidRPr="00657BA6" w:rsidRDefault="004A3027" w:rsidP="0014780A">
      <w:pPr>
        <w:spacing w:after="0"/>
        <w:jc w:val="center"/>
        <w:rPr>
          <w:rFonts w:ascii="Arial" w:hAnsi="Arial" w:cs="Arial"/>
          <w:spacing w:val="-4"/>
        </w:rPr>
      </w:pPr>
    </w:p>
    <w:p w14:paraId="1BF70BA3" w14:textId="77777777" w:rsidR="004A3027" w:rsidRPr="00657BA6" w:rsidRDefault="004A3027" w:rsidP="0014780A">
      <w:pPr>
        <w:spacing w:after="0"/>
        <w:jc w:val="both"/>
        <w:rPr>
          <w:rFonts w:ascii="Arial" w:hAnsi="Arial" w:cs="Arial"/>
          <w:spacing w:val="-4"/>
        </w:rPr>
      </w:pPr>
      <w:r w:rsidRPr="00657BA6">
        <w:rPr>
          <w:rFonts w:ascii="Arial" w:hAnsi="Arial" w:cs="Arial"/>
          <w:spacing w:val="-4"/>
        </w:rPr>
        <w:t>De esta forma el modelo calculará los costos utilizando un modelo CILP puro y será capaz de calcular los costos mediante la metodología CIPLP+, pero únicamente de manera informativa.</w:t>
      </w:r>
    </w:p>
    <w:p w14:paraId="6F861FB0" w14:textId="77777777" w:rsidR="004A3027" w:rsidRPr="00657BA6" w:rsidRDefault="004A3027" w:rsidP="0014780A">
      <w:pPr>
        <w:spacing w:after="0"/>
        <w:rPr>
          <w:rFonts w:ascii="Arial" w:hAnsi="Arial" w:cs="Arial"/>
          <w:b/>
        </w:rPr>
      </w:pPr>
    </w:p>
    <w:p w14:paraId="077A9AFA" w14:textId="77777777" w:rsidR="004A3027" w:rsidRPr="00657BA6" w:rsidRDefault="004A3027" w:rsidP="0014780A">
      <w:pPr>
        <w:spacing w:after="0"/>
        <w:rPr>
          <w:rFonts w:ascii="Arial" w:hAnsi="Arial" w:cs="Arial"/>
        </w:rPr>
      </w:pPr>
      <w:r w:rsidRPr="00657BA6">
        <w:rPr>
          <w:rFonts w:ascii="Arial" w:hAnsi="Arial" w:cs="Arial"/>
          <w:b/>
        </w:rPr>
        <w:t>Depreciación</w:t>
      </w:r>
    </w:p>
    <w:p w14:paraId="05981C00" w14:textId="77777777" w:rsidR="004A3027" w:rsidRPr="00657BA6" w:rsidRDefault="004A3027" w:rsidP="0014780A">
      <w:pPr>
        <w:spacing w:after="0"/>
        <w:jc w:val="both"/>
        <w:rPr>
          <w:rFonts w:ascii="Arial" w:hAnsi="Arial" w:cs="Arial"/>
          <w:spacing w:val="-4"/>
        </w:rPr>
      </w:pPr>
    </w:p>
    <w:p w14:paraId="3776E1CD" w14:textId="77777777" w:rsidR="004A3027" w:rsidRPr="00657BA6" w:rsidRDefault="004A3027" w:rsidP="0014780A">
      <w:pPr>
        <w:spacing w:after="0"/>
        <w:jc w:val="both"/>
        <w:rPr>
          <w:rFonts w:ascii="Arial" w:hAnsi="Arial" w:cs="Arial"/>
          <w:spacing w:val="-4"/>
        </w:rPr>
      </w:pPr>
      <w:r w:rsidRPr="00657BA6">
        <w:rPr>
          <w:rFonts w:ascii="Arial" w:hAnsi="Arial" w:cs="Arial"/>
          <w:spacing w:val="-4"/>
        </w:rPr>
        <w:t>El modelo calcula los costos de inversión y operacionales relevantes. Estos costos tendrán que ser recuperados a través del tiempo para asegurar que los operadores obtengan un retorno sobre su inversión. Para ello, se debe emplear un método de depreciación adecuado. En este punto la Metodología de Costos establece en el Lineamiento Sexto:</w:t>
      </w:r>
    </w:p>
    <w:p w14:paraId="66C138FB" w14:textId="77777777" w:rsidR="004A3027" w:rsidRPr="00657BA6" w:rsidRDefault="004A3027" w:rsidP="0014780A">
      <w:pPr>
        <w:spacing w:after="0"/>
        <w:jc w:val="both"/>
        <w:rPr>
          <w:rFonts w:ascii="Arial" w:hAnsi="Arial" w:cs="Arial"/>
          <w:spacing w:val="-4"/>
        </w:rPr>
      </w:pPr>
    </w:p>
    <w:p w14:paraId="1DB3E847" w14:textId="77777777" w:rsidR="004A3027" w:rsidRPr="00657BA6" w:rsidRDefault="004A3027" w:rsidP="0014780A">
      <w:pPr>
        <w:spacing w:after="0"/>
        <w:ind w:left="567" w:right="651"/>
        <w:jc w:val="both"/>
        <w:rPr>
          <w:rFonts w:ascii="Arial" w:eastAsia="Times New Roman" w:hAnsi="Arial" w:cs="Arial"/>
          <w:i/>
          <w:sz w:val="20"/>
          <w:szCs w:val="20"/>
          <w:lang w:eastAsia="es-ES"/>
        </w:rPr>
      </w:pPr>
      <w:r w:rsidRPr="00657BA6">
        <w:rPr>
          <w:rFonts w:ascii="Arial" w:eastAsia="Times New Roman" w:hAnsi="Arial" w:cs="Arial"/>
          <w:i/>
          <w:sz w:val="20"/>
          <w:szCs w:val="20"/>
          <w:lang w:eastAsia="es-ES"/>
        </w:rPr>
        <w:t>“</w:t>
      </w:r>
      <w:r w:rsidRPr="00657BA6">
        <w:rPr>
          <w:rFonts w:ascii="Arial" w:eastAsia="Times New Roman" w:hAnsi="Arial" w:cs="Arial"/>
          <w:b/>
          <w:i/>
          <w:sz w:val="20"/>
          <w:szCs w:val="20"/>
          <w:lang w:eastAsia="es-ES"/>
        </w:rPr>
        <w:t>SEXTO.-</w:t>
      </w:r>
      <w:r w:rsidRPr="00657BA6">
        <w:rPr>
          <w:rFonts w:ascii="Arial" w:eastAsia="Times New Roman" w:hAnsi="Arial" w:cs="Arial"/>
          <w:i/>
          <w:sz w:val="20"/>
          <w:szCs w:val="20"/>
          <w:lang w:eastAsia="es-ES"/>
        </w:rPr>
        <w:t xml:space="preserve"> La metodología empleada por los Modelos de Costos para la amortización de los activos será la metodología de Depreciación Económica.</w:t>
      </w:r>
    </w:p>
    <w:p w14:paraId="19E29F45" w14:textId="77777777" w:rsidR="004A3027" w:rsidRPr="00657BA6" w:rsidRDefault="004A3027" w:rsidP="0014780A">
      <w:pPr>
        <w:spacing w:after="0"/>
        <w:ind w:left="567" w:right="651"/>
        <w:jc w:val="both"/>
        <w:rPr>
          <w:rFonts w:ascii="Arial" w:eastAsia="Times New Roman" w:hAnsi="Arial" w:cs="Arial"/>
          <w:i/>
          <w:sz w:val="20"/>
          <w:szCs w:val="20"/>
          <w:lang w:eastAsia="es-ES"/>
        </w:rPr>
      </w:pPr>
    </w:p>
    <w:p w14:paraId="2604EBBD" w14:textId="77777777" w:rsidR="004A3027" w:rsidRPr="00657BA6" w:rsidRDefault="004A3027" w:rsidP="0014780A">
      <w:pPr>
        <w:spacing w:after="0"/>
        <w:ind w:left="567" w:right="651"/>
        <w:jc w:val="both"/>
        <w:rPr>
          <w:rFonts w:ascii="Arial" w:eastAsia="Times New Roman" w:hAnsi="Arial" w:cs="Arial"/>
          <w:i/>
          <w:sz w:val="20"/>
          <w:szCs w:val="20"/>
          <w:lang w:eastAsia="es-ES"/>
        </w:rPr>
      </w:pPr>
      <w:r w:rsidRPr="00657BA6">
        <w:rPr>
          <w:rFonts w:ascii="Arial" w:eastAsia="Times New Roman" w:hAnsi="Arial" w:cs="Arial"/>
          <w:i/>
          <w:sz w:val="20"/>
          <w:szCs w:val="20"/>
          <w:lang w:eastAsia="es-ES"/>
        </w:rPr>
        <w:t>La Depreciación Económica se define como aquella que utiliza el cambio en el valor de mercado de un activo periodo a periodo, de tal forma que propicia una asignación eficiente de los recursos a cada uno de los periodos de la vida económica del activo.”</w:t>
      </w:r>
    </w:p>
    <w:p w14:paraId="25D48B0D" w14:textId="77777777" w:rsidR="004A3027" w:rsidRPr="00657BA6" w:rsidRDefault="004A3027" w:rsidP="0014780A">
      <w:pPr>
        <w:spacing w:after="0"/>
        <w:jc w:val="both"/>
        <w:rPr>
          <w:rFonts w:ascii="Arial" w:hAnsi="Arial" w:cs="Arial"/>
          <w:spacing w:val="-4"/>
        </w:rPr>
      </w:pPr>
    </w:p>
    <w:p w14:paraId="65E73FF2" w14:textId="77777777" w:rsidR="004A3027" w:rsidRPr="00657BA6" w:rsidRDefault="004A3027" w:rsidP="0014780A">
      <w:pPr>
        <w:spacing w:after="0"/>
        <w:jc w:val="both"/>
        <w:rPr>
          <w:rFonts w:ascii="Arial" w:hAnsi="Arial" w:cs="Arial"/>
          <w:spacing w:val="-4"/>
        </w:rPr>
      </w:pPr>
      <w:r w:rsidRPr="00657BA6">
        <w:rPr>
          <w:rFonts w:ascii="Arial" w:hAnsi="Arial" w:cs="Arial"/>
          <w:spacing w:val="-4"/>
        </w:rPr>
        <w:t xml:space="preserve">En comparación con otros métodos de depreciación, este método considera todos los factores relevantes potenciales de depreciación, como son: </w:t>
      </w:r>
    </w:p>
    <w:p w14:paraId="738D1907" w14:textId="77777777" w:rsidR="004A3027" w:rsidRPr="00657BA6" w:rsidRDefault="004A3027" w:rsidP="0014780A">
      <w:pPr>
        <w:spacing w:after="0"/>
        <w:jc w:val="both"/>
        <w:rPr>
          <w:rFonts w:ascii="Arial" w:hAnsi="Arial" w:cs="Arial"/>
          <w:spacing w:val="-4"/>
        </w:rPr>
      </w:pPr>
    </w:p>
    <w:p w14:paraId="070613E3" w14:textId="77777777" w:rsidR="004A3027" w:rsidRPr="00657BA6" w:rsidRDefault="004A3027" w:rsidP="0014780A">
      <w:pPr>
        <w:numPr>
          <w:ilvl w:val="0"/>
          <w:numId w:val="15"/>
        </w:numPr>
        <w:spacing w:after="0"/>
        <w:jc w:val="both"/>
        <w:rPr>
          <w:rFonts w:ascii="Arial" w:hAnsi="Arial" w:cs="Arial"/>
          <w:spacing w:val="-4"/>
        </w:rPr>
      </w:pPr>
      <w:r w:rsidRPr="00657BA6">
        <w:rPr>
          <w:rFonts w:ascii="Arial" w:hAnsi="Arial" w:cs="Arial"/>
          <w:spacing w:val="-4"/>
        </w:rPr>
        <w:t>Costo del Activo Equivalente Moderno (MEA) en la actualidad</w:t>
      </w:r>
    </w:p>
    <w:p w14:paraId="0F35A623" w14:textId="77777777" w:rsidR="004A3027" w:rsidRPr="00657BA6" w:rsidRDefault="004A3027" w:rsidP="0014780A">
      <w:pPr>
        <w:numPr>
          <w:ilvl w:val="0"/>
          <w:numId w:val="15"/>
        </w:numPr>
        <w:spacing w:after="0"/>
        <w:jc w:val="both"/>
        <w:rPr>
          <w:rFonts w:ascii="Arial" w:hAnsi="Arial" w:cs="Arial"/>
          <w:spacing w:val="-4"/>
        </w:rPr>
      </w:pPr>
      <w:r w:rsidRPr="00657BA6">
        <w:rPr>
          <w:rFonts w:ascii="Arial" w:hAnsi="Arial" w:cs="Arial"/>
          <w:spacing w:val="-4"/>
        </w:rPr>
        <w:t>Pronóstico de costo del MEA</w:t>
      </w:r>
    </w:p>
    <w:p w14:paraId="183348CF" w14:textId="77777777" w:rsidR="004A3027" w:rsidRPr="00657BA6" w:rsidRDefault="004A3027" w:rsidP="0014780A">
      <w:pPr>
        <w:numPr>
          <w:ilvl w:val="0"/>
          <w:numId w:val="15"/>
        </w:numPr>
        <w:spacing w:after="0"/>
        <w:jc w:val="both"/>
        <w:rPr>
          <w:rFonts w:ascii="Arial" w:hAnsi="Arial" w:cs="Arial"/>
          <w:spacing w:val="-4"/>
        </w:rPr>
      </w:pPr>
      <w:r w:rsidRPr="00657BA6">
        <w:rPr>
          <w:rFonts w:ascii="Arial" w:hAnsi="Arial" w:cs="Arial"/>
          <w:spacing w:val="-4"/>
        </w:rPr>
        <w:lastRenderedPageBreak/>
        <w:t>Producción de la red a través del tiempo</w:t>
      </w:r>
    </w:p>
    <w:p w14:paraId="027CFA9B" w14:textId="77777777" w:rsidR="004A3027" w:rsidRPr="00657BA6" w:rsidRDefault="004A3027" w:rsidP="0014780A">
      <w:pPr>
        <w:numPr>
          <w:ilvl w:val="0"/>
          <w:numId w:val="15"/>
        </w:numPr>
        <w:spacing w:after="0"/>
        <w:jc w:val="both"/>
        <w:rPr>
          <w:rFonts w:ascii="Arial" w:hAnsi="Arial" w:cs="Arial"/>
          <w:spacing w:val="-4"/>
        </w:rPr>
      </w:pPr>
      <w:r w:rsidRPr="00657BA6">
        <w:rPr>
          <w:rFonts w:ascii="Arial" w:hAnsi="Arial" w:cs="Arial"/>
          <w:spacing w:val="-4"/>
        </w:rPr>
        <w:t>Vida financiera de los activos</w:t>
      </w:r>
    </w:p>
    <w:p w14:paraId="0FA6B1C7" w14:textId="77777777" w:rsidR="004A3027" w:rsidRPr="00657BA6" w:rsidRDefault="004A3027" w:rsidP="0014780A">
      <w:pPr>
        <w:numPr>
          <w:ilvl w:val="0"/>
          <w:numId w:val="15"/>
        </w:numPr>
        <w:spacing w:after="0"/>
        <w:jc w:val="both"/>
        <w:rPr>
          <w:rFonts w:ascii="Arial" w:hAnsi="Arial" w:cs="Arial"/>
          <w:spacing w:val="-4"/>
        </w:rPr>
      </w:pPr>
      <w:r w:rsidRPr="00657BA6">
        <w:rPr>
          <w:rFonts w:ascii="Arial" w:hAnsi="Arial" w:cs="Arial"/>
          <w:spacing w:val="-4"/>
        </w:rPr>
        <w:t>Vida económica de los activos</w:t>
      </w:r>
    </w:p>
    <w:p w14:paraId="08FECBE2" w14:textId="77777777" w:rsidR="004A3027" w:rsidRPr="00657BA6" w:rsidRDefault="004A3027" w:rsidP="0014780A">
      <w:pPr>
        <w:spacing w:after="0"/>
        <w:jc w:val="both"/>
        <w:rPr>
          <w:rFonts w:ascii="Arial" w:hAnsi="Arial" w:cs="Arial"/>
          <w:spacing w:val="-4"/>
        </w:rPr>
      </w:pPr>
    </w:p>
    <w:p w14:paraId="31E04424" w14:textId="6F9292CB" w:rsidR="004A3027" w:rsidRPr="00657BA6" w:rsidRDefault="004A3027" w:rsidP="0014780A">
      <w:pPr>
        <w:spacing w:after="0"/>
        <w:jc w:val="both"/>
        <w:rPr>
          <w:rFonts w:ascii="Arial" w:hAnsi="Arial" w:cs="Arial"/>
          <w:spacing w:val="-4"/>
        </w:rPr>
      </w:pPr>
      <w:r w:rsidRPr="00657BA6">
        <w:rPr>
          <w:rFonts w:ascii="Arial" w:hAnsi="Arial" w:cs="Arial"/>
          <w:spacing w:val="-4"/>
        </w:rPr>
        <w:t>La producción de la red a través del tiempo es un factor clave en la elección del método de depreciación. En lo que respecta a las redes móviles, en general los volúmenes de tráfico han experimentado un crecimiento significativo en los últimos años, mientras que los volúmenes de Internet móvil han crecido a un ritmo comparativamente más lento</w:t>
      </w:r>
      <w:r w:rsidRPr="00657BA6">
        <w:rPr>
          <w:rFonts w:ascii="Arial" w:hAnsi="Arial" w:cs="Arial"/>
          <w:spacing w:val="-4"/>
          <w:vertAlign w:val="superscript"/>
        </w:rPr>
        <w:footnoteReference w:id="42"/>
      </w:r>
      <w:r w:rsidRPr="00657BA6">
        <w:rPr>
          <w:rFonts w:ascii="Arial" w:hAnsi="Arial" w:cs="Arial"/>
          <w:spacing w:val="-4"/>
        </w:rPr>
        <w:t xml:space="preserve">. </w:t>
      </w:r>
    </w:p>
    <w:p w14:paraId="651672F3" w14:textId="77777777" w:rsidR="005148C1" w:rsidRPr="00657BA6" w:rsidRDefault="005148C1" w:rsidP="0014780A">
      <w:pPr>
        <w:spacing w:after="0"/>
        <w:jc w:val="both"/>
        <w:rPr>
          <w:rFonts w:ascii="Arial" w:hAnsi="Arial" w:cs="Arial"/>
          <w:spacing w:val="-4"/>
        </w:rPr>
      </w:pPr>
    </w:p>
    <w:p w14:paraId="03A2E4E9" w14:textId="77777777" w:rsidR="004A3027" w:rsidRPr="00657BA6" w:rsidRDefault="004A3027" w:rsidP="0014780A">
      <w:pPr>
        <w:spacing w:after="0"/>
        <w:jc w:val="both"/>
        <w:rPr>
          <w:rFonts w:ascii="Arial" w:hAnsi="Arial" w:cs="Arial"/>
          <w:spacing w:val="-4"/>
        </w:rPr>
      </w:pPr>
      <w:r w:rsidRPr="00657BA6">
        <w:rPr>
          <w:rFonts w:ascii="Arial" w:hAnsi="Arial" w:cs="Arial"/>
          <w:spacing w:val="-4"/>
        </w:rPr>
        <w:t>La situación en las redes fijas es aún más complicada. Durante muchos años el tráfico cursado había estado dominado por los servicios de voz y era bastante estable. En los últimos años, sin embargo, los volúmenes de tráfico de voz han decrecido, mientras que los volúmenes de banda ancha y otros servicios de datos han aumentado considerablemente</w:t>
      </w:r>
      <w:r w:rsidRPr="00657BA6">
        <w:rPr>
          <w:rFonts w:ascii="Arial" w:hAnsi="Arial" w:cs="Arial"/>
          <w:spacing w:val="-4"/>
          <w:vertAlign w:val="superscript"/>
        </w:rPr>
        <w:footnoteReference w:id="43"/>
      </w:r>
      <w:r w:rsidRPr="00657BA6">
        <w:rPr>
          <w:rFonts w:ascii="Arial" w:hAnsi="Arial" w:cs="Arial"/>
          <w:spacing w:val="-4"/>
        </w:rPr>
        <w:t>.</w:t>
      </w:r>
    </w:p>
    <w:p w14:paraId="1B346B3B" w14:textId="77777777" w:rsidR="004A3027" w:rsidRPr="00657BA6" w:rsidRDefault="004A3027" w:rsidP="0014780A">
      <w:pPr>
        <w:spacing w:after="0"/>
        <w:jc w:val="both"/>
        <w:rPr>
          <w:rFonts w:ascii="Arial" w:hAnsi="Arial" w:cs="Arial"/>
          <w:spacing w:val="-4"/>
        </w:rPr>
      </w:pPr>
    </w:p>
    <w:p w14:paraId="45026CD5" w14:textId="77777777" w:rsidR="004A3027" w:rsidRPr="00657BA6" w:rsidRDefault="004A3027" w:rsidP="0014780A">
      <w:pPr>
        <w:spacing w:after="0"/>
        <w:jc w:val="both"/>
        <w:rPr>
          <w:rFonts w:ascii="Arial" w:hAnsi="Arial" w:cs="Arial"/>
          <w:spacing w:val="-4"/>
        </w:rPr>
      </w:pPr>
      <w:r w:rsidRPr="00657BA6">
        <w:rPr>
          <w:rFonts w:ascii="Arial" w:hAnsi="Arial" w:cs="Arial"/>
          <w:spacing w:val="-4"/>
        </w:rPr>
        <w:t>Como la depreciación económica es un método para determinar cuál es la recuperación de costos económicamente racional debe:</w:t>
      </w:r>
    </w:p>
    <w:p w14:paraId="0915FC47" w14:textId="77777777" w:rsidR="004A3027" w:rsidRPr="00657BA6" w:rsidRDefault="004A3027" w:rsidP="0014780A">
      <w:pPr>
        <w:spacing w:after="0"/>
        <w:jc w:val="both"/>
        <w:rPr>
          <w:rFonts w:ascii="Arial" w:hAnsi="Arial" w:cs="Arial"/>
          <w:spacing w:val="-4"/>
        </w:rPr>
      </w:pPr>
    </w:p>
    <w:p w14:paraId="2B7BDB8D" w14:textId="77777777" w:rsidR="004A3027" w:rsidRPr="00657BA6" w:rsidRDefault="004A3027" w:rsidP="0014780A">
      <w:pPr>
        <w:numPr>
          <w:ilvl w:val="0"/>
          <w:numId w:val="16"/>
        </w:numPr>
        <w:spacing w:after="0"/>
        <w:jc w:val="both"/>
        <w:rPr>
          <w:rFonts w:ascii="Arial" w:hAnsi="Arial" w:cs="Arial"/>
          <w:spacing w:val="-4"/>
        </w:rPr>
      </w:pPr>
      <w:r w:rsidRPr="00657BA6">
        <w:rPr>
          <w:rFonts w:ascii="Arial" w:hAnsi="Arial" w:cs="Arial"/>
          <w:spacing w:val="-4"/>
        </w:rPr>
        <w:t>Reflejar los costos subyacentes de producción: tendencias de precio del MEA</w:t>
      </w:r>
    </w:p>
    <w:p w14:paraId="49A28D0F" w14:textId="77777777" w:rsidR="004A3027" w:rsidRPr="00657BA6" w:rsidRDefault="004A3027" w:rsidP="0014780A">
      <w:pPr>
        <w:numPr>
          <w:ilvl w:val="0"/>
          <w:numId w:val="16"/>
        </w:numPr>
        <w:spacing w:after="0"/>
        <w:jc w:val="both"/>
        <w:rPr>
          <w:rFonts w:ascii="Arial" w:hAnsi="Arial" w:cs="Arial"/>
          <w:spacing w:val="-4"/>
        </w:rPr>
      </w:pPr>
      <w:r w:rsidRPr="00657BA6">
        <w:rPr>
          <w:rFonts w:ascii="Arial" w:hAnsi="Arial" w:cs="Arial"/>
          <w:spacing w:val="-4"/>
        </w:rPr>
        <w:t>Reflejar la producción de los elementos de la red en el largo plazo.</w:t>
      </w:r>
    </w:p>
    <w:p w14:paraId="7C0A544F" w14:textId="77777777" w:rsidR="004A3027" w:rsidRPr="00657BA6" w:rsidRDefault="004A3027" w:rsidP="0014780A">
      <w:pPr>
        <w:spacing w:after="0"/>
        <w:jc w:val="both"/>
        <w:rPr>
          <w:rFonts w:ascii="Arial" w:hAnsi="Arial" w:cs="Arial"/>
          <w:spacing w:val="-4"/>
        </w:rPr>
      </w:pPr>
    </w:p>
    <w:p w14:paraId="33514F10" w14:textId="77777777" w:rsidR="004A3027" w:rsidRPr="00657BA6" w:rsidRDefault="004A3027" w:rsidP="0014780A">
      <w:pPr>
        <w:spacing w:after="0"/>
        <w:jc w:val="both"/>
        <w:rPr>
          <w:rFonts w:ascii="Arial" w:hAnsi="Arial" w:cs="Arial"/>
          <w:spacing w:val="-4"/>
        </w:rPr>
      </w:pPr>
      <w:r w:rsidRPr="00657BA6">
        <w:rPr>
          <w:rFonts w:ascii="Arial" w:hAnsi="Arial" w:cs="Arial"/>
          <w:spacing w:val="-4"/>
        </w:rPr>
        <w:t>El primer factor relaciona la recuperación de costos a la de un nuevo entrante en el mercado (si el mercado es contestable) que podría ofrecer servicios con base en los costos actuales de producción.</w:t>
      </w:r>
    </w:p>
    <w:p w14:paraId="5152F619" w14:textId="77777777" w:rsidR="004A3027" w:rsidRPr="00657BA6" w:rsidRDefault="004A3027" w:rsidP="0014780A">
      <w:pPr>
        <w:spacing w:after="0"/>
        <w:jc w:val="both"/>
        <w:rPr>
          <w:rFonts w:ascii="Arial" w:hAnsi="Arial" w:cs="Arial"/>
          <w:spacing w:val="-4"/>
        </w:rPr>
      </w:pPr>
    </w:p>
    <w:p w14:paraId="76B7FC63" w14:textId="77777777" w:rsidR="004A3027" w:rsidRPr="00657BA6" w:rsidRDefault="004A3027" w:rsidP="0014780A">
      <w:pPr>
        <w:spacing w:after="0"/>
        <w:jc w:val="both"/>
        <w:rPr>
          <w:rFonts w:ascii="Arial" w:hAnsi="Arial" w:cs="Arial"/>
          <w:spacing w:val="-4"/>
        </w:rPr>
      </w:pPr>
      <w:r w:rsidRPr="00657BA6">
        <w:rPr>
          <w:rFonts w:ascii="Arial" w:hAnsi="Arial" w:cs="Arial"/>
          <w:spacing w:val="-4"/>
        </w:rPr>
        <w:t xml:space="preserve">El segundo factor relaciona la recuperación de costos con la ‘vida’ de la red – en el sentido de que las inversiones y otros gastos se van realizando a través del tiempo con la finalidad de poder recuperarlos mediante la demanda de servicio que se genera durante la vida de la operación. En un mercado competitivo estos retornos generan una utilidad normal en el largo plazo (por consiguiente, no extraordinaria). Todos los operadores del mercado deben realizar grandes inversiones iniciales y solo recuperan estos costos a través del tiempo. Estos dos factores no se reflejan en la depreciación histórica, que simplemente considera cuando fue adquirido un activo y en qué periodo será depreciado. </w:t>
      </w:r>
    </w:p>
    <w:p w14:paraId="0B5A63F8" w14:textId="77777777" w:rsidR="004A3027" w:rsidRPr="00657BA6" w:rsidRDefault="004A3027" w:rsidP="0014780A">
      <w:pPr>
        <w:spacing w:after="0"/>
        <w:jc w:val="both"/>
        <w:rPr>
          <w:rFonts w:ascii="Arial" w:hAnsi="Arial" w:cs="Arial"/>
          <w:spacing w:val="-4"/>
        </w:rPr>
      </w:pPr>
    </w:p>
    <w:p w14:paraId="25B9DA44" w14:textId="69B762DF" w:rsidR="004A3027" w:rsidRPr="00657BA6" w:rsidRDefault="004A3027" w:rsidP="0014780A">
      <w:pPr>
        <w:spacing w:after="0"/>
        <w:jc w:val="both"/>
        <w:rPr>
          <w:rFonts w:ascii="Arial" w:hAnsi="Arial" w:cs="Arial"/>
          <w:spacing w:val="-4"/>
        </w:rPr>
      </w:pPr>
      <w:r w:rsidRPr="00657BA6">
        <w:rPr>
          <w:rFonts w:ascii="Arial" w:hAnsi="Arial" w:cs="Arial"/>
          <w:spacing w:val="-4"/>
        </w:rPr>
        <w:t xml:space="preserve">La implementación de depreciación económica a ser usada en los modelos de costos está basada en el principio que establece que </w:t>
      </w:r>
      <w:r w:rsidRPr="00657BA6">
        <w:rPr>
          <w:rFonts w:ascii="Arial" w:hAnsi="Arial" w:cs="Arial"/>
          <w:i/>
          <w:spacing w:val="-4"/>
        </w:rPr>
        <w:t>todos los costos incurridos (eficientemente) deben ser completamente recuperados en forma económicamente racional</w:t>
      </w:r>
      <w:r w:rsidRPr="00657BA6">
        <w:rPr>
          <w:rFonts w:ascii="Arial" w:hAnsi="Arial" w:cs="Arial"/>
          <w:spacing w:val="-4"/>
        </w:rPr>
        <w:t xml:space="preserve">. La recuperación total de estos costos se garantiza al comprobar que el valor presente (PV) de los gastos sea igual al valor presente de los costos económicos recuperados, o alternativamente, que el valor presente neto (NPV) de los costos recuperados menos </w:t>
      </w:r>
      <w:r w:rsidR="008C4DF7" w:rsidRPr="00657BA6">
        <w:rPr>
          <w:rFonts w:ascii="Arial" w:hAnsi="Arial" w:cs="Arial"/>
          <w:spacing w:val="-4"/>
        </w:rPr>
        <w:t>los gastos sean</w:t>
      </w:r>
      <w:r w:rsidRPr="00657BA6">
        <w:rPr>
          <w:rFonts w:ascii="Arial" w:hAnsi="Arial" w:cs="Arial"/>
          <w:spacing w:val="-4"/>
        </w:rPr>
        <w:t xml:space="preserve"> cero.  </w:t>
      </w:r>
    </w:p>
    <w:p w14:paraId="65F72CE1" w14:textId="77777777" w:rsidR="004A3027" w:rsidRPr="00657BA6" w:rsidRDefault="004A3027" w:rsidP="0014780A">
      <w:pPr>
        <w:spacing w:after="0"/>
        <w:jc w:val="both"/>
        <w:rPr>
          <w:rFonts w:ascii="Arial" w:hAnsi="Arial" w:cs="Arial"/>
          <w:spacing w:val="-4"/>
        </w:rPr>
      </w:pPr>
    </w:p>
    <w:p w14:paraId="5681AD32" w14:textId="77777777" w:rsidR="004A3027" w:rsidRPr="00657BA6" w:rsidRDefault="004A3027" w:rsidP="0014780A">
      <w:pPr>
        <w:spacing w:after="0"/>
        <w:jc w:val="both"/>
        <w:rPr>
          <w:rFonts w:ascii="Arial" w:hAnsi="Arial" w:cs="Arial"/>
          <w:b/>
          <w:spacing w:val="-4"/>
        </w:rPr>
      </w:pPr>
      <w:r w:rsidRPr="00657BA6">
        <w:rPr>
          <w:rFonts w:ascii="Arial" w:hAnsi="Arial" w:cs="Arial"/>
          <w:b/>
          <w:spacing w:val="-4"/>
        </w:rPr>
        <w:t>Serie de tiempo</w:t>
      </w:r>
    </w:p>
    <w:p w14:paraId="47DE41DD" w14:textId="77777777" w:rsidR="004A3027" w:rsidRPr="00657BA6" w:rsidRDefault="004A3027" w:rsidP="0014780A">
      <w:pPr>
        <w:spacing w:after="0"/>
        <w:jc w:val="both"/>
        <w:rPr>
          <w:rFonts w:ascii="Arial" w:hAnsi="Arial" w:cs="Arial"/>
          <w:b/>
          <w:spacing w:val="-4"/>
        </w:rPr>
      </w:pPr>
    </w:p>
    <w:p w14:paraId="349187F0" w14:textId="77777777" w:rsidR="004A3027" w:rsidRDefault="004A3027" w:rsidP="0014780A">
      <w:pPr>
        <w:spacing w:after="0"/>
        <w:jc w:val="both"/>
        <w:rPr>
          <w:rFonts w:ascii="Arial" w:hAnsi="Arial" w:cs="Arial"/>
          <w:spacing w:val="-4"/>
        </w:rPr>
      </w:pPr>
      <w:r w:rsidRPr="00657BA6">
        <w:rPr>
          <w:rFonts w:ascii="Arial" w:hAnsi="Arial" w:cs="Arial"/>
          <w:spacing w:val="-4"/>
        </w:rPr>
        <w:t>La serie de tiempo, o el número de años para el que se calcularán los volúmenes de demanda y activos, es un insumo muy importante. El modelo de costos empleará una serie de tiempo larga ya que ésta:</w:t>
      </w:r>
    </w:p>
    <w:p w14:paraId="07CBD770" w14:textId="77777777" w:rsidR="00EB5A86" w:rsidRPr="00657BA6" w:rsidRDefault="00EB5A86" w:rsidP="0014780A">
      <w:pPr>
        <w:spacing w:after="0"/>
        <w:jc w:val="both"/>
        <w:rPr>
          <w:rFonts w:ascii="Arial" w:hAnsi="Arial" w:cs="Arial"/>
          <w:spacing w:val="-4"/>
        </w:rPr>
      </w:pPr>
    </w:p>
    <w:p w14:paraId="4E18D50F" w14:textId="77777777" w:rsidR="004A3027" w:rsidRPr="00657BA6" w:rsidRDefault="004A3027" w:rsidP="0014780A">
      <w:pPr>
        <w:numPr>
          <w:ilvl w:val="0"/>
          <w:numId w:val="17"/>
        </w:numPr>
        <w:spacing w:after="0"/>
        <w:jc w:val="both"/>
        <w:rPr>
          <w:rFonts w:ascii="Arial" w:hAnsi="Arial" w:cs="Arial"/>
          <w:spacing w:val="-4"/>
        </w:rPr>
      </w:pPr>
      <w:r w:rsidRPr="00657BA6">
        <w:rPr>
          <w:rFonts w:ascii="Arial" w:hAnsi="Arial" w:cs="Arial"/>
          <w:spacing w:val="-4"/>
        </w:rPr>
        <w:t>Permite que se consideren todos los costos en el tiempo, suministrando la mayor claridad dentro del modelo con relación a las implicaciones de adoptar depreciación económica;</w:t>
      </w:r>
    </w:p>
    <w:p w14:paraId="29B2763E" w14:textId="77777777" w:rsidR="004A3027" w:rsidRPr="00657BA6" w:rsidRDefault="004A3027" w:rsidP="0014780A">
      <w:pPr>
        <w:numPr>
          <w:ilvl w:val="0"/>
          <w:numId w:val="17"/>
        </w:numPr>
        <w:spacing w:after="0"/>
        <w:jc w:val="both"/>
        <w:rPr>
          <w:rFonts w:ascii="Arial" w:hAnsi="Arial" w:cs="Arial"/>
          <w:spacing w:val="-4"/>
        </w:rPr>
      </w:pPr>
      <w:r w:rsidRPr="00657BA6">
        <w:rPr>
          <w:rFonts w:ascii="Arial" w:hAnsi="Arial" w:cs="Arial"/>
          <w:spacing w:val="-4"/>
        </w:rPr>
        <w:t xml:space="preserve">Puede ser utilizado para estimar grandes pérdidas/ganancias resultantes de cambios en el costeo, permitiendo mayor transparencia sobre la recuperación de todos los costos incurridos por proveer los servicios; </w:t>
      </w:r>
    </w:p>
    <w:p w14:paraId="3E6F018A" w14:textId="77777777" w:rsidR="004A3027" w:rsidRPr="00657BA6" w:rsidRDefault="004A3027" w:rsidP="0014780A">
      <w:pPr>
        <w:numPr>
          <w:ilvl w:val="0"/>
          <w:numId w:val="17"/>
        </w:numPr>
        <w:spacing w:after="0"/>
        <w:jc w:val="both"/>
        <w:rPr>
          <w:rFonts w:ascii="Arial" w:hAnsi="Arial" w:cs="Arial"/>
          <w:spacing w:val="-4"/>
        </w:rPr>
      </w:pPr>
      <w:r w:rsidRPr="00657BA6">
        <w:rPr>
          <w:rFonts w:ascii="Arial" w:hAnsi="Arial" w:cs="Arial"/>
          <w:spacing w:val="-4"/>
        </w:rPr>
        <w:t>Genera una gran cantidad de información para entender como varían los costos del operador modelado a través del tiempo en respuesta a cambios en la demanda o la evolución de la red;</w:t>
      </w:r>
    </w:p>
    <w:p w14:paraId="439ADCE1" w14:textId="77777777" w:rsidR="004A3027" w:rsidRPr="00657BA6" w:rsidRDefault="004A3027" w:rsidP="0014780A">
      <w:pPr>
        <w:spacing w:after="0"/>
        <w:jc w:val="both"/>
        <w:rPr>
          <w:rFonts w:ascii="Arial" w:hAnsi="Arial" w:cs="Arial"/>
          <w:spacing w:val="-4"/>
        </w:rPr>
      </w:pPr>
    </w:p>
    <w:p w14:paraId="27188419" w14:textId="77777777" w:rsidR="004A3027" w:rsidRPr="00657BA6" w:rsidRDefault="004A3027" w:rsidP="0014780A">
      <w:pPr>
        <w:spacing w:after="0"/>
        <w:jc w:val="both"/>
        <w:rPr>
          <w:rFonts w:ascii="Arial" w:hAnsi="Arial" w:cs="Arial"/>
          <w:spacing w:val="-4"/>
        </w:rPr>
      </w:pPr>
      <w:r w:rsidRPr="00657BA6">
        <w:rPr>
          <w:rFonts w:ascii="Arial" w:hAnsi="Arial" w:cs="Arial"/>
          <w:spacing w:val="-4"/>
        </w:rPr>
        <w:t>La serie de tiempo debería ser igual a la vida del operador, permitiendo la recuperación total de los costos en la vida del negocio, mas no es práctico identificar qué tan larga será ésta. Debido a esto, se utilizará una serie de tiempo que sea por lo menos tan larga como la vida del activo más longevo y que ambos modelos utilicen esta serie de tiempo.</w:t>
      </w:r>
    </w:p>
    <w:p w14:paraId="72907D2F" w14:textId="77777777" w:rsidR="004A3027" w:rsidRPr="00657BA6" w:rsidRDefault="004A3027" w:rsidP="0014780A">
      <w:pPr>
        <w:spacing w:after="0"/>
        <w:jc w:val="both"/>
        <w:rPr>
          <w:rFonts w:ascii="Arial" w:hAnsi="Arial" w:cs="Arial"/>
          <w:spacing w:val="-4"/>
        </w:rPr>
      </w:pPr>
    </w:p>
    <w:p w14:paraId="2C1F6691" w14:textId="77777777" w:rsidR="004A3027" w:rsidRPr="00657BA6" w:rsidRDefault="004A3027" w:rsidP="0014780A">
      <w:pPr>
        <w:spacing w:after="0"/>
        <w:jc w:val="both"/>
        <w:rPr>
          <w:rFonts w:ascii="Arial" w:hAnsi="Arial" w:cs="Arial"/>
          <w:spacing w:val="-4"/>
        </w:rPr>
      </w:pPr>
      <w:r w:rsidRPr="00657BA6">
        <w:rPr>
          <w:rFonts w:ascii="Arial" w:hAnsi="Arial" w:cs="Arial"/>
          <w:spacing w:val="-4"/>
        </w:rPr>
        <w:t>Para un operador móvil, las vidas más largas de los activos son normalmente entre 25 y 40 años por lo que se llegan a utilizar series de tiempo de hasta 50 años, como es la obra civil. Sin embargo, se pueden asumir vidas aún más largas para algunos activos de las redes fijas como los túneles y ductos. Por lo que los modelos se construyen incorporando un horizonte temporal de 50 años.</w:t>
      </w:r>
    </w:p>
    <w:p w14:paraId="4BAE9122" w14:textId="77777777" w:rsidR="004A3027" w:rsidRPr="00657BA6" w:rsidRDefault="004A3027" w:rsidP="0014780A">
      <w:pPr>
        <w:spacing w:after="0"/>
        <w:jc w:val="both"/>
        <w:rPr>
          <w:rFonts w:ascii="Arial" w:hAnsi="Arial" w:cs="Arial"/>
          <w:spacing w:val="-4"/>
        </w:rPr>
      </w:pPr>
    </w:p>
    <w:p w14:paraId="030291A2" w14:textId="2816C032" w:rsidR="004A3027" w:rsidRPr="00657BA6" w:rsidRDefault="004A3027" w:rsidP="0014780A">
      <w:pPr>
        <w:spacing w:after="0"/>
        <w:jc w:val="both"/>
        <w:rPr>
          <w:rFonts w:ascii="Arial" w:hAnsi="Arial" w:cs="Arial"/>
          <w:spacing w:val="-4"/>
        </w:rPr>
      </w:pPr>
      <w:r w:rsidRPr="00657BA6">
        <w:rPr>
          <w:rFonts w:ascii="Arial" w:hAnsi="Arial" w:cs="Arial"/>
          <w:spacing w:val="-4"/>
        </w:rPr>
        <w:t>Dado que no sería realista efectuar una previsión detallada y precisa para el periodo total del modelo, se realiza un pronóstico para un periodo razonable de tiempo que cubra un periodo similar al periodo regulatorio (de cuatro a diez años), en este caso el periodo regulatorio es de 202</w:t>
      </w:r>
      <w:r w:rsidR="00E06D56">
        <w:rPr>
          <w:rFonts w:ascii="Arial" w:hAnsi="Arial" w:cs="Arial"/>
          <w:spacing w:val="-4"/>
        </w:rPr>
        <w:t>4</w:t>
      </w:r>
      <w:r w:rsidRPr="00657BA6">
        <w:rPr>
          <w:rFonts w:ascii="Arial" w:hAnsi="Arial" w:cs="Arial"/>
          <w:spacing w:val="-4"/>
        </w:rPr>
        <w:t xml:space="preserve"> a 202</w:t>
      </w:r>
      <w:r w:rsidR="00E06D56">
        <w:rPr>
          <w:rFonts w:ascii="Arial" w:hAnsi="Arial" w:cs="Arial"/>
          <w:spacing w:val="-4"/>
        </w:rPr>
        <w:t>6</w:t>
      </w:r>
      <w:r w:rsidRPr="00657BA6">
        <w:rPr>
          <w:rFonts w:ascii="Arial" w:hAnsi="Arial" w:cs="Arial"/>
          <w:spacing w:val="-4"/>
        </w:rPr>
        <w:t xml:space="preserve">. </w:t>
      </w:r>
    </w:p>
    <w:p w14:paraId="54D497F2" w14:textId="77777777" w:rsidR="00FE2ED8" w:rsidRPr="00657BA6" w:rsidRDefault="00FE2ED8" w:rsidP="0014780A">
      <w:pPr>
        <w:spacing w:after="0"/>
        <w:jc w:val="both"/>
        <w:rPr>
          <w:rFonts w:ascii="Arial" w:hAnsi="Arial" w:cs="Arial"/>
          <w:spacing w:val="-4"/>
        </w:rPr>
      </w:pPr>
    </w:p>
    <w:p w14:paraId="1499A3E2" w14:textId="77777777" w:rsidR="004A3027" w:rsidRPr="00657BA6" w:rsidRDefault="004A3027" w:rsidP="0014780A">
      <w:pPr>
        <w:spacing w:after="0"/>
        <w:jc w:val="both"/>
        <w:rPr>
          <w:rFonts w:ascii="Arial" w:hAnsi="Arial" w:cs="Arial"/>
          <w:spacing w:val="-4"/>
        </w:rPr>
      </w:pPr>
      <w:r w:rsidRPr="00657BA6">
        <w:rPr>
          <w:rFonts w:ascii="Arial" w:hAnsi="Arial" w:cs="Arial"/>
          <w:spacing w:val="-4"/>
        </w:rPr>
        <w:t>Tras el periodo regulatorio se hace el supuesto de que el tráfico y el número de suscriptores se estabiliza (su valor se mantiene constante hasta el final del periodo) debido a que ello permite limitar el impacto de errores asociados a un periodo demasiado largo (nuevas tecnologías desconocidas, etc.), así como limitar el impacto que tendría un exceso de demanda en años posteriores sobre el costo final de los servicios modelados debido a la depreciación económica.</w:t>
      </w:r>
    </w:p>
    <w:p w14:paraId="6530D923" w14:textId="77777777" w:rsidR="004A3027" w:rsidRPr="00657BA6" w:rsidRDefault="004A3027" w:rsidP="0014780A">
      <w:pPr>
        <w:spacing w:after="0"/>
        <w:jc w:val="both"/>
        <w:rPr>
          <w:rFonts w:ascii="Arial" w:hAnsi="Arial" w:cs="Arial"/>
          <w:spacing w:val="-4"/>
        </w:rPr>
      </w:pPr>
    </w:p>
    <w:p w14:paraId="1E0701DD" w14:textId="77777777" w:rsidR="004A3027" w:rsidRPr="00657BA6" w:rsidRDefault="004A3027" w:rsidP="0014780A">
      <w:pPr>
        <w:spacing w:after="0"/>
        <w:jc w:val="both"/>
        <w:rPr>
          <w:rFonts w:ascii="Arial" w:hAnsi="Arial" w:cs="Arial"/>
          <w:spacing w:val="-4"/>
        </w:rPr>
      </w:pPr>
      <w:r w:rsidRPr="00657BA6">
        <w:rPr>
          <w:rFonts w:ascii="Arial" w:hAnsi="Arial" w:cs="Arial"/>
          <w:spacing w:val="-4"/>
        </w:rPr>
        <w:t>Para alinear la duración de las concesiones móviles con la serie de tiempo elegida para el modelo – equivalente a 50 años – se asume que cada concesión de espectro es válida durante un periodo de 20 años y después renovable cada 15 años.</w:t>
      </w:r>
    </w:p>
    <w:p w14:paraId="0DDF2F37" w14:textId="77777777" w:rsidR="004A3027" w:rsidRPr="00657BA6" w:rsidRDefault="004A3027" w:rsidP="0014780A">
      <w:pPr>
        <w:spacing w:after="0"/>
        <w:jc w:val="both"/>
        <w:rPr>
          <w:rFonts w:ascii="Arial" w:hAnsi="Arial" w:cs="Arial"/>
          <w:b/>
          <w:spacing w:val="-4"/>
        </w:rPr>
      </w:pPr>
    </w:p>
    <w:p w14:paraId="4622FFBC" w14:textId="77777777" w:rsidR="004A3027" w:rsidRPr="00657BA6" w:rsidRDefault="004A3027" w:rsidP="0014780A">
      <w:pPr>
        <w:spacing w:after="0"/>
        <w:rPr>
          <w:rFonts w:ascii="Arial" w:hAnsi="Arial" w:cs="Arial"/>
          <w:b/>
        </w:rPr>
      </w:pPr>
      <w:r w:rsidRPr="00657BA6">
        <w:rPr>
          <w:rFonts w:ascii="Arial" w:hAnsi="Arial" w:cs="Arial"/>
          <w:b/>
        </w:rPr>
        <w:t>1.5 Costo de capital promedio ponderado (CCPP)</w:t>
      </w:r>
    </w:p>
    <w:p w14:paraId="47B9B653" w14:textId="77777777" w:rsidR="004A3027" w:rsidRPr="00657BA6" w:rsidRDefault="004A3027" w:rsidP="0014780A">
      <w:pPr>
        <w:spacing w:after="0"/>
        <w:rPr>
          <w:rFonts w:ascii="Arial" w:hAnsi="Arial" w:cs="Arial"/>
        </w:rPr>
      </w:pPr>
    </w:p>
    <w:p w14:paraId="3A945EA0" w14:textId="0BD7FCF5" w:rsidR="004A3027" w:rsidRDefault="00562A32" w:rsidP="0014780A">
      <w:pPr>
        <w:spacing w:after="0"/>
        <w:jc w:val="both"/>
        <w:rPr>
          <w:rFonts w:ascii="Arial" w:hAnsi="Arial" w:cs="Arial"/>
          <w:spacing w:val="-4"/>
        </w:rPr>
      </w:pPr>
      <w:r>
        <w:rPr>
          <w:rFonts w:ascii="Arial" w:hAnsi="Arial" w:cs="Arial"/>
          <w:spacing w:val="-4"/>
        </w:rPr>
        <w:t>Los modelos</w:t>
      </w:r>
      <w:r w:rsidR="004A3027" w:rsidRPr="00657BA6">
        <w:rPr>
          <w:rFonts w:ascii="Arial" w:hAnsi="Arial" w:cs="Arial"/>
          <w:spacing w:val="-4"/>
        </w:rPr>
        <w:t xml:space="preserve"> debe</w:t>
      </w:r>
      <w:r>
        <w:rPr>
          <w:rFonts w:ascii="Arial" w:hAnsi="Arial" w:cs="Arial"/>
          <w:spacing w:val="-4"/>
        </w:rPr>
        <w:t>n</w:t>
      </w:r>
      <w:r w:rsidR="004A3027" w:rsidRPr="00657BA6">
        <w:rPr>
          <w:rFonts w:ascii="Arial" w:hAnsi="Arial" w:cs="Arial"/>
          <w:spacing w:val="-4"/>
        </w:rPr>
        <w:t xml:space="preserve"> incluir un retorno razonable sobre los activos, de conformidad con el Lineamiento Noveno de la Metodología de Costos, éste será determinado a través del costo de capital promedio ponderado (CCPP). El CCPP antes de impuestos se calcula de la siguiente forma:</w:t>
      </w:r>
    </w:p>
    <w:p w14:paraId="5DB32D43" w14:textId="77777777" w:rsidR="00562A32" w:rsidRPr="00657BA6" w:rsidRDefault="00562A32" w:rsidP="0014780A">
      <w:pPr>
        <w:spacing w:after="0"/>
        <w:jc w:val="both"/>
        <w:rPr>
          <w:rFonts w:ascii="Arial" w:hAnsi="Arial" w:cs="Arial"/>
          <w:spacing w:val="-4"/>
        </w:rPr>
      </w:pPr>
    </w:p>
    <w:p w14:paraId="392C709F" w14:textId="77777777" w:rsidR="00562A32" w:rsidRPr="00D47BB9" w:rsidRDefault="00562A32" w:rsidP="0014780A">
      <w:pPr>
        <w:spacing w:after="0"/>
        <w:jc w:val="center"/>
        <w:rPr>
          <w:rFonts w:ascii="Arial" w:hAnsi="Arial" w:cs="Arial"/>
          <w:sz w:val="24"/>
          <w:szCs w:val="24"/>
          <w:lang w:val="es-ES"/>
        </w:rPr>
      </w:pPr>
      <w:bookmarkStart w:id="1" w:name="_Hlk85112508"/>
      <m:oMathPara>
        <m:oMath>
          <m:r>
            <w:rPr>
              <w:rFonts w:ascii="Cambria Math" w:hAnsi="Cambria Math" w:cs="Arial"/>
              <w:sz w:val="24"/>
              <w:szCs w:val="24"/>
              <w:lang w:val="es-ES"/>
            </w:rPr>
            <m:t>CCPP=</m:t>
          </m:r>
          <m:sSub>
            <m:sSubPr>
              <m:ctrlPr>
                <w:rPr>
                  <w:rFonts w:ascii="Cambria Math" w:hAnsi="Cambria Math" w:cs="Arial"/>
                  <w:i/>
                  <w:sz w:val="24"/>
                  <w:szCs w:val="24"/>
                  <w:lang w:val="es-ES"/>
                </w:rPr>
              </m:ctrlPr>
            </m:sSubPr>
            <m:e>
              <m:r>
                <w:rPr>
                  <w:rFonts w:ascii="Cambria Math" w:hAnsi="Cambria Math" w:cs="Arial"/>
                  <w:sz w:val="24"/>
                  <w:szCs w:val="24"/>
                  <w:lang w:val="es-ES"/>
                </w:rPr>
                <m:t>C</m:t>
              </m:r>
            </m:e>
            <m:sub>
              <m:r>
                <w:rPr>
                  <w:rFonts w:ascii="Cambria Math" w:hAnsi="Cambria Math" w:cs="Arial"/>
                  <w:sz w:val="24"/>
                  <w:szCs w:val="24"/>
                  <w:lang w:val="es-ES"/>
                </w:rPr>
                <m:t>e</m:t>
              </m:r>
            </m:sub>
          </m:sSub>
          <m:r>
            <w:rPr>
              <w:rFonts w:ascii="Cambria Math" w:hAnsi="Cambria Math" w:cs="Arial"/>
              <w:sz w:val="24"/>
              <w:szCs w:val="24"/>
              <w:lang w:val="es-ES"/>
            </w:rPr>
            <m:t>×</m:t>
          </m:r>
          <m:f>
            <m:fPr>
              <m:ctrlPr>
                <w:rPr>
                  <w:rFonts w:ascii="Cambria Math" w:hAnsi="Cambria Math" w:cs="Arial"/>
                  <w:i/>
                  <w:sz w:val="24"/>
                  <w:szCs w:val="24"/>
                  <w:lang w:val="es-ES"/>
                </w:rPr>
              </m:ctrlPr>
            </m:fPr>
            <m:num>
              <m:r>
                <w:rPr>
                  <w:rFonts w:ascii="Cambria Math" w:hAnsi="Cambria Math" w:cs="Arial"/>
                  <w:sz w:val="24"/>
                  <w:szCs w:val="24"/>
                  <w:lang w:val="es-ES"/>
                </w:rPr>
                <m:t>E</m:t>
              </m:r>
            </m:num>
            <m:den>
              <m:r>
                <w:rPr>
                  <w:rFonts w:ascii="Cambria Math" w:hAnsi="Cambria Math" w:cs="Arial"/>
                  <w:sz w:val="24"/>
                  <w:szCs w:val="24"/>
                  <w:lang w:val="es-ES"/>
                </w:rPr>
                <m:t>D+E</m:t>
              </m:r>
            </m:den>
          </m:f>
          <m:r>
            <w:rPr>
              <w:rFonts w:ascii="Cambria Math" w:eastAsiaTheme="minorEastAsia" w:hAnsi="Cambria Math" w:cs="Arial"/>
              <w:sz w:val="24"/>
              <w:szCs w:val="24"/>
              <w:lang w:val="es-ES"/>
            </w:rPr>
            <m:t>+</m:t>
          </m:r>
          <m:sSub>
            <m:sSubPr>
              <m:ctrlPr>
                <w:rPr>
                  <w:rFonts w:ascii="Cambria Math" w:hAnsi="Cambria Math" w:cs="Arial"/>
                  <w:i/>
                  <w:sz w:val="24"/>
                  <w:szCs w:val="24"/>
                  <w:lang w:val="es-ES"/>
                </w:rPr>
              </m:ctrlPr>
            </m:sSubPr>
            <m:e>
              <m:r>
                <w:rPr>
                  <w:rFonts w:ascii="Cambria Math" w:hAnsi="Cambria Math" w:cs="Arial"/>
                  <w:sz w:val="24"/>
                  <w:szCs w:val="24"/>
                  <w:lang w:val="es-ES"/>
                </w:rPr>
                <m:t>C</m:t>
              </m:r>
            </m:e>
            <m:sub>
              <m:r>
                <w:rPr>
                  <w:rFonts w:ascii="Cambria Math" w:hAnsi="Cambria Math" w:cs="Arial"/>
                  <w:sz w:val="24"/>
                  <w:szCs w:val="24"/>
                  <w:lang w:val="es-ES"/>
                </w:rPr>
                <m:t>d</m:t>
              </m:r>
            </m:sub>
          </m:sSub>
          <m:r>
            <w:rPr>
              <w:rFonts w:ascii="Cambria Math" w:hAnsi="Cambria Math" w:cs="Arial"/>
              <w:sz w:val="24"/>
              <w:szCs w:val="24"/>
              <w:lang w:val="es-ES"/>
            </w:rPr>
            <m:t>×</m:t>
          </m:r>
          <m:f>
            <m:fPr>
              <m:ctrlPr>
                <w:rPr>
                  <w:rFonts w:ascii="Cambria Math" w:hAnsi="Cambria Math" w:cs="Arial"/>
                  <w:i/>
                  <w:sz w:val="24"/>
                  <w:szCs w:val="24"/>
                  <w:lang w:val="es-ES"/>
                </w:rPr>
              </m:ctrlPr>
            </m:fPr>
            <m:num>
              <m:r>
                <w:rPr>
                  <w:rFonts w:ascii="Cambria Math" w:hAnsi="Cambria Math" w:cs="Arial"/>
                  <w:sz w:val="24"/>
                  <w:szCs w:val="24"/>
                  <w:lang w:val="es-ES"/>
                </w:rPr>
                <m:t>D</m:t>
              </m:r>
            </m:num>
            <m:den>
              <m:r>
                <w:rPr>
                  <w:rFonts w:ascii="Cambria Math" w:hAnsi="Cambria Math" w:cs="Arial"/>
                  <w:sz w:val="24"/>
                  <w:szCs w:val="24"/>
                  <w:lang w:val="es-ES"/>
                </w:rPr>
                <m:t>D+E</m:t>
              </m:r>
            </m:den>
          </m:f>
          <m:r>
            <w:rPr>
              <w:rFonts w:ascii="Cambria Math" w:hAnsi="Cambria Math" w:cs="Arial"/>
              <w:sz w:val="24"/>
              <w:szCs w:val="24"/>
              <w:lang w:val="es-ES"/>
            </w:rPr>
            <m:t>×(1-T)</m:t>
          </m:r>
        </m:oMath>
      </m:oMathPara>
    </w:p>
    <w:p w14:paraId="78E9659D" w14:textId="77777777" w:rsidR="00562A32" w:rsidRPr="00D47BB9" w:rsidRDefault="00562A32" w:rsidP="0014780A">
      <w:pPr>
        <w:spacing w:after="0"/>
        <w:rPr>
          <w:rFonts w:ascii="Arial" w:hAnsi="Arial" w:cs="Arial"/>
          <w:lang w:val="es-ES"/>
        </w:rPr>
      </w:pPr>
      <w:r w:rsidRPr="00D47BB9">
        <w:rPr>
          <w:rFonts w:ascii="Arial" w:hAnsi="Arial" w:cs="Arial"/>
          <w:lang w:val="es-ES"/>
        </w:rPr>
        <w:t>Donde:</w:t>
      </w:r>
    </w:p>
    <w:p w14:paraId="2CEC40C8" w14:textId="4700A8E4" w:rsidR="00562A32" w:rsidRPr="00D47BB9" w:rsidRDefault="003119E0" w:rsidP="0014780A">
      <w:pPr>
        <w:pStyle w:val="ListBulletCompact"/>
        <w:numPr>
          <w:ilvl w:val="0"/>
          <w:numId w:val="4"/>
        </w:numPr>
        <w:tabs>
          <w:tab w:val="clear" w:pos="360"/>
        </w:tabs>
        <w:spacing w:line="276" w:lineRule="auto"/>
        <w:ind w:left="357" w:hanging="357"/>
        <w:contextualSpacing/>
        <w:rPr>
          <w:rFonts w:ascii="Arial" w:hAnsi="Arial" w:cs="Arial"/>
        </w:rPr>
      </w:pPr>
      <m:oMath>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e</m:t>
            </m:r>
          </m:sub>
        </m:sSub>
      </m:oMath>
      <w:r w:rsidR="00562A32" w:rsidRPr="00D47BB9">
        <w:rPr>
          <w:rFonts w:ascii="Arial" w:hAnsi="Arial" w:cs="Arial"/>
        </w:rPr>
        <w:t xml:space="preserve"> es el costo del capital (</w:t>
      </w:r>
      <w:r w:rsidR="00562A32" w:rsidRPr="00D47BB9">
        <w:rPr>
          <w:rFonts w:ascii="Arial" w:hAnsi="Arial" w:cs="Arial"/>
          <w:i/>
          <w:iCs/>
        </w:rPr>
        <w:t>equity</w:t>
      </w:r>
      <w:r w:rsidR="00562A32" w:rsidRPr="00D47BB9">
        <w:rPr>
          <w:rFonts w:ascii="Arial" w:hAnsi="Arial" w:cs="Arial"/>
        </w:rPr>
        <w:t>)</w:t>
      </w:r>
      <w:r w:rsidR="00DB77E1">
        <w:rPr>
          <w:rFonts w:ascii="Arial" w:hAnsi="Arial" w:cs="Arial"/>
        </w:rPr>
        <w:t>.</w:t>
      </w:r>
    </w:p>
    <w:p w14:paraId="7E7DFF29" w14:textId="7F5C0C10" w:rsidR="00562A32" w:rsidRPr="00D47BB9" w:rsidRDefault="00562A32" w:rsidP="0014780A">
      <w:pPr>
        <w:pStyle w:val="ListBulletCompact"/>
        <w:numPr>
          <w:ilvl w:val="0"/>
          <w:numId w:val="4"/>
        </w:numPr>
        <w:tabs>
          <w:tab w:val="clear" w:pos="360"/>
        </w:tabs>
        <w:spacing w:line="276" w:lineRule="auto"/>
        <w:ind w:left="357" w:hanging="357"/>
        <w:contextualSpacing/>
        <w:rPr>
          <w:rFonts w:ascii="Arial" w:hAnsi="Arial" w:cs="Arial"/>
        </w:rPr>
      </w:pPr>
      <m:oMath>
        <m:r>
          <w:rPr>
            <w:rFonts w:ascii="Cambria Math" w:hAnsi="Cambria Math" w:cs="Arial"/>
            <w:sz w:val="24"/>
            <w:szCs w:val="24"/>
          </w:rPr>
          <m:t>E</m:t>
        </m:r>
      </m:oMath>
      <w:r w:rsidRPr="00D47BB9">
        <w:rPr>
          <w:rFonts w:ascii="Arial" w:hAnsi="Arial" w:cs="Arial"/>
          <w:sz w:val="24"/>
          <w:szCs w:val="24"/>
        </w:rPr>
        <w:t xml:space="preserve"> </w:t>
      </w:r>
      <w:r w:rsidRPr="00D47BB9">
        <w:rPr>
          <w:rFonts w:ascii="Arial" w:hAnsi="Arial" w:cs="Arial"/>
        </w:rPr>
        <w:t xml:space="preserve">es el valor de los recursos propios del operador (o </w:t>
      </w:r>
      <w:r w:rsidRPr="00D47BB9">
        <w:rPr>
          <w:rFonts w:ascii="Arial" w:hAnsi="Arial" w:cs="Arial"/>
          <w:i/>
          <w:iCs/>
        </w:rPr>
        <w:t>equity</w:t>
      </w:r>
      <w:r w:rsidRPr="00D47BB9">
        <w:rPr>
          <w:rFonts w:ascii="Arial" w:hAnsi="Arial" w:cs="Arial"/>
        </w:rPr>
        <w:t>)</w:t>
      </w:r>
      <w:r w:rsidR="00DB77E1">
        <w:rPr>
          <w:rFonts w:ascii="Arial" w:hAnsi="Arial" w:cs="Arial"/>
        </w:rPr>
        <w:t>.</w:t>
      </w:r>
    </w:p>
    <w:p w14:paraId="42B2C52D" w14:textId="4E42344B" w:rsidR="00562A32" w:rsidRPr="00D47BB9" w:rsidRDefault="00562A32" w:rsidP="0014780A">
      <w:pPr>
        <w:pStyle w:val="ListBulletCompact"/>
        <w:numPr>
          <w:ilvl w:val="0"/>
          <w:numId w:val="4"/>
        </w:numPr>
        <w:tabs>
          <w:tab w:val="clear" w:pos="360"/>
        </w:tabs>
        <w:spacing w:line="276" w:lineRule="auto"/>
        <w:ind w:left="357" w:hanging="357"/>
        <w:contextualSpacing/>
        <w:rPr>
          <w:rFonts w:ascii="Arial" w:hAnsi="Arial" w:cs="Arial"/>
        </w:rPr>
      </w:pPr>
      <m:oMath>
        <m:r>
          <w:rPr>
            <w:rFonts w:ascii="Cambria Math" w:hAnsi="Cambria Math" w:cs="Arial"/>
          </w:rPr>
          <m:t>D</m:t>
        </m:r>
      </m:oMath>
      <w:r w:rsidRPr="00D47BB9">
        <w:rPr>
          <w:rFonts w:ascii="Arial" w:eastAsiaTheme="minorEastAsia" w:hAnsi="Arial" w:cs="Arial"/>
        </w:rPr>
        <w:t xml:space="preserve"> es el valor de la de</w:t>
      </w:r>
      <w:r w:rsidR="00DB77E1">
        <w:rPr>
          <w:rFonts w:ascii="Arial" w:eastAsiaTheme="minorEastAsia" w:hAnsi="Arial" w:cs="Arial"/>
        </w:rPr>
        <w:t>u</w:t>
      </w:r>
      <w:r w:rsidR="00656B5E">
        <w:rPr>
          <w:rFonts w:ascii="Arial" w:eastAsiaTheme="minorEastAsia" w:hAnsi="Arial" w:cs="Arial"/>
        </w:rPr>
        <w:t>da</w:t>
      </w:r>
      <w:r w:rsidRPr="00D47BB9">
        <w:rPr>
          <w:rFonts w:ascii="Arial" w:eastAsiaTheme="minorEastAsia" w:hAnsi="Arial" w:cs="Arial"/>
        </w:rPr>
        <w:t xml:space="preserve"> del operador</w:t>
      </w:r>
      <w:r w:rsidR="00DB77E1">
        <w:rPr>
          <w:rFonts w:ascii="Arial" w:eastAsiaTheme="minorEastAsia" w:hAnsi="Arial" w:cs="Arial"/>
        </w:rPr>
        <w:t>.</w:t>
      </w:r>
    </w:p>
    <w:p w14:paraId="5F431DCC" w14:textId="22D66F2A" w:rsidR="00562A32" w:rsidRPr="00D47BB9" w:rsidRDefault="003119E0" w:rsidP="0014780A">
      <w:pPr>
        <w:pStyle w:val="ListBulletCompact"/>
        <w:numPr>
          <w:ilvl w:val="0"/>
          <w:numId w:val="4"/>
        </w:numPr>
        <w:tabs>
          <w:tab w:val="clear" w:pos="360"/>
        </w:tabs>
        <w:spacing w:line="276" w:lineRule="auto"/>
        <w:ind w:left="357" w:hanging="357"/>
        <w:contextualSpacing/>
        <w:rPr>
          <w:rFonts w:ascii="Arial" w:hAnsi="Arial" w:cs="Arial"/>
        </w:rPr>
      </w:pPr>
      <m:oMath>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d</m:t>
            </m:r>
          </m:sub>
        </m:sSub>
      </m:oMath>
      <w:r w:rsidR="00562A32" w:rsidRPr="00D47BB9">
        <w:rPr>
          <w:rFonts w:ascii="Arial" w:hAnsi="Arial" w:cs="Arial"/>
        </w:rPr>
        <w:t xml:space="preserve"> es el costo de la deuda</w:t>
      </w:r>
      <w:r w:rsidR="00DB77E1">
        <w:rPr>
          <w:rFonts w:ascii="Arial" w:hAnsi="Arial" w:cs="Arial"/>
        </w:rPr>
        <w:t>.</w:t>
      </w:r>
    </w:p>
    <w:p w14:paraId="2CDAFBC5" w14:textId="77777777" w:rsidR="00562A32" w:rsidRPr="00D47BB9" w:rsidRDefault="00562A32" w:rsidP="0014780A">
      <w:pPr>
        <w:pStyle w:val="ListBulletCompact"/>
        <w:numPr>
          <w:ilvl w:val="0"/>
          <w:numId w:val="4"/>
        </w:numPr>
        <w:tabs>
          <w:tab w:val="clear" w:pos="360"/>
        </w:tabs>
        <w:spacing w:line="276" w:lineRule="auto"/>
        <w:ind w:left="357" w:hanging="357"/>
        <w:contextualSpacing/>
        <w:rPr>
          <w:rFonts w:ascii="Arial" w:hAnsi="Arial" w:cs="Arial"/>
        </w:rPr>
      </w:pPr>
      <m:oMath>
        <m:r>
          <w:rPr>
            <w:rFonts w:ascii="Cambria Math" w:hAnsi="Cambria Math" w:cs="Arial"/>
            <w:sz w:val="24"/>
            <w:szCs w:val="24"/>
          </w:rPr>
          <m:t>T</m:t>
        </m:r>
      </m:oMath>
      <w:r w:rsidRPr="00D47BB9">
        <w:rPr>
          <w:rFonts w:ascii="Arial" w:eastAsiaTheme="minorEastAsia" w:hAnsi="Arial" w:cs="Arial"/>
          <w:sz w:val="24"/>
          <w:szCs w:val="24"/>
        </w:rPr>
        <w:t xml:space="preserve"> </w:t>
      </w:r>
      <w:r w:rsidRPr="00D47BB9">
        <w:rPr>
          <w:rFonts w:ascii="Arial" w:eastAsiaTheme="minorEastAsia" w:hAnsi="Arial" w:cs="Arial"/>
        </w:rPr>
        <w:t>es el impuesto de sociedades.</w:t>
      </w:r>
    </w:p>
    <w:p w14:paraId="4576E098" w14:textId="77777777" w:rsidR="00562A32" w:rsidRPr="00D47BB9" w:rsidRDefault="00562A32" w:rsidP="00D47BB9">
      <w:pPr>
        <w:pStyle w:val="ListBulletCompact"/>
        <w:numPr>
          <w:ilvl w:val="0"/>
          <w:numId w:val="0"/>
        </w:numPr>
        <w:spacing w:line="276" w:lineRule="auto"/>
        <w:ind w:left="357"/>
        <w:contextualSpacing/>
        <w:rPr>
          <w:rFonts w:ascii="Arial" w:hAnsi="Arial" w:cs="Arial"/>
        </w:rPr>
      </w:pPr>
    </w:p>
    <w:bookmarkEnd w:id="1"/>
    <w:p w14:paraId="26B759BB" w14:textId="77777777" w:rsidR="00562A32" w:rsidRPr="00D47BB9" w:rsidRDefault="00562A32" w:rsidP="00D47BB9">
      <w:pPr>
        <w:spacing w:after="0"/>
        <w:jc w:val="both"/>
        <w:rPr>
          <w:rFonts w:ascii="Arial" w:hAnsi="Arial" w:cs="Arial"/>
          <w:lang w:val="es-ES"/>
        </w:rPr>
      </w:pPr>
      <w:r w:rsidRPr="00D47BB9">
        <w:rPr>
          <w:rFonts w:ascii="Arial" w:hAnsi="Arial" w:cs="Arial"/>
          <w:lang w:val="es-ES"/>
        </w:rPr>
        <w:t xml:space="preserve">Con respecto a estos parámetros, un aspecto a clarificar para el cálculo del CCPP es el tratamiento que se ha de dar al impuesto de sociedades, ya que el CCPP puede medirse </w:t>
      </w:r>
      <w:r w:rsidRPr="00D47BB9">
        <w:rPr>
          <w:rFonts w:ascii="Arial" w:hAnsi="Arial" w:cs="Arial"/>
          <w:i/>
          <w:iCs/>
          <w:lang w:val="es-ES"/>
        </w:rPr>
        <w:t>antes</w:t>
      </w:r>
      <w:r w:rsidRPr="00D47BB9">
        <w:rPr>
          <w:rFonts w:ascii="Arial" w:hAnsi="Arial" w:cs="Arial"/>
          <w:lang w:val="es-ES"/>
        </w:rPr>
        <w:t xml:space="preserve"> o </w:t>
      </w:r>
      <w:r w:rsidRPr="00D47BB9">
        <w:rPr>
          <w:rFonts w:ascii="Arial" w:hAnsi="Arial" w:cs="Arial"/>
          <w:i/>
          <w:iCs/>
          <w:lang w:val="es-ES"/>
        </w:rPr>
        <w:t>después</w:t>
      </w:r>
      <w:r w:rsidRPr="00D47BB9">
        <w:rPr>
          <w:rFonts w:ascii="Arial" w:hAnsi="Arial" w:cs="Arial"/>
          <w:lang w:val="es-ES"/>
        </w:rPr>
        <w:t xml:space="preserve"> de impuestos. El objetivo de medir el CCPP después de impuestos es reconocer que los intereses pagados a los acreedores son deducibles de la base imponible (esto es, los impuestos se aplican después de deducir los intereses). En el caso de los modelos de costos, ya que las estimaciones que se realizan son antes de impuestos, es importante aplicar un costo de capital antes de impuestos. Para estimar el CCPP antes de impuestos, es necesario aplicar la siguiente fórmula:</w:t>
      </w:r>
    </w:p>
    <w:p w14:paraId="62FA25EF" w14:textId="77777777" w:rsidR="00562A32" w:rsidRPr="007D6E3B" w:rsidRDefault="00562A32" w:rsidP="0014780A">
      <w:pPr>
        <w:spacing w:after="0"/>
        <w:rPr>
          <w:rFonts w:ascii="Arial" w:eastAsiaTheme="minorEastAsia" w:hAnsi="Arial" w:cs="Arial"/>
          <w:sz w:val="24"/>
          <w:szCs w:val="24"/>
          <w:lang w:val="es-ES"/>
        </w:rPr>
      </w:pPr>
      <m:oMathPara>
        <m:oMath>
          <m:r>
            <w:rPr>
              <w:rFonts w:ascii="Cambria Math" w:hAnsi="Cambria Math" w:cs="Arial"/>
              <w:sz w:val="24"/>
              <w:szCs w:val="24"/>
              <w:lang w:val="es-ES"/>
            </w:rPr>
            <m:t>CCP</m:t>
          </m:r>
          <m:sSub>
            <m:sSubPr>
              <m:ctrlPr>
                <w:rPr>
                  <w:rFonts w:ascii="Cambria Math" w:hAnsi="Cambria Math" w:cs="Arial"/>
                  <w:i/>
                  <w:sz w:val="24"/>
                  <w:szCs w:val="24"/>
                  <w:lang w:val="es-ES"/>
                </w:rPr>
              </m:ctrlPr>
            </m:sSubPr>
            <m:e>
              <m:r>
                <w:rPr>
                  <w:rFonts w:ascii="Cambria Math" w:hAnsi="Cambria Math" w:cs="Arial"/>
                  <w:sz w:val="24"/>
                  <w:szCs w:val="24"/>
                  <w:lang w:val="es-ES"/>
                </w:rPr>
                <m:t>P</m:t>
              </m:r>
            </m:e>
            <m:sub>
              <m:r>
                <w:rPr>
                  <w:rFonts w:ascii="Cambria Math" w:hAnsi="Cambria Math" w:cs="Arial"/>
                  <w:sz w:val="24"/>
                  <w:szCs w:val="24"/>
                  <w:lang w:val="es-ES"/>
                </w:rPr>
                <m:t>AI</m:t>
              </m:r>
            </m:sub>
          </m:sSub>
          <m:r>
            <w:rPr>
              <w:rFonts w:ascii="Cambria Math" w:hAnsi="Cambria Math" w:cs="Arial"/>
              <w:sz w:val="24"/>
              <w:szCs w:val="24"/>
              <w:lang w:val="es-ES"/>
            </w:rPr>
            <m:t>=</m:t>
          </m:r>
          <m:f>
            <m:fPr>
              <m:ctrlPr>
                <w:rPr>
                  <w:rFonts w:ascii="Cambria Math" w:hAnsi="Cambria Math" w:cs="Arial"/>
                  <w:i/>
                  <w:sz w:val="24"/>
                  <w:szCs w:val="24"/>
                  <w:lang w:val="es-ES"/>
                </w:rPr>
              </m:ctrlPr>
            </m:fPr>
            <m:num>
              <m:r>
                <w:rPr>
                  <w:rFonts w:ascii="Cambria Math" w:hAnsi="Cambria Math" w:cs="Arial"/>
                  <w:sz w:val="24"/>
                  <w:szCs w:val="24"/>
                  <w:lang w:val="es-ES"/>
                </w:rPr>
                <m:t>CCPP</m:t>
              </m:r>
            </m:num>
            <m:den>
              <m:d>
                <m:dPr>
                  <m:ctrlPr>
                    <w:rPr>
                      <w:rFonts w:ascii="Cambria Math" w:hAnsi="Cambria Math" w:cs="Arial"/>
                      <w:i/>
                      <w:sz w:val="24"/>
                      <w:szCs w:val="24"/>
                      <w:lang w:val="es-ES"/>
                    </w:rPr>
                  </m:ctrlPr>
                </m:dPr>
                <m:e>
                  <m:r>
                    <w:rPr>
                      <w:rFonts w:ascii="Cambria Math" w:hAnsi="Cambria Math" w:cs="Arial"/>
                      <w:sz w:val="24"/>
                      <w:szCs w:val="24"/>
                      <w:lang w:val="es-ES"/>
                    </w:rPr>
                    <m:t>1-T</m:t>
                  </m:r>
                </m:e>
              </m:d>
            </m:den>
          </m:f>
        </m:oMath>
      </m:oMathPara>
    </w:p>
    <w:p w14:paraId="7A31DA4B" w14:textId="77777777" w:rsidR="007D6E3B" w:rsidRPr="00D47BB9" w:rsidRDefault="007D6E3B" w:rsidP="0014780A">
      <w:pPr>
        <w:spacing w:after="0"/>
        <w:rPr>
          <w:rFonts w:ascii="Arial" w:eastAsiaTheme="minorEastAsia" w:hAnsi="Arial" w:cs="Arial"/>
          <w:sz w:val="24"/>
          <w:szCs w:val="24"/>
          <w:lang w:val="es-ES"/>
        </w:rPr>
      </w:pPr>
    </w:p>
    <w:p w14:paraId="318E3B36" w14:textId="77777777" w:rsidR="00562A32" w:rsidRDefault="00562A32" w:rsidP="0014780A">
      <w:pPr>
        <w:spacing w:after="0"/>
        <w:rPr>
          <w:rFonts w:ascii="Arial" w:eastAsiaTheme="minorEastAsia" w:hAnsi="Arial" w:cs="Arial"/>
          <w:lang w:val="es-ES"/>
        </w:rPr>
      </w:pPr>
      <w:r w:rsidRPr="00D47BB9">
        <w:rPr>
          <w:rFonts w:ascii="Arial" w:eastAsiaTheme="minorEastAsia" w:hAnsi="Arial" w:cs="Arial"/>
          <w:lang w:val="es-ES"/>
        </w:rPr>
        <w:t>Integrando esta fórmula sobre la formulación del CCPP después de impuestos se obtiene la siguiente formulación integral para el CCPP antes de impuestos:</w:t>
      </w:r>
    </w:p>
    <w:p w14:paraId="4A5270C5" w14:textId="77777777" w:rsidR="007D6E3B" w:rsidRPr="00D47BB9" w:rsidRDefault="007D6E3B" w:rsidP="0014780A">
      <w:pPr>
        <w:spacing w:after="0"/>
        <w:rPr>
          <w:rFonts w:ascii="Arial" w:eastAsiaTheme="minorEastAsia" w:hAnsi="Arial" w:cs="Arial"/>
          <w:lang w:val="es-ES"/>
        </w:rPr>
      </w:pPr>
    </w:p>
    <w:p w14:paraId="388243FC" w14:textId="77777777" w:rsidR="00562A32" w:rsidRPr="00D47BB9" w:rsidRDefault="00562A32" w:rsidP="0014780A">
      <w:pPr>
        <w:spacing w:after="0"/>
        <w:rPr>
          <w:rFonts w:ascii="Arial" w:eastAsiaTheme="minorEastAsia" w:hAnsi="Arial" w:cs="Arial"/>
          <w:lang w:val="es-ES"/>
        </w:rPr>
      </w:pPr>
      <m:oMathPara>
        <m:oMath>
          <m:r>
            <w:rPr>
              <w:rFonts w:ascii="Cambria Math" w:hAnsi="Cambria Math" w:cs="Arial"/>
              <w:sz w:val="24"/>
              <w:szCs w:val="24"/>
              <w:lang w:val="es-ES"/>
            </w:rPr>
            <m:t>CCP</m:t>
          </m:r>
          <m:sSub>
            <m:sSubPr>
              <m:ctrlPr>
                <w:rPr>
                  <w:rFonts w:ascii="Cambria Math" w:hAnsi="Cambria Math" w:cs="Arial"/>
                  <w:i/>
                  <w:sz w:val="24"/>
                  <w:szCs w:val="24"/>
                  <w:lang w:val="es-ES"/>
                </w:rPr>
              </m:ctrlPr>
            </m:sSubPr>
            <m:e>
              <m:r>
                <w:rPr>
                  <w:rFonts w:ascii="Cambria Math" w:hAnsi="Cambria Math" w:cs="Arial"/>
                  <w:sz w:val="24"/>
                  <w:szCs w:val="24"/>
                  <w:lang w:val="es-ES"/>
                </w:rPr>
                <m:t>P</m:t>
              </m:r>
            </m:e>
            <m:sub>
              <m:r>
                <w:rPr>
                  <w:rFonts w:ascii="Cambria Math" w:hAnsi="Cambria Math" w:cs="Arial"/>
                  <w:sz w:val="24"/>
                  <w:szCs w:val="24"/>
                  <w:lang w:val="es-ES"/>
                </w:rPr>
                <m:t>AI</m:t>
              </m:r>
            </m:sub>
          </m:sSub>
          <m:r>
            <w:rPr>
              <w:rFonts w:ascii="Cambria Math" w:hAnsi="Cambria Math" w:cs="Arial"/>
              <w:sz w:val="24"/>
              <w:szCs w:val="24"/>
              <w:lang w:val="es-ES"/>
            </w:rPr>
            <m:t>=</m:t>
          </m:r>
          <m:sSub>
            <m:sSubPr>
              <m:ctrlPr>
                <w:rPr>
                  <w:rFonts w:ascii="Cambria Math" w:hAnsi="Cambria Math" w:cs="Arial"/>
                  <w:i/>
                  <w:sz w:val="24"/>
                  <w:szCs w:val="24"/>
                  <w:lang w:val="es-ES"/>
                </w:rPr>
              </m:ctrlPr>
            </m:sSubPr>
            <m:e>
              <m:r>
                <w:rPr>
                  <w:rFonts w:ascii="Cambria Math" w:hAnsi="Cambria Math" w:cs="Arial"/>
                  <w:sz w:val="24"/>
                  <w:szCs w:val="24"/>
                  <w:lang w:val="es-ES"/>
                </w:rPr>
                <m:t>C</m:t>
              </m:r>
            </m:e>
            <m:sub>
              <m:r>
                <w:rPr>
                  <w:rFonts w:ascii="Cambria Math" w:hAnsi="Cambria Math" w:cs="Arial"/>
                  <w:sz w:val="24"/>
                  <w:szCs w:val="24"/>
                  <w:lang w:val="es-ES"/>
                </w:rPr>
                <m:t>e</m:t>
              </m:r>
            </m:sub>
          </m:sSub>
          <m:r>
            <w:rPr>
              <w:rFonts w:ascii="Cambria Math" w:hAnsi="Cambria Math" w:cs="Arial"/>
              <w:sz w:val="24"/>
              <w:szCs w:val="24"/>
              <w:lang w:val="es-ES"/>
            </w:rPr>
            <m:t>×</m:t>
          </m:r>
          <m:f>
            <m:fPr>
              <m:ctrlPr>
                <w:rPr>
                  <w:rFonts w:ascii="Cambria Math" w:hAnsi="Cambria Math" w:cs="Arial"/>
                  <w:i/>
                  <w:sz w:val="24"/>
                  <w:szCs w:val="24"/>
                  <w:lang w:val="es-ES"/>
                </w:rPr>
              </m:ctrlPr>
            </m:fPr>
            <m:num>
              <m:r>
                <w:rPr>
                  <w:rFonts w:ascii="Cambria Math" w:hAnsi="Cambria Math" w:cs="Arial"/>
                  <w:sz w:val="24"/>
                  <w:szCs w:val="24"/>
                  <w:lang w:val="es-ES"/>
                </w:rPr>
                <m:t>E</m:t>
              </m:r>
            </m:num>
            <m:den>
              <m:r>
                <w:rPr>
                  <w:rFonts w:ascii="Cambria Math" w:hAnsi="Cambria Math" w:cs="Arial"/>
                  <w:sz w:val="24"/>
                  <w:szCs w:val="24"/>
                  <w:lang w:val="es-ES"/>
                </w:rPr>
                <m:t>D+E</m:t>
              </m:r>
            </m:den>
          </m:f>
          <m:r>
            <w:rPr>
              <w:rFonts w:ascii="Cambria Math" w:hAnsi="Cambria Math" w:cs="Arial"/>
              <w:sz w:val="24"/>
              <w:szCs w:val="24"/>
              <w:lang w:val="es-ES"/>
            </w:rPr>
            <m:t>×</m:t>
          </m:r>
          <m:f>
            <m:fPr>
              <m:ctrlPr>
                <w:rPr>
                  <w:rFonts w:ascii="Cambria Math" w:hAnsi="Cambria Math" w:cs="Arial"/>
                  <w:i/>
                  <w:sz w:val="24"/>
                  <w:szCs w:val="24"/>
                  <w:lang w:val="es-ES"/>
                </w:rPr>
              </m:ctrlPr>
            </m:fPr>
            <m:num>
              <m:r>
                <w:rPr>
                  <w:rFonts w:ascii="Cambria Math" w:hAnsi="Cambria Math" w:cs="Arial"/>
                  <w:sz w:val="24"/>
                  <w:szCs w:val="24"/>
                  <w:lang w:val="es-ES"/>
                </w:rPr>
                <m:t>1</m:t>
              </m:r>
            </m:num>
            <m:den>
              <m:r>
                <w:rPr>
                  <w:rFonts w:ascii="Cambria Math" w:hAnsi="Cambria Math" w:cs="Arial"/>
                  <w:sz w:val="24"/>
                  <w:szCs w:val="24"/>
                  <w:lang w:val="es-ES"/>
                </w:rPr>
                <m:t>(1-T)</m:t>
              </m:r>
            </m:den>
          </m:f>
          <m:r>
            <w:rPr>
              <w:rFonts w:ascii="Cambria Math" w:eastAsiaTheme="minorEastAsia" w:hAnsi="Cambria Math" w:cs="Arial"/>
              <w:sz w:val="24"/>
              <w:szCs w:val="24"/>
              <w:lang w:val="es-ES"/>
            </w:rPr>
            <m:t>+</m:t>
          </m:r>
          <m:sSub>
            <m:sSubPr>
              <m:ctrlPr>
                <w:rPr>
                  <w:rFonts w:ascii="Cambria Math" w:hAnsi="Cambria Math" w:cs="Arial"/>
                  <w:i/>
                  <w:sz w:val="24"/>
                  <w:szCs w:val="24"/>
                  <w:lang w:val="es-ES"/>
                </w:rPr>
              </m:ctrlPr>
            </m:sSubPr>
            <m:e>
              <m:r>
                <w:rPr>
                  <w:rFonts w:ascii="Cambria Math" w:hAnsi="Cambria Math" w:cs="Arial"/>
                  <w:sz w:val="24"/>
                  <w:szCs w:val="24"/>
                  <w:lang w:val="es-ES"/>
                </w:rPr>
                <m:t>C</m:t>
              </m:r>
            </m:e>
            <m:sub>
              <m:r>
                <w:rPr>
                  <w:rFonts w:ascii="Cambria Math" w:hAnsi="Cambria Math" w:cs="Arial"/>
                  <w:sz w:val="24"/>
                  <w:szCs w:val="24"/>
                  <w:lang w:val="es-ES"/>
                </w:rPr>
                <m:t>d</m:t>
              </m:r>
            </m:sub>
          </m:sSub>
          <m:r>
            <w:rPr>
              <w:rFonts w:ascii="Cambria Math" w:hAnsi="Cambria Math" w:cs="Arial"/>
              <w:sz w:val="24"/>
              <w:szCs w:val="24"/>
              <w:lang w:val="es-ES"/>
            </w:rPr>
            <m:t>×</m:t>
          </m:r>
          <m:f>
            <m:fPr>
              <m:ctrlPr>
                <w:rPr>
                  <w:rFonts w:ascii="Cambria Math" w:hAnsi="Cambria Math" w:cs="Arial"/>
                  <w:i/>
                  <w:sz w:val="24"/>
                  <w:szCs w:val="24"/>
                  <w:lang w:val="es-ES"/>
                </w:rPr>
              </m:ctrlPr>
            </m:fPr>
            <m:num>
              <m:r>
                <w:rPr>
                  <w:rFonts w:ascii="Cambria Math" w:hAnsi="Cambria Math" w:cs="Arial"/>
                  <w:sz w:val="24"/>
                  <w:szCs w:val="24"/>
                  <w:lang w:val="es-ES"/>
                </w:rPr>
                <m:t>D</m:t>
              </m:r>
            </m:num>
            <m:den>
              <m:r>
                <w:rPr>
                  <w:rFonts w:ascii="Cambria Math" w:hAnsi="Cambria Math" w:cs="Arial"/>
                  <w:sz w:val="24"/>
                  <w:szCs w:val="24"/>
                  <w:lang w:val="es-ES"/>
                </w:rPr>
                <m:t>D+E</m:t>
              </m:r>
            </m:den>
          </m:f>
        </m:oMath>
      </m:oMathPara>
    </w:p>
    <w:p w14:paraId="6E776A29" w14:textId="77777777" w:rsidR="004A3027" w:rsidRPr="00657BA6" w:rsidRDefault="004A3027" w:rsidP="0014780A">
      <w:pPr>
        <w:spacing w:after="0"/>
        <w:jc w:val="both"/>
        <w:rPr>
          <w:rFonts w:ascii="Arial" w:hAnsi="Arial" w:cs="Arial"/>
          <w:spacing w:val="-4"/>
        </w:rPr>
      </w:pPr>
    </w:p>
    <w:p w14:paraId="31C0FC93" w14:textId="77777777" w:rsidR="004A3027" w:rsidRPr="00657BA6" w:rsidRDefault="004A3027" w:rsidP="0014780A">
      <w:pPr>
        <w:spacing w:after="0"/>
        <w:rPr>
          <w:rFonts w:ascii="Arial" w:hAnsi="Arial" w:cs="Arial"/>
        </w:rPr>
      </w:pPr>
      <w:r w:rsidRPr="00657BA6">
        <w:rPr>
          <w:rFonts w:ascii="Arial" w:hAnsi="Arial" w:cs="Arial"/>
          <w:b/>
        </w:rPr>
        <w:t>Costo del capital (</w:t>
      </w:r>
      <w:r w:rsidRPr="00657BA6">
        <w:rPr>
          <w:rFonts w:ascii="Arial" w:hAnsi="Arial" w:cs="Arial"/>
          <w:b/>
          <w:i/>
        </w:rPr>
        <w:t>equity</w:t>
      </w:r>
      <w:r w:rsidRPr="00657BA6">
        <w:rPr>
          <w:rFonts w:ascii="Arial" w:hAnsi="Arial" w:cs="Arial"/>
          <w:b/>
        </w:rPr>
        <w:t>)</w:t>
      </w:r>
    </w:p>
    <w:p w14:paraId="53A6624D" w14:textId="77777777" w:rsidR="004A3027" w:rsidRPr="00657BA6" w:rsidRDefault="004A3027" w:rsidP="0014780A">
      <w:pPr>
        <w:spacing w:after="0"/>
        <w:jc w:val="both"/>
        <w:rPr>
          <w:rFonts w:ascii="Arial" w:hAnsi="Arial" w:cs="Arial"/>
          <w:spacing w:val="-4"/>
        </w:rPr>
      </w:pPr>
    </w:p>
    <w:p w14:paraId="31160814" w14:textId="77777777" w:rsidR="004A3027" w:rsidRPr="00657BA6" w:rsidRDefault="004A3027" w:rsidP="0014780A">
      <w:pPr>
        <w:spacing w:after="0"/>
        <w:jc w:val="both"/>
        <w:rPr>
          <w:rFonts w:ascii="Arial" w:hAnsi="Arial" w:cs="Arial"/>
          <w:spacing w:val="-4"/>
        </w:rPr>
      </w:pPr>
      <w:r w:rsidRPr="00657BA6">
        <w:rPr>
          <w:rFonts w:ascii="Arial" w:hAnsi="Arial" w:cs="Arial"/>
          <w:spacing w:val="-4"/>
        </w:rPr>
        <w:t>El costo del capital (</w:t>
      </w:r>
      <w:r w:rsidRPr="00657BA6">
        <w:rPr>
          <w:rFonts w:ascii="Arial" w:hAnsi="Arial" w:cs="Arial"/>
          <w:i/>
          <w:spacing w:val="-4"/>
        </w:rPr>
        <w:t>equity</w:t>
      </w:r>
      <w:r w:rsidRPr="00657BA6">
        <w:rPr>
          <w:rFonts w:ascii="Arial" w:hAnsi="Arial" w:cs="Arial"/>
          <w:spacing w:val="-4"/>
        </w:rPr>
        <w:t xml:space="preserve">) se calcula mediante el método conocido como valuación de activos financieros (CAPM) debido a su relativa sencillez, ya que es lo establecido en el Lineamiento Décimo de la Metodología de Costos por lo que se utilizará en ambos modelos. </w:t>
      </w:r>
    </w:p>
    <w:p w14:paraId="3540B485" w14:textId="77777777" w:rsidR="004A3027" w:rsidRPr="00657BA6" w:rsidRDefault="004A3027" w:rsidP="0014780A">
      <w:pPr>
        <w:spacing w:after="0"/>
        <w:jc w:val="both"/>
        <w:rPr>
          <w:rFonts w:ascii="Arial" w:hAnsi="Arial" w:cs="Arial"/>
          <w:spacing w:val="-4"/>
        </w:rPr>
      </w:pPr>
    </w:p>
    <w:p w14:paraId="0E5A1036" w14:textId="77777777" w:rsidR="004A3027" w:rsidRPr="00657BA6" w:rsidRDefault="004A3027" w:rsidP="0014780A">
      <w:pPr>
        <w:spacing w:after="0"/>
        <w:jc w:val="both"/>
        <w:rPr>
          <w:rFonts w:ascii="Arial" w:hAnsi="Arial" w:cs="Arial"/>
          <w:spacing w:val="-4"/>
        </w:rPr>
      </w:pPr>
      <w:r w:rsidRPr="00657BA6">
        <w:rPr>
          <w:rFonts w:ascii="Arial" w:hAnsi="Arial" w:cs="Arial"/>
          <w:spacing w:val="-4"/>
        </w:rPr>
        <w:t>El costo del capital (</w:t>
      </w:r>
      <w:r w:rsidRPr="00657BA6">
        <w:rPr>
          <w:rFonts w:ascii="Arial" w:hAnsi="Arial" w:cs="Arial"/>
          <w:i/>
          <w:spacing w:val="-4"/>
        </w:rPr>
        <w:t>equity</w:t>
      </w:r>
      <w:r w:rsidRPr="00657BA6">
        <w:rPr>
          <w:rFonts w:ascii="Arial" w:hAnsi="Arial" w:cs="Arial"/>
          <w:spacing w:val="-4"/>
        </w:rPr>
        <w:t>) se calculará para dos operadores diferentes:</w:t>
      </w:r>
    </w:p>
    <w:p w14:paraId="302C9C71" w14:textId="77777777" w:rsidR="004A3027" w:rsidRPr="00657BA6" w:rsidRDefault="004A3027" w:rsidP="0014780A">
      <w:pPr>
        <w:spacing w:after="0"/>
        <w:jc w:val="both"/>
        <w:rPr>
          <w:rFonts w:ascii="Arial" w:hAnsi="Arial" w:cs="Arial"/>
          <w:spacing w:val="-4"/>
        </w:rPr>
      </w:pPr>
    </w:p>
    <w:p w14:paraId="3A7A7710" w14:textId="5CDCFF34" w:rsidR="004A3027" w:rsidRPr="00657BA6" w:rsidRDefault="004A3027" w:rsidP="0014780A">
      <w:pPr>
        <w:numPr>
          <w:ilvl w:val="0"/>
          <w:numId w:val="18"/>
        </w:numPr>
        <w:spacing w:after="0"/>
        <w:jc w:val="both"/>
        <w:rPr>
          <w:rFonts w:ascii="Arial" w:hAnsi="Arial" w:cs="Arial"/>
          <w:spacing w:val="-4"/>
        </w:rPr>
      </w:pPr>
      <w:r w:rsidRPr="00657BA6">
        <w:rPr>
          <w:rFonts w:ascii="Arial" w:hAnsi="Arial" w:cs="Arial"/>
          <w:spacing w:val="-4"/>
        </w:rPr>
        <w:t>un operador eficiente de servicios móviles en México</w:t>
      </w:r>
      <w:r w:rsidR="00656B5E">
        <w:rPr>
          <w:rFonts w:ascii="Arial" w:hAnsi="Arial" w:cs="Arial"/>
          <w:spacing w:val="-4"/>
        </w:rPr>
        <w:t>.</w:t>
      </w:r>
    </w:p>
    <w:p w14:paraId="07367CC1" w14:textId="77777777" w:rsidR="004A3027" w:rsidRPr="00657BA6" w:rsidRDefault="004A3027" w:rsidP="0014780A">
      <w:pPr>
        <w:numPr>
          <w:ilvl w:val="0"/>
          <w:numId w:val="18"/>
        </w:numPr>
        <w:spacing w:after="0"/>
        <w:jc w:val="both"/>
        <w:rPr>
          <w:rFonts w:ascii="Arial" w:hAnsi="Arial" w:cs="Arial"/>
          <w:spacing w:val="-4"/>
        </w:rPr>
      </w:pPr>
      <w:r w:rsidRPr="00657BA6">
        <w:rPr>
          <w:rFonts w:ascii="Arial" w:hAnsi="Arial" w:cs="Arial"/>
          <w:spacing w:val="-4"/>
        </w:rPr>
        <w:lastRenderedPageBreak/>
        <w:t>un operador eficiente de servicios fijos en México.</w:t>
      </w:r>
    </w:p>
    <w:p w14:paraId="505CA6B8" w14:textId="77777777" w:rsidR="004A3027" w:rsidRPr="00657BA6" w:rsidRDefault="004A3027" w:rsidP="0014780A">
      <w:pPr>
        <w:spacing w:after="0"/>
        <w:jc w:val="both"/>
        <w:rPr>
          <w:rFonts w:ascii="Arial" w:hAnsi="Arial" w:cs="Arial"/>
          <w:spacing w:val="-4"/>
        </w:rPr>
      </w:pPr>
    </w:p>
    <w:p w14:paraId="6E99A0AC" w14:textId="77777777" w:rsidR="009E3286" w:rsidRDefault="009E3286" w:rsidP="0014780A">
      <w:pPr>
        <w:spacing w:after="0"/>
        <w:rPr>
          <w:rFonts w:ascii="Arial" w:hAnsi="Arial" w:cs="Arial"/>
          <w:lang w:val="es-ES"/>
        </w:rPr>
      </w:pPr>
      <w:r w:rsidRPr="00D47BB9">
        <w:rPr>
          <w:rFonts w:ascii="Arial" w:hAnsi="Arial" w:cs="Arial"/>
          <w:lang w:val="es-ES"/>
        </w:rPr>
        <w:t>El modelo de cálculo a aplicar es el siguiente:</w:t>
      </w:r>
    </w:p>
    <w:p w14:paraId="33FC27D9" w14:textId="77777777" w:rsidR="007D6E3B" w:rsidRPr="00D47BB9" w:rsidRDefault="007D6E3B" w:rsidP="0014780A">
      <w:pPr>
        <w:spacing w:after="0"/>
        <w:rPr>
          <w:rFonts w:ascii="Arial" w:hAnsi="Arial" w:cs="Arial"/>
          <w:lang w:val="es-ES"/>
        </w:rPr>
      </w:pPr>
    </w:p>
    <w:p w14:paraId="16B5C905" w14:textId="77777777" w:rsidR="009E3286" w:rsidRPr="007D6E3B" w:rsidRDefault="003119E0" w:rsidP="0014780A">
      <w:pPr>
        <w:spacing w:after="0"/>
        <w:jc w:val="center"/>
        <w:rPr>
          <w:rFonts w:ascii="Arial" w:eastAsiaTheme="minorEastAsia"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C</m:t>
              </m:r>
            </m:e>
            <m:sub>
              <m:r>
                <w:rPr>
                  <w:rFonts w:ascii="Cambria Math" w:hAnsi="Cambria Math" w:cs="Arial"/>
                  <w:sz w:val="24"/>
                  <w:szCs w:val="24"/>
                  <w:lang w:val="es-ES"/>
                </w:rPr>
                <m:t>e</m:t>
              </m:r>
            </m:sub>
          </m:sSub>
          <m:r>
            <m:rPr>
              <m:sty m:val="p"/>
            </m:rPr>
            <w:rPr>
              <w:rFonts w:ascii="Cambria Math" w:hAnsi="Cambria Math" w:cs="Arial"/>
              <w:sz w:val="24"/>
              <w:szCs w:val="24"/>
              <w:lang w:val="es-ES"/>
            </w:rPr>
            <m:t>=</m:t>
          </m:r>
          <m:sSub>
            <m:sSubPr>
              <m:ctrlPr>
                <w:rPr>
                  <w:rFonts w:ascii="Cambria Math" w:hAnsi="Cambria Math" w:cs="Arial"/>
                  <w:i/>
                  <w:sz w:val="24"/>
                  <w:szCs w:val="24"/>
                  <w:lang w:val="es-ES"/>
                </w:rPr>
              </m:ctrlPr>
            </m:sSubPr>
            <m:e>
              <m:r>
                <w:rPr>
                  <w:rFonts w:ascii="Cambria Math" w:hAnsi="Cambria Math" w:cs="Arial"/>
                  <w:sz w:val="24"/>
                  <w:szCs w:val="24"/>
                  <w:lang w:val="es-ES"/>
                </w:rPr>
                <m:t>R</m:t>
              </m:r>
            </m:e>
            <m:sub>
              <m:r>
                <w:rPr>
                  <w:rFonts w:ascii="Cambria Math" w:hAnsi="Cambria Math" w:cs="Arial"/>
                  <w:sz w:val="24"/>
                  <w:szCs w:val="24"/>
                  <w:lang w:val="es-ES"/>
                </w:rPr>
                <m:t>f</m:t>
              </m:r>
            </m:sub>
          </m:sSub>
          <m:r>
            <w:rPr>
              <w:rFonts w:ascii="Cambria Math" w:hAnsi="Cambria Math" w:cs="Arial"/>
              <w:sz w:val="24"/>
              <w:szCs w:val="24"/>
              <w:lang w:val="es-ES"/>
            </w:rPr>
            <m:t>+</m:t>
          </m:r>
          <m:r>
            <w:rPr>
              <w:rFonts w:ascii="Cambria Math" w:hAnsi="Cambria Math" w:cs="Arial"/>
              <w:sz w:val="24"/>
              <w:szCs w:val="24"/>
              <w:lang w:val="es-ES"/>
            </w:rPr>
            <m:t>β</m:t>
          </m:r>
          <m:d>
            <m:dPr>
              <m:ctrlPr>
                <w:rPr>
                  <w:rFonts w:ascii="Cambria Math" w:hAnsi="Cambria Math" w:cs="Arial"/>
                  <w:i/>
                  <w:sz w:val="24"/>
                  <w:szCs w:val="24"/>
                  <w:lang w:val="es-ES"/>
                </w:rPr>
              </m:ctrlPr>
            </m:dPr>
            <m:e>
              <m:sSub>
                <m:sSubPr>
                  <m:ctrlPr>
                    <w:rPr>
                      <w:rFonts w:ascii="Cambria Math" w:hAnsi="Cambria Math" w:cs="Arial"/>
                      <w:i/>
                      <w:sz w:val="24"/>
                      <w:szCs w:val="24"/>
                      <w:lang w:val="es-ES"/>
                    </w:rPr>
                  </m:ctrlPr>
                </m:sSubPr>
                <m:e>
                  <m:r>
                    <w:rPr>
                      <w:rFonts w:ascii="Cambria Math" w:hAnsi="Cambria Math" w:cs="Arial"/>
                      <w:sz w:val="24"/>
                      <w:szCs w:val="24"/>
                      <w:lang w:val="es-ES"/>
                    </w:rPr>
                    <m:t>R</m:t>
                  </m:r>
                </m:e>
                <m:sub>
                  <m:r>
                    <w:rPr>
                      <w:rFonts w:ascii="Cambria Math" w:hAnsi="Cambria Math" w:cs="Arial"/>
                      <w:sz w:val="24"/>
                      <w:szCs w:val="24"/>
                      <w:lang w:val="es-ES"/>
                    </w:rPr>
                    <m:t>e</m:t>
                  </m:r>
                </m:sub>
              </m:sSub>
            </m:e>
          </m:d>
        </m:oMath>
      </m:oMathPara>
    </w:p>
    <w:p w14:paraId="3243EC04" w14:textId="77777777" w:rsidR="007D6E3B" w:rsidRPr="00D47BB9" w:rsidRDefault="007D6E3B" w:rsidP="0014780A">
      <w:pPr>
        <w:spacing w:after="0"/>
        <w:jc w:val="center"/>
        <w:rPr>
          <w:rFonts w:ascii="Arial" w:eastAsiaTheme="minorEastAsia" w:hAnsi="Arial" w:cs="Arial"/>
          <w:lang w:val="es-ES"/>
        </w:rPr>
      </w:pPr>
    </w:p>
    <w:p w14:paraId="56ED72E5" w14:textId="77777777" w:rsidR="009E3286" w:rsidRPr="00D47BB9" w:rsidRDefault="009E3286" w:rsidP="0014780A">
      <w:pPr>
        <w:spacing w:after="0"/>
        <w:rPr>
          <w:rFonts w:ascii="Arial" w:hAnsi="Arial" w:cs="Arial"/>
          <w:lang w:val="es-ES"/>
        </w:rPr>
      </w:pPr>
      <w:r w:rsidRPr="00D47BB9">
        <w:rPr>
          <w:rFonts w:ascii="Arial" w:hAnsi="Arial" w:cs="Arial"/>
          <w:lang w:val="es-ES"/>
        </w:rPr>
        <w:t>Donde:</w:t>
      </w:r>
    </w:p>
    <w:p w14:paraId="6E5DB03A" w14:textId="77777777" w:rsidR="009E3286" w:rsidRPr="00D47BB9" w:rsidRDefault="003119E0" w:rsidP="0014780A">
      <w:pPr>
        <w:pStyle w:val="ListBulletCompact"/>
        <w:numPr>
          <w:ilvl w:val="0"/>
          <w:numId w:val="4"/>
        </w:numPr>
        <w:tabs>
          <w:tab w:val="clear" w:pos="360"/>
        </w:tabs>
        <w:spacing w:line="276" w:lineRule="auto"/>
        <w:ind w:left="357" w:hanging="357"/>
        <w:contextualSpacing/>
        <w:rPr>
          <w:rFonts w:ascii="Arial" w:hAnsi="Arial" w:cs="Arial"/>
        </w:rPr>
      </w:pPr>
      <m:oMath>
        <m:sSub>
          <m:sSubPr>
            <m:ctrlPr>
              <w:rPr>
                <w:rFonts w:ascii="Cambria Math" w:hAnsi="Cambria Math" w:cs="Arial"/>
                <w:i/>
              </w:rPr>
            </m:ctrlPr>
          </m:sSubPr>
          <m:e>
            <m:r>
              <w:rPr>
                <w:rFonts w:ascii="Cambria Math" w:hAnsi="Cambria Math" w:cs="Arial"/>
              </w:rPr>
              <m:t>C</m:t>
            </m:r>
          </m:e>
          <m:sub>
            <m:r>
              <w:rPr>
                <w:rFonts w:ascii="Cambria Math" w:hAnsi="Cambria Math" w:cs="Arial"/>
              </w:rPr>
              <m:t>e</m:t>
            </m:r>
          </m:sub>
        </m:sSub>
      </m:oMath>
      <w:r w:rsidR="009E3286" w:rsidRPr="00D47BB9">
        <w:rPr>
          <w:rFonts w:ascii="Arial" w:hAnsi="Arial" w:cs="Arial"/>
        </w:rPr>
        <w:t xml:space="preserve"> es el costo del capital de la empresa</w:t>
      </w:r>
    </w:p>
    <w:p w14:paraId="1B3E96A3" w14:textId="77777777" w:rsidR="009E3286" w:rsidRPr="00D47BB9" w:rsidRDefault="003119E0" w:rsidP="0014780A">
      <w:pPr>
        <w:pStyle w:val="ListBulletCompact"/>
        <w:numPr>
          <w:ilvl w:val="0"/>
          <w:numId w:val="4"/>
        </w:numPr>
        <w:tabs>
          <w:tab w:val="clear" w:pos="360"/>
        </w:tabs>
        <w:spacing w:line="276" w:lineRule="auto"/>
        <w:ind w:left="357" w:hanging="357"/>
        <w:contextualSpacing/>
        <w:rPr>
          <w:rFonts w:ascii="Arial" w:hAnsi="Arial" w:cs="Arial"/>
        </w:rPr>
      </w:pPr>
      <m:oMath>
        <m:sSub>
          <m:sSubPr>
            <m:ctrlPr>
              <w:rPr>
                <w:rFonts w:ascii="Cambria Math" w:hAnsi="Cambria Math" w:cs="Arial"/>
                <w:i/>
              </w:rPr>
            </m:ctrlPr>
          </m:sSubPr>
          <m:e>
            <m:r>
              <w:rPr>
                <w:rFonts w:ascii="Cambria Math" w:hAnsi="Cambria Math" w:cs="Arial"/>
              </w:rPr>
              <m:t>R</m:t>
            </m:r>
          </m:e>
          <m:sub>
            <m:r>
              <w:rPr>
                <w:rFonts w:ascii="Cambria Math" w:hAnsi="Cambria Math" w:cs="Arial"/>
              </w:rPr>
              <m:t>f</m:t>
            </m:r>
          </m:sub>
        </m:sSub>
      </m:oMath>
      <w:r w:rsidR="009E3286" w:rsidRPr="00D47BB9">
        <w:rPr>
          <w:rFonts w:ascii="Arial" w:hAnsi="Arial" w:cs="Arial"/>
        </w:rPr>
        <w:t xml:space="preserve"> es la tasa libre de riesgo, aplicable para el país en el que se calcule el CCPP</w:t>
      </w:r>
    </w:p>
    <w:p w14:paraId="4B259E8A" w14:textId="77777777" w:rsidR="009E3286" w:rsidRPr="00D47BB9" w:rsidRDefault="009E3286" w:rsidP="0014780A">
      <w:pPr>
        <w:pStyle w:val="ListBulletCompact"/>
        <w:numPr>
          <w:ilvl w:val="0"/>
          <w:numId w:val="4"/>
        </w:numPr>
        <w:tabs>
          <w:tab w:val="clear" w:pos="360"/>
        </w:tabs>
        <w:spacing w:line="276" w:lineRule="auto"/>
        <w:ind w:left="357" w:hanging="357"/>
        <w:contextualSpacing/>
        <w:rPr>
          <w:rFonts w:ascii="Arial" w:hAnsi="Arial" w:cs="Arial"/>
        </w:rPr>
      </w:pPr>
      <m:oMath>
        <m:r>
          <w:rPr>
            <w:rFonts w:ascii="Cambria Math" w:hAnsi="Cambria Math" w:cs="Arial"/>
          </w:rPr>
          <m:t>β</m:t>
        </m:r>
      </m:oMath>
      <w:r w:rsidRPr="00D47BB9">
        <w:rPr>
          <w:rFonts w:ascii="Arial" w:hAnsi="Arial" w:cs="Arial"/>
        </w:rPr>
        <w:t xml:space="preserve"> es la volatilidad del rendimiento de una inversión en relación con el conjunto del mercado</w:t>
      </w:r>
    </w:p>
    <w:p w14:paraId="7D3FFE3A" w14:textId="77777777" w:rsidR="009E3286" w:rsidRPr="00D47BB9" w:rsidRDefault="003119E0" w:rsidP="0014780A">
      <w:pPr>
        <w:pStyle w:val="ListBulletCompact"/>
        <w:numPr>
          <w:ilvl w:val="0"/>
          <w:numId w:val="4"/>
        </w:numPr>
        <w:tabs>
          <w:tab w:val="clear" w:pos="360"/>
        </w:tabs>
        <w:spacing w:line="276" w:lineRule="auto"/>
        <w:ind w:left="357" w:hanging="357"/>
        <w:contextualSpacing/>
        <w:rPr>
          <w:rFonts w:ascii="Arial" w:hAnsi="Arial" w:cs="Arial"/>
        </w:rPr>
      </w:pPr>
      <m:oMath>
        <m:sSub>
          <m:sSubPr>
            <m:ctrlPr>
              <w:rPr>
                <w:rFonts w:ascii="Cambria Math" w:hAnsi="Cambria Math" w:cs="Arial"/>
                <w:i/>
              </w:rPr>
            </m:ctrlPr>
          </m:sSubPr>
          <m:e>
            <m:r>
              <w:rPr>
                <w:rFonts w:ascii="Cambria Math" w:hAnsi="Cambria Math" w:cs="Arial"/>
              </w:rPr>
              <m:t>R</m:t>
            </m:r>
          </m:e>
          <m:sub>
            <m:r>
              <w:rPr>
                <w:rFonts w:ascii="Cambria Math" w:hAnsi="Cambria Math" w:cs="Arial"/>
              </w:rPr>
              <m:t>e</m:t>
            </m:r>
          </m:sub>
        </m:sSub>
      </m:oMath>
      <w:r w:rsidR="009E3286" w:rsidRPr="00D47BB9">
        <w:rPr>
          <w:rFonts w:ascii="Arial" w:hAnsi="Arial" w:cs="Arial"/>
        </w:rPr>
        <w:t xml:space="preserve"> es la prima de riesgo de mercado.</w:t>
      </w:r>
    </w:p>
    <w:p w14:paraId="709B5DEF" w14:textId="77777777" w:rsidR="004A3027" w:rsidRPr="00657BA6" w:rsidRDefault="004A3027" w:rsidP="0014780A">
      <w:pPr>
        <w:spacing w:after="0"/>
        <w:jc w:val="both"/>
        <w:rPr>
          <w:rFonts w:ascii="Arial" w:hAnsi="Arial" w:cs="Arial"/>
        </w:rPr>
      </w:pPr>
    </w:p>
    <w:p w14:paraId="136F893F" w14:textId="77777777" w:rsidR="004A3027" w:rsidRPr="00657BA6" w:rsidRDefault="004A3027" w:rsidP="0014780A">
      <w:pPr>
        <w:spacing w:after="0"/>
        <w:jc w:val="both"/>
        <w:rPr>
          <w:rFonts w:ascii="Arial" w:hAnsi="Arial" w:cs="Arial"/>
        </w:rPr>
      </w:pPr>
      <w:r w:rsidRPr="00657BA6">
        <w:rPr>
          <w:rFonts w:ascii="Arial" w:hAnsi="Arial" w:cs="Arial"/>
        </w:rPr>
        <w:t>Cada uno de estos parámetros se trata a continuación.</w:t>
      </w:r>
    </w:p>
    <w:p w14:paraId="38F0ED42" w14:textId="77777777" w:rsidR="004A3027" w:rsidRPr="00657BA6" w:rsidRDefault="004A3027" w:rsidP="0014780A">
      <w:pPr>
        <w:spacing w:after="0"/>
        <w:jc w:val="both"/>
        <w:rPr>
          <w:rFonts w:ascii="Arial" w:hAnsi="Arial" w:cs="Arial"/>
        </w:rPr>
      </w:pPr>
    </w:p>
    <w:p w14:paraId="0DCADFBC" w14:textId="77777777" w:rsidR="004A3027" w:rsidRPr="00657BA6" w:rsidRDefault="004A3027" w:rsidP="0014780A">
      <w:pPr>
        <w:spacing w:after="0"/>
        <w:rPr>
          <w:rFonts w:ascii="Arial" w:hAnsi="Arial" w:cs="Arial"/>
          <w:b/>
        </w:rPr>
      </w:pPr>
      <w:r w:rsidRPr="00657BA6">
        <w:rPr>
          <w:rFonts w:ascii="Arial" w:hAnsi="Arial" w:cs="Arial"/>
          <w:b/>
        </w:rPr>
        <w:t xml:space="preserve">Tasa de retorno libre de riesgo, </w:t>
      </w:r>
      <w:r w:rsidRPr="00657BA6">
        <w:rPr>
          <w:rFonts w:ascii="Arial" w:hAnsi="Arial" w:cs="Arial"/>
          <w:i/>
          <w:iCs/>
        </w:rPr>
        <w:t>R</w:t>
      </w:r>
      <w:r w:rsidRPr="00657BA6">
        <w:rPr>
          <w:rFonts w:ascii="Arial" w:hAnsi="Arial" w:cs="Arial"/>
          <w:i/>
          <w:iCs/>
          <w:vertAlign w:val="subscript"/>
        </w:rPr>
        <w:t>f</w:t>
      </w:r>
      <w:r w:rsidRPr="00657BA6" w:rsidDel="00CB09A5">
        <w:rPr>
          <w:rFonts w:ascii="Arial" w:hAnsi="Arial" w:cs="Arial"/>
        </w:rPr>
        <w:t xml:space="preserve"> </w:t>
      </w:r>
    </w:p>
    <w:p w14:paraId="3AF5F235" w14:textId="77777777" w:rsidR="004A3027" w:rsidRPr="00D47BB9" w:rsidRDefault="004A3027" w:rsidP="0014780A">
      <w:pPr>
        <w:spacing w:after="0"/>
        <w:jc w:val="both"/>
        <w:rPr>
          <w:rFonts w:ascii="Arial" w:hAnsi="Arial" w:cs="Arial"/>
        </w:rPr>
      </w:pPr>
    </w:p>
    <w:p w14:paraId="44474939" w14:textId="0C732556" w:rsidR="00C50EEF" w:rsidRPr="00D47BB9" w:rsidRDefault="00C50EEF" w:rsidP="00D47BB9">
      <w:pPr>
        <w:spacing w:after="0"/>
        <w:jc w:val="both"/>
        <w:rPr>
          <w:rFonts w:ascii="Arial" w:hAnsi="Arial" w:cs="Arial"/>
        </w:rPr>
      </w:pPr>
      <w:r w:rsidRPr="00D47BB9">
        <w:rPr>
          <w:rFonts w:ascii="Arial" w:hAnsi="Arial" w:cs="Arial"/>
        </w:rPr>
        <w:t>Se tomará la tasa de retorno libre de riesgo a partir del bono estadounidense, añadiendo una prima de riesgo país que represente el diferencial entre el bono mexicano (denominado en dólares americanos) y el bono estadounidense.</w:t>
      </w:r>
      <w:r w:rsidRPr="00C50EEF">
        <w:rPr>
          <w:rFonts w:ascii="Arial" w:hAnsi="Arial" w:cs="Arial"/>
        </w:rPr>
        <w:t xml:space="preserve"> L</w:t>
      </w:r>
      <w:r w:rsidRPr="00D47BB9">
        <w:rPr>
          <w:rFonts w:ascii="Arial" w:hAnsi="Arial" w:cs="Arial"/>
        </w:rPr>
        <w:t>a formulación de la tasa de retorno libre de riesgo será la siguiente:</w:t>
      </w:r>
    </w:p>
    <w:p w14:paraId="7DD0F2AF" w14:textId="77777777" w:rsidR="00C50EEF" w:rsidRPr="00D47BB9" w:rsidRDefault="003119E0" w:rsidP="0014780A">
      <w:pPr>
        <w:spacing w:after="0"/>
        <w:rPr>
          <w:rFonts w:ascii="Arial" w:eastAsiaTheme="minorEastAsia"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R</m:t>
              </m:r>
            </m:e>
            <m:sub>
              <m:r>
                <w:rPr>
                  <w:rFonts w:ascii="Cambria Math" w:hAnsi="Cambria Math" w:cs="Arial"/>
                  <w:sz w:val="24"/>
                  <w:szCs w:val="24"/>
                  <w:lang w:val="es-ES"/>
                </w:rPr>
                <m:t>f</m:t>
              </m:r>
            </m:sub>
          </m:sSub>
          <m:r>
            <w:rPr>
              <w:rFonts w:ascii="Cambria Math" w:hAnsi="Cambria Math" w:cs="Arial"/>
              <w:sz w:val="24"/>
              <w:szCs w:val="24"/>
              <w:lang w:val="es-ES"/>
            </w:rPr>
            <m:t>=</m:t>
          </m:r>
          <m:sSub>
            <m:sSubPr>
              <m:ctrlPr>
                <w:rPr>
                  <w:rFonts w:ascii="Cambria Math" w:hAnsi="Cambria Math" w:cs="Arial"/>
                  <w:i/>
                  <w:sz w:val="24"/>
                  <w:szCs w:val="24"/>
                  <w:lang w:val="es-ES"/>
                </w:rPr>
              </m:ctrlPr>
            </m:sSubPr>
            <m:e>
              <m:r>
                <w:rPr>
                  <w:rFonts w:ascii="Cambria Math" w:hAnsi="Cambria Math" w:cs="Arial"/>
                  <w:sz w:val="24"/>
                  <w:szCs w:val="24"/>
                  <w:lang w:val="es-ES"/>
                </w:rPr>
                <m:t>R</m:t>
              </m:r>
            </m:e>
            <m:sub>
              <m:r>
                <w:rPr>
                  <w:rFonts w:ascii="Cambria Math" w:hAnsi="Cambria Math" w:cs="Arial"/>
                  <w:sz w:val="24"/>
                  <w:szCs w:val="24"/>
                  <w:lang w:val="es-ES"/>
                </w:rPr>
                <m:t>f</m:t>
              </m:r>
            </m:sub>
          </m:sSub>
          <m:d>
            <m:dPr>
              <m:ctrlPr>
                <w:rPr>
                  <w:rFonts w:ascii="Cambria Math" w:hAnsi="Cambria Math" w:cs="Arial"/>
                  <w:i/>
                  <w:sz w:val="24"/>
                  <w:szCs w:val="24"/>
                  <w:lang w:val="es-ES"/>
                </w:rPr>
              </m:ctrlPr>
            </m:dPr>
            <m:e>
              <m:r>
                <w:rPr>
                  <w:rFonts w:ascii="Cambria Math" w:hAnsi="Cambria Math" w:cs="Arial"/>
                  <w:sz w:val="24"/>
                  <w:szCs w:val="24"/>
                  <w:lang w:val="es-ES"/>
                </w:rPr>
                <m:t>EEUU</m:t>
              </m:r>
            </m:e>
          </m:d>
          <m:r>
            <w:rPr>
              <w:rFonts w:ascii="Cambria Math" w:hAnsi="Cambria Math" w:cs="Arial"/>
              <w:sz w:val="24"/>
              <w:szCs w:val="24"/>
              <w:lang w:val="es-ES"/>
            </w:rPr>
            <m:t>+</m:t>
          </m:r>
          <m:r>
            <w:rPr>
              <w:rFonts w:ascii="Cambria Math" w:hAnsi="Cambria Math" w:cs="Arial"/>
              <w:sz w:val="24"/>
              <w:szCs w:val="24"/>
              <w:lang w:val="es-ES"/>
            </w:rPr>
            <m:t>CRP</m:t>
          </m:r>
        </m:oMath>
      </m:oMathPara>
    </w:p>
    <w:p w14:paraId="53FB21C1" w14:textId="77777777" w:rsidR="00C50EEF" w:rsidRPr="00D47BB9" w:rsidRDefault="00C50EEF" w:rsidP="0014780A">
      <w:pPr>
        <w:spacing w:after="0"/>
        <w:rPr>
          <w:rFonts w:ascii="Arial" w:hAnsi="Arial" w:cs="Arial"/>
          <w:lang w:val="es-ES"/>
        </w:rPr>
      </w:pPr>
      <w:r w:rsidRPr="00D47BB9">
        <w:rPr>
          <w:rFonts w:ascii="Arial" w:eastAsiaTheme="minorEastAsia" w:hAnsi="Arial" w:cs="Arial"/>
          <w:lang w:val="es-ES"/>
        </w:rPr>
        <w:t>Donde:</w:t>
      </w:r>
    </w:p>
    <w:p w14:paraId="644ABE74" w14:textId="77777777" w:rsidR="00C50EEF" w:rsidRPr="00D47BB9" w:rsidRDefault="003119E0" w:rsidP="0014780A">
      <w:pPr>
        <w:pStyle w:val="ListBulletCompact"/>
        <w:numPr>
          <w:ilvl w:val="0"/>
          <w:numId w:val="4"/>
        </w:numPr>
        <w:tabs>
          <w:tab w:val="clear" w:pos="360"/>
        </w:tabs>
        <w:spacing w:line="276" w:lineRule="auto"/>
        <w:ind w:left="357" w:hanging="357"/>
        <w:contextualSpacing/>
        <w:rPr>
          <w:rFonts w:ascii="Arial" w:hAnsi="Arial" w:cs="Arial"/>
        </w:rPr>
      </w:pP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f</m:t>
            </m:r>
          </m:sub>
        </m:sSub>
      </m:oMath>
      <w:r w:rsidR="00C50EEF" w:rsidRPr="00D47BB9">
        <w:rPr>
          <w:rFonts w:ascii="Arial" w:hAnsi="Arial" w:cs="Arial"/>
        </w:rPr>
        <w:t xml:space="preserve"> es la tasa de retorno libre de riesgo, aplicable en México</w:t>
      </w:r>
    </w:p>
    <w:p w14:paraId="22796413" w14:textId="77777777" w:rsidR="00C50EEF" w:rsidRPr="00D47BB9" w:rsidRDefault="003119E0" w:rsidP="0014780A">
      <w:pPr>
        <w:pStyle w:val="ListBulletCompact"/>
        <w:numPr>
          <w:ilvl w:val="0"/>
          <w:numId w:val="4"/>
        </w:numPr>
        <w:tabs>
          <w:tab w:val="clear" w:pos="360"/>
        </w:tabs>
        <w:spacing w:line="276" w:lineRule="auto"/>
        <w:ind w:left="357" w:hanging="357"/>
        <w:contextualSpacing/>
        <w:rPr>
          <w:rFonts w:ascii="Arial" w:hAnsi="Arial" w:cs="Arial"/>
        </w:rPr>
      </w:pP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f</m:t>
            </m:r>
          </m:sub>
        </m:sSub>
        <m:r>
          <w:rPr>
            <w:rFonts w:ascii="Cambria Math" w:hAnsi="Cambria Math" w:cs="Arial"/>
            <w:sz w:val="24"/>
            <w:szCs w:val="24"/>
          </w:rPr>
          <m:t>(</m:t>
        </m:r>
        <m:r>
          <w:rPr>
            <w:rFonts w:ascii="Cambria Math" w:hAnsi="Cambria Math" w:cs="Arial"/>
            <w:sz w:val="24"/>
            <w:szCs w:val="24"/>
          </w:rPr>
          <m:t>EEUU</m:t>
        </m:r>
        <m:r>
          <w:rPr>
            <w:rFonts w:ascii="Cambria Math" w:hAnsi="Cambria Math" w:cs="Arial"/>
            <w:sz w:val="24"/>
            <w:szCs w:val="24"/>
          </w:rPr>
          <m:t>)</m:t>
        </m:r>
      </m:oMath>
      <w:r w:rsidR="00C50EEF" w:rsidRPr="00D47BB9">
        <w:rPr>
          <w:rFonts w:ascii="Arial" w:hAnsi="Arial" w:cs="Arial"/>
        </w:rPr>
        <w:t xml:space="preserve"> es la tasa de retorno libre de riesgo en Estados Unidos</w:t>
      </w:r>
    </w:p>
    <w:p w14:paraId="2600F104" w14:textId="77777777" w:rsidR="00C50EEF" w:rsidRPr="00D47BB9" w:rsidRDefault="00C50EEF" w:rsidP="0014780A">
      <w:pPr>
        <w:pStyle w:val="ListBulletCompact"/>
        <w:numPr>
          <w:ilvl w:val="0"/>
          <w:numId w:val="4"/>
        </w:numPr>
        <w:tabs>
          <w:tab w:val="clear" w:pos="360"/>
        </w:tabs>
        <w:spacing w:line="276" w:lineRule="auto"/>
        <w:ind w:left="357" w:hanging="357"/>
        <w:contextualSpacing/>
        <w:rPr>
          <w:rFonts w:ascii="Arial" w:hAnsi="Arial" w:cs="Arial"/>
        </w:rPr>
      </w:pPr>
      <m:oMath>
        <m:r>
          <w:rPr>
            <w:rFonts w:ascii="Cambria Math" w:hAnsi="Cambria Math" w:cs="Arial"/>
            <w:sz w:val="24"/>
            <w:szCs w:val="24"/>
          </w:rPr>
          <m:t>CRP</m:t>
        </m:r>
      </m:oMath>
      <w:r w:rsidRPr="00D47BB9">
        <w:rPr>
          <w:rFonts w:ascii="Arial" w:eastAsiaTheme="minorEastAsia" w:hAnsi="Arial" w:cs="Arial"/>
          <w:sz w:val="24"/>
          <w:szCs w:val="24"/>
        </w:rPr>
        <w:t xml:space="preserve"> </w:t>
      </w:r>
      <w:r w:rsidRPr="00D47BB9">
        <w:rPr>
          <w:rFonts w:ascii="Arial" w:hAnsi="Arial" w:cs="Arial"/>
        </w:rPr>
        <w:t>es la prima de riesgo país.</w:t>
      </w:r>
    </w:p>
    <w:p w14:paraId="6B059F03" w14:textId="77777777" w:rsidR="00C50EEF" w:rsidRPr="00D47BB9" w:rsidRDefault="00C50EEF" w:rsidP="0014780A">
      <w:pPr>
        <w:spacing w:after="0"/>
        <w:jc w:val="both"/>
        <w:rPr>
          <w:rFonts w:ascii="Arial" w:hAnsi="Arial" w:cs="Arial"/>
          <w:spacing w:val="-4"/>
          <w:lang w:val="es-ES"/>
        </w:rPr>
      </w:pPr>
    </w:p>
    <w:p w14:paraId="6EBFE33C" w14:textId="77777777" w:rsidR="004A3027" w:rsidRPr="00657BA6" w:rsidRDefault="004A3027" w:rsidP="0014780A">
      <w:pPr>
        <w:spacing w:after="0"/>
        <w:rPr>
          <w:rFonts w:ascii="Arial" w:hAnsi="Arial" w:cs="Arial"/>
          <w:b/>
        </w:rPr>
      </w:pPr>
      <w:r w:rsidRPr="00657BA6">
        <w:rPr>
          <w:rFonts w:ascii="Arial" w:hAnsi="Arial" w:cs="Arial"/>
          <w:b/>
        </w:rPr>
        <w:t xml:space="preserve">Prima de riesgo del capital, </w:t>
      </w:r>
      <w:r w:rsidRPr="00657BA6">
        <w:rPr>
          <w:rFonts w:ascii="Arial" w:hAnsi="Arial" w:cs="Arial"/>
          <w:i/>
          <w:iCs/>
        </w:rPr>
        <w:t>R</w:t>
      </w:r>
      <w:r w:rsidRPr="00657BA6">
        <w:rPr>
          <w:rFonts w:ascii="Arial" w:hAnsi="Arial" w:cs="Arial"/>
          <w:i/>
          <w:iCs/>
          <w:vertAlign w:val="subscript"/>
        </w:rPr>
        <w:t>e</w:t>
      </w:r>
      <w:r w:rsidRPr="00657BA6" w:rsidDel="007A64A5">
        <w:rPr>
          <w:rFonts w:ascii="Arial" w:hAnsi="Arial" w:cs="Arial"/>
        </w:rPr>
        <w:t xml:space="preserve"> </w:t>
      </w:r>
    </w:p>
    <w:p w14:paraId="527D6A82" w14:textId="77777777" w:rsidR="004A3027" w:rsidRPr="00657BA6" w:rsidRDefault="004A3027" w:rsidP="0014780A">
      <w:pPr>
        <w:spacing w:after="0"/>
        <w:jc w:val="both"/>
        <w:rPr>
          <w:rFonts w:ascii="Arial" w:hAnsi="Arial" w:cs="Arial"/>
          <w:spacing w:val="-4"/>
        </w:rPr>
      </w:pPr>
    </w:p>
    <w:p w14:paraId="7A57EBBA" w14:textId="52EDAED7" w:rsidR="00C50EEF" w:rsidRPr="00D47BB9" w:rsidRDefault="00C50EEF" w:rsidP="0014780A">
      <w:pPr>
        <w:spacing w:after="0"/>
        <w:jc w:val="both"/>
        <w:rPr>
          <w:rFonts w:ascii="Arial" w:hAnsi="Arial" w:cs="Arial"/>
        </w:rPr>
      </w:pPr>
      <w:r w:rsidRPr="00D47BB9">
        <w:rPr>
          <w:rFonts w:ascii="Arial" w:hAnsi="Arial" w:cs="Arial"/>
        </w:rPr>
        <w:t>La prima de riesgo del capital representa el incremento sobre la tasa de retorno libre de riesgo que los inversores demandan del capital (equity), debido a que invertir en acciones conlleva un mayor riesgo que invertir en bonos del Estado.</w:t>
      </w:r>
    </w:p>
    <w:p w14:paraId="48F3E1EC" w14:textId="77777777" w:rsidR="00C50EEF" w:rsidRPr="00D47BB9" w:rsidRDefault="00C50EEF" w:rsidP="0014780A">
      <w:pPr>
        <w:spacing w:after="0"/>
        <w:jc w:val="both"/>
        <w:rPr>
          <w:rFonts w:ascii="Arial" w:hAnsi="Arial" w:cs="Arial"/>
        </w:rPr>
      </w:pPr>
    </w:p>
    <w:p w14:paraId="49358328" w14:textId="6CC7F5B3" w:rsidR="00C50EEF" w:rsidRPr="00D47BB9" w:rsidRDefault="00C50EEF" w:rsidP="0014780A">
      <w:pPr>
        <w:spacing w:after="0"/>
        <w:jc w:val="both"/>
        <w:rPr>
          <w:rFonts w:ascii="Arial" w:hAnsi="Arial" w:cs="Arial"/>
        </w:rPr>
      </w:pPr>
      <w:r w:rsidRPr="00D47BB9">
        <w:rPr>
          <w:rFonts w:ascii="Arial" w:hAnsi="Arial" w:cs="Arial"/>
        </w:rPr>
        <w:t>Se estimará la prima de riesgo del capital (Re) en México a partir de la prima de riesgo en un mercado maduro propuesta por el profesor Damodaran, a la que se añadirá la prima de riesgo país asociada a México, multiplicada por un factor de volatilidad que considere la mayor volatilidad de las acciones frente a los bonos. Se tomará el promedio de los últimos cinco años para los distintos parámetros.</w:t>
      </w:r>
    </w:p>
    <w:p w14:paraId="762A5C3D" w14:textId="77777777" w:rsidR="004A3027" w:rsidRPr="00657BA6" w:rsidRDefault="004A3027" w:rsidP="0014780A">
      <w:pPr>
        <w:spacing w:after="0"/>
        <w:rPr>
          <w:rFonts w:ascii="Arial" w:hAnsi="Arial" w:cs="Arial"/>
          <w:b/>
        </w:rPr>
      </w:pPr>
    </w:p>
    <w:p w14:paraId="52218679" w14:textId="77777777" w:rsidR="004A3027" w:rsidRPr="00657BA6" w:rsidRDefault="004A3027" w:rsidP="0014780A">
      <w:pPr>
        <w:spacing w:after="0"/>
        <w:rPr>
          <w:rFonts w:ascii="Arial" w:hAnsi="Arial" w:cs="Arial"/>
          <w:b/>
        </w:rPr>
      </w:pPr>
      <w:r w:rsidRPr="00657BA6">
        <w:rPr>
          <w:rFonts w:ascii="Arial" w:hAnsi="Arial" w:cs="Arial"/>
          <w:b/>
        </w:rPr>
        <w:t xml:space="preserve">Beta para los operadores de telecomunicaciones, </w:t>
      </w:r>
      <w:r w:rsidRPr="00657BA6">
        <w:rPr>
          <w:rFonts w:ascii="Arial" w:hAnsi="Arial" w:cs="Arial"/>
          <w:b/>
        </w:rPr>
        <w:sym w:font="Symbol" w:char="F062"/>
      </w:r>
    </w:p>
    <w:p w14:paraId="6B30A29A" w14:textId="77777777" w:rsidR="004A3027" w:rsidRPr="00657BA6" w:rsidRDefault="004A3027" w:rsidP="0014780A">
      <w:pPr>
        <w:spacing w:after="0"/>
        <w:jc w:val="both"/>
        <w:rPr>
          <w:rFonts w:ascii="Arial" w:hAnsi="Arial" w:cs="Arial"/>
          <w:spacing w:val="-4"/>
        </w:rPr>
      </w:pPr>
    </w:p>
    <w:p w14:paraId="43E448D2" w14:textId="7390B868" w:rsidR="00512E30" w:rsidRPr="00657BA6" w:rsidRDefault="00512E30" w:rsidP="0014780A">
      <w:pPr>
        <w:spacing w:after="0"/>
        <w:jc w:val="both"/>
        <w:rPr>
          <w:rFonts w:ascii="Arial" w:hAnsi="Arial" w:cs="Arial"/>
          <w:spacing w:val="-4"/>
        </w:rPr>
      </w:pPr>
      <w:r w:rsidRPr="00D47BB9">
        <w:rPr>
          <w:rFonts w:ascii="Arial" w:hAnsi="Arial" w:cs="Arial"/>
        </w:rPr>
        <w:lastRenderedPageBreak/>
        <w:t xml:space="preserve">Para la estimación de la </w:t>
      </w:r>
      <w:r w:rsidRPr="00D47BB9">
        <w:rPr>
          <w:rFonts w:ascii="Arial" w:hAnsi="Arial" w:cs="Arial"/>
        </w:rPr>
        <w:sym w:font="Symbol" w:char="F062"/>
      </w:r>
      <w:r w:rsidRPr="00D47BB9">
        <w:rPr>
          <w:rFonts w:ascii="Arial" w:hAnsi="Arial" w:cs="Arial"/>
        </w:rPr>
        <w:t xml:space="preserve"> se tomará una comparativa de empresas de telecomunicaciones, a fin de identificar las </w:t>
      </w:r>
      <w:r w:rsidRPr="00D47BB9">
        <w:rPr>
          <w:rFonts w:ascii="Arial" w:hAnsi="Arial" w:cs="Arial"/>
        </w:rPr>
        <w:sym w:font="Symbol" w:char="F062"/>
      </w:r>
      <w:r w:rsidRPr="00D47BB9">
        <w:rPr>
          <w:rFonts w:ascii="Arial" w:hAnsi="Arial" w:cs="Arial"/>
        </w:rPr>
        <w:t xml:space="preserve"> específicas del mercado fijo y el mercado móvil. Las </w:t>
      </w:r>
      <w:r w:rsidRPr="00D47BB9">
        <w:rPr>
          <w:rFonts w:ascii="Arial" w:hAnsi="Arial" w:cs="Arial"/>
        </w:rPr>
        <w:sym w:font="Symbol" w:char="F062"/>
      </w:r>
      <w:r w:rsidRPr="00D47BB9">
        <w:rPr>
          <w:rFonts w:ascii="Arial" w:hAnsi="Arial" w:cs="Arial"/>
        </w:rPr>
        <w:t xml:space="preserve"> apalancadas para cada uno de los operadores serán extraídas de Reuters, dado que se trata de una fuente pública y utiliza una metodología de promedio para los últimos cinco años con datos mensuales. La </w:t>
      </w:r>
      <w:r w:rsidRPr="00D47BB9">
        <w:rPr>
          <w:rFonts w:ascii="Arial" w:hAnsi="Arial" w:cs="Arial"/>
        </w:rPr>
        <w:sym w:font="Symbol" w:char="F062"/>
      </w:r>
      <w:r w:rsidRPr="00D47BB9">
        <w:rPr>
          <w:rFonts w:ascii="Arial" w:hAnsi="Arial" w:cs="Arial"/>
        </w:rPr>
        <w:t xml:space="preserve"> de cada uno de los operadores comparables será desapalancada con base a los niveles de apalancamiento de cada operador, y se volverá a aplicar el ajuste de apalancamiento con el nivel de apalancamiento definido para los operadores eficientes empleados en el cálculo de los CCPP de redes fijas y móviles.</w:t>
      </w:r>
    </w:p>
    <w:p w14:paraId="7ABD2FE1" w14:textId="77777777" w:rsidR="004A3027" w:rsidRPr="00657BA6" w:rsidRDefault="004A3027" w:rsidP="0014780A">
      <w:pPr>
        <w:spacing w:after="0"/>
        <w:rPr>
          <w:rFonts w:ascii="Arial" w:hAnsi="Arial" w:cs="Arial"/>
          <w:b/>
        </w:rPr>
      </w:pPr>
    </w:p>
    <w:p w14:paraId="46E2C95E" w14:textId="77777777" w:rsidR="004A3027" w:rsidRPr="00657BA6" w:rsidRDefault="004A3027" w:rsidP="0014780A">
      <w:pPr>
        <w:spacing w:after="0"/>
        <w:rPr>
          <w:rFonts w:ascii="Arial" w:hAnsi="Arial" w:cs="Arial"/>
          <w:b/>
        </w:rPr>
      </w:pPr>
      <w:r w:rsidRPr="00657BA6">
        <w:rPr>
          <w:rFonts w:ascii="Arial" w:hAnsi="Arial" w:cs="Arial"/>
          <w:b/>
        </w:rPr>
        <w:t>Relación deuda/capital (</w:t>
      </w:r>
      <w:r w:rsidRPr="00657BA6">
        <w:rPr>
          <w:rFonts w:ascii="Arial" w:hAnsi="Arial" w:cs="Arial"/>
          <w:b/>
          <w:i/>
        </w:rPr>
        <w:t>D/E</w:t>
      </w:r>
      <w:r w:rsidRPr="00657BA6">
        <w:rPr>
          <w:rFonts w:ascii="Arial" w:hAnsi="Arial" w:cs="Arial"/>
          <w:b/>
        </w:rPr>
        <w:t>)</w:t>
      </w:r>
    </w:p>
    <w:p w14:paraId="0553F418" w14:textId="77777777" w:rsidR="004A3027" w:rsidRPr="00657BA6" w:rsidRDefault="004A3027" w:rsidP="0014780A">
      <w:pPr>
        <w:spacing w:after="0"/>
        <w:rPr>
          <w:rFonts w:ascii="Arial" w:hAnsi="Arial" w:cs="Arial"/>
        </w:rPr>
      </w:pPr>
    </w:p>
    <w:p w14:paraId="00C7E123" w14:textId="4CDDD93A" w:rsidR="004A3027" w:rsidRPr="00657BA6" w:rsidRDefault="004A3027" w:rsidP="0014780A">
      <w:pPr>
        <w:spacing w:after="0"/>
        <w:jc w:val="both"/>
        <w:rPr>
          <w:rFonts w:ascii="Arial" w:hAnsi="Arial" w:cs="Arial"/>
          <w:spacing w:val="-4"/>
        </w:rPr>
      </w:pPr>
      <w:r w:rsidRPr="00657BA6">
        <w:rPr>
          <w:rFonts w:ascii="Arial" w:hAnsi="Arial" w:cs="Arial"/>
          <w:spacing w:val="-4"/>
        </w:rPr>
        <w:t>El nivel de apalancamiento denota la deuda como proporción de las necesidades de financiamiento de la empresa, y se expresa como:</w:t>
      </w:r>
    </w:p>
    <w:p w14:paraId="29B9E149" w14:textId="75E36FCB" w:rsidR="00512E30" w:rsidRPr="002C1A88" w:rsidRDefault="00512E30" w:rsidP="0014780A">
      <w:pPr>
        <w:spacing w:after="0"/>
        <w:jc w:val="center"/>
        <w:rPr>
          <w:position w:val="-24"/>
          <w:lang w:val="es-ES"/>
        </w:rPr>
      </w:pPr>
      <w:r w:rsidRPr="00512E30">
        <w:rPr>
          <w:i/>
          <w:lang w:val="es-ES"/>
        </w:rPr>
        <w:t xml:space="preserve"> </w:t>
      </w:r>
      <w:r w:rsidRPr="00982643">
        <w:rPr>
          <w:i/>
          <w:lang w:val="es-ES"/>
        </w:rPr>
        <w:t>Apalancamiento</w:t>
      </w:r>
      <w:r w:rsidRPr="00982643">
        <w:rPr>
          <w:lang w:val="es-ES"/>
        </w:rPr>
        <w:t xml:space="preserve"> = g =</w:t>
      </w:r>
      <w:r w:rsidRPr="00982643">
        <w:rPr>
          <w:position w:val="-24"/>
          <w:lang w:val="es-ES"/>
        </w:rPr>
        <w:object w:dxaOrig="700" w:dyaOrig="620" w14:anchorId="2A3AB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órmula" style="width:36.6pt;height:28.2pt" o:ole="">
            <v:imagedata r:id="rId33" o:title=""/>
          </v:shape>
          <o:OLEObject Type="Embed" ProgID="Equation.3" ShapeID="_x0000_i1025" DrawAspect="Content" ObjectID="_1753694329" r:id="rId34"/>
        </w:object>
      </w:r>
    </w:p>
    <w:p w14:paraId="0F14B9D5" w14:textId="5B04760C" w:rsidR="004A3027" w:rsidRPr="00657BA6" w:rsidRDefault="004A3027" w:rsidP="0014780A">
      <w:pPr>
        <w:spacing w:after="0"/>
        <w:jc w:val="center"/>
        <w:rPr>
          <w:rFonts w:ascii="Arial" w:hAnsi="Arial" w:cs="Arial"/>
          <w:position w:val="-24"/>
        </w:rPr>
      </w:pPr>
    </w:p>
    <w:p w14:paraId="2929EA1C" w14:textId="77777777" w:rsidR="004A3027" w:rsidRPr="00657BA6" w:rsidRDefault="004A3027" w:rsidP="0014780A">
      <w:pPr>
        <w:spacing w:after="0"/>
        <w:jc w:val="both"/>
        <w:rPr>
          <w:rFonts w:ascii="Arial" w:hAnsi="Arial" w:cs="Arial"/>
          <w:spacing w:val="-4"/>
        </w:rPr>
      </w:pPr>
      <w:r w:rsidRPr="00657BA6">
        <w:rPr>
          <w:rFonts w:ascii="Arial" w:hAnsi="Arial" w:cs="Arial"/>
          <w:spacing w:val="-4"/>
        </w:rPr>
        <w:t>Generalmente, la expectativa en lo que respecta al nivel de retorno del capital (</w:t>
      </w:r>
      <w:r w:rsidRPr="00657BA6">
        <w:rPr>
          <w:rFonts w:ascii="Arial" w:hAnsi="Arial" w:cs="Arial"/>
          <w:i/>
          <w:spacing w:val="-4"/>
        </w:rPr>
        <w:t>equity</w:t>
      </w:r>
      <w:r w:rsidRPr="00657BA6">
        <w:rPr>
          <w:rFonts w:ascii="Arial" w:hAnsi="Arial" w:cs="Arial"/>
          <w:spacing w:val="-4"/>
        </w:rPr>
        <w:t>) será mayor que la del retorno de la deuda. Si aumenta el nivel de apalancamiento, la deuda tendrá una prima de riesgo mayor ya que los acreedores requerirán un mayor interés al existir menor certidumbre en el pago.</w:t>
      </w:r>
    </w:p>
    <w:p w14:paraId="48070F52" w14:textId="77777777" w:rsidR="004A3027" w:rsidRPr="00657BA6" w:rsidRDefault="004A3027" w:rsidP="0014780A">
      <w:pPr>
        <w:spacing w:after="0"/>
        <w:jc w:val="both"/>
        <w:rPr>
          <w:rFonts w:ascii="Arial" w:hAnsi="Arial" w:cs="Arial"/>
          <w:spacing w:val="-4"/>
        </w:rPr>
      </w:pPr>
    </w:p>
    <w:p w14:paraId="51E3A87F" w14:textId="77777777" w:rsidR="004A3027" w:rsidRPr="00657BA6" w:rsidRDefault="004A3027" w:rsidP="0014780A">
      <w:pPr>
        <w:spacing w:after="0"/>
        <w:jc w:val="both"/>
        <w:rPr>
          <w:rFonts w:ascii="Arial" w:hAnsi="Arial" w:cs="Arial"/>
          <w:spacing w:val="-4"/>
        </w:rPr>
      </w:pPr>
      <w:r w:rsidRPr="00657BA6">
        <w:rPr>
          <w:rFonts w:ascii="Arial" w:hAnsi="Arial" w:cs="Arial"/>
          <w:spacing w:val="-4"/>
        </w:rPr>
        <w:t>Por eso mismo, la teoría financiera asume que existe una estructura financiera óptima que minimiza el costo del capital y se le conoce como apalancamiento objetivo. En la práctica, este apalancamiento óptimo es difícil de determinar y variará en función del tipo y forma de la compañía.</w:t>
      </w:r>
    </w:p>
    <w:p w14:paraId="25C40148" w14:textId="77777777" w:rsidR="004A3027" w:rsidRPr="00657BA6" w:rsidRDefault="004A3027" w:rsidP="0014780A">
      <w:pPr>
        <w:spacing w:after="0"/>
        <w:jc w:val="both"/>
        <w:rPr>
          <w:rFonts w:ascii="Arial" w:hAnsi="Arial" w:cs="Arial"/>
          <w:spacing w:val="-4"/>
        </w:rPr>
      </w:pPr>
    </w:p>
    <w:p w14:paraId="1E243382" w14:textId="03F94CC6" w:rsidR="00512E30" w:rsidRPr="00657BA6" w:rsidRDefault="004A3027" w:rsidP="00D47BB9">
      <w:pPr>
        <w:spacing w:after="0"/>
        <w:jc w:val="both"/>
        <w:rPr>
          <w:rFonts w:ascii="Arial" w:hAnsi="Arial" w:cs="Arial"/>
          <w:b/>
        </w:rPr>
      </w:pPr>
      <w:r w:rsidRPr="00657BA6">
        <w:rPr>
          <w:rFonts w:ascii="Arial" w:hAnsi="Arial" w:cs="Arial"/>
          <w:spacing w:val="-4"/>
        </w:rPr>
        <w:t xml:space="preserve">Es así </w:t>
      </w:r>
      <w:r w:rsidR="007D6E3B" w:rsidRPr="00657BA6">
        <w:rPr>
          <w:rFonts w:ascii="Arial" w:hAnsi="Arial" w:cs="Arial"/>
          <w:spacing w:val="-4"/>
        </w:rPr>
        <w:t>como</w:t>
      </w:r>
      <w:r w:rsidRPr="00657BA6">
        <w:rPr>
          <w:rFonts w:ascii="Arial" w:hAnsi="Arial" w:cs="Arial"/>
          <w:spacing w:val="-4"/>
        </w:rPr>
        <w:t xml:space="preserve"> </w:t>
      </w:r>
      <w:r w:rsidR="007D6E3B">
        <w:rPr>
          <w:rFonts w:ascii="Arial" w:hAnsi="Arial" w:cs="Arial"/>
          <w:spacing w:val="-4"/>
        </w:rPr>
        <w:t>s</w:t>
      </w:r>
      <w:r w:rsidR="00512E30" w:rsidRPr="00D47BB9">
        <w:rPr>
          <w:rFonts w:ascii="Arial" w:hAnsi="Arial" w:cs="Arial"/>
          <w:spacing w:val="-4"/>
        </w:rPr>
        <w:t>e evaluará el nivel apropiado de apalancamiento utilizando una selección de empresas comparables. Se tomará el valor en libros de la deuda total de los operadores y el valor de mercado de los recursos propios. Para ello se usará información financiera que está públicamente disponible en el portal Tradingview.</w:t>
      </w:r>
      <w:r w:rsidR="00512E30" w:rsidRPr="00D47BB9" w:rsidDel="00D612E8">
        <w:rPr>
          <w:rFonts w:ascii="Arial" w:hAnsi="Arial" w:cs="Arial"/>
          <w:spacing w:val="-4"/>
        </w:rPr>
        <w:t xml:space="preserve"> </w:t>
      </w:r>
    </w:p>
    <w:p w14:paraId="1F41AF01" w14:textId="77777777" w:rsidR="004A3027" w:rsidRPr="00657BA6" w:rsidRDefault="004A3027" w:rsidP="0014780A">
      <w:pPr>
        <w:spacing w:after="0"/>
        <w:rPr>
          <w:rFonts w:ascii="Arial" w:hAnsi="Arial" w:cs="Arial"/>
          <w:b/>
        </w:rPr>
      </w:pPr>
    </w:p>
    <w:p w14:paraId="35E37E13" w14:textId="77777777" w:rsidR="004A3027" w:rsidRPr="00657BA6" w:rsidRDefault="004A3027" w:rsidP="0014780A">
      <w:pPr>
        <w:spacing w:after="0"/>
        <w:rPr>
          <w:rFonts w:ascii="Arial" w:hAnsi="Arial" w:cs="Arial"/>
          <w:b/>
        </w:rPr>
      </w:pPr>
      <w:r w:rsidRPr="00657BA6">
        <w:rPr>
          <w:rFonts w:ascii="Arial" w:hAnsi="Arial" w:cs="Arial"/>
          <w:b/>
        </w:rPr>
        <w:t>Costo de la deuda</w:t>
      </w:r>
    </w:p>
    <w:p w14:paraId="73686808" w14:textId="77777777" w:rsidR="004A3027" w:rsidRPr="00657BA6" w:rsidRDefault="004A3027" w:rsidP="0014780A">
      <w:pPr>
        <w:spacing w:after="0"/>
        <w:jc w:val="both"/>
        <w:rPr>
          <w:rFonts w:ascii="Arial" w:hAnsi="Arial" w:cs="Arial"/>
          <w:spacing w:val="-4"/>
        </w:rPr>
      </w:pPr>
    </w:p>
    <w:p w14:paraId="0D694FCD" w14:textId="77777777" w:rsidR="00512E30" w:rsidRDefault="00512E30" w:rsidP="0014780A">
      <w:pPr>
        <w:spacing w:after="0"/>
        <w:rPr>
          <w:rFonts w:ascii="Arial" w:hAnsi="Arial" w:cs="Arial"/>
          <w:lang w:val="es-ES"/>
        </w:rPr>
      </w:pPr>
      <w:r w:rsidRPr="00D47BB9">
        <w:rPr>
          <w:rFonts w:ascii="Arial" w:hAnsi="Arial" w:cs="Arial"/>
          <w:lang w:val="es-ES"/>
        </w:rPr>
        <w:t>El costo de la deuda antes de impuestos se define como:</w:t>
      </w:r>
    </w:p>
    <w:p w14:paraId="2853658A" w14:textId="77777777" w:rsidR="007D6E3B" w:rsidRPr="00D47BB9" w:rsidRDefault="007D6E3B" w:rsidP="0014780A">
      <w:pPr>
        <w:spacing w:after="0"/>
        <w:rPr>
          <w:rFonts w:ascii="Arial" w:hAnsi="Arial" w:cs="Arial"/>
          <w:lang w:val="es-ES"/>
        </w:rPr>
      </w:pPr>
    </w:p>
    <w:p w14:paraId="1C271549" w14:textId="77777777" w:rsidR="00512E30" w:rsidRPr="007D6E3B" w:rsidRDefault="003119E0" w:rsidP="0014780A">
      <w:pPr>
        <w:spacing w:after="0"/>
        <w:jc w:val="center"/>
        <w:rPr>
          <w:rFonts w:ascii="Arial" w:hAnsi="Arial" w:cs="Arial"/>
          <w:lang w:val="es-ES"/>
        </w:rPr>
      </w:pPr>
      <m:oMathPara>
        <m:oMath>
          <m:sSub>
            <m:sSubPr>
              <m:ctrlPr>
                <w:rPr>
                  <w:rFonts w:ascii="Cambria Math" w:hAnsi="Cambria Math" w:cs="Arial"/>
                  <w:i/>
                  <w:lang w:val="es-ES"/>
                </w:rPr>
              </m:ctrlPr>
            </m:sSubPr>
            <m:e>
              <m:r>
                <w:rPr>
                  <w:rFonts w:ascii="Cambria Math" w:hAnsi="Cambria Math" w:cs="Arial"/>
                  <w:lang w:val="es-ES"/>
                </w:rPr>
                <m:t>C</m:t>
              </m:r>
            </m:e>
            <m:sub>
              <m:r>
                <w:rPr>
                  <w:rFonts w:ascii="Cambria Math" w:hAnsi="Cambria Math" w:cs="Arial"/>
                  <w:lang w:val="es-ES"/>
                </w:rPr>
                <m:t>d</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R</m:t>
              </m:r>
            </m:e>
            <m:sub>
              <m:r>
                <w:rPr>
                  <w:rFonts w:ascii="Cambria Math" w:hAnsi="Cambria Math" w:cs="Arial"/>
                  <w:lang w:val="es-ES"/>
                </w:rPr>
                <m:t>f</m:t>
              </m:r>
            </m:sub>
          </m:sSub>
          <m:r>
            <w:rPr>
              <w:rFonts w:ascii="Cambria Math" w:hAnsi="Cambria Math" w:cs="Arial"/>
              <w:lang w:val="es-ES"/>
            </w:rPr>
            <m:t>+</m:t>
          </m:r>
          <m:sSub>
            <m:sSubPr>
              <m:ctrlPr>
                <w:rPr>
                  <w:rFonts w:ascii="Cambria Math" w:hAnsi="Cambria Math" w:cs="Arial"/>
                  <w:i/>
                  <w:lang w:val="es-ES"/>
                </w:rPr>
              </m:ctrlPr>
            </m:sSubPr>
            <m:e>
              <m:r>
                <w:rPr>
                  <w:rFonts w:ascii="Cambria Math" w:hAnsi="Cambria Math" w:cs="Arial"/>
                  <w:lang w:val="es-ES"/>
                </w:rPr>
                <m:t>R</m:t>
              </m:r>
            </m:e>
            <m:sub>
              <m:r>
                <w:rPr>
                  <w:rFonts w:ascii="Cambria Math" w:hAnsi="Cambria Math" w:cs="Arial"/>
                  <w:lang w:val="es-ES"/>
                </w:rPr>
                <m:t>D</m:t>
              </m:r>
            </m:sub>
          </m:sSub>
        </m:oMath>
      </m:oMathPara>
    </w:p>
    <w:p w14:paraId="51D507D6" w14:textId="77777777" w:rsidR="007D6E3B" w:rsidRPr="00D47BB9" w:rsidRDefault="007D6E3B" w:rsidP="0014780A">
      <w:pPr>
        <w:spacing w:after="0"/>
        <w:jc w:val="center"/>
        <w:rPr>
          <w:rFonts w:ascii="Arial" w:hAnsi="Arial" w:cs="Arial"/>
          <w:lang w:val="es-ES"/>
        </w:rPr>
      </w:pPr>
    </w:p>
    <w:p w14:paraId="226852A2" w14:textId="77777777" w:rsidR="00512E30" w:rsidRPr="00D47BB9" w:rsidRDefault="00512E30" w:rsidP="0014780A">
      <w:pPr>
        <w:spacing w:after="0"/>
        <w:rPr>
          <w:rFonts w:ascii="Arial" w:hAnsi="Arial" w:cs="Arial"/>
          <w:lang w:val="es-ES"/>
        </w:rPr>
      </w:pPr>
      <w:r w:rsidRPr="00D47BB9">
        <w:rPr>
          <w:rFonts w:ascii="Arial" w:hAnsi="Arial" w:cs="Arial"/>
          <w:lang w:val="es-ES"/>
        </w:rPr>
        <w:t>Donde:</w:t>
      </w:r>
    </w:p>
    <w:p w14:paraId="1736E4C6" w14:textId="77777777" w:rsidR="00512E30" w:rsidRPr="00D47BB9" w:rsidRDefault="003119E0" w:rsidP="0014780A">
      <w:pPr>
        <w:pStyle w:val="ListBulletCompact"/>
        <w:numPr>
          <w:ilvl w:val="0"/>
          <w:numId w:val="4"/>
        </w:numPr>
        <w:tabs>
          <w:tab w:val="clear" w:pos="360"/>
        </w:tabs>
        <w:spacing w:line="276" w:lineRule="auto"/>
        <w:rPr>
          <w:rFonts w:ascii="Arial" w:hAnsi="Arial" w:cs="Arial"/>
        </w:rPr>
      </w:pP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f</m:t>
            </m:r>
          </m:sub>
        </m:sSub>
      </m:oMath>
      <w:r w:rsidR="00512E30" w:rsidRPr="00D47BB9">
        <w:rPr>
          <w:rFonts w:ascii="Arial" w:hAnsi="Arial" w:cs="Arial"/>
        </w:rPr>
        <w:t xml:space="preserve"> es la tasa de retorno libre de riesgo</w:t>
      </w:r>
    </w:p>
    <w:p w14:paraId="2FF34431" w14:textId="77777777" w:rsidR="00512E30" w:rsidRDefault="003119E0" w:rsidP="0014780A">
      <w:pPr>
        <w:pStyle w:val="ListBulletCompact"/>
        <w:numPr>
          <w:ilvl w:val="0"/>
          <w:numId w:val="4"/>
        </w:numPr>
        <w:tabs>
          <w:tab w:val="clear" w:pos="360"/>
        </w:tabs>
        <w:spacing w:line="276" w:lineRule="auto"/>
        <w:ind w:left="357" w:hanging="357"/>
        <w:contextualSpacing/>
        <w:rPr>
          <w:rFonts w:ascii="Arial" w:hAnsi="Arial" w:cs="Arial"/>
        </w:rPr>
      </w:pPr>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D</m:t>
            </m:r>
          </m:sub>
        </m:sSub>
      </m:oMath>
      <w:r w:rsidR="00512E30" w:rsidRPr="00D47BB9">
        <w:rPr>
          <w:rFonts w:ascii="Arial" w:hAnsi="Arial" w:cs="Arial"/>
        </w:rPr>
        <w:t xml:space="preserve"> es la prima de riesgo de deuda.</w:t>
      </w:r>
    </w:p>
    <w:p w14:paraId="6221F1ED" w14:textId="77777777" w:rsidR="0081022B" w:rsidRPr="00D47BB9" w:rsidRDefault="0081022B" w:rsidP="0081022B">
      <w:pPr>
        <w:pStyle w:val="ListBulletCompact"/>
        <w:numPr>
          <w:ilvl w:val="0"/>
          <w:numId w:val="0"/>
        </w:numPr>
        <w:spacing w:line="276" w:lineRule="auto"/>
        <w:ind w:left="357"/>
        <w:contextualSpacing/>
        <w:rPr>
          <w:rFonts w:ascii="Arial" w:hAnsi="Arial" w:cs="Arial"/>
        </w:rPr>
      </w:pPr>
    </w:p>
    <w:p w14:paraId="52C5207C" w14:textId="3584098C" w:rsidR="00DD1E27" w:rsidRPr="00D47BB9" w:rsidRDefault="00DD1E27" w:rsidP="00D47BB9">
      <w:pPr>
        <w:spacing w:after="0"/>
        <w:jc w:val="both"/>
        <w:rPr>
          <w:rFonts w:ascii="Arial" w:hAnsi="Arial" w:cs="Arial"/>
          <w:spacing w:val="-4"/>
        </w:rPr>
      </w:pPr>
      <w:r w:rsidRPr="00D47BB9">
        <w:rPr>
          <w:rFonts w:ascii="Arial" w:hAnsi="Arial" w:cs="Arial"/>
          <w:spacing w:val="-4"/>
        </w:rPr>
        <w:lastRenderedPageBreak/>
        <w:t xml:space="preserve">La tasa de retorno libre de riesgo debe definirse en consecuencia con la tasa empleada en la definición del costo del </w:t>
      </w:r>
      <w:r w:rsidRPr="00D47BB9">
        <w:rPr>
          <w:rFonts w:ascii="Arial" w:hAnsi="Arial" w:cs="Arial"/>
          <w:i/>
          <w:iCs/>
          <w:spacing w:val="-4"/>
        </w:rPr>
        <w:t>equity</w:t>
      </w:r>
      <w:r w:rsidRPr="00D47BB9">
        <w:rPr>
          <w:rFonts w:ascii="Arial" w:hAnsi="Arial" w:cs="Arial"/>
          <w:spacing w:val="-4"/>
        </w:rPr>
        <w:t>. Esta definición toma el retorno de los bonos gubernamentales estadounidenses a 10 años, promediando de manera aritmética los retornos diarios de los últimos cinco años y añadiendo la prima de riesgo país asociada a México. La fórmula concreta es la siguiente:</w:t>
      </w:r>
    </w:p>
    <w:p w14:paraId="6F7C22E4" w14:textId="77777777" w:rsidR="00DD1E27" w:rsidRPr="00D47BB9" w:rsidRDefault="003119E0" w:rsidP="00D47BB9">
      <w:pPr>
        <w:spacing w:after="0"/>
        <w:rPr>
          <w:rFonts w:ascii="Arial" w:hAnsi="Arial" w:cs="Arial"/>
          <w:spacing w:val="-4"/>
          <w:sz w:val="24"/>
          <w:szCs w:val="24"/>
        </w:rPr>
      </w:pPr>
      <m:oMathPara>
        <m:oMath>
          <m:sSub>
            <m:sSubPr>
              <m:ctrlPr>
                <w:rPr>
                  <w:rFonts w:ascii="Cambria Math" w:hAnsi="Cambria Math" w:cs="Arial"/>
                  <w:spacing w:val="-4"/>
                  <w:sz w:val="24"/>
                  <w:szCs w:val="24"/>
                </w:rPr>
              </m:ctrlPr>
            </m:sSubPr>
            <m:e>
              <m:r>
                <w:rPr>
                  <w:rFonts w:ascii="Cambria Math" w:hAnsi="Cambria Math" w:cs="Arial"/>
                  <w:spacing w:val="-4"/>
                  <w:sz w:val="24"/>
                  <w:szCs w:val="24"/>
                </w:rPr>
                <m:t>R</m:t>
              </m:r>
            </m:e>
            <m:sub>
              <m:r>
                <w:rPr>
                  <w:rFonts w:ascii="Cambria Math" w:hAnsi="Cambria Math" w:cs="Arial"/>
                  <w:spacing w:val="-4"/>
                  <w:sz w:val="24"/>
                  <w:szCs w:val="24"/>
                </w:rPr>
                <m:t>f</m:t>
              </m:r>
            </m:sub>
          </m:sSub>
          <m:r>
            <m:rPr>
              <m:sty m:val="p"/>
            </m:rPr>
            <w:rPr>
              <w:rFonts w:ascii="Cambria Math" w:hAnsi="Cambria Math" w:cs="Arial"/>
              <w:spacing w:val="-4"/>
              <w:sz w:val="24"/>
              <w:szCs w:val="24"/>
            </w:rPr>
            <m:t>=</m:t>
          </m:r>
          <m:sSub>
            <m:sSubPr>
              <m:ctrlPr>
                <w:rPr>
                  <w:rFonts w:ascii="Cambria Math" w:hAnsi="Cambria Math" w:cs="Arial"/>
                  <w:spacing w:val="-4"/>
                  <w:sz w:val="24"/>
                  <w:szCs w:val="24"/>
                </w:rPr>
              </m:ctrlPr>
            </m:sSubPr>
            <m:e>
              <m:r>
                <w:rPr>
                  <w:rFonts w:ascii="Cambria Math" w:hAnsi="Cambria Math" w:cs="Arial"/>
                  <w:spacing w:val="-4"/>
                  <w:sz w:val="24"/>
                  <w:szCs w:val="24"/>
                </w:rPr>
                <m:t>R</m:t>
              </m:r>
            </m:e>
            <m:sub>
              <m:r>
                <w:rPr>
                  <w:rFonts w:ascii="Cambria Math" w:hAnsi="Cambria Math" w:cs="Arial"/>
                  <w:spacing w:val="-4"/>
                  <w:sz w:val="24"/>
                  <w:szCs w:val="24"/>
                </w:rPr>
                <m:t>f</m:t>
              </m:r>
            </m:sub>
          </m:sSub>
          <m:d>
            <m:dPr>
              <m:ctrlPr>
                <w:rPr>
                  <w:rFonts w:ascii="Cambria Math" w:hAnsi="Cambria Math" w:cs="Arial"/>
                  <w:spacing w:val="-4"/>
                  <w:sz w:val="24"/>
                  <w:szCs w:val="24"/>
                </w:rPr>
              </m:ctrlPr>
            </m:dPr>
            <m:e>
              <m:r>
                <w:rPr>
                  <w:rFonts w:ascii="Cambria Math" w:hAnsi="Cambria Math" w:cs="Arial"/>
                  <w:spacing w:val="-4"/>
                  <w:sz w:val="24"/>
                  <w:szCs w:val="24"/>
                </w:rPr>
                <m:t>EEUU</m:t>
              </m:r>
            </m:e>
          </m:d>
          <m:r>
            <m:rPr>
              <m:sty m:val="p"/>
            </m:rPr>
            <w:rPr>
              <w:rFonts w:ascii="Cambria Math" w:hAnsi="Cambria Math" w:cs="Arial"/>
              <w:spacing w:val="-4"/>
              <w:sz w:val="24"/>
              <w:szCs w:val="24"/>
            </w:rPr>
            <m:t>+</m:t>
          </m:r>
          <m:r>
            <w:rPr>
              <w:rFonts w:ascii="Cambria Math" w:hAnsi="Cambria Math" w:cs="Arial"/>
              <w:spacing w:val="-4"/>
              <w:sz w:val="24"/>
              <w:szCs w:val="24"/>
            </w:rPr>
            <m:t>CRP</m:t>
          </m:r>
        </m:oMath>
      </m:oMathPara>
    </w:p>
    <w:p w14:paraId="0853699C" w14:textId="77777777" w:rsidR="00DD1E27" w:rsidRDefault="00DD1E27" w:rsidP="0014780A">
      <w:pPr>
        <w:spacing w:after="0"/>
        <w:rPr>
          <w:rFonts w:ascii="Arial" w:hAnsi="Arial" w:cs="Arial"/>
          <w:spacing w:val="-4"/>
        </w:rPr>
      </w:pPr>
      <w:r w:rsidRPr="00D47BB9">
        <w:rPr>
          <w:rFonts w:ascii="Arial" w:hAnsi="Arial" w:cs="Arial"/>
          <w:spacing w:val="-4"/>
        </w:rPr>
        <w:t>Donde:</w:t>
      </w:r>
    </w:p>
    <w:p w14:paraId="6C6CBEBF" w14:textId="77777777" w:rsidR="00505208" w:rsidRPr="00D47BB9" w:rsidRDefault="00505208" w:rsidP="00D47BB9">
      <w:pPr>
        <w:spacing w:after="0"/>
        <w:rPr>
          <w:rFonts w:ascii="Arial" w:hAnsi="Arial" w:cs="Arial"/>
          <w:spacing w:val="-4"/>
        </w:rPr>
      </w:pPr>
    </w:p>
    <w:p w14:paraId="030744FE" w14:textId="2537658E" w:rsidR="00DD1E27" w:rsidRPr="0081022B" w:rsidRDefault="003119E0" w:rsidP="009640AE">
      <w:pPr>
        <w:pStyle w:val="Prrafodelista"/>
        <w:numPr>
          <w:ilvl w:val="0"/>
          <w:numId w:val="61"/>
        </w:numPr>
        <w:rPr>
          <w:rFonts w:cs="Arial"/>
          <w:spacing w:val="-4"/>
        </w:rPr>
      </w:pPr>
      <m:oMath>
        <m:sSub>
          <m:sSubPr>
            <m:ctrlPr>
              <w:rPr>
                <w:rFonts w:ascii="Cambria Math" w:hAnsi="Cambria Math" w:cs="Arial"/>
                <w:spacing w:val="-4"/>
              </w:rPr>
            </m:ctrlPr>
          </m:sSubPr>
          <m:e>
            <m:r>
              <w:rPr>
                <w:rFonts w:ascii="Cambria Math" w:hAnsi="Cambria Math" w:cs="Arial"/>
                <w:spacing w:val="-4"/>
                <w:szCs w:val="22"/>
              </w:rPr>
              <m:t>R</m:t>
            </m:r>
          </m:e>
          <m:sub>
            <m:r>
              <w:rPr>
                <w:rFonts w:ascii="Cambria Math" w:hAnsi="Cambria Math" w:cs="Arial"/>
                <w:spacing w:val="-4"/>
                <w:szCs w:val="22"/>
              </w:rPr>
              <m:t>f</m:t>
            </m:r>
          </m:sub>
        </m:sSub>
      </m:oMath>
      <w:r w:rsidR="00DD1E27" w:rsidRPr="0081022B">
        <w:rPr>
          <w:rFonts w:cs="Arial"/>
          <w:spacing w:val="-4"/>
        </w:rPr>
        <w:t xml:space="preserve"> es la tasa de retorno libre de riesgo, aplicable en México</w:t>
      </w:r>
      <w:r w:rsidR="00656B5E">
        <w:rPr>
          <w:rFonts w:cs="Arial"/>
          <w:spacing w:val="-4"/>
        </w:rPr>
        <w:t>.</w:t>
      </w:r>
    </w:p>
    <w:p w14:paraId="48EE640B" w14:textId="593FAF22" w:rsidR="00DD1E27" w:rsidRPr="0081022B" w:rsidRDefault="003119E0" w:rsidP="009640AE">
      <w:pPr>
        <w:pStyle w:val="Prrafodelista"/>
        <w:numPr>
          <w:ilvl w:val="0"/>
          <w:numId w:val="61"/>
        </w:numPr>
        <w:rPr>
          <w:rFonts w:cs="Arial"/>
          <w:spacing w:val="-4"/>
        </w:rPr>
      </w:pPr>
      <m:oMath>
        <m:sSub>
          <m:sSubPr>
            <m:ctrlPr>
              <w:rPr>
                <w:rFonts w:ascii="Cambria Math" w:hAnsi="Cambria Math" w:cs="Arial"/>
                <w:spacing w:val="-4"/>
              </w:rPr>
            </m:ctrlPr>
          </m:sSubPr>
          <m:e>
            <m:r>
              <w:rPr>
                <w:rFonts w:ascii="Cambria Math" w:hAnsi="Cambria Math" w:cs="Arial"/>
                <w:spacing w:val="-4"/>
                <w:szCs w:val="22"/>
              </w:rPr>
              <m:t>R</m:t>
            </m:r>
          </m:e>
          <m:sub>
            <m:r>
              <w:rPr>
                <w:rFonts w:ascii="Cambria Math" w:hAnsi="Cambria Math" w:cs="Arial"/>
                <w:spacing w:val="-4"/>
                <w:szCs w:val="22"/>
              </w:rPr>
              <m:t>f</m:t>
            </m:r>
          </m:sub>
        </m:sSub>
        <m:r>
          <m:rPr>
            <m:sty m:val="p"/>
          </m:rPr>
          <w:rPr>
            <w:rFonts w:ascii="Cambria Math" w:hAnsi="Cambria Math" w:cs="Arial"/>
            <w:spacing w:val="-4"/>
            <w:szCs w:val="22"/>
          </w:rPr>
          <m:t>(</m:t>
        </m:r>
        <m:r>
          <w:rPr>
            <w:rFonts w:ascii="Cambria Math" w:hAnsi="Cambria Math" w:cs="Arial"/>
            <w:spacing w:val="-4"/>
            <w:szCs w:val="22"/>
          </w:rPr>
          <m:t>EEUU</m:t>
        </m:r>
        <m:r>
          <m:rPr>
            <m:sty m:val="p"/>
          </m:rPr>
          <w:rPr>
            <w:rFonts w:ascii="Cambria Math" w:hAnsi="Cambria Math" w:cs="Arial"/>
            <w:spacing w:val="-4"/>
            <w:szCs w:val="22"/>
          </w:rPr>
          <m:t>)</m:t>
        </m:r>
      </m:oMath>
      <w:r w:rsidR="00DD1E27" w:rsidRPr="0081022B">
        <w:rPr>
          <w:rFonts w:cs="Arial"/>
          <w:spacing w:val="-4"/>
        </w:rPr>
        <w:t xml:space="preserve"> es la tasa de retorno libre de riesgo en Estados Unidos</w:t>
      </w:r>
      <w:r w:rsidR="00656B5E">
        <w:rPr>
          <w:rFonts w:cs="Arial"/>
          <w:spacing w:val="-4"/>
        </w:rPr>
        <w:t>.</w:t>
      </w:r>
    </w:p>
    <w:p w14:paraId="7C80D46F" w14:textId="77777777" w:rsidR="00DD1E27" w:rsidRPr="0081022B" w:rsidRDefault="00DD1E27" w:rsidP="009640AE">
      <w:pPr>
        <w:pStyle w:val="Prrafodelista"/>
        <w:numPr>
          <w:ilvl w:val="0"/>
          <w:numId w:val="61"/>
        </w:numPr>
        <w:rPr>
          <w:rFonts w:cs="Arial"/>
          <w:spacing w:val="-4"/>
        </w:rPr>
      </w:pPr>
      <m:oMath>
        <m:r>
          <w:rPr>
            <w:rFonts w:ascii="Cambria Math" w:hAnsi="Cambria Math" w:cs="Arial"/>
            <w:spacing w:val="-4"/>
            <w:szCs w:val="22"/>
          </w:rPr>
          <m:t>CRP</m:t>
        </m:r>
      </m:oMath>
      <w:r w:rsidRPr="0081022B">
        <w:rPr>
          <w:rFonts w:eastAsia="Calibri" w:cs="Arial"/>
          <w:spacing w:val="-4"/>
          <w:szCs w:val="22"/>
        </w:rPr>
        <w:t xml:space="preserve"> </w:t>
      </w:r>
      <w:r w:rsidRPr="0081022B">
        <w:rPr>
          <w:rFonts w:cs="Arial"/>
          <w:spacing w:val="-4"/>
        </w:rPr>
        <w:t>es la prima de riesgo país.</w:t>
      </w:r>
    </w:p>
    <w:p w14:paraId="40200525" w14:textId="77777777" w:rsidR="00505208" w:rsidRPr="00D47BB9" w:rsidRDefault="00505208" w:rsidP="00D47BB9">
      <w:pPr>
        <w:spacing w:after="0"/>
        <w:rPr>
          <w:rFonts w:ascii="Arial" w:hAnsi="Arial" w:cs="Arial"/>
          <w:spacing w:val="-4"/>
        </w:rPr>
      </w:pPr>
    </w:p>
    <w:p w14:paraId="2B14A85B" w14:textId="2BE23E71" w:rsidR="004A3027" w:rsidRPr="00657BA6" w:rsidRDefault="004A3027" w:rsidP="007D6E3B">
      <w:pPr>
        <w:spacing w:after="0"/>
        <w:jc w:val="both"/>
        <w:rPr>
          <w:rFonts w:ascii="Arial" w:hAnsi="Arial" w:cs="Arial"/>
          <w:spacing w:val="-4"/>
        </w:rPr>
      </w:pPr>
      <w:r w:rsidRPr="00657BA6">
        <w:rPr>
          <w:rFonts w:ascii="Arial" w:hAnsi="Arial" w:cs="Arial"/>
          <w:spacing w:val="-4"/>
        </w:rPr>
        <w:t xml:space="preserve">Para efectos del modelo se utilizará el Impuesto sobre la Renta (ISR) como la tasa adecuada de impuestos corporativos (T), cuyo valor es del 30%. </w:t>
      </w:r>
    </w:p>
    <w:p w14:paraId="528B8832" w14:textId="4C73CFAF" w:rsidR="004A3027" w:rsidRPr="00657BA6" w:rsidRDefault="004A3027" w:rsidP="007D6E3B">
      <w:pPr>
        <w:spacing w:after="0"/>
        <w:jc w:val="both"/>
        <w:rPr>
          <w:rFonts w:ascii="Arial" w:hAnsi="Arial" w:cs="Arial"/>
          <w:spacing w:val="-4"/>
        </w:rPr>
      </w:pPr>
    </w:p>
    <w:p w14:paraId="4DF4B789" w14:textId="570FD942" w:rsidR="004A3027" w:rsidRPr="00657BA6" w:rsidRDefault="004A3027" w:rsidP="007D6E3B">
      <w:pPr>
        <w:spacing w:after="0"/>
        <w:jc w:val="both"/>
        <w:rPr>
          <w:rFonts w:ascii="Arial" w:hAnsi="Arial" w:cs="Arial"/>
          <w:spacing w:val="-4"/>
        </w:rPr>
      </w:pPr>
      <w:r w:rsidRPr="00657BA6">
        <w:rPr>
          <w:rFonts w:ascii="Arial" w:hAnsi="Arial" w:cs="Arial"/>
          <w:spacing w:val="-4"/>
        </w:rPr>
        <w:t xml:space="preserve">La prima de riesgo de deuda de una empresa es la diferencia entre lo que una empresa tiene que pagar a sus acreedores al adquirir un préstamo y la tasa libre de riesgo. </w:t>
      </w:r>
    </w:p>
    <w:p w14:paraId="4031E6A6" w14:textId="160E90F2" w:rsidR="004A3027" w:rsidRPr="00657BA6" w:rsidRDefault="004A3027" w:rsidP="007D6E3B">
      <w:pPr>
        <w:spacing w:after="0"/>
        <w:jc w:val="both"/>
        <w:rPr>
          <w:rFonts w:ascii="Arial" w:hAnsi="Arial" w:cs="Arial"/>
          <w:spacing w:val="-4"/>
        </w:rPr>
      </w:pPr>
    </w:p>
    <w:p w14:paraId="556A4D03" w14:textId="22F88C9D" w:rsidR="004A3027" w:rsidRPr="00657BA6" w:rsidRDefault="004A3027" w:rsidP="007D6E3B">
      <w:pPr>
        <w:spacing w:after="0"/>
        <w:jc w:val="both"/>
        <w:rPr>
          <w:rFonts w:ascii="Arial" w:hAnsi="Arial" w:cs="Arial"/>
          <w:spacing w:val="-4"/>
        </w:rPr>
      </w:pPr>
      <w:r w:rsidRPr="00657BA6">
        <w:rPr>
          <w:rFonts w:ascii="Arial" w:hAnsi="Arial" w:cs="Arial"/>
          <w:spacing w:val="-4"/>
        </w:rPr>
        <w:t>Típicamente, la prima de riesgo de deuda varía de acuerdo con el apalancamiento de la empresa – cuanto mayor sea la proporción de financiamiento a través de deuda, mayor es la prima debido a la presión ejercida sobre los flujos de efectivo.</w:t>
      </w:r>
    </w:p>
    <w:p w14:paraId="6A195CB4" w14:textId="34373A1A" w:rsidR="004A3027" w:rsidRPr="00657BA6" w:rsidRDefault="004A3027" w:rsidP="007D6E3B">
      <w:pPr>
        <w:spacing w:after="0"/>
        <w:jc w:val="both"/>
        <w:rPr>
          <w:rFonts w:ascii="Arial" w:hAnsi="Arial" w:cs="Arial"/>
          <w:spacing w:val="-4"/>
        </w:rPr>
      </w:pPr>
    </w:p>
    <w:p w14:paraId="09D76627" w14:textId="77777777" w:rsidR="00E93B22" w:rsidRDefault="00E93B22" w:rsidP="007D6E3B">
      <w:pPr>
        <w:spacing w:after="0"/>
        <w:jc w:val="both"/>
        <w:rPr>
          <w:rFonts w:ascii="Arial" w:hAnsi="Arial" w:cs="Arial"/>
          <w:lang w:val="es-ES"/>
        </w:rPr>
      </w:pPr>
      <w:r w:rsidRPr="00D47BB9">
        <w:rPr>
          <w:rFonts w:ascii="Arial" w:hAnsi="Arial" w:cs="Arial"/>
          <w:lang w:val="es-ES"/>
        </w:rPr>
        <w:t>Para definir la prima de deuda, se calculará la diferencia entre el cupón de los bonos emitidos en México por operadores de telecomunicaciones y el rendimiento del bono estadounidense de madurez equivalente en la fecha de emisión del bono. Adicionalmente, para asegurar consistencia con la estimación de la tasa libre de riesgo en México, se descontará la prima de riesgo asociada a los bonos mexicanos en el año de emisión de los bonos. La formulación práctica se muestra a continuación:</w:t>
      </w:r>
    </w:p>
    <w:p w14:paraId="0D4597EA" w14:textId="77777777" w:rsidR="007D6E3B" w:rsidRPr="00D47BB9" w:rsidRDefault="007D6E3B" w:rsidP="00D47BB9">
      <w:pPr>
        <w:spacing w:after="0"/>
        <w:jc w:val="both"/>
        <w:rPr>
          <w:rFonts w:ascii="Arial" w:hAnsi="Arial" w:cs="Arial"/>
          <w:lang w:val="es-ES"/>
        </w:rPr>
      </w:pPr>
    </w:p>
    <w:p w14:paraId="2776A51C" w14:textId="77777777" w:rsidR="00E93B22" w:rsidRPr="007D6E3B" w:rsidRDefault="003119E0" w:rsidP="0014780A">
      <w:pPr>
        <w:spacing w:after="0"/>
        <w:rPr>
          <w:rFonts w:ascii="Arial" w:eastAsiaTheme="minorEastAsia" w:hAnsi="Arial" w:cs="Arial"/>
          <w:sz w:val="24"/>
          <w:szCs w:val="24"/>
          <w:lang w:val="es-ES"/>
        </w:rPr>
      </w:pPr>
      <m:oMathPara>
        <m:oMath>
          <m:sSub>
            <m:sSubPr>
              <m:ctrlPr>
                <w:rPr>
                  <w:rFonts w:ascii="Cambria Math" w:hAnsi="Cambria Math" w:cs="Arial"/>
                  <w:i/>
                  <w:sz w:val="24"/>
                  <w:szCs w:val="24"/>
                  <w:lang w:val="es-ES"/>
                </w:rPr>
              </m:ctrlPr>
            </m:sSubPr>
            <m:e>
              <m:r>
                <w:rPr>
                  <w:rFonts w:ascii="Cambria Math" w:hAnsi="Cambria Math" w:cs="Arial"/>
                  <w:sz w:val="24"/>
                  <w:szCs w:val="24"/>
                  <w:lang w:val="es-ES"/>
                </w:rPr>
                <m:t>R</m:t>
              </m:r>
            </m:e>
            <m:sub>
              <m:r>
                <w:rPr>
                  <w:rFonts w:ascii="Cambria Math" w:hAnsi="Cambria Math" w:cs="Arial"/>
                  <w:sz w:val="24"/>
                  <w:szCs w:val="24"/>
                  <w:lang w:val="es-ES"/>
                </w:rPr>
                <m:t>d</m:t>
              </m:r>
            </m:sub>
          </m:sSub>
          <m:r>
            <w:rPr>
              <w:rFonts w:ascii="Cambria Math" w:hAnsi="Cambria Math" w:cs="Arial"/>
              <w:sz w:val="24"/>
              <w:szCs w:val="24"/>
              <w:lang w:val="es-ES"/>
            </w:rPr>
            <m:t>=</m:t>
          </m:r>
          <m:sSub>
            <m:sSubPr>
              <m:ctrlPr>
                <w:rPr>
                  <w:rFonts w:ascii="Cambria Math" w:hAnsi="Cambria Math" w:cs="Arial"/>
                  <w:i/>
                  <w:sz w:val="24"/>
                  <w:szCs w:val="24"/>
                  <w:lang w:val="es-ES"/>
                </w:rPr>
              </m:ctrlPr>
            </m:sSubPr>
            <m:e>
              <m:r>
                <w:rPr>
                  <w:rFonts w:ascii="Cambria Math" w:hAnsi="Cambria Math" w:cs="Arial"/>
                  <w:sz w:val="24"/>
                  <w:szCs w:val="24"/>
                  <w:lang w:val="es-ES"/>
                </w:rPr>
                <m:t>C</m:t>
              </m:r>
            </m:e>
            <m:sub>
              <m:r>
                <w:rPr>
                  <w:rFonts w:ascii="Cambria Math" w:hAnsi="Cambria Math" w:cs="Arial"/>
                  <w:sz w:val="24"/>
                  <w:szCs w:val="24"/>
                  <w:lang w:val="es-ES"/>
                </w:rPr>
                <m:t>b</m:t>
              </m:r>
            </m:sub>
          </m:sSub>
          <m:r>
            <w:rPr>
              <w:rFonts w:ascii="Cambria Math" w:hAnsi="Cambria Math" w:cs="Arial"/>
              <w:sz w:val="24"/>
              <w:szCs w:val="24"/>
              <w:lang w:val="es-ES"/>
            </w:rPr>
            <m:t>-</m:t>
          </m:r>
          <m:sSub>
            <m:sSubPr>
              <m:ctrlPr>
                <w:rPr>
                  <w:rFonts w:ascii="Cambria Math" w:hAnsi="Cambria Math" w:cs="Arial"/>
                  <w:i/>
                  <w:sz w:val="24"/>
                  <w:szCs w:val="24"/>
                  <w:lang w:val="es-ES"/>
                </w:rPr>
              </m:ctrlPr>
            </m:sSubPr>
            <m:e>
              <m:r>
                <w:rPr>
                  <w:rFonts w:ascii="Cambria Math" w:hAnsi="Cambria Math" w:cs="Arial"/>
                  <w:sz w:val="24"/>
                  <w:szCs w:val="24"/>
                  <w:lang w:val="es-ES"/>
                </w:rPr>
                <m:t>R</m:t>
              </m:r>
            </m:e>
            <m:sub>
              <m:r>
                <w:rPr>
                  <w:rFonts w:ascii="Cambria Math" w:hAnsi="Cambria Math" w:cs="Arial"/>
                  <w:sz w:val="24"/>
                  <w:szCs w:val="24"/>
                  <w:lang w:val="es-ES"/>
                </w:rPr>
                <m:t>f</m:t>
              </m:r>
            </m:sub>
          </m:sSub>
          <m:d>
            <m:dPr>
              <m:ctrlPr>
                <w:rPr>
                  <w:rFonts w:ascii="Cambria Math" w:hAnsi="Cambria Math" w:cs="Arial"/>
                  <w:i/>
                  <w:sz w:val="24"/>
                  <w:szCs w:val="24"/>
                  <w:lang w:val="es-ES"/>
                </w:rPr>
              </m:ctrlPr>
            </m:dPr>
            <m:e>
              <m:r>
                <w:rPr>
                  <w:rFonts w:ascii="Cambria Math" w:hAnsi="Cambria Math" w:cs="Arial"/>
                  <w:sz w:val="24"/>
                  <w:szCs w:val="24"/>
                  <w:lang w:val="es-ES"/>
                </w:rPr>
                <m:t>EEUU</m:t>
              </m:r>
            </m:e>
          </m:d>
          <m:r>
            <w:rPr>
              <w:rFonts w:ascii="Cambria Math" w:hAnsi="Cambria Math" w:cs="Arial"/>
              <w:sz w:val="24"/>
              <w:szCs w:val="24"/>
              <w:lang w:val="es-ES"/>
            </w:rPr>
            <m:t>-</m:t>
          </m:r>
          <m:r>
            <w:rPr>
              <w:rFonts w:ascii="Cambria Math" w:hAnsi="Cambria Math" w:cs="Arial"/>
              <w:sz w:val="24"/>
              <w:szCs w:val="24"/>
              <w:lang w:val="es-ES"/>
            </w:rPr>
            <m:t>CRP</m:t>
          </m:r>
        </m:oMath>
      </m:oMathPara>
    </w:p>
    <w:p w14:paraId="2A8CE569" w14:textId="77777777" w:rsidR="007D6E3B" w:rsidRPr="00D47BB9" w:rsidRDefault="007D6E3B" w:rsidP="0014780A">
      <w:pPr>
        <w:spacing w:after="0"/>
        <w:rPr>
          <w:rFonts w:ascii="Arial" w:eastAsiaTheme="minorEastAsia" w:hAnsi="Arial" w:cs="Arial"/>
          <w:sz w:val="24"/>
          <w:szCs w:val="24"/>
          <w:lang w:val="es-ES"/>
        </w:rPr>
      </w:pPr>
    </w:p>
    <w:p w14:paraId="0DA8ECD4" w14:textId="77777777" w:rsidR="00E93B22" w:rsidRPr="00D47BB9" w:rsidRDefault="00E93B22" w:rsidP="0014780A">
      <w:pPr>
        <w:spacing w:after="0"/>
        <w:rPr>
          <w:rFonts w:ascii="Arial" w:hAnsi="Arial" w:cs="Arial"/>
          <w:lang w:val="es-ES"/>
        </w:rPr>
      </w:pPr>
      <w:r w:rsidRPr="00D47BB9">
        <w:rPr>
          <w:rFonts w:ascii="Arial" w:eastAsiaTheme="minorEastAsia" w:hAnsi="Arial" w:cs="Arial"/>
          <w:lang w:val="es-ES"/>
        </w:rPr>
        <w:t>Donde:</w:t>
      </w:r>
    </w:p>
    <w:p w14:paraId="249249B3" w14:textId="2FBDA367" w:rsidR="00E93B22" w:rsidRPr="00D47BB9" w:rsidRDefault="003119E0" w:rsidP="0014780A">
      <w:pPr>
        <w:pStyle w:val="ListBulletCompact"/>
        <w:numPr>
          <w:ilvl w:val="0"/>
          <w:numId w:val="4"/>
        </w:numPr>
        <w:tabs>
          <w:tab w:val="clear" w:pos="360"/>
        </w:tabs>
        <w:spacing w:line="276" w:lineRule="auto"/>
        <w:ind w:left="357" w:hanging="357"/>
        <w:contextualSpacing/>
        <w:rPr>
          <w:rFonts w:ascii="Arial" w:hAnsi="Arial" w:cs="Arial"/>
        </w:rPr>
      </w:pPr>
      <m:oMath>
        <m:sSub>
          <m:sSubPr>
            <m:ctrlPr>
              <w:rPr>
                <w:rFonts w:ascii="Cambria Math" w:hAnsi="Cambria Math" w:cs="Arial"/>
                <w:i/>
              </w:rPr>
            </m:ctrlPr>
          </m:sSubPr>
          <m:e>
            <m:r>
              <w:rPr>
                <w:rFonts w:ascii="Cambria Math" w:hAnsi="Cambria Math" w:cs="Arial"/>
              </w:rPr>
              <m:t>R</m:t>
            </m:r>
          </m:e>
          <m:sub>
            <m:r>
              <w:rPr>
                <w:rFonts w:ascii="Cambria Math" w:hAnsi="Cambria Math" w:cs="Arial"/>
              </w:rPr>
              <m:t>d</m:t>
            </m:r>
          </m:sub>
        </m:sSub>
      </m:oMath>
      <w:r w:rsidR="00E93B22" w:rsidRPr="00D47BB9">
        <w:rPr>
          <w:rFonts w:ascii="Arial" w:eastAsiaTheme="minorEastAsia" w:hAnsi="Arial" w:cs="Arial"/>
        </w:rPr>
        <w:t xml:space="preserve"> </w:t>
      </w:r>
      <w:r w:rsidR="00E93B22" w:rsidRPr="00D47BB9">
        <w:rPr>
          <w:rFonts w:ascii="Arial" w:hAnsi="Arial" w:cs="Arial"/>
        </w:rPr>
        <w:t>es la prima de deuda asociada al bono</w:t>
      </w:r>
      <w:r w:rsidR="0089175E">
        <w:rPr>
          <w:rFonts w:ascii="Arial" w:hAnsi="Arial" w:cs="Arial"/>
        </w:rPr>
        <w:t>.</w:t>
      </w:r>
    </w:p>
    <w:p w14:paraId="1B2212D9" w14:textId="193267E8" w:rsidR="00E93B22" w:rsidRPr="00D47BB9" w:rsidRDefault="003119E0" w:rsidP="0014780A">
      <w:pPr>
        <w:pStyle w:val="ListBulletCompact"/>
        <w:numPr>
          <w:ilvl w:val="0"/>
          <w:numId w:val="4"/>
        </w:numPr>
        <w:tabs>
          <w:tab w:val="clear" w:pos="360"/>
        </w:tabs>
        <w:spacing w:line="276" w:lineRule="auto"/>
        <w:ind w:left="357" w:hanging="357"/>
        <w:contextualSpacing/>
        <w:rPr>
          <w:rFonts w:ascii="Arial" w:hAnsi="Arial" w:cs="Arial"/>
        </w:rPr>
      </w:pPr>
      <m:oMath>
        <m:sSub>
          <m:sSubPr>
            <m:ctrlPr>
              <w:rPr>
                <w:rFonts w:ascii="Cambria Math" w:hAnsi="Cambria Math" w:cs="Arial"/>
                <w:i/>
              </w:rPr>
            </m:ctrlPr>
          </m:sSubPr>
          <m:e>
            <m:r>
              <w:rPr>
                <w:rFonts w:ascii="Cambria Math" w:hAnsi="Cambria Math" w:cs="Arial"/>
              </w:rPr>
              <m:t>C</m:t>
            </m:r>
          </m:e>
          <m:sub>
            <m:r>
              <w:rPr>
                <w:rFonts w:ascii="Cambria Math" w:hAnsi="Cambria Math" w:cs="Arial"/>
              </w:rPr>
              <m:t>b</m:t>
            </m:r>
          </m:sub>
        </m:sSub>
        <m:r>
          <w:rPr>
            <w:rFonts w:ascii="Cambria Math" w:hAnsi="Cambria Math" w:cs="Arial"/>
          </w:rPr>
          <m:t xml:space="preserve"> </m:t>
        </m:r>
      </m:oMath>
      <w:r w:rsidR="00E93B22" w:rsidRPr="00D47BB9">
        <w:rPr>
          <w:rFonts w:ascii="Arial" w:hAnsi="Arial" w:cs="Arial"/>
        </w:rPr>
        <w:t>es el cupón asociado al bono corporativo emitido por la empresa</w:t>
      </w:r>
      <w:r w:rsidR="0089175E">
        <w:rPr>
          <w:rFonts w:ascii="Arial" w:hAnsi="Arial" w:cs="Arial"/>
        </w:rPr>
        <w:t>.</w:t>
      </w:r>
    </w:p>
    <w:p w14:paraId="0539D8DD" w14:textId="3DC8FFAE" w:rsidR="00E93B22" w:rsidRPr="00D47BB9" w:rsidRDefault="003119E0" w:rsidP="0014780A">
      <w:pPr>
        <w:pStyle w:val="ListBulletCompact"/>
        <w:numPr>
          <w:ilvl w:val="0"/>
          <w:numId w:val="4"/>
        </w:numPr>
        <w:tabs>
          <w:tab w:val="clear" w:pos="360"/>
        </w:tabs>
        <w:spacing w:line="276" w:lineRule="auto"/>
        <w:ind w:left="357" w:hanging="357"/>
        <w:contextualSpacing/>
        <w:rPr>
          <w:rFonts w:ascii="Arial" w:hAnsi="Arial" w:cs="Arial"/>
        </w:rPr>
      </w:pPr>
      <m:oMath>
        <m:sSub>
          <m:sSubPr>
            <m:ctrlPr>
              <w:rPr>
                <w:rFonts w:ascii="Cambria Math" w:hAnsi="Cambria Math" w:cs="Arial"/>
                <w:i/>
              </w:rPr>
            </m:ctrlPr>
          </m:sSubPr>
          <m:e>
            <m:r>
              <w:rPr>
                <w:rFonts w:ascii="Cambria Math" w:hAnsi="Cambria Math" w:cs="Arial"/>
              </w:rPr>
              <m:t>R</m:t>
            </m:r>
          </m:e>
          <m:sub>
            <m:r>
              <w:rPr>
                <w:rFonts w:ascii="Cambria Math" w:hAnsi="Cambria Math" w:cs="Arial"/>
              </w:rPr>
              <m:t>f</m:t>
            </m:r>
          </m:sub>
        </m:sSub>
        <m:r>
          <w:rPr>
            <w:rFonts w:ascii="Cambria Math" w:hAnsi="Cambria Math" w:cs="Arial"/>
          </w:rPr>
          <m:t>(</m:t>
        </m:r>
        <m:r>
          <w:rPr>
            <w:rFonts w:ascii="Cambria Math" w:hAnsi="Cambria Math" w:cs="Arial"/>
          </w:rPr>
          <m:t>EEUU</m:t>
        </m:r>
        <m:r>
          <w:rPr>
            <w:rFonts w:ascii="Cambria Math" w:hAnsi="Cambria Math" w:cs="Arial"/>
          </w:rPr>
          <m:t>)</m:t>
        </m:r>
      </m:oMath>
      <w:r w:rsidR="00E93B22" w:rsidRPr="00D47BB9">
        <w:rPr>
          <w:rFonts w:ascii="Arial" w:hAnsi="Arial" w:cs="Arial"/>
        </w:rPr>
        <w:t xml:space="preserve"> es el retorno de un bono emitido por el gobierno de Estados Unidos y de una duración comparable, en el momento de la emisión del bono corporativo</w:t>
      </w:r>
      <w:r w:rsidR="0089175E">
        <w:rPr>
          <w:rFonts w:ascii="Arial" w:hAnsi="Arial" w:cs="Arial"/>
        </w:rPr>
        <w:t>.</w:t>
      </w:r>
    </w:p>
    <w:p w14:paraId="17415B72" w14:textId="77777777" w:rsidR="00E93B22" w:rsidRPr="00D47BB9" w:rsidRDefault="00E93B22" w:rsidP="0014780A">
      <w:pPr>
        <w:pStyle w:val="ListBulletCompact"/>
        <w:numPr>
          <w:ilvl w:val="0"/>
          <w:numId w:val="4"/>
        </w:numPr>
        <w:tabs>
          <w:tab w:val="clear" w:pos="360"/>
        </w:tabs>
        <w:spacing w:line="276" w:lineRule="auto"/>
        <w:ind w:left="357" w:hanging="357"/>
        <w:contextualSpacing/>
        <w:rPr>
          <w:rFonts w:ascii="Arial" w:hAnsi="Arial" w:cs="Arial"/>
        </w:rPr>
      </w:pPr>
      <m:oMath>
        <m:r>
          <w:rPr>
            <w:rFonts w:ascii="Cambria Math" w:hAnsi="Cambria Math" w:cs="Arial"/>
          </w:rPr>
          <m:t>CRP</m:t>
        </m:r>
      </m:oMath>
      <w:r w:rsidRPr="00D47BB9">
        <w:rPr>
          <w:rFonts w:ascii="Arial" w:eastAsiaTheme="minorEastAsia" w:hAnsi="Arial" w:cs="Arial"/>
        </w:rPr>
        <w:t xml:space="preserve"> </w:t>
      </w:r>
      <w:r w:rsidRPr="00D47BB9">
        <w:rPr>
          <w:rFonts w:ascii="Arial" w:hAnsi="Arial" w:cs="Arial"/>
        </w:rPr>
        <w:t>es la prima de riesgo asociada a México en el momento de emisión del bono corporativo.</w:t>
      </w:r>
    </w:p>
    <w:p w14:paraId="712D208C" w14:textId="77777777" w:rsidR="00505208" w:rsidRDefault="00505208" w:rsidP="0014780A">
      <w:pPr>
        <w:spacing w:after="0"/>
        <w:jc w:val="both"/>
        <w:rPr>
          <w:rFonts w:ascii="Arial" w:hAnsi="Arial" w:cs="Arial"/>
          <w:spacing w:val="-4"/>
        </w:rPr>
      </w:pPr>
    </w:p>
    <w:p w14:paraId="2078BECE" w14:textId="77777777" w:rsidR="00505208" w:rsidRPr="00657BA6" w:rsidRDefault="00505208" w:rsidP="0014780A">
      <w:pPr>
        <w:spacing w:after="0"/>
        <w:rPr>
          <w:rFonts w:ascii="Arial" w:hAnsi="Arial" w:cs="Arial"/>
          <w:b/>
        </w:rPr>
      </w:pPr>
      <w:r w:rsidRPr="00657BA6">
        <w:rPr>
          <w:rFonts w:ascii="Arial" w:hAnsi="Arial" w:cs="Arial"/>
          <w:b/>
        </w:rPr>
        <w:t>Costo de la deuda</w:t>
      </w:r>
    </w:p>
    <w:p w14:paraId="203D788D" w14:textId="77777777" w:rsidR="00505208" w:rsidRDefault="00505208" w:rsidP="0014780A">
      <w:pPr>
        <w:spacing w:after="0"/>
        <w:jc w:val="both"/>
        <w:rPr>
          <w:rFonts w:ascii="Arial" w:hAnsi="Arial" w:cs="Arial"/>
          <w:spacing w:val="-4"/>
        </w:rPr>
      </w:pPr>
    </w:p>
    <w:p w14:paraId="13B62F32" w14:textId="58CB7ACD" w:rsidR="00505208" w:rsidRDefault="00505208">
      <w:pPr>
        <w:spacing w:after="0"/>
        <w:jc w:val="both"/>
        <w:rPr>
          <w:rFonts w:ascii="Arial" w:hAnsi="Arial" w:cs="Arial"/>
          <w:lang w:val="es-ES"/>
        </w:rPr>
      </w:pPr>
      <w:r w:rsidRPr="00D47BB9">
        <w:rPr>
          <w:rFonts w:ascii="Arial" w:hAnsi="Arial" w:cs="Arial"/>
          <w:lang w:val="es-ES"/>
        </w:rPr>
        <w:lastRenderedPageBreak/>
        <w:t>Con respecto a las tasas de inflación a emplear, la práctica internacional recomienda el uso de perspectivas a largo plazo (por ejemplo, 10 años). Dicha duración permite asegurar el alineamiento de este parámetro con la definición del resto de parámetros involucrados en el cálculo del CCPP (como, por ejemplo, la tasa de retorno libre de riesgo). Para esta estimación, se emplearán, como fuente inicial, las perspectivas de inflación oficiales para el periodo que se encuentren disponibles en el momento de la estimación del CCPP, y se complementarán los años para los cuales no se disponga de una perspectiva de inflación a través de los objetivos de inflación propuestos por las fuentes oficiales. En concreto, se hará uso de datos publicados por el Banco de México para México y de datos reportados por la Reserva Federal en el caso de Estados Unidos</w:t>
      </w:r>
      <w:r w:rsidR="00246A88">
        <w:rPr>
          <w:rFonts w:ascii="Arial" w:hAnsi="Arial" w:cs="Arial"/>
          <w:lang w:val="es-ES"/>
        </w:rPr>
        <w:t>.</w:t>
      </w:r>
    </w:p>
    <w:p w14:paraId="1744BF5B" w14:textId="77777777" w:rsidR="00A13774" w:rsidRDefault="00A13774">
      <w:pPr>
        <w:spacing w:after="0"/>
        <w:jc w:val="both"/>
        <w:rPr>
          <w:rFonts w:ascii="Arial" w:hAnsi="Arial" w:cs="Arial"/>
          <w:lang w:val="es-ES"/>
        </w:rPr>
      </w:pPr>
    </w:p>
    <w:p w14:paraId="17C87AB7" w14:textId="54A53787" w:rsidR="00A13774" w:rsidRPr="00D47BB9" w:rsidRDefault="00A13774" w:rsidP="00D47BB9">
      <w:pPr>
        <w:spacing w:after="0"/>
        <w:jc w:val="both"/>
        <w:rPr>
          <w:rFonts w:ascii="Arial" w:hAnsi="Arial" w:cs="Arial"/>
          <w:lang w:val="es-ES"/>
        </w:rPr>
      </w:pPr>
      <w:r>
        <w:rPr>
          <w:rFonts w:ascii="Arial" w:hAnsi="Arial" w:cs="Arial"/>
          <w:lang w:val="es-ES"/>
        </w:rPr>
        <w:t>En suma</w:t>
      </w:r>
      <w:r w:rsidR="00E84FF2">
        <w:rPr>
          <w:rFonts w:ascii="Arial" w:hAnsi="Arial" w:cs="Arial"/>
          <w:lang w:val="es-ES"/>
        </w:rPr>
        <w:t>,</w:t>
      </w:r>
      <w:r>
        <w:rPr>
          <w:rFonts w:ascii="Arial" w:hAnsi="Arial" w:cs="Arial"/>
          <w:lang w:val="es-ES"/>
        </w:rPr>
        <w:t xml:space="preserve"> se calculan dos CCPP</w:t>
      </w:r>
      <w:r w:rsidR="00E84FF2">
        <w:rPr>
          <w:rFonts w:ascii="Arial" w:hAnsi="Arial" w:cs="Arial"/>
          <w:lang w:val="es-ES"/>
        </w:rPr>
        <w:t xml:space="preserve"> para los</w:t>
      </w:r>
      <w:r>
        <w:rPr>
          <w:rFonts w:ascii="Arial" w:hAnsi="Arial" w:cs="Arial"/>
          <w:lang w:val="es-ES"/>
        </w:rPr>
        <w:t xml:space="preserve"> sectores fijo y móvil del entorno mexicano respectivamente, buscando que estos </w:t>
      </w:r>
      <w:r w:rsidR="00E84FF2">
        <w:rPr>
          <w:rFonts w:ascii="Arial" w:hAnsi="Arial" w:cs="Arial"/>
          <w:lang w:val="es-ES"/>
        </w:rPr>
        <w:t>sean representativos a nivel industrial y por tanto aplicables cualquier operador modelado sin importar el modelo o la metodología aplicable a estos. Bajo estas condiciones se obtienen los siguientes resultados:</w:t>
      </w:r>
    </w:p>
    <w:p w14:paraId="43239229" w14:textId="77777777" w:rsidR="00505208" w:rsidRPr="00657BA6" w:rsidRDefault="00505208" w:rsidP="00D47BB9">
      <w:pPr>
        <w:spacing w:after="0"/>
        <w:rPr>
          <w:rFonts w:ascii="Arial" w:hAnsi="Arial" w:cs="Arial"/>
          <w:spacing w:val="-4"/>
        </w:rPr>
      </w:pPr>
    </w:p>
    <w:tbl>
      <w:tblPr>
        <w:tblStyle w:val="Tablaconcuadrcula5oscura"/>
        <w:tblW w:w="8788" w:type="dxa"/>
        <w:jc w:val="center"/>
        <w:tblLook w:val="0620" w:firstRow="1" w:lastRow="0" w:firstColumn="0" w:lastColumn="0" w:noHBand="1" w:noVBand="1"/>
      </w:tblPr>
      <w:tblGrid>
        <w:gridCol w:w="4252"/>
        <w:gridCol w:w="2268"/>
        <w:gridCol w:w="2268"/>
      </w:tblGrid>
      <w:tr w:rsidR="00044C2A" w:rsidRPr="00044C2A" w14:paraId="1ACE4642" w14:textId="77777777" w:rsidTr="00044C2A">
        <w:trPr>
          <w:cnfStyle w:val="100000000000" w:firstRow="1" w:lastRow="0" w:firstColumn="0" w:lastColumn="0" w:oddVBand="0" w:evenVBand="0" w:oddHBand="0" w:evenHBand="0" w:firstRowFirstColumn="0" w:firstRowLastColumn="0" w:lastRowFirstColumn="0" w:lastRowLastColumn="0"/>
          <w:jc w:val="center"/>
        </w:trPr>
        <w:tc>
          <w:tcPr>
            <w:tcW w:w="4252" w:type="dxa"/>
            <w:shd w:val="clear" w:color="auto" w:fill="A6A6A6" w:themeFill="background1" w:themeFillShade="A6"/>
          </w:tcPr>
          <w:p w14:paraId="5E5F44FC" w14:textId="77777777" w:rsidR="00044C2A" w:rsidRPr="00044C2A" w:rsidRDefault="00044C2A" w:rsidP="0014780A">
            <w:pPr>
              <w:pStyle w:val="Tableheading"/>
              <w:spacing w:before="0" w:after="0" w:line="276" w:lineRule="auto"/>
              <w:rPr>
                <w:rFonts w:cs="Arial"/>
                <w:b/>
                <w:color w:val="auto"/>
                <w:szCs w:val="20"/>
                <w:lang w:val="es-ES"/>
              </w:rPr>
            </w:pPr>
            <w:r w:rsidRPr="00044C2A">
              <w:rPr>
                <w:rFonts w:cs="Arial"/>
                <w:b/>
                <w:color w:val="auto"/>
                <w:szCs w:val="20"/>
                <w:lang w:val="es-ES"/>
              </w:rPr>
              <w:t>Parámetro</w:t>
            </w:r>
          </w:p>
        </w:tc>
        <w:tc>
          <w:tcPr>
            <w:tcW w:w="2268" w:type="dxa"/>
            <w:shd w:val="clear" w:color="auto" w:fill="A6A6A6" w:themeFill="background1" w:themeFillShade="A6"/>
          </w:tcPr>
          <w:p w14:paraId="07E6530A" w14:textId="77777777" w:rsidR="00044C2A" w:rsidRPr="00044C2A" w:rsidRDefault="00044C2A" w:rsidP="0014780A">
            <w:pPr>
              <w:pStyle w:val="Tableheading"/>
              <w:spacing w:before="0" w:after="0" w:line="276" w:lineRule="auto"/>
              <w:jc w:val="center"/>
              <w:rPr>
                <w:rFonts w:cs="Arial"/>
                <w:b/>
                <w:color w:val="auto"/>
                <w:szCs w:val="20"/>
                <w:lang w:val="es-ES"/>
              </w:rPr>
            </w:pPr>
            <w:r w:rsidRPr="00044C2A">
              <w:rPr>
                <w:rFonts w:cs="Arial"/>
                <w:b/>
                <w:color w:val="auto"/>
                <w:szCs w:val="20"/>
                <w:lang w:val="es-ES"/>
              </w:rPr>
              <w:t>CCPP de redes móviles</w:t>
            </w:r>
          </w:p>
        </w:tc>
        <w:tc>
          <w:tcPr>
            <w:tcW w:w="2268" w:type="dxa"/>
            <w:shd w:val="clear" w:color="auto" w:fill="A6A6A6" w:themeFill="background1" w:themeFillShade="A6"/>
          </w:tcPr>
          <w:p w14:paraId="2A0C51CB" w14:textId="77777777" w:rsidR="00044C2A" w:rsidRPr="00044C2A" w:rsidRDefault="00044C2A" w:rsidP="0014780A">
            <w:pPr>
              <w:pStyle w:val="Tableheading"/>
              <w:spacing w:before="0" w:after="0" w:line="276" w:lineRule="auto"/>
              <w:jc w:val="center"/>
              <w:rPr>
                <w:rFonts w:cs="Arial"/>
                <w:b/>
                <w:color w:val="auto"/>
                <w:szCs w:val="20"/>
                <w:lang w:val="es-ES"/>
              </w:rPr>
            </w:pPr>
            <w:r w:rsidRPr="00044C2A">
              <w:rPr>
                <w:rFonts w:cs="Arial"/>
                <w:b/>
                <w:color w:val="auto"/>
                <w:szCs w:val="20"/>
                <w:lang w:val="es-ES"/>
              </w:rPr>
              <w:t>CCPP de redes fijas</w:t>
            </w:r>
          </w:p>
        </w:tc>
      </w:tr>
      <w:tr w:rsidR="00044C2A" w:rsidRPr="00044C2A" w14:paraId="53ABCE42" w14:textId="77777777" w:rsidTr="00D47BB9">
        <w:trPr>
          <w:jc w:val="center"/>
        </w:trPr>
        <w:tc>
          <w:tcPr>
            <w:tcW w:w="0" w:type="dxa"/>
          </w:tcPr>
          <w:p w14:paraId="6E6A0EFE" w14:textId="77777777" w:rsidR="00044C2A" w:rsidRPr="00044C2A" w:rsidRDefault="00044C2A" w:rsidP="0014780A">
            <w:pPr>
              <w:pStyle w:val="Tablecells"/>
              <w:spacing w:before="0" w:after="0" w:line="276" w:lineRule="auto"/>
              <w:rPr>
                <w:rFonts w:cs="Arial"/>
                <w:b/>
                <w:bCs/>
                <w:szCs w:val="20"/>
                <w:lang w:val="es-ES"/>
              </w:rPr>
            </w:pPr>
            <w:r w:rsidRPr="00044C2A">
              <w:rPr>
                <w:rFonts w:cs="Arial"/>
                <w:b/>
                <w:bCs/>
                <w:szCs w:val="20"/>
                <w:lang w:val="es-ES"/>
              </w:rPr>
              <w:t>Costo de capital (equity)</w:t>
            </w:r>
          </w:p>
        </w:tc>
        <w:tc>
          <w:tcPr>
            <w:tcW w:w="0" w:type="dxa"/>
          </w:tcPr>
          <w:p w14:paraId="75CE17A3" w14:textId="77777777" w:rsidR="00044C2A" w:rsidRPr="00044C2A" w:rsidRDefault="00044C2A" w:rsidP="0014780A">
            <w:pPr>
              <w:pStyle w:val="Tablecells"/>
              <w:spacing w:before="0" w:after="0" w:line="276" w:lineRule="auto"/>
              <w:jc w:val="right"/>
              <w:rPr>
                <w:rFonts w:cs="Arial"/>
                <w:b/>
                <w:bCs/>
                <w:szCs w:val="20"/>
                <w:lang w:val="es-ES"/>
              </w:rPr>
            </w:pPr>
            <w:r w:rsidRPr="00044C2A">
              <w:rPr>
                <w:rFonts w:cs="Arial"/>
                <w:b/>
                <w:bCs/>
                <w:szCs w:val="20"/>
              </w:rPr>
              <w:t>9.33%</w:t>
            </w:r>
          </w:p>
        </w:tc>
        <w:tc>
          <w:tcPr>
            <w:tcW w:w="0" w:type="dxa"/>
          </w:tcPr>
          <w:p w14:paraId="7E6DC1AC" w14:textId="77777777" w:rsidR="00044C2A" w:rsidRPr="00044C2A" w:rsidRDefault="00044C2A" w:rsidP="0014780A">
            <w:pPr>
              <w:pStyle w:val="Tablecells"/>
              <w:spacing w:before="0" w:after="0" w:line="276" w:lineRule="auto"/>
              <w:jc w:val="right"/>
              <w:rPr>
                <w:rFonts w:cs="Arial"/>
                <w:b/>
                <w:bCs/>
                <w:szCs w:val="20"/>
                <w:lang w:val="es-ES"/>
              </w:rPr>
            </w:pPr>
            <w:r w:rsidRPr="00044C2A">
              <w:rPr>
                <w:rFonts w:cs="Arial"/>
                <w:b/>
                <w:bCs/>
                <w:szCs w:val="20"/>
              </w:rPr>
              <w:t>9.02%</w:t>
            </w:r>
          </w:p>
        </w:tc>
      </w:tr>
      <w:tr w:rsidR="00044C2A" w:rsidRPr="00044C2A" w14:paraId="01E0C190" w14:textId="77777777" w:rsidTr="00D47BB9">
        <w:trPr>
          <w:jc w:val="center"/>
        </w:trPr>
        <w:tc>
          <w:tcPr>
            <w:tcW w:w="0" w:type="dxa"/>
          </w:tcPr>
          <w:p w14:paraId="01148DAD" w14:textId="77777777" w:rsidR="00044C2A" w:rsidRPr="00044C2A" w:rsidRDefault="00044C2A" w:rsidP="0014780A">
            <w:pPr>
              <w:pStyle w:val="Tablecells"/>
              <w:spacing w:before="0" w:after="0" w:line="276" w:lineRule="auto"/>
              <w:rPr>
                <w:rFonts w:cs="Arial"/>
                <w:szCs w:val="20"/>
                <w:lang w:val="es-ES"/>
              </w:rPr>
            </w:pPr>
            <w:r w:rsidRPr="00044C2A">
              <w:rPr>
                <w:rFonts w:cs="Arial"/>
                <w:szCs w:val="20"/>
                <w:lang w:val="es-ES"/>
              </w:rPr>
              <w:t xml:space="preserve">     Tasa libre de riesgo en México</w:t>
            </w:r>
          </w:p>
        </w:tc>
        <w:tc>
          <w:tcPr>
            <w:tcW w:w="0" w:type="dxa"/>
          </w:tcPr>
          <w:p w14:paraId="0C8BD535"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szCs w:val="20"/>
              </w:rPr>
              <w:t>3.56%</w:t>
            </w:r>
          </w:p>
        </w:tc>
        <w:tc>
          <w:tcPr>
            <w:tcW w:w="0" w:type="dxa"/>
          </w:tcPr>
          <w:p w14:paraId="6B7EFDF0"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szCs w:val="20"/>
              </w:rPr>
              <w:t>3.56%</w:t>
            </w:r>
          </w:p>
        </w:tc>
      </w:tr>
      <w:tr w:rsidR="00044C2A" w:rsidRPr="00044C2A" w14:paraId="5F422C8B" w14:textId="77777777" w:rsidTr="00D47BB9">
        <w:trPr>
          <w:jc w:val="center"/>
        </w:trPr>
        <w:tc>
          <w:tcPr>
            <w:tcW w:w="0" w:type="dxa"/>
          </w:tcPr>
          <w:p w14:paraId="266E5342" w14:textId="318F586C" w:rsidR="00044C2A" w:rsidRPr="00044C2A" w:rsidRDefault="00044C2A" w:rsidP="0014780A">
            <w:pPr>
              <w:pStyle w:val="Tablecells"/>
              <w:spacing w:before="0" w:after="0" w:line="276" w:lineRule="auto"/>
              <w:rPr>
                <w:rFonts w:cs="Arial"/>
                <w:szCs w:val="20"/>
                <w:lang w:val="es-ES"/>
              </w:rPr>
            </w:pPr>
            <w:r w:rsidRPr="00044C2A">
              <w:rPr>
                <w:rFonts w:cs="Arial"/>
                <w:szCs w:val="20"/>
                <w:lang w:val="es-ES"/>
              </w:rPr>
              <w:t xml:space="preserve">          Tasa libre de riesgo en </w:t>
            </w:r>
            <w:r w:rsidR="007F309D" w:rsidRPr="00044C2A">
              <w:rPr>
                <w:rFonts w:cs="Arial"/>
                <w:szCs w:val="20"/>
                <w:lang w:val="es-ES"/>
              </w:rPr>
              <w:t>EE. UU.</w:t>
            </w:r>
          </w:p>
        </w:tc>
        <w:tc>
          <w:tcPr>
            <w:tcW w:w="0" w:type="dxa"/>
          </w:tcPr>
          <w:p w14:paraId="717CC951"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szCs w:val="20"/>
              </w:rPr>
              <w:t>2.07%</w:t>
            </w:r>
          </w:p>
        </w:tc>
        <w:tc>
          <w:tcPr>
            <w:tcW w:w="0" w:type="dxa"/>
          </w:tcPr>
          <w:p w14:paraId="5B441E10"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szCs w:val="20"/>
              </w:rPr>
              <w:t>2.07%</w:t>
            </w:r>
          </w:p>
        </w:tc>
      </w:tr>
      <w:tr w:rsidR="00044C2A" w:rsidRPr="00044C2A" w14:paraId="14A8A2FD" w14:textId="77777777" w:rsidTr="00D47BB9">
        <w:trPr>
          <w:jc w:val="center"/>
        </w:trPr>
        <w:tc>
          <w:tcPr>
            <w:tcW w:w="0" w:type="dxa"/>
          </w:tcPr>
          <w:p w14:paraId="08B3BD72" w14:textId="77777777" w:rsidR="00044C2A" w:rsidRPr="00044C2A" w:rsidRDefault="00044C2A" w:rsidP="0014780A">
            <w:pPr>
              <w:pStyle w:val="Tablecells"/>
              <w:spacing w:before="0" w:after="0" w:line="276" w:lineRule="auto"/>
              <w:rPr>
                <w:rFonts w:cs="Arial"/>
                <w:szCs w:val="20"/>
                <w:lang w:val="es-ES"/>
              </w:rPr>
            </w:pPr>
            <w:r w:rsidRPr="00044C2A">
              <w:rPr>
                <w:rFonts w:cs="Arial"/>
                <w:szCs w:val="20"/>
                <w:lang w:val="es-ES"/>
              </w:rPr>
              <w:t xml:space="preserve">          Prima de riesgo país para México</w:t>
            </w:r>
          </w:p>
        </w:tc>
        <w:tc>
          <w:tcPr>
            <w:tcW w:w="0" w:type="dxa"/>
          </w:tcPr>
          <w:p w14:paraId="727775EF"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szCs w:val="20"/>
              </w:rPr>
              <w:t>1.49%</w:t>
            </w:r>
          </w:p>
        </w:tc>
        <w:tc>
          <w:tcPr>
            <w:tcW w:w="0" w:type="dxa"/>
          </w:tcPr>
          <w:p w14:paraId="6BF44284"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szCs w:val="20"/>
              </w:rPr>
              <w:t>1.49%</w:t>
            </w:r>
          </w:p>
        </w:tc>
      </w:tr>
      <w:tr w:rsidR="00044C2A" w:rsidRPr="00044C2A" w14:paraId="3B27400E" w14:textId="77777777" w:rsidTr="00D47BB9">
        <w:trPr>
          <w:jc w:val="center"/>
        </w:trPr>
        <w:tc>
          <w:tcPr>
            <w:tcW w:w="0" w:type="dxa"/>
          </w:tcPr>
          <w:p w14:paraId="24818014" w14:textId="77777777" w:rsidR="00044C2A" w:rsidRPr="00044C2A" w:rsidRDefault="00044C2A" w:rsidP="0014780A">
            <w:pPr>
              <w:pStyle w:val="Tablecells"/>
              <w:spacing w:before="0" w:after="0" w:line="276" w:lineRule="auto"/>
              <w:rPr>
                <w:rFonts w:cs="Arial"/>
                <w:szCs w:val="20"/>
                <w:lang w:val="es-ES"/>
              </w:rPr>
            </w:pPr>
            <w:r w:rsidRPr="00044C2A">
              <w:rPr>
                <w:rFonts w:cs="Arial"/>
                <w:szCs w:val="20"/>
                <w:lang w:val="es-ES"/>
              </w:rPr>
              <w:t xml:space="preserve">     Prima de riesgo de mercado en México</w:t>
            </w:r>
          </w:p>
        </w:tc>
        <w:tc>
          <w:tcPr>
            <w:tcW w:w="0" w:type="dxa"/>
          </w:tcPr>
          <w:p w14:paraId="171B53A3"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szCs w:val="20"/>
              </w:rPr>
              <w:t>8.57%</w:t>
            </w:r>
          </w:p>
        </w:tc>
        <w:tc>
          <w:tcPr>
            <w:tcW w:w="0" w:type="dxa"/>
          </w:tcPr>
          <w:p w14:paraId="0E645BED"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szCs w:val="20"/>
              </w:rPr>
              <w:t>8.57%</w:t>
            </w:r>
          </w:p>
        </w:tc>
      </w:tr>
      <w:tr w:rsidR="00044C2A" w:rsidRPr="00044C2A" w14:paraId="5C06A059" w14:textId="77777777" w:rsidTr="00D47BB9">
        <w:trPr>
          <w:jc w:val="center"/>
        </w:trPr>
        <w:tc>
          <w:tcPr>
            <w:tcW w:w="0" w:type="dxa"/>
          </w:tcPr>
          <w:p w14:paraId="6BD13253" w14:textId="00B472C4" w:rsidR="00044C2A" w:rsidRPr="00044C2A" w:rsidRDefault="00044C2A" w:rsidP="0014780A">
            <w:pPr>
              <w:pStyle w:val="Tablecells"/>
              <w:spacing w:before="0" w:after="0" w:line="276" w:lineRule="auto"/>
              <w:rPr>
                <w:rFonts w:cs="Arial"/>
                <w:szCs w:val="20"/>
                <w:lang w:val="es-ES"/>
              </w:rPr>
            </w:pPr>
            <w:r w:rsidRPr="00044C2A">
              <w:rPr>
                <w:rFonts w:cs="Arial"/>
                <w:szCs w:val="20"/>
                <w:lang w:val="es-ES"/>
              </w:rPr>
              <w:t xml:space="preserve">          Prima de riesgo de mercado en </w:t>
            </w:r>
            <w:r w:rsidR="007F309D" w:rsidRPr="00044C2A">
              <w:rPr>
                <w:rFonts w:cs="Arial"/>
                <w:szCs w:val="20"/>
                <w:lang w:val="es-ES"/>
              </w:rPr>
              <w:t>EE. UU.</w:t>
            </w:r>
          </w:p>
        </w:tc>
        <w:tc>
          <w:tcPr>
            <w:tcW w:w="0" w:type="dxa"/>
          </w:tcPr>
          <w:p w14:paraId="538480CE"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szCs w:val="20"/>
              </w:rPr>
              <w:t>5.21%</w:t>
            </w:r>
          </w:p>
        </w:tc>
        <w:tc>
          <w:tcPr>
            <w:tcW w:w="0" w:type="dxa"/>
          </w:tcPr>
          <w:p w14:paraId="1D4E32FC"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szCs w:val="20"/>
              </w:rPr>
              <w:t>5.21%</w:t>
            </w:r>
          </w:p>
        </w:tc>
      </w:tr>
      <w:tr w:rsidR="00044C2A" w:rsidRPr="00044C2A" w14:paraId="649F9C46" w14:textId="77777777" w:rsidTr="00D47BB9">
        <w:trPr>
          <w:jc w:val="center"/>
        </w:trPr>
        <w:tc>
          <w:tcPr>
            <w:tcW w:w="0" w:type="dxa"/>
          </w:tcPr>
          <w:p w14:paraId="05425605" w14:textId="77777777" w:rsidR="00044C2A" w:rsidRPr="00044C2A" w:rsidRDefault="00044C2A" w:rsidP="0014780A">
            <w:pPr>
              <w:pStyle w:val="Tablecells"/>
              <w:spacing w:before="0" w:after="0" w:line="276" w:lineRule="auto"/>
              <w:rPr>
                <w:rFonts w:cs="Arial"/>
                <w:szCs w:val="20"/>
                <w:lang w:val="es-ES"/>
              </w:rPr>
            </w:pPr>
            <w:r w:rsidRPr="00044C2A">
              <w:rPr>
                <w:rFonts w:cs="Arial"/>
                <w:szCs w:val="20"/>
                <w:lang w:val="es-ES"/>
              </w:rPr>
              <w:t xml:space="preserve">          Factor de volatilidad para México</w:t>
            </w:r>
          </w:p>
        </w:tc>
        <w:tc>
          <w:tcPr>
            <w:tcW w:w="0" w:type="dxa"/>
          </w:tcPr>
          <w:p w14:paraId="5CEAAF91"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szCs w:val="20"/>
              </w:rPr>
              <w:t xml:space="preserve">2.25 </w:t>
            </w:r>
          </w:p>
        </w:tc>
        <w:tc>
          <w:tcPr>
            <w:tcW w:w="0" w:type="dxa"/>
          </w:tcPr>
          <w:p w14:paraId="325E3EE5"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szCs w:val="20"/>
              </w:rPr>
              <w:t xml:space="preserve">2.25 </w:t>
            </w:r>
          </w:p>
        </w:tc>
      </w:tr>
      <w:tr w:rsidR="00044C2A" w:rsidRPr="00044C2A" w14:paraId="3FE50505" w14:textId="77777777" w:rsidTr="00D47BB9">
        <w:trPr>
          <w:jc w:val="center"/>
        </w:trPr>
        <w:tc>
          <w:tcPr>
            <w:tcW w:w="0" w:type="dxa"/>
          </w:tcPr>
          <w:p w14:paraId="5A3B1566" w14:textId="77777777" w:rsidR="00044C2A" w:rsidRPr="00044C2A" w:rsidRDefault="00044C2A" w:rsidP="0014780A">
            <w:pPr>
              <w:pStyle w:val="Tablecells"/>
              <w:spacing w:before="0" w:after="0" w:line="276" w:lineRule="auto"/>
              <w:rPr>
                <w:rFonts w:cs="Arial"/>
                <w:szCs w:val="20"/>
                <w:lang w:val="es-ES"/>
              </w:rPr>
            </w:pPr>
            <w:r w:rsidRPr="00044C2A">
              <w:rPr>
                <w:rFonts w:cs="Arial"/>
                <w:szCs w:val="20"/>
                <w:lang w:val="es-ES"/>
              </w:rPr>
              <w:t xml:space="preserve">          Prima de riesgo país para México</w:t>
            </w:r>
          </w:p>
        </w:tc>
        <w:tc>
          <w:tcPr>
            <w:tcW w:w="0" w:type="dxa"/>
          </w:tcPr>
          <w:p w14:paraId="27B0E071"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szCs w:val="20"/>
              </w:rPr>
              <w:t>1.49%</w:t>
            </w:r>
          </w:p>
        </w:tc>
        <w:tc>
          <w:tcPr>
            <w:tcW w:w="0" w:type="dxa"/>
          </w:tcPr>
          <w:p w14:paraId="479F2897"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szCs w:val="20"/>
              </w:rPr>
              <w:t>1.49%</w:t>
            </w:r>
          </w:p>
        </w:tc>
      </w:tr>
      <w:tr w:rsidR="00044C2A" w:rsidRPr="00044C2A" w14:paraId="1B1B3489" w14:textId="77777777" w:rsidTr="00D47BB9">
        <w:trPr>
          <w:jc w:val="center"/>
        </w:trPr>
        <w:tc>
          <w:tcPr>
            <w:tcW w:w="0" w:type="dxa"/>
          </w:tcPr>
          <w:p w14:paraId="4FFE5453" w14:textId="77777777" w:rsidR="00044C2A" w:rsidRPr="00044C2A" w:rsidRDefault="00044C2A" w:rsidP="0014780A">
            <w:pPr>
              <w:pStyle w:val="Tablecells"/>
              <w:spacing w:before="0" w:after="0" w:line="276" w:lineRule="auto"/>
              <w:rPr>
                <w:rFonts w:cs="Arial"/>
                <w:szCs w:val="20"/>
                <w:lang w:val="es-ES"/>
              </w:rPr>
            </w:pPr>
            <w:r w:rsidRPr="00044C2A">
              <w:rPr>
                <w:rFonts w:cs="Arial"/>
                <w:szCs w:val="20"/>
                <w:lang w:val="es-ES"/>
              </w:rPr>
              <w:t xml:space="preserve">     Beta</w:t>
            </w:r>
          </w:p>
        </w:tc>
        <w:tc>
          <w:tcPr>
            <w:tcW w:w="0" w:type="dxa"/>
          </w:tcPr>
          <w:p w14:paraId="6AF5E73D"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szCs w:val="20"/>
              </w:rPr>
              <w:t xml:space="preserve">0.67 </w:t>
            </w:r>
          </w:p>
        </w:tc>
        <w:tc>
          <w:tcPr>
            <w:tcW w:w="0" w:type="dxa"/>
          </w:tcPr>
          <w:p w14:paraId="76B50F5C"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szCs w:val="20"/>
              </w:rPr>
              <w:t xml:space="preserve">0.64 </w:t>
            </w:r>
          </w:p>
        </w:tc>
      </w:tr>
      <w:tr w:rsidR="00044C2A" w:rsidRPr="00044C2A" w14:paraId="526C616A" w14:textId="77777777" w:rsidTr="00D47BB9">
        <w:trPr>
          <w:jc w:val="center"/>
        </w:trPr>
        <w:tc>
          <w:tcPr>
            <w:tcW w:w="0" w:type="dxa"/>
          </w:tcPr>
          <w:p w14:paraId="7DBB25D6" w14:textId="77777777" w:rsidR="00044C2A" w:rsidRPr="00044C2A" w:rsidRDefault="00044C2A" w:rsidP="0014780A">
            <w:pPr>
              <w:pStyle w:val="Tablecells"/>
              <w:spacing w:before="0" w:after="0" w:line="276" w:lineRule="auto"/>
              <w:rPr>
                <w:rFonts w:cs="Arial"/>
                <w:b/>
                <w:bCs/>
                <w:szCs w:val="20"/>
                <w:lang w:val="es-ES"/>
              </w:rPr>
            </w:pPr>
            <w:r w:rsidRPr="00044C2A">
              <w:rPr>
                <w:rFonts w:cs="Arial"/>
                <w:b/>
                <w:bCs/>
                <w:szCs w:val="20"/>
                <w:lang w:val="es-ES"/>
              </w:rPr>
              <w:t>Costo de deuda</w:t>
            </w:r>
          </w:p>
        </w:tc>
        <w:tc>
          <w:tcPr>
            <w:tcW w:w="0" w:type="dxa"/>
          </w:tcPr>
          <w:p w14:paraId="0FA77A2E" w14:textId="77777777" w:rsidR="00044C2A" w:rsidRPr="00044C2A" w:rsidRDefault="00044C2A" w:rsidP="0014780A">
            <w:pPr>
              <w:pStyle w:val="Tablecells"/>
              <w:spacing w:before="0" w:after="0" w:line="276" w:lineRule="auto"/>
              <w:jc w:val="right"/>
              <w:rPr>
                <w:rFonts w:cs="Arial"/>
                <w:b/>
                <w:bCs/>
                <w:szCs w:val="20"/>
                <w:lang w:val="es-ES"/>
              </w:rPr>
            </w:pPr>
            <w:r w:rsidRPr="00044C2A">
              <w:rPr>
                <w:rFonts w:cs="Arial"/>
                <w:b/>
                <w:bCs/>
                <w:szCs w:val="20"/>
              </w:rPr>
              <w:t>5.45%</w:t>
            </w:r>
          </w:p>
        </w:tc>
        <w:tc>
          <w:tcPr>
            <w:tcW w:w="0" w:type="dxa"/>
          </w:tcPr>
          <w:p w14:paraId="2706FEDE" w14:textId="77777777" w:rsidR="00044C2A" w:rsidRPr="00044C2A" w:rsidRDefault="00044C2A" w:rsidP="0014780A">
            <w:pPr>
              <w:pStyle w:val="Tablecells"/>
              <w:spacing w:before="0" w:after="0" w:line="276" w:lineRule="auto"/>
              <w:jc w:val="right"/>
              <w:rPr>
                <w:rFonts w:cs="Arial"/>
                <w:b/>
                <w:bCs/>
                <w:szCs w:val="20"/>
                <w:lang w:val="es-ES"/>
              </w:rPr>
            </w:pPr>
            <w:r w:rsidRPr="00044C2A">
              <w:rPr>
                <w:rFonts w:cs="Arial"/>
                <w:b/>
                <w:bCs/>
                <w:szCs w:val="20"/>
              </w:rPr>
              <w:t>5.45%</w:t>
            </w:r>
          </w:p>
        </w:tc>
      </w:tr>
      <w:tr w:rsidR="00044C2A" w:rsidRPr="00044C2A" w14:paraId="7D9E259E" w14:textId="77777777" w:rsidTr="00D47BB9">
        <w:trPr>
          <w:jc w:val="center"/>
        </w:trPr>
        <w:tc>
          <w:tcPr>
            <w:tcW w:w="0" w:type="dxa"/>
          </w:tcPr>
          <w:p w14:paraId="22E20663" w14:textId="77777777" w:rsidR="00044C2A" w:rsidRPr="00044C2A" w:rsidRDefault="00044C2A" w:rsidP="0014780A">
            <w:pPr>
              <w:pStyle w:val="Tablecells"/>
              <w:spacing w:before="0" w:after="0" w:line="276" w:lineRule="auto"/>
              <w:rPr>
                <w:rFonts w:cs="Arial"/>
                <w:szCs w:val="20"/>
                <w:lang w:val="es-ES"/>
              </w:rPr>
            </w:pPr>
            <w:r w:rsidRPr="00044C2A">
              <w:rPr>
                <w:rFonts w:cs="Arial"/>
                <w:szCs w:val="20"/>
                <w:lang w:val="es-ES"/>
              </w:rPr>
              <w:t xml:space="preserve">     Tasa libre de riesgo en México</w:t>
            </w:r>
          </w:p>
        </w:tc>
        <w:tc>
          <w:tcPr>
            <w:tcW w:w="0" w:type="dxa"/>
          </w:tcPr>
          <w:p w14:paraId="541BC680"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szCs w:val="20"/>
              </w:rPr>
              <w:t>3.56%</w:t>
            </w:r>
          </w:p>
        </w:tc>
        <w:tc>
          <w:tcPr>
            <w:tcW w:w="0" w:type="dxa"/>
          </w:tcPr>
          <w:p w14:paraId="489B01BA"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szCs w:val="20"/>
              </w:rPr>
              <w:t>3.56%</w:t>
            </w:r>
          </w:p>
        </w:tc>
      </w:tr>
      <w:tr w:rsidR="00044C2A" w:rsidRPr="00044C2A" w14:paraId="52DA0B37" w14:textId="77777777" w:rsidTr="00D47BB9">
        <w:trPr>
          <w:jc w:val="center"/>
        </w:trPr>
        <w:tc>
          <w:tcPr>
            <w:tcW w:w="0" w:type="dxa"/>
          </w:tcPr>
          <w:p w14:paraId="37161190" w14:textId="77777777" w:rsidR="00044C2A" w:rsidRPr="00044C2A" w:rsidRDefault="00044C2A" w:rsidP="0014780A">
            <w:pPr>
              <w:pStyle w:val="Tablecells"/>
              <w:spacing w:before="0" w:after="0" w:line="276" w:lineRule="auto"/>
              <w:rPr>
                <w:rFonts w:cs="Arial"/>
                <w:szCs w:val="20"/>
                <w:lang w:val="es-ES"/>
              </w:rPr>
            </w:pPr>
            <w:r w:rsidRPr="00044C2A">
              <w:rPr>
                <w:rFonts w:cs="Arial"/>
                <w:szCs w:val="20"/>
                <w:lang w:val="es-ES"/>
              </w:rPr>
              <w:t xml:space="preserve">     Prima de riesgo de deuda</w:t>
            </w:r>
          </w:p>
        </w:tc>
        <w:tc>
          <w:tcPr>
            <w:tcW w:w="0" w:type="dxa"/>
          </w:tcPr>
          <w:p w14:paraId="64ACA231"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szCs w:val="20"/>
              </w:rPr>
              <w:t>1.90%</w:t>
            </w:r>
          </w:p>
        </w:tc>
        <w:tc>
          <w:tcPr>
            <w:tcW w:w="0" w:type="dxa"/>
          </w:tcPr>
          <w:p w14:paraId="4DD72CAF"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szCs w:val="20"/>
              </w:rPr>
              <w:t>1.90%</w:t>
            </w:r>
          </w:p>
        </w:tc>
      </w:tr>
      <w:tr w:rsidR="00044C2A" w:rsidRPr="00044C2A" w14:paraId="1F9F6D93" w14:textId="77777777" w:rsidTr="00D47BB9">
        <w:trPr>
          <w:jc w:val="center"/>
        </w:trPr>
        <w:tc>
          <w:tcPr>
            <w:tcW w:w="0" w:type="dxa"/>
          </w:tcPr>
          <w:p w14:paraId="11ED2E6D" w14:textId="77777777" w:rsidR="00044C2A" w:rsidRPr="00044C2A" w:rsidRDefault="00044C2A" w:rsidP="0014780A">
            <w:pPr>
              <w:pStyle w:val="Tablecells"/>
              <w:spacing w:before="0" w:after="0" w:line="276" w:lineRule="auto"/>
              <w:rPr>
                <w:rFonts w:cs="Arial"/>
                <w:szCs w:val="20"/>
                <w:lang w:val="es-ES"/>
              </w:rPr>
            </w:pPr>
            <w:r w:rsidRPr="00044C2A">
              <w:rPr>
                <w:rFonts w:cs="Arial"/>
                <w:szCs w:val="20"/>
                <w:lang w:val="es-ES"/>
              </w:rPr>
              <w:t>Apalancamiento</w:t>
            </w:r>
          </w:p>
        </w:tc>
        <w:tc>
          <w:tcPr>
            <w:tcW w:w="0" w:type="dxa"/>
          </w:tcPr>
          <w:p w14:paraId="531ABF39"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szCs w:val="20"/>
              </w:rPr>
              <w:t>41.44%</w:t>
            </w:r>
          </w:p>
        </w:tc>
        <w:tc>
          <w:tcPr>
            <w:tcW w:w="0" w:type="dxa"/>
          </w:tcPr>
          <w:p w14:paraId="4426CD51"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szCs w:val="20"/>
              </w:rPr>
              <w:t>41.84%</w:t>
            </w:r>
          </w:p>
        </w:tc>
      </w:tr>
      <w:tr w:rsidR="00044C2A" w:rsidRPr="00044C2A" w14:paraId="63B7A168" w14:textId="77777777" w:rsidTr="00D47BB9">
        <w:trPr>
          <w:jc w:val="center"/>
        </w:trPr>
        <w:tc>
          <w:tcPr>
            <w:tcW w:w="0" w:type="dxa"/>
          </w:tcPr>
          <w:p w14:paraId="423B6F61" w14:textId="77777777" w:rsidR="00044C2A" w:rsidRPr="00044C2A" w:rsidRDefault="00044C2A" w:rsidP="0014780A">
            <w:pPr>
              <w:pStyle w:val="Tablecells"/>
              <w:spacing w:before="0" w:after="0" w:line="276" w:lineRule="auto"/>
              <w:rPr>
                <w:rFonts w:cs="Arial"/>
                <w:szCs w:val="20"/>
                <w:lang w:val="es-ES"/>
              </w:rPr>
            </w:pPr>
            <w:r w:rsidRPr="00044C2A">
              <w:rPr>
                <w:rFonts w:cs="Arial"/>
                <w:szCs w:val="20"/>
                <w:lang w:val="es-ES"/>
              </w:rPr>
              <w:t>Tasa de impuesto de sociedades</w:t>
            </w:r>
          </w:p>
        </w:tc>
        <w:tc>
          <w:tcPr>
            <w:tcW w:w="0" w:type="dxa"/>
          </w:tcPr>
          <w:p w14:paraId="7D2CA0F2"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szCs w:val="20"/>
              </w:rPr>
              <w:t>30.00%</w:t>
            </w:r>
          </w:p>
        </w:tc>
        <w:tc>
          <w:tcPr>
            <w:tcW w:w="0" w:type="dxa"/>
          </w:tcPr>
          <w:p w14:paraId="34275369"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szCs w:val="20"/>
              </w:rPr>
              <w:t>30.00%</w:t>
            </w:r>
          </w:p>
        </w:tc>
      </w:tr>
      <w:tr w:rsidR="00044C2A" w:rsidRPr="00044C2A" w14:paraId="2CA964A5" w14:textId="77777777" w:rsidTr="00D47BB9">
        <w:trPr>
          <w:jc w:val="center"/>
        </w:trPr>
        <w:tc>
          <w:tcPr>
            <w:tcW w:w="0" w:type="dxa"/>
          </w:tcPr>
          <w:p w14:paraId="16B810D0" w14:textId="77777777" w:rsidR="00044C2A" w:rsidRPr="00044C2A" w:rsidRDefault="00044C2A" w:rsidP="0014780A">
            <w:pPr>
              <w:pStyle w:val="Tablecells"/>
              <w:spacing w:before="0" w:after="0" w:line="276" w:lineRule="auto"/>
              <w:rPr>
                <w:rFonts w:cs="Arial"/>
                <w:b/>
                <w:bCs/>
                <w:szCs w:val="20"/>
                <w:lang w:val="es-ES"/>
              </w:rPr>
            </w:pPr>
            <w:r w:rsidRPr="00044C2A">
              <w:rPr>
                <w:rFonts w:cs="Arial"/>
                <w:b/>
                <w:bCs/>
                <w:szCs w:val="20"/>
                <w:lang w:val="es-ES"/>
              </w:rPr>
              <w:t>CCPP antes de impuestos – nominal en USD</w:t>
            </w:r>
          </w:p>
        </w:tc>
        <w:tc>
          <w:tcPr>
            <w:tcW w:w="0" w:type="dxa"/>
          </w:tcPr>
          <w:p w14:paraId="2E69C2F8"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b/>
                <w:bCs/>
                <w:szCs w:val="20"/>
              </w:rPr>
              <w:t>10.07%</w:t>
            </w:r>
          </w:p>
        </w:tc>
        <w:tc>
          <w:tcPr>
            <w:tcW w:w="0" w:type="dxa"/>
          </w:tcPr>
          <w:p w14:paraId="2A6981E8"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b/>
                <w:bCs/>
                <w:szCs w:val="20"/>
              </w:rPr>
              <w:t>9.77%</w:t>
            </w:r>
          </w:p>
        </w:tc>
      </w:tr>
      <w:tr w:rsidR="00044C2A" w:rsidRPr="00044C2A" w14:paraId="5E21C92D" w14:textId="77777777" w:rsidTr="00D47BB9">
        <w:trPr>
          <w:jc w:val="center"/>
        </w:trPr>
        <w:tc>
          <w:tcPr>
            <w:tcW w:w="0" w:type="dxa"/>
          </w:tcPr>
          <w:p w14:paraId="7986CCBA" w14:textId="50B0F8CB" w:rsidR="00044C2A" w:rsidRPr="00044C2A" w:rsidRDefault="00044C2A" w:rsidP="0014780A">
            <w:pPr>
              <w:pStyle w:val="Tablecells"/>
              <w:spacing w:before="0" w:after="0" w:line="276" w:lineRule="auto"/>
              <w:rPr>
                <w:rFonts w:cs="Arial"/>
                <w:szCs w:val="20"/>
                <w:lang w:val="es-ES"/>
              </w:rPr>
            </w:pPr>
            <w:r w:rsidRPr="00044C2A">
              <w:rPr>
                <w:rFonts w:cs="Arial"/>
                <w:szCs w:val="20"/>
                <w:lang w:val="es-ES"/>
              </w:rPr>
              <w:t xml:space="preserve">Tasa de la inflación en </w:t>
            </w:r>
            <w:r w:rsidR="007F309D" w:rsidRPr="00044C2A">
              <w:rPr>
                <w:rFonts w:cs="Arial"/>
                <w:szCs w:val="20"/>
                <w:lang w:val="es-ES"/>
              </w:rPr>
              <w:t>EE. UU.</w:t>
            </w:r>
          </w:p>
        </w:tc>
        <w:tc>
          <w:tcPr>
            <w:tcW w:w="0" w:type="dxa"/>
          </w:tcPr>
          <w:p w14:paraId="43690404"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szCs w:val="20"/>
              </w:rPr>
              <w:t>2.15%</w:t>
            </w:r>
          </w:p>
        </w:tc>
        <w:tc>
          <w:tcPr>
            <w:tcW w:w="0" w:type="dxa"/>
          </w:tcPr>
          <w:p w14:paraId="2ECBDE74"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szCs w:val="20"/>
              </w:rPr>
              <w:t>2.15%</w:t>
            </w:r>
          </w:p>
        </w:tc>
      </w:tr>
      <w:tr w:rsidR="00044C2A" w:rsidRPr="00044C2A" w14:paraId="4ED3527A" w14:textId="77777777" w:rsidTr="00D47BB9">
        <w:trPr>
          <w:jc w:val="center"/>
        </w:trPr>
        <w:tc>
          <w:tcPr>
            <w:tcW w:w="0" w:type="dxa"/>
          </w:tcPr>
          <w:p w14:paraId="512FB6A9" w14:textId="77777777" w:rsidR="00044C2A" w:rsidRPr="00044C2A" w:rsidRDefault="00044C2A" w:rsidP="0014780A">
            <w:pPr>
              <w:pStyle w:val="Tablecells"/>
              <w:spacing w:before="0" w:after="0" w:line="276" w:lineRule="auto"/>
              <w:rPr>
                <w:rFonts w:cs="Arial"/>
                <w:b/>
                <w:bCs/>
                <w:szCs w:val="20"/>
                <w:lang w:val="es-ES"/>
              </w:rPr>
            </w:pPr>
            <w:r w:rsidRPr="00044C2A">
              <w:rPr>
                <w:rFonts w:cs="Arial"/>
                <w:b/>
                <w:bCs/>
                <w:szCs w:val="20"/>
                <w:lang w:val="es-ES"/>
              </w:rPr>
              <w:t>CCPP antes de impuestos – real</w:t>
            </w:r>
          </w:p>
        </w:tc>
        <w:tc>
          <w:tcPr>
            <w:tcW w:w="0" w:type="dxa"/>
          </w:tcPr>
          <w:p w14:paraId="2E7F6024"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b/>
                <w:bCs/>
                <w:szCs w:val="20"/>
              </w:rPr>
              <w:t>7.75%</w:t>
            </w:r>
          </w:p>
        </w:tc>
        <w:tc>
          <w:tcPr>
            <w:tcW w:w="0" w:type="dxa"/>
          </w:tcPr>
          <w:p w14:paraId="67980A62"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b/>
                <w:bCs/>
                <w:szCs w:val="20"/>
              </w:rPr>
              <w:t>7.47%</w:t>
            </w:r>
          </w:p>
        </w:tc>
      </w:tr>
      <w:tr w:rsidR="00044C2A" w:rsidRPr="00044C2A" w14:paraId="2D2B8C33" w14:textId="77777777" w:rsidTr="00D47BB9">
        <w:trPr>
          <w:jc w:val="center"/>
        </w:trPr>
        <w:tc>
          <w:tcPr>
            <w:tcW w:w="0" w:type="dxa"/>
          </w:tcPr>
          <w:p w14:paraId="1C0FFC59" w14:textId="77777777" w:rsidR="00044C2A" w:rsidRPr="00044C2A" w:rsidRDefault="00044C2A" w:rsidP="0014780A">
            <w:pPr>
              <w:pStyle w:val="Tablecells"/>
              <w:spacing w:before="0" w:after="0" w:line="276" w:lineRule="auto"/>
              <w:rPr>
                <w:rFonts w:cs="Arial"/>
                <w:szCs w:val="20"/>
                <w:lang w:val="es-ES"/>
              </w:rPr>
            </w:pPr>
            <w:r w:rsidRPr="00044C2A">
              <w:rPr>
                <w:rFonts w:cs="Arial"/>
                <w:szCs w:val="20"/>
                <w:lang w:val="es-ES"/>
              </w:rPr>
              <w:t>Tasa de la inflación en México</w:t>
            </w:r>
          </w:p>
        </w:tc>
        <w:tc>
          <w:tcPr>
            <w:tcW w:w="0" w:type="dxa"/>
          </w:tcPr>
          <w:p w14:paraId="2C5096A2"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szCs w:val="20"/>
              </w:rPr>
              <w:t>3.33%</w:t>
            </w:r>
          </w:p>
        </w:tc>
        <w:tc>
          <w:tcPr>
            <w:tcW w:w="0" w:type="dxa"/>
          </w:tcPr>
          <w:p w14:paraId="2AAF9673"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szCs w:val="20"/>
              </w:rPr>
              <w:t>3.33%</w:t>
            </w:r>
          </w:p>
        </w:tc>
      </w:tr>
      <w:tr w:rsidR="00044C2A" w:rsidRPr="00044C2A" w14:paraId="0BDEDAE7" w14:textId="77777777" w:rsidTr="00D47BB9">
        <w:trPr>
          <w:jc w:val="center"/>
        </w:trPr>
        <w:tc>
          <w:tcPr>
            <w:tcW w:w="0" w:type="dxa"/>
          </w:tcPr>
          <w:p w14:paraId="7AAE52DF" w14:textId="77777777" w:rsidR="00044C2A" w:rsidRPr="00044C2A" w:rsidRDefault="00044C2A" w:rsidP="0014780A">
            <w:pPr>
              <w:pStyle w:val="Tablecells"/>
              <w:spacing w:before="0" w:after="0" w:line="276" w:lineRule="auto"/>
              <w:rPr>
                <w:rFonts w:cs="Arial"/>
                <w:b/>
                <w:bCs/>
                <w:szCs w:val="20"/>
                <w:lang w:val="es-ES"/>
              </w:rPr>
            </w:pPr>
            <w:r w:rsidRPr="00044C2A">
              <w:rPr>
                <w:rFonts w:cs="Arial"/>
                <w:b/>
                <w:bCs/>
                <w:szCs w:val="20"/>
                <w:lang w:val="es-ES"/>
              </w:rPr>
              <w:t>CCPP antes de impuestos – nominal en MXN</w:t>
            </w:r>
          </w:p>
        </w:tc>
        <w:tc>
          <w:tcPr>
            <w:tcW w:w="0" w:type="dxa"/>
          </w:tcPr>
          <w:p w14:paraId="0CAE26C2"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b/>
                <w:bCs/>
                <w:szCs w:val="20"/>
              </w:rPr>
              <w:t>11.34%</w:t>
            </w:r>
          </w:p>
        </w:tc>
        <w:tc>
          <w:tcPr>
            <w:tcW w:w="0" w:type="dxa"/>
          </w:tcPr>
          <w:p w14:paraId="101189C4" w14:textId="77777777" w:rsidR="00044C2A" w:rsidRPr="00044C2A" w:rsidRDefault="00044C2A" w:rsidP="0014780A">
            <w:pPr>
              <w:pStyle w:val="Tablecells"/>
              <w:spacing w:before="0" w:after="0" w:line="276" w:lineRule="auto"/>
              <w:jc w:val="right"/>
              <w:rPr>
                <w:rFonts w:cs="Arial"/>
                <w:szCs w:val="20"/>
                <w:lang w:val="es-ES"/>
              </w:rPr>
            </w:pPr>
            <w:r w:rsidRPr="00044C2A">
              <w:rPr>
                <w:rFonts w:cs="Arial"/>
                <w:b/>
                <w:bCs/>
                <w:szCs w:val="20"/>
              </w:rPr>
              <w:t>11.05%</w:t>
            </w:r>
          </w:p>
        </w:tc>
      </w:tr>
    </w:tbl>
    <w:p w14:paraId="0AFF71A6" w14:textId="77777777" w:rsidR="004A3027" w:rsidRPr="00657BA6" w:rsidRDefault="004A3027" w:rsidP="0014780A">
      <w:pPr>
        <w:spacing w:after="0"/>
        <w:jc w:val="both"/>
        <w:rPr>
          <w:rFonts w:ascii="Arial" w:hAnsi="Arial" w:cs="Arial"/>
          <w:spacing w:val="-4"/>
        </w:rPr>
      </w:pPr>
    </w:p>
    <w:p w14:paraId="319004C6" w14:textId="77777777" w:rsidR="005D2908" w:rsidRPr="00657BA6" w:rsidRDefault="005D2908" w:rsidP="0014780A">
      <w:pPr>
        <w:spacing w:after="0"/>
        <w:jc w:val="center"/>
        <w:rPr>
          <w:rFonts w:ascii="Arial" w:hAnsi="Arial" w:cs="Arial"/>
          <w:b/>
          <w:spacing w:val="-4"/>
        </w:rPr>
      </w:pPr>
      <w:r w:rsidRPr="00657BA6">
        <w:rPr>
          <w:rFonts w:ascii="Arial" w:hAnsi="Arial" w:cs="Arial"/>
          <w:b/>
          <w:spacing w:val="-4"/>
        </w:rPr>
        <w:t>CAPÍTULO V</w:t>
      </w:r>
    </w:p>
    <w:p w14:paraId="7D13E3BD" w14:textId="028113FA" w:rsidR="005D2908" w:rsidRPr="00657BA6" w:rsidRDefault="005D2908" w:rsidP="0014780A">
      <w:pPr>
        <w:spacing w:after="0"/>
        <w:jc w:val="center"/>
        <w:rPr>
          <w:rFonts w:ascii="Arial" w:hAnsi="Arial" w:cs="Arial"/>
          <w:b/>
          <w:spacing w:val="-4"/>
        </w:rPr>
      </w:pPr>
      <w:r w:rsidRPr="00657BA6">
        <w:rPr>
          <w:rFonts w:ascii="Arial" w:hAnsi="Arial" w:cs="Arial"/>
          <w:b/>
          <w:spacing w:val="-4"/>
        </w:rPr>
        <w:t>Tarifas de los Servicios no conmutados de Interconexión</w:t>
      </w:r>
    </w:p>
    <w:p w14:paraId="2CE8224E" w14:textId="77777777" w:rsidR="005D2908" w:rsidRPr="00657BA6" w:rsidRDefault="005D2908" w:rsidP="0014780A">
      <w:pPr>
        <w:spacing w:after="0"/>
        <w:jc w:val="center"/>
        <w:rPr>
          <w:rFonts w:ascii="Arial" w:hAnsi="Arial" w:cs="Arial"/>
          <w:b/>
          <w:spacing w:val="-4"/>
        </w:rPr>
      </w:pPr>
    </w:p>
    <w:p w14:paraId="0B6F6A6E" w14:textId="733F525A" w:rsidR="004A3027" w:rsidRPr="00657BA6" w:rsidRDefault="005D2908" w:rsidP="0014780A">
      <w:pPr>
        <w:spacing w:after="0"/>
        <w:jc w:val="both"/>
        <w:rPr>
          <w:rFonts w:ascii="Arial" w:hAnsi="Arial" w:cs="Arial"/>
        </w:rPr>
      </w:pPr>
      <w:r w:rsidRPr="00657BA6">
        <w:rPr>
          <w:rFonts w:ascii="Arial" w:hAnsi="Arial" w:cs="Arial"/>
          <w:b/>
        </w:rPr>
        <w:t>Décima segunda</w:t>
      </w:r>
      <w:r w:rsidR="004A3027" w:rsidRPr="00657BA6">
        <w:rPr>
          <w:rFonts w:ascii="Arial" w:hAnsi="Arial" w:cs="Arial"/>
          <w:b/>
        </w:rPr>
        <w:t xml:space="preserve">.- </w:t>
      </w:r>
      <w:r w:rsidR="004A3027" w:rsidRPr="00657BA6">
        <w:rPr>
          <w:rFonts w:ascii="Arial" w:hAnsi="Arial" w:cs="Arial"/>
        </w:rPr>
        <w:t xml:space="preserve">El Lineamiento Segundo de la Metodología de Costos establece a la letra lo siguiente: </w:t>
      </w:r>
    </w:p>
    <w:p w14:paraId="4C52C1FF" w14:textId="77777777" w:rsidR="004A3027" w:rsidRPr="00657BA6" w:rsidRDefault="004A3027" w:rsidP="0014780A">
      <w:pPr>
        <w:spacing w:after="0"/>
        <w:rPr>
          <w:rFonts w:ascii="Arial" w:eastAsia="Times New Roman" w:hAnsi="Arial" w:cs="Arial"/>
          <w:lang w:eastAsia="es-ES"/>
        </w:rPr>
      </w:pPr>
    </w:p>
    <w:p w14:paraId="1DE92AC8" w14:textId="77777777" w:rsidR="004A3027" w:rsidRPr="00657BA6" w:rsidRDefault="004A3027" w:rsidP="0014780A">
      <w:pPr>
        <w:spacing w:after="0"/>
        <w:ind w:left="567" w:right="616"/>
        <w:jc w:val="both"/>
        <w:rPr>
          <w:rFonts w:ascii="Arial" w:hAnsi="Arial" w:cs="Arial"/>
          <w:i/>
          <w:sz w:val="20"/>
          <w:szCs w:val="20"/>
        </w:rPr>
      </w:pPr>
      <w:r w:rsidRPr="00657BA6">
        <w:rPr>
          <w:rFonts w:ascii="Arial" w:hAnsi="Arial" w:cs="Arial"/>
          <w:i/>
          <w:sz w:val="20"/>
          <w:szCs w:val="20"/>
        </w:rPr>
        <w:lastRenderedPageBreak/>
        <w:t>“SEGUNDO.- En la elaboración de los Modelos de Costos, para servicios de interconexión distintos a los señalados en los Lineamientos Tercero y Cuarto siguientes, se empleará el enfoque de Costo Incremental Total Promedio de Largo Plazo.</w:t>
      </w:r>
    </w:p>
    <w:p w14:paraId="151AF7A7" w14:textId="77777777" w:rsidR="004A3027" w:rsidRPr="00657BA6" w:rsidRDefault="004A3027" w:rsidP="0014780A">
      <w:pPr>
        <w:spacing w:after="0"/>
        <w:ind w:left="567" w:right="616"/>
        <w:jc w:val="both"/>
        <w:rPr>
          <w:rFonts w:ascii="Arial" w:hAnsi="Arial" w:cs="Arial"/>
          <w:i/>
          <w:sz w:val="20"/>
          <w:szCs w:val="20"/>
        </w:rPr>
      </w:pPr>
      <w:r w:rsidRPr="00657BA6">
        <w:rPr>
          <w:rFonts w:ascii="Arial" w:hAnsi="Arial" w:cs="Arial"/>
          <w:i/>
          <w:sz w:val="20"/>
          <w:szCs w:val="20"/>
        </w:rPr>
        <w:t>El Costo Incremental Total Promedio de Largo Plazo se define como el costo total que una concesionaria podría evitar en el largo plazo si dejara de proveer el Servicio de Interconexión relevante pero continuara proveyendo el resto de los servicios, además de permitir recuperar los Costos Comunes por medio de asignaciones de costos.</w:t>
      </w:r>
      <w:r w:rsidRPr="00657BA6">
        <w:rPr>
          <w:rFonts w:ascii="Arial" w:hAnsi="Arial" w:cs="Arial"/>
          <w:i/>
          <w:sz w:val="20"/>
          <w:szCs w:val="20"/>
        </w:rPr>
        <w:br/>
        <w:t>Se entenderá como Costos Comunes a aquellos en que se incurren por actividades o recursos que no pueden ser asignados a los Servicios de Interconexión de una manera directa. Estos costos son generados por todos los servicios que presta la empresa.</w:t>
      </w:r>
    </w:p>
    <w:p w14:paraId="469B6F99" w14:textId="77777777" w:rsidR="004A3027" w:rsidRPr="00657BA6" w:rsidRDefault="004A3027" w:rsidP="0014780A">
      <w:pPr>
        <w:spacing w:after="0"/>
        <w:ind w:left="567" w:right="616"/>
        <w:jc w:val="both"/>
        <w:rPr>
          <w:rFonts w:ascii="Arial" w:hAnsi="Arial" w:cs="Arial"/>
          <w:i/>
          <w:sz w:val="20"/>
          <w:szCs w:val="20"/>
        </w:rPr>
      </w:pPr>
      <w:r w:rsidRPr="00657BA6">
        <w:rPr>
          <w:rFonts w:ascii="Arial" w:hAnsi="Arial" w:cs="Arial"/>
          <w:i/>
          <w:sz w:val="20"/>
          <w:szCs w:val="20"/>
        </w:rPr>
        <w:t>Los Costos Comunes se asignarán por medio de la metodología de Margen Equi-proporcional.</w:t>
      </w:r>
      <w:r w:rsidRPr="00657BA6">
        <w:rPr>
          <w:rFonts w:ascii="Arial" w:hAnsi="Arial" w:cs="Arial"/>
          <w:i/>
          <w:sz w:val="20"/>
          <w:szCs w:val="20"/>
        </w:rPr>
        <w:br/>
        <w:t>El Modelo de costos deberá permitir que el Instituto Federal de Telecomunicaciones especifique la unidad de medida de acuerdo con las mejores prácticas internacionales.</w:t>
      </w:r>
    </w:p>
    <w:p w14:paraId="541527AF" w14:textId="77777777" w:rsidR="004A3027" w:rsidRPr="00657BA6" w:rsidRDefault="004A3027" w:rsidP="0014780A">
      <w:pPr>
        <w:spacing w:after="0"/>
        <w:ind w:left="567" w:right="616"/>
        <w:jc w:val="both"/>
        <w:rPr>
          <w:rFonts w:ascii="Arial" w:hAnsi="Arial" w:cs="Arial"/>
          <w:i/>
          <w:sz w:val="20"/>
          <w:szCs w:val="20"/>
        </w:rPr>
      </w:pPr>
      <w:r w:rsidRPr="00657BA6">
        <w:rPr>
          <w:rFonts w:ascii="Arial" w:hAnsi="Arial" w:cs="Arial"/>
          <w:i/>
          <w:sz w:val="20"/>
          <w:szCs w:val="20"/>
        </w:rPr>
        <w:t>La unidad monetaria en la que se expresarán los resultados de los Modelos de Costos será en pesos mexicanos.”</w:t>
      </w:r>
    </w:p>
    <w:p w14:paraId="4AA03C04" w14:textId="77777777" w:rsidR="004A3027" w:rsidRPr="00657BA6" w:rsidRDefault="004A3027" w:rsidP="0014780A">
      <w:pPr>
        <w:spacing w:after="0"/>
        <w:rPr>
          <w:rFonts w:ascii="Arial" w:eastAsia="Times New Roman" w:hAnsi="Arial" w:cs="Arial"/>
          <w:lang w:eastAsia="es-ES"/>
        </w:rPr>
      </w:pPr>
    </w:p>
    <w:p w14:paraId="002B3E53"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Toda vez que los Lineamientos Tercero y Cuarto se refieren a los servicios conmutados de interconexión, se sigue que las tarifas aplicables a los servicios no conmutados de interconexión se deben determinar con base en una metodología de Costo Incremental Total Promedio de Largo Plazo, es así que en la presente sección se aplica ese enfoque para la determinación de las tarifas aplicables a los servicios de enlaces de transmisión entre coubicaciones, enlaces de transmisión de interconexión y coubicación.</w:t>
      </w:r>
    </w:p>
    <w:p w14:paraId="1602939A" w14:textId="77777777" w:rsidR="004A3027" w:rsidRPr="00657BA6" w:rsidRDefault="004A3027" w:rsidP="0014780A">
      <w:pPr>
        <w:spacing w:after="0"/>
        <w:jc w:val="both"/>
        <w:rPr>
          <w:rFonts w:ascii="Arial" w:hAnsi="Arial" w:cs="Arial"/>
          <w:b/>
        </w:rPr>
      </w:pPr>
    </w:p>
    <w:p w14:paraId="7BE53D2E" w14:textId="77777777" w:rsidR="004A3027" w:rsidRPr="00657BA6" w:rsidRDefault="004A3027" w:rsidP="0014780A">
      <w:pPr>
        <w:autoSpaceDE w:val="0"/>
        <w:autoSpaceDN w:val="0"/>
        <w:adjustRightInd w:val="0"/>
        <w:spacing w:after="0"/>
        <w:jc w:val="both"/>
        <w:rPr>
          <w:rFonts w:ascii="Arial" w:hAnsi="Arial" w:cs="Arial"/>
        </w:rPr>
      </w:pPr>
      <w:r w:rsidRPr="00657BA6">
        <w:rPr>
          <w:rFonts w:ascii="Arial" w:hAnsi="Arial" w:cs="Arial"/>
        </w:rPr>
        <w:t>Atendiendo el principio de que el órgano regulador únicamente debe intervenir en aquellas situaciones en las cuales se observe una falla de mercado, a efecto de no establecer una sobre regulación se considera adecuado que respecto de las tarifas que hayan resultado de las metodologías de costos emitidas por el Instituto, mismas que estarán vigentes el año calendario inmediato siguiente, estas se refieran a un conjunto acotado de servicios que corresponde a los que históricamente han observado un mayor número de diferendos.</w:t>
      </w:r>
    </w:p>
    <w:p w14:paraId="24690BCC" w14:textId="77777777" w:rsidR="004A3027" w:rsidRPr="00657BA6" w:rsidRDefault="004A3027" w:rsidP="0014780A">
      <w:pPr>
        <w:spacing w:after="0"/>
        <w:jc w:val="both"/>
        <w:rPr>
          <w:rFonts w:ascii="Arial" w:hAnsi="Arial" w:cs="Arial"/>
          <w:b/>
        </w:rPr>
      </w:pPr>
    </w:p>
    <w:p w14:paraId="6CF66759" w14:textId="77777777" w:rsidR="004A3027" w:rsidRPr="00657BA6" w:rsidRDefault="004A3027" w:rsidP="0014780A">
      <w:pPr>
        <w:spacing w:after="0"/>
        <w:jc w:val="both"/>
        <w:rPr>
          <w:rFonts w:ascii="Arial" w:hAnsi="Arial" w:cs="Arial"/>
          <w:b/>
        </w:rPr>
      </w:pPr>
      <w:r w:rsidRPr="00EB5A86">
        <w:rPr>
          <w:rFonts w:ascii="Arial" w:hAnsi="Arial" w:cs="Arial"/>
          <w:b/>
        </w:rPr>
        <w:t>MODELO DE COSTOS DE ENLACES DEDICADOS DE INTERCONEXIÓN</w:t>
      </w:r>
    </w:p>
    <w:p w14:paraId="43E7C428" w14:textId="77777777" w:rsidR="004A3027" w:rsidRPr="00657BA6" w:rsidRDefault="004A3027" w:rsidP="0014780A">
      <w:pPr>
        <w:spacing w:after="0"/>
        <w:jc w:val="both"/>
        <w:rPr>
          <w:rFonts w:ascii="Arial" w:hAnsi="Arial" w:cs="Arial"/>
          <w:b/>
        </w:rPr>
      </w:pPr>
    </w:p>
    <w:p w14:paraId="2D5D1211" w14:textId="77777777" w:rsidR="004A3027" w:rsidRPr="00657BA6" w:rsidRDefault="004A3027" w:rsidP="0014780A">
      <w:pPr>
        <w:spacing w:after="0"/>
        <w:jc w:val="both"/>
        <w:rPr>
          <w:rFonts w:ascii="Arial" w:hAnsi="Arial" w:cs="Arial"/>
          <w:lang w:val="es-ES_tradnl"/>
        </w:rPr>
      </w:pPr>
      <w:r w:rsidRPr="00657BA6">
        <w:rPr>
          <w:rFonts w:ascii="Arial" w:hAnsi="Arial" w:cs="Arial"/>
          <w:lang w:val="es-ES_tradnl"/>
        </w:rPr>
        <w:t>En términos de la Condición Segunda el servicio de enlaces de transmisión consiste en el establecimiento de enlaces de transmisión físicos o virtuales de cualquier tecnología, a través de los cuales se conduce Tráfico.</w:t>
      </w:r>
    </w:p>
    <w:p w14:paraId="668AE05A" w14:textId="77777777" w:rsidR="004A3027" w:rsidRPr="00657BA6" w:rsidRDefault="004A3027" w:rsidP="0014780A">
      <w:pPr>
        <w:spacing w:after="0"/>
        <w:jc w:val="both"/>
        <w:rPr>
          <w:rFonts w:ascii="Arial" w:hAnsi="Arial" w:cs="Arial"/>
          <w:lang w:val="es-ES_tradnl"/>
        </w:rPr>
      </w:pPr>
    </w:p>
    <w:p w14:paraId="78CDD627" w14:textId="77777777" w:rsidR="004A3027" w:rsidRPr="00657BA6" w:rsidRDefault="004A3027" w:rsidP="0014780A">
      <w:pPr>
        <w:spacing w:after="0"/>
        <w:ind w:right="20"/>
        <w:jc w:val="both"/>
        <w:rPr>
          <w:rFonts w:ascii="Arial" w:hAnsi="Arial" w:cs="Arial"/>
        </w:rPr>
      </w:pPr>
      <w:r w:rsidRPr="00657BA6">
        <w:rPr>
          <w:rFonts w:ascii="Arial" w:hAnsi="Arial" w:cs="Arial"/>
          <w:lang w:val="es-ES_tradnl"/>
        </w:rPr>
        <w:t>En este sentido el modelo permite calcular los gastos de instalación y las c</w:t>
      </w:r>
      <w:bookmarkStart w:id="2" w:name="_Hlk142292716"/>
      <w:r w:rsidRPr="00657BA6">
        <w:rPr>
          <w:rFonts w:ascii="Arial" w:hAnsi="Arial" w:cs="Arial"/>
          <w:lang w:val="es-ES_tradnl"/>
        </w:rPr>
        <w:t>ontraprestaciones mensuale</w:t>
      </w:r>
      <w:bookmarkEnd w:id="2"/>
      <w:r w:rsidRPr="00657BA6">
        <w:rPr>
          <w:rFonts w:ascii="Arial" w:hAnsi="Arial" w:cs="Arial"/>
          <w:lang w:val="es-ES_tradnl"/>
        </w:rPr>
        <w:t>s correspondientes a los distintos tipos de enlaces dedicados tanto locales como de larga distancia empleados exclusivamente para el transporte de tráfico de interconexión</w:t>
      </w:r>
      <w:r w:rsidRPr="00657BA6">
        <w:rPr>
          <w:rFonts w:ascii="Arial" w:hAnsi="Arial" w:cs="Arial"/>
        </w:rPr>
        <w:t xml:space="preserve">. </w:t>
      </w:r>
    </w:p>
    <w:p w14:paraId="0B9D80DF" w14:textId="77777777" w:rsidR="004A3027" w:rsidRPr="00657BA6" w:rsidRDefault="004A3027" w:rsidP="0014780A">
      <w:pPr>
        <w:spacing w:after="0"/>
        <w:jc w:val="both"/>
        <w:rPr>
          <w:rFonts w:ascii="Arial" w:hAnsi="Arial" w:cs="Arial"/>
        </w:rPr>
      </w:pPr>
    </w:p>
    <w:p w14:paraId="3465914D" w14:textId="77777777" w:rsidR="004A3027" w:rsidRPr="00657BA6" w:rsidRDefault="004A3027" w:rsidP="0014780A">
      <w:pPr>
        <w:spacing w:after="0"/>
        <w:jc w:val="both"/>
        <w:rPr>
          <w:rFonts w:ascii="Arial" w:hAnsi="Arial" w:cs="Arial"/>
          <w:bCs/>
        </w:rPr>
      </w:pPr>
      <w:r w:rsidRPr="00657BA6">
        <w:rPr>
          <w:rFonts w:ascii="Arial" w:hAnsi="Arial" w:cs="Arial"/>
          <w:bCs/>
        </w:rPr>
        <w:t xml:space="preserve">El modelo de costos se elaboró con una metodología CITLP. Bajo esta metodología el modelo calcula las tarifas mayoristas de enlaces dedicados locales, entre localidades e internacionales. </w:t>
      </w:r>
    </w:p>
    <w:p w14:paraId="378409D8" w14:textId="77777777" w:rsidR="004A3027" w:rsidRPr="00657BA6" w:rsidRDefault="004A3027" w:rsidP="0014780A">
      <w:pPr>
        <w:spacing w:after="0"/>
        <w:jc w:val="both"/>
        <w:rPr>
          <w:rFonts w:ascii="Arial" w:hAnsi="Arial" w:cs="Arial"/>
          <w:bCs/>
        </w:rPr>
      </w:pPr>
    </w:p>
    <w:p w14:paraId="7FEDBA74" w14:textId="13B0C823" w:rsidR="00532465" w:rsidRDefault="004A3027" w:rsidP="00752F2D">
      <w:pPr>
        <w:spacing w:after="0"/>
        <w:jc w:val="both"/>
        <w:rPr>
          <w:rFonts w:ascii="Arial" w:hAnsi="Arial" w:cs="Arial"/>
          <w:bCs/>
        </w:rPr>
      </w:pPr>
      <w:r w:rsidRPr="00657BA6">
        <w:rPr>
          <w:rFonts w:ascii="Arial" w:hAnsi="Arial" w:cs="Arial"/>
          <w:bCs/>
        </w:rPr>
        <w:t xml:space="preserve">Cabe señalar que conforme a los establecido en las Medidas Fijas el AEP tiene la obligación asimétrica de brindar los servicios de enlaces dedicados conforme las condiciones y tarifas que se aprueben en la oferta de referencia respectiva por lo que el modelo se basa </w:t>
      </w:r>
      <w:r w:rsidR="00E84FF2">
        <w:rPr>
          <w:rFonts w:ascii="Arial" w:hAnsi="Arial" w:cs="Arial"/>
          <w:bCs/>
        </w:rPr>
        <w:t>en un operador hipotético representativo del AEP que se nutre con la mejor información disponible.</w:t>
      </w:r>
    </w:p>
    <w:p w14:paraId="1E6520E6" w14:textId="6F123FEA" w:rsidR="00532465" w:rsidRPr="00966DD6" w:rsidRDefault="00532465" w:rsidP="00532465">
      <w:pPr>
        <w:spacing w:after="0"/>
        <w:jc w:val="both"/>
        <w:rPr>
          <w:rFonts w:ascii="Arial" w:hAnsi="Arial" w:cs="Arial"/>
          <w:lang w:val="es-ES"/>
        </w:rPr>
      </w:pPr>
      <w:r>
        <w:rPr>
          <w:rFonts w:ascii="Arial" w:hAnsi="Arial" w:cs="Arial"/>
          <w:lang w:val="es-ES"/>
        </w:rPr>
        <w:t>Asimismo, para el cálculo de tarifas de enlaces dedicados, se usará el CCPP nominal para el sector fijo antes calculado representativo a nivel industrial.</w:t>
      </w:r>
    </w:p>
    <w:p w14:paraId="2F34D724" w14:textId="77777777" w:rsidR="004A3027" w:rsidRPr="00657BA6" w:rsidRDefault="004A3027" w:rsidP="0014780A">
      <w:pPr>
        <w:spacing w:after="0"/>
        <w:jc w:val="center"/>
        <w:rPr>
          <w:rFonts w:ascii="Arial" w:hAnsi="Arial" w:cs="Arial"/>
          <w:b/>
          <w:bCs/>
        </w:rPr>
      </w:pPr>
    </w:p>
    <w:p w14:paraId="0EBDF16C" w14:textId="3648BC93" w:rsidR="00E63CB6" w:rsidRDefault="004A3027" w:rsidP="0014780A">
      <w:pPr>
        <w:spacing w:after="0"/>
        <w:jc w:val="both"/>
        <w:rPr>
          <w:rFonts w:ascii="Arial" w:hAnsi="Arial" w:cs="Arial"/>
          <w:bCs/>
          <w:lang w:val="es-ES_tradnl"/>
        </w:rPr>
      </w:pPr>
      <w:r w:rsidRPr="00657BA6">
        <w:rPr>
          <w:rFonts w:ascii="Arial" w:hAnsi="Arial" w:cs="Arial"/>
          <w:b/>
          <w:bCs/>
          <w:lang w:val="es-ES_tradnl"/>
        </w:rPr>
        <w:t xml:space="preserve">Hipótesis del Modelo de Costos. </w:t>
      </w:r>
      <w:r w:rsidR="00E63CB6" w:rsidRPr="00D47BB9">
        <w:rPr>
          <w:rFonts w:ascii="Arial" w:hAnsi="Arial" w:cs="Arial"/>
          <w:bCs/>
          <w:lang w:val="es-ES_tradnl"/>
        </w:rPr>
        <w:t xml:space="preserve">El módulo de enlaces dedicados tiene la función de calcular el costo total del servicio de enlaces dedicados desglosado para las distintas velocidades disponibles. Para esto, el módulo considera el costo del transporte proveniente </w:t>
      </w:r>
      <w:r w:rsidR="00752F2D">
        <w:rPr>
          <w:rFonts w:ascii="Arial" w:hAnsi="Arial" w:cs="Arial"/>
          <w:bCs/>
          <w:lang w:val="es-ES_tradnl"/>
        </w:rPr>
        <w:t>Modelo Fijo</w:t>
      </w:r>
      <w:r w:rsidR="00E63CB6" w:rsidRPr="00D47BB9">
        <w:rPr>
          <w:rFonts w:ascii="Arial" w:hAnsi="Arial" w:cs="Arial"/>
          <w:bCs/>
          <w:lang w:val="es-ES_tradnl"/>
        </w:rPr>
        <w:t xml:space="preserve"> además de otros costos que pudieran existir, </w:t>
      </w:r>
      <w:r w:rsidR="008C4DF7" w:rsidRPr="00D47BB9">
        <w:rPr>
          <w:rFonts w:ascii="Arial" w:hAnsi="Arial" w:cs="Arial"/>
          <w:bCs/>
          <w:lang w:val="es-ES_tradnl"/>
        </w:rPr>
        <w:t>como,</w:t>
      </w:r>
      <w:r w:rsidR="00E63CB6" w:rsidRPr="00D47BB9">
        <w:rPr>
          <w:rFonts w:ascii="Arial" w:hAnsi="Arial" w:cs="Arial"/>
          <w:bCs/>
          <w:lang w:val="es-ES_tradnl"/>
        </w:rPr>
        <w:t xml:space="preserve"> por ejemplo, costos del cableado de acceso. El módulo se estructura en dos bloques principales, con el objetivo de costear los principales grupos de servicios involucrados: enlaces dedicados entre localidades y enlaces locales. Estos bloques tienen una estructura similar, aunque tienen ciertas diferencias en términos de sus insumos:</w:t>
      </w:r>
    </w:p>
    <w:p w14:paraId="0CC2D5ED" w14:textId="77777777" w:rsidR="00E63CB6" w:rsidRDefault="00E63CB6" w:rsidP="0014780A">
      <w:pPr>
        <w:spacing w:after="0"/>
        <w:jc w:val="both"/>
        <w:rPr>
          <w:rFonts w:ascii="Arial" w:hAnsi="Arial" w:cs="Arial"/>
          <w:bCs/>
          <w:lang w:val="es-ES_tradnl"/>
        </w:rPr>
      </w:pPr>
    </w:p>
    <w:p w14:paraId="7ED64C19" w14:textId="77777777" w:rsidR="00E63CB6" w:rsidRDefault="00E63CB6" w:rsidP="0014780A">
      <w:pPr>
        <w:spacing w:after="0"/>
        <w:jc w:val="both"/>
        <w:rPr>
          <w:rFonts w:ascii="Arial" w:hAnsi="Arial" w:cs="Arial"/>
          <w:bCs/>
          <w:lang w:val="es-ES_tradnl"/>
        </w:rPr>
      </w:pPr>
    </w:p>
    <w:p w14:paraId="0F6F5750" w14:textId="77777777" w:rsidR="00B57D23" w:rsidRDefault="00E63CB6" w:rsidP="0014780A">
      <w:pPr>
        <w:spacing w:after="0"/>
        <w:jc w:val="center"/>
        <w:rPr>
          <w:rFonts w:ascii="Arial" w:hAnsi="Arial" w:cs="Arial"/>
          <w:lang w:val="es-ES_tradnl"/>
        </w:rPr>
      </w:pPr>
      <w:r w:rsidRPr="00BB680C">
        <w:rPr>
          <w:noProof/>
        </w:rPr>
        <w:drawing>
          <wp:inline distT="0" distB="0" distL="0" distR="0" wp14:anchorId="0FBF9F35" wp14:editId="003213F3">
            <wp:extent cx="3724516" cy="3061617"/>
            <wp:effectExtent l="0" t="0" r="0" b="0"/>
            <wp:docPr id="453911692" name="Picture 45391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3738510" cy="3073120"/>
                    </a:xfrm>
                    <a:prstGeom prst="rect">
                      <a:avLst/>
                    </a:prstGeom>
                    <a:noFill/>
                    <a:ln>
                      <a:noFill/>
                    </a:ln>
                  </pic:spPr>
                </pic:pic>
              </a:graphicData>
            </a:graphic>
          </wp:inline>
        </w:drawing>
      </w:r>
    </w:p>
    <w:p w14:paraId="6B7902E2" w14:textId="73D38EB9" w:rsidR="00787D9B" w:rsidRPr="00657BA6" w:rsidRDefault="00787D9B" w:rsidP="0014780A">
      <w:pPr>
        <w:spacing w:after="0"/>
        <w:jc w:val="center"/>
        <w:rPr>
          <w:rFonts w:ascii="Arial" w:hAnsi="Arial" w:cs="Arial"/>
          <w:lang w:val="es-ES_tradnl"/>
        </w:rPr>
      </w:pPr>
      <w:r w:rsidRPr="00657BA6">
        <w:rPr>
          <w:rFonts w:ascii="Arial" w:hAnsi="Arial" w:cs="Arial"/>
          <w:lang w:val="es-ES_tradnl"/>
        </w:rPr>
        <w:t xml:space="preserve">Figura 10. </w:t>
      </w:r>
      <w:r>
        <w:rPr>
          <w:rFonts w:ascii="Arial" w:hAnsi="Arial" w:cs="Arial"/>
          <w:lang w:val="es-ES_tradnl"/>
        </w:rPr>
        <w:t>Estructura del módulo de enlaces locales</w:t>
      </w:r>
    </w:p>
    <w:p w14:paraId="4D7606F5" w14:textId="1C70996E" w:rsidR="00E63CB6" w:rsidRDefault="00E63CB6" w:rsidP="0014780A">
      <w:pPr>
        <w:spacing w:after="0"/>
        <w:jc w:val="both"/>
        <w:rPr>
          <w:rFonts w:ascii="Arial" w:hAnsi="Arial" w:cs="Arial"/>
          <w:bCs/>
          <w:lang w:val="es-ES_tradnl"/>
        </w:rPr>
      </w:pPr>
    </w:p>
    <w:p w14:paraId="3652417C" w14:textId="77777777" w:rsidR="00E63CB6" w:rsidRDefault="00E63CB6" w:rsidP="0014780A">
      <w:pPr>
        <w:spacing w:after="0"/>
        <w:jc w:val="both"/>
        <w:rPr>
          <w:rFonts w:ascii="Arial" w:hAnsi="Arial" w:cs="Arial"/>
          <w:bCs/>
          <w:lang w:val="es-ES_tradnl"/>
        </w:rPr>
      </w:pPr>
    </w:p>
    <w:p w14:paraId="63209375" w14:textId="77777777" w:rsidR="00787D9B" w:rsidRDefault="00E63CB6" w:rsidP="0014780A">
      <w:pPr>
        <w:spacing w:after="0"/>
        <w:jc w:val="center"/>
        <w:rPr>
          <w:rFonts w:ascii="Arial" w:hAnsi="Arial" w:cs="Arial"/>
          <w:lang w:val="es-ES_tradnl"/>
        </w:rPr>
      </w:pPr>
      <w:r w:rsidRPr="00B36E72">
        <w:rPr>
          <w:noProof/>
        </w:rPr>
        <w:lastRenderedPageBreak/>
        <w:drawing>
          <wp:inline distT="0" distB="0" distL="0" distR="0" wp14:anchorId="643BCA65" wp14:editId="2F841D40">
            <wp:extent cx="3198300" cy="3119890"/>
            <wp:effectExtent l="0" t="0" r="2540" b="0"/>
            <wp:docPr id="1703168270" name="Picture 170316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3206534" cy="3127922"/>
                    </a:xfrm>
                    <a:prstGeom prst="rect">
                      <a:avLst/>
                    </a:prstGeom>
                    <a:noFill/>
                    <a:ln>
                      <a:noFill/>
                    </a:ln>
                  </pic:spPr>
                </pic:pic>
              </a:graphicData>
            </a:graphic>
          </wp:inline>
        </w:drawing>
      </w:r>
    </w:p>
    <w:p w14:paraId="25C1AEDA" w14:textId="3EFC0880" w:rsidR="00787D9B" w:rsidRPr="00657BA6" w:rsidRDefault="00787D9B" w:rsidP="0014780A">
      <w:pPr>
        <w:spacing w:after="0"/>
        <w:jc w:val="center"/>
        <w:rPr>
          <w:rFonts w:ascii="Arial" w:hAnsi="Arial" w:cs="Arial"/>
          <w:lang w:val="es-ES_tradnl"/>
        </w:rPr>
      </w:pPr>
      <w:r w:rsidRPr="00657BA6">
        <w:rPr>
          <w:rFonts w:ascii="Arial" w:hAnsi="Arial" w:cs="Arial"/>
          <w:lang w:val="es-ES_tradnl"/>
        </w:rPr>
        <w:t>Figura 1</w:t>
      </w:r>
      <w:r w:rsidR="00A32864">
        <w:rPr>
          <w:rFonts w:ascii="Arial" w:hAnsi="Arial" w:cs="Arial"/>
          <w:lang w:val="es-ES_tradnl"/>
        </w:rPr>
        <w:t>1</w:t>
      </w:r>
      <w:r w:rsidRPr="00657BA6">
        <w:rPr>
          <w:rFonts w:ascii="Arial" w:hAnsi="Arial" w:cs="Arial"/>
          <w:lang w:val="es-ES_tradnl"/>
        </w:rPr>
        <w:t xml:space="preserve">. </w:t>
      </w:r>
      <w:r>
        <w:rPr>
          <w:rFonts w:ascii="Arial" w:hAnsi="Arial" w:cs="Arial"/>
          <w:lang w:val="es-ES_tradnl"/>
        </w:rPr>
        <w:t xml:space="preserve">Estructura del módulo de enlaces dedicados entre localidades e </w:t>
      </w:r>
      <w:r w:rsidR="00784FD5">
        <w:rPr>
          <w:rFonts w:ascii="Arial" w:hAnsi="Arial" w:cs="Arial"/>
          <w:lang w:val="es-ES_tradnl"/>
        </w:rPr>
        <w:t>internacionales</w:t>
      </w:r>
    </w:p>
    <w:p w14:paraId="3D044169" w14:textId="77777777" w:rsidR="00E63CB6" w:rsidRDefault="00E63CB6" w:rsidP="0014780A">
      <w:pPr>
        <w:spacing w:after="0"/>
        <w:jc w:val="both"/>
        <w:rPr>
          <w:rFonts w:ascii="Arial" w:hAnsi="Arial" w:cs="Arial"/>
          <w:bCs/>
          <w:lang w:val="es-ES_tradnl"/>
        </w:rPr>
      </w:pPr>
    </w:p>
    <w:p w14:paraId="2C8392F1" w14:textId="77777777" w:rsidR="00B57D23" w:rsidRDefault="00B57D23" w:rsidP="0014780A">
      <w:pPr>
        <w:spacing w:after="0"/>
        <w:jc w:val="both"/>
        <w:rPr>
          <w:rFonts w:ascii="Arial" w:hAnsi="Arial" w:cs="Arial"/>
          <w:bCs/>
          <w:lang w:val="es-ES_tradnl"/>
        </w:rPr>
      </w:pPr>
    </w:p>
    <w:p w14:paraId="4150BAC1" w14:textId="77777777" w:rsidR="00B57D23" w:rsidRDefault="00B57D23">
      <w:pPr>
        <w:autoSpaceDE w:val="0"/>
        <w:autoSpaceDN w:val="0"/>
        <w:adjustRightInd w:val="0"/>
        <w:spacing w:after="0"/>
        <w:jc w:val="both"/>
        <w:rPr>
          <w:rFonts w:ascii="Arial" w:hAnsi="Arial" w:cs="Arial"/>
          <w:b/>
          <w:bCs/>
        </w:rPr>
      </w:pPr>
      <w:r w:rsidRPr="00D47BB9">
        <w:rPr>
          <w:rFonts w:ascii="Arial" w:hAnsi="Arial" w:cs="Arial"/>
          <w:b/>
          <w:bCs/>
        </w:rPr>
        <w:t>Enlaces dedicados locales</w:t>
      </w:r>
    </w:p>
    <w:p w14:paraId="7FB0D59C" w14:textId="73B47F00" w:rsidR="00532465" w:rsidRPr="00657BA6" w:rsidRDefault="00532465" w:rsidP="00532465">
      <w:pPr>
        <w:spacing w:after="0"/>
        <w:jc w:val="both"/>
        <w:rPr>
          <w:rFonts w:ascii="Arial" w:hAnsi="Arial" w:cs="Arial"/>
          <w:bCs/>
          <w:lang w:val="es-ES_tradnl"/>
        </w:rPr>
      </w:pPr>
      <w:r w:rsidRPr="00657BA6">
        <w:rPr>
          <w:rFonts w:ascii="Arial" w:hAnsi="Arial" w:cs="Arial"/>
          <w:bCs/>
          <w:lang w:val="es-ES_tradnl"/>
        </w:rPr>
        <w:t xml:space="preserve">Para el caso de </w:t>
      </w:r>
      <w:r>
        <w:rPr>
          <w:rFonts w:ascii="Arial" w:hAnsi="Arial" w:cs="Arial"/>
          <w:bCs/>
          <w:lang w:val="es-ES_tradnl"/>
        </w:rPr>
        <w:t>e</w:t>
      </w:r>
      <w:r w:rsidRPr="00657BA6">
        <w:rPr>
          <w:rFonts w:ascii="Arial" w:hAnsi="Arial" w:cs="Arial"/>
          <w:bCs/>
          <w:lang w:val="es-ES_tradnl"/>
        </w:rPr>
        <w:t xml:space="preserve">nlaces </w:t>
      </w:r>
      <w:r>
        <w:rPr>
          <w:rFonts w:ascii="Arial" w:hAnsi="Arial" w:cs="Arial"/>
          <w:bCs/>
          <w:lang w:val="es-ES_tradnl"/>
        </w:rPr>
        <w:t>l</w:t>
      </w:r>
      <w:r w:rsidRPr="00657BA6">
        <w:rPr>
          <w:rFonts w:ascii="Arial" w:hAnsi="Arial" w:cs="Arial"/>
          <w:bCs/>
          <w:lang w:val="es-ES_tradnl"/>
        </w:rPr>
        <w:t>ocales los costos se calculan con base en un modelo unianual bottom-up que incluye los costos anualizados del equipamiento de red necesarios, los costos de la infraestructura de cobre y fibra, así como los costos de transporte de tráfico entre centrales del</w:t>
      </w:r>
      <w:r>
        <w:rPr>
          <w:rFonts w:ascii="Arial" w:hAnsi="Arial" w:cs="Arial"/>
          <w:bCs/>
          <w:lang w:val="es-ES_tradnl"/>
        </w:rPr>
        <w:t xml:space="preserve"> operador hipotético representativo del</w:t>
      </w:r>
      <w:r w:rsidRPr="00657BA6">
        <w:rPr>
          <w:rFonts w:ascii="Arial" w:hAnsi="Arial" w:cs="Arial"/>
          <w:bCs/>
          <w:lang w:val="es-ES_tradnl"/>
        </w:rPr>
        <w:t xml:space="preserve"> AEP calculado a partir del </w:t>
      </w:r>
      <w:r>
        <w:rPr>
          <w:rFonts w:ascii="Arial" w:hAnsi="Arial" w:cs="Arial"/>
          <w:bCs/>
          <w:lang w:val="es-ES_tradnl"/>
        </w:rPr>
        <w:t>M</w:t>
      </w:r>
      <w:r w:rsidRPr="00657BA6">
        <w:rPr>
          <w:rFonts w:ascii="Arial" w:hAnsi="Arial" w:cs="Arial"/>
          <w:bCs/>
          <w:lang w:val="es-ES_tradnl"/>
        </w:rPr>
        <w:t xml:space="preserve">odelo </w:t>
      </w:r>
      <w:r>
        <w:rPr>
          <w:rFonts w:ascii="Arial" w:hAnsi="Arial" w:cs="Arial"/>
          <w:bCs/>
          <w:lang w:val="es-ES_tradnl"/>
        </w:rPr>
        <w:t>F</w:t>
      </w:r>
      <w:r w:rsidRPr="00657BA6">
        <w:rPr>
          <w:rFonts w:ascii="Arial" w:hAnsi="Arial" w:cs="Arial"/>
          <w:bCs/>
          <w:lang w:val="es-ES_tradnl"/>
        </w:rPr>
        <w:t>ij</w:t>
      </w:r>
      <w:r>
        <w:rPr>
          <w:rFonts w:ascii="Arial" w:hAnsi="Arial" w:cs="Arial"/>
          <w:bCs/>
          <w:lang w:val="es-ES_tradnl"/>
        </w:rPr>
        <w:t>o</w:t>
      </w:r>
      <w:r w:rsidRPr="00657BA6">
        <w:rPr>
          <w:rFonts w:ascii="Arial" w:hAnsi="Arial" w:cs="Arial"/>
          <w:bCs/>
          <w:lang w:val="es-ES_tradnl"/>
        </w:rPr>
        <w:t xml:space="preserve"> para enlaces dedicados.</w:t>
      </w:r>
    </w:p>
    <w:p w14:paraId="3DFFCC37" w14:textId="77777777" w:rsidR="00532465" w:rsidRPr="00657BA6" w:rsidRDefault="00532465" w:rsidP="00532465">
      <w:pPr>
        <w:spacing w:after="0"/>
        <w:jc w:val="both"/>
        <w:rPr>
          <w:rFonts w:ascii="Arial" w:hAnsi="Arial" w:cs="Arial"/>
          <w:bCs/>
          <w:lang w:val="es-ES_tradnl"/>
        </w:rPr>
      </w:pPr>
    </w:p>
    <w:p w14:paraId="194A2E47" w14:textId="77777777" w:rsidR="00532465" w:rsidRPr="00657BA6" w:rsidRDefault="00532465" w:rsidP="00532465">
      <w:pPr>
        <w:spacing w:after="0"/>
        <w:jc w:val="both"/>
        <w:rPr>
          <w:rFonts w:ascii="Arial" w:hAnsi="Arial" w:cs="Arial"/>
          <w:bCs/>
          <w:lang w:val="es-ES_tradnl"/>
        </w:rPr>
      </w:pPr>
      <w:r w:rsidRPr="00657BA6">
        <w:rPr>
          <w:rFonts w:ascii="Arial" w:hAnsi="Arial" w:cs="Arial"/>
          <w:bCs/>
          <w:lang w:val="es-ES_tradnl"/>
        </w:rPr>
        <w:t xml:space="preserve">Asimismo, se han definido reglas de ingeniería en función de los elementos de red necesarios para ofrecer el servicio de enlaces dedicados. </w:t>
      </w:r>
    </w:p>
    <w:p w14:paraId="4DDE1A88" w14:textId="77777777" w:rsidR="00532465" w:rsidRPr="00657BA6" w:rsidRDefault="00532465" w:rsidP="00532465">
      <w:pPr>
        <w:spacing w:after="0"/>
        <w:jc w:val="both"/>
        <w:rPr>
          <w:rFonts w:ascii="Arial" w:hAnsi="Arial" w:cs="Arial"/>
          <w:bCs/>
          <w:lang w:val="es-ES_tradnl"/>
        </w:rPr>
      </w:pPr>
    </w:p>
    <w:p w14:paraId="5CACAAD9" w14:textId="6E7920CD" w:rsidR="00532465" w:rsidRPr="00657BA6" w:rsidRDefault="00532465" w:rsidP="00532465">
      <w:pPr>
        <w:spacing w:after="0"/>
        <w:jc w:val="both"/>
        <w:rPr>
          <w:rFonts w:ascii="Arial" w:hAnsi="Arial" w:cs="Arial"/>
          <w:bCs/>
          <w:lang w:val="es-ES_tradnl"/>
        </w:rPr>
      </w:pPr>
      <w:r w:rsidRPr="00657BA6">
        <w:rPr>
          <w:rFonts w:ascii="Arial" w:hAnsi="Arial" w:cs="Arial"/>
          <w:bCs/>
          <w:lang w:val="es-ES_tradnl"/>
        </w:rPr>
        <w:t>En línea con la Oferta de Referencia, el modelo costea el precio de una punta de enlace dedicado, pudiendo estar formado el enlace de una o dos puntas que conectan cada una el emplazamiento del operador con una central.</w:t>
      </w:r>
    </w:p>
    <w:p w14:paraId="475497DF" w14:textId="77777777" w:rsidR="00E84FF2" w:rsidRPr="00D47BB9" w:rsidRDefault="00E84FF2" w:rsidP="00D47BB9">
      <w:pPr>
        <w:autoSpaceDE w:val="0"/>
        <w:autoSpaceDN w:val="0"/>
        <w:adjustRightInd w:val="0"/>
        <w:spacing w:after="0"/>
        <w:jc w:val="both"/>
        <w:rPr>
          <w:rFonts w:ascii="Arial" w:hAnsi="Arial" w:cs="Arial"/>
        </w:rPr>
      </w:pPr>
    </w:p>
    <w:p w14:paraId="511944EB" w14:textId="37EC57C7" w:rsidR="00B57D23" w:rsidRDefault="00B57D23" w:rsidP="0014780A">
      <w:pPr>
        <w:autoSpaceDE w:val="0"/>
        <w:autoSpaceDN w:val="0"/>
        <w:adjustRightInd w:val="0"/>
        <w:spacing w:after="0"/>
        <w:jc w:val="both"/>
        <w:rPr>
          <w:rFonts w:ascii="Arial" w:hAnsi="Arial" w:cs="Arial"/>
        </w:rPr>
      </w:pPr>
      <w:r w:rsidRPr="00D47BB9">
        <w:rPr>
          <w:rFonts w:ascii="Arial" w:hAnsi="Arial" w:cs="Arial"/>
        </w:rPr>
        <w:t>Los enlaces dedicados locales son aquellos que proporcionan conectividad entre dos puntos dentro de una misma localidad. Estos enlaces pueden pasar por más de una central local del</w:t>
      </w:r>
      <w:r w:rsidR="00E84FF2">
        <w:rPr>
          <w:rFonts w:ascii="Arial" w:hAnsi="Arial" w:cs="Arial"/>
        </w:rPr>
        <w:t xml:space="preserve"> operador modelado</w:t>
      </w:r>
      <w:r w:rsidRPr="00D47BB9">
        <w:rPr>
          <w:rFonts w:ascii="Arial" w:hAnsi="Arial" w:cs="Arial"/>
        </w:rPr>
        <w:t>, siempre y cuando las mismas se encuentren dentro de la misma localidad.</w:t>
      </w:r>
    </w:p>
    <w:p w14:paraId="576E09A0" w14:textId="77777777" w:rsidR="00B57D23" w:rsidRPr="00D47BB9" w:rsidRDefault="00B57D23" w:rsidP="00D47BB9">
      <w:pPr>
        <w:autoSpaceDE w:val="0"/>
        <w:autoSpaceDN w:val="0"/>
        <w:adjustRightInd w:val="0"/>
        <w:spacing w:after="0"/>
        <w:jc w:val="both"/>
        <w:rPr>
          <w:rFonts w:ascii="Arial" w:hAnsi="Arial" w:cs="Arial"/>
        </w:rPr>
      </w:pPr>
    </w:p>
    <w:p w14:paraId="31D8AF3A" w14:textId="77777777" w:rsidR="00B57D23" w:rsidRDefault="00B57D23" w:rsidP="0014780A">
      <w:pPr>
        <w:autoSpaceDE w:val="0"/>
        <w:autoSpaceDN w:val="0"/>
        <w:adjustRightInd w:val="0"/>
        <w:spacing w:after="0"/>
        <w:jc w:val="center"/>
        <w:rPr>
          <w:rFonts w:ascii="Arial" w:hAnsi="Arial" w:cs="Arial"/>
        </w:rPr>
      </w:pPr>
      <w:r w:rsidRPr="00D47BB9">
        <w:rPr>
          <w:rFonts w:ascii="Arial" w:hAnsi="Arial" w:cs="Arial"/>
          <w:noProof/>
        </w:rPr>
        <w:lastRenderedPageBreak/>
        <w:drawing>
          <wp:inline distT="0" distB="0" distL="0" distR="0" wp14:anchorId="46BCEC7B" wp14:editId="6096D8AB">
            <wp:extent cx="5542915" cy="1486535"/>
            <wp:effectExtent l="0" t="0" r="635" b="0"/>
            <wp:docPr id="2118440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5542915" cy="1486535"/>
                    </a:xfrm>
                    <a:prstGeom prst="rect">
                      <a:avLst/>
                    </a:prstGeom>
                    <a:noFill/>
                    <a:ln>
                      <a:noFill/>
                    </a:ln>
                  </pic:spPr>
                </pic:pic>
              </a:graphicData>
            </a:graphic>
          </wp:inline>
        </w:drawing>
      </w:r>
    </w:p>
    <w:p w14:paraId="161DBBB2" w14:textId="6DEDBA2F" w:rsidR="00A32864" w:rsidRPr="00657BA6" w:rsidRDefault="00A32864" w:rsidP="0014780A">
      <w:pPr>
        <w:spacing w:after="0"/>
        <w:jc w:val="center"/>
        <w:rPr>
          <w:rFonts w:ascii="Arial" w:hAnsi="Arial" w:cs="Arial"/>
          <w:lang w:val="es-ES_tradnl"/>
        </w:rPr>
      </w:pPr>
      <w:r w:rsidRPr="00657BA6">
        <w:rPr>
          <w:rFonts w:ascii="Arial" w:hAnsi="Arial" w:cs="Arial"/>
          <w:lang w:val="es-ES_tradnl"/>
        </w:rPr>
        <w:t>Figura 1</w:t>
      </w:r>
      <w:r>
        <w:rPr>
          <w:rFonts w:ascii="Arial" w:hAnsi="Arial" w:cs="Arial"/>
          <w:lang w:val="es-ES_tradnl"/>
        </w:rPr>
        <w:t>2</w:t>
      </w:r>
      <w:r w:rsidRPr="00657BA6">
        <w:rPr>
          <w:rFonts w:ascii="Arial" w:hAnsi="Arial" w:cs="Arial"/>
          <w:lang w:val="es-ES_tradnl"/>
        </w:rPr>
        <w:t xml:space="preserve">. </w:t>
      </w:r>
      <w:r>
        <w:rPr>
          <w:rFonts w:ascii="Arial" w:hAnsi="Arial" w:cs="Arial"/>
          <w:lang w:val="es-ES_tradnl"/>
        </w:rPr>
        <w:t>Esquema de enlaces dedicados locales</w:t>
      </w:r>
    </w:p>
    <w:p w14:paraId="36100FC4" w14:textId="77777777" w:rsidR="00A32864" w:rsidRPr="00D47BB9" w:rsidRDefault="00A32864" w:rsidP="0014780A">
      <w:pPr>
        <w:autoSpaceDE w:val="0"/>
        <w:autoSpaceDN w:val="0"/>
        <w:adjustRightInd w:val="0"/>
        <w:spacing w:after="0"/>
        <w:jc w:val="center"/>
        <w:rPr>
          <w:rFonts w:ascii="Arial" w:hAnsi="Arial" w:cs="Arial"/>
          <w:lang w:val="es-ES_tradnl"/>
        </w:rPr>
      </w:pPr>
    </w:p>
    <w:p w14:paraId="56BD7BD4" w14:textId="77777777" w:rsidR="00B57D23" w:rsidRPr="00D47BB9" w:rsidRDefault="00B57D23" w:rsidP="00D47BB9">
      <w:pPr>
        <w:autoSpaceDE w:val="0"/>
        <w:autoSpaceDN w:val="0"/>
        <w:adjustRightInd w:val="0"/>
        <w:spacing w:after="0"/>
        <w:jc w:val="center"/>
        <w:rPr>
          <w:rFonts w:ascii="Arial" w:hAnsi="Arial" w:cs="Arial"/>
        </w:rPr>
      </w:pPr>
    </w:p>
    <w:p w14:paraId="60C6FFDD" w14:textId="00F03827" w:rsidR="00B57D23" w:rsidRDefault="00B57D23" w:rsidP="0014780A">
      <w:pPr>
        <w:autoSpaceDE w:val="0"/>
        <w:autoSpaceDN w:val="0"/>
        <w:adjustRightInd w:val="0"/>
        <w:spacing w:after="0"/>
        <w:jc w:val="both"/>
        <w:rPr>
          <w:rFonts w:ascii="Arial" w:hAnsi="Arial" w:cs="Arial"/>
        </w:rPr>
      </w:pPr>
      <w:r w:rsidRPr="00D47BB9">
        <w:rPr>
          <w:rFonts w:ascii="Arial" w:hAnsi="Arial" w:cs="Arial"/>
        </w:rPr>
        <w:t>El AEP</w:t>
      </w:r>
      <w:r w:rsidR="00E84FF2">
        <w:rPr>
          <w:rFonts w:ascii="Arial" w:hAnsi="Arial" w:cs="Arial"/>
        </w:rPr>
        <w:t>, bajo la oferta de referencia,</w:t>
      </w:r>
      <w:r w:rsidRPr="00D47BB9">
        <w:rPr>
          <w:rFonts w:ascii="Arial" w:hAnsi="Arial" w:cs="Arial"/>
        </w:rPr>
        <w:t xml:space="preserve"> debe ofertar servicios de enlaces dedicados locales para las tecnologías TDM y Ethernet, con lo cual el modelo de costos debe ser capaz de estimar los costos para ambos tipos de tecnología, y para cada una de las velocidades ofertadas. </w:t>
      </w:r>
      <w:r w:rsidRPr="00B57D23">
        <w:rPr>
          <w:rFonts w:ascii="Arial" w:hAnsi="Arial" w:cs="Arial"/>
        </w:rPr>
        <w:t>Las tarifas por determinar</w:t>
      </w:r>
      <w:r w:rsidRPr="00D47BB9">
        <w:rPr>
          <w:rFonts w:ascii="Arial" w:hAnsi="Arial" w:cs="Arial"/>
        </w:rPr>
        <w:t xml:space="preserve"> por el modelo de costos, tanto en su tarifa recurrente como en la tarifa no recurrente, deberán medirse para cada tramo del enlace.</w:t>
      </w:r>
    </w:p>
    <w:p w14:paraId="6B568FCE" w14:textId="77777777" w:rsidR="00B57D23" w:rsidRPr="00D47BB9" w:rsidRDefault="00B57D23" w:rsidP="00D47BB9">
      <w:pPr>
        <w:autoSpaceDE w:val="0"/>
        <w:autoSpaceDN w:val="0"/>
        <w:adjustRightInd w:val="0"/>
        <w:spacing w:after="0"/>
        <w:jc w:val="both"/>
        <w:rPr>
          <w:rFonts w:ascii="Arial" w:hAnsi="Arial" w:cs="Arial"/>
        </w:rPr>
      </w:pPr>
    </w:p>
    <w:p w14:paraId="4D52992D" w14:textId="77777777" w:rsidR="00B57D23" w:rsidRDefault="00B57D23" w:rsidP="0014780A">
      <w:pPr>
        <w:autoSpaceDE w:val="0"/>
        <w:autoSpaceDN w:val="0"/>
        <w:adjustRightInd w:val="0"/>
        <w:spacing w:after="0"/>
        <w:jc w:val="both"/>
        <w:rPr>
          <w:rFonts w:ascii="Arial" w:hAnsi="Arial" w:cs="Arial"/>
        </w:rPr>
      </w:pPr>
      <w:r w:rsidRPr="00D47BB9">
        <w:rPr>
          <w:rFonts w:ascii="Arial" w:hAnsi="Arial" w:cs="Arial"/>
        </w:rPr>
        <w:t>Los costos asociados a la tarifa recurrente del servicio de enlaces dedicados locales pueden desagregarse en las siguientes componentes:</w:t>
      </w:r>
    </w:p>
    <w:p w14:paraId="72932CC3" w14:textId="77777777" w:rsidR="00B57D23" w:rsidRPr="00D47BB9" w:rsidRDefault="00B57D23" w:rsidP="00D47BB9">
      <w:pPr>
        <w:autoSpaceDE w:val="0"/>
        <w:autoSpaceDN w:val="0"/>
        <w:adjustRightInd w:val="0"/>
        <w:spacing w:after="0"/>
        <w:jc w:val="both"/>
        <w:rPr>
          <w:rFonts w:ascii="Arial" w:hAnsi="Arial" w:cs="Arial"/>
        </w:rPr>
      </w:pPr>
    </w:p>
    <w:p w14:paraId="74CB2FA8" w14:textId="4461CE8E" w:rsidR="00B57D23" w:rsidRPr="00B57D23" w:rsidRDefault="00B57D23" w:rsidP="009640AE">
      <w:pPr>
        <w:pStyle w:val="Prrafodelista"/>
        <w:numPr>
          <w:ilvl w:val="0"/>
          <w:numId w:val="58"/>
        </w:numPr>
        <w:autoSpaceDE w:val="0"/>
        <w:autoSpaceDN w:val="0"/>
        <w:adjustRightInd w:val="0"/>
        <w:spacing w:line="276" w:lineRule="auto"/>
        <w:rPr>
          <w:rFonts w:cs="Arial"/>
        </w:rPr>
      </w:pPr>
      <w:r w:rsidRPr="00B57D23">
        <w:rPr>
          <w:rFonts w:cs="Arial"/>
        </w:rPr>
        <w:t>Cableado de acceso: costos asociados a la red de fibra o cobre necesaria para alcanzar la ubicación final del cliente desde la central local</w:t>
      </w:r>
      <w:r w:rsidR="00752F2D">
        <w:rPr>
          <w:rFonts w:cs="Arial"/>
        </w:rPr>
        <w:t>.</w:t>
      </w:r>
    </w:p>
    <w:p w14:paraId="31F037D8" w14:textId="1AC761B0" w:rsidR="00B57D23" w:rsidRPr="00B57D23" w:rsidRDefault="00B57D23" w:rsidP="009640AE">
      <w:pPr>
        <w:pStyle w:val="Prrafodelista"/>
        <w:numPr>
          <w:ilvl w:val="0"/>
          <w:numId w:val="58"/>
        </w:numPr>
        <w:autoSpaceDE w:val="0"/>
        <w:autoSpaceDN w:val="0"/>
        <w:adjustRightInd w:val="0"/>
        <w:spacing w:line="276" w:lineRule="auto"/>
        <w:rPr>
          <w:rFonts w:cs="Arial"/>
        </w:rPr>
      </w:pPr>
      <w:r w:rsidRPr="00B57D23">
        <w:rPr>
          <w:rFonts w:cs="Arial"/>
        </w:rPr>
        <w:t>Transporte: costos asociados a los enrutadores, fibra de transporte y otros equipos de la red de transporte que interconectan las centrales locales, los cuales son compartidos con otros servicios de voz y datos provistos a través de la red fija</w:t>
      </w:r>
      <w:r w:rsidR="00752F2D">
        <w:rPr>
          <w:rFonts w:cs="Arial"/>
        </w:rPr>
        <w:t>.</w:t>
      </w:r>
    </w:p>
    <w:p w14:paraId="679B1E07" w14:textId="0E01E1CB" w:rsidR="00B57D23" w:rsidRPr="00B57D23" w:rsidRDefault="00B57D23" w:rsidP="009640AE">
      <w:pPr>
        <w:pStyle w:val="Prrafodelista"/>
        <w:numPr>
          <w:ilvl w:val="0"/>
          <w:numId w:val="58"/>
        </w:numPr>
        <w:autoSpaceDE w:val="0"/>
        <w:autoSpaceDN w:val="0"/>
        <w:adjustRightInd w:val="0"/>
        <w:spacing w:line="276" w:lineRule="auto"/>
        <w:rPr>
          <w:rFonts w:cs="Arial"/>
        </w:rPr>
      </w:pPr>
      <w:r w:rsidRPr="00B57D23">
        <w:rPr>
          <w:rFonts w:cs="Arial"/>
        </w:rPr>
        <w:t>Equipos específicos para enlaces dedicados: costos asociados a equipos específicos a instalar o bien en el emplazamiento de cliente o bien en las centrales locales, pero que son empleados exclusivamente para servicios de enlaces dedicados</w:t>
      </w:r>
      <w:r w:rsidR="00752F2D">
        <w:rPr>
          <w:rFonts w:cs="Arial"/>
        </w:rPr>
        <w:t>.</w:t>
      </w:r>
    </w:p>
    <w:p w14:paraId="164DC705" w14:textId="77777777" w:rsidR="00B57D23" w:rsidRPr="00D47BB9" w:rsidRDefault="00B57D23" w:rsidP="00D47BB9">
      <w:pPr>
        <w:autoSpaceDE w:val="0"/>
        <w:autoSpaceDN w:val="0"/>
        <w:adjustRightInd w:val="0"/>
        <w:spacing w:after="0"/>
        <w:jc w:val="both"/>
        <w:rPr>
          <w:rFonts w:ascii="Arial" w:hAnsi="Arial" w:cs="Arial"/>
        </w:rPr>
      </w:pPr>
    </w:p>
    <w:p w14:paraId="44DBD41A" w14:textId="0C5BC671" w:rsidR="00B57D23" w:rsidRDefault="00B57D23">
      <w:pPr>
        <w:autoSpaceDE w:val="0"/>
        <w:autoSpaceDN w:val="0"/>
        <w:adjustRightInd w:val="0"/>
        <w:spacing w:after="0"/>
        <w:jc w:val="both"/>
        <w:rPr>
          <w:rFonts w:ascii="Arial" w:hAnsi="Arial" w:cs="Arial"/>
        </w:rPr>
      </w:pPr>
      <w:r w:rsidRPr="00D47BB9">
        <w:rPr>
          <w:rFonts w:ascii="Arial" w:hAnsi="Arial" w:cs="Arial"/>
        </w:rPr>
        <w:t xml:space="preserve">Cabe destacar que el </w:t>
      </w:r>
      <w:r w:rsidR="00752F2D">
        <w:rPr>
          <w:rFonts w:ascii="Arial" w:hAnsi="Arial" w:cs="Arial"/>
        </w:rPr>
        <w:t>Modelo Fijo</w:t>
      </w:r>
      <w:r w:rsidRPr="00D47BB9">
        <w:rPr>
          <w:rFonts w:ascii="Arial" w:hAnsi="Arial" w:cs="Arial"/>
        </w:rPr>
        <w:t xml:space="preserve"> presentado se basa exclusivamente en una tecnología NGN, con lo cual no incluye los costos asociados a plataformas TDM requeridas para la provisión de ciertos servicios de enlaces dedicados. Por este motivo, el modelo podrá, de manera adicional considerar un factor de reconciliación que considere los costos adicionales.</w:t>
      </w:r>
    </w:p>
    <w:p w14:paraId="11253928" w14:textId="77777777" w:rsidR="007D6E3B" w:rsidRPr="00D47BB9" w:rsidRDefault="007D6E3B" w:rsidP="00D47BB9">
      <w:pPr>
        <w:autoSpaceDE w:val="0"/>
        <w:autoSpaceDN w:val="0"/>
        <w:adjustRightInd w:val="0"/>
        <w:spacing w:after="0"/>
        <w:jc w:val="both"/>
        <w:rPr>
          <w:rFonts w:ascii="Arial" w:hAnsi="Arial" w:cs="Arial"/>
        </w:rPr>
      </w:pPr>
    </w:p>
    <w:p w14:paraId="4064AFF4" w14:textId="2AB59F71" w:rsidR="00B57D23" w:rsidRDefault="00B57D23" w:rsidP="0014780A">
      <w:pPr>
        <w:autoSpaceDE w:val="0"/>
        <w:autoSpaceDN w:val="0"/>
        <w:adjustRightInd w:val="0"/>
        <w:spacing w:after="0"/>
        <w:jc w:val="both"/>
        <w:rPr>
          <w:rFonts w:ascii="Arial" w:hAnsi="Arial" w:cs="Arial"/>
        </w:rPr>
      </w:pPr>
      <w:r w:rsidRPr="00D47BB9">
        <w:rPr>
          <w:rFonts w:ascii="Arial" w:hAnsi="Arial" w:cs="Arial"/>
        </w:rPr>
        <w:t xml:space="preserve">Por otro lado, con respecto </w:t>
      </w:r>
      <w:r w:rsidR="002C4B14">
        <w:rPr>
          <w:rFonts w:ascii="Arial" w:hAnsi="Arial" w:cs="Arial"/>
        </w:rPr>
        <w:t>al</w:t>
      </w:r>
      <w:r w:rsidRPr="00D47BB9">
        <w:rPr>
          <w:rFonts w:ascii="Arial" w:hAnsi="Arial" w:cs="Arial"/>
        </w:rPr>
        <w:t xml:space="preserve"> componente de cableado de acceso, el modelo no estima los costos del acceso. Por este motivo, </w:t>
      </w:r>
      <w:r w:rsidR="002C4B14">
        <w:rPr>
          <w:rFonts w:ascii="Arial" w:hAnsi="Arial" w:cs="Arial"/>
        </w:rPr>
        <w:t>el</w:t>
      </w:r>
      <w:r w:rsidR="002C4B14" w:rsidRPr="00D47BB9">
        <w:rPr>
          <w:rFonts w:ascii="Arial" w:hAnsi="Arial" w:cs="Arial"/>
        </w:rPr>
        <w:t xml:space="preserve"> </w:t>
      </w:r>
      <w:r w:rsidRPr="00D47BB9">
        <w:rPr>
          <w:rFonts w:ascii="Arial" w:hAnsi="Arial" w:cs="Arial"/>
        </w:rPr>
        <w:t xml:space="preserve">componente de acceso será extraída del modelo integral de acceso vigente aprobado por el </w:t>
      </w:r>
      <w:r w:rsidR="00126C1F">
        <w:rPr>
          <w:rFonts w:ascii="Arial" w:hAnsi="Arial" w:cs="Arial"/>
        </w:rPr>
        <w:t>Instituto</w:t>
      </w:r>
      <w:r w:rsidRPr="00D47BB9">
        <w:rPr>
          <w:rFonts w:ascii="Arial" w:hAnsi="Arial" w:cs="Arial"/>
        </w:rPr>
        <w:t>. Los costos de cableado y los costos de equipos específicos serán determinados a través de una serie de reglas de ingeniería que permitan precisar la relación entre los servicios concretos provistos y estas componentes.</w:t>
      </w:r>
    </w:p>
    <w:p w14:paraId="1693FCE3" w14:textId="77777777" w:rsidR="00075EB3" w:rsidRDefault="00075EB3" w:rsidP="0014780A">
      <w:pPr>
        <w:autoSpaceDE w:val="0"/>
        <w:autoSpaceDN w:val="0"/>
        <w:adjustRightInd w:val="0"/>
        <w:spacing w:after="0"/>
        <w:jc w:val="both"/>
        <w:rPr>
          <w:rFonts w:ascii="Arial" w:hAnsi="Arial" w:cs="Arial"/>
        </w:rPr>
      </w:pPr>
    </w:p>
    <w:p w14:paraId="6AC94F9D" w14:textId="77777777" w:rsidR="00075EB3" w:rsidRDefault="00075EB3" w:rsidP="00075EB3">
      <w:pPr>
        <w:spacing w:after="0"/>
        <w:jc w:val="both"/>
        <w:rPr>
          <w:rFonts w:ascii="Arial" w:hAnsi="Arial" w:cs="Arial"/>
          <w:bCs/>
          <w:lang w:val="es-ES_tradnl"/>
        </w:rPr>
      </w:pPr>
      <w:r w:rsidRPr="00657BA6">
        <w:rPr>
          <w:rFonts w:ascii="Arial" w:hAnsi="Arial" w:cs="Arial"/>
          <w:bCs/>
          <w:lang w:val="es-ES_tradnl"/>
        </w:rPr>
        <w:lastRenderedPageBreak/>
        <w:t>Para calcular los costos del equipamiento se han identificado los elementos de red necesarios entre el cliente y la central del AEP. Para cada uno de los elementos se han definido unas reglas de ingeniería que incluye el equipo en el sitio del cliente, el cableado y el equipo de agregación en central como muestra la siguiente figura:</w:t>
      </w:r>
    </w:p>
    <w:p w14:paraId="48001A78" w14:textId="77777777" w:rsidR="00075EB3" w:rsidRPr="00657BA6" w:rsidRDefault="00075EB3" w:rsidP="00075EB3">
      <w:pPr>
        <w:spacing w:after="0"/>
        <w:jc w:val="both"/>
        <w:rPr>
          <w:rFonts w:ascii="Arial" w:hAnsi="Arial" w:cs="Arial"/>
          <w:bCs/>
          <w:lang w:val="es-ES_tradnl"/>
        </w:rPr>
      </w:pPr>
    </w:p>
    <w:p w14:paraId="47043EBE" w14:textId="77777777" w:rsidR="00075EB3" w:rsidRPr="00657BA6" w:rsidRDefault="00075EB3" w:rsidP="00EC195C">
      <w:pPr>
        <w:spacing w:after="0"/>
        <w:jc w:val="center"/>
        <w:rPr>
          <w:rFonts w:ascii="Arial" w:hAnsi="Arial" w:cs="Arial"/>
          <w:bCs/>
          <w:lang w:val="es-ES_tradnl"/>
        </w:rPr>
      </w:pPr>
      <w:r w:rsidRPr="00657BA6">
        <w:rPr>
          <w:rFonts w:ascii="Arial" w:hAnsi="Arial" w:cs="Arial"/>
          <w:bCs/>
          <w:noProof/>
          <w:lang w:eastAsia="es-MX"/>
        </w:rPr>
        <w:drawing>
          <wp:inline distT="0" distB="0" distL="0" distR="0" wp14:anchorId="3FD69AB6" wp14:editId="26FA0140">
            <wp:extent cx="5613400" cy="327660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5613400" cy="3276600"/>
                    </a:xfrm>
                    <a:prstGeom prst="rect">
                      <a:avLst/>
                    </a:prstGeom>
                    <a:noFill/>
                    <a:ln>
                      <a:noFill/>
                    </a:ln>
                  </pic:spPr>
                </pic:pic>
              </a:graphicData>
            </a:graphic>
          </wp:inline>
        </w:drawing>
      </w:r>
    </w:p>
    <w:p w14:paraId="08E7CE00" w14:textId="0B3459FE" w:rsidR="00075EB3" w:rsidRPr="00657BA6" w:rsidRDefault="00075EB3" w:rsidP="00075EB3">
      <w:pPr>
        <w:spacing w:after="0"/>
        <w:jc w:val="center"/>
        <w:rPr>
          <w:rFonts w:ascii="Arial" w:hAnsi="Arial" w:cs="Arial"/>
          <w:lang w:val="es-ES_tradnl"/>
        </w:rPr>
      </w:pPr>
      <w:r w:rsidRPr="00657BA6">
        <w:rPr>
          <w:rFonts w:ascii="Arial" w:hAnsi="Arial" w:cs="Arial"/>
          <w:lang w:val="es-ES_tradnl"/>
        </w:rPr>
        <w:t xml:space="preserve">Figura </w:t>
      </w:r>
      <w:r>
        <w:rPr>
          <w:rFonts w:ascii="Arial" w:hAnsi="Arial" w:cs="Arial"/>
          <w:lang w:val="es-ES_tradnl"/>
        </w:rPr>
        <w:t>1</w:t>
      </w:r>
      <w:r w:rsidR="00BF258D">
        <w:rPr>
          <w:rFonts w:ascii="Arial" w:hAnsi="Arial" w:cs="Arial"/>
          <w:lang w:val="es-ES_tradnl"/>
        </w:rPr>
        <w:t>3</w:t>
      </w:r>
      <w:r w:rsidRPr="00657BA6">
        <w:rPr>
          <w:rFonts w:ascii="Arial" w:hAnsi="Arial" w:cs="Arial"/>
          <w:lang w:val="es-ES_tradnl"/>
        </w:rPr>
        <w:t>. Reglas de ingeniería para calcular los costos de equipamiento</w:t>
      </w:r>
    </w:p>
    <w:p w14:paraId="42026707" w14:textId="77777777" w:rsidR="00B57D23" w:rsidRPr="00D47BB9" w:rsidRDefault="00B57D23" w:rsidP="00D47BB9">
      <w:pPr>
        <w:autoSpaceDE w:val="0"/>
        <w:autoSpaceDN w:val="0"/>
        <w:adjustRightInd w:val="0"/>
        <w:spacing w:after="0"/>
        <w:jc w:val="both"/>
        <w:rPr>
          <w:rFonts w:ascii="Arial" w:hAnsi="Arial" w:cs="Arial"/>
        </w:rPr>
      </w:pPr>
    </w:p>
    <w:p w14:paraId="71BEFA8E" w14:textId="77777777" w:rsidR="00B57D23" w:rsidRDefault="00B57D23" w:rsidP="0014780A">
      <w:pPr>
        <w:autoSpaceDE w:val="0"/>
        <w:autoSpaceDN w:val="0"/>
        <w:adjustRightInd w:val="0"/>
        <w:spacing w:after="0"/>
        <w:jc w:val="both"/>
        <w:rPr>
          <w:rFonts w:ascii="Arial" w:hAnsi="Arial" w:cs="Arial"/>
        </w:rPr>
      </w:pPr>
      <w:r w:rsidRPr="00D47BB9">
        <w:rPr>
          <w:rFonts w:ascii="Arial" w:hAnsi="Arial" w:cs="Arial"/>
        </w:rPr>
        <w:t>Por su parte, las tarifas de instalación del servicio de enlaces dedicados locales, comprenderá dos componentes diferenciadas:</w:t>
      </w:r>
    </w:p>
    <w:p w14:paraId="2A28F93D" w14:textId="77777777" w:rsidR="00B57D23" w:rsidRPr="00D47BB9" w:rsidRDefault="00B57D23" w:rsidP="00D47BB9">
      <w:pPr>
        <w:autoSpaceDE w:val="0"/>
        <w:autoSpaceDN w:val="0"/>
        <w:adjustRightInd w:val="0"/>
        <w:spacing w:after="0"/>
        <w:jc w:val="both"/>
        <w:rPr>
          <w:rFonts w:ascii="Arial" w:hAnsi="Arial" w:cs="Arial"/>
        </w:rPr>
      </w:pPr>
    </w:p>
    <w:p w14:paraId="469F0E66" w14:textId="11927AE7" w:rsidR="00B57D23" w:rsidRPr="00B57D23" w:rsidRDefault="00B57D23" w:rsidP="009640AE">
      <w:pPr>
        <w:pStyle w:val="Prrafodelista"/>
        <w:numPr>
          <w:ilvl w:val="0"/>
          <w:numId w:val="59"/>
        </w:numPr>
        <w:autoSpaceDE w:val="0"/>
        <w:autoSpaceDN w:val="0"/>
        <w:adjustRightInd w:val="0"/>
        <w:spacing w:line="276" w:lineRule="auto"/>
        <w:rPr>
          <w:rFonts w:cs="Arial"/>
        </w:rPr>
      </w:pPr>
      <w:r w:rsidRPr="00B57D23">
        <w:rPr>
          <w:rFonts w:cs="Arial"/>
        </w:rPr>
        <w:t>Instalación de los equipos específicos: costos asociados a la instalación de los equipos específicos asociados a los servicios de enlaces dedicados locales</w:t>
      </w:r>
      <w:r w:rsidR="007D6E3B">
        <w:rPr>
          <w:rFonts w:cs="Arial"/>
        </w:rPr>
        <w:t>.</w:t>
      </w:r>
    </w:p>
    <w:p w14:paraId="5EF83FC9" w14:textId="23708A6F" w:rsidR="00B57D23" w:rsidRDefault="00B57D23" w:rsidP="009640AE">
      <w:pPr>
        <w:pStyle w:val="Prrafodelista"/>
        <w:numPr>
          <w:ilvl w:val="0"/>
          <w:numId w:val="59"/>
        </w:numPr>
        <w:autoSpaceDE w:val="0"/>
        <w:autoSpaceDN w:val="0"/>
        <w:adjustRightInd w:val="0"/>
        <w:spacing w:line="276" w:lineRule="auto"/>
        <w:rPr>
          <w:rFonts w:cs="Arial"/>
        </w:rPr>
      </w:pPr>
      <w:r w:rsidRPr="00B57D23">
        <w:rPr>
          <w:rFonts w:cs="Arial"/>
        </w:rPr>
        <w:t>Activación del servicio: costos del personal del AEP requerido para la instalación y activación del servicio</w:t>
      </w:r>
      <w:r w:rsidR="007D6E3B">
        <w:rPr>
          <w:rFonts w:cs="Arial"/>
        </w:rPr>
        <w:t>.</w:t>
      </w:r>
    </w:p>
    <w:p w14:paraId="18C26C39" w14:textId="77777777" w:rsidR="00B57D23" w:rsidRPr="00B57D23" w:rsidRDefault="00B57D23" w:rsidP="00D47BB9">
      <w:pPr>
        <w:pStyle w:val="Prrafodelista"/>
        <w:autoSpaceDE w:val="0"/>
        <w:autoSpaceDN w:val="0"/>
        <w:adjustRightInd w:val="0"/>
        <w:spacing w:line="276" w:lineRule="auto"/>
        <w:ind w:left="720"/>
        <w:rPr>
          <w:rFonts w:cs="Arial"/>
        </w:rPr>
      </w:pPr>
    </w:p>
    <w:p w14:paraId="74B3EEF6" w14:textId="22EEC0AA" w:rsidR="00B57D23" w:rsidRDefault="00B57D23" w:rsidP="0014780A">
      <w:pPr>
        <w:autoSpaceDE w:val="0"/>
        <w:autoSpaceDN w:val="0"/>
        <w:adjustRightInd w:val="0"/>
        <w:spacing w:after="0"/>
        <w:jc w:val="both"/>
        <w:rPr>
          <w:rFonts w:ascii="Arial" w:hAnsi="Arial" w:cs="Arial"/>
        </w:rPr>
      </w:pPr>
      <w:r w:rsidRPr="00D47BB9">
        <w:rPr>
          <w:rFonts w:ascii="Arial" w:hAnsi="Arial" w:cs="Arial"/>
        </w:rPr>
        <w:t xml:space="preserve">Los costos totales de las diferentes componentes de costos (tanto de la tarifa recurrente como de la tarifa no recurrente) serán atribuidos a los servicios específicos con base a un criterio causal. </w:t>
      </w:r>
      <w:r w:rsidR="00075EB3">
        <w:rPr>
          <w:rFonts w:ascii="Arial" w:hAnsi="Arial" w:cs="Arial"/>
        </w:rPr>
        <w:t xml:space="preserve">Asimismo, se </w:t>
      </w:r>
      <w:r w:rsidRPr="00D47BB9">
        <w:rPr>
          <w:rFonts w:ascii="Arial" w:hAnsi="Arial" w:cs="Arial"/>
        </w:rPr>
        <w:t>determina</w:t>
      </w:r>
      <w:r w:rsidR="00075EB3">
        <w:rPr>
          <w:rFonts w:ascii="Arial" w:hAnsi="Arial" w:cs="Arial"/>
        </w:rPr>
        <w:t>rá</w:t>
      </w:r>
      <w:r w:rsidRPr="00D47BB9">
        <w:rPr>
          <w:rFonts w:ascii="Arial" w:hAnsi="Arial" w:cs="Arial"/>
        </w:rPr>
        <w:t xml:space="preserve"> un gradiente de costos que permita una asignación de los costos. Dicho gradiente se basará en los niveles de precios existentes en el mercado, a fin de asegurar consistencia en su evolución temporal.</w:t>
      </w:r>
    </w:p>
    <w:p w14:paraId="7DA8E243" w14:textId="77777777" w:rsidR="00B57D23" w:rsidRPr="00D47BB9" w:rsidRDefault="00B57D23" w:rsidP="00D47BB9">
      <w:pPr>
        <w:autoSpaceDE w:val="0"/>
        <w:autoSpaceDN w:val="0"/>
        <w:adjustRightInd w:val="0"/>
        <w:spacing w:after="0"/>
        <w:jc w:val="both"/>
        <w:rPr>
          <w:rFonts w:ascii="Arial" w:hAnsi="Arial" w:cs="Arial"/>
        </w:rPr>
      </w:pPr>
    </w:p>
    <w:p w14:paraId="35E3579E" w14:textId="3C61EF7B" w:rsidR="00B57D23" w:rsidRPr="00D47BB9" w:rsidRDefault="00B57D23" w:rsidP="00D47BB9">
      <w:pPr>
        <w:autoSpaceDE w:val="0"/>
        <w:autoSpaceDN w:val="0"/>
        <w:adjustRightInd w:val="0"/>
        <w:spacing w:after="0"/>
        <w:jc w:val="both"/>
        <w:rPr>
          <w:rFonts w:ascii="Arial" w:hAnsi="Arial" w:cs="Arial"/>
        </w:rPr>
      </w:pPr>
      <w:r w:rsidRPr="00D47BB9">
        <w:rPr>
          <w:rFonts w:ascii="Arial" w:hAnsi="Arial" w:cs="Arial"/>
        </w:rPr>
        <w:t xml:space="preserve">De manera adicional, el modelo deberá calcular la tarifa del servicio de tramo local coubicado. Un tramo local coubicado es aquel en el que la entrega del servicio al cliente final se realiza </w:t>
      </w:r>
      <w:r w:rsidRPr="00D47BB9">
        <w:rPr>
          <w:rFonts w:ascii="Arial" w:hAnsi="Arial" w:cs="Arial"/>
        </w:rPr>
        <w:lastRenderedPageBreak/>
        <w:t xml:space="preserve">dentro de una central </w:t>
      </w:r>
      <w:r w:rsidR="00075EB3">
        <w:rPr>
          <w:rFonts w:ascii="Arial" w:hAnsi="Arial" w:cs="Arial"/>
        </w:rPr>
        <w:t>del operador representativo del AEP</w:t>
      </w:r>
      <w:r w:rsidRPr="00D47BB9">
        <w:rPr>
          <w:rFonts w:ascii="Arial" w:hAnsi="Arial" w:cs="Arial"/>
        </w:rPr>
        <w:t>, en la cual se encuentre coubicado el CS. En el cálculo de esta tarifa se seguirán unos principios similares a los seguidos en los tramos locales no coubicados, con las siguientes excepciones:</w:t>
      </w:r>
    </w:p>
    <w:p w14:paraId="2C8A3EEC" w14:textId="77777777" w:rsidR="00B57D23" w:rsidRDefault="00B57D23" w:rsidP="0014780A">
      <w:pPr>
        <w:autoSpaceDE w:val="0"/>
        <w:autoSpaceDN w:val="0"/>
        <w:adjustRightInd w:val="0"/>
        <w:spacing w:after="0"/>
        <w:jc w:val="both"/>
        <w:rPr>
          <w:rFonts w:ascii="Arial" w:hAnsi="Arial" w:cs="Arial"/>
        </w:rPr>
      </w:pPr>
    </w:p>
    <w:p w14:paraId="6DA512CD" w14:textId="0CCDD006" w:rsidR="00B57D23" w:rsidRPr="00B57D23" w:rsidRDefault="00B57D23" w:rsidP="009640AE">
      <w:pPr>
        <w:pStyle w:val="Prrafodelista"/>
        <w:numPr>
          <w:ilvl w:val="0"/>
          <w:numId w:val="60"/>
        </w:numPr>
        <w:autoSpaceDE w:val="0"/>
        <w:autoSpaceDN w:val="0"/>
        <w:adjustRightInd w:val="0"/>
        <w:spacing w:line="276" w:lineRule="auto"/>
        <w:rPr>
          <w:rFonts w:cs="Arial"/>
        </w:rPr>
      </w:pPr>
      <w:r w:rsidRPr="00B57D23">
        <w:rPr>
          <w:rFonts w:cs="Arial"/>
        </w:rPr>
        <w:t>Se excluirá la componente de cableado de acceso</w:t>
      </w:r>
      <w:r w:rsidR="00A13774">
        <w:rPr>
          <w:rFonts w:cs="Arial"/>
        </w:rPr>
        <w:t>.</w:t>
      </w:r>
    </w:p>
    <w:p w14:paraId="70CF2A78" w14:textId="12348E17" w:rsidR="00B57D23" w:rsidRPr="00B57D23" w:rsidRDefault="00B57D23" w:rsidP="009640AE">
      <w:pPr>
        <w:pStyle w:val="Prrafodelista"/>
        <w:numPr>
          <w:ilvl w:val="0"/>
          <w:numId w:val="60"/>
        </w:numPr>
        <w:autoSpaceDE w:val="0"/>
        <w:autoSpaceDN w:val="0"/>
        <w:adjustRightInd w:val="0"/>
        <w:spacing w:line="276" w:lineRule="auto"/>
        <w:rPr>
          <w:rFonts w:cs="Arial"/>
        </w:rPr>
      </w:pPr>
      <w:r w:rsidRPr="00B57D23">
        <w:rPr>
          <w:rFonts w:cs="Arial"/>
        </w:rPr>
        <w:t>Se excluirá la componente de transporte</w:t>
      </w:r>
      <w:r w:rsidR="00A13774">
        <w:rPr>
          <w:rFonts w:cs="Arial"/>
        </w:rPr>
        <w:t>.</w:t>
      </w:r>
    </w:p>
    <w:p w14:paraId="569D424A" w14:textId="765BA3DA" w:rsidR="00B57D23" w:rsidRPr="00B57D23" w:rsidRDefault="00B57D23" w:rsidP="009640AE">
      <w:pPr>
        <w:pStyle w:val="Prrafodelista"/>
        <w:numPr>
          <w:ilvl w:val="0"/>
          <w:numId w:val="60"/>
        </w:numPr>
        <w:autoSpaceDE w:val="0"/>
        <w:autoSpaceDN w:val="0"/>
        <w:adjustRightInd w:val="0"/>
        <w:spacing w:line="276" w:lineRule="auto"/>
        <w:rPr>
          <w:rFonts w:cs="Arial"/>
        </w:rPr>
      </w:pPr>
      <w:r w:rsidRPr="00B57D23">
        <w:rPr>
          <w:rFonts w:cs="Arial"/>
        </w:rPr>
        <w:t>Se asegurará que la componente de equipos específicos no recoge los costos de equipos no relevantes para esta modalidad del servicio (por ejemplo, la instalación de los equipos en la ubicación del cliente)</w:t>
      </w:r>
      <w:r w:rsidR="00A13774">
        <w:rPr>
          <w:rFonts w:cs="Arial"/>
        </w:rPr>
        <w:t>.</w:t>
      </w:r>
    </w:p>
    <w:p w14:paraId="2DFFF5A5" w14:textId="77777777" w:rsidR="00B57D23" w:rsidRPr="00D47BB9" w:rsidRDefault="00B57D23" w:rsidP="0014780A">
      <w:pPr>
        <w:autoSpaceDE w:val="0"/>
        <w:autoSpaceDN w:val="0"/>
        <w:adjustRightInd w:val="0"/>
        <w:spacing w:after="0"/>
        <w:jc w:val="both"/>
        <w:rPr>
          <w:rFonts w:ascii="Arial" w:hAnsi="Arial" w:cs="Arial"/>
          <w:b/>
          <w:bCs/>
        </w:rPr>
      </w:pPr>
    </w:p>
    <w:p w14:paraId="6A050518" w14:textId="2C5AAF33" w:rsidR="00B57D23" w:rsidRDefault="00B57D23">
      <w:pPr>
        <w:autoSpaceDE w:val="0"/>
        <w:autoSpaceDN w:val="0"/>
        <w:adjustRightInd w:val="0"/>
        <w:spacing w:after="0"/>
        <w:jc w:val="both"/>
        <w:rPr>
          <w:rFonts w:ascii="Arial" w:hAnsi="Arial" w:cs="Arial"/>
          <w:b/>
          <w:bCs/>
        </w:rPr>
      </w:pPr>
      <w:r w:rsidRPr="00D47BB9">
        <w:rPr>
          <w:rFonts w:ascii="Arial" w:hAnsi="Arial" w:cs="Arial"/>
          <w:b/>
          <w:bCs/>
        </w:rPr>
        <w:t>Enlaces dedicados entre localidades</w:t>
      </w:r>
    </w:p>
    <w:p w14:paraId="23BE1355" w14:textId="77777777" w:rsidR="00A13774" w:rsidRPr="00D47BB9" w:rsidRDefault="00A13774" w:rsidP="00D47BB9">
      <w:pPr>
        <w:autoSpaceDE w:val="0"/>
        <w:autoSpaceDN w:val="0"/>
        <w:adjustRightInd w:val="0"/>
        <w:spacing w:after="0"/>
        <w:jc w:val="both"/>
        <w:rPr>
          <w:rFonts w:ascii="Arial" w:hAnsi="Arial" w:cs="Arial"/>
        </w:rPr>
      </w:pPr>
    </w:p>
    <w:p w14:paraId="5DA15F5B" w14:textId="142D2498" w:rsidR="00B57D23" w:rsidRDefault="00B57D23" w:rsidP="0014780A">
      <w:pPr>
        <w:autoSpaceDE w:val="0"/>
        <w:autoSpaceDN w:val="0"/>
        <w:adjustRightInd w:val="0"/>
        <w:spacing w:after="0"/>
        <w:jc w:val="both"/>
        <w:rPr>
          <w:rFonts w:ascii="Arial" w:hAnsi="Arial" w:cs="Arial"/>
        </w:rPr>
      </w:pPr>
      <w:r w:rsidRPr="00D47BB9">
        <w:rPr>
          <w:rFonts w:ascii="Arial" w:hAnsi="Arial" w:cs="Arial"/>
        </w:rPr>
        <w:t xml:space="preserve">Los enlaces dedicados entre localidades son aquellos que proporcionan conectividad entre dos centrales locales del AEP ubicadas en distintas localidades. Estos enlaces pueden pasar por más de una central local. Estos enlaces no incluyen el tramo local de entrega del tráfico al cliente final. </w:t>
      </w:r>
    </w:p>
    <w:p w14:paraId="74CC3605" w14:textId="77777777" w:rsidR="00B57D23" w:rsidRPr="00D47BB9" w:rsidRDefault="00B57D23" w:rsidP="00D47BB9">
      <w:pPr>
        <w:autoSpaceDE w:val="0"/>
        <w:autoSpaceDN w:val="0"/>
        <w:adjustRightInd w:val="0"/>
        <w:spacing w:after="0"/>
        <w:jc w:val="both"/>
        <w:rPr>
          <w:rFonts w:ascii="Arial" w:hAnsi="Arial" w:cs="Arial"/>
        </w:rPr>
      </w:pPr>
    </w:p>
    <w:p w14:paraId="6B0FA096" w14:textId="77777777" w:rsidR="00B57D23" w:rsidRDefault="00B57D23" w:rsidP="0014780A">
      <w:pPr>
        <w:autoSpaceDE w:val="0"/>
        <w:autoSpaceDN w:val="0"/>
        <w:adjustRightInd w:val="0"/>
        <w:spacing w:after="0"/>
        <w:jc w:val="center"/>
        <w:rPr>
          <w:rFonts w:ascii="Arial" w:hAnsi="Arial" w:cs="Arial"/>
        </w:rPr>
      </w:pPr>
      <w:r w:rsidRPr="00D47BB9">
        <w:rPr>
          <w:rFonts w:ascii="Arial" w:hAnsi="Arial" w:cs="Arial"/>
          <w:noProof/>
        </w:rPr>
        <w:drawing>
          <wp:inline distT="0" distB="0" distL="0" distR="0" wp14:anchorId="3212E21D" wp14:editId="625A672A">
            <wp:extent cx="5542915" cy="1230630"/>
            <wp:effectExtent l="0" t="0" r="635" b="7620"/>
            <wp:docPr id="133322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5542915" cy="1230630"/>
                    </a:xfrm>
                    <a:prstGeom prst="rect">
                      <a:avLst/>
                    </a:prstGeom>
                    <a:noFill/>
                    <a:ln>
                      <a:noFill/>
                    </a:ln>
                  </pic:spPr>
                </pic:pic>
              </a:graphicData>
            </a:graphic>
          </wp:inline>
        </w:drawing>
      </w:r>
    </w:p>
    <w:p w14:paraId="2FEDC74F" w14:textId="22E185B5" w:rsidR="005C723F" w:rsidRPr="00657BA6" w:rsidRDefault="005C723F" w:rsidP="0014780A">
      <w:pPr>
        <w:spacing w:after="0"/>
        <w:jc w:val="center"/>
        <w:rPr>
          <w:rFonts w:ascii="Arial" w:hAnsi="Arial" w:cs="Arial"/>
          <w:lang w:val="es-ES_tradnl"/>
        </w:rPr>
      </w:pPr>
      <w:r w:rsidRPr="00657BA6">
        <w:rPr>
          <w:rFonts w:ascii="Arial" w:hAnsi="Arial" w:cs="Arial"/>
          <w:lang w:val="es-ES_tradnl"/>
        </w:rPr>
        <w:t>Figura 1</w:t>
      </w:r>
      <w:r w:rsidR="00BF258D">
        <w:rPr>
          <w:rFonts w:ascii="Arial" w:hAnsi="Arial" w:cs="Arial"/>
          <w:lang w:val="es-ES_tradnl"/>
        </w:rPr>
        <w:t>4</w:t>
      </w:r>
      <w:r w:rsidRPr="00657BA6">
        <w:rPr>
          <w:rFonts w:ascii="Arial" w:hAnsi="Arial" w:cs="Arial"/>
          <w:lang w:val="es-ES_tradnl"/>
        </w:rPr>
        <w:t xml:space="preserve">. </w:t>
      </w:r>
      <w:r>
        <w:rPr>
          <w:rFonts w:ascii="Arial" w:hAnsi="Arial" w:cs="Arial"/>
          <w:lang w:val="es-ES_tradnl"/>
        </w:rPr>
        <w:t>Esquema de enlaces dedicados entre localidades</w:t>
      </w:r>
    </w:p>
    <w:p w14:paraId="5190809E" w14:textId="77777777" w:rsidR="00B57D23" w:rsidRPr="00D47BB9" w:rsidRDefault="00B57D23" w:rsidP="00D47BB9">
      <w:pPr>
        <w:autoSpaceDE w:val="0"/>
        <w:autoSpaceDN w:val="0"/>
        <w:adjustRightInd w:val="0"/>
        <w:spacing w:after="0"/>
        <w:jc w:val="both"/>
        <w:rPr>
          <w:rFonts w:ascii="Arial" w:hAnsi="Arial" w:cs="Arial"/>
        </w:rPr>
      </w:pPr>
    </w:p>
    <w:p w14:paraId="2FA31D6B" w14:textId="40D323DB" w:rsidR="00B57D23" w:rsidRDefault="00B57D23" w:rsidP="0014780A">
      <w:pPr>
        <w:autoSpaceDE w:val="0"/>
        <w:autoSpaceDN w:val="0"/>
        <w:adjustRightInd w:val="0"/>
        <w:spacing w:after="0"/>
        <w:jc w:val="both"/>
        <w:rPr>
          <w:rFonts w:ascii="Arial" w:hAnsi="Arial" w:cs="Arial"/>
        </w:rPr>
      </w:pPr>
      <w:r w:rsidRPr="00D47BB9">
        <w:rPr>
          <w:rFonts w:ascii="Arial" w:hAnsi="Arial" w:cs="Arial"/>
        </w:rPr>
        <w:t xml:space="preserve">El AEP debe ofertar servicios de enlaces dedicados entre localidades para las tecnologías TDM y Ethernet, con lo cual el modelo de costos debe ser capaz de estimar los costos para ambos tipos de tecnología, y para cada una de las velocidades ofertadas. </w:t>
      </w:r>
    </w:p>
    <w:p w14:paraId="268EC379" w14:textId="77777777" w:rsidR="00B57D23" w:rsidRPr="00D47BB9" w:rsidRDefault="00B57D23" w:rsidP="00D47BB9">
      <w:pPr>
        <w:autoSpaceDE w:val="0"/>
        <w:autoSpaceDN w:val="0"/>
        <w:adjustRightInd w:val="0"/>
        <w:spacing w:after="0"/>
        <w:jc w:val="both"/>
        <w:rPr>
          <w:rFonts w:ascii="Arial" w:hAnsi="Arial" w:cs="Arial"/>
        </w:rPr>
      </w:pPr>
    </w:p>
    <w:p w14:paraId="1FAC5A8E" w14:textId="77777777" w:rsidR="00B57D23" w:rsidRDefault="00B57D23" w:rsidP="0014780A">
      <w:pPr>
        <w:autoSpaceDE w:val="0"/>
        <w:autoSpaceDN w:val="0"/>
        <w:adjustRightInd w:val="0"/>
        <w:spacing w:after="0"/>
        <w:jc w:val="both"/>
        <w:rPr>
          <w:rFonts w:ascii="Arial" w:hAnsi="Arial" w:cs="Arial"/>
        </w:rPr>
      </w:pPr>
      <w:r w:rsidRPr="00D47BB9">
        <w:rPr>
          <w:rFonts w:ascii="Arial" w:hAnsi="Arial" w:cs="Arial"/>
        </w:rPr>
        <w:t>La tarifa recurrente del servicio de enlaces dedicados entre localidades comprenderá exclusivamente el costo asociado al transporte entre las centrales locales. Estos costos incluyen los costos asociados a los enrutadores, fibra de transporte y otros equipos de la red de transporte que interconectan los nodos del operador, los cuales son compartidos con otros servicios de voz y datos provistos a través de la red fija. No se considera necesario la estimación de costos adicionales asociados a equipos específicos, se asume que los costos de estos equipos se recuperan a través de los servicios de enlaces dedicados locales.</w:t>
      </w:r>
    </w:p>
    <w:p w14:paraId="1126955A" w14:textId="77777777" w:rsidR="00B57D23" w:rsidRPr="00D47BB9" w:rsidRDefault="00B57D23" w:rsidP="00D47BB9">
      <w:pPr>
        <w:autoSpaceDE w:val="0"/>
        <w:autoSpaceDN w:val="0"/>
        <w:adjustRightInd w:val="0"/>
        <w:spacing w:after="0"/>
        <w:jc w:val="both"/>
        <w:rPr>
          <w:rFonts w:ascii="Arial" w:hAnsi="Arial" w:cs="Arial"/>
        </w:rPr>
      </w:pPr>
    </w:p>
    <w:p w14:paraId="321AB468" w14:textId="25007CBF" w:rsidR="00B57D23" w:rsidRDefault="00B57D23" w:rsidP="0014780A">
      <w:pPr>
        <w:autoSpaceDE w:val="0"/>
        <w:autoSpaceDN w:val="0"/>
        <w:adjustRightInd w:val="0"/>
        <w:spacing w:after="0"/>
        <w:jc w:val="both"/>
        <w:rPr>
          <w:rFonts w:ascii="Arial" w:hAnsi="Arial" w:cs="Arial"/>
        </w:rPr>
      </w:pPr>
      <w:r w:rsidRPr="00D47BB9">
        <w:rPr>
          <w:rFonts w:ascii="Arial" w:hAnsi="Arial" w:cs="Arial"/>
        </w:rPr>
        <w:t xml:space="preserve">Cabe destacar que el </w:t>
      </w:r>
      <w:r w:rsidR="00075EB3">
        <w:rPr>
          <w:rFonts w:ascii="Arial" w:hAnsi="Arial" w:cs="Arial"/>
        </w:rPr>
        <w:t>Modelo Fijo</w:t>
      </w:r>
      <w:r w:rsidRPr="00D47BB9">
        <w:rPr>
          <w:rFonts w:ascii="Arial" w:hAnsi="Arial" w:cs="Arial"/>
        </w:rPr>
        <w:t xml:space="preserve"> presentado se basa exclusivamente en una tecnología NGN, con lo cual no incluye los costos asociados a plataformas TDM requeridas para la provisión de </w:t>
      </w:r>
      <w:r w:rsidRPr="00D47BB9">
        <w:rPr>
          <w:rFonts w:ascii="Arial" w:hAnsi="Arial" w:cs="Arial"/>
        </w:rPr>
        <w:lastRenderedPageBreak/>
        <w:t>ciertos servicios de enlaces dedicados. Por este motivo, el modelo podrá, de manera adicional considerar un factor de reconciliación que considere los costos adicionales.</w:t>
      </w:r>
    </w:p>
    <w:p w14:paraId="54E79A64" w14:textId="77777777" w:rsidR="00B57D23" w:rsidRPr="00D47BB9" w:rsidRDefault="00B57D23" w:rsidP="00D47BB9">
      <w:pPr>
        <w:autoSpaceDE w:val="0"/>
        <w:autoSpaceDN w:val="0"/>
        <w:adjustRightInd w:val="0"/>
        <w:spacing w:after="0"/>
        <w:jc w:val="both"/>
        <w:rPr>
          <w:rFonts w:ascii="Arial" w:hAnsi="Arial" w:cs="Arial"/>
        </w:rPr>
      </w:pPr>
    </w:p>
    <w:p w14:paraId="4587C3CF" w14:textId="12E1871E" w:rsidR="00B57D23" w:rsidRDefault="00F57E4D" w:rsidP="0014780A">
      <w:pPr>
        <w:autoSpaceDE w:val="0"/>
        <w:autoSpaceDN w:val="0"/>
        <w:adjustRightInd w:val="0"/>
        <w:spacing w:after="0"/>
        <w:jc w:val="both"/>
        <w:rPr>
          <w:rFonts w:ascii="Arial" w:hAnsi="Arial" w:cs="Arial"/>
        </w:rPr>
      </w:pPr>
      <w:r w:rsidRPr="00D47BB9">
        <w:rPr>
          <w:rFonts w:ascii="Arial" w:hAnsi="Arial" w:cs="Arial"/>
        </w:rPr>
        <w:t>Las tarifas recurrentes para determinar</w:t>
      </w:r>
      <w:r w:rsidR="00B57D23" w:rsidRPr="00D47BB9">
        <w:rPr>
          <w:rFonts w:ascii="Arial" w:hAnsi="Arial" w:cs="Arial"/>
        </w:rPr>
        <w:t xml:space="preserve"> por el modelo de costos podrán incluir una componente fija por enlace y/o una componente variable en función de la longitud del enlace necesario, medido en kilómetros.</w:t>
      </w:r>
    </w:p>
    <w:p w14:paraId="7DA283F0" w14:textId="77777777" w:rsidR="00B57D23" w:rsidRPr="00D47BB9" w:rsidRDefault="00B57D23" w:rsidP="00D47BB9">
      <w:pPr>
        <w:autoSpaceDE w:val="0"/>
        <w:autoSpaceDN w:val="0"/>
        <w:adjustRightInd w:val="0"/>
        <w:spacing w:after="0"/>
        <w:jc w:val="both"/>
        <w:rPr>
          <w:rFonts w:ascii="Arial" w:hAnsi="Arial" w:cs="Arial"/>
        </w:rPr>
      </w:pPr>
    </w:p>
    <w:p w14:paraId="046FC7BA" w14:textId="77777777" w:rsidR="00B57D23" w:rsidRDefault="00B57D23" w:rsidP="0014780A">
      <w:pPr>
        <w:autoSpaceDE w:val="0"/>
        <w:autoSpaceDN w:val="0"/>
        <w:adjustRightInd w:val="0"/>
        <w:spacing w:after="0"/>
        <w:jc w:val="both"/>
        <w:rPr>
          <w:rFonts w:ascii="Arial" w:hAnsi="Arial" w:cs="Arial"/>
        </w:rPr>
      </w:pPr>
      <w:r w:rsidRPr="00D47BB9">
        <w:rPr>
          <w:rFonts w:ascii="Arial" w:hAnsi="Arial" w:cs="Arial"/>
        </w:rPr>
        <w:t>Por su parte, las tarifas de instalación del servicio de enlaces dedicados locales, comprenderá exclusivamente los costos asociados a la activación del servicio (esto es, los costos del personal del AEP requerido para la instalación y activación del servicio). Esta tarifa se presentará como un precio fijo por enlace.</w:t>
      </w:r>
    </w:p>
    <w:p w14:paraId="0BEA8D46" w14:textId="77777777" w:rsidR="00B57D23" w:rsidRPr="00D47BB9" w:rsidRDefault="00B57D23" w:rsidP="00D47BB9">
      <w:pPr>
        <w:autoSpaceDE w:val="0"/>
        <w:autoSpaceDN w:val="0"/>
        <w:adjustRightInd w:val="0"/>
        <w:spacing w:after="0"/>
        <w:jc w:val="both"/>
        <w:rPr>
          <w:rFonts w:ascii="Arial" w:hAnsi="Arial" w:cs="Arial"/>
        </w:rPr>
      </w:pPr>
    </w:p>
    <w:p w14:paraId="4F4DD0C8" w14:textId="0C046B06" w:rsidR="00B57D23" w:rsidRDefault="00B57D23" w:rsidP="0014780A">
      <w:pPr>
        <w:autoSpaceDE w:val="0"/>
        <w:autoSpaceDN w:val="0"/>
        <w:adjustRightInd w:val="0"/>
        <w:spacing w:after="0"/>
        <w:jc w:val="both"/>
        <w:rPr>
          <w:rFonts w:ascii="Arial" w:hAnsi="Arial" w:cs="Arial"/>
        </w:rPr>
      </w:pPr>
      <w:r w:rsidRPr="00D47BB9">
        <w:rPr>
          <w:rFonts w:ascii="Arial" w:hAnsi="Arial" w:cs="Arial"/>
        </w:rPr>
        <w:t xml:space="preserve">Los costos totales de las diferentes componentes de costos (tanto de la tarifa recurrente como de la tarifa no recurrente) serán atribuidos a los servicios específicos con base a un criterio causal. </w:t>
      </w:r>
      <w:r w:rsidR="00BF258D">
        <w:rPr>
          <w:rFonts w:ascii="Arial" w:hAnsi="Arial" w:cs="Arial"/>
        </w:rPr>
        <w:t xml:space="preserve">Asimismo, se </w:t>
      </w:r>
      <w:r w:rsidR="00BF258D" w:rsidRPr="00966DD6">
        <w:rPr>
          <w:rFonts w:ascii="Arial" w:hAnsi="Arial" w:cs="Arial"/>
        </w:rPr>
        <w:t>determina</w:t>
      </w:r>
      <w:r w:rsidR="00BF258D">
        <w:rPr>
          <w:rFonts w:ascii="Arial" w:hAnsi="Arial" w:cs="Arial"/>
        </w:rPr>
        <w:t>rá</w:t>
      </w:r>
      <w:r w:rsidR="00BF258D" w:rsidRPr="00966DD6">
        <w:rPr>
          <w:rFonts w:ascii="Arial" w:hAnsi="Arial" w:cs="Arial"/>
        </w:rPr>
        <w:t xml:space="preserve"> un gradiente de costos que permita una asignación de los costos. Dicho gradiente se basará en los niveles de precios existentes en el mercado, a fin de asegurar consistencia en su evolución temporal</w:t>
      </w:r>
      <w:r w:rsidRPr="00D47BB9">
        <w:rPr>
          <w:rFonts w:ascii="Arial" w:hAnsi="Arial" w:cs="Arial"/>
        </w:rPr>
        <w:t>.</w:t>
      </w:r>
    </w:p>
    <w:p w14:paraId="2E1C1461" w14:textId="77777777" w:rsidR="0014780A" w:rsidRPr="00D47BB9" w:rsidRDefault="0014780A" w:rsidP="0014780A">
      <w:pPr>
        <w:autoSpaceDE w:val="0"/>
        <w:autoSpaceDN w:val="0"/>
        <w:adjustRightInd w:val="0"/>
        <w:spacing w:after="0"/>
        <w:jc w:val="both"/>
        <w:rPr>
          <w:rFonts w:ascii="Arial" w:hAnsi="Arial" w:cs="Arial"/>
        </w:rPr>
      </w:pPr>
    </w:p>
    <w:p w14:paraId="774F7AEB" w14:textId="77777777" w:rsidR="00B57D23" w:rsidRDefault="00B57D23" w:rsidP="0014780A">
      <w:pPr>
        <w:autoSpaceDE w:val="0"/>
        <w:autoSpaceDN w:val="0"/>
        <w:adjustRightInd w:val="0"/>
        <w:spacing w:after="0"/>
        <w:jc w:val="both"/>
        <w:rPr>
          <w:rFonts w:ascii="Arial" w:hAnsi="Arial" w:cs="Arial"/>
          <w:b/>
          <w:bCs/>
        </w:rPr>
      </w:pPr>
      <w:r w:rsidRPr="00D47BB9">
        <w:rPr>
          <w:rFonts w:ascii="Arial" w:hAnsi="Arial" w:cs="Arial"/>
          <w:b/>
          <w:bCs/>
        </w:rPr>
        <w:t>Enlaces dedicados de larga distancia internacional</w:t>
      </w:r>
    </w:p>
    <w:p w14:paraId="1388C5A8" w14:textId="77777777" w:rsidR="00B57D23" w:rsidRPr="00D47BB9" w:rsidRDefault="00B57D23" w:rsidP="00D47BB9">
      <w:pPr>
        <w:autoSpaceDE w:val="0"/>
        <w:autoSpaceDN w:val="0"/>
        <w:adjustRightInd w:val="0"/>
        <w:spacing w:after="0"/>
        <w:jc w:val="both"/>
        <w:rPr>
          <w:rFonts w:ascii="Arial" w:hAnsi="Arial" w:cs="Arial"/>
        </w:rPr>
      </w:pPr>
    </w:p>
    <w:p w14:paraId="3F2B89A6" w14:textId="77777777" w:rsidR="00B57D23" w:rsidRPr="00D47BB9" w:rsidRDefault="00B57D23" w:rsidP="00D47BB9">
      <w:pPr>
        <w:autoSpaceDE w:val="0"/>
        <w:autoSpaceDN w:val="0"/>
        <w:adjustRightInd w:val="0"/>
        <w:spacing w:after="0"/>
        <w:jc w:val="both"/>
        <w:rPr>
          <w:rFonts w:ascii="Arial" w:hAnsi="Arial" w:cs="Arial"/>
        </w:rPr>
      </w:pPr>
      <w:r w:rsidRPr="00D47BB9">
        <w:rPr>
          <w:rFonts w:ascii="Arial" w:hAnsi="Arial" w:cs="Arial"/>
        </w:rPr>
        <w:t xml:space="preserve">Los enlaces dedicados de larga distancia internacional son aquellos que proporcionan conectividad entre una central local del AEP y un nodo internacional del operador. Estos enlaces pueden pasar por más de una central local del AEP. Estos enlaces no incluyen el tramo local de entrega del tráfico al cliente final. </w:t>
      </w:r>
    </w:p>
    <w:p w14:paraId="044C7DF3" w14:textId="77777777" w:rsidR="00B57D23" w:rsidRPr="00D47BB9" w:rsidRDefault="00B57D23" w:rsidP="00D47BB9">
      <w:pPr>
        <w:autoSpaceDE w:val="0"/>
        <w:autoSpaceDN w:val="0"/>
        <w:adjustRightInd w:val="0"/>
        <w:spacing w:after="0"/>
        <w:jc w:val="both"/>
        <w:rPr>
          <w:rFonts w:ascii="Arial" w:hAnsi="Arial" w:cs="Arial"/>
        </w:rPr>
      </w:pPr>
    </w:p>
    <w:p w14:paraId="05888230" w14:textId="77777777" w:rsidR="00B57D23" w:rsidRPr="00D47BB9" w:rsidRDefault="00B57D23" w:rsidP="00D47BB9">
      <w:pPr>
        <w:autoSpaceDE w:val="0"/>
        <w:autoSpaceDN w:val="0"/>
        <w:adjustRightInd w:val="0"/>
        <w:spacing w:after="0"/>
        <w:jc w:val="both"/>
        <w:rPr>
          <w:rFonts w:ascii="Arial" w:hAnsi="Arial" w:cs="Arial"/>
        </w:rPr>
      </w:pPr>
    </w:p>
    <w:p w14:paraId="01BA9C15" w14:textId="77777777" w:rsidR="00B57D23" w:rsidRDefault="00B57D23" w:rsidP="0014780A">
      <w:pPr>
        <w:autoSpaceDE w:val="0"/>
        <w:autoSpaceDN w:val="0"/>
        <w:adjustRightInd w:val="0"/>
        <w:spacing w:after="0"/>
        <w:jc w:val="center"/>
        <w:rPr>
          <w:rFonts w:ascii="Arial" w:hAnsi="Arial" w:cs="Arial"/>
        </w:rPr>
      </w:pPr>
      <w:r w:rsidRPr="00D47BB9">
        <w:rPr>
          <w:rFonts w:ascii="Arial" w:hAnsi="Arial" w:cs="Arial"/>
          <w:noProof/>
        </w:rPr>
        <w:drawing>
          <wp:inline distT="0" distB="0" distL="0" distR="0" wp14:anchorId="5A32360D" wp14:editId="7458251C">
            <wp:extent cx="5544185" cy="1143635"/>
            <wp:effectExtent l="0" t="0" r="0" b="0"/>
            <wp:docPr id="1676321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5544185" cy="1143635"/>
                    </a:xfrm>
                    <a:prstGeom prst="rect">
                      <a:avLst/>
                    </a:prstGeom>
                    <a:noFill/>
                    <a:ln>
                      <a:noFill/>
                    </a:ln>
                  </pic:spPr>
                </pic:pic>
              </a:graphicData>
            </a:graphic>
          </wp:inline>
        </w:drawing>
      </w:r>
    </w:p>
    <w:p w14:paraId="22BD8198" w14:textId="208A8519" w:rsidR="005C723F" w:rsidRPr="00657BA6" w:rsidRDefault="005C723F" w:rsidP="0014780A">
      <w:pPr>
        <w:spacing w:after="0"/>
        <w:jc w:val="center"/>
        <w:rPr>
          <w:rFonts w:ascii="Arial" w:hAnsi="Arial" w:cs="Arial"/>
          <w:lang w:val="es-ES_tradnl"/>
        </w:rPr>
      </w:pPr>
      <w:r w:rsidRPr="00657BA6">
        <w:rPr>
          <w:rFonts w:ascii="Arial" w:hAnsi="Arial" w:cs="Arial"/>
          <w:lang w:val="es-ES_tradnl"/>
        </w:rPr>
        <w:t>Figura 1</w:t>
      </w:r>
      <w:r w:rsidR="00BF258D">
        <w:rPr>
          <w:rFonts w:ascii="Arial" w:hAnsi="Arial" w:cs="Arial"/>
          <w:lang w:val="es-ES_tradnl"/>
        </w:rPr>
        <w:t>5</w:t>
      </w:r>
      <w:r w:rsidRPr="00657BA6">
        <w:rPr>
          <w:rFonts w:ascii="Arial" w:hAnsi="Arial" w:cs="Arial"/>
          <w:lang w:val="es-ES_tradnl"/>
        </w:rPr>
        <w:t xml:space="preserve">. </w:t>
      </w:r>
      <w:r>
        <w:rPr>
          <w:rFonts w:ascii="Arial" w:hAnsi="Arial" w:cs="Arial"/>
          <w:lang w:val="es-ES_tradnl"/>
        </w:rPr>
        <w:t xml:space="preserve">Esquema de enlaces dedicados </w:t>
      </w:r>
      <w:r w:rsidR="00CB129A">
        <w:rPr>
          <w:rFonts w:ascii="Arial" w:hAnsi="Arial" w:cs="Arial"/>
          <w:lang w:val="es-ES_tradnl"/>
        </w:rPr>
        <w:t>de larga distancia internacional</w:t>
      </w:r>
    </w:p>
    <w:p w14:paraId="14C956AA" w14:textId="77777777" w:rsidR="005C723F" w:rsidRPr="00D47BB9" w:rsidRDefault="005C723F" w:rsidP="00D47BB9">
      <w:pPr>
        <w:autoSpaceDE w:val="0"/>
        <w:autoSpaceDN w:val="0"/>
        <w:adjustRightInd w:val="0"/>
        <w:spacing w:after="0"/>
        <w:jc w:val="center"/>
        <w:rPr>
          <w:rFonts w:ascii="Arial" w:hAnsi="Arial" w:cs="Arial"/>
          <w:lang w:val="es-ES_tradnl"/>
        </w:rPr>
      </w:pPr>
    </w:p>
    <w:p w14:paraId="6F028900" w14:textId="77777777" w:rsidR="00B57D23" w:rsidRDefault="00B57D23" w:rsidP="0014780A">
      <w:pPr>
        <w:autoSpaceDE w:val="0"/>
        <w:autoSpaceDN w:val="0"/>
        <w:adjustRightInd w:val="0"/>
        <w:spacing w:after="0"/>
        <w:jc w:val="both"/>
        <w:rPr>
          <w:rFonts w:ascii="Arial" w:hAnsi="Arial" w:cs="Arial"/>
        </w:rPr>
      </w:pPr>
      <w:r w:rsidRPr="00D47BB9">
        <w:rPr>
          <w:rFonts w:ascii="Arial" w:hAnsi="Arial" w:cs="Arial"/>
        </w:rPr>
        <w:t xml:space="preserve">El AEP debe ofertar servicios de enlaces dedicados de larga distancia internacional para las tecnologías TDM y Ethernet, con lo cual el modelo de costos debe ser capaz de estimar los costos para ambos tipos de tecnología, y para cada una de las velocidades ofertadas por el AEP. </w:t>
      </w:r>
    </w:p>
    <w:p w14:paraId="05828672" w14:textId="77777777" w:rsidR="00B57D23" w:rsidRPr="00D47BB9" w:rsidRDefault="00B57D23" w:rsidP="00D47BB9">
      <w:pPr>
        <w:autoSpaceDE w:val="0"/>
        <w:autoSpaceDN w:val="0"/>
        <w:adjustRightInd w:val="0"/>
        <w:spacing w:after="0"/>
        <w:jc w:val="both"/>
        <w:rPr>
          <w:rFonts w:ascii="Arial" w:hAnsi="Arial" w:cs="Arial"/>
        </w:rPr>
      </w:pPr>
    </w:p>
    <w:p w14:paraId="4F4EA7C2" w14:textId="77777777" w:rsidR="00B57D23" w:rsidRDefault="00B57D23" w:rsidP="0014780A">
      <w:pPr>
        <w:autoSpaceDE w:val="0"/>
        <w:autoSpaceDN w:val="0"/>
        <w:adjustRightInd w:val="0"/>
        <w:spacing w:after="0"/>
        <w:jc w:val="both"/>
        <w:rPr>
          <w:rFonts w:ascii="Arial" w:hAnsi="Arial" w:cs="Arial"/>
        </w:rPr>
      </w:pPr>
      <w:r w:rsidRPr="00D47BB9">
        <w:rPr>
          <w:rFonts w:ascii="Arial" w:hAnsi="Arial" w:cs="Arial"/>
        </w:rPr>
        <w:t xml:space="preserve">De manera equivalente a los enlaces entre localidades, la tarifa recurrente del servicio de enlaces dedicados de larga distancia internacional comprende el costo asociado al transporte entre los </w:t>
      </w:r>
      <w:r w:rsidRPr="00D47BB9">
        <w:rPr>
          <w:rFonts w:ascii="Arial" w:hAnsi="Arial" w:cs="Arial"/>
        </w:rPr>
        <w:lastRenderedPageBreak/>
        <w:t xml:space="preserve">nodos del operador. Por este motivo, se tomará como base el mismo costo por enlace que el considerado para los enlaces entre localidades equivalentes. </w:t>
      </w:r>
    </w:p>
    <w:p w14:paraId="09B1A706" w14:textId="77777777" w:rsidR="00B57D23" w:rsidRPr="00D47BB9" w:rsidRDefault="00B57D23" w:rsidP="00D47BB9">
      <w:pPr>
        <w:autoSpaceDE w:val="0"/>
        <w:autoSpaceDN w:val="0"/>
        <w:adjustRightInd w:val="0"/>
        <w:spacing w:after="0"/>
        <w:jc w:val="both"/>
        <w:rPr>
          <w:rFonts w:ascii="Arial" w:hAnsi="Arial" w:cs="Arial"/>
        </w:rPr>
      </w:pPr>
    </w:p>
    <w:p w14:paraId="17869778" w14:textId="77777777" w:rsidR="00B57D23" w:rsidRDefault="00B57D23" w:rsidP="0014780A">
      <w:pPr>
        <w:autoSpaceDE w:val="0"/>
        <w:autoSpaceDN w:val="0"/>
        <w:adjustRightInd w:val="0"/>
        <w:spacing w:after="0"/>
        <w:jc w:val="both"/>
        <w:rPr>
          <w:rFonts w:ascii="Arial" w:hAnsi="Arial" w:cs="Arial"/>
        </w:rPr>
      </w:pPr>
      <w:r w:rsidRPr="00D47BB9">
        <w:rPr>
          <w:rFonts w:ascii="Arial" w:hAnsi="Arial" w:cs="Arial"/>
        </w:rPr>
        <w:t>Adicionalmente, los enlaces TDM requieren de equipos de traducción para adaptar el tráfico a países que emplean PDH portadoras-T y SONET. Por ello, el AEP ha de disponer de equipos especiales de traducción de interfaces para poder transportar el tráfico al extranjero. Los costos de estos equipos, los cuales son exclusivos para este tipo de enlaces, se deberán incorporar en las tarifas de estos enlaces para asegurar la recuperación de los costos asociados.</w:t>
      </w:r>
    </w:p>
    <w:p w14:paraId="6A8E2436" w14:textId="77777777" w:rsidR="00B57D23" w:rsidRPr="00D47BB9" w:rsidRDefault="00B57D23" w:rsidP="00D47BB9">
      <w:pPr>
        <w:autoSpaceDE w:val="0"/>
        <w:autoSpaceDN w:val="0"/>
        <w:adjustRightInd w:val="0"/>
        <w:spacing w:after="0"/>
        <w:jc w:val="both"/>
        <w:rPr>
          <w:rFonts w:ascii="Arial" w:hAnsi="Arial" w:cs="Arial"/>
        </w:rPr>
      </w:pPr>
    </w:p>
    <w:p w14:paraId="216D8FD7" w14:textId="3707581D" w:rsidR="00B57D23" w:rsidRDefault="00B57D23" w:rsidP="0014780A">
      <w:pPr>
        <w:autoSpaceDE w:val="0"/>
        <w:autoSpaceDN w:val="0"/>
        <w:adjustRightInd w:val="0"/>
        <w:spacing w:after="0"/>
        <w:jc w:val="both"/>
        <w:rPr>
          <w:rFonts w:ascii="Arial" w:hAnsi="Arial" w:cs="Arial"/>
        </w:rPr>
      </w:pPr>
      <w:r w:rsidRPr="00D47BB9">
        <w:rPr>
          <w:rFonts w:ascii="Arial" w:hAnsi="Arial" w:cs="Arial"/>
        </w:rPr>
        <w:t xml:space="preserve">Las tarifas recurrentes a determinar por el modelo de </w:t>
      </w:r>
      <w:r w:rsidR="008C4DF7" w:rsidRPr="00D47BB9">
        <w:rPr>
          <w:rFonts w:ascii="Arial" w:hAnsi="Arial" w:cs="Arial"/>
        </w:rPr>
        <w:t>costos</w:t>
      </w:r>
      <w:r w:rsidRPr="00D47BB9">
        <w:rPr>
          <w:rFonts w:ascii="Arial" w:hAnsi="Arial" w:cs="Arial"/>
        </w:rPr>
        <w:t xml:space="preserve"> podrán incluir una componente fija por enlace y/o una componente variable en función de la longitud del enlace necesario, medido en kilómetros.</w:t>
      </w:r>
    </w:p>
    <w:p w14:paraId="1452631E" w14:textId="77777777" w:rsidR="00B57D23" w:rsidRPr="00D47BB9" w:rsidRDefault="00B57D23" w:rsidP="00D47BB9">
      <w:pPr>
        <w:autoSpaceDE w:val="0"/>
        <w:autoSpaceDN w:val="0"/>
        <w:adjustRightInd w:val="0"/>
        <w:spacing w:after="0"/>
        <w:jc w:val="both"/>
        <w:rPr>
          <w:rFonts w:ascii="Arial" w:hAnsi="Arial" w:cs="Arial"/>
        </w:rPr>
      </w:pPr>
    </w:p>
    <w:p w14:paraId="0333FC42" w14:textId="7D20C13B" w:rsidR="00B57D23" w:rsidRPr="00D47BB9" w:rsidRDefault="00B57D23" w:rsidP="00D47BB9">
      <w:pPr>
        <w:autoSpaceDE w:val="0"/>
        <w:autoSpaceDN w:val="0"/>
        <w:adjustRightInd w:val="0"/>
        <w:spacing w:after="0"/>
        <w:jc w:val="both"/>
        <w:rPr>
          <w:rFonts w:ascii="Arial" w:hAnsi="Arial" w:cs="Arial"/>
        </w:rPr>
      </w:pPr>
      <w:r w:rsidRPr="00D47BB9">
        <w:rPr>
          <w:rFonts w:ascii="Arial" w:hAnsi="Arial" w:cs="Arial"/>
        </w:rPr>
        <w:t>Por su parte, las tarifas de instalación del servicio, se basará en la tarifa estimada para los enlaces entre localidades, añadiendo el coste de instalación de los equipos de traducción en el caso de enlaces TDM.</w:t>
      </w:r>
    </w:p>
    <w:p w14:paraId="4F37EB11" w14:textId="77777777" w:rsidR="00B57D23" w:rsidRPr="00D47BB9" w:rsidRDefault="00B57D23" w:rsidP="0014780A">
      <w:pPr>
        <w:spacing w:after="0"/>
        <w:jc w:val="both"/>
        <w:rPr>
          <w:rFonts w:ascii="Arial" w:hAnsi="Arial" w:cs="Arial"/>
          <w:bCs/>
          <w:lang w:val="es-ES"/>
        </w:rPr>
      </w:pPr>
    </w:p>
    <w:p w14:paraId="0173B3A1" w14:textId="343F14A2" w:rsidR="004A3027" w:rsidRPr="00657BA6" w:rsidRDefault="004A3027" w:rsidP="0014780A">
      <w:pPr>
        <w:spacing w:after="0"/>
        <w:jc w:val="both"/>
        <w:rPr>
          <w:rFonts w:ascii="Arial" w:hAnsi="Arial" w:cs="Arial"/>
          <w:bCs/>
          <w:lang w:val="es-ES_tradnl"/>
        </w:rPr>
      </w:pPr>
    </w:p>
    <w:p w14:paraId="7742ECAE" w14:textId="77777777" w:rsidR="004A3027" w:rsidRPr="00657BA6" w:rsidRDefault="004A3027" w:rsidP="0014780A">
      <w:pPr>
        <w:spacing w:after="0"/>
        <w:rPr>
          <w:rFonts w:ascii="Arial" w:eastAsia="Times New Roman" w:hAnsi="Arial" w:cs="Arial"/>
          <w:lang w:eastAsia="es-ES"/>
        </w:rPr>
      </w:pPr>
    </w:p>
    <w:p w14:paraId="5D7EBF74" w14:textId="77777777" w:rsidR="004A3027" w:rsidRPr="00657BA6" w:rsidRDefault="004A3027" w:rsidP="0014780A">
      <w:pPr>
        <w:spacing w:after="0"/>
        <w:jc w:val="both"/>
        <w:rPr>
          <w:rFonts w:ascii="Arial" w:hAnsi="Arial" w:cs="Arial"/>
          <w:b/>
        </w:rPr>
      </w:pPr>
      <w:r w:rsidRPr="00EB5A86">
        <w:rPr>
          <w:rFonts w:ascii="Arial" w:hAnsi="Arial" w:cs="Arial"/>
          <w:b/>
        </w:rPr>
        <w:t>MODELO DE COSTOS DE SERVICIO DE ENLACES DE TRANSMISIÓN ENTRE COUBICACIONES</w:t>
      </w:r>
    </w:p>
    <w:p w14:paraId="6283A2E0" w14:textId="77777777" w:rsidR="004A3027" w:rsidRPr="00657BA6" w:rsidRDefault="004A3027" w:rsidP="0014780A">
      <w:pPr>
        <w:autoSpaceDE w:val="0"/>
        <w:autoSpaceDN w:val="0"/>
        <w:adjustRightInd w:val="0"/>
        <w:spacing w:after="0"/>
        <w:rPr>
          <w:rFonts w:ascii="Arial" w:hAnsi="Arial" w:cs="Arial"/>
        </w:rPr>
      </w:pPr>
    </w:p>
    <w:p w14:paraId="6F0C4E21" w14:textId="77777777" w:rsidR="004A3027" w:rsidRPr="00657BA6" w:rsidRDefault="004A3027" w:rsidP="0014780A">
      <w:pPr>
        <w:autoSpaceDE w:val="0"/>
        <w:autoSpaceDN w:val="0"/>
        <w:adjustRightInd w:val="0"/>
        <w:spacing w:after="0"/>
        <w:jc w:val="both"/>
        <w:rPr>
          <w:rFonts w:ascii="Arial" w:hAnsi="Arial" w:cs="Arial"/>
        </w:rPr>
      </w:pPr>
      <w:r w:rsidRPr="00657BA6">
        <w:rPr>
          <w:rFonts w:ascii="Arial" w:hAnsi="Arial" w:cs="Arial"/>
        </w:rPr>
        <w:t xml:space="preserve">El servicio de enlaces de transmisión entre coubicaciones consiste en el establecimiento de enlaces de transmisión físicos de cualquier tecnología, a través de los cuales se establece la interconexión entre redes públicas de telecomunicaciones, para el intercambio de Tráfico Público Conmutado entre las coubicaciones de dos distintos concesionarios localizadas en un mismo punto de interconexión. </w:t>
      </w:r>
    </w:p>
    <w:p w14:paraId="461E3143" w14:textId="77777777" w:rsidR="004A3027" w:rsidRPr="00657BA6" w:rsidRDefault="004A3027" w:rsidP="0014780A">
      <w:pPr>
        <w:autoSpaceDE w:val="0"/>
        <w:autoSpaceDN w:val="0"/>
        <w:adjustRightInd w:val="0"/>
        <w:spacing w:after="0"/>
        <w:jc w:val="both"/>
        <w:rPr>
          <w:rFonts w:ascii="Arial" w:hAnsi="Arial" w:cs="Arial"/>
        </w:rPr>
      </w:pPr>
    </w:p>
    <w:p w14:paraId="0F54B920" w14:textId="77777777" w:rsidR="004A3027" w:rsidRPr="00657BA6" w:rsidRDefault="004A3027" w:rsidP="0014780A">
      <w:pPr>
        <w:autoSpaceDE w:val="0"/>
        <w:autoSpaceDN w:val="0"/>
        <w:adjustRightInd w:val="0"/>
        <w:spacing w:after="0"/>
        <w:jc w:val="both"/>
        <w:rPr>
          <w:rFonts w:ascii="Arial" w:hAnsi="Arial" w:cs="Arial"/>
        </w:rPr>
      </w:pPr>
      <w:r w:rsidRPr="00657BA6">
        <w:rPr>
          <w:rFonts w:ascii="Arial" w:hAnsi="Arial" w:cs="Arial"/>
        </w:rPr>
        <w:t>Estos enlaces podrán suministrarse bajo las modalidades de Enlace de Transmisión de Interconexión entre Coubicaciones Gestionado y Enlace de Transmisión de lnterconexión entre Coubicaciones No Gestionado.</w:t>
      </w:r>
    </w:p>
    <w:p w14:paraId="404EB5AD" w14:textId="77777777" w:rsidR="004A3027" w:rsidRPr="00657BA6" w:rsidRDefault="004A3027" w:rsidP="0014780A">
      <w:pPr>
        <w:autoSpaceDE w:val="0"/>
        <w:autoSpaceDN w:val="0"/>
        <w:adjustRightInd w:val="0"/>
        <w:spacing w:after="0"/>
        <w:jc w:val="both"/>
        <w:rPr>
          <w:rFonts w:ascii="Arial" w:hAnsi="Arial" w:cs="Arial"/>
        </w:rPr>
      </w:pPr>
    </w:p>
    <w:p w14:paraId="269C7867" w14:textId="77777777" w:rsidR="004A3027" w:rsidRPr="00657BA6" w:rsidRDefault="004A3027" w:rsidP="0014780A">
      <w:pPr>
        <w:autoSpaceDE w:val="0"/>
        <w:autoSpaceDN w:val="0"/>
        <w:adjustRightInd w:val="0"/>
        <w:spacing w:after="0"/>
        <w:jc w:val="both"/>
        <w:rPr>
          <w:rFonts w:ascii="Arial" w:hAnsi="Arial" w:cs="Arial"/>
        </w:rPr>
      </w:pPr>
      <w:r w:rsidRPr="00657BA6">
        <w:rPr>
          <w:rFonts w:ascii="Arial" w:hAnsi="Arial" w:cs="Arial"/>
        </w:rPr>
        <w:t>En este sentido, el modelo calcula los costos de ambos servicios considera la prestación del servicio de interconexión entre coubicaciones a través de un servicio activo, es decir, un enlace de transmisión entre coubicaciones gestionado; o un servicio pasivo, también conocido como enlace de transmisión entre coubicaciones no gestionado.</w:t>
      </w:r>
    </w:p>
    <w:p w14:paraId="5BC3D6FE" w14:textId="77777777" w:rsidR="004A3027" w:rsidRPr="00657BA6" w:rsidRDefault="004A3027" w:rsidP="0014780A">
      <w:pPr>
        <w:autoSpaceDE w:val="0"/>
        <w:autoSpaceDN w:val="0"/>
        <w:adjustRightInd w:val="0"/>
        <w:spacing w:after="0"/>
        <w:jc w:val="both"/>
        <w:rPr>
          <w:rFonts w:ascii="Arial" w:hAnsi="Arial" w:cs="Arial"/>
        </w:rPr>
      </w:pPr>
    </w:p>
    <w:p w14:paraId="031BA45F" w14:textId="77777777" w:rsidR="004A3027" w:rsidRPr="00657BA6" w:rsidRDefault="004A3027" w:rsidP="0014780A">
      <w:pPr>
        <w:spacing w:after="0"/>
        <w:jc w:val="both"/>
        <w:rPr>
          <w:rFonts w:ascii="Arial" w:hAnsi="Arial" w:cs="Arial"/>
          <w:b/>
        </w:rPr>
      </w:pPr>
      <w:r w:rsidRPr="00657BA6">
        <w:rPr>
          <w:rFonts w:ascii="Arial" w:hAnsi="Arial" w:cs="Arial"/>
          <w:b/>
        </w:rPr>
        <w:t>Servicio gestionado</w:t>
      </w:r>
    </w:p>
    <w:p w14:paraId="567D78AC" w14:textId="77777777" w:rsidR="004A3027" w:rsidRPr="00657BA6" w:rsidRDefault="004A3027" w:rsidP="0014780A">
      <w:pPr>
        <w:spacing w:after="0"/>
        <w:jc w:val="both"/>
        <w:rPr>
          <w:rFonts w:ascii="Arial" w:hAnsi="Arial" w:cs="Arial"/>
        </w:rPr>
      </w:pPr>
    </w:p>
    <w:p w14:paraId="268B461D" w14:textId="77777777" w:rsidR="004A3027" w:rsidRPr="00657BA6" w:rsidRDefault="004A3027" w:rsidP="0014780A">
      <w:pPr>
        <w:autoSpaceDE w:val="0"/>
        <w:autoSpaceDN w:val="0"/>
        <w:adjustRightInd w:val="0"/>
        <w:spacing w:after="0"/>
        <w:jc w:val="both"/>
        <w:rPr>
          <w:rFonts w:ascii="Arial" w:hAnsi="Arial" w:cs="Arial"/>
        </w:rPr>
      </w:pPr>
      <w:r w:rsidRPr="00657BA6">
        <w:rPr>
          <w:rFonts w:ascii="Arial" w:hAnsi="Arial" w:cs="Arial"/>
        </w:rPr>
        <w:t xml:space="preserve">El servicio gestionado o activo consiste en la provisión de un medio de transmisión que enlace las coubicaciones de dos concesionarios que se encuentran en una misma central de </w:t>
      </w:r>
      <w:r w:rsidRPr="00657BA6">
        <w:rPr>
          <w:rFonts w:ascii="Arial" w:hAnsi="Arial" w:cs="Arial"/>
        </w:rPr>
        <w:lastRenderedPageBreak/>
        <w:t>interconexión, el cual realiza el enrutamiento para transferir información de un punto a otro, en el cual en un punto intermedio del mismo se encuentra un switch de telecomunicaciones y equipo electrónico que permite la gestión y el monitoreo del enlace; la arquitectura de dicho servicio se esquematiza en el siguiente diagrama:</w:t>
      </w:r>
    </w:p>
    <w:p w14:paraId="480D9908" w14:textId="77777777" w:rsidR="004A3027" w:rsidRPr="00657BA6" w:rsidRDefault="004A3027" w:rsidP="0014780A">
      <w:pPr>
        <w:spacing w:after="0"/>
        <w:jc w:val="both"/>
        <w:rPr>
          <w:rFonts w:ascii="Arial" w:hAnsi="Arial" w:cs="Arial"/>
        </w:rPr>
      </w:pPr>
    </w:p>
    <w:p w14:paraId="4CB4A138" w14:textId="77777777" w:rsidR="004A3027" w:rsidRPr="00657BA6" w:rsidRDefault="004A3027" w:rsidP="0014780A">
      <w:pPr>
        <w:spacing w:after="0"/>
        <w:jc w:val="center"/>
        <w:rPr>
          <w:rFonts w:ascii="Arial" w:hAnsi="Arial" w:cs="Arial"/>
        </w:rPr>
      </w:pPr>
      <w:r w:rsidRPr="00657BA6">
        <w:rPr>
          <w:rFonts w:ascii="Arial" w:hAnsi="Arial" w:cs="Arial"/>
          <w:noProof/>
          <w:lang w:eastAsia="es-MX"/>
        </w:rPr>
        <w:drawing>
          <wp:inline distT="0" distB="0" distL="0" distR="0" wp14:anchorId="293E40B9" wp14:editId="5445C5EF">
            <wp:extent cx="2806700" cy="2628225"/>
            <wp:effectExtent l="0" t="0" r="0" b="0"/>
            <wp:docPr id="67" name="Imagen 6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Interfaz de usuario gráfica&#10;&#10;Descripción generada automáticamente"/>
                    <pic:cNvPicPr>
                      <a:picLocks noChangeAspect="1" noChangeArrowheads="1"/>
                    </pic:cNvPicPr>
                  </pic:nvPicPr>
                  <pic:blipFill>
                    <a:blip r:embed="rId41" cstate="print">
                      <a:grayscl/>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19565" cy="2640272"/>
                    </a:xfrm>
                    <a:prstGeom prst="rect">
                      <a:avLst/>
                    </a:prstGeom>
                    <a:noFill/>
                  </pic:spPr>
                </pic:pic>
              </a:graphicData>
            </a:graphic>
          </wp:inline>
        </w:drawing>
      </w:r>
    </w:p>
    <w:p w14:paraId="4899CEF7" w14:textId="774C05BF" w:rsidR="004A3027" w:rsidRPr="00657BA6" w:rsidRDefault="004A3027" w:rsidP="0014780A">
      <w:pPr>
        <w:spacing w:after="0"/>
        <w:jc w:val="center"/>
        <w:rPr>
          <w:rFonts w:ascii="Arial" w:hAnsi="Arial" w:cs="Arial"/>
        </w:rPr>
      </w:pPr>
      <w:r w:rsidRPr="00657BA6">
        <w:rPr>
          <w:rFonts w:ascii="Arial" w:hAnsi="Arial" w:cs="Arial"/>
        </w:rPr>
        <w:t xml:space="preserve">Figura </w:t>
      </w:r>
      <w:r w:rsidR="00BF46D1">
        <w:rPr>
          <w:rFonts w:ascii="Arial" w:hAnsi="Arial" w:cs="Arial"/>
        </w:rPr>
        <w:t>16</w:t>
      </w:r>
      <w:r w:rsidRPr="00657BA6">
        <w:rPr>
          <w:rFonts w:ascii="Arial" w:hAnsi="Arial" w:cs="Arial"/>
        </w:rPr>
        <w:t>. Arquitectura servicio de interconexión cruzada activo.</w:t>
      </w:r>
    </w:p>
    <w:p w14:paraId="4FA5A99A" w14:textId="77777777" w:rsidR="004A3027" w:rsidRPr="00657BA6" w:rsidRDefault="004A3027" w:rsidP="0014780A">
      <w:pPr>
        <w:spacing w:after="0"/>
        <w:jc w:val="both"/>
        <w:rPr>
          <w:rFonts w:ascii="Arial" w:hAnsi="Arial" w:cs="Arial"/>
        </w:rPr>
      </w:pPr>
    </w:p>
    <w:p w14:paraId="21686AEA" w14:textId="77777777" w:rsidR="004A3027" w:rsidRPr="00657BA6" w:rsidRDefault="004A3027" w:rsidP="0014780A">
      <w:pPr>
        <w:spacing w:after="0"/>
        <w:jc w:val="both"/>
        <w:rPr>
          <w:rFonts w:ascii="Arial" w:hAnsi="Arial" w:cs="Arial"/>
        </w:rPr>
      </w:pPr>
      <w:r w:rsidRPr="00657BA6">
        <w:rPr>
          <w:rFonts w:ascii="Arial" w:hAnsi="Arial" w:cs="Arial"/>
        </w:rPr>
        <w:t>El concesionario que provee el servicio es el encargado del enrutamiento y del monitoreo del enlace de transmisión. El modelo considera enlaces de transmisión de 1 Gbps y 10 Gbps de capacidad para la provisión del servicio, así como los siguientes elementos:</w:t>
      </w:r>
    </w:p>
    <w:p w14:paraId="3DDA510D" w14:textId="77777777" w:rsidR="004A3027" w:rsidRPr="00657BA6" w:rsidRDefault="004A3027" w:rsidP="0014780A">
      <w:pPr>
        <w:spacing w:after="0"/>
        <w:jc w:val="both"/>
        <w:rPr>
          <w:rFonts w:ascii="Arial" w:hAnsi="Arial" w:cs="Arial"/>
        </w:rPr>
      </w:pPr>
    </w:p>
    <w:p w14:paraId="7B64227B" w14:textId="77777777" w:rsidR="004A3027" w:rsidRPr="00657BA6" w:rsidRDefault="004A3027" w:rsidP="009640AE">
      <w:pPr>
        <w:numPr>
          <w:ilvl w:val="0"/>
          <w:numId w:val="41"/>
        </w:numPr>
        <w:spacing w:after="0"/>
        <w:ind w:left="714" w:hanging="357"/>
        <w:contextualSpacing/>
        <w:jc w:val="both"/>
        <w:rPr>
          <w:rFonts w:ascii="Arial" w:eastAsia="Times New Roman" w:hAnsi="Arial" w:cs="Arial"/>
          <w:lang w:eastAsia="es-ES"/>
        </w:rPr>
      </w:pPr>
      <w:r w:rsidRPr="00657BA6">
        <w:rPr>
          <w:rFonts w:ascii="Arial" w:eastAsia="Times New Roman" w:hAnsi="Arial" w:cs="Arial"/>
          <w:lang w:eastAsia="es-ES"/>
        </w:rPr>
        <w:t>Distribuidor de Fibra Óptica: con capacidad de 6 pares dobles de fibra (12 conectores)</w:t>
      </w:r>
    </w:p>
    <w:p w14:paraId="4B8BC2D1" w14:textId="77777777" w:rsidR="004A3027" w:rsidRPr="00657BA6" w:rsidRDefault="004A3027" w:rsidP="009640AE">
      <w:pPr>
        <w:numPr>
          <w:ilvl w:val="0"/>
          <w:numId w:val="41"/>
        </w:numPr>
        <w:spacing w:after="0"/>
        <w:ind w:left="714" w:hanging="357"/>
        <w:contextualSpacing/>
        <w:jc w:val="both"/>
        <w:rPr>
          <w:rFonts w:ascii="Arial" w:eastAsia="Times New Roman" w:hAnsi="Arial" w:cs="Arial"/>
          <w:lang w:eastAsia="es-ES"/>
        </w:rPr>
      </w:pPr>
      <w:r w:rsidRPr="00657BA6">
        <w:rPr>
          <w:rFonts w:ascii="Arial" w:eastAsia="Times New Roman" w:hAnsi="Arial" w:cs="Arial"/>
          <w:lang w:eastAsia="es-ES"/>
        </w:rPr>
        <w:t>Demarcador: switch que servirá para delimitar la red del concesionario solicitado y del concesionario solicitante, con capacidad de 6 puertos ópticos, cuya capacidad puede ser de 1Gbps o 10Gbps, con un incremento del 2.5 en el Capex para este último caso.</w:t>
      </w:r>
    </w:p>
    <w:p w14:paraId="4BBDA8C3" w14:textId="77777777" w:rsidR="004A3027" w:rsidRPr="00657BA6" w:rsidRDefault="004A3027" w:rsidP="009640AE">
      <w:pPr>
        <w:numPr>
          <w:ilvl w:val="0"/>
          <w:numId w:val="41"/>
        </w:numPr>
        <w:spacing w:after="0"/>
        <w:ind w:left="714" w:hanging="357"/>
        <w:contextualSpacing/>
        <w:jc w:val="both"/>
        <w:rPr>
          <w:rFonts w:ascii="Arial" w:eastAsia="Times New Roman" w:hAnsi="Arial" w:cs="Arial"/>
          <w:lang w:eastAsia="es-ES"/>
        </w:rPr>
      </w:pPr>
      <w:r w:rsidRPr="00657BA6">
        <w:rPr>
          <w:rFonts w:ascii="Arial" w:eastAsia="Times New Roman" w:hAnsi="Arial" w:cs="Arial"/>
          <w:lang w:eastAsia="es-ES"/>
        </w:rPr>
        <w:t>Equipo de Transporte: switch encargado del enrutamiento del tráfico entre los concesionarios, con capacidad de 16 puertos ópticos de 1 Gbps o 10 Gbps, con un incremento del 2.5 en el Capex para este último caso.</w:t>
      </w:r>
    </w:p>
    <w:p w14:paraId="46001CB4" w14:textId="77777777" w:rsidR="004A3027" w:rsidRPr="00657BA6" w:rsidRDefault="004A3027" w:rsidP="009640AE">
      <w:pPr>
        <w:numPr>
          <w:ilvl w:val="0"/>
          <w:numId w:val="41"/>
        </w:numPr>
        <w:spacing w:after="0"/>
        <w:ind w:left="714" w:hanging="357"/>
        <w:contextualSpacing/>
        <w:jc w:val="both"/>
        <w:rPr>
          <w:rFonts w:ascii="Arial" w:eastAsia="Times New Roman" w:hAnsi="Arial" w:cs="Arial"/>
          <w:lang w:eastAsia="es-ES"/>
        </w:rPr>
      </w:pPr>
      <w:r w:rsidRPr="00657BA6">
        <w:rPr>
          <w:rFonts w:ascii="Arial" w:eastAsia="Times New Roman" w:hAnsi="Arial" w:cs="Arial"/>
          <w:lang w:eastAsia="es-ES"/>
        </w:rPr>
        <w:t>Jumper Óptico: multimodo dúplex y 10 metros de longitud.</w:t>
      </w:r>
    </w:p>
    <w:p w14:paraId="0D59F365" w14:textId="77777777" w:rsidR="004A3027" w:rsidRPr="00657BA6" w:rsidRDefault="004A3027" w:rsidP="0014780A">
      <w:pPr>
        <w:spacing w:after="0"/>
        <w:jc w:val="both"/>
        <w:rPr>
          <w:rFonts w:ascii="Arial" w:hAnsi="Arial" w:cs="Arial"/>
          <w:b/>
        </w:rPr>
      </w:pPr>
    </w:p>
    <w:p w14:paraId="4EDB208A" w14:textId="77777777" w:rsidR="004A3027" w:rsidRPr="00657BA6" w:rsidRDefault="004A3027" w:rsidP="0014780A">
      <w:pPr>
        <w:spacing w:after="0"/>
        <w:jc w:val="both"/>
        <w:rPr>
          <w:rFonts w:ascii="Arial" w:hAnsi="Arial" w:cs="Arial"/>
          <w:b/>
        </w:rPr>
      </w:pPr>
      <w:r w:rsidRPr="00657BA6">
        <w:rPr>
          <w:rFonts w:ascii="Arial" w:hAnsi="Arial" w:cs="Arial"/>
          <w:b/>
        </w:rPr>
        <w:t>Servicio no gestionado</w:t>
      </w:r>
    </w:p>
    <w:p w14:paraId="477C2679" w14:textId="77777777" w:rsidR="004A3027" w:rsidRPr="00657BA6" w:rsidRDefault="004A3027" w:rsidP="0014780A">
      <w:pPr>
        <w:spacing w:after="0"/>
        <w:jc w:val="both"/>
        <w:rPr>
          <w:rFonts w:ascii="Arial" w:hAnsi="Arial" w:cs="Arial"/>
          <w:b/>
        </w:rPr>
      </w:pPr>
    </w:p>
    <w:p w14:paraId="00DCCFB8" w14:textId="3C13C3BF" w:rsidR="004A3027" w:rsidRPr="00657BA6" w:rsidRDefault="004A3027" w:rsidP="0014780A">
      <w:pPr>
        <w:autoSpaceDE w:val="0"/>
        <w:autoSpaceDN w:val="0"/>
        <w:adjustRightInd w:val="0"/>
        <w:spacing w:after="0"/>
        <w:jc w:val="both"/>
        <w:rPr>
          <w:rFonts w:ascii="Arial" w:hAnsi="Arial" w:cs="Arial"/>
        </w:rPr>
      </w:pPr>
      <w:r w:rsidRPr="00657BA6">
        <w:rPr>
          <w:rFonts w:ascii="Arial" w:hAnsi="Arial" w:cs="Arial"/>
        </w:rPr>
        <w:t>El servicio no gestionado o pasivo consiste en la provisión de un enlace entre las coubicaciones de dos concesionarios que se encuentran en una misma central de interconexión, a través de la provisión únicamente de infraestructura pasiva, como son escalerillas y cable de fibra óptica, en este servicio pasivo no existe gestión del enlace por parte del</w:t>
      </w:r>
      <w:r w:rsidR="00A13774">
        <w:rPr>
          <w:rFonts w:ascii="Arial" w:hAnsi="Arial" w:cs="Arial"/>
        </w:rPr>
        <w:t xml:space="preserve"> operador hipotético representativo </w:t>
      </w:r>
      <w:r w:rsidR="00A13774">
        <w:rPr>
          <w:rFonts w:ascii="Arial" w:hAnsi="Arial" w:cs="Arial"/>
        </w:rPr>
        <w:lastRenderedPageBreak/>
        <w:t>del</w:t>
      </w:r>
      <w:r w:rsidRPr="00657BA6">
        <w:rPr>
          <w:rFonts w:ascii="Arial" w:hAnsi="Arial" w:cs="Arial"/>
        </w:rPr>
        <w:t xml:space="preserve"> AEP, por lo que los concesionarios realizan el monitoreo y gestión del mismo; la arquitectura de dicho servicio se esquematiza en el siguiente diagrama:</w:t>
      </w:r>
    </w:p>
    <w:p w14:paraId="32197E91" w14:textId="77777777" w:rsidR="004A3027" w:rsidRPr="00657BA6" w:rsidRDefault="004A3027" w:rsidP="0014780A">
      <w:pPr>
        <w:spacing w:after="0"/>
        <w:jc w:val="center"/>
        <w:rPr>
          <w:rFonts w:ascii="Arial" w:hAnsi="Arial" w:cs="Arial"/>
        </w:rPr>
      </w:pPr>
      <w:r w:rsidRPr="00657BA6">
        <w:rPr>
          <w:rFonts w:ascii="Arial" w:hAnsi="Arial" w:cs="Arial"/>
          <w:noProof/>
          <w:lang w:eastAsia="es-MX"/>
        </w:rPr>
        <w:drawing>
          <wp:inline distT="0" distB="0" distL="0" distR="0" wp14:anchorId="13C73BAB" wp14:editId="5D48BA6E">
            <wp:extent cx="2552700" cy="2390376"/>
            <wp:effectExtent l="0" t="0" r="0" b="0"/>
            <wp:docPr id="68" name="Imagen 6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Interfaz de usuario gráfica, Aplicación&#10;&#10;Descripción generada automáticamente"/>
                    <pic:cNvPicPr>
                      <a:picLocks noChangeAspect="1" noChangeArrowheads="1"/>
                    </pic:cNvPicPr>
                  </pic:nvPicPr>
                  <pic:blipFill>
                    <a:blip r:embed="rId43" cstate="print">
                      <a:grayscl/>
                      <a:extLst>
                        <a:ext uri="{BEBA8EAE-BF5A-486C-A8C5-ECC9F3942E4B}">
                          <a14:imgProps xmlns:a14="http://schemas.microsoft.com/office/drawing/2010/main">
                            <a14:imgLayer r:embed="rId4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68220" cy="2404909"/>
                    </a:xfrm>
                    <a:prstGeom prst="rect">
                      <a:avLst/>
                    </a:prstGeom>
                    <a:noFill/>
                  </pic:spPr>
                </pic:pic>
              </a:graphicData>
            </a:graphic>
          </wp:inline>
        </w:drawing>
      </w:r>
    </w:p>
    <w:p w14:paraId="17194769" w14:textId="3A856ABF" w:rsidR="004A3027" w:rsidRPr="00657BA6" w:rsidRDefault="004A3027" w:rsidP="0014780A">
      <w:pPr>
        <w:spacing w:after="0"/>
        <w:jc w:val="center"/>
        <w:rPr>
          <w:rFonts w:ascii="Arial" w:hAnsi="Arial" w:cs="Arial"/>
        </w:rPr>
      </w:pPr>
      <w:r w:rsidRPr="00657BA6">
        <w:rPr>
          <w:rFonts w:ascii="Arial" w:hAnsi="Arial" w:cs="Arial"/>
        </w:rPr>
        <w:t xml:space="preserve">Figura </w:t>
      </w:r>
      <w:r w:rsidR="00BF46D1">
        <w:rPr>
          <w:rFonts w:ascii="Arial" w:hAnsi="Arial" w:cs="Arial"/>
        </w:rPr>
        <w:t>17</w:t>
      </w:r>
      <w:r w:rsidRPr="00657BA6">
        <w:rPr>
          <w:rFonts w:ascii="Arial" w:hAnsi="Arial" w:cs="Arial"/>
        </w:rPr>
        <w:t>. Arquitectura servicio de interconexión cruzada pasivo.</w:t>
      </w:r>
    </w:p>
    <w:p w14:paraId="3FD5581B" w14:textId="77777777" w:rsidR="004A3027" w:rsidRPr="00657BA6" w:rsidRDefault="004A3027" w:rsidP="0014780A">
      <w:pPr>
        <w:autoSpaceDE w:val="0"/>
        <w:autoSpaceDN w:val="0"/>
        <w:adjustRightInd w:val="0"/>
        <w:spacing w:after="0"/>
        <w:jc w:val="both"/>
        <w:rPr>
          <w:rFonts w:ascii="Arial" w:hAnsi="Arial" w:cs="Arial"/>
        </w:rPr>
      </w:pPr>
    </w:p>
    <w:p w14:paraId="76A1D48A" w14:textId="77777777" w:rsidR="004A3027" w:rsidRPr="00657BA6" w:rsidRDefault="004A3027" w:rsidP="0014780A">
      <w:pPr>
        <w:autoSpaceDE w:val="0"/>
        <w:autoSpaceDN w:val="0"/>
        <w:adjustRightInd w:val="0"/>
        <w:spacing w:after="0"/>
        <w:jc w:val="both"/>
        <w:rPr>
          <w:rFonts w:ascii="Arial" w:hAnsi="Arial" w:cs="Arial"/>
        </w:rPr>
      </w:pPr>
      <w:r w:rsidRPr="00657BA6">
        <w:rPr>
          <w:rFonts w:ascii="Arial" w:hAnsi="Arial" w:cs="Arial"/>
        </w:rPr>
        <w:t>El modelo de costos considera para la provisión del servicio los siguientes elementos:</w:t>
      </w:r>
    </w:p>
    <w:p w14:paraId="3963BAA7" w14:textId="77777777" w:rsidR="004A3027" w:rsidRPr="00657BA6" w:rsidRDefault="004A3027" w:rsidP="0014780A">
      <w:pPr>
        <w:autoSpaceDE w:val="0"/>
        <w:autoSpaceDN w:val="0"/>
        <w:adjustRightInd w:val="0"/>
        <w:spacing w:after="0"/>
        <w:jc w:val="both"/>
        <w:rPr>
          <w:rFonts w:ascii="Arial" w:hAnsi="Arial" w:cs="Arial"/>
        </w:rPr>
      </w:pPr>
    </w:p>
    <w:p w14:paraId="41FC70B5" w14:textId="77777777" w:rsidR="004A3027" w:rsidRPr="00657BA6" w:rsidRDefault="004A3027" w:rsidP="009640AE">
      <w:pPr>
        <w:numPr>
          <w:ilvl w:val="0"/>
          <w:numId w:val="42"/>
        </w:numPr>
        <w:autoSpaceDE w:val="0"/>
        <w:autoSpaceDN w:val="0"/>
        <w:adjustRightInd w:val="0"/>
        <w:spacing w:after="0"/>
        <w:contextualSpacing/>
        <w:jc w:val="both"/>
        <w:rPr>
          <w:rFonts w:ascii="Arial" w:eastAsia="Times New Roman" w:hAnsi="Arial" w:cs="Arial"/>
          <w:lang w:eastAsia="es-ES"/>
        </w:rPr>
      </w:pPr>
      <w:r w:rsidRPr="00657BA6">
        <w:rPr>
          <w:rFonts w:ascii="Arial" w:eastAsia="Times New Roman" w:hAnsi="Arial" w:cs="Arial"/>
          <w:lang w:eastAsia="es-ES"/>
        </w:rPr>
        <w:t>Cable Óptico: cable de 12 fibras ópticas</w:t>
      </w:r>
    </w:p>
    <w:p w14:paraId="0C7CBA01" w14:textId="77777777" w:rsidR="004A3027" w:rsidRPr="00657BA6" w:rsidRDefault="004A3027" w:rsidP="009640AE">
      <w:pPr>
        <w:numPr>
          <w:ilvl w:val="0"/>
          <w:numId w:val="42"/>
        </w:numPr>
        <w:autoSpaceDE w:val="0"/>
        <w:autoSpaceDN w:val="0"/>
        <w:adjustRightInd w:val="0"/>
        <w:spacing w:after="0"/>
        <w:contextualSpacing/>
        <w:jc w:val="both"/>
        <w:rPr>
          <w:rFonts w:ascii="Arial" w:eastAsia="Times New Roman" w:hAnsi="Arial" w:cs="Arial"/>
          <w:lang w:eastAsia="es-ES"/>
        </w:rPr>
      </w:pPr>
      <w:r w:rsidRPr="00657BA6">
        <w:rPr>
          <w:rFonts w:ascii="Arial" w:eastAsia="Times New Roman" w:hAnsi="Arial" w:cs="Arial"/>
          <w:lang w:eastAsia="es-ES"/>
        </w:rPr>
        <w:t>Escalerilla</w:t>
      </w:r>
    </w:p>
    <w:p w14:paraId="27F88192" w14:textId="77777777" w:rsidR="004A3027" w:rsidRPr="00657BA6" w:rsidRDefault="004A3027" w:rsidP="0014780A">
      <w:pPr>
        <w:autoSpaceDE w:val="0"/>
        <w:autoSpaceDN w:val="0"/>
        <w:adjustRightInd w:val="0"/>
        <w:spacing w:after="0"/>
        <w:jc w:val="both"/>
        <w:rPr>
          <w:rFonts w:ascii="Arial" w:hAnsi="Arial" w:cs="Arial"/>
        </w:rPr>
      </w:pPr>
    </w:p>
    <w:p w14:paraId="038F8347" w14:textId="17E5E953" w:rsidR="004A3027" w:rsidRPr="00657BA6" w:rsidRDefault="004A3027" w:rsidP="0014780A">
      <w:pPr>
        <w:autoSpaceDE w:val="0"/>
        <w:autoSpaceDN w:val="0"/>
        <w:adjustRightInd w:val="0"/>
        <w:spacing w:after="0"/>
        <w:jc w:val="both"/>
        <w:rPr>
          <w:rFonts w:ascii="Arial" w:hAnsi="Arial" w:cs="Arial"/>
        </w:rPr>
      </w:pPr>
      <w:r w:rsidRPr="00657BA6">
        <w:rPr>
          <w:rFonts w:ascii="Arial" w:hAnsi="Arial" w:cs="Arial"/>
        </w:rPr>
        <w:t xml:space="preserve">La utilización únicamente de elementos pasivos disminuye el Opex y el Capex </w:t>
      </w:r>
      <w:r w:rsidR="00B67887" w:rsidRPr="00657BA6">
        <w:rPr>
          <w:rFonts w:ascii="Arial" w:hAnsi="Arial" w:cs="Arial"/>
        </w:rPr>
        <w:t>en relación con el</w:t>
      </w:r>
      <w:r w:rsidRPr="00657BA6">
        <w:rPr>
          <w:rFonts w:ascii="Arial" w:hAnsi="Arial" w:cs="Arial"/>
        </w:rPr>
        <w:t xml:space="preserve"> servicio gestionado. </w:t>
      </w:r>
    </w:p>
    <w:p w14:paraId="33ABE7FA" w14:textId="77777777" w:rsidR="004A3027" w:rsidRPr="00657BA6" w:rsidRDefault="004A3027" w:rsidP="0014780A">
      <w:pPr>
        <w:spacing w:after="0"/>
        <w:rPr>
          <w:rFonts w:ascii="Arial" w:hAnsi="Arial" w:cs="Arial"/>
          <w:b/>
        </w:rPr>
      </w:pPr>
    </w:p>
    <w:p w14:paraId="64EF299A" w14:textId="77777777" w:rsidR="004A3027" w:rsidRPr="00657BA6" w:rsidRDefault="004A3027" w:rsidP="0014780A">
      <w:pPr>
        <w:spacing w:after="0"/>
        <w:rPr>
          <w:rFonts w:ascii="Arial" w:hAnsi="Arial" w:cs="Arial"/>
          <w:b/>
        </w:rPr>
      </w:pPr>
      <w:r w:rsidRPr="00657BA6">
        <w:rPr>
          <w:rFonts w:ascii="Arial" w:hAnsi="Arial" w:cs="Arial"/>
          <w:b/>
        </w:rPr>
        <w:t xml:space="preserve">Marco metodológico </w:t>
      </w:r>
    </w:p>
    <w:p w14:paraId="461BD33C" w14:textId="77777777" w:rsidR="004A3027" w:rsidRPr="00657BA6" w:rsidRDefault="004A3027" w:rsidP="0014780A">
      <w:pPr>
        <w:spacing w:after="0"/>
        <w:rPr>
          <w:rFonts w:ascii="Arial" w:hAnsi="Arial" w:cs="Arial"/>
          <w:b/>
        </w:rPr>
      </w:pPr>
    </w:p>
    <w:p w14:paraId="348379EB" w14:textId="77777777" w:rsidR="004A3027" w:rsidRPr="00657BA6" w:rsidRDefault="004A3027" w:rsidP="0014780A">
      <w:pPr>
        <w:spacing w:after="0"/>
        <w:rPr>
          <w:rFonts w:ascii="Arial" w:hAnsi="Arial" w:cs="Arial"/>
        </w:rPr>
      </w:pPr>
      <w:r w:rsidRPr="00657BA6">
        <w:rPr>
          <w:rFonts w:ascii="Arial" w:hAnsi="Arial" w:cs="Arial"/>
        </w:rPr>
        <w:t>A efecto de determinar el costo del servicio se señalan las principales hipótesis:</w:t>
      </w:r>
    </w:p>
    <w:p w14:paraId="32E8ED09" w14:textId="77777777" w:rsidR="004A3027" w:rsidRPr="00657BA6" w:rsidRDefault="004A3027" w:rsidP="0014780A">
      <w:pPr>
        <w:spacing w:after="0"/>
        <w:rPr>
          <w:rFonts w:ascii="Arial" w:hAnsi="Arial" w:cs="Arial"/>
        </w:rPr>
      </w:pPr>
    </w:p>
    <w:p w14:paraId="2CDA42BE" w14:textId="0CAEA2D3" w:rsidR="004A3027" w:rsidRPr="00657BA6" w:rsidRDefault="004A3027" w:rsidP="0014780A">
      <w:pPr>
        <w:spacing w:after="0"/>
        <w:jc w:val="both"/>
        <w:rPr>
          <w:rFonts w:ascii="Arial" w:hAnsi="Arial" w:cs="Arial"/>
        </w:rPr>
      </w:pPr>
      <w:r w:rsidRPr="00657BA6">
        <w:rPr>
          <w:rFonts w:ascii="Arial" w:hAnsi="Arial" w:cs="Arial"/>
          <w:b/>
        </w:rPr>
        <w:t xml:space="preserve">Demanda: </w:t>
      </w:r>
      <w:r w:rsidRPr="00657BA6">
        <w:rPr>
          <w:rFonts w:ascii="Arial" w:hAnsi="Arial" w:cs="Arial"/>
        </w:rPr>
        <w:t>Todos los concesionarios solicitantes se encuentran en una misma central del</w:t>
      </w:r>
      <w:r w:rsidR="00A13774">
        <w:rPr>
          <w:rFonts w:ascii="Arial" w:hAnsi="Arial" w:cs="Arial"/>
        </w:rPr>
        <w:t xml:space="preserve"> operador hipotético representativo del</w:t>
      </w:r>
      <w:r w:rsidRPr="00657BA6">
        <w:rPr>
          <w:rFonts w:ascii="Arial" w:hAnsi="Arial" w:cs="Arial"/>
        </w:rPr>
        <w:t xml:space="preserve"> AEP, considerando una media de 2 operadores por central.</w:t>
      </w:r>
    </w:p>
    <w:p w14:paraId="4C3F5002" w14:textId="77777777" w:rsidR="004A3027" w:rsidRPr="00657BA6" w:rsidRDefault="004A3027" w:rsidP="0014780A">
      <w:pPr>
        <w:spacing w:after="0"/>
        <w:jc w:val="both"/>
        <w:rPr>
          <w:rFonts w:ascii="Arial" w:hAnsi="Arial" w:cs="Arial"/>
        </w:rPr>
      </w:pPr>
    </w:p>
    <w:p w14:paraId="33ED4687" w14:textId="77777777" w:rsidR="004A3027" w:rsidRDefault="004A3027" w:rsidP="0014780A">
      <w:pPr>
        <w:spacing w:after="0"/>
        <w:jc w:val="both"/>
        <w:rPr>
          <w:rFonts w:ascii="Arial" w:hAnsi="Arial" w:cs="Arial"/>
          <w:b/>
        </w:rPr>
      </w:pPr>
      <w:r w:rsidRPr="00657BA6">
        <w:rPr>
          <w:rFonts w:ascii="Arial" w:hAnsi="Arial" w:cs="Arial"/>
          <w:b/>
        </w:rPr>
        <w:t>Estructura de red:</w:t>
      </w:r>
    </w:p>
    <w:p w14:paraId="0378FAEF" w14:textId="77777777" w:rsidR="00A13774" w:rsidRPr="00657BA6" w:rsidRDefault="00A13774" w:rsidP="0014780A">
      <w:pPr>
        <w:spacing w:after="0"/>
        <w:jc w:val="both"/>
        <w:rPr>
          <w:rFonts w:ascii="Arial" w:hAnsi="Arial" w:cs="Arial"/>
          <w:b/>
        </w:rPr>
      </w:pPr>
    </w:p>
    <w:p w14:paraId="30B76ECD" w14:textId="2633CEAA" w:rsidR="004A3027" w:rsidRPr="00657BA6" w:rsidRDefault="004A3027" w:rsidP="009640AE">
      <w:pPr>
        <w:numPr>
          <w:ilvl w:val="0"/>
          <w:numId w:val="32"/>
        </w:numPr>
        <w:spacing w:after="0"/>
        <w:ind w:left="714" w:hanging="357"/>
        <w:contextualSpacing/>
        <w:jc w:val="both"/>
        <w:rPr>
          <w:rFonts w:ascii="Arial" w:eastAsia="Times New Roman" w:hAnsi="Arial" w:cs="Arial"/>
          <w:b/>
          <w:lang w:eastAsia="es-ES"/>
        </w:rPr>
      </w:pPr>
      <w:r w:rsidRPr="00657BA6">
        <w:rPr>
          <w:rFonts w:ascii="Arial" w:eastAsia="Times New Roman" w:hAnsi="Arial" w:cs="Arial"/>
          <w:lang w:eastAsia="es-ES"/>
        </w:rPr>
        <w:t xml:space="preserve">Los elementos de red provistos por el </w:t>
      </w:r>
      <w:r w:rsidR="00A13774">
        <w:rPr>
          <w:rFonts w:ascii="Arial" w:hAnsi="Arial" w:cs="Arial"/>
        </w:rPr>
        <w:t>operador hipotético representativo del</w:t>
      </w:r>
      <w:r w:rsidR="00A13774" w:rsidRPr="00657BA6">
        <w:rPr>
          <w:rFonts w:ascii="Arial" w:hAnsi="Arial" w:cs="Arial"/>
        </w:rPr>
        <w:t xml:space="preserve"> </w:t>
      </w:r>
      <w:r w:rsidR="008C4DF7" w:rsidRPr="00657BA6">
        <w:rPr>
          <w:rFonts w:ascii="Arial" w:hAnsi="Arial" w:cs="Arial"/>
        </w:rPr>
        <w:t>AEP</w:t>
      </w:r>
      <w:r w:rsidR="008C4DF7" w:rsidRPr="00657BA6" w:rsidDel="00A13774">
        <w:rPr>
          <w:rFonts w:ascii="Arial" w:eastAsia="Times New Roman" w:hAnsi="Arial" w:cs="Arial"/>
          <w:lang w:eastAsia="es-ES"/>
        </w:rPr>
        <w:t xml:space="preserve"> </w:t>
      </w:r>
      <w:r w:rsidR="008C4DF7" w:rsidRPr="00657BA6">
        <w:rPr>
          <w:rFonts w:ascii="Arial" w:eastAsia="Times New Roman" w:hAnsi="Arial" w:cs="Arial"/>
          <w:lang w:eastAsia="es-ES"/>
        </w:rPr>
        <w:t>para</w:t>
      </w:r>
      <w:r w:rsidRPr="00657BA6">
        <w:rPr>
          <w:rFonts w:ascii="Arial" w:eastAsia="Times New Roman" w:hAnsi="Arial" w:cs="Arial"/>
          <w:lang w:eastAsia="es-ES"/>
        </w:rPr>
        <w:t xml:space="preserve"> la provisión de este servicio están totalmente separados de su red troncal y de acceso, y sus costos estarán por lo tanto exclusivamente repartidos entre los operadores que se interconecten.</w:t>
      </w:r>
    </w:p>
    <w:p w14:paraId="08228C70" w14:textId="26F10AD5" w:rsidR="004A3027" w:rsidRPr="00657BA6" w:rsidRDefault="004A3027" w:rsidP="009640AE">
      <w:pPr>
        <w:numPr>
          <w:ilvl w:val="0"/>
          <w:numId w:val="32"/>
        </w:numPr>
        <w:spacing w:after="0"/>
        <w:ind w:left="714" w:hanging="357"/>
        <w:contextualSpacing/>
        <w:jc w:val="both"/>
        <w:rPr>
          <w:rFonts w:ascii="Arial" w:eastAsia="Times New Roman" w:hAnsi="Arial" w:cs="Arial"/>
          <w:b/>
          <w:lang w:eastAsia="es-ES"/>
        </w:rPr>
      </w:pPr>
      <w:r w:rsidRPr="00657BA6">
        <w:rPr>
          <w:rFonts w:ascii="Arial" w:eastAsia="Times New Roman" w:hAnsi="Arial" w:cs="Arial"/>
          <w:lang w:eastAsia="es-ES"/>
        </w:rPr>
        <w:t xml:space="preserve">Los demarcadores empleados para separar la red del </w:t>
      </w:r>
      <w:r w:rsidR="00A13774">
        <w:rPr>
          <w:rFonts w:ascii="Arial" w:hAnsi="Arial" w:cs="Arial"/>
        </w:rPr>
        <w:t>operador hipotético representativo del</w:t>
      </w:r>
      <w:r w:rsidR="00A13774" w:rsidRPr="00657BA6">
        <w:rPr>
          <w:rFonts w:ascii="Arial" w:hAnsi="Arial" w:cs="Arial"/>
        </w:rPr>
        <w:t xml:space="preserve"> AEP</w:t>
      </w:r>
      <w:r w:rsidRPr="00657BA6">
        <w:rPr>
          <w:rFonts w:ascii="Arial" w:eastAsia="Times New Roman" w:hAnsi="Arial" w:cs="Arial"/>
          <w:lang w:eastAsia="es-ES"/>
        </w:rPr>
        <w:t xml:space="preserve"> de la de los concesionarios están formados por conmutadores ópticos.</w:t>
      </w:r>
    </w:p>
    <w:p w14:paraId="30724F9F" w14:textId="77777777" w:rsidR="004A3027" w:rsidRPr="00657BA6" w:rsidRDefault="004A3027" w:rsidP="009640AE">
      <w:pPr>
        <w:numPr>
          <w:ilvl w:val="0"/>
          <w:numId w:val="32"/>
        </w:numPr>
        <w:spacing w:after="0"/>
        <w:ind w:left="714" w:hanging="357"/>
        <w:contextualSpacing/>
        <w:jc w:val="both"/>
        <w:rPr>
          <w:rFonts w:ascii="Arial" w:eastAsia="Times New Roman" w:hAnsi="Arial" w:cs="Arial"/>
          <w:b/>
          <w:lang w:eastAsia="es-ES"/>
        </w:rPr>
      </w:pPr>
      <w:r w:rsidRPr="00657BA6">
        <w:rPr>
          <w:rFonts w:ascii="Arial" w:eastAsia="Times New Roman" w:hAnsi="Arial" w:cs="Arial"/>
          <w:lang w:eastAsia="es-ES"/>
        </w:rPr>
        <w:lastRenderedPageBreak/>
        <w:t>Todos los equipos considerados tienen conexiones de 1 Gbps; emplear equipos con conexiones de 10 Gbps incrementaría el capex en x2.5 para los equipos considerados.</w:t>
      </w:r>
    </w:p>
    <w:p w14:paraId="2C6563AD" w14:textId="77777777" w:rsidR="004A3027" w:rsidRPr="00657BA6" w:rsidRDefault="004A3027" w:rsidP="0014780A">
      <w:pPr>
        <w:spacing w:after="0"/>
        <w:jc w:val="both"/>
        <w:rPr>
          <w:rFonts w:ascii="Arial" w:hAnsi="Arial" w:cs="Arial"/>
          <w:b/>
        </w:rPr>
      </w:pPr>
    </w:p>
    <w:p w14:paraId="48ADA051" w14:textId="77777777" w:rsidR="004A3027" w:rsidRPr="00657BA6" w:rsidRDefault="004A3027" w:rsidP="0014780A">
      <w:pPr>
        <w:spacing w:after="0"/>
        <w:jc w:val="both"/>
        <w:rPr>
          <w:rFonts w:ascii="Arial" w:hAnsi="Arial" w:cs="Arial"/>
        </w:rPr>
      </w:pPr>
      <w:r w:rsidRPr="00657BA6">
        <w:rPr>
          <w:rFonts w:ascii="Arial" w:hAnsi="Arial" w:cs="Arial"/>
          <w:b/>
        </w:rPr>
        <w:t xml:space="preserve">Depreciación: </w:t>
      </w:r>
      <w:r w:rsidRPr="00657BA6">
        <w:rPr>
          <w:rFonts w:ascii="Arial" w:hAnsi="Arial" w:cs="Arial"/>
        </w:rPr>
        <w:t>El costo de reposición de los equipos se considera en los costos mensuales en forma de anualización inclinada.</w:t>
      </w:r>
    </w:p>
    <w:p w14:paraId="47EC0D4E" w14:textId="77777777" w:rsidR="004A3027" w:rsidRPr="00657BA6" w:rsidRDefault="004A3027" w:rsidP="0014780A">
      <w:pPr>
        <w:spacing w:after="0"/>
        <w:jc w:val="both"/>
        <w:rPr>
          <w:rFonts w:ascii="Arial" w:hAnsi="Arial" w:cs="Arial"/>
        </w:rPr>
      </w:pPr>
    </w:p>
    <w:p w14:paraId="5B90E5C1" w14:textId="083960A1" w:rsidR="00742FBB" w:rsidRPr="00966DD6" w:rsidRDefault="004A3027" w:rsidP="00742FBB">
      <w:pPr>
        <w:spacing w:after="0"/>
        <w:jc w:val="both"/>
        <w:rPr>
          <w:rFonts w:ascii="Arial" w:hAnsi="Arial" w:cs="Arial"/>
          <w:lang w:val="es-ES"/>
        </w:rPr>
      </w:pPr>
      <w:r w:rsidRPr="00657BA6">
        <w:rPr>
          <w:rFonts w:ascii="Arial" w:hAnsi="Arial" w:cs="Arial"/>
          <w:b/>
        </w:rPr>
        <w:t>CCPP:</w:t>
      </w:r>
      <w:r w:rsidR="00742FBB">
        <w:rPr>
          <w:rFonts w:ascii="Arial" w:hAnsi="Arial" w:cs="Arial"/>
          <w:lang w:val="es-ES"/>
        </w:rPr>
        <w:t xml:space="preserve"> para el cálculo de estas tarifas, se usará el CCPP nominal para el sector fijo antes calculado representativo a nivel industrial.</w:t>
      </w:r>
    </w:p>
    <w:p w14:paraId="45C746EC" w14:textId="7166A88E" w:rsidR="004A3027" w:rsidRPr="00657BA6" w:rsidRDefault="004A3027" w:rsidP="0014780A">
      <w:pPr>
        <w:spacing w:after="0"/>
        <w:jc w:val="both"/>
        <w:rPr>
          <w:rFonts w:ascii="Arial" w:hAnsi="Arial" w:cs="Arial"/>
        </w:rPr>
      </w:pPr>
    </w:p>
    <w:p w14:paraId="453432BD" w14:textId="77777777" w:rsidR="004A3027" w:rsidRPr="00657BA6" w:rsidRDefault="004A3027" w:rsidP="0014780A">
      <w:pPr>
        <w:spacing w:after="0"/>
        <w:jc w:val="center"/>
        <w:rPr>
          <w:rFonts w:ascii="Arial" w:hAnsi="Arial" w:cs="Arial"/>
        </w:rPr>
      </w:pPr>
      <w:r w:rsidRPr="00657BA6">
        <w:rPr>
          <w:rFonts w:ascii="Arial" w:hAnsi="Arial" w:cs="Arial"/>
          <w:noProof/>
          <w:lang w:eastAsia="es-MX"/>
        </w:rPr>
        <w:drawing>
          <wp:inline distT="0" distB="0" distL="0" distR="0" wp14:anchorId="4A24E75A" wp14:editId="04CC35ED">
            <wp:extent cx="3140766" cy="2706778"/>
            <wp:effectExtent l="0" t="0" r="2540" b="0"/>
            <wp:docPr id="69" name="Imagen 69"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Interfaz de usuario gráfica, Aplicación, Teams&#10;&#10;Descripción generada automáticamente"/>
                    <pic:cNvPicPr>
                      <a:picLocks noChangeAspect="1" noChangeArrowheads="1"/>
                    </pic:cNvPicPr>
                  </pic:nvPicPr>
                  <pic:blipFill>
                    <a:blip r:embed="rId45">
                      <a:grayscl/>
                      <a:extLst>
                        <a:ext uri="{BEBA8EAE-BF5A-486C-A8C5-ECC9F3942E4B}">
                          <a14:imgProps xmlns:a14="http://schemas.microsoft.com/office/drawing/2010/main">
                            <a14:imgLayer r:embed="rId4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45711" cy="2711040"/>
                    </a:xfrm>
                    <a:prstGeom prst="rect">
                      <a:avLst/>
                    </a:prstGeom>
                    <a:noFill/>
                  </pic:spPr>
                </pic:pic>
              </a:graphicData>
            </a:graphic>
          </wp:inline>
        </w:drawing>
      </w:r>
    </w:p>
    <w:p w14:paraId="7E8B5D9D" w14:textId="1F36A415" w:rsidR="004A3027" w:rsidRPr="00657BA6" w:rsidRDefault="004A3027" w:rsidP="0014780A">
      <w:pPr>
        <w:spacing w:after="0"/>
        <w:jc w:val="center"/>
        <w:rPr>
          <w:rFonts w:ascii="Arial" w:hAnsi="Arial" w:cs="Arial"/>
        </w:rPr>
      </w:pPr>
      <w:r w:rsidRPr="00657BA6">
        <w:rPr>
          <w:rFonts w:ascii="Arial" w:hAnsi="Arial" w:cs="Arial"/>
        </w:rPr>
        <w:t xml:space="preserve">Figura </w:t>
      </w:r>
      <w:r w:rsidR="00BF46D1">
        <w:rPr>
          <w:rFonts w:ascii="Arial" w:hAnsi="Arial" w:cs="Arial"/>
        </w:rPr>
        <w:t>18</w:t>
      </w:r>
      <w:r w:rsidRPr="00657BA6">
        <w:rPr>
          <w:rFonts w:ascii="Arial" w:hAnsi="Arial" w:cs="Arial"/>
        </w:rPr>
        <w:t>. Estructura del Modelo.</w:t>
      </w:r>
    </w:p>
    <w:p w14:paraId="439351E3" w14:textId="77777777" w:rsidR="004A3027" w:rsidRPr="00657BA6" w:rsidRDefault="004A3027" w:rsidP="0014780A">
      <w:pPr>
        <w:spacing w:after="0"/>
        <w:jc w:val="both"/>
        <w:rPr>
          <w:rFonts w:ascii="Arial" w:hAnsi="Arial" w:cs="Arial"/>
        </w:rPr>
      </w:pPr>
    </w:p>
    <w:p w14:paraId="05B94311" w14:textId="77777777" w:rsidR="004A3027" w:rsidRPr="00657BA6" w:rsidRDefault="004A3027" w:rsidP="0014780A">
      <w:pPr>
        <w:spacing w:after="0"/>
        <w:jc w:val="both"/>
        <w:rPr>
          <w:rFonts w:ascii="Arial" w:hAnsi="Arial" w:cs="Arial"/>
        </w:rPr>
      </w:pPr>
      <w:r w:rsidRPr="00657BA6">
        <w:rPr>
          <w:rFonts w:ascii="Arial" w:hAnsi="Arial" w:cs="Arial"/>
        </w:rPr>
        <w:t>El modelo adopta un enfoque orientado al cálculo de los costos de componentes asociados a estos servicios.</w:t>
      </w:r>
    </w:p>
    <w:p w14:paraId="2F4E8F3C" w14:textId="77777777" w:rsidR="004A3027" w:rsidRPr="00657BA6" w:rsidRDefault="004A3027" w:rsidP="0014780A">
      <w:pPr>
        <w:spacing w:after="0"/>
        <w:jc w:val="both"/>
        <w:rPr>
          <w:rFonts w:ascii="Arial" w:hAnsi="Arial" w:cs="Arial"/>
        </w:rPr>
      </w:pPr>
    </w:p>
    <w:p w14:paraId="73D9C324" w14:textId="77777777" w:rsidR="004A3027" w:rsidRPr="00657BA6" w:rsidRDefault="004A3027" w:rsidP="0014780A">
      <w:pPr>
        <w:spacing w:after="0"/>
        <w:jc w:val="both"/>
        <w:rPr>
          <w:rFonts w:ascii="Arial" w:hAnsi="Arial" w:cs="Arial"/>
        </w:rPr>
      </w:pPr>
      <w:r w:rsidRPr="00657BA6">
        <w:rPr>
          <w:rFonts w:ascii="Arial" w:hAnsi="Arial" w:cs="Arial"/>
        </w:rPr>
        <w:t>El modelo captura elementos de red NGN, considerados como la tecnología moderna equivalente.</w:t>
      </w:r>
    </w:p>
    <w:p w14:paraId="04202DD3" w14:textId="77777777" w:rsidR="004A3027" w:rsidRPr="00657BA6" w:rsidRDefault="004A3027" w:rsidP="0014780A">
      <w:pPr>
        <w:spacing w:after="0"/>
        <w:jc w:val="both"/>
        <w:rPr>
          <w:rFonts w:ascii="Arial" w:hAnsi="Arial" w:cs="Arial"/>
        </w:rPr>
      </w:pPr>
    </w:p>
    <w:p w14:paraId="618AA0F0" w14:textId="77777777" w:rsidR="004A3027" w:rsidRPr="00657BA6" w:rsidRDefault="004A3027" w:rsidP="0014780A">
      <w:pPr>
        <w:spacing w:after="0"/>
        <w:jc w:val="both"/>
        <w:rPr>
          <w:rFonts w:ascii="Arial" w:hAnsi="Arial" w:cs="Arial"/>
        </w:rPr>
      </w:pPr>
      <w:r w:rsidRPr="00657BA6">
        <w:rPr>
          <w:rFonts w:ascii="Arial" w:hAnsi="Arial" w:cs="Arial"/>
        </w:rPr>
        <w:t>El modelo se expresa en dólares americanos (USD) reales que se convierten a nominales en base a la inflación futura esperada.</w:t>
      </w:r>
    </w:p>
    <w:p w14:paraId="1E4CF440" w14:textId="77777777" w:rsidR="004A3027" w:rsidRPr="00657BA6" w:rsidRDefault="004A3027" w:rsidP="0014780A">
      <w:pPr>
        <w:spacing w:after="0"/>
        <w:jc w:val="both"/>
        <w:rPr>
          <w:rFonts w:ascii="Arial" w:hAnsi="Arial" w:cs="Arial"/>
        </w:rPr>
      </w:pPr>
    </w:p>
    <w:p w14:paraId="094305A8" w14:textId="77777777" w:rsidR="004A3027" w:rsidRPr="00657BA6" w:rsidRDefault="004A3027" w:rsidP="0014780A">
      <w:pPr>
        <w:spacing w:after="0"/>
        <w:jc w:val="both"/>
        <w:rPr>
          <w:rFonts w:ascii="Arial" w:hAnsi="Arial" w:cs="Arial"/>
        </w:rPr>
      </w:pPr>
      <w:r w:rsidRPr="00657BA6">
        <w:rPr>
          <w:rFonts w:ascii="Arial" w:hAnsi="Arial" w:cs="Arial"/>
        </w:rPr>
        <w:t>Una vez calculado el valor de los servicios en dólares americanos, se convierten los resultados a pesos mexicanos (MXN) con base en el tipo de cambio futuro, de acuerdo con las previsiones del Banco de México.</w:t>
      </w:r>
    </w:p>
    <w:p w14:paraId="6B3CBFAB" w14:textId="77777777" w:rsidR="004A3027" w:rsidRPr="00657BA6" w:rsidRDefault="004A3027" w:rsidP="0014780A">
      <w:pPr>
        <w:spacing w:after="0"/>
        <w:jc w:val="both"/>
        <w:rPr>
          <w:rFonts w:ascii="Arial" w:hAnsi="Arial" w:cs="Arial"/>
        </w:rPr>
      </w:pPr>
    </w:p>
    <w:p w14:paraId="1491E175" w14:textId="77777777" w:rsidR="004A3027" w:rsidRPr="00657BA6" w:rsidRDefault="004A3027" w:rsidP="0014780A">
      <w:pPr>
        <w:spacing w:after="0"/>
        <w:jc w:val="both"/>
        <w:rPr>
          <w:rFonts w:ascii="Arial" w:hAnsi="Arial" w:cs="Arial"/>
        </w:rPr>
      </w:pPr>
      <w:r w:rsidRPr="00657BA6">
        <w:rPr>
          <w:rFonts w:ascii="Arial" w:hAnsi="Arial" w:cs="Arial"/>
        </w:rPr>
        <w:lastRenderedPageBreak/>
        <w:t>El servicio de interconexión cruzada se limita a aquel aplicable al establecimiento de interconexión de voz en las instalaciones del AEP: El servicio será ofrecido tanto a operadores fijos como móviles.</w:t>
      </w:r>
    </w:p>
    <w:p w14:paraId="3B83135B" w14:textId="77777777" w:rsidR="004A3027" w:rsidRPr="00657BA6" w:rsidRDefault="004A3027" w:rsidP="0014780A">
      <w:pPr>
        <w:spacing w:after="0"/>
        <w:jc w:val="both"/>
        <w:rPr>
          <w:rFonts w:ascii="Arial" w:hAnsi="Arial" w:cs="Arial"/>
        </w:rPr>
      </w:pPr>
    </w:p>
    <w:p w14:paraId="2E8A5956" w14:textId="77777777" w:rsidR="004A3027" w:rsidRPr="00657BA6" w:rsidRDefault="004A3027" w:rsidP="0014780A">
      <w:pPr>
        <w:spacing w:after="0"/>
        <w:jc w:val="both"/>
        <w:rPr>
          <w:rFonts w:ascii="Arial" w:hAnsi="Arial" w:cs="Arial"/>
        </w:rPr>
      </w:pPr>
      <w:r w:rsidRPr="00657BA6">
        <w:rPr>
          <w:rFonts w:ascii="Arial" w:hAnsi="Arial" w:cs="Arial"/>
        </w:rPr>
        <w:t>Los precios se calculan con base a una estructura de:</w:t>
      </w:r>
    </w:p>
    <w:p w14:paraId="0C91F277" w14:textId="77777777" w:rsidR="004A3027" w:rsidRPr="00657BA6" w:rsidRDefault="004A3027" w:rsidP="0014780A">
      <w:pPr>
        <w:spacing w:after="0"/>
        <w:jc w:val="both"/>
        <w:rPr>
          <w:rFonts w:ascii="Arial" w:hAnsi="Arial" w:cs="Arial"/>
        </w:rPr>
      </w:pPr>
    </w:p>
    <w:p w14:paraId="560F77E0" w14:textId="77777777" w:rsidR="004A3027" w:rsidRPr="00657BA6" w:rsidRDefault="004A3027" w:rsidP="009640AE">
      <w:pPr>
        <w:numPr>
          <w:ilvl w:val="0"/>
          <w:numId w:val="33"/>
        </w:numPr>
        <w:spacing w:after="0"/>
        <w:ind w:left="714" w:hanging="357"/>
        <w:contextualSpacing/>
        <w:jc w:val="both"/>
        <w:rPr>
          <w:rFonts w:ascii="Arial" w:eastAsia="Times New Roman" w:hAnsi="Arial" w:cs="Arial"/>
          <w:lang w:eastAsia="es-ES"/>
        </w:rPr>
      </w:pPr>
      <w:r w:rsidRPr="00657BA6">
        <w:rPr>
          <w:rFonts w:ascii="Arial" w:eastAsia="Times New Roman" w:hAnsi="Arial" w:cs="Arial"/>
          <w:lang w:eastAsia="es-ES"/>
        </w:rPr>
        <w:t>Costos de instalación, que cubre el costo de los elementos instalados (equipo de transporte, distribuidor de fibra óptica, demarcador y jumper óptico) y la mano de obra asociada.</w:t>
      </w:r>
    </w:p>
    <w:p w14:paraId="2A76B281" w14:textId="77777777" w:rsidR="004A3027" w:rsidRPr="00657BA6" w:rsidRDefault="004A3027" w:rsidP="009640AE">
      <w:pPr>
        <w:numPr>
          <w:ilvl w:val="0"/>
          <w:numId w:val="33"/>
        </w:numPr>
        <w:spacing w:after="0"/>
        <w:ind w:left="714" w:hanging="357"/>
        <w:contextualSpacing/>
        <w:jc w:val="both"/>
        <w:rPr>
          <w:rFonts w:ascii="Arial" w:eastAsia="Times New Roman" w:hAnsi="Arial" w:cs="Arial"/>
          <w:lang w:eastAsia="es-ES"/>
        </w:rPr>
      </w:pPr>
      <w:r w:rsidRPr="00657BA6">
        <w:rPr>
          <w:rFonts w:ascii="Arial" w:eastAsia="Times New Roman" w:hAnsi="Arial" w:cs="Arial"/>
          <w:lang w:eastAsia="es-ES"/>
        </w:rPr>
        <w:t>Costos mensuales, que cubren los costos de operación y mantenimiento, así como los costos de reposición de equipos.</w:t>
      </w:r>
    </w:p>
    <w:p w14:paraId="26AAC872" w14:textId="77777777" w:rsidR="004A3027" w:rsidRPr="00657BA6" w:rsidRDefault="004A3027" w:rsidP="009640AE">
      <w:pPr>
        <w:numPr>
          <w:ilvl w:val="0"/>
          <w:numId w:val="33"/>
        </w:numPr>
        <w:spacing w:after="0"/>
        <w:ind w:left="714" w:hanging="357"/>
        <w:contextualSpacing/>
        <w:jc w:val="both"/>
        <w:rPr>
          <w:rFonts w:ascii="Arial" w:eastAsia="Times New Roman" w:hAnsi="Arial" w:cs="Arial"/>
          <w:lang w:eastAsia="es-ES"/>
        </w:rPr>
      </w:pPr>
      <w:r w:rsidRPr="00657BA6">
        <w:rPr>
          <w:rFonts w:ascii="Arial" w:eastAsia="Times New Roman" w:hAnsi="Arial" w:cs="Arial"/>
          <w:lang w:eastAsia="es-ES"/>
        </w:rPr>
        <w:t>Se consideran costos por metro lineal para despliegue y mantenimiento de fibra y escalerilla.</w:t>
      </w:r>
    </w:p>
    <w:p w14:paraId="00D87F21" w14:textId="77777777" w:rsidR="004A3027" w:rsidRPr="00657BA6" w:rsidRDefault="004A3027" w:rsidP="0014780A">
      <w:pPr>
        <w:spacing w:after="0"/>
        <w:jc w:val="both"/>
        <w:rPr>
          <w:rFonts w:ascii="Arial" w:hAnsi="Arial" w:cs="Arial"/>
        </w:rPr>
      </w:pPr>
    </w:p>
    <w:p w14:paraId="0C91D3EE" w14:textId="77777777" w:rsidR="004A3027" w:rsidRPr="00657BA6" w:rsidRDefault="004A3027" w:rsidP="0014780A">
      <w:pPr>
        <w:spacing w:after="0"/>
        <w:jc w:val="both"/>
        <w:rPr>
          <w:rFonts w:ascii="Arial" w:hAnsi="Arial" w:cs="Arial"/>
        </w:rPr>
      </w:pPr>
      <w:r w:rsidRPr="00657BA6">
        <w:rPr>
          <w:rFonts w:ascii="Arial" w:eastAsia="Times New Roman" w:hAnsi="Arial" w:cs="Arial"/>
          <w:lang w:eastAsia="es-ES"/>
        </w:rPr>
        <w:t>A efecto de determinar las tarifas aplicables se hace el supuesto de que existirán dos coubicaciones en el punto de interconexión.</w:t>
      </w:r>
    </w:p>
    <w:p w14:paraId="517C1B1E" w14:textId="77777777" w:rsidR="004A3027" w:rsidRPr="00657BA6" w:rsidRDefault="004A3027" w:rsidP="0014780A">
      <w:pPr>
        <w:spacing w:after="0"/>
        <w:jc w:val="both"/>
        <w:rPr>
          <w:rFonts w:ascii="Arial" w:hAnsi="Arial" w:cs="Arial"/>
          <w:b/>
        </w:rPr>
      </w:pPr>
    </w:p>
    <w:p w14:paraId="21292215" w14:textId="77777777" w:rsidR="004A3027" w:rsidRPr="00657BA6" w:rsidRDefault="004A3027" w:rsidP="0014780A">
      <w:pPr>
        <w:spacing w:after="0"/>
        <w:jc w:val="both"/>
        <w:rPr>
          <w:rFonts w:ascii="Arial" w:hAnsi="Arial" w:cs="Arial"/>
          <w:b/>
        </w:rPr>
      </w:pPr>
      <w:r w:rsidRPr="00EB5A86">
        <w:rPr>
          <w:rFonts w:ascii="Arial" w:hAnsi="Arial" w:cs="Arial"/>
          <w:b/>
        </w:rPr>
        <w:t>MODELO DE COSTOS DE COUBICACIÓN</w:t>
      </w:r>
    </w:p>
    <w:p w14:paraId="420D490F" w14:textId="77777777" w:rsidR="004A3027" w:rsidRPr="00657BA6" w:rsidRDefault="004A3027" w:rsidP="0014780A">
      <w:pPr>
        <w:spacing w:after="0"/>
        <w:jc w:val="both"/>
        <w:rPr>
          <w:rFonts w:ascii="Arial" w:eastAsia="Times New Roman" w:hAnsi="Arial" w:cs="Arial"/>
          <w:lang w:eastAsia="es-ES"/>
        </w:rPr>
      </w:pPr>
    </w:p>
    <w:p w14:paraId="12B89E97" w14:textId="1AB3465F"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 xml:space="preserve">En términos de la Condición Segunda  el servicio de coubicación consiste en un servicio para la colocación de equipos y dispositivos de la red pública de telecomunicaciones del Concesionario Solicitante (CS), necesarios para la Interoperabilidad y 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 </w:t>
      </w:r>
    </w:p>
    <w:p w14:paraId="6A9F742A" w14:textId="77777777" w:rsidR="00CD0EC0" w:rsidRPr="00657BA6" w:rsidRDefault="00CD0EC0" w:rsidP="0014780A">
      <w:pPr>
        <w:spacing w:after="0"/>
        <w:jc w:val="both"/>
        <w:rPr>
          <w:rFonts w:ascii="Arial" w:eastAsia="Times New Roman" w:hAnsi="Arial" w:cs="Arial"/>
          <w:lang w:eastAsia="es-ES"/>
        </w:rPr>
      </w:pPr>
    </w:p>
    <w:p w14:paraId="4FA8CE09" w14:textId="057D6B9D"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 xml:space="preserve">Es así </w:t>
      </w:r>
      <w:r w:rsidR="00BF258D" w:rsidRPr="00657BA6">
        <w:rPr>
          <w:rFonts w:ascii="Arial" w:eastAsia="Times New Roman" w:hAnsi="Arial" w:cs="Arial"/>
          <w:lang w:eastAsia="es-ES"/>
        </w:rPr>
        <w:t>como</w:t>
      </w:r>
      <w:r w:rsidRPr="00657BA6">
        <w:rPr>
          <w:rFonts w:ascii="Arial" w:eastAsia="Times New Roman" w:hAnsi="Arial" w:cs="Arial"/>
          <w:lang w:eastAsia="es-ES"/>
        </w:rPr>
        <w:t xml:space="preserve"> las facilidades y las condiciones necesarias para prestar el servicio de coubicación como el área a utilizarse, suministro de energía, medidas de seguridad, aire acondicionado, entre otras, no dependen del tipo de red del concesionario que presta el servicio (fija o móvil) ni del tipo de concesionario (AEP o no AEP), pues se refieren únicamente a características del espacio físico donde se instalarán los equipos que permitan salvaguardar la integridad de </w:t>
      </w:r>
      <w:r w:rsidR="00B67887" w:rsidRPr="00657BA6">
        <w:rPr>
          <w:rFonts w:ascii="Arial" w:eastAsia="Times New Roman" w:hAnsi="Arial" w:cs="Arial"/>
          <w:lang w:eastAsia="es-ES"/>
        </w:rPr>
        <w:t>estos</w:t>
      </w:r>
      <w:r w:rsidRPr="00657BA6">
        <w:rPr>
          <w:rFonts w:ascii="Arial" w:eastAsia="Times New Roman" w:hAnsi="Arial" w:cs="Arial"/>
          <w:lang w:eastAsia="es-ES"/>
        </w:rPr>
        <w:t>.</w:t>
      </w:r>
    </w:p>
    <w:p w14:paraId="19F51E8A" w14:textId="77777777" w:rsidR="004A3027" w:rsidRPr="00657BA6" w:rsidRDefault="004A3027" w:rsidP="0014780A">
      <w:pPr>
        <w:spacing w:after="0"/>
        <w:jc w:val="both"/>
        <w:rPr>
          <w:rFonts w:ascii="Arial" w:eastAsia="Times New Roman" w:hAnsi="Arial" w:cs="Arial"/>
          <w:lang w:eastAsia="es-ES"/>
        </w:rPr>
      </w:pPr>
    </w:p>
    <w:p w14:paraId="6BA163DB"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En términos de la definición antes señalada el modelo de costos debe ser capaz de calcular el costo correspondiente al espacio en piso ocupado por el Concesionario Solicitante, así como las diferentes facilidades que deben ser provistas por parte del Proveedor Hipotético (en lo sucesivo, “PH”) como suministro de energía, medidas de seguridad, aire acondicionado, y demás facilidades necesarias para su adecuada operación, así como el acceso a los espacios físicos mencionados.</w:t>
      </w:r>
    </w:p>
    <w:p w14:paraId="2980AC97" w14:textId="77777777" w:rsidR="004A3027" w:rsidRPr="00657BA6" w:rsidRDefault="004A3027" w:rsidP="0014780A">
      <w:pPr>
        <w:spacing w:after="0"/>
        <w:jc w:val="both"/>
        <w:rPr>
          <w:rFonts w:ascii="Arial" w:eastAsia="Times New Roman" w:hAnsi="Arial" w:cs="Arial"/>
          <w:lang w:eastAsia="es-ES"/>
        </w:rPr>
      </w:pPr>
    </w:p>
    <w:p w14:paraId="4869E337"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lastRenderedPageBreak/>
        <w:t>Las facilidades antes mencionadas se modelan suponiendo salas específicamente dedicadas para tales efectos, de este modo se establecen las siguientes hipótesis:</w:t>
      </w:r>
    </w:p>
    <w:p w14:paraId="213E7DF6" w14:textId="77777777" w:rsidR="004A3027" w:rsidRPr="00657BA6" w:rsidRDefault="004A3027" w:rsidP="0014780A">
      <w:pPr>
        <w:spacing w:after="0"/>
        <w:jc w:val="both"/>
        <w:rPr>
          <w:rFonts w:ascii="Arial" w:eastAsia="Times New Roman" w:hAnsi="Arial" w:cs="Arial"/>
          <w:lang w:eastAsia="es-ES"/>
        </w:rPr>
      </w:pPr>
    </w:p>
    <w:p w14:paraId="75731D0E" w14:textId="77777777" w:rsidR="004A3027" w:rsidRPr="00657BA6" w:rsidRDefault="004A3027" w:rsidP="009640AE">
      <w:pPr>
        <w:numPr>
          <w:ilvl w:val="0"/>
          <w:numId w:val="39"/>
        </w:numPr>
        <w:spacing w:after="0"/>
        <w:contextualSpacing/>
        <w:jc w:val="both"/>
        <w:rPr>
          <w:rFonts w:ascii="Arial" w:eastAsia="Times New Roman" w:hAnsi="Arial" w:cs="Arial"/>
          <w:lang w:val="es-ES_tradnl" w:eastAsia="es-ES"/>
        </w:rPr>
      </w:pPr>
      <w:r w:rsidRPr="00657BA6">
        <w:rPr>
          <w:rFonts w:ascii="Arial" w:eastAsia="Times New Roman" w:hAnsi="Arial" w:cs="Arial"/>
          <w:lang w:val="es-ES_tradnl" w:eastAsia="es-ES"/>
        </w:rPr>
        <w:t xml:space="preserve">Las características técnicas de las diferentes salas de la central (sala MDF/ODF/BSC, sala de control, sala de switching/DSLAM y sala de equipos de transmisión) </w:t>
      </w:r>
    </w:p>
    <w:p w14:paraId="5C2EA85B" w14:textId="77777777" w:rsidR="004A3027" w:rsidRPr="00657BA6" w:rsidRDefault="004A3027" w:rsidP="009640AE">
      <w:pPr>
        <w:numPr>
          <w:ilvl w:val="0"/>
          <w:numId w:val="39"/>
        </w:numPr>
        <w:spacing w:after="0"/>
        <w:contextualSpacing/>
        <w:jc w:val="both"/>
        <w:rPr>
          <w:rFonts w:ascii="Arial" w:eastAsia="Times New Roman" w:hAnsi="Arial" w:cs="Arial"/>
          <w:lang w:val="es-ES_tradnl" w:eastAsia="es-ES"/>
        </w:rPr>
      </w:pPr>
      <w:r w:rsidRPr="00657BA6">
        <w:rPr>
          <w:rFonts w:ascii="Arial" w:eastAsia="Times New Roman" w:hAnsi="Arial" w:cs="Arial"/>
          <w:lang w:val="es-ES_tradnl" w:eastAsia="es-ES"/>
        </w:rPr>
        <w:t>La demanda de coubicación en términos del número de concesionarios coubicados.</w:t>
      </w:r>
    </w:p>
    <w:p w14:paraId="04FD9815" w14:textId="77777777" w:rsidR="004A3027" w:rsidRPr="00657BA6" w:rsidRDefault="004A3027" w:rsidP="009640AE">
      <w:pPr>
        <w:numPr>
          <w:ilvl w:val="0"/>
          <w:numId w:val="39"/>
        </w:numPr>
        <w:spacing w:after="0"/>
        <w:contextualSpacing/>
        <w:jc w:val="both"/>
        <w:rPr>
          <w:rFonts w:ascii="Arial" w:eastAsia="Times New Roman" w:hAnsi="Arial" w:cs="Arial"/>
          <w:lang w:val="es-ES_tradnl" w:eastAsia="es-ES"/>
        </w:rPr>
      </w:pPr>
      <w:r w:rsidRPr="00657BA6">
        <w:rPr>
          <w:rFonts w:ascii="Arial" w:eastAsia="Times New Roman" w:hAnsi="Arial" w:cs="Arial"/>
          <w:lang w:val="es-ES_tradnl" w:eastAsia="es-ES"/>
        </w:rPr>
        <w:t>Los precios unitarios de los equipos empleados</w:t>
      </w:r>
    </w:p>
    <w:p w14:paraId="0FC01C1F" w14:textId="77777777" w:rsidR="004A3027" w:rsidRPr="00657BA6" w:rsidRDefault="004A3027" w:rsidP="009640AE">
      <w:pPr>
        <w:numPr>
          <w:ilvl w:val="0"/>
          <w:numId w:val="39"/>
        </w:numPr>
        <w:spacing w:after="0"/>
        <w:contextualSpacing/>
        <w:jc w:val="both"/>
        <w:rPr>
          <w:rFonts w:ascii="Arial" w:eastAsia="Times New Roman" w:hAnsi="Arial" w:cs="Arial"/>
          <w:lang w:val="es-ES_tradnl" w:eastAsia="es-ES"/>
        </w:rPr>
      </w:pPr>
      <w:r w:rsidRPr="00657BA6">
        <w:rPr>
          <w:rFonts w:ascii="Arial" w:eastAsia="Times New Roman" w:hAnsi="Arial" w:cs="Arial"/>
          <w:lang w:val="es-ES_tradnl" w:eastAsia="es-ES"/>
        </w:rPr>
        <w:t>Espacios físicos requeridos</w:t>
      </w:r>
    </w:p>
    <w:p w14:paraId="58039778" w14:textId="77777777" w:rsidR="004A3027" w:rsidRPr="00657BA6" w:rsidRDefault="004A3027" w:rsidP="0014780A">
      <w:pPr>
        <w:spacing w:after="0"/>
        <w:jc w:val="both"/>
        <w:rPr>
          <w:rFonts w:ascii="Arial" w:eastAsia="Times New Roman" w:hAnsi="Arial" w:cs="Arial"/>
          <w:lang w:eastAsia="es-ES"/>
        </w:rPr>
      </w:pPr>
    </w:p>
    <w:p w14:paraId="1CD6B801" w14:textId="77777777" w:rsidR="004A3027" w:rsidRPr="00657BA6" w:rsidRDefault="004A3027" w:rsidP="0014780A">
      <w:pPr>
        <w:spacing w:after="0"/>
        <w:jc w:val="both"/>
        <w:rPr>
          <w:rFonts w:ascii="Arial" w:eastAsia="Times New Roman" w:hAnsi="Arial" w:cs="Arial"/>
          <w:lang w:eastAsia="es-ES"/>
        </w:rPr>
      </w:pPr>
      <w:r w:rsidRPr="00657BA6">
        <w:rPr>
          <w:rFonts w:ascii="Arial" w:hAnsi="Arial" w:cs="Arial"/>
          <w:noProof/>
          <w:lang w:eastAsia="es-MX"/>
        </w:rPr>
        <w:drawing>
          <wp:inline distT="0" distB="0" distL="0" distR="0" wp14:anchorId="293D6A7D" wp14:editId="342B0963">
            <wp:extent cx="5607170" cy="1551865"/>
            <wp:effectExtent l="19050" t="19050" r="12700" b="10795"/>
            <wp:docPr id="17" name="Imagen 17" descr="Flujo del modelo" title="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grayscl/>
                      <a:extLst>
                        <a:ext uri="{28A0092B-C50C-407E-A947-70E740481C1C}">
                          <a14:useLocalDpi xmlns:a14="http://schemas.microsoft.com/office/drawing/2010/main" val="0"/>
                        </a:ext>
                      </a:extLst>
                    </a:blip>
                    <a:srcRect/>
                    <a:stretch>
                      <a:fillRect/>
                    </a:stretch>
                  </pic:blipFill>
                  <pic:spPr bwMode="auto">
                    <a:xfrm>
                      <a:off x="0" y="0"/>
                      <a:ext cx="5630487" cy="1558318"/>
                    </a:xfrm>
                    <a:prstGeom prst="rect">
                      <a:avLst/>
                    </a:prstGeom>
                    <a:noFill/>
                    <a:ln>
                      <a:solidFill>
                        <a:srgbClr val="4F81BD"/>
                      </a:solidFill>
                    </a:ln>
                  </pic:spPr>
                </pic:pic>
              </a:graphicData>
            </a:graphic>
          </wp:inline>
        </w:drawing>
      </w:r>
    </w:p>
    <w:p w14:paraId="745DB6EE" w14:textId="04223B83" w:rsidR="004A3027" w:rsidRPr="00657BA6" w:rsidRDefault="004A3027" w:rsidP="0014780A">
      <w:pPr>
        <w:spacing w:after="0"/>
        <w:jc w:val="center"/>
        <w:rPr>
          <w:rFonts w:ascii="Arial" w:eastAsia="Times New Roman" w:hAnsi="Arial" w:cs="Arial"/>
          <w:lang w:eastAsia="es-ES"/>
        </w:rPr>
      </w:pPr>
      <w:r w:rsidRPr="00657BA6">
        <w:rPr>
          <w:rFonts w:ascii="Arial" w:eastAsia="Times New Roman" w:hAnsi="Arial" w:cs="Arial"/>
          <w:lang w:eastAsia="es-ES"/>
        </w:rPr>
        <w:t xml:space="preserve">Figura </w:t>
      </w:r>
      <w:r w:rsidR="00BF46D1">
        <w:rPr>
          <w:rFonts w:ascii="Arial" w:eastAsia="Times New Roman" w:hAnsi="Arial" w:cs="Arial"/>
          <w:lang w:eastAsia="es-ES"/>
        </w:rPr>
        <w:t>19</w:t>
      </w:r>
      <w:r w:rsidRPr="00657BA6">
        <w:rPr>
          <w:rFonts w:ascii="Arial" w:eastAsia="Times New Roman" w:hAnsi="Arial" w:cs="Arial"/>
          <w:lang w:eastAsia="es-ES"/>
        </w:rPr>
        <w:t>. Flujo del modelo.</w:t>
      </w:r>
    </w:p>
    <w:p w14:paraId="4A3FCDFC" w14:textId="77777777" w:rsidR="004A3027" w:rsidRPr="00657BA6" w:rsidRDefault="004A3027" w:rsidP="0014780A">
      <w:pPr>
        <w:spacing w:after="0"/>
        <w:jc w:val="both"/>
        <w:rPr>
          <w:rFonts w:ascii="Arial" w:eastAsia="Times New Roman" w:hAnsi="Arial" w:cs="Arial"/>
          <w:lang w:eastAsia="es-ES"/>
        </w:rPr>
      </w:pPr>
    </w:p>
    <w:p w14:paraId="0CCE0A67"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De esta forma, el modelo de costos de coubicación se compone de los siguientes módulos:</w:t>
      </w:r>
    </w:p>
    <w:p w14:paraId="5771BA54" w14:textId="77777777" w:rsidR="004A3027" w:rsidRPr="00657BA6" w:rsidRDefault="004A3027" w:rsidP="0014780A">
      <w:pPr>
        <w:spacing w:after="0"/>
        <w:jc w:val="both"/>
        <w:rPr>
          <w:rFonts w:ascii="Arial" w:eastAsia="Times New Roman" w:hAnsi="Arial" w:cs="Arial"/>
          <w:lang w:eastAsia="es-ES"/>
        </w:rPr>
      </w:pPr>
    </w:p>
    <w:p w14:paraId="41060919" w14:textId="77777777" w:rsidR="004A3027" w:rsidRPr="00657BA6" w:rsidRDefault="004A3027" w:rsidP="009640AE">
      <w:pPr>
        <w:numPr>
          <w:ilvl w:val="0"/>
          <w:numId w:val="34"/>
        </w:numPr>
        <w:spacing w:after="0"/>
        <w:jc w:val="both"/>
        <w:rPr>
          <w:rFonts w:ascii="Arial" w:eastAsia="Times New Roman" w:hAnsi="Arial" w:cs="Arial"/>
          <w:lang w:eastAsia="es-ES"/>
        </w:rPr>
      </w:pPr>
      <w:r w:rsidRPr="00657BA6">
        <w:rPr>
          <w:rFonts w:ascii="Arial" w:eastAsia="Times New Roman" w:hAnsi="Arial" w:cs="Arial"/>
          <w:lang w:val="es-ES_tradnl" w:eastAsia="es-ES"/>
        </w:rPr>
        <w:t xml:space="preserve">Un módulo de </w:t>
      </w:r>
      <w:r w:rsidRPr="00657BA6">
        <w:rPr>
          <w:rFonts w:ascii="Arial" w:eastAsia="Times New Roman" w:hAnsi="Arial" w:cs="Arial"/>
          <w:i/>
          <w:iCs/>
          <w:lang w:val="es-ES_tradnl" w:eastAsia="es-ES"/>
        </w:rPr>
        <w:t>Control</w:t>
      </w:r>
      <w:r w:rsidRPr="00657BA6">
        <w:rPr>
          <w:rFonts w:ascii="Arial" w:eastAsia="Times New Roman" w:hAnsi="Arial" w:cs="Arial"/>
          <w:lang w:val="es-ES_tradnl" w:eastAsia="es-ES"/>
        </w:rPr>
        <w:t xml:space="preserve"> que permite seleccionar el año de referencia, la configuración y las características del emplazamiento (sitio) a dimensionar, los datos de demanda de los concesionarios solicitantes en términos de espacio de coubicación y consumo de energía. El módulo de </w:t>
      </w:r>
      <w:r w:rsidRPr="00657BA6">
        <w:rPr>
          <w:rFonts w:ascii="Arial" w:eastAsia="Times New Roman" w:hAnsi="Arial" w:cs="Arial"/>
          <w:i/>
          <w:iCs/>
          <w:lang w:val="es-ES_tradnl" w:eastAsia="es-ES"/>
        </w:rPr>
        <w:t>Control</w:t>
      </w:r>
      <w:r w:rsidRPr="00657BA6">
        <w:rPr>
          <w:rFonts w:ascii="Arial" w:eastAsia="Times New Roman" w:hAnsi="Arial" w:cs="Arial"/>
          <w:lang w:val="es-ES_tradnl" w:eastAsia="es-ES"/>
        </w:rPr>
        <w:t xml:space="preserve"> también permite seleccionar el tipo de coubicación y la posible inclusión de servicios auxiliares (ej. fuente de energía de respaldo, aire acondicionado).</w:t>
      </w:r>
    </w:p>
    <w:p w14:paraId="1F97E318" w14:textId="77777777" w:rsidR="004A3027" w:rsidRPr="00657BA6" w:rsidRDefault="004A3027" w:rsidP="0014780A">
      <w:pPr>
        <w:spacing w:after="0"/>
        <w:ind w:left="720"/>
        <w:jc w:val="both"/>
        <w:rPr>
          <w:rFonts w:ascii="Arial" w:eastAsia="Times New Roman" w:hAnsi="Arial" w:cs="Arial"/>
          <w:lang w:eastAsia="es-ES"/>
        </w:rPr>
      </w:pPr>
    </w:p>
    <w:p w14:paraId="20EFCF7C" w14:textId="77777777" w:rsidR="004A3027" w:rsidRPr="00657BA6" w:rsidRDefault="004A3027" w:rsidP="009640AE">
      <w:pPr>
        <w:numPr>
          <w:ilvl w:val="0"/>
          <w:numId w:val="34"/>
        </w:numPr>
        <w:spacing w:after="0"/>
        <w:jc w:val="both"/>
        <w:rPr>
          <w:rFonts w:ascii="Arial" w:eastAsia="Times New Roman" w:hAnsi="Arial" w:cs="Arial"/>
          <w:lang w:eastAsia="es-ES"/>
        </w:rPr>
      </w:pPr>
      <w:r w:rsidRPr="00657BA6">
        <w:rPr>
          <w:rFonts w:ascii="Arial" w:eastAsia="Times New Roman" w:hAnsi="Arial" w:cs="Arial"/>
          <w:lang w:eastAsia="es-ES"/>
        </w:rPr>
        <w:t>Un módulo de</w:t>
      </w:r>
      <w:r w:rsidRPr="00657BA6">
        <w:rPr>
          <w:rFonts w:ascii="Arial" w:eastAsia="Times New Roman" w:hAnsi="Arial" w:cs="Arial"/>
          <w:lang w:val="es-ES_tradnl" w:eastAsia="es-ES"/>
        </w:rPr>
        <w:t xml:space="preserve"> </w:t>
      </w:r>
      <w:r w:rsidRPr="00657BA6">
        <w:rPr>
          <w:rFonts w:ascii="Arial" w:eastAsia="Times New Roman" w:hAnsi="Arial" w:cs="Arial"/>
          <w:i/>
          <w:iCs/>
          <w:lang w:val="es-ES_tradnl" w:eastAsia="es-ES"/>
        </w:rPr>
        <w:t>Dimensionado</w:t>
      </w:r>
      <w:r w:rsidRPr="00657BA6">
        <w:rPr>
          <w:rFonts w:ascii="Arial" w:eastAsia="Times New Roman" w:hAnsi="Arial" w:cs="Arial"/>
          <w:lang w:val="es-ES_tradnl" w:eastAsia="es-ES"/>
        </w:rPr>
        <w:t xml:space="preserve"> que procesa la demanda y los otros parámetros de entrada (p.ej. las características técnicas de las salas de la central del PH) para calcular el dimensionamiento eficiente de la red</w:t>
      </w:r>
      <w:r w:rsidRPr="00657BA6">
        <w:rPr>
          <w:rFonts w:ascii="Arial" w:eastAsia="Times New Roman" w:hAnsi="Arial" w:cs="Arial"/>
          <w:i/>
          <w:iCs/>
          <w:lang w:val="es-ES_tradnl" w:eastAsia="es-ES"/>
        </w:rPr>
        <w:t xml:space="preserve">. </w:t>
      </w:r>
      <w:r w:rsidRPr="00657BA6">
        <w:rPr>
          <w:rFonts w:ascii="Arial" w:eastAsia="Times New Roman" w:hAnsi="Arial" w:cs="Arial"/>
          <w:lang w:val="es-ES_tradnl" w:eastAsia="es-ES"/>
        </w:rPr>
        <w:t>Este módulo produce como resultado el número de activos y su tamaño correspondiente.</w:t>
      </w:r>
    </w:p>
    <w:p w14:paraId="2AF791A1" w14:textId="77777777" w:rsidR="004A3027" w:rsidRPr="00657BA6" w:rsidRDefault="004A3027" w:rsidP="0014780A">
      <w:pPr>
        <w:spacing w:after="0"/>
        <w:ind w:left="708"/>
        <w:jc w:val="both"/>
        <w:rPr>
          <w:rFonts w:ascii="Arial" w:eastAsia="Times New Roman" w:hAnsi="Arial" w:cs="Arial"/>
          <w:lang w:eastAsia="es-ES"/>
        </w:rPr>
      </w:pPr>
    </w:p>
    <w:p w14:paraId="769A8F33" w14:textId="77777777" w:rsidR="004A3027" w:rsidRPr="00657BA6" w:rsidRDefault="004A3027" w:rsidP="009640AE">
      <w:pPr>
        <w:numPr>
          <w:ilvl w:val="0"/>
          <w:numId w:val="34"/>
        </w:numPr>
        <w:spacing w:after="0"/>
        <w:jc w:val="both"/>
        <w:rPr>
          <w:rFonts w:ascii="Arial" w:eastAsia="Times New Roman" w:hAnsi="Arial" w:cs="Arial"/>
          <w:lang w:eastAsia="es-ES"/>
        </w:rPr>
      </w:pPr>
      <w:r w:rsidRPr="00657BA6">
        <w:rPr>
          <w:rFonts w:ascii="Arial" w:eastAsia="Times New Roman" w:hAnsi="Arial" w:cs="Arial"/>
          <w:lang w:eastAsia="es-ES"/>
        </w:rPr>
        <w:t xml:space="preserve">Un módulo de </w:t>
      </w:r>
      <w:r w:rsidRPr="00657BA6">
        <w:rPr>
          <w:rFonts w:ascii="Arial" w:eastAsia="Times New Roman" w:hAnsi="Arial" w:cs="Arial"/>
          <w:i/>
          <w:iCs/>
          <w:lang w:val="es-ES_tradnl" w:eastAsia="es-ES"/>
        </w:rPr>
        <w:t xml:space="preserve">Costeo </w:t>
      </w:r>
      <w:r w:rsidRPr="00657BA6">
        <w:rPr>
          <w:rFonts w:ascii="Arial" w:eastAsia="Times New Roman" w:hAnsi="Arial" w:cs="Arial"/>
          <w:iCs/>
          <w:lang w:val="es-ES_tradnl" w:eastAsia="es-ES"/>
        </w:rPr>
        <w:t>el cual</w:t>
      </w:r>
      <w:r w:rsidRPr="00657BA6">
        <w:rPr>
          <w:rFonts w:ascii="Arial" w:eastAsia="Times New Roman" w:hAnsi="Arial" w:cs="Arial"/>
          <w:i/>
          <w:iCs/>
          <w:lang w:val="es-ES_tradnl" w:eastAsia="es-ES"/>
        </w:rPr>
        <w:t xml:space="preserve"> </w:t>
      </w:r>
      <w:r w:rsidRPr="00657BA6">
        <w:rPr>
          <w:rFonts w:ascii="Arial" w:eastAsia="Times New Roman" w:hAnsi="Arial" w:cs="Arial"/>
          <w:lang w:val="es-ES_tradnl" w:eastAsia="es-ES"/>
        </w:rPr>
        <w:t xml:space="preserve">toma los costos unitarios calculados en el módulo de </w:t>
      </w:r>
      <w:r w:rsidRPr="00657BA6">
        <w:rPr>
          <w:rFonts w:ascii="Arial" w:eastAsia="Times New Roman" w:hAnsi="Arial" w:cs="Arial"/>
          <w:i/>
          <w:iCs/>
          <w:lang w:val="es-ES_tradnl" w:eastAsia="es-ES"/>
        </w:rPr>
        <w:t xml:space="preserve">Costos unitarios </w:t>
      </w:r>
      <w:r w:rsidRPr="00657BA6">
        <w:rPr>
          <w:rFonts w:ascii="Arial" w:eastAsia="Times New Roman" w:hAnsi="Arial" w:cs="Arial"/>
          <w:lang w:val="es-ES_tradnl" w:eastAsia="es-ES"/>
        </w:rPr>
        <w:t xml:space="preserve">y los multiplica por las unidades de activos obtenidos en el módulo </w:t>
      </w:r>
      <w:r w:rsidRPr="00657BA6">
        <w:rPr>
          <w:rFonts w:ascii="Arial" w:eastAsia="Times New Roman" w:hAnsi="Arial" w:cs="Arial"/>
          <w:i/>
          <w:iCs/>
          <w:lang w:val="es-ES_tradnl" w:eastAsia="es-ES"/>
        </w:rPr>
        <w:t>Dimensionado.</w:t>
      </w:r>
    </w:p>
    <w:p w14:paraId="22747CD5" w14:textId="77777777" w:rsidR="004A3027" w:rsidRPr="00657BA6" w:rsidRDefault="004A3027" w:rsidP="0014780A">
      <w:pPr>
        <w:spacing w:after="0"/>
        <w:ind w:left="708"/>
        <w:jc w:val="both"/>
        <w:rPr>
          <w:rFonts w:ascii="Arial" w:eastAsia="Times New Roman" w:hAnsi="Arial" w:cs="Arial"/>
          <w:lang w:eastAsia="es-ES"/>
        </w:rPr>
      </w:pPr>
    </w:p>
    <w:p w14:paraId="69E5C108" w14:textId="77777777" w:rsidR="004A3027" w:rsidRPr="00657BA6" w:rsidRDefault="004A3027" w:rsidP="009640AE">
      <w:pPr>
        <w:numPr>
          <w:ilvl w:val="0"/>
          <w:numId w:val="34"/>
        </w:numPr>
        <w:spacing w:after="0"/>
        <w:jc w:val="both"/>
        <w:rPr>
          <w:rFonts w:ascii="Arial" w:eastAsia="Times New Roman" w:hAnsi="Arial" w:cs="Arial"/>
          <w:lang w:eastAsia="es-ES"/>
        </w:rPr>
      </w:pPr>
      <w:r w:rsidRPr="00657BA6">
        <w:rPr>
          <w:rFonts w:ascii="Arial" w:eastAsia="Times New Roman" w:hAnsi="Arial" w:cs="Arial"/>
          <w:lang w:val="es-ES_tradnl" w:eastAsia="es-ES"/>
        </w:rPr>
        <w:t xml:space="preserve">Un módulo de </w:t>
      </w:r>
      <w:r w:rsidRPr="00657BA6">
        <w:rPr>
          <w:rFonts w:ascii="Arial" w:eastAsia="Times New Roman" w:hAnsi="Arial" w:cs="Arial"/>
          <w:i/>
          <w:iCs/>
          <w:lang w:val="es-ES_tradnl" w:eastAsia="es-ES"/>
        </w:rPr>
        <w:t>Precio</w:t>
      </w:r>
      <w:r w:rsidRPr="00657BA6">
        <w:rPr>
          <w:rFonts w:ascii="Arial" w:eastAsia="Times New Roman" w:hAnsi="Arial" w:cs="Arial"/>
          <w:lang w:val="es-ES_tradnl" w:eastAsia="es-ES"/>
        </w:rPr>
        <w:t xml:space="preserve"> en donde se asignan los costos de la red a los distintos servicios y se calcula el precio final del servicio mayorista.</w:t>
      </w:r>
    </w:p>
    <w:p w14:paraId="2E2B3EF4" w14:textId="77777777" w:rsidR="004A3027" w:rsidRPr="00657BA6" w:rsidRDefault="004A3027" w:rsidP="0014780A">
      <w:pPr>
        <w:spacing w:after="0"/>
        <w:jc w:val="both"/>
        <w:rPr>
          <w:rFonts w:ascii="Arial" w:eastAsia="Times New Roman" w:hAnsi="Arial" w:cs="Arial"/>
          <w:lang w:eastAsia="es-ES"/>
        </w:rPr>
      </w:pPr>
    </w:p>
    <w:p w14:paraId="4C1AD175" w14:textId="77777777" w:rsidR="004A3027" w:rsidRPr="00657BA6" w:rsidRDefault="004A3027" w:rsidP="0014780A">
      <w:pPr>
        <w:spacing w:after="0"/>
        <w:jc w:val="both"/>
        <w:rPr>
          <w:rFonts w:ascii="Arial" w:eastAsia="Times New Roman" w:hAnsi="Arial" w:cs="Arial"/>
          <w:lang w:eastAsia="es-ES"/>
        </w:rPr>
      </w:pPr>
    </w:p>
    <w:p w14:paraId="3BE265E6" w14:textId="77777777" w:rsidR="004A3027" w:rsidRPr="00657BA6" w:rsidRDefault="004A3027" w:rsidP="0014780A">
      <w:pPr>
        <w:spacing w:after="0"/>
        <w:jc w:val="both"/>
        <w:rPr>
          <w:rFonts w:ascii="Arial" w:eastAsia="Times New Roman" w:hAnsi="Arial" w:cs="Arial"/>
          <w:b/>
          <w:i/>
          <w:lang w:eastAsia="es-ES"/>
        </w:rPr>
      </w:pPr>
      <w:r w:rsidRPr="00657BA6">
        <w:rPr>
          <w:rFonts w:ascii="Arial" w:eastAsia="Times New Roman" w:hAnsi="Arial" w:cs="Arial"/>
          <w:b/>
          <w:i/>
          <w:lang w:eastAsia="es-ES"/>
        </w:rPr>
        <w:lastRenderedPageBreak/>
        <w:t>Demanda del servicio</w:t>
      </w:r>
    </w:p>
    <w:p w14:paraId="776BEDB6" w14:textId="77777777" w:rsidR="004A3027" w:rsidRPr="00657BA6" w:rsidRDefault="004A3027" w:rsidP="0014780A">
      <w:pPr>
        <w:spacing w:after="0"/>
        <w:jc w:val="both"/>
        <w:rPr>
          <w:rFonts w:ascii="Arial" w:eastAsia="Times New Roman" w:hAnsi="Arial" w:cs="Arial"/>
          <w:lang w:eastAsia="es-ES"/>
        </w:rPr>
      </w:pPr>
    </w:p>
    <w:p w14:paraId="028B5210"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 xml:space="preserve">La demanda (espacio para coubicación) es un dato de entrada al modelo que se alimenta de manera externa en términos de: </w:t>
      </w:r>
    </w:p>
    <w:p w14:paraId="35D7D581" w14:textId="77777777" w:rsidR="004A3027" w:rsidRPr="00657BA6" w:rsidRDefault="004A3027" w:rsidP="0014780A">
      <w:pPr>
        <w:spacing w:after="0"/>
        <w:jc w:val="both"/>
        <w:rPr>
          <w:rFonts w:ascii="Arial" w:eastAsia="Times New Roman" w:hAnsi="Arial" w:cs="Arial"/>
          <w:lang w:eastAsia="es-ES"/>
        </w:rPr>
      </w:pPr>
    </w:p>
    <w:p w14:paraId="3426775B" w14:textId="77777777" w:rsidR="004A3027" w:rsidRPr="00657BA6" w:rsidRDefault="004A3027" w:rsidP="009640AE">
      <w:pPr>
        <w:numPr>
          <w:ilvl w:val="2"/>
          <w:numId w:val="35"/>
        </w:numPr>
        <w:spacing w:after="0"/>
        <w:ind w:left="993" w:hanging="851"/>
        <w:jc w:val="both"/>
        <w:rPr>
          <w:rFonts w:ascii="Arial" w:eastAsia="Times New Roman" w:hAnsi="Arial" w:cs="Arial"/>
          <w:lang w:eastAsia="es-ES"/>
        </w:rPr>
      </w:pPr>
      <w:r w:rsidRPr="00657BA6">
        <w:rPr>
          <w:rFonts w:ascii="Arial" w:eastAsia="Times New Roman" w:hAnsi="Arial" w:cs="Arial"/>
          <w:lang w:val="es-ES_tradnl" w:eastAsia="es-ES"/>
        </w:rPr>
        <w:t>Número de operadores que se coubican en la central en el año seleccionado.</w:t>
      </w:r>
    </w:p>
    <w:p w14:paraId="42BD9F19" w14:textId="77777777" w:rsidR="004A3027" w:rsidRPr="00657BA6" w:rsidRDefault="004A3027" w:rsidP="009640AE">
      <w:pPr>
        <w:numPr>
          <w:ilvl w:val="2"/>
          <w:numId w:val="35"/>
        </w:numPr>
        <w:spacing w:after="0"/>
        <w:ind w:left="993" w:hanging="851"/>
        <w:jc w:val="both"/>
        <w:rPr>
          <w:rFonts w:ascii="Arial" w:eastAsia="Times New Roman" w:hAnsi="Arial" w:cs="Arial"/>
          <w:lang w:eastAsia="es-ES"/>
        </w:rPr>
      </w:pPr>
      <w:r w:rsidRPr="00657BA6">
        <w:rPr>
          <w:rFonts w:ascii="Arial" w:eastAsia="Times New Roman" w:hAnsi="Arial" w:cs="Arial"/>
          <w:lang w:val="es-ES_tradnl" w:eastAsia="es-ES"/>
        </w:rPr>
        <w:t>Espacio para la coubicación (en metros cuadrados) por operador.</w:t>
      </w:r>
    </w:p>
    <w:p w14:paraId="7F8D4F08" w14:textId="77777777" w:rsidR="004A3027" w:rsidRPr="00657BA6" w:rsidRDefault="004A3027" w:rsidP="009640AE">
      <w:pPr>
        <w:numPr>
          <w:ilvl w:val="2"/>
          <w:numId w:val="35"/>
        </w:numPr>
        <w:spacing w:after="0"/>
        <w:ind w:left="993" w:hanging="851"/>
        <w:jc w:val="both"/>
        <w:rPr>
          <w:rFonts w:ascii="Arial" w:eastAsia="Times New Roman" w:hAnsi="Arial" w:cs="Arial"/>
          <w:lang w:eastAsia="es-ES"/>
        </w:rPr>
      </w:pPr>
      <w:r w:rsidRPr="00657BA6">
        <w:rPr>
          <w:rFonts w:ascii="Arial" w:eastAsia="Times New Roman" w:hAnsi="Arial" w:cs="Arial"/>
          <w:lang w:val="es-ES_tradnl" w:eastAsia="es-ES"/>
        </w:rPr>
        <w:t>Consumo de los equipos (del PH y de los CS) así como el tipo de acometida eléctrica a utilizar (48V DC o 127V AC).</w:t>
      </w:r>
    </w:p>
    <w:p w14:paraId="6B1DD4A6" w14:textId="77777777" w:rsidR="004A3027" w:rsidRPr="00657BA6" w:rsidRDefault="004A3027" w:rsidP="0014780A">
      <w:pPr>
        <w:spacing w:after="0"/>
        <w:jc w:val="both"/>
        <w:rPr>
          <w:rFonts w:ascii="Arial" w:eastAsia="Times New Roman" w:hAnsi="Arial" w:cs="Arial"/>
          <w:lang w:eastAsia="es-ES"/>
        </w:rPr>
      </w:pPr>
    </w:p>
    <w:p w14:paraId="7273D020" w14:textId="77777777" w:rsidR="004A3027" w:rsidRPr="00657BA6" w:rsidRDefault="004A3027" w:rsidP="0014780A">
      <w:pPr>
        <w:spacing w:after="0"/>
        <w:jc w:val="both"/>
        <w:rPr>
          <w:rFonts w:ascii="Arial" w:eastAsia="Times New Roman" w:hAnsi="Arial" w:cs="Arial"/>
          <w:b/>
          <w:i/>
          <w:lang w:eastAsia="es-ES"/>
        </w:rPr>
      </w:pPr>
      <w:r w:rsidRPr="00657BA6">
        <w:rPr>
          <w:rFonts w:ascii="Arial" w:eastAsia="Times New Roman" w:hAnsi="Arial" w:cs="Arial"/>
          <w:b/>
          <w:i/>
          <w:lang w:eastAsia="es-ES"/>
        </w:rPr>
        <w:t>Despliegue y dimensionamiento</w:t>
      </w:r>
    </w:p>
    <w:p w14:paraId="60044426" w14:textId="77777777" w:rsidR="004A3027" w:rsidRPr="00657BA6" w:rsidRDefault="004A3027" w:rsidP="0014780A">
      <w:pPr>
        <w:spacing w:after="0"/>
        <w:jc w:val="both"/>
        <w:rPr>
          <w:rFonts w:ascii="Arial" w:eastAsia="Times New Roman" w:hAnsi="Arial" w:cs="Arial"/>
          <w:lang w:eastAsia="es-ES"/>
        </w:rPr>
      </w:pPr>
    </w:p>
    <w:p w14:paraId="1EB74EA2"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El modelo asume que toda la infraestructura pasiva es desplegada en el año corriente teniendo en cuenta únicamente la demanda para ese año, de este modo, el modelo calcula el dimensionamiento de una clase de centrales que comparten características similares.</w:t>
      </w:r>
    </w:p>
    <w:p w14:paraId="795054BF" w14:textId="77777777" w:rsidR="004A3027" w:rsidRPr="00657BA6" w:rsidRDefault="004A3027" w:rsidP="0014780A">
      <w:pPr>
        <w:spacing w:after="0"/>
        <w:jc w:val="both"/>
        <w:rPr>
          <w:rFonts w:ascii="Arial" w:eastAsia="Times New Roman" w:hAnsi="Arial" w:cs="Arial"/>
          <w:lang w:eastAsia="es-ES"/>
        </w:rPr>
      </w:pPr>
    </w:p>
    <w:p w14:paraId="19D0108F"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El modelo implementa un dimensionamiento eficiente, es decir, se modela una red moderna equivalente a la del concesionario solicitado utilizando un enfoque teórico ascendente (</w:t>
      </w:r>
      <w:r w:rsidRPr="00657BA6">
        <w:rPr>
          <w:rFonts w:ascii="Arial" w:hAnsi="Arial" w:cs="Arial"/>
        </w:rPr>
        <w:t>bottom-up</w:t>
      </w:r>
      <w:r w:rsidRPr="00657BA6">
        <w:rPr>
          <w:rFonts w:ascii="Arial" w:eastAsia="Times New Roman" w:hAnsi="Arial" w:cs="Arial"/>
          <w:lang w:eastAsia="es-ES"/>
        </w:rPr>
        <w:t>). Asimismo, el modelo permite seleccionar las características apropiadas de la central a modelar.</w:t>
      </w:r>
    </w:p>
    <w:p w14:paraId="5E180A73" w14:textId="77777777" w:rsidR="004A3027" w:rsidRPr="00657BA6" w:rsidRDefault="004A3027" w:rsidP="0014780A">
      <w:pPr>
        <w:spacing w:after="0"/>
        <w:jc w:val="both"/>
        <w:rPr>
          <w:rFonts w:ascii="Arial" w:eastAsia="Times New Roman" w:hAnsi="Arial" w:cs="Arial"/>
          <w:lang w:eastAsia="es-ES"/>
        </w:rPr>
      </w:pPr>
    </w:p>
    <w:p w14:paraId="5B55C913"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En este sentido, es necesario caracterizar el sitio para el que desee calcular el costo según una serie de parámetros técnicos:</w:t>
      </w:r>
    </w:p>
    <w:p w14:paraId="050FBBF1" w14:textId="77777777" w:rsidR="004A3027" w:rsidRPr="00657BA6" w:rsidRDefault="004A3027" w:rsidP="0014780A">
      <w:pPr>
        <w:spacing w:after="0"/>
        <w:jc w:val="both"/>
        <w:rPr>
          <w:rFonts w:ascii="Arial" w:eastAsia="Times New Roman" w:hAnsi="Arial" w:cs="Arial"/>
          <w:lang w:eastAsia="es-ES"/>
        </w:rPr>
      </w:pPr>
    </w:p>
    <w:p w14:paraId="47A9BE74" w14:textId="50BE2B01" w:rsidR="004A3027" w:rsidRPr="00657BA6" w:rsidRDefault="004A3027" w:rsidP="009640AE">
      <w:pPr>
        <w:numPr>
          <w:ilvl w:val="0"/>
          <w:numId w:val="36"/>
        </w:numPr>
        <w:spacing w:after="0"/>
        <w:jc w:val="both"/>
        <w:rPr>
          <w:rFonts w:ascii="Arial" w:eastAsia="Times New Roman" w:hAnsi="Arial" w:cs="Arial"/>
          <w:lang w:eastAsia="es-ES"/>
        </w:rPr>
      </w:pPr>
      <w:r w:rsidRPr="00657BA6">
        <w:rPr>
          <w:rFonts w:ascii="Arial" w:eastAsia="Times New Roman" w:hAnsi="Arial" w:cs="Arial"/>
          <w:lang w:eastAsia="es-ES"/>
        </w:rPr>
        <w:t xml:space="preserve">Geotipo: zona de tarificación alta, media y baja, por </w:t>
      </w:r>
      <w:r w:rsidR="008C4DF7" w:rsidRPr="00657BA6">
        <w:rPr>
          <w:rFonts w:ascii="Arial" w:eastAsia="Times New Roman" w:hAnsi="Arial" w:cs="Arial"/>
          <w:lang w:eastAsia="es-ES"/>
        </w:rPr>
        <w:t>consiguiente,</w:t>
      </w:r>
      <w:r w:rsidRPr="00657BA6">
        <w:rPr>
          <w:rFonts w:ascii="Arial" w:eastAsia="Times New Roman" w:hAnsi="Arial" w:cs="Arial"/>
          <w:lang w:eastAsia="es-ES"/>
        </w:rPr>
        <w:t xml:space="preserve"> se refleja un costo diferente por geotipo, considerando que el mercado inmobiliario y de la construcción se pueden comportar de diferente forma dependiendo de la región geográfica de que se trate. </w:t>
      </w:r>
    </w:p>
    <w:p w14:paraId="55FC40EE" w14:textId="77777777" w:rsidR="004A3027" w:rsidRPr="00657BA6" w:rsidRDefault="004A3027" w:rsidP="0014780A">
      <w:pPr>
        <w:spacing w:after="0"/>
        <w:ind w:left="720"/>
        <w:jc w:val="both"/>
        <w:rPr>
          <w:rFonts w:ascii="Arial" w:eastAsia="Times New Roman" w:hAnsi="Arial" w:cs="Arial"/>
          <w:lang w:eastAsia="es-ES"/>
        </w:rPr>
      </w:pPr>
    </w:p>
    <w:p w14:paraId="4953CDAA" w14:textId="77777777" w:rsidR="004A3027" w:rsidRPr="00657BA6" w:rsidRDefault="004A3027" w:rsidP="009640AE">
      <w:pPr>
        <w:numPr>
          <w:ilvl w:val="0"/>
          <w:numId w:val="36"/>
        </w:numPr>
        <w:spacing w:after="0"/>
        <w:ind w:left="714" w:hanging="357"/>
        <w:jc w:val="both"/>
        <w:rPr>
          <w:rFonts w:ascii="Arial" w:eastAsia="Times New Roman" w:hAnsi="Arial" w:cs="Arial"/>
          <w:lang w:eastAsia="es-ES"/>
        </w:rPr>
      </w:pPr>
      <w:r w:rsidRPr="00657BA6">
        <w:rPr>
          <w:rFonts w:ascii="Arial" w:eastAsia="Times New Roman" w:hAnsi="Arial" w:cs="Arial"/>
          <w:lang w:eastAsia="es-ES"/>
        </w:rPr>
        <w:t>Propiedad del predio: propiedad del PH, arrendamiento. En este caso se ha utilizado el escenario de un tercero en arrendamiento en virtud de que se considera que refleja mejor las características del mercado.</w:t>
      </w:r>
    </w:p>
    <w:p w14:paraId="2F05DF7B"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 xml:space="preserve"> </w:t>
      </w:r>
    </w:p>
    <w:p w14:paraId="0F5B3AAB" w14:textId="60FD1058" w:rsidR="004A3027" w:rsidRPr="00657BA6" w:rsidRDefault="004A3027" w:rsidP="009640AE">
      <w:pPr>
        <w:numPr>
          <w:ilvl w:val="0"/>
          <w:numId w:val="36"/>
        </w:numPr>
        <w:spacing w:after="0"/>
        <w:ind w:left="714" w:hanging="357"/>
        <w:jc w:val="both"/>
        <w:rPr>
          <w:rFonts w:ascii="Arial" w:eastAsia="Times New Roman" w:hAnsi="Arial" w:cs="Arial"/>
          <w:lang w:eastAsia="es-ES"/>
        </w:rPr>
      </w:pPr>
      <w:r w:rsidRPr="00657BA6">
        <w:rPr>
          <w:rFonts w:ascii="Arial" w:eastAsia="Times New Roman" w:hAnsi="Arial" w:cs="Arial"/>
          <w:lang w:eastAsia="es-ES"/>
        </w:rPr>
        <w:t xml:space="preserve">Tamaño de la central: El modelo considera 4 tamaños (pequeña, media, grande y muy grande) </w:t>
      </w:r>
      <w:r w:rsidR="00B67887" w:rsidRPr="00657BA6">
        <w:rPr>
          <w:rFonts w:ascii="Arial" w:eastAsia="Times New Roman" w:hAnsi="Arial" w:cs="Arial"/>
          <w:lang w:eastAsia="es-ES"/>
        </w:rPr>
        <w:t>de acuerdo con el</w:t>
      </w:r>
      <w:r w:rsidRPr="00657BA6">
        <w:rPr>
          <w:rFonts w:ascii="Arial" w:eastAsia="Times New Roman" w:hAnsi="Arial" w:cs="Arial"/>
          <w:lang w:eastAsia="es-ES"/>
        </w:rPr>
        <w:t xml:space="preserve"> número de bucles de cobre terminados en la central. Dicho número de bucles se utiliza como parámetro para dimensionar el tamaño de la central, en este caso se considera una central de tamaño medio, la cual cuenta de 501 a 1450 bucles y que la misma tiene dos pisos.</w:t>
      </w:r>
    </w:p>
    <w:p w14:paraId="39E66273" w14:textId="77777777" w:rsidR="004A3027" w:rsidRPr="00657BA6" w:rsidRDefault="004A3027" w:rsidP="0014780A">
      <w:pPr>
        <w:spacing w:after="0"/>
        <w:jc w:val="both"/>
        <w:rPr>
          <w:rFonts w:ascii="Arial" w:eastAsia="Times New Roman" w:hAnsi="Arial" w:cs="Arial"/>
          <w:lang w:eastAsia="es-ES"/>
        </w:rPr>
      </w:pPr>
    </w:p>
    <w:p w14:paraId="565BB5AF" w14:textId="77777777" w:rsidR="004A3027" w:rsidRPr="00657BA6" w:rsidRDefault="004A3027" w:rsidP="0014780A">
      <w:pPr>
        <w:spacing w:after="0"/>
        <w:ind w:left="720"/>
        <w:jc w:val="both"/>
        <w:rPr>
          <w:rFonts w:ascii="Arial" w:eastAsia="Times New Roman" w:hAnsi="Arial" w:cs="Arial"/>
          <w:lang w:eastAsia="es-ES"/>
        </w:rPr>
      </w:pPr>
      <w:r w:rsidRPr="00657BA6">
        <w:rPr>
          <w:rFonts w:ascii="Arial" w:eastAsia="Times New Roman" w:hAnsi="Arial" w:cs="Arial"/>
          <w:lang w:eastAsia="es-ES"/>
        </w:rPr>
        <w:t xml:space="preserve">El tamaño de la central también es aplicable a un operador móvil que presta el servicio de coubicación pues sus centrales tendrían las mismas dimensiones y serían </w:t>
      </w:r>
      <w:r w:rsidRPr="00657BA6">
        <w:rPr>
          <w:rFonts w:ascii="Arial" w:eastAsia="Times New Roman" w:hAnsi="Arial" w:cs="Arial"/>
          <w:lang w:eastAsia="es-ES"/>
        </w:rPr>
        <w:lastRenderedPageBreak/>
        <w:t>categorizadas de la misma forma y, el espacio de la sala MDF sería utilizado para albergar equipos relacionados con la red de acceso, por lo cual las características de una central de dos niveles y sus dimensiones son aplicables para centrales de un operador móvil y un operador fijo.</w:t>
      </w:r>
    </w:p>
    <w:p w14:paraId="1755E799" w14:textId="77777777" w:rsidR="004A3027" w:rsidRPr="00657BA6" w:rsidRDefault="004A3027" w:rsidP="0014780A">
      <w:pPr>
        <w:spacing w:after="0"/>
        <w:ind w:left="708"/>
        <w:jc w:val="both"/>
        <w:rPr>
          <w:rFonts w:ascii="Arial" w:eastAsia="Times New Roman" w:hAnsi="Arial" w:cs="Arial"/>
          <w:lang w:eastAsia="es-ES"/>
        </w:rPr>
      </w:pPr>
    </w:p>
    <w:p w14:paraId="55A29712" w14:textId="77777777" w:rsidR="004A3027" w:rsidRPr="00657BA6" w:rsidRDefault="004A3027" w:rsidP="009640AE">
      <w:pPr>
        <w:numPr>
          <w:ilvl w:val="0"/>
          <w:numId w:val="36"/>
        </w:numPr>
        <w:spacing w:after="0"/>
        <w:jc w:val="both"/>
        <w:rPr>
          <w:rFonts w:ascii="Arial" w:eastAsia="Times New Roman" w:hAnsi="Arial" w:cs="Arial"/>
          <w:lang w:eastAsia="es-ES"/>
        </w:rPr>
      </w:pPr>
      <w:r w:rsidRPr="00657BA6">
        <w:rPr>
          <w:rFonts w:ascii="Arial" w:eastAsia="Times New Roman" w:hAnsi="Arial" w:cs="Arial"/>
          <w:lang w:eastAsia="es-ES"/>
        </w:rPr>
        <w:t xml:space="preserve">Tipo de coubicación requerida: </w:t>
      </w:r>
    </w:p>
    <w:p w14:paraId="598A7A1C" w14:textId="77777777" w:rsidR="004A3027" w:rsidRPr="00657BA6" w:rsidRDefault="004A3027" w:rsidP="0014780A">
      <w:pPr>
        <w:spacing w:after="0"/>
        <w:ind w:left="720"/>
        <w:jc w:val="both"/>
        <w:rPr>
          <w:rFonts w:ascii="Arial" w:eastAsia="Times New Roman" w:hAnsi="Arial" w:cs="Arial"/>
          <w:lang w:eastAsia="es-ES"/>
        </w:rPr>
      </w:pPr>
    </w:p>
    <w:p w14:paraId="307B6594" w14:textId="77777777" w:rsidR="004A3027" w:rsidRPr="00657BA6" w:rsidRDefault="004A3027" w:rsidP="009640AE">
      <w:pPr>
        <w:numPr>
          <w:ilvl w:val="1"/>
          <w:numId w:val="37"/>
        </w:numPr>
        <w:spacing w:after="0"/>
        <w:jc w:val="both"/>
        <w:rPr>
          <w:rFonts w:ascii="Arial" w:eastAsia="Times New Roman" w:hAnsi="Arial" w:cs="Arial"/>
          <w:lang w:eastAsia="es-ES"/>
        </w:rPr>
      </w:pPr>
      <w:r w:rsidRPr="00657BA6">
        <w:rPr>
          <w:rFonts w:ascii="Arial" w:eastAsia="Times New Roman" w:hAnsi="Arial" w:cs="Arial"/>
          <w:lang w:eastAsia="es-ES"/>
        </w:rPr>
        <w:t>Coubicación interna. La coubicación se lleva a cabo dentro de la central.</w:t>
      </w:r>
    </w:p>
    <w:p w14:paraId="08F4BDB4" w14:textId="77777777" w:rsidR="004A3027" w:rsidRPr="00657BA6" w:rsidRDefault="004A3027" w:rsidP="009640AE">
      <w:pPr>
        <w:numPr>
          <w:ilvl w:val="1"/>
          <w:numId w:val="37"/>
        </w:numPr>
        <w:spacing w:after="0"/>
        <w:jc w:val="both"/>
        <w:rPr>
          <w:rFonts w:ascii="Arial" w:eastAsia="Times New Roman" w:hAnsi="Arial" w:cs="Arial"/>
          <w:lang w:eastAsia="es-ES"/>
        </w:rPr>
      </w:pPr>
      <w:r w:rsidRPr="00657BA6">
        <w:rPr>
          <w:rFonts w:ascii="Arial" w:eastAsia="Times New Roman" w:hAnsi="Arial" w:cs="Arial"/>
          <w:lang w:eastAsia="es-ES"/>
        </w:rPr>
        <w:t>Coubicación externa. La coubicación se lleva a cabo dentro del predio de la central.</w:t>
      </w:r>
    </w:p>
    <w:p w14:paraId="301E5B30" w14:textId="77777777" w:rsidR="004A3027" w:rsidRPr="00657BA6" w:rsidRDefault="004A3027" w:rsidP="009640AE">
      <w:pPr>
        <w:numPr>
          <w:ilvl w:val="1"/>
          <w:numId w:val="37"/>
        </w:numPr>
        <w:spacing w:after="0"/>
        <w:jc w:val="both"/>
        <w:rPr>
          <w:rFonts w:ascii="Arial" w:eastAsia="Times New Roman" w:hAnsi="Arial" w:cs="Arial"/>
          <w:lang w:eastAsia="es-ES"/>
        </w:rPr>
      </w:pPr>
      <w:r w:rsidRPr="00657BA6">
        <w:rPr>
          <w:rFonts w:ascii="Arial" w:eastAsia="Times New Roman" w:hAnsi="Arial" w:cs="Arial"/>
          <w:lang w:eastAsia="es-ES"/>
        </w:rPr>
        <w:t>Coubicación equipada. Corresponde a la coubicación tipo 3 (gabinete).</w:t>
      </w:r>
    </w:p>
    <w:p w14:paraId="179D0E24" w14:textId="77777777" w:rsidR="004A3027" w:rsidRPr="00657BA6" w:rsidRDefault="004A3027" w:rsidP="0014780A">
      <w:pPr>
        <w:spacing w:after="0"/>
        <w:ind w:left="720"/>
        <w:jc w:val="both"/>
        <w:rPr>
          <w:rFonts w:ascii="Arial" w:eastAsia="Times New Roman" w:hAnsi="Arial" w:cs="Arial"/>
          <w:lang w:eastAsia="es-ES"/>
        </w:rPr>
      </w:pPr>
    </w:p>
    <w:p w14:paraId="7F343C69" w14:textId="77777777" w:rsidR="004A3027" w:rsidRPr="00657BA6" w:rsidRDefault="004A3027" w:rsidP="009640AE">
      <w:pPr>
        <w:numPr>
          <w:ilvl w:val="0"/>
          <w:numId w:val="36"/>
        </w:numPr>
        <w:spacing w:after="0"/>
        <w:ind w:left="714" w:hanging="357"/>
        <w:jc w:val="both"/>
        <w:rPr>
          <w:rFonts w:ascii="Arial" w:eastAsia="Times New Roman" w:hAnsi="Arial" w:cs="Arial"/>
          <w:lang w:eastAsia="es-ES"/>
        </w:rPr>
      </w:pPr>
      <w:r w:rsidRPr="00657BA6">
        <w:rPr>
          <w:rFonts w:ascii="Arial" w:eastAsia="Times New Roman" w:hAnsi="Arial" w:cs="Arial"/>
          <w:lang w:eastAsia="es-ES"/>
        </w:rPr>
        <w:t>El espacio de coubicación servirá de base para el dimensionamiento de las salas de coubicación (mínimo 4m2).</w:t>
      </w:r>
    </w:p>
    <w:p w14:paraId="11FE9756" w14:textId="77777777" w:rsidR="004A3027" w:rsidRPr="00657BA6" w:rsidRDefault="004A3027" w:rsidP="0014780A">
      <w:pPr>
        <w:spacing w:after="0"/>
        <w:ind w:left="714"/>
        <w:jc w:val="both"/>
        <w:rPr>
          <w:rFonts w:ascii="Arial" w:eastAsia="Times New Roman" w:hAnsi="Arial" w:cs="Arial"/>
          <w:lang w:eastAsia="es-ES"/>
        </w:rPr>
      </w:pPr>
    </w:p>
    <w:p w14:paraId="6F007636" w14:textId="77777777" w:rsidR="004A3027" w:rsidRPr="00657BA6" w:rsidRDefault="004A3027" w:rsidP="009640AE">
      <w:pPr>
        <w:numPr>
          <w:ilvl w:val="0"/>
          <w:numId w:val="36"/>
        </w:numPr>
        <w:spacing w:after="0"/>
        <w:ind w:left="714" w:hanging="357"/>
        <w:jc w:val="both"/>
        <w:rPr>
          <w:rFonts w:ascii="Arial" w:eastAsia="Times New Roman" w:hAnsi="Arial" w:cs="Arial"/>
          <w:lang w:eastAsia="es-ES"/>
        </w:rPr>
      </w:pPr>
      <w:r w:rsidRPr="00657BA6">
        <w:rPr>
          <w:rFonts w:ascii="Arial" w:eastAsia="Times New Roman" w:hAnsi="Arial" w:cs="Arial"/>
          <w:lang w:eastAsia="es-ES"/>
        </w:rPr>
        <w:t>Cabe mencionar que en el caso de coubicación externa difiere de la coubicación interna únicamente en los gastos de instalación, y no así en los costos recurrentes.</w:t>
      </w:r>
    </w:p>
    <w:p w14:paraId="7FC3E9C1" w14:textId="77777777" w:rsidR="004A3027" w:rsidRPr="00657BA6" w:rsidRDefault="004A3027" w:rsidP="009640AE">
      <w:pPr>
        <w:numPr>
          <w:ilvl w:val="0"/>
          <w:numId w:val="36"/>
        </w:numPr>
        <w:spacing w:after="0"/>
        <w:jc w:val="both"/>
        <w:rPr>
          <w:rFonts w:ascii="Arial" w:eastAsia="Times New Roman" w:hAnsi="Arial" w:cs="Arial"/>
          <w:lang w:eastAsia="es-ES"/>
        </w:rPr>
      </w:pPr>
      <w:r w:rsidRPr="00657BA6">
        <w:rPr>
          <w:rFonts w:ascii="Arial" w:eastAsia="Times New Roman" w:hAnsi="Arial" w:cs="Arial"/>
          <w:lang w:eastAsia="es-ES"/>
        </w:rPr>
        <w:t>Tipo de acometida eléctrica: AC_127V, DC_48V</w:t>
      </w:r>
    </w:p>
    <w:p w14:paraId="19EB7FEF" w14:textId="77777777" w:rsidR="004A3027" w:rsidRPr="00657BA6" w:rsidRDefault="004A3027" w:rsidP="0014780A">
      <w:pPr>
        <w:spacing w:after="0"/>
        <w:ind w:left="720"/>
        <w:jc w:val="both"/>
        <w:rPr>
          <w:rFonts w:ascii="Arial" w:eastAsia="Times New Roman" w:hAnsi="Arial" w:cs="Arial"/>
          <w:lang w:eastAsia="es-ES"/>
        </w:rPr>
      </w:pPr>
    </w:p>
    <w:p w14:paraId="7A97C02C" w14:textId="77777777" w:rsidR="004A3027" w:rsidRPr="00657BA6" w:rsidRDefault="004A3027" w:rsidP="009640AE">
      <w:pPr>
        <w:numPr>
          <w:ilvl w:val="0"/>
          <w:numId w:val="36"/>
        </w:numPr>
        <w:spacing w:after="0"/>
        <w:jc w:val="both"/>
        <w:rPr>
          <w:rFonts w:ascii="Arial" w:eastAsia="Times New Roman" w:hAnsi="Arial" w:cs="Arial"/>
          <w:lang w:eastAsia="es-ES"/>
        </w:rPr>
      </w:pPr>
      <w:r w:rsidRPr="00657BA6">
        <w:rPr>
          <w:rFonts w:ascii="Arial" w:eastAsia="Times New Roman" w:hAnsi="Arial" w:cs="Arial"/>
          <w:lang w:eastAsia="es-ES"/>
        </w:rPr>
        <w:t>Aire acondicionado: sí (presente), no (ausente)</w:t>
      </w:r>
    </w:p>
    <w:p w14:paraId="2AB45BB6" w14:textId="77777777" w:rsidR="004A3027" w:rsidRPr="00657BA6" w:rsidRDefault="004A3027" w:rsidP="0014780A">
      <w:pPr>
        <w:spacing w:after="0"/>
        <w:ind w:left="720"/>
        <w:jc w:val="both"/>
        <w:rPr>
          <w:rFonts w:ascii="Arial" w:eastAsia="Times New Roman" w:hAnsi="Arial" w:cs="Arial"/>
          <w:lang w:eastAsia="es-ES"/>
        </w:rPr>
      </w:pPr>
    </w:p>
    <w:p w14:paraId="642F152E" w14:textId="77777777" w:rsidR="004A3027" w:rsidRPr="00657BA6" w:rsidRDefault="004A3027" w:rsidP="009640AE">
      <w:pPr>
        <w:numPr>
          <w:ilvl w:val="0"/>
          <w:numId w:val="36"/>
        </w:numPr>
        <w:spacing w:after="0"/>
        <w:jc w:val="both"/>
        <w:rPr>
          <w:rFonts w:ascii="Arial" w:eastAsia="Times New Roman" w:hAnsi="Arial" w:cs="Arial"/>
          <w:lang w:eastAsia="es-ES"/>
        </w:rPr>
      </w:pPr>
      <w:r w:rsidRPr="00657BA6">
        <w:rPr>
          <w:rFonts w:ascii="Arial" w:eastAsia="Times New Roman" w:hAnsi="Arial" w:cs="Arial"/>
          <w:lang w:eastAsia="es-ES"/>
        </w:rPr>
        <w:t>Fuente de energía de respaldo: sí (presente), no (ausente)</w:t>
      </w:r>
    </w:p>
    <w:p w14:paraId="7D4C6B29" w14:textId="77777777" w:rsidR="004A3027" w:rsidRPr="00657BA6" w:rsidRDefault="004A3027" w:rsidP="0014780A">
      <w:pPr>
        <w:spacing w:after="0"/>
        <w:jc w:val="both"/>
        <w:rPr>
          <w:rFonts w:ascii="Arial" w:eastAsia="Times New Roman" w:hAnsi="Arial" w:cs="Arial"/>
          <w:lang w:eastAsia="es-ES"/>
        </w:rPr>
      </w:pPr>
    </w:p>
    <w:p w14:paraId="77B801D9"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Por su parte, las salas ubicadas en la central del PH consideradas en el modelo se dimensionan en base a los siguientes parámetros:</w:t>
      </w:r>
    </w:p>
    <w:p w14:paraId="692BC8B5" w14:textId="77777777" w:rsidR="004A3027" w:rsidRPr="00657BA6" w:rsidRDefault="004A3027" w:rsidP="0014780A">
      <w:pPr>
        <w:spacing w:after="0"/>
        <w:rPr>
          <w:rFonts w:ascii="Arial" w:eastAsia="Times New Roman" w:hAnsi="Arial" w:cs="Arial"/>
          <w:lang w:eastAsia="es-ES"/>
        </w:rPr>
      </w:pPr>
    </w:p>
    <w:tbl>
      <w:tblPr>
        <w:tblStyle w:val="Tabladecuadrcula4"/>
        <w:tblW w:w="5000" w:type="pct"/>
        <w:tblLook w:val="0420" w:firstRow="1" w:lastRow="0" w:firstColumn="0" w:lastColumn="0" w:noHBand="0" w:noVBand="1"/>
      </w:tblPr>
      <w:tblGrid>
        <w:gridCol w:w="1813"/>
        <w:gridCol w:w="7530"/>
      </w:tblGrid>
      <w:tr w:rsidR="004A3027" w:rsidRPr="00657BA6" w14:paraId="798F3321" w14:textId="77777777" w:rsidTr="006C794D">
        <w:trPr>
          <w:cnfStyle w:val="100000000000" w:firstRow="1" w:lastRow="0" w:firstColumn="0" w:lastColumn="0" w:oddVBand="0" w:evenVBand="0" w:oddHBand="0" w:evenHBand="0" w:firstRowFirstColumn="0" w:firstRowLastColumn="0" w:lastRowFirstColumn="0" w:lastRowLastColumn="0"/>
          <w:trHeight w:val="440"/>
        </w:trPr>
        <w:tc>
          <w:tcPr>
            <w:tcW w:w="97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4FBFB0BA" w14:textId="77777777" w:rsidR="004A3027" w:rsidRPr="00657BA6" w:rsidRDefault="004A3027" w:rsidP="0014780A">
            <w:pPr>
              <w:spacing w:after="0"/>
              <w:jc w:val="center"/>
              <w:rPr>
                <w:rFonts w:ascii="Arial" w:eastAsia="Times New Roman" w:hAnsi="Arial" w:cs="Arial"/>
                <w:color w:val="auto"/>
                <w:lang w:eastAsia="es-ES"/>
              </w:rPr>
            </w:pPr>
            <w:r w:rsidRPr="00657BA6">
              <w:rPr>
                <w:rFonts w:ascii="Arial" w:eastAsia="Times New Roman" w:hAnsi="Arial" w:cs="Arial"/>
                <w:color w:val="auto"/>
                <w:lang w:val="es-ES_tradnl" w:eastAsia="es-ES"/>
              </w:rPr>
              <w:t>Sala</w:t>
            </w:r>
          </w:p>
        </w:tc>
        <w:tc>
          <w:tcPr>
            <w:tcW w:w="403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07EBBBC5" w14:textId="77777777" w:rsidR="004A3027" w:rsidRPr="00657BA6" w:rsidRDefault="004A3027" w:rsidP="0014780A">
            <w:pPr>
              <w:spacing w:after="0"/>
              <w:jc w:val="center"/>
              <w:rPr>
                <w:rFonts w:ascii="Arial" w:eastAsia="Times New Roman" w:hAnsi="Arial" w:cs="Arial"/>
                <w:color w:val="auto"/>
                <w:lang w:eastAsia="es-ES"/>
              </w:rPr>
            </w:pPr>
            <w:r w:rsidRPr="00657BA6">
              <w:rPr>
                <w:rFonts w:ascii="Arial" w:eastAsia="Times New Roman" w:hAnsi="Arial" w:cs="Arial"/>
                <w:color w:val="auto"/>
                <w:lang w:val="es-ES_tradnl" w:eastAsia="es-ES"/>
              </w:rPr>
              <w:t>Descripción / dimensionamiento</w:t>
            </w:r>
          </w:p>
        </w:tc>
      </w:tr>
      <w:tr w:rsidR="004A3027" w:rsidRPr="00657BA6" w14:paraId="7A76B990" w14:textId="77777777" w:rsidTr="006C794D">
        <w:trPr>
          <w:cnfStyle w:val="000000100000" w:firstRow="0" w:lastRow="0" w:firstColumn="0" w:lastColumn="0" w:oddVBand="0" w:evenVBand="0" w:oddHBand="1" w:evenHBand="0" w:firstRowFirstColumn="0" w:firstRowLastColumn="0" w:lastRowFirstColumn="0" w:lastRowLastColumn="0"/>
          <w:trHeight w:val="444"/>
        </w:trPr>
        <w:tc>
          <w:tcPr>
            <w:tcW w:w="970" w:type="pct"/>
            <w:tcBorders>
              <w:top w:val="single" w:sz="4" w:space="0" w:color="000000"/>
            </w:tcBorders>
            <w:hideMark/>
          </w:tcPr>
          <w:p w14:paraId="05A96C88" w14:textId="77777777" w:rsidR="004A3027" w:rsidRPr="00657BA6" w:rsidRDefault="004A3027" w:rsidP="0014780A">
            <w:pPr>
              <w:spacing w:after="0"/>
              <w:rPr>
                <w:rFonts w:ascii="Arial" w:eastAsia="Times New Roman" w:hAnsi="Arial" w:cs="Arial"/>
                <w:lang w:eastAsia="es-ES"/>
              </w:rPr>
            </w:pPr>
            <w:r w:rsidRPr="00657BA6">
              <w:rPr>
                <w:rFonts w:ascii="Arial" w:eastAsia="Times New Roman" w:hAnsi="Arial" w:cs="Arial"/>
                <w:lang w:val="es-ES_tradnl" w:eastAsia="es-ES"/>
              </w:rPr>
              <w:t>Sala MDF/ODF HP</w:t>
            </w:r>
          </w:p>
        </w:tc>
        <w:tc>
          <w:tcPr>
            <w:tcW w:w="4030" w:type="pct"/>
            <w:tcBorders>
              <w:top w:val="single" w:sz="4" w:space="0" w:color="000000"/>
            </w:tcBorders>
            <w:hideMark/>
          </w:tcPr>
          <w:p w14:paraId="4FB5547A" w14:textId="28A8D3A7" w:rsidR="004A3027" w:rsidRPr="00657BA6" w:rsidRDefault="004A3027" w:rsidP="0014780A">
            <w:pPr>
              <w:spacing w:after="0"/>
              <w:rPr>
                <w:rFonts w:ascii="Arial" w:eastAsia="Times New Roman" w:hAnsi="Arial" w:cs="Arial"/>
                <w:lang w:eastAsia="es-ES"/>
              </w:rPr>
            </w:pPr>
            <w:r w:rsidRPr="00657BA6">
              <w:rPr>
                <w:rFonts w:ascii="Arial" w:eastAsia="Times New Roman" w:hAnsi="Arial" w:cs="Arial"/>
                <w:lang w:val="es-ES_tradnl" w:eastAsia="es-ES"/>
              </w:rPr>
              <w:t xml:space="preserve">Sala donde se conecta el distribuidor general (MDF) del PH o su equivalente óptico (ODF). Esta sala no se comparte con el </w:t>
            </w:r>
            <w:r w:rsidR="008C4DF7" w:rsidRPr="00657BA6">
              <w:rPr>
                <w:rFonts w:ascii="Arial" w:eastAsia="Times New Roman" w:hAnsi="Arial" w:cs="Arial"/>
                <w:lang w:val="es-ES_tradnl" w:eastAsia="es-ES"/>
              </w:rPr>
              <w:t>PH,</w:t>
            </w:r>
            <w:r w:rsidRPr="00657BA6">
              <w:rPr>
                <w:rFonts w:ascii="Arial" w:eastAsia="Times New Roman" w:hAnsi="Arial" w:cs="Arial"/>
                <w:lang w:val="es-ES_tradnl" w:eastAsia="es-ES"/>
              </w:rPr>
              <w:t xml:space="preserve"> pero el distribuidor de los CS se conecta al distribuidor principal del PH</w:t>
            </w:r>
          </w:p>
        </w:tc>
      </w:tr>
      <w:tr w:rsidR="004A3027" w:rsidRPr="00657BA6" w14:paraId="225186CA" w14:textId="77777777" w:rsidTr="006C794D">
        <w:trPr>
          <w:trHeight w:val="444"/>
        </w:trPr>
        <w:tc>
          <w:tcPr>
            <w:tcW w:w="970" w:type="pct"/>
            <w:hideMark/>
          </w:tcPr>
          <w:p w14:paraId="37B9C312" w14:textId="77777777" w:rsidR="004A3027" w:rsidRPr="00657BA6" w:rsidRDefault="004A3027" w:rsidP="0014780A">
            <w:pPr>
              <w:spacing w:after="0"/>
              <w:rPr>
                <w:rFonts w:ascii="Arial" w:eastAsia="Times New Roman" w:hAnsi="Arial" w:cs="Arial"/>
                <w:lang w:eastAsia="es-ES"/>
              </w:rPr>
            </w:pPr>
            <w:r w:rsidRPr="00657BA6">
              <w:rPr>
                <w:rFonts w:ascii="Arial" w:eastAsia="Times New Roman" w:hAnsi="Arial" w:cs="Arial"/>
                <w:lang w:val="es-ES_tradnl" w:eastAsia="es-ES"/>
              </w:rPr>
              <w:t>Sala coubicación CS</w:t>
            </w:r>
          </w:p>
        </w:tc>
        <w:tc>
          <w:tcPr>
            <w:tcW w:w="4030" w:type="pct"/>
            <w:hideMark/>
          </w:tcPr>
          <w:p w14:paraId="6C7D69D2" w14:textId="77777777" w:rsidR="004A3027" w:rsidRPr="00657BA6" w:rsidRDefault="004A3027" w:rsidP="0014780A">
            <w:pPr>
              <w:spacing w:after="0"/>
              <w:rPr>
                <w:rFonts w:ascii="Arial" w:eastAsia="Times New Roman" w:hAnsi="Arial" w:cs="Arial"/>
                <w:lang w:eastAsia="es-ES"/>
              </w:rPr>
            </w:pPr>
            <w:r w:rsidRPr="00657BA6">
              <w:rPr>
                <w:rFonts w:ascii="Arial" w:eastAsia="Times New Roman" w:hAnsi="Arial" w:cs="Arial"/>
                <w:lang w:val="es-ES_tradnl" w:eastAsia="es-ES"/>
              </w:rPr>
              <w:t xml:space="preserve">Sala de coubicación para los CS que cuenta con las facilidades técnicas necesarias para la ubicación de sus equipos. </w:t>
            </w:r>
          </w:p>
        </w:tc>
      </w:tr>
      <w:tr w:rsidR="004A3027" w:rsidRPr="00657BA6" w14:paraId="1456D1A0" w14:textId="77777777" w:rsidTr="006C794D">
        <w:trPr>
          <w:cnfStyle w:val="000000100000" w:firstRow="0" w:lastRow="0" w:firstColumn="0" w:lastColumn="0" w:oddVBand="0" w:evenVBand="0" w:oddHBand="1" w:evenHBand="0" w:firstRowFirstColumn="0" w:firstRowLastColumn="0" w:lastRowFirstColumn="0" w:lastRowLastColumn="0"/>
          <w:trHeight w:val="266"/>
        </w:trPr>
        <w:tc>
          <w:tcPr>
            <w:tcW w:w="970" w:type="pct"/>
            <w:hideMark/>
          </w:tcPr>
          <w:p w14:paraId="2CACC3A2" w14:textId="77777777" w:rsidR="004A3027" w:rsidRPr="00657BA6" w:rsidRDefault="004A3027" w:rsidP="0014780A">
            <w:pPr>
              <w:spacing w:after="0"/>
              <w:rPr>
                <w:rFonts w:ascii="Arial" w:eastAsia="Times New Roman" w:hAnsi="Arial" w:cs="Arial"/>
                <w:lang w:eastAsia="es-ES"/>
              </w:rPr>
            </w:pPr>
            <w:r w:rsidRPr="00657BA6">
              <w:rPr>
                <w:rFonts w:ascii="Arial" w:eastAsia="Times New Roman" w:hAnsi="Arial" w:cs="Arial"/>
                <w:lang w:val="es-ES_tradnl" w:eastAsia="es-ES"/>
              </w:rPr>
              <w:t>Sala de control</w:t>
            </w:r>
          </w:p>
        </w:tc>
        <w:tc>
          <w:tcPr>
            <w:tcW w:w="4030" w:type="pct"/>
            <w:hideMark/>
          </w:tcPr>
          <w:p w14:paraId="7AD9E5EE" w14:textId="77777777" w:rsidR="004A3027" w:rsidRPr="00657BA6" w:rsidRDefault="004A3027" w:rsidP="0014780A">
            <w:pPr>
              <w:spacing w:after="0"/>
              <w:rPr>
                <w:rFonts w:ascii="Arial" w:eastAsia="Times New Roman" w:hAnsi="Arial" w:cs="Arial"/>
                <w:lang w:eastAsia="es-ES"/>
              </w:rPr>
            </w:pPr>
            <w:r w:rsidRPr="00657BA6">
              <w:rPr>
                <w:rFonts w:ascii="Arial" w:eastAsia="Times New Roman" w:hAnsi="Arial" w:cs="Arial"/>
                <w:lang w:val="es-ES_tradnl" w:eastAsia="es-ES"/>
              </w:rPr>
              <w:t>La sala de control se dimensiona en función del tamaño de la central</w:t>
            </w:r>
          </w:p>
        </w:tc>
      </w:tr>
      <w:tr w:rsidR="004A3027" w:rsidRPr="00657BA6" w14:paraId="50EEC4A4" w14:textId="77777777" w:rsidTr="006C794D">
        <w:trPr>
          <w:trHeight w:val="306"/>
        </w:trPr>
        <w:tc>
          <w:tcPr>
            <w:tcW w:w="970" w:type="pct"/>
            <w:hideMark/>
          </w:tcPr>
          <w:p w14:paraId="61B4ABD5" w14:textId="77777777" w:rsidR="004A3027" w:rsidRPr="00657BA6" w:rsidRDefault="004A3027" w:rsidP="0014780A">
            <w:pPr>
              <w:spacing w:after="0"/>
              <w:rPr>
                <w:rFonts w:ascii="Arial" w:eastAsia="Times New Roman" w:hAnsi="Arial" w:cs="Arial"/>
                <w:lang w:eastAsia="es-ES"/>
              </w:rPr>
            </w:pPr>
            <w:r w:rsidRPr="00657BA6">
              <w:rPr>
                <w:rFonts w:ascii="Arial" w:eastAsia="Times New Roman" w:hAnsi="Arial" w:cs="Arial"/>
                <w:lang w:val="es-ES_tradnl" w:eastAsia="es-ES"/>
              </w:rPr>
              <w:t xml:space="preserve">Sala de </w:t>
            </w:r>
            <w:r w:rsidRPr="00657BA6">
              <w:rPr>
                <w:rFonts w:ascii="Arial" w:eastAsia="Times New Roman" w:hAnsi="Arial" w:cs="Arial"/>
                <w:i/>
                <w:iCs/>
                <w:lang w:val="es-ES_tradnl" w:eastAsia="es-ES"/>
              </w:rPr>
              <w:t>switching</w:t>
            </w:r>
          </w:p>
        </w:tc>
        <w:tc>
          <w:tcPr>
            <w:tcW w:w="4030" w:type="pct"/>
            <w:hideMark/>
          </w:tcPr>
          <w:p w14:paraId="6B30F9DF" w14:textId="77777777" w:rsidR="004A3027" w:rsidRPr="00657BA6" w:rsidRDefault="004A3027" w:rsidP="0014780A">
            <w:pPr>
              <w:spacing w:after="0"/>
              <w:rPr>
                <w:rFonts w:ascii="Arial" w:eastAsia="Times New Roman" w:hAnsi="Arial" w:cs="Arial"/>
                <w:lang w:eastAsia="es-ES"/>
              </w:rPr>
            </w:pPr>
            <w:r w:rsidRPr="00657BA6">
              <w:rPr>
                <w:rFonts w:ascii="Arial" w:eastAsia="Times New Roman" w:hAnsi="Arial" w:cs="Arial"/>
                <w:lang w:val="es-ES_tradnl" w:eastAsia="es-ES"/>
              </w:rPr>
              <w:t xml:space="preserve">La sala de </w:t>
            </w:r>
            <w:r w:rsidRPr="00657BA6">
              <w:rPr>
                <w:rFonts w:ascii="Arial" w:eastAsia="Times New Roman" w:hAnsi="Arial" w:cs="Arial"/>
                <w:i/>
                <w:iCs/>
                <w:lang w:val="es-ES_tradnl" w:eastAsia="es-ES"/>
              </w:rPr>
              <w:t>switching</w:t>
            </w:r>
            <w:r w:rsidRPr="00657BA6">
              <w:rPr>
                <w:rFonts w:ascii="Arial" w:eastAsia="Times New Roman" w:hAnsi="Arial" w:cs="Arial"/>
                <w:lang w:val="es-ES_tradnl" w:eastAsia="es-ES"/>
              </w:rPr>
              <w:t xml:space="preserve"> se dimensiona en función del tamaño de la central</w:t>
            </w:r>
          </w:p>
        </w:tc>
      </w:tr>
      <w:tr w:rsidR="004A3027" w:rsidRPr="00657BA6" w14:paraId="1BEAB419" w14:textId="77777777" w:rsidTr="006C794D">
        <w:trPr>
          <w:cnfStyle w:val="000000100000" w:firstRow="0" w:lastRow="0" w:firstColumn="0" w:lastColumn="0" w:oddVBand="0" w:evenVBand="0" w:oddHBand="1" w:evenHBand="0" w:firstRowFirstColumn="0" w:firstRowLastColumn="0" w:lastRowFirstColumn="0" w:lastRowLastColumn="0"/>
          <w:trHeight w:val="444"/>
        </w:trPr>
        <w:tc>
          <w:tcPr>
            <w:tcW w:w="970" w:type="pct"/>
            <w:hideMark/>
          </w:tcPr>
          <w:p w14:paraId="72FA9F51" w14:textId="77777777" w:rsidR="004A3027" w:rsidRPr="00657BA6" w:rsidRDefault="004A3027" w:rsidP="0014780A">
            <w:pPr>
              <w:spacing w:after="0"/>
              <w:rPr>
                <w:rFonts w:ascii="Arial" w:eastAsia="Times New Roman" w:hAnsi="Arial" w:cs="Arial"/>
                <w:lang w:eastAsia="es-ES"/>
              </w:rPr>
            </w:pPr>
            <w:r w:rsidRPr="00657BA6">
              <w:rPr>
                <w:rFonts w:ascii="Arial" w:eastAsia="Times New Roman" w:hAnsi="Arial" w:cs="Arial"/>
                <w:lang w:val="es-ES_tradnl" w:eastAsia="es-ES"/>
              </w:rPr>
              <w:t>Sala equipos de transmisión</w:t>
            </w:r>
          </w:p>
        </w:tc>
        <w:tc>
          <w:tcPr>
            <w:tcW w:w="4030" w:type="pct"/>
            <w:hideMark/>
          </w:tcPr>
          <w:p w14:paraId="13BEDB2B" w14:textId="77777777" w:rsidR="004A3027" w:rsidRPr="00657BA6" w:rsidRDefault="004A3027" w:rsidP="0014780A">
            <w:pPr>
              <w:spacing w:after="0"/>
              <w:rPr>
                <w:rFonts w:ascii="Arial" w:eastAsia="Times New Roman" w:hAnsi="Arial" w:cs="Arial"/>
                <w:lang w:eastAsia="es-ES"/>
              </w:rPr>
            </w:pPr>
            <w:r w:rsidRPr="00657BA6">
              <w:rPr>
                <w:rFonts w:ascii="Arial" w:eastAsia="Times New Roman" w:hAnsi="Arial" w:cs="Arial"/>
                <w:lang w:val="es-ES_tradnl" w:eastAsia="es-ES"/>
              </w:rPr>
              <w:t>La sala de equipos de transmisión del PH se dimensiona en función del tamaño de la central (en la versión corriente del modelo). En esta sala el PH instala también los equipos DSLAM/MSAN</w:t>
            </w:r>
          </w:p>
        </w:tc>
      </w:tr>
      <w:tr w:rsidR="004A3027" w:rsidRPr="00657BA6" w14:paraId="5B114816" w14:textId="77777777" w:rsidTr="006C794D">
        <w:trPr>
          <w:trHeight w:val="444"/>
        </w:trPr>
        <w:tc>
          <w:tcPr>
            <w:tcW w:w="970" w:type="pct"/>
            <w:hideMark/>
          </w:tcPr>
          <w:p w14:paraId="160BF4C2" w14:textId="77777777" w:rsidR="004A3027" w:rsidRPr="00657BA6" w:rsidRDefault="004A3027" w:rsidP="0014780A">
            <w:pPr>
              <w:spacing w:after="0"/>
              <w:rPr>
                <w:rFonts w:ascii="Arial" w:eastAsia="Times New Roman" w:hAnsi="Arial" w:cs="Arial"/>
                <w:lang w:eastAsia="es-ES"/>
              </w:rPr>
            </w:pPr>
            <w:r w:rsidRPr="00657BA6">
              <w:rPr>
                <w:rFonts w:ascii="Arial" w:eastAsia="Times New Roman" w:hAnsi="Arial" w:cs="Arial"/>
                <w:lang w:val="es-ES_tradnl" w:eastAsia="es-ES"/>
              </w:rPr>
              <w:lastRenderedPageBreak/>
              <w:t>Sala subestación eléctrica</w:t>
            </w:r>
          </w:p>
        </w:tc>
        <w:tc>
          <w:tcPr>
            <w:tcW w:w="4030" w:type="pct"/>
            <w:hideMark/>
          </w:tcPr>
          <w:p w14:paraId="63B96980" w14:textId="77777777" w:rsidR="004A3027" w:rsidRPr="00657BA6" w:rsidRDefault="004A3027" w:rsidP="0014780A">
            <w:pPr>
              <w:spacing w:after="0"/>
              <w:rPr>
                <w:rFonts w:ascii="Arial" w:eastAsia="Times New Roman" w:hAnsi="Arial" w:cs="Arial"/>
                <w:lang w:eastAsia="es-ES"/>
              </w:rPr>
            </w:pPr>
            <w:r w:rsidRPr="00657BA6">
              <w:rPr>
                <w:rFonts w:ascii="Arial" w:eastAsia="Times New Roman" w:hAnsi="Arial" w:cs="Arial"/>
                <w:lang w:val="es-ES_tradnl" w:eastAsia="es-ES"/>
              </w:rPr>
              <w:t>La sala de subestación eléctrica se dimensiona en función de la potencia de los equipos del PH y los CS</w:t>
            </w:r>
          </w:p>
        </w:tc>
      </w:tr>
      <w:tr w:rsidR="004A3027" w:rsidRPr="00657BA6" w14:paraId="150FEEB1" w14:textId="77777777" w:rsidTr="006C794D">
        <w:trPr>
          <w:cnfStyle w:val="000000100000" w:firstRow="0" w:lastRow="0" w:firstColumn="0" w:lastColumn="0" w:oddVBand="0" w:evenVBand="0" w:oddHBand="1" w:evenHBand="0" w:firstRowFirstColumn="0" w:firstRowLastColumn="0" w:lastRowFirstColumn="0" w:lastRowLastColumn="0"/>
          <w:trHeight w:val="444"/>
        </w:trPr>
        <w:tc>
          <w:tcPr>
            <w:tcW w:w="970" w:type="pct"/>
            <w:hideMark/>
          </w:tcPr>
          <w:p w14:paraId="4107661C" w14:textId="77777777" w:rsidR="004A3027" w:rsidRPr="00657BA6" w:rsidRDefault="004A3027" w:rsidP="0014780A">
            <w:pPr>
              <w:spacing w:after="0"/>
              <w:rPr>
                <w:rFonts w:ascii="Arial" w:eastAsia="Times New Roman" w:hAnsi="Arial" w:cs="Arial"/>
                <w:lang w:eastAsia="es-ES"/>
              </w:rPr>
            </w:pPr>
            <w:r w:rsidRPr="00657BA6">
              <w:rPr>
                <w:rFonts w:ascii="Arial" w:eastAsia="Times New Roman" w:hAnsi="Arial" w:cs="Arial"/>
                <w:lang w:val="es-ES_tradnl" w:eastAsia="es-ES"/>
              </w:rPr>
              <w:t>Sala planta de emergencia</w:t>
            </w:r>
          </w:p>
        </w:tc>
        <w:tc>
          <w:tcPr>
            <w:tcW w:w="4030" w:type="pct"/>
            <w:hideMark/>
          </w:tcPr>
          <w:p w14:paraId="53E50C26" w14:textId="77777777" w:rsidR="004A3027" w:rsidRPr="00657BA6" w:rsidRDefault="004A3027" w:rsidP="0014780A">
            <w:pPr>
              <w:spacing w:after="0"/>
              <w:rPr>
                <w:rFonts w:ascii="Arial" w:eastAsia="Times New Roman" w:hAnsi="Arial" w:cs="Arial"/>
                <w:lang w:eastAsia="es-ES"/>
              </w:rPr>
            </w:pPr>
            <w:r w:rsidRPr="00657BA6">
              <w:rPr>
                <w:rFonts w:ascii="Arial" w:eastAsia="Times New Roman" w:hAnsi="Arial" w:cs="Arial"/>
                <w:lang w:val="es-ES_tradnl" w:eastAsia="es-ES"/>
              </w:rPr>
              <w:t>La sala de planta de emergencia se dimensiona en función de la potencia de los equipos del PH y los CS</w:t>
            </w:r>
          </w:p>
        </w:tc>
      </w:tr>
      <w:tr w:rsidR="004A3027" w:rsidRPr="00657BA6" w14:paraId="0B7A1CE3" w14:textId="77777777" w:rsidTr="006C794D">
        <w:trPr>
          <w:trHeight w:val="266"/>
        </w:trPr>
        <w:tc>
          <w:tcPr>
            <w:tcW w:w="970" w:type="pct"/>
            <w:hideMark/>
          </w:tcPr>
          <w:p w14:paraId="1F44AA75" w14:textId="77777777" w:rsidR="004A3027" w:rsidRPr="00657BA6" w:rsidRDefault="004A3027" w:rsidP="0014780A">
            <w:pPr>
              <w:spacing w:after="0"/>
              <w:rPr>
                <w:rFonts w:ascii="Arial" w:eastAsia="Times New Roman" w:hAnsi="Arial" w:cs="Arial"/>
                <w:lang w:eastAsia="es-ES"/>
              </w:rPr>
            </w:pPr>
            <w:r w:rsidRPr="00657BA6">
              <w:rPr>
                <w:rFonts w:ascii="Arial" w:eastAsia="Times New Roman" w:hAnsi="Arial" w:cs="Arial"/>
                <w:lang w:val="es-ES_tradnl" w:eastAsia="es-ES"/>
              </w:rPr>
              <w:t>Sala baterías</w:t>
            </w:r>
          </w:p>
        </w:tc>
        <w:tc>
          <w:tcPr>
            <w:tcW w:w="4030" w:type="pct"/>
            <w:hideMark/>
          </w:tcPr>
          <w:p w14:paraId="284C2026" w14:textId="77777777" w:rsidR="004A3027" w:rsidRPr="00657BA6" w:rsidRDefault="004A3027" w:rsidP="0014780A">
            <w:pPr>
              <w:spacing w:after="0"/>
              <w:rPr>
                <w:rFonts w:ascii="Arial" w:eastAsia="Times New Roman" w:hAnsi="Arial" w:cs="Arial"/>
                <w:lang w:eastAsia="es-ES"/>
              </w:rPr>
            </w:pPr>
            <w:r w:rsidRPr="00657BA6">
              <w:rPr>
                <w:rFonts w:ascii="Arial" w:eastAsia="Times New Roman" w:hAnsi="Arial" w:cs="Arial"/>
                <w:lang w:val="es-ES_tradnl" w:eastAsia="es-ES"/>
              </w:rPr>
              <w:t>La sala de baterías se dimensiona en función de la potencia de los equipos del PH y los CS</w:t>
            </w:r>
          </w:p>
        </w:tc>
      </w:tr>
      <w:tr w:rsidR="004A3027" w:rsidRPr="00657BA6" w14:paraId="2CEE45E1" w14:textId="77777777" w:rsidTr="006C794D">
        <w:trPr>
          <w:cnfStyle w:val="000000100000" w:firstRow="0" w:lastRow="0" w:firstColumn="0" w:lastColumn="0" w:oddVBand="0" w:evenVBand="0" w:oddHBand="1" w:evenHBand="0" w:firstRowFirstColumn="0" w:firstRowLastColumn="0" w:lastRowFirstColumn="0" w:lastRowLastColumn="0"/>
          <w:trHeight w:val="444"/>
        </w:trPr>
        <w:tc>
          <w:tcPr>
            <w:tcW w:w="970" w:type="pct"/>
            <w:hideMark/>
          </w:tcPr>
          <w:p w14:paraId="66B2E417" w14:textId="77777777" w:rsidR="004A3027" w:rsidRPr="00657BA6" w:rsidRDefault="004A3027" w:rsidP="0014780A">
            <w:pPr>
              <w:spacing w:after="0"/>
              <w:rPr>
                <w:rFonts w:ascii="Arial" w:eastAsia="Times New Roman" w:hAnsi="Arial" w:cs="Arial"/>
                <w:lang w:eastAsia="es-ES"/>
              </w:rPr>
            </w:pPr>
            <w:r w:rsidRPr="00657BA6">
              <w:rPr>
                <w:rFonts w:ascii="Arial" w:eastAsia="Times New Roman" w:hAnsi="Arial" w:cs="Arial"/>
                <w:lang w:val="es-ES_tradnl" w:eastAsia="es-ES"/>
              </w:rPr>
              <w:t>Sala aire acondicionado</w:t>
            </w:r>
          </w:p>
        </w:tc>
        <w:tc>
          <w:tcPr>
            <w:tcW w:w="4030" w:type="pct"/>
            <w:hideMark/>
          </w:tcPr>
          <w:p w14:paraId="77E525F6" w14:textId="77777777" w:rsidR="004A3027" w:rsidRPr="00657BA6" w:rsidRDefault="004A3027" w:rsidP="0014780A">
            <w:pPr>
              <w:spacing w:after="0"/>
              <w:rPr>
                <w:rFonts w:ascii="Arial" w:eastAsia="Times New Roman" w:hAnsi="Arial" w:cs="Arial"/>
                <w:lang w:eastAsia="es-ES"/>
              </w:rPr>
            </w:pPr>
            <w:r w:rsidRPr="00657BA6">
              <w:rPr>
                <w:rFonts w:ascii="Arial" w:eastAsia="Times New Roman" w:hAnsi="Arial" w:cs="Arial"/>
                <w:lang w:val="es-ES_tradnl" w:eastAsia="es-ES"/>
              </w:rPr>
              <w:t>La sala de aire acondicionado se dimensiona en función del tamaño de la central</w:t>
            </w:r>
          </w:p>
        </w:tc>
      </w:tr>
      <w:tr w:rsidR="004A3027" w:rsidRPr="00657BA6" w14:paraId="6E3EE6D2" w14:textId="77777777" w:rsidTr="006C794D">
        <w:trPr>
          <w:trHeight w:val="444"/>
        </w:trPr>
        <w:tc>
          <w:tcPr>
            <w:tcW w:w="970" w:type="pct"/>
            <w:hideMark/>
          </w:tcPr>
          <w:p w14:paraId="4BFB97CA" w14:textId="77777777" w:rsidR="004A3027" w:rsidRPr="00657BA6" w:rsidRDefault="004A3027" w:rsidP="0014780A">
            <w:pPr>
              <w:spacing w:after="0"/>
              <w:rPr>
                <w:rFonts w:ascii="Arial" w:eastAsia="Times New Roman" w:hAnsi="Arial" w:cs="Arial"/>
                <w:lang w:eastAsia="es-ES"/>
              </w:rPr>
            </w:pPr>
            <w:r w:rsidRPr="00657BA6">
              <w:rPr>
                <w:rFonts w:ascii="Arial" w:eastAsia="Times New Roman" w:hAnsi="Arial" w:cs="Arial"/>
                <w:lang w:val="es-ES_tradnl" w:eastAsia="es-ES"/>
              </w:rPr>
              <w:t xml:space="preserve">Espacio de </w:t>
            </w:r>
            <w:r w:rsidRPr="00657BA6">
              <w:rPr>
                <w:rFonts w:ascii="Arial" w:eastAsia="Times New Roman" w:hAnsi="Arial" w:cs="Arial"/>
                <w:i/>
                <w:iCs/>
                <w:lang w:val="es-ES_tradnl" w:eastAsia="es-ES"/>
              </w:rPr>
              <w:t>overheads</w:t>
            </w:r>
          </w:p>
        </w:tc>
        <w:tc>
          <w:tcPr>
            <w:tcW w:w="4030" w:type="pct"/>
            <w:hideMark/>
          </w:tcPr>
          <w:p w14:paraId="0DFAEC10" w14:textId="77777777" w:rsidR="004A3027" w:rsidRPr="00657BA6" w:rsidRDefault="004A3027" w:rsidP="0014780A">
            <w:pPr>
              <w:spacing w:after="0"/>
              <w:rPr>
                <w:rFonts w:ascii="Arial" w:eastAsia="Times New Roman" w:hAnsi="Arial" w:cs="Arial"/>
                <w:lang w:eastAsia="es-ES"/>
              </w:rPr>
            </w:pPr>
            <w:r w:rsidRPr="00657BA6">
              <w:rPr>
                <w:rFonts w:ascii="Arial" w:eastAsia="Times New Roman" w:hAnsi="Arial" w:cs="Arial"/>
                <w:lang w:val="es-ES_tradnl" w:eastAsia="es-ES"/>
              </w:rPr>
              <w:t xml:space="preserve">El espacio para </w:t>
            </w:r>
            <w:r w:rsidRPr="00657BA6">
              <w:rPr>
                <w:rFonts w:ascii="Arial" w:eastAsia="Times New Roman" w:hAnsi="Arial" w:cs="Arial"/>
                <w:i/>
                <w:iCs/>
                <w:lang w:val="es-ES_tradnl" w:eastAsia="es-ES"/>
              </w:rPr>
              <w:t>overheads</w:t>
            </w:r>
            <w:r w:rsidRPr="00657BA6">
              <w:rPr>
                <w:rFonts w:ascii="Arial" w:eastAsia="Times New Roman" w:hAnsi="Arial" w:cs="Arial"/>
                <w:lang w:val="es-ES_tradnl" w:eastAsia="es-ES"/>
              </w:rPr>
              <w:t xml:space="preserve"> (pasillos, escaleras, baños, etc.) está dimensionado con un </w:t>
            </w:r>
            <w:r w:rsidRPr="00657BA6">
              <w:rPr>
                <w:rFonts w:ascii="Arial" w:eastAsia="Times New Roman" w:hAnsi="Arial" w:cs="Arial"/>
                <w:i/>
                <w:iCs/>
                <w:lang w:val="es-ES_tradnl" w:eastAsia="es-ES"/>
              </w:rPr>
              <w:t>mark-up</w:t>
            </w:r>
            <w:r w:rsidRPr="00657BA6">
              <w:rPr>
                <w:rFonts w:ascii="Arial" w:eastAsia="Times New Roman" w:hAnsi="Arial" w:cs="Arial"/>
                <w:lang w:val="es-ES_tradnl" w:eastAsia="es-ES"/>
              </w:rPr>
              <w:t xml:space="preserve"> del área de las salas ‘útiles’ (es decir, suma del área ocupada por las salas)</w:t>
            </w:r>
          </w:p>
        </w:tc>
      </w:tr>
    </w:tbl>
    <w:p w14:paraId="7E29EB4A" w14:textId="77777777" w:rsidR="004A3027" w:rsidRPr="00657BA6" w:rsidRDefault="004A3027" w:rsidP="0014780A">
      <w:pPr>
        <w:spacing w:after="0"/>
        <w:jc w:val="center"/>
        <w:rPr>
          <w:rFonts w:ascii="Arial" w:eastAsia="Times New Roman" w:hAnsi="Arial" w:cs="Arial"/>
          <w:lang w:eastAsia="es-ES"/>
        </w:rPr>
      </w:pPr>
      <w:r w:rsidRPr="00657BA6">
        <w:rPr>
          <w:rFonts w:ascii="Arial" w:eastAsia="Times New Roman" w:hAnsi="Arial" w:cs="Arial"/>
          <w:lang w:eastAsia="es-ES"/>
        </w:rPr>
        <w:t>Tabla 6. Dimensionamiento de las salas.</w:t>
      </w:r>
    </w:p>
    <w:p w14:paraId="29347064" w14:textId="77777777" w:rsidR="004A3027" w:rsidRPr="00657BA6" w:rsidRDefault="004A3027" w:rsidP="0014780A">
      <w:pPr>
        <w:spacing w:after="0"/>
        <w:jc w:val="both"/>
        <w:rPr>
          <w:rFonts w:ascii="Arial" w:eastAsia="Times New Roman" w:hAnsi="Arial" w:cs="Arial"/>
          <w:lang w:eastAsia="es-ES"/>
        </w:rPr>
      </w:pPr>
    </w:p>
    <w:p w14:paraId="5BC88591"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Algunas salas de las centrales del PH (sala MDF/ODF/BSC PH, sala de control, sala de switching, sala de equipos de transmisión y sala de aire acondicionado) se han dimensionado en función de un tamaño de la central promedio; otras se han dimensionado en función de la potencia requerida por los equipos instalados en dichas salas.</w:t>
      </w:r>
    </w:p>
    <w:p w14:paraId="36B8F254" w14:textId="77777777" w:rsidR="004A3027" w:rsidRPr="00657BA6" w:rsidRDefault="004A3027" w:rsidP="0014780A">
      <w:pPr>
        <w:spacing w:after="0"/>
        <w:jc w:val="both"/>
        <w:rPr>
          <w:rFonts w:ascii="Arial" w:eastAsia="Times New Roman" w:hAnsi="Arial" w:cs="Arial"/>
          <w:lang w:eastAsia="es-ES"/>
        </w:rPr>
      </w:pPr>
    </w:p>
    <w:p w14:paraId="70355482"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 xml:space="preserve">Los sistemas de respaldo se dimensionan </w:t>
      </w:r>
      <w:r w:rsidRPr="00657BA6">
        <w:rPr>
          <w:rFonts w:ascii="Arial" w:hAnsi="Arial" w:cs="Arial"/>
        </w:rPr>
        <w:t>bottom-up</w:t>
      </w:r>
      <w:r w:rsidRPr="00657BA6">
        <w:rPr>
          <w:rFonts w:ascii="Arial" w:eastAsia="Times New Roman" w:hAnsi="Arial" w:cs="Arial"/>
          <w:lang w:eastAsia="es-ES"/>
        </w:rPr>
        <w:t xml:space="preserve"> a partir del consumo de energía y del espacio ocupado, respectivamente.</w:t>
      </w:r>
    </w:p>
    <w:p w14:paraId="48F7F0D1" w14:textId="77777777" w:rsidR="004A3027" w:rsidRPr="00657BA6" w:rsidRDefault="004A3027" w:rsidP="0014780A">
      <w:pPr>
        <w:spacing w:after="0"/>
        <w:jc w:val="both"/>
        <w:rPr>
          <w:rFonts w:ascii="Arial" w:eastAsia="Times New Roman" w:hAnsi="Arial" w:cs="Arial"/>
          <w:lang w:eastAsia="es-ES"/>
        </w:rPr>
      </w:pPr>
    </w:p>
    <w:p w14:paraId="6ADE69D9" w14:textId="77777777" w:rsidR="004A3027" w:rsidRPr="00657BA6" w:rsidRDefault="004A3027" w:rsidP="0014780A">
      <w:pPr>
        <w:spacing w:after="0"/>
        <w:jc w:val="both"/>
        <w:rPr>
          <w:rFonts w:ascii="Arial" w:hAnsi="Arial" w:cs="Arial"/>
        </w:rPr>
      </w:pPr>
      <w:r w:rsidRPr="00657BA6">
        <w:rPr>
          <w:rFonts w:ascii="Arial" w:eastAsia="Times New Roman" w:hAnsi="Arial" w:cs="Arial"/>
          <w:lang w:eastAsia="es-ES"/>
        </w:rPr>
        <w:t>Para el dimensionamiento de las salas de MDF/ODF/BSC, se consideran módulos con dimensiones de 0.18 metros de ancho por 1.30 metros de profundidad. Con base en la capacidad de los módulos MDF y los tamaños definidos para las centrales del PH, se requieren 2 módulos MDF para una central promedio. En el caso móvil se considera que las dimensiones calculadas para la sala son razonables y utilizadas para albergar equipos relacionados con la red de acceso.</w:t>
      </w:r>
    </w:p>
    <w:p w14:paraId="718FA78F" w14:textId="77777777" w:rsidR="004A3027" w:rsidRPr="00657BA6" w:rsidRDefault="004A3027" w:rsidP="0014780A">
      <w:pPr>
        <w:spacing w:after="0"/>
        <w:jc w:val="both"/>
        <w:rPr>
          <w:rFonts w:ascii="Arial" w:eastAsia="Times New Roman" w:hAnsi="Arial" w:cs="Arial"/>
          <w:lang w:eastAsia="es-ES"/>
        </w:rPr>
      </w:pPr>
    </w:p>
    <w:p w14:paraId="2F1C115C"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Se asumen 1.5 metros</w:t>
      </w:r>
      <w:r w:rsidRPr="00657BA6">
        <w:rPr>
          <w:rFonts w:ascii="Arial" w:eastAsia="Times New Roman" w:hAnsi="Arial" w:cs="Arial"/>
          <w:vertAlign w:val="superscript"/>
          <w:lang w:eastAsia="es-ES"/>
        </w:rPr>
        <w:t xml:space="preserve"> </w:t>
      </w:r>
      <w:r w:rsidRPr="00657BA6">
        <w:rPr>
          <w:rFonts w:ascii="Arial" w:eastAsia="Times New Roman" w:hAnsi="Arial" w:cs="Arial"/>
          <w:lang w:eastAsia="es-ES"/>
        </w:rPr>
        <w:t>para maniobra a cada lado, tanto en ancho como en profundidad, en el cual se incluye el espacio necesario para el aire acondicionado y las acometidas.</w:t>
      </w:r>
    </w:p>
    <w:p w14:paraId="62D2CC5D" w14:textId="77777777" w:rsidR="004A3027" w:rsidRPr="00657BA6" w:rsidRDefault="004A3027" w:rsidP="0014780A">
      <w:pPr>
        <w:spacing w:after="0"/>
        <w:jc w:val="both"/>
        <w:rPr>
          <w:rFonts w:ascii="Arial" w:eastAsia="Times New Roman" w:hAnsi="Arial" w:cs="Arial"/>
          <w:lang w:eastAsia="es-ES"/>
        </w:rPr>
      </w:pPr>
    </w:p>
    <w:p w14:paraId="4BF6F2BC"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 xml:space="preserve">Para dimensionar la sala de switching, se consideraron gabinetes de 0.6 metros de ancho por 0.8 metros de profundidad, con un espacio adicional de 1.5 metros para maniobra a cada lado, tanto en ancho como en profundidad. Derivado de lo anterior se proyectaron el número de gabinetes necesarios 4 gabinetes para central media, 8 gabinetes para central grande y 12 gabinetes para central muy grande. Se utilizaron las mismas consideraciones en cuanto a dimensiones y cantidad de gabinetes necesarios para el dimensionamiento de la sala de transmisión. </w:t>
      </w:r>
    </w:p>
    <w:p w14:paraId="5BCB062A" w14:textId="77777777" w:rsidR="004A3027" w:rsidRPr="00657BA6" w:rsidRDefault="004A3027" w:rsidP="0014780A">
      <w:pPr>
        <w:spacing w:after="0"/>
        <w:jc w:val="both"/>
        <w:rPr>
          <w:rFonts w:ascii="Arial" w:eastAsia="Times New Roman" w:hAnsi="Arial" w:cs="Arial"/>
          <w:lang w:eastAsia="es-ES"/>
        </w:rPr>
      </w:pPr>
    </w:p>
    <w:tbl>
      <w:tblPr>
        <w:tblStyle w:val="Tabladecuadrcula4"/>
        <w:tblW w:w="0" w:type="auto"/>
        <w:tblLook w:val="0420" w:firstRow="1" w:lastRow="0" w:firstColumn="0" w:lastColumn="0" w:noHBand="0" w:noVBand="1"/>
      </w:tblPr>
      <w:tblGrid>
        <w:gridCol w:w="1719"/>
        <w:gridCol w:w="3643"/>
        <w:gridCol w:w="1133"/>
        <w:gridCol w:w="840"/>
        <w:gridCol w:w="987"/>
        <w:gridCol w:w="1021"/>
      </w:tblGrid>
      <w:tr w:rsidR="004A3027" w:rsidRPr="00657BA6" w14:paraId="623144AB" w14:textId="77777777" w:rsidTr="006C794D">
        <w:trPr>
          <w:cnfStyle w:val="100000000000" w:firstRow="1" w:lastRow="0" w:firstColumn="0" w:lastColumn="0" w:oddVBand="0" w:evenVBand="0" w:oddHBand="0" w:evenHBand="0" w:firstRowFirstColumn="0" w:firstRowLastColumn="0" w:lastRowFirstColumn="0" w:lastRowLastColumn="0"/>
          <w:trHeight w:val="259"/>
        </w:trPr>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16B85A5E" w14:textId="77777777" w:rsidR="004A3027" w:rsidRPr="00657BA6" w:rsidRDefault="004A3027" w:rsidP="0014780A">
            <w:pPr>
              <w:spacing w:after="0"/>
              <w:jc w:val="center"/>
              <w:rPr>
                <w:rFonts w:ascii="Arial" w:eastAsia="Times New Roman" w:hAnsi="Arial" w:cs="Arial"/>
                <w:color w:val="auto"/>
                <w:lang w:eastAsia="es-ES"/>
              </w:rPr>
            </w:pPr>
            <w:r w:rsidRPr="00657BA6">
              <w:rPr>
                <w:rFonts w:ascii="Arial" w:eastAsia="Times New Roman" w:hAnsi="Arial" w:cs="Arial"/>
                <w:color w:val="auto"/>
                <w:lang w:eastAsia="es-ES"/>
              </w:rPr>
              <w:t>Sala</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396F8B36" w14:textId="77777777" w:rsidR="004A3027" w:rsidRPr="00657BA6" w:rsidRDefault="004A3027" w:rsidP="0014780A">
            <w:pPr>
              <w:spacing w:after="0"/>
              <w:jc w:val="center"/>
              <w:rPr>
                <w:rFonts w:ascii="Arial" w:eastAsia="Times New Roman" w:hAnsi="Arial" w:cs="Arial"/>
                <w:color w:val="auto"/>
                <w:lang w:eastAsia="es-ES"/>
              </w:rPr>
            </w:pPr>
            <w:r w:rsidRPr="00657BA6">
              <w:rPr>
                <w:rFonts w:ascii="Arial" w:eastAsia="Times New Roman" w:hAnsi="Arial" w:cs="Arial"/>
                <w:color w:val="auto"/>
                <w:lang w:val="es-ES_tradnl" w:eastAsia="es-ES"/>
              </w:rPr>
              <w:t>Supuestos</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073C5FE7" w14:textId="77777777" w:rsidR="004A3027" w:rsidRPr="00657BA6" w:rsidRDefault="004A3027" w:rsidP="0014780A">
            <w:pPr>
              <w:spacing w:after="0"/>
              <w:jc w:val="center"/>
              <w:rPr>
                <w:rFonts w:ascii="Arial" w:eastAsia="Times New Roman" w:hAnsi="Arial" w:cs="Arial"/>
                <w:color w:val="auto"/>
                <w:lang w:eastAsia="es-ES"/>
              </w:rPr>
            </w:pPr>
            <w:r w:rsidRPr="00657BA6">
              <w:rPr>
                <w:rFonts w:ascii="Arial" w:eastAsia="Times New Roman" w:hAnsi="Arial" w:cs="Arial"/>
                <w:color w:val="auto"/>
                <w:lang w:val="es-ES_tradnl" w:eastAsia="es-ES"/>
              </w:rPr>
              <w:t>Pequeña</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3237C6C2" w14:textId="77777777" w:rsidR="004A3027" w:rsidRPr="00657BA6" w:rsidRDefault="004A3027" w:rsidP="0014780A">
            <w:pPr>
              <w:spacing w:after="0"/>
              <w:jc w:val="center"/>
              <w:rPr>
                <w:rFonts w:ascii="Arial" w:eastAsia="Times New Roman" w:hAnsi="Arial" w:cs="Arial"/>
                <w:color w:val="auto"/>
                <w:lang w:eastAsia="es-ES"/>
              </w:rPr>
            </w:pPr>
            <w:r w:rsidRPr="00657BA6">
              <w:rPr>
                <w:rFonts w:ascii="Arial" w:eastAsia="Times New Roman" w:hAnsi="Arial" w:cs="Arial"/>
                <w:color w:val="auto"/>
                <w:lang w:val="es-ES_tradnl" w:eastAsia="es-ES"/>
              </w:rPr>
              <w:t>Media</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20D0CFE7" w14:textId="77777777" w:rsidR="004A3027" w:rsidRPr="00657BA6" w:rsidRDefault="004A3027" w:rsidP="0014780A">
            <w:pPr>
              <w:spacing w:after="0"/>
              <w:jc w:val="center"/>
              <w:rPr>
                <w:rFonts w:ascii="Arial" w:eastAsia="Times New Roman" w:hAnsi="Arial" w:cs="Arial"/>
                <w:color w:val="auto"/>
                <w:lang w:eastAsia="es-ES"/>
              </w:rPr>
            </w:pPr>
            <w:r w:rsidRPr="00657BA6">
              <w:rPr>
                <w:rFonts w:ascii="Arial" w:eastAsia="Times New Roman" w:hAnsi="Arial" w:cs="Arial"/>
                <w:color w:val="auto"/>
                <w:lang w:val="es-ES_tradnl" w:eastAsia="es-ES"/>
              </w:rPr>
              <w:t>Grande</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05C49914" w14:textId="77777777" w:rsidR="004A3027" w:rsidRPr="00657BA6" w:rsidRDefault="004A3027" w:rsidP="0014780A">
            <w:pPr>
              <w:spacing w:after="0"/>
              <w:jc w:val="center"/>
              <w:rPr>
                <w:rFonts w:ascii="Arial" w:eastAsia="Times New Roman" w:hAnsi="Arial" w:cs="Arial"/>
                <w:color w:val="auto"/>
                <w:lang w:eastAsia="es-ES"/>
              </w:rPr>
            </w:pPr>
            <w:r w:rsidRPr="00657BA6">
              <w:rPr>
                <w:rFonts w:ascii="Arial" w:eastAsia="Times New Roman" w:hAnsi="Arial" w:cs="Arial"/>
                <w:color w:val="auto"/>
                <w:lang w:val="es-ES_tradnl" w:eastAsia="es-ES"/>
              </w:rPr>
              <w:t>Muy grande</w:t>
            </w:r>
          </w:p>
        </w:tc>
      </w:tr>
      <w:tr w:rsidR="004A3027" w:rsidRPr="00657BA6" w14:paraId="649C0025" w14:textId="77777777" w:rsidTr="006C794D">
        <w:trPr>
          <w:cnfStyle w:val="000000100000" w:firstRow="0" w:lastRow="0" w:firstColumn="0" w:lastColumn="0" w:oddVBand="0" w:evenVBand="0" w:oddHBand="1" w:evenHBand="0" w:firstRowFirstColumn="0" w:firstRowLastColumn="0" w:lastRowFirstColumn="0" w:lastRowLastColumn="0"/>
          <w:trHeight w:val="197"/>
        </w:trPr>
        <w:tc>
          <w:tcPr>
            <w:tcW w:w="0" w:type="auto"/>
            <w:tcBorders>
              <w:top w:val="single" w:sz="4" w:space="0" w:color="000000"/>
            </w:tcBorders>
          </w:tcPr>
          <w:p w14:paraId="17243B00"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lastRenderedPageBreak/>
              <w:t>Sala MDF/ODF del PH</w:t>
            </w:r>
          </w:p>
        </w:tc>
        <w:tc>
          <w:tcPr>
            <w:tcW w:w="0" w:type="auto"/>
            <w:tcBorders>
              <w:top w:val="single" w:sz="4" w:space="0" w:color="000000"/>
            </w:tcBorders>
          </w:tcPr>
          <w:p w14:paraId="63F83189" w14:textId="77777777" w:rsidR="004A3027" w:rsidRPr="00657BA6" w:rsidRDefault="004A3027" w:rsidP="0014780A">
            <w:pPr>
              <w:spacing w:after="0"/>
              <w:rPr>
                <w:rFonts w:ascii="Arial" w:eastAsia="Times New Roman" w:hAnsi="Arial" w:cs="Arial"/>
                <w:lang w:eastAsia="es-ES"/>
              </w:rPr>
            </w:pPr>
            <w:r w:rsidRPr="00657BA6">
              <w:rPr>
                <w:rFonts w:ascii="Arial" w:eastAsia="Times New Roman" w:hAnsi="Arial" w:cs="Arial"/>
                <w:lang w:val="es-ES_tradnl" w:eastAsia="es-ES"/>
              </w:rPr>
              <w:t>Dimensionamiento ascendente (</w:t>
            </w:r>
            <w:r w:rsidRPr="00657BA6">
              <w:rPr>
                <w:rFonts w:ascii="Arial" w:eastAsia="Times New Roman" w:hAnsi="Arial" w:cs="Arial"/>
                <w:i/>
                <w:iCs/>
                <w:lang w:val="es-ES_tradnl" w:eastAsia="es-ES"/>
              </w:rPr>
              <w:t>bottom-up</w:t>
            </w:r>
            <w:r w:rsidRPr="00657BA6">
              <w:rPr>
                <w:rFonts w:ascii="Arial" w:eastAsia="Times New Roman" w:hAnsi="Arial" w:cs="Arial"/>
                <w:lang w:val="es-ES_tradnl" w:eastAsia="es-ES"/>
              </w:rPr>
              <w:t>) en función del número de pares terminados y de la capacidad de un módulo MDF estándar</w:t>
            </w:r>
          </w:p>
        </w:tc>
        <w:tc>
          <w:tcPr>
            <w:tcW w:w="0" w:type="auto"/>
            <w:tcBorders>
              <w:top w:val="single" w:sz="4" w:space="0" w:color="000000"/>
            </w:tcBorders>
          </w:tcPr>
          <w:p w14:paraId="439139FF"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14m</w:t>
            </w:r>
            <w:r w:rsidRPr="00657BA6">
              <w:rPr>
                <w:rFonts w:ascii="Arial" w:eastAsia="Times New Roman" w:hAnsi="Arial" w:cs="Arial"/>
                <w:vertAlign w:val="superscript"/>
                <w:lang w:val="es-ES_tradnl" w:eastAsia="es-ES"/>
              </w:rPr>
              <w:t>2</w:t>
            </w:r>
          </w:p>
        </w:tc>
        <w:tc>
          <w:tcPr>
            <w:tcW w:w="0" w:type="auto"/>
            <w:tcBorders>
              <w:top w:val="single" w:sz="4" w:space="0" w:color="000000"/>
            </w:tcBorders>
          </w:tcPr>
          <w:p w14:paraId="356AD4B0"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14m</w:t>
            </w:r>
            <w:r w:rsidRPr="00657BA6">
              <w:rPr>
                <w:rFonts w:ascii="Arial" w:eastAsia="Times New Roman" w:hAnsi="Arial" w:cs="Arial"/>
                <w:vertAlign w:val="superscript"/>
                <w:lang w:val="es-ES_tradnl" w:eastAsia="es-ES"/>
              </w:rPr>
              <w:t>2</w:t>
            </w:r>
          </w:p>
        </w:tc>
        <w:tc>
          <w:tcPr>
            <w:tcW w:w="0" w:type="auto"/>
            <w:tcBorders>
              <w:top w:val="single" w:sz="4" w:space="0" w:color="000000"/>
            </w:tcBorders>
          </w:tcPr>
          <w:p w14:paraId="5E6E30BD"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17m</w:t>
            </w:r>
            <w:r w:rsidRPr="00657BA6">
              <w:rPr>
                <w:rFonts w:ascii="Arial" w:eastAsia="Times New Roman" w:hAnsi="Arial" w:cs="Arial"/>
                <w:vertAlign w:val="superscript"/>
                <w:lang w:val="es-ES_tradnl" w:eastAsia="es-ES"/>
              </w:rPr>
              <w:t>2</w:t>
            </w:r>
          </w:p>
        </w:tc>
        <w:tc>
          <w:tcPr>
            <w:tcW w:w="0" w:type="auto"/>
            <w:tcBorders>
              <w:top w:val="single" w:sz="4" w:space="0" w:color="000000"/>
            </w:tcBorders>
          </w:tcPr>
          <w:p w14:paraId="4450A378"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23m</w:t>
            </w:r>
            <w:r w:rsidRPr="00657BA6">
              <w:rPr>
                <w:rFonts w:ascii="Arial" w:eastAsia="Times New Roman" w:hAnsi="Arial" w:cs="Arial"/>
                <w:vertAlign w:val="superscript"/>
                <w:lang w:val="es-ES_tradnl" w:eastAsia="es-ES"/>
              </w:rPr>
              <w:t>2</w:t>
            </w:r>
          </w:p>
        </w:tc>
      </w:tr>
      <w:tr w:rsidR="004A3027" w:rsidRPr="00657BA6" w14:paraId="2B0E6BDE" w14:textId="77777777" w:rsidTr="006C794D">
        <w:trPr>
          <w:trHeight w:val="197"/>
        </w:trPr>
        <w:tc>
          <w:tcPr>
            <w:tcW w:w="0" w:type="auto"/>
            <w:hideMark/>
          </w:tcPr>
          <w:p w14:paraId="4FBE6534"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Sala de control</w:t>
            </w:r>
          </w:p>
        </w:tc>
        <w:tc>
          <w:tcPr>
            <w:tcW w:w="0" w:type="auto"/>
            <w:hideMark/>
          </w:tcPr>
          <w:p w14:paraId="563D6CF5"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Estimación</w:t>
            </w:r>
          </w:p>
        </w:tc>
        <w:tc>
          <w:tcPr>
            <w:tcW w:w="0" w:type="auto"/>
            <w:hideMark/>
          </w:tcPr>
          <w:p w14:paraId="0D89D085"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10m</w:t>
            </w:r>
            <w:r w:rsidRPr="00657BA6">
              <w:rPr>
                <w:rFonts w:ascii="Arial" w:eastAsia="Times New Roman" w:hAnsi="Arial" w:cs="Arial"/>
                <w:vertAlign w:val="superscript"/>
                <w:lang w:val="es-ES_tradnl" w:eastAsia="es-ES"/>
              </w:rPr>
              <w:t>2</w:t>
            </w:r>
          </w:p>
        </w:tc>
        <w:tc>
          <w:tcPr>
            <w:tcW w:w="0" w:type="auto"/>
            <w:hideMark/>
          </w:tcPr>
          <w:p w14:paraId="7B1125CD"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10m</w:t>
            </w:r>
            <w:r w:rsidRPr="00657BA6">
              <w:rPr>
                <w:rFonts w:ascii="Arial" w:eastAsia="Times New Roman" w:hAnsi="Arial" w:cs="Arial"/>
                <w:vertAlign w:val="superscript"/>
                <w:lang w:val="es-ES_tradnl" w:eastAsia="es-ES"/>
              </w:rPr>
              <w:t>2</w:t>
            </w:r>
          </w:p>
        </w:tc>
        <w:tc>
          <w:tcPr>
            <w:tcW w:w="0" w:type="auto"/>
            <w:hideMark/>
          </w:tcPr>
          <w:p w14:paraId="5BE41F1C"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15m</w:t>
            </w:r>
            <w:r w:rsidRPr="00657BA6">
              <w:rPr>
                <w:rFonts w:ascii="Arial" w:eastAsia="Times New Roman" w:hAnsi="Arial" w:cs="Arial"/>
                <w:vertAlign w:val="superscript"/>
                <w:lang w:val="es-ES_tradnl" w:eastAsia="es-ES"/>
              </w:rPr>
              <w:t>2</w:t>
            </w:r>
          </w:p>
        </w:tc>
        <w:tc>
          <w:tcPr>
            <w:tcW w:w="0" w:type="auto"/>
            <w:hideMark/>
          </w:tcPr>
          <w:p w14:paraId="598A55E7"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15m</w:t>
            </w:r>
            <w:r w:rsidRPr="00657BA6">
              <w:rPr>
                <w:rFonts w:ascii="Arial" w:eastAsia="Times New Roman" w:hAnsi="Arial" w:cs="Arial"/>
                <w:vertAlign w:val="superscript"/>
                <w:lang w:val="es-ES_tradnl" w:eastAsia="es-ES"/>
              </w:rPr>
              <w:t>2</w:t>
            </w:r>
          </w:p>
        </w:tc>
      </w:tr>
      <w:tr w:rsidR="004A3027" w:rsidRPr="00657BA6" w14:paraId="63AB66A4" w14:textId="77777777" w:rsidTr="006C794D">
        <w:trPr>
          <w:cnfStyle w:val="000000100000" w:firstRow="0" w:lastRow="0" w:firstColumn="0" w:lastColumn="0" w:oddVBand="0" w:evenVBand="0" w:oddHBand="1" w:evenHBand="0" w:firstRowFirstColumn="0" w:firstRowLastColumn="0" w:lastRowFirstColumn="0" w:lastRowLastColumn="0"/>
          <w:trHeight w:val="510"/>
        </w:trPr>
        <w:tc>
          <w:tcPr>
            <w:tcW w:w="0" w:type="auto"/>
            <w:hideMark/>
          </w:tcPr>
          <w:p w14:paraId="634CDB2B"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 xml:space="preserve">Sala de </w:t>
            </w:r>
            <w:r w:rsidRPr="00657BA6">
              <w:rPr>
                <w:rFonts w:ascii="Arial" w:eastAsia="Times New Roman" w:hAnsi="Arial" w:cs="Arial"/>
                <w:i/>
                <w:iCs/>
                <w:lang w:val="es-ES_tradnl" w:eastAsia="es-ES"/>
              </w:rPr>
              <w:t>switching</w:t>
            </w:r>
            <w:r w:rsidRPr="00657BA6">
              <w:rPr>
                <w:rFonts w:ascii="Arial" w:eastAsia="Times New Roman" w:hAnsi="Arial" w:cs="Arial"/>
                <w:lang w:val="es-ES_tradnl" w:eastAsia="es-ES"/>
              </w:rPr>
              <w:t xml:space="preserve"> del PH</w:t>
            </w:r>
          </w:p>
        </w:tc>
        <w:tc>
          <w:tcPr>
            <w:tcW w:w="0" w:type="auto"/>
            <w:hideMark/>
          </w:tcPr>
          <w:p w14:paraId="1680F151" w14:textId="77777777" w:rsidR="004A3027" w:rsidRPr="00657BA6" w:rsidRDefault="004A3027" w:rsidP="0014780A">
            <w:pPr>
              <w:spacing w:after="0"/>
              <w:rPr>
                <w:rFonts w:ascii="Arial" w:eastAsia="Times New Roman" w:hAnsi="Arial" w:cs="Arial"/>
                <w:lang w:eastAsia="es-ES"/>
              </w:rPr>
            </w:pPr>
            <w:r w:rsidRPr="00657BA6">
              <w:rPr>
                <w:rFonts w:ascii="Arial" w:eastAsia="Times New Roman" w:hAnsi="Arial" w:cs="Arial"/>
                <w:lang w:val="es-ES_tradnl" w:eastAsia="es-ES"/>
              </w:rPr>
              <w:t xml:space="preserve">Número de racks por tamaño de central: </w:t>
            </w:r>
            <w:r w:rsidRPr="00657BA6">
              <w:rPr>
                <w:rFonts w:ascii="Arial" w:eastAsia="Times New Roman" w:hAnsi="Arial" w:cs="Arial"/>
                <w:lang w:val="es-ES_tradnl" w:eastAsia="es-ES"/>
              </w:rPr>
              <w:br/>
              <w:t>2, 4, 8 o 12 racks</w:t>
            </w:r>
          </w:p>
        </w:tc>
        <w:tc>
          <w:tcPr>
            <w:tcW w:w="0" w:type="auto"/>
            <w:hideMark/>
          </w:tcPr>
          <w:p w14:paraId="6BB66B18"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16m</w:t>
            </w:r>
            <w:r w:rsidRPr="00657BA6">
              <w:rPr>
                <w:rFonts w:ascii="Arial" w:eastAsia="Times New Roman" w:hAnsi="Arial" w:cs="Arial"/>
                <w:vertAlign w:val="superscript"/>
                <w:lang w:val="es-ES_tradnl" w:eastAsia="es-ES"/>
              </w:rPr>
              <w:t>2</w:t>
            </w:r>
          </w:p>
        </w:tc>
        <w:tc>
          <w:tcPr>
            <w:tcW w:w="0" w:type="auto"/>
            <w:hideMark/>
          </w:tcPr>
          <w:p w14:paraId="50375A2D"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21m</w:t>
            </w:r>
            <w:r w:rsidRPr="00657BA6">
              <w:rPr>
                <w:rFonts w:ascii="Arial" w:eastAsia="Times New Roman" w:hAnsi="Arial" w:cs="Arial"/>
                <w:vertAlign w:val="superscript"/>
                <w:lang w:val="es-ES_tradnl" w:eastAsia="es-ES"/>
              </w:rPr>
              <w:t>2</w:t>
            </w:r>
          </w:p>
        </w:tc>
        <w:tc>
          <w:tcPr>
            <w:tcW w:w="0" w:type="auto"/>
            <w:hideMark/>
          </w:tcPr>
          <w:p w14:paraId="768B3DE5"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30m</w:t>
            </w:r>
            <w:r w:rsidRPr="00657BA6">
              <w:rPr>
                <w:rFonts w:ascii="Arial" w:eastAsia="Times New Roman" w:hAnsi="Arial" w:cs="Arial"/>
                <w:vertAlign w:val="superscript"/>
                <w:lang w:val="es-ES_tradnl" w:eastAsia="es-ES"/>
              </w:rPr>
              <w:t>2</w:t>
            </w:r>
          </w:p>
        </w:tc>
        <w:tc>
          <w:tcPr>
            <w:tcW w:w="0" w:type="auto"/>
            <w:hideMark/>
          </w:tcPr>
          <w:p w14:paraId="56D27A51"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39m</w:t>
            </w:r>
            <w:r w:rsidRPr="00657BA6">
              <w:rPr>
                <w:rFonts w:ascii="Arial" w:eastAsia="Times New Roman" w:hAnsi="Arial" w:cs="Arial"/>
                <w:vertAlign w:val="superscript"/>
                <w:lang w:val="es-ES_tradnl" w:eastAsia="es-ES"/>
              </w:rPr>
              <w:t>2</w:t>
            </w:r>
          </w:p>
        </w:tc>
      </w:tr>
      <w:tr w:rsidR="004A3027" w:rsidRPr="00657BA6" w14:paraId="658E69FD" w14:textId="77777777" w:rsidTr="006C794D">
        <w:trPr>
          <w:trHeight w:val="510"/>
        </w:trPr>
        <w:tc>
          <w:tcPr>
            <w:tcW w:w="0" w:type="auto"/>
            <w:hideMark/>
          </w:tcPr>
          <w:p w14:paraId="418D8D07"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Sala de equipos de transmisión del PH</w:t>
            </w:r>
          </w:p>
        </w:tc>
        <w:tc>
          <w:tcPr>
            <w:tcW w:w="0" w:type="auto"/>
            <w:hideMark/>
          </w:tcPr>
          <w:p w14:paraId="6E680B26" w14:textId="77777777" w:rsidR="004A3027" w:rsidRPr="00657BA6" w:rsidRDefault="004A3027" w:rsidP="0014780A">
            <w:pPr>
              <w:spacing w:after="0"/>
              <w:rPr>
                <w:rFonts w:ascii="Arial" w:eastAsia="Times New Roman" w:hAnsi="Arial" w:cs="Arial"/>
                <w:lang w:val="es-ES_tradnl" w:eastAsia="es-ES"/>
              </w:rPr>
            </w:pPr>
            <w:r w:rsidRPr="00657BA6">
              <w:rPr>
                <w:rFonts w:ascii="Arial" w:eastAsia="Times New Roman" w:hAnsi="Arial" w:cs="Arial"/>
                <w:lang w:val="es-ES_tradnl" w:eastAsia="es-ES"/>
              </w:rPr>
              <w:t>Número de racks por tamaño de central:  2, 4, 8 o 12 racks</w:t>
            </w:r>
          </w:p>
        </w:tc>
        <w:tc>
          <w:tcPr>
            <w:tcW w:w="0" w:type="auto"/>
            <w:hideMark/>
          </w:tcPr>
          <w:p w14:paraId="2880A731"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16m</w:t>
            </w:r>
            <w:r w:rsidRPr="00657BA6">
              <w:rPr>
                <w:rFonts w:ascii="Arial" w:eastAsia="Times New Roman" w:hAnsi="Arial" w:cs="Arial"/>
                <w:vertAlign w:val="superscript"/>
                <w:lang w:val="es-ES_tradnl" w:eastAsia="es-ES"/>
              </w:rPr>
              <w:t>2</w:t>
            </w:r>
          </w:p>
        </w:tc>
        <w:tc>
          <w:tcPr>
            <w:tcW w:w="0" w:type="auto"/>
            <w:hideMark/>
          </w:tcPr>
          <w:p w14:paraId="6A9ADC56"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21m</w:t>
            </w:r>
            <w:r w:rsidRPr="00657BA6">
              <w:rPr>
                <w:rFonts w:ascii="Arial" w:eastAsia="Times New Roman" w:hAnsi="Arial" w:cs="Arial"/>
                <w:vertAlign w:val="superscript"/>
                <w:lang w:val="es-ES_tradnl" w:eastAsia="es-ES"/>
              </w:rPr>
              <w:t>2</w:t>
            </w:r>
          </w:p>
        </w:tc>
        <w:tc>
          <w:tcPr>
            <w:tcW w:w="0" w:type="auto"/>
            <w:hideMark/>
          </w:tcPr>
          <w:p w14:paraId="5203D1C4"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30m</w:t>
            </w:r>
            <w:r w:rsidRPr="00657BA6">
              <w:rPr>
                <w:rFonts w:ascii="Arial" w:eastAsia="Times New Roman" w:hAnsi="Arial" w:cs="Arial"/>
                <w:vertAlign w:val="superscript"/>
                <w:lang w:val="es-ES_tradnl" w:eastAsia="es-ES"/>
              </w:rPr>
              <w:t>2</w:t>
            </w:r>
          </w:p>
        </w:tc>
        <w:tc>
          <w:tcPr>
            <w:tcW w:w="0" w:type="auto"/>
            <w:hideMark/>
          </w:tcPr>
          <w:p w14:paraId="77933613"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39m</w:t>
            </w:r>
            <w:r w:rsidRPr="00657BA6">
              <w:rPr>
                <w:rFonts w:ascii="Arial" w:eastAsia="Times New Roman" w:hAnsi="Arial" w:cs="Arial"/>
                <w:vertAlign w:val="superscript"/>
                <w:lang w:val="es-ES_tradnl" w:eastAsia="es-ES"/>
              </w:rPr>
              <w:t>2</w:t>
            </w:r>
          </w:p>
        </w:tc>
      </w:tr>
    </w:tbl>
    <w:p w14:paraId="23850F1D" w14:textId="77777777" w:rsidR="004A3027" w:rsidRPr="00657BA6" w:rsidRDefault="004A3027" w:rsidP="0014780A">
      <w:pPr>
        <w:spacing w:after="0"/>
        <w:jc w:val="center"/>
        <w:rPr>
          <w:rFonts w:ascii="Arial" w:eastAsia="Times New Roman" w:hAnsi="Arial" w:cs="Arial"/>
          <w:lang w:eastAsia="es-ES"/>
        </w:rPr>
      </w:pPr>
      <w:r w:rsidRPr="00657BA6">
        <w:rPr>
          <w:rFonts w:ascii="Arial" w:eastAsia="Times New Roman" w:hAnsi="Arial" w:cs="Arial"/>
          <w:lang w:eastAsia="es-ES"/>
        </w:rPr>
        <w:t>Tabla 7. Dimensionamiento de las salas del PH.</w:t>
      </w:r>
    </w:p>
    <w:p w14:paraId="42A19D35" w14:textId="77777777" w:rsidR="004A3027" w:rsidRPr="00657BA6" w:rsidRDefault="004A3027" w:rsidP="0014780A">
      <w:pPr>
        <w:spacing w:after="0"/>
        <w:jc w:val="both"/>
        <w:rPr>
          <w:rFonts w:ascii="Arial" w:eastAsia="Times New Roman" w:hAnsi="Arial" w:cs="Arial"/>
          <w:lang w:eastAsia="es-ES"/>
        </w:rPr>
      </w:pPr>
    </w:p>
    <w:p w14:paraId="4D18D3A5"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Los</w:t>
      </w:r>
      <w:r w:rsidRPr="00657BA6">
        <w:rPr>
          <w:rFonts w:ascii="Arial" w:eastAsia="Times New Roman" w:hAnsi="Arial" w:cs="Arial"/>
          <w:lang w:val="es-ES_tradnl" w:eastAsia="es-ES"/>
        </w:rPr>
        <w:t xml:space="preserve"> sistemas de respaldo se dimensionan bottom-up a partir del consumo de energía y del respaldo ocupado respectivamente</w:t>
      </w:r>
    </w:p>
    <w:p w14:paraId="4C7C2F2B" w14:textId="77777777" w:rsidR="004A3027" w:rsidRPr="00657BA6" w:rsidRDefault="004A3027" w:rsidP="0014780A">
      <w:pPr>
        <w:spacing w:after="0"/>
        <w:jc w:val="both"/>
        <w:rPr>
          <w:rFonts w:ascii="Arial" w:eastAsia="Times New Roman" w:hAnsi="Arial" w:cs="Arial"/>
          <w:lang w:eastAsia="es-ES"/>
        </w:rPr>
      </w:pPr>
    </w:p>
    <w:tbl>
      <w:tblPr>
        <w:tblStyle w:val="Tabladecuadrcula4"/>
        <w:tblW w:w="0" w:type="auto"/>
        <w:tblLook w:val="0420" w:firstRow="1" w:lastRow="0" w:firstColumn="0" w:lastColumn="0" w:noHBand="0" w:noVBand="1"/>
      </w:tblPr>
      <w:tblGrid>
        <w:gridCol w:w="1776"/>
        <w:gridCol w:w="7567"/>
      </w:tblGrid>
      <w:tr w:rsidR="004A3027" w:rsidRPr="00657BA6" w14:paraId="362A1214" w14:textId="77777777" w:rsidTr="006C794D">
        <w:trPr>
          <w:cnfStyle w:val="100000000000" w:firstRow="1" w:lastRow="0" w:firstColumn="0" w:lastColumn="0" w:oddVBand="0" w:evenVBand="0" w:oddHBand="0" w:evenHBand="0" w:firstRowFirstColumn="0" w:firstRowLastColumn="0" w:lastRowFirstColumn="0" w:lastRowLastColumn="0"/>
          <w:trHeight w:val="259"/>
        </w:trPr>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532A505F" w14:textId="77777777" w:rsidR="004A3027" w:rsidRPr="00657BA6" w:rsidRDefault="004A3027" w:rsidP="0014780A">
            <w:pPr>
              <w:spacing w:after="0"/>
              <w:jc w:val="center"/>
              <w:rPr>
                <w:rFonts w:ascii="Arial" w:eastAsia="Times New Roman" w:hAnsi="Arial" w:cs="Arial"/>
                <w:color w:val="auto"/>
                <w:lang w:eastAsia="es-ES"/>
              </w:rPr>
            </w:pPr>
            <w:r w:rsidRPr="00657BA6">
              <w:rPr>
                <w:rFonts w:ascii="Arial" w:eastAsia="Times New Roman" w:hAnsi="Arial" w:cs="Arial"/>
                <w:color w:val="auto"/>
                <w:lang w:eastAsia="es-ES"/>
              </w:rPr>
              <w:t>Sala</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195A3EDB" w14:textId="77777777" w:rsidR="004A3027" w:rsidRPr="00657BA6" w:rsidRDefault="004A3027" w:rsidP="0014780A">
            <w:pPr>
              <w:spacing w:after="0"/>
              <w:jc w:val="center"/>
              <w:rPr>
                <w:rFonts w:ascii="Arial" w:hAnsi="Arial" w:cs="Arial"/>
                <w:color w:val="auto"/>
              </w:rPr>
            </w:pPr>
            <w:r w:rsidRPr="00657BA6">
              <w:rPr>
                <w:rFonts w:ascii="Arial" w:hAnsi="Arial" w:cs="Arial"/>
                <w:color w:val="auto"/>
                <w:lang w:val="es-ES_tradnl"/>
              </w:rPr>
              <w:t>Descripción/dimensiones</w:t>
            </w:r>
          </w:p>
        </w:tc>
      </w:tr>
      <w:tr w:rsidR="004A3027" w:rsidRPr="00657BA6" w14:paraId="780EEDD5" w14:textId="77777777" w:rsidTr="006C794D">
        <w:trPr>
          <w:cnfStyle w:val="000000100000" w:firstRow="0" w:lastRow="0" w:firstColumn="0" w:lastColumn="0" w:oddVBand="0" w:evenVBand="0" w:oddHBand="1" w:evenHBand="0" w:firstRowFirstColumn="0" w:firstRowLastColumn="0" w:lastRowFirstColumn="0" w:lastRowLastColumn="0"/>
          <w:trHeight w:val="197"/>
        </w:trPr>
        <w:tc>
          <w:tcPr>
            <w:tcW w:w="0" w:type="auto"/>
            <w:tcBorders>
              <w:top w:val="single" w:sz="4" w:space="0" w:color="000000"/>
            </w:tcBorders>
            <w:hideMark/>
          </w:tcPr>
          <w:p w14:paraId="07045DCA"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Sala subestación eléctrica</w:t>
            </w:r>
          </w:p>
        </w:tc>
        <w:tc>
          <w:tcPr>
            <w:tcW w:w="0" w:type="auto"/>
            <w:tcBorders>
              <w:top w:val="single" w:sz="4" w:space="0" w:color="000000"/>
            </w:tcBorders>
            <w:hideMark/>
          </w:tcPr>
          <w:p w14:paraId="4D8EBDA9"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0.5 m2/kW (p.ej. 25 m</w:t>
            </w:r>
            <w:r w:rsidRPr="00657BA6">
              <w:rPr>
                <w:rFonts w:ascii="Arial" w:eastAsia="Times New Roman" w:hAnsi="Arial" w:cs="Arial"/>
                <w:vertAlign w:val="superscript"/>
                <w:lang w:val="es-ES_tradnl" w:eastAsia="es-ES"/>
              </w:rPr>
              <w:t>2</w:t>
            </w:r>
            <w:r w:rsidRPr="00657BA6">
              <w:rPr>
                <w:rFonts w:ascii="Arial" w:eastAsia="Times New Roman" w:hAnsi="Arial" w:cs="Arial"/>
                <w:lang w:val="es-ES_tradnl" w:eastAsia="es-ES"/>
              </w:rPr>
              <w:t xml:space="preserve"> para centrales medianas)</w:t>
            </w:r>
          </w:p>
        </w:tc>
      </w:tr>
      <w:tr w:rsidR="004A3027" w:rsidRPr="00657BA6" w14:paraId="3833DA97" w14:textId="77777777" w:rsidTr="006C794D">
        <w:trPr>
          <w:trHeight w:val="197"/>
        </w:trPr>
        <w:tc>
          <w:tcPr>
            <w:tcW w:w="0" w:type="auto"/>
            <w:hideMark/>
          </w:tcPr>
          <w:p w14:paraId="6FC704BA"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Sala planta de emergencia</w:t>
            </w:r>
          </w:p>
        </w:tc>
        <w:tc>
          <w:tcPr>
            <w:tcW w:w="0" w:type="auto"/>
            <w:hideMark/>
          </w:tcPr>
          <w:p w14:paraId="410D599E"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 xml:space="preserve">Se dimensiona el motor y el tanque de diésel en base a la potencia de los equipos y a la fuente de respaldo requerida, más un </w:t>
            </w:r>
            <w:r w:rsidRPr="00657BA6">
              <w:rPr>
                <w:rFonts w:ascii="Arial" w:hAnsi="Arial" w:cs="Arial"/>
                <w:lang w:val="es-ES_tradnl"/>
              </w:rPr>
              <w:t>mark-up</w:t>
            </w:r>
            <w:r w:rsidRPr="00657BA6">
              <w:rPr>
                <w:rFonts w:ascii="Arial" w:eastAsia="Times New Roman" w:hAnsi="Arial" w:cs="Arial"/>
                <w:lang w:val="es-ES_tradnl" w:eastAsia="es-ES"/>
              </w:rPr>
              <w:t xml:space="preserve"> de operación. Una maquina típica necesita menos de 10 m</w:t>
            </w:r>
            <w:r w:rsidRPr="00657BA6">
              <w:rPr>
                <w:rFonts w:ascii="Arial" w:eastAsia="Times New Roman" w:hAnsi="Arial" w:cs="Arial"/>
                <w:vertAlign w:val="superscript"/>
                <w:lang w:val="es-ES_tradnl" w:eastAsia="es-ES"/>
              </w:rPr>
              <w:t>2</w:t>
            </w:r>
            <w:r w:rsidRPr="00657BA6">
              <w:rPr>
                <w:rFonts w:ascii="Arial" w:eastAsia="Times New Roman" w:hAnsi="Arial" w:cs="Arial"/>
                <w:lang w:val="es-ES_tradnl" w:eastAsia="es-ES"/>
              </w:rPr>
              <w:t xml:space="preserve"> de espacio</w:t>
            </w:r>
          </w:p>
        </w:tc>
      </w:tr>
      <w:tr w:rsidR="004A3027" w:rsidRPr="00657BA6" w14:paraId="0CF84C56" w14:textId="77777777" w:rsidTr="006C794D">
        <w:trPr>
          <w:cnfStyle w:val="000000100000" w:firstRow="0" w:lastRow="0" w:firstColumn="0" w:lastColumn="0" w:oddVBand="0" w:evenVBand="0" w:oddHBand="1" w:evenHBand="0" w:firstRowFirstColumn="0" w:firstRowLastColumn="0" w:lastRowFirstColumn="0" w:lastRowLastColumn="0"/>
          <w:trHeight w:val="327"/>
        </w:trPr>
        <w:tc>
          <w:tcPr>
            <w:tcW w:w="0" w:type="auto"/>
            <w:hideMark/>
          </w:tcPr>
          <w:p w14:paraId="3855A4AE"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Sala baterías</w:t>
            </w:r>
          </w:p>
        </w:tc>
        <w:tc>
          <w:tcPr>
            <w:tcW w:w="0" w:type="auto"/>
            <w:hideMark/>
          </w:tcPr>
          <w:p w14:paraId="489B682C"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0.07m</w:t>
            </w:r>
            <w:r w:rsidRPr="00657BA6">
              <w:rPr>
                <w:rFonts w:ascii="Arial" w:eastAsia="Times New Roman" w:hAnsi="Arial" w:cs="Arial"/>
                <w:vertAlign w:val="superscript"/>
                <w:lang w:val="es-ES_tradnl" w:eastAsia="es-ES"/>
              </w:rPr>
              <w:t>2</w:t>
            </w:r>
            <w:r w:rsidRPr="00657BA6">
              <w:rPr>
                <w:rFonts w:ascii="Arial" w:eastAsia="Times New Roman" w:hAnsi="Arial" w:cs="Arial"/>
                <w:lang w:val="es-ES_tradnl" w:eastAsia="es-ES"/>
              </w:rPr>
              <w:t>/unidad</w:t>
            </w:r>
            <w:r w:rsidRPr="00657BA6">
              <w:rPr>
                <w:rFonts w:ascii="Arial" w:eastAsia="Times New Roman" w:hAnsi="Arial" w:cs="Arial"/>
                <w:lang w:val="es-ES_tradnl" w:eastAsia="es-ES"/>
              </w:rPr>
              <w:br/>
              <w:t>[10-30 unidades de 200Ah necesarias, según la potencia de los equipos]</w:t>
            </w:r>
          </w:p>
        </w:tc>
      </w:tr>
    </w:tbl>
    <w:p w14:paraId="2C952562" w14:textId="77777777" w:rsidR="004A3027" w:rsidRPr="00657BA6" w:rsidRDefault="004A3027" w:rsidP="0014780A">
      <w:pPr>
        <w:spacing w:after="0"/>
        <w:jc w:val="center"/>
        <w:rPr>
          <w:rFonts w:ascii="Arial" w:eastAsia="Times New Roman" w:hAnsi="Arial" w:cs="Arial"/>
          <w:lang w:eastAsia="es-ES"/>
        </w:rPr>
      </w:pPr>
      <w:r w:rsidRPr="00657BA6">
        <w:rPr>
          <w:rFonts w:ascii="Arial" w:eastAsia="Times New Roman" w:hAnsi="Arial" w:cs="Arial"/>
          <w:lang w:eastAsia="es-ES"/>
        </w:rPr>
        <w:t>Tabla 8. Drivers para el dimensionamiento de las salas de energía de la central del PH.</w:t>
      </w:r>
    </w:p>
    <w:p w14:paraId="70C7E588" w14:textId="77777777" w:rsidR="004A3027" w:rsidRPr="00657BA6" w:rsidRDefault="004A3027" w:rsidP="0014780A">
      <w:pPr>
        <w:spacing w:after="0"/>
        <w:jc w:val="both"/>
        <w:rPr>
          <w:rFonts w:ascii="Arial" w:eastAsia="Times New Roman" w:hAnsi="Arial" w:cs="Arial"/>
          <w:lang w:eastAsia="es-ES"/>
        </w:rPr>
      </w:pPr>
    </w:p>
    <w:p w14:paraId="3FBD96CE" w14:textId="77777777" w:rsidR="004A3027" w:rsidRPr="00657BA6" w:rsidRDefault="004A3027" w:rsidP="009640AE">
      <w:pPr>
        <w:numPr>
          <w:ilvl w:val="0"/>
          <w:numId w:val="44"/>
        </w:numPr>
        <w:spacing w:after="0"/>
        <w:jc w:val="both"/>
        <w:rPr>
          <w:rFonts w:ascii="Arial" w:eastAsia="Times New Roman" w:hAnsi="Arial" w:cs="Arial"/>
          <w:lang w:eastAsia="es-ES"/>
        </w:rPr>
      </w:pPr>
      <w:r w:rsidRPr="00657BA6">
        <w:rPr>
          <w:rFonts w:ascii="Arial" w:eastAsia="Times New Roman" w:hAnsi="Arial" w:cs="Arial"/>
          <w:lang w:val="es-ES_tradnl" w:eastAsia="es-ES"/>
        </w:rPr>
        <w:t xml:space="preserve">La potencia requerida por las centrales del PH es un parámetro que se tiene que introducir a la hora de calibrar el modelo. </w:t>
      </w:r>
    </w:p>
    <w:p w14:paraId="674F352D" w14:textId="77777777" w:rsidR="004A3027" w:rsidRPr="00EC195C" w:rsidRDefault="004A3027" w:rsidP="009640AE">
      <w:pPr>
        <w:numPr>
          <w:ilvl w:val="1"/>
          <w:numId w:val="44"/>
        </w:numPr>
        <w:spacing w:after="0"/>
        <w:jc w:val="both"/>
        <w:rPr>
          <w:rFonts w:ascii="Arial" w:eastAsia="Times New Roman" w:hAnsi="Arial" w:cs="Arial"/>
          <w:lang w:eastAsia="es-ES"/>
        </w:rPr>
      </w:pPr>
      <w:r w:rsidRPr="00657BA6">
        <w:rPr>
          <w:rFonts w:ascii="Arial" w:eastAsia="Times New Roman" w:hAnsi="Arial" w:cs="Arial"/>
          <w:lang w:val="es-ES_tradnl" w:eastAsia="es-ES"/>
        </w:rPr>
        <w:t>Los valores de este parámetro tienen un impacto en el dimensionamiento de las salas y de los equipos de subestación eléctrica, fuente de energía de respaldo y baterías</w:t>
      </w:r>
    </w:p>
    <w:p w14:paraId="1251A2C1" w14:textId="77777777" w:rsidR="00EC195C" w:rsidRPr="00657BA6" w:rsidRDefault="00EC195C" w:rsidP="00EC195C">
      <w:pPr>
        <w:spacing w:after="0"/>
        <w:ind w:left="1440"/>
        <w:jc w:val="both"/>
        <w:rPr>
          <w:rFonts w:ascii="Arial" w:eastAsia="Times New Roman" w:hAnsi="Arial" w:cs="Arial"/>
          <w:lang w:eastAsia="es-ES"/>
        </w:rPr>
      </w:pPr>
    </w:p>
    <w:tbl>
      <w:tblPr>
        <w:tblStyle w:val="Tabladecuadrcula4"/>
        <w:tblW w:w="5000" w:type="pct"/>
        <w:tblLook w:val="0420" w:firstRow="1" w:lastRow="0" w:firstColumn="0" w:lastColumn="0" w:noHBand="0" w:noVBand="1"/>
      </w:tblPr>
      <w:tblGrid>
        <w:gridCol w:w="2631"/>
        <w:gridCol w:w="3384"/>
        <w:gridCol w:w="3328"/>
      </w:tblGrid>
      <w:tr w:rsidR="004A3027" w:rsidRPr="00657BA6" w14:paraId="368EB98F" w14:textId="77777777" w:rsidTr="006C794D">
        <w:trPr>
          <w:cnfStyle w:val="100000000000" w:firstRow="1" w:lastRow="0" w:firstColumn="0" w:lastColumn="0" w:oddVBand="0" w:evenVBand="0" w:oddHBand="0" w:evenHBand="0" w:firstRowFirstColumn="0" w:firstRowLastColumn="0" w:lastRowFirstColumn="0" w:lastRowLastColumn="0"/>
          <w:trHeight w:val="259"/>
        </w:trPr>
        <w:tc>
          <w:tcPr>
            <w:tcW w:w="140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64B7DF1B" w14:textId="77777777" w:rsidR="004A3027" w:rsidRPr="00657BA6" w:rsidRDefault="004A3027" w:rsidP="0014780A">
            <w:pPr>
              <w:spacing w:after="0"/>
              <w:jc w:val="both"/>
              <w:rPr>
                <w:rFonts w:ascii="Arial" w:eastAsia="Times New Roman" w:hAnsi="Arial" w:cs="Arial"/>
                <w:color w:val="auto"/>
                <w:lang w:eastAsia="es-ES"/>
              </w:rPr>
            </w:pPr>
          </w:p>
        </w:tc>
        <w:tc>
          <w:tcPr>
            <w:tcW w:w="181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7CF6EDE4" w14:textId="77777777" w:rsidR="004A3027" w:rsidRPr="00657BA6" w:rsidRDefault="004A3027" w:rsidP="0014780A">
            <w:pPr>
              <w:spacing w:after="0"/>
              <w:jc w:val="center"/>
              <w:rPr>
                <w:rFonts w:ascii="Arial" w:hAnsi="Arial" w:cs="Arial"/>
                <w:color w:val="auto"/>
              </w:rPr>
            </w:pPr>
            <w:r w:rsidRPr="00657BA6">
              <w:rPr>
                <w:rFonts w:ascii="Arial" w:hAnsi="Arial" w:cs="Arial"/>
                <w:color w:val="auto"/>
                <w:lang w:val="es-ES_tradnl"/>
              </w:rPr>
              <w:t>Backup (horas) en zonas urbanas</w:t>
            </w:r>
          </w:p>
        </w:tc>
        <w:tc>
          <w:tcPr>
            <w:tcW w:w="178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281130ED" w14:textId="0FC5CDF6" w:rsidR="004A3027" w:rsidRPr="00657BA6" w:rsidRDefault="004A3027" w:rsidP="0014780A">
            <w:pPr>
              <w:spacing w:after="0"/>
              <w:jc w:val="center"/>
              <w:rPr>
                <w:rFonts w:ascii="Arial" w:hAnsi="Arial" w:cs="Arial"/>
                <w:color w:val="auto"/>
              </w:rPr>
            </w:pPr>
            <w:r w:rsidRPr="00657BA6">
              <w:rPr>
                <w:rFonts w:ascii="Arial" w:hAnsi="Arial" w:cs="Arial"/>
                <w:color w:val="auto"/>
                <w:lang w:val="es-ES_tradnl"/>
              </w:rPr>
              <w:t xml:space="preserve">Backup (horas) </w:t>
            </w:r>
            <w:r w:rsidR="008C4DF7" w:rsidRPr="00657BA6">
              <w:rPr>
                <w:rFonts w:ascii="Arial" w:hAnsi="Arial" w:cs="Arial"/>
                <w:color w:val="auto"/>
                <w:lang w:val="es-ES_tradnl"/>
              </w:rPr>
              <w:t>en zonas</w:t>
            </w:r>
            <w:r w:rsidRPr="00657BA6">
              <w:rPr>
                <w:rFonts w:ascii="Arial" w:hAnsi="Arial" w:cs="Arial"/>
                <w:color w:val="auto"/>
                <w:lang w:val="es-ES_tradnl"/>
              </w:rPr>
              <w:t xml:space="preserve"> rurales</w:t>
            </w:r>
          </w:p>
        </w:tc>
      </w:tr>
      <w:tr w:rsidR="004A3027" w:rsidRPr="00657BA6" w14:paraId="4AE12B45" w14:textId="77777777" w:rsidTr="006C794D">
        <w:trPr>
          <w:cnfStyle w:val="000000100000" w:firstRow="0" w:lastRow="0" w:firstColumn="0" w:lastColumn="0" w:oddVBand="0" w:evenVBand="0" w:oddHBand="1" w:evenHBand="0" w:firstRowFirstColumn="0" w:firstRowLastColumn="0" w:lastRowFirstColumn="0" w:lastRowLastColumn="0"/>
          <w:trHeight w:val="197"/>
        </w:trPr>
        <w:tc>
          <w:tcPr>
            <w:tcW w:w="1408" w:type="pct"/>
            <w:tcBorders>
              <w:top w:val="single" w:sz="4" w:space="0" w:color="000000"/>
            </w:tcBorders>
            <w:hideMark/>
          </w:tcPr>
          <w:p w14:paraId="1C71650A"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Grupos electrógenos diésel</w:t>
            </w:r>
          </w:p>
        </w:tc>
        <w:tc>
          <w:tcPr>
            <w:tcW w:w="1811" w:type="pct"/>
            <w:tcBorders>
              <w:top w:val="single" w:sz="4" w:space="0" w:color="000000"/>
            </w:tcBorders>
            <w:hideMark/>
          </w:tcPr>
          <w:p w14:paraId="453DEC0D" w14:textId="77777777" w:rsidR="004A3027" w:rsidRPr="00657BA6" w:rsidRDefault="004A3027" w:rsidP="0014780A">
            <w:pPr>
              <w:spacing w:after="0"/>
              <w:jc w:val="center"/>
              <w:rPr>
                <w:rFonts w:ascii="Arial" w:eastAsia="Times New Roman" w:hAnsi="Arial" w:cs="Arial"/>
                <w:lang w:eastAsia="es-ES"/>
              </w:rPr>
            </w:pPr>
            <w:r w:rsidRPr="00657BA6">
              <w:rPr>
                <w:rFonts w:ascii="Arial" w:eastAsia="Times New Roman" w:hAnsi="Arial" w:cs="Arial"/>
                <w:lang w:val="es-ES_tradnl" w:eastAsia="es-ES"/>
              </w:rPr>
              <w:t>24</w:t>
            </w:r>
          </w:p>
        </w:tc>
        <w:tc>
          <w:tcPr>
            <w:tcW w:w="1781" w:type="pct"/>
            <w:tcBorders>
              <w:top w:val="single" w:sz="4" w:space="0" w:color="000000"/>
            </w:tcBorders>
            <w:hideMark/>
          </w:tcPr>
          <w:p w14:paraId="73958A22" w14:textId="77777777" w:rsidR="004A3027" w:rsidRPr="00657BA6" w:rsidRDefault="004A3027" w:rsidP="0014780A">
            <w:pPr>
              <w:spacing w:after="0"/>
              <w:jc w:val="center"/>
              <w:rPr>
                <w:rFonts w:ascii="Arial" w:eastAsia="Times New Roman" w:hAnsi="Arial" w:cs="Arial"/>
                <w:lang w:eastAsia="es-ES"/>
              </w:rPr>
            </w:pPr>
            <w:r w:rsidRPr="00657BA6">
              <w:rPr>
                <w:rFonts w:ascii="Arial" w:eastAsia="Times New Roman" w:hAnsi="Arial" w:cs="Arial"/>
                <w:lang w:val="es-ES_tradnl" w:eastAsia="es-ES"/>
              </w:rPr>
              <w:t>48</w:t>
            </w:r>
          </w:p>
        </w:tc>
      </w:tr>
      <w:tr w:rsidR="004A3027" w:rsidRPr="00657BA6" w14:paraId="04A4EFA2" w14:textId="77777777" w:rsidTr="006C794D">
        <w:trPr>
          <w:trHeight w:val="197"/>
        </w:trPr>
        <w:tc>
          <w:tcPr>
            <w:tcW w:w="1408" w:type="pct"/>
            <w:hideMark/>
          </w:tcPr>
          <w:p w14:paraId="3B45C5B7"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Baterías de respaldo</w:t>
            </w:r>
          </w:p>
        </w:tc>
        <w:tc>
          <w:tcPr>
            <w:tcW w:w="1811" w:type="pct"/>
            <w:hideMark/>
          </w:tcPr>
          <w:p w14:paraId="7EBEDA8A" w14:textId="77777777" w:rsidR="004A3027" w:rsidRPr="00657BA6" w:rsidRDefault="004A3027" w:rsidP="0014780A">
            <w:pPr>
              <w:spacing w:after="0"/>
              <w:jc w:val="center"/>
              <w:rPr>
                <w:rFonts w:ascii="Arial" w:eastAsia="Times New Roman" w:hAnsi="Arial" w:cs="Arial"/>
                <w:lang w:eastAsia="es-ES"/>
              </w:rPr>
            </w:pPr>
            <w:r w:rsidRPr="00657BA6">
              <w:rPr>
                <w:rFonts w:ascii="Arial" w:eastAsia="Times New Roman" w:hAnsi="Arial" w:cs="Arial"/>
                <w:lang w:val="es-ES_tradnl" w:eastAsia="es-ES"/>
              </w:rPr>
              <w:t>4</w:t>
            </w:r>
          </w:p>
        </w:tc>
        <w:tc>
          <w:tcPr>
            <w:tcW w:w="1781" w:type="pct"/>
            <w:hideMark/>
          </w:tcPr>
          <w:p w14:paraId="7AD2D0E6" w14:textId="77777777" w:rsidR="004A3027" w:rsidRPr="00657BA6" w:rsidRDefault="004A3027" w:rsidP="0014780A">
            <w:pPr>
              <w:spacing w:after="0"/>
              <w:jc w:val="center"/>
              <w:rPr>
                <w:rFonts w:ascii="Arial" w:eastAsia="Times New Roman" w:hAnsi="Arial" w:cs="Arial"/>
                <w:lang w:eastAsia="es-ES"/>
              </w:rPr>
            </w:pPr>
            <w:r w:rsidRPr="00657BA6">
              <w:rPr>
                <w:rFonts w:ascii="Arial" w:eastAsia="Times New Roman" w:hAnsi="Arial" w:cs="Arial"/>
                <w:lang w:val="es-ES_tradnl" w:eastAsia="es-ES"/>
              </w:rPr>
              <w:t>8</w:t>
            </w:r>
          </w:p>
        </w:tc>
      </w:tr>
    </w:tbl>
    <w:p w14:paraId="4689D8DE" w14:textId="77777777" w:rsidR="004A3027" w:rsidRPr="00657BA6" w:rsidRDefault="004A3027" w:rsidP="0014780A">
      <w:pPr>
        <w:spacing w:after="0"/>
        <w:ind w:left="1276"/>
        <w:jc w:val="center"/>
        <w:rPr>
          <w:rFonts w:ascii="Arial" w:eastAsia="Times New Roman" w:hAnsi="Arial" w:cs="Arial"/>
          <w:lang w:eastAsia="es-ES"/>
        </w:rPr>
      </w:pPr>
      <w:r w:rsidRPr="00657BA6">
        <w:rPr>
          <w:rFonts w:ascii="Arial" w:eastAsia="Times New Roman" w:hAnsi="Arial" w:cs="Arial"/>
          <w:lang w:eastAsia="es-ES"/>
        </w:rPr>
        <w:t>Tabla 9. Fuente de energía de respaldo.</w:t>
      </w:r>
    </w:p>
    <w:p w14:paraId="31518D46" w14:textId="77777777" w:rsidR="004A3027" w:rsidRPr="00657BA6" w:rsidRDefault="004A3027" w:rsidP="0014780A">
      <w:pPr>
        <w:spacing w:after="0"/>
        <w:jc w:val="both"/>
        <w:rPr>
          <w:rFonts w:ascii="Arial" w:eastAsia="Times New Roman" w:hAnsi="Arial" w:cs="Arial"/>
          <w:lang w:eastAsia="es-ES"/>
        </w:rPr>
      </w:pPr>
    </w:p>
    <w:p w14:paraId="20A57AFE"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La fuente de energía de respaldo es un servicio adicional que, si está presente, el Concesionario Solicitante que solicita el servicio de coubicación puede contratar, y como tal esta opción se incluye en el modelo. Para tal efecto se considera un respaldo con máquina de emergencia y bancos de baterías.</w:t>
      </w:r>
    </w:p>
    <w:p w14:paraId="076C1D78" w14:textId="77777777" w:rsidR="004A3027" w:rsidRPr="00657BA6" w:rsidRDefault="004A3027" w:rsidP="0014780A">
      <w:pPr>
        <w:spacing w:after="0"/>
        <w:jc w:val="both"/>
        <w:rPr>
          <w:rFonts w:ascii="Arial" w:eastAsia="Times New Roman" w:hAnsi="Arial" w:cs="Arial"/>
          <w:lang w:eastAsia="es-ES"/>
        </w:rPr>
      </w:pPr>
    </w:p>
    <w:p w14:paraId="59B34B1A"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Para el respaldo por medio del banco de baterías, se considera un banco de 33 baterías con capacidad de 2KW cada una, para proveer un respaldo de hasta 67 KW.</w:t>
      </w:r>
    </w:p>
    <w:p w14:paraId="4E54FB5D" w14:textId="77777777" w:rsidR="004A3027" w:rsidRPr="00657BA6" w:rsidRDefault="004A3027" w:rsidP="0014780A">
      <w:pPr>
        <w:spacing w:after="0"/>
        <w:jc w:val="both"/>
        <w:rPr>
          <w:rFonts w:ascii="Arial" w:eastAsia="Times New Roman" w:hAnsi="Arial" w:cs="Arial"/>
          <w:lang w:eastAsia="es-ES"/>
        </w:rPr>
      </w:pPr>
    </w:p>
    <w:p w14:paraId="2D3BED3D"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La planta de aire acondicionado se dimensiona en función de la demanda efectiva de los operadores. El suministro de aire acondicionado, utilizando un equipo ya existente con capacidad o un equipo nuevo, es un servicio opcional.</w:t>
      </w:r>
    </w:p>
    <w:p w14:paraId="6F08F774" w14:textId="77777777" w:rsidR="004A3027" w:rsidRPr="00657BA6" w:rsidRDefault="004A3027" w:rsidP="0014780A">
      <w:pPr>
        <w:spacing w:after="0"/>
        <w:jc w:val="both"/>
        <w:rPr>
          <w:rFonts w:ascii="Arial" w:eastAsia="Times New Roman" w:hAnsi="Arial" w:cs="Arial"/>
          <w:lang w:eastAsia="es-ES"/>
        </w:rPr>
      </w:pPr>
    </w:p>
    <w:p w14:paraId="460A031E"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Como se trata de un modelo ascendente (</w:t>
      </w:r>
      <w:r w:rsidRPr="00657BA6">
        <w:rPr>
          <w:rFonts w:ascii="Arial" w:hAnsi="Arial" w:cs="Arial"/>
        </w:rPr>
        <w:t>bottom-up</w:t>
      </w:r>
      <w:r w:rsidRPr="00657BA6">
        <w:rPr>
          <w:rFonts w:ascii="Arial" w:eastAsia="Times New Roman" w:hAnsi="Arial" w:cs="Arial"/>
          <w:lang w:eastAsia="es-ES"/>
        </w:rPr>
        <w:t>) eficiente, se dimensiona el aire acondicionado en función de la demanda efectiva de los operadores. Así, el modelo trata por igual el caso de utilización de la capacidad existente y el caso de utilización de un equipo nuevo.</w:t>
      </w:r>
    </w:p>
    <w:p w14:paraId="092677FC"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En el modelo se asume que, en cada sala de la central, el 5% del espacio es ocupado por equipos de clima.</w:t>
      </w:r>
    </w:p>
    <w:p w14:paraId="23D5A91C" w14:textId="77777777" w:rsidR="004A3027" w:rsidRPr="00657BA6" w:rsidRDefault="004A3027" w:rsidP="0014780A">
      <w:pPr>
        <w:spacing w:after="0"/>
        <w:jc w:val="both"/>
        <w:rPr>
          <w:rFonts w:ascii="Arial" w:eastAsia="Times New Roman" w:hAnsi="Arial" w:cs="Arial"/>
          <w:lang w:eastAsia="es-ES"/>
        </w:rPr>
      </w:pPr>
    </w:p>
    <w:p w14:paraId="56C5513E" w14:textId="77777777" w:rsidR="004A3027" w:rsidRPr="00657BA6" w:rsidRDefault="004A3027" w:rsidP="0014780A">
      <w:pPr>
        <w:spacing w:after="0"/>
        <w:jc w:val="both"/>
        <w:rPr>
          <w:rFonts w:ascii="Arial" w:eastAsia="Times New Roman" w:hAnsi="Arial" w:cs="Arial"/>
          <w:b/>
          <w:i/>
          <w:lang w:eastAsia="es-ES"/>
        </w:rPr>
      </w:pPr>
      <w:r w:rsidRPr="00657BA6">
        <w:rPr>
          <w:rFonts w:ascii="Arial" w:eastAsia="Times New Roman" w:hAnsi="Arial" w:cs="Arial"/>
          <w:b/>
          <w:i/>
          <w:lang w:eastAsia="es-ES"/>
        </w:rPr>
        <w:t>Recuperación de costos</w:t>
      </w:r>
    </w:p>
    <w:p w14:paraId="6ACA8898" w14:textId="77777777" w:rsidR="004A3027" w:rsidRPr="00657BA6" w:rsidRDefault="004A3027" w:rsidP="0014780A">
      <w:pPr>
        <w:spacing w:after="0"/>
        <w:jc w:val="both"/>
        <w:rPr>
          <w:rFonts w:ascii="Arial" w:eastAsia="Times New Roman" w:hAnsi="Arial" w:cs="Arial"/>
          <w:lang w:eastAsia="es-ES"/>
        </w:rPr>
      </w:pPr>
    </w:p>
    <w:p w14:paraId="76E71D96"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 xml:space="preserve">El modelo utiliza costos corrientes y una recuperación de los costos con anualidad. </w:t>
      </w:r>
    </w:p>
    <w:p w14:paraId="1B66F2C3" w14:textId="77777777" w:rsidR="004A3027" w:rsidRPr="00657BA6" w:rsidRDefault="004A3027" w:rsidP="0014780A">
      <w:pPr>
        <w:spacing w:after="0"/>
        <w:jc w:val="both"/>
        <w:rPr>
          <w:rFonts w:ascii="Arial" w:eastAsia="Times New Roman" w:hAnsi="Arial" w:cs="Arial"/>
          <w:lang w:eastAsia="es-ES"/>
        </w:rPr>
      </w:pPr>
    </w:p>
    <w:p w14:paraId="577BF2A3"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Para el costeo se utiliza el enfoque ascendente y de largo plazo, por lo tanto, se utilizan costos de Activos Modernos Equivalentes (MEA).</w:t>
      </w:r>
    </w:p>
    <w:p w14:paraId="49184236" w14:textId="77777777" w:rsidR="004A3027" w:rsidRPr="00657BA6" w:rsidRDefault="004A3027" w:rsidP="0014780A">
      <w:pPr>
        <w:spacing w:after="0"/>
        <w:jc w:val="both"/>
        <w:rPr>
          <w:rFonts w:ascii="Arial" w:eastAsia="Times New Roman" w:hAnsi="Arial" w:cs="Arial"/>
          <w:lang w:eastAsia="es-ES"/>
        </w:rPr>
      </w:pPr>
    </w:p>
    <w:p w14:paraId="42B0FA24"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En el modelo se consideran las inversiones (capex) para diferentes tipos de centrales en función de sus características, esto es: costos de infraestructura, corriente eléctrica, aire acondicionado y fuente de energía de respaldo, costos del predio.</w:t>
      </w:r>
    </w:p>
    <w:p w14:paraId="1A791FD5" w14:textId="77777777" w:rsidR="004A3027" w:rsidRPr="00657BA6" w:rsidRDefault="004A3027" w:rsidP="0014780A">
      <w:pPr>
        <w:spacing w:after="0"/>
        <w:jc w:val="both"/>
        <w:rPr>
          <w:rFonts w:ascii="Arial" w:eastAsia="Times New Roman" w:hAnsi="Arial" w:cs="Arial"/>
          <w:lang w:eastAsia="es-ES"/>
        </w:rPr>
      </w:pPr>
    </w:p>
    <w:p w14:paraId="33C6DF4F"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Asimismo, se consideran los siguientes costos operativos (opex): costos de alquiler y costos de mantenimiento de las centrales.</w:t>
      </w:r>
    </w:p>
    <w:p w14:paraId="6F71A4A0" w14:textId="77777777" w:rsidR="004A3027" w:rsidRPr="00657BA6" w:rsidRDefault="004A3027" w:rsidP="0014780A">
      <w:pPr>
        <w:spacing w:after="0"/>
        <w:jc w:val="both"/>
        <w:rPr>
          <w:rFonts w:ascii="Arial" w:eastAsia="Times New Roman" w:hAnsi="Arial" w:cs="Arial"/>
          <w:lang w:eastAsia="es-ES"/>
        </w:rPr>
      </w:pPr>
    </w:p>
    <w:tbl>
      <w:tblPr>
        <w:tblStyle w:val="Tabladecuadrcula4"/>
        <w:tblW w:w="0" w:type="auto"/>
        <w:jc w:val="center"/>
        <w:tblLook w:val="0420" w:firstRow="1" w:lastRow="0" w:firstColumn="0" w:lastColumn="0" w:noHBand="0" w:noVBand="1"/>
      </w:tblPr>
      <w:tblGrid>
        <w:gridCol w:w="2732"/>
        <w:gridCol w:w="3946"/>
        <w:gridCol w:w="2638"/>
      </w:tblGrid>
      <w:tr w:rsidR="004A3027" w:rsidRPr="00657BA6" w14:paraId="48E647B1" w14:textId="77777777" w:rsidTr="006C794D">
        <w:trPr>
          <w:cnfStyle w:val="100000000000" w:firstRow="1" w:lastRow="0" w:firstColumn="0" w:lastColumn="0" w:oddVBand="0" w:evenVBand="0" w:oddHBand="0" w:evenHBand="0" w:firstRowFirstColumn="0" w:firstRowLastColumn="0" w:lastRowFirstColumn="0" w:lastRowLastColumn="0"/>
          <w:trHeight w:val="413"/>
          <w:jc w:val="center"/>
        </w:trPr>
        <w:tc>
          <w:tcPr>
            <w:tcW w:w="273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75C5808A" w14:textId="77777777" w:rsidR="004A3027" w:rsidRPr="00657BA6" w:rsidRDefault="004A3027" w:rsidP="0014780A">
            <w:pPr>
              <w:spacing w:after="0"/>
              <w:jc w:val="center"/>
              <w:rPr>
                <w:rFonts w:ascii="Arial" w:hAnsi="Arial" w:cs="Arial"/>
                <w:color w:val="auto"/>
              </w:rPr>
            </w:pPr>
            <w:r w:rsidRPr="00657BA6">
              <w:rPr>
                <w:rFonts w:ascii="Arial" w:hAnsi="Arial" w:cs="Arial"/>
                <w:color w:val="auto"/>
                <w:lang w:val="es-ES_tradnl"/>
              </w:rPr>
              <w:t>Activo</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34E1160F" w14:textId="77777777" w:rsidR="004A3027" w:rsidRPr="00657BA6" w:rsidRDefault="004A3027" w:rsidP="0014780A">
            <w:pPr>
              <w:spacing w:after="0"/>
              <w:jc w:val="center"/>
              <w:rPr>
                <w:rFonts w:ascii="Arial" w:hAnsi="Arial" w:cs="Arial"/>
                <w:color w:val="auto"/>
              </w:rPr>
            </w:pPr>
            <w:r w:rsidRPr="00657BA6">
              <w:rPr>
                <w:rFonts w:ascii="Arial" w:hAnsi="Arial" w:cs="Arial"/>
                <w:color w:val="auto"/>
                <w:lang w:val="es-ES_tradnl"/>
              </w:rPr>
              <w:t>Capex</w:t>
            </w:r>
          </w:p>
        </w:tc>
        <w:tc>
          <w:tcPr>
            <w:tcW w:w="0" w:type="auto"/>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3A1814E4" w14:textId="77777777" w:rsidR="004A3027" w:rsidRPr="00657BA6" w:rsidRDefault="004A3027" w:rsidP="0014780A">
            <w:pPr>
              <w:spacing w:after="0"/>
              <w:jc w:val="center"/>
              <w:rPr>
                <w:rFonts w:ascii="Arial" w:hAnsi="Arial" w:cs="Arial"/>
                <w:color w:val="auto"/>
              </w:rPr>
            </w:pPr>
            <w:r w:rsidRPr="00657BA6">
              <w:rPr>
                <w:rFonts w:ascii="Arial" w:hAnsi="Arial" w:cs="Arial"/>
                <w:color w:val="auto"/>
                <w:lang w:val="es-ES_tradnl"/>
              </w:rPr>
              <w:t>Opex</w:t>
            </w:r>
          </w:p>
        </w:tc>
      </w:tr>
      <w:tr w:rsidR="004A3027" w:rsidRPr="00657BA6" w14:paraId="68477F81" w14:textId="77777777" w:rsidTr="006C794D">
        <w:trPr>
          <w:cnfStyle w:val="000000100000" w:firstRow="0" w:lastRow="0" w:firstColumn="0" w:lastColumn="0" w:oddVBand="0" w:evenVBand="0" w:oddHBand="1" w:evenHBand="0" w:firstRowFirstColumn="0" w:firstRowLastColumn="0" w:lastRowFirstColumn="0" w:lastRowLastColumn="0"/>
          <w:trHeight w:val="413"/>
          <w:jc w:val="center"/>
        </w:trPr>
        <w:tc>
          <w:tcPr>
            <w:tcW w:w="2732" w:type="dxa"/>
            <w:tcBorders>
              <w:top w:val="single" w:sz="4" w:space="0" w:color="000000"/>
            </w:tcBorders>
            <w:hideMark/>
          </w:tcPr>
          <w:p w14:paraId="45593B79" w14:textId="77777777" w:rsidR="004A3027" w:rsidRPr="00657BA6" w:rsidRDefault="004A3027" w:rsidP="0014780A">
            <w:pPr>
              <w:spacing w:after="0"/>
              <w:jc w:val="both"/>
              <w:rPr>
                <w:rFonts w:ascii="Arial" w:eastAsia="Times New Roman" w:hAnsi="Arial" w:cs="Arial"/>
                <w:lang w:eastAsia="es-ES"/>
              </w:rPr>
            </w:pPr>
          </w:p>
        </w:tc>
        <w:tc>
          <w:tcPr>
            <w:tcW w:w="0" w:type="auto"/>
            <w:tcBorders>
              <w:top w:val="single" w:sz="4" w:space="0" w:color="000000"/>
            </w:tcBorders>
            <w:hideMark/>
          </w:tcPr>
          <w:p w14:paraId="0B4B798F"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b/>
                <w:bCs/>
                <w:i/>
                <w:iCs/>
                <w:lang w:val="es-ES_tradnl" w:eastAsia="es-ES"/>
              </w:rPr>
              <w:t>Rubro</w:t>
            </w:r>
          </w:p>
        </w:tc>
        <w:tc>
          <w:tcPr>
            <w:tcW w:w="0" w:type="auto"/>
            <w:tcBorders>
              <w:top w:val="single" w:sz="4" w:space="0" w:color="000000"/>
            </w:tcBorders>
            <w:hideMark/>
          </w:tcPr>
          <w:p w14:paraId="69832C4D"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b/>
                <w:bCs/>
                <w:i/>
                <w:iCs/>
                <w:lang w:val="es-ES_tradnl" w:eastAsia="es-ES"/>
              </w:rPr>
              <w:t>Rubro</w:t>
            </w:r>
          </w:p>
        </w:tc>
      </w:tr>
      <w:tr w:rsidR="004A3027" w:rsidRPr="00657BA6" w14:paraId="4FEA1498" w14:textId="77777777" w:rsidTr="006C794D">
        <w:trPr>
          <w:trHeight w:val="228"/>
          <w:jc w:val="center"/>
        </w:trPr>
        <w:tc>
          <w:tcPr>
            <w:tcW w:w="2732" w:type="dxa"/>
            <w:vMerge w:val="restart"/>
            <w:shd w:val="clear" w:color="auto" w:fill="FFFFFF" w:themeFill="background1"/>
            <w:hideMark/>
          </w:tcPr>
          <w:p w14:paraId="19F36988"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Predio</w:t>
            </w:r>
          </w:p>
        </w:tc>
        <w:tc>
          <w:tcPr>
            <w:tcW w:w="0" w:type="auto"/>
            <w:shd w:val="clear" w:color="auto" w:fill="FFFFFF" w:themeFill="background1"/>
            <w:hideMark/>
          </w:tcPr>
          <w:p w14:paraId="2A244EF0"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Obras civiles de adecuación</w:t>
            </w:r>
          </w:p>
        </w:tc>
        <w:tc>
          <w:tcPr>
            <w:tcW w:w="0" w:type="auto"/>
            <w:shd w:val="clear" w:color="auto" w:fill="FFFFFF" w:themeFill="background1"/>
            <w:hideMark/>
          </w:tcPr>
          <w:p w14:paraId="4DF5206F"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Mantenimiento</w:t>
            </w:r>
          </w:p>
        </w:tc>
      </w:tr>
      <w:tr w:rsidR="004A3027" w:rsidRPr="00657BA6" w14:paraId="7C953AB7" w14:textId="77777777" w:rsidTr="006C794D">
        <w:trPr>
          <w:cnfStyle w:val="000000100000" w:firstRow="0" w:lastRow="0" w:firstColumn="0" w:lastColumn="0" w:oddVBand="0" w:evenVBand="0" w:oddHBand="1" w:evenHBand="0" w:firstRowFirstColumn="0" w:firstRowLastColumn="0" w:lastRowFirstColumn="0" w:lastRowLastColumn="0"/>
          <w:trHeight w:val="220"/>
          <w:jc w:val="center"/>
        </w:trPr>
        <w:tc>
          <w:tcPr>
            <w:tcW w:w="2732" w:type="dxa"/>
            <w:vMerge/>
            <w:shd w:val="clear" w:color="auto" w:fill="FFFFFF" w:themeFill="background1"/>
            <w:hideMark/>
          </w:tcPr>
          <w:p w14:paraId="6224F5FD" w14:textId="77777777" w:rsidR="004A3027" w:rsidRPr="00657BA6" w:rsidRDefault="004A3027" w:rsidP="0014780A">
            <w:pPr>
              <w:spacing w:after="0"/>
              <w:jc w:val="both"/>
              <w:rPr>
                <w:rFonts w:ascii="Arial" w:eastAsia="Times New Roman" w:hAnsi="Arial" w:cs="Arial"/>
                <w:lang w:eastAsia="es-ES"/>
              </w:rPr>
            </w:pPr>
          </w:p>
        </w:tc>
        <w:tc>
          <w:tcPr>
            <w:tcW w:w="0" w:type="auto"/>
            <w:shd w:val="clear" w:color="auto" w:fill="FFFFFF" w:themeFill="background1"/>
            <w:hideMark/>
          </w:tcPr>
          <w:p w14:paraId="3EFDE4E5"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Adquisición</w:t>
            </w:r>
          </w:p>
        </w:tc>
        <w:tc>
          <w:tcPr>
            <w:tcW w:w="0" w:type="auto"/>
            <w:shd w:val="clear" w:color="auto" w:fill="FFFFFF" w:themeFill="background1"/>
            <w:hideMark/>
          </w:tcPr>
          <w:p w14:paraId="2D42F3F1"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Alquiler</w:t>
            </w:r>
          </w:p>
        </w:tc>
      </w:tr>
      <w:tr w:rsidR="004A3027" w:rsidRPr="00657BA6" w14:paraId="6A43AB25" w14:textId="77777777" w:rsidTr="006C794D">
        <w:trPr>
          <w:trHeight w:val="225"/>
          <w:jc w:val="center"/>
        </w:trPr>
        <w:tc>
          <w:tcPr>
            <w:tcW w:w="2732" w:type="dxa"/>
            <w:vMerge w:val="restart"/>
            <w:shd w:val="clear" w:color="auto" w:fill="D9D9D9" w:themeFill="background1" w:themeFillShade="D9"/>
            <w:hideMark/>
          </w:tcPr>
          <w:p w14:paraId="03FA7A57"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Central del PH</w:t>
            </w:r>
          </w:p>
        </w:tc>
        <w:tc>
          <w:tcPr>
            <w:tcW w:w="0" w:type="auto"/>
            <w:shd w:val="clear" w:color="auto" w:fill="D9D9D9" w:themeFill="background1" w:themeFillShade="D9"/>
            <w:hideMark/>
          </w:tcPr>
          <w:p w14:paraId="3B3418D3"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Adquisición, instalación y obras civiles</w:t>
            </w:r>
          </w:p>
        </w:tc>
        <w:tc>
          <w:tcPr>
            <w:tcW w:w="0" w:type="auto"/>
            <w:shd w:val="clear" w:color="auto" w:fill="D9D9D9" w:themeFill="background1" w:themeFillShade="D9"/>
            <w:hideMark/>
          </w:tcPr>
          <w:p w14:paraId="58A9197D"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Mantenimiento</w:t>
            </w:r>
          </w:p>
        </w:tc>
      </w:tr>
      <w:tr w:rsidR="004A3027" w:rsidRPr="00657BA6" w14:paraId="529C2560" w14:textId="77777777" w:rsidTr="006C794D">
        <w:trPr>
          <w:cnfStyle w:val="000000100000" w:firstRow="0" w:lastRow="0" w:firstColumn="0" w:lastColumn="0" w:oddVBand="0" w:evenVBand="0" w:oddHBand="1" w:evenHBand="0" w:firstRowFirstColumn="0" w:firstRowLastColumn="0" w:lastRowFirstColumn="0" w:lastRowLastColumn="0"/>
          <w:trHeight w:val="258"/>
          <w:jc w:val="center"/>
        </w:trPr>
        <w:tc>
          <w:tcPr>
            <w:tcW w:w="2732" w:type="dxa"/>
            <w:vMerge/>
            <w:shd w:val="clear" w:color="auto" w:fill="D9D9D9" w:themeFill="background1" w:themeFillShade="D9"/>
            <w:hideMark/>
          </w:tcPr>
          <w:p w14:paraId="4109A95F" w14:textId="77777777" w:rsidR="004A3027" w:rsidRPr="00657BA6" w:rsidRDefault="004A3027" w:rsidP="0014780A">
            <w:pPr>
              <w:spacing w:after="0"/>
              <w:jc w:val="both"/>
              <w:rPr>
                <w:rFonts w:ascii="Arial" w:eastAsia="Times New Roman" w:hAnsi="Arial" w:cs="Arial"/>
                <w:lang w:eastAsia="es-ES"/>
              </w:rPr>
            </w:pPr>
          </w:p>
        </w:tc>
        <w:tc>
          <w:tcPr>
            <w:tcW w:w="0" w:type="auto"/>
            <w:shd w:val="clear" w:color="auto" w:fill="D9D9D9" w:themeFill="background1" w:themeFillShade="D9"/>
            <w:hideMark/>
          </w:tcPr>
          <w:p w14:paraId="2AB36FD0" w14:textId="77777777" w:rsidR="004A3027" w:rsidRPr="00657BA6" w:rsidRDefault="004A3027" w:rsidP="0014780A">
            <w:pPr>
              <w:spacing w:after="0"/>
              <w:jc w:val="both"/>
              <w:rPr>
                <w:rFonts w:ascii="Arial" w:eastAsia="Times New Roman" w:hAnsi="Arial" w:cs="Arial"/>
                <w:lang w:eastAsia="es-ES"/>
              </w:rPr>
            </w:pPr>
          </w:p>
        </w:tc>
        <w:tc>
          <w:tcPr>
            <w:tcW w:w="0" w:type="auto"/>
            <w:shd w:val="clear" w:color="auto" w:fill="D9D9D9" w:themeFill="background1" w:themeFillShade="D9"/>
            <w:hideMark/>
          </w:tcPr>
          <w:p w14:paraId="40D55149"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Alquiler</w:t>
            </w:r>
          </w:p>
        </w:tc>
      </w:tr>
      <w:tr w:rsidR="004A3027" w:rsidRPr="00657BA6" w14:paraId="6ED99C3F" w14:textId="77777777" w:rsidTr="006C794D">
        <w:trPr>
          <w:trHeight w:val="289"/>
          <w:jc w:val="center"/>
        </w:trPr>
        <w:tc>
          <w:tcPr>
            <w:tcW w:w="2732" w:type="dxa"/>
            <w:vMerge w:val="restart"/>
            <w:shd w:val="clear" w:color="auto" w:fill="FFFFFF" w:themeFill="background1"/>
            <w:hideMark/>
          </w:tcPr>
          <w:p w14:paraId="4B52B522"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Sala de coubicación externa</w:t>
            </w:r>
          </w:p>
        </w:tc>
        <w:tc>
          <w:tcPr>
            <w:tcW w:w="0" w:type="auto"/>
            <w:shd w:val="clear" w:color="auto" w:fill="FFFFFF" w:themeFill="background1"/>
            <w:hideMark/>
          </w:tcPr>
          <w:p w14:paraId="3EFBAA59"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Adquisición, instalación y obras civiles</w:t>
            </w:r>
          </w:p>
        </w:tc>
        <w:tc>
          <w:tcPr>
            <w:tcW w:w="0" w:type="auto"/>
            <w:shd w:val="clear" w:color="auto" w:fill="FFFFFF" w:themeFill="background1"/>
            <w:hideMark/>
          </w:tcPr>
          <w:p w14:paraId="57C2FFBB"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Mantenimiento</w:t>
            </w:r>
          </w:p>
        </w:tc>
      </w:tr>
      <w:tr w:rsidR="004A3027" w:rsidRPr="00657BA6" w14:paraId="19709997" w14:textId="77777777" w:rsidTr="006C794D">
        <w:trPr>
          <w:cnfStyle w:val="000000100000" w:firstRow="0" w:lastRow="0" w:firstColumn="0" w:lastColumn="0" w:oddVBand="0" w:evenVBand="0" w:oddHBand="1" w:evenHBand="0" w:firstRowFirstColumn="0" w:firstRowLastColumn="0" w:lastRowFirstColumn="0" w:lastRowLastColumn="0"/>
          <w:trHeight w:val="266"/>
          <w:jc w:val="center"/>
        </w:trPr>
        <w:tc>
          <w:tcPr>
            <w:tcW w:w="2732" w:type="dxa"/>
            <w:vMerge/>
            <w:shd w:val="clear" w:color="auto" w:fill="FFFFFF" w:themeFill="background1"/>
            <w:hideMark/>
          </w:tcPr>
          <w:p w14:paraId="2D4C0BA2" w14:textId="77777777" w:rsidR="004A3027" w:rsidRPr="00657BA6" w:rsidRDefault="004A3027" w:rsidP="0014780A">
            <w:pPr>
              <w:spacing w:after="0"/>
              <w:jc w:val="both"/>
              <w:rPr>
                <w:rFonts w:ascii="Arial" w:eastAsia="Times New Roman" w:hAnsi="Arial" w:cs="Arial"/>
                <w:lang w:eastAsia="es-ES"/>
              </w:rPr>
            </w:pPr>
          </w:p>
        </w:tc>
        <w:tc>
          <w:tcPr>
            <w:tcW w:w="0" w:type="auto"/>
            <w:shd w:val="clear" w:color="auto" w:fill="FFFFFF" w:themeFill="background1"/>
            <w:hideMark/>
          </w:tcPr>
          <w:p w14:paraId="59670B4F" w14:textId="77777777" w:rsidR="004A3027" w:rsidRPr="00657BA6" w:rsidRDefault="004A3027" w:rsidP="0014780A">
            <w:pPr>
              <w:spacing w:after="0"/>
              <w:jc w:val="both"/>
              <w:rPr>
                <w:rFonts w:ascii="Arial" w:eastAsia="Times New Roman" w:hAnsi="Arial" w:cs="Arial"/>
                <w:lang w:eastAsia="es-ES"/>
              </w:rPr>
            </w:pPr>
          </w:p>
        </w:tc>
        <w:tc>
          <w:tcPr>
            <w:tcW w:w="0" w:type="auto"/>
            <w:shd w:val="clear" w:color="auto" w:fill="FFFFFF" w:themeFill="background1"/>
            <w:hideMark/>
          </w:tcPr>
          <w:p w14:paraId="6129BE26"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Alquiler</w:t>
            </w:r>
          </w:p>
        </w:tc>
      </w:tr>
      <w:tr w:rsidR="004A3027" w:rsidRPr="00657BA6" w14:paraId="6D8DC6AA" w14:textId="77777777" w:rsidTr="006C794D">
        <w:trPr>
          <w:trHeight w:val="425"/>
          <w:jc w:val="center"/>
        </w:trPr>
        <w:tc>
          <w:tcPr>
            <w:tcW w:w="2732" w:type="dxa"/>
            <w:shd w:val="clear" w:color="auto" w:fill="D9D9D9" w:themeFill="background1" w:themeFillShade="D9"/>
            <w:hideMark/>
          </w:tcPr>
          <w:p w14:paraId="0FC0EAE8"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Subestación eléctrica (AC 127V o DC 48V)</w:t>
            </w:r>
          </w:p>
        </w:tc>
        <w:tc>
          <w:tcPr>
            <w:tcW w:w="0" w:type="auto"/>
            <w:shd w:val="clear" w:color="auto" w:fill="D9D9D9" w:themeFill="background1" w:themeFillShade="D9"/>
            <w:hideMark/>
          </w:tcPr>
          <w:p w14:paraId="770090D5"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 xml:space="preserve">Adquisición e instalación </w:t>
            </w:r>
          </w:p>
        </w:tc>
        <w:tc>
          <w:tcPr>
            <w:tcW w:w="0" w:type="auto"/>
            <w:shd w:val="clear" w:color="auto" w:fill="D9D9D9" w:themeFill="background1" w:themeFillShade="D9"/>
            <w:hideMark/>
          </w:tcPr>
          <w:p w14:paraId="6BC13150"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Mantenimiento</w:t>
            </w:r>
          </w:p>
        </w:tc>
      </w:tr>
      <w:tr w:rsidR="004A3027" w:rsidRPr="00657BA6" w14:paraId="1B650478" w14:textId="77777777" w:rsidTr="006C794D">
        <w:trPr>
          <w:cnfStyle w:val="000000100000" w:firstRow="0" w:lastRow="0" w:firstColumn="0" w:lastColumn="0" w:oddVBand="0" w:evenVBand="0" w:oddHBand="1" w:evenHBand="0" w:firstRowFirstColumn="0" w:firstRowLastColumn="0" w:lastRowFirstColumn="0" w:lastRowLastColumn="0"/>
          <w:trHeight w:val="503"/>
          <w:jc w:val="center"/>
        </w:trPr>
        <w:tc>
          <w:tcPr>
            <w:tcW w:w="2732" w:type="dxa"/>
            <w:shd w:val="clear" w:color="auto" w:fill="FFFFFF" w:themeFill="background1"/>
            <w:hideMark/>
          </w:tcPr>
          <w:p w14:paraId="730B6AA8"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Fuente de energía de respaldo (generador y baterías) **</w:t>
            </w:r>
          </w:p>
        </w:tc>
        <w:tc>
          <w:tcPr>
            <w:tcW w:w="0" w:type="auto"/>
            <w:shd w:val="clear" w:color="auto" w:fill="FFFFFF" w:themeFill="background1"/>
            <w:hideMark/>
          </w:tcPr>
          <w:p w14:paraId="18079576"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 xml:space="preserve">Adquisición e instalación </w:t>
            </w:r>
          </w:p>
        </w:tc>
        <w:tc>
          <w:tcPr>
            <w:tcW w:w="0" w:type="auto"/>
            <w:shd w:val="clear" w:color="auto" w:fill="FFFFFF" w:themeFill="background1"/>
            <w:hideMark/>
          </w:tcPr>
          <w:p w14:paraId="75FD8F07"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Mantenimiento</w:t>
            </w:r>
          </w:p>
        </w:tc>
      </w:tr>
      <w:tr w:rsidR="004A3027" w:rsidRPr="00657BA6" w14:paraId="083C934A" w14:textId="77777777" w:rsidTr="006C794D">
        <w:trPr>
          <w:trHeight w:val="251"/>
          <w:jc w:val="center"/>
        </w:trPr>
        <w:tc>
          <w:tcPr>
            <w:tcW w:w="2732" w:type="dxa"/>
            <w:shd w:val="clear" w:color="auto" w:fill="D9D9D9" w:themeFill="background1" w:themeFillShade="D9"/>
            <w:hideMark/>
          </w:tcPr>
          <w:p w14:paraId="0D692C10"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Aire acondicionado</w:t>
            </w:r>
          </w:p>
        </w:tc>
        <w:tc>
          <w:tcPr>
            <w:tcW w:w="0" w:type="auto"/>
            <w:shd w:val="clear" w:color="auto" w:fill="D9D9D9" w:themeFill="background1" w:themeFillShade="D9"/>
            <w:hideMark/>
          </w:tcPr>
          <w:p w14:paraId="16CC2BB2"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 xml:space="preserve">Adquisición e instalación </w:t>
            </w:r>
          </w:p>
        </w:tc>
        <w:tc>
          <w:tcPr>
            <w:tcW w:w="0" w:type="auto"/>
            <w:shd w:val="clear" w:color="auto" w:fill="D9D9D9" w:themeFill="background1" w:themeFillShade="D9"/>
            <w:hideMark/>
          </w:tcPr>
          <w:p w14:paraId="31B502E3"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val="es-ES_tradnl" w:eastAsia="es-ES"/>
              </w:rPr>
              <w:t>Mantenimiento y energía</w:t>
            </w:r>
          </w:p>
        </w:tc>
      </w:tr>
    </w:tbl>
    <w:p w14:paraId="16EB22AD" w14:textId="77777777" w:rsidR="004A3027" w:rsidRPr="00657BA6" w:rsidRDefault="004A3027" w:rsidP="0014780A">
      <w:pPr>
        <w:spacing w:after="0"/>
        <w:jc w:val="center"/>
        <w:rPr>
          <w:rFonts w:ascii="Arial" w:eastAsia="Times New Roman" w:hAnsi="Arial" w:cs="Arial"/>
          <w:lang w:eastAsia="es-ES"/>
        </w:rPr>
      </w:pPr>
      <w:r w:rsidRPr="00657BA6">
        <w:rPr>
          <w:rFonts w:ascii="Arial" w:eastAsia="Times New Roman" w:hAnsi="Arial" w:cs="Arial"/>
          <w:lang w:eastAsia="es-ES"/>
        </w:rPr>
        <w:t>Tabla 10. Principales conceptos de capex y opex por activo.</w:t>
      </w:r>
    </w:p>
    <w:p w14:paraId="559E0171" w14:textId="77777777" w:rsidR="004A3027" w:rsidRPr="00657BA6" w:rsidRDefault="004A3027" w:rsidP="0014780A">
      <w:pPr>
        <w:spacing w:after="0"/>
        <w:jc w:val="both"/>
        <w:rPr>
          <w:rFonts w:ascii="Arial" w:eastAsia="Times New Roman" w:hAnsi="Arial" w:cs="Arial"/>
          <w:lang w:eastAsia="es-ES"/>
        </w:rPr>
      </w:pPr>
    </w:p>
    <w:p w14:paraId="29AA278A"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Para la recuperación de los costos se implementa una anualidad (</w:t>
      </w:r>
      <w:r w:rsidRPr="00657BA6">
        <w:rPr>
          <w:rFonts w:ascii="Arial" w:hAnsi="Arial" w:cs="Arial"/>
        </w:rPr>
        <w:t>annuity</w:t>
      </w:r>
      <w:r w:rsidRPr="00657BA6">
        <w:rPr>
          <w:rFonts w:ascii="Arial" w:eastAsia="Times New Roman" w:hAnsi="Arial" w:cs="Arial"/>
          <w:lang w:eastAsia="es-ES"/>
        </w:rPr>
        <w:t>), considerando perfiles de vidas útiles contables.</w:t>
      </w:r>
    </w:p>
    <w:p w14:paraId="7FBBAAA7" w14:textId="77777777" w:rsidR="004A3027" w:rsidRPr="00657BA6" w:rsidRDefault="004A3027" w:rsidP="0014780A">
      <w:pPr>
        <w:spacing w:after="0"/>
        <w:jc w:val="both"/>
        <w:rPr>
          <w:rFonts w:ascii="Arial" w:eastAsia="Times New Roman" w:hAnsi="Arial" w:cs="Arial"/>
          <w:lang w:eastAsia="es-ES"/>
        </w:rPr>
      </w:pPr>
    </w:p>
    <w:p w14:paraId="3317D574" w14:textId="0BC11BA0" w:rsidR="00742FBB" w:rsidRPr="00966DD6" w:rsidRDefault="004A3027" w:rsidP="00742FBB">
      <w:pPr>
        <w:spacing w:after="0"/>
        <w:jc w:val="both"/>
        <w:rPr>
          <w:rFonts w:ascii="Arial" w:hAnsi="Arial" w:cs="Arial"/>
          <w:lang w:val="es-ES"/>
        </w:rPr>
      </w:pPr>
      <w:r w:rsidRPr="00657BA6">
        <w:rPr>
          <w:rFonts w:ascii="Arial" w:eastAsia="Times New Roman" w:hAnsi="Arial" w:cs="Arial"/>
          <w:lang w:eastAsia="es-ES"/>
        </w:rPr>
        <w:t xml:space="preserve">El modelo debe incluir un retorno razonable sobre los activos, de conformidad con el Lineamiento Noveno de la Metodología de Costos, este será determinado a través del costo de capital promedio ponderado (CCPP). </w:t>
      </w:r>
      <w:r w:rsidR="00742FBB">
        <w:rPr>
          <w:rFonts w:ascii="Arial" w:hAnsi="Arial" w:cs="Arial"/>
        </w:rPr>
        <w:t>P</w:t>
      </w:r>
      <w:r w:rsidR="00742FBB">
        <w:rPr>
          <w:rFonts w:ascii="Arial" w:hAnsi="Arial" w:cs="Arial"/>
          <w:lang w:val="es-ES"/>
        </w:rPr>
        <w:t>ara el cálculo de estas tarifas, se usará el CCPP nominal para el sector fijo antes calculado representativo a nivel industrial.</w:t>
      </w:r>
    </w:p>
    <w:p w14:paraId="4794FD97" w14:textId="77777777" w:rsidR="004A3027" w:rsidRPr="00657BA6" w:rsidRDefault="004A3027" w:rsidP="0014780A">
      <w:pPr>
        <w:spacing w:after="0"/>
        <w:jc w:val="both"/>
        <w:rPr>
          <w:rFonts w:ascii="Arial" w:eastAsia="Times New Roman" w:hAnsi="Arial" w:cs="Arial"/>
          <w:lang w:eastAsia="es-ES"/>
        </w:rPr>
      </w:pPr>
    </w:p>
    <w:p w14:paraId="39D15BD4" w14:textId="77777777" w:rsidR="004A3027" w:rsidRPr="00657BA6" w:rsidRDefault="004A3027" w:rsidP="0014780A">
      <w:pPr>
        <w:spacing w:after="0"/>
        <w:jc w:val="both"/>
        <w:rPr>
          <w:rFonts w:ascii="Arial" w:eastAsia="Times New Roman" w:hAnsi="Arial" w:cs="Arial"/>
          <w:b/>
          <w:i/>
          <w:lang w:eastAsia="es-ES"/>
        </w:rPr>
      </w:pPr>
      <w:r w:rsidRPr="00657BA6">
        <w:rPr>
          <w:rFonts w:ascii="Arial" w:eastAsia="Times New Roman" w:hAnsi="Arial" w:cs="Arial"/>
          <w:b/>
          <w:i/>
          <w:lang w:eastAsia="es-ES"/>
        </w:rPr>
        <w:t>Asignación de costos</w:t>
      </w:r>
    </w:p>
    <w:p w14:paraId="2FBCA2EB" w14:textId="77777777" w:rsidR="004A3027" w:rsidRPr="00657BA6" w:rsidRDefault="004A3027" w:rsidP="0014780A">
      <w:pPr>
        <w:spacing w:after="0"/>
        <w:jc w:val="both"/>
        <w:rPr>
          <w:rFonts w:ascii="Arial" w:eastAsia="Times New Roman" w:hAnsi="Arial" w:cs="Arial"/>
          <w:lang w:eastAsia="es-ES"/>
        </w:rPr>
      </w:pPr>
    </w:p>
    <w:p w14:paraId="72C2CF1C"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 xml:space="preserve">En el Módulo de Precio se asignan los costos a los distintos activos y elementos de red en base a una serie de criterios claramente definidos, los cuales constituyen los </w:t>
      </w:r>
      <w:r w:rsidRPr="00657BA6">
        <w:rPr>
          <w:rFonts w:ascii="Arial" w:hAnsi="Arial" w:cs="Arial"/>
        </w:rPr>
        <w:t>drivers</w:t>
      </w:r>
      <w:r w:rsidRPr="00657BA6">
        <w:rPr>
          <w:rFonts w:ascii="Arial" w:eastAsia="Times New Roman" w:hAnsi="Arial" w:cs="Arial"/>
          <w:lang w:eastAsia="es-ES"/>
        </w:rPr>
        <w:t xml:space="preserve"> de asignación de costos para cada activo/elemento de red, principalmente se consideran los siguientes puntos:</w:t>
      </w:r>
    </w:p>
    <w:p w14:paraId="369058CA" w14:textId="77777777" w:rsidR="004A3027" w:rsidRPr="00657BA6" w:rsidRDefault="004A3027" w:rsidP="0014780A">
      <w:pPr>
        <w:spacing w:after="0"/>
        <w:jc w:val="both"/>
        <w:rPr>
          <w:rFonts w:ascii="Arial" w:eastAsia="Times New Roman" w:hAnsi="Arial" w:cs="Arial"/>
          <w:lang w:eastAsia="es-ES"/>
        </w:rPr>
      </w:pPr>
    </w:p>
    <w:p w14:paraId="5AAAFB59" w14:textId="77777777" w:rsidR="004A3027" w:rsidRPr="00657BA6" w:rsidRDefault="004A3027" w:rsidP="009640AE">
      <w:pPr>
        <w:numPr>
          <w:ilvl w:val="0"/>
          <w:numId w:val="38"/>
        </w:numPr>
        <w:tabs>
          <w:tab w:val="clear" w:pos="720"/>
          <w:tab w:val="num" w:pos="360"/>
          <w:tab w:val="num" w:pos="426"/>
        </w:tabs>
        <w:spacing w:after="0"/>
        <w:ind w:left="426" w:hanging="426"/>
        <w:jc w:val="both"/>
        <w:rPr>
          <w:rFonts w:ascii="Arial" w:eastAsia="Times New Roman" w:hAnsi="Arial" w:cs="Arial"/>
          <w:lang w:eastAsia="es-ES"/>
        </w:rPr>
      </w:pPr>
      <w:r w:rsidRPr="00657BA6">
        <w:rPr>
          <w:rFonts w:ascii="Arial" w:eastAsia="Times New Roman" w:hAnsi="Arial" w:cs="Arial"/>
          <w:b/>
          <w:lang w:eastAsia="es-ES"/>
        </w:rPr>
        <w:t>Asignación de los costos del predio:</w:t>
      </w:r>
      <w:r w:rsidRPr="00657BA6">
        <w:rPr>
          <w:rFonts w:ascii="Arial" w:eastAsia="Times New Roman" w:hAnsi="Arial" w:cs="Arial"/>
          <w:lang w:eastAsia="es-ES"/>
        </w:rPr>
        <w:t xml:space="preserve"> estos costos se reparten de manera proporcional al espacio horizontal ocupado por los operadores considerando el espacio requerido en la central del PH y en la sala de coubicación exterior.</w:t>
      </w:r>
    </w:p>
    <w:p w14:paraId="6C79677C" w14:textId="77777777" w:rsidR="004A3027" w:rsidRPr="00657BA6" w:rsidRDefault="004A3027" w:rsidP="0014780A">
      <w:pPr>
        <w:spacing w:after="0"/>
        <w:ind w:left="720"/>
        <w:jc w:val="both"/>
        <w:rPr>
          <w:rFonts w:ascii="Arial" w:eastAsia="Times New Roman" w:hAnsi="Arial" w:cs="Arial"/>
          <w:lang w:eastAsia="es-ES"/>
        </w:rPr>
      </w:pPr>
    </w:p>
    <w:p w14:paraId="0883FE4E" w14:textId="77777777" w:rsidR="004A3027" w:rsidRPr="00657BA6" w:rsidRDefault="004A3027" w:rsidP="0014780A">
      <w:pPr>
        <w:spacing w:after="0"/>
        <w:ind w:left="426"/>
        <w:jc w:val="both"/>
        <w:rPr>
          <w:rFonts w:ascii="Arial" w:eastAsia="Times New Roman" w:hAnsi="Arial" w:cs="Arial"/>
          <w:lang w:eastAsia="es-ES"/>
        </w:rPr>
      </w:pPr>
      <w:r w:rsidRPr="00657BA6">
        <w:rPr>
          <w:rFonts w:ascii="Arial" w:eastAsia="Times New Roman" w:hAnsi="Arial" w:cs="Arial"/>
          <w:lang w:eastAsia="es-ES"/>
        </w:rPr>
        <w:t>El área no construida libre se asigna en función del espacio funcional</w:t>
      </w:r>
      <w:r w:rsidRPr="00657BA6">
        <w:rPr>
          <w:rFonts w:ascii="Arial" w:eastAsia="Times New Roman" w:hAnsi="Arial" w:cs="Arial"/>
          <w:vertAlign w:val="superscript"/>
          <w:lang w:eastAsia="es-ES"/>
        </w:rPr>
        <w:footnoteReference w:id="44"/>
      </w:r>
      <w:r w:rsidRPr="00657BA6">
        <w:rPr>
          <w:rFonts w:ascii="Arial" w:eastAsia="Times New Roman" w:hAnsi="Arial" w:cs="Arial"/>
          <w:lang w:eastAsia="es-ES"/>
        </w:rPr>
        <w:t xml:space="preserve"> utilizado por cada operador; adicionalmente, el modelo permite asignar el costo total de este espacio al PH.</w:t>
      </w:r>
    </w:p>
    <w:p w14:paraId="4ABFAC5C" w14:textId="77777777" w:rsidR="004A3027" w:rsidRPr="00657BA6" w:rsidRDefault="004A3027" w:rsidP="0014780A">
      <w:pPr>
        <w:spacing w:after="0"/>
        <w:ind w:left="709"/>
        <w:jc w:val="both"/>
        <w:rPr>
          <w:rFonts w:ascii="Arial" w:eastAsia="Times New Roman" w:hAnsi="Arial" w:cs="Arial"/>
          <w:lang w:eastAsia="es-ES"/>
        </w:rPr>
      </w:pPr>
    </w:p>
    <w:p w14:paraId="36441DD7" w14:textId="77777777" w:rsidR="004A3027" w:rsidRPr="00657BA6" w:rsidRDefault="004A3027" w:rsidP="009640AE">
      <w:pPr>
        <w:numPr>
          <w:ilvl w:val="0"/>
          <w:numId w:val="38"/>
        </w:numPr>
        <w:tabs>
          <w:tab w:val="clear" w:pos="720"/>
          <w:tab w:val="num" w:pos="360"/>
          <w:tab w:val="num" w:pos="426"/>
        </w:tabs>
        <w:spacing w:after="0"/>
        <w:ind w:left="426" w:hanging="426"/>
        <w:jc w:val="both"/>
        <w:rPr>
          <w:rFonts w:ascii="Arial" w:eastAsia="Times New Roman" w:hAnsi="Arial" w:cs="Arial"/>
          <w:lang w:eastAsia="es-ES"/>
        </w:rPr>
      </w:pPr>
      <w:r w:rsidRPr="00657BA6">
        <w:rPr>
          <w:rFonts w:ascii="Arial" w:eastAsia="Times New Roman" w:hAnsi="Arial" w:cs="Arial"/>
          <w:b/>
          <w:lang w:eastAsia="es-ES"/>
        </w:rPr>
        <w:t xml:space="preserve">Asignación de los costos de la central: </w:t>
      </w:r>
      <w:r w:rsidRPr="00657BA6">
        <w:rPr>
          <w:rFonts w:ascii="Arial" w:eastAsia="Times New Roman" w:hAnsi="Arial" w:cs="Arial"/>
          <w:lang w:eastAsia="es-ES"/>
        </w:rPr>
        <w:t>se utilizan criterios de asignación diferentes según para qué se utilice la sala:</w:t>
      </w:r>
    </w:p>
    <w:p w14:paraId="6E398177" w14:textId="77777777" w:rsidR="004A3027" w:rsidRPr="00657BA6" w:rsidRDefault="004A3027" w:rsidP="0014780A">
      <w:pPr>
        <w:spacing w:after="0"/>
        <w:ind w:left="720"/>
        <w:jc w:val="both"/>
        <w:rPr>
          <w:rFonts w:ascii="Arial" w:eastAsia="Times New Roman" w:hAnsi="Arial" w:cs="Arial"/>
          <w:lang w:eastAsia="es-ES"/>
        </w:rPr>
      </w:pPr>
    </w:p>
    <w:tbl>
      <w:tblPr>
        <w:tblStyle w:val="Tabladecuadrcula4"/>
        <w:tblW w:w="0" w:type="auto"/>
        <w:tblLayout w:type="fixed"/>
        <w:tblLook w:val="0420" w:firstRow="1" w:lastRow="0" w:firstColumn="0" w:lastColumn="0" w:noHBand="0" w:noVBand="1"/>
      </w:tblPr>
      <w:tblGrid>
        <w:gridCol w:w="1847"/>
        <w:gridCol w:w="1735"/>
        <w:gridCol w:w="2321"/>
        <w:gridCol w:w="3491"/>
      </w:tblGrid>
      <w:tr w:rsidR="004A3027" w:rsidRPr="00657BA6" w14:paraId="57BDE342" w14:textId="77777777" w:rsidTr="006C794D">
        <w:trPr>
          <w:cnfStyle w:val="100000000000" w:firstRow="1" w:lastRow="0" w:firstColumn="0" w:lastColumn="0" w:oddVBand="0" w:evenVBand="0" w:oddHBand="0" w:evenHBand="0" w:firstRowFirstColumn="0" w:firstRowLastColumn="0" w:lastRowFirstColumn="0" w:lastRowLastColumn="0"/>
          <w:trHeight w:val="510"/>
        </w:trPr>
        <w:tc>
          <w:tcPr>
            <w:tcW w:w="1847"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2F28B38F" w14:textId="77777777" w:rsidR="004A3027" w:rsidRPr="00657BA6" w:rsidRDefault="004A3027" w:rsidP="0014780A">
            <w:pPr>
              <w:spacing w:after="0"/>
              <w:ind w:left="77"/>
              <w:jc w:val="center"/>
              <w:rPr>
                <w:rFonts w:ascii="Arial" w:hAnsi="Arial" w:cs="Arial"/>
                <w:color w:val="auto"/>
              </w:rPr>
            </w:pPr>
            <w:r w:rsidRPr="00657BA6">
              <w:rPr>
                <w:rFonts w:ascii="Arial" w:hAnsi="Arial" w:cs="Arial"/>
                <w:color w:val="auto"/>
                <w:lang w:val="es-ES_tradnl"/>
              </w:rPr>
              <w:t>Activo</w:t>
            </w:r>
          </w:p>
        </w:tc>
        <w:tc>
          <w:tcPr>
            <w:tcW w:w="173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477D3C35" w14:textId="77777777" w:rsidR="004A3027" w:rsidRPr="00657BA6" w:rsidRDefault="004A3027" w:rsidP="0014780A">
            <w:pPr>
              <w:spacing w:after="0"/>
              <w:ind w:left="215"/>
              <w:jc w:val="center"/>
              <w:rPr>
                <w:rFonts w:ascii="Arial" w:hAnsi="Arial" w:cs="Arial"/>
                <w:color w:val="auto"/>
              </w:rPr>
            </w:pPr>
            <w:r w:rsidRPr="00657BA6">
              <w:rPr>
                <w:rFonts w:ascii="Arial" w:hAnsi="Arial" w:cs="Arial"/>
                <w:color w:val="auto"/>
                <w:lang w:val="es-ES_tradnl"/>
              </w:rPr>
              <w:t>Sub-elemento</w:t>
            </w:r>
          </w:p>
        </w:tc>
        <w:tc>
          <w:tcPr>
            <w:tcW w:w="232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2A7B8D21" w14:textId="77777777" w:rsidR="004A3027" w:rsidRPr="00657BA6" w:rsidRDefault="004A3027" w:rsidP="0014780A">
            <w:pPr>
              <w:spacing w:after="0"/>
              <w:ind w:left="140"/>
              <w:jc w:val="center"/>
              <w:rPr>
                <w:rFonts w:ascii="Arial" w:hAnsi="Arial" w:cs="Arial"/>
                <w:color w:val="auto"/>
              </w:rPr>
            </w:pPr>
            <w:r w:rsidRPr="00657BA6">
              <w:rPr>
                <w:rFonts w:ascii="Arial" w:hAnsi="Arial" w:cs="Arial"/>
                <w:color w:val="auto"/>
                <w:lang w:val="es-ES_tradnl"/>
              </w:rPr>
              <w:t>Servicio</w:t>
            </w:r>
          </w:p>
        </w:tc>
        <w:tc>
          <w:tcPr>
            <w:tcW w:w="349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60E1F697" w14:textId="77777777" w:rsidR="004A3027" w:rsidRPr="00657BA6" w:rsidRDefault="004A3027" w:rsidP="0014780A">
            <w:pPr>
              <w:spacing w:after="0"/>
              <w:ind w:left="10"/>
              <w:jc w:val="center"/>
              <w:rPr>
                <w:rFonts w:ascii="Arial" w:hAnsi="Arial" w:cs="Arial"/>
                <w:color w:val="auto"/>
              </w:rPr>
            </w:pPr>
            <w:r w:rsidRPr="00657BA6">
              <w:rPr>
                <w:rFonts w:ascii="Arial" w:hAnsi="Arial" w:cs="Arial"/>
                <w:color w:val="auto"/>
                <w:lang w:val="es-ES_tradnl"/>
              </w:rPr>
              <w:t>Driver</w:t>
            </w:r>
          </w:p>
        </w:tc>
      </w:tr>
      <w:tr w:rsidR="004A3027" w:rsidRPr="00657BA6" w14:paraId="3455A768" w14:textId="77777777" w:rsidTr="006C794D">
        <w:trPr>
          <w:cnfStyle w:val="000000100000" w:firstRow="0" w:lastRow="0" w:firstColumn="0" w:lastColumn="0" w:oddVBand="0" w:evenVBand="0" w:oddHBand="1" w:evenHBand="0" w:firstRowFirstColumn="0" w:firstRowLastColumn="0" w:lastRowFirstColumn="0" w:lastRowLastColumn="0"/>
          <w:trHeight w:val="248"/>
        </w:trPr>
        <w:tc>
          <w:tcPr>
            <w:tcW w:w="1847" w:type="dxa"/>
            <w:vMerge w:val="restart"/>
            <w:tcBorders>
              <w:top w:val="single" w:sz="4" w:space="0" w:color="000000"/>
            </w:tcBorders>
            <w:hideMark/>
          </w:tcPr>
          <w:p w14:paraId="2AC4441A" w14:textId="77777777" w:rsidR="004A3027" w:rsidRPr="00657BA6" w:rsidRDefault="004A3027" w:rsidP="0014780A">
            <w:pPr>
              <w:spacing w:after="0"/>
              <w:ind w:left="77"/>
              <w:jc w:val="both"/>
              <w:rPr>
                <w:rFonts w:ascii="Arial" w:eastAsia="Times New Roman" w:hAnsi="Arial" w:cs="Arial"/>
                <w:lang w:eastAsia="es-ES"/>
              </w:rPr>
            </w:pPr>
            <w:r w:rsidRPr="00657BA6">
              <w:rPr>
                <w:rFonts w:ascii="Arial" w:eastAsia="Times New Roman" w:hAnsi="Arial" w:cs="Arial"/>
                <w:lang w:val="es-ES_tradnl" w:eastAsia="es-ES"/>
              </w:rPr>
              <w:t>Predio</w:t>
            </w:r>
          </w:p>
          <w:p w14:paraId="46756D37" w14:textId="77777777" w:rsidR="004A3027" w:rsidRPr="00657BA6" w:rsidRDefault="004A3027" w:rsidP="0014780A">
            <w:pPr>
              <w:spacing w:after="0"/>
              <w:ind w:left="77"/>
              <w:jc w:val="both"/>
              <w:rPr>
                <w:rFonts w:ascii="Arial" w:eastAsia="Times New Roman" w:hAnsi="Arial" w:cs="Arial"/>
                <w:lang w:eastAsia="es-ES"/>
              </w:rPr>
            </w:pPr>
          </w:p>
        </w:tc>
        <w:tc>
          <w:tcPr>
            <w:tcW w:w="1735" w:type="dxa"/>
            <w:tcBorders>
              <w:top w:val="single" w:sz="4" w:space="0" w:color="000000"/>
            </w:tcBorders>
            <w:hideMark/>
          </w:tcPr>
          <w:p w14:paraId="21EBB3AB" w14:textId="77777777" w:rsidR="004A3027" w:rsidRPr="00657BA6" w:rsidRDefault="004A3027" w:rsidP="0014780A">
            <w:pPr>
              <w:spacing w:after="0"/>
              <w:ind w:left="83"/>
              <w:rPr>
                <w:rFonts w:ascii="Arial" w:eastAsia="Times New Roman" w:hAnsi="Arial" w:cs="Arial"/>
                <w:lang w:eastAsia="es-ES"/>
              </w:rPr>
            </w:pPr>
            <w:r w:rsidRPr="00657BA6">
              <w:rPr>
                <w:rFonts w:ascii="Arial" w:eastAsia="Times New Roman" w:hAnsi="Arial" w:cs="Arial"/>
                <w:lang w:val="es-ES_tradnl" w:eastAsia="es-ES"/>
              </w:rPr>
              <w:t>Área caseta central</w:t>
            </w:r>
          </w:p>
        </w:tc>
        <w:tc>
          <w:tcPr>
            <w:tcW w:w="2321" w:type="dxa"/>
            <w:tcBorders>
              <w:top w:val="single" w:sz="4" w:space="0" w:color="000000"/>
            </w:tcBorders>
            <w:hideMark/>
          </w:tcPr>
          <w:p w14:paraId="6A58750B" w14:textId="77777777" w:rsidR="004A3027" w:rsidRPr="00657BA6" w:rsidRDefault="004A3027" w:rsidP="0014780A">
            <w:pPr>
              <w:spacing w:after="0"/>
              <w:ind w:left="83"/>
              <w:jc w:val="both"/>
              <w:rPr>
                <w:rFonts w:ascii="Arial" w:eastAsia="Times New Roman" w:hAnsi="Arial" w:cs="Arial"/>
                <w:lang w:eastAsia="es-ES"/>
              </w:rPr>
            </w:pPr>
            <w:r w:rsidRPr="00657BA6">
              <w:rPr>
                <w:rFonts w:ascii="Arial" w:eastAsia="Times New Roman" w:hAnsi="Arial" w:cs="Arial"/>
                <w:lang w:val="es-ES_tradnl" w:eastAsia="es-ES"/>
              </w:rPr>
              <w:t>Coubicación (CI/CE)</w:t>
            </w:r>
          </w:p>
        </w:tc>
        <w:tc>
          <w:tcPr>
            <w:tcW w:w="3491" w:type="dxa"/>
            <w:tcBorders>
              <w:top w:val="single" w:sz="4" w:space="0" w:color="000000"/>
            </w:tcBorders>
            <w:hideMark/>
          </w:tcPr>
          <w:p w14:paraId="5E8F239A" w14:textId="77777777" w:rsidR="004A3027" w:rsidRPr="00657BA6" w:rsidRDefault="004A3027" w:rsidP="0014780A">
            <w:pPr>
              <w:spacing w:after="0"/>
              <w:ind w:left="85"/>
              <w:jc w:val="both"/>
              <w:rPr>
                <w:rFonts w:ascii="Arial" w:eastAsia="Times New Roman" w:hAnsi="Arial" w:cs="Arial"/>
                <w:lang w:eastAsia="es-ES"/>
              </w:rPr>
            </w:pPr>
            <w:r w:rsidRPr="00657BA6">
              <w:rPr>
                <w:rFonts w:ascii="Arial" w:eastAsia="Times New Roman" w:hAnsi="Arial" w:cs="Arial"/>
                <w:lang w:val="es-ES_tradnl" w:eastAsia="es-ES"/>
              </w:rPr>
              <w:t>Espacio funcional* utilizado por operador en la central</w:t>
            </w:r>
          </w:p>
        </w:tc>
      </w:tr>
      <w:tr w:rsidR="004A3027" w:rsidRPr="00657BA6" w14:paraId="254244F7" w14:textId="77777777" w:rsidTr="006C794D">
        <w:trPr>
          <w:trHeight w:val="248"/>
        </w:trPr>
        <w:tc>
          <w:tcPr>
            <w:tcW w:w="1847" w:type="dxa"/>
            <w:vMerge/>
            <w:hideMark/>
          </w:tcPr>
          <w:p w14:paraId="5504202A" w14:textId="77777777" w:rsidR="004A3027" w:rsidRPr="00657BA6" w:rsidRDefault="004A3027" w:rsidP="0014780A">
            <w:pPr>
              <w:spacing w:after="0"/>
              <w:ind w:left="77"/>
              <w:jc w:val="both"/>
              <w:rPr>
                <w:rFonts w:ascii="Arial" w:eastAsia="Times New Roman" w:hAnsi="Arial" w:cs="Arial"/>
                <w:lang w:eastAsia="es-ES"/>
              </w:rPr>
            </w:pPr>
          </w:p>
        </w:tc>
        <w:tc>
          <w:tcPr>
            <w:tcW w:w="1735" w:type="dxa"/>
            <w:hideMark/>
          </w:tcPr>
          <w:p w14:paraId="1A52CDDE" w14:textId="77777777" w:rsidR="004A3027" w:rsidRPr="00657BA6" w:rsidRDefault="004A3027" w:rsidP="0014780A">
            <w:pPr>
              <w:spacing w:after="0"/>
              <w:ind w:left="83"/>
              <w:rPr>
                <w:rFonts w:ascii="Arial" w:eastAsia="Times New Roman" w:hAnsi="Arial" w:cs="Arial"/>
                <w:lang w:eastAsia="es-ES"/>
              </w:rPr>
            </w:pPr>
            <w:r w:rsidRPr="00657BA6">
              <w:rPr>
                <w:rFonts w:ascii="Arial" w:eastAsia="Times New Roman" w:hAnsi="Arial" w:cs="Arial"/>
                <w:lang w:val="es-ES_tradnl" w:eastAsia="es-ES"/>
              </w:rPr>
              <w:t>Área sala coubicación externa</w:t>
            </w:r>
          </w:p>
        </w:tc>
        <w:tc>
          <w:tcPr>
            <w:tcW w:w="2321" w:type="dxa"/>
            <w:hideMark/>
          </w:tcPr>
          <w:p w14:paraId="75B0729F" w14:textId="77777777" w:rsidR="004A3027" w:rsidRPr="00657BA6" w:rsidRDefault="004A3027" w:rsidP="0014780A">
            <w:pPr>
              <w:spacing w:after="0"/>
              <w:ind w:left="83"/>
              <w:jc w:val="both"/>
              <w:rPr>
                <w:rFonts w:ascii="Arial" w:eastAsia="Times New Roman" w:hAnsi="Arial" w:cs="Arial"/>
                <w:lang w:eastAsia="es-ES"/>
              </w:rPr>
            </w:pPr>
            <w:r w:rsidRPr="00657BA6">
              <w:rPr>
                <w:rFonts w:ascii="Arial" w:eastAsia="Times New Roman" w:hAnsi="Arial" w:cs="Arial"/>
                <w:lang w:val="es-ES_tradnl" w:eastAsia="es-ES"/>
              </w:rPr>
              <w:t>Coubicación externa (CE)</w:t>
            </w:r>
          </w:p>
        </w:tc>
        <w:tc>
          <w:tcPr>
            <w:tcW w:w="3491" w:type="dxa"/>
            <w:hideMark/>
          </w:tcPr>
          <w:p w14:paraId="0D2A27B7" w14:textId="77777777" w:rsidR="004A3027" w:rsidRPr="00657BA6" w:rsidRDefault="004A3027" w:rsidP="0014780A">
            <w:pPr>
              <w:spacing w:after="0"/>
              <w:ind w:left="85"/>
              <w:jc w:val="both"/>
              <w:rPr>
                <w:rFonts w:ascii="Arial" w:eastAsia="Times New Roman" w:hAnsi="Arial" w:cs="Arial"/>
                <w:lang w:eastAsia="es-ES"/>
              </w:rPr>
            </w:pPr>
            <w:r w:rsidRPr="00657BA6">
              <w:rPr>
                <w:rFonts w:ascii="Arial" w:eastAsia="Times New Roman" w:hAnsi="Arial" w:cs="Arial"/>
                <w:lang w:val="es-ES_tradnl" w:eastAsia="es-ES"/>
              </w:rPr>
              <w:t>Espacio para CE por CS</w:t>
            </w:r>
          </w:p>
        </w:tc>
      </w:tr>
      <w:tr w:rsidR="004A3027" w:rsidRPr="00657BA6" w14:paraId="009EC733" w14:textId="77777777" w:rsidTr="006C794D">
        <w:trPr>
          <w:cnfStyle w:val="000000100000" w:firstRow="0" w:lastRow="0" w:firstColumn="0" w:lastColumn="0" w:oddVBand="0" w:evenVBand="0" w:oddHBand="1" w:evenHBand="0" w:firstRowFirstColumn="0" w:firstRowLastColumn="0" w:lastRowFirstColumn="0" w:lastRowLastColumn="0"/>
          <w:trHeight w:val="248"/>
        </w:trPr>
        <w:tc>
          <w:tcPr>
            <w:tcW w:w="1847" w:type="dxa"/>
            <w:vMerge/>
            <w:hideMark/>
          </w:tcPr>
          <w:p w14:paraId="7A5C7505" w14:textId="77777777" w:rsidR="004A3027" w:rsidRPr="00657BA6" w:rsidRDefault="004A3027" w:rsidP="0014780A">
            <w:pPr>
              <w:spacing w:after="0"/>
              <w:ind w:left="77"/>
              <w:jc w:val="both"/>
              <w:rPr>
                <w:rFonts w:ascii="Arial" w:eastAsia="Times New Roman" w:hAnsi="Arial" w:cs="Arial"/>
                <w:lang w:eastAsia="es-ES"/>
              </w:rPr>
            </w:pPr>
          </w:p>
        </w:tc>
        <w:tc>
          <w:tcPr>
            <w:tcW w:w="1735" w:type="dxa"/>
            <w:hideMark/>
          </w:tcPr>
          <w:p w14:paraId="480230FC" w14:textId="77777777" w:rsidR="004A3027" w:rsidRPr="00657BA6" w:rsidRDefault="004A3027" w:rsidP="0014780A">
            <w:pPr>
              <w:spacing w:after="0"/>
              <w:ind w:left="83"/>
              <w:rPr>
                <w:rFonts w:ascii="Arial" w:eastAsia="Times New Roman" w:hAnsi="Arial" w:cs="Arial"/>
                <w:lang w:eastAsia="es-ES"/>
              </w:rPr>
            </w:pPr>
            <w:r w:rsidRPr="00657BA6">
              <w:rPr>
                <w:rFonts w:ascii="Arial" w:eastAsia="Times New Roman" w:hAnsi="Arial" w:cs="Arial"/>
                <w:lang w:val="es-ES_tradnl" w:eastAsia="es-ES"/>
              </w:rPr>
              <w:t>Área no construida / libre</w:t>
            </w:r>
          </w:p>
        </w:tc>
        <w:tc>
          <w:tcPr>
            <w:tcW w:w="2321" w:type="dxa"/>
            <w:hideMark/>
          </w:tcPr>
          <w:p w14:paraId="171E0A3E" w14:textId="77777777" w:rsidR="004A3027" w:rsidRPr="00657BA6" w:rsidRDefault="004A3027" w:rsidP="0014780A">
            <w:pPr>
              <w:spacing w:after="0"/>
              <w:ind w:left="83"/>
              <w:jc w:val="both"/>
              <w:rPr>
                <w:rFonts w:ascii="Arial" w:eastAsia="Times New Roman" w:hAnsi="Arial" w:cs="Arial"/>
                <w:lang w:eastAsia="es-ES"/>
              </w:rPr>
            </w:pPr>
            <w:r w:rsidRPr="00657BA6">
              <w:rPr>
                <w:rFonts w:ascii="Arial" w:eastAsia="Times New Roman" w:hAnsi="Arial" w:cs="Arial"/>
                <w:lang w:val="es-ES_tradnl" w:eastAsia="es-ES"/>
              </w:rPr>
              <w:t>Coubicación (CI/CE)</w:t>
            </w:r>
          </w:p>
        </w:tc>
        <w:tc>
          <w:tcPr>
            <w:tcW w:w="3491" w:type="dxa"/>
            <w:hideMark/>
          </w:tcPr>
          <w:p w14:paraId="767BA611" w14:textId="77777777" w:rsidR="004A3027" w:rsidRPr="00657BA6" w:rsidRDefault="004A3027" w:rsidP="0014780A">
            <w:pPr>
              <w:spacing w:after="0"/>
              <w:ind w:left="85"/>
              <w:jc w:val="both"/>
              <w:rPr>
                <w:rFonts w:ascii="Arial" w:eastAsia="Times New Roman" w:hAnsi="Arial" w:cs="Arial"/>
                <w:lang w:eastAsia="es-ES"/>
              </w:rPr>
            </w:pPr>
            <w:r w:rsidRPr="00657BA6">
              <w:rPr>
                <w:rFonts w:ascii="Arial" w:eastAsia="Times New Roman" w:hAnsi="Arial" w:cs="Arial"/>
                <w:lang w:val="es-ES_tradnl" w:eastAsia="es-ES"/>
              </w:rPr>
              <w:t>Espacio funcional* utilizado por operador. El modelo permite asignar el costo total de este elemento al PH</w:t>
            </w:r>
          </w:p>
        </w:tc>
      </w:tr>
      <w:tr w:rsidR="004A3027" w:rsidRPr="00657BA6" w14:paraId="302C9566" w14:textId="77777777" w:rsidTr="006C794D">
        <w:trPr>
          <w:trHeight w:val="248"/>
        </w:trPr>
        <w:tc>
          <w:tcPr>
            <w:tcW w:w="1847" w:type="dxa"/>
            <w:vMerge w:val="restart"/>
          </w:tcPr>
          <w:p w14:paraId="664CAE17" w14:textId="77777777" w:rsidR="004A3027" w:rsidRPr="00657BA6" w:rsidRDefault="004A3027" w:rsidP="0014780A">
            <w:pPr>
              <w:spacing w:after="0"/>
              <w:ind w:left="75"/>
              <w:jc w:val="both"/>
              <w:rPr>
                <w:rFonts w:ascii="Arial" w:eastAsia="Times New Roman" w:hAnsi="Arial" w:cs="Arial"/>
                <w:lang w:eastAsia="es-ES"/>
              </w:rPr>
            </w:pPr>
            <w:r w:rsidRPr="00657BA6">
              <w:rPr>
                <w:rFonts w:ascii="Arial" w:eastAsia="Times New Roman" w:hAnsi="Arial" w:cs="Arial"/>
                <w:lang w:eastAsia="es-ES"/>
              </w:rPr>
              <w:t>Central PH</w:t>
            </w:r>
          </w:p>
        </w:tc>
        <w:tc>
          <w:tcPr>
            <w:tcW w:w="1735" w:type="dxa"/>
          </w:tcPr>
          <w:p w14:paraId="26BF9BE6" w14:textId="77777777" w:rsidR="004A3027" w:rsidRPr="00657BA6" w:rsidRDefault="004A3027" w:rsidP="0014780A">
            <w:pPr>
              <w:spacing w:after="0"/>
              <w:ind w:left="83"/>
              <w:rPr>
                <w:rFonts w:ascii="Arial" w:eastAsia="Times New Roman" w:hAnsi="Arial" w:cs="Arial"/>
                <w:lang w:val="es-ES_tradnl" w:eastAsia="es-ES"/>
              </w:rPr>
            </w:pPr>
            <w:r w:rsidRPr="00657BA6">
              <w:rPr>
                <w:rFonts w:ascii="Arial" w:eastAsia="Times New Roman" w:hAnsi="Arial" w:cs="Arial"/>
                <w:lang w:val="es-ES_tradnl" w:eastAsia="es-ES"/>
              </w:rPr>
              <w:t>Sala MDF/ODF PH</w:t>
            </w:r>
          </w:p>
        </w:tc>
        <w:tc>
          <w:tcPr>
            <w:tcW w:w="2321" w:type="dxa"/>
          </w:tcPr>
          <w:p w14:paraId="1FCC88F2" w14:textId="77777777" w:rsidR="004A3027" w:rsidRPr="00657BA6" w:rsidRDefault="004A3027" w:rsidP="0014780A">
            <w:pPr>
              <w:spacing w:after="0"/>
              <w:ind w:left="83"/>
              <w:jc w:val="both"/>
              <w:rPr>
                <w:rFonts w:ascii="Arial" w:eastAsia="Times New Roman" w:hAnsi="Arial" w:cs="Arial"/>
                <w:lang w:val="es-ES_tradnl" w:eastAsia="es-ES"/>
              </w:rPr>
            </w:pPr>
            <w:r w:rsidRPr="00657BA6">
              <w:rPr>
                <w:rFonts w:ascii="Arial" w:eastAsia="Times New Roman" w:hAnsi="Arial" w:cs="Arial"/>
                <w:lang w:val="es-ES_tradnl" w:eastAsia="es-ES"/>
              </w:rPr>
              <w:t>Espacio dedicado y asignado en su totalidad al PH</w:t>
            </w:r>
          </w:p>
        </w:tc>
        <w:tc>
          <w:tcPr>
            <w:tcW w:w="3491" w:type="dxa"/>
          </w:tcPr>
          <w:p w14:paraId="04AE5CD9" w14:textId="77777777" w:rsidR="004A3027" w:rsidRPr="00657BA6" w:rsidRDefault="004A3027" w:rsidP="0014780A">
            <w:pPr>
              <w:spacing w:after="0"/>
              <w:ind w:left="85"/>
              <w:jc w:val="both"/>
              <w:rPr>
                <w:rFonts w:ascii="Arial" w:eastAsia="Times New Roman" w:hAnsi="Arial" w:cs="Arial"/>
                <w:lang w:val="es-ES_tradnl" w:eastAsia="es-ES"/>
              </w:rPr>
            </w:pPr>
            <w:r w:rsidRPr="00657BA6">
              <w:rPr>
                <w:rFonts w:ascii="Arial" w:eastAsia="Times New Roman" w:hAnsi="Arial" w:cs="Arial"/>
                <w:lang w:val="es-ES_tradnl" w:eastAsia="es-ES"/>
              </w:rPr>
              <w:t>Sala MDF/ODF PH</w:t>
            </w:r>
          </w:p>
        </w:tc>
      </w:tr>
      <w:tr w:rsidR="004A3027" w:rsidRPr="00657BA6" w14:paraId="348E13C3" w14:textId="77777777" w:rsidTr="006C794D">
        <w:trPr>
          <w:cnfStyle w:val="000000100000" w:firstRow="0" w:lastRow="0" w:firstColumn="0" w:lastColumn="0" w:oddVBand="0" w:evenVBand="0" w:oddHBand="1" w:evenHBand="0" w:firstRowFirstColumn="0" w:firstRowLastColumn="0" w:lastRowFirstColumn="0" w:lastRowLastColumn="0"/>
          <w:trHeight w:val="248"/>
        </w:trPr>
        <w:tc>
          <w:tcPr>
            <w:tcW w:w="1847" w:type="dxa"/>
            <w:vMerge/>
            <w:hideMark/>
          </w:tcPr>
          <w:p w14:paraId="396C361C" w14:textId="77777777" w:rsidR="004A3027" w:rsidRPr="00657BA6" w:rsidRDefault="004A3027" w:rsidP="0014780A">
            <w:pPr>
              <w:spacing w:after="0"/>
              <w:ind w:left="75"/>
              <w:jc w:val="both"/>
              <w:rPr>
                <w:rFonts w:ascii="Arial" w:eastAsia="Times New Roman" w:hAnsi="Arial" w:cs="Arial"/>
                <w:lang w:eastAsia="es-ES"/>
              </w:rPr>
            </w:pPr>
          </w:p>
        </w:tc>
        <w:tc>
          <w:tcPr>
            <w:tcW w:w="1735" w:type="dxa"/>
            <w:hideMark/>
          </w:tcPr>
          <w:p w14:paraId="076491AA" w14:textId="77777777" w:rsidR="004A3027" w:rsidRPr="00657BA6" w:rsidRDefault="004A3027" w:rsidP="0014780A">
            <w:pPr>
              <w:spacing w:after="0"/>
              <w:ind w:left="83"/>
              <w:rPr>
                <w:rFonts w:ascii="Arial" w:eastAsia="Times New Roman" w:hAnsi="Arial" w:cs="Arial"/>
                <w:lang w:eastAsia="es-ES"/>
              </w:rPr>
            </w:pPr>
            <w:r w:rsidRPr="00657BA6">
              <w:rPr>
                <w:rFonts w:ascii="Arial" w:eastAsia="Times New Roman" w:hAnsi="Arial" w:cs="Arial"/>
                <w:lang w:val="es-ES_tradnl" w:eastAsia="es-ES"/>
              </w:rPr>
              <w:t>Sala coubicación CS</w:t>
            </w:r>
          </w:p>
        </w:tc>
        <w:tc>
          <w:tcPr>
            <w:tcW w:w="2321" w:type="dxa"/>
            <w:hideMark/>
          </w:tcPr>
          <w:p w14:paraId="3834D0CB" w14:textId="77777777" w:rsidR="004A3027" w:rsidRPr="00657BA6" w:rsidRDefault="004A3027" w:rsidP="0014780A">
            <w:pPr>
              <w:spacing w:after="0"/>
              <w:ind w:left="83"/>
              <w:jc w:val="both"/>
              <w:rPr>
                <w:rFonts w:ascii="Arial" w:eastAsia="Times New Roman" w:hAnsi="Arial" w:cs="Arial"/>
                <w:lang w:eastAsia="es-ES"/>
              </w:rPr>
            </w:pPr>
            <w:r w:rsidRPr="00657BA6">
              <w:rPr>
                <w:rFonts w:ascii="Arial" w:eastAsia="Times New Roman" w:hAnsi="Arial" w:cs="Arial"/>
                <w:lang w:val="es-ES_tradnl" w:eastAsia="es-ES"/>
              </w:rPr>
              <w:t>Coubicación interna (CI)</w:t>
            </w:r>
          </w:p>
        </w:tc>
        <w:tc>
          <w:tcPr>
            <w:tcW w:w="3491" w:type="dxa"/>
            <w:hideMark/>
          </w:tcPr>
          <w:p w14:paraId="5D3AD1C3" w14:textId="77777777" w:rsidR="004A3027" w:rsidRPr="00657BA6" w:rsidRDefault="004A3027" w:rsidP="0014780A">
            <w:pPr>
              <w:spacing w:after="0"/>
              <w:ind w:left="85"/>
              <w:jc w:val="both"/>
              <w:rPr>
                <w:rFonts w:ascii="Arial" w:eastAsia="Times New Roman" w:hAnsi="Arial" w:cs="Arial"/>
                <w:lang w:eastAsia="es-ES"/>
              </w:rPr>
            </w:pPr>
            <w:r w:rsidRPr="00657BA6">
              <w:rPr>
                <w:rFonts w:ascii="Arial" w:eastAsia="Times New Roman" w:hAnsi="Arial" w:cs="Arial"/>
                <w:lang w:val="es-ES_tradnl" w:eastAsia="es-ES"/>
              </w:rPr>
              <w:t>Espacio dedicado a los CS y asignado a cada CS según su demanda de espacio en CI</w:t>
            </w:r>
          </w:p>
        </w:tc>
      </w:tr>
      <w:tr w:rsidR="004A3027" w:rsidRPr="00657BA6" w14:paraId="0DE77C05" w14:textId="77777777" w:rsidTr="006C794D">
        <w:trPr>
          <w:trHeight w:val="510"/>
        </w:trPr>
        <w:tc>
          <w:tcPr>
            <w:tcW w:w="1847" w:type="dxa"/>
            <w:vMerge/>
          </w:tcPr>
          <w:p w14:paraId="4998E539" w14:textId="77777777" w:rsidR="004A3027" w:rsidRPr="00657BA6" w:rsidRDefault="004A3027" w:rsidP="0014780A">
            <w:pPr>
              <w:spacing w:after="0"/>
              <w:ind w:left="75"/>
              <w:jc w:val="both"/>
              <w:rPr>
                <w:rFonts w:ascii="Arial" w:eastAsia="Times New Roman" w:hAnsi="Arial" w:cs="Arial"/>
                <w:lang w:eastAsia="es-ES"/>
              </w:rPr>
            </w:pPr>
          </w:p>
        </w:tc>
        <w:tc>
          <w:tcPr>
            <w:tcW w:w="1735" w:type="dxa"/>
          </w:tcPr>
          <w:p w14:paraId="099E9D31" w14:textId="77777777" w:rsidR="004A3027" w:rsidRPr="00657BA6" w:rsidRDefault="004A3027" w:rsidP="0014780A">
            <w:pPr>
              <w:spacing w:after="0"/>
              <w:ind w:left="87"/>
              <w:rPr>
                <w:rFonts w:ascii="Arial" w:eastAsia="Times New Roman" w:hAnsi="Arial" w:cs="Arial"/>
                <w:lang w:val="es-ES_tradnl" w:eastAsia="es-ES"/>
              </w:rPr>
            </w:pPr>
            <w:r w:rsidRPr="00657BA6">
              <w:rPr>
                <w:rFonts w:ascii="Arial" w:eastAsia="Times New Roman" w:hAnsi="Arial" w:cs="Arial"/>
                <w:lang w:val="es-ES_tradnl" w:eastAsia="es-ES"/>
              </w:rPr>
              <w:t>Sala de control</w:t>
            </w:r>
          </w:p>
        </w:tc>
        <w:tc>
          <w:tcPr>
            <w:tcW w:w="2321" w:type="dxa"/>
          </w:tcPr>
          <w:p w14:paraId="25012058" w14:textId="77777777" w:rsidR="004A3027" w:rsidRPr="00657BA6" w:rsidRDefault="004A3027" w:rsidP="0014780A">
            <w:pPr>
              <w:spacing w:after="0"/>
              <w:ind w:left="57"/>
              <w:jc w:val="both"/>
              <w:rPr>
                <w:rFonts w:ascii="Arial" w:eastAsia="Times New Roman" w:hAnsi="Arial" w:cs="Arial"/>
                <w:lang w:val="es-ES_tradnl" w:eastAsia="es-ES"/>
              </w:rPr>
            </w:pPr>
            <w:r w:rsidRPr="00657BA6">
              <w:rPr>
                <w:rFonts w:ascii="Arial" w:eastAsia="Times New Roman" w:hAnsi="Arial" w:cs="Arial"/>
                <w:lang w:val="es-ES_tradnl" w:eastAsia="es-ES"/>
              </w:rPr>
              <w:t>Coubicación (CI/CE)</w:t>
            </w:r>
          </w:p>
        </w:tc>
        <w:tc>
          <w:tcPr>
            <w:tcW w:w="3491" w:type="dxa"/>
          </w:tcPr>
          <w:p w14:paraId="374284A5" w14:textId="77777777" w:rsidR="004A3027" w:rsidRPr="00657BA6" w:rsidRDefault="004A3027" w:rsidP="0014780A">
            <w:pPr>
              <w:spacing w:after="0"/>
              <w:ind w:left="80"/>
              <w:jc w:val="both"/>
              <w:rPr>
                <w:rFonts w:ascii="Arial" w:eastAsia="Times New Roman" w:hAnsi="Arial" w:cs="Arial"/>
                <w:lang w:val="es-ES_tradnl" w:eastAsia="es-ES"/>
              </w:rPr>
            </w:pPr>
            <w:r w:rsidRPr="00657BA6">
              <w:rPr>
                <w:rFonts w:ascii="Arial" w:eastAsia="Times New Roman" w:hAnsi="Arial" w:cs="Arial"/>
                <w:lang w:val="es-ES_tradnl" w:eastAsia="es-ES"/>
              </w:rPr>
              <w:t>Prorrateo según los espacios dedicados a cada operador.</w:t>
            </w:r>
          </w:p>
        </w:tc>
      </w:tr>
      <w:tr w:rsidR="004A3027" w:rsidRPr="00657BA6" w14:paraId="2E578C0C" w14:textId="77777777" w:rsidTr="006C794D">
        <w:trPr>
          <w:cnfStyle w:val="000000100000" w:firstRow="0" w:lastRow="0" w:firstColumn="0" w:lastColumn="0" w:oddVBand="0" w:evenVBand="0" w:oddHBand="1" w:evenHBand="0" w:firstRowFirstColumn="0" w:firstRowLastColumn="0" w:lastRowFirstColumn="0" w:lastRowLastColumn="0"/>
          <w:trHeight w:val="510"/>
        </w:trPr>
        <w:tc>
          <w:tcPr>
            <w:tcW w:w="1847" w:type="dxa"/>
            <w:vMerge/>
          </w:tcPr>
          <w:p w14:paraId="048D89A3" w14:textId="77777777" w:rsidR="004A3027" w:rsidRPr="00657BA6" w:rsidRDefault="004A3027" w:rsidP="0014780A">
            <w:pPr>
              <w:spacing w:after="0"/>
              <w:ind w:left="75"/>
              <w:jc w:val="both"/>
              <w:rPr>
                <w:rFonts w:ascii="Arial" w:eastAsia="Times New Roman" w:hAnsi="Arial" w:cs="Arial"/>
                <w:lang w:eastAsia="es-ES"/>
              </w:rPr>
            </w:pPr>
          </w:p>
        </w:tc>
        <w:tc>
          <w:tcPr>
            <w:tcW w:w="1735" w:type="dxa"/>
          </w:tcPr>
          <w:p w14:paraId="44E5E012" w14:textId="77777777" w:rsidR="004A3027" w:rsidRPr="00657BA6" w:rsidRDefault="004A3027" w:rsidP="0014780A">
            <w:pPr>
              <w:spacing w:after="0"/>
              <w:ind w:left="87"/>
              <w:rPr>
                <w:rFonts w:ascii="Arial" w:eastAsia="Times New Roman" w:hAnsi="Arial" w:cs="Arial"/>
                <w:lang w:val="es-ES_tradnl" w:eastAsia="es-ES"/>
              </w:rPr>
            </w:pPr>
            <w:r w:rsidRPr="00657BA6">
              <w:rPr>
                <w:rFonts w:ascii="Arial" w:eastAsia="Times New Roman" w:hAnsi="Arial" w:cs="Arial"/>
                <w:lang w:val="es-ES_tradnl" w:eastAsia="es-ES"/>
              </w:rPr>
              <w:t>Sala de switching PH</w:t>
            </w:r>
          </w:p>
        </w:tc>
        <w:tc>
          <w:tcPr>
            <w:tcW w:w="5812" w:type="dxa"/>
            <w:gridSpan w:val="2"/>
          </w:tcPr>
          <w:p w14:paraId="41D1F2AC" w14:textId="77777777" w:rsidR="004A3027" w:rsidRPr="00657BA6" w:rsidRDefault="004A3027" w:rsidP="0014780A">
            <w:pPr>
              <w:spacing w:after="0"/>
              <w:ind w:left="80"/>
              <w:jc w:val="both"/>
              <w:rPr>
                <w:rFonts w:ascii="Arial" w:eastAsia="Times New Roman" w:hAnsi="Arial" w:cs="Arial"/>
                <w:lang w:val="es-ES_tradnl" w:eastAsia="es-ES"/>
              </w:rPr>
            </w:pPr>
            <w:r w:rsidRPr="00657BA6">
              <w:rPr>
                <w:rFonts w:ascii="Arial" w:eastAsia="Times New Roman" w:hAnsi="Arial" w:cs="Arial"/>
                <w:lang w:val="es-ES_tradnl" w:eastAsia="es-ES"/>
              </w:rPr>
              <w:t>Espacio utilizado por PH y por ende los costos de este elemento son asignados al PH en su totalidad</w:t>
            </w:r>
          </w:p>
        </w:tc>
      </w:tr>
      <w:tr w:rsidR="004A3027" w:rsidRPr="00657BA6" w14:paraId="02C6FAF3" w14:textId="77777777" w:rsidTr="006C794D">
        <w:trPr>
          <w:trHeight w:val="510"/>
        </w:trPr>
        <w:tc>
          <w:tcPr>
            <w:tcW w:w="1847" w:type="dxa"/>
            <w:vMerge/>
          </w:tcPr>
          <w:p w14:paraId="6FA480D9" w14:textId="77777777" w:rsidR="004A3027" w:rsidRPr="00657BA6" w:rsidRDefault="004A3027" w:rsidP="0014780A">
            <w:pPr>
              <w:spacing w:after="0"/>
              <w:ind w:left="75"/>
              <w:jc w:val="both"/>
              <w:rPr>
                <w:rFonts w:ascii="Arial" w:eastAsia="Times New Roman" w:hAnsi="Arial" w:cs="Arial"/>
                <w:lang w:eastAsia="es-ES"/>
              </w:rPr>
            </w:pPr>
          </w:p>
        </w:tc>
        <w:tc>
          <w:tcPr>
            <w:tcW w:w="1735" w:type="dxa"/>
          </w:tcPr>
          <w:p w14:paraId="14EFF288" w14:textId="77777777" w:rsidR="004A3027" w:rsidRPr="00657BA6" w:rsidRDefault="004A3027" w:rsidP="0014780A">
            <w:pPr>
              <w:spacing w:after="0"/>
              <w:ind w:left="87"/>
              <w:rPr>
                <w:rFonts w:ascii="Arial" w:eastAsia="Times New Roman" w:hAnsi="Arial" w:cs="Arial"/>
                <w:lang w:val="es-ES_tradnl" w:eastAsia="es-ES"/>
              </w:rPr>
            </w:pPr>
            <w:r w:rsidRPr="00657BA6">
              <w:rPr>
                <w:rFonts w:ascii="Arial" w:eastAsia="Times New Roman" w:hAnsi="Arial" w:cs="Arial"/>
                <w:lang w:val="es-ES_tradnl" w:eastAsia="es-ES"/>
              </w:rPr>
              <w:t>Sala de equipos de transmisión</w:t>
            </w:r>
          </w:p>
        </w:tc>
        <w:tc>
          <w:tcPr>
            <w:tcW w:w="5812" w:type="dxa"/>
            <w:gridSpan w:val="2"/>
          </w:tcPr>
          <w:p w14:paraId="5437FBE2" w14:textId="77777777" w:rsidR="004A3027" w:rsidRPr="00657BA6" w:rsidRDefault="004A3027" w:rsidP="0014780A">
            <w:pPr>
              <w:spacing w:after="0"/>
              <w:ind w:left="80"/>
              <w:jc w:val="both"/>
              <w:rPr>
                <w:rFonts w:ascii="Arial" w:eastAsia="Times New Roman" w:hAnsi="Arial" w:cs="Arial"/>
                <w:lang w:val="es-ES_tradnl" w:eastAsia="es-ES"/>
              </w:rPr>
            </w:pPr>
            <w:r w:rsidRPr="00657BA6">
              <w:rPr>
                <w:rFonts w:ascii="Arial" w:eastAsia="Times New Roman" w:hAnsi="Arial" w:cs="Arial"/>
                <w:lang w:val="es-ES_tradnl" w:eastAsia="es-ES"/>
              </w:rPr>
              <w:t>Espacio utilizado por PH y por ende los costos de este elemento son asignados al PH en su totalidad</w:t>
            </w:r>
          </w:p>
        </w:tc>
      </w:tr>
      <w:tr w:rsidR="004A3027" w:rsidRPr="00657BA6" w14:paraId="6AFF8292" w14:textId="77777777" w:rsidTr="006C794D">
        <w:trPr>
          <w:cnfStyle w:val="000000100000" w:firstRow="0" w:lastRow="0" w:firstColumn="0" w:lastColumn="0" w:oddVBand="0" w:evenVBand="0" w:oddHBand="1" w:evenHBand="0" w:firstRowFirstColumn="0" w:firstRowLastColumn="0" w:lastRowFirstColumn="0" w:lastRowLastColumn="0"/>
          <w:trHeight w:val="510"/>
        </w:trPr>
        <w:tc>
          <w:tcPr>
            <w:tcW w:w="1847" w:type="dxa"/>
            <w:vMerge/>
            <w:hideMark/>
          </w:tcPr>
          <w:p w14:paraId="2695FAB2" w14:textId="77777777" w:rsidR="004A3027" w:rsidRPr="00657BA6" w:rsidRDefault="004A3027" w:rsidP="0014780A">
            <w:pPr>
              <w:spacing w:after="0"/>
              <w:ind w:left="75"/>
              <w:jc w:val="both"/>
              <w:rPr>
                <w:rFonts w:ascii="Arial" w:eastAsia="Times New Roman" w:hAnsi="Arial" w:cs="Arial"/>
                <w:lang w:eastAsia="es-ES"/>
              </w:rPr>
            </w:pPr>
          </w:p>
        </w:tc>
        <w:tc>
          <w:tcPr>
            <w:tcW w:w="1735" w:type="dxa"/>
            <w:hideMark/>
          </w:tcPr>
          <w:p w14:paraId="62BF3DE7" w14:textId="77777777" w:rsidR="004A3027" w:rsidRPr="00657BA6" w:rsidRDefault="004A3027" w:rsidP="0014780A">
            <w:pPr>
              <w:spacing w:after="0"/>
              <w:ind w:left="87"/>
              <w:rPr>
                <w:rFonts w:ascii="Arial" w:eastAsia="Times New Roman" w:hAnsi="Arial" w:cs="Arial"/>
                <w:lang w:eastAsia="es-ES"/>
              </w:rPr>
            </w:pPr>
            <w:r w:rsidRPr="00657BA6">
              <w:rPr>
                <w:rFonts w:ascii="Arial" w:eastAsia="Times New Roman" w:hAnsi="Arial" w:cs="Arial"/>
                <w:lang w:val="es-ES_tradnl" w:eastAsia="es-ES"/>
              </w:rPr>
              <w:t>Sala subestación eléctrica</w:t>
            </w:r>
          </w:p>
        </w:tc>
        <w:tc>
          <w:tcPr>
            <w:tcW w:w="2321" w:type="dxa"/>
            <w:hideMark/>
          </w:tcPr>
          <w:p w14:paraId="5DB6C373" w14:textId="77777777" w:rsidR="004A3027" w:rsidRPr="00657BA6" w:rsidRDefault="004A3027" w:rsidP="0014780A">
            <w:pPr>
              <w:spacing w:after="0"/>
              <w:ind w:left="57"/>
              <w:jc w:val="both"/>
              <w:rPr>
                <w:rFonts w:ascii="Arial" w:eastAsia="Times New Roman" w:hAnsi="Arial" w:cs="Arial"/>
                <w:lang w:eastAsia="es-ES"/>
              </w:rPr>
            </w:pPr>
            <w:r w:rsidRPr="00657BA6">
              <w:rPr>
                <w:rFonts w:ascii="Arial" w:eastAsia="Times New Roman" w:hAnsi="Arial" w:cs="Arial"/>
                <w:lang w:val="es-ES_tradnl" w:eastAsia="es-ES"/>
              </w:rPr>
              <w:t>Subestación eléctrica</w:t>
            </w:r>
          </w:p>
        </w:tc>
        <w:tc>
          <w:tcPr>
            <w:tcW w:w="3491" w:type="dxa"/>
            <w:hideMark/>
          </w:tcPr>
          <w:p w14:paraId="4774E845" w14:textId="77777777" w:rsidR="004A3027" w:rsidRPr="00657BA6" w:rsidRDefault="004A3027" w:rsidP="0014780A">
            <w:pPr>
              <w:spacing w:after="0"/>
              <w:ind w:left="80"/>
              <w:jc w:val="both"/>
              <w:rPr>
                <w:rFonts w:ascii="Arial" w:eastAsia="Times New Roman" w:hAnsi="Arial" w:cs="Arial"/>
                <w:lang w:eastAsia="es-ES"/>
              </w:rPr>
            </w:pPr>
            <w:r w:rsidRPr="00657BA6">
              <w:rPr>
                <w:rFonts w:ascii="Arial" w:eastAsia="Times New Roman" w:hAnsi="Arial" w:cs="Arial"/>
                <w:lang w:val="es-ES_tradnl" w:eastAsia="es-ES"/>
              </w:rPr>
              <w:t>Energía requerida por cada operador</w:t>
            </w:r>
          </w:p>
        </w:tc>
      </w:tr>
      <w:tr w:rsidR="004A3027" w:rsidRPr="00657BA6" w14:paraId="1D2D4AEC" w14:textId="77777777" w:rsidTr="006C794D">
        <w:trPr>
          <w:trHeight w:val="510"/>
        </w:trPr>
        <w:tc>
          <w:tcPr>
            <w:tcW w:w="1847" w:type="dxa"/>
            <w:vMerge/>
            <w:hideMark/>
          </w:tcPr>
          <w:p w14:paraId="6740FD45" w14:textId="77777777" w:rsidR="004A3027" w:rsidRPr="00657BA6" w:rsidRDefault="004A3027" w:rsidP="0014780A">
            <w:pPr>
              <w:spacing w:after="0"/>
              <w:ind w:left="75"/>
              <w:jc w:val="both"/>
              <w:rPr>
                <w:rFonts w:ascii="Arial" w:eastAsia="Times New Roman" w:hAnsi="Arial" w:cs="Arial"/>
                <w:lang w:eastAsia="es-ES"/>
              </w:rPr>
            </w:pPr>
          </w:p>
        </w:tc>
        <w:tc>
          <w:tcPr>
            <w:tcW w:w="1735" w:type="dxa"/>
            <w:hideMark/>
          </w:tcPr>
          <w:p w14:paraId="43411F00" w14:textId="77777777" w:rsidR="004A3027" w:rsidRPr="00657BA6" w:rsidRDefault="004A3027" w:rsidP="0014780A">
            <w:pPr>
              <w:spacing w:after="0"/>
              <w:ind w:left="87"/>
              <w:rPr>
                <w:rFonts w:ascii="Arial" w:eastAsia="Times New Roman" w:hAnsi="Arial" w:cs="Arial"/>
                <w:lang w:eastAsia="es-ES"/>
              </w:rPr>
            </w:pPr>
            <w:r w:rsidRPr="00657BA6">
              <w:rPr>
                <w:rFonts w:ascii="Arial" w:eastAsia="Times New Roman" w:hAnsi="Arial" w:cs="Arial"/>
                <w:lang w:val="es-ES_tradnl" w:eastAsia="es-ES"/>
              </w:rPr>
              <w:t>Sala planta de emergencia</w:t>
            </w:r>
          </w:p>
        </w:tc>
        <w:tc>
          <w:tcPr>
            <w:tcW w:w="2321" w:type="dxa"/>
            <w:hideMark/>
          </w:tcPr>
          <w:p w14:paraId="344F2229" w14:textId="77777777" w:rsidR="004A3027" w:rsidRPr="00657BA6" w:rsidRDefault="004A3027" w:rsidP="0014780A">
            <w:pPr>
              <w:spacing w:after="0"/>
              <w:ind w:left="57"/>
              <w:jc w:val="both"/>
              <w:rPr>
                <w:rFonts w:ascii="Arial" w:eastAsia="Times New Roman" w:hAnsi="Arial" w:cs="Arial"/>
                <w:lang w:eastAsia="es-ES"/>
              </w:rPr>
            </w:pPr>
            <w:r w:rsidRPr="00657BA6">
              <w:rPr>
                <w:rFonts w:ascii="Arial" w:eastAsia="Times New Roman" w:hAnsi="Arial" w:cs="Arial"/>
                <w:lang w:val="es-ES_tradnl" w:eastAsia="es-ES"/>
              </w:rPr>
              <w:t>Fuente de energía de respaldo</w:t>
            </w:r>
          </w:p>
        </w:tc>
        <w:tc>
          <w:tcPr>
            <w:tcW w:w="3491" w:type="dxa"/>
            <w:hideMark/>
          </w:tcPr>
          <w:p w14:paraId="5ADE4C98" w14:textId="77777777" w:rsidR="004A3027" w:rsidRPr="00657BA6" w:rsidRDefault="004A3027" w:rsidP="0014780A">
            <w:pPr>
              <w:spacing w:after="0"/>
              <w:ind w:left="80"/>
              <w:jc w:val="both"/>
              <w:rPr>
                <w:rFonts w:ascii="Arial" w:eastAsia="Times New Roman" w:hAnsi="Arial" w:cs="Arial"/>
                <w:lang w:eastAsia="es-ES"/>
              </w:rPr>
            </w:pPr>
            <w:r w:rsidRPr="00657BA6">
              <w:rPr>
                <w:rFonts w:ascii="Arial" w:eastAsia="Times New Roman" w:hAnsi="Arial" w:cs="Arial"/>
                <w:lang w:val="es-ES_tradnl" w:eastAsia="es-ES"/>
              </w:rPr>
              <w:t>Energía requerida por cada operador</w:t>
            </w:r>
          </w:p>
        </w:tc>
      </w:tr>
      <w:tr w:rsidR="004A3027" w:rsidRPr="00657BA6" w14:paraId="16B9AD5E" w14:textId="77777777" w:rsidTr="006C794D">
        <w:trPr>
          <w:cnfStyle w:val="000000100000" w:firstRow="0" w:lastRow="0" w:firstColumn="0" w:lastColumn="0" w:oddVBand="0" w:evenVBand="0" w:oddHBand="1" w:evenHBand="0" w:firstRowFirstColumn="0" w:firstRowLastColumn="0" w:lastRowFirstColumn="0" w:lastRowLastColumn="0"/>
          <w:trHeight w:val="510"/>
        </w:trPr>
        <w:tc>
          <w:tcPr>
            <w:tcW w:w="1847" w:type="dxa"/>
            <w:vMerge/>
            <w:hideMark/>
          </w:tcPr>
          <w:p w14:paraId="6DA00231" w14:textId="77777777" w:rsidR="004A3027" w:rsidRPr="00657BA6" w:rsidRDefault="004A3027" w:rsidP="0014780A">
            <w:pPr>
              <w:spacing w:after="0"/>
              <w:ind w:left="75"/>
              <w:jc w:val="both"/>
              <w:rPr>
                <w:rFonts w:ascii="Arial" w:eastAsia="Times New Roman" w:hAnsi="Arial" w:cs="Arial"/>
                <w:lang w:eastAsia="es-ES"/>
              </w:rPr>
            </w:pPr>
          </w:p>
        </w:tc>
        <w:tc>
          <w:tcPr>
            <w:tcW w:w="1735" w:type="dxa"/>
            <w:hideMark/>
          </w:tcPr>
          <w:p w14:paraId="2E81166D" w14:textId="77777777" w:rsidR="004A3027" w:rsidRPr="00657BA6" w:rsidRDefault="004A3027" w:rsidP="0014780A">
            <w:pPr>
              <w:spacing w:after="0"/>
              <w:ind w:left="87"/>
              <w:rPr>
                <w:rFonts w:ascii="Arial" w:eastAsia="Times New Roman" w:hAnsi="Arial" w:cs="Arial"/>
                <w:lang w:eastAsia="es-ES"/>
              </w:rPr>
            </w:pPr>
            <w:r w:rsidRPr="00657BA6">
              <w:rPr>
                <w:rFonts w:ascii="Arial" w:eastAsia="Times New Roman" w:hAnsi="Arial" w:cs="Arial"/>
                <w:lang w:val="es-ES_tradnl" w:eastAsia="es-ES"/>
              </w:rPr>
              <w:t>Sala baterías</w:t>
            </w:r>
          </w:p>
        </w:tc>
        <w:tc>
          <w:tcPr>
            <w:tcW w:w="2321" w:type="dxa"/>
            <w:hideMark/>
          </w:tcPr>
          <w:p w14:paraId="29461A8E" w14:textId="77777777" w:rsidR="004A3027" w:rsidRPr="00657BA6" w:rsidRDefault="004A3027" w:rsidP="0014780A">
            <w:pPr>
              <w:spacing w:after="0"/>
              <w:ind w:left="57"/>
              <w:jc w:val="both"/>
              <w:rPr>
                <w:rFonts w:ascii="Arial" w:eastAsia="Times New Roman" w:hAnsi="Arial" w:cs="Arial"/>
                <w:lang w:eastAsia="es-ES"/>
              </w:rPr>
            </w:pPr>
            <w:r w:rsidRPr="00657BA6">
              <w:rPr>
                <w:rFonts w:ascii="Arial" w:eastAsia="Times New Roman" w:hAnsi="Arial" w:cs="Arial"/>
                <w:lang w:val="es-ES_tradnl" w:eastAsia="es-ES"/>
              </w:rPr>
              <w:t>Fuente de energía de respaldo</w:t>
            </w:r>
          </w:p>
        </w:tc>
        <w:tc>
          <w:tcPr>
            <w:tcW w:w="3491" w:type="dxa"/>
            <w:hideMark/>
          </w:tcPr>
          <w:p w14:paraId="017593F4" w14:textId="77777777" w:rsidR="004A3027" w:rsidRPr="00657BA6" w:rsidRDefault="004A3027" w:rsidP="0014780A">
            <w:pPr>
              <w:spacing w:after="0"/>
              <w:ind w:left="80"/>
              <w:jc w:val="both"/>
              <w:rPr>
                <w:rFonts w:ascii="Arial" w:eastAsia="Times New Roman" w:hAnsi="Arial" w:cs="Arial"/>
                <w:lang w:eastAsia="es-ES"/>
              </w:rPr>
            </w:pPr>
            <w:r w:rsidRPr="00657BA6">
              <w:rPr>
                <w:rFonts w:ascii="Arial" w:eastAsia="Times New Roman" w:hAnsi="Arial" w:cs="Arial"/>
                <w:lang w:val="es-ES_tradnl" w:eastAsia="es-ES"/>
              </w:rPr>
              <w:t>Energía requerida por cada operador</w:t>
            </w:r>
          </w:p>
        </w:tc>
      </w:tr>
      <w:tr w:rsidR="004A3027" w:rsidRPr="00657BA6" w14:paraId="08F7D4CE" w14:textId="77777777" w:rsidTr="006C794D">
        <w:trPr>
          <w:trHeight w:val="248"/>
        </w:trPr>
        <w:tc>
          <w:tcPr>
            <w:tcW w:w="1847" w:type="dxa"/>
            <w:vMerge/>
            <w:hideMark/>
          </w:tcPr>
          <w:p w14:paraId="6C3CABB0" w14:textId="77777777" w:rsidR="004A3027" w:rsidRPr="00657BA6" w:rsidRDefault="004A3027" w:rsidP="0014780A">
            <w:pPr>
              <w:spacing w:after="0"/>
              <w:ind w:left="75"/>
              <w:jc w:val="both"/>
              <w:rPr>
                <w:rFonts w:ascii="Arial" w:eastAsia="Times New Roman" w:hAnsi="Arial" w:cs="Arial"/>
                <w:lang w:eastAsia="es-ES"/>
              </w:rPr>
            </w:pPr>
          </w:p>
        </w:tc>
        <w:tc>
          <w:tcPr>
            <w:tcW w:w="1735" w:type="dxa"/>
            <w:hideMark/>
          </w:tcPr>
          <w:p w14:paraId="6E9381A6" w14:textId="77777777" w:rsidR="004A3027" w:rsidRPr="00657BA6" w:rsidRDefault="004A3027" w:rsidP="0014780A">
            <w:pPr>
              <w:spacing w:after="0"/>
              <w:ind w:left="87"/>
              <w:rPr>
                <w:rFonts w:ascii="Arial" w:eastAsia="Times New Roman" w:hAnsi="Arial" w:cs="Arial"/>
                <w:lang w:eastAsia="es-ES"/>
              </w:rPr>
            </w:pPr>
            <w:r w:rsidRPr="00657BA6">
              <w:rPr>
                <w:rFonts w:ascii="Arial" w:eastAsia="Times New Roman" w:hAnsi="Arial" w:cs="Arial"/>
                <w:lang w:val="es-ES_tradnl" w:eastAsia="es-ES"/>
              </w:rPr>
              <w:t>Espacio para overheads</w:t>
            </w:r>
          </w:p>
        </w:tc>
        <w:tc>
          <w:tcPr>
            <w:tcW w:w="2321" w:type="dxa"/>
            <w:hideMark/>
          </w:tcPr>
          <w:p w14:paraId="2BE1A588" w14:textId="77777777" w:rsidR="004A3027" w:rsidRPr="00657BA6" w:rsidRDefault="004A3027" w:rsidP="0014780A">
            <w:pPr>
              <w:spacing w:after="0"/>
              <w:ind w:left="57"/>
              <w:jc w:val="both"/>
              <w:rPr>
                <w:rFonts w:ascii="Arial" w:eastAsia="Times New Roman" w:hAnsi="Arial" w:cs="Arial"/>
                <w:lang w:eastAsia="es-ES"/>
              </w:rPr>
            </w:pPr>
            <w:r w:rsidRPr="00657BA6">
              <w:rPr>
                <w:rFonts w:ascii="Arial" w:eastAsia="Times New Roman" w:hAnsi="Arial" w:cs="Arial"/>
                <w:lang w:val="es-ES_tradnl" w:eastAsia="es-ES"/>
              </w:rPr>
              <w:t>Todos los servicios</w:t>
            </w:r>
          </w:p>
        </w:tc>
        <w:tc>
          <w:tcPr>
            <w:tcW w:w="3491" w:type="dxa"/>
            <w:hideMark/>
          </w:tcPr>
          <w:p w14:paraId="0A981F5C" w14:textId="77777777" w:rsidR="004A3027" w:rsidRPr="00657BA6" w:rsidRDefault="004A3027" w:rsidP="0014780A">
            <w:pPr>
              <w:spacing w:after="0"/>
              <w:ind w:left="80"/>
              <w:jc w:val="both"/>
              <w:rPr>
                <w:rFonts w:ascii="Arial" w:eastAsia="Times New Roman" w:hAnsi="Arial" w:cs="Arial"/>
                <w:lang w:eastAsia="es-ES"/>
              </w:rPr>
            </w:pPr>
            <w:r w:rsidRPr="00657BA6">
              <w:rPr>
                <w:rFonts w:ascii="Arial" w:eastAsia="Times New Roman" w:hAnsi="Arial" w:cs="Arial"/>
                <w:lang w:val="es-ES_tradnl" w:eastAsia="es-ES"/>
              </w:rPr>
              <w:t>Espacio funcional* (excl. overheads) utilizado por cada operador en la central</w:t>
            </w:r>
          </w:p>
        </w:tc>
      </w:tr>
      <w:tr w:rsidR="004A3027" w:rsidRPr="00657BA6" w14:paraId="576C6FD5" w14:textId="77777777" w:rsidTr="006C794D">
        <w:trPr>
          <w:cnfStyle w:val="000000100000" w:firstRow="0" w:lastRow="0" w:firstColumn="0" w:lastColumn="0" w:oddVBand="0" w:evenVBand="0" w:oddHBand="1" w:evenHBand="0" w:firstRowFirstColumn="0" w:firstRowLastColumn="0" w:lastRowFirstColumn="0" w:lastRowLastColumn="0"/>
          <w:trHeight w:val="248"/>
        </w:trPr>
        <w:tc>
          <w:tcPr>
            <w:tcW w:w="1847" w:type="dxa"/>
            <w:hideMark/>
          </w:tcPr>
          <w:p w14:paraId="26ABA825" w14:textId="77777777" w:rsidR="004A3027" w:rsidRPr="00657BA6" w:rsidRDefault="004A3027" w:rsidP="0014780A">
            <w:pPr>
              <w:spacing w:after="0"/>
              <w:ind w:left="75"/>
              <w:rPr>
                <w:rFonts w:ascii="Arial" w:eastAsia="Times New Roman" w:hAnsi="Arial" w:cs="Arial"/>
                <w:lang w:eastAsia="es-ES"/>
              </w:rPr>
            </w:pPr>
            <w:r w:rsidRPr="00657BA6">
              <w:rPr>
                <w:rFonts w:ascii="Arial" w:eastAsia="Times New Roman" w:hAnsi="Arial" w:cs="Arial"/>
                <w:lang w:val="es-ES_tradnl" w:eastAsia="es-ES"/>
              </w:rPr>
              <w:t>Sala de coubicación externa</w:t>
            </w:r>
          </w:p>
        </w:tc>
        <w:tc>
          <w:tcPr>
            <w:tcW w:w="1735" w:type="dxa"/>
            <w:hideMark/>
          </w:tcPr>
          <w:p w14:paraId="225E6DF5" w14:textId="77777777" w:rsidR="004A3027" w:rsidRPr="00657BA6" w:rsidRDefault="004A3027" w:rsidP="0014780A">
            <w:pPr>
              <w:spacing w:after="0"/>
              <w:ind w:left="720"/>
              <w:jc w:val="both"/>
              <w:rPr>
                <w:rFonts w:ascii="Arial" w:eastAsia="Times New Roman" w:hAnsi="Arial" w:cs="Arial"/>
                <w:lang w:eastAsia="es-ES"/>
              </w:rPr>
            </w:pPr>
          </w:p>
        </w:tc>
        <w:tc>
          <w:tcPr>
            <w:tcW w:w="2321" w:type="dxa"/>
            <w:hideMark/>
          </w:tcPr>
          <w:p w14:paraId="1BAD13AB" w14:textId="77777777" w:rsidR="004A3027" w:rsidRPr="00657BA6" w:rsidRDefault="004A3027" w:rsidP="0014780A">
            <w:pPr>
              <w:spacing w:after="0"/>
              <w:ind w:left="57"/>
              <w:jc w:val="both"/>
              <w:rPr>
                <w:rFonts w:ascii="Arial" w:eastAsia="Times New Roman" w:hAnsi="Arial" w:cs="Arial"/>
                <w:lang w:eastAsia="es-ES"/>
              </w:rPr>
            </w:pPr>
            <w:r w:rsidRPr="00657BA6">
              <w:rPr>
                <w:rFonts w:ascii="Arial" w:eastAsia="Times New Roman" w:hAnsi="Arial" w:cs="Arial"/>
                <w:lang w:val="es-ES_tradnl" w:eastAsia="es-ES"/>
              </w:rPr>
              <w:t>Coubicación externa</w:t>
            </w:r>
          </w:p>
        </w:tc>
        <w:tc>
          <w:tcPr>
            <w:tcW w:w="3491" w:type="dxa"/>
            <w:hideMark/>
          </w:tcPr>
          <w:p w14:paraId="59D83B6B" w14:textId="77777777" w:rsidR="004A3027" w:rsidRPr="00657BA6" w:rsidRDefault="004A3027" w:rsidP="0014780A">
            <w:pPr>
              <w:spacing w:after="0"/>
              <w:ind w:left="80"/>
              <w:jc w:val="both"/>
              <w:rPr>
                <w:rFonts w:ascii="Arial" w:eastAsia="Times New Roman" w:hAnsi="Arial" w:cs="Arial"/>
                <w:lang w:eastAsia="es-ES"/>
              </w:rPr>
            </w:pPr>
            <w:r w:rsidRPr="00657BA6">
              <w:rPr>
                <w:rFonts w:ascii="Arial" w:eastAsia="Times New Roman" w:hAnsi="Arial" w:cs="Arial"/>
                <w:lang w:val="es-ES_tradnl" w:eastAsia="es-ES"/>
              </w:rPr>
              <w:t>Espacio dedicado a los CS y asignado a cada CS en función de su demanda de espacio en CE</w:t>
            </w:r>
          </w:p>
        </w:tc>
      </w:tr>
      <w:tr w:rsidR="004A3027" w:rsidRPr="00657BA6" w14:paraId="3734BCC7" w14:textId="77777777" w:rsidTr="006C794D">
        <w:trPr>
          <w:trHeight w:val="510"/>
        </w:trPr>
        <w:tc>
          <w:tcPr>
            <w:tcW w:w="1847" w:type="dxa"/>
            <w:hideMark/>
          </w:tcPr>
          <w:p w14:paraId="760B10CC" w14:textId="77777777" w:rsidR="004A3027" w:rsidRPr="00657BA6" w:rsidRDefault="004A3027" w:rsidP="0014780A">
            <w:pPr>
              <w:spacing w:after="0"/>
              <w:ind w:left="75"/>
              <w:rPr>
                <w:rFonts w:ascii="Arial" w:eastAsia="Times New Roman" w:hAnsi="Arial" w:cs="Arial"/>
                <w:lang w:eastAsia="es-ES"/>
              </w:rPr>
            </w:pPr>
            <w:r w:rsidRPr="00657BA6">
              <w:rPr>
                <w:rFonts w:ascii="Arial" w:eastAsia="Times New Roman" w:hAnsi="Arial" w:cs="Arial"/>
                <w:lang w:val="es-ES_tradnl" w:eastAsia="es-ES"/>
              </w:rPr>
              <w:t>Subestación eléctrica</w:t>
            </w:r>
          </w:p>
        </w:tc>
        <w:tc>
          <w:tcPr>
            <w:tcW w:w="1735" w:type="dxa"/>
            <w:hideMark/>
          </w:tcPr>
          <w:p w14:paraId="21905AD2" w14:textId="77777777" w:rsidR="004A3027" w:rsidRPr="00657BA6" w:rsidRDefault="004A3027" w:rsidP="0014780A">
            <w:pPr>
              <w:spacing w:after="0"/>
              <w:ind w:left="720"/>
              <w:jc w:val="both"/>
              <w:rPr>
                <w:rFonts w:ascii="Arial" w:eastAsia="Times New Roman" w:hAnsi="Arial" w:cs="Arial"/>
                <w:lang w:eastAsia="es-ES"/>
              </w:rPr>
            </w:pPr>
          </w:p>
        </w:tc>
        <w:tc>
          <w:tcPr>
            <w:tcW w:w="2321" w:type="dxa"/>
            <w:hideMark/>
          </w:tcPr>
          <w:p w14:paraId="39F8F5BE" w14:textId="77777777" w:rsidR="004A3027" w:rsidRPr="00657BA6" w:rsidRDefault="004A3027" w:rsidP="0014780A">
            <w:pPr>
              <w:spacing w:after="0"/>
              <w:ind w:left="57"/>
              <w:jc w:val="both"/>
              <w:rPr>
                <w:rFonts w:ascii="Arial" w:eastAsia="Times New Roman" w:hAnsi="Arial" w:cs="Arial"/>
                <w:lang w:eastAsia="es-ES"/>
              </w:rPr>
            </w:pPr>
            <w:r w:rsidRPr="00657BA6">
              <w:rPr>
                <w:rFonts w:ascii="Arial" w:eastAsia="Times New Roman" w:hAnsi="Arial" w:cs="Arial"/>
                <w:lang w:val="es-ES_tradnl" w:eastAsia="es-ES"/>
              </w:rPr>
              <w:t>Subestación eléctrica</w:t>
            </w:r>
          </w:p>
        </w:tc>
        <w:tc>
          <w:tcPr>
            <w:tcW w:w="3491" w:type="dxa"/>
            <w:hideMark/>
          </w:tcPr>
          <w:p w14:paraId="1EF8507E" w14:textId="77777777" w:rsidR="004A3027" w:rsidRPr="00657BA6" w:rsidRDefault="004A3027" w:rsidP="0014780A">
            <w:pPr>
              <w:spacing w:after="0"/>
              <w:ind w:left="80"/>
              <w:jc w:val="both"/>
              <w:rPr>
                <w:rFonts w:ascii="Arial" w:eastAsia="Times New Roman" w:hAnsi="Arial" w:cs="Arial"/>
                <w:lang w:eastAsia="es-ES"/>
              </w:rPr>
            </w:pPr>
            <w:r w:rsidRPr="00657BA6">
              <w:rPr>
                <w:rFonts w:ascii="Arial" w:eastAsia="Times New Roman" w:hAnsi="Arial" w:cs="Arial"/>
                <w:lang w:val="es-ES_tradnl" w:eastAsia="es-ES"/>
              </w:rPr>
              <w:t>Energía requerida por cada operador</w:t>
            </w:r>
          </w:p>
        </w:tc>
      </w:tr>
      <w:tr w:rsidR="004A3027" w:rsidRPr="00657BA6" w14:paraId="6FA86BC4" w14:textId="77777777" w:rsidTr="006C794D">
        <w:trPr>
          <w:cnfStyle w:val="000000100000" w:firstRow="0" w:lastRow="0" w:firstColumn="0" w:lastColumn="0" w:oddVBand="0" w:evenVBand="0" w:oddHBand="1" w:evenHBand="0" w:firstRowFirstColumn="0" w:firstRowLastColumn="0" w:lastRowFirstColumn="0" w:lastRowLastColumn="0"/>
          <w:trHeight w:val="248"/>
        </w:trPr>
        <w:tc>
          <w:tcPr>
            <w:tcW w:w="1847" w:type="dxa"/>
            <w:hideMark/>
          </w:tcPr>
          <w:p w14:paraId="7D3AF14F" w14:textId="77777777" w:rsidR="004A3027" w:rsidRPr="00657BA6" w:rsidRDefault="004A3027" w:rsidP="0014780A">
            <w:pPr>
              <w:spacing w:after="0"/>
              <w:ind w:left="75"/>
              <w:rPr>
                <w:rFonts w:ascii="Arial" w:eastAsia="Times New Roman" w:hAnsi="Arial" w:cs="Arial"/>
                <w:lang w:eastAsia="es-ES"/>
              </w:rPr>
            </w:pPr>
            <w:r w:rsidRPr="00657BA6">
              <w:rPr>
                <w:rFonts w:ascii="Arial" w:eastAsia="Times New Roman" w:hAnsi="Arial" w:cs="Arial"/>
                <w:lang w:val="es-ES_tradnl" w:eastAsia="es-ES"/>
              </w:rPr>
              <w:t>Fuente de energía de respaldo</w:t>
            </w:r>
          </w:p>
        </w:tc>
        <w:tc>
          <w:tcPr>
            <w:tcW w:w="1735" w:type="dxa"/>
            <w:hideMark/>
          </w:tcPr>
          <w:p w14:paraId="59486DCA" w14:textId="77777777" w:rsidR="004A3027" w:rsidRPr="00657BA6" w:rsidRDefault="004A3027" w:rsidP="0014780A">
            <w:pPr>
              <w:spacing w:after="0"/>
              <w:ind w:left="720"/>
              <w:jc w:val="both"/>
              <w:rPr>
                <w:rFonts w:ascii="Arial" w:eastAsia="Times New Roman" w:hAnsi="Arial" w:cs="Arial"/>
                <w:lang w:eastAsia="es-ES"/>
              </w:rPr>
            </w:pPr>
          </w:p>
        </w:tc>
        <w:tc>
          <w:tcPr>
            <w:tcW w:w="2321" w:type="dxa"/>
            <w:hideMark/>
          </w:tcPr>
          <w:p w14:paraId="4AA8D598" w14:textId="77777777" w:rsidR="004A3027" w:rsidRPr="00657BA6" w:rsidRDefault="004A3027" w:rsidP="0014780A">
            <w:pPr>
              <w:spacing w:after="0"/>
              <w:ind w:left="57"/>
              <w:jc w:val="both"/>
              <w:rPr>
                <w:rFonts w:ascii="Arial" w:eastAsia="Times New Roman" w:hAnsi="Arial" w:cs="Arial"/>
                <w:lang w:eastAsia="es-ES"/>
              </w:rPr>
            </w:pPr>
            <w:r w:rsidRPr="00657BA6">
              <w:rPr>
                <w:rFonts w:ascii="Arial" w:eastAsia="Times New Roman" w:hAnsi="Arial" w:cs="Arial"/>
                <w:lang w:val="es-ES_tradnl" w:eastAsia="es-ES"/>
              </w:rPr>
              <w:t>Energía de respaldo</w:t>
            </w:r>
          </w:p>
        </w:tc>
        <w:tc>
          <w:tcPr>
            <w:tcW w:w="3491" w:type="dxa"/>
            <w:hideMark/>
          </w:tcPr>
          <w:p w14:paraId="4A1701AF" w14:textId="77777777" w:rsidR="004A3027" w:rsidRPr="00657BA6" w:rsidRDefault="004A3027" w:rsidP="0014780A">
            <w:pPr>
              <w:spacing w:after="0"/>
              <w:ind w:left="80"/>
              <w:jc w:val="both"/>
              <w:rPr>
                <w:rFonts w:ascii="Arial" w:eastAsia="Times New Roman" w:hAnsi="Arial" w:cs="Arial"/>
                <w:lang w:eastAsia="es-ES"/>
              </w:rPr>
            </w:pPr>
            <w:r w:rsidRPr="00657BA6">
              <w:rPr>
                <w:rFonts w:ascii="Arial" w:eastAsia="Times New Roman" w:hAnsi="Arial" w:cs="Arial"/>
                <w:lang w:val="es-ES_tradnl" w:eastAsia="es-ES"/>
              </w:rPr>
              <w:t>Energía requerida por cada operador</w:t>
            </w:r>
          </w:p>
        </w:tc>
      </w:tr>
      <w:tr w:rsidR="004A3027" w:rsidRPr="00657BA6" w14:paraId="3821AB04" w14:textId="77777777" w:rsidTr="006C794D">
        <w:trPr>
          <w:trHeight w:val="248"/>
        </w:trPr>
        <w:tc>
          <w:tcPr>
            <w:tcW w:w="1847" w:type="dxa"/>
            <w:hideMark/>
          </w:tcPr>
          <w:p w14:paraId="2B3B2C33" w14:textId="77777777" w:rsidR="004A3027" w:rsidRPr="00657BA6" w:rsidRDefault="004A3027" w:rsidP="0014780A">
            <w:pPr>
              <w:spacing w:after="0"/>
              <w:ind w:left="75"/>
              <w:rPr>
                <w:rFonts w:ascii="Arial" w:eastAsia="Times New Roman" w:hAnsi="Arial" w:cs="Arial"/>
                <w:lang w:eastAsia="es-ES"/>
              </w:rPr>
            </w:pPr>
            <w:r w:rsidRPr="00657BA6">
              <w:rPr>
                <w:rFonts w:ascii="Arial" w:eastAsia="Times New Roman" w:hAnsi="Arial" w:cs="Arial"/>
                <w:lang w:val="es-ES_tradnl" w:eastAsia="es-ES"/>
              </w:rPr>
              <w:t>Aire acondicionado</w:t>
            </w:r>
          </w:p>
        </w:tc>
        <w:tc>
          <w:tcPr>
            <w:tcW w:w="1735" w:type="dxa"/>
            <w:hideMark/>
          </w:tcPr>
          <w:p w14:paraId="181B6CE2" w14:textId="77777777" w:rsidR="004A3027" w:rsidRPr="00657BA6" w:rsidRDefault="004A3027" w:rsidP="0014780A">
            <w:pPr>
              <w:spacing w:after="0"/>
              <w:ind w:left="720"/>
              <w:jc w:val="both"/>
              <w:rPr>
                <w:rFonts w:ascii="Arial" w:eastAsia="Times New Roman" w:hAnsi="Arial" w:cs="Arial"/>
                <w:lang w:eastAsia="es-ES"/>
              </w:rPr>
            </w:pPr>
          </w:p>
        </w:tc>
        <w:tc>
          <w:tcPr>
            <w:tcW w:w="2321" w:type="dxa"/>
            <w:hideMark/>
          </w:tcPr>
          <w:p w14:paraId="6F2CD119" w14:textId="77777777" w:rsidR="004A3027" w:rsidRPr="00657BA6" w:rsidRDefault="004A3027" w:rsidP="0014780A">
            <w:pPr>
              <w:spacing w:after="0"/>
              <w:ind w:left="57"/>
              <w:jc w:val="both"/>
              <w:rPr>
                <w:rFonts w:ascii="Arial" w:eastAsia="Times New Roman" w:hAnsi="Arial" w:cs="Arial"/>
                <w:lang w:eastAsia="es-ES"/>
              </w:rPr>
            </w:pPr>
            <w:r w:rsidRPr="00657BA6">
              <w:rPr>
                <w:rFonts w:ascii="Arial" w:eastAsia="Times New Roman" w:hAnsi="Arial" w:cs="Arial"/>
                <w:lang w:val="es-ES_tradnl" w:eastAsia="es-ES"/>
              </w:rPr>
              <w:t>Aire acondicionado</w:t>
            </w:r>
          </w:p>
        </w:tc>
        <w:tc>
          <w:tcPr>
            <w:tcW w:w="3491" w:type="dxa"/>
            <w:hideMark/>
          </w:tcPr>
          <w:p w14:paraId="255E925C" w14:textId="77777777" w:rsidR="004A3027" w:rsidRPr="00657BA6" w:rsidRDefault="004A3027" w:rsidP="0014780A">
            <w:pPr>
              <w:spacing w:after="0"/>
              <w:ind w:left="80"/>
              <w:jc w:val="both"/>
              <w:rPr>
                <w:rFonts w:ascii="Arial" w:eastAsia="Times New Roman" w:hAnsi="Arial" w:cs="Arial"/>
                <w:lang w:eastAsia="es-ES"/>
              </w:rPr>
            </w:pPr>
            <w:r w:rsidRPr="00657BA6">
              <w:rPr>
                <w:rFonts w:ascii="Arial" w:eastAsia="Times New Roman" w:hAnsi="Arial" w:cs="Arial"/>
                <w:lang w:val="es-ES_tradnl" w:eastAsia="es-ES"/>
              </w:rPr>
              <w:t>Espacio ocupado en las salas de la central</w:t>
            </w:r>
          </w:p>
        </w:tc>
      </w:tr>
    </w:tbl>
    <w:p w14:paraId="7EAA78E3" w14:textId="77777777" w:rsidR="004A3027" w:rsidRPr="00657BA6" w:rsidRDefault="004A3027" w:rsidP="0014780A">
      <w:pPr>
        <w:spacing w:after="0"/>
        <w:jc w:val="center"/>
        <w:rPr>
          <w:rFonts w:ascii="Arial" w:eastAsia="Times New Roman" w:hAnsi="Arial" w:cs="Arial"/>
          <w:lang w:eastAsia="es-ES"/>
        </w:rPr>
      </w:pPr>
      <w:r w:rsidRPr="00657BA6">
        <w:rPr>
          <w:rFonts w:ascii="Arial" w:eastAsia="Times New Roman" w:hAnsi="Arial" w:cs="Arial"/>
          <w:lang w:eastAsia="es-ES"/>
        </w:rPr>
        <w:lastRenderedPageBreak/>
        <w:t>Tabla 11. Drivers principales de asignación de costos a los distintos servicios.</w:t>
      </w:r>
    </w:p>
    <w:p w14:paraId="6CECA4C2" w14:textId="77777777" w:rsidR="004A3027" w:rsidRPr="00657BA6" w:rsidRDefault="004A3027" w:rsidP="0014780A">
      <w:pPr>
        <w:spacing w:after="0"/>
        <w:ind w:left="720"/>
        <w:jc w:val="both"/>
        <w:rPr>
          <w:rFonts w:ascii="Arial" w:eastAsia="Times New Roman" w:hAnsi="Arial" w:cs="Arial"/>
          <w:lang w:eastAsia="es-ES"/>
        </w:rPr>
      </w:pPr>
    </w:p>
    <w:p w14:paraId="4D798FE6" w14:textId="77777777" w:rsidR="004A3027" w:rsidRPr="00657BA6" w:rsidRDefault="004A3027" w:rsidP="009640AE">
      <w:pPr>
        <w:numPr>
          <w:ilvl w:val="0"/>
          <w:numId w:val="38"/>
        </w:numPr>
        <w:tabs>
          <w:tab w:val="clear" w:pos="720"/>
          <w:tab w:val="num" w:pos="360"/>
          <w:tab w:val="num" w:pos="426"/>
        </w:tabs>
        <w:spacing w:after="0"/>
        <w:ind w:left="426" w:hanging="426"/>
        <w:jc w:val="both"/>
        <w:rPr>
          <w:rFonts w:ascii="Arial" w:eastAsia="Times New Roman" w:hAnsi="Arial" w:cs="Arial"/>
          <w:lang w:eastAsia="es-ES"/>
        </w:rPr>
      </w:pPr>
      <w:r w:rsidRPr="00657BA6">
        <w:rPr>
          <w:rFonts w:ascii="Arial" w:eastAsia="Times New Roman" w:hAnsi="Arial" w:cs="Arial"/>
          <w:b/>
          <w:lang w:eastAsia="es-ES"/>
        </w:rPr>
        <w:t>Asignación de los costos de suministro de energía y de la fuente de energía de respaldo:</w:t>
      </w:r>
      <w:r w:rsidRPr="00657BA6">
        <w:rPr>
          <w:rFonts w:ascii="Arial" w:eastAsia="Times New Roman" w:hAnsi="Arial" w:cs="Arial"/>
          <w:lang w:eastAsia="es-ES"/>
        </w:rPr>
        <w:t xml:space="preserve"> los costos de este servicio se asignan en función del consumo de energía y de la potencia requerida por los equipos de cada operador. El costo de estos servicios incluye el costo de los equipos y el costo del espacio ocupado por los equipos.</w:t>
      </w:r>
    </w:p>
    <w:p w14:paraId="4B925A46" w14:textId="77777777" w:rsidR="004A3027" w:rsidRPr="00657BA6" w:rsidRDefault="004A3027" w:rsidP="0014780A">
      <w:pPr>
        <w:spacing w:after="0"/>
        <w:ind w:left="708"/>
        <w:jc w:val="both"/>
        <w:rPr>
          <w:rFonts w:ascii="Arial" w:eastAsia="Times New Roman" w:hAnsi="Arial" w:cs="Arial"/>
          <w:lang w:eastAsia="es-ES"/>
        </w:rPr>
      </w:pPr>
    </w:p>
    <w:p w14:paraId="489E029A" w14:textId="77777777" w:rsidR="004A3027" w:rsidRPr="00657BA6" w:rsidRDefault="004A3027" w:rsidP="009640AE">
      <w:pPr>
        <w:numPr>
          <w:ilvl w:val="0"/>
          <w:numId w:val="38"/>
        </w:numPr>
        <w:tabs>
          <w:tab w:val="clear" w:pos="720"/>
          <w:tab w:val="num" w:pos="426"/>
        </w:tabs>
        <w:spacing w:after="0"/>
        <w:ind w:left="426" w:hanging="426"/>
        <w:jc w:val="both"/>
        <w:rPr>
          <w:rFonts w:ascii="Arial" w:eastAsia="Times New Roman" w:hAnsi="Arial" w:cs="Arial"/>
          <w:lang w:eastAsia="es-ES"/>
        </w:rPr>
      </w:pPr>
      <w:r w:rsidRPr="00657BA6">
        <w:rPr>
          <w:rFonts w:ascii="Arial" w:eastAsia="Times New Roman" w:hAnsi="Arial" w:cs="Arial"/>
          <w:b/>
          <w:lang w:eastAsia="es-ES"/>
        </w:rPr>
        <w:t>Asignación de los costos del clima</w:t>
      </w:r>
      <w:r w:rsidRPr="00083873">
        <w:rPr>
          <w:rFonts w:ascii="Arial" w:eastAsia="Times New Roman" w:hAnsi="Arial" w:cs="Arial"/>
          <w:bCs/>
          <w:vertAlign w:val="superscript"/>
          <w:lang w:eastAsia="es-ES"/>
        </w:rPr>
        <w:footnoteReference w:id="45"/>
      </w:r>
      <w:r w:rsidRPr="00657BA6">
        <w:rPr>
          <w:rFonts w:ascii="Arial" w:eastAsia="Times New Roman" w:hAnsi="Arial" w:cs="Arial"/>
          <w:b/>
          <w:lang w:eastAsia="es-ES"/>
        </w:rPr>
        <w:t>:</w:t>
      </w:r>
      <w:r w:rsidRPr="00657BA6">
        <w:rPr>
          <w:rFonts w:ascii="Arial" w:eastAsia="Times New Roman" w:hAnsi="Arial" w:cs="Arial"/>
          <w:lang w:eastAsia="es-ES"/>
        </w:rPr>
        <w:t xml:space="preserve"> los costos de este servicio se asignan de manera proporcional al espacio horizontal ocupado por cada uno de los operadores en la central, considerando el espacio solicitado para la coubicación y el número de salas compartidas (sala de control, sala de subestación eléctrica, sala planta de emergencia y sala de baterías). El costo de estos servicios incluye el costo de los equipos, el consumo de energía y el costo del espacio ocupado por los equipos.</w:t>
      </w:r>
    </w:p>
    <w:p w14:paraId="70D6993F" w14:textId="77777777" w:rsidR="004A3027" w:rsidRPr="00657BA6" w:rsidRDefault="004A3027" w:rsidP="0014780A">
      <w:pPr>
        <w:spacing w:after="0"/>
        <w:ind w:left="708"/>
        <w:jc w:val="both"/>
        <w:rPr>
          <w:rFonts w:ascii="Arial" w:eastAsia="Times New Roman" w:hAnsi="Arial" w:cs="Arial"/>
          <w:lang w:eastAsia="es-ES"/>
        </w:rPr>
      </w:pPr>
    </w:p>
    <w:p w14:paraId="73C1F4C7" w14:textId="77777777" w:rsidR="004A3027" w:rsidRPr="00657BA6" w:rsidRDefault="004A3027" w:rsidP="009640AE">
      <w:pPr>
        <w:numPr>
          <w:ilvl w:val="0"/>
          <w:numId w:val="38"/>
        </w:numPr>
        <w:tabs>
          <w:tab w:val="clear" w:pos="720"/>
          <w:tab w:val="num" w:pos="426"/>
        </w:tabs>
        <w:spacing w:after="0"/>
        <w:ind w:left="426" w:hanging="426"/>
        <w:jc w:val="both"/>
        <w:rPr>
          <w:rFonts w:ascii="Arial" w:eastAsia="Times New Roman" w:hAnsi="Arial" w:cs="Arial"/>
          <w:lang w:eastAsia="es-ES"/>
        </w:rPr>
      </w:pPr>
      <w:r w:rsidRPr="00657BA6">
        <w:rPr>
          <w:rFonts w:ascii="Arial" w:eastAsia="Times New Roman" w:hAnsi="Arial" w:cs="Arial"/>
          <w:b/>
          <w:lang w:eastAsia="es-ES"/>
        </w:rPr>
        <w:t xml:space="preserve">Asignación de los costos de los racks: </w:t>
      </w:r>
      <w:r w:rsidRPr="00657BA6">
        <w:rPr>
          <w:rFonts w:ascii="Arial" w:eastAsia="Times New Roman" w:hAnsi="Arial" w:cs="Arial"/>
          <w:lang w:eastAsia="es-ES"/>
        </w:rPr>
        <w:t>Estos costos se asignan solamente en la coubicación equipada (Tipo 3); la coubicación equipada tiene los mismos drivers de asignación que la coubicación básica/cerrada, al que se añaden los costos específicos de los racks (Capex y Opex), anualizados.</w:t>
      </w:r>
    </w:p>
    <w:p w14:paraId="72D86FE6" w14:textId="77777777" w:rsidR="004A3027" w:rsidRPr="00657BA6" w:rsidRDefault="004A3027" w:rsidP="0014780A">
      <w:pPr>
        <w:spacing w:after="0"/>
        <w:ind w:left="708"/>
        <w:jc w:val="both"/>
        <w:rPr>
          <w:rFonts w:ascii="Arial" w:eastAsia="Times New Roman" w:hAnsi="Arial" w:cs="Arial"/>
          <w:lang w:eastAsia="es-ES"/>
        </w:rPr>
      </w:pPr>
    </w:p>
    <w:p w14:paraId="7449C343" w14:textId="77777777" w:rsidR="004A3027" w:rsidRPr="00657BA6" w:rsidRDefault="004A3027" w:rsidP="009640AE">
      <w:pPr>
        <w:numPr>
          <w:ilvl w:val="0"/>
          <w:numId w:val="38"/>
        </w:numPr>
        <w:tabs>
          <w:tab w:val="clear" w:pos="720"/>
          <w:tab w:val="num" w:pos="426"/>
        </w:tabs>
        <w:spacing w:after="0"/>
        <w:ind w:left="426" w:hanging="426"/>
        <w:jc w:val="both"/>
        <w:rPr>
          <w:rFonts w:ascii="Arial" w:eastAsia="Times New Roman" w:hAnsi="Arial" w:cs="Arial"/>
          <w:lang w:eastAsia="es-ES"/>
        </w:rPr>
      </w:pPr>
      <w:r w:rsidRPr="00657BA6">
        <w:rPr>
          <w:rFonts w:ascii="Arial" w:eastAsia="Times New Roman" w:hAnsi="Arial" w:cs="Arial"/>
          <w:b/>
          <w:lang w:eastAsia="es-ES"/>
        </w:rPr>
        <w:t>Asignación de costos de los servicios complementarios:</w:t>
      </w:r>
      <w:r w:rsidRPr="00657BA6">
        <w:rPr>
          <w:rFonts w:ascii="Arial" w:eastAsia="Times New Roman" w:hAnsi="Arial" w:cs="Arial"/>
          <w:lang w:eastAsia="es-ES"/>
        </w:rPr>
        <w:t xml:space="preserve"> Estos costos son los que corresponden a los servicios complementarios los cuales se separan en costos recurrentes y costos no recurrentes.</w:t>
      </w:r>
    </w:p>
    <w:p w14:paraId="4CD4D328" w14:textId="77777777" w:rsidR="004A3027" w:rsidRPr="00657BA6" w:rsidRDefault="004A3027" w:rsidP="0014780A">
      <w:pPr>
        <w:spacing w:after="0"/>
        <w:ind w:left="708"/>
        <w:jc w:val="both"/>
        <w:rPr>
          <w:rFonts w:ascii="Arial" w:eastAsia="Times New Roman" w:hAnsi="Arial" w:cs="Arial"/>
          <w:lang w:eastAsia="es-ES"/>
        </w:rPr>
      </w:pPr>
    </w:p>
    <w:p w14:paraId="1BB57C13" w14:textId="77777777" w:rsidR="004A3027" w:rsidRPr="00657BA6" w:rsidRDefault="004A3027" w:rsidP="009640AE">
      <w:pPr>
        <w:numPr>
          <w:ilvl w:val="0"/>
          <w:numId w:val="43"/>
        </w:numPr>
        <w:spacing w:after="0"/>
        <w:contextualSpacing/>
        <w:jc w:val="both"/>
        <w:rPr>
          <w:rFonts w:ascii="Arial" w:eastAsia="Times New Roman" w:hAnsi="Arial" w:cs="Arial"/>
          <w:lang w:eastAsia="es-ES"/>
        </w:rPr>
      </w:pPr>
      <w:r w:rsidRPr="00657BA6">
        <w:rPr>
          <w:rFonts w:ascii="Arial" w:eastAsia="Times New Roman" w:hAnsi="Arial" w:cs="Arial"/>
          <w:lang w:eastAsia="es-ES"/>
        </w:rPr>
        <w:t>Costos no recurrentes: Incluyen los gastos de instalación de la coubicación (obra civil CI, obra civil CE, instalación eléctrica, costo de clima y racks), gastos de instalación metro lineal de construcción de escalerilla (escalerilla de 6” para F.O. incluye fijación en losa y escalerilla de aluminio de 6” a 8” para cableado UTP Y/O coaxial), gastos de instalación metro lineal de ductería para coubicación externa y gastos en adecuaciones.</w:t>
      </w:r>
    </w:p>
    <w:p w14:paraId="1C65B6E0" w14:textId="77777777" w:rsidR="004A3027" w:rsidRPr="00657BA6" w:rsidRDefault="004A3027" w:rsidP="009640AE">
      <w:pPr>
        <w:numPr>
          <w:ilvl w:val="0"/>
          <w:numId w:val="43"/>
        </w:numPr>
        <w:spacing w:after="0"/>
        <w:contextualSpacing/>
        <w:jc w:val="both"/>
        <w:rPr>
          <w:rFonts w:ascii="Arial" w:eastAsia="Times New Roman" w:hAnsi="Arial" w:cs="Arial"/>
          <w:lang w:eastAsia="es-ES"/>
        </w:rPr>
      </w:pPr>
      <w:r w:rsidRPr="00657BA6">
        <w:rPr>
          <w:rFonts w:ascii="Arial" w:eastAsia="Times New Roman" w:hAnsi="Arial" w:cs="Arial"/>
          <w:lang w:eastAsia="es-ES"/>
        </w:rPr>
        <w:t>Costos recurrentes: Cuota de mantenimiento, gastos de administración y costo de uso de escalerilla, y otros cobros adicionales relacionados con el interruptor termo magnético.</w:t>
      </w:r>
    </w:p>
    <w:p w14:paraId="05257E47" w14:textId="77777777" w:rsidR="004A3027" w:rsidRPr="00657BA6" w:rsidRDefault="004A3027" w:rsidP="0014780A">
      <w:pPr>
        <w:spacing w:after="0"/>
        <w:jc w:val="both"/>
        <w:rPr>
          <w:rFonts w:ascii="Arial" w:eastAsia="Times New Roman" w:hAnsi="Arial" w:cs="Arial"/>
          <w:lang w:eastAsia="es-ES"/>
        </w:rPr>
      </w:pPr>
    </w:p>
    <w:p w14:paraId="0A6A278A" w14:textId="77777777" w:rsidR="004A3027" w:rsidRPr="00657BA6" w:rsidRDefault="004A3027" w:rsidP="0014780A">
      <w:pPr>
        <w:spacing w:after="0"/>
        <w:jc w:val="both"/>
        <w:rPr>
          <w:rFonts w:ascii="Arial" w:eastAsia="Times New Roman" w:hAnsi="Arial" w:cs="Arial"/>
          <w:i/>
          <w:lang w:eastAsia="es-ES"/>
        </w:rPr>
      </w:pPr>
      <w:r w:rsidRPr="00657BA6">
        <w:rPr>
          <w:rFonts w:ascii="Arial" w:eastAsia="Times New Roman" w:hAnsi="Arial" w:cs="Arial"/>
          <w:i/>
          <w:lang w:eastAsia="es-ES"/>
        </w:rPr>
        <w:t>Regiones de costos</w:t>
      </w:r>
    </w:p>
    <w:p w14:paraId="257B8006" w14:textId="77777777" w:rsidR="004A3027" w:rsidRPr="00657BA6" w:rsidRDefault="004A3027" w:rsidP="0014780A">
      <w:pPr>
        <w:spacing w:after="0"/>
        <w:jc w:val="both"/>
        <w:rPr>
          <w:rFonts w:ascii="Arial" w:eastAsia="Times New Roman" w:hAnsi="Arial" w:cs="Arial"/>
          <w:i/>
          <w:lang w:eastAsia="es-ES"/>
        </w:rPr>
      </w:pPr>
    </w:p>
    <w:p w14:paraId="0DEB2413" w14:textId="0B2BD2C8" w:rsidR="004A3027" w:rsidRPr="00657BA6" w:rsidRDefault="004A3027" w:rsidP="0014780A">
      <w:pPr>
        <w:spacing w:after="0"/>
        <w:jc w:val="both"/>
        <w:rPr>
          <w:rFonts w:ascii="Arial" w:hAnsi="Arial" w:cs="Arial"/>
          <w:spacing w:val="-4"/>
        </w:rPr>
      </w:pPr>
      <w:r w:rsidRPr="00657BA6">
        <w:rPr>
          <w:rFonts w:ascii="Arial" w:hAnsi="Arial" w:cs="Arial"/>
          <w:spacing w:val="-4"/>
        </w:rPr>
        <w:t xml:space="preserve">La oferta de espacios físicos depende principalmente del valor de adquisición o alquiler de predios y de las adecuaciones y/u obras civiles necesarias para adaptar estos espacios. Es así </w:t>
      </w:r>
      <w:r w:rsidR="00F57E4D" w:rsidRPr="00657BA6">
        <w:rPr>
          <w:rFonts w:ascii="Arial" w:hAnsi="Arial" w:cs="Arial"/>
          <w:spacing w:val="-4"/>
        </w:rPr>
        <w:t>como</w:t>
      </w:r>
      <w:r w:rsidRPr="00657BA6">
        <w:rPr>
          <w:rFonts w:ascii="Arial" w:hAnsi="Arial" w:cs="Arial"/>
          <w:spacing w:val="-4"/>
        </w:rPr>
        <w:t xml:space="preserve"> el costo de adquirir o comprar un predio y construir en el mismo en zonas con alta demanda es diferente del </w:t>
      </w:r>
      <w:r w:rsidRPr="00657BA6">
        <w:rPr>
          <w:rFonts w:ascii="Arial" w:hAnsi="Arial" w:cs="Arial"/>
          <w:spacing w:val="-4"/>
        </w:rPr>
        <w:lastRenderedPageBreak/>
        <w:t>costo en zonas de baja demanda por lo que dichos costos pueden diferenciarse dependiendo de la zona o región geográfica de que se trate.</w:t>
      </w:r>
    </w:p>
    <w:p w14:paraId="10D3A1BB" w14:textId="77777777" w:rsidR="004A3027" w:rsidRPr="00657BA6" w:rsidRDefault="004A3027" w:rsidP="0014780A">
      <w:pPr>
        <w:spacing w:after="0"/>
        <w:jc w:val="both"/>
        <w:rPr>
          <w:rFonts w:ascii="Arial" w:hAnsi="Arial" w:cs="Arial"/>
          <w:spacing w:val="-4"/>
        </w:rPr>
      </w:pPr>
    </w:p>
    <w:p w14:paraId="21F03896" w14:textId="77777777" w:rsidR="004A3027" w:rsidRPr="00657BA6" w:rsidRDefault="004A3027" w:rsidP="0014780A">
      <w:pPr>
        <w:spacing w:after="0"/>
        <w:jc w:val="both"/>
        <w:rPr>
          <w:rFonts w:ascii="Arial" w:hAnsi="Arial" w:cs="Arial"/>
        </w:rPr>
      </w:pPr>
      <w:r w:rsidRPr="00657BA6">
        <w:rPr>
          <w:rFonts w:ascii="Arial" w:hAnsi="Arial" w:cs="Arial"/>
          <w:spacing w:val="-4"/>
        </w:rPr>
        <w:t xml:space="preserve">De esta forma, las contraprestaciones por renta mensual del servicio de coubicación </w:t>
      </w:r>
      <w:r w:rsidRPr="00657BA6">
        <w:rPr>
          <w:rFonts w:ascii="Arial" w:eastAsia="Times New Roman" w:hAnsi="Arial" w:cs="Arial"/>
        </w:rPr>
        <w:t xml:space="preserve">dependerán de la región de costo de que se trate reflejándose en la diferenciación de los costos unitarios para el uso de predios, alquiler de los mismos e inversiones relacionadas a adecuaciones y obras civiles, lo cual se encuentra en línea con </w:t>
      </w:r>
      <w:r w:rsidRPr="00657BA6">
        <w:rPr>
          <w:rFonts w:ascii="Arial" w:hAnsi="Arial" w:cs="Arial"/>
        </w:rPr>
        <w:t>la práctica observada en precios de los convenios de interconexión que tienen suscritos diversos concesionarios de redes públicas de telecomunicaciones y que obran en el Registro Público de Concesiones los cuales reflejan en su configuración diferencias intrínsecas de costos de utilización y adecuación de espacios físicos, dichas regiones de costo se clasificarán conforme a lo siguiente:</w:t>
      </w:r>
    </w:p>
    <w:p w14:paraId="17B78812" w14:textId="6323CB31" w:rsidR="004A3027" w:rsidRDefault="004A3027" w:rsidP="0014780A">
      <w:pPr>
        <w:spacing w:after="0"/>
        <w:jc w:val="both"/>
        <w:rPr>
          <w:rFonts w:ascii="Arial" w:eastAsia="Times New Roman" w:hAnsi="Arial" w:cs="Arial"/>
          <w:lang w:eastAsia="es-ES"/>
        </w:rPr>
      </w:pPr>
    </w:p>
    <w:tbl>
      <w:tblPr>
        <w:tblW w:w="6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1"/>
        <w:gridCol w:w="3031"/>
        <w:gridCol w:w="1471"/>
        <w:gridCol w:w="1941"/>
      </w:tblGrid>
      <w:tr w:rsidR="00CD059B" w:rsidRPr="00DA1B46" w14:paraId="618723A3" w14:textId="77777777" w:rsidTr="00CD059B">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201C9191" w14:textId="77777777" w:rsidR="00CD059B" w:rsidRPr="00DA1B46" w:rsidRDefault="00CD059B" w:rsidP="0014780A">
            <w:pPr>
              <w:spacing w:after="0"/>
              <w:rPr>
                <w:rFonts w:ascii="Arial" w:hAnsi="Arial" w:cs="Arial"/>
                <w:b/>
              </w:rPr>
            </w:pPr>
            <w:r w:rsidRPr="00DA1B46">
              <w:rPr>
                <w:rFonts w:ascii="Arial" w:hAnsi="Arial" w:cs="Arial"/>
                <w:b/>
              </w:rPr>
              <w:t>No</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03093B73" w14:textId="77777777" w:rsidR="00CD059B" w:rsidRPr="00DA1B46" w:rsidRDefault="00CD059B" w:rsidP="0014780A">
            <w:pPr>
              <w:spacing w:after="0"/>
              <w:rPr>
                <w:rFonts w:ascii="Arial" w:hAnsi="Arial" w:cs="Arial"/>
                <w:b/>
              </w:rPr>
            </w:pPr>
            <w:r w:rsidRPr="00DA1B46">
              <w:rPr>
                <w:rFonts w:ascii="Arial" w:hAnsi="Arial" w:cs="Arial"/>
                <w:b/>
              </w:rPr>
              <w:t>CIUDAD</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143A611A" w14:textId="77777777" w:rsidR="00CD059B" w:rsidRPr="00DA1B46" w:rsidRDefault="00CD059B" w:rsidP="0014780A">
            <w:pPr>
              <w:spacing w:after="0"/>
              <w:rPr>
                <w:rFonts w:ascii="Arial" w:hAnsi="Arial" w:cs="Arial"/>
                <w:b/>
              </w:rPr>
            </w:pPr>
            <w:r w:rsidRPr="00DA1B46">
              <w:rPr>
                <w:rFonts w:ascii="Arial" w:hAnsi="Arial" w:cs="Arial"/>
                <w:b/>
              </w:rPr>
              <w:t>ESTADO</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1EABF060" w14:textId="77777777" w:rsidR="00CD059B" w:rsidRPr="00DA1B46" w:rsidRDefault="00CD059B" w:rsidP="0014780A">
            <w:pPr>
              <w:spacing w:after="0"/>
              <w:rPr>
                <w:rFonts w:ascii="Arial" w:hAnsi="Arial" w:cs="Arial"/>
                <w:b/>
              </w:rPr>
            </w:pPr>
            <w:r w:rsidRPr="00DA1B46">
              <w:rPr>
                <w:rFonts w:ascii="Arial" w:hAnsi="Arial" w:cs="Arial"/>
                <w:b/>
              </w:rPr>
              <w:t>REGIÓN DE COSTO</w:t>
            </w:r>
          </w:p>
        </w:tc>
      </w:tr>
      <w:tr w:rsidR="00CD059B" w:rsidRPr="00DA1B46" w14:paraId="2D08C497" w14:textId="77777777" w:rsidTr="00CD059B">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114D3AE0" w14:textId="77777777" w:rsidR="00CD059B" w:rsidRPr="00BF4B6B" w:rsidRDefault="00CD059B" w:rsidP="0014780A">
            <w:pPr>
              <w:spacing w:after="0"/>
              <w:rPr>
                <w:rFonts w:ascii="Arial" w:hAnsi="Arial" w:cs="Arial"/>
                <w:bCs/>
              </w:rPr>
            </w:pPr>
            <w:r w:rsidRPr="00BF4B6B">
              <w:rPr>
                <w:rFonts w:ascii="Arial" w:hAnsi="Arial" w:cs="Arial"/>
                <w:bCs/>
              </w:rPr>
              <w:t>1</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5AD85D38" w14:textId="77777777" w:rsidR="00CD059B" w:rsidRPr="00BF4B6B" w:rsidRDefault="00CD059B" w:rsidP="0014780A">
            <w:pPr>
              <w:spacing w:after="0"/>
              <w:rPr>
                <w:rFonts w:ascii="Arial" w:hAnsi="Arial" w:cs="Arial"/>
                <w:bCs/>
              </w:rPr>
            </w:pPr>
            <w:r w:rsidRPr="00BF4B6B">
              <w:rPr>
                <w:rFonts w:ascii="Arial" w:hAnsi="Arial" w:cs="Arial"/>
                <w:bCs/>
              </w:rPr>
              <w:t>CD MEXICO</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397D0FE0" w14:textId="77777777" w:rsidR="00CD059B" w:rsidRPr="00BF4B6B" w:rsidRDefault="00CD059B" w:rsidP="0014780A">
            <w:pPr>
              <w:spacing w:after="0"/>
              <w:rPr>
                <w:rFonts w:ascii="Arial" w:hAnsi="Arial" w:cs="Arial"/>
                <w:bCs/>
              </w:rPr>
            </w:pPr>
            <w:r w:rsidRPr="00BF4B6B">
              <w:rPr>
                <w:rFonts w:ascii="Arial" w:hAnsi="Arial" w:cs="Arial"/>
                <w:bCs/>
              </w:rPr>
              <w:t>CD MEX</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0DD6D8BF" w14:textId="77777777" w:rsidR="00CD059B" w:rsidRPr="00BF4B6B" w:rsidRDefault="00CD059B" w:rsidP="0014780A">
            <w:pPr>
              <w:spacing w:after="0"/>
              <w:rPr>
                <w:rFonts w:ascii="Arial" w:hAnsi="Arial" w:cs="Arial"/>
                <w:bCs/>
              </w:rPr>
            </w:pPr>
            <w:r w:rsidRPr="00BF4B6B">
              <w:rPr>
                <w:rFonts w:ascii="Arial" w:hAnsi="Arial" w:cs="Arial"/>
                <w:bCs/>
              </w:rPr>
              <w:t>ALTA</w:t>
            </w:r>
          </w:p>
        </w:tc>
      </w:tr>
      <w:tr w:rsidR="00CD059B" w:rsidRPr="00DA1B46" w14:paraId="070AFCB4" w14:textId="77777777" w:rsidTr="00CD059B">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418C6F0A" w14:textId="77777777" w:rsidR="00CD059B" w:rsidRPr="00BF4B6B" w:rsidRDefault="00CD059B" w:rsidP="0014780A">
            <w:pPr>
              <w:spacing w:after="0"/>
              <w:rPr>
                <w:rFonts w:ascii="Arial" w:hAnsi="Arial" w:cs="Arial"/>
                <w:bCs/>
              </w:rPr>
            </w:pPr>
            <w:r w:rsidRPr="00BF4B6B">
              <w:rPr>
                <w:rFonts w:ascii="Arial" w:hAnsi="Arial" w:cs="Arial"/>
                <w:bCs/>
              </w:rPr>
              <w:t>2</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438CABDF" w14:textId="77777777" w:rsidR="00CD059B" w:rsidRPr="00BF4B6B" w:rsidRDefault="00CD059B" w:rsidP="0014780A">
            <w:pPr>
              <w:spacing w:after="0"/>
              <w:rPr>
                <w:rFonts w:ascii="Arial" w:hAnsi="Arial" w:cs="Arial"/>
                <w:bCs/>
              </w:rPr>
            </w:pPr>
            <w:r w:rsidRPr="00BF4B6B">
              <w:rPr>
                <w:rFonts w:ascii="Arial" w:hAnsi="Arial" w:cs="Arial"/>
                <w:bCs/>
              </w:rPr>
              <w:t xml:space="preserve">CELAYA </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06AA70AB" w14:textId="77777777" w:rsidR="00CD059B" w:rsidRPr="00BF4B6B" w:rsidRDefault="00CD059B" w:rsidP="0014780A">
            <w:pPr>
              <w:spacing w:after="0"/>
              <w:rPr>
                <w:rFonts w:ascii="Arial" w:hAnsi="Arial" w:cs="Arial"/>
                <w:bCs/>
              </w:rPr>
            </w:pPr>
            <w:r w:rsidRPr="00BF4B6B">
              <w:rPr>
                <w:rFonts w:ascii="Arial" w:hAnsi="Arial" w:cs="Arial"/>
                <w:bCs/>
              </w:rPr>
              <w:t>GTO</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53B0FDC0" w14:textId="77777777" w:rsidR="00CD059B" w:rsidRPr="00BF4B6B" w:rsidRDefault="00CD059B" w:rsidP="0014780A">
            <w:pPr>
              <w:spacing w:after="0"/>
              <w:rPr>
                <w:rFonts w:ascii="Arial" w:hAnsi="Arial" w:cs="Arial"/>
                <w:bCs/>
              </w:rPr>
            </w:pPr>
            <w:r w:rsidRPr="00BF4B6B">
              <w:rPr>
                <w:rFonts w:ascii="Arial" w:hAnsi="Arial" w:cs="Arial"/>
                <w:bCs/>
              </w:rPr>
              <w:t>ALTA</w:t>
            </w:r>
          </w:p>
        </w:tc>
      </w:tr>
      <w:tr w:rsidR="00CD059B" w:rsidRPr="00DA1B46" w14:paraId="5EADAC79" w14:textId="77777777" w:rsidTr="00CD059B">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4E2B1188" w14:textId="77777777" w:rsidR="00CD059B" w:rsidRPr="00BF4B6B" w:rsidRDefault="00CD059B" w:rsidP="0014780A">
            <w:pPr>
              <w:spacing w:after="0"/>
              <w:rPr>
                <w:rFonts w:ascii="Arial" w:hAnsi="Arial" w:cs="Arial"/>
                <w:bCs/>
              </w:rPr>
            </w:pPr>
            <w:r w:rsidRPr="00BF4B6B">
              <w:rPr>
                <w:rFonts w:ascii="Arial" w:hAnsi="Arial" w:cs="Arial"/>
                <w:bCs/>
              </w:rPr>
              <w:t>3</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654C65C5" w14:textId="77777777" w:rsidR="00CD059B" w:rsidRPr="00BF4B6B" w:rsidRDefault="00CD059B" w:rsidP="0014780A">
            <w:pPr>
              <w:spacing w:after="0"/>
              <w:rPr>
                <w:rFonts w:ascii="Arial" w:hAnsi="Arial" w:cs="Arial"/>
                <w:bCs/>
              </w:rPr>
            </w:pPr>
            <w:r w:rsidRPr="00BF4B6B">
              <w:rPr>
                <w:rFonts w:ascii="Arial" w:hAnsi="Arial" w:cs="Arial"/>
                <w:bCs/>
              </w:rPr>
              <w:t>CHIHUAHUA</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3EE92ED4" w14:textId="77777777" w:rsidR="00CD059B" w:rsidRPr="00BF4B6B" w:rsidRDefault="00CD059B" w:rsidP="0014780A">
            <w:pPr>
              <w:spacing w:after="0"/>
              <w:rPr>
                <w:rFonts w:ascii="Arial" w:hAnsi="Arial" w:cs="Arial"/>
                <w:bCs/>
              </w:rPr>
            </w:pPr>
            <w:r w:rsidRPr="00BF4B6B">
              <w:rPr>
                <w:rFonts w:ascii="Arial" w:hAnsi="Arial" w:cs="Arial"/>
                <w:bCs/>
              </w:rPr>
              <w:t>CHIH</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12B642F3" w14:textId="77777777" w:rsidR="00CD059B" w:rsidRPr="00BF4B6B" w:rsidRDefault="00CD059B" w:rsidP="0014780A">
            <w:pPr>
              <w:spacing w:after="0"/>
              <w:rPr>
                <w:rFonts w:ascii="Arial" w:hAnsi="Arial" w:cs="Arial"/>
                <w:bCs/>
              </w:rPr>
            </w:pPr>
            <w:r w:rsidRPr="00BF4B6B">
              <w:rPr>
                <w:rFonts w:ascii="Arial" w:hAnsi="Arial" w:cs="Arial"/>
                <w:bCs/>
              </w:rPr>
              <w:t>ALTA</w:t>
            </w:r>
          </w:p>
        </w:tc>
      </w:tr>
      <w:tr w:rsidR="00CD059B" w:rsidRPr="00DA1B46" w14:paraId="0BC4C414" w14:textId="77777777" w:rsidTr="00CD059B">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464AFFF4" w14:textId="77777777" w:rsidR="00CD059B" w:rsidRPr="00BF4B6B" w:rsidRDefault="00CD059B" w:rsidP="0014780A">
            <w:pPr>
              <w:spacing w:after="0"/>
              <w:rPr>
                <w:rFonts w:ascii="Arial" w:hAnsi="Arial" w:cs="Arial"/>
                <w:bCs/>
              </w:rPr>
            </w:pPr>
            <w:r w:rsidRPr="00BF4B6B">
              <w:rPr>
                <w:rFonts w:ascii="Arial" w:hAnsi="Arial" w:cs="Arial"/>
                <w:bCs/>
              </w:rPr>
              <w:t>4</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464A1B91" w14:textId="77777777" w:rsidR="00CD059B" w:rsidRPr="00BF4B6B" w:rsidRDefault="00CD059B" w:rsidP="0014780A">
            <w:pPr>
              <w:spacing w:after="0"/>
              <w:rPr>
                <w:rFonts w:ascii="Arial" w:hAnsi="Arial" w:cs="Arial"/>
                <w:bCs/>
              </w:rPr>
            </w:pPr>
            <w:r w:rsidRPr="00BF4B6B">
              <w:rPr>
                <w:rFonts w:ascii="Arial" w:hAnsi="Arial" w:cs="Arial"/>
                <w:bCs/>
              </w:rPr>
              <w:t>COATZACOALCOS</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2410610B" w14:textId="77777777" w:rsidR="00CD059B" w:rsidRPr="00BF4B6B" w:rsidRDefault="00CD059B" w:rsidP="0014780A">
            <w:pPr>
              <w:spacing w:after="0"/>
              <w:rPr>
                <w:rFonts w:ascii="Arial" w:hAnsi="Arial" w:cs="Arial"/>
                <w:bCs/>
              </w:rPr>
            </w:pPr>
            <w:r w:rsidRPr="00BF4B6B">
              <w:rPr>
                <w:rFonts w:ascii="Arial" w:hAnsi="Arial" w:cs="Arial"/>
                <w:bCs/>
              </w:rPr>
              <w:t>VER</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2367B4E5" w14:textId="77777777" w:rsidR="00CD059B" w:rsidRPr="00BF4B6B" w:rsidRDefault="00CD059B" w:rsidP="0014780A">
            <w:pPr>
              <w:spacing w:after="0"/>
              <w:rPr>
                <w:rFonts w:ascii="Arial" w:hAnsi="Arial" w:cs="Arial"/>
                <w:bCs/>
              </w:rPr>
            </w:pPr>
            <w:r w:rsidRPr="00BF4B6B">
              <w:rPr>
                <w:rFonts w:ascii="Arial" w:hAnsi="Arial" w:cs="Arial"/>
                <w:bCs/>
              </w:rPr>
              <w:t>ALTA</w:t>
            </w:r>
          </w:p>
        </w:tc>
      </w:tr>
      <w:tr w:rsidR="00CD059B" w:rsidRPr="00DA1B46" w14:paraId="70F4B942" w14:textId="77777777" w:rsidTr="00CD059B">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2133F67D" w14:textId="77777777" w:rsidR="00CD059B" w:rsidRPr="00BF4B6B" w:rsidRDefault="00CD059B" w:rsidP="0014780A">
            <w:pPr>
              <w:spacing w:after="0"/>
              <w:rPr>
                <w:rFonts w:ascii="Arial" w:hAnsi="Arial" w:cs="Arial"/>
                <w:bCs/>
              </w:rPr>
            </w:pPr>
            <w:r w:rsidRPr="00BF4B6B">
              <w:rPr>
                <w:rFonts w:ascii="Arial" w:hAnsi="Arial" w:cs="Arial"/>
                <w:bCs/>
              </w:rPr>
              <w:t>5</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6183E649" w14:textId="77777777" w:rsidR="00CD059B" w:rsidRPr="00BF4B6B" w:rsidRDefault="00CD059B" w:rsidP="0014780A">
            <w:pPr>
              <w:spacing w:after="0"/>
              <w:rPr>
                <w:rFonts w:ascii="Arial" w:hAnsi="Arial" w:cs="Arial"/>
                <w:bCs/>
              </w:rPr>
            </w:pPr>
            <w:r w:rsidRPr="00BF4B6B">
              <w:rPr>
                <w:rFonts w:ascii="Arial" w:hAnsi="Arial" w:cs="Arial"/>
                <w:bCs/>
              </w:rPr>
              <w:t>CUERNAVACA</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1C26664C" w14:textId="77777777" w:rsidR="00CD059B" w:rsidRPr="00BF4B6B" w:rsidRDefault="00CD059B" w:rsidP="0014780A">
            <w:pPr>
              <w:spacing w:after="0"/>
              <w:rPr>
                <w:rFonts w:ascii="Arial" w:hAnsi="Arial" w:cs="Arial"/>
                <w:bCs/>
              </w:rPr>
            </w:pPr>
            <w:r w:rsidRPr="00BF4B6B">
              <w:rPr>
                <w:rFonts w:ascii="Arial" w:hAnsi="Arial" w:cs="Arial"/>
                <w:bCs/>
              </w:rPr>
              <w:t>MOR</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082F3B0B" w14:textId="77777777" w:rsidR="00CD059B" w:rsidRPr="00BF4B6B" w:rsidRDefault="00CD059B" w:rsidP="0014780A">
            <w:pPr>
              <w:spacing w:after="0"/>
              <w:rPr>
                <w:rFonts w:ascii="Arial" w:hAnsi="Arial" w:cs="Arial"/>
                <w:bCs/>
              </w:rPr>
            </w:pPr>
            <w:r w:rsidRPr="00BF4B6B">
              <w:rPr>
                <w:rFonts w:ascii="Arial" w:hAnsi="Arial" w:cs="Arial"/>
                <w:bCs/>
              </w:rPr>
              <w:t>ALTA</w:t>
            </w:r>
          </w:p>
        </w:tc>
      </w:tr>
      <w:tr w:rsidR="00CD059B" w:rsidRPr="00DA1B46" w14:paraId="26C6AA9C" w14:textId="77777777" w:rsidTr="00CD059B">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613B1B1C" w14:textId="77777777" w:rsidR="00CD059B" w:rsidRPr="00BF4B6B" w:rsidRDefault="00CD059B" w:rsidP="0014780A">
            <w:pPr>
              <w:spacing w:after="0"/>
              <w:rPr>
                <w:rFonts w:ascii="Arial" w:hAnsi="Arial" w:cs="Arial"/>
                <w:bCs/>
              </w:rPr>
            </w:pPr>
            <w:r w:rsidRPr="00BF4B6B">
              <w:rPr>
                <w:rFonts w:ascii="Arial" w:hAnsi="Arial" w:cs="Arial"/>
                <w:bCs/>
              </w:rPr>
              <w:t>6</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338BF071" w14:textId="77777777" w:rsidR="00CD059B" w:rsidRPr="00BF4B6B" w:rsidRDefault="00CD059B" w:rsidP="0014780A">
            <w:pPr>
              <w:spacing w:after="0"/>
              <w:rPr>
                <w:rFonts w:ascii="Arial" w:hAnsi="Arial" w:cs="Arial"/>
                <w:bCs/>
              </w:rPr>
            </w:pPr>
            <w:r w:rsidRPr="00BF4B6B">
              <w:rPr>
                <w:rFonts w:ascii="Arial" w:hAnsi="Arial" w:cs="Arial"/>
                <w:bCs/>
              </w:rPr>
              <w:t>GUADALAJARA</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1A93EEC7" w14:textId="77777777" w:rsidR="00CD059B" w:rsidRPr="00BF4B6B" w:rsidRDefault="00CD059B" w:rsidP="0014780A">
            <w:pPr>
              <w:spacing w:after="0"/>
              <w:rPr>
                <w:rFonts w:ascii="Arial" w:hAnsi="Arial" w:cs="Arial"/>
                <w:bCs/>
              </w:rPr>
            </w:pPr>
            <w:r w:rsidRPr="00BF4B6B">
              <w:rPr>
                <w:rFonts w:ascii="Arial" w:hAnsi="Arial" w:cs="Arial"/>
                <w:bCs/>
              </w:rPr>
              <w:t>JAL</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383C05F6" w14:textId="77777777" w:rsidR="00CD059B" w:rsidRPr="00BF4B6B" w:rsidRDefault="00CD059B" w:rsidP="0014780A">
            <w:pPr>
              <w:spacing w:after="0"/>
              <w:rPr>
                <w:rFonts w:ascii="Arial" w:hAnsi="Arial" w:cs="Arial"/>
                <w:bCs/>
              </w:rPr>
            </w:pPr>
            <w:r w:rsidRPr="00BF4B6B">
              <w:rPr>
                <w:rFonts w:ascii="Arial" w:hAnsi="Arial" w:cs="Arial"/>
                <w:bCs/>
              </w:rPr>
              <w:t>ALTA</w:t>
            </w:r>
          </w:p>
        </w:tc>
      </w:tr>
      <w:tr w:rsidR="00CD059B" w:rsidRPr="00DA1B46" w14:paraId="2C7731E3" w14:textId="77777777" w:rsidTr="00CD059B">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0C30ECAF" w14:textId="77777777" w:rsidR="00CD059B" w:rsidRPr="00BF4B6B" w:rsidRDefault="00CD059B" w:rsidP="0014780A">
            <w:pPr>
              <w:spacing w:after="0"/>
              <w:rPr>
                <w:rFonts w:ascii="Arial" w:hAnsi="Arial" w:cs="Arial"/>
                <w:bCs/>
              </w:rPr>
            </w:pPr>
            <w:r w:rsidRPr="00BF4B6B">
              <w:rPr>
                <w:rFonts w:ascii="Arial" w:hAnsi="Arial" w:cs="Arial"/>
                <w:bCs/>
              </w:rPr>
              <w:t>7</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4BF4AA19" w14:textId="77777777" w:rsidR="00CD059B" w:rsidRPr="00BF4B6B" w:rsidRDefault="00CD059B" w:rsidP="0014780A">
            <w:pPr>
              <w:spacing w:after="0"/>
              <w:rPr>
                <w:rFonts w:ascii="Arial" w:hAnsi="Arial" w:cs="Arial"/>
                <w:bCs/>
              </w:rPr>
            </w:pPr>
            <w:r w:rsidRPr="00BF4B6B">
              <w:rPr>
                <w:rFonts w:ascii="Arial" w:hAnsi="Arial" w:cs="Arial"/>
                <w:bCs/>
              </w:rPr>
              <w:t>HERMOSILLO</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042E6797" w14:textId="77777777" w:rsidR="00CD059B" w:rsidRPr="00BF4B6B" w:rsidRDefault="00CD059B" w:rsidP="0014780A">
            <w:pPr>
              <w:spacing w:after="0"/>
              <w:rPr>
                <w:rFonts w:ascii="Arial" w:hAnsi="Arial" w:cs="Arial"/>
                <w:bCs/>
              </w:rPr>
            </w:pPr>
            <w:r w:rsidRPr="00BF4B6B">
              <w:rPr>
                <w:rFonts w:ascii="Arial" w:hAnsi="Arial" w:cs="Arial"/>
                <w:bCs/>
              </w:rPr>
              <w:t>SON</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0348AB8E" w14:textId="77777777" w:rsidR="00CD059B" w:rsidRPr="00BF4B6B" w:rsidRDefault="00CD059B" w:rsidP="0014780A">
            <w:pPr>
              <w:spacing w:after="0"/>
              <w:rPr>
                <w:rFonts w:ascii="Arial" w:hAnsi="Arial" w:cs="Arial"/>
                <w:bCs/>
              </w:rPr>
            </w:pPr>
            <w:r w:rsidRPr="00BF4B6B">
              <w:rPr>
                <w:rFonts w:ascii="Arial" w:hAnsi="Arial" w:cs="Arial"/>
                <w:bCs/>
              </w:rPr>
              <w:t>ALTA</w:t>
            </w:r>
          </w:p>
        </w:tc>
      </w:tr>
      <w:tr w:rsidR="00CD059B" w:rsidRPr="00DA1B46" w14:paraId="7DEDEC80" w14:textId="77777777" w:rsidTr="00CD059B">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5002547B" w14:textId="77777777" w:rsidR="00CD059B" w:rsidRPr="00BF4B6B" w:rsidRDefault="00CD059B" w:rsidP="0014780A">
            <w:pPr>
              <w:spacing w:after="0"/>
              <w:rPr>
                <w:rFonts w:ascii="Arial" w:hAnsi="Arial" w:cs="Arial"/>
                <w:bCs/>
              </w:rPr>
            </w:pPr>
            <w:r w:rsidRPr="00BF4B6B">
              <w:rPr>
                <w:rFonts w:ascii="Arial" w:hAnsi="Arial" w:cs="Arial"/>
                <w:bCs/>
              </w:rPr>
              <w:t>8</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046FC1BD" w14:textId="77777777" w:rsidR="00CD059B" w:rsidRPr="00BF4B6B" w:rsidRDefault="00CD059B" w:rsidP="0014780A">
            <w:pPr>
              <w:spacing w:after="0"/>
              <w:rPr>
                <w:rFonts w:ascii="Arial" w:hAnsi="Arial" w:cs="Arial"/>
                <w:bCs/>
              </w:rPr>
            </w:pPr>
            <w:r w:rsidRPr="00BF4B6B">
              <w:rPr>
                <w:rFonts w:ascii="Arial" w:hAnsi="Arial" w:cs="Arial"/>
                <w:bCs/>
              </w:rPr>
              <w:t>LA PAZ</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4E6814F9" w14:textId="77777777" w:rsidR="00CD059B" w:rsidRPr="00BF4B6B" w:rsidRDefault="00CD059B" w:rsidP="0014780A">
            <w:pPr>
              <w:spacing w:after="0"/>
              <w:rPr>
                <w:rFonts w:ascii="Arial" w:hAnsi="Arial" w:cs="Arial"/>
                <w:bCs/>
              </w:rPr>
            </w:pPr>
            <w:r w:rsidRPr="00BF4B6B">
              <w:rPr>
                <w:rFonts w:ascii="Arial" w:hAnsi="Arial" w:cs="Arial"/>
                <w:bCs/>
              </w:rPr>
              <w:t>BCS</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09F97FD5" w14:textId="77777777" w:rsidR="00CD059B" w:rsidRPr="00BF4B6B" w:rsidRDefault="00CD059B" w:rsidP="0014780A">
            <w:pPr>
              <w:spacing w:after="0"/>
              <w:rPr>
                <w:rFonts w:ascii="Arial" w:hAnsi="Arial" w:cs="Arial"/>
                <w:bCs/>
              </w:rPr>
            </w:pPr>
            <w:r w:rsidRPr="00BF4B6B">
              <w:rPr>
                <w:rFonts w:ascii="Arial" w:hAnsi="Arial" w:cs="Arial"/>
                <w:bCs/>
              </w:rPr>
              <w:t>BAJA</w:t>
            </w:r>
          </w:p>
        </w:tc>
      </w:tr>
      <w:tr w:rsidR="00CD059B" w:rsidRPr="00DA1B46" w14:paraId="1C0BB91E" w14:textId="77777777" w:rsidTr="00CD059B">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642B0CF6" w14:textId="77777777" w:rsidR="00CD059B" w:rsidRPr="00BF4B6B" w:rsidRDefault="00CD059B" w:rsidP="0014780A">
            <w:pPr>
              <w:spacing w:after="0"/>
              <w:rPr>
                <w:rFonts w:ascii="Arial" w:hAnsi="Arial" w:cs="Arial"/>
                <w:bCs/>
              </w:rPr>
            </w:pPr>
            <w:r w:rsidRPr="00BF4B6B">
              <w:rPr>
                <w:rFonts w:ascii="Arial" w:hAnsi="Arial" w:cs="Arial"/>
                <w:bCs/>
              </w:rPr>
              <w:t>9</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629D1288" w14:textId="77777777" w:rsidR="00CD059B" w:rsidRPr="00BF4B6B" w:rsidRDefault="00CD059B" w:rsidP="0014780A">
            <w:pPr>
              <w:spacing w:after="0"/>
              <w:rPr>
                <w:rFonts w:ascii="Arial" w:hAnsi="Arial" w:cs="Arial"/>
                <w:bCs/>
              </w:rPr>
            </w:pPr>
            <w:r w:rsidRPr="00BF4B6B">
              <w:rPr>
                <w:rFonts w:ascii="Arial" w:hAnsi="Arial" w:cs="Arial"/>
                <w:bCs/>
              </w:rPr>
              <w:t>MONTERREY</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3EDCCB17" w14:textId="77777777" w:rsidR="00CD059B" w:rsidRPr="00BF4B6B" w:rsidRDefault="00CD059B" w:rsidP="0014780A">
            <w:pPr>
              <w:spacing w:after="0"/>
              <w:rPr>
                <w:rFonts w:ascii="Arial" w:hAnsi="Arial" w:cs="Arial"/>
                <w:bCs/>
              </w:rPr>
            </w:pPr>
            <w:r w:rsidRPr="00BF4B6B">
              <w:rPr>
                <w:rFonts w:ascii="Arial" w:hAnsi="Arial" w:cs="Arial"/>
                <w:bCs/>
              </w:rPr>
              <w:t>NL</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37680979" w14:textId="77777777" w:rsidR="00CD059B" w:rsidRPr="00BF4B6B" w:rsidRDefault="00CD059B" w:rsidP="0014780A">
            <w:pPr>
              <w:spacing w:after="0"/>
              <w:rPr>
                <w:rFonts w:ascii="Arial" w:hAnsi="Arial" w:cs="Arial"/>
                <w:bCs/>
              </w:rPr>
            </w:pPr>
            <w:r w:rsidRPr="00BF4B6B">
              <w:rPr>
                <w:rFonts w:ascii="Arial" w:hAnsi="Arial" w:cs="Arial"/>
                <w:bCs/>
              </w:rPr>
              <w:t>ALTA</w:t>
            </w:r>
          </w:p>
        </w:tc>
      </w:tr>
      <w:tr w:rsidR="00CD059B" w:rsidRPr="00DA1B46" w14:paraId="2904D370" w14:textId="77777777" w:rsidTr="00CD059B">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12C3BDA6" w14:textId="77777777" w:rsidR="00CD059B" w:rsidRPr="00BF4B6B" w:rsidRDefault="00CD059B" w:rsidP="0014780A">
            <w:pPr>
              <w:spacing w:after="0"/>
              <w:rPr>
                <w:rFonts w:ascii="Arial" w:hAnsi="Arial" w:cs="Arial"/>
                <w:bCs/>
              </w:rPr>
            </w:pPr>
            <w:r w:rsidRPr="00BF4B6B">
              <w:rPr>
                <w:rFonts w:ascii="Arial" w:hAnsi="Arial" w:cs="Arial"/>
                <w:bCs/>
              </w:rPr>
              <w:t>10</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7A4F4EE9" w14:textId="77777777" w:rsidR="00CD059B" w:rsidRPr="00BF4B6B" w:rsidRDefault="00CD059B" w:rsidP="0014780A">
            <w:pPr>
              <w:spacing w:after="0"/>
              <w:rPr>
                <w:rFonts w:ascii="Arial" w:hAnsi="Arial" w:cs="Arial"/>
                <w:bCs/>
              </w:rPr>
            </w:pPr>
            <w:r w:rsidRPr="00BF4B6B">
              <w:rPr>
                <w:rFonts w:ascii="Arial" w:hAnsi="Arial" w:cs="Arial"/>
                <w:bCs/>
              </w:rPr>
              <w:t>PUEBLA</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4F933708" w14:textId="77777777" w:rsidR="00CD059B" w:rsidRPr="00BF4B6B" w:rsidRDefault="00CD059B" w:rsidP="0014780A">
            <w:pPr>
              <w:spacing w:after="0"/>
              <w:rPr>
                <w:rFonts w:ascii="Arial" w:hAnsi="Arial" w:cs="Arial"/>
                <w:bCs/>
              </w:rPr>
            </w:pPr>
            <w:r w:rsidRPr="00BF4B6B">
              <w:rPr>
                <w:rFonts w:ascii="Arial" w:hAnsi="Arial" w:cs="Arial"/>
                <w:bCs/>
              </w:rPr>
              <w:t>PUE</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5DB30772" w14:textId="77777777" w:rsidR="00CD059B" w:rsidRPr="00BF4B6B" w:rsidRDefault="00CD059B" w:rsidP="0014780A">
            <w:pPr>
              <w:spacing w:after="0"/>
              <w:rPr>
                <w:rFonts w:ascii="Arial" w:hAnsi="Arial" w:cs="Arial"/>
                <w:bCs/>
              </w:rPr>
            </w:pPr>
            <w:r w:rsidRPr="00BF4B6B">
              <w:rPr>
                <w:rFonts w:ascii="Arial" w:hAnsi="Arial" w:cs="Arial"/>
                <w:bCs/>
              </w:rPr>
              <w:t>ALTA</w:t>
            </w:r>
          </w:p>
        </w:tc>
      </w:tr>
      <w:tr w:rsidR="00CD059B" w:rsidRPr="00DA1B46" w14:paraId="449F27CC" w14:textId="77777777" w:rsidTr="00CD059B">
        <w:trPr>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14:paraId="5D84FD46" w14:textId="77777777" w:rsidR="00CD059B" w:rsidRPr="00BF4B6B" w:rsidRDefault="00CD059B" w:rsidP="0014780A">
            <w:pPr>
              <w:spacing w:after="0"/>
              <w:rPr>
                <w:rFonts w:ascii="Arial" w:hAnsi="Arial" w:cs="Arial"/>
                <w:bCs/>
              </w:rPr>
            </w:pPr>
            <w:r w:rsidRPr="00BF4B6B">
              <w:rPr>
                <w:rFonts w:ascii="Arial" w:hAnsi="Arial" w:cs="Arial"/>
                <w:bCs/>
              </w:rPr>
              <w:t>11</w:t>
            </w:r>
          </w:p>
        </w:tc>
        <w:tc>
          <w:tcPr>
            <w:tcW w:w="3031" w:type="dxa"/>
            <w:tcBorders>
              <w:top w:val="single" w:sz="4" w:space="0" w:color="auto"/>
              <w:left w:val="single" w:sz="4" w:space="0" w:color="auto"/>
              <w:bottom w:val="single" w:sz="4" w:space="0" w:color="auto"/>
              <w:right w:val="single" w:sz="4" w:space="0" w:color="auto"/>
            </w:tcBorders>
            <w:shd w:val="clear" w:color="auto" w:fill="auto"/>
          </w:tcPr>
          <w:p w14:paraId="51F55985" w14:textId="77777777" w:rsidR="00CD059B" w:rsidRPr="00BF4B6B" w:rsidRDefault="00CD059B" w:rsidP="0014780A">
            <w:pPr>
              <w:spacing w:after="0"/>
              <w:rPr>
                <w:rFonts w:ascii="Arial" w:hAnsi="Arial" w:cs="Arial"/>
                <w:bCs/>
              </w:rPr>
            </w:pPr>
            <w:r w:rsidRPr="00BF4B6B">
              <w:rPr>
                <w:rFonts w:ascii="Arial" w:hAnsi="Arial" w:cs="Arial"/>
                <w:bCs/>
              </w:rPr>
              <w:t>TIJUANA</w:t>
            </w:r>
          </w:p>
        </w:tc>
        <w:tc>
          <w:tcPr>
            <w:tcW w:w="1471" w:type="dxa"/>
            <w:tcBorders>
              <w:top w:val="single" w:sz="4" w:space="0" w:color="auto"/>
              <w:left w:val="single" w:sz="4" w:space="0" w:color="auto"/>
              <w:bottom w:val="single" w:sz="4" w:space="0" w:color="auto"/>
              <w:right w:val="single" w:sz="4" w:space="0" w:color="auto"/>
            </w:tcBorders>
            <w:shd w:val="clear" w:color="auto" w:fill="auto"/>
          </w:tcPr>
          <w:p w14:paraId="4C781D28" w14:textId="77777777" w:rsidR="00CD059B" w:rsidRPr="00BF4B6B" w:rsidRDefault="00CD059B" w:rsidP="0014780A">
            <w:pPr>
              <w:spacing w:after="0"/>
              <w:rPr>
                <w:rFonts w:ascii="Arial" w:hAnsi="Arial" w:cs="Arial"/>
                <w:bCs/>
              </w:rPr>
            </w:pPr>
            <w:r w:rsidRPr="00BF4B6B">
              <w:rPr>
                <w:rFonts w:ascii="Arial" w:hAnsi="Arial" w:cs="Arial"/>
                <w:bCs/>
              </w:rPr>
              <w:t>BCN</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37035934" w14:textId="77777777" w:rsidR="00CD059B" w:rsidRPr="00BF4B6B" w:rsidRDefault="00CD059B" w:rsidP="0014780A">
            <w:pPr>
              <w:spacing w:after="0"/>
              <w:rPr>
                <w:rFonts w:ascii="Arial" w:hAnsi="Arial" w:cs="Arial"/>
                <w:bCs/>
              </w:rPr>
            </w:pPr>
            <w:r w:rsidRPr="00BF4B6B">
              <w:rPr>
                <w:rFonts w:ascii="Arial" w:hAnsi="Arial" w:cs="Arial"/>
                <w:bCs/>
              </w:rPr>
              <w:t>ALTA</w:t>
            </w:r>
          </w:p>
        </w:tc>
      </w:tr>
    </w:tbl>
    <w:p w14:paraId="55CCA9F4" w14:textId="77777777" w:rsidR="004A3027" w:rsidRPr="00657BA6" w:rsidRDefault="004A3027" w:rsidP="0014780A">
      <w:pPr>
        <w:spacing w:after="0"/>
        <w:jc w:val="center"/>
        <w:rPr>
          <w:rFonts w:ascii="Arial" w:eastAsia="Times New Roman" w:hAnsi="Arial" w:cs="Arial"/>
          <w:lang w:eastAsia="es-ES"/>
        </w:rPr>
      </w:pPr>
      <w:r w:rsidRPr="00657BA6">
        <w:rPr>
          <w:rFonts w:ascii="Arial" w:eastAsia="Times New Roman" w:hAnsi="Arial" w:cs="Arial"/>
          <w:lang w:eastAsia="es-ES"/>
        </w:rPr>
        <w:t>Tabla 12. Regiones de costos</w:t>
      </w:r>
    </w:p>
    <w:p w14:paraId="27A0CF2F" w14:textId="77777777" w:rsidR="004A3027" w:rsidRPr="00657BA6" w:rsidRDefault="004A3027" w:rsidP="0014780A">
      <w:pPr>
        <w:spacing w:after="0"/>
        <w:jc w:val="both"/>
        <w:rPr>
          <w:rFonts w:ascii="Arial" w:eastAsia="Times New Roman" w:hAnsi="Arial" w:cs="Arial"/>
          <w:lang w:eastAsia="es-ES"/>
        </w:rPr>
      </w:pPr>
    </w:p>
    <w:p w14:paraId="5F38F3DF"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En este sentido, el modelo de costos de coubicación permite calcular los gastos de instalación y las contraprestaciones mensuales correspondientes a los distintos tipos de coubicación:</w:t>
      </w:r>
    </w:p>
    <w:p w14:paraId="26F09BE3" w14:textId="77777777" w:rsidR="004A3027" w:rsidRPr="00657BA6" w:rsidRDefault="004A3027" w:rsidP="0014780A">
      <w:pPr>
        <w:spacing w:after="0"/>
        <w:jc w:val="both"/>
        <w:rPr>
          <w:rFonts w:ascii="Arial" w:eastAsia="Times New Roman" w:hAnsi="Arial" w:cs="Arial"/>
          <w:lang w:eastAsia="es-ES"/>
        </w:rPr>
      </w:pPr>
    </w:p>
    <w:p w14:paraId="77992030" w14:textId="77777777" w:rsidR="004A3027" w:rsidRPr="00657BA6" w:rsidRDefault="004A3027" w:rsidP="009640AE">
      <w:pPr>
        <w:numPr>
          <w:ilvl w:val="0"/>
          <w:numId w:val="40"/>
        </w:numPr>
        <w:spacing w:after="0"/>
        <w:contextualSpacing/>
        <w:jc w:val="both"/>
        <w:rPr>
          <w:rFonts w:ascii="Arial" w:eastAsia="Times New Roman" w:hAnsi="Arial" w:cs="Arial"/>
          <w:lang w:val="es-ES_tradnl" w:eastAsia="es-ES"/>
        </w:rPr>
      </w:pPr>
      <w:r w:rsidRPr="00657BA6">
        <w:rPr>
          <w:rFonts w:ascii="Arial" w:eastAsia="Times New Roman" w:hAnsi="Arial" w:cs="Arial"/>
          <w:lang w:val="es-ES_tradnl" w:eastAsia="es-ES"/>
        </w:rPr>
        <w:t>Tipo 1: Área de 9 m2 con delimitación de tabla roca</w:t>
      </w:r>
    </w:p>
    <w:p w14:paraId="4874D1A4" w14:textId="77777777" w:rsidR="004A3027" w:rsidRPr="00657BA6" w:rsidRDefault="004A3027" w:rsidP="009640AE">
      <w:pPr>
        <w:numPr>
          <w:ilvl w:val="0"/>
          <w:numId w:val="40"/>
        </w:numPr>
        <w:spacing w:after="0"/>
        <w:contextualSpacing/>
        <w:jc w:val="both"/>
        <w:rPr>
          <w:rFonts w:ascii="Arial" w:eastAsia="Times New Roman" w:hAnsi="Arial" w:cs="Arial"/>
          <w:lang w:val="es-ES_tradnl" w:eastAsia="es-ES"/>
        </w:rPr>
      </w:pPr>
      <w:r w:rsidRPr="00657BA6">
        <w:rPr>
          <w:rFonts w:ascii="Arial" w:eastAsia="Times New Roman" w:hAnsi="Arial" w:cs="Arial"/>
          <w:lang w:val="es-ES_tradnl" w:eastAsia="es-ES"/>
        </w:rPr>
        <w:t>Tipo 2: Área de 4 m2 con delimitación de tabla roca</w:t>
      </w:r>
    </w:p>
    <w:p w14:paraId="449B5253" w14:textId="77777777" w:rsidR="004A3027" w:rsidRPr="00657BA6" w:rsidRDefault="004A3027" w:rsidP="009640AE">
      <w:pPr>
        <w:numPr>
          <w:ilvl w:val="0"/>
          <w:numId w:val="40"/>
        </w:numPr>
        <w:spacing w:after="0"/>
        <w:contextualSpacing/>
        <w:jc w:val="both"/>
        <w:rPr>
          <w:rFonts w:ascii="Arial" w:eastAsia="Times New Roman" w:hAnsi="Arial" w:cs="Arial"/>
          <w:lang w:val="es-ES_tradnl" w:eastAsia="es-ES"/>
        </w:rPr>
      </w:pPr>
      <w:r w:rsidRPr="00657BA6">
        <w:rPr>
          <w:rFonts w:ascii="Arial" w:eastAsia="Times New Roman" w:hAnsi="Arial" w:cs="Arial"/>
          <w:lang w:val="es-ES_tradnl" w:eastAsia="es-ES"/>
        </w:rPr>
        <w:t>Tipo 3: Gabinete</w:t>
      </w:r>
    </w:p>
    <w:p w14:paraId="15B21A83" w14:textId="77777777" w:rsidR="004A3027" w:rsidRPr="00657BA6" w:rsidRDefault="004A3027" w:rsidP="0014780A">
      <w:pPr>
        <w:spacing w:after="0"/>
        <w:jc w:val="both"/>
        <w:rPr>
          <w:rFonts w:ascii="Arial" w:eastAsia="Times New Roman" w:hAnsi="Arial" w:cs="Arial"/>
          <w:lang w:eastAsia="es-ES"/>
        </w:rPr>
      </w:pPr>
    </w:p>
    <w:p w14:paraId="6CAFDDB1" w14:textId="77777777" w:rsidR="004A3027" w:rsidRPr="00657BA6" w:rsidRDefault="004A3027" w:rsidP="0014780A">
      <w:pPr>
        <w:spacing w:after="0"/>
        <w:jc w:val="both"/>
        <w:rPr>
          <w:rFonts w:ascii="Arial" w:eastAsia="Times New Roman" w:hAnsi="Arial" w:cs="Arial"/>
          <w:lang w:eastAsia="es-ES"/>
        </w:rPr>
      </w:pPr>
      <w:r w:rsidRPr="00657BA6">
        <w:rPr>
          <w:rFonts w:ascii="Arial" w:eastAsia="Times New Roman" w:hAnsi="Arial" w:cs="Arial"/>
          <w:lang w:eastAsia="es-ES"/>
        </w:rPr>
        <w:t>De acuerdo con lo anterior el modelo calcula los cobros recurrentes y no recurrentes para los 3 tipos de coubicación con base en el espacio y la energía utilizada para la prestación del servicio, ambos factores son prorrateados conforme al porcentaje de utilización de las distintas salas por parte de los concesionarios.</w:t>
      </w:r>
    </w:p>
    <w:p w14:paraId="31D8C1CB" w14:textId="77777777" w:rsidR="004A3027" w:rsidRPr="00657BA6" w:rsidRDefault="004A3027" w:rsidP="0014780A">
      <w:pPr>
        <w:spacing w:after="0"/>
        <w:jc w:val="both"/>
        <w:rPr>
          <w:rFonts w:ascii="Arial" w:eastAsia="Times New Roman" w:hAnsi="Arial" w:cs="Arial"/>
          <w:lang w:eastAsia="es-ES"/>
        </w:rPr>
      </w:pPr>
    </w:p>
    <w:p w14:paraId="638F5133" w14:textId="77777777" w:rsidR="004A3027" w:rsidRPr="00657BA6" w:rsidRDefault="004A3027" w:rsidP="0014780A">
      <w:pPr>
        <w:spacing w:after="0"/>
        <w:jc w:val="both"/>
        <w:rPr>
          <w:rFonts w:ascii="Arial" w:hAnsi="Arial" w:cs="Arial"/>
        </w:rPr>
      </w:pPr>
      <w:r w:rsidRPr="00657BA6">
        <w:rPr>
          <w:rFonts w:ascii="Arial" w:eastAsia="Times New Roman" w:hAnsi="Arial" w:cs="Arial"/>
          <w:lang w:eastAsia="es-ES"/>
        </w:rPr>
        <w:t>Asimismo, el modelo calcula los costos adicionales correspondientes a la capacidad del interruptor termo magnético en caso de que este sea necesario y se debe considerar que</w:t>
      </w:r>
      <w:r w:rsidRPr="00657BA6">
        <w:rPr>
          <w:rFonts w:ascii="Arial" w:hAnsi="Arial" w:cs="Arial"/>
        </w:rPr>
        <w:t xml:space="preserve"> las </w:t>
      </w:r>
      <w:r w:rsidRPr="00657BA6">
        <w:rPr>
          <w:rFonts w:ascii="Arial" w:hAnsi="Arial" w:cs="Arial"/>
        </w:rPr>
        <w:lastRenderedPageBreak/>
        <w:t xml:space="preserve">tarifas calculadas no incluyen el consumo de energía eléctrica correspondiente a los equipos del concesionario. </w:t>
      </w:r>
    </w:p>
    <w:p w14:paraId="39749BEF" w14:textId="0C2B042C" w:rsidR="003F16A5" w:rsidRPr="00657BA6" w:rsidRDefault="003F16A5" w:rsidP="0014780A">
      <w:pPr>
        <w:pStyle w:val="Texto0"/>
        <w:spacing w:after="0" w:line="276" w:lineRule="auto"/>
        <w:ind w:firstLine="0"/>
        <w:rPr>
          <w:lang w:val="es-MX"/>
        </w:rPr>
      </w:pPr>
    </w:p>
    <w:p w14:paraId="5E70CB68" w14:textId="1EB39244" w:rsidR="00AC731E" w:rsidRDefault="00D14868" w:rsidP="0014780A">
      <w:pPr>
        <w:spacing w:after="0"/>
        <w:jc w:val="both"/>
        <w:rPr>
          <w:rFonts w:ascii="Arial" w:hAnsi="Arial" w:cs="Arial"/>
        </w:rPr>
      </w:pPr>
      <w:r w:rsidRPr="00657BA6">
        <w:rPr>
          <w:rFonts w:ascii="Arial" w:hAnsi="Arial" w:cs="Arial"/>
          <w:b/>
        </w:rPr>
        <w:t>Décim</w:t>
      </w:r>
      <w:r w:rsidR="00A556AA">
        <w:rPr>
          <w:rFonts w:ascii="Arial" w:hAnsi="Arial" w:cs="Arial"/>
          <w:b/>
        </w:rPr>
        <w:t>a</w:t>
      </w:r>
      <w:r w:rsidRPr="00657BA6">
        <w:rPr>
          <w:rFonts w:ascii="Arial" w:hAnsi="Arial" w:cs="Arial"/>
          <w:b/>
        </w:rPr>
        <w:t xml:space="preserve"> </w:t>
      </w:r>
      <w:r w:rsidR="00437207">
        <w:rPr>
          <w:rFonts w:ascii="Arial" w:hAnsi="Arial" w:cs="Arial"/>
          <w:b/>
        </w:rPr>
        <w:t>Tercera</w:t>
      </w:r>
      <w:r w:rsidRPr="00657BA6">
        <w:rPr>
          <w:rFonts w:ascii="Arial" w:hAnsi="Arial" w:cs="Arial"/>
          <w:b/>
        </w:rPr>
        <w:t>. - Tarifas de servicios de interconexión conmutados excepto terminación en la red del Agente Económico Preponderante.</w:t>
      </w:r>
      <w:r w:rsidRPr="00657BA6">
        <w:rPr>
          <w:rFonts w:ascii="Arial" w:hAnsi="Arial" w:cs="Arial"/>
        </w:rPr>
        <w:t xml:space="preserve"> </w:t>
      </w:r>
      <w:r w:rsidR="00AC731E" w:rsidRPr="00657BA6">
        <w:rPr>
          <w:rFonts w:ascii="Arial" w:hAnsi="Arial" w:cs="Arial"/>
        </w:rPr>
        <w:t xml:space="preserve">El artículo 126 de la LFTR señala que, los concesionarios de redes públicas de telecomunicaciones acordarán las condiciones bajo las cuales se llevará a cabo la interconexión de </w:t>
      </w:r>
      <w:r w:rsidR="00E632F7" w:rsidRPr="00657BA6">
        <w:rPr>
          <w:rFonts w:ascii="Arial" w:hAnsi="Arial" w:cs="Arial"/>
        </w:rPr>
        <w:t>estas</w:t>
      </w:r>
      <w:r w:rsidR="00AC731E" w:rsidRPr="00657BA6">
        <w:rPr>
          <w:rFonts w:ascii="Arial" w:hAnsi="Arial" w:cs="Arial"/>
        </w:rPr>
        <w:t>. Asimismo, el artículo 131 señala en su inciso b) que para el tráfico que termina en la red de los concesionarios distintos al Agente Económico Preponderante la tarifa de interconexión será negociada libremente.</w:t>
      </w:r>
    </w:p>
    <w:p w14:paraId="27753007" w14:textId="77777777" w:rsidR="00D47BB9" w:rsidRPr="00657BA6" w:rsidRDefault="00D47BB9" w:rsidP="0014780A">
      <w:pPr>
        <w:spacing w:after="0"/>
        <w:jc w:val="both"/>
        <w:rPr>
          <w:rFonts w:ascii="Arial" w:hAnsi="Arial" w:cs="Arial"/>
        </w:rPr>
      </w:pPr>
    </w:p>
    <w:p w14:paraId="28384540" w14:textId="6DA49E30" w:rsidR="00AC731E" w:rsidRPr="00657BA6" w:rsidRDefault="00AC731E" w:rsidP="0014780A">
      <w:pPr>
        <w:spacing w:after="0"/>
        <w:jc w:val="both"/>
        <w:rPr>
          <w:rFonts w:ascii="Arial" w:hAnsi="Arial" w:cs="Arial"/>
        </w:rPr>
      </w:pPr>
      <w:r w:rsidRPr="00657BA6">
        <w:rPr>
          <w:rFonts w:ascii="Arial" w:hAnsi="Arial" w:cs="Arial"/>
        </w:rPr>
        <w:t xml:space="preserve">Es así </w:t>
      </w:r>
      <w:r w:rsidR="00F57E4D" w:rsidRPr="00657BA6">
        <w:rPr>
          <w:rFonts w:ascii="Arial" w:hAnsi="Arial" w:cs="Arial"/>
        </w:rPr>
        <w:t>como</w:t>
      </w:r>
      <w:r w:rsidRPr="00657BA6">
        <w:rPr>
          <w:rFonts w:ascii="Arial" w:hAnsi="Arial" w:cs="Arial"/>
        </w:rPr>
        <w:t xml:space="preserve"> se observa que la propia LFTR privilegia la voluntad de las partes para efectos de que estas puedan acordar las tarifas aplicables a los distintos servicios de interconexión. </w:t>
      </w:r>
    </w:p>
    <w:p w14:paraId="11C57461" w14:textId="77777777" w:rsidR="00AC731E" w:rsidRPr="00657BA6" w:rsidRDefault="00AC731E" w:rsidP="0014780A">
      <w:pPr>
        <w:spacing w:after="0"/>
        <w:jc w:val="both"/>
        <w:rPr>
          <w:rFonts w:ascii="Arial" w:hAnsi="Arial" w:cs="Arial"/>
        </w:rPr>
      </w:pPr>
    </w:p>
    <w:p w14:paraId="5F0E75B1" w14:textId="4BE15197" w:rsidR="00AC731E" w:rsidRPr="00657BA6" w:rsidRDefault="00AC731E" w:rsidP="0014780A">
      <w:pPr>
        <w:spacing w:after="0"/>
        <w:jc w:val="both"/>
        <w:rPr>
          <w:rFonts w:ascii="Arial" w:hAnsi="Arial" w:cs="Arial"/>
        </w:rPr>
      </w:pPr>
      <w:r w:rsidRPr="00657BA6">
        <w:rPr>
          <w:rFonts w:ascii="Arial" w:hAnsi="Arial" w:cs="Arial"/>
        </w:rPr>
        <w:t>Por las razones anteriormente expuestas, se determinan las tarifas que han resultado de las metodologías para el cálculo de los costos de interconexión con base en el Modelo Móvil y el Modelo Fijo para el año 202</w:t>
      </w:r>
      <w:r w:rsidR="00C61756">
        <w:rPr>
          <w:rFonts w:ascii="Arial" w:hAnsi="Arial" w:cs="Arial"/>
        </w:rPr>
        <w:t>4</w:t>
      </w:r>
      <w:r w:rsidRPr="00657BA6">
        <w:rPr>
          <w:rFonts w:ascii="Arial" w:hAnsi="Arial" w:cs="Arial"/>
        </w:rPr>
        <w:t xml:space="preserve"> para los concesionarios distintos al Agente Económico Preponderante que se utilizarán para resolver los desacuerdos de interconexión que se presenten en los siguientes términos:</w:t>
      </w:r>
    </w:p>
    <w:p w14:paraId="48C5F9F1" w14:textId="77777777" w:rsidR="00AC731E" w:rsidRPr="00657BA6" w:rsidRDefault="00AC731E" w:rsidP="0014780A">
      <w:pPr>
        <w:shd w:val="clear" w:color="auto" w:fill="FFFFFF"/>
        <w:spacing w:after="0"/>
        <w:jc w:val="both"/>
        <w:rPr>
          <w:rFonts w:ascii="Arial" w:hAnsi="Arial" w:cs="Arial"/>
        </w:rPr>
      </w:pPr>
    </w:p>
    <w:p w14:paraId="0830B718" w14:textId="321B7E37" w:rsidR="002F0C50" w:rsidRPr="00657BA6" w:rsidRDefault="002F0C50" w:rsidP="009640AE">
      <w:pPr>
        <w:pStyle w:val="Prrafodelista"/>
        <w:numPr>
          <w:ilvl w:val="0"/>
          <w:numId w:val="53"/>
        </w:numPr>
        <w:spacing w:line="276" w:lineRule="auto"/>
        <w:contextualSpacing/>
        <w:rPr>
          <w:rFonts w:cs="Arial"/>
        </w:rPr>
      </w:pPr>
      <w:r w:rsidRPr="00657BA6">
        <w:rPr>
          <w:rFonts w:cs="Arial"/>
        </w:rPr>
        <w:t>Por servicios de terminación del Servicio Local en usuarios móviles bajo la modalidad “El que llama paga”.</w:t>
      </w:r>
    </w:p>
    <w:p w14:paraId="4FECB86F" w14:textId="77777777" w:rsidR="002F0C50" w:rsidRPr="00657BA6" w:rsidRDefault="002F0C50" w:rsidP="0014780A">
      <w:pPr>
        <w:pStyle w:val="Prrafodelista"/>
        <w:spacing w:line="276" w:lineRule="auto"/>
        <w:ind w:left="720"/>
        <w:contextualSpacing/>
        <w:rPr>
          <w:rFonts w:cs="Arial"/>
        </w:rPr>
      </w:pPr>
    </w:p>
    <w:p w14:paraId="476C5450" w14:textId="6D96F421" w:rsidR="002F0C50" w:rsidRPr="00657BA6" w:rsidRDefault="002F0C50" w:rsidP="009640AE">
      <w:pPr>
        <w:pStyle w:val="Prrafodelista"/>
        <w:numPr>
          <w:ilvl w:val="0"/>
          <w:numId w:val="53"/>
        </w:numPr>
        <w:spacing w:line="276" w:lineRule="auto"/>
        <w:contextualSpacing/>
        <w:rPr>
          <w:rFonts w:cs="Arial"/>
        </w:rPr>
      </w:pPr>
      <w:r w:rsidRPr="00657BA6">
        <w:rPr>
          <w:rFonts w:cs="Arial"/>
        </w:rPr>
        <w:t>Por servicios de terminación de mensajes cortos (SMS) en usuarios móviles.</w:t>
      </w:r>
    </w:p>
    <w:p w14:paraId="21EB60AC" w14:textId="77777777" w:rsidR="002F0C50" w:rsidRPr="00657BA6" w:rsidRDefault="002F0C50" w:rsidP="0014780A">
      <w:pPr>
        <w:pStyle w:val="Prrafodelista"/>
        <w:spacing w:line="276" w:lineRule="auto"/>
        <w:ind w:left="720"/>
        <w:contextualSpacing/>
        <w:rPr>
          <w:rFonts w:cs="Arial"/>
        </w:rPr>
      </w:pPr>
    </w:p>
    <w:p w14:paraId="5DE877A1" w14:textId="7C3886CA" w:rsidR="002F0C50" w:rsidRPr="00657BA6" w:rsidRDefault="002F0C50" w:rsidP="009640AE">
      <w:pPr>
        <w:pStyle w:val="Prrafodelista"/>
        <w:numPr>
          <w:ilvl w:val="0"/>
          <w:numId w:val="53"/>
        </w:numPr>
        <w:spacing w:line="276" w:lineRule="auto"/>
        <w:contextualSpacing/>
        <w:rPr>
          <w:rFonts w:cs="Arial"/>
        </w:rPr>
      </w:pPr>
      <w:r w:rsidRPr="00657BA6">
        <w:rPr>
          <w:rFonts w:cs="Arial"/>
        </w:rPr>
        <w:t>Por servicios de terminación del Servicio Local en usuarios fijos.</w:t>
      </w:r>
    </w:p>
    <w:p w14:paraId="3A4250D4" w14:textId="77777777" w:rsidR="002F0C50" w:rsidRPr="00657BA6" w:rsidRDefault="002F0C50" w:rsidP="0014780A">
      <w:pPr>
        <w:pStyle w:val="Prrafodelista"/>
        <w:spacing w:line="276" w:lineRule="auto"/>
        <w:ind w:left="720"/>
        <w:contextualSpacing/>
        <w:rPr>
          <w:rFonts w:cs="Arial"/>
        </w:rPr>
      </w:pPr>
    </w:p>
    <w:p w14:paraId="1D2399BA" w14:textId="7830063A" w:rsidR="002F0C50" w:rsidRPr="00657BA6" w:rsidRDefault="002F0C50" w:rsidP="009640AE">
      <w:pPr>
        <w:pStyle w:val="Prrafodelista"/>
        <w:numPr>
          <w:ilvl w:val="0"/>
          <w:numId w:val="53"/>
        </w:numPr>
        <w:spacing w:line="276" w:lineRule="auto"/>
        <w:contextualSpacing/>
        <w:rPr>
          <w:rFonts w:cs="Arial"/>
        </w:rPr>
      </w:pPr>
      <w:r w:rsidRPr="00657BA6">
        <w:rPr>
          <w:rFonts w:cs="Arial"/>
        </w:rPr>
        <w:t>Por servicios de terminación de mensajes cortos (SMS) en usuarios fijos.</w:t>
      </w:r>
    </w:p>
    <w:p w14:paraId="4FED103A" w14:textId="77777777" w:rsidR="00AC731E" w:rsidRPr="00657BA6" w:rsidRDefault="00AC731E" w:rsidP="0014780A">
      <w:pPr>
        <w:spacing w:after="0"/>
        <w:rPr>
          <w:rFonts w:ascii="Arial" w:hAnsi="Arial" w:cs="Arial"/>
        </w:rPr>
      </w:pPr>
    </w:p>
    <w:p w14:paraId="5494555D" w14:textId="656BDF92" w:rsidR="00AC731E" w:rsidRPr="00657BA6" w:rsidRDefault="00AC731E" w:rsidP="0014780A">
      <w:pPr>
        <w:spacing w:after="0"/>
        <w:jc w:val="both"/>
        <w:rPr>
          <w:rFonts w:ascii="Arial" w:hAnsi="Arial" w:cs="Arial"/>
        </w:rPr>
      </w:pPr>
      <w:r w:rsidRPr="00657BA6">
        <w:rPr>
          <w:rFonts w:ascii="Arial" w:hAnsi="Arial" w:cs="Arial"/>
        </w:rPr>
        <w:t>Tratándose del Agente Económico Preponderante, las tarifas por los servicios de interconexión para el año 202</w:t>
      </w:r>
      <w:r w:rsidR="003C574D">
        <w:rPr>
          <w:rFonts w:ascii="Arial" w:hAnsi="Arial" w:cs="Arial"/>
        </w:rPr>
        <w:t>4</w:t>
      </w:r>
      <w:r w:rsidRPr="00657BA6">
        <w:rPr>
          <w:rFonts w:ascii="Arial" w:hAnsi="Arial" w:cs="Arial"/>
        </w:rPr>
        <w:t>, que se obtienen del Modelo Móvil y del Modelo Fijo, serán las siguientes:</w:t>
      </w:r>
    </w:p>
    <w:p w14:paraId="599BB7E3" w14:textId="77777777" w:rsidR="00AC731E" w:rsidRPr="00657BA6" w:rsidRDefault="00AC731E" w:rsidP="0014780A">
      <w:pPr>
        <w:spacing w:after="0"/>
        <w:jc w:val="both"/>
        <w:rPr>
          <w:rFonts w:ascii="Arial" w:hAnsi="Arial" w:cs="Arial"/>
        </w:rPr>
      </w:pPr>
    </w:p>
    <w:p w14:paraId="54B430EB" w14:textId="068BC797" w:rsidR="002F0C50" w:rsidRPr="00657BA6" w:rsidRDefault="002F0C50" w:rsidP="009640AE">
      <w:pPr>
        <w:numPr>
          <w:ilvl w:val="0"/>
          <w:numId w:val="53"/>
        </w:numPr>
        <w:spacing w:after="0"/>
        <w:contextualSpacing/>
        <w:jc w:val="both"/>
        <w:rPr>
          <w:rFonts w:ascii="Arial" w:eastAsia="Times New Roman" w:hAnsi="Arial" w:cs="Arial"/>
          <w:szCs w:val="24"/>
          <w:lang w:eastAsia="es-ES"/>
        </w:rPr>
      </w:pPr>
      <w:r w:rsidRPr="00657BA6">
        <w:rPr>
          <w:rFonts w:ascii="Arial" w:eastAsia="Times New Roman" w:hAnsi="Arial" w:cs="Arial"/>
          <w:szCs w:val="24"/>
          <w:lang w:eastAsia="es-ES"/>
        </w:rPr>
        <w:t>Por servicios de tránsito en red móvil.</w:t>
      </w:r>
    </w:p>
    <w:p w14:paraId="5FA754E1" w14:textId="77777777" w:rsidR="002F0C50" w:rsidRPr="00657BA6" w:rsidRDefault="002F0C50" w:rsidP="0014780A">
      <w:pPr>
        <w:spacing w:after="0"/>
        <w:ind w:left="720"/>
        <w:contextualSpacing/>
        <w:jc w:val="both"/>
        <w:rPr>
          <w:rFonts w:ascii="Arial" w:eastAsia="Times New Roman" w:hAnsi="Arial" w:cs="Arial"/>
          <w:szCs w:val="24"/>
          <w:lang w:eastAsia="es-ES"/>
        </w:rPr>
      </w:pPr>
    </w:p>
    <w:p w14:paraId="31701714" w14:textId="135A0EBB" w:rsidR="002F0C50" w:rsidRPr="00657BA6" w:rsidRDefault="002F0C50" w:rsidP="009640AE">
      <w:pPr>
        <w:numPr>
          <w:ilvl w:val="0"/>
          <w:numId w:val="53"/>
        </w:numPr>
        <w:spacing w:after="0"/>
        <w:contextualSpacing/>
        <w:jc w:val="both"/>
        <w:rPr>
          <w:rFonts w:ascii="Arial" w:eastAsia="Times New Roman" w:hAnsi="Arial" w:cs="Arial"/>
          <w:szCs w:val="24"/>
          <w:lang w:eastAsia="es-ES"/>
        </w:rPr>
      </w:pPr>
      <w:r w:rsidRPr="00657BA6">
        <w:rPr>
          <w:rFonts w:ascii="Arial" w:eastAsia="Times New Roman" w:hAnsi="Arial" w:cs="Arial"/>
          <w:szCs w:val="24"/>
          <w:lang w:eastAsia="es-ES"/>
        </w:rPr>
        <w:t>Por servicios de tránsito en red fija.</w:t>
      </w:r>
    </w:p>
    <w:p w14:paraId="2345E3A3" w14:textId="77777777" w:rsidR="00AC731E" w:rsidRPr="00657BA6" w:rsidDel="00306DD8" w:rsidRDefault="00AC731E" w:rsidP="0014780A">
      <w:pPr>
        <w:spacing w:after="0"/>
        <w:ind w:left="708"/>
        <w:jc w:val="both"/>
        <w:rPr>
          <w:rFonts w:ascii="Arial" w:eastAsia="Times New Roman" w:hAnsi="Arial" w:cs="Arial"/>
          <w:szCs w:val="24"/>
          <w:lang w:eastAsia="es-ES"/>
        </w:rPr>
      </w:pPr>
    </w:p>
    <w:p w14:paraId="4B3AAD92" w14:textId="77777777" w:rsidR="00AC731E" w:rsidRPr="00657BA6" w:rsidRDefault="00AC731E" w:rsidP="0014780A">
      <w:pPr>
        <w:spacing w:after="0"/>
        <w:jc w:val="both"/>
        <w:rPr>
          <w:rFonts w:ascii="Arial" w:hAnsi="Arial" w:cs="Arial"/>
        </w:rPr>
      </w:pPr>
      <w:r w:rsidRPr="00657BA6">
        <w:rPr>
          <w:rFonts w:ascii="Arial" w:hAnsi="Arial" w:cs="Arial"/>
        </w:rPr>
        <w:t>Las tarifas anteriores ya incluyen el costo correspondiente a los puertos necesarios para la interconexión.</w:t>
      </w:r>
    </w:p>
    <w:p w14:paraId="25218D36" w14:textId="77777777" w:rsidR="00AC731E" w:rsidRPr="00657BA6" w:rsidRDefault="00AC731E" w:rsidP="0014780A">
      <w:pPr>
        <w:spacing w:after="0"/>
        <w:jc w:val="both"/>
        <w:rPr>
          <w:rFonts w:ascii="Arial" w:hAnsi="Arial" w:cs="Arial"/>
        </w:rPr>
      </w:pPr>
    </w:p>
    <w:p w14:paraId="13331BEC" w14:textId="55C593B2" w:rsidR="00AC731E" w:rsidRPr="00657BA6" w:rsidRDefault="00AC731E" w:rsidP="0014780A">
      <w:pPr>
        <w:spacing w:after="0"/>
        <w:jc w:val="both"/>
        <w:rPr>
          <w:rFonts w:ascii="Arial" w:hAnsi="Arial" w:cs="Arial"/>
        </w:rPr>
      </w:pPr>
      <w:r w:rsidRPr="00657BA6">
        <w:rPr>
          <w:rFonts w:ascii="Arial" w:hAnsi="Arial" w:cs="Arial"/>
        </w:rPr>
        <w:t>La aplicación de las tarifas indicadas en los incisos a), c), e)</w:t>
      </w:r>
      <w:r w:rsidR="00FC7A99">
        <w:rPr>
          <w:rFonts w:ascii="Arial" w:hAnsi="Arial" w:cs="Arial"/>
        </w:rPr>
        <w:t xml:space="preserve"> y</w:t>
      </w:r>
      <w:r w:rsidRPr="00657BA6">
        <w:rPr>
          <w:rFonts w:ascii="Arial" w:hAnsi="Arial" w:cs="Arial"/>
        </w:rPr>
        <w:t xml:space="preserve"> f)</w:t>
      </w:r>
      <w:r w:rsidR="002F0C50" w:rsidRPr="00657BA6">
        <w:rPr>
          <w:rFonts w:ascii="Arial" w:hAnsi="Arial" w:cs="Arial"/>
        </w:rPr>
        <w:t xml:space="preserve"> </w:t>
      </w:r>
      <w:r w:rsidRPr="00657BA6">
        <w:rPr>
          <w:rFonts w:ascii="Arial" w:hAnsi="Arial" w:cs="Arial"/>
        </w:rPr>
        <w:t xml:space="preserve">se calcularán con base en la duración real de las llamadas, sin redondear al minuto, debiendo para tal efecto sumar la duración de todas las llamadas completadas en el periodo de facturación </w:t>
      </w:r>
      <w:r w:rsidRPr="00657BA6">
        <w:rPr>
          <w:rFonts w:ascii="Arial" w:hAnsi="Arial" w:cs="Arial"/>
        </w:rPr>
        <w:lastRenderedPageBreak/>
        <w:t xml:space="preserve">correspondiente, medidas en segundos, </w:t>
      </w:r>
      <w:r w:rsidR="009E32FF" w:rsidRPr="00657BA6">
        <w:rPr>
          <w:rFonts w:ascii="Arial" w:hAnsi="Arial" w:cs="Arial"/>
        </w:rPr>
        <w:t xml:space="preserve">sin redondeo </w:t>
      </w:r>
      <w:r w:rsidRPr="00657BA6">
        <w:rPr>
          <w:rFonts w:ascii="Arial" w:hAnsi="Arial" w:cs="Arial"/>
        </w:rPr>
        <w:t>y multiplicar los minutos equivalentes a dicha suma, por la tarifa correspondiente.</w:t>
      </w:r>
    </w:p>
    <w:p w14:paraId="2AC2F544" w14:textId="77777777" w:rsidR="00AC731E" w:rsidRPr="00657BA6" w:rsidRDefault="00AC731E" w:rsidP="0014780A">
      <w:pPr>
        <w:spacing w:after="0"/>
        <w:rPr>
          <w:rFonts w:ascii="Arial" w:hAnsi="Arial" w:cs="Arial"/>
        </w:rPr>
      </w:pPr>
    </w:p>
    <w:p w14:paraId="144804F4" w14:textId="7368F35D" w:rsidR="00AC731E" w:rsidRPr="00657BA6" w:rsidRDefault="00AC731E" w:rsidP="0014780A">
      <w:pPr>
        <w:spacing w:after="0"/>
        <w:jc w:val="both"/>
        <w:rPr>
          <w:rFonts w:ascii="Arial" w:hAnsi="Arial" w:cs="Arial"/>
        </w:rPr>
      </w:pPr>
      <w:r w:rsidRPr="00657BA6">
        <w:rPr>
          <w:rFonts w:ascii="Arial" w:hAnsi="Arial" w:cs="Arial"/>
          <w:b/>
        </w:rPr>
        <w:t>Décim</w:t>
      </w:r>
      <w:r w:rsidR="00437207">
        <w:rPr>
          <w:rFonts w:ascii="Arial" w:hAnsi="Arial" w:cs="Arial"/>
          <w:b/>
        </w:rPr>
        <w:t>a</w:t>
      </w:r>
      <w:r w:rsidRPr="00657BA6">
        <w:rPr>
          <w:rFonts w:ascii="Arial" w:hAnsi="Arial" w:cs="Arial"/>
          <w:b/>
        </w:rPr>
        <w:t xml:space="preserve"> </w:t>
      </w:r>
      <w:r w:rsidR="00437207">
        <w:rPr>
          <w:rFonts w:ascii="Arial" w:hAnsi="Arial" w:cs="Arial"/>
          <w:b/>
        </w:rPr>
        <w:t>Cuarta</w:t>
      </w:r>
      <w:r w:rsidRPr="00657BA6">
        <w:rPr>
          <w:rFonts w:ascii="Arial" w:hAnsi="Arial" w:cs="Arial"/>
          <w:b/>
        </w:rPr>
        <w:t xml:space="preserve">. - Tarifa del servicio de interconexión conmutado de terminación en la red del Agente Económico Preponderante. </w:t>
      </w:r>
      <w:r w:rsidRPr="00657BA6">
        <w:rPr>
          <w:rFonts w:ascii="Arial" w:hAnsi="Arial" w:cs="Arial"/>
        </w:rPr>
        <w:t>Tratándose del Agente Económico Preponderante, las tarifas de interconexión que cobrará del 1 de enero al 31 de diciembre de 202</w:t>
      </w:r>
      <w:r w:rsidR="001D5FED">
        <w:rPr>
          <w:rFonts w:ascii="Arial" w:hAnsi="Arial" w:cs="Arial"/>
        </w:rPr>
        <w:t>4</w:t>
      </w:r>
      <w:r w:rsidRPr="00657BA6">
        <w:rPr>
          <w:rFonts w:ascii="Arial" w:hAnsi="Arial" w:cs="Arial"/>
        </w:rPr>
        <w:t xml:space="preserve"> que han resultado de las metodologías para el cálculo de los costos de interconexión con base en el Modelo Móvil y el Modelo Fijo para el servicio de terminación, serán las siguientes:</w:t>
      </w:r>
    </w:p>
    <w:p w14:paraId="29F2B08D" w14:textId="77777777" w:rsidR="00AC731E" w:rsidRPr="00657BA6" w:rsidRDefault="00AC731E" w:rsidP="0014780A">
      <w:pPr>
        <w:spacing w:after="0"/>
        <w:jc w:val="both"/>
        <w:rPr>
          <w:rFonts w:ascii="Arial" w:hAnsi="Arial" w:cs="Arial"/>
          <w:b/>
        </w:rPr>
      </w:pPr>
    </w:p>
    <w:p w14:paraId="27D1D1D6" w14:textId="4F69F0D1" w:rsidR="00D14868" w:rsidRPr="00657BA6" w:rsidRDefault="00D14868" w:rsidP="009640AE">
      <w:pPr>
        <w:numPr>
          <w:ilvl w:val="0"/>
          <w:numId w:val="51"/>
        </w:numPr>
        <w:spacing w:after="0"/>
        <w:contextualSpacing/>
        <w:jc w:val="both"/>
        <w:rPr>
          <w:rFonts w:ascii="Arial" w:eastAsia="Times New Roman" w:hAnsi="Arial" w:cs="Arial"/>
          <w:szCs w:val="24"/>
          <w:lang w:eastAsia="es-ES"/>
        </w:rPr>
      </w:pPr>
      <w:r w:rsidRPr="00657BA6">
        <w:rPr>
          <w:rFonts w:ascii="Arial" w:eastAsia="Times New Roman" w:hAnsi="Arial" w:cs="Arial"/>
          <w:szCs w:val="24"/>
          <w:lang w:eastAsia="es-ES"/>
        </w:rPr>
        <w:t>Por servicios de terminación del Servicio Local en usuarios móviles bajo la modalidad “El que llama paga”.</w:t>
      </w:r>
    </w:p>
    <w:p w14:paraId="376BB524" w14:textId="77777777" w:rsidR="00D14868" w:rsidRPr="00657BA6" w:rsidRDefault="00D14868" w:rsidP="0014780A">
      <w:pPr>
        <w:spacing w:after="0"/>
        <w:ind w:left="720"/>
        <w:contextualSpacing/>
        <w:jc w:val="both"/>
        <w:rPr>
          <w:rFonts w:ascii="Arial" w:eastAsia="Times New Roman" w:hAnsi="Arial" w:cs="Arial"/>
          <w:szCs w:val="24"/>
          <w:lang w:eastAsia="es-ES"/>
        </w:rPr>
      </w:pPr>
    </w:p>
    <w:p w14:paraId="3A10FAF9" w14:textId="63BA783D" w:rsidR="00D14868" w:rsidRPr="00657BA6" w:rsidRDefault="00D14868" w:rsidP="009640AE">
      <w:pPr>
        <w:numPr>
          <w:ilvl w:val="0"/>
          <w:numId w:val="51"/>
        </w:numPr>
        <w:spacing w:after="0"/>
        <w:contextualSpacing/>
        <w:jc w:val="both"/>
        <w:rPr>
          <w:rFonts w:ascii="Arial" w:eastAsia="Times New Roman" w:hAnsi="Arial" w:cs="Arial"/>
          <w:szCs w:val="24"/>
          <w:lang w:eastAsia="es-ES"/>
        </w:rPr>
      </w:pPr>
      <w:r w:rsidRPr="00657BA6">
        <w:rPr>
          <w:rFonts w:ascii="Arial" w:eastAsia="Times New Roman" w:hAnsi="Arial" w:cs="Arial"/>
          <w:szCs w:val="24"/>
          <w:lang w:eastAsia="es-ES"/>
        </w:rPr>
        <w:t>Por servicios de terminación del Servicio Local en usuarios fijos.</w:t>
      </w:r>
    </w:p>
    <w:p w14:paraId="3878F494" w14:textId="77777777" w:rsidR="00D14868" w:rsidRPr="00657BA6" w:rsidRDefault="00D14868" w:rsidP="0014780A">
      <w:pPr>
        <w:spacing w:after="0"/>
        <w:ind w:left="720"/>
        <w:contextualSpacing/>
        <w:jc w:val="both"/>
        <w:rPr>
          <w:rFonts w:ascii="Arial" w:eastAsia="Times New Roman" w:hAnsi="Arial" w:cs="Arial"/>
          <w:szCs w:val="24"/>
          <w:lang w:eastAsia="es-ES"/>
        </w:rPr>
      </w:pPr>
    </w:p>
    <w:p w14:paraId="306BA1B9" w14:textId="77777777" w:rsidR="001D5FED" w:rsidRDefault="00D14868" w:rsidP="009640AE">
      <w:pPr>
        <w:numPr>
          <w:ilvl w:val="0"/>
          <w:numId w:val="51"/>
        </w:numPr>
        <w:spacing w:after="0"/>
        <w:contextualSpacing/>
        <w:jc w:val="both"/>
        <w:rPr>
          <w:rFonts w:ascii="Arial" w:eastAsia="Times New Roman" w:hAnsi="Arial" w:cs="Arial"/>
          <w:szCs w:val="24"/>
          <w:lang w:eastAsia="es-ES"/>
        </w:rPr>
      </w:pPr>
      <w:r w:rsidRPr="001D5FED">
        <w:rPr>
          <w:rFonts w:ascii="Arial" w:eastAsia="Times New Roman" w:hAnsi="Arial" w:cs="Arial"/>
          <w:szCs w:val="24"/>
          <w:lang w:eastAsia="es-ES"/>
        </w:rPr>
        <w:t>Por servicios de terminación de mensajes cortos (SMS) en usuarios móviles</w:t>
      </w:r>
      <w:r w:rsidR="001D5FED">
        <w:rPr>
          <w:rFonts w:ascii="Arial" w:eastAsia="Times New Roman" w:hAnsi="Arial" w:cs="Arial"/>
          <w:szCs w:val="24"/>
          <w:lang w:eastAsia="es-ES"/>
        </w:rPr>
        <w:t>.</w:t>
      </w:r>
    </w:p>
    <w:p w14:paraId="2C27FD51" w14:textId="77777777" w:rsidR="001D5FED" w:rsidRDefault="001D5FED" w:rsidP="00D47BB9">
      <w:pPr>
        <w:pStyle w:val="Prrafodelista"/>
        <w:spacing w:line="276" w:lineRule="auto"/>
        <w:rPr>
          <w:rFonts w:cs="Arial"/>
        </w:rPr>
      </w:pPr>
    </w:p>
    <w:p w14:paraId="24520B3B" w14:textId="77777777" w:rsidR="00AC731E" w:rsidRPr="00657BA6" w:rsidRDefault="00AC731E" w:rsidP="0014780A">
      <w:pPr>
        <w:spacing w:after="0"/>
        <w:jc w:val="both"/>
        <w:rPr>
          <w:rFonts w:ascii="Arial" w:hAnsi="Arial" w:cs="Arial"/>
        </w:rPr>
      </w:pPr>
      <w:r w:rsidRPr="00657BA6">
        <w:rPr>
          <w:rFonts w:ascii="Arial" w:hAnsi="Arial" w:cs="Arial"/>
        </w:rPr>
        <w:t>Las tarifas anteriores ya incluyen el costo correspondiente a los puertos necesarios para la interconexión.</w:t>
      </w:r>
    </w:p>
    <w:p w14:paraId="7A859392" w14:textId="77777777" w:rsidR="00AC731E" w:rsidRPr="00657BA6" w:rsidRDefault="00AC731E" w:rsidP="0014780A">
      <w:pPr>
        <w:spacing w:after="0"/>
        <w:jc w:val="both"/>
        <w:rPr>
          <w:rFonts w:ascii="Arial" w:hAnsi="Arial" w:cs="Arial"/>
        </w:rPr>
      </w:pPr>
    </w:p>
    <w:p w14:paraId="717B50A1" w14:textId="2180864A" w:rsidR="00AC731E" w:rsidRPr="00657BA6" w:rsidRDefault="00AC731E" w:rsidP="0014780A">
      <w:pPr>
        <w:spacing w:after="0"/>
        <w:jc w:val="both"/>
        <w:rPr>
          <w:rFonts w:ascii="Arial" w:hAnsi="Arial" w:cs="Arial"/>
        </w:rPr>
      </w:pPr>
      <w:r w:rsidRPr="00657BA6">
        <w:rPr>
          <w:rFonts w:ascii="Arial" w:hAnsi="Arial" w:cs="Arial"/>
        </w:rPr>
        <w:t xml:space="preserve">La aplicación de las tarifas indicadas en los incisos </w:t>
      </w:r>
      <w:r w:rsidR="000F7C2C" w:rsidRPr="00657BA6">
        <w:rPr>
          <w:rFonts w:ascii="Arial" w:hAnsi="Arial" w:cs="Arial"/>
        </w:rPr>
        <w:t>a</w:t>
      </w:r>
      <w:r w:rsidRPr="00657BA6">
        <w:rPr>
          <w:rFonts w:ascii="Arial" w:hAnsi="Arial" w:cs="Arial"/>
        </w:rPr>
        <w:t xml:space="preserve">) y </w:t>
      </w:r>
      <w:r w:rsidR="000F7C2C" w:rsidRPr="00657BA6">
        <w:rPr>
          <w:rFonts w:ascii="Arial" w:hAnsi="Arial" w:cs="Arial"/>
        </w:rPr>
        <w:t>b</w:t>
      </w:r>
      <w:r w:rsidRPr="00657BA6">
        <w:rPr>
          <w:rFonts w:ascii="Arial" w:hAnsi="Arial" w:cs="Arial"/>
        </w:rPr>
        <w:t>) se calcularán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22D135CA" w14:textId="77777777" w:rsidR="00AC731E" w:rsidRPr="00657BA6" w:rsidRDefault="00AC731E" w:rsidP="0014780A">
      <w:pPr>
        <w:spacing w:after="0"/>
        <w:jc w:val="both"/>
        <w:rPr>
          <w:rFonts w:ascii="Arial" w:hAnsi="Arial" w:cs="Arial"/>
          <w:b/>
        </w:rPr>
      </w:pPr>
    </w:p>
    <w:p w14:paraId="4F093F41" w14:textId="1C4D2EE6" w:rsidR="00AC731E" w:rsidRPr="00657BA6" w:rsidRDefault="00AC731E" w:rsidP="0014780A">
      <w:pPr>
        <w:spacing w:after="0"/>
        <w:jc w:val="both"/>
        <w:rPr>
          <w:rFonts w:ascii="Arial" w:hAnsi="Arial" w:cs="Arial"/>
        </w:rPr>
      </w:pPr>
      <w:r w:rsidRPr="00657BA6">
        <w:rPr>
          <w:rFonts w:ascii="Arial" w:hAnsi="Arial" w:cs="Arial"/>
          <w:b/>
        </w:rPr>
        <w:t xml:space="preserve">Décima </w:t>
      </w:r>
      <w:r w:rsidR="00437207">
        <w:rPr>
          <w:rFonts w:ascii="Arial" w:hAnsi="Arial" w:cs="Arial"/>
          <w:b/>
        </w:rPr>
        <w:t>Quinta</w:t>
      </w:r>
      <w:r w:rsidRPr="00657BA6">
        <w:rPr>
          <w:rFonts w:ascii="Arial" w:hAnsi="Arial" w:cs="Arial"/>
          <w:b/>
        </w:rPr>
        <w:t xml:space="preserve">. - </w:t>
      </w:r>
      <w:r w:rsidRPr="00657BA6">
        <w:rPr>
          <w:rFonts w:ascii="Arial" w:hAnsi="Arial" w:cs="Arial"/>
        </w:rPr>
        <w:t>Las tarifas de los Servicios no conmutados de Interconexión, calculadas con base en los costos por los Servicios de Interconexión que se obtienen del Modelo de Coubicación para el año 202</w:t>
      </w:r>
      <w:r w:rsidR="001D5FED">
        <w:rPr>
          <w:rFonts w:ascii="Arial" w:hAnsi="Arial" w:cs="Arial"/>
        </w:rPr>
        <w:t>4</w:t>
      </w:r>
      <w:r w:rsidRPr="00657BA6">
        <w:rPr>
          <w:rFonts w:ascii="Arial" w:hAnsi="Arial" w:cs="Arial"/>
        </w:rPr>
        <w:t xml:space="preserve"> </w:t>
      </w:r>
      <w:r w:rsidR="004B2BF1" w:rsidRPr="00657BA6">
        <w:rPr>
          <w:rFonts w:ascii="Arial" w:hAnsi="Arial" w:cs="Arial"/>
        </w:rPr>
        <w:t xml:space="preserve">serán las siguientes: </w:t>
      </w:r>
      <w:r w:rsidRPr="00657BA6">
        <w:rPr>
          <w:rFonts w:ascii="Arial" w:hAnsi="Arial" w:cs="Arial"/>
        </w:rPr>
        <w:t xml:space="preserve"> </w:t>
      </w:r>
    </w:p>
    <w:p w14:paraId="30CC7549" w14:textId="77777777" w:rsidR="00AC731E" w:rsidRPr="00657BA6" w:rsidRDefault="00AC731E" w:rsidP="0014780A">
      <w:pPr>
        <w:spacing w:after="0"/>
        <w:jc w:val="both"/>
        <w:rPr>
          <w:rFonts w:ascii="Arial" w:hAnsi="Arial" w:cs="Arial"/>
        </w:rPr>
      </w:pPr>
    </w:p>
    <w:p w14:paraId="2EBC2EBD" w14:textId="77777777" w:rsidR="00AC731E" w:rsidRPr="00657BA6" w:rsidRDefault="00AC731E" w:rsidP="009640AE">
      <w:pPr>
        <w:numPr>
          <w:ilvl w:val="0"/>
          <w:numId w:val="52"/>
        </w:numPr>
        <w:spacing w:after="0"/>
        <w:contextualSpacing/>
        <w:jc w:val="both"/>
        <w:rPr>
          <w:rFonts w:ascii="Arial" w:eastAsia="Times New Roman" w:hAnsi="Arial" w:cs="Arial"/>
          <w:szCs w:val="24"/>
          <w:lang w:eastAsia="es-ES"/>
        </w:rPr>
      </w:pPr>
      <w:r w:rsidRPr="00657BA6">
        <w:rPr>
          <w:rFonts w:ascii="Arial" w:eastAsia="Times New Roman" w:hAnsi="Arial" w:cs="Arial"/>
          <w:szCs w:val="24"/>
          <w:lang w:eastAsia="es-ES"/>
        </w:rPr>
        <w:t>Tarifa por el servicio de coubicación Tipo 1, Tipo 2 y Tipo 3 para concesionarios fijos y móviles para región de costo alto, medio y bajo.</w:t>
      </w:r>
    </w:p>
    <w:p w14:paraId="0459CB80" w14:textId="77777777" w:rsidR="00AC731E" w:rsidRPr="00657BA6" w:rsidRDefault="00AC731E" w:rsidP="0014780A">
      <w:pPr>
        <w:spacing w:after="0"/>
        <w:ind w:left="708"/>
        <w:jc w:val="both"/>
        <w:rPr>
          <w:rFonts w:ascii="Arial" w:eastAsia="Times New Roman" w:hAnsi="Arial" w:cs="Arial"/>
          <w:szCs w:val="24"/>
          <w:lang w:eastAsia="es-ES"/>
        </w:rPr>
      </w:pPr>
    </w:p>
    <w:p w14:paraId="03E0A1E1" w14:textId="580CE79F" w:rsidR="00AC731E" w:rsidRPr="00657BA6" w:rsidRDefault="00AC731E" w:rsidP="0014780A">
      <w:pPr>
        <w:spacing w:after="0"/>
        <w:jc w:val="both"/>
        <w:rPr>
          <w:rFonts w:ascii="Arial" w:hAnsi="Arial" w:cs="Arial"/>
        </w:rPr>
      </w:pPr>
      <w:r w:rsidRPr="00657BA6">
        <w:rPr>
          <w:rFonts w:ascii="Arial" w:hAnsi="Arial" w:cs="Arial"/>
          <w:b/>
        </w:rPr>
        <w:t xml:space="preserve">Décima </w:t>
      </w:r>
      <w:r w:rsidR="00437207">
        <w:rPr>
          <w:rFonts w:ascii="Arial" w:hAnsi="Arial" w:cs="Arial"/>
          <w:b/>
        </w:rPr>
        <w:t>Sexta</w:t>
      </w:r>
      <w:r w:rsidRPr="00657BA6">
        <w:rPr>
          <w:rFonts w:ascii="Arial" w:hAnsi="Arial" w:cs="Arial"/>
          <w:b/>
        </w:rPr>
        <w:t xml:space="preserve">. - </w:t>
      </w:r>
      <w:r w:rsidRPr="00657BA6">
        <w:rPr>
          <w:rFonts w:ascii="Arial" w:hAnsi="Arial" w:cs="Arial"/>
        </w:rPr>
        <w:t>Las tarifas de los Servicios no conmutados de Interconexión, calculadas con base en los costos por los Servicios de Interconexión que se obtienen del Modelo de Enlaces de Transmisión entre coubicaciones para el año 202</w:t>
      </w:r>
      <w:r w:rsidR="001D5FED">
        <w:rPr>
          <w:rFonts w:ascii="Arial" w:hAnsi="Arial" w:cs="Arial"/>
        </w:rPr>
        <w:t>4</w:t>
      </w:r>
      <w:r w:rsidRPr="00657BA6">
        <w:rPr>
          <w:rFonts w:ascii="Arial" w:hAnsi="Arial" w:cs="Arial"/>
        </w:rPr>
        <w:t xml:space="preserve"> serán las siguientes:</w:t>
      </w:r>
    </w:p>
    <w:p w14:paraId="5BAEE6F0" w14:textId="77777777" w:rsidR="00AC731E" w:rsidRPr="00657BA6" w:rsidRDefault="00AC731E" w:rsidP="0014780A">
      <w:pPr>
        <w:spacing w:after="0"/>
        <w:jc w:val="both"/>
        <w:rPr>
          <w:rFonts w:ascii="Arial" w:hAnsi="Arial" w:cs="Arial"/>
        </w:rPr>
      </w:pPr>
    </w:p>
    <w:p w14:paraId="5FDE79D9" w14:textId="77777777" w:rsidR="00AC731E" w:rsidRPr="00657BA6" w:rsidRDefault="00AC731E" w:rsidP="009640AE">
      <w:pPr>
        <w:numPr>
          <w:ilvl w:val="0"/>
          <w:numId w:val="52"/>
        </w:numPr>
        <w:spacing w:after="0"/>
        <w:contextualSpacing/>
        <w:jc w:val="both"/>
        <w:rPr>
          <w:rFonts w:ascii="Arial" w:eastAsia="Times New Roman" w:hAnsi="Arial" w:cs="Arial"/>
          <w:szCs w:val="24"/>
          <w:lang w:eastAsia="es-ES"/>
        </w:rPr>
      </w:pPr>
      <w:r w:rsidRPr="00657BA6">
        <w:rPr>
          <w:rFonts w:ascii="Arial" w:eastAsia="Times New Roman" w:hAnsi="Arial" w:cs="Arial"/>
          <w:szCs w:val="24"/>
          <w:lang w:eastAsia="es-ES"/>
        </w:rPr>
        <w:t>Tarifa por el servicio de enlaces de transmisión de interconexión entre coubicaciones gestionado y no gestionado.</w:t>
      </w:r>
    </w:p>
    <w:p w14:paraId="74F572EA" w14:textId="77777777" w:rsidR="00AC731E" w:rsidRPr="00657BA6" w:rsidRDefault="00AC731E" w:rsidP="0014780A">
      <w:pPr>
        <w:spacing w:after="0"/>
        <w:jc w:val="both"/>
        <w:rPr>
          <w:rFonts w:ascii="Arial" w:hAnsi="Arial" w:cs="Arial"/>
        </w:rPr>
      </w:pPr>
    </w:p>
    <w:p w14:paraId="0746693B" w14:textId="021EB634" w:rsidR="00AC731E" w:rsidRPr="00657BA6" w:rsidRDefault="00AC731E" w:rsidP="0014780A">
      <w:pPr>
        <w:spacing w:after="0"/>
        <w:jc w:val="both"/>
        <w:rPr>
          <w:rFonts w:ascii="Arial" w:eastAsia="Times New Roman" w:hAnsi="Arial" w:cs="Arial"/>
        </w:rPr>
      </w:pPr>
      <w:r w:rsidRPr="00657BA6">
        <w:rPr>
          <w:rFonts w:ascii="Arial" w:hAnsi="Arial" w:cs="Arial"/>
          <w:b/>
        </w:rPr>
        <w:lastRenderedPageBreak/>
        <w:t xml:space="preserve">Décima </w:t>
      </w:r>
      <w:r w:rsidR="00437207">
        <w:rPr>
          <w:rFonts w:ascii="Arial" w:hAnsi="Arial" w:cs="Arial"/>
          <w:b/>
        </w:rPr>
        <w:t>Séptima</w:t>
      </w:r>
      <w:r w:rsidRPr="00657BA6">
        <w:rPr>
          <w:rFonts w:ascii="Arial" w:hAnsi="Arial" w:cs="Arial"/>
          <w:b/>
        </w:rPr>
        <w:t>. -</w:t>
      </w:r>
      <w:r w:rsidRPr="00657BA6">
        <w:rPr>
          <w:rFonts w:ascii="Arial" w:hAnsi="Arial" w:cs="Arial"/>
        </w:rPr>
        <w:t xml:space="preserve"> Las tarifas </w:t>
      </w:r>
      <w:r w:rsidRPr="00657BA6">
        <w:rPr>
          <w:rFonts w:ascii="Arial" w:eastAsia="Times New Roman" w:hAnsi="Arial" w:cs="Arial"/>
        </w:rPr>
        <w:t xml:space="preserve">de </w:t>
      </w:r>
      <w:r w:rsidRPr="00657BA6">
        <w:rPr>
          <w:rFonts w:ascii="Arial" w:hAnsi="Arial" w:cs="Arial"/>
        </w:rPr>
        <w:t>los Servicios no conmutados de Interconexión calculadas con base en los costos por</w:t>
      </w:r>
      <w:r w:rsidRPr="00657BA6">
        <w:rPr>
          <w:rFonts w:ascii="Arial" w:eastAsia="Times New Roman" w:hAnsi="Arial" w:cs="Arial"/>
        </w:rPr>
        <w:t xml:space="preserve"> los Servicios de Interconexión que se obtienen del Modelo de Enlaces Dedicados de Interconexión, </w:t>
      </w:r>
      <w:r w:rsidRPr="00657BA6">
        <w:rPr>
          <w:rFonts w:ascii="Arial" w:hAnsi="Arial" w:cs="Arial"/>
        </w:rPr>
        <w:t>para el año 202</w:t>
      </w:r>
      <w:r w:rsidR="001D5FED">
        <w:rPr>
          <w:rFonts w:ascii="Arial" w:hAnsi="Arial" w:cs="Arial"/>
        </w:rPr>
        <w:t>4</w:t>
      </w:r>
      <w:r w:rsidRPr="00657BA6">
        <w:rPr>
          <w:rFonts w:ascii="Arial" w:hAnsi="Arial" w:cs="Arial"/>
        </w:rPr>
        <w:t xml:space="preserve"> </w:t>
      </w:r>
      <w:r w:rsidRPr="00657BA6">
        <w:rPr>
          <w:rFonts w:ascii="Arial" w:eastAsia="Times New Roman" w:hAnsi="Arial" w:cs="Arial"/>
        </w:rPr>
        <w:t>serán las siguientes:</w:t>
      </w:r>
    </w:p>
    <w:p w14:paraId="333FB767" w14:textId="77777777" w:rsidR="00AC731E" w:rsidRPr="00657BA6" w:rsidRDefault="00AC731E" w:rsidP="0014780A">
      <w:pPr>
        <w:spacing w:after="0"/>
        <w:jc w:val="both"/>
        <w:rPr>
          <w:rFonts w:ascii="Arial" w:eastAsia="Times New Roman" w:hAnsi="Arial" w:cs="Arial"/>
        </w:rPr>
      </w:pPr>
    </w:p>
    <w:p w14:paraId="0C6BC7AD" w14:textId="1F45139E" w:rsidR="003F16A5" w:rsidRPr="004F4EFE" w:rsidRDefault="00AC731E" w:rsidP="009640AE">
      <w:pPr>
        <w:numPr>
          <w:ilvl w:val="0"/>
          <w:numId w:val="52"/>
        </w:numPr>
        <w:spacing w:after="0"/>
        <w:contextualSpacing/>
        <w:jc w:val="both"/>
        <w:rPr>
          <w:rFonts w:ascii="Arial" w:hAnsi="Arial" w:cs="Arial"/>
          <w:spacing w:val="-4"/>
        </w:rPr>
      </w:pPr>
      <w:r w:rsidRPr="004F4EFE">
        <w:rPr>
          <w:rFonts w:ascii="Arial" w:eastAsia="Times New Roman" w:hAnsi="Arial" w:cs="Arial"/>
          <w:szCs w:val="24"/>
          <w:lang w:eastAsia="es-ES"/>
        </w:rPr>
        <w:t>Tarifa por gastos de instalación y renta mensual por el servicio de Enlaces de interconexión con velocidad de transmisión</w:t>
      </w:r>
      <w:r w:rsidR="008F1CCC" w:rsidRPr="004F4EFE">
        <w:rPr>
          <w:rFonts w:ascii="Arial" w:eastAsia="Times New Roman" w:hAnsi="Arial" w:cs="Arial"/>
          <w:szCs w:val="24"/>
          <w:lang w:eastAsia="es-ES"/>
        </w:rPr>
        <w:t xml:space="preserve"> </w:t>
      </w:r>
      <w:r w:rsidR="002944DC" w:rsidRPr="004F4EFE">
        <w:rPr>
          <w:rFonts w:ascii="Arial" w:eastAsia="Times New Roman" w:hAnsi="Arial" w:cs="Arial"/>
          <w:szCs w:val="24"/>
          <w:lang w:eastAsia="es-ES"/>
        </w:rPr>
        <w:t xml:space="preserve">Ethernet </w:t>
      </w:r>
      <w:r w:rsidR="008F1CCC" w:rsidRPr="004F4EFE">
        <w:rPr>
          <w:rFonts w:ascii="Arial" w:eastAsia="Times New Roman" w:hAnsi="Arial" w:cs="Arial"/>
          <w:szCs w:val="24"/>
          <w:lang w:eastAsia="es-ES"/>
        </w:rPr>
        <w:t>de</w:t>
      </w:r>
      <w:r w:rsidRPr="004F4EFE">
        <w:rPr>
          <w:rFonts w:ascii="Arial" w:eastAsia="Times New Roman" w:hAnsi="Arial" w:cs="Arial"/>
          <w:szCs w:val="24"/>
          <w:lang w:eastAsia="es-ES"/>
        </w:rPr>
        <w:t xml:space="preserve"> </w:t>
      </w:r>
      <w:r w:rsidRPr="004F4EFE">
        <w:rPr>
          <w:rFonts w:ascii="Arial" w:eastAsia="Times New Roman" w:hAnsi="Arial" w:cs="Arial"/>
          <w:szCs w:val="24"/>
          <w:lang w:val="es-ES" w:eastAsia="es-ES"/>
        </w:rPr>
        <w:t>1 Gbps</w:t>
      </w:r>
      <w:r w:rsidRPr="004F4EFE">
        <w:rPr>
          <w:rFonts w:ascii="Arial" w:eastAsia="Times New Roman" w:hAnsi="Arial" w:cs="Arial"/>
          <w:szCs w:val="24"/>
          <w:lang w:eastAsia="es-ES"/>
        </w:rPr>
        <w:t>.</w:t>
      </w:r>
    </w:p>
    <w:sectPr w:rsidR="003F16A5" w:rsidRPr="004F4EFE" w:rsidSect="0018331D">
      <w:headerReference w:type="even" r:id="rId48"/>
      <w:headerReference w:type="default" r:id="rId49"/>
      <w:footerReference w:type="even" r:id="rId50"/>
      <w:footerReference w:type="default" r:id="rId51"/>
      <w:headerReference w:type="first" r:id="rId52"/>
      <w:footerReference w:type="first" r:id="rId53"/>
      <w:pgSz w:w="12240" w:h="15840"/>
      <w:pgMar w:top="2268" w:right="1469"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CE7A26" w14:textId="77777777" w:rsidR="003119E0" w:rsidRDefault="003119E0" w:rsidP="00B53A68">
      <w:pPr>
        <w:spacing w:after="0" w:line="240" w:lineRule="auto"/>
      </w:pPr>
      <w:r>
        <w:separator/>
      </w:r>
    </w:p>
  </w:endnote>
  <w:endnote w:type="continuationSeparator" w:id="0">
    <w:p w14:paraId="1CC88A0F" w14:textId="77777777" w:rsidR="003119E0" w:rsidRDefault="003119E0" w:rsidP="00B53A68">
      <w:pPr>
        <w:spacing w:after="0" w:line="240" w:lineRule="auto"/>
      </w:pPr>
      <w:r>
        <w:continuationSeparator/>
      </w:r>
    </w:p>
  </w:endnote>
  <w:endnote w:type="continuationNotice" w:id="1">
    <w:p w14:paraId="468A06A1" w14:textId="77777777" w:rsidR="003119E0" w:rsidRDefault="003119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charset w:val="00"/>
    <w:family w:val="auto"/>
    <w:pitch w:val="variable"/>
    <w:sig w:usb0="00000003" w:usb1="00000000" w:usb2="00000000" w:usb3="00000000" w:csb0="00000001" w:csb1="00000000"/>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 Palacio (WN)">
    <w:altName w:val="Cambria"/>
    <w:panose1 w:val="00000000000000000000"/>
    <w:charset w:val="00"/>
    <w:family w:val="roman"/>
    <w:notTrueType/>
    <w:pitch w:val="variable"/>
    <w:sig w:usb0="00000003" w:usb1="00000000" w:usb2="00000000" w:usb3="00000000" w:csb0="00000001" w:csb1="00000000"/>
  </w:font>
  <w:font w:name="EUAlbertina">
    <w:altName w:val="EU Alberti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504020202030204"/>
    <w:charset w:val="00"/>
    <w:family w:val="swiss"/>
    <w:pitch w:val="variable"/>
    <w:sig w:usb0="20002A87" w:usb1="00000000" w:usb2="00000000"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0569E" w14:textId="77777777" w:rsidR="009A73AF" w:rsidRDefault="009A73A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3223110"/>
      <w:docPartObj>
        <w:docPartGallery w:val="Page Numbers (Bottom of Page)"/>
        <w:docPartUnique/>
      </w:docPartObj>
    </w:sdtPr>
    <w:sdtEndPr/>
    <w:sdtContent>
      <w:sdt>
        <w:sdtPr>
          <w:id w:val="1728636285"/>
          <w:docPartObj>
            <w:docPartGallery w:val="Page Numbers (Top of Page)"/>
            <w:docPartUnique/>
          </w:docPartObj>
        </w:sdtPr>
        <w:sdtEndPr/>
        <w:sdtContent>
          <w:p w14:paraId="570502EC" w14:textId="77777777" w:rsidR="000B7AB0" w:rsidRPr="00BB6A0B" w:rsidRDefault="000B7AB0" w:rsidP="000B7AB0">
            <w:pPr>
              <w:pStyle w:val="Piedepgina"/>
              <w:jc w:val="right"/>
              <w:rPr>
                <w:rFonts w:ascii="Arial" w:hAnsi="Arial" w:cs="Arial"/>
                <w:sz w:val="18"/>
                <w:szCs w:val="18"/>
              </w:rPr>
            </w:pPr>
            <w:r w:rsidRPr="000B7AB0">
              <w:rPr>
                <w:sz w:val="18"/>
                <w:szCs w:val="18"/>
              </w:rPr>
              <w:t xml:space="preserve"> </w:t>
            </w:r>
            <w:sdt>
              <w:sdtPr>
                <w:rPr>
                  <w:rFonts w:ascii="Arial" w:hAnsi="Arial" w:cs="Arial"/>
                  <w:sz w:val="18"/>
                  <w:szCs w:val="18"/>
                </w:rPr>
                <w:id w:val="-366610312"/>
                <w:docPartObj>
                  <w:docPartGallery w:val="Page Numbers (Bottom of Page)"/>
                  <w:docPartUnique/>
                </w:docPartObj>
              </w:sdtPr>
              <w:sdtEndPr/>
              <w:sdtContent>
                <w:sdt>
                  <w:sdtPr>
                    <w:rPr>
                      <w:rFonts w:ascii="Arial" w:hAnsi="Arial" w:cs="Arial"/>
                      <w:sz w:val="18"/>
                      <w:szCs w:val="18"/>
                    </w:rPr>
                    <w:id w:val="-1769616900"/>
                    <w:docPartObj>
                      <w:docPartGallery w:val="Page Numbers (Top of Page)"/>
                      <w:docPartUnique/>
                    </w:docPartObj>
                  </w:sdtPr>
                  <w:sdtEndPr/>
                  <w:sdtContent>
                    <w:r w:rsidRPr="00BB6A0B">
                      <w:rPr>
                        <w:rFonts w:ascii="Arial" w:hAnsi="Arial" w:cs="Arial"/>
                        <w:sz w:val="18"/>
                        <w:szCs w:val="18"/>
                      </w:rPr>
                      <w:t xml:space="preserve">Página </w:t>
                    </w:r>
                    <w:r w:rsidRPr="00BB6A0B">
                      <w:rPr>
                        <w:rFonts w:ascii="Arial" w:hAnsi="Arial" w:cs="Arial"/>
                        <w:bCs/>
                        <w:sz w:val="18"/>
                        <w:szCs w:val="18"/>
                      </w:rPr>
                      <w:fldChar w:fldCharType="begin"/>
                    </w:r>
                    <w:r w:rsidRPr="00BB6A0B">
                      <w:rPr>
                        <w:rFonts w:ascii="Arial" w:hAnsi="Arial" w:cs="Arial"/>
                        <w:bCs/>
                        <w:sz w:val="18"/>
                        <w:szCs w:val="18"/>
                      </w:rPr>
                      <w:instrText>PAGE</w:instrText>
                    </w:r>
                    <w:r w:rsidRPr="00BB6A0B">
                      <w:rPr>
                        <w:rFonts w:ascii="Arial" w:hAnsi="Arial" w:cs="Arial"/>
                        <w:bCs/>
                        <w:sz w:val="18"/>
                        <w:szCs w:val="18"/>
                      </w:rPr>
                      <w:fldChar w:fldCharType="separate"/>
                    </w:r>
                    <w:r>
                      <w:rPr>
                        <w:bCs/>
                        <w:sz w:val="18"/>
                        <w:szCs w:val="18"/>
                      </w:rPr>
                      <w:t>56</w:t>
                    </w:r>
                    <w:r w:rsidRPr="00BB6A0B">
                      <w:rPr>
                        <w:rFonts w:ascii="Arial" w:hAnsi="Arial" w:cs="Arial"/>
                        <w:bCs/>
                        <w:sz w:val="18"/>
                        <w:szCs w:val="18"/>
                      </w:rPr>
                      <w:fldChar w:fldCharType="end"/>
                    </w:r>
                    <w:r w:rsidRPr="00BB6A0B">
                      <w:rPr>
                        <w:rFonts w:ascii="Arial" w:hAnsi="Arial" w:cs="Arial"/>
                        <w:sz w:val="18"/>
                        <w:szCs w:val="18"/>
                      </w:rPr>
                      <w:t xml:space="preserve"> de </w:t>
                    </w:r>
                    <w:r w:rsidRPr="00BB6A0B">
                      <w:rPr>
                        <w:rFonts w:ascii="Arial" w:hAnsi="Arial" w:cs="Arial"/>
                        <w:bCs/>
                        <w:sz w:val="18"/>
                        <w:szCs w:val="18"/>
                      </w:rPr>
                      <w:fldChar w:fldCharType="begin"/>
                    </w:r>
                    <w:r w:rsidRPr="00BB6A0B">
                      <w:rPr>
                        <w:rFonts w:ascii="Arial" w:hAnsi="Arial" w:cs="Arial"/>
                        <w:bCs/>
                        <w:sz w:val="18"/>
                        <w:szCs w:val="18"/>
                      </w:rPr>
                      <w:instrText>NUMPAGES</w:instrText>
                    </w:r>
                    <w:r w:rsidRPr="00BB6A0B">
                      <w:rPr>
                        <w:rFonts w:ascii="Arial" w:hAnsi="Arial" w:cs="Arial"/>
                        <w:bCs/>
                        <w:sz w:val="18"/>
                        <w:szCs w:val="18"/>
                      </w:rPr>
                      <w:fldChar w:fldCharType="separate"/>
                    </w:r>
                    <w:r>
                      <w:rPr>
                        <w:bCs/>
                        <w:sz w:val="18"/>
                        <w:szCs w:val="18"/>
                      </w:rPr>
                      <w:t>97</w:t>
                    </w:r>
                    <w:r w:rsidRPr="00BB6A0B">
                      <w:rPr>
                        <w:rFonts w:ascii="Arial" w:hAnsi="Arial" w:cs="Arial"/>
                        <w:bCs/>
                        <w:sz w:val="18"/>
                        <w:szCs w:val="18"/>
                      </w:rPr>
                      <w:fldChar w:fldCharType="end"/>
                    </w:r>
                  </w:sdtContent>
                </w:sdt>
              </w:sdtContent>
            </w:sdt>
          </w:p>
          <w:p w14:paraId="2AAA20BE" w14:textId="764DFB29" w:rsidR="00D14868" w:rsidRDefault="003119E0" w:rsidP="006A2A96">
            <w:pPr>
              <w:pStyle w:val="Piedepgina"/>
              <w:jc w:val="right"/>
            </w:pPr>
          </w:p>
        </w:sdtContent>
      </w:sdt>
    </w:sdtContent>
  </w:sdt>
  <w:p w14:paraId="5BB6EEF7" w14:textId="77777777" w:rsidR="00D14868" w:rsidRDefault="00D1486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4A5DE" w14:textId="77777777" w:rsidR="009A73AF" w:rsidRDefault="009A73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9C2449" w14:textId="77777777" w:rsidR="003119E0" w:rsidRDefault="003119E0" w:rsidP="00B53A68">
      <w:pPr>
        <w:spacing w:after="0" w:line="240" w:lineRule="auto"/>
      </w:pPr>
      <w:r>
        <w:separator/>
      </w:r>
    </w:p>
  </w:footnote>
  <w:footnote w:type="continuationSeparator" w:id="0">
    <w:p w14:paraId="4234DD9A" w14:textId="77777777" w:rsidR="003119E0" w:rsidRDefault="003119E0" w:rsidP="00B53A68">
      <w:pPr>
        <w:spacing w:after="0" w:line="240" w:lineRule="auto"/>
      </w:pPr>
      <w:r>
        <w:continuationSeparator/>
      </w:r>
    </w:p>
  </w:footnote>
  <w:footnote w:type="continuationNotice" w:id="1">
    <w:p w14:paraId="3291E8DF" w14:textId="77777777" w:rsidR="003119E0" w:rsidRDefault="003119E0">
      <w:pPr>
        <w:spacing w:after="0" w:line="240" w:lineRule="auto"/>
      </w:pPr>
    </w:p>
  </w:footnote>
  <w:footnote w:id="2">
    <w:p w14:paraId="418DD776" w14:textId="6F408A88" w:rsidR="00244294" w:rsidRPr="00657BA6" w:rsidRDefault="00244294" w:rsidP="00244294">
      <w:pPr>
        <w:pStyle w:val="Textonotapie"/>
        <w:spacing w:line="276" w:lineRule="auto"/>
        <w:rPr>
          <w:rFonts w:ascii="Arial" w:hAnsi="Arial" w:cs="Arial"/>
          <w:sz w:val="16"/>
          <w:szCs w:val="16"/>
          <w:lang w:val="en-US"/>
        </w:rPr>
      </w:pPr>
      <w:r w:rsidRPr="007740FC">
        <w:rPr>
          <w:rStyle w:val="Refdenotaalpie"/>
          <w:rFonts w:cs="Arial"/>
          <w:sz w:val="14"/>
          <w:szCs w:val="14"/>
        </w:rPr>
        <w:footnoteRef/>
      </w:r>
      <w:r w:rsidRPr="00657BA6">
        <w:rPr>
          <w:rFonts w:ascii="Arial" w:hAnsi="Arial" w:cs="Arial"/>
          <w:sz w:val="14"/>
          <w:szCs w:val="14"/>
          <w:lang w:val="en-US"/>
        </w:rPr>
        <w:t> IEEE Standard for Ethernet, 802.3-</w:t>
      </w:r>
      <w:r w:rsidR="000E610F" w:rsidRPr="00657BA6">
        <w:rPr>
          <w:rFonts w:ascii="Arial" w:hAnsi="Arial" w:cs="Arial"/>
          <w:sz w:val="14"/>
          <w:szCs w:val="14"/>
          <w:lang w:val="en-US"/>
        </w:rPr>
        <w:t>20</w:t>
      </w:r>
      <w:r w:rsidR="000E610F">
        <w:rPr>
          <w:rFonts w:ascii="Arial" w:hAnsi="Arial" w:cs="Arial"/>
          <w:sz w:val="14"/>
          <w:szCs w:val="14"/>
          <w:lang w:val="en-US"/>
        </w:rPr>
        <w:t>22</w:t>
      </w:r>
      <w:r w:rsidRPr="00657BA6">
        <w:rPr>
          <w:rFonts w:ascii="Arial" w:hAnsi="Arial" w:cs="Arial"/>
          <w:sz w:val="14"/>
          <w:szCs w:val="14"/>
          <w:lang w:val="en-US"/>
        </w:rPr>
        <w:t>. </w:t>
      </w:r>
    </w:p>
  </w:footnote>
  <w:footnote w:id="3">
    <w:p w14:paraId="7181474A" w14:textId="77777777" w:rsidR="00244294" w:rsidRPr="005B358C" w:rsidRDefault="00244294" w:rsidP="00244294">
      <w:pPr>
        <w:pStyle w:val="Textonotapie"/>
        <w:spacing w:line="276" w:lineRule="auto"/>
        <w:rPr>
          <w:rFonts w:ascii="Arial" w:hAnsi="Arial" w:cs="Arial"/>
          <w:sz w:val="16"/>
          <w:szCs w:val="16"/>
          <w:lang w:val="en-GB"/>
        </w:rPr>
      </w:pPr>
      <w:r w:rsidRPr="007740FC">
        <w:rPr>
          <w:rStyle w:val="Refdenotaalpie"/>
          <w:rFonts w:cs="Arial"/>
          <w:sz w:val="14"/>
          <w:szCs w:val="14"/>
        </w:rPr>
        <w:footnoteRef/>
      </w:r>
      <w:r w:rsidRPr="007740FC">
        <w:rPr>
          <w:rFonts w:ascii="Arial" w:hAnsi="Arial" w:cs="Arial"/>
          <w:sz w:val="14"/>
          <w:szCs w:val="14"/>
          <w:lang w:val="en-GB"/>
        </w:rPr>
        <w:t xml:space="preserve"> IETF RFC 3261, SIP: Session Initiation Protocol.</w:t>
      </w:r>
    </w:p>
  </w:footnote>
  <w:footnote w:id="4">
    <w:p w14:paraId="0798C817" w14:textId="77777777" w:rsidR="00244294" w:rsidRPr="007740FC" w:rsidRDefault="00244294" w:rsidP="00244294">
      <w:pPr>
        <w:pStyle w:val="Textonotapie"/>
        <w:spacing w:line="276" w:lineRule="auto"/>
        <w:rPr>
          <w:rFonts w:ascii="Arial" w:hAnsi="Arial" w:cs="Arial"/>
          <w:sz w:val="14"/>
          <w:szCs w:val="14"/>
          <w:lang w:val="en-GB"/>
        </w:rPr>
      </w:pPr>
      <w:r w:rsidRPr="007740FC">
        <w:rPr>
          <w:rStyle w:val="Refdenotaalpie"/>
          <w:rFonts w:cs="Arial"/>
          <w:sz w:val="14"/>
          <w:szCs w:val="14"/>
        </w:rPr>
        <w:footnoteRef/>
      </w:r>
      <w:r w:rsidRPr="007740FC">
        <w:rPr>
          <w:rFonts w:ascii="Arial" w:hAnsi="Arial" w:cs="Arial"/>
          <w:sz w:val="14"/>
          <w:szCs w:val="14"/>
          <w:lang w:val="en-GB"/>
        </w:rPr>
        <w:t xml:space="preserve"> IETF RFC 3311, The Session Initiation Protocol (SIP) UPDATE Method.</w:t>
      </w:r>
    </w:p>
  </w:footnote>
  <w:footnote w:id="5">
    <w:p w14:paraId="0B40C48B" w14:textId="77777777" w:rsidR="00244294" w:rsidRPr="007740FC" w:rsidRDefault="00244294" w:rsidP="00244294">
      <w:pPr>
        <w:pStyle w:val="Textonotapie"/>
        <w:spacing w:line="276" w:lineRule="auto"/>
        <w:rPr>
          <w:rFonts w:ascii="Arial" w:hAnsi="Arial" w:cs="Arial"/>
          <w:sz w:val="14"/>
          <w:szCs w:val="14"/>
          <w:lang w:val="en-GB"/>
        </w:rPr>
      </w:pPr>
      <w:r w:rsidRPr="007740FC">
        <w:rPr>
          <w:rStyle w:val="Refdenotaalpie"/>
          <w:rFonts w:cs="Arial"/>
          <w:sz w:val="14"/>
          <w:szCs w:val="14"/>
        </w:rPr>
        <w:footnoteRef/>
      </w:r>
      <w:r w:rsidRPr="007740FC">
        <w:rPr>
          <w:rFonts w:ascii="Arial" w:hAnsi="Arial" w:cs="Arial"/>
          <w:sz w:val="14"/>
          <w:szCs w:val="14"/>
          <w:lang w:val="en-GB"/>
        </w:rPr>
        <w:t xml:space="preserve"> IETF RFC 3262, Reliability of Provisional Responses in the Session Initiation Protocol (SIP).</w:t>
      </w:r>
    </w:p>
  </w:footnote>
  <w:footnote w:id="6">
    <w:p w14:paraId="4EC0C616" w14:textId="77777777" w:rsidR="00244294" w:rsidRPr="005B358C" w:rsidRDefault="00244294" w:rsidP="00244294">
      <w:pPr>
        <w:pStyle w:val="Textonotapie"/>
        <w:spacing w:line="276" w:lineRule="auto"/>
        <w:rPr>
          <w:rFonts w:ascii="Arial" w:hAnsi="Arial" w:cs="Arial"/>
          <w:sz w:val="16"/>
          <w:szCs w:val="16"/>
          <w:lang w:val="en-GB"/>
        </w:rPr>
      </w:pPr>
      <w:r w:rsidRPr="007740FC">
        <w:rPr>
          <w:rStyle w:val="Refdenotaalpie"/>
          <w:rFonts w:cs="Arial"/>
          <w:sz w:val="14"/>
          <w:szCs w:val="14"/>
        </w:rPr>
        <w:footnoteRef/>
      </w:r>
      <w:r w:rsidRPr="007740FC">
        <w:rPr>
          <w:rFonts w:ascii="Arial" w:hAnsi="Arial" w:cs="Arial"/>
          <w:sz w:val="14"/>
          <w:szCs w:val="14"/>
          <w:lang w:val="en-GB"/>
        </w:rPr>
        <w:t xml:space="preserve"> IETF RFC 4028, Session Timers in the Session Initiation Protocol (SIP).</w:t>
      </w:r>
    </w:p>
  </w:footnote>
  <w:footnote w:id="7">
    <w:p w14:paraId="547C1FAB" w14:textId="77777777" w:rsidR="00244294" w:rsidRPr="007740FC" w:rsidRDefault="00244294" w:rsidP="00244294">
      <w:pPr>
        <w:spacing w:after="0"/>
        <w:rPr>
          <w:rFonts w:ascii="Arial" w:hAnsi="Arial" w:cs="Arial"/>
          <w:sz w:val="14"/>
          <w:szCs w:val="14"/>
          <w:lang w:val="en-GB"/>
        </w:rPr>
      </w:pPr>
      <w:r w:rsidRPr="007740FC">
        <w:rPr>
          <w:rStyle w:val="Refdenotaalpie"/>
          <w:rFonts w:cs="Arial"/>
          <w:sz w:val="14"/>
          <w:szCs w:val="14"/>
        </w:rPr>
        <w:footnoteRef/>
      </w:r>
      <w:r w:rsidRPr="007740FC">
        <w:rPr>
          <w:rFonts w:ascii="Arial" w:hAnsi="Arial" w:cs="Arial"/>
          <w:sz w:val="14"/>
          <w:szCs w:val="14"/>
          <w:lang w:val="en-GB"/>
        </w:rPr>
        <w:t xml:space="preserve"> </w:t>
      </w:r>
      <w:r w:rsidRPr="007740FC">
        <w:rPr>
          <w:rFonts w:ascii="Arial" w:eastAsia="Times New Roman" w:hAnsi="Arial" w:cs="Arial"/>
          <w:sz w:val="14"/>
          <w:szCs w:val="14"/>
          <w:lang w:val="en-GB" w:eastAsia="es-ES"/>
        </w:rPr>
        <w:t>IETF RFC 3323, A Privacy Mechanism for the Session Initiation Protocol (SIP).</w:t>
      </w:r>
    </w:p>
  </w:footnote>
  <w:footnote w:id="8">
    <w:p w14:paraId="38D7CF9E" w14:textId="77777777" w:rsidR="00244294" w:rsidRPr="007740FC" w:rsidRDefault="00244294" w:rsidP="00244294">
      <w:pPr>
        <w:pStyle w:val="Textonotapie"/>
        <w:spacing w:line="276" w:lineRule="auto"/>
        <w:rPr>
          <w:rFonts w:ascii="Arial" w:hAnsi="Arial" w:cs="Arial"/>
          <w:sz w:val="14"/>
          <w:szCs w:val="14"/>
          <w:lang w:val="en-GB"/>
        </w:rPr>
      </w:pPr>
      <w:r w:rsidRPr="007740FC">
        <w:rPr>
          <w:rStyle w:val="Refdenotaalpie"/>
          <w:rFonts w:cs="Arial"/>
          <w:sz w:val="14"/>
          <w:szCs w:val="14"/>
        </w:rPr>
        <w:footnoteRef/>
      </w:r>
      <w:r w:rsidRPr="007740FC">
        <w:rPr>
          <w:rFonts w:ascii="Arial" w:hAnsi="Arial" w:cs="Arial"/>
          <w:sz w:val="14"/>
          <w:szCs w:val="14"/>
          <w:lang w:val="en-GB"/>
        </w:rPr>
        <w:t xml:space="preserve"> IETF RFC 3326, The Reason Header Fiel for the Session Initiation Protocol (SIP).</w:t>
      </w:r>
    </w:p>
  </w:footnote>
  <w:footnote w:id="9">
    <w:p w14:paraId="4A44BAD6" w14:textId="77777777" w:rsidR="00244294" w:rsidRPr="007740FC" w:rsidRDefault="00244294" w:rsidP="00244294">
      <w:pPr>
        <w:pStyle w:val="Textonotapie"/>
        <w:spacing w:line="276" w:lineRule="auto"/>
        <w:rPr>
          <w:rFonts w:ascii="Arial" w:hAnsi="Arial" w:cs="Arial"/>
          <w:sz w:val="14"/>
          <w:szCs w:val="14"/>
          <w:lang w:val="en-GB"/>
        </w:rPr>
      </w:pPr>
      <w:r w:rsidRPr="007740FC">
        <w:rPr>
          <w:rStyle w:val="Refdenotaalpie"/>
          <w:rFonts w:cs="Arial"/>
          <w:sz w:val="14"/>
          <w:szCs w:val="14"/>
        </w:rPr>
        <w:footnoteRef/>
      </w:r>
      <w:r w:rsidRPr="007740FC">
        <w:rPr>
          <w:rFonts w:ascii="Arial" w:hAnsi="Arial" w:cs="Arial"/>
          <w:sz w:val="14"/>
          <w:szCs w:val="14"/>
          <w:lang w:val="en-GB"/>
        </w:rPr>
        <w:t xml:space="preserve"> IETF RFC 3325, Private Extensions to the Session Initiaton Protocol (SIP) for Asserted Identity within Trusted Networks.</w:t>
      </w:r>
    </w:p>
  </w:footnote>
  <w:footnote w:id="10">
    <w:p w14:paraId="49C086CC" w14:textId="77777777" w:rsidR="00244294" w:rsidRPr="00494A81" w:rsidRDefault="00244294" w:rsidP="00244294">
      <w:pPr>
        <w:pStyle w:val="Textonotapie"/>
        <w:spacing w:line="276" w:lineRule="auto"/>
        <w:rPr>
          <w:rFonts w:ascii="Arial" w:hAnsi="Arial" w:cs="Arial"/>
          <w:b/>
          <w:sz w:val="22"/>
          <w:szCs w:val="22"/>
          <w:lang w:val="en-GB"/>
        </w:rPr>
      </w:pPr>
      <w:r w:rsidRPr="009E27B1">
        <w:rPr>
          <w:rStyle w:val="Refdenotaalpie"/>
          <w:rFonts w:ascii="Arial" w:hAnsi="Arial" w:cs="Arial"/>
          <w:sz w:val="14"/>
          <w:szCs w:val="14"/>
        </w:rPr>
        <w:footnoteRef/>
      </w:r>
      <w:r w:rsidRPr="009E27B1">
        <w:rPr>
          <w:rStyle w:val="Refdenotaalpie"/>
          <w:rFonts w:ascii="Arial" w:hAnsi="Arial" w:cs="Arial"/>
          <w:sz w:val="14"/>
          <w:szCs w:val="14"/>
        </w:rPr>
        <w:t xml:space="preserve"> </w:t>
      </w:r>
      <w:r w:rsidRPr="009E27B1">
        <w:rPr>
          <w:rStyle w:val="Refdenotaalpie"/>
          <w:rFonts w:ascii="Arial" w:hAnsi="Arial" w:cs="Arial"/>
          <w:sz w:val="14"/>
          <w:szCs w:val="14"/>
          <w:vertAlign w:val="baseline"/>
        </w:rPr>
        <w:t>IETF RFC 5009, Private Header (P-Header) Extension to the Session Initiation Protocol (SIP) for Authorization of Early Media.</w:t>
      </w:r>
    </w:p>
  </w:footnote>
  <w:footnote w:id="11">
    <w:p w14:paraId="7A001EE4" w14:textId="77777777" w:rsidR="00244294" w:rsidRPr="005B358C" w:rsidRDefault="00244294" w:rsidP="00244294">
      <w:pPr>
        <w:pStyle w:val="Textonotapie"/>
        <w:spacing w:line="276" w:lineRule="auto"/>
        <w:rPr>
          <w:rFonts w:ascii="Arial" w:hAnsi="Arial" w:cs="Arial"/>
          <w:sz w:val="16"/>
          <w:szCs w:val="16"/>
          <w:lang w:val="en-GB"/>
        </w:rPr>
      </w:pPr>
      <w:r w:rsidRPr="007740FC">
        <w:rPr>
          <w:rStyle w:val="Refdenotaalpie"/>
          <w:rFonts w:cs="Arial"/>
          <w:sz w:val="14"/>
          <w:szCs w:val="14"/>
        </w:rPr>
        <w:footnoteRef/>
      </w:r>
      <w:r w:rsidRPr="007740FC">
        <w:rPr>
          <w:rFonts w:ascii="Arial" w:hAnsi="Arial" w:cs="Arial"/>
          <w:sz w:val="14"/>
          <w:szCs w:val="14"/>
          <w:lang w:val="en-GB"/>
        </w:rPr>
        <w:t xml:space="preserve"> IETF RFC 4566, SDP: Session Description Protocol.</w:t>
      </w:r>
    </w:p>
  </w:footnote>
  <w:footnote w:id="12">
    <w:p w14:paraId="71AE0869" w14:textId="77777777" w:rsidR="00244294" w:rsidRPr="005B358C" w:rsidRDefault="00244294" w:rsidP="00244294">
      <w:pPr>
        <w:pStyle w:val="Textonotapie"/>
        <w:spacing w:line="276" w:lineRule="auto"/>
        <w:rPr>
          <w:rFonts w:ascii="Arial" w:hAnsi="Arial" w:cs="Arial"/>
          <w:sz w:val="16"/>
          <w:szCs w:val="16"/>
          <w:lang w:val="en-GB"/>
        </w:rPr>
      </w:pPr>
      <w:r w:rsidRPr="007740FC">
        <w:rPr>
          <w:rStyle w:val="Refdenotaalpie"/>
          <w:rFonts w:cs="Arial"/>
          <w:sz w:val="14"/>
          <w:szCs w:val="14"/>
        </w:rPr>
        <w:footnoteRef/>
      </w:r>
      <w:r w:rsidRPr="007740FC">
        <w:rPr>
          <w:rFonts w:ascii="Arial" w:hAnsi="Arial" w:cs="Arial"/>
          <w:sz w:val="14"/>
          <w:szCs w:val="14"/>
          <w:lang w:val="en-GB"/>
        </w:rPr>
        <w:t xml:space="preserve"> IETF RFC 3551, RTP Profile for Audio and Video Conferences with Minimal Control.</w:t>
      </w:r>
    </w:p>
  </w:footnote>
  <w:footnote w:id="13">
    <w:p w14:paraId="3C85A073" w14:textId="77777777" w:rsidR="00244294" w:rsidRPr="007740FC" w:rsidRDefault="00244294" w:rsidP="00244294">
      <w:pPr>
        <w:pStyle w:val="Textonotapie"/>
        <w:spacing w:line="276" w:lineRule="auto"/>
        <w:rPr>
          <w:rFonts w:ascii="Arial" w:hAnsi="Arial" w:cs="Arial"/>
          <w:sz w:val="14"/>
          <w:szCs w:val="14"/>
          <w:lang w:val="en-GB"/>
        </w:rPr>
      </w:pPr>
      <w:r w:rsidRPr="007740FC">
        <w:rPr>
          <w:rStyle w:val="Refdenotaalpie"/>
          <w:rFonts w:cs="Arial"/>
          <w:sz w:val="14"/>
          <w:szCs w:val="14"/>
        </w:rPr>
        <w:footnoteRef/>
      </w:r>
      <w:r w:rsidRPr="007740FC">
        <w:rPr>
          <w:rFonts w:ascii="Arial" w:hAnsi="Arial" w:cs="Arial"/>
          <w:sz w:val="14"/>
          <w:szCs w:val="14"/>
          <w:lang w:val="en-GB"/>
        </w:rPr>
        <w:t xml:space="preserve"> IETF RFC 3264, An Offer/Answer Model with the Session Description Protocol (SDP).</w:t>
      </w:r>
    </w:p>
  </w:footnote>
  <w:footnote w:id="14">
    <w:p w14:paraId="6D6942CD" w14:textId="77777777" w:rsidR="00244294" w:rsidRPr="005B358C" w:rsidRDefault="00244294" w:rsidP="00244294">
      <w:pPr>
        <w:pStyle w:val="Textonotapie"/>
        <w:spacing w:line="276" w:lineRule="auto"/>
        <w:rPr>
          <w:rFonts w:ascii="Arial" w:hAnsi="Arial" w:cs="Arial"/>
          <w:sz w:val="16"/>
          <w:szCs w:val="16"/>
          <w:lang w:val="en-GB"/>
        </w:rPr>
      </w:pPr>
      <w:r w:rsidRPr="007740FC">
        <w:rPr>
          <w:rStyle w:val="Refdenotaalpie"/>
          <w:rFonts w:cs="Arial"/>
          <w:sz w:val="14"/>
          <w:szCs w:val="14"/>
        </w:rPr>
        <w:footnoteRef/>
      </w:r>
      <w:r w:rsidRPr="007740FC">
        <w:rPr>
          <w:rFonts w:ascii="Arial" w:hAnsi="Arial" w:cs="Arial"/>
          <w:sz w:val="14"/>
          <w:szCs w:val="14"/>
          <w:lang w:val="en-GB"/>
        </w:rPr>
        <w:t xml:space="preserve"> IETF RFC 3960, Early Media and Ringing Tone Generation in the Session Initiation Protocol (SIP</w:t>
      </w:r>
      <w:r w:rsidRPr="007740FC">
        <w:rPr>
          <w:rFonts w:ascii="Arial" w:hAnsi="Arial" w:cs="Arial"/>
          <w:i/>
          <w:sz w:val="14"/>
          <w:szCs w:val="14"/>
          <w:lang w:val="en-GB"/>
        </w:rPr>
        <w:t>).</w:t>
      </w:r>
    </w:p>
  </w:footnote>
  <w:footnote w:id="15">
    <w:p w14:paraId="7A34A94E" w14:textId="77777777" w:rsidR="00244294" w:rsidRPr="007740FC" w:rsidRDefault="00244294" w:rsidP="00244294">
      <w:pPr>
        <w:pStyle w:val="Textonotapie"/>
        <w:spacing w:line="276" w:lineRule="auto"/>
        <w:rPr>
          <w:rFonts w:ascii="Arial" w:hAnsi="Arial" w:cs="Arial"/>
          <w:sz w:val="14"/>
          <w:szCs w:val="14"/>
          <w:lang w:val="en-GB"/>
        </w:rPr>
      </w:pPr>
      <w:r w:rsidRPr="007740FC">
        <w:rPr>
          <w:rStyle w:val="Refdenotaalpie"/>
          <w:rFonts w:cs="Arial"/>
          <w:sz w:val="14"/>
          <w:szCs w:val="14"/>
        </w:rPr>
        <w:footnoteRef/>
      </w:r>
      <w:r w:rsidRPr="007740FC">
        <w:rPr>
          <w:rFonts w:ascii="Arial" w:hAnsi="Arial" w:cs="Arial"/>
          <w:sz w:val="14"/>
          <w:szCs w:val="14"/>
          <w:lang w:val="en-GB"/>
        </w:rPr>
        <w:t xml:space="preserve"> IETF RFC 4734, Definition of Events for Modem, Fax, and Text Telephony Signals.</w:t>
      </w:r>
    </w:p>
  </w:footnote>
  <w:footnote w:id="16">
    <w:p w14:paraId="515018D6" w14:textId="77777777" w:rsidR="00244294" w:rsidRPr="005B358C" w:rsidRDefault="00244294" w:rsidP="00244294">
      <w:pPr>
        <w:pStyle w:val="Textonotapie"/>
        <w:spacing w:line="276" w:lineRule="auto"/>
        <w:rPr>
          <w:rFonts w:ascii="Arial" w:hAnsi="Arial" w:cs="Arial"/>
          <w:sz w:val="16"/>
          <w:szCs w:val="16"/>
          <w:lang w:val="en-GB"/>
        </w:rPr>
      </w:pPr>
      <w:r w:rsidRPr="007740FC">
        <w:rPr>
          <w:rStyle w:val="Refdenotaalpie"/>
          <w:rFonts w:cs="Arial"/>
          <w:sz w:val="14"/>
          <w:szCs w:val="14"/>
        </w:rPr>
        <w:footnoteRef/>
      </w:r>
      <w:r w:rsidRPr="007740FC">
        <w:rPr>
          <w:rFonts w:ascii="Arial" w:hAnsi="Arial" w:cs="Arial"/>
          <w:sz w:val="14"/>
          <w:szCs w:val="14"/>
          <w:lang w:val="en-GB"/>
        </w:rPr>
        <w:t xml:space="preserve"> IETF RFC 4733, RTP Payload for DTMF Digits, Telephony Tones, and Telephony Signals.</w:t>
      </w:r>
    </w:p>
  </w:footnote>
  <w:footnote w:id="17">
    <w:p w14:paraId="08D59B31" w14:textId="77777777" w:rsidR="00244294" w:rsidRPr="007740FC" w:rsidRDefault="00244294" w:rsidP="00244294">
      <w:pPr>
        <w:pStyle w:val="Textonotapie"/>
        <w:spacing w:line="276" w:lineRule="auto"/>
        <w:rPr>
          <w:rFonts w:ascii="Arial" w:hAnsi="Arial" w:cs="Arial"/>
          <w:sz w:val="14"/>
          <w:szCs w:val="14"/>
          <w:lang w:val="en-GB"/>
        </w:rPr>
      </w:pPr>
      <w:r w:rsidRPr="007740FC">
        <w:rPr>
          <w:rStyle w:val="Refdenotaalpie"/>
          <w:rFonts w:cs="Arial"/>
          <w:sz w:val="14"/>
          <w:szCs w:val="14"/>
        </w:rPr>
        <w:footnoteRef/>
      </w:r>
      <w:r w:rsidRPr="007740FC">
        <w:rPr>
          <w:rFonts w:ascii="Arial" w:hAnsi="Arial" w:cs="Arial"/>
          <w:sz w:val="14"/>
          <w:szCs w:val="14"/>
          <w:lang w:val="en-GB"/>
        </w:rPr>
        <w:t xml:space="preserve"> ETF RFC 768, User Datagram Protocol.</w:t>
      </w:r>
    </w:p>
  </w:footnote>
  <w:footnote w:id="18">
    <w:p w14:paraId="05AF6B4A" w14:textId="77777777" w:rsidR="00244294" w:rsidRPr="005B358C" w:rsidRDefault="00244294" w:rsidP="00244294">
      <w:pPr>
        <w:pStyle w:val="Textonotapie"/>
        <w:spacing w:line="276" w:lineRule="auto"/>
        <w:rPr>
          <w:rFonts w:ascii="Arial" w:hAnsi="Arial" w:cs="Arial"/>
          <w:sz w:val="16"/>
          <w:szCs w:val="16"/>
          <w:lang w:val="en-GB"/>
        </w:rPr>
      </w:pPr>
      <w:r w:rsidRPr="007740FC">
        <w:rPr>
          <w:rStyle w:val="Refdenotaalpie"/>
          <w:rFonts w:cs="Arial"/>
          <w:sz w:val="14"/>
          <w:szCs w:val="14"/>
        </w:rPr>
        <w:footnoteRef/>
      </w:r>
      <w:r w:rsidRPr="007740FC">
        <w:rPr>
          <w:rFonts w:ascii="Arial" w:hAnsi="Arial" w:cs="Arial"/>
          <w:sz w:val="14"/>
          <w:szCs w:val="14"/>
          <w:lang w:val="en-GB"/>
        </w:rPr>
        <w:t xml:space="preserve"> IETF RFC 3550, RTP: A Transport Protocol for Real-Time Applications.</w:t>
      </w:r>
    </w:p>
  </w:footnote>
  <w:footnote w:id="19">
    <w:p w14:paraId="35B3AA1C" w14:textId="77777777" w:rsidR="00244294" w:rsidRPr="007740FC" w:rsidRDefault="00244294" w:rsidP="00244294">
      <w:pPr>
        <w:pStyle w:val="Textonotapie"/>
        <w:spacing w:line="276" w:lineRule="auto"/>
        <w:rPr>
          <w:rFonts w:ascii="Arial" w:hAnsi="Arial" w:cs="Arial"/>
          <w:sz w:val="14"/>
          <w:szCs w:val="14"/>
          <w:lang w:val="en-GB"/>
        </w:rPr>
      </w:pPr>
      <w:r w:rsidRPr="007740FC">
        <w:rPr>
          <w:rStyle w:val="Refdenotaalpie"/>
          <w:rFonts w:cs="Arial"/>
          <w:sz w:val="14"/>
          <w:szCs w:val="14"/>
        </w:rPr>
        <w:footnoteRef/>
      </w:r>
      <w:r w:rsidRPr="007740FC">
        <w:rPr>
          <w:rFonts w:ascii="Arial" w:hAnsi="Arial" w:cs="Arial"/>
          <w:sz w:val="14"/>
          <w:szCs w:val="14"/>
          <w:lang w:val="en-GB"/>
        </w:rPr>
        <w:t xml:space="preserve"> ITU E.164, The international public telecommunication numbering plan.</w:t>
      </w:r>
    </w:p>
  </w:footnote>
  <w:footnote w:id="20">
    <w:p w14:paraId="4891BECD" w14:textId="77777777" w:rsidR="00244294" w:rsidRPr="005B358C" w:rsidRDefault="00244294" w:rsidP="00244294">
      <w:pPr>
        <w:pStyle w:val="Textonotapie"/>
        <w:spacing w:line="276" w:lineRule="auto"/>
        <w:rPr>
          <w:rFonts w:ascii="Arial" w:hAnsi="Arial" w:cs="Arial"/>
          <w:sz w:val="16"/>
          <w:szCs w:val="16"/>
          <w:lang w:val="en-GB"/>
        </w:rPr>
      </w:pPr>
      <w:r w:rsidRPr="007740FC">
        <w:rPr>
          <w:rStyle w:val="Refdenotaalpie"/>
          <w:rFonts w:cs="Arial"/>
          <w:sz w:val="14"/>
          <w:szCs w:val="14"/>
        </w:rPr>
        <w:footnoteRef/>
      </w:r>
      <w:r w:rsidRPr="007740FC">
        <w:rPr>
          <w:rFonts w:ascii="Arial" w:hAnsi="Arial" w:cs="Arial"/>
          <w:sz w:val="14"/>
          <w:szCs w:val="14"/>
          <w:lang w:val="en-GB"/>
        </w:rPr>
        <w:t xml:space="preserve"> IETF RFC 3966, The tel URI for Telephone Numbers.</w:t>
      </w:r>
    </w:p>
  </w:footnote>
  <w:footnote w:id="21">
    <w:p w14:paraId="1A519504" w14:textId="77777777" w:rsidR="00244294" w:rsidRPr="005B358C" w:rsidRDefault="00244294" w:rsidP="00244294">
      <w:pPr>
        <w:pStyle w:val="Textonotapie"/>
        <w:spacing w:line="276" w:lineRule="auto"/>
        <w:rPr>
          <w:rFonts w:ascii="Arial" w:hAnsi="Arial" w:cs="Arial"/>
          <w:sz w:val="16"/>
          <w:szCs w:val="16"/>
          <w:lang w:val="en-GB"/>
        </w:rPr>
      </w:pPr>
      <w:r w:rsidRPr="007740FC">
        <w:rPr>
          <w:rStyle w:val="Refdenotaalpie"/>
          <w:rFonts w:cs="Arial"/>
          <w:sz w:val="14"/>
          <w:szCs w:val="14"/>
        </w:rPr>
        <w:footnoteRef/>
      </w:r>
      <w:r w:rsidRPr="007740FC">
        <w:rPr>
          <w:rFonts w:ascii="Arial" w:hAnsi="Arial" w:cs="Arial"/>
          <w:sz w:val="14"/>
          <w:szCs w:val="14"/>
          <w:lang w:val="en-GB"/>
        </w:rPr>
        <w:t xml:space="preserve"> IETF RFC 4694, Number Portability Parameters for the tel URI.</w:t>
      </w:r>
    </w:p>
  </w:footnote>
  <w:footnote w:id="22">
    <w:p w14:paraId="46CE8C6D" w14:textId="77777777" w:rsidR="00244294" w:rsidRPr="007740FC" w:rsidRDefault="00244294" w:rsidP="00244294">
      <w:pPr>
        <w:pStyle w:val="Textonotapie"/>
        <w:spacing w:line="276" w:lineRule="auto"/>
        <w:rPr>
          <w:rFonts w:ascii="Arial" w:hAnsi="Arial" w:cs="Arial"/>
          <w:sz w:val="14"/>
          <w:szCs w:val="14"/>
        </w:rPr>
      </w:pPr>
      <w:r w:rsidRPr="007740FC">
        <w:rPr>
          <w:rStyle w:val="Refdenotaalpie"/>
          <w:rFonts w:cs="Arial"/>
          <w:sz w:val="14"/>
          <w:szCs w:val="14"/>
        </w:rPr>
        <w:footnoteRef/>
      </w:r>
      <w:r w:rsidRPr="007740FC">
        <w:rPr>
          <w:rFonts w:ascii="Arial" w:hAnsi="Arial" w:cs="Arial"/>
          <w:sz w:val="14"/>
          <w:szCs w:val="14"/>
        </w:rPr>
        <w:t xml:space="preserve"> Las respuestas temporales, indican que el servidor contactado está realizando una cierta acción y todavía no tiene una respuesta definitiva. </w:t>
      </w:r>
    </w:p>
  </w:footnote>
  <w:footnote w:id="23">
    <w:p w14:paraId="7CEE007E" w14:textId="77777777" w:rsidR="00244294" w:rsidRPr="007740FC" w:rsidRDefault="00244294" w:rsidP="00244294">
      <w:pPr>
        <w:pStyle w:val="Textonotapie"/>
        <w:spacing w:line="276" w:lineRule="auto"/>
        <w:rPr>
          <w:rFonts w:ascii="Arial" w:hAnsi="Arial" w:cs="Arial"/>
          <w:sz w:val="14"/>
          <w:szCs w:val="14"/>
          <w:lang w:val="en-GB"/>
        </w:rPr>
      </w:pPr>
      <w:r w:rsidRPr="007740FC">
        <w:rPr>
          <w:rStyle w:val="Refdenotaalpie"/>
          <w:rFonts w:cs="Arial"/>
          <w:sz w:val="14"/>
          <w:szCs w:val="14"/>
        </w:rPr>
        <w:footnoteRef/>
      </w:r>
      <w:r w:rsidRPr="007740FC">
        <w:rPr>
          <w:rFonts w:ascii="Arial" w:hAnsi="Arial" w:cs="Arial"/>
          <w:sz w:val="14"/>
          <w:szCs w:val="14"/>
          <w:lang w:val="en-GB"/>
        </w:rPr>
        <w:t xml:space="preserve"> IETF RFC 5359, Session Initiation Protocol Service Examples.</w:t>
      </w:r>
    </w:p>
  </w:footnote>
  <w:footnote w:id="24">
    <w:p w14:paraId="5195EC3D" w14:textId="77777777" w:rsidR="00244294" w:rsidRPr="007740FC" w:rsidRDefault="00244294" w:rsidP="00244294">
      <w:pPr>
        <w:pStyle w:val="Textonotapie"/>
        <w:spacing w:line="276" w:lineRule="auto"/>
        <w:rPr>
          <w:rFonts w:ascii="Arial" w:hAnsi="Arial" w:cs="Arial"/>
          <w:sz w:val="14"/>
          <w:szCs w:val="14"/>
          <w:lang w:val="en-GB"/>
        </w:rPr>
      </w:pPr>
      <w:r w:rsidRPr="007740FC">
        <w:rPr>
          <w:rStyle w:val="Refdenotaalpie"/>
          <w:rFonts w:cs="Arial"/>
          <w:sz w:val="14"/>
          <w:szCs w:val="14"/>
        </w:rPr>
        <w:footnoteRef/>
      </w:r>
      <w:r w:rsidRPr="007740FC">
        <w:rPr>
          <w:rFonts w:ascii="Arial" w:hAnsi="Arial" w:cs="Arial"/>
          <w:sz w:val="14"/>
          <w:szCs w:val="14"/>
          <w:lang w:val="en-GB"/>
        </w:rPr>
        <w:t xml:space="preserve"> Conforme a la recomendación 3261.  </w:t>
      </w:r>
    </w:p>
  </w:footnote>
  <w:footnote w:id="25">
    <w:p w14:paraId="7F94D3C5" w14:textId="77777777" w:rsidR="00244294" w:rsidRPr="007740FC" w:rsidRDefault="00244294" w:rsidP="00244294">
      <w:pPr>
        <w:pStyle w:val="Textonotapie"/>
        <w:spacing w:line="276" w:lineRule="auto"/>
        <w:rPr>
          <w:rFonts w:ascii="Arial" w:hAnsi="Arial" w:cs="Arial"/>
          <w:sz w:val="14"/>
          <w:szCs w:val="14"/>
          <w:lang w:val="en-GB"/>
        </w:rPr>
      </w:pPr>
      <w:r w:rsidRPr="007740FC">
        <w:rPr>
          <w:rStyle w:val="Refdenotaalpie"/>
          <w:rFonts w:cs="Arial"/>
          <w:sz w:val="14"/>
          <w:szCs w:val="14"/>
        </w:rPr>
        <w:footnoteRef/>
      </w:r>
      <w:r w:rsidRPr="007740FC">
        <w:rPr>
          <w:rFonts w:ascii="Arial" w:hAnsi="Arial" w:cs="Arial"/>
          <w:sz w:val="14"/>
          <w:szCs w:val="14"/>
          <w:lang w:val="en-GB"/>
        </w:rPr>
        <w:t xml:space="preserve"> ITU Y.1540, Internet protocol data communication service – IP packet transfer and availability performance parameters.</w:t>
      </w:r>
    </w:p>
  </w:footnote>
  <w:footnote w:id="26">
    <w:p w14:paraId="0B8D3730" w14:textId="77777777" w:rsidR="00244294" w:rsidRPr="007740FC" w:rsidRDefault="00244294" w:rsidP="00244294">
      <w:pPr>
        <w:pStyle w:val="Textonotapie"/>
        <w:spacing w:line="276" w:lineRule="auto"/>
        <w:rPr>
          <w:rFonts w:ascii="Arial" w:hAnsi="Arial" w:cs="Arial"/>
          <w:sz w:val="14"/>
          <w:szCs w:val="14"/>
          <w:lang w:val="en-GB"/>
        </w:rPr>
      </w:pPr>
      <w:r w:rsidRPr="007740FC">
        <w:rPr>
          <w:rStyle w:val="Refdenotaalpie"/>
          <w:rFonts w:cs="Arial"/>
          <w:sz w:val="14"/>
          <w:szCs w:val="14"/>
        </w:rPr>
        <w:footnoteRef/>
      </w:r>
      <w:r w:rsidRPr="007740FC">
        <w:rPr>
          <w:rFonts w:ascii="Arial" w:hAnsi="Arial" w:cs="Arial"/>
          <w:sz w:val="14"/>
          <w:szCs w:val="14"/>
          <w:lang w:val="en-GB"/>
        </w:rPr>
        <w:t xml:space="preserve"> ITU Y.1541, Network performance objectives for IP-based services.</w:t>
      </w:r>
    </w:p>
  </w:footnote>
  <w:footnote w:id="27">
    <w:p w14:paraId="438AE169" w14:textId="77777777" w:rsidR="00244294" w:rsidRPr="005B358C" w:rsidRDefault="00244294" w:rsidP="00244294">
      <w:pPr>
        <w:pStyle w:val="Textonotapie"/>
        <w:spacing w:line="276" w:lineRule="auto"/>
        <w:rPr>
          <w:rFonts w:ascii="Arial" w:hAnsi="Arial" w:cs="Arial"/>
          <w:sz w:val="16"/>
          <w:szCs w:val="16"/>
          <w:lang w:val="en-GB"/>
        </w:rPr>
      </w:pPr>
      <w:r w:rsidRPr="007740FC">
        <w:rPr>
          <w:rStyle w:val="Refdenotaalpie"/>
          <w:rFonts w:cs="Arial"/>
          <w:sz w:val="14"/>
          <w:szCs w:val="14"/>
        </w:rPr>
        <w:footnoteRef/>
      </w:r>
      <w:r w:rsidRPr="007740FC">
        <w:rPr>
          <w:rFonts w:ascii="Arial" w:hAnsi="Arial" w:cs="Arial"/>
          <w:sz w:val="14"/>
          <w:szCs w:val="14"/>
          <w:lang w:val="en-GB"/>
        </w:rPr>
        <w:t xml:space="preserve"> RFC 4594, Configuration Guidelines for DiffServ Service Classes.</w:t>
      </w:r>
    </w:p>
  </w:footnote>
  <w:footnote w:id="28">
    <w:p w14:paraId="7213FBD8" w14:textId="77777777" w:rsidR="004A3027" w:rsidRPr="005B358C" w:rsidRDefault="004A3027" w:rsidP="004A3027">
      <w:pPr>
        <w:pStyle w:val="Textonotapie"/>
        <w:spacing w:line="276" w:lineRule="auto"/>
        <w:jc w:val="both"/>
        <w:rPr>
          <w:rFonts w:ascii="Arial" w:hAnsi="Arial" w:cs="Arial"/>
          <w:sz w:val="16"/>
          <w:szCs w:val="16"/>
        </w:rPr>
      </w:pPr>
      <w:r w:rsidRPr="007740FC">
        <w:rPr>
          <w:rFonts w:ascii="Arial" w:hAnsi="Arial" w:cs="Arial"/>
          <w:sz w:val="14"/>
          <w:szCs w:val="14"/>
          <w:vertAlign w:val="superscript"/>
          <w:lang w:val="es-MX"/>
        </w:rPr>
        <w:footnoteRef/>
      </w:r>
      <w:r w:rsidRPr="007740FC">
        <w:rPr>
          <w:rFonts w:ascii="Arial" w:hAnsi="Arial" w:cs="Arial"/>
          <w:sz w:val="14"/>
          <w:szCs w:val="14"/>
          <w:lang w:val="es-MX"/>
        </w:rPr>
        <w:t xml:space="preserve"> El proceso de calibración permite acercar los resultados del modelo con los valores realmente observados a efecto de alcanzar una mayor exactitud.</w:t>
      </w:r>
    </w:p>
  </w:footnote>
  <w:footnote w:id="29">
    <w:p w14:paraId="2B61865D" w14:textId="0E20E782" w:rsidR="00BF3DF1" w:rsidRPr="0014780A" w:rsidRDefault="00BF3DF1" w:rsidP="00BF3DF1">
      <w:pPr>
        <w:pStyle w:val="Textonotapie"/>
        <w:rPr>
          <w:rFonts w:ascii="Arial" w:hAnsi="Arial" w:cs="Arial"/>
          <w:spacing w:val="-4"/>
          <w:sz w:val="14"/>
          <w:szCs w:val="14"/>
          <w:lang w:val="es-MX"/>
        </w:rPr>
      </w:pPr>
      <w:r w:rsidRPr="0014780A">
        <w:rPr>
          <w:rStyle w:val="Refdenotaalpie"/>
          <w:rFonts w:ascii="Arial" w:hAnsi="Arial" w:cs="Arial"/>
          <w:spacing w:val="-4"/>
          <w:sz w:val="14"/>
          <w:szCs w:val="14"/>
        </w:rPr>
        <w:footnoteRef/>
      </w:r>
      <w:r w:rsidRPr="0014780A">
        <w:rPr>
          <w:rFonts w:ascii="Arial" w:hAnsi="Arial" w:cs="Arial"/>
          <w:spacing w:val="-4"/>
          <w:sz w:val="14"/>
          <w:szCs w:val="14"/>
          <w:lang w:val="es-MX"/>
        </w:rPr>
        <w:t xml:space="preserve"> P.ej. el valor presente neto de la demanda – refleja el descuento de la combinación de la cuota de mercado eventual y la velocidad de adquisición de esta.</w:t>
      </w:r>
    </w:p>
  </w:footnote>
  <w:footnote w:id="30">
    <w:p w14:paraId="120DA859" w14:textId="03C9458E" w:rsidR="00606DF2" w:rsidRPr="0014780A" w:rsidRDefault="00606DF2" w:rsidP="00606DF2">
      <w:pPr>
        <w:pStyle w:val="Textonotapie"/>
        <w:rPr>
          <w:rFonts w:ascii="Arial" w:hAnsi="Arial" w:cs="Arial"/>
          <w:sz w:val="14"/>
          <w:szCs w:val="14"/>
        </w:rPr>
      </w:pPr>
      <w:r w:rsidRPr="0014780A">
        <w:rPr>
          <w:rStyle w:val="Refdenotaalpie"/>
          <w:rFonts w:ascii="Arial" w:hAnsi="Arial" w:cs="Arial"/>
          <w:sz w:val="14"/>
          <w:szCs w:val="14"/>
        </w:rPr>
        <w:footnoteRef/>
      </w:r>
      <w:r w:rsidRPr="0014780A">
        <w:rPr>
          <w:rFonts w:ascii="Arial" w:hAnsi="Arial" w:cs="Arial"/>
          <w:sz w:val="14"/>
          <w:szCs w:val="14"/>
        </w:rPr>
        <w:t xml:space="preserve"> Según GSMA, en 2022 el número de conexiones 2G suponían todavía un 6.6% del total de conexiones móviles.</w:t>
      </w:r>
    </w:p>
  </w:footnote>
  <w:footnote w:id="31">
    <w:p w14:paraId="3100272A" w14:textId="1DCB3531" w:rsidR="00606DF2" w:rsidRPr="0014780A" w:rsidRDefault="00606DF2" w:rsidP="00606DF2">
      <w:pPr>
        <w:pStyle w:val="Textonotapie"/>
        <w:rPr>
          <w:rFonts w:ascii="Arial" w:hAnsi="Arial" w:cs="Arial"/>
          <w:sz w:val="14"/>
          <w:szCs w:val="14"/>
        </w:rPr>
      </w:pPr>
      <w:r w:rsidRPr="0014780A">
        <w:rPr>
          <w:rStyle w:val="Refdenotaalpie"/>
          <w:rFonts w:ascii="Arial" w:hAnsi="Arial" w:cs="Arial"/>
          <w:sz w:val="14"/>
          <w:szCs w:val="14"/>
        </w:rPr>
        <w:footnoteRef/>
      </w:r>
      <w:r w:rsidRPr="0014780A">
        <w:rPr>
          <w:rFonts w:ascii="Arial" w:hAnsi="Arial" w:cs="Arial"/>
          <w:sz w:val="14"/>
          <w:szCs w:val="14"/>
        </w:rPr>
        <w:t xml:space="preserve"> Estrictamente hablando, en el caso del operador AT&amp;T, no se trata de VoLTE sino de una aplicación </w:t>
      </w:r>
      <w:r w:rsidRPr="0014780A">
        <w:rPr>
          <w:rFonts w:ascii="Arial" w:hAnsi="Arial" w:cs="Arial"/>
          <w:i/>
          <w:iCs/>
          <w:sz w:val="14"/>
          <w:szCs w:val="14"/>
        </w:rPr>
        <w:t>over-the-top</w:t>
      </w:r>
      <w:r w:rsidRPr="0014780A">
        <w:rPr>
          <w:rFonts w:ascii="Arial" w:hAnsi="Arial" w:cs="Arial"/>
          <w:sz w:val="14"/>
          <w:szCs w:val="14"/>
        </w:rPr>
        <w:t xml:space="preserve"> (OTT) que proporciona servicios de voz sobre la red 4G a sus usuarios.</w:t>
      </w:r>
    </w:p>
  </w:footnote>
  <w:footnote w:id="32">
    <w:p w14:paraId="6162FFB1" w14:textId="39DD6CB4" w:rsidR="00034C67" w:rsidRPr="00B176C2" w:rsidRDefault="00034C67" w:rsidP="00034C67">
      <w:pPr>
        <w:pStyle w:val="Textonotapie"/>
        <w:rPr>
          <w:rFonts w:ascii="Arial" w:hAnsi="Arial" w:cs="Arial"/>
          <w:sz w:val="14"/>
          <w:szCs w:val="14"/>
        </w:rPr>
      </w:pPr>
      <w:r w:rsidRPr="00B176C2">
        <w:rPr>
          <w:rStyle w:val="Refdenotaalpie"/>
          <w:rFonts w:ascii="Arial" w:hAnsi="Arial" w:cs="Arial"/>
          <w:sz w:val="14"/>
          <w:szCs w:val="14"/>
        </w:rPr>
        <w:footnoteRef/>
      </w:r>
      <w:r w:rsidRPr="00B176C2">
        <w:rPr>
          <w:rFonts w:ascii="Arial" w:hAnsi="Arial" w:cs="Arial"/>
          <w:sz w:val="14"/>
          <w:szCs w:val="14"/>
        </w:rPr>
        <w:t xml:space="preserve"> Altán, en su calidad de red mayorista, hace uso de la banda de 700 MHz, la </w:t>
      </w:r>
      <w:r w:rsidR="00C171E1" w:rsidRPr="00B176C2">
        <w:rPr>
          <w:rFonts w:ascii="Arial" w:hAnsi="Arial" w:cs="Arial"/>
          <w:sz w:val="14"/>
          <w:szCs w:val="14"/>
        </w:rPr>
        <w:t>cual,</w:t>
      </w:r>
      <w:r w:rsidRPr="00B176C2">
        <w:rPr>
          <w:rFonts w:ascii="Arial" w:hAnsi="Arial" w:cs="Arial"/>
          <w:sz w:val="14"/>
          <w:szCs w:val="14"/>
        </w:rPr>
        <w:t xml:space="preserve"> si bien se incluye en el modelo, no es parte del espectro del AEP o del CS modelado.</w:t>
      </w:r>
    </w:p>
  </w:footnote>
  <w:footnote w:id="33">
    <w:p w14:paraId="692D70EB" w14:textId="77777777" w:rsidR="004A3027" w:rsidRPr="005B358C" w:rsidRDefault="004A3027" w:rsidP="004A3027">
      <w:pPr>
        <w:pStyle w:val="Textonotapie"/>
        <w:spacing w:line="276" w:lineRule="auto"/>
        <w:rPr>
          <w:rFonts w:ascii="Arial" w:hAnsi="Arial" w:cs="Arial"/>
          <w:sz w:val="16"/>
          <w:szCs w:val="16"/>
        </w:rPr>
      </w:pPr>
      <w:r w:rsidRPr="007740FC">
        <w:rPr>
          <w:rFonts w:ascii="Arial" w:hAnsi="Arial" w:cs="Arial"/>
          <w:sz w:val="14"/>
          <w:szCs w:val="14"/>
          <w:vertAlign w:val="superscript"/>
        </w:rPr>
        <w:footnoteRef/>
      </w:r>
      <w:r w:rsidRPr="007740FC">
        <w:rPr>
          <w:rFonts w:ascii="Arial" w:hAnsi="Arial" w:cs="Arial"/>
          <w:sz w:val="14"/>
          <w:szCs w:val="14"/>
          <w:lang w:val="es-MX"/>
        </w:rPr>
        <w:t xml:space="preserve"> IRU: </w:t>
      </w:r>
      <w:r w:rsidRPr="007740FC">
        <w:rPr>
          <w:rFonts w:ascii="Arial" w:hAnsi="Arial" w:cs="Arial"/>
          <w:i/>
          <w:sz w:val="14"/>
          <w:szCs w:val="14"/>
          <w:lang w:val="es-MX"/>
        </w:rPr>
        <w:t>Indefeasible right of use</w:t>
      </w:r>
      <w:r w:rsidRPr="007740FC">
        <w:rPr>
          <w:rFonts w:ascii="Arial" w:hAnsi="Arial" w:cs="Arial"/>
          <w:sz w:val="14"/>
          <w:szCs w:val="14"/>
          <w:lang w:val="es-MX"/>
        </w:rPr>
        <w:t xml:space="preserve">, derecho de uso irrevocable. </w:t>
      </w:r>
      <w:r w:rsidRPr="007740FC">
        <w:rPr>
          <w:rFonts w:ascii="Arial" w:hAnsi="Arial" w:cs="Arial"/>
          <w:sz w:val="14"/>
          <w:szCs w:val="14"/>
        </w:rPr>
        <w:t>Se trata de un derecho de uso a largo plazo (o propiedad temporal) de una porción de la capacidad de un enlace de transmisión.</w:t>
      </w:r>
    </w:p>
  </w:footnote>
  <w:footnote w:id="34">
    <w:p w14:paraId="0F51DEE3" w14:textId="77777777" w:rsidR="004A3027" w:rsidRPr="005B358C" w:rsidRDefault="004A3027" w:rsidP="004A3027">
      <w:pPr>
        <w:pStyle w:val="Textonotapie"/>
        <w:spacing w:line="276" w:lineRule="auto"/>
        <w:jc w:val="both"/>
        <w:rPr>
          <w:rFonts w:ascii="Arial" w:hAnsi="Arial" w:cs="Arial"/>
          <w:sz w:val="16"/>
          <w:szCs w:val="16"/>
        </w:rPr>
      </w:pPr>
      <w:r w:rsidRPr="007740FC">
        <w:rPr>
          <w:rStyle w:val="Refdenotaalpie"/>
          <w:rFonts w:cs="Arial"/>
          <w:sz w:val="14"/>
          <w:szCs w:val="14"/>
        </w:rPr>
        <w:footnoteRef/>
      </w:r>
      <w:r w:rsidRPr="007740FC">
        <w:rPr>
          <w:rFonts w:ascii="Arial" w:hAnsi="Arial" w:cs="Arial"/>
          <w:sz w:val="14"/>
          <w:szCs w:val="14"/>
        </w:rPr>
        <w:t xml:space="preserve"> Un ancho de banda abundante y suficiente para todos los servicios/llamadas también puede mejorar la calidad de la llamada en el caso de que no se apliquen otros mecanismos de QoS. Sin embargo, la falta de mecanismos de QoS y un ancho de banda limitado pueden llevar a calidades en las llamadas que resulten inaceptables en las horas punta.</w:t>
      </w:r>
    </w:p>
  </w:footnote>
  <w:footnote w:id="35">
    <w:p w14:paraId="52E05313" w14:textId="77777777" w:rsidR="004A3027" w:rsidRPr="005B358C" w:rsidRDefault="004A3027" w:rsidP="004A3027">
      <w:pPr>
        <w:pStyle w:val="Textonotapie"/>
        <w:spacing w:line="276" w:lineRule="auto"/>
        <w:jc w:val="both"/>
        <w:rPr>
          <w:rFonts w:ascii="Arial" w:hAnsi="Arial" w:cs="Arial"/>
          <w:spacing w:val="-4"/>
          <w:sz w:val="16"/>
          <w:szCs w:val="16"/>
        </w:rPr>
      </w:pPr>
      <w:r w:rsidRPr="007740FC">
        <w:rPr>
          <w:rStyle w:val="Refdenotaalpie"/>
          <w:rFonts w:cs="Arial"/>
          <w:spacing w:val="-4"/>
          <w:sz w:val="14"/>
          <w:szCs w:val="14"/>
        </w:rPr>
        <w:footnoteRef/>
      </w:r>
      <w:r w:rsidRPr="007740FC">
        <w:rPr>
          <w:rFonts w:ascii="Arial" w:hAnsi="Arial" w:cs="Arial"/>
          <w:spacing w:val="-4"/>
          <w:sz w:val="14"/>
          <w:szCs w:val="14"/>
        </w:rPr>
        <w:t xml:space="preserve"> Por ejemplo, los costos actuales </w:t>
      </w:r>
      <w:r w:rsidRPr="007740FC">
        <w:rPr>
          <w:rFonts w:ascii="Arial" w:hAnsi="Arial" w:cs="Arial"/>
          <w:i/>
          <w:spacing w:val="-4"/>
          <w:sz w:val="14"/>
          <w:szCs w:val="14"/>
        </w:rPr>
        <w:t>top-down</w:t>
      </w:r>
      <w:r w:rsidRPr="007740FC">
        <w:rPr>
          <w:rFonts w:ascii="Arial" w:hAnsi="Arial" w:cs="Arial"/>
          <w:spacing w:val="-4"/>
          <w:sz w:val="14"/>
          <w:szCs w:val="14"/>
        </w:rPr>
        <w:t xml:space="preserve"> que representan operaciones de voz y datos necesitan ser divididos en costos independientes de voz relevantes y costos adicionales de datos. Las redes únicamente de voz no existen comúnmente en la realidad, lo que implica que la red modelada no puede ser comparada con ningún operador real.</w:t>
      </w:r>
    </w:p>
  </w:footnote>
  <w:footnote w:id="36">
    <w:p w14:paraId="6B6A1336" w14:textId="15D0A166" w:rsidR="004E0A74" w:rsidRPr="007417C1" w:rsidRDefault="004E0A74" w:rsidP="0067461A">
      <w:pPr>
        <w:pStyle w:val="Textonotapie"/>
        <w:rPr>
          <w:rFonts w:ascii="Arial" w:hAnsi="Arial" w:cs="Arial"/>
          <w:sz w:val="14"/>
          <w:szCs w:val="14"/>
        </w:rPr>
      </w:pPr>
      <w:r w:rsidRPr="007417C1">
        <w:rPr>
          <w:rStyle w:val="Refdenotaalpie"/>
          <w:rFonts w:ascii="Arial" w:hAnsi="Arial" w:cs="Arial"/>
          <w:sz w:val="14"/>
          <w:szCs w:val="14"/>
        </w:rPr>
        <w:footnoteRef/>
      </w:r>
      <w:r w:rsidRPr="007417C1">
        <w:rPr>
          <w:rFonts w:ascii="Arial" w:hAnsi="Arial" w:cs="Arial"/>
          <w:sz w:val="14"/>
          <w:szCs w:val="14"/>
        </w:rPr>
        <w:t xml:space="preserve"> De manera adicional, el modelo SAIB genera resultados para todos los perfiles de velocidad, calidad y simetría ofertados por el AEP.</w:t>
      </w:r>
    </w:p>
  </w:footnote>
  <w:footnote w:id="37">
    <w:p w14:paraId="02DFEAFB" w14:textId="77777777" w:rsidR="004A3027" w:rsidRPr="007740FC" w:rsidRDefault="004A3027" w:rsidP="004A3027">
      <w:pPr>
        <w:pStyle w:val="Textonotapie"/>
        <w:spacing w:line="276" w:lineRule="auto"/>
        <w:jc w:val="both"/>
        <w:rPr>
          <w:rFonts w:ascii="Arial" w:hAnsi="Arial" w:cs="Arial"/>
          <w:sz w:val="14"/>
          <w:szCs w:val="14"/>
        </w:rPr>
      </w:pPr>
      <w:r w:rsidRPr="007740FC">
        <w:rPr>
          <w:rStyle w:val="Refdenotaalpie"/>
          <w:rFonts w:cs="Arial"/>
          <w:sz w:val="14"/>
          <w:szCs w:val="14"/>
        </w:rPr>
        <w:footnoteRef/>
      </w:r>
      <w:r w:rsidRPr="007740FC">
        <w:rPr>
          <w:rFonts w:ascii="Arial" w:hAnsi="Arial" w:cs="Arial"/>
          <w:sz w:val="14"/>
          <w:szCs w:val="14"/>
        </w:rPr>
        <w:t xml:space="preserve"> Se entiende por ‘perfil’ las proporciones de llamadas desde/a varios destinos fijos y móviles, por hora del día y usos de otros servicios.</w:t>
      </w:r>
    </w:p>
  </w:footnote>
  <w:footnote w:id="38">
    <w:p w14:paraId="634641F3" w14:textId="77777777" w:rsidR="004A3027" w:rsidRPr="005B358C" w:rsidRDefault="004A3027" w:rsidP="004A3027">
      <w:pPr>
        <w:pStyle w:val="Textonotapie"/>
        <w:spacing w:line="276" w:lineRule="auto"/>
        <w:jc w:val="both"/>
        <w:rPr>
          <w:rFonts w:ascii="Arial" w:hAnsi="Arial" w:cs="Arial"/>
          <w:sz w:val="16"/>
          <w:szCs w:val="16"/>
          <w:lang w:val="es-MX"/>
        </w:rPr>
      </w:pPr>
      <w:r w:rsidRPr="007740FC">
        <w:rPr>
          <w:rStyle w:val="Refdenotaalpie"/>
          <w:rFonts w:cs="Arial"/>
          <w:sz w:val="14"/>
          <w:szCs w:val="14"/>
        </w:rPr>
        <w:footnoteRef/>
      </w:r>
      <w:r w:rsidRPr="007740FC">
        <w:rPr>
          <w:rFonts w:ascii="Arial" w:hAnsi="Arial" w:cs="Arial"/>
          <w:sz w:val="14"/>
          <w:szCs w:val="14"/>
          <w:lang w:val="es-MX"/>
        </w:rPr>
        <w:t xml:space="preserve"> Por ejemplo, se puede esperar que la proporción de llamadas originadas que son on-net, manteniendo todos los otros factores constantes, estén relacionadas con el tamaño de la base de suscriptores del operador. Claramente, a medida que cambie con el tiempo el tamaño del operador modelado, una proporción cambiante dinámicamente de tráfico tendría que ser estimada como on-net.</w:t>
      </w:r>
    </w:p>
  </w:footnote>
  <w:footnote w:id="39">
    <w:p w14:paraId="195CEBE9" w14:textId="77777777" w:rsidR="004A3027" w:rsidRPr="007740FC" w:rsidRDefault="004A3027" w:rsidP="004A3027">
      <w:pPr>
        <w:pStyle w:val="Textonotapie"/>
        <w:spacing w:line="276" w:lineRule="auto"/>
        <w:rPr>
          <w:rFonts w:ascii="Arial" w:hAnsi="Arial" w:cs="Arial"/>
          <w:sz w:val="14"/>
          <w:szCs w:val="14"/>
        </w:rPr>
      </w:pPr>
      <w:r w:rsidRPr="007740FC">
        <w:rPr>
          <w:rStyle w:val="Refdenotaalpie"/>
          <w:rFonts w:cs="Arial"/>
          <w:sz w:val="14"/>
          <w:szCs w:val="14"/>
        </w:rPr>
        <w:footnoteRef/>
      </w:r>
      <w:r w:rsidRPr="007740FC">
        <w:rPr>
          <w:rFonts w:ascii="Arial" w:hAnsi="Arial" w:cs="Arial"/>
          <w:sz w:val="14"/>
          <w:szCs w:val="14"/>
          <w:lang w:val="es-MX"/>
        </w:rPr>
        <w:t xml:space="preserve"> Entre más incrementos, más cálculos se necesitan en el modelo y más costos comunes (o agregado de costos comunes) tienen que ser distribuidos como </w:t>
      </w:r>
      <w:r w:rsidRPr="007740FC">
        <w:rPr>
          <w:rFonts w:ascii="Arial" w:hAnsi="Arial" w:cs="Arial"/>
          <w:i/>
          <w:sz w:val="14"/>
          <w:szCs w:val="14"/>
          <w:lang w:val="es-MX"/>
        </w:rPr>
        <w:t>mark-up.</w:t>
      </w:r>
    </w:p>
  </w:footnote>
  <w:footnote w:id="40">
    <w:p w14:paraId="1CD311F4" w14:textId="77777777" w:rsidR="004A3027" w:rsidRPr="007740FC" w:rsidRDefault="004A3027" w:rsidP="004A3027">
      <w:pPr>
        <w:pStyle w:val="Textonotapie"/>
        <w:spacing w:line="276" w:lineRule="auto"/>
        <w:rPr>
          <w:rFonts w:ascii="Arial" w:hAnsi="Arial" w:cs="Arial"/>
          <w:sz w:val="14"/>
          <w:szCs w:val="14"/>
          <w:lang w:val="es-MX"/>
        </w:rPr>
      </w:pPr>
      <w:r w:rsidRPr="007740FC">
        <w:rPr>
          <w:rStyle w:val="Refdenotaalpie"/>
          <w:rFonts w:cs="Arial"/>
          <w:sz w:val="14"/>
          <w:szCs w:val="14"/>
        </w:rPr>
        <w:footnoteRef/>
      </w:r>
      <w:r w:rsidRPr="007740FC">
        <w:rPr>
          <w:rFonts w:ascii="Arial" w:hAnsi="Arial" w:cs="Arial"/>
          <w:sz w:val="14"/>
          <w:szCs w:val="14"/>
          <w:lang w:val="es-MX"/>
        </w:rPr>
        <w:t xml:space="preserve"> Por las economías de escala y el mecanismo de márgenes adicionales. </w:t>
      </w:r>
    </w:p>
  </w:footnote>
  <w:footnote w:id="41">
    <w:p w14:paraId="68647BFB" w14:textId="77777777" w:rsidR="004A3027" w:rsidRPr="005B358C" w:rsidRDefault="004A3027" w:rsidP="004A3027">
      <w:pPr>
        <w:pStyle w:val="Textonotapie"/>
        <w:spacing w:line="276" w:lineRule="auto"/>
        <w:rPr>
          <w:rFonts w:ascii="Arial" w:hAnsi="Arial" w:cs="Arial"/>
          <w:sz w:val="16"/>
          <w:szCs w:val="16"/>
        </w:rPr>
      </w:pPr>
      <w:r w:rsidRPr="007740FC">
        <w:rPr>
          <w:rStyle w:val="Refdenotaalpie"/>
          <w:rFonts w:cs="Arial"/>
          <w:sz w:val="14"/>
          <w:szCs w:val="14"/>
        </w:rPr>
        <w:footnoteRef/>
      </w:r>
      <w:r w:rsidRPr="007740FC">
        <w:rPr>
          <w:rFonts w:ascii="Arial" w:hAnsi="Arial" w:cs="Arial"/>
          <w:sz w:val="14"/>
          <w:szCs w:val="14"/>
        </w:rPr>
        <w:t xml:space="preserve"> </w:t>
      </w:r>
      <w:r w:rsidRPr="007740FC">
        <w:rPr>
          <w:rFonts w:ascii="Arial" w:hAnsi="Arial" w:cs="Arial"/>
          <w:sz w:val="14"/>
          <w:szCs w:val="14"/>
          <w:lang w:val="es-MX"/>
        </w:rPr>
        <w:t>Se refiere a una vertiente de la metodología de costos incrementales promedio de largo plazo. Específicamente se refiere a los costos incrementales promedio de largo plazo que incorporan costos comunes y compartidos.</w:t>
      </w:r>
    </w:p>
  </w:footnote>
  <w:footnote w:id="42">
    <w:p w14:paraId="71F52AD1" w14:textId="77777777" w:rsidR="004A3027" w:rsidRPr="005B358C" w:rsidRDefault="004A3027" w:rsidP="004A3027">
      <w:pPr>
        <w:pStyle w:val="Textonotapie"/>
        <w:spacing w:line="276" w:lineRule="auto"/>
        <w:rPr>
          <w:rFonts w:ascii="Arial" w:hAnsi="Arial" w:cs="Arial"/>
          <w:sz w:val="16"/>
          <w:szCs w:val="16"/>
          <w:lang w:val="es-MX"/>
        </w:rPr>
      </w:pPr>
      <w:r w:rsidRPr="007740FC">
        <w:rPr>
          <w:rStyle w:val="Refdenotaalpie"/>
          <w:rFonts w:cs="Arial"/>
          <w:sz w:val="14"/>
          <w:szCs w:val="14"/>
        </w:rPr>
        <w:footnoteRef/>
      </w:r>
      <w:r w:rsidRPr="007740FC">
        <w:rPr>
          <w:rFonts w:ascii="Arial" w:hAnsi="Arial" w:cs="Arial"/>
          <w:sz w:val="14"/>
          <w:szCs w:val="14"/>
        </w:rPr>
        <w:t xml:space="preserve"> Ver por ejemplo datos de ingresos de</w:t>
      </w:r>
      <w:r w:rsidRPr="007740FC">
        <w:rPr>
          <w:rFonts w:ascii="Arial" w:hAnsi="Arial" w:cs="Arial"/>
          <w:color w:val="1A1A1A"/>
          <w:sz w:val="14"/>
          <w:szCs w:val="14"/>
        </w:rPr>
        <w:t xml:space="preserve"> OVUM, Forecasts Mobile Services Revenues. 24 de julio de 2017</w:t>
      </w:r>
    </w:p>
  </w:footnote>
  <w:footnote w:id="43">
    <w:p w14:paraId="65787D93" w14:textId="77777777" w:rsidR="004A3027" w:rsidRPr="007740FC" w:rsidRDefault="004A3027" w:rsidP="004A3027">
      <w:pPr>
        <w:pStyle w:val="Textonotapie"/>
        <w:spacing w:line="276" w:lineRule="auto"/>
        <w:rPr>
          <w:rFonts w:ascii="Arial" w:hAnsi="Arial" w:cs="Arial"/>
          <w:sz w:val="14"/>
          <w:szCs w:val="14"/>
          <w:lang w:val="es-MX"/>
        </w:rPr>
      </w:pPr>
      <w:r w:rsidRPr="007740FC">
        <w:rPr>
          <w:rStyle w:val="Refdenotaalpie"/>
          <w:rFonts w:cs="Arial"/>
          <w:sz w:val="14"/>
          <w:szCs w:val="14"/>
        </w:rPr>
        <w:footnoteRef/>
      </w:r>
      <w:r w:rsidRPr="007740FC">
        <w:rPr>
          <w:rFonts w:ascii="Arial" w:hAnsi="Arial" w:cs="Arial"/>
          <w:sz w:val="14"/>
          <w:szCs w:val="14"/>
        </w:rPr>
        <w:t xml:space="preserve"> Ver por ejemplo datos de ingresos de</w:t>
      </w:r>
      <w:r w:rsidRPr="007740FC">
        <w:rPr>
          <w:rFonts w:ascii="Arial" w:hAnsi="Arial" w:cs="Arial"/>
          <w:color w:val="1A1A1A"/>
          <w:sz w:val="14"/>
          <w:szCs w:val="14"/>
        </w:rPr>
        <w:t xml:space="preserve"> OVUM, Forecasts Mobile Services Revenues. 24 de julio de 2017</w:t>
      </w:r>
    </w:p>
    <w:p w14:paraId="5A764EBC" w14:textId="77777777" w:rsidR="004A3027" w:rsidRPr="005B358C" w:rsidRDefault="004A3027" w:rsidP="004A3027">
      <w:pPr>
        <w:pStyle w:val="Textonotapie"/>
        <w:spacing w:line="276" w:lineRule="auto"/>
        <w:rPr>
          <w:rFonts w:ascii="Arial" w:hAnsi="Arial" w:cs="Arial"/>
          <w:sz w:val="16"/>
          <w:szCs w:val="16"/>
          <w:lang w:val="es-MX"/>
        </w:rPr>
      </w:pPr>
    </w:p>
  </w:footnote>
  <w:footnote w:id="44">
    <w:p w14:paraId="2867A14A" w14:textId="77777777" w:rsidR="004A3027" w:rsidRPr="005B358C" w:rsidRDefault="004A3027" w:rsidP="004A3027">
      <w:pPr>
        <w:pStyle w:val="Textonotapie"/>
        <w:spacing w:line="276" w:lineRule="auto"/>
        <w:jc w:val="both"/>
        <w:rPr>
          <w:rFonts w:ascii="Arial" w:hAnsi="Arial" w:cs="Arial"/>
          <w:sz w:val="16"/>
          <w:szCs w:val="16"/>
          <w:lang w:val="es-MX"/>
        </w:rPr>
      </w:pPr>
      <w:r w:rsidRPr="007740FC">
        <w:rPr>
          <w:rStyle w:val="Refdenotaalpie"/>
          <w:rFonts w:cs="Arial"/>
          <w:sz w:val="14"/>
          <w:szCs w:val="14"/>
        </w:rPr>
        <w:footnoteRef/>
      </w:r>
      <w:r w:rsidRPr="007740FC">
        <w:rPr>
          <w:rFonts w:ascii="Arial" w:hAnsi="Arial" w:cs="Arial"/>
          <w:sz w:val="14"/>
          <w:szCs w:val="14"/>
        </w:rPr>
        <w:t xml:space="preserve"> </w:t>
      </w:r>
      <w:r w:rsidRPr="007740FC">
        <w:rPr>
          <w:rFonts w:ascii="Arial" w:hAnsi="Arial" w:cs="Arial"/>
          <w:sz w:val="14"/>
          <w:szCs w:val="14"/>
          <w:lang w:val="es-MX"/>
        </w:rPr>
        <w:t>Espacio funcional utilizado = espacio o sala dedicado a un operador, más cuota de espacio para usos comunes (sala subestación eléctrica, sala planta de emergencia, sala baterías, sala aire acondicionado, sala de control, espacio para overheads).</w:t>
      </w:r>
    </w:p>
  </w:footnote>
  <w:footnote w:id="45">
    <w:p w14:paraId="2AA3518D" w14:textId="77777777" w:rsidR="004A3027" w:rsidRPr="005B358C" w:rsidRDefault="004A3027" w:rsidP="004A3027">
      <w:pPr>
        <w:pStyle w:val="Textonotapie"/>
        <w:spacing w:line="276" w:lineRule="auto"/>
        <w:jc w:val="both"/>
        <w:rPr>
          <w:rFonts w:ascii="Arial" w:hAnsi="Arial" w:cs="Arial"/>
          <w:sz w:val="16"/>
          <w:szCs w:val="16"/>
          <w:lang w:val="es-MX"/>
        </w:rPr>
      </w:pPr>
      <w:r w:rsidRPr="007740FC">
        <w:rPr>
          <w:rStyle w:val="Refdenotaalpie"/>
          <w:rFonts w:cs="Arial"/>
          <w:sz w:val="14"/>
          <w:szCs w:val="14"/>
        </w:rPr>
        <w:footnoteRef/>
      </w:r>
      <w:r w:rsidRPr="007740FC">
        <w:rPr>
          <w:rFonts w:ascii="Arial" w:hAnsi="Arial" w:cs="Arial"/>
          <w:sz w:val="14"/>
          <w:szCs w:val="14"/>
        </w:rPr>
        <w:t xml:space="preserve"> </w:t>
      </w:r>
      <w:r w:rsidRPr="007740FC">
        <w:rPr>
          <w:rFonts w:ascii="Arial" w:hAnsi="Arial" w:cs="Arial"/>
          <w:sz w:val="14"/>
          <w:szCs w:val="14"/>
          <w:lang w:val="es-MX"/>
        </w:rPr>
        <w:t>El suministro de aire acondicionado necesario para mantener las condiciones ambientales para la correcta operación de los equipos.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65B94" w14:textId="7F0990F9" w:rsidR="00D14868" w:rsidRPr="0001576F" w:rsidRDefault="009A73AF">
    <w:pPr>
      <w:pStyle w:val="Encabezado"/>
      <w:rPr>
        <w:lang w:val="es-ES"/>
      </w:rPr>
    </w:pPr>
    <w:r>
      <w:rPr>
        <w:noProof/>
      </w:rPr>
      <w:pict w14:anchorId="2EAF00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58547" o:spid="_x0000_s2050" type="#_x0000_t136" style="position:absolute;margin-left:0;margin-top:0;width:527.45pt;height:131.85pt;rotation:315;z-index:-251655168;mso-position-horizontal:center;mso-position-horizontal-relative:margin;mso-position-vertical:center;mso-position-vertical-relative:margin" o:allowincell="f" fillcolor="silver" stroked="f">
          <v:fill opacity=".5"/>
          <v:textpath style="font-family:&quot;Calibri Light&quot;;font-size:1pt" string="Anteproyecto"/>
        </v:shape>
      </w:pict>
    </w:r>
    <w:r w:rsidR="00D14868">
      <w:rPr>
        <w:rStyle w:val="Nmerodepgina"/>
      </w:rPr>
      <w:fldChar w:fldCharType="begin"/>
    </w:r>
    <w:r w:rsidR="00D14868" w:rsidRPr="0001576F">
      <w:rPr>
        <w:rStyle w:val="Nmerodepgina"/>
        <w:lang w:val="es-ES"/>
      </w:rPr>
      <w:instrText xml:space="preserve"> PAGE </w:instrText>
    </w:r>
    <w:r w:rsidR="00D14868">
      <w:rPr>
        <w:rStyle w:val="Nmerodepgina"/>
      </w:rPr>
      <w:fldChar w:fldCharType="separate"/>
    </w:r>
    <w:r w:rsidR="00D14868" w:rsidRPr="0001576F">
      <w:rPr>
        <w:rStyle w:val="Nmerodepgina"/>
        <w:noProof/>
        <w:lang w:val="es-ES"/>
      </w:rPr>
      <w:t>60</w:t>
    </w:r>
    <w:r w:rsidR="00D14868">
      <w:rPr>
        <w:rStyle w:val="Nmerodepgina"/>
      </w:rPr>
      <w:fldChar w:fldCharType="end"/>
    </w:r>
    <w:r w:rsidR="00D14868" w:rsidRPr="0001576F">
      <w:rPr>
        <w:rStyle w:val="Nmerodepgina"/>
        <w:lang w:val="es-ES"/>
      </w:rPr>
      <w:t xml:space="preserve">  |  </w:t>
    </w:r>
    <w:r w:rsidR="00D14868">
      <w:fldChar w:fldCharType="begin"/>
    </w:r>
    <w:r w:rsidR="00D14868" w:rsidRPr="0001576F">
      <w:rPr>
        <w:lang w:val="es-ES"/>
      </w:rPr>
      <w:instrText xml:space="preserve"> STYLEREF “Title: Main” </w:instrText>
    </w:r>
    <w:r w:rsidR="00D14868">
      <w:fldChar w:fldCharType="separate"/>
    </w:r>
    <w:r w:rsidR="00BD04A6">
      <w:rPr>
        <w:b/>
        <w:bCs/>
        <w:noProof/>
        <w:lang w:val="es-ES"/>
      </w:rPr>
      <w:t>¡Error! No hay texto con el estilo especificado en el documento.</w:t>
    </w:r>
    <w:r w:rsidR="00D14868">
      <w:rPr>
        <w:noProof/>
      </w:rPr>
      <w:fldChar w:fldCharType="end"/>
    </w:r>
    <w:r w:rsidR="00D14868" w:rsidRPr="0001576F">
      <w:rPr>
        <w:lang w:val="es-E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B8A8C" w14:textId="02312B0A" w:rsidR="009A73AF" w:rsidRDefault="009A73AF">
    <w:pPr>
      <w:pStyle w:val="Encabezado"/>
    </w:pPr>
    <w:r>
      <w:rPr>
        <w:noProof/>
      </w:rPr>
      <w:pict w14:anchorId="72E2CF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58548" o:spid="_x0000_s2051" type="#_x0000_t136" style="position:absolute;margin-left:0;margin-top:0;width:527.45pt;height:131.85pt;rotation:315;z-index:-251653120;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BE315" w14:textId="419EF8CD" w:rsidR="00D14868" w:rsidRDefault="009A73AF">
    <w:pPr>
      <w:pStyle w:val="Encabezado"/>
      <w:ind w:right="-510"/>
    </w:pPr>
    <w:r>
      <w:rPr>
        <w:noProof/>
      </w:rPr>
      <w:pict w14:anchorId="24112A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58546" o:spid="_x0000_s2049" type="#_x0000_t136" style="position:absolute;margin-left:0;margin-top:0;width:527.45pt;height:131.85pt;rotation:315;z-index:-251657216;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4224F6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2C14B1C"/>
    <w:multiLevelType w:val="hybridMultilevel"/>
    <w:tmpl w:val="8EEC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1A329C"/>
    <w:multiLevelType w:val="hybridMultilevel"/>
    <w:tmpl w:val="E7EAA4E0"/>
    <w:lvl w:ilvl="0" w:tplc="978E9CFE">
      <w:start w:val="1"/>
      <w:numFmt w:val="decimal"/>
      <w:pStyle w:val="TITULOCAP"/>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3CE2BFF"/>
    <w:multiLevelType w:val="hybridMultilevel"/>
    <w:tmpl w:val="2AAC8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4BF41D2"/>
    <w:multiLevelType w:val="hybridMultilevel"/>
    <w:tmpl w:val="B75A6932"/>
    <w:lvl w:ilvl="0" w:tplc="080A0001">
      <w:start w:val="1"/>
      <w:numFmt w:val="bullet"/>
      <w:lvlText w:val=""/>
      <w:lvlJc w:val="left"/>
      <w:pPr>
        <w:ind w:left="927" w:hanging="360"/>
      </w:pPr>
      <w:rPr>
        <w:rFonts w:ascii="Symbol" w:hAnsi="Symbol" w:hint="default"/>
      </w:rPr>
    </w:lvl>
    <w:lvl w:ilvl="1" w:tplc="080A0003">
      <w:start w:val="1"/>
      <w:numFmt w:val="bullet"/>
      <w:lvlText w:val="o"/>
      <w:lvlJc w:val="left"/>
      <w:pPr>
        <w:ind w:left="1647" w:hanging="360"/>
      </w:pPr>
      <w:rPr>
        <w:rFonts w:ascii="Courier New" w:hAnsi="Courier New" w:cs="Courier New" w:hint="default"/>
      </w:rPr>
    </w:lvl>
    <w:lvl w:ilvl="2" w:tplc="080A0005">
      <w:start w:val="1"/>
      <w:numFmt w:val="bullet"/>
      <w:lvlText w:val=""/>
      <w:lvlJc w:val="left"/>
      <w:pPr>
        <w:ind w:left="2367" w:hanging="360"/>
      </w:pPr>
      <w:rPr>
        <w:rFonts w:ascii="Wingdings" w:hAnsi="Wingdings" w:hint="default"/>
      </w:rPr>
    </w:lvl>
    <w:lvl w:ilvl="3" w:tplc="080A0001">
      <w:start w:val="1"/>
      <w:numFmt w:val="bullet"/>
      <w:lvlText w:val=""/>
      <w:lvlJc w:val="left"/>
      <w:pPr>
        <w:ind w:left="3087" w:hanging="360"/>
      </w:pPr>
      <w:rPr>
        <w:rFonts w:ascii="Symbol" w:hAnsi="Symbol" w:hint="default"/>
      </w:rPr>
    </w:lvl>
    <w:lvl w:ilvl="4" w:tplc="080A0003">
      <w:start w:val="1"/>
      <w:numFmt w:val="bullet"/>
      <w:lvlText w:val="o"/>
      <w:lvlJc w:val="left"/>
      <w:pPr>
        <w:ind w:left="3807" w:hanging="360"/>
      </w:pPr>
      <w:rPr>
        <w:rFonts w:ascii="Courier New" w:hAnsi="Courier New" w:cs="Courier New" w:hint="default"/>
      </w:rPr>
    </w:lvl>
    <w:lvl w:ilvl="5" w:tplc="080A0005">
      <w:start w:val="1"/>
      <w:numFmt w:val="bullet"/>
      <w:lvlText w:val=""/>
      <w:lvlJc w:val="left"/>
      <w:pPr>
        <w:ind w:left="4527" w:hanging="360"/>
      </w:pPr>
      <w:rPr>
        <w:rFonts w:ascii="Wingdings" w:hAnsi="Wingdings" w:hint="default"/>
      </w:rPr>
    </w:lvl>
    <w:lvl w:ilvl="6" w:tplc="080A0001">
      <w:start w:val="1"/>
      <w:numFmt w:val="bullet"/>
      <w:lvlText w:val=""/>
      <w:lvlJc w:val="left"/>
      <w:pPr>
        <w:ind w:left="5247" w:hanging="360"/>
      </w:pPr>
      <w:rPr>
        <w:rFonts w:ascii="Symbol" w:hAnsi="Symbol" w:hint="default"/>
      </w:rPr>
    </w:lvl>
    <w:lvl w:ilvl="7" w:tplc="080A0003">
      <w:start w:val="1"/>
      <w:numFmt w:val="bullet"/>
      <w:lvlText w:val="o"/>
      <w:lvlJc w:val="left"/>
      <w:pPr>
        <w:ind w:left="5967" w:hanging="360"/>
      </w:pPr>
      <w:rPr>
        <w:rFonts w:ascii="Courier New" w:hAnsi="Courier New" w:cs="Courier New" w:hint="default"/>
      </w:rPr>
    </w:lvl>
    <w:lvl w:ilvl="8" w:tplc="080A0005">
      <w:start w:val="1"/>
      <w:numFmt w:val="bullet"/>
      <w:lvlText w:val=""/>
      <w:lvlJc w:val="left"/>
      <w:pPr>
        <w:ind w:left="6687" w:hanging="360"/>
      </w:pPr>
      <w:rPr>
        <w:rFonts w:ascii="Wingdings" w:hAnsi="Wingdings" w:hint="default"/>
      </w:rPr>
    </w:lvl>
  </w:abstractNum>
  <w:abstractNum w:abstractNumId="6" w15:restartNumberingAfterBreak="0">
    <w:nsid w:val="09024F66"/>
    <w:multiLevelType w:val="hybridMultilevel"/>
    <w:tmpl w:val="7E76E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B195F42"/>
    <w:multiLevelType w:val="hybridMultilevel"/>
    <w:tmpl w:val="3188941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A76208"/>
    <w:multiLevelType w:val="hybridMultilevel"/>
    <w:tmpl w:val="567C5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13A172E"/>
    <w:multiLevelType w:val="hybridMultilevel"/>
    <w:tmpl w:val="05C81E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833AF1"/>
    <w:multiLevelType w:val="hybridMultilevel"/>
    <w:tmpl w:val="E8FCC0DE"/>
    <w:lvl w:ilvl="0" w:tplc="080A0001">
      <w:start w:val="1"/>
      <w:numFmt w:val="bullet"/>
      <w:lvlText w:val=""/>
      <w:lvlJc w:val="left"/>
      <w:pPr>
        <w:ind w:left="720" w:hanging="360"/>
      </w:pPr>
      <w:rPr>
        <w:rFonts w:ascii="Symbol" w:hAnsi="Symbol" w:hint="default"/>
      </w:rPr>
    </w:lvl>
    <w:lvl w:ilvl="1" w:tplc="CAE0735E">
      <w:numFmt w:val="bullet"/>
      <w:lvlText w:val="–"/>
      <w:lvlJc w:val="left"/>
      <w:pPr>
        <w:ind w:left="1440" w:hanging="360"/>
      </w:pPr>
      <w:rPr>
        <w:rFonts w:ascii="Calibri" w:hAnsi="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98536F7"/>
    <w:multiLevelType w:val="singleLevel"/>
    <w:tmpl w:val="57C8FD10"/>
    <w:lvl w:ilvl="0">
      <w:start w:val="12"/>
      <w:numFmt w:val="none"/>
      <w:lvlText w:val="l)"/>
      <w:lvlJc w:val="left"/>
      <w:pPr>
        <w:tabs>
          <w:tab w:val="num" w:pos="0"/>
        </w:tabs>
        <w:ind w:left="283" w:hanging="283"/>
      </w:pPr>
      <w:rPr>
        <w:rFonts w:cs="Times New Roman" w:hint="default"/>
      </w:rPr>
    </w:lvl>
  </w:abstractNum>
  <w:abstractNum w:abstractNumId="12" w15:restartNumberingAfterBreak="0">
    <w:nsid w:val="1A362D84"/>
    <w:multiLevelType w:val="hybridMultilevel"/>
    <w:tmpl w:val="8AC4234A"/>
    <w:lvl w:ilvl="0" w:tplc="3CA842C0">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546C72"/>
    <w:multiLevelType w:val="multilevel"/>
    <w:tmpl w:val="06A2E8AE"/>
    <w:lvl w:ilvl="0">
      <w:start w:val="6"/>
      <w:numFmt w:val="decimal"/>
      <w:lvlText w:val="%1"/>
      <w:lvlJc w:val="left"/>
      <w:pPr>
        <w:ind w:left="360" w:hanging="360"/>
      </w:pPr>
      <w:rPr>
        <w:rFonts w:hint="default"/>
      </w:rPr>
    </w:lvl>
    <w:lvl w:ilvl="1">
      <w:start w:val="1"/>
      <w:numFmt w:val="decimal"/>
      <w:pStyle w:val="SUBCAP1"/>
      <w:lvlText w:val="%1.%2"/>
      <w:lvlJc w:val="left"/>
      <w:pPr>
        <w:ind w:left="360" w:hanging="360"/>
      </w:pPr>
      <w:rPr>
        <w:rFonts w:hint="default"/>
      </w:rPr>
    </w:lvl>
    <w:lvl w:ilvl="2">
      <w:start w:val="1"/>
      <w:numFmt w:val="decimal"/>
      <w:pStyle w:val="SUBCAP2"/>
      <w:lvlText w:val="%1.%2.%3"/>
      <w:lvlJc w:val="left"/>
      <w:pPr>
        <w:ind w:left="720" w:hanging="720"/>
      </w:pPr>
      <w:rPr>
        <w:rFonts w:hint="default"/>
      </w:rPr>
    </w:lvl>
    <w:lvl w:ilvl="3">
      <w:start w:val="1"/>
      <w:numFmt w:val="decimal"/>
      <w:pStyle w:val="SUBCAP3"/>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C897134"/>
    <w:multiLevelType w:val="hybridMultilevel"/>
    <w:tmpl w:val="25CAF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D29695B"/>
    <w:multiLevelType w:val="multilevel"/>
    <w:tmpl w:val="BAB8A336"/>
    <w:lvl w:ilvl="0">
      <w:start w:val="1"/>
      <w:numFmt w:val="upperLetter"/>
      <w:pStyle w:val="Annex1"/>
      <w:lvlText w:val="Anexo %1"/>
      <w:lvlJc w:val="left"/>
      <w:pPr>
        <w:tabs>
          <w:tab w:val="num" w:pos="1134"/>
        </w:tabs>
        <w:ind w:left="0" w:hanging="499"/>
      </w:pPr>
      <w:rPr>
        <w:rFonts w:ascii="Times New Roman" w:hAnsi="Times New Roman" w:hint="default"/>
        <w:b w:val="0"/>
        <w:i w:val="0"/>
        <w:sz w:val="36"/>
      </w:rPr>
    </w:lvl>
    <w:lvl w:ilvl="1">
      <w:start w:val="1"/>
      <w:numFmt w:val="decimal"/>
      <w:pStyle w:val="Annex2"/>
      <w:suff w:val="space"/>
      <w:lvlText w:val="%1.%2"/>
      <w:lvlJc w:val="left"/>
      <w:pPr>
        <w:ind w:left="0" w:hanging="499"/>
      </w:pPr>
      <w:rPr>
        <w:rFonts w:ascii="Times New Roman Bold" w:hAnsi="Times New Roman Bold" w:hint="default"/>
        <w:b/>
        <w:i w:val="0"/>
        <w:sz w:val="24"/>
      </w:rPr>
    </w:lvl>
    <w:lvl w:ilvl="2">
      <w:start w:val="1"/>
      <w:numFmt w:val="decimal"/>
      <w:pStyle w:val="Annex3"/>
      <w:suff w:val="space"/>
      <w:lvlText w:val="%1.%2.%3"/>
      <w:lvlJc w:val="left"/>
      <w:pPr>
        <w:ind w:left="0" w:hanging="499"/>
      </w:pPr>
      <w:rPr>
        <w:rFonts w:hint="default"/>
      </w:rPr>
    </w:lvl>
    <w:lvl w:ilvl="3">
      <w:start w:val="1"/>
      <w:numFmt w:val="none"/>
      <w:pStyle w:val="Annex4"/>
      <w:suff w:val="nothing"/>
      <w:lvlText w:val=""/>
      <w:lvlJc w:val="left"/>
      <w:pPr>
        <w:ind w:left="0" w:firstLine="0"/>
      </w:pPr>
      <w:rPr>
        <w:rFonts w:hint="default"/>
      </w:rPr>
    </w:lvl>
    <w:lvl w:ilvl="4">
      <w:start w:val="1"/>
      <w:numFmt w:val="lowerLetter"/>
      <w:lvlText w:val="(%5)"/>
      <w:lvlJc w:val="left"/>
      <w:pPr>
        <w:tabs>
          <w:tab w:val="num" w:pos="1134"/>
        </w:tabs>
        <w:ind w:left="0" w:hanging="499"/>
      </w:pPr>
      <w:rPr>
        <w:rFonts w:hint="default"/>
      </w:rPr>
    </w:lvl>
    <w:lvl w:ilvl="5">
      <w:start w:val="1"/>
      <w:numFmt w:val="lowerRoman"/>
      <w:lvlText w:val="(%6)"/>
      <w:lvlJc w:val="left"/>
      <w:pPr>
        <w:tabs>
          <w:tab w:val="num" w:pos="1134"/>
        </w:tabs>
        <w:ind w:left="0" w:hanging="499"/>
      </w:pPr>
      <w:rPr>
        <w:rFonts w:hint="default"/>
      </w:rPr>
    </w:lvl>
    <w:lvl w:ilvl="6">
      <w:start w:val="1"/>
      <w:numFmt w:val="decimal"/>
      <w:lvlText w:val="%7."/>
      <w:lvlJc w:val="left"/>
      <w:pPr>
        <w:tabs>
          <w:tab w:val="num" w:pos="1134"/>
        </w:tabs>
        <w:ind w:left="0" w:hanging="499"/>
      </w:pPr>
      <w:rPr>
        <w:rFonts w:hint="default"/>
      </w:rPr>
    </w:lvl>
    <w:lvl w:ilvl="7">
      <w:start w:val="1"/>
      <w:numFmt w:val="lowerLetter"/>
      <w:lvlText w:val="%8."/>
      <w:lvlJc w:val="left"/>
      <w:pPr>
        <w:tabs>
          <w:tab w:val="num" w:pos="1134"/>
        </w:tabs>
        <w:ind w:left="0" w:hanging="499"/>
      </w:pPr>
      <w:rPr>
        <w:rFonts w:hint="default"/>
      </w:rPr>
    </w:lvl>
    <w:lvl w:ilvl="8">
      <w:start w:val="1"/>
      <w:numFmt w:val="lowerRoman"/>
      <w:lvlText w:val="%9."/>
      <w:lvlJc w:val="left"/>
      <w:pPr>
        <w:tabs>
          <w:tab w:val="num" w:pos="1134"/>
        </w:tabs>
        <w:ind w:left="0" w:hanging="499"/>
      </w:pPr>
      <w:rPr>
        <w:rFonts w:hint="default"/>
      </w:rPr>
    </w:lvl>
  </w:abstractNum>
  <w:abstractNum w:abstractNumId="16" w15:restartNumberingAfterBreak="0">
    <w:nsid w:val="2164428E"/>
    <w:multiLevelType w:val="hybridMultilevel"/>
    <w:tmpl w:val="07C2E55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7" w15:restartNumberingAfterBreak="0">
    <w:nsid w:val="2417345B"/>
    <w:multiLevelType w:val="hybridMultilevel"/>
    <w:tmpl w:val="9B9AD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4407556"/>
    <w:multiLevelType w:val="hybridMultilevel"/>
    <w:tmpl w:val="60F0557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9" w15:restartNumberingAfterBreak="0">
    <w:nsid w:val="295F62AD"/>
    <w:multiLevelType w:val="hybridMultilevel"/>
    <w:tmpl w:val="8702B92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0" w15:restartNumberingAfterBreak="0">
    <w:nsid w:val="2A6102CD"/>
    <w:multiLevelType w:val="hybridMultilevel"/>
    <w:tmpl w:val="32E86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B07734D"/>
    <w:multiLevelType w:val="hybridMultilevel"/>
    <w:tmpl w:val="212E3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B580A8A"/>
    <w:multiLevelType w:val="hybridMultilevel"/>
    <w:tmpl w:val="E26E56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D24052A"/>
    <w:multiLevelType w:val="hybridMultilevel"/>
    <w:tmpl w:val="B93CA56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2D5C5AB4"/>
    <w:multiLevelType w:val="hybridMultilevel"/>
    <w:tmpl w:val="08F03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E454CC6"/>
    <w:multiLevelType w:val="multilevel"/>
    <w:tmpl w:val="FF504FB0"/>
    <w:lvl w:ilvl="0">
      <w:start w:val="1"/>
      <w:numFmt w:val="decimal"/>
      <w:pStyle w:val="Style3"/>
      <w:lvlText w:val="%1."/>
      <w:lvlJc w:val="left"/>
      <w:pPr>
        <w:ind w:left="360" w:hanging="360"/>
      </w:pPr>
      <w:rPr>
        <w:rFonts w:cs="Times New Roman" w:hint="default"/>
      </w:rPr>
    </w:lvl>
    <w:lvl w:ilvl="1">
      <w:start w:val="1"/>
      <w:numFmt w:val="decimal"/>
      <w:pStyle w:val="Style3"/>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6" w15:restartNumberingAfterBreak="0">
    <w:nsid w:val="2FC43864"/>
    <w:multiLevelType w:val="hybridMultilevel"/>
    <w:tmpl w:val="1CD2E8B4"/>
    <w:lvl w:ilvl="0" w:tplc="080A0015">
      <w:start w:val="1"/>
      <w:numFmt w:val="upperLetter"/>
      <w:pStyle w:val="ListBullet2Compact"/>
      <w:lvlText w:val="%1."/>
      <w:lvlJc w:val="left"/>
      <w:pPr>
        <w:ind w:left="540" w:hanging="360"/>
      </w:pPr>
      <w:rPr>
        <w:rFonts w:hint="default"/>
      </w:rPr>
    </w:lvl>
    <w:lvl w:ilvl="1" w:tplc="080A0019">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27" w15:restartNumberingAfterBreak="0">
    <w:nsid w:val="332F444C"/>
    <w:multiLevelType w:val="singleLevel"/>
    <w:tmpl w:val="AB0C8FEE"/>
    <w:lvl w:ilvl="0">
      <w:start w:val="1"/>
      <w:numFmt w:val="lowerLetter"/>
      <w:lvlText w:val="%1)"/>
      <w:legacy w:legacy="1" w:legacySpace="0" w:legacyIndent="283"/>
      <w:lvlJc w:val="left"/>
      <w:pPr>
        <w:ind w:left="283" w:hanging="283"/>
      </w:pPr>
      <w:rPr>
        <w:rFonts w:cs="Times New Roman"/>
      </w:rPr>
    </w:lvl>
  </w:abstractNum>
  <w:abstractNum w:abstractNumId="28" w15:restartNumberingAfterBreak="0">
    <w:nsid w:val="39745115"/>
    <w:multiLevelType w:val="hybridMultilevel"/>
    <w:tmpl w:val="43B4C7EC"/>
    <w:styleLink w:val="1ai11"/>
    <w:lvl w:ilvl="0" w:tplc="98D8080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3B0F7CBD"/>
    <w:multiLevelType w:val="hybridMultilevel"/>
    <w:tmpl w:val="582E4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B97447F"/>
    <w:multiLevelType w:val="multilevel"/>
    <w:tmpl w:val="0EA2C9E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sz w:val="22"/>
      </w:rPr>
    </w:lvl>
    <w:lvl w:ilvl="2">
      <w:start w:val="1"/>
      <w:numFmt w:val="decimal"/>
      <w:isLgl/>
      <w:lvlText w:val="%1.%2.%3"/>
      <w:lvlJc w:val="left"/>
      <w:pPr>
        <w:ind w:left="1080" w:hanging="720"/>
      </w:pPr>
      <w:rPr>
        <w:rFonts w:cs="Times New Roman" w:hint="default"/>
        <w:sz w:val="22"/>
      </w:rPr>
    </w:lvl>
    <w:lvl w:ilvl="3">
      <w:start w:val="1"/>
      <w:numFmt w:val="decimal"/>
      <w:isLgl/>
      <w:lvlText w:val="%1.%2.%3.%4"/>
      <w:lvlJc w:val="left"/>
      <w:pPr>
        <w:ind w:left="1440" w:hanging="1080"/>
      </w:pPr>
      <w:rPr>
        <w:rFonts w:cs="Times New Roman" w:hint="default"/>
        <w:sz w:val="22"/>
      </w:rPr>
    </w:lvl>
    <w:lvl w:ilvl="4">
      <w:start w:val="1"/>
      <w:numFmt w:val="decimal"/>
      <w:isLgl/>
      <w:lvlText w:val="%1.%2.%3.%4.%5"/>
      <w:lvlJc w:val="left"/>
      <w:pPr>
        <w:ind w:left="1440" w:hanging="1080"/>
      </w:pPr>
      <w:rPr>
        <w:rFonts w:cs="Times New Roman" w:hint="default"/>
        <w:sz w:val="22"/>
      </w:rPr>
    </w:lvl>
    <w:lvl w:ilvl="5">
      <w:start w:val="1"/>
      <w:numFmt w:val="decimal"/>
      <w:isLgl/>
      <w:lvlText w:val="%1.%2.%3.%4.%5.%6"/>
      <w:lvlJc w:val="left"/>
      <w:pPr>
        <w:ind w:left="1800" w:hanging="1440"/>
      </w:pPr>
      <w:rPr>
        <w:rFonts w:cs="Times New Roman" w:hint="default"/>
        <w:sz w:val="22"/>
      </w:rPr>
    </w:lvl>
    <w:lvl w:ilvl="6">
      <w:start w:val="1"/>
      <w:numFmt w:val="decimal"/>
      <w:isLgl/>
      <w:lvlText w:val="%1.%2.%3.%4.%5.%6.%7"/>
      <w:lvlJc w:val="left"/>
      <w:pPr>
        <w:ind w:left="1800" w:hanging="1440"/>
      </w:pPr>
      <w:rPr>
        <w:rFonts w:cs="Times New Roman" w:hint="default"/>
        <w:sz w:val="22"/>
      </w:rPr>
    </w:lvl>
    <w:lvl w:ilvl="7">
      <w:start w:val="1"/>
      <w:numFmt w:val="decimal"/>
      <w:isLgl/>
      <w:lvlText w:val="%1.%2.%3.%4.%5.%6.%7.%8"/>
      <w:lvlJc w:val="left"/>
      <w:pPr>
        <w:ind w:left="2160" w:hanging="1800"/>
      </w:pPr>
      <w:rPr>
        <w:rFonts w:cs="Times New Roman" w:hint="default"/>
        <w:sz w:val="22"/>
      </w:rPr>
    </w:lvl>
    <w:lvl w:ilvl="8">
      <w:start w:val="1"/>
      <w:numFmt w:val="decimal"/>
      <w:isLgl/>
      <w:lvlText w:val="%1.%2.%3.%4.%5.%6.%7.%8.%9"/>
      <w:lvlJc w:val="left"/>
      <w:pPr>
        <w:ind w:left="2160" w:hanging="1800"/>
      </w:pPr>
      <w:rPr>
        <w:rFonts w:cs="Times New Roman" w:hint="default"/>
        <w:sz w:val="22"/>
      </w:rPr>
    </w:lvl>
  </w:abstractNum>
  <w:abstractNum w:abstractNumId="31" w15:restartNumberingAfterBreak="0">
    <w:nsid w:val="3FC07CDE"/>
    <w:multiLevelType w:val="multilevel"/>
    <w:tmpl w:val="0809001D"/>
    <w:styleLink w:val="1ai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1906C56"/>
    <w:multiLevelType w:val="hybridMultilevel"/>
    <w:tmpl w:val="E1DEB502"/>
    <w:lvl w:ilvl="0" w:tplc="8C86546A">
      <w:start w:val="1"/>
      <w:numFmt w:val="bullet"/>
      <w:lvlText w:val="▪"/>
      <w:lvlJc w:val="left"/>
      <w:pPr>
        <w:tabs>
          <w:tab w:val="num" w:pos="720"/>
        </w:tabs>
        <w:ind w:left="720" w:hanging="360"/>
      </w:pPr>
      <w:rPr>
        <w:rFonts w:ascii="Calibri" w:hAnsi="Calibri" w:hint="default"/>
      </w:rPr>
    </w:lvl>
    <w:lvl w:ilvl="1" w:tplc="F8A6AB58">
      <w:numFmt w:val="bullet"/>
      <w:lvlText w:val="–"/>
      <w:lvlJc w:val="left"/>
      <w:pPr>
        <w:tabs>
          <w:tab w:val="num" w:pos="1440"/>
        </w:tabs>
        <w:ind w:left="1440" w:hanging="360"/>
      </w:pPr>
      <w:rPr>
        <w:rFonts w:ascii="Calibri" w:hAnsi="Calibri" w:hint="default"/>
      </w:rPr>
    </w:lvl>
    <w:lvl w:ilvl="2" w:tplc="FFEC8BC4" w:tentative="1">
      <w:start w:val="1"/>
      <w:numFmt w:val="bullet"/>
      <w:lvlText w:val="▪"/>
      <w:lvlJc w:val="left"/>
      <w:pPr>
        <w:tabs>
          <w:tab w:val="num" w:pos="2160"/>
        </w:tabs>
        <w:ind w:left="2160" w:hanging="360"/>
      </w:pPr>
      <w:rPr>
        <w:rFonts w:ascii="Calibri" w:hAnsi="Calibri" w:hint="default"/>
      </w:rPr>
    </w:lvl>
    <w:lvl w:ilvl="3" w:tplc="5B566932" w:tentative="1">
      <w:start w:val="1"/>
      <w:numFmt w:val="bullet"/>
      <w:lvlText w:val="▪"/>
      <w:lvlJc w:val="left"/>
      <w:pPr>
        <w:tabs>
          <w:tab w:val="num" w:pos="2880"/>
        </w:tabs>
        <w:ind w:left="2880" w:hanging="360"/>
      </w:pPr>
      <w:rPr>
        <w:rFonts w:ascii="Calibri" w:hAnsi="Calibri" w:hint="default"/>
      </w:rPr>
    </w:lvl>
    <w:lvl w:ilvl="4" w:tplc="4504F99E" w:tentative="1">
      <w:start w:val="1"/>
      <w:numFmt w:val="bullet"/>
      <w:lvlText w:val="▪"/>
      <w:lvlJc w:val="left"/>
      <w:pPr>
        <w:tabs>
          <w:tab w:val="num" w:pos="3600"/>
        </w:tabs>
        <w:ind w:left="3600" w:hanging="360"/>
      </w:pPr>
      <w:rPr>
        <w:rFonts w:ascii="Calibri" w:hAnsi="Calibri" w:hint="default"/>
      </w:rPr>
    </w:lvl>
    <w:lvl w:ilvl="5" w:tplc="E812B80C" w:tentative="1">
      <w:start w:val="1"/>
      <w:numFmt w:val="bullet"/>
      <w:lvlText w:val="▪"/>
      <w:lvlJc w:val="left"/>
      <w:pPr>
        <w:tabs>
          <w:tab w:val="num" w:pos="4320"/>
        </w:tabs>
        <w:ind w:left="4320" w:hanging="360"/>
      </w:pPr>
      <w:rPr>
        <w:rFonts w:ascii="Calibri" w:hAnsi="Calibri" w:hint="default"/>
      </w:rPr>
    </w:lvl>
    <w:lvl w:ilvl="6" w:tplc="49C80C9A" w:tentative="1">
      <w:start w:val="1"/>
      <w:numFmt w:val="bullet"/>
      <w:lvlText w:val="▪"/>
      <w:lvlJc w:val="left"/>
      <w:pPr>
        <w:tabs>
          <w:tab w:val="num" w:pos="5040"/>
        </w:tabs>
        <w:ind w:left="5040" w:hanging="360"/>
      </w:pPr>
      <w:rPr>
        <w:rFonts w:ascii="Calibri" w:hAnsi="Calibri" w:hint="default"/>
      </w:rPr>
    </w:lvl>
    <w:lvl w:ilvl="7" w:tplc="C54445CE" w:tentative="1">
      <w:start w:val="1"/>
      <w:numFmt w:val="bullet"/>
      <w:lvlText w:val="▪"/>
      <w:lvlJc w:val="left"/>
      <w:pPr>
        <w:tabs>
          <w:tab w:val="num" w:pos="5760"/>
        </w:tabs>
        <w:ind w:left="5760" w:hanging="360"/>
      </w:pPr>
      <w:rPr>
        <w:rFonts w:ascii="Calibri" w:hAnsi="Calibri" w:hint="default"/>
      </w:rPr>
    </w:lvl>
    <w:lvl w:ilvl="8" w:tplc="7504B9C6" w:tentative="1">
      <w:start w:val="1"/>
      <w:numFmt w:val="bullet"/>
      <w:lvlText w:val="▪"/>
      <w:lvlJc w:val="left"/>
      <w:pPr>
        <w:tabs>
          <w:tab w:val="num" w:pos="6480"/>
        </w:tabs>
        <w:ind w:left="6480" w:hanging="360"/>
      </w:pPr>
      <w:rPr>
        <w:rFonts w:ascii="Calibri" w:hAnsi="Calibri" w:hint="default"/>
      </w:rPr>
    </w:lvl>
  </w:abstractNum>
  <w:abstractNum w:abstractNumId="33" w15:restartNumberingAfterBreak="0">
    <w:nsid w:val="41AF206A"/>
    <w:multiLevelType w:val="hybridMultilevel"/>
    <w:tmpl w:val="797855BE"/>
    <w:lvl w:ilvl="0" w:tplc="78C0DA0C">
      <w:start w:val="1"/>
      <w:numFmt w:val="bullet"/>
      <w:pStyle w:val="I1"/>
      <w:lvlText w:val=""/>
      <w:lvlJc w:val="left"/>
      <w:pPr>
        <w:tabs>
          <w:tab w:val="num" w:pos="1021"/>
        </w:tabs>
        <w:ind w:left="1021" w:hanging="45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7B702CF"/>
    <w:multiLevelType w:val="hybridMultilevel"/>
    <w:tmpl w:val="AD4CE486"/>
    <w:lvl w:ilvl="0" w:tplc="068C8A3C">
      <w:start w:val="16"/>
      <w:numFmt w:val="bullet"/>
      <w:lvlText w:val="-"/>
      <w:lvlJc w:val="left"/>
      <w:pPr>
        <w:ind w:left="720" w:hanging="360"/>
      </w:pPr>
      <w:rPr>
        <w:rFonts w:ascii="ITC Avant Garde" w:eastAsia="Times New Roman" w:hAnsi="ITC Avant Garde"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32B52B5"/>
    <w:multiLevelType w:val="hybridMultilevel"/>
    <w:tmpl w:val="7C624D0E"/>
    <w:lvl w:ilvl="0" w:tplc="3182D94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6" w15:restartNumberingAfterBreak="0">
    <w:nsid w:val="542C509F"/>
    <w:multiLevelType w:val="hybridMultilevel"/>
    <w:tmpl w:val="04405BEC"/>
    <w:lvl w:ilvl="0" w:tplc="D5FA926E">
      <w:numFmt w:val="decimal"/>
      <w:pStyle w:val="Estilo1"/>
      <w:lvlText w:val="%1."/>
      <w:lvlJc w:val="left"/>
      <w:pPr>
        <w:ind w:left="720" w:hanging="360"/>
      </w:pPr>
      <w:rPr>
        <w:rFonts w:ascii="ITC Avant Garde" w:hAnsi="ITC Avant Garde" w:cs="Times New Roman" w:hint="default"/>
        <w:sz w:val="24"/>
        <w:szCs w:val="24"/>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7" w15:restartNumberingAfterBreak="0">
    <w:nsid w:val="54E64B1D"/>
    <w:multiLevelType w:val="multilevel"/>
    <w:tmpl w:val="36E0A524"/>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56751B33"/>
    <w:multiLevelType w:val="hybridMultilevel"/>
    <w:tmpl w:val="3508D52E"/>
    <w:lvl w:ilvl="0" w:tplc="080A000F">
      <w:start w:val="1"/>
      <w:numFmt w:val="decimal"/>
      <w:pStyle w:val="L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15:restartNumberingAfterBreak="0">
    <w:nsid w:val="57B17427"/>
    <w:multiLevelType w:val="hybridMultilevel"/>
    <w:tmpl w:val="BAFAB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88772A6"/>
    <w:multiLevelType w:val="hybridMultilevel"/>
    <w:tmpl w:val="404878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9BF3C4C"/>
    <w:multiLevelType w:val="hybridMultilevel"/>
    <w:tmpl w:val="D1FEB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B1204A3"/>
    <w:multiLevelType w:val="hybridMultilevel"/>
    <w:tmpl w:val="084486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B964FA2"/>
    <w:multiLevelType w:val="hybridMultilevel"/>
    <w:tmpl w:val="84A07DE0"/>
    <w:lvl w:ilvl="0" w:tplc="080A0013">
      <w:start w:val="1"/>
      <w:numFmt w:val="upperRoman"/>
      <w:pStyle w:val="ListBulletCompact"/>
      <w:lvlText w:val="%1."/>
      <w:lvlJc w:val="right"/>
      <w:pPr>
        <w:ind w:left="2706" w:hanging="720"/>
      </w:pPr>
      <w:rPr>
        <w:rFonts w:hint="default"/>
      </w:rPr>
    </w:lvl>
    <w:lvl w:ilvl="1" w:tplc="080A0019" w:tentative="1">
      <w:start w:val="1"/>
      <w:numFmt w:val="lowerLetter"/>
      <w:lvlText w:val="%2."/>
      <w:lvlJc w:val="left"/>
      <w:pPr>
        <w:ind w:left="3066" w:hanging="360"/>
      </w:pPr>
    </w:lvl>
    <w:lvl w:ilvl="2" w:tplc="080A001B" w:tentative="1">
      <w:start w:val="1"/>
      <w:numFmt w:val="lowerRoman"/>
      <w:lvlText w:val="%3."/>
      <w:lvlJc w:val="right"/>
      <w:pPr>
        <w:ind w:left="3786" w:hanging="180"/>
      </w:pPr>
    </w:lvl>
    <w:lvl w:ilvl="3" w:tplc="080A000F" w:tentative="1">
      <w:start w:val="1"/>
      <w:numFmt w:val="decimal"/>
      <w:lvlText w:val="%4."/>
      <w:lvlJc w:val="left"/>
      <w:pPr>
        <w:ind w:left="4506" w:hanging="360"/>
      </w:pPr>
    </w:lvl>
    <w:lvl w:ilvl="4" w:tplc="080A0019" w:tentative="1">
      <w:start w:val="1"/>
      <w:numFmt w:val="lowerLetter"/>
      <w:lvlText w:val="%5."/>
      <w:lvlJc w:val="left"/>
      <w:pPr>
        <w:ind w:left="5226" w:hanging="360"/>
      </w:pPr>
    </w:lvl>
    <w:lvl w:ilvl="5" w:tplc="080A001B" w:tentative="1">
      <w:start w:val="1"/>
      <w:numFmt w:val="lowerRoman"/>
      <w:lvlText w:val="%6."/>
      <w:lvlJc w:val="right"/>
      <w:pPr>
        <w:ind w:left="5946" w:hanging="180"/>
      </w:pPr>
    </w:lvl>
    <w:lvl w:ilvl="6" w:tplc="080A000F" w:tentative="1">
      <w:start w:val="1"/>
      <w:numFmt w:val="decimal"/>
      <w:lvlText w:val="%7."/>
      <w:lvlJc w:val="left"/>
      <w:pPr>
        <w:ind w:left="6666" w:hanging="360"/>
      </w:pPr>
    </w:lvl>
    <w:lvl w:ilvl="7" w:tplc="080A0019" w:tentative="1">
      <w:start w:val="1"/>
      <w:numFmt w:val="lowerLetter"/>
      <w:lvlText w:val="%8."/>
      <w:lvlJc w:val="left"/>
      <w:pPr>
        <w:ind w:left="7386" w:hanging="360"/>
      </w:pPr>
    </w:lvl>
    <w:lvl w:ilvl="8" w:tplc="080A001B" w:tentative="1">
      <w:start w:val="1"/>
      <w:numFmt w:val="lowerRoman"/>
      <w:lvlText w:val="%9."/>
      <w:lvlJc w:val="right"/>
      <w:pPr>
        <w:ind w:left="8106" w:hanging="180"/>
      </w:pPr>
    </w:lvl>
  </w:abstractNum>
  <w:abstractNum w:abstractNumId="44" w15:restartNumberingAfterBreak="0">
    <w:nsid w:val="5B9E0539"/>
    <w:multiLevelType w:val="hybridMultilevel"/>
    <w:tmpl w:val="F306D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5CF74542"/>
    <w:multiLevelType w:val="hybridMultilevel"/>
    <w:tmpl w:val="5BD2D9A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0E61B5F"/>
    <w:multiLevelType w:val="hybridMultilevel"/>
    <w:tmpl w:val="9176F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62EA05B5"/>
    <w:multiLevelType w:val="hybridMultilevel"/>
    <w:tmpl w:val="285470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6751627C"/>
    <w:multiLevelType w:val="hybridMultilevel"/>
    <w:tmpl w:val="D3AC23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7D40AF3"/>
    <w:multiLevelType w:val="hybridMultilevel"/>
    <w:tmpl w:val="6FBE4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68C21DDB"/>
    <w:multiLevelType w:val="hybridMultilevel"/>
    <w:tmpl w:val="3D5A2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6CEC725B"/>
    <w:multiLevelType w:val="singleLevel"/>
    <w:tmpl w:val="4D365EF8"/>
    <w:lvl w:ilvl="0">
      <w:start w:val="7"/>
      <w:numFmt w:val="decimal"/>
      <w:pStyle w:val="TEXTOCONNUMERO"/>
      <w:lvlText w:val="%1."/>
      <w:lvlJc w:val="left"/>
      <w:pPr>
        <w:ind w:left="567" w:hanging="283"/>
      </w:pPr>
      <w:rPr>
        <w:rFonts w:hint="default"/>
        <w:b w:val="0"/>
      </w:rPr>
    </w:lvl>
  </w:abstractNum>
  <w:abstractNum w:abstractNumId="52" w15:restartNumberingAfterBreak="0">
    <w:nsid w:val="721B4583"/>
    <w:multiLevelType w:val="hybridMultilevel"/>
    <w:tmpl w:val="92A40680"/>
    <w:lvl w:ilvl="0" w:tplc="E0CC7ED6">
      <w:start w:val="1"/>
      <w:numFmt w:val="decimal"/>
      <w:pStyle w:val="5TitCin"/>
      <w:suff w:val="space"/>
      <w:lvlText w:val="4.2.2.1.%1."/>
      <w:lvlJc w:val="right"/>
      <w:pPr>
        <w:ind w:left="-964" w:firstLine="96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28827FE"/>
    <w:multiLevelType w:val="hybridMultilevel"/>
    <w:tmpl w:val="DB5C17C2"/>
    <w:lvl w:ilvl="0" w:tplc="CDBE849C">
      <w:start w:val="1"/>
      <w:numFmt w:val="bullet"/>
      <w:lvlText w:val="▪"/>
      <w:lvlJc w:val="left"/>
      <w:pPr>
        <w:tabs>
          <w:tab w:val="num" w:pos="720"/>
        </w:tabs>
        <w:ind w:left="720" w:hanging="360"/>
      </w:pPr>
      <w:rPr>
        <w:rFonts w:ascii="Calibri" w:hAnsi="Calibri" w:hint="default"/>
      </w:rPr>
    </w:lvl>
    <w:lvl w:ilvl="1" w:tplc="CAE0735E">
      <w:numFmt w:val="bullet"/>
      <w:lvlText w:val="–"/>
      <w:lvlJc w:val="left"/>
      <w:pPr>
        <w:tabs>
          <w:tab w:val="num" w:pos="1440"/>
        </w:tabs>
        <w:ind w:left="1440" w:hanging="360"/>
      </w:pPr>
      <w:rPr>
        <w:rFonts w:ascii="Calibri" w:hAnsi="Calibri" w:hint="default"/>
      </w:rPr>
    </w:lvl>
    <w:lvl w:ilvl="2" w:tplc="7F58B686">
      <w:numFmt w:val="bullet"/>
      <w:lvlText w:val="▪"/>
      <w:lvlJc w:val="left"/>
      <w:pPr>
        <w:tabs>
          <w:tab w:val="num" w:pos="2160"/>
        </w:tabs>
        <w:ind w:left="2160" w:hanging="360"/>
      </w:pPr>
      <w:rPr>
        <w:rFonts w:ascii="Calibri" w:hAnsi="Calibri" w:hint="default"/>
      </w:rPr>
    </w:lvl>
    <w:lvl w:ilvl="3" w:tplc="9FF295B4" w:tentative="1">
      <w:start w:val="1"/>
      <w:numFmt w:val="bullet"/>
      <w:lvlText w:val="▪"/>
      <w:lvlJc w:val="left"/>
      <w:pPr>
        <w:tabs>
          <w:tab w:val="num" w:pos="2880"/>
        </w:tabs>
        <w:ind w:left="2880" w:hanging="360"/>
      </w:pPr>
      <w:rPr>
        <w:rFonts w:ascii="Calibri" w:hAnsi="Calibri" w:hint="default"/>
      </w:rPr>
    </w:lvl>
    <w:lvl w:ilvl="4" w:tplc="A60248E8" w:tentative="1">
      <w:start w:val="1"/>
      <w:numFmt w:val="bullet"/>
      <w:lvlText w:val="▪"/>
      <w:lvlJc w:val="left"/>
      <w:pPr>
        <w:tabs>
          <w:tab w:val="num" w:pos="3600"/>
        </w:tabs>
        <w:ind w:left="3600" w:hanging="360"/>
      </w:pPr>
      <w:rPr>
        <w:rFonts w:ascii="Calibri" w:hAnsi="Calibri" w:hint="default"/>
      </w:rPr>
    </w:lvl>
    <w:lvl w:ilvl="5" w:tplc="558A14F2" w:tentative="1">
      <w:start w:val="1"/>
      <w:numFmt w:val="bullet"/>
      <w:lvlText w:val="▪"/>
      <w:lvlJc w:val="left"/>
      <w:pPr>
        <w:tabs>
          <w:tab w:val="num" w:pos="4320"/>
        </w:tabs>
        <w:ind w:left="4320" w:hanging="360"/>
      </w:pPr>
      <w:rPr>
        <w:rFonts w:ascii="Calibri" w:hAnsi="Calibri" w:hint="default"/>
      </w:rPr>
    </w:lvl>
    <w:lvl w:ilvl="6" w:tplc="D15EBD5E" w:tentative="1">
      <w:start w:val="1"/>
      <w:numFmt w:val="bullet"/>
      <w:lvlText w:val="▪"/>
      <w:lvlJc w:val="left"/>
      <w:pPr>
        <w:tabs>
          <w:tab w:val="num" w:pos="5040"/>
        </w:tabs>
        <w:ind w:left="5040" w:hanging="360"/>
      </w:pPr>
      <w:rPr>
        <w:rFonts w:ascii="Calibri" w:hAnsi="Calibri" w:hint="default"/>
      </w:rPr>
    </w:lvl>
    <w:lvl w:ilvl="7" w:tplc="5CD82EA6" w:tentative="1">
      <w:start w:val="1"/>
      <w:numFmt w:val="bullet"/>
      <w:lvlText w:val="▪"/>
      <w:lvlJc w:val="left"/>
      <w:pPr>
        <w:tabs>
          <w:tab w:val="num" w:pos="5760"/>
        </w:tabs>
        <w:ind w:left="5760" w:hanging="360"/>
      </w:pPr>
      <w:rPr>
        <w:rFonts w:ascii="Calibri" w:hAnsi="Calibri" w:hint="default"/>
      </w:rPr>
    </w:lvl>
    <w:lvl w:ilvl="8" w:tplc="FC9A6E30" w:tentative="1">
      <w:start w:val="1"/>
      <w:numFmt w:val="bullet"/>
      <w:lvlText w:val="▪"/>
      <w:lvlJc w:val="left"/>
      <w:pPr>
        <w:tabs>
          <w:tab w:val="num" w:pos="6480"/>
        </w:tabs>
        <w:ind w:left="6480" w:hanging="360"/>
      </w:pPr>
      <w:rPr>
        <w:rFonts w:ascii="Calibri" w:hAnsi="Calibri" w:hint="default"/>
      </w:rPr>
    </w:lvl>
  </w:abstractNum>
  <w:abstractNum w:abstractNumId="54" w15:restartNumberingAfterBreak="0">
    <w:nsid w:val="72FE58BD"/>
    <w:multiLevelType w:val="hybridMultilevel"/>
    <w:tmpl w:val="3904D43A"/>
    <w:lvl w:ilvl="0" w:tplc="661491D2">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66C4D7B"/>
    <w:multiLevelType w:val="hybridMultilevel"/>
    <w:tmpl w:val="3FE0F6F6"/>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56" w15:restartNumberingAfterBreak="0">
    <w:nsid w:val="77D613F0"/>
    <w:multiLevelType w:val="hybridMultilevel"/>
    <w:tmpl w:val="728E45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7"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8" w15:restartNumberingAfterBreak="0">
    <w:nsid w:val="7B345303"/>
    <w:multiLevelType w:val="hybridMultilevel"/>
    <w:tmpl w:val="B1D273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7D3E0DF8"/>
    <w:multiLevelType w:val="multilevel"/>
    <w:tmpl w:val="92D23072"/>
    <w:lvl w:ilvl="0">
      <w:start w:val="4"/>
      <w:numFmt w:val="decimal"/>
      <w:lvlText w:val="%1."/>
      <w:lvlJc w:val="left"/>
      <w:pPr>
        <w:ind w:left="360" w:hanging="360"/>
      </w:pPr>
      <w:rPr>
        <w:rFonts w:hint="default"/>
      </w:rPr>
    </w:lvl>
    <w:lvl w:ilvl="1">
      <w:start w:val="1"/>
      <w:numFmt w:val="decimal"/>
      <w:lvlText w:val="%1.%2."/>
      <w:lvlJc w:val="left"/>
      <w:pPr>
        <w:ind w:left="5678" w:hanging="432"/>
      </w:pPr>
      <w:rPr>
        <w:rFonts w:hint="default"/>
      </w:rPr>
    </w:lvl>
    <w:lvl w:ilvl="2">
      <w:start w:val="1"/>
      <w:numFmt w:val="decimal"/>
      <w:lvlText w:val="%1.%2.%3."/>
      <w:lvlJc w:val="left"/>
      <w:pPr>
        <w:ind w:left="1224" w:hanging="504"/>
      </w:pPr>
      <w:rPr>
        <w:rFonts w:hint="default"/>
      </w:rPr>
    </w:lvl>
    <w:lvl w:ilvl="3">
      <w:start w:val="1"/>
      <w:numFmt w:val="decimal"/>
      <w:pStyle w:val="4TitCuar"/>
      <w:lvlText w:val="%1.%2.%3.%4."/>
      <w:lvlJc w:val="left"/>
      <w:pPr>
        <w:ind w:left="1499" w:hanging="648"/>
      </w:pPr>
      <w:rPr>
        <w:b w:val="0"/>
        <w:bCs w:val="0"/>
        <w:i w:val="0"/>
        <w:iCs w:val="0"/>
        <w:caps w:val="0"/>
        <w:smallCaps w:val="0"/>
        <w:strike w:val="0"/>
        <w:dstrike w:val="0"/>
        <w:noProof w:val="0"/>
        <w:vanish w:val="0"/>
        <w:color w:val="000000"/>
        <w:spacing w:val="0"/>
        <w:kern w:val="0"/>
        <w:position w:val="0"/>
        <w:u w:val="none"/>
        <w:effect w:val="none"/>
        <w:vertAlign w:val="baseline"/>
        <w:em w:val="none"/>
        <w:lang w:val="es-ES_trad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6"/>
  </w:num>
  <w:num w:numId="2">
    <w:abstractNumId w:val="43"/>
  </w:num>
  <w:num w:numId="3">
    <w:abstractNumId w:val="0"/>
  </w:num>
  <w:num w:numId="4">
    <w:abstractNumId w:val="1"/>
  </w:num>
  <w:num w:numId="5">
    <w:abstractNumId w:val="33"/>
  </w:num>
  <w:num w:numId="6">
    <w:abstractNumId w:val="54"/>
  </w:num>
  <w:num w:numId="7">
    <w:abstractNumId w:val="28"/>
  </w:num>
  <w:num w:numId="8">
    <w:abstractNumId w:val="38"/>
  </w:num>
  <w:num w:numId="9">
    <w:abstractNumId w:val="15"/>
  </w:num>
  <w:num w:numId="10">
    <w:abstractNumId w:val="31"/>
  </w:num>
  <w:num w:numId="11">
    <w:abstractNumId w:val="12"/>
  </w:num>
  <w:num w:numId="12">
    <w:abstractNumId w:val="45"/>
  </w:num>
  <w:num w:numId="13">
    <w:abstractNumId w:val="16"/>
  </w:num>
  <w:num w:numId="14">
    <w:abstractNumId w:val="41"/>
  </w:num>
  <w:num w:numId="15">
    <w:abstractNumId w:val="58"/>
  </w:num>
  <w:num w:numId="16">
    <w:abstractNumId w:val="46"/>
  </w:num>
  <w:num w:numId="17">
    <w:abstractNumId w:val="21"/>
  </w:num>
  <w:num w:numId="18">
    <w:abstractNumId w:val="39"/>
  </w:num>
  <w:num w:numId="19">
    <w:abstractNumId w:val="19"/>
  </w:num>
  <w:num w:numId="20">
    <w:abstractNumId w:val="49"/>
  </w:num>
  <w:num w:numId="21">
    <w:abstractNumId w:val="50"/>
  </w:num>
  <w:num w:numId="22">
    <w:abstractNumId w:val="5"/>
  </w:num>
  <w:num w:numId="23">
    <w:abstractNumId w:val="25"/>
  </w:num>
  <w:num w:numId="24">
    <w:abstractNumId w:val="36"/>
  </w:num>
  <w:num w:numId="25">
    <w:abstractNumId w:val="35"/>
  </w:num>
  <w:num w:numId="26">
    <w:abstractNumId w:val="2"/>
  </w:num>
  <w:num w:numId="27">
    <w:abstractNumId w:val="27"/>
  </w:num>
  <w:num w:numId="28">
    <w:abstractNumId w:val="11"/>
  </w:num>
  <w:num w:numId="29">
    <w:abstractNumId w:val="11"/>
    <w:lvlOverride w:ilvl="0">
      <w:lvl w:ilvl="0">
        <w:start w:val="1"/>
        <w:numFmt w:val="lowerLetter"/>
        <w:lvlText w:val="%1)"/>
        <w:legacy w:legacy="1" w:legacySpace="0" w:legacyIndent="283"/>
        <w:lvlJc w:val="left"/>
        <w:pPr>
          <w:ind w:left="283" w:hanging="283"/>
        </w:pPr>
        <w:rPr>
          <w:rFonts w:cs="Times New Roman"/>
        </w:rPr>
      </w:lvl>
    </w:lvlOverride>
  </w:num>
  <w:num w:numId="30">
    <w:abstractNumId w:val="34"/>
  </w:num>
  <w:num w:numId="31">
    <w:abstractNumId w:val="30"/>
  </w:num>
  <w:num w:numId="32">
    <w:abstractNumId w:val="20"/>
  </w:num>
  <w:num w:numId="33">
    <w:abstractNumId w:val="8"/>
  </w:num>
  <w:num w:numId="34">
    <w:abstractNumId w:val="22"/>
  </w:num>
  <w:num w:numId="35">
    <w:abstractNumId w:val="53"/>
  </w:num>
  <w:num w:numId="36">
    <w:abstractNumId w:val="40"/>
  </w:num>
  <w:num w:numId="37">
    <w:abstractNumId w:val="10"/>
  </w:num>
  <w:num w:numId="38">
    <w:abstractNumId w:val="37"/>
  </w:num>
  <w:num w:numId="39">
    <w:abstractNumId w:val="18"/>
  </w:num>
  <w:num w:numId="40">
    <w:abstractNumId w:val="55"/>
  </w:num>
  <w:num w:numId="41">
    <w:abstractNumId w:val="44"/>
  </w:num>
  <w:num w:numId="42">
    <w:abstractNumId w:val="24"/>
  </w:num>
  <w:num w:numId="43">
    <w:abstractNumId w:val="56"/>
  </w:num>
  <w:num w:numId="44">
    <w:abstractNumId w:val="32"/>
  </w:num>
  <w:num w:numId="45">
    <w:abstractNumId w:val="57"/>
  </w:num>
  <w:num w:numId="46">
    <w:abstractNumId w:val="59"/>
  </w:num>
  <w:num w:numId="47">
    <w:abstractNumId w:val="52"/>
  </w:num>
  <w:num w:numId="48">
    <w:abstractNumId w:val="51"/>
  </w:num>
  <w:num w:numId="49">
    <w:abstractNumId w:val="3"/>
  </w:num>
  <w:num w:numId="50">
    <w:abstractNumId w:val="13"/>
  </w:num>
  <w:num w:numId="51">
    <w:abstractNumId w:val="14"/>
  </w:num>
  <w:num w:numId="52">
    <w:abstractNumId w:val="7"/>
  </w:num>
  <w:num w:numId="53">
    <w:abstractNumId w:val="48"/>
  </w:num>
  <w:num w:numId="54">
    <w:abstractNumId w:val="47"/>
  </w:num>
  <w:num w:numId="55">
    <w:abstractNumId w:val="17"/>
  </w:num>
  <w:num w:numId="56">
    <w:abstractNumId w:val="29"/>
  </w:num>
  <w:num w:numId="57">
    <w:abstractNumId w:val="9"/>
  </w:num>
  <w:num w:numId="58">
    <w:abstractNumId w:val="42"/>
  </w:num>
  <w:num w:numId="59">
    <w:abstractNumId w:val="6"/>
  </w:num>
  <w:num w:numId="60">
    <w:abstractNumId w:val="4"/>
  </w:num>
  <w:num w:numId="61">
    <w:abstractNumId w:val="2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A68"/>
    <w:rsid w:val="00000708"/>
    <w:rsid w:val="000014F1"/>
    <w:rsid w:val="00001E2E"/>
    <w:rsid w:val="00003FB6"/>
    <w:rsid w:val="00004626"/>
    <w:rsid w:val="00004893"/>
    <w:rsid w:val="00007751"/>
    <w:rsid w:val="00007E15"/>
    <w:rsid w:val="00007EB3"/>
    <w:rsid w:val="00010011"/>
    <w:rsid w:val="00010CDC"/>
    <w:rsid w:val="000128E9"/>
    <w:rsid w:val="000133C2"/>
    <w:rsid w:val="00013492"/>
    <w:rsid w:val="00013FAD"/>
    <w:rsid w:val="00014DC0"/>
    <w:rsid w:val="00015CA8"/>
    <w:rsid w:val="00016276"/>
    <w:rsid w:val="00017014"/>
    <w:rsid w:val="000230BD"/>
    <w:rsid w:val="000233D4"/>
    <w:rsid w:val="0002385A"/>
    <w:rsid w:val="00023974"/>
    <w:rsid w:val="00023B91"/>
    <w:rsid w:val="00023F75"/>
    <w:rsid w:val="00024CA8"/>
    <w:rsid w:val="0002547B"/>
    <w:rsid w:val="00026E90"/>
    <w:rsid w:val="00027E53"/>
    <w:rsid w:val="000301F5"/>
    <w:rsid w:val="00031CC3"/>
    <w:rsid w:val="00032BA1"/>
    <w:rsid w:val="00032C7F"/>
    <w:rsid w:val="00032DB7"/>
    <w:rsid w:val="0003325D"/>
    <w:rsid w:val="000336CF"/>
    <w:rsid w:val="00033BDD"/>
    <w:rsid w:val="00034C67"/>
    <w:rsid w:val="00035921"/>
    <w:rsid w:val="00035BBE"/>
    <w:rsid w:val="00036EF9"/>
    <w:rsid w:val="00037CC2"/>
    <w:rsid w:val="000410DE"/>
    <w:rsid w:val="00042AEA"/>
    <w:rsid w:val="000432D1"/>
    <w:rsid w:val="00043736"/>
    <w:rsid w:val="000440A9"/>
    <w:rsid w:val="00044822"/>
    <w:rsid w:val="00044C2A"/>
    <w:rsid w:val="00045536"/>
    <w:rsid w:val="0004563E"/>
    <w:rsid w:val="000458EA"/>
    <w:rsid w:val="00045A0A"/>
    <w:rsid w:val="00046134"/>
    <w:rsid w:val="00046442"/>
    <w:rsid w:val="00046D51"/>
    <w:rsid w:val="00046F25"/>
    <w:rsid w:val="0005025D"/>
    <w:rsid w:val="00050ED4"/>
    <w:rsid w:val="0005188B"/>
    <w:rsid w:val="00051A5A"/>
    <w:rsid w:val="00051F55"/>
    <w:rsid w:val="000523FC"/>
    <w:rsid w:val="00052487"/>
    <w:rsid w:val="0005518E"/>
    <w:rsid w:val="00055658"/>
    <w:rsid w:val="00056500"/>
    <w:rsid w:val="00057A3B"/>
    <w:rsid w:val="00057D4E"/>
    <w:rsid w:val="00061061"/>
    <w:rsid w:val="00061ED5"/>
    <w:rsid w:val="00063824"/>
    <w:rsid w:val="00064E13"/>
    <w:rsid w:val="00066A47"/>
    <w:rsid w:val="000703A5"/>
    <w:rsid w:val="00070608"/>
    <w:rsid w:val="00071383"/>
    <w:rsid w:val="00072E79"/>
    <w:rsid w:val="000744BD"/>
    <w:rsid w:val="00075EB3"/>
    <w:rsid w:val="00076603"/>
    <w:rsid w:val="00076C7F"/>
    <w:rsid w:val="0007779F"/>
    <w:rsid w:val="00077E0B"/>
    <w:rsid w:val="00080B37"/>
    <w:rsid w:val="000817B2"/>
    <w:rsid w:val="00083873"/>
    <w:rsid w:val="00084FD3"/>
    <w:rsid w:val="00087670"/>
    <w:rsid w:val="00090D34"/>
    <w:rsid w:val="00090DDA"/>
    <w:rsid w:val="0009195F"/>
    <w:rsid w:val="00091DEF"/>
    <w:rsid w:val="00091F88"/>
    <w:rsid w:val="00092AD9"/>
    <w:rsid w:val="00095E23"/>
    <w:rsid w:val="000965CF"/>
    <w:rsid w:val="00096B06"/>
    <w:rsid w:val="000975BC"/>
    <w:rsid w:val="00097CBE"/>
    <w:rsid w:val="000A2154"/>
    <w:rsid w:val="000A4173"/>
    <w:rsid w:val="000A4486"/>
    <w:rsid w:val="000A5FA1"/>
    <w:rsid w:val="000A7324"/>
    <w:rsid w:val="000A7484"/>
    <w:rsid w:val="000A77FD"/>
    <w:rsid w:val="000B0923"/>
    <w:rsid w:val="000B3525"/>
    <w:rsid w:val="000B691F"/>
    <w:rsid w:val="000B6F86"/>
    <w:rsid w:val="000B7502"/>
    <w:rsid w:val="000B7992"/>
    <w:rsid w:val="000B7AB0"/>
    <w:rsid w:val="000C0B44"/>
    <w:rsid w:val="000C0C4F"/>
    <w:rsid w:val="000C11F3"/>
    <w:rsid w:val="000C1245"/>
    <w:rsid w:val="000C16F5"/>
    <w:rsid w:val="000C338D"/>
    <w:rsid w:val="000C35F6"/>
    <w:rsid w:val="000C569F"/>
    <w:rsid w:val="000C6416"/>
    <w:rsid w:val="000D0011"/>
    <w:rsid w:val="000D1831"/>
    <w:rsid w:val="000D19FE"/>
    <w:rsid w:val="000D3357"/>
    <w:rsid w:val="000D594D"/>
    <w:rsid w:val="000D6BAE"/>
    <w:rsid w:val="000E03B4"/>
    <w:rsid w:val="000E0950"/>
    <w:rsid w:val="000E126E"/>
    <w:rsid w:val="000E1299"/>
    <w:rsid w:val="000E1EF9"/>
    <w:rsid w:val="000E2217"/>
    <w:rsid w:val="000E610F"/>
    <w:rsid w:val="000E63E8"/>
    <w:rsid w:val="000E6739"/>
    <w:rsid w:val="000E7347"/>
    <w:rsid w:val="000F0F62"/>
    <w:rsid w:val="000F1BCE"/>
    <w:rsid w:val="000F3142"/>
    <w:rsid w:val="000F350B"/>
    <w:rsid w:val="000F4CC2"/>
    <w:rsid w:val="000F5B9E"/>
    <w:rsid w:val="000F5E23"/>
    <w:rsid w:val="000F649D"/>
    <w:rsid w:val="000F64E7"/>
    <w:rsid w:val="000F765F"/>
    <w:rsid w:val="000F7C2C"/>
    <w:rsid w:val="0010078B"/>
    <w:rsid w:val="00101642"/>
    <w:rsid w:val="001029FF"/>
    <w:rsid w:val="0010301A"/>
    <w:rsid w:val="00103444"/>
    <w:rsid w:val="001036F4"/>
    <w:rsid w:val="00103A7D"/>
    <w:rsid w:val="00104854"/>
    <w:rsid w:val="001069BD"/>
    <w:rsid w:val="0010766D"/>
    <w:rsid w:val="00110426"/>
    <w:rsid w:val="00110684"/>
    <w:rsid w:val="00110F6C"/>
    <w:rsid w:val="001122DC"/>
    <w:rsid w:val="001133A2"/>
    <w:rsid w:val="001178C2"/>
    <w:rsid w:val="00117FC2"/>
    <w:rsid w:val="001208E9"/>
    <w:rsid w:val="00121EDC"/>
    <w:rsid w:val="001245B8"/>
    <w:rsid w:val="00126C1F"/>
    <w:rsid w:val="00127026"/>
    <w:rsid w:val="0012776D"/>
    <w:rsid w:val="0013113A"/>
    <w:rsid w:val="001315A8"/>
    <w:rsid w:val="00131AD0"/>
    <w:rsid w:val="001338DC"/>
    <w:rsid w:val="0013474A"/>
    <w:rsid w:val="00135650"/>
    <w:rsid w:val="00135C2E"/>
    <w:rsid w:val="001370CD"/>
    <w:rsid w:val="00137F43"/>
    <w:rsid w:val="00142348"/>
    <w:rsid w:val="001431D8"/>
    <w:rsid w:val="00143BB6"/>
    <w:rsid w:val="001461EF"/>
    <w:rsid w:val="0014681C"/>
    <w:rsid w:val="0014780A"/>
    <w:rsid w:val="0015005D"/>
    <w:rsid w:val="00150C4F"/>
    <w:rsid w:val="001510F3"/>
    <w:rsid w:val="001512E1"/>
    <w:rsid w:val="00151C68"/>
    <w:rsid w:val="00152167"/>
    <w:rsid w:val="001526AE"/>
    <w:rsid w:val="00152A1B"/>
    <w:rsid w:val="001534AF"/>
    <w:rsid w:val="00153D69"/>
    <w:rsid w:val="001552DF"/>
    <w:rsid w:val="0015676E"/>
    <w:rsid w:val="00156908"/>
    <w:rsid w:val="0015715F"/>
    <w:rsid w:val="001573FF"/>
    <w:rsid w:val="00160B53"/>
    <w:rsid w:val="00161F28"/>
    <w:rsid w:val="001626BC"/>
    <w:rsid w:val="00162F6A"/>
    <w:rsid w:val="001631ED"/>
    <w:rsid w:val="00163EEE"/>
    <w:rsid w:val="0016429D"/>
    <w:rsid w:val="001652F4"/>
    <w:rsid w:val="00166883"/>
    <w:rsid w:val="00166F18"/>
    <w:rsid w:val="0016706C"/>
    <w:rsid w:val="00167D0A"/>
    <w:rsid w:val="00172F70"/>
    <w:rsid w:val="0017317F"/>
    <w:rsid w:val="00174FD4"/>
    <w:rsid w:val="00175E0F"/>
    <w:rsid w:val="00176234"/>
    <w:rsid w:val="00176ADF"/>
    <w:rsid w:val="001777CE"/>
    <w:rsid w:val="00177C3F"/>
    <w:rsid w:val="001800EC"/>
    <w:rsid w:val="00180820"/>
    <w:rsid w:val="00183111"/>
    <w:rsid w:val="001831F9"/>
    <w:rsid w:val="0018331D"/>
    <w:rsid w:val="001834EE"/>
    <w:rsid w:val="001837EF"/>
    <w:rsid w:val="00183800"/>
    <w:rsid w:val="001839F2"/>
    <w:rsid w:val="00183EB6"/>
    <w:rsid w:val="00184E1D"/>
    <w:rsid w:val="00184EBD"/>
    <w:rsid w:val="00185457"/>
    <w:rsid w:val="001859AA"/>
    <w:rsid w:val="0018675B"/>
    <w:rsid w:val="00186782"/>
    <w:rsid w:val="00186CE2"/>
    <w:rsid w:val="00187052"/>
    <w:rsid w:val="00187A73"/>
    <w:rsid w:val="001900F8"/>
    <w:rsid w:val="001902F7"/>
    <w:rsid w:val="00190965"/>
    <w:rsid w:val="001930C0"/>
    <w:rsid w:val="001938C2"/>
    <w:rsid w:val="00193B69"/>
    <w:rsid w:val="0019506C"/>
    <w:rsid w:val="00195722"/>
    <w:rsid w:val="00195999"/>
    <w:rsid w:val="001962A2"/>
    <w:rsid w:val="00197178"/>
    <w:rsid w:val="001978BD"/>
    <w:rsid w:val="00197D58"/>
    <w:rsid w:val="001A011A"/>
    <w:rsid w:val="001A0772"/>
    <w:rsid w:val="001A0CC9"/>
    <w:rsid w:val="001A10D0"/>
    <w:rsid w:val="001A20B8"/>
    <w:rsid w:val="001A2F1E"/>
    <w:rsid w:val="001A36B0"/>
    <w:rsid w:val="001A3813"/>
    <w:rsid w:val="001A5E47"/>
    <w:rsid w:val="001A7E58"/>
    <w:rsid w:val="001B0809"/>
    <w:rsid w:val="001B0D3B"/>
    <w:rsid w:val="001B0F45"/>
    <w:rsid w:val="001B1C3A"/>
    <w:rsid w:val="001B206E"/>
    <w:rsid w:val="001B26BB"/>
    <w:rsid w:val="001B2833"/>
    <w:rsid w:val="001B2CD9"/>
    <w:rsid w:val="001B2E2C"/>
    <w:rsid w:val="001B32E8"/>
    <w:rsid w:val="001B40BA"/>
    <w:rsid w:val="001B4946"/>
    <w:rsid w:val="001B57D7"/>
    <w:rsid w:val="001B5CF9"/>
    <w:rsid w:val="001B5DF4"/>
    <w:rsid w:val="001B613C"/>
    <w:rsid w:val="001B6BEF"/>
    <w:rsid w:val="001B70D8"/>
    <w:rsid w:val="001C055B"/>
    <w:rsid w:val="001C14B4"/>
    <w:rsid w:val="001C1B89"/>
    <w:rsid w:val="001C24AB"/>
    <w:rsid w:val="001C4AC7"/>
    <w:rsid w:val="001C4BC4"/>
    <w:rsid w:val="001C54D7"/>
    <w:rsid w:val="001C5620"/>
    <w:rsid w:val="001C5F04"/>
    <w:rsid w:val="001C5F06"/>
    <w:rsid w:val="001C5F9B"/>
    <w:rsid w:val="001C60E8"/>
    <w:rsid w:val="001C6C0F"/>
    <w:rsid w:val="001C7CF2"/>
    <w:rsid w:val="001D10F5"/>
    <w:rsid w:val="001D13D7"/>
    <w:rsid w:val="001D15A4"/>
    <w:rsid w:val="001D1C11"/>
    <w:rsid w:val="001D36F5"/>
    <w:rsid w:val="001D4672"/>
    <w:rsid w:val="001D4B8B"/>
    <w:rsid w:val="001D5FED"/>
    <w:rsid w:val="001D6465"/>
    <w:rsid w:val="001D699B"/>
    <w:rsid w:val="001E00E0"/>
    <w:rsid w:val="001E1A52"/>
    <w:rsid w:val="001E4825"/>
    <w:rsid w:val="001E49F7"/>
    <w:rsid w:val="001E533C"/>
    <w:rsid w:val="001E6917"/>
    <w:rsid w:val="001F14A7"/>
    <w:rsid w:val="001F1AD9"/>
    <w:rsid w:val="001F27C8"/>
    <w:rsid w:val="001F29A8"/>
    <w:rsid w:val="001F2B73"/>
    <w:rsid w:val="001F38E4"/>
    <w:rsid w:val="001F3A85"/>
    <w:rsid w:val="001F4919"/>
    <w:rsid w:val="001F5D10"/>
    <w:rsid w:val="001F6829"/>
    <w:rsid w:val="001F6F84"/>
    <w:rsid w:val="001F7033"/>
    <w:rsid w:val="001F7872"/>
    <w:rsid w:val="00202123"/>
    <w:rsid w:val="00204340"/>
    <w:rsid w:val="002060FE"/>
    <w:rsid w:val="00206839"/>
    <w:rsid w:val="0020755F"/>
    <w:rsid w:val="00207B5B"/>
    <w:rsid w:val="00207F1B"/>
    <w:rsid w:val="00210741"/>
    <w:rsid w:val="00210F03"/>
    <w:rsid w:val="00212FC2"/>
    <w:rsid w:val="00213274"/>
    <w:rsid w:val="00220B43"/>
    <w:rsid w:val="00221699"/>
    <w:rsid w:val="00222D8F"/>
    <w:rsid w:val="00223D83"/>
    <w:rsid w:val="002256A6"/>
    <w:rsid w:val="00226335"/>
    <w:rsid w:val="0023254D"/>
    <w:rsid w:val="0023449C"/>
    <w:rsid w:val="002345E7"/>
    <w:rsid w:val="002349BC"/>
    <w:rsid w:val="00234B80"/>
    <w:rsid w:val="00234D76"/>
    <w:rsid w:val="002360D8"/>
    <w:rsid w:val="00236190"/>
    <w:rsid w:val="00241A5F"/>
    <w:rsid w:val="002430FA"/>
    <w:rsid w:val="00243CC3"/>
    <w:rsid w:val="00244294"/>
    <w:rsid w:val="002447DD"/>
    <w:rsid w:val="00244F0D"/>
    <w:rsid w:val="00246A88"/>
    <w:rsid w:val="00247584"/>
    <w:rsid w:val="002503F7"/>
    <w:rsid w:val="00251009"/>
    <w:rsid w:val="002519B0"/>
    <w:rsid w:val="00251B45"/>
    <w:rsid w:val="00252CCB"/>
    <w:rsid w:val="00253423"/>
    <w:rsid w:val="0025527F"/>
    <w:rsid w:val="00256A60"/>
    <w:rsid w:val="00257579"/>
    <w:rsid w:val="00257EA2"/>
    <w:rsid w:val="002602EA"/>
    <w:rsid w:val="00260989"/>
    <w:rsid w:val="002612B1"/>
    <w:rsid w:val="00262391"/>
    <w:rsid w:val="002632BA"/>
    <w:rsid w:val="00263C50"/>
    <w:rsid w:val="00263FDD"/>
    <w:rsid w:val="00264772"/>
    <w:rsid w:val="00265FE9"/>
    <w:rsid w:val="0026648D"/>
    <w:rsid w:val="00271358"/>
    <w:rsid w:val="00271A53"/>
    <w:rsid w:val="00271C38"/>
    <w:rsid w:val="00272153"/>
    <w:rsid w:val="00273DD0"/>
    <w:rsid w:val="00275617"/>
    <w:rsid w:val="00276A11"/>
    <w:rsid w:val="00276B24"/>
    <w:rsid w:val="00276E80"/>
    <w:rsid w:val="002773B3"/>
    <w:rsid w:val="0028014E"/>
    <w:rsid w:val="00281847"/>
    <w:rsid w:val="00281925"/>
    <w:rsid w:val="00283716"/>
    <w:rsid w:val="00284D79"/>
    <w:rsid w:val="002864DF"/>
    <w:rsid w:val="00286523"/>
    <w:rsid w:val="002868D8"/>
    <w:rsid w:val="00286C11"/>
    <w:rsid w:val="00287588"/>
    <w:rsid w:val="002901CB"/>
    <w:rsid w:val="00291D21"/>
    <w:rsid w:val="002929FE"/>
    <w:rsid w:val="00292E58"/>
    <w:rsid w:val="00293590"/>
    <w:rsid w:val="002944DC"/>
    <w:rsid w:val="002945DB"/>
    <w:rsid w:val="00294656"/>
    <w:rsid w:val="00295269"/>
    <w:rsid w:val="002954CD"/>
    <w:rsid w:val="00296975"/>
    <w:rsid w:val="00297637"/>
    <w:rsid w:val="002A067B"/>
    <w:rsid w:val="002A1355"/>
    <w:rsid w:val="002A1D69"/>
    <w:rsid w:val="002A2839"/>
    <w:rsid w:val="002A2C74"/>
    <w:rsid w:val="002A3034"/>
    <w:rsid w:val="002A35F4"/>
    <w:rsid w:val="002A46CF"/>
    <w:rsid w:val="002A5B9F"/>
    <w:rsid w:val="002A6449"/>
    <w:rsid w:val="002A6E15"/>
    <w:rsid w:val="002A7584"/>
    <w:rsid w:val="002A7926"/>
    <w:rsid w:val="002B0ADC"/>
    <w:rsid w:val="002B108A"/>
    <w:rsid w:val="002B2B8B"/>
    <w:rsid w:val="002B2F2B"/>
    <w:rsid w:val="002B330B"/>
    <w:rsid w:val="002B3AAF"/>
    <w:rsid w:val="002B4374"/>
    <w:rsid w:val="002B4872"/>
    <w:rsid w:val="002B583C"/>
    <w:rsid w:val="002C056B"/>
    <w:rsid w:val="002C09D2"/>
    <w:rsid w:val="002C0CB1"/>
    <w:rsid w:val="002C3AA2"/>
    <w:rsid w:val="002C3FAC"/>
    <w:rsid w:val="002C4B14"/>
    <w:rsid w:val="002C4CEC"/>
    <w:rsid w:val="002C6115"/>
    <w:rsid w:val="002D1EE1"/>
    <w:rsid w:val="002D3D5E"/>
    <w:rsid w:val="002D3D77"/>
    <w:rsid w:val="002D462D"/>
    <w:rsid w:val="002D4875"/>
    <w:rsid w:val="002D61BB"/>
    <w:rsid w:val="002D6971"/>
    <w:rsid w:val="002D69DD"/>
    <w:rsid w:val="002E0699"/>
    <w:rsid w:val="002E1A4B"/>
    <w:rsid w:val="002E2415"/>
    <w:rsid w:val="002E282B"/>
    <w:rsid w:val="002E48ED"/>
    <w:rsid w:val="002E4C67"/>
    <w:rsid w:val="002E591C"/>
    <w:rsid w:val="002E5CB8"/>
    <w:rsid w:val="002E6CFF"/>
    <w:rsid w:val="002E7747"/>
    <w:rsid w:val="002F0C50"/>
    <w:rsid w:val="002F0D34"/>
    <w:rsid w:val="002F0F42"/>
    <w:rsid w:val="002F1493"/>
    <w:rsid w:val="002F261C"/>
    <w:rsid w:val="002F38ED"/>
    <w:rsid w:val="002F3C79"/>
    <w:rsid w:val="002F3EEC"/>
    <w:rsid w:val="002F52DD"/>
    <w:rsid w:val="0030058B"/>
    <w:rsid w:val="003007E5"/>
    <w:rsid w:val="00300B8C"/>
    <w:rsid w:val="0030155B"/>
    <w:rsid w:val="00301B8B"/>
    <w:rsid w:val="003028D0"/>
    <w:rsid w:val="003029A3"/>
    <w:rsid w:val="00302AE0"/>
    <w:rsid w:val="00304452"/>
    <w:rsid w:val="00304603"/>
    <w:rsid w:val="00304948"/>
    <w:rsid w:val="003056A4"/>
    <w:rsid w:val="003060FC"/>
    <w:rsid w:val="00306B48"/>
    <w:rsid w:val="003116DE"/>
    <w:rsid w:val="003119E0"/>
    <w:rsid w:val="00311F8B"/>
    <w:rsid w:val="003122CB"/>
    <w:rsid w:val="003123C0"/>
    <w:rsid w:val="00312AAE"/>
    <w:rsid w:val="0031384A"/>
    <w:rsid w:val="00313B15"/>
    <w:rsid w:val="0031439F"/>
    <w:rsid w:val="003172FA"/>
    <w:rsid w:val="003224FC"/>
    <w:rsid w:val="00322E0B"/>
    <w:rsid w:val="003250DB"/>
    <w:rsid w:val="00325D58"/>
    <w:rsid w:val="00327549"/>
    <w:rsid w:val="00327D96"/>
    <w:rsid w:val="003312A7"/>
    <w:rsid w:val="003327D4"/>
    <w:rsid w:val="00333724"/>
    <w:rsid w:val="00335A5F"/>
    <w:rsid w:val="003368F4"/>
    <w:rsid w:val="00337129"/>
    <w:rsid w:val="003401CA"/>
    <w:rsid w:val="00340362"/>
    <w:rsid w:val="003413FE"/>
    <w:rsid w:val="0034195A"/>
    <w:rsid w:val="00341A05"/>
    <w:rsid w:val="00342A2F"/>
    <w:rsid w:val="00343C10"/>
    <w:rsid w:val="003443D0"/>
    <w:rsid w:val="00347023"/>
    <w:rsid w:val="003506FF"/>
    <w:rsid w:val="0035197F"/>
    <w:rsid w:val="0035208F"/>
    <w:rsid w:val="00352914"/>
    <w:rsid w:val="003562C7"/>
    <w:rsid w:val="00356BB5"/>
    <w:rsid w:val="00356DBA"/>
    <w:rsid w:val="00357147"/>
    <w:rsid w:val="00357DEE"/>
    <w:rsid w:val="00361BC6"/>
    <w:rsid w:val="00363CC3"/>
    <w:rsid w:val="00364D33"/>
    <w:rsid w:val="003652EA"/>
    <w:rsid w:val="003657EF"/>
    <w:rsid w:val="00366CA9"/>
    <w:rsid w:val="00370281"/>
    <w:rsid w:val="00371080"/>
    <w:rsid w:val="003728E9"/>
    <w:rsid w:val="003730B7"/>
    <w:rsid w:val="003738C4"/>
    <w:rsid w:val="003740F4"/>
    <w:rsid w:val="00375041"/>
    <w:rsid w:val="003755D5"/>
    <w:rsid w:val="00375DCF"/>
    <w:rsid w:val="0037670F"/>
    <w:rsid w:val="0037729E"/>
    <w:rsid w:val="00377EA8"/>
    <w:rsid w:val="00381159"/>
    <w:rsid w:val="003811CD"/>
    <w:rsid w:val="00382170"/>
    <w:rsid w:val="00383B27"/>
    <w:rsid w:val="00383DE0"/>
    <w:rsid w:val="00387174"/>
    <w:rsid w:val="00390382"/>
    <w:rsid w:val="00390CF3"/>
    <w:rsid w:val="00395240"/>
    <w:rsid w:val="00395378"/>
    <w:rsid w:val="00395831"/>
    <w:rsid w:val="00397543"/>
    <w:rsid w:val="00397D49"/>
    <w:rsid w:val="00397F28"/>
    <w:rsid w:val="003A0418"/>
    <w:rsid w:val="003A1960"/>
    <w:rsid w:val="003A1967"/>
    <w:rsid w:val="003A27B0"/>
    <w:rsid w:val="003A2923"/>
    <w:rsid w:val="003A46EE"/>
    <w:rsid w:val="003A509D"/>
    <w:rsid w:val="003A52F5"/>
    <w:rsid w:val="003A63FC"/>
    <w:rsid w:val="003A640C"/>
    <w:rsid w:val="003A6D4D"/>
    <w:rsid w:val="003A6E24"/>
    <w:rsid w:val="003A72EE"/>
    <w:rsid w:val="003A757F"/>
    <w:rsid w:val="003A7BA8"/>
    <w:rsid w:val="003B092B"/>
    <w:rsid w:val="003B1CB2"/>
    <w:rsid w:val="003B1E73"/>
    <w:rsid w:val="003B22E6"/>
    <w:rsid w:val="003B2670"/>
    <w:rsid w:val="003B40FF"/>
    <w:rsid w:val="003B467A"/>
    <w:rsid w:val="003B5057"/>
    <w:rsid w:val="003B5089"/>
    <w:rsid w:val="003B59B1"/>
    <w:rsid w:val="003B72C2"/>
    <w:rsid w:val="003C024C"/>
    <w:rsid w:val="003C031D"/>
    <w:rsid w:val="003C037C"/>
    <w:rsid w:val="003C10B8"/>
    <w:rsid w:val="003C11AA"/>
    <w:rsid w:val="003C2955"/>
    <w:rsid w:val="003C3363"/>
    <w:rsid w:val="003C3836"/>
    <w:rsid w:val="003C4284"/>
    <w:rsid w:val="003C47D0"/>
    <w:rsid w:val="003C4BD0"/>
    <w:rsid w:val="003C4C01"/>
    <w:rsid w:val="003C4ED8"/>
    <w:rsid w:val="003C574D"/>
    <w:rsid w:val="003C661F"/>
    <w:rsid w:val="003C7ECD"/>
    <w:rsid w:val="003D1720"/>
    <w:rsid w:val="003D23F8"/>
    <w:rsid w:val="003D408F"/>
    <w:rsid w:val="003D41E7"/>
    <w:rsid w:val="003D5198"/>
    <w:rsid w:val="003D5A46"/>
    <w:rsid w:val="003D6DFF"/>
    <w:rsid w:val="003D783D"/>
    <w:rsid w:val="003E21C6"/>
    <w:rsid w:val="003E2D75"/>
    <w:rsid w:val="003E2EB2"/>
    <w:rsid w:val="003E4117"/>
    <w:rsid w:val="003E6FEE"/>
    <w:rsid w:val="003E72E9"/>
    <w:rsid w:val="003E7779"/>
    <w:rsid w:val="003E7FDF"/>
    <w:rsid w:val="003F0741"/>
    <w:rsid w:val="003F0FE2"/>
    <w:rsid w:val="003F1203"/>
    <w:rsid w:val="003F16A5"/>
    <w:rsid w:val="003F1C7F"/>
    <w:rsid w:val="003F2038"/>
    <w:rsid w:val="003F2065"/>
    <w:rsid w:val="003F24C8"/>
    <w:rsid w:val="003F2651"/>
    <w:rsid w:val="003F3A5B"/>
    <w:rsid w:val="003F5082"/>
    <w:rsid w:val="003F6022"/>
    <w:rsid w:val="003F6142"/>
    <w:rsid w:val="003F6903"/>
    <w:rsid w:val="004019B3"/>
    <w:rsid w:val="00402783"/>
    <w:rsid w:val="004029A9"/>
    <w:rsid w:val="00403227"/>
    <w:rsid w:val="00404BE3"/>
    <w:rsid w:val="0040573A"/>
    <w:rsid w:val="0040702C"/>
    <w:rsid w:val="004072D1"/>
    <w:rsid w:val="0040768C"/>
    <w:rsid w:val="0041086B"/>
    <w:rsid w:val="00411E62"/>
    <w:rsid w:val="00412C49"/>
    <w:rsid w:val="00412EA3"/>
    <w:rsid w:val="004131CD"/>
    <w:rsid w:val="00413475"/>
    <w:rsid w:val="00414525"/>
    <w:rsid w:val="00414B20"/>
    <w:rsid w:val="0041520C"/>
    <w:rsid w:val="0041647B"/>
    <w:rsid w:val="00417ADC"/>
    <w:rsid w:val="00420001"/>
    <w:rsid w:val="00421D08"/>
    <w:rsid w:val="0042285C"/>
    <w:rsid w:val="00422F44"/>
    <w:rsid w:val="004235D3"/>
    <w:rsid w:val="0042362A"/>
    <w:rsid w:val="00424957"/>
    <w:rsid w:val="00424FF1"/>
    <w:rsid w:val="00426A28"/>
    <w:rsid w:val="00432F12"/>
    <w:rsid w:val="00434A1E"/>
    <w:rsid w:val="004359E1"/>
    <w:rsid w:val="00436BA1"/>
    <w:rsid w:val="00436DB4"/>
    <w:rsid w:val="00437207"/>
    <w:rsid w:val="00440E8E"/>
    <w:rsid w:val="0044212F"/>
    <w:rsid w:val="004430F1"/>
    <w:rsid w:val="00444290"/>
    <w:rsid w:val="00444F3E"/>
    <w:rsid w:val="00446923"/>
    <w:rsid w:val="00446F4D"/>
    <w:rsid w:val="00447D6F"/>
    <w:rsid w:val="00447E46"/>
    <w:rsid w:val="00447E6C"/>
    <w:rsid w:val="0045001B"/>
    <w:rsid w:val="004509CF"/>
    <w:rsid w:val="00451050"/>
    <w:rsid w:val="00452905"/>
    <w:rsid w:val="00452BE8"/>
    <w:rsid w:val="00453B46"/>
    <w:rsid w:val="004551A4"/>
    <w:rsid w:val="0045537D"/>
    <w:rsid w:val="00456CED"/>
    <w:rsid w:val="00460313"/>
    <w:rsid w:val="0046061C"/>
    <w:rsid w:val="00460B5F"/>
    <w:rsid w:val="0046117E"/>
    <w:rsid w:val="004613C7"/>
    <w:rsid w:val="00461B5D"/>
    <w:rsid w:val="004628FB"/>
    <w:rsid w:val="00463268"/>
    <w:rsid w:val="00464925"/>
    <w:rsid w:val="00464F1C"/>
    <w:rsid w:val="0046531E"/>
    <w:rsid w:val="00465937"/>
    <w:rsid w:val="0046674E"/>
    <w:rsid w:val="004675C3"/>
    <w:rsid w:val="00471987"/>
    <w:rsid w:val="00472782"/>
    <w:rsid w:val="0047355F"/>
    <w:rsid w:val="00473ED2"/>
    <w:rsid w:val="00474E81"/>
    <w:rsid w:val="00477584"/>
    <w:rsid w:val="00480025"/>
    <w:rsid w:val="004817C8"/>
    <w:rsid w:val="00481C6A"/>
    <w:rsid w:val="00482BB3"/>
    <w:rsid w:val="004833F1"/>
    <w:rsid w:val="0048414E"/>
    <w:rsid w:val="004873E6"/>
    <w:rsid w:val="00487493"/>
    <w:rsid w:val="00487ABE"/>
    <w:rsid w:val="004901D3"/>
    <w:rsid w:val="00490A5F"/>
    <w:rsid w:val="00490F5F"/>
    <w:rsid w:val="00491DAA"/>
    <w:rsid w:val="004922E8"/>
    <w:rsid w:val="00492438"/>
    <w:rsid w:val="004933DA"/>
    <w:rsid w:val="00493FC2"/>
    <w:rsid w:val="00494994"/>
    <w:rsid w:val="00494A81"/>
    <w:rsid w:val="00494B61"/>
    <w:rsid w:val="00496186"/>
    <w:rsid w:val="004972E6"/>
    <w:rsid w:val="004A0A17"/>
    <w:rsid w:val="004A1406"/>
    <w:rsid w:val="004A14F0"/>
    <w:rsid w:val="004A1C29"/>
    <w:rsid w:val="004A2084"/>
    <w:rsid w:val="004A3027"/>
    <w:rsid w:val="004A304A"/>
    <w:rsid w:val="004A3DA1"/>
    <w:rsid w:val="004A44A1"/>
    <w:rsid w:val="004A50DC"/>
    <w:rsid w:val="004A5ED7"/>
    <w:rsid w:val="004A777B"/>
    <w:rsid w:val="004A784A"/>
    <w:rsid w:val="004B0146"/>
    <w:rsid w:val="004B0545"/>
    <w:rsid w:val="004B06B9"/>
    <w:rsid w:val="004B10F3"/>
    <w:rsid w:val="004B1DA3"/>
    <w:rsid w:val="004B2BF1"/>
    <w:rsid w:val="004B3435"/>
    <w:rsid w:val="004B3B63"/>
    <w:rsid w:val="004B4013"/>
    <w:rsid w:val="004B4464"/>
    <w:rsid w:val="004B4D0A"/>
    <w:rsid w:val="004B5108"/>
    <w:rsid w:val="004B5208"/>
    <w:rsid w:val="004B5E5D"/>
    <w:rsid w:val="004B61B6"/>
    <w:rsid w:val="004B6391"/>
    <w:rsid w:val="004B688C"/>
    <w:rsid w:val="004C0C4D"/>
    <w:rsid w:val="004C0E4B"/>
    <w:rsid w:val="004C170F"/>
    <w:rsid w:val="004C25B5"/>
    <w:rsid w:val="004C2A72"/>
    <w:rsid w:val="004C3B8B"/>
    <w:rsid w:val="004C3EC7"/>
    <w:rsid w:val="004C44F9"/>
    <w:rsid w:val="004C5893"/>
    <w:rsid w:val="004C58D4"/>
    <w:rsid w:val="004C7DE3"/>
    <w:rsid w:val="004D0F1D"/>
    <w:rsid w:val="004D14C9"/>
    <w:rsid w:val="004D197A"/>
    <w:rsid w:val="004D19A5"/>
    <w:rsid w:val="004D2E84"/>
    <w:rsid w:val="004D50B0"/>
    <w:rsid w:val="004D545F"/>
    <w:rsid w:val="004D5A36"/>
    <w:rsid w:val="004D5D47"/>
    <w:rsid w:val="004D6138"/>
    <w:rsid w:val="004D774F"/>
    <w:rsid w:val="004E0A74"/>
    <w:rsid w:val="004E0E10"/>
    <w:rsid w:val="004E268E"/>
    <w:rsid w:val="004E2C7B"/>
    <w:rsid w:val="004E3ABE"/>
    <w:rsid w:val="004E46D7"/>
    <w:rsid w:val="004E57DD"/>
    <w:rsid w:val="004F00F7"/>
    <w:rsid w:val="004F03A5"/>
    <w:rsid w:val="004F1193"/>
    <w:rsid w:val="004F1356"/>
    <w:rsid w:val="004F2457"/>
    <w:rsid w:val="004F2B90"/>
    <w:rsid w:val="004F2F0E"/>
    <w:rsid w:val="004F2F2D"/>
    <w:rsid w:val="004F32FE"/>
    <w:rsid w:val="004F3BEE"/>
    <w:rsid w:val="004F44ED"/>
    <w:rsid w:val="004F4EFE"/>
    <w:rsid w:val="004F5166"/>
    <w:rsid w:val="00500187"/>
    <w:rsid w:val="00500B2A"/>
    <w:rsid w:val="00501AB9"/>
    <w:rsid w:val="00501BE3"/>
    <w:rsid w:val="00501EA5"/>
    <w:rsid w:val="00504893"/>
    <w:rsid w:val="00504E5E"/>
    <w:rsid w:val="00505208"/>
    <w:rsid w:val="005055A4"/>
    <w:rsid w:val="00505CD8"/>
    <w:rsid w:val="00505E3C"/>
    <w:rsid w:val="005071CD"/>
    <w:rsid w:val="00507212"/>
    <w:rsid w:val="00507368"/>
    <w:rsid w:val="0050785C"/>
    <w:rsid w:val="00510A1A"/>
    <w:rsid w:val="00510DC5"/>
    <w:rsid w:val="005117DA"/>
    <w:rsid w:val="00512E30"/>
    <w:rsid w:val="005148C1"/>
    <w:rsid w:val="00516D04"/>
    <w:rsid w:val="00516DAA"/>
    <w:rsid w:val="00517983"/>
    <w:rsid w:val="00517F3C"/>
    <w:rsid w:val="0052002B"/>
    <w:rsid w:val="00520116"/>
    <w:rsid w:val="00520450"/>
    <w:rsid w:val="00520824"/>
    <w:rsid w:val="00521001"/>
    <w:rsid w:val="00521979"/>
    <w:rsid w:val="0052219A"/>
    <w:rsid w:val="00522E24"/>
    <w:rsid w:val="00523B2F"/>
    <w:rsid w:val="0052544A"/>
    <w:rsid w:val="0052544C"/>
    <w:rsid w:val="005255DC"/>
    <w:rsid w:val="0052582D"/>
    <w:rsid w:val="00526249"/>
    <w:rsid w:val="00526F86"/>
    <w:rsid w:val="005272FB"/>
    <w:rsid w:val="0053089E"/>
    <w:rsid w:val="00530964"/>
    <w:rsid w:val="00530A16"/>
    <w:rsid w:val="0053174C"/>
    <w:rsid w:val="00531A08"/>
    <w:rsid w:val="00531AD4"/>
    <w:rsid w:val="00532465"/>
    <w:rsid w:val="00532A4C"/>
    <w:rsid w:val="00533893"/>
    <w:rsid w:val="005347DC"/>
    <w:rsid w:val="00534C55"/>
    <w:rsid w:val="00535AC1"/>
    <w:rsid w:val="005371B4"/>
    <w:rsid w:val="0053739B"/>
    <w:rsid w:val="00540F10"/>
    <w:rsid w:val="00541467"/>
    <w:rsid w:val="00541696"/>
    <w:rsid w:val="00541BF6"/>
    <w:rsid w:val="00541C3A"/>
    <w:rsid w:val="0054273A"/>
    <w:rsid w:val="00542BB5"/>
    <w:rsid w:val="0054328D"/>
    <w:rsid w:val="00543515"/>
    <w:rsid w:val="005439F0"/>
    <w:rsid w:val="005458BD"/>
    <w:rsid w:val="0054694B"/>
    <w:rsid w:val="0054761F"/>
    <w:rsid w:val="00550633"/>
    <w:rsid w:val="005513EF"/>
    <w:rsid w:val="00551485"/>
    <w:rsid w:val="005516EC"/>
    <w:rsid w:val="00551F74"/>
    <w:rsid w:val="00552447"/>
    <w:rsid w:val="00553DB7"/>
    <w:rsid w:val="0055446C"/>
    <w:rsid w:val="00554A6C"/>
    <w:rsid w:val="00555C22"/>
    <w:rsid w:val="00556392"/>
    <w:rsid w:val="0055732E"/>
    <w:rsid w:val="0055756A"/>
    <w:rsid w:val="00561E4B"/>
    <w:rsid w:val="00562589"/>
    <w:rsid w:val="00562A32"/>
    <w:rsid w:val="00562F6D"/>
    <w:rsid w:val="00564619"/>
    <w:rsid w:val="00564B5F"/>
    <w:rsid w:val="0056517D"/>
    <w:rsid w:val="0056615D"/>
    <w:rsid w:val="00566676"/>
    <w:rsid w:val="00567C0E"/>
    <w:rsid w:val="00570220"/>
    <w:rsid w:val="005719EF"/>
    <w:rsid w:val="00572F03"/>
    <w:rsid w:val="0057309B"/>
    <w:rsid w:val="005738C5"/>
    <w:rsid w:val="00573DB0"/>
    <w:rsid w:val="00575090"/>
    <w:rsid w:val="00575628"/>
    <w:rsid w:val="0057621D"/>
    <w:rsid w:val="0058087C"/>
    <w:rsid w:val="005817AC"/>
    <w:rsid w:val="00581ECB"/>
    <w:rsid w:val="0058271A"/>
    <w:rsid w:val="0058319F"/>
    <w:rsid w:val="00583CC7"/>
    <w:rsid w:val="00583FEF"/>
    <w:rsid w:val="00585118"/>
    <w:rsid w:val="00585A8F"/>
    <w:rsid w:val="00585BD8"/>
    <w:rsid w:val="005862AF"/>
    <w:rsid w:val="0058660F"/>
    <w:rsid w:val="00592F8B"/>
    <w:rsid w:val="0059309C"/>
    <w:rsid w:val="0059375E"/>
    <w:rsid w:val="005938F0"/>
    <w:rsid w:val="00594119"/>
    <w:rsid w:val="005953C5"/>
    <w:rsid w:val="00595A7C"/>
    <w:rsid w:val="00596868"/>
    <w:rsid w:val="00596CBE"/>
    <w:rsid w:val="00597191"/>
    <w:rsid w:val="005974DA"/>
    <w:rsid w:val="0059779C"/>
    <w:rsid w:val="005977C4"/>
    <w:rsid w:val="005978B6"/>
    <w:rsid w:val="00597E15"/>
    <w:rsid w:val="005A163F"/>
    <w:rsid w:val="005A2192"/>
    <w:rsid w:val="005A2838"/>
    <w:rsid w:val="005A2C55"/>
    <w:rsid w:val="005A3024"/>
    <w:rsid w:val="005A3723"/>
    <w:rsid w:val="005A3FC3"/>
    <w:rsid w:val="005A75F5"/>
    <w:rsid w:val="005B00E4"/>
    <w:rsid w:val="005B02B2"/>
    <w:rsid w:val="005B07DA"/>
    <w:rsid w:val="005B0875"/>
    <w:rsid w:val="005B092E"/>
    <w:rsid w:val="005B0B95"/>
    <w:rsid w:val="005B127E"/>
    <w:rsid w:val="005B1872"/>
    <w:rsid w:val="005B2FCD"/>
    <w:rsid w:val="005B510F"/>
    <w:rsid w:val="005B7643"/>
    <w:rsid w:val="005B7AD8"/>
    <w:rsid w:val="005C0290"/>
    <w:rsid w:val="005C09A6"/>
    <w:rsid w:val="005C0D92"/>
    <w:rsid w:val="005C316C"/>
    <w:rsid w:val="005C3701"/>
    <w:rsid w:val="005C43BB"/>
    <w:rsid w:val="005C4EEE"/>
    <w:rsid w:val="005C5D08"/>
    <w:rsid w:val="005C63C9"/>
    <w:rsid w:val="005C723F"/>
    <w:rsid w:val="005C7301"/>
    <w:rsid w:val="005C7310"/>
    <w:rsid w:val="005C7BC5"/>
    <w:rsid w:val="005D12AF"/>
    <w:rsid w:val="005D1E4E"/>
    <w:rsid w:val="005D279E"/>
    <w:rsid w:val="005D2908"/>
    <w:rsid w:val="005D3862"/>
    <w:rsid w:val="005D414C"/>
    <w:rsid w:val="005D4B29"/>
    <w:rsid w:val="005D62D1"/>
    <w:rsid w:val="005D6A7B"/>
    <w:rsid w:val="005D7B52"/>
    <w:rsid w:val="005E200A"/>
    <w:rsid w:val="005E44D6"/>
    <w:rsid w:val="005E4D3F"/>
    <w:rsid w:val="005E4EF5"/>
    <w:rsid w:val="005E576E"/>
    <w:rsid w:val="005E5D6E"/>
    <w:rsid w:val="005F0717"/>
    <w:rsid w:val="005F1473"/>
    <w:rsid w:val="005F1581"/>
    <w:rsid w:val="005F2A15"/>
    <w:rsid w:val="005F3C74"/>
    <w:rsid w:val="005F57EC"/>
    <w:rsid w:val="005F6FB7"/>
    <w:rsid w:val="0060082F"/>
    <w:rsid w:val="00600F34"/>
    <w:rsid w:val="00601F6C"/>
    <w:rsid w:val="00602D5B"/>
    <w:rsid w:val="00603B17"/>
    <w:rsid w:val="006041DA"/>
    <w:rsid w:val="00604604"/>
    <w:rsid w:val="0060551F"/>
    <w:rsid w:val="006062C5"/>
    <w:rsid w:val="006064A0"/>
    <w:rsid w:val="00606679"/>
    <w:rsid w:val="00606864"/>
    <w:rsid w:val="006068E6"/>
    <w:rsid w:val="00606DF2"/>
    <w:rsid w:val="00606F7B"/>
    <w:rsid w:val="0060789A"/>
    <w:rsid w:val="00610980"/>
    <w:rsid w:val="00610E9B"/>
    <w:rsid w:val="0061244E"/>
    <w:rsid w:val="00612486"/>
    <w:rsid w:val="0061398F"/>
    <w:rsid w:val="00615F71"/>
    <w:rsid w:val="0061693D"/>
    <w:rsid w:val="00616C94"/>
    <w:rsid w:val="00617524"/>
    <w:rsid w:val="00617C6D"/>
    <w:rsid w:val="00617E28"/>
    <w:rsid w:val="00624B79"/>
    <w:rsid w:val="00625599"/>
    <w:rsid w:val="00625B5F"/>
    <w:rsid w:val="00627799"/>
    <w:rsid w:val="006305D0"/>
    <w:rsid w:val="00630B1A"/>
    <w:rsid w:val="0063119A"/>
    <w:rsid w:val="0063136A"/>
    <w:rsid w:val="00631410"/>
    <w:rsid w:val="00632672"/>
    <w:rsid w:val="0063343B"/>
    <w:rsid w:val="006336F6"/>
    <w:rsid w:val="00633A3F"/>
    <w:rsid w:val="00633B70"/>
    <w:rsid w:val="00633EB8"/>
    <w:rsid w:val="00634027"/>
    <w:rsid w:val="00636A20"/>
    <w:rsid w:val="00636B9A"/>
    <w:rsid w:val="00637FA1"/>
    <w:rsid w:val="00641607"/>
    <w:rsid w:val="00641648"/>
    <w:rsid w:val="00642B0E"/>
    <w:rsid w:val="006444BC"/>
    <w:rsid w:val="006453A7"/>
    <w:rsid w:val="00645C99"/>
    <w:rsid w:val="0064600A"/>
    <w:rsid w:val="00646CDD"/>
    <w:rsid w:val="0064700F"/>
    <w:rsid w:val="00647958"/>
    <w:rsid w:val="006510D9"/>
    <w:rsid w:val="00651711"/>
    <w:rsid w:val="00651EEA"/>
    <w:rsid w:val="0065221D"/>
    <w:rsid w:val="006542C7"/>
    <w:rsid w:val="006544E1"/>
    <w:rsid w:val="00654F0E"/>
    <w:rsid w:val="006555AD"/>
    <w:rsid w:val="006566B1"/>
    <w:rsid w:val="00656B5E"/>
    <w:rsid w:val="00657BA6"/>
    <w:rsid w:val="006604D6"/>
    <w:rsid w:val="0066186C"/>
    <w:rsid w:val="0066354B"/>
    <w:rsid w:val="00663F4A"/>
    <w:rsid w:val="00664AFA"/>
    <w:rsid w:val="00665F1B"/>
    <w:rsid w:val="00670B3B"/>
    <w:rsid w:val="00673875"/>
    <w:rsid w:val="00673D3E"/>
    <w:rsid w:val="00674639"/>
    <w:rsid w:val="006758DD"/>
    <w:rsid w:val="006764BC"/>
    <w:rsid w:val="00677BB3"/>
    <w:rsid w:val="00677DD6"/>
    <w:rsid w:val="00681D8A"/>
    <w:rsid w:val="00684DE6"/>
    <w:rsid w:val="006859A2"/>
    <w:rsid w:val="006861E6"/>
    <w:rsid w:val="0068625A"/>
    <w:rsid w:val="00686C84"/>
    <w:rsid w:val="00687111"/>
    <w:rsid w:val="00687CAC"/>
    <w:rsid w:val="00687E5A"/>
    <w:rsid w:val="006904BA"/>
    <w:rsid w:val="006905B6"/>
    <w:rsid w:val="0069082A"/>
    <w:rsid w:val="00690E33"/>
    <w:rsid w:val="00691196"/>
    <w:rsid w:val="00692013"/>
    <w:rsid w:val="00692AB4"/>
    <w:rsid w:val="00692B7D"/>
    <w:rsid w:val="00694558"/>
    <w:rsid w:val="00694EB3"/>
    <w:rsid w:val="0069615F"/>
    <w:rsid w:val="00697B72"/>
    <w:rsid w:val="00697D59"/>
    <w:rsid w:val="00697D95"/>
    <w:rsid w:val="006A02D9"/>
    <w:rsid w:val="006A131C"/>
    <w:rsid w:val="006A1D9B"/>
    <w:rsid w:val="006A2A96"/>
    <w:rsid w:val="006A6CA6"/>
    <w:rsid w:val="006B0BB3"/>
    <w:rsid w:val="006B1A32"/>
    <w:rsid w:val="006B1CA2"/>
    <w:rsid w:val="006B31B9"/>
    <w:rsid w:val="006B329C"/>
    <w:rsid w:val="006B3EE9"/>
    <w:rsid w:val="006B432B"/>
    <w:rsid w:val="006B45C8"/>
    <w:rsid w:val="006B5C31"/>
    <w:rsid w:val="006B5D67"/>
    <w:rsid w:val="006B70BA"/>
    <w:rsid w:val="006B7788"/>
    <w:rsid w:val="006B7992"/>
    <w:rsid w:val="006B7B2F"/>
    <w:rsid w:val="006B7BD2"/>
    <w:rsid w:val="006C044F"/>
    <w:rsid w:val="006C084A"/>
    <w:rsid w:val="006C0FCC"/>
    <w:rsid w:val="006C1BC4"/>
    <w:rsid w:val="006C1FAD"/>
    <w:rsid w:val="006C34E3"/>
    <w:rsid w:val="006C3C2A"/>
    <w:rsid w:val="006C418F"/>
    <w:rsid w:val="006C46DB"/>
    <w:rsid w:val="006C4B30"/>
    <w:rsid w:val="006C4CFA"/>
    <w:rsid w:val="006C56AE"/>
    <w:rsid w:val="006C70E7"/>
    <w:rsid w:val="006C7580"/>
    <w:rsid w:val="006C7707"/>
    <w:rsid w:val="006C7AE8"/>
    <w:rsid w:val="006C7D64"/>
    <w:rsid w:val="006D7986"/>
    <w:rsid w:val="006D7EAA"/>
    <w:rsid w:val="006E0463"/>
    <w:rsid w:val="006E0DED"/>
    <w:rsid w:val="006E1176"/>
    <w:rsid w:val="006E2488"/>
    <w:rsid w:val="006E2849"/>
    <w:rsid w:val="006E3F61"/>
    <w:rsid w:val="006E5DE7"/>
    <w:rsid w:val="006F0067"/>
    <w:rsid w:val="006F046A"/>
    <w:rsid w:val="006F09D5"/>
    <w:rsid w:val="006F0C9B"/>
    <w:rsid w:val="006F0E80"/>
    <w:rsid w:val="006F3707"/>
    <w:rsid w:val="006F3F78"/>
    <w:rsid w:val="006F415E"/>
    <w:rsid w:val="006F4A4A"/>
    <w:rsid w:val="006F6935"/>
    <w:rsid w:val="006F7626"/>
    <w:rsid w:val="00700252"/>
    <w:rsid w:val="00702AC7"/>
    <w:rsid w:val="00703B4B"/>
    <w:rsid w:val="00703E55"/>
    <w:rsid w:val="00704323"/>
    <w:rsid w:val="00706067"/>
    <w:rsid w:val="00706900"/>
    <w:rsid w:val="00706964"/>
    <w:rsid w:val="00710608"/>
    <w:rsid w:val="00710E28"/>
    <w:rsid w:val="00712167"/>
    <w:rsid w:val="0071257E"/>
    <w:rsid w:val="00712691"/>
    <w:rsid w:val="00712768"/>
    <w:rsid w:val="00712DB8"/>
    <w:rsid w:val="00713E92"/>
    <w:rsid w:val="00713FD4"/>
    <w:rsid w:val="00714C5A"/>
    <w:rsid w:val="00714E16"/>
    <w:rsid w:val="00716ADD"/>
    <w:rsid w:val="00721C6B"/>
    <w:rsid w:val="00722340"/>
    <w:rsid w:val="00722B0C"/>
    <w:rsid w:val="007241D1"/>
    <w:rsid w:val="0072431D"/>
    <w:rsid w:val="0072438F"/>
    <w:rsid w:val="00724632"/>
    <w:rsid w:val="0072494D"/>
    <w:rsid w:val="00724B81"/>
    <w:rsid w:val="00725974"/>
    <w:rsid w:val="00725A7E"/>
    <w:rsid w:val="00726FB4"/>
    <w:rsid w:val="007273D5"/>
    <w:rsid w:val="00727985"/>
    <w:rsid w:val="007308D3"/>
    <w:rsid w:val="00730E0E"/>
    <w:rsid w:val="00731493"/>
    <w:rsid w:val="00732C57"/>
    <w:rsid w:val="00735462"/>
    <w:rsid w:val="0073547B"/>
    <w:rsid w:val="0073577D"/>
    <w:rsid w:val="0073675F"/>
    <w:rsid w:val="007369CC"/>
    <w:rsid w:val="00737806"/>
    <w:rsid w:val="00737DD4"/>
    <w:rsid w:val="00737F7C"/>
    <w:rsid w:val="007407C5"/>
    <w:rsid w:val="00740C88"/>
    <w:rsid w:val="00740E54"/>
    <w:rsid w:val="007417C1"/>
    <w:rsid w:val="00742395"/>
    <w:rsid w:val="00742D63"/>
    <w:rsid w:val="00742FBB"/>
    <w:rsid w:val="00743AD8"/>
    <w:rsid w:val="00744797"/>
    <w:rsid w:val="007450B1"/>
    <w:rsid w:val="00746690"/>
    <w:rsid w:val="0074773F"/>
    <w:rsid w:val="00747FD7"/>
    <w:rsid w:val="00750779"/>
    <w:rsid w:val="00750E89"/>
    <w:rsid w:val="00750FC3"/>
    <w:rsid w:val="00752F2D"/>
    <w:rsid w:val="00753BF3"/>
    <w:rsid w:val="00754427"/>
    <w:rsid w:val="00754E35"/>
    <w:rsid w:val="0075500D"/>
    <w:rsid w:val="00755B4A"/>
    <w:rsid w:val="00755D8F"/>
    <w:rsid w:val="00756CC3"/>
    <w:rsid w:val="00757FB2"/>
    <w:rsid w:val="0076043C"/>
    <w:rsid w:val="007628FE"/>
    <w:rsid w:val="00762AEC"/>
    <w:rsid w:val="00763386"/>
    <w:rsid w:val="00764D56"/>
    <w:rsid w:val="00765A09"/>
    <w:rsid w:val="00765AE7"/>
    <w:rsid w:val="00765B6A"/>
    <w:rsid w:val="00770802"/>
    <w:rsid w:val="0077093C"/>
    <w:rsid w:val="00772837"/>
    <w:rsid w:val="00772DC6"/>
    <w:rsid w:val="00773468"/>
    <w:rsid w:val="00773CC4"/>
    <w:rsid w:val="00774ACA"/>
    <w:rsid w:val="0077654D"/>
    <w:rsid w:val="00780BF7"/>
    <w:rsid w:val="00784FD5"/>
    <w:rsid w:val="007859A9"/>
    <w:rsid w:val="00785ABC"/>
    <w:rsid w:val="00786C04"/>
    <w:rsid w:val="00787571"/>
    <w:rsid w:val="0078784C"/>
    <w:rsid w:val="00787D9B"/>
    <w:rsid w:val="00790078"/>
    <w:rsid w:val="00791239"/>
    <w:rsid w:val="00791261"/>
    <w:rsid w:val="00791361"/>
    <w:rsid w:val="007918F8"/>
    <w:rsid w:val="00791C07"/>
    <w:rsid w:val="00793561"/>
    <w:rsid w:val="00793AD7"/>
    <w:rsid w:val="00795DB2"/>
    <w:rsid w:val="0079660C"/>
    <w:rsid w:val="00796773"/>
    <w:rsid w:val="00796D16"/>
    <w:rsid w:val="0079713C"/>
    <w:rsid w:val="007A01F1"/>
    <w:rsid w:val="007A2669"/>
    <w:rsid w:val="007A2E46"/>
    <w:rsid w:val="007A2EB1"/>
    <w:rsid w:val="007A39E6"/>
    <w:rsid w:val="007A44DE"/>
    <w:rsid w:val="007A47AA"/>
    <w:rsid w:val="007A7F86"/>
    <w:rsid w:val="007B1166"/>
    <w:rsid w:val="007B2E68"/>
    <w:rsid w:val="007B33E6"/>
    <w:rsid w:val="007B42CB"/>
    <w:rsid w:val="007B43B1"/>
    <w:rsid w:val="007B5119"/>
    <w:rsid w:val="007B5B51"/>
    <w:rsid w:val="007B5C80"/>
    <w:rsid w:val="007B6828"/>
    <w:rsid w:val="007B6B40"/>
    <w:rsid w:val="007B7017"/>
    <w:rsid w:val="007B7048"/>
    <w:rsid w:val="007B7AB5"/>
    <w:rsid w:val="007B7F41"/>
    <w:rsid w:val="007C09FD"/>
    <w:rsid w:val="007C0FB1"/>
    <w:rsid w:val="007C1EBC"/>
    <w:rsid w:val="007C1FAD"/>
    <w:rsid w:val="007C267B"/>
    <w:rsid w:val="007C3897"/>
    <w:rsid w:val="007C51EF"/>
    <w:rsid w:val="007C53A6"/>
    <w:rsid w:val="007C6E6C"/>
    <w:rsid w:val="007C7845"/>
    <w:rsid w:val="007C7CDD"/>
    <w:rsid w:val="007D1E70"/>
    <w:rsid w:val="007D2DD9"/>
    <w:rsid w:val="007D2E40"/>
    <w:rsid w:val="007D4674"/>
    <w:rsid w:val="007D5781"/>
    <w:rsid w:val="007D5E57"/>
    <w:rsid w:val="007D5F0B"/>
    <w:rsid w:val="007D60CE"/>
    <w:rsid w:val="007D665A"/>
    <w:rsid w:val="007D69D4"/>
    <w:rsid w:val="007D6E3B"/>
    <w:rsid w:val="007D70A0"/>
    <w:rsid w:val="007D7B40"/>
    <w:rsid w:val="007E2023"/>
    <w:rsid w:val="007E2420"/>
    <w:rsid w:val="007E25E4"/>
    <w:rsid w:val="007E2D62"/>
    <w:rsid w:val="007E3448"/>
    <w:rsid w:val="007E36BB"/>
    <w:rsid w:val="007E3AE0"/>
    <w:rsid w:val="007E42AC"/>
    <w:rsid w:val="007E4368"/>
    <w:rsid w:val="007E4D7D"/>
    <w:rsid w:val="007E4E75"/>
    <w:rsid w:val="007E654D"/>
    <w:rsid w:val="007E67A6"/>
    <w:rsid w:val="007E6CE1"/>
    <w:rsid w:val="007E6DC4"/>
    <w:rsid w:val="007F01CE"/>
    <w:rsid w:val="007F06F7"/>
    <w:rsid w:val="007F098D"/>
    <w:rsid w:val="007F309D"/>
    <w:rsid w:val="007F327F"/>
    <w:rsid w:val="007F3F30"/>
    <w:rsid w:val="007F501A"/>
    <w:rsid w:val="007F79E1"/>
    <w:rsid w:val="007F7FB6"/>
    <w:rsid w:val="008012A1"/>
    <w:rsid w:val="00801725"/>
    <w:rsid w:val="0080195F"/>
    <w:rsid w:val="00801B5C"/>
    <w:rsid w:val="00802503"/>
    <w:rsid w:val="00803225"/>
    <w:rsid w:val="0080356D"/>
    <w:rsid w:val="0080372A"/>
    <w:rsid w:val="00805498"/>
    <w:rsid w:val="00805EF0"/>
    <w:rsid w:val="00806CFD"/>
    <w:rsid w:val="0080759F"/>
    <w:rsid w:val="00807E80"/>
    <w:rsid w:val="0081022B"/>
    <w:rsid w:val="008111C3"/>
    <w:rsid w:val="00811FC2"/>
    <w:rsid w:val="00811FC8"/>
    <w:rsid w:val="008120B9"/>
    <w:rsid w:val="00813243"/>
    <w:rsid w:val="0081324D"/>
    <w:rsid w:val="0081326D"/>
    <w:rsid w:val="00813815"/>
    <w:rsid w:val="00813FA6"/>
    <w:rsid w:val="0081452E"/>
    <w:rsid w:val="008151D2"/>
    <w:rsid w:val="00817573"/>
    <w:rsid w:val="00817858"/>
    <w:rsid w:val="0081791C"/>
    <w:rsid w:val="00817E23"/>
    <w:rsid w:val="008200DC"/>
    <w:rsid w:val="0082031E"/>
    <w:rsid w:val="00820B3C"/>
    <w:rsid w:val="00821701"/>
    <w:rsid w:val="0082188E"/>
    <w:rsid w:val="00823549"/>
    <w:rsid w:val="008238D5"/>
    <w:rsid w:val="00824957"/>
    <w:rsid w:val="00825413"/>
    <w:rsid w:val="00825F3C"/>
    <w:rsid w:val="008273F3"/>
    <w:rsid w:val="00827BA3"/>
    <w:rsid w:val="008307C1"/>
    <w:rsid w:val="00831EF9"/>
    <w:rsid w:val="008324AF"/>
    <w:rsid w:val="0083341B"/>
    <w:rsid w:val="008335EB"/>
    <w:rsid w:val="00833AD8"/>
    <w:rsid w:val="0083608E"/>
    <w:rsid w:val="008365C5"/>
    <w:rsid w:val="00836F30"/>
    <w:rsid w:val="00837F96"/>
    <w:rsid w:val="0084002A"/>
    <w:rsid w:val="00841288"/>
    <w:rsid w:val="00841F7C"/>
    <w:rsid w:val="0084212D"/>
    <w:rsid w:val="00842C42"/>
    <w:rsid w:val="00844749"/>
    <w:rsid w:val="00844CA7"/>
    <w:rsid w:val="008454A2"/>
    <w:rsid w:val="00845662"/>
    <w:rsid w:val="00845CA8"/>
    <w:rsid w:val="00845CF4"/>
    <w:rsid w:val="00846E7D"/>
    <w:rsid w:val="00847AF0"/>
    <w:rsid w:val="00850FF1"/>
    <w:rsid w:val="0085134C"/>
    <w:rsid w:val="008514CB"/>
    <w:rsid w:val="008518E8"/>
    <w:rsid w:val="00851998"/>
    <w:rsid w:val="00851DBE"/>
    <w:rsid w:val="0085204C"/>
    <w:rsid w:val="008527B7"/>
    <w:rsid w:val="008529BF"/>
    <w:rsid w:val="00853B47"/>
    <w:rsid w:val="00853BC1"/>
    <w:rsid w:val="00853E0B"/>
    <w:rsid w:val="0085417E"/>
    <w:rsid w:val="00855EC7"/>
    <w:rsid w:val="0085612D"/>
    <w:rsid w:val="008561FF"/>
    <w:rsid w:val="00857AF6"/>
    <w:rsid w:val="008603A8"/>
    <w:rsid w:val="00860E73"/>
    <w:rsid w:val="008619D1"/>
    <w:rsid w:val="00862999"/>
    <w:rsid w:val="00863B31"/>
    <w:rsid w:val="00864620"/>
    <w:rsid w:val="00864FB7"/>
    <w:rsid w:val="00865187"/>
    <w:rsid w:val="0086643B"/>
    <w:rsid w:val="00866863"/>
    <w:rsid w:val="008670D4"/>
    <w:rsid w:val="0086795D"/>
    <w:rsid w:val="00870890"/>
    <w:rsid w:val="008717C1"/>
    <w:rsid w:val="0087248A"/>
    <w:rsid w:val="0087253B"/>
    <w:rsid w:val="00872DA6"/>
    <w:rsid w:val="0087309D"/>
    <w:rsid w:val="0087363C"/>
    <w:rsid w:val="008739BC"/>
    <w:rsid w:val="00873AE7"/>
    <w:rsid w:val="00873F36"/>
    <w:rsid w:val="008760A4"/>
    <w:rsid w:val="0087643D"/>
    <w:rsid w:val="00876921"/>
    <w:rsid w:val="0088210A"/>
    <w:rsid w:val="00882590"/>
    <w:rsid w:val="008840C6"/>
    <w:rsid w:val="008872B6"/>
    <w:rsid w:val="0089014D"/>
    <w:rsid w:val="00890430"/>
    <w:rsid w:val="0089175E"/>
    <w:rsid w:val="00892EB7"/>
    <w:rsid w:val="008937DE"/>
    <w:rsid w:val="00893D82"/>
    <w:rsid w:val="00894C45"/>
    <w:rsid w:val="00895546"/>
    <w:rsid w:val="00896535"/>
    <w:rsid w:val="00896548"/>
    <w:rsid w:val="00896A2A"/>
    <w:rsid w:val="00897553"/>
    <w:rsid w:val="008A10AA"/>
    <w:rsid w:val="008A133E"/>
    <w:rsid w:val="008A1970"/>
    <w:rsid w:val="008A204A"/>
    <w:rsid w:val="008A2D1D"/>
    <w:rsid w:val="008A306E"/>
    <w:rsid w:val="008A3544"/>
    <w:rsid w:val="008A4A15"/>
    <w:rsid w:val="008A4B15"/>
    <w:rsid w:val="008A4C13"/>
    <w:rsid w:val="008A5315"/>
    <w:rsid w:val="008A553A"/>
    <w:rsid w:val="008A73C4"/>
    <w:rsid w:val="008A7894"/>
    <w:rsid w:val="008A7C49"/>
    <w:rsid w:val="008B071D"/>
    <w:rsid w:val="008B16A4"/>
    <w:rsid w:val="008B1D87"/>
    <w:rsid w:val="008B259F"/>
    <w:rsid w:val="008B29B1"/>
    <w:rsid w:val="008B3BA1"/>
    <w:rsid w:val="008B4246"/>
    <w:rsid w:val="008B4852"/>
    <w:rsid w:val="008B4C0A"/>
    <w:rsid w:val="008B5A66"/>
    <w:rsid w:val="008B5EA8"/>
    <w:rsid w:val="008B6356"/>
    <w:rsid w:val="008B6690"/>
    <w:rsid w:val="008B676C"/>
    <w:rsid w:val="008B742A"/>
    <w:rsid w:val="008B7B50"/>
    <w:rsid w:val="008B7F0D"/>
    <w:rsid w:val="008C1E03"/>
    <w:rsid w:val="008C25B9"/>
    <w:rsid w:val="008C4DF7"/>
    <w:rsid w:val="008C656F"/>
    <w:rsid w:val="008C78C4"/>
    <w:rsid w:val="008D3981"/>
    <w:rsid w:val="008D3A21"/>
    <w:rsid w:val="008D4AFF"/>
    <w:rsid w:val="008D5026"/>
    <w:rsid w:val="008D5F13"/>
    <w:rsid w:val="008D61C7"/>
    <w:rsid w:val="008D6BDD"/>
    <w:rsid w:val="008E07AF"/>
    <w:rsid w:val="008E1A2E"/>
    <w:rsid w:val="008E1B51"/>
    <w:rsid w:val="008E3400"/>
    <w:rsid w:val="008E46EF"/>
    <w:rsid w:val="008E57AE"/>
    <w:rsid w:val="008E61B7"/>
    <w:rsid w:val="008E6DD3"/>
    <w:rsid w:val="008F0B74"/>
    <w:rsid w:val="008F1CCC"/>
    <w:rsid w:val="008F2D9C"/>
    <w:rsid w:val="008F3EAC"/>
    <w:rsid w:val="008F49AB"/>
    <w:rsid w:val="008F57CE"/>
    <w:rsid w:val="008F5C47"/>
    <w:rsid w:val="008F5F13"/>
    <w:rsid w:val="008F61A9"/>
    <w:rsid w:val="008F6758"/>
    <w:rsid w:val="008F7859"/>
    <w:rsid w:val="00900B62"/>
    <w:rsid w:val="0090482F"/>
    <w:rsid w:val="0090483E"/>
    <w:rsid w:val="00904B55"/>
    <w:rsid w:val="0090511C"/>
    <w:rsid w:val="00906B12"/>
    <w:rsid w:val="00910F3D"/>
    <w:rsid w:val="00912124"/>
    <w:rsid w:val="00912E34"/>
    <w:rsid w:val="009133E8"/>
    <w:rsid w:val="00913E21"/>
    <w:rsid w:val="00914D04"/>
    <w:rsid w:val="00914FAE"/>
    <w:rsid w:val="009165C8"/>
    <w:rsid w:val="00916A06"/>
    <w:rsid w:val="00916B3C"/>
    <w:rsid w:val="00916E28"/>
    <w:rsid w:val="00916FCC"/>
    <w:rsid w:val="0092015F"/>
    <w:rsid w:val="00921772"/>
    <w:rsid w:val="00921A98"/>
    <w:rsid w:val="00921DC8"/>
    <w:rsid w:val="00922609"/>
    <w:rsid w:val="00922FC4"/>
    <w:rsid w:val="00923352"/>
    <w:rsid w:val="009237C6"/>
    <w:rsid w:val="0092495F"/>
    <w:rsid w:val="00924FDC"/>
    <w:rsid w:val="00924FEF"/>
    <w:rsid w:val="00925E7F"/>
    <w:rsid w:val="00926599"/>
    <w:rsid w:val="009274CA"/>
    <w:rsid w:val="009307FE"/>
    <w:rsid w:val="00930F6B"/>
    <w:rsid w:val="00931D6B"/>
    <w:rsid w:val="0093212F"/>
    <w:rsid w:val="00933375"/>
    <w:rsid w:val="00934463"/>
    <w:rsid w:val="00935540"/>
    <w:rsid w:val="00936AE3"/>
    <w:rsid w:val="00936FFB"/>
    <w:rsid w:val="009378A3"/>
    <w:rsid w:val="00941D02"/>
    <w:rsid w:val="0094207D"/>
    <w:rsid w:val="00943B5A"/>
    <w:rsid w:val="00943D62"/>
    <w:rsid w:val="009445E3"/>
    <w:rsid w:val="00944DB4"/>
    <w:rsid w:val="0094556B"/>
    <w:rsid w:val="00946A52"/>
    <w:rsid w:val="00953565"/>
    <w:rsid w:val="00956B9E"/>
    <w:rsid w:val="00962D59"/>
    <w:rsid w:val="009640AE"/>
    <w:rsid w:val="00965043"/>
    <w:rsid w:val="009655A5"/>
    <w:rsid w:val="0096785A"/>
    <w:rsid w:val="00970B2B"/>
    <w:rsid w:val="00970D80"/>
    <w:rsid w:val="00970FF1"/>
    <w:rsid w:val="0097122E"/>
    <w:rsid w:val="0097169C"/>
    <w:rsid w:val="00972C31"/>
    <w:rsid w:val="00973269"/>
    <w:rsid w:val="009746A5"/>
    <w:rsid w:val="00974AF4"/>
    <w:rsid w:val="00974E31"/>
    <w:rsid w:val="009759C5"/>
    <w:rsid w:val="009807EC"/>
    <w:rsid w:val="009812B5"/>
    <w:rsid w:val="0098135A"/>
    <w:rsid w:val="0098141C"/>
    <w:rsid w:val="00981743"/>
    <w:rsid w:val="0098265A"/>
    <w:rsid w:val="00982E68"/>
    <w:rsid w:val="00984455"/>
    <w:rsid w:val="0098495F"/>
    <w:rsid w:val="00985252"/>
    <w:rsid w:val="0098624A"/>
    <w:rsid w:val="009864CB"/>
    <w:rsid w:val="00987345"/>
    <w:rsid w:val="009875ED"/>
    <w:rsid w:val="0099019B"/>
    <w:rsid w:val="00991667"/>
    <w:rsid w:val="009938FE"/>
    <w:rsid w:val="00993CF2"/>
    <w:rsid w:val="00994B5D"/>
    <w:rsid w:val="009953AF"/>
    <w:rsid w:val="00997B60"/>
    <w:rsid w:val="009A0BBA"/>
    <w:rsid w:val="009A124B"/>
    <w:rsid w:val="009A1D6F"/>
    <w:rsid w:val="009A3E02"/>
    <w:rsid w:val="009A429D"/>
    <w:rsid w:val="009A4904"/>
    <w:rsid w:val="009A5B26"/>
    <w:rsid w:val="009A6263"/>
    <w:rsid w:val="009A6F1F"/>
    <w:rsid w:val="009A73AF"/>
    <w:rsid w:val="009B0B0F"/>
    <w:rsid w:val="009B0BEB"/>
    <w:rsid w:val="009B0D52"/>
    <w:rsid w:val="009B1829"/>
    <w:rsid w:val="009B19AB"/>
    <w:rsid w:val="009B24AC"/>
    <w:rsid w:val="009B2780"/>
    <w:rsid w:val="009B428C"/>
    <w:rsid w:val="009B47FA"/>
    <w:rsid w:val="009B50AC"/>
    <w:rsid w:val="009B5447"/>
    <w:rsid w:val="009B5843"/>
    <w:rsid w:val="009B6B51"/>
    <w:rsid w:val="009B6EC2"/>
    <w:rsid w:val="009C01CD"/>
    <w:rsid w:val="009C116E"/>
    <w:rsid w:val="009C1303"/>
    <w:rsid w:val="009C1848"/>
    <w:rsid w:val="009C246F"/>
    <w:rsid w:val="009C2477"/>
    <w:rsid w:val="009C4645"/>
    <w:rsid w:val="009C5A2D"/>
    <w:rsid w:val="009C6CC0"/>
    <w:rsid w:val="009D07A6"/>
    <w:rsid w:val="009D4EB4"/>
    <w:rsid w:val="009D53F1"/>
    <w:rsid w:val="009D7034"/>
    <w:rsid w:val="009D7358"/>
    <w:rsid w:val="009E1774"/>
    <w:rsid w:val="009E23F5"/>
    <w:rsid w:val="009E27B1"/>
    <w:rsid w:val="009E2B9C"/>
    <w:rsid w:val="009E3286"/>
    <w:rsid w:val="009E32FF"/>
    <w:rsid w:val="009E3368"/>
    <w:rsid w:val="009E4361"/>
    <w:rsid w:val="009E4614"/>
    <w:rsid w:val="009E5033"/>
    <w:rsid w:val="009E5A7F"/>
    <w:rsid w:val="009E6B3D"/>
    <w:rsid w:val="009E6CAE"/>
    <w:rsid w:val="009F0329"/>
    <w:rsid w:val="009F03C8"/>
    <w:rsid w:val="009F137D"/>
    <w:rsid w:val="009F1C0A"/>
    <w:rsid w:val="009F1EDB"/>
    <w:rsid w:val="009F3334"/>
    <w:rsid w:val="009F5536"/>
    <w:rsid w:val="009F6357"/>
    <w:rsid w:val="00A01F52"/>
    <w:rsid w:val="00A02555"/>
    <w:rsid w:val="00A02729"/>
    <w:rsid w:val="00A0367B"/>
    <w:rsid w:val="00A03835"/>
    <w:rsid w:val="00A03B56"/>
    <w:rsid w:val="00A04454"/>
    <w:rsid w:val="00A048E2"/>
    <w:rsid w:val="00A05ECB"/>
    <w:rsid w:val="00A061F8"/>
    <w:rsid w:val="00A072B4"/>
    <w:rsid w:val="00A07C94"/>
    <w:rsid w:val="00A101B3"/>
    <w:rsid w:val="00A121AA"/>
    <w:rsid w:val="00A12FBB"/>
    <w:rsid w:val="00A13774"/>
    <w:rsid w:val="00A13D0C"/>
    <w:rsid w:val="00A1550A"/>
    <w:rsid w:val="00A20A00"/>
    <w:rsid w:val="00A20D0D"/>
    <w:rsid w:val="00A21334"/>
    <w:rsid w:val="00A237E0"/>
    <w:rsid w:val="00A23BC5"/>
    <w:rsid w:val="00A23F22"/>
    <w:rsid w:val="00A25C3F"/>
    <w:rsid w:val="00A25E94"/>
    <w:rsid w:val="00A27983"/>
    <w:rsid w:val="00A30929"/>
    <w:rsid w:val="00A31761"/>
    <w:rsid w:val="00A319EC"/>
    <w:rsid w:val="00A3218D"/>
    <w:rsid w:val="00A32864"/>
    <w:rsid w:val="00A3446B"/>
    <w:rsid w:val="00A3453D"/>
    <w:rsid w:val="00A3555F"/>
    <w:rsid w:val="00A35E77"/>
    <w:rsid w:val="00A360E7"/>
    <w:rsid w:val="00A360F9"/>
    <w:rsid w:val="00A365FD"/>
    <w:rsid w:val="00A36759"/>
    <w:rsid w:val="00A37B77"/>
    <w:rsid w:val="00A40E21"/>
    <w:rsid w:val="00A41198"/>
    <w:rsid w:val="00A41AC0"/>
    <w:rsid w:val="00A42034"/>
    <w:rsid w:val="00A421A9"/>
    <w:rsid w:val="00A430AF"/>
    <w:rsid w:val="00A43496"/>
    <w:rsid w:val="00A43808"/>
    <w:rsid w:val="00A43F1F"/>
    <w:rsid w:val="00A45EE6"/>
    <w:rsid w:val="00A46658"/>
    <w:rsid w:val="00A46BDC"/>
    <w:rsid w:val="00A47040"/>
    <w:rsid w:val="00A47162"/>
    <w:rsid w:val="00A50A16"/>
    <w:rsid w:val="00A510AA"/>
    <w:rsid w:val="00A52197"/>
    <w:rsid w:val="00A52833"/>
    <w:rsid w:val="00A534F6"/>
    <w:rsid w:val="00A53998"/>
    <w:rsid w:val="00A540E6"/>
    <w:rsid w:val="00A544A4"/>
    <w:rsid w:val="00A551CD"/>
    <w:rsid w:val="00A5562E"/>
    <w:rsid w:val="00A556AA"/>
    <w:rsid w:val="00A56D16"/>
    <w:rsid w:val="00A57FFB"/>
    <w:rsid w:val="00A60753"/>
    <w:rsid w:val="00A621D5"/>
    <w:rsid w:val="00A625E8"/>
    <w:rsid w:val="00A6327D"/>
    <w:rsid w:val="00A644A2"/>
    <w:rsid w:val="00A6560D"/>
    <w:rsid w:val="00A65EBF"/>
    <w:rsid w:val="00A6688A"/>
    <w:rsid w:val="00A67CB4"/>
    <w:rsid w:val="00A70D02"/>
    <w:rsid w:val="00A71221"/>
    <w:rsid w:val="00A71507"/>
    <w:rsid w:val="00A73340"/>
    <w:rsid w:val="00A73942"/>
    <w:rsid w:val="00A73B70"/>
    <w:rsid w:val="00A73F78"/>
    <w:rsid w:val="00A7419A"/>
    <w:rsid w:val="00A7574B"/>
    <w:rsid w:val="00A763F0"/>
    <w:rsid w:val="00A76CD9"/>
    <w:rsid w:val="00A773D8"/>
    <w:rsid w:val="00A77ED7"/>
    <w:rsid w:val="00A80C2D"/>
    <w:rsid w:val="00A81BBE"/>
    <w:rsid w:val="00A8322A"/>
    <w:rsid w:val="00A83E3F"/>
    <w:rsid w:val="00A84938"/>
    <w:rsid w:val="00A8537C"/>
    <w:rsid w:val="00A85971"/>
    <w:rsid w:val="00A85A64"/>
    <w:rsid w:val="00A85EFE"/>
    <w:rsid w:val="00A86A91"/>
    <w:rsid w:val="00A8729E"/>
    <w:rsid w:val="00A90A70"/>
    <w:rsid w:val="00A90A8E"/>
    <w:rsid w:val="00A90EDB"/>
    <w:rsid w:val="00A920C7"/>
    <w:rsid w:val="00A9469A"/>
    <w:rsid w:val="00A951D7"/>
    <w:rsid w:val="00A959BD"/>
    <w:rsid w:val="00A965C1"/>
    <w:rsid w:val="00AA0482"/>
    <w:rsid w:val="00AA1391"/>
    <w:rsid w:val="00AA211F"/>
    <w:rsid w:val="00AA2506"/>
    <w:rsid w:val="00AA376E"/>
    <w:rsid w:val="00AA3900"/>
    <w:rsid w:val="00AA6762"/>
    <w:rsid w:val="00AA7E95"/>
    <w:rsid w:val="00AB076D"/>
    <w:rsid w:val="00AB0BE6"/>
    <w:rsid w:val="00AB2797"/>
    <w:rsid w:val="00AB29C1"/>
    <w:rsid w:val="00AB3C14"/>
    <w:rsid w:val="00AB42EC"/>
    <w:rsid w:val="00AB61FD"/>
    <w:rsid w:val="00AC07AD"/>
    <w:rsid w:val="00AC0C2A"/>
    <w:rsid w:val="00AC1397"/>
    <w:rsid w:val="00AC248F"/>
    <w:rsid w:val="00AC2FF2"/>
    <w:rsid w:val="00AC38C5"/>
    <w:rsid w:val="00AC477C"/>
    <w:rsid w:val="00AC4DC4"/>
    <w:rsid w:val="00AC5F41"/>
    <w:rsid w:val="00AC6101"/>
    <w:rsid w:val="00AC659F"/>
    <w:rsid w:val="00AC6DC4"/>
    <w:rsid w:val="00AC6DD4"/>
    <w:rsid w:val="00AC731E"/>
    <w:rsid w:val="00AC747C"/>
    <w:rsid w:val="00AD0593"/>
    <w:rsid w:val="00AD3598"/>
    <w:rsid w:val="00AD3FE9"/>
    <w:rsid w:val="00AD4316"/>
    <w:rsid w:val="00AD4935"/>
    <w:rsid w:val="00AD51C9"/>
    <w:rsid w:val="00AD5F7B"/>
    <w:rsid w:val="00AD641B"/>
    <w:rsid w:val="00AD73FA"/>
    <w:rsid w:val="00AE05B8"/>
    <w:rsid w:val="00AE061F"/>
    <w:rsid w:val="00AE0DE4"/>
    <w:rsid w:val="00AE1B5B"/>
    <w:rsid w:val="00AE22C9"/>
    <w:rsid w:val="00AE35A6"/>
    <w:rsid w:val="00AE3A43"/>
    <w:rsid w:val="00AE3D2A"/>
    <w:rsid w:val="00AE49D9"/>
    <w:rsid w:val="00AE4C11"/>
    <w:rsid w:val="00AE5317"/>
    <w:rsid w:val="00AE6397"/>
    <w:rsid w:val="00AE758B"/>
    <w:rsid w:val="00AF0018"/>
    <w:rsid w:val="00AF09C8"/>
    <w:rsid w:val="00AF1405"/>
    <w:rsid w:val="00AF3664"/>
    <w:rsid w:val="00AF3823"/>
    <w:rsid w:val="00AF3B55"/>
    <w:rsid w:val="00AF42A1"/>
    <w:rsid w:val="00AF4E01"/>
    <w:rsid w:val="00AF50C4"/>
    <w:rsid w:val="00AF62B7"/>
    <w:rsid w:val="00AF63D4"/>
    <w:rsid w:val="00AF694B"/>
    <w:rsid w:val="00AF7783"/>
    <w:rsid w:val="00AF7A10"/>
    <w:rsid w:val="00B00435"/>
    <w:rsid w:val="00B00943"/>
    <w:rsid w:val="00B0113F"/>
    <w:rsid w:val="00B01918"/>
    <w:rsid w:val="00B0232E"/>
    <w:rsid w:val="00B037F1"/>
    <w:rsid w:val="00B03936"/>
    <w:rsid w:val="00B042CC"/>
    <w:rsid w:val="00B05F14"/>
    <w:rsid w:val="00B07EA4"/>
    <w:rsid w:val="00B1011F"/>
    <w:rsid w:val="00B11232"/>
    <w:rsid w:val="00B11697"/>
    <w:rsid w:val="00B11BD4"/>
    <w:rsid w:val="00B12361"/>
    <w:rsid w:val="00B1381E"/>
    <w:rsid w:val="00B16010"/>
    <w:rsid w:val="00B16EFD"/>
    <w:rsid w:val="00B176C2"/>
    <w:rsid w:val="00B17978"/>
    <w:rsid w:val="00B21B01"/>
    <w:rsid w:val="00B23012"/>
    <w:rsid w:val="00B2367C"/>
    <w:rsid w:val="00B24322"/>
    <w:rsid w:val="00B24FA5"/>
    <w:rsid w:val="00B26677"/>
    <w:rsid w:val="00B26882"/>
    <w:rsid w:val="00B26960"/>
    <w:rsid w:val="00B269A9"/>
    <w:rsid w:val="00B30135"/>
    <w:rsid w:val="00B305AD"/>
    <w:rsid w:val="00B32A69"/>
    <w:rsid w:val="00B32BA9"/>
    <w:rsid w:val="00B32FE9"/>
    <w:rsid w:val="00B343EF"/>
    <w:rsid w:val="00B36352"/>
    <w:rsid w:val="00B364D6"/>
    <w:rsid w:val="00B37720"/>
    <w:rsid w:val="00B4074D"/>
    <w:rsid w:val="00B40A04"/>
    <w:rsid w:val="00B4111E"/>
    <w:rsid w:val="00B4175F"/>
    <w:rsid w:val="00B41D53"/>
    <w:rsid w:val="00B41F15"/>
    <w:rsid w:val="00B4280B"/>
    <w:rsid w:val="00B42827"/>
    <w:rsid w:val="00B44031"/>
    <w:rsid w:val="00B44A7B"/>
    <w:rsid w:val="00B45EAD"/>
    <w:rsid w:val="00B476EB"/>
    <w:rsid w:val="00B5016B"/>
    <w:rsid w:val="00B50B00"/>
    <w:rsid w:val="00B50EB6"/>
    <w:rsid w:val="00B51B74"/>
    <w:rsid w:val="00B51E12"/>
    <w:rsid w:val="00B52458"/>
    <w:rsid w:val="00B52968"/>
    <w:rsid w:val="00B53A68"/>
    <w:rsid w:val="00B54869"/>
    <w:rsid w:val="00B54F89"/>
    <w:rsid w:val="00B55611"/>
    <w:rsid w:val="00B55C13"/>
    <w:rsid w:val="00B57260"/>
    <w:rsid w:val="00B57D23"/>
    <w:rsid w:val="00B60738"/>
    <w:rsid w:val="00B6098B"/>
    <w:rsid w:val="00B60B8C"/>
    <w:rsid w:val="00B60C73"/>
    <w:rsid w:val="00B6221B"/>
    <w:rsid w:val="00B62E50"/>
    <w:rsid w:val="00B64C17"/>
    <w:rsid w:val="00B6580B"/>
    <w:rsid w:val="00B6647D"/>
    <w:rsid w:val="00B66F63"/>
    <w:rsid w:val="00B67887"/>
    <w:rsid w:val="00B67D89"/>
    <w:rsid w:val="00B704E9"/>
    <w:rsid w:val="00B70ED1"/>
    <w:rsid w:val="00B70FD2"/>
    <w:rsid w:val="00B712B6"/>
    <w:rsid w:val="00B7211C"/>
    <w:rsid w:val="00B7370E"/>
    <w:rsid w:val="00B7502F"/>
    <w:rsid w:val="00B752C4"/>
    <w:rsid w:val="00B760B8"/>
    <w:rsid w:val="00B7681B"/>
    <w:rsid w:val="00B76AE5"/>
    <w:rsid w:val="00B76FA4"/>
    <w:rsid w:val="00B76FFE"/>
    <w:rsid w:val="00B77177"/>
    <w:rsid w:val="00B80355"/>
    <w:rsid w:val="00B80B37"/>
    <w:rsid w:val="00B80F0F"/>
    <w:rsid w:val="00B81710"/>
    <w:rsid w:val="00B81C17"/>
    <w:rsid w:val="00B829D0"/>
    <w:rsid w:val="00B82CFF"/>
    <w:rsid w:val="00B83DCF"/>
    <w:rsid w:val="00B8519D"/>
    <w:rsid w:val="00B85C76"/>
    <w:rsid w:val="00B87BF7"/>
    <w:rsid w:val="00B905BE"/>
    <w:rsid w:val="00B90839"/>
    <w:rsid w:val="00B90919"/>
    <w:rsid w:val="00B91211"/>
    <w:rsid w:val="00B92FBD"/>
    <w:rsid w:val="00B93F06"/>
    <w:rsid w:val="00B95F2C"/>
    <w:rsid w:val="00B96304"/>
    <w:rsid w:val="00B96CA0"/>
    <w:rsid w:val="00B9713A"/>
    <w:rsid w:val="00B97B53"/>
    <w:rsid w:val="00BA0852"/>
    <w:rsid w:val="00BA0E73"/>
    <w:rsid w:val="00BA1530"/>
    <w:rsid w:val="00BA254F"/>
    <w:rsid w:val="00BA41C5"/>
    <w:rsid w:val="00BA6C70"/>
    <w:rsid w:val="00BB4093"/>
    <w:rsid w:val="00BB52E1"/>
    <w:rsid w:val="00BB5FA1"/>
    <w:rsid w:val="00BC1D2A"/>
    <w:rsid w:val="00BC2385"/>
    <w:rsid w:val="00BC571C"/>
    <w:rsid w:val="00BC60F1"/>
    <w:rsid w:val="00BC6CDD"/>
    <w:rsid w:val="00BC725F"/>
    <w:rsid w:val="00BD00E7"/>
    <w:rsid w:val="00BD04A6"/>
    <w:rsid w:val="00BD0707"/>
    <w:rsid w:val="00BD0AAF"/>
    <w:rsid w:val="00BD167A"/>
    <w:rsid w:val="00BD2F83"/>
    <w:rsid w:val="00BD31D3"/>
    <w:rsid w:val="00BD3646"/>
    <w:rsid w:val="00BD36FE"/>
    <w:rsid w:val="00BD3AAD"/>
    <w:rsid w:val="00BD4B58"/>
    <w:rsid w:val="00BD5D84"/>
    <w:rsid w:val="00BD7A95"/>
    <w:rsid w:val="00BD7CFC"/>
    <w:rsid w:val="00BD7EF6"/>
    <w:rsid w:val="00BE0679"/>
    <w:rsid w:val="00BE093C"/>
    <w:rsid w:val="00BE17D0"/>
    <w:rsid w:val="00BE186E"/>
    <w:rsid w:val="00BE288C"/>
    <w:rsid w:val="00BE296C"/>
    <w:rsid w:val="00BE2C54"/>
    <w:rsid w:val="00BE4751"/>
    <w:rsid w:val="00BE73D5"/>
    <w:rsid w:val="00BE7643"/>
    <w:rsid w:val="00BF0073"/>
    <w:rsid w:val="00BF0470"/>
    <w:rsid w:val="00BF15A1"/>
    <w:rsid w:val="00BF258D"/>
    <w:rsid w:val="00BF2810"/>
    <w:rsid w:val="00BF3DF1"/>
    <w:rsid w:val="00BF46D1"/>
    <w:rsid w:val="00BF4A12"/>
    <w:rsid w:val="00BF4B6B"/>
    <w:rsid w:val="00BF5AB1"/>
    <w:rsid w:val="00BF70D7"/>
    <w:rsid w:val="00C00077"/>
    <w:rsid w:val="00C00E03"/>
    <w:rsid w:val="00C01E7F"/>
    <w:rsid w:val="00C02075"/>
    <w:rsid w:val="00C02550"/>
    <w:rsid w:val="00C03AF4"/>
    <w:rsid w:val="00C03E6F"/>
    <w:rsid w:val="00C04AFC"/>
    <w:rsid w:val="00C050B0"/>
    <w:rsid w:val="00C0551D"/>
    <w:rsid w:val="00C0591D"/>
    <w:rsid w:val="00C05B28"/>
    <w:rsid w:val="00C06E06"/>
    <w:rsid w:val="00C07097"/>
    <w:rsid w:val="00C0773C"/>
    <w:rsid w:val="00C1024F"/>
    <w:rsid w:val="00C10FF7"/>
    <w:rsid w:val="00C110C8"/>
    <w:rsid w:val="00C11834"/>
    <w:rsid w:val="00C11995"/>
    <w:rsid w:val="00C11E33"/>
    <w:rsid w:val="00C13249"/>
    <w:rsid w:val="00C14B53"/>
    <w:rsid w:val="00C170FC"/>
    <w:rsid w:val="00C171E1"/>
    <w:rsid w:val="00C176E5"/>
    <w:rsid w:val="00C204FD"/>
    <w:rsid w:val="00C20613"/>
    <w:rsid w:val="00C21451"/>
    <w:rsid w:val="00C22638"/>
    <w:rsid w:val="00C2329C"/>
    <w:rsid w:val="00C23809"/>
    <w:rsid w:val="00C24225"/>
    <w:rsid w:val="00C24DD5"/>
    <w:rsid w:val="00C252F0"/>
    <w:rsid w:val="00C258B2"/>
    <w:rsid w:val="00C263B9"/>
    <w:rsid w:val="00C3081A"/>
    <w:rsid w:val="00C336F8"/>
    <w:rsid w:val="00C34481"/>
    <w:rsid w:val="00C34669"/>
    <w:rsid w:val="00C349C9"/>
    <w:rsid w:val="00C34FBC"/>
    <w:rsid w:val="00C35254"/>
    <w:rsid w:val="00C35DA8"/>
    <w:rsid w:val="00C35E26"/>
    <w:rsid w:val="00C40050"/>
    <w:rsid w:val="00C41481"/>
    <w:rsid w:val="00C42C22"/>
    <w:rsid w:val="00C443C2"/>
    <w:rsid w:val="00C44584"/>
    <w:rsid w:val="00C4504D"/>
    <w:rsid w:val="00C456C8"/>
    <w:rsid w:val="00C45E25"/>
    <w:rsid w:val="00C46399"/>
    <w:rsid w:val="00C467E0"/>
    <w:rsid w:val="00C46E52"/>
    <w:rsid w:val="00C46F8E"/>
    <w:rsid w:val="00C50B1A"/>
    <w:rsid w:val="00C50EEF"/>
    <w:rsid w:val="00C51E0E"/>
    <w:rsid w:val="00C51E8E"/>
    <w:rsid w:val="00C52381"/>
    <w:rsid w:val="00C52C2B"/>
    <w:rsid w:val="00C53389"/>
    <w:rsid w:val="00C54C12"/>
    <w:rsid w:val="00C556B2"/>
    <w:rsid w:val="00C559E2"/>
    <w:rsid w:val="00C6096E"/>
    <w:rsid w:val="00C60F28"/>
    <w:rsid w:val="00C6138F"/>
    <w:rsid w:val="00C613EB"/>
    <w:rsid w:val="00C61756"/>
    <w:rsid w:val="00C61FD8"/>
    <w:rsid w:val="00C62354"/>
    <w:rsid w:val="00C62390"/>
    <w:rsid w:val="00C62564"/>
    <w:rsid w:val="00C62709"/>
    <w:rsid w:val="00C646A9"/>
    <w:rsid w:val="00C6485C"/>
    <w:rsid w:val="00C64DD4"/>
    <w:rsid w:val="00C6579F"/>
    <w:rsid w:val="00C6594C"/>
    <w:rsid w:val="00C65E0A"/>
    <w:rsid w:val="00C65F91"/>
    <w:rsid w:val="00C66093"/>
    <w:rsid w:val="00C6682C"/>
    <w:rsid w:val="00C7026C"/>
    <w:rsid w:val="00C7113D"/>
    <w:rsid w:val="00C7393D"/>
    <w:rsid w:val="00C753E5"/>
    <w:rsid w:val="00C76ECD"/>
    <w:rsid w:val="00C77A55"/>
    <w:rsid w:val="00C77B35"/>
    <w:rsid w:val="00C80A68"/>
    <w:rsid w:val="00C821E2"/>
    <w:rsid w:val="00C84D22"/>
    <w:rsid w:val="00C84EAF"/>
    <w:rsid w:val="00C85829"/>
    <w:rsid w:val="00C9163F"/>
    <w:rsid w:val="00C92703"/>
    <w:rsid w:val="00C9273F"/>
    <w:rsid w:val="00C939DB"/>
    <w:rsid w:val="00C94B89"/>
    <w:rsid w:val="00C94F10"/>
    <w:rsid w:val="00C955A7"/>
    <w:rsid w:val="00C960AB"/>
    <w:rsid w:val="00C96564"/>
    <w:rsid w:val="00C967B8"/>
    <w:rsid w:val="00C97011"/>
    <w:rsid w:val="00C9783C"/>
    <w:rsid w:val="00C97B58"/>
    <w:rsid w:val="00C97BF9"/>
    <w:rsid w:val="00C97DC6"/>
    <w:rsid w:val="00CA03C5"/>
    <w:rsid w:val="00CA1BC4"/>
    <w:rsid w:val="00CA38CF"/>
    <w:rsid w:val="00CA3C02"/>
    <w:rsid w:val="00CA6F9B"/>
    <w:rsid w:val="00CA774F"/>
    <w:rsid w:val="00CB02BA"/>
    <w:rsid w:val="00CB0A4D"/>
    <w:rsid w:val="00CB0DB6"/>
    <w:rsid w:val="00CB129A"/>
    <w:rsid w:val="00CB1A0D"/>
    <w:rsid w:val="00CB2789"/>
    <w:rsid w:val="00CB30D7"/>
    <w:rsid w:val="00CB353E"/>
    <w:rsid w:val="00CB3E01"/>
    <w:rsid w:val="00CB468D"/>
    <w:rsid w:val="00CB4C37"/>
    <w:rsid w:val="00CB4C56"/>
    <w:rsid w:val="00CB53A5"/>
    <w:rsid w:val="00CB5AAF"/>
    <w:rsid w:val="00CB6276"/>
    <w:rsid w:val="00CB656B"/>
    <w:rsid w:val="00CC1B97"/>
    <w:rsid w:val="00CC2134"/>
    <w:rsid w:val="00CC2B0B"/>
    <w:rsid w:val="00CC522D"/>
    <w:rsid w:val="00CC551E"/>
    <w:rsid w:val="00CC6446"/>
    <w:rsid w:val="00CC721A"/>
    <w:rsid w:val="00CC7448"/>
    <w:rsid w:val="00CC7C14"/>
    <w:rsid w:val="00CD01DF"/>
    <w:rsid w:val="00CD059B"/>
    <w:rsid w:val="00CD0EC0"/>
    <w:rsid w:val="00CD210E"/>
    <w:rsid w:val="00CD22E3"/>
    <w:rsid w:val="00CD2A75"/>
    <w:rsid w:val="00CD30B7"/>
    <w:rsid w:val="00CD32F8"/>
    <w:rsid w:val="00CD3BE6"/>
    <w:rsid w:val="00CD480E"/>
    <w:rsid w:val="00CD50B4"/>
    <w:rsid w:val="00CD51A0"/>
    <w:rsid w:val="00CD5250"/>
    <w:rsid w:val="00CD5CF0"/>
    <w:rsid w:val="00CD680C"/>
    <w:rsid w:val="00CD6E61"/>
    <w:rsid w:val="00CE1667"/>
    <w:rsid w:val="00CE1B46"/>
    <w:rsid w:val="00CE1B88"/>
    <w:rsid w:val="00CE1E00"/>
    <w:rsid w:val="00CE2944"/>
    <w:rsid w:val="00CE448A"/>
    <w:rsid w:val="00CE52E5"/>
    <w:rsid w:val="00CE60D3"/>
    <w:rsid w:val="00CE72FB"/>
    <w:rsid w:val="00CE7588"/>
    <w:rsid w:val="00CE774D"/>
    <w:rsid w:val="00CE7805"/>
    <w:rsid w:val="00CE7E4E"/>
    <w:rsid w:val="00CF2BC1"/>
    <w:rsid w:val="00CF2F93"/>
    <w:rsid w:val="00CF328E"/>
    <w:rsid w:val="00CF3AC9"/>
    <w:rsid w:val="00CF45DB"/>
    <w:rsid w:val="00CF511A"/>
    <w:rsid w:val="00CF5160"/>
    <w:rsid w:val="00CF5FDB"/>
    <w:rsid w:val="00D0029C"/>
    <w:rsid w:val="00D0173C"/>
    <w:rsid w:val="00D02169"/>
    <w:rsid w:val="00D049E3"/>
    <w:rsid w:val="00D05427"/>
    <w:rsid w:val="00D060DC"/>
    <w:rsid w:val="00D06DD0"/>
    <w:rsid w:val="00D070CA"/>
    <w:rsid w:val="00D07F72"/>
    <w:rsid w:val="00D115F9"/>
    <w:rsid w:val="00D11B5C"/>
    <w:rsid w:val="00D13DFD"/>
    <w:rsid w:val="00D14453"/>
    <w:rsid w:val="00D14868"/>
    <w:rsid w:val="00D218B4"/>
    <w:rsid w:val="00D246B3"/>
    <w:rsid w:val="00D24D35"/>
    <w:rsid w:val="00D24D42"/>
    <w:rsid w:val="00D258C2"/>
    <w:rsid w:val="00D25DB6"/>
    <w:rsid w:val="00D25EE5"/>
    <w:rsid w:val="00D262CC"/>
    <w:rsid w:val="00D30122"/>
    <w:rsid w:val="00D3218D"/>
    <w:rsid w:val="00D33931"/>
    <w:rsid w:val="00D3398B"/>
    <w:rsid w:val="00D343C0"/>
    <w:rsid w:val="00D35221"/>
    <w:rsid w:val="00D35962"/>
    <w:rsid w:val="00D35A31"/>
    <w:rsid w:val="00D365C4"/>
    <w:rsid w:val="00D36A3A"/>
    <w:rsid w:val="00D37682"/>
    <w:rsid w:val="00D377D8"/>
    <w:rsid w:val="00D3787E"/>
    <w:rsid w:val="00D40560"/>
    <w:rsid w:val="00D41437"/>
    <w:rsid w:val="00D41664"/>
    <w:rsid w:val="00D41827"/>
    <w:rsid w:val="00D43B9F"/>
    <w:rsid w:val="00D450A4"/>
    <w:rsid w:val="00D45C65"/>
    <w:rsid w:val="00D47304"/>
    <w:rsid w:val="00D47BB9"/>
    <w:rsid w:val="00D47D2A"/>
    <w:rsid w:val="00D50596"/>
    <w:rsid w:val="00D505C7"/>
    <w:rsid w:val="00D5129B"/>
    <w:rsid w:val="00D53ECD"/>
    <w:rsid w:val="00D57159"/>
    <w:rsid w:val="00D60F3D"/>
    <w:rsid w:val="00D61618"/>
    <w:rsid w:val="00D61DBD"/>
    <w:rsid w:val="00D626DB"/>
    <w:rsid w:val="00D635DC"/>
    <w:rsid w:val="00D64BC7"/>
    <w:rsid w:val="00D653A4"/>
    <w:rsid w:val="00D67156"/>
    <w:rsid w:val="00D7027A"/>
    <w:rsid w:val="00D71396"/>
    <w:rsid w:val="00D713EF"/>
    <w:rsid w:val="00D71D87"/>
    <w:rsid w:val="00D723F5"/>
    <w:rsid w:val="00D72B52"/>
    <w:rsid w:val="00D73D5D"/>
    <w:rsid w:val="00D73E07"/>
    <w:rsid w:val="00D74CA2"/>
    <w:rsid w:val="00D76C01"/>
    <w:rsid w:val="00D76C2F"/>
    <w:rsid w:val="00D76E13"/>
    <w:rsid w:val="00D77807"/>
    <w:rsid w:val="00D80AC7"/>
    <w:rsid w:val="00D81815"/>
    <w:rsid w:val="00D82A74"/>
    <w:rsid w:val="00D82B69"/>
    <w:rsid w:val="00D82CB6"/>
    <w:rsid w:val="00D83048"/>
    <w:rsid w:val="00D83B72"/>
    <w:rsid w:val="00D853C1"/>
    <w:rsid w:val="00D85DEB"/>
    <w:rsid w:val="00D863CA"/>
    <w:rsid w:val="00D86830"/>
    <w:rsid w:val="00D86FE5"/>
    <w:rsid w:val="00D8788F"/>
    <w:rsid w:val="00D90060"/>
    <w:rsid w:val="00D9127B"/>
    <w:rsid w:val="00D914BC"/>
    <w:rsid w:val="00D93619"/>
    <w:rsid w:val="00D962B5"/>
    <w:rsid w:val="00D96508"/>
    <w:rsid w:val="00D974C3"/>
    <w:rsid w:val="00DA13CC"/>
    <w:rsid w:val="00DA19D2"/>
    <w:rsid w:val="00DA3A0B"/>
    <w:rsid w:val="00DA5593"/>
    <w:rsid w:val="00DA5C8A"/>
    <w:rsid w:val="00DA6F3C"/>
    <w:rsid w:val="00DB0766"/>
    <w:rsid w:val="00DB0775"/>
    <w:rsid w:val="00DB0A7A"/>
    <w:rsid w:val="00DB1011"/>
    <w:rsid w:val="00DB2472"/>
    <w:rsid w:val="00DB2CF8"/>
    <w:rsid w:val="00DB36D8"/>
    <w:rsid w:val="00DB49DB"/>
    <w:rsid w:val="00DB59BF"/>
    <w:rsid w:val="00DB64E3"/>
    <w:rsid w:val="00DB6630"/>
    <w:rsid w:val="00DB77E1"/>
    <w:rsid w:val="00DC0605"/>
    <w:rsid w:val="00DC1A2D"/>
    <w:rsid w:val="00DC3962"/>
    <w:rsid w:val="00DC4DE2"/>
    <w:rsid w:val="00DC5D36"/>
    <w:rsid w:val="00DC60ED"/>
    <w:rsid w:val="00DC7E87"/>
    <w:rsid w:val="00DD0FF6"/>
    <w:rsid w:val="00DD1BD9"/>
    <w:rsid w:val="00DD1E27"/>
    <w:rsid w:val="00DD2028"/>
    <w:rsid w:val="00DD274B"/>
    <w:rsid w:val="00DD34AC"/>
    <w:rsid w:val="00DD3A3F"/>
    <w:rsid w:val="00DD3EEE"/>
    <w:rsid w:val="00DD57F3"/>
    <w:rsid w:val="00DD582D"/>
    <w:rsid w:val="00DD5B67"/>
    <w:rsid w:val="00DD68D2"/>
    <w:rsid w:val="00DD6DA6"/>
    <w:rsid w:val="00DD7995"/>
    <w:rsid w:val="00DE1072"/>
    <w:rsid w:val="00DE23D5"/>
    <w:rsid w:val="00DE3A35"/>
    <w:rsid w:val="00DE596A"/>
    <w:rsid w:val="00DE5C47"/>
    <w:rsid w:val="00DE5FCD"/>
    <w:rsid w:val="00DE6550"/>
    <w:rsid w:val="00DE71F0"/>
    <w:rsid w:val="00DE7934"/>
    <w:rsid w:val="00DF3669"/>
    <w:rsid w:val="00DF386A"/>
    <w:rsid w:val="00DF3E84"/>
    <w:rsid w:val="00DF404F"/>
    <w:rsid w:val="00DF53E1"/>
    <w:rsid w:val="00DF5907"/>
    <w:rsid w:val="00DF638F"/>
    <w:rsid w:val="00DF6ECB"/>
    <w:rsid w:val="00DF7AEE"/>
    <w:rsid w:val="00DF7C8F"/>
    <w:rsid w:val="00DF7FAC"/>
    <w:rsid w:val="00E00B61"/>
    <w:rsid w:val="00E01EE3"/>
    <w:rsid w:val="00E026C1"/>
    <w:rsid w:val="00E02D75"/>
    <w:rsid w:val="00E03BAB"/>
    <w:rsid w:val="00E04168"/>
    <w:rsid w:val="00E043E1"/>
    <w:rsid w:val="00E05AE0"/>
    <w:rsid w:val="00E061F2"/>
    <w:rsid w:val="00E0657E"/>
    <w:rsid w:val="00E06CCA"/>
    <w:rsid w:val="00E06D56"/>
    <w:rsid w:val="00E07274"/>
    <w:rsid w:val="00E105BF"/>
    <w:rsid w:val="00E10D14"/>
    <w:rsid w:val="00E1159F"/>
    <w:rsid w:val="00E118E4"/>
    <w:rsid w:val="00E122FB"/>
    <w:rsid w:val="00E12813"/>
    <w:rsid w:val="00E13410"/>
    <w:rsid w:val="00E140EA"/>
    <w:rsid w:val="00E1514B"/>
    <w:rsid w:val="00E155A3"/>
    <w:rsid w:val="00E16205"/>
    <w:rsid w:val="00E177BE"/>
    <w:rsid w:val="00E17B7D"/>
    <w:rsid w:val="00E20476"/>
    <w:rsid w:val="00E20EE8"/>
    <w:rsid w:val="00E2123F"/>
    <w:rsid w:val="00E2185F"/>
    <w:rsid w:val="00E2192A"/>
    <w:rsid w:val="00E221A8"/>
    <w:rsid w:val="00E226DC"/>
    <w:rsid w:val="00E22EA7"/>
    <w:rsid w:val="00E24DAC"/>
    <w:rsid w:val="00E255E2"/>
    <w:rsid w:val="00E2585F"/>
    <w:rsid w:val="00E2663C"/>
    <w:rsid w:val="00E26762"/>
    <w:rsid w:val="00E26F80"/>
    <w:rsid w:val="00E31723"/>
    <w:rsid w:val="00E31CAE"/>
    <w:rsid w:val="00E31F0F"/>
    <w:rsid w:val="00E3282B"/>
    <w:rsid w:val="00E32F4F"/>
    <w:rsid w:val="00E339C1"/>
    <w:rsid w:val="00E33AFA"/>
    <w:rsid w:val="00E33F20"/>
    <w:rsid w:val="00E34070"/>
    <w:rsid w:val="00E36662"/>
    <w:rsid w:val="00E36672"/>
    <w:rsid w:val="00E37267"/>
    <w:rsid w:val="00E37ACA"/>
    <w:rsid w:val="00E37BAD"/>
    <w:rsid w:val="00E37CEE"/>
    <w:rsid w:val="00E4129D"/>
    <w:rsid w:val="00E42627"/>
    <w:rsid w:val="00E445D9"/>
    <w:rsid w:val="00E4493E"/>
    <w:rsid w:val="00E51AFD"/>
    <w:rsid w:val="00E51E81"/>
    <w:rsid w:val="00E54B4F"/>
    <w:rsid w:val="00E55390"/>
    <w:rsid w:val="00E55F9A"/>
    <w:rsid w:val="00E5629F"/>
    <w:rsid w:val="00E57341"/>
    <w:rsid w:val="00E61BD1"/>
    <w:rsid w:val="00E61F32"/>
    <w:rsid w:val="00E62C1C"/>
    <w:rsid w:val="00E632F7"/>
    <w:rsid w:val="00E63CB6"/>
    <w:rsid w:val="00E641E4"/>
    <w:rsid w:val="00E65123"/>
    <w:rsid w:val="00E65392"/>
    <w:rsid w:val="00E67566"/>
    <w:rsid w:val="00E67760"/>
    <w:rsid w:val="00E7052B"/>
    <w:rsid w:val="00E70B7F"/>
    <w:rsid w:val="00E70C31"/>
    <w:rsid w:val="00E70FE1"/>
    <w:rsid w:val="00E712EF"/>
    <w:rsid w:val="00E72024"/>
    <w:rsid w:val="00E72E45"/>
    <w:rsid w:val="00E73442"/>
    <w:rsid w:val="00E73F5B"/>
    <w:rsid w:val="00E7469F"/>
    <w:rsid w:val="00E759F2"/>
    <w:rsid w:val="00E75D6D"/>
    <w:rsid w:val="00E75E90"/>
    <w:rsid w:val="00E76516"/>
    <w:rsid w:val="00E768A2"/>
    <w:rsid w:val="00E76DBA"/>
    <w:rsid w:val="00E76F2D"/>
    <w:rsid w:val="00E826B7"/>
    <w:rsid w:val="00E82A64"/>
    <w:rsid w:val="00E82DCB"/>
    <w:rsid w:val="00E83486"/>
    <w:rsid w:val="00E8387E"/>
    <w:rsid w:val="00E83BCA"/>
    <w:rsid w:val="00E83EFE"/>
    <w:rsid w:val="00E84FF2"/>
    <w:rsid w:val="00E856CC"/>
    <w:rsid w:val="00E860EE"/>
    <w:rsid w:val="00E8612E"/>
    <w:rsid w:val="00E877E7"/>
    <w:rsid w:val="00E87E47"/>
    <w:rsid w:val="00E90251"/>
    <w:rsid w:val="00E90701"/>
    <w:rsid w:val="00E9074F"/>
    <w:rsid w:val="00E90D81"/>
    <w:rsid w:val="00E92501"/>
    <w:rsid w:val="00E92FB9"/>
    <w:rsid w:val="00E934B3"/>
    <w:rsid w:val="00E93B22"/>
    <w:rsid w:val="00E951A9"/>
    <w:rsid w:val="00E97765"/>
    <w:rsid w:val="00EA2E90"/>
    <w:rsid w:val="00EA3124"/>
    <w:rsid w:val="00EA4EBB"/>
    <w:rsid w:val="00EA64FD"/>
    <w:rsid w:val="00EA6A55"/>
    <w:rsid w:val="00EB0528"/>
    <w:rsid w:val="00EB0D00"/>
    <w:rsid w:val="00EB0DF6"/>
    <w:rsid w:val="00EB244C"/>
    <w:rsid w:val="00EB3394"/>
    <w:rsid w:val="00EB3685"/>
    <w:rsid w:val="00EB3F83"/>
    <w:rsid w:val="00EB49E2"/>
    <w:rsid w:val="00EB49FD"/>
    <w:rsid w:val="00EB5A86"/>
    <w:rsid w:val="00EB5BB2"/>
    <w:rsid w:val="00EB60E4"/>
    <w:rsid w:val="00EB6508"/>
    <w:rsid w:val="00EB6E9E"/>
    <w:rsid w:val="00EB6F29"/>
    <w:rsid w:val="00EC195C"/>
    <w:rsid w:val="00EC2302"/>
    <w:rsid w:val="00EC47D9"/>
    <w:rsid w:val="00EC5BA3"/>
    <w:rsid w:val="00EC636B"/>
    <w:rsid w:val="00EC6634"/>
    <w:rsid w:val="00EC711E"/>
    <w:rsid w:val="00EC7B66"/>
    <w:rsid w:val="00EC7CA1"/>
    <w:rsid w:val="00ED07FB"/>
    <w:rsid w:val="00ED0E99"/>
    <w:rsid w:val="00ED26F7"/>
    <w:rsid w:val="00ED314C"/>
    <w:rsid w:val="00ED35B7"/>
    <w:rsid w:val="00ED3ED3"/>
    <w:rsid w:val="00ED4206"/>
    <w:rsid w:val="00ED7CDB"/>
    <w:rsid w:val="00EE02A6"/>
    <w:rsid w:val="00EE1477"/>
    <w:rsid w:val="00EE204A"/>
    <w:rsid w:val="00EE27D2"/>
    <w:rsid w:val="00EE3060"/>
    <w:rsid w:val="00EE3367"/>
    <w:rsid w:val="00EE3BC1"/>
    <w:rsid w:val="00EE5476"/>
    <w:rsid w:val="00EE5812"/>
    <w:rsid w:val="00EE5BA0"/>
    <w:rsid w:val="00EF067C"/>
    <w:rsid w:val="00EF0993"/>
    <w:rsid w:val="00EF1552"/>
    <w:rsid w:val="00EF2105"/>
    <w:rsid w:val="00EF25EA"/>
    <w:rsid w:val="00EF2BC4"/>
    <w:rsid w:val="00EF3B2B"/>
    <w:rsid w:val="00EF3F8D"/>
    <w:rsid w:val="00EF4C03"/>
    <w:rsid w:val="00EF59DD"/>
    <w:rsid w:val="00EF7BDE"/>
    <w:rsid w:val="00F017D4"/>
    <w:rsid w:val="00F02055"/>
    <w:rsid w:val="00F023F3"/>
    <w:rsid w:val="00F024B3"/>
    <w:rsid w:val="00F024C0"/>
    <w:rsid w:val="00F02A94"/>
    <w:rsid w:val="00F03384"/>
    <w:rsid w:val="00F03B16"/>
    <w:rsid w:val="00F04F56"/>
    <w:rsid w:val="00F05D9F"/>
    <w:rsid w:val="00F10C5E"/>
    <w:rsid w:val="00F12701"/>
    <w:rsid w:val="00F12A37"/>
    <w:rsid w:val="00F12D49"/>
    <w:rsid w:val="00F151CC"/>
    <w:rsid w:val="00F15383"/>
    <w:rsid w:val="00F16027"/>
    <w:rsid w:val="00F1644E"/>
    <w:rsid w:val="00F1668D"/>
    <w:rsid w:val="00F173F2"/>
    <w:rsid w:val="00F2022B"/>
    <w:rsid w:val="00F20DCD"/>
    <w:rsid w:val="00F20DDB"/>
    <w:rsid w:val="00F20E34"/>
    <w:rsid w:val="00F22393"/>
    <w:rsid w:val="00F22F1A"/>
    <w:rsid w:val="00F238AF"/>
    <w:rsid w:val="00F25BB7"/>
    <w:rsid w:val="00F262CF"/>
    <w:rsid w:val="00F31387"/>
    <w:rsid w:val="00F3341E"/>
    <w:rsid w:val="00F33DE4"/>
    <w:rsid w:val="00F34841"/>
    <w:rsid w:val="00F34E2F"/>
    <w:rsid w:val="00F355AC"/>
    <w:rsid w:val="00F35E57"/>
    <w:rsid w:val="00F371EB"/>
    <w:rsid w:val="00F41F1E"/>
    <w:rsid w:val="00F433CF"/>
    <w:rsid w:val="00F44F40"/>
    <w:rsid w:val="00F450C9"/>
    <w:rsid w:val="00F4756E"/>
    <w:rsid w:val="00F47BC7"/>
    <w:rsid w:val="00F5130F"/>
    <w:rsid w:val="00F518AE"/>
    <w:rsid w:val="00F5295A"/>
    <w:rsid w:val="00F52EEF"/>
    <w:rsid w:val="00F53142"/>
    <w:rsid w:val="00F536FB"/>
    <w:rsid w:val="00F5419E"/>
    <w:rsid w:val="00F54635"/>
    <w:rsid w:val="00F54EF0"/>
    <w:rsid w:val="00F556F0"/>
    <w:rsid w:val="00F560A2"/>
    <w:rsid w:val="00F5744B"/>
    <w:rsid w:val="00F57AF0"/>
    <w:rsid w:val="00F57B87"/>
    <w:rsid w:val="00F57E4D"/>
    <w:rsid w:val="00F60165"/>
    <w:rsid w:val="00F618BE"/>
    <w:rsid w:val="00F624BA"/>
    <w:rsid w:val="00F62A6E"/>
    <w:rsid w:val="00F62F6C"/>
    <w:rsid w:val="00F63A19"/>
    <w:rsid w:val="00F63E7B"/>
    <w:rsid w:val="00F6424D"/>
    <w:rsid w:val="00F64D56"/>
    <w:rsid w:val="00F65A70"/>
    <w:rsid w:val="00F66DED"/>
    <w:rsid w:val="00F67101"/>
    <w:rsid w:val="00F6766F"/>
    <w:rsid w:val="00F702C1"/>
    <w:rsid w:val="00F733C1"/>
    <w:rsid w:val="00F74101"/>
    <w:rsid w:val="00F75F1F"/>
    <w:rsid w:val="00F76C89"/>
    <w:rsid w:val="00F76D07"/>
    <w:rsid w:val="00F77F9A"/>
    <w:rsid w:val="00F816BB"/>
    <w:rsid w:val="00F81887"/>
    <w:rsid w:val="00F82BD8"/>
    <w:rsid w:val="00F82D66"/>
    <w:rsid w:val="00F8343C"/>
    <w:rsid w:val="00F84F62"/>
    <w:rsid w:val="00F871C1"/>
    <w:rsid w:val="00F87F2C"/>
    <w:rsid w:val="00F9024D"/>
    <w:rsid w:val="00F9038C"/>
    <w:rsid w:val="00F90EAE"/>
    <w:rsid w:val="00F92851"/>
    <w:rsid w:val="00F92D30"/>
    <w:rsid w:val="00F92D39"/>
    <w:rsid w:val="00F92EBD"/>
    <w:rsid w:val="00F9416C"/>
    <w:rsid w:val="00F966CB"/>
    <w:rsid w:val="00F97F0E"/>
    <w:rsid w:val="00FA184C"/>
    <w:rsid w:val="00FA205B"/>
    <w:rsid w:val="00FA2300"/>
    <w:rsid w:val="00FA2695"/>
    <w:rsid w:val="00FA432D"/>
    <w:rsid w:val="00FA4AB8"/>
    <w:rsid w:val="00FA5C65"/>
    <w:rsid w:val="00FA6AF9"/>
    <w:rsid w:val="00FB0A8E"/>
    <w:rsid w:val="00FB12F4"/>
    <w:rsid w:val="00FB1337"/>
    <w:rsid w:val="00FB1487"/>
    <w:rsid w:val="00FB29CE"/>
    <w:rsid w:val="00FB2DCC"/>
    <w:rsid w:val="00FB3097"/>
    <w:rsid w:val="00FB33FD"/>
    <w:rsid w:val="00FB3968"/>
    <w:rsid w:val="00FB494E"/>
    <w:rsid w:val="00FB4D51"/>
    <w:rsid w:val="00FB54DA"/>
    <w:rsid w:val="00FB5CB5"/>
    <w:rsid w:val="00FB5FF1"/>
    <w:rsid w:val="00FB614D"/>
    <w:rsid w:val="00FB67F5"/>
    <w:rsid w:val="00FB7A72"/>
    <w:rsid w:val="00FC03A2"/>
    <w:rsid w:val="00FC14A2"/>
    <w:rsid w:val="00FC1D6A"/>
    <w:rsid w:val="00FC2693"/>
    <w:rsid w:val="00FC2B13"/>
    <w:rsid w:val="00FC2EDE"/>
    <w:rsid w:val="00FC46C7"/>
    <w:rsid w:val="00FC4812"/>
    <w:rsid w:val="00FC4B32"/>
    <w:rsid w:val="00FC5915"/>
    <w:rsid w:val="00FC5DFA"/>
    <w:rsid w:val="00FC7A99"/>
    <w:rsid w:val="00FD0A7A"/>
    <w:rsid w:val="00FD334B"/>
    <w:rsid w:val="00FD36C1"/>
    <w:rsid w:val="00FD3EAB"/>
    <w:rsid w:val="00FD4A92"/>
    <w:rsid w:val="00FD5A0D"/>
    <w:rsid w:val="00FD5A81"/>
    <w:rsid w:val="00FD7501"/>
    <w:rsid w:val="00FD75C1"/>
    <w:rsid w:val="00FD780B"/>
    <w:rsid w:val="00FD7B3B"/>
    <w:rsid w:val="00FE2868"/>
    <w:rsid w:val="00FE2ED8"/>
    <w:rsid w:val="00FE3DD2"/>
    <w:rsid w:val="00FE4C36"/>
    <w:rsid w:val="00FE4F60"/>
    <w:rsid w:val="00FE5172"/>
    <w:rsid w:val="00FE5347"/>
    <w:rsid w:val="00FE612D"/>
    <w:rsid w:val="00FE73BD"/>
    <w:rsid w:val="00FE7480"/>
    <w:rsid w:val="00FE75D8"/>
    <w:rsid w:val="00FF0BA7"/>
    <w:rsid w:val="00FF1954"/>
    <w:rsid w:val="00FF32C3"/>
    <w:rsid w:val="00FF45F7"/>
    <w:rsid w:val="00FF4601"/>
    <w:rsid w:val="00FF46CF"/>
    <w:rsid w:val="00FF4A69"/>
    <w:rsid w:val="00FF7E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BB3C7D8"/>
  <w15:docId w15:val="{A796C6DD-AA01-4649-A539-C1BEEDB02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3AAD"/>
    <w:pPr>
      <w:spacing w:after="200" w:line="276" w:lineRule="auto"/>
    </w:pPr>
    <w:rPr>
      <w:rFonts w:ascii="Calibri" w:eastAsia="Calibri" w:hAnsi="Calibri" w:cs="Times New Roman"/>
    </w:rPr>
  </w:style>
  <w:style w:type="paragraph" w:styleId="Ttulo1">
    <w:name w:val="heading 1"/>
    <w:aliases w:val="h1,Heading I"/>
    <w:basedOn w:val="Normal"/>
    <w:next w:val="Normal"/>
    <w:link w:val="Ttulo1Car"/>
    <w:uiPriority w:val="9"/>
    <w:qFormat/>
    <w:rsid w:val="00B53A68"/>
    <w:pPr>
      <w:keepNext/>
      <w:spacing w:after="0" w:line="240" w:lineRule="auto"/>
      <w:jc w:val="center"/>
      <w:outlineLvl w:val="0"/>
    </w:pPr>
    <w:rPr>
      <w:rFonts w:ascii="Arial" w:eastAsia="Times New Roman" w:hAnsi="Arial"/>
      <w:b/>
      <w:szCs w:val="20"/>
    </w:rPr>
  </w:style>
  <w:style w:type="paragraph" w:styleId="Ttulo2">
    <w:name w:val="heading 2"/>
    <w:aliases w:val="h2,2TitSec,Heading II"/>
    <w:basedOn w:val="Normal"/>
    <w:next w:val="Normal"/>
    <w:link w:val="Ttulo2Car"/>
    <w:uiPriority w:val="9"/>
    <w:qFormat/>
    <w:rsid w:val="00B53A68"/>
    <w:pPr>
      <w:keepNext/>
      <w:spacing w:after="0" w:line="240" w:lineRule="auto"/>
      <w:jc w:val="both"/>
      <w:outlineLvl w:val="1"/>
    </w:pPr>
    <w:rPr>
      <w:rFonts w:ascii="Arial" w:eastAsia="Times New Roman" w:hAnsi="Arial"/>
      <w:b/>
      <w:szCs w:val="20"/>
    </w:rPr>
  </w:style>
  <w:style w:type="paragraph" w:styleId="Ttulo3">
    <w:name w:val="heading 3"/>
    <w:aliases w:val="h3"/>
    <w:basedOn w:val="Normal"/>
    <w:next w:val="Normal"/>
    <w:link w:val="Ttulo3Car"/>
    <w:uiPriority w:val="9"/>
    <w:qFormat/>
    <w:rsid w:val="00B53A68"/>
    <w:pPr>
      <w:keepNext/>
      <w:spacing w:after="0" w:line="240" w:lineRule="auto"/>
      <w:ind w:left="2630"/>
      <w:jc w:val="both"/>
      <w:outlineLvl w:val="2"/>
    </w:pPr>
    <w:rPr>
      <w:rFonts w:ascii="Arial" w:eastAsia="Times New Roman" w:hAnsi="Arial" w:cs="Arial"/>
      <w:b/>
      <w:bCs/>
      <w:szCs w:val="20"/>
    </w:rPr>
  </w:style>
  <w:style w:type="paragraph" w:styleId="Ttulo4">
    <w:name w:val="heading 4"/>
    <w:basedOn w:val="Normal"/>
    <w:next w:val="Normal"/>
    <w:link w:val="Ttulo4Car"/>
    <w:uiPriority w:val="9"/>
    <w:qFormat/>
    <w:rsid w:val="00B53A68"/>
    <w:pPr>
      <w:keepNext/>
      <w:spacing w:before="240" w:after="60" w:line="240" w:lineRule="auto"/>
      <w:jc w:val="both"/>
      <w:outlineLvl w:val="3"/>
    </w:pPr>
    <w:rPr>
      <w:rFonts w:ascii="Times New Roman" w:eastAsia="Times New Roman" w:hAnsi="Times New Roman"/>
      <w:b/>
      <w:bCs/>
      <w:sz w:val="28"/>
      <w:szCs w:val="28"/>
      <w:lang w:eastAsia="es-ES"/>
    </w:rPr>
  </w:style>
  <w:style w:type="paragraph" w:styleId="Ttulo5">
    <w:name w:val="heading 5"/>
    <w:aliases w:val="Considerando,Apartado_sub"/>
    <w:basedOn w:val="Normal"/>
    <w:next w:val="Normal"/>
    <w:link w:val="Ttulo5Car"/>
    <w:qFormat/>
    <w:rsid w:val="00B53A68"/>
    <w:pPr>
      <w:keepNext/>
      <w:spacing w:after="0" w:line="240" w:lineRule="auto"/>
      <w:jc w:val="both"/>
      <w:outlineLvl w:val="4"/>
    </w:pPr>
    <w:rPr>
      <w:rFonts w:ascii="Arial" w:eastAsia="Times New Roman" w:hAnsi="Arial"/>
      <w:b/>
      <w:sz w:val="20"/>
      <w:szCs w:val="20"/>
    </w:rPr>
  </w:style>
  <w:style w:type="paragraph" w:styleId="Ttulo6">
    <w:name w:val="heading 6"/>
    <w:basedOn w:val="Normal"/>
    <w:next w:val="Normal"/>
    <w:link w:val="Ttulo6Car"/>
    <w:qFormat/>
    <w:rsid w:val="00B53A68"/>
    <w:pPr>
      <w:spacing w:before="240" w:after="60" w:line="240" w:lineRule="auto"/>
      <w:jc w:val="both"/>
      <w:outlineLvl w:val="5"/>
    </w:pPr>
    <w:rPr>
      <w:rFonts w:ascii="Times New Roman" w:eastAsia="Times New Roman" w:hAnsi="Times New Roman"/>
      <w:b/>
      <w:bCs/>
      <w:lang w:eastAsia="es-ES"/>
    </w:rPr>
  </w:style>
  <w:style w:type="paragraph" w:styleId="Ttulo7">
    <w:name w:val="heading 7"/>
    <w:basedOn w:val="Normal"/>
    <w:next w:val="Normal"/>
    <w:link w:val="Ttulo7Car"/>
    <w:qFormat/>
    <w:rsid w:val="00B53A68"/>
    <w:pPr>
      <w:spacing w:before="240" w:after="60" w:line="240" w:lineRule="auto"/>
      <w:jc w:val="both"/>
      <w:outlineLvl w:val="6"/>
    </w:pPr>
    <w:rPr>
      <w:rFonts w:ascii="Times New Roman" w:eastAsia="Times New Roman" w:hAnsi="Times New Roman"/>
      <w:sz w:val="24"/>
      <w:szCs w:val="24"/>
      <w:lang w:eastAsia="es-ES"/>
    </w:rPr>
  </w:style>
  <w:style w:type="paragraph" w:styleId="Ttulo8">
    <w:name w:val="heading 8"/>
    <w:basedOn w:val="Normal"/>
    <w:next w:val="Normal"/>
    <w:link w:val="Ttulo8Car"/>
    <w:qFormat/>
    <w:rsid w:val="00B53A68"/>
    <w:pPr>
      <w:keepNext/>
      <w:spacing w:after="0" w:line="240" w:lineRule="auto"/>
      <w:jc w:val="center"/>
      <w:outlineLvl w:val="7"/>
    </w:pPr>
    <w:rPr>
      <w:rFonts w:ascii="Arial" w:eastAsia="Times New Roman" w:hAnsi="Arial"/>
      <w:b/>
      <w:szCs w:val="20"/>
      <w:lang w:eastAsia="es-ES"/>
    </w:rPr>
  </w:style>
  <w:style w:type="paragraph" w:styleId="Ttulo9">
    <w:name w:val="heading 9"/>
    <w:aliases w:val="Citaciones"/>
    <w:basedOn w:val="Normal"/>
    <w:next w:val="Normal"/>
    <w:link w:val="Ttulo9Car"/>
    <w:qFormat/>
    <w:rsid w:val="00B53A68"/>
    <w:pPr>
      <w:spacing w:before="240" w:after="60" w:line="240" w:lineRule="auto"/>
      <w:jc w:val="both"/>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eading I Car"/>
    <w:basedOn w:val="Fuentedeprrafopredeter"/>
    <w:link w:val="Ttulo1"/>
    <w:uiPriority w:val="9"/>
    <w:rsid w:val="00B53A68"/>
    <w:rPr>
      <w:rFonts w:ascii="Arial" w:eastAsia="Times New Roman" w:hAnsi="Arial" w:cs="Times New Roman"/>
      <w:b/>
      <w:szCs w:val="20"/>
    </w:rPr>
  </w:style>
  <w:style w:type="character" w:customStyle="1" w:styleId="Ttulo2Car">
    <w:name w:val="Título 2 Car"/>
    <w:aliases w:val="h2 Car,2TitSec Car,Heading II Car"/>
    <w:basedOn w:val="Fuentedeprrafopredeter"/>
    <w:link w:val="Ttulo2"/>
    <w:uiPriority w:val="9"/>
    <w:rsid w:val="00B53A68"/>
    <w:rPr>
      <w:rFonts w:ascii="Arial" w:eastAsia="Times New Roman" w:hAnsi="Arial" w:cs="Times New Roman"/>
      <w:b/>
      <w:szCs w:val="20"/>
    </w:rPr>
  </w:style>
  <w:style w:type="character" w:customStyle="1" w:styleId="Ttulo3Car">
    <w:name w:val="Título 3 Car"/>
    <w:aliases w:val="h3 Car"/>
    <w:basedOn w:val="Fuentedeprrafopredeter"/>
    <w:link w:val="Ttulo3"/>
    <w:uiPriority w:val="9"/>
    <w:rsid w:val="00B53A68"/>
    <w:rPr>
      <w:rFonts w:ascii="Arial" w:eastAsia="Times New Roman" w:hAnsi="Arial" w:cs="Arial"/>
      <w:b/>
      <w:bCs/>
      <w:szCs w:val="20"/>
    </w:rPr>
  </w:style>
  <w:style w:type="character" w:customStyle="1" w:styleId="Ttulo4Car">
    <w:name w:val="Título 4 Car"/>
    <w:basedOn w:val="Fuentedeprrafopredeter"/>
    <w:link w:val="Ttulo4"/>
    <w:uiPriority w:val="9"/>
    <w:rsid w:val="00B53A68"/>
    <w:rPr>
      <w:rFonts w:ascii="Times New Roman" w:eastAsia="Times New Roman" w:hAnsi="Times New Roman" w:cs="Times New Roman"/>
      <w:b/>
      <w:bCs/>
      <w:sz w:val="28"/>
      <w:szCs w:val="28"/>
      <w:lang w:eastAsia="es-ES"/>
    </w:rPr>
  </w:style>
  <w:style w:type="character" w:customStyle="1" w:styleId="Ttulo5Car">
    <w:name w:val="Título 5 Car"/>
    <w:aliases w:val="Considerando Car,Apartado_sub Car"/>
    <w:basedOn w:val="Fuentedeprrafopredeter"/>
    <w:link w:val="Ttulo5"/>
    <w:rsid w:val="00B53A68"/>
    <w:rPr>
      <w:rFonts w:ascii="Arial" w:eastAsia="Times New Roman" w:hAnsi="Arial" w:cs="Times New Roman"/>
      <w:b/>
      <w:sz w:val="20"/>
      <w:szCs w:val="20"/>
    </w:rPr>
  </w:style>
  <w:style w:type="character" w:customStyle="1" w:styleId="Ttulo6Car">
    <w:name w:val="Título 6 Car"/>
    <w:basedOn w:val="Fuentedeprrafopredeter"/>
    <w:link w:val="Ttulo6"/>
    <w:rsid w:val="00B53A68"/>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B53A68"/>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B53A68"/>
    <w:rPr>
      <w:rFonts w:ascii="Arial" w:eastAsia="Times New Roman" w:hAnsi="Arial" w:cs="Times New Roman"/>
      <w:b/>
      <w:szCs w:val="20"/>
      <w:lang w:eastAsia="es-ES"/>
    </w:rPr>
  </w:style>
  <w:style w:type="character" w:customStyle="1" w:styleId="Ttulo9Car">
    <w:name w:val="Título 9 Car"/>
    <w:aliases w:val="Citaciones Car"/>
    <w:basedOn w:val="Fuentedeprrafopredeter"/>
    <w:link w:val="Ttulo9"/>
    <w:rsid w:val="00B53A68"/>
    <w:rPr>
      <w:rFonts w:ascii="Arial" w:eastAsia="Times New Roman" w:hAnsi="Arial" w:cs="Arial"/>
      <w:lang w:eastAsia="es-ES"/>
    </w:rPr>
  </w:style>
  <w:style w:type="paragraph" w:styleId="Encabezado">
    <w:name w:val="header"/>
    <w:basedOn w:val="Normal"/>
    <w:link w:val="EncabezadoCar"/>
    <w:uiPriority w:val="99"/>
    <w:unhideWhenUsed/>
    <w:rsid w:val="00B53A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3A68"/>
    <w:rPr>
      <w:rFonts w:ascii="Calibri" w:eastAsia="Calibri" w:hAnsi="Calibri" w:cs="Times New Roman"/>
    </w:rPr>
  </w:style>
  <w:style w:type="paragraph" w:styleId="Piedepgina">
    <w:name w:val="footer"/>
    <w:basedOn w:val="Normal"/>
    <w:link w:val="PiedepginaCar"/>
    <w:uiPriority w:val="99"/>
    <w:unhideWhenUsed/>
    <w:rsid w:val="00B53A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3A68"/>
    <w:rPr>
      <w:rFonts w:ascii="Calibri" w:eastAsia="Calibri" w:hAnsi="Calibri" w:cs="Times New Roman"/>
    </w:rPr>
  </w:style>
  <w:style w:type="paragraph" w:customStyle="1" w:styleId="estilo30">
    <w:name w:val="estilo30"/>
    <w:basedOn w:val="Normal"/>
    <w:rsid w:val="00B53A68"/>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unhideWhenUsed/>
    <w:rsid w:val="00B53A68"/>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B53A68"/>
    <w:pPr>
      <w:autoSpaceDE w:val="0"/>
      <w:autoSpaceDN w:val="0"/>
      <w:adjustRightInd w:val="0"/>
      <w:spacing w:after="0" w:line="240" w:lineRule="auto"/>
    </w:pPr>
    <w:rPr>
      <w:rFonts w:ascii="Tahoma" w:eastAsia="Calibri" w:hAnsi="Tahoma" w:cs="Tahoma"/>
      <w:color w:val="000000"/>
      <w:sz w:val="24"/>
      <w:szCs w:val="24"/>
      <w:lang w:eastAsia="es-MX"/>
    </w:rPr>
  </w:style>
  <w:style w:type="numbering" w:customStyle="1" w:styleId="Sinlista1">
    <w:name w:val="Sin lista1"/>
    <w:next w:val="Sinlista"/>
    <w:uiPriority w:val="99"/>
    <w:semiHidden/>
    <w:unhideWhenUsed/>
    <w:rsid w:val="00B53A68"/>
  </w:style>
  <w:style w:type="paragraph" w:styleId="Textoindependiente">
    <w:name w:val="Body Text"/>
    <w:basedOn w:val="Normal"/>
    <w:link w:val="TextoindependienteCar"/>
    <w:rsid w:val="00B53A68"/>
    <w:pPr>
      <w:spacing w:after="0" w:line="240" w:lineRule="auto"/>
      <w:jc w:val="both"/>
    </w:pPr>
    <w:rPr>
      <w:rFonts w:ascii="Arial" w:eastAsia="Times New Roman" w:hAnsi="Arial"/>
      <w:szCs w:val="20"/>
    </w:rPr>
  </w:style>
  <w:style w:type="character" w:customStyle="1" w:styleId="TextoindependienteCar">
    <w:name w:val="Texto independiente Car"/>
    <w:basedOn w:val="Fuentedeprrafopredeter"/>
    <w:link w:val="Textoindependiente"/>
    <w:rsid w:val="00B53A68"/>
    <w:rPr>
      <w:rFonts w:ascii="Arial" w:eastAsia="Times New Roman" w:hAnsi="Arial" w:cs="Times New Roman"/>
      <w:szCs w:val="20"/>
    </w:rPr>
  </w:style>
  <w:style w:type="character" w:styleId="Nmerodepgina">
    <w:name w:val="page number"/>
    <w:basedOn w:val="Fuentedeprrafopredeter"/>
    <w:rsid w:val="00B53A68"/>
  </w:style>
  <w:style w:type="paragraph" w:styleId="Ttulo">
    <w:name w:val="Title"/>
    <w:basedOn w:val="Normal"/>
    <w:link w:val="TtuloCar"/>
    <w:qFormat/>
    <w:rsid w:val="00B53A68"/>
    <w:pPr>
      <w:spacing w:after="0" w:line="240" w:lineRule="auto"/>
      <w:jc w:val="center"/>
    </w:pPr>
    <w:rPr>
      <w:rFonts w:ascii="Arial" w:eastAsia="Times New Roman" w:hAnsi="Arial"/>
      <w:b/>
      <w:szCs w:val="20"/>
    </w:rPr>
  </w:style>
  <w:style w:type="character" w:customStyle="1" w:styleId="TtuloCar">
    <w:name w:val="Título Car"/>
    <w:basedOn w:val="Fuentedeprrafopredeter"/>
    <w:link w:val="Ttulo"/>
    <w:rsid w:val="00B53A68"/>
    <w:rPr>
      <w:rFonts w:ascii="Arial" w:eastAsia="Times New Roman" w:hAnsi="Arial" w:cs="Times New Roman"/>
      <w:b/>
      <w:szCs w:val="20"/>
    </w:rPr>
  </w:style>
  <w:style w:type="paragraph" w:styleId="Sangra2detindependiente">
    <w:name w:val="Body Text Indent 2"/>
    <w:basedOn w:val="Normal"/>
    <w:link w:val="Sangra2detindependienteCar"/>
    <w:rsid w:val="00B53A68"/>
    <w:pPr>
      <w:spacing w:after="0" w:line="240" w:lineRule="auto"/>
      <w:ind w:left="708"/>
      <w:jc w:val="both"/>
    </w:pPr>
    <w:rPr>
      <w:rFonts w:ascii="Arial" w:eastAsia="Times New Roman" w:hAnsi="Arial"/>
      <w:szCs w:val="20"/>
    </w:rPr>
  </w:style>
  <w:style w:type="character" w:customStyle="1" w:styleId="Sangra2detindependienteCar">
    <w:name w:val="Sangría 2 de t. independiente Car"/>
    <w:basedOn w:val="Fuentedeprrafopredeter"/>
    <w:link w:val="Sangra2detindependiente"/>
    <w:rsid w:val="00B53A68"/>
    <w:rPr>
      <w:rFonts w:ascii="Arial" w:eastAsia="Times New Roman" w:hAnsi="Arial" w:cs="Times New Roman"/>
      <w:szCs w:val="20"/>
    </w:rPr>
  </w:style>
  <w:style w:type="paragraph" w:styleId="Subttulo">
    <w:name w:val="Subtitle"/>
    <w:basedOn w:val="Normal"/>
    <w:link w:val="SubttuloCar"/>
    <w:qFormat/>
    <w:rsid w:val="00B53A68"/>
    <w:pPr>
      <w:spacing w:after="0" w:line="230" w:lineRule="auto"/>
      <w:ind w:left="4253"/>
      <w:jc w:val="both"/>
    </w:pPr>
    <w:rPr>
      <w:rFonts w:ascii="Arial" w:eastAsia="Times New Roman" w:hAnsi="Arial" w:cs="Arial"/>
      <w:b/>
      <w:szCs w:val="24"/>
      <w:lang w:eastAsia="es-ES"/>
    </w:rPr>
  </w:style>
  <w:style w:type="character" w:customStyle="1" w:styleId="SubttuloCar">
    <w:name w:val="Subtítulo Car"/>
    <w:basedOn w:val="Fuentedeprrafopredeter"/>
    <w:link w:val="Subttulo"/>
    <w:rsid w:val="00B53A68"/>
    <w:rPr>
      <w:rFonts w:ascii="Arial" w:eastAsia="Times New Roman" w:hAnsi="Arial" w:cs="Arial"/>
      <w:b/>
      <w:szCs w:val="24"/>
      <w:lang w:eastAsia="es-ES"/>
    </w:rPr>
  </w:style>
  <w:style w:type="paragraph" w:styleId="Textoindependiente3">
    <w:name w:val="Body Text 3"/>
    <w:basedOn w:val="Normal"/>
    <w:link w:val="Textoindependiente3Car"/>
    <w:rsid w:val="00B53A68"/>
    <w:pPr>
      <w:spacing w:after="0" w:line="240" w:lineRule="auto"/>
      <w:ind w:right="138"/>
      <w:jc w:val="both"/>
    </w:pPr>
    <w:rPr>
      <w:rFonts w:ascii="Arial" w:eastAsia="Times New Roman" w:hAnsi="Arial" w:cs="Arial"/>
      <w:szCs w:val="24"/>
      <w:lang w:eastAsia="es-ES"/>
    </w:rPr>
  </w:style>
  <w:style w:type="character" w:customStyle="1" w:styleId="Textoindependiente3Car">
    <w:name w:val="Texto independiente 3 Car"/>
    <w:basedOn w:val="Fuentedeprrafopredeter"/>
    <w:link w:val="Textoindependiente3"/>
    <w:rsid w:val="00B53A68"/>
    <w:rPr>
      <w:rFonts w:ascii="Arial" w:eastAsia="Times New Roman" w:hAnsi="Arial" w:cs="Arial"/>
      <w:szCs w:val="24"/>
      <w:lang w:eastAsia="es-ES"/>
    </w:rPr>
  </w:style>
  <w:style w:type="paragraph" w:styleId="Sangradetextonormal">
    <w:name w:val="Body Text Indent"/>
    <w:basedOn w:val="Normal"/>
    <w:link w:val="SangradetextonormalCar"/>
    <w:rsid w:val="00B53A68"/>
    <w:pPr>
      <w:spacing w:after="0" w:line="230" w:lineRule="auto"/>
      <w:ind w:left="-180"/>
      <w:jc w:val="both"/>
    </w:pPr>
    <w:rPr>
      <w:rFonts w:ascii="Arial" w:eastAsia="Times New Roman" w:hAnsi="Arial" w:cs="Arial"/>
      <w:b/>
      <w:szCs w:val="24"/>
      <w:lang w:eastAsia="es-ES"/>
    </w:rPr>
  </w:style>
  <w:style w:type="character" w:customStyle="1" w:styleId="SangradetextonormalCar">
    <w:name w:val="Sangría de texto normal Car"/>
    <w:basedOn w:val="Fuentedeprrafopredeter"/>
    <w:link w:val="Sangradetextonormal"/>
    <w:rsid w:val="00B53A68"/>
    <w:rPr>
      <w:rFonts w:ascii="Arial" w:eastAsia="Times New Roman" w:hAnsi="Arial" w:cs="Arial"/>
      <w:b/>
      <w:szCs w:val="24"/>
      <w:lang w:eastAsia="es-ES"/>
    </w:rPr>
  </w:style>
  <w:style w:type="paragraph" w:styleId="Textoindependiente2">
    <w:name w:val="Body Text 2"/>
    <w:basedOn w:val="Normal"/>
    <w:link w:val="Textoindependiente2Car"/>
    <w:rsid w:val="00B53A68"/>
    <w:pPr>
      <w:spacing w:after="0" w:line="240" w:lineRule="auto"/>
      <w:jc w:val="both"/>
    </w:pPr>
    <w:rPr>
      <w:rFonts w:ascii="Arial" w:eastAsia="Times New Roman" w:hAnsi="Arial"/>
      <w:szCs w:val="20"/>
      <w:lang w:eastAsia="es-ES"/>
    </w:rPr>
  </w:style>
  <w:style w:type="character" w:customStyle="1" w:styleId="Textoindependiente2Car">
    <w:name w:val="Texto independiente 2 Car"/>
    <w:basedOn w:val="Fuentedeprrafopredeter"/>
    <w:link w:val="Textoindependiente2"/>
    <w:rsid w:val="00B53A68"/>
    <w:rPr>
      <w:rFonts w:ascii="Arial" w:eastAsia="Times New Roman" w:hAnsi="Arial" w:cs="Times New Roman"/>
      <w:szCs w:val="20"/>
      <w:lang w:eastAsia="es-ES"/>
    </w:rPr>
  </w:style>
  <w:style w:type="paragraph" w:styleId="Sangra3detindependiente">
    <w:name w:val="Body Text Indent 3"/>
    <w:basedOn w:val="Normal"/>
    <w:link w:val="Sangra3detindependienteCar"/>
    <w:rsid w:val="00B53A68"/>
    <w:pPr>
      <w:spacing w:before="120" w:after="120" w:line="240" w:lineRule="auto"/>
      <w:ind w:left="708"/>
      <w:jc w:val="both"/>
    </w:pPr>
    <w:rPr>
      <w:rFonts w:ascii="Arial" w:eastAsia="Times New Roman" w:hAnsi="Arial"/>
      <w:i/>
      <w:sz w:val="20"/>
      <w:szCs w:val="20"/>
      <w:lang w:eastAsia="es-ES"/>
    </w:rPr>
  </w:style>
  <w:style w:type="character" w:customStyle="1" w:styleId="Sangra3detindependienteCar">
    <w:name w:val="Sangría 3 de t. independiente Car"/>
    <w:basedOn w:val="Fuentedeprrafopredeter"/>
    <w:link w:val="Sangra3detindependiente"/>
    <w:rsid w:val="00B53A68"/>
    <w:rPr>
      <w:rFonts w:ascii="Arial" w:eastAsia="Times New Roman" w:hAnsi="Arial" w:cs="Times New Roman"/>
      <w:i/>
      <w:sz w:val="20"/>
      <w:szCs w:val="20"/>
      <w:lang w:eastAsia="es-ES"/>
    </w:rPr>
  </w:style>
  <w:style w:type="character" w:styleId="Refdenotaalpie">
    <w:name w:val="footnote reference"/>
    <w:aliases w:val="(NECG) Footnote Reference,o,fr,Style 3,Appel note de bas de p,Style 12,Style 124,Ref,de nota al pie,Ref. de nota al pie 2,Footnotes refss,Texto de nota al pie,Appel note de bas de page,Footnote number,referencia nota al pie,BVI fnr,f"/>
    <w:uiPriority w:val="99"/>
    <w:qFormat/>
    <w:rsid w:val="00B53A68"/>
    <w:rPr>
      <w:vertAlign w:val="superscript"/>
    </w:rPr>
  </w:style>
  <w:style w:type="character" w:styleId="Hipervnculo">
    <w:name w:val="Hyperlink"/>
    <w:rsid w:val="00B53A68"/>
    <w:rPr>
      <w:color w:val="0000FF"/>
      <w:u w:val="single"/>
    </w:rPr>
  </w:style>
  <w:style w:type="paragraph" w:customStyle="1" w:styleId="TEXT">
    <w:name w:val="TEXT"/>
    <w:basedOn w:val="Normal"/>
    <w:rsid w:val="00B53A68"/>
    <w:pPr>
      <w:tabs>
        <w:tab w:val="left" w:pos="360"/>
        <w:tab w:val="left" w:pos="720"/>
        <w:tab w:val="left" w:pos="1080"/>
        <w:tab w:val="left" w:pos="1440"/>
      </w:tabs>
      <w:spacing w:after="240" w:line="240" w:lineRule="auto"/>
      <w:jc w:val="both"/>
    </w:pPr>
    <w:rPr>
      <w:rFonts w:ascii="Arial" w:eastAsia="Times New Roman" w:hAnsi="Arial"/>
      <w:szCs w:val="20"/>
      <w:lang w:val="es-ES_tradnl" w:eastAsia="es-ES"/>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uiPriority w:val="99"/>
    <w:qFormat/>
    <w:rsid w:val="00B53A68"/>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basedOn w:val="Fuentedeprrafopredeter"/>
    <w:link w:val="Textonotapie"/>
    <w:uiPriority w:val="99"/>
    <w:rsid w:val="00B53A68"/>
    <w:rPr>
      <w:rFonts w:ascii="Times New Roman" w:eastAsia="Times New Roman" w:hAnsi="Times New Roman" w:cs="Times New Roman"/>
      <w:sz w:val="20"/>
      <w:szCs w:val="20"/>
      <w:lang w:val="es-ES" w:eastAsia="es-ES"/>
    </w:rPr>
  </w:style>
  <w:style w:type="paragraph" w:customStyle="1" w:styleId="CM13">
    <w:name w:val="CM13"/>
    <w:basedOn w:val="Normal"/>
    <w:next w:val="Normal"/>
    <w:rsid w:val="00B53A68"/>
    <w:pPr>
      <w:widowControl w:val="0"/>
      <w:autoSpaceDE w:val="0"/>
      <w:autoSpaceDN w:val="0"/>
      <w:adjustRightInd w:val="0"/>
      <w:spacing w:after="225" w:line="240" w:lineRule="auto"/>
    </w:pPr>
    <w:rPr>
      <w:rFonts w:ascii="Garamond" w:eastAsia="Times New Roman" w:hAnsi="Garamond" w:cs="Garamond"/>
      <w:sz w:val="24"/>
      <w:szCs w:val="24"/>
      <w:lang w:val="es-ES" w:eastAsia="es-ES"/>
    </w:rPr>
  </w:style>
  <w:style w:type="paragraph" w:customStyle="1" w:styleId="ROMANOS">
    <w:name w:val="ROMANOS"/>
    <w:basedOn w:val="Normal"/>
    <w:link w:val="ROMANOSCar"/>
    <w:rsid w:val="00B53A68"/>
    <w:pPr>
      <w:tabs>
        <w:tab w:val="left" w:pos="720"/>
      </w:tabs>
      <w:overflowPunct w:val="0"/>
      <w:autoSpaceDE w:val="0"/>
      <w:autoSpaceDN w:val="0"/>
      <w:adjustRightInd w:val="0"/>
      <w:spacing w:after="101" w:line="216" w:lineRule="atLeast"/>
      <w:ind w:left="720" w:hanging="432"/>
      <w:jc w:val="both"/>
      <w:textAlignment w:val="baseline"/>
    </w:pPr>
    <w:rPr>
      <w:rFonts w:ascii="Arial" w:eastAsia="Times New Roman" w:hAnsi="Arial"/>
      <w:sz w:val="18"/>
      <w:szCs w:val="20"/>
      <w:lang w:val="es-ES_tradnl" w:eastAsia="es-ES"/>
    </w:rPr>
  </w:style>
  <w:style w:type="paragraph" w:customStyle="1" w:styleId="texto">
    <w:name w:val="texto"/>
    <w:basedOn w:val="Normal"/>
    <w:rsid w:val="00B53A68"/>
    <w:pPr>
      <w:overflowPunct w:val="0"/>
      <w:autoSpaceDE w:val="0"/>
      <w:autoSpaceDN w:val="0"/>
      <w:adjustRightInd w:val="0"/>
      <w:spacing w:after="101" w:line="216" w:lineRule="atLeast"/>
      <w:ind w:firstLine="288"/>
      <w:jc w:val="both"/>
      <w:textAlignment w:val="baseline"/>
    </w:pPr>
    <w:rPr>
      <w:rFonts w:ascii="Arial" w:eastAsia="Times New Roman" w:hAnsi="Arial"/>
      <w:sz w:val="18"/>
      <w:szCs w:val="20"/>
      <w:lang w:val="es-ES_tradnl" w:eastAsia="es-ES"/>
    </w:rPr>
  </w:style>
  <w:style w:type="character" w:customStyle="1" w:styleId="searchhit">
    <w:name w:val="search_hit"/>
    <w:basedOn w:val="Fuentedeprrafopredeter"/>
    <w:rsid w:val="00B53A68"/>
  </w:style>
  <w:style w:type="paragraph" w:styleId="Prrafodelista">
    <w:name w:val="List Paragraph"/>
    <w:aliases w:val="Footnote,4 Viñ 1nivel,Numeración 1,Cuadrícula media 1 - Énfasis 21,Bullet List,FooterText,numbered,List Paragraph1,Paragraphe de liste1,Bulletr List Paragraph,列出段落,列出段落1,Cuadros,Lista general"/>
    <w:basedOn w:val="Normal"/>
    <w:link w:val="PrrafodelistaCar"/>
    <w:uiPriority w:val="34"/>
    <w:qFormat/>
    <w:rsid w:val="00B53A68"/>
    <w:pPr>
      <w:spacing w:after="0" w:line="240" w:lineRule="auto"/>
      <w:ind w:left="708"/>
      <w:jc w:val="both"/>
    </w:pPr>
    <w:rPr>
      <w:rFonts w:ascii="Arial" w:eastAsia="Times New Roman" w:hAnsi="Arial"/>
      <w:szCs w:val="24"/>
      <w:lang w:eastAsia="es-ES"/>
    </w:rPr>
  </w:style>
  <w:style w:type="paragraph" w:styleId="Textodeglobo">
    <w:name w:val="Balloon Text"/>
    <w:basedOn w:val="Normal"/>
    <w:link w:val="TextodegloboCar"/>
    <w:uiPriority w:val="99"/>
    <w:rsid w:val="00B53A68"/>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rsid w:val="00B53A68"/>
    <w:rPr>
      <w:rFonts w:ascii="Tahoma" w:eastAsia="Times New Roman" w:hAnsi="Tahoma" w:cs="Tahoma"/>
      <w:sz w:val="16"/>
      <w:szCs w:val="16"/>
      <w:lang w:eastAsia="es-ES"/>
    </w:rPr>
  </w:style>
  <w:style w:type="paragraph" w:customStyle="1" w:styleId="call">
    <w:name w:val="call"/>
    <w:basedOn w:val="Normal"/>
    <w:next w:val="Normal"/>
    <w:rsid w:val="00B53A68"/>
    <w:pPr>
      <w:keepNext/>
      <w:keepLines/>
      <w:tabs>
        <w:tab w:val="left" w:pos="794"/>
        <w:tab w:val="left" w:pos="1191"/>
        <w:tab w:val="left" w:pos="1588"/>
        <w:tab w:val="left" w:pos="1985"/>
      </w:tabs>
      <w:spacing w:before="160" w:after="0" w:line="240" w:lineRule="auto"/>
      <w:ind w:left="794"/>
    </w:pPr>
    <w:rPr>
      <w:rFonts w:ascii="Times New Roman" w:eastAsia="Times New Roman" w:hAnsi="Times New Roman"/>
      <w:i/>
      <w:sz w:val="24"/>
      <w:szCs w:val="20"/>
      <w:lang w:val="es-ES_tradnl"/>
    </w:rPr>
  </w:style>
  <w:style w:type="paragraph" w:customStyle="1" w:styleId="enumlev1">
    <w:name w:val="enumlev1"/>
    <w:basedOn w:val="Normal"/>
    <w:rsid w:val="00B53A68"/>
    <w:pPr>
      <w:tabs>
        <w:tab w:val="left" w:pos="794"/>
        <w:tab w:val="left" w:pos="1191"/>
        <w:tab w:val="left" w:pos="1588"/>
        <w:tab w:val="left" w:pos="1985"/>
      </w:tabs>
      <w:spacing w:before="80" w:after="0" w:line="240" w:lineRule="auto"/>
      <w:ind w:left="794" w:hanging="794"/>
    </w:pPr>
    <w:rPr>
      <w:rFonts w:ascii="Times New Roman" w:eastAsia="Times New Roman" w:hAnsi="Times New Roman"/>
      <w:sz w:val="24"/>
      <w:szCs w:val="20"/>
      <w:lang w:val="es-ES_tradnl"/>
    </w:rPr>
  </w:style>
  <w:style w:type="paragraph" w:customStyle="1" w:styleId="Texto0">
    <w:name w:val="Texto"/>
    <w:basedOn w:val="Normal"/>
    <w:rsid w:val="00B53A68"/>
    <w:pPr>
      <w:spacing w:after="101" w:line="216" w:lineRule="exact"/>
      <w:ind w:firstLine="288"/>
      <w:jc w:val="both"/>
    </w:pPr>
    <w:rPr>
      <w:rFonts w:ascii="Arial" w:eastAsia="Times New Roman" w:hAnsi="Arial" w:cs="Arial"/>
      <w:sz w:val="18"/>
      <w:szCs w:val="18"/>
      <w:lang w:val="es-ES" w:eastAsia="es-ES"/>
    </w:rPr>
  </w:style>
  <w:style w:type="paragraph" w:styleId="Textosinformato">
    <w:name w:val="Plain Text"/>
    <w:basedOn w:val="Normal"/>
    <w:link w:val="TextosinformatoCar"/>
    <w:rsid w:val="00B53A68"/>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B53A68"/>
    <w:rPr>
      <w:rFonts w:ascii="Courier New" w:eastAsia="Times New Roman" w:hAnsi="Courier New" w:cs="Courier New"/>
      <w:sz w:val="20"/>
      <w:szCs w:val="20"/>
      <w:lang w:eastAsia="es-ES"/>
    </w:rPr>
  </w:style>
  <w:style w:type="character" w:styleId="Refdecomentario">
    <w:name w:val="annotation reference"/>
    <w:uiPriority w:val="99"/>
    <w:rsid w:val="00B53A68"/>
    <w:rPr>
      <w:sz w:val="16"/>
      <w:szCs w:val="16"/>
    </w:rPr>
  </w:style>
  <w:style w:type="paragraph" w:customStyle="1" w:styleId="TextoCar">
    <w:name w:val="Texto Car"/>
    <w:basedOn w:val="Normal"/>
    <w:rsid w:val="00B53A68"/>
    <w:pPr>
      <w:spacing w:after="101" w:line="216" w:lineRule="exact"/>
      <w:ind w:firstLine="288"/>
      <w:jc w:val="both"/>
    </w:pPr>
    <w:rPr>
      <w:rFonts w:ascii="Arial" w:eastAsia="Times New Roman" w:hAnsi="Arial" w:cs="Arial"/>
      <w:sz w:val="18"/>
      <w:szCs w:val="20"/>
      <w:lang w:val="es-ES" w:eastAsia="es-MX"/>
    </w:rPr>
  </w:style>
  <w:style w:type="paragraph" w:styleId="Textocomentario">
    <w:name w:val="annotation text"/>
    <w:basedOn w:val="Normal"/>
    <w:link w:val="TextocomentarioCar"/>
    <w:uiPriority w:val="99"/>
    <w:qFormat/>
    <w:rsid w:val="00B53A68"/>
    <w:pPr>
      <w:spacing w:after="0" w:line="240" w:lineRule="auto"/>
    </w:pPr>
    <w:rPr>
      <w:rFonts w:ascii="Times New Roman" w:eastAsia="Times New Roman" w:hAnsi="Times New Roman"/>
      <w:sz w:val="20"/>
      <w:szCs w:val="20"/>
      <w:lang w:val="es-ES" w:eastAsia="es-ES"/>
    </w:rPr>
  </w:style>
  <w:style w:type="character" w:customStyle="1" w:styleId="TextocomentarioCar">
    <w:name w:val="Texto comentario Car"/>
    <w:basedOn w:val="Fuentedeprrafopredeter"/>
    <w:link w:val="Textocomentario"/>
    <w:uiPriority w:val="99"/>
    <w:rsid w:val="00B53A68"/>
    <w:rPr>
      <w:rFonts w:ascii="Times New Roman" w:eastAsia="Times New Roman" w:hAnsi="Times New Roman" w:cs="Times New Roman"/>
      <w:sz w:val="20"/>
      <w:szCs w:val="20"/>
      <w:lang w:val="es-ES" w:eastAsia="es-ES"/>
    </w:rPr>
  </w:style>
  <w:style w:type="character" w:customStyle="1" w:styleId="estilo71">
    <w:name w:val="estilo71"/>
    <w:rsid w:val="00B53A68"/>
    <w:rPr>
      <w:rFonts w:ascii="Arial" w:hAnsi="Arial" w:cs="Arial" w:hint="default"/>
      <w:sz w:val="15"/>
      <w:szCs w:val="15"/>
    </w:rPr>
  </w:style>
  <w:style w:type="paragraph" w:customStyle="1" w:styleId="contenidos">
    <w:name w:val="contenidos"/>
    <w:basedOn w:val="Normal"/>
    <w:rsid w:val="00B53A68"/>
    <w:pPr>
      <w:spacing w:before="100" w:beforeAutospacing="1" w:after="100" w:afterAutospacing="1" w:line="240" w:lineRule="auto"/>
      <w:jc w:val="both"/>
    </w:pPr>
    <w:rPr>
      <w:rFonts w:ascii="Verdana" w:eastAsia="Times New Roman" w:hAnsi="Verdana"/>
      <w:color w:val="000000"/>
      <w:sz w:val="18"/>
      <w:szCs w:val="18"/>
      <w:lang w:val="es-ES" w:eastAsia="es-ES"/>
    </w:rPr>
  </w:style>
  <w:style w:type="character" w:customStyle="1" w:styleId="titsecciones1">
    <w:name w:val="titsecciones1"/>
    <w:rsid w:val="00B53A68"/>
    <w:rPr>
      <w:rFonts w:ascii="Arial" w:hAnsi="Arial" w:cs="Arial" w:hint="default"/>
      <w:b/>
      <w:bCs/>
      <w:strike w:val="0"/>
      <w:dstrike w:val="0"/>
      <w:color w:val="8F840D"/>
      <w:sz w:val="24"/>
      <w:szCs w:val="24"/>
      <w:u w:val="none"/>
      <w:effect w:val="none"/>
    </w:rPr>
  </w:style>
  <w:style w:type="character" w:customStyle="1" w:styleId="contenidos1">
    <w:name w:val="contenidos1"/>
    <w:rsid w:val="00B53A68"/>
    <w:rPr>
      <w:rFonts w:ascii="Verdana" w:hAnsi="Verdana" w:hint="default"/>
      <w:color w:val="000000"/>
      <w:sz w:val="18"/>
      <w:szCs w:val="18"/>
    </w:rPr>
  </w:style>
  <w:style w:type="character" w:customStyle="1" w:styleId="linkconta1">
    <w:name w:val="linkconta1"/>
    <w:rsid w:val="00B53A68"/>
    <w:rPr>
      <w:rFonts w:ascii="Verdana" w:hAnsi="Verdana" w:hint="default"/>
      <w:sz w:val="18"/>
      <w:szCs w:val="18"/>
    </w:rPr>
  </w:style>
  <w:style w:type="character" w:styleId="Textoennegrita">
    <w:name w:val="Strong"/>
    <w:qFormat/>
    <w:rsid w:val="00B53A68"/>
    <w:rPr>
      <w:b/>
      <w:bCs/>
    </w:rPr>
  </w:style>
  <w:style w:type="paragraph" w:styleId="Textodebloque">
    <w:name w:val="Block Text"/>
    <w:basedOn w:val="Normal"/>
    <w:rsid w:val="00B53A68"/>
    <w:pPr>
      <w:spacing w:after="0" w:line="240" w:lineRule="auto"/>
      <w:ind w:left="1134" w:right="1134"/>
      <w:jc w:val="both"/>
    </w:pPr>
    <w:rPr>
      <w:rFonts w:ascii="Arial" w:eastAsia="Times New Roman" w:hAnsi="Arial" w:cs="Arial"/>
      <w:sz w:val="20"/>
      <w:szCs w:val="24"/>
      <w:lang w:val="es-ES" w:eastAsia="es-ES"/>
    </w:rPr>
  </w:style>
  <w:style w:type="character" w:styleId="Hipervnculovisitado">
    <w:name w:val="FollowedHyperlink"/>
    <w:uiPriority w:val="99"/>
    <w:rsid w:val="00B53A68"/>
    <w:rPr>
      <w:color w:val="800080"/>
      <w:u w:val="single"/>
    </w:rPr>
  </w:style>
  <w:style w:type="paragraph" w:styleId="Asuntodelcomentario">
    <w:name w:val="annotation subject"/>
    <w:basedOn w:val="Textocomentario"/>
    <w:next w:val="Textocomentario"/>
    <w:link w:val="AsuntodelcomentarioCar"/>
    <w:uiPriority w:val="99"/>
    <w:unhideWhenUsed/>
    <w:rsid w:val="00B53A68"/>
    <w:rPr>
      <w:b/>
      <w:bCs/>
    </w:rPr>
  </w:style>
  <w:style w:type="character" w:customStyle="1" w:styleId="AsuntodelcomentarioCar">
    <w:name w:val="Asunto del comentario Car"/>
    <w:basedOn w:val="TextocomentarioCar"/>
    <w:link w:val="Asuntodelcomentario"/>
    <w:uiPriority w:val="99"/>
    <w:rsid w:val="00B53A68"/>
    <w:rPr>
      <w:rFonts w:ascii="Times New Roman" w:eastAsia="Times New Roman" w:hAnsi="Times New Roman" w:cs="Times New Roman"/>
      <w:b/>
      <w:bCs/>
      <w:sz w:val="20"/>
      <w:szCs w:val="20"/>
      <w:lang w:val="es-ES" w:eastAsia="es-ES"/>
    </w:rPr>
  </w:style>
  <w:style w:type="paragraph" w:styleId="Lista">
    <w:name w:val="List"/>
    <w:basedOn w:val="Normal"/>
    <w:rsid w:val="00B53A68"/>
    <w:pPr>
      <w:spacing w:after="0" w:line="240" w:lineRule="auto"/>
      <w:ind w:left="283" w:hanging="283"/>
    </w:pPr>
    <w:rPr>
      <w:rFonts w:ascii="Times New Roman" w:eastAsia="Times New Roman" w:hAnsi="Times New Roman"/>
      <w:sz w:val="24"/>
      <w:szCs w:val="24"/>
      <w:lang w:val="es-ES" w:eastAsia="es-ES"/>
    </w:rPr>
  </w:style>
  <w:style w:type="paragraph" w:styleId="Lista2">
    <w:name w:val="List 2"/>
    <w:basedOn w:val="Normal"/>
    <w:rsid w:val="00B53A68"/>
    <w:pPr>
      <w:spacing w:after="0" w:line="240" w:lineRule="auto"/>
      <w:ind w:left="566" w:hanging="283"/>
    </w:pPr>
    <w:rPr>
      <w:rFonts w:ascii="Times New Roman" w:eastAsia="Times New Roman" w:hAnsi="Times New Roman"/>
      <w:sz w:val="24"/>
      <w:szCs w:val="24"/>
      <w:lang w:val="es-ES" w:eastAsia="es-ES"/>
    </w:rPr>
  </w:style>
  <w:style w:type="paragraph" w:styleId="Lista3">
    <w:name w:val="List 3"/>
    <w:basedOn w:val="Normal"/>
    <w:rsid w:val="00B53A68"/>
    <w:pPr>
      <w:spacing w:after="0" w:line="240" w:lineRule="auto"/>
      <w:ind w:left="849" w:hanging="283"/>
    </w:pPr>
    <w:rPr>
      <w:rFonts w:ascii="Times New Roman" w:eastAsia="Times New Roman" w:hAnsi="Times New Roman"/>
      <w:sz w:val="24"/>
      <w:szCs w:val="24"/>
      <w:lang w:val="es-ES" w:eastAsia="es-ES"/>
    </w:rPr>
  </w:style>
  <w:style w:type="paragraph" w:styleId="Encabezadodemensaje">
    <w:name w:val="Message Header"/>
    <w:basedOn w:val="Normal"/>
    <w:link w:val="EncabezadodemensajeCar"/>
    <w:rsid w:val="00B53A6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B53A68"/>
    <w:rPr>
      <w:rFonts w:ascii="Arial" w:eastAsia="Times New Roman" w:hAnsi="Arial" w:cs="Arial"/>
      <w:sz w:val="24"/>
      <w:szCs w:val="24"/>
      <w:shd w:val="pct20" w:color="auto" w:fill="auto"/>
      <w:lang w:val="es-ES" w:eastAsia="es-ES"/>
    </w:rPr>
  </w:style>
  <w:style w:type="paragraph" w:styleId="Saludo">
    <w:name w:val="Salutation"/>
    <w:basedOn w:val="Normal"/>
    <w:next w:val="Normal"/>
    <w:link w:val="SaludoCar"/>
    <w:rsid w:val="00B53A68"/>
    <w:pPr>
      <w:spacing w:after="0" w:line="240" w:lineRule="auto"/>
    </w:pPr>
    <w:rPr>
      <w:rFonts w:ascii="Times New Roman" w:eastAsia="Times New Roman" w:hAnsi="Times New Roman"/>
      <w:sz w:val="24"/>
      <w:szCs w:val="24"/>
      <w:lang w:val="es-ES" w:eastAsia="es-ES"/>
    </w:rPr>
  </w:style>
  <w:style w:type="character" w:customStyle="1" w:styleId="SaludoCar">
    <w:name w:val="Saludo Car"/>
    <w:basedOn w:val="Fuentedeprrafopredeter"/>
    <w:link w:val="Saludo"/>
    <w:rsid w:val="00B53A68"/>
    <w:rPr>
      <w:rFonts w:ascii="Times New Roman" w:eastAsia="Times New Roman" w:hAnsi="Times New Roman" w:cs="Times New Roman"/>
      <w:sz w:val="24"/>
      <w:szCs w:val="24"/>
      <w:lang w:val="es-ES" w:eastAsia="es-ES"/>
    </w:rPr>
  </w:style>
  <w:style w:type="paragraph" w:styleId="Listaconvietas2">
    <w:name w:val="List Bullet 2"/>
    <w:basedOn w:val="Normal"/>
    <w:link w:val="Listaconvietas2Car"/>
    <w:uiPriority w:val="99"/>
    <w:qFormat/>
    <w:rsid w:val="00B53A68"/>
    <w:pPr>
      <w:numPr>
        <w:numId w:val="3"/>
      </w:numPr>
      <w:spacing w:after="0" w:line="240" w:lineRule="auto"/>
    </w:pPr>
    <w:rPr>
      <w:rFonts w:ascii="Times New Roman" w:eastAsia="Times New Roman" w:hAnsi="Times New Roman"/>
      <w:sz w:val="24"/>
      <w:szCs w:val="24"/>
      <w:lang w:val="es-ES" w:eastAsia="es-ES"/>
    </w:rPr>
  </w:style>
  <w:style w:type="paragraph" w:styleId="Continuarlista">
    <w:name w:val="List Continue"/>
    <w:basedOn w:val="Normal"/>
    <w:rsid w:val="00B53A68"/>
    <w:pPr>
      <w:spacing w:after="120" w:line="240" w:lineRule="auto"/>
      <w:ind w:left="283"/>
    </w:pPr>
    <w:rPr>
      <w:rFonts w:ascii="Times New Roman" w:eastAsia="Times New Roman" w:hAnsi="Times New Roman"/>
      <w:sz w:val="24"/>
      <w:szCs w:val="24"/>
      <w:lang w:val="es-ES" w:eastAsia="es-ES"/>
    </w:rPr>
  </w:style>
  <w:style w:type="paragraph" w:customStyle="1" w:styleId="Direccininterior">
    <w:name w:val="Dirección interior"/>
    <w:basedOn w:val="Normal"/>
    <w:rsid w:val="00B53A68"/>
    <w:pPr>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B53A68"/>
    <w:pPr>
      <w:spacing w:after="0" w:line="240" w:lineRule="auto"/>
    </w:pPr>
    <w:rPr>
      <w:rFonts w:ascii="Times New Roman" w:eastAsia="Times New Roman" w:hAnsi="Times New Roman"/>
      <w:sz w:val="24"/>
      <w:szCs w:val="24"/>
      <w:lang w:val="es-ES" w:eastAsia="es-ES"/>
    </w:rPr>
  </w:style>
  <w:style w:type="paragraph" w:customStyle="1" w:styleId="Lneadereferencia">
    <w:name w:val="Línea de referencia"/>
    <w:basedOn w:val="Textoindependiente"/>
    <w:rsid w:val="00B53A68"/>
    <w:rPr>
      <w:sz w:val="24"/>
      <w:szCs w:val="24"/>
      <w:lang w:val="es-ES" w:eastAsia="es-MX"/>
    </w:rPr>
  </w:style>
  <w:style w:type="paragraph" w:styleId="Textoindependienteprimerasangra">
    <w:name w:val="Body Text First Indent"/>
    <w:basedOn w:val="Textoindependiente"/>
    <w:link w:val="TextoindependienteprimerasangraCar"/>
    <w:rsid w:val="00B53A68"/>
    <w:pPr>
      <w:spacing w:after="120"/>
      <w:ind w:firstLine="210"/>
      <w:jc w:val="left"/>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rsid w:val="00B53A68"/>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B53A68"/>
    <w:pPr>
      <w:spacing w:after="120" w:line="240" w:lineRule="auto"/>
      <w:ind w:left="283" w:firstLine="210"/>
      <w:jc w:val="left"/>
    </w:pPr>
    <w:rPr>
      <w:rFonts w:ascii="Times New Roman" w:hAnsi="Times New Roman" w:cs="Times New Roman"/>
      <w:b w:val="0"/>
      <w:sz w:val="24"/>
      <w:lang w:val="es-ES"/>
    </w:rPr>
  </w:style>
  <w:style w:type="character" w:customStyle="1" w:styleId="Textoindependienteprimerasangra2Car">
    <w:name w:val="Texto independiente primera sangría 2 Car"/>
    <w:basedOn w:val="SangradetextonormalCar"/>
    <w:link w:val="Textoindependienteprimerasangra2"/>
    <w:rsid w:val="00B53A68"/>
    <w:rPr>
      <w:rFonts w:ascii="Times New Roman" w:eastAsia="Times New Roman" w:hAnsi="Times New Roman" w:cs="Times New Roman"/>
      <w:b w:val="0"/>
      <w:sz w:val="24"/>
      <w:szCs w:val="24"/>
      <w:lang w:val="es-ES" w:eastAsia="es-ES"/>
    </w:rPr>
  </w:style>
  <w:style w:type="paragraph" w:styleId="Mapadeldocumento">
    <w:name w:val="Document Map"/>
    <w:basedOn w:val="Normal"/>
    <w:link w:val="MapadeldocumentoCar"/>
    <w:rsid w:val="00B53A68"/>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rsid w:val="00B53A68"/>
    <w:rPr>
      <w:rFonts w:ascii="Tahoma" w:eastAsia="Times New Roman" w:hAnsi="Tahoma" w:cs="Tahoma"/>
      <w:sz w:val="20"/>
      <w:szCs w:val="20"/>
      <w:shd w:val="clear" w:color="auto" w:fill="000080"/>
      <w:lang w:val="es-ES" w:eastAsia="es-ES"/>
    </w:rPr>
  </w:style>
  <w:style w:type="paragraph" w:styleId="Sinespaciado">
    <w:name w:val="No Spacing"/>
    <w:uiPriority w:val="1"/>
    <w:qFormat/>
    <w:rsid w:val="00B53A68"/>
    <w:pPr>
      <w:spacing w:after="0" w:line="240" w:lineRule="auto"/>
    </w:pPr>
    <w:rPr>
      <w:rFonts w:ascii="Calibri" w:eastAsia="Calibri" w:hAnsi="Calibri" w:cs="Times New Roman"/>
    </w:rPr>
  </w:style>
  <w:style w:type="paragraph" w:customStyle="1" w:styleId="ANOTACION">
    <w:name w:val="ANOTACION"/>
    <w:basedOn w:val="Normal"/>
    <w:link w:val="ANOTACIONCar"/>
    <w:rsid w:val="00B53A68"/>
    <w:pPr>
      <w:spacing w:before="101" w:after="101" w:line="216" w:lineRule="atLeast"/>
      <w:jc w:val="center"/>
    </w:pPr>
    <w:rPr>
      <w:rFonts w:ascii="CG Palacio (WN)" w:eastAsia="Times New Roman" w:hAnsi="CG Palacio (WN)" w:cs="CG Palacio (WN)"/>
      <w:b/>
      <w:sz w:val="18"/>
      <w:szCs w:val="20"/>
      <w:lang w:val="es-ES_tradnl" w:eastAsia="es-MX"/>
    </w:rPr>
  </w:style>
  <w:style w:type="paragraph" w:customStyle="1" w:styleId="CM4">
    <w:name w:val="CM4"/>
    <w:basedOn w:val="Default"/>
    <w:next w:val="Default"/>
    <w:uiPriority w:val="99"/>
    <w:rsid w:val="00B53A68"/>
    <w:rPr>
      <w:rFonts w:ascii="EUAlbertina" w:eastAsia="Times New Roman" w:hAnsi="EUAlbertina" w:cs="Times New Roman"/>
      <w:color w:val="auto"/>
      <w:lang w:val="es-ES" w:eastAsia="es-ES"/>
    </w:rPr>
  </w:style>
  <w:style w:type="character" w:customStyle="1" w:styleId="eacep1">
    <w:name w:val="eacep1"/>
    <w:rsid w:val="00B53A68"/>
    <w:rPr>
      <w:color w:val="000000"/>
    </w:rPr>
  </w:style>
  <w:style w:type="paragraph" w:styleId="Listaconvietas">
    <w:name w:val="List Bullet"/>
    <w:aliases w:val="Bullets texto"/>
    <w:basedOn w:val="Normal"/>
    <w:uiPriority w:val="99"/>
    <w:qFormat/>
    <w:rsid w:val="00B53A68"/>
    <w:pPr>
      <w:numPr>
        <w:numId w:val="4"/>
      </w:numPr>
      <w:spacing w:after="0" w:line="240" w:lineRule="auto"/>
      <w:contextualSpacing/>
      <w:jc w:val="both"/>
    </w:pPr>
    <w:rPr>
      <w:rFonts w:ascii="Arial" w:eastAsia="Times New Roman" w:hAnsi="Arial"/>
      <w:szCs w:val="24"/>
      <w:lang w:eastAsia="es-ES"/>
    </w:rPr>
  </w:style>
  <w:style w:type="character" w:customStyle="1" w:styleId="PrrafodelistaCar">
    <w:name w:val="Párrafo de lista Car"/>
    <w:aliases w:val="Footnote Car,4 Viñ 1nivel Car,Numeración 1 Car,Cuadrícula media 1 - Énfasis 21 Car,Bullet List Car,FooterText Car,numbered Car,List Paragraph1 Car,Paragraphe de liste1 Car,Bulletr List Paragraph Car,列出段落 Car,列出段落1 Car,Cuadros Car"/>
    <w:link w:val="Prrafodelista"/>
    <w:uiPriority w:val="34"/>
    <w:locked/>
    <w:rsid w:val="00B53A68"/>
    <w:rPr>
      <w:rFonts w:ascii="Arial" w:eastAsia="Times New Roman" w:hAnsi="Arial" w:cs="Times New Roman"/>
      <w:szCs w:val="24"/>
      <w:lang w:eastAsia="es-ES"/>
    </w:rPr>
  </w:style>
  <w:style w:type="paragraph" w:customStyle="1" w:styleId="Captionsmall">
    <w:name w:val="Caption: small"/>
    <w:basedOn w:val="Descripcin"/>
    <w:next w:val="Normal"/>
    <w:qFormat/>
    <w:rsid w:val="00B53A68"/>
    <w:pPr>
      <w:keepNext/>
      <w:tabs>
        <w:tab w:val="left" w:pos="2041"/>
      </w:tabs>
      <w:spacing w:line="280" w:lineRule="atLeast"/>
      <w:ind w:left="113" w:right="113"/>
      <w:jc w:val="left"/>
    </w:pPr>
    <w:rPr>
      <w:rFonts w:eastAsia="Calibri" w:cs="Arial"/>
      <w:b w:val="0"/>
      <w:i/>
      <w:sz w:val="18"/>
      <w:szCs w:val="18"/>
      <w:lang w:val="en-GB" w:eastAsia="en-US"/>
    </w:rPr>
  </w:style>
  <w:style w:type="paragraph" w:customStyle="1" w:styleId="Bordersmall">
    <w:name w:val="Border: small"/>
    <w:basedOn w:val="Normal"/>
    <w:qFormat/>
    <w:rsid w:val="00B53A68"/>
    <w:pPr>
      <w:spacing w:after="0" w:line="320" w:lineRule="atLeast"/>
      <w:jc w:val="center"/>
    </w:pPr>
    <w:rPr>
      <w:rFonts w:ascii="Times New Roman" w:hAnsi="Times New Roman"/>
      <w:lang w:val="en-GB"/>
    </w:rPr>
  </w:style>
  <w:style w:type="paragraph" w:customStyle="1" w:styleId="ListBulletCompact">
    <w:name w:val="List Bullet Compact"/>
    <w:basedOn w:val="Listaconvietas"/>
    <w:qFormat/>
    <w:rsid w:val="00B53A68"/>
    <w:pPr>
      <w:numPr>
        <w:numId w:val="2"/>
      </w:numPr>
      <w:spacing w:line="320" w:lineRule="atLeast"/>
      <w:contextualSpacing w:val="0"/>
    </w:pPr>
    <w:rPr>
      <w:rFonts w:ascii="Times New Roman" w:eastAsia="Calibri" w:hAnsi="Times New Roman"/>
      <w:szCs w:val="22"/>
      <w:lang w:val="es-ES" w:eastAsia="en-US"/>
    </w:rPr>
  </w:style>
  <w:style w:type="paragraph" w:styleId="Descripcin">
    <w:name w:val="caption"/>
    <w:aliases w:val="Resp caption"/>
    <w:basedOn w:val="Normal"/>
    <w:next w:val="Normal"/>
    <w:uiPriority w:val="35"/>
    <w:unhideWhenUsed/>
    <w:qFormat/>
    <w:rsid w:val="00B53A68"/>
    <w:pPr>
      <w:spacing w:after="0" w:line="240" w:lineRule="auto"/>
      <w:jc w:val="both"/>
    </w:pPr>
    <w:rPr>
      <w:rFonts w:ascii="Arial" w:eastAsia="Times New Roman" w:hAnsi="Arial"/>
      <w:b/>
      <w:bCs/>
      <w:sz w:val="20"/>
      <w:szCs w:val="20"/>
      <w:lang w:eastAsia="es-ES"/>
    </w:rPr>
  </w:style>
  <w:style w:type="paragraph" w:customStyle="1" w:styleId="I1">
    <w:name w:val="I1"/>
    <w:basedOn w:val="Listaconvietas"/>
    <w:link w:val="I1Char1"/>
    <w:qFormat/>
    <w:rsid w:val="00B53A68"/>
    <w:pPr>
      <w:numPr>
        <w:numId w:val="5"/>
      </w:numPr>
      <w:tabs>
        <w:tab w:val="num" w:pos="360"/>
      </w:tabs>
      <w:spacing w:after="240" w:line="320" w:lineRule="atLeast"/>
      <w:ind w:left="357" w:hanging="357"/>
      <w:contextualSpacing w:val="0"/>
    </w:pPr>
    <w:rPr>
      <w:rFonts w:ascii="Times New Roman" w:eastAsia="Calibri" w:hAnsi="Times New Roman"/>
      <w:sz w:val="20"/>
      <w:szCs w:val="20"/>
      <w:lang w:val="es-ES"/>
    </w:rPr>
  </w:style>
  <w:style w:type="character" w:customStyle="1" w:styleId="I1Char1">
    <w:name w:val="I1 Char1"/>
    <w:link w:val="I1"/>
    <w:locked/>
    <w:rsid w:val="00B53A68"/>
    <w:rPr>
      <w:rFonts w:ascii="Times New Roman" w:eastAsia="Calibri" w:hAnsi="Times New Roman" w:cs="Times New Roman"/>
      <w:sz w:val="20"/>
      <w:szCs w:val="20"/>
      <w:lang w:val="es-ES" w:eastAsia="es-ES"/>
    </w:rPr>
  </w:style>
  <w:style w:type="paragraph" w:customStyle="1" w:styleId="Tablecells">
    <w:name w:val="Table: cells"/>
    <w:qFormat/>
    <w:rsid w:val="00B53A68"/>
    <w:pPr>
      <w:spacing w:before="40" w:after="40" w:line="240" w:lineRule="exact"/>
      <w:ind w:right="113"/>
    </w:pPr>
    <w:rPr>
      <w:rFonts w:ascii="Arial" w:eastAsia="Calibri" w:hAnsi="Arial" w:cs="Times New Roman"/>
      <w:sz w:val="18"/>
      <w:lang w:val="en-GB"/>
    </w:rPr>
  </w:style>
  <w:style w:type="paragraph" w:customStyle="1" w:styleId="Tableheading">
    <w:name w:val="Table: heading"/>
    <w:basedOn w:val="Tablecells"/>
    <w:next w:val="Tablecells"/>
    <w:qFormat/>
    <w:rsid w:val="00B53A68"/>
    <w:pPr>
      <w:keepNext/>
    </w:pPr>
    <w:rPr>
      <w:b/>
      <w:color w:val="FFFFFF"/>
    </w:rPr>
  </w:style>
  <w:style w:type="table" w:styleId="Tablaconcuadrcula">
    <w:name w:val="Table Grid"/>
    <w:basedOn w:val="Tablanormal"/>
    <w:uiPriority w:val="59"/>
    <w:rsid w:val="00B53A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nmeros">
    <w:name w:val="List Number"/>
    <w:basedOn w:val="Normal"/>
    <w:uiPriority w:val="99"/>
    <w:rsid w:val="00B53A68"/>
    <w:pPr>
      <w:tabs>
        <w:tab w:val="num" w:pos="360"/>
      </w:tabs>
      <w:spacing w:after="240" w:line="320" w:lineRule="atLeast"/>
      <w:ind w:left="360" w:hanging="360"/>
      <w:contextualSpacing/>
      <w:jc w:val="both"/>
    </w:pPr>
    <w:rPr>
      <w:rFonts w:ascii="Times New Roman" w:hAnsi="Times New Roman"/>
      <w:lang w:val="es-ES"/>
    </w:rPr>
  </w:style>
  <w:style w:type="paragraph" w:customStyle="1" w:styleId="B1">
    <w:name w:val="B1"/>
    <w:basedOn w:val="Normal"/>
    <w:qFormat/>
    <w:rsid w:val="00B53A68"/>
    <w:pPr>
      <w:keepLines/>
      <w:pBdr>
        <w:top w:val="single" w:sz="2" w:space="2" w:color="auto"/>
        <w:bottom w:val="single" w:sz="2" w:space="5" w:color="auto"/>
      </w:pBdr>
      <w:spacing w:after="240" w:line="320" w:lineRule="atLeast"/>
      <w:ind w:left="284" w:right="284"/>
      <w:jc w:val="both"/>
    </w:pPr>
    <w:rPr>
      <w:rFonts w:ascii="Times New Roman" w:hAnsi="Times New Roman"/>
      <w:lang w:val="es-ES"/>
    </w:rPr>
  </w:style>
  <w:style w:type="paragraph" w:customStyle="1" w:styleId="Border">
    <w:name w:val="Border"/>
    <w:next w:val="Descripcin"/>
    <w:qFormat/>
    <w:rsid w:val="00B53A68"/>
    <w:pPr>
      <w:spacing w:after="600" w:line="320" w:lineRule="atLeast"/>
      <w:jc w:val="center"/>
    </w:pPr>
    <w:rPr>
      <w:rFonts w:ascii="Times New Roman" w:eastAsia="Calibri" w:hAnsi="Times New Roman" w:cs="Times New Roman"/>
      <w:lang w:val="en-GB"/>
    </w:rPr>
  </w:style>
  <w:style w:type="paragraph" w:customStyle="1" w:styleId="ListBullet2Compact">
    <w:name w:val="List Bullet 2 Compact"/>
    <w:basedOn w:val="Listaconvietas2"/>
    <w:qFormat/>
    <w:rsid w:val="00B53A68"/>
    <w:pPr>
      <w:keepLines/>
      <w:numPr>
        <w:numId w:val="1"/>
      </w:numPr>
      <w:spacing w:line="320" w:lineRule="atLeast"/>
      <w:ind w:left="1077"/>
      <w:jc w:val="both"/>
    </w:pPr>
    <w:rPr>
      <w:rFonts w:eastAsia="Calibri"/>
      <w:sz w:val="22"/>
      <w:szCs w:val="22"/>
      <w:lang w:eastAsia="en-US"/>
    </w:rPr>
  </w:style>
  <w:style w:type="paragraph" w:customStyle="1" w:styleId="II">
    <w:name w:val="II"/>
    <w:basedOn w:val="Listaconvietas2"/>
    <w:link w:val="IIChar"/>
    <w:qFormat/>
    <w:rsid w:val="00B53A68"/>
    <w:pPr>
      <w:keepLines/>
      <w:numPr>
        <w:numId w:val="0"/>
      </w:numPr>
      <w:spacing w:after="240" w:line="320" w:lineRule="atLeast"/>
      <w:ind w:left="1077" w:hanging="360"/>
      <w:jc w:val="both"/>
    </w:pPr>
    <w:rPr>
      <w:rFonts w:eastAsia="Calibri"/>
      <w:sz w:val="22"/>
      <w:szCs w:val="22"/>
      <w:lang w:eastAsia="en-US"/>
    </w:rPr>
  </w:style>
  <w:style w:type="character" w:customStyle="1" w:styleId="IIChar">
    <w:name w:val="II Char"/>
    <w:link w:val="II"/>
    <w:locked/>
    <w:rsid w:val="00B53A68"/>
    <w:rPr>
      <w:rFonts w:ascii="Times New Roman" w:eastAsia="Calibri" w:hAnsi="Times New Roman" w:cs="Times New Roman"/>
      <w:lang w:val="es-ES"/>
    </w:rPr>
  </w:style>
  <w:style w:type="paragraph" w:customStyle="1" w:styleId="SBSheader">
    <w:name w:val="SBS: header"/>
    <w:basedOn w:val="Normal"/>
    <w:qFormat/>
    <w:rsid w:val="00B53A68"/>
    <w:pPr>
      <w:spacing w:after="240" w:line="320" w:lineRule="atLeast"/>
    </w:pPr>
    <w:rPr>
      <w:rFonts w:ascii="Times New Roman" w:hAnsi="Times New Roman"/>
      <w:i/>
      <w:lang w:val="es-ES"/>
    </w:rPr>
  </w:style>
  <w:style w:type="paragraph" w:customStyle="1" w:styleId="L1">
    <w:name w:val="L1"/>
    <w:basedOn w:val="ListBulletCompact"/>
    <w:link w:val="L1Char"/>
    <w:qFormat/>
    <w:rsid w:val="00B53A68"/>
    <w:pPr>
      <w:numPr>
        <w:numId w:val="0"/>
      </w:numPr>
      <w:tabs>
        <w:tab w:val="num" w:pos="360"/>
        <w:tab w:val="num" w:pos="1021"/>
      </w:tabs>
      <w:ind w:left="357" w:hanging="357"/>
    </w:pPr>
    <w:rPr>
      <w:sz w:val="20"/>
      <w:szCs w:val="20"/>
      <w:lang w:eastAsia="es-ES"/>
    </w:rPr>
  </w:style>
  <w:style w:type="character" w:customStyle="1" w:styleId="L1Char">
    <w:name w:val="L1 Char"/>
    <w:link w:val="L1"/>
    <w:locked/>
    <w:rsid w:val="00B53A68"/>
    <w:rPr>
      <w:rFonts w:ascii="Times New Roman" w:eastAsia="Calibri" w:hAnsi="Times New Roman" w:cs="Times New Roman"/>
      <w:sz w:val="20"/>
      <w:szCs w:val="20"/>
      <w:lang w:val="es-ES" w:eastAsia="es-ES"/>
    </w:rPr>
  </w:style>
  <w:style w:type="character" w:customStyle="1" w:styleId="apple-converted-space">
    <w:name w:val="apple-converted-space"/>
    <w:rsid w:val="00B53A68"/>
  </w:style>
  <w:style w:type="table" w:customStyle="1" w:styleId="Sombreadomedio2-nfasis11">
    <w:name w:val="Sombreado medio 2 - Énfasis 11"/>
    <w:basedOn w:val="Tablanormal"/>
    <w:uiPriority w:val="64"/>
    <w:rsid w:val="00B53A68"/>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mphasised">
    <w:name w:val="Emphasised"/>
    <w:basedOn w:val="Normal"/>
    <w:qFormat/>
    <w:rsid w:val="00B53A68"/>
    <w:pPr>
      <w:keepLines/>
      <w:pBdr>
        <w:top w:val="single" w:sz="2" w:space="2" w:color="auto"/>
        <w:bottom w:val="single" w:sz="2" w:space="5" w:color="auto"/>
      </w:pBdr>
      <w:spacing w:after="240" w:line="320" w:lineRule="atLeast"/>
      <w:ind w:left="284" w:right="284"/>
      <w:jc w:val="both"/>
    </w:pPr>
    <w:rPr>
      <w:rFonts w:ascii="Times New Roman" w:hAnsi="Times New Roman"/>
      <w:lang w:val="es-ES"/>
    </w:rPr>
  </w:style>
  <w:style w:type="character" w:customStyle="1" w:styleId="HeaderChar">
    <w:name w:val="Header Char"/>
    <w:uiPriority w:val="99"/>
    <w:semiHidden/>
    <w:rsid w:val="00B53A68"/>
    <w:rPr>
      <w:rFonts w:ascii="Arial" w:hAnsi="Arial"/>
      <w:sz w:val="16"/>
    </w:rPr>
  </w:style>
  <w:style w:type="character" w:customStyle="1" w:styleId="Listaconvietas2Car">
    <w:name w:val="Lista con viñetas 2 Car"/>
    <w:link w:val="Listaconvietas2"/>
    <w:uiPriority w:val="99"/>
    <w:rsid w:val="00B53A68"/>
    <w:rPr>
      <w:rFonts w:ascii="Times New Roman" w:eastAsia="Times New Roman" w:hAnsi="Times New Roman" w:cs="Times New Roman"/>
      <w:sz w:val="24"/>
      <w:szCs w:val="24"/>
      <w:lang w:val="es-ES" w:eastAsia="es-ES"/>
    </w:rPr>
  </w:style>
  <w:style w:type="character" w:customStyle="1" w:styleId="FooterChar">
    <w:name w:val="Footer Char"/>
    <w:uiPriority w:val="99"/>
    <w:rsid w:val="00B53A68"/>
    <w:rPr>
      <w:rFonts w:ascii="Arial" w:hAnsi="Arial"/>
      <w:sz w:val="16"/>
    </w:rPr>
  </w:style>
  <w:style w:type="paragraph" w:customStyle="1" w:styleId="Annex1">
    <w:name w:val="Annex 1"/>
    <w:next w:val="Normal"/>
    <w:qFormat/>
    <w:rsid w:val="00B53A68"/>
    <w:pPr>
      <w:keepNext/>
      <w:pageBreakBefore/>
      <w:numPr>
        <w:numId w:val="9"/>
      </w:numPr>
      <w:tabs>
        <w:tab w:val="clear" w:pos="1134"/>
      </w:tabs>
      <w:spacing w:after="600" w:line="560" w:lineRule="exact"/>
      <w:ind w:left="720" w:hanging="360"/>
      <w:outlineLvl w:val="0"/>
    </w:pPr>
    <w:rPr>
      <w:rFonts w:ascii="Times New Roman" w:eastAsia="Calibri" w:hAnsi="Times New Roman" w:cs="Times New Roman"/>
      <w:sz w:val="36"/>
      <w:lang w:val="en-GB"/>
    </w:rPr>
  </w:style>
  <w:style w:type="numbering" w:styleId="1ai">
    <w:name w:val="Outline List 1"/>
    <w:basedOn w:val="Sinlista"/>
    <w:uiPriority w:val="99"/>
    <w:unhideWhenUsed/>
    <w:rsid w:val="00B53A68"/>
  </w:style>
  <w:style w:type="paragraph" w:customStyle="1" w:styleId="LL">
    <w:name w:val="LL"/>
    <w:basedOn w:val="ListBullet2Compact"/>
    <w:rsid w:val="00B53A68"/>
    <w:pPr>
      <w:numPr>
        <w:numId w:val="8"/>
      </w:numPr>
      <w:ind w:left="714" w:hanging="357"/>
    </w:pPr>
  </w:style>
  <w:style w:type="paragraph" w:customStyle="1" w:styleId="Tablenote">
    <w:name w:val="Table: note"/>
    <w:basedOn w:val="Tablecells"/>
    <w:qFormat/>
    <w:rsid w:val="00B53A68"/>
    <w:pPr>
      <w:pBdr>
        <w:bottom w:val="single" w:sz="4" w:space="9" w:color="auto"/>
      </w:pBdr>
      <w:spacing w:before="100" w:after="0"/>
      <w:ind w:left="357" w:right="0" w:hanging="357"/>
    </w:pPr>
  </w:style>
  <w:style w:type="paragraph" w:customStyle="1" w:styleId="Tablebullet">
    <w:name w:val="Table: bullet"/>
    <w:basedOn w:val="Tablecells"/>
    <w:qFormat/>
    <w:rsid w:val="00B53A68"/>
    <w:pPr>
      <w:numPr>
        <w:numId w:val="11"/>
      </w:numPr>
      <w:tabs>
        <w:tab w:val="num" w:pos="567"/>
      </w:tabs>
      <w:ind w:left="227" w:hanging="227"/>
    </w:pPr>
  </w:style>
  <w:style w:type="paragraph" w:styleId="TDC2">
    <w:name w:val="toc 2"/>
    <w:basedOn w:val="TDC1"/>
    <w:next w:val="Normal"/>
    <w:autoRedefine/>
    <w:uiPriority w:val="39"/>
    <w:unhideWhenUsed/>
    <w:rsid w:val="00B53A68"/>
    <w:pPr>
      <w:keepNext w:val="0"/>
      <w:spacing w:before="0"/>
    </w:pPr>
    <w:rPr>
      <w:b w:val="0"/>
      <w:noProof/>
    </w:rPr>
  </w:style>
  <w:style w:type="character" w:customStyle="1" w:styleId="ConfidentialFooter">
    <w:name w:val="ConfidentialFooter"/>
    <w:rsid w:val="00B53A68"/>
    <w:rPr>
      <w:color w:val="FFFFFF"/>
      <w:sz w:val="2"/>
    </w:rPr>
  </w:style>
  <w:style w:type="paragraph" w:customStyle="1" w:styleId="ConfidentialFront">
    <w:name w:val="ConfidentialFront"/>
    <w:basedOn w:val="Normal"/>
    <w:qFormat/>
    <w:rsid w:val="00B53A68"/>
    <w:pPr>
      <w:spacing w:before="960" w:after="240" w:line="320" w:lineRule="atLeast"/>
      <w:ind w:left="5103" w:right="-397"/>
      <w:jc w:val="both"/>
    </w:pPr>
    <w:rPr>
      <w:rFonts w:ascii="Arial" w:hAnsi="Arial"/>
      <w:color w:val="FFFFFF"/>
      <w:sz w:val="2"/>
      <w:lang w:val="en-GB"/>
    </w:rPr>
  </w:style>
  <w:style w:type="paragraph" w:customStyle="1" w:styleId="H5">
    <w:name w:val="H5"/>
    <w:basedOn w:val="Normal"/>
    <w:next w:val="Normal"/>
    <w:link w:val="H5Char"/>
    <w:qFormat/>
    <w:rsid w:val="00B53A68"/>
    <w:pPr>
      <w:keepNext/>
      <w:numPr>
        <w:numId w:val="12"/>
      </w:numPr>
      <w:spacing w:line="320" w:lineRule="atLeast"/>
      <w:ind w:left="357" w:hanging="357"/>
      <w:jc w:val="both"/>
    </w:pPr>
    <w:rPr>
      <w:rFonts w:ascii="Times New Roman" w:hAnsi="Times New Roman"/>
      <w:i/>
      <w:lang w:val="es-ES"/>
    </w:rPr>
  </w:style>
  <w:style w:type="character" w:customStyle="1" w:styleId="H5Char">
    <w:name w:val="H5 Char"/>
    <w:link w:val="H5"/>
    <w:rsid w:val="00B53A68"/>
    <w:rPr>
      <w:rFonts w:ascii="Times New Roman" w:eastAsia="Calibri" w:hAnsi="Times New Roman" w:cs="Times New Roman"/>
      <w:i/>
      <w:lang w:val="es-ES"/>
    </w:rPr>
  </w:style>
  <w:style w:type="paragraph" w:styleId="TDC1">
    <w:name w:val="toc 1"/>
    <w:basedOn w:val="Normal"/>
    <w:next w:val="Normal"/>
    <w:autoRedefine/>
    <w:uiPriority w:val="39"/>
    <w:unhideWhenUsed/>
    <w:rsid w:val="00B53A68"/>
    <w:pPr>
      <w:keepNext/>
      <w:tabs>
        <w:tab w:val="left" w:pos="635"/>
        <w:tab w:val="right" w:pos="8789"/>
      </w:tabs>
      <w:spacing w:before="240" w:after="0" w:line="320" w:lineRule="atLeast"/>
      <w:jc w:val="both"/>
    </w:pPr>
    <w:rPr>
      <w:rFonts w:ascii="Times New Roman" w:hAnsi="Times New Roman"/>
      <w:b/>
      <w:lang w:val="es-ES"/>
    </w:rPr>
  </w:style>
  <w:style w:type="paragraph" w:styleId="TDC3">
    <w:name w:val="toc 3"/>
    <w:basedOn w:val="TDC2"/>
    <w:next w:val="Normal"/>
    <w:autoRedefine/>
    <w:uiPriority w:val="39"/>
    <w:unhideWhenUsed/>
    <w:rsid w:val="00B53A68"/>
    <w:rPr>
      <w:sz w:val="20"/>
    </w:rPr>
  </w:style>
  <w:style w:type="paragraph" w:styleId="TDC4">
    <w:name w:val="toc 4"/>
    <w:basedOn w:val="TDC3"/>
    <w:next w:val="Normal"/>
    <w:autoRedefine/>
    <w:uiPriority w:val="39"/>
    <w:unhideWhenUsed/>
    <w:rsid w:val="00B53A68"/>
  </w:style>
  <w:style w:type="paragraph" w:customStyle="1" w:styleId="Annex2">
    <w:name w:val="Annex 2"/>
    <w:next w:val="Normal"/>
    <w:qFormat/>
    <w:rsid w:val="00B53A68"/>
    <w:pPr>
      <w:keepNext/>
      <w:numPr>
        <w:ilvl w:val="1"/>
        <w:numId w:val="9"/>
      </w:numPr>
      <w:spacing w:before="360" w:after="200" w:line="320" w:lineRule="atLeast"/>
      <w:ind w:left="1440" w:hanging="360"/>
    </w:pPr>
    <w:rPr>
      <w:rFonts w:ascii="Times New Roman" w:eastAsia="Calibri" w:hAnsi="Times New Roman" w:cs="Times New Roman"/>
      <w:b/>
      <w:sz w:val="24"/>
      <w:lang w:val="en-GB"/>
    </w:rPr>
  </w:style>
  <w:style w:type="paragraph" w:customStyle="1" w:styleId="Annex3">
    <w:name w:val="Annex 3"/>
    <w:next w:val="Normal"/>
    <w:qFormat/>
    <w:rsid w:val="00B53A68"/>
    <w:pPr>
      <w:keepNext/>
      <w:numPr>
        <w:ilvl w:val="2"/>
        <w:numId w:val="9"/>
      </w:numPr>
      <w:spacing w:before="360" w:after="240" w:line="320" w:lineRule="atLeast"/>
      <w:ind w:left="2160" w:hanging="180"/>
    </w:pPr>
    <w:rPr>
      <w:rFonts w:ascii="Times New Roman" w:eastAsia="Calibri" w:hAnsi="Times New Roman" w:cs="Times New Roman"/>
      <w:b/>
      <w:lang w:val="en-GB"/>
    </w:rPr>
  </w:style>
  <w:style w:type="paragraph" w:customStyle="1" w:styleId="Annex4">
    <w:name w:val="Annex 4"/>
    <w:next w:val="Normal"/>
    <w:qFormat/>
    <w:rsid w:val="00B53A68"/>
    <w:pPr>
      <w:keepNext/>
      <w:numPr>
        <w:ilvl w:val="3"/>
        <w:numId w:val="9"/>
      </w:numPr>
      <w:spacing w:before="360" w:after="240" w:line="320" w:lineRule="atLeast"/>
      <w:ind w:left="2880" w:hanging="360"/>
    </w:pPr>
    <w:rPr>
      <w:rFonts w:ascii="Times New Roman" w:eastAsia="Calibri" w:hAnsi="Times New Roman" w:cs="Times New Roman"/>
      <w:i/>
      <w:lang w:val="en-GB"/>
    </w:rPr>
  </w:style>
  <w:style w:type="paragraph" w:customStyle="1" w:styleId="cvcont">
    <w:name w:val="cvcont"/>
    <w:basedOn w:val="Normal"/>
    <w:next w:val="Normal"/>
    <w:qFormat/>
    <w:rsid w:val="00B53A68"/>
    <w:pPr>
      <w:spacing w:before="300" w:after="240" w:line="240" w:lineRule="exact"/>
      <w:ind w:left="-499" w:right="-499"/>
    </w:pPr>
    <w:rPr>
      <w:rFonts w:ascii="Times New Roman" w:hAnsi="Times New Roman"/>
      <w:b/>
      <w:sz w:val="18"/>
      <w:lang w:val="es-ES"/>
    </w:rPr>
  </w:style>
  <w:style w:type="paragraph" w:customStyle="1" w:styleId="Titletype">
    <w:name w:val="Title: type"/>
    <w:next w:val="Titlemain"/>
    <w:qFormat/>
    <w:rsid w:val="00B53A68"/>
    <w:pPr>
      <w:spacing w:before="2240" w:after="240" w:line="510" w:lineRule="exact"/>
      <w:ind w:left="5103" w:right="-397"/>
    </w:pPr>
    <w:rPr>
      <w:rFonts w:ascii="Arial" w:eastAsia="Times New Roman" w:hAnsi="Arial" w:cs="Times New Roman"/>
      <w:b/>
      <w:bCs/>
      <w:color w:val="003352"/>
      <w:spacing w:val="8"/>
      <w:sz w:val="24"/>
      <w:szCs w:val="24"/>
      <w:lang w:val="es-ES"/>
    </w:rPr>
  </w:style>
  <w:style w:type="paragraph" w:customStyle="1" w:styleId="Titlemain">
    <w:name w:val="Title: main"/>
    <w:next w:val="Titleauthor"/>
    <w:qFormat/>
    <w:rsid w:val="00B53A68"/>
    <w:pPr>
      <w:spacing w:after="40" w:line="510" w:lineRule="exact"/>
      <w:ind w:left="5103" w:right="-397"/>
    </w:pPr>
    <w:rPr>
      <w:rFonts w:ascii="Arial" w:eastAsia="Times New Roman" w:hAnsi="Arial" w:cs="Times New Roman"/>
      <w:bCs/>
      <w:spacing w:val="8"/>
      <w:sz w:val="34"/>
      <w:szCs w:val="34"/>
      <w:lang w:val="en-GB"/>
    </w:rPr>
  </w:style>
  <w:style w:type="paragraph" w:customStyle="1" w:styleId="Titleauthor">
    <w:name w:val="Title: author"/>
    <w:basedOn w:val="Titletype"/>
    <w:next w:val="Titledate"/>
    <w:qFormat/>
    <w:rsid w:val="00B53A68"/>
    <w:pPr>
      <w:spacing w:before="0" w:after="40" w:line="280" w:lineRule="exact"/>
      <w:ind w:right="-340"/>
    </w:pPr>
    <w:rPr>
      <w:b w:val="0"/>
      <w:sz w:val="19"/>
      <w:szCs w:val="19"/>
      <w:lang w:val="en-GB"/>
    </w:rPr>
  </w:style>
  <w:style w:type="paragraph" w:customStyle="1" w:styleId="Titledate">
    <w:name w:val="Title: date"/>
    <w:basedOn w:val="Titlemain"/>
    <w:next w:val="TitleRefNo"/>
    <w:qFormat/>
    <w:rsid w:val="00B53A68"/>
    <w:pPr>
      <w:spacing w:after="160"/>
    </w:pPr>
    <w:rPr>
      <w:i/>
      <w:color w:val="003352"/>
      <w:sz w:val="24"/>
      <w:szCs w:val="24"/>
    </w:rPr>
  </w:style>
  <w:style w:type="paragraph" w:customStyle="1" w:styleId="TitleRefNo">
    <w:name w:val="Title: RefNo"/>
    <w:basedOn w:val="Titledate"/>
    <w:next w:val="Normal"/>
    <w:qFormat/>
    <w:rsid w:val="00B53A68"/>
    <w:rPr>
      <w:i w:val="0"/>
      <w:sz w:val="22"/>
    </w:rPr>
  </w:style>
  <w:style w:type="paragraph" w:customStyle="1" w:styleId="Contentsheading">
    <w:name w:val="Contents: heading"/>
    <w:basedOn w:val="Normal"/>
    <w:next w:val="TDC1"/>
    <w:qFormat/>
    <w:rsid w:val="00B53A68"/>
    <w:pPr>
      <w:spacing w:after="560" w:line="720" w:lineRule="exact"/>
      <w:jc w:val="both"/>
    </w:pPr>
    <w:rPr>
      <w:rFonts w:ascii="Times New Roman" w:hAnsi="Times New Roman"/>
      <w:sz w:val="40"/>
      <w:lang w:val="es-ES"/>
    </w:rPr>
  </w:style>
  <w:style w:type="paragraph" w:customStyle="1" w:styleId="Contentssubsection">
    <w:name w:val="Contents: subsection"/>
    <w:basedOn w:val="Normal"/>
    <w:next w:val="TDC1"/>
    <w:qFormat/>
    <w:rsid w:val="00B53A68"/>
    <w:pPr>
      <w:spacing w:before="360" w:after="0" w:line="320" w:lineRule="atLeast"/>
      <w:jc w:val="both"/>
    </w:pPr>
    <w:rPr>
      <w:rFonts w:ascii="Times New Roman" w:hAnsi="Times New Roman"/>
      <w:b/>
      <w:sz w:val="26"/>
      <w:lang w:val="es-ES"/>
    </w:rPr>
  </w:style>
  <w:style w:type="paragraph" w:customStyle="1" w:styleId="cvhead">
    <w:name w:val="cvhead"/>
    <w:basedOn w:val="Normal"/>
    <w:next w:val="Normal"/>
    <w:qFormat/>
    <w:rsid w:val="00B53A68"/>
    <w:pPr>
      <w:keepNext/>
      <w:spacing w:after="400" w:line="400" w:lineRule="exact"/>
      <w:ind w:left="-499"/>
      <w:jc w:val="both"/>
    </w:pPr>
    <w:rPr>
      <w:rFonts w:ascii="Times New Roman" w:hAnsi="Times New Roman"/>
      <w:b/>
      <w:sz w:val="30"/>
      <w:lang w:val="es-ES"/>
    </w:rPr>
  </w:style>
  <w:style w:type="paragraph" w:customStyle="1" w:styleId="cvsec">
    <w:name w:val="cvsec"/>
    <w:basedOn w:val="Normal"/>
    <w:next w:val="Normal"/>
    <w:qFormat/>
    <w:rsid w:val="00B53A68"/>
    <w:pPr>
      <w:keepNext/>
      <w:spacing w:before="240" w:after="240" w:line="320" w:lineRule="atLeast"/>
      <w:ind w:left="-499"/>
      <w:jc w:val="both"/>
    </w:pPr>
    <w:rPr>
      <w:rFonts w:ascii="Times New Roman" w:hAnsi="Times New Roman"/>
      <w:b/>
      <w:lang w:val="es-ES"/>
    </w:rPr>
  </w:style>
  <w:style w:type="paragraph" w:customStyle="1" w:styleId="01">
    <w:name w:val="01"/>
    <w:basedOn w:val="Normal"/>
    <w:qFormat/>
    <w:rsid w:val="00B53A68"/>
    <w:pPr>
      <w:spacing w:after="0" w:line="320" w:lineRule="atLeast"/>
      <w:jc w:val="both"/>
    </w:pPr>
    <w:rPr>
      <w:rFonts w:ascii="Times New Roman" w:hAnsi="Times New Roman"/>
      <w:lang w:val="es-ES"/>
    </w:rPr>
  </w:style>
  <w:style w:type="paragraph" w:customStyle="1" w:styleId="Titleaddress">
    <w:name w:val="Title: address"/>
    <w:basedOn w:val="01"/>
    <w:qFormat/>
    <w:rsid w:val="00B53A68"/>
    <w:pPr>
      <w:ind w:left="567"/>
    </w:pPr>
  </w:style>
  <w:style w:type="paragraph" w:customStyle="1" w:styleId="Titleversion">
    <w:name w:val="Title: version"/>
    <w:basedOn w:val="Normal"/>
    <w:rsid w:val="00B53A68"/>
    <w:pPr>
      <w:spacing w:after="240" w:line="320" w:lineRule="atLeast"/>
      <w:jc w:val="center"/>
    </w:pPr>
    <w:rPr>
      <w:rFonts w:ascii="Times New Roman" w:eastAsia="Times New Roman" w:hAnsi="Times New Roman"/>
      <w:szCs w:val="20"/>
      <w:lang w:val="es-ES"/>
    </w:rPr>
  </w:style>
  <w:style w:type="paragraph" w:customStyle="1" w:styleId="01-reference">
    <w:name w:val="01-reference"/>
    <w:basedOn w:val="TitleRefNo"/>
    <w:rsid w:val="00B53A6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0"/>
      <w:jc w:val="right"/>
    </w:pPr>
    <w:rPr>
      <w:rFonts w:ascii="Times New Roman" w:hAnsi="Times New Roman"/>
      <w:bCs w:val="0"/>
      <w:i/>
      <w:spacing w:val="0"/>
      <w:sz w:val="30"/>
      <w:szCs w:val="20"/>
      <w:lang w:val="es-ES"/>
    </w:rPr>
  </w:style>
  <w:style w:type="character" w:customStyle="1" w:styleId="apple-style-span">
    <w:name w:val="apple-style-span"/>
    <w:rsid w:val="00B53A68"/>
  </w:style>
  <w:style w:type="table" w:styleId="Tablaclsica2">
    <w:name w:val="Table Classic 2"/>
    <w:basedOn w:val="Tablanormal"/>
    <w:rsid w:val="00B53A68"/>
    <w:pPr>
      <w:spacing w:after="0" w:line="240" w:lineRule="auto"/>
      <w:jc w:val="both"/>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B53A68"/>
    <w:pPr>
      <w:spacing w:after="0" w:line="240" w:lineRule="auto"/>
      <w:jc w:val="both"/>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xl2925">
    <w:name w:val="xl2925"/>
    <w:basedOn w:val="Normal"/>
    <w:rsid w:val="00B53A68"/>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2928">
    <w:name w:val="xl2928"/>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29">
    <w:name w:val="xl2929"/>
    <w:basedOn w:val="Normal"/>
    <w:rsid w:val="00B53A68"/>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1">
    <w:name w:val="xl2931"/>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2">
    <w:name w:val="xl2932"/>
    <w:basedOn w:val="Normal"/>
    <w:rsid w:val="00B53A68"/>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3">
    <w:name w:val="xl2933"/>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4">
    <w:name w:val="xl2934"/>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5">
    <w:name w:val="xl2935"/>
    <w:basedOn w:val="Normal"/>
    <w:rsid w:val="00B53A68"/>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6">
    <w:name w:val="xl2936"/>
    <w:basedOn w:val="Normal"/>
    <w:rsid w:val="00B53A68"/>
    <w:pPr>
      <w:spacing w:before="100" w:beforeAutospacing="1" w:after="100" w:afterAutospacing="1" w:line="240" w:lineRule="auto"/>
      <w:textAlignment w:val="bottom"/>
    </w:pPr>
    <w:rPr>
      <w:rFonts w:ascii="Times New Roman" w:eastAsia="Times New Roman" w:hAnsi="Times New Roman"/>
      <w:sz w:val="20"/>
      <w:szCs w:val="20"/>
      <w:lang w:eastAsia="es-MX"/>
    </w:rPr>
  </w:style>
  <w:style w:type="paragraph" w:customStyle="1" w:styleId="xl2937">
    <w:name w:val="xl2937"/>
    <w:basedOn w:val="Normal"/>
    <w:rsid w:val="00B53A68"/>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8">
    <w:name w:val="xl2938"/>
    <w:basedOn w:val="Normal"/>
    <w:rsid w:val="00B53A68"/>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2939">
    <w:name w:val="xl2939"/>
    <w:basedOn w:val="Normal"/>
    <w:rsid w:val="00B53A68"/>
    <w:pPr>
      <w:spacing w:before="100" w:beforeAutospacing="1" w:after="100" w:afterAutospacing="1" w:line="240" w:lineRule="auto"/>
      <w:textAlignment w:val="bottom"/>
    </w:pPr>
    <w:rPr>
      <w:rFonts w:ascii="Times New Roman" w:eastAsia="Times New Roman" w:hAnsi="Times New Roman"/>
      <w:sz w:val="24"/>
      <w:szCs w:val="24"/>
      <w:lang w:eastAsia="es-MX"/>
    </w:rPr>
  </w:style>
  <w:style w:type="paragraph" w:customStyle="1" w:styleId="xl2940">
    <w:name w:val="xl2940"/>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textAlignment w:val="bottom"/>
    </w:pPr>
    <w:rPr>
      <w:rFonts w:ascii="Times New Roman" w:eastAsia="Times New Roman" w:hAnsi="Times New Roman"/>
      <w:sz w:val="24"/>
      <w:szCs w:val="24"/>
      <w:lang w:eastAsia="es-MX"/>
    </w:rPr>
  </w:style>
  <w:style w:type="table" w:styleId="Tablaclsica3">
    <w:name w:val="Table Classic 3"/>
    <w:basedOn w:val="Tablanormal"/>
    <w:rsid w:val="00B53A68"/>
    <w:pPr>
      <w:spacing w:after="0" w:line="240" w:lineRule="auto"/>
      <w:jc w:val="both"/>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xl1118">
    <w:name w:val="xl1118"/>
    <w:basedOn w:val="Normal"/>
    <w:rsid w:val="00B53A68"/>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19">
    <w:name w:val="xl1119"/>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0">
    <w:name w:val="xl1120"/>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1">
    <w:name w:val="xl1121"/>
    <w:basedOn w:val="Normal"/>
    <w:rsid w:val="00B53A68"/>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2">
    <w:name w:val="xl1122"/>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3">
    <w:name w:val="xl1123"/>
    <w:basedOn w:val="Normal"/>
    <w:rsid w:val="00B53A68"/>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5">
    <w:name w:val="xl1125"/>
    <w:basedOn w:val="Normal"/>
    <w:rsid w:val="00B53A68"/>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6">
    <w:name w:val="xl1126"/>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7">
    <w:name w:val="xl1127"/>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8">
    <w:name w:val="xl1128"/>
    <w:basedOn w:val="Normal"/>
    <w:rsid w:val="00B53A68"/>
    <w:pPr>
      <w:pBdr>
        <w:top w:val="dotted" w:sz="4" w:space="0" w:color="00C000"/>
        <w:left w:val="dotted" w:sz="4" w:space="0" w:color="00C000"/>
        <w:bottom w:val="dotted" w:sz="4" w:space="0" w:color="00C000"/>
        <w:right w:val="dotted" w:sz="4" w:space="0" w:color="00C000"/>
      </w:pBdr>
      <w:shd w:val="clear" w:color="000000"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istavistosa-nfasis11">
    <w:name w:val="Lista vistosa - Énfasis 11"/>
    <w:basedOn w:val="Normal"/>
    <w:qFormat/>
    <w:rsid w:val="00B53A68"/>
    <w:pPr>
      <w:spacing w:after="0" w:line="240" w:lineRule="auto"/>
      <w:ind w:left="708"/>
    </w:pPr>
    <w:rPr>
      <w:rFonts w:ascii="Times New Roman" w:eastAsia="Times New Roman" w:hAnsi="Times New Roman"/>
      <w:sz w:val="20"/>
      <w:szCs w:val="20"/>
      <w:lang w:val="es-ES" w:eastAsia="es-ES"/>
    </w:rPr>
  </w:style>
  <w:style w:type="paragraph" w:customStyle="1" w:styleId="CM15">
    <w:name w:val="CM15"/>
    <w:basedOn w:val="Default"/>
    <w:next w:val="Default"/>
    <w:rsid w:val="00B53A68"/>
    <w:pPr>
      <w:widowControl w:val="0"/>
      <w:spacing w:after="450"/>
    </w:pPr>
    <w:rPr>
      <w:rFonts w:ascii="Garamond" w:eastAsia="Times New Roman" w:hAnsi="Garamond" w:cs="Garamond"/>
      <w:color w:val="auto"/>
      <w:lang w:val="es-ES" w:eastAsia="es-ES"/>
    </w:rPr>
  </w:style>
  <w:style w:type="character" w:customStyle="1" w:styleId="highlightedsearchterm">
    <w:name w:val="highlightedsearchterm"/>
    <w:rsid w:val="00B53A68"/>
  </w:style>
  <w:style w:type="numbering" w:customStyle="1" w:styleId="Sinlista11">
    <w:name w:val="Sin lista11"/>
    <w:next w:val="Sinlista"/>
    <w:semiHidden/>
    <w:unhideWhenUsed/>
    <w:rsid w:val="00B53A68"/>
  </w:style>
  <w:style w:type="numbering" w:customStyle="1" w:styleId="Sinlista2">
    <w:name w:val="Sin lista2"/>
    <w:next w:val="Sinlista"/>
    <w:semiHidden/>
    <w:rsid w:val="00B53A68"/>
  </w:style>
  <w:style w:type="numbering" w:customStyle="1" w:styleId="Sinlista3">
    <w:name w:val="Sin lista3"/>
    <w:next w:val="Sinlista"/>
    <w:uiPriority w:val="99"/>
    <w:semiHidden/>
    <w:unhideWhenUsed/>
    <w:rsid w:val="00B53A68"/>
  </w:style>
  <w:style w:type="table" w:customStyle="1" w:styleId="Sombreadomedio2-nfasis110">
    <w:name w:val="Sombreado medio 2 - Énfasis 11"/>
    <w:basedOn w:val="Tablanormal"/>
    <w:uiPriority w:val="64"/>
    <w:rsid w:val="00B53A68"/>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4">
    <w:name w:val="Sin lista4"/>
    <w:next w:val="Sinlista"/>
    <w:uiPriority w:val="99"/>
    <w:semiHidden/>
    <w:unhideWhenUsed/>
    <w:rsid w:val="00B53A68"/>
  </w:style>
  <w:style w:type="numbering" w:customStyle="1" w:styleId="1ai1">
    <w:name w:val="1 / a / i1"/>
    <w:basedOn w:val="Sinlista"/>
    <w:next w:val="1ai"/>
    <w:uiPriority w:val="99"/>
    <w:unhideWhenUsed/>
    <w:rsid w:val="00B53A68"/>
  </w:style>
  <w:style w:type="paragraph" w:customStyle="1" w:styleId="xl69">
    <w:name w:val="xl69"/>
    <w:basedOn w:val="Normal"/>
    <w:rsid w:val="00B53A68"/>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70">
    <w:name w:val="xl70"/>
    <w:basedOn w:val="Normal"/>
    <w:rsid w:val="00B53A68"/>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71">
    <w:name w:val="xl71"/>
    <w:basedOn w:val="Normal"/>
    <w:rsid w:val="00B53A68"/>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2">
    <w:name w:val="xl72"/>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3">
    <w:name w:val="xl73"/>
    <w:basedOn w:val="Normal"/>
    <w:rsid w:val="00B53A6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4">
    <w:name w:val="xl74"/>
    <w:basedOn w:val="Normal"/>
    <w:rsid w:val="00B53A68"/>
    <w:pPr>
      <w:pBdr>
        <w:top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5">
    <w:name w:val="xl75"/>
    <w:basedOn w:val="Normal"/>
    <w:rsid w:val="00B53A68"/>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6">
    <w:name w:val="xl76"/>
    <w:basedOn w:val="Normal"/>
    <w:rsid w:val="00B53A68"/>
    <w:pPr>
      <w:pBdr>
        <w:left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7">
    <w:name w:val="xl77"/>
    <w:basedOn w:val="Normal"/>
    <w:rsid w:val="00B53A68"/>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8">
    <w:name w:val="xl78"/>
    <w:basedOn w:val="Normal"/>
    <w:rsid w:val="00B53A68"/>
    <w:pPr>
      <w:pBdr>
        <w:bottom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9">
    <w:name w:val="xl79"/>
    <w:basedOn w:val="Normal"/>
    <w:rsid w:val="00B53A68"/>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80">
    <w:name w:val="xl80"/>
    <w:basedOn w:val="Normal"/>
    <w:rsid w:val="00B53A68"/>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numbering" w:customStyle="1" w:styleId="Sinlista5">
    <w:name w:val="Sin lista5"/>
    <w:next w:val="Sinlista"/>
    <w:semiHidden/>
    <w:rsid w:val="00B53A68"/>
  </w:style>
  <w:style w:type="numbering" w:customStyle="1" w:styleId="Sinlista111">
    <w:name w:val="Sin lista111"/>
    <w:next w:val="Sinlista"/>
    <w:semiHidden/>
    <w:unhideWhenUsed/>
    <w:rsid w:val="00B53A68"/>
  </w:style>
  <w:style w:type="table" w:customStyle="1" w:styleId="Tablaconcuadrcula1">
    <w:name w:val="Tabla con cuadrícula1"/>
    <w:basedOn w:val="Tablanormal"/>
    <w:next w:val="Tablaconcuadrcula"/>
    <w:uiPriority w:val="59"/>
    <w:rsid w:val="00B53A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semiHidden/>
    <w:rsid w:val="00B53A68"/>
  </w:style>
  <w:style w:type="numbering" w:customStyle="1" w:styleId="Sinlista31">
    <w:name w:val="Sin lista31"/>
    <w:next w:val="Sinlista"/>
    <w:uiPriority w:val="99"/>
    <w:semiHidden/>
    <w:unhideWhenUsed/>
    <w:rsid w:val="00B53A68"/>
  </w:style>
  <w:style w:type="numbering" w:customStyle="1" w:styleId="Sinlista41">
    <w:name w:val="Sin lista41"/>
    <w:next w:val="Sinlista"/>
    <w:uiPriority w:val="99"/>
    <w:semiHidden/>
    <w:unhideWhenUsed/>
    <w:rsid w:val="00B53A68"/>
  </w:style>
  <w:style w:type="paragraph" w:customStyle="1" w:styleId="Titulo1">
    <w:name w:val="Titulo 1"/>
    <w:basedOn w:val="Texto0"/>
    <w:qFormat/>
    <w:rsid w:val="00B53A68"/>
    <w:pPr>
      <w:pBdr>
        <w:bottom w:val="single" w:sz="12" w:space="1" w:color="auto"/>
      </w:pBdr>
      <w:spacing w:before="120" w:after="0" w:line="240" w:lineRule="auto"/>
      <w:ind w:firstLine="0"/>
      <w:outlineLvl w:val="0"/>
    </w:pPr>
    <w:rPr>
      <w:rFonts w:ascii="Times New Roman" w:hAnsi="Times New Roman"/>
      <w:b/>
      <w:lang w:val="es-MX" w:eastAsia="es-MX"/>
    </w:rPr>
  </w:style>
  <w:style w:type="paragraph" w:customStyle="1" w:styleId="IFTnormal">
    <w:name w:val="IFT normal"/>
    <w:basedOn w:val="Normal"/>
    <w:link w:val="IFTnormalCar"/>
    <w:qFormat/>
    <w:rsid w:val="00B53A68"/>
    <w:pPr>
      <w:ind w:left="426"/>
      <w:jc w:val="both"/>
    </w:pPr>
    <w:rPr>
      <w:rFonts w:ascii="ITC Avant Garde" w:eastAsia="Times New Roman" w:hAnsi="ITC Avant Garde"/>
      <w:iCs/>
      <w:lang w:val="es-ES" w:eastAsia="es-MX"/>
    </w:rPr>
  </w:style>
  <w:style w:type="paragraph" w:customStyle="1" w:styleId="corte4fondo">
    <w:name w:val="corte4 fondo"/>
    <w:basedOn w:val="Normal"/>
    <w:link w:val="corte4fondoCar"/>
    <w:qFormat/>
    <w:rsid w:val="00B53A68"/>
    <w:pPr>
      <w:spacing w:after="0" w:line="360" w:lineRule="auto"/>
      <w:ind w:firstLine="709"/>
      <w:jc w:val="both"/>
    </w:pPr>
    <w:rPr>
      <w:rFonts w:ascii="Arial" w:eastAsia="Times New Roman" w:hAnsi="Arial"/>
      <w:sz w:val="30"/>
      <w:szCs w:val="30"/>
      <w:lang w:val="es-ES_tradnl" w:eastAsia="es-ES"/>
    </w:rPr>
  </w:style>
  <w:style w:type="character" w:customStyle="1" w:styleId="corte4fondoCar">
    <w:name w:val="corte4 fondo Car"/>
    <w:link w:val="corte4fondo"/>
    <w:locked/>
    <w:rsid w:val="00B53A68"/>
    <w:rPr>
      <w:rFonts w:ascii="Arial" w:eastAsia="Times New Roman" w:hAnsi="Arial" w:cs="Times New Roman"/>
      <w:sz w:val="30"/>
      <w:szCs w:val="30"/>
      <w:lang w:val="es-ES_tradnl" w:eastAsia="es-ES"/>
    </w:rPr>
  </w:style>
  <w:style w:type="paragraph" w:customStyle="1" w:styleId="xl3157">
    <w:name w:val="xl3157"/>
    <w:basedOn w:val="Normal"/>
    <w:rsid w:val="00B53A68"/>
    <w:pPr>
      <w:pBdr>
        <w:bottom w:val="single" w:sz="8" w:space="0" w:color="auto"/>
      </w:pBdr>
      <w:shd w:val="clear" w:color="000000" w:fill="BFBFB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3158">
    <w:name w:val="xl3158"/>
    <w:basedOn w:val="Normal"/>
    <w:rsid w:val="00B53A68"/>
    <w:pPr>
      <w:pBdr>
        <w:bottom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3159">
    <w:name w:val="xl3159"/>
    <w:basedOn w:val="Normal"/>
    <w:rsid w:val="00B53A68"/>
    <w:pPr>
      <w:shd w:val="clear" w:color="000000" w:fill="BFBFB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3160">
    <w:name w:val="xl3160"/>
    <w:basedOn w:val="Normal"/>
    <w:rsid w:val="00B53A68"/>
    <w:pPr>
      <w:pBdr>
        <w:top w:val="single" w:sz="12" w:space="0" w:color="000000"/>
        <w:bottom w:val="single" w:sz="8" w:space="0" w:color="000000"/>
      </w:pBdr>
      <w:shd w:val="clear" w:color="000000" w:fill="800080"/>
      <w:spacing w:before="100" w:beforeAutospacing="1" w:after="100" w:afterAutospacing="1" w:line="240" w:lineRule="auto"/>
      <w:textAlignment w:val="top"/>
    </w:pPr>
    <w:rPr>
      <w:rFonts w:ascii="Times New Roman" w:eastAsia="Times New Roman" w:hAnsi="Times New Roman"/>
      <w:b/>
      <w:bCs/>
      <w:color w:val="FFFFFF"/>
      <w:sz w:val="20"/>
      <w:szCs w:val="20"/>
      <w:lang w:eastAsia="es-MX"/>
    </w:rPr>
  </w:style>
  <w:style w:type="paragraph" w:customStyle="1" w:styleId="xl3161">
    <w:name w:val="xl3161"/>
    <w:basedOn w:val="Normal"/>
    <w:rsid w:val="00B53A68"/>
    <w:pP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3162">
    <w:name w:val="xl3162"/>
    <w:basedOn w:val="Normal"/>
    <w:rsid w:val="00B53A68"/>
    <w:pPr>
      <w:pBdr>
        <w:top w:val="single" w:sz="4" w:space="0" w:color="339966"/>
        <w:left w:val="single" w:sz="4" w:space="0" w:color="339966"/>
        <w:bottom w:val="single" w:sz="4" w:space="0" w:color="339966"/>
        <w:right w:val="single" w:sz="4" w:space="0" w:color="339966"/>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styleId="Revisin">
    <w:name w:val="Revision"/>
    <w:hidden/>
    <w:uiPriority w:val="99"/>
    <w:semiHidden/>
    <w:rsid w:val="00B53A68"/>
    <w:pPr>
      <w:spacing w:after="0" w:line="240" w:lineRule="auto"/>
    </w:pPr>
    <w:rPr>
      <w:rFonts w:ascii="Calibri" w:eastAsia="Calibri" w:hAnsi="Calibri" w:cs="Times New Roman"/>
    </w:rPr>
  </w:style>
  <w:style w:type="character" w:customStyle="1" w:styleId="ROMANOSCar">
    <w:name w:val="ROMANOS Car"/>
    <w:link w:val="ROMANOS"/>
    <w:locked/>
    <w:rsid w:val="00505CD8"/>
    <w:rPr>
      <w:rFonts w:ascii="Arial" w:eastAsia="Times New Roman" w:hAnsi="Arial" w:cs="Times New Roman"/>
      <w:sz w:val="18"/>
      <w:szCs w:val="20"/>
      <w:lang w:val="es-ES_tradnl" w:eastAsia="es-ES"/>
    </w:rPr>
  </w:style>
  <w:style w:type="character" w:customStyle="1" w:styleId="ANOTACIONCar">
    <w:name w:val="ANOTACION Car"/>
    <w:link w:val="ANOTACION"/>
    <w:locked/>
    <w:rsid w:val="00505CD8"/>
    <w:rPr>
      <w:rFonts w:ascii="CG Palacio (WN)" w:eastAsia="Times New Roman" w:hAnsi="CG Palacio (WN)" w:cs="CG Palacio (WN)"/>
      <w:b/>
      <w:sz w:val="18"/>
      <w:szCs w:val="20"/>
      <w:lang w:val="es-ES_tradnl" w:eastAsia="es-MX"/>
    </w:rPr>
  </w:style>
  <w:style w:type="paragraph" w:customStyle="1" w:styleId="IFT1">
    <w:name w:val="IFT 1"/>
    <w:basedOn w:val="Normal"/>
    <w:link w:val="IFT1Car"/>
    <w:qFormat/>
    <w:rsid w:val="000D1831"/>
    <w:pPr>
      <w:jc w:val="both"/>
    </w:pPr>
    <w:rPr>
      <w:rFonts w:ascii="ITC Avant Garde" w:hAnsi="ITC Avant Garde"/>
      <w:spacing w:val="-4"/>
    </w:rPr>
  </w:style>
  <w:style w:type="character" w:customStyle="1" w:styleId="IFT1Car">
    <w:name w:val="IFT 1 Car"/>
    <w:basedOn w:val="Fuentedeprrafopredeter"/>
    <w:link w:val="IFT1"/>
    <w:rsid w:val="000D1831"/>
    <w:rPr>
      <w:rFonts w:ascii="ITC Avant Garde" w:eastAsia="Calibri" w:hAnsi="ITC Avant Garde" w:cs="Times New Roman"/>
      <w:spacing w:val="-4"/>
    </w:rPr>
  </w:style>
  <w:style w:type="paragraph" w:customStyle="1" w:styleId="Normal2">
    <w:name w:val="Normal2"/>
    <w:rsid w:val="007450B1"/>
    <w:pPr>
      <w:spacing w:after="0" w:line="276" w:lineRule="auto"/>
    </w:pPr>
    <w:rPr>
      <w:rFonts w:ascii="Arial" w:eastAsia="Arial" w:hAnsi="Arial" w:cs="Arial"/>
      <w:color w:val="000000"/>
      <w:szCs w:val="20"/>
      <w:lang w:val="en-US"/>
    </w:rPr>
  </w:style>
  <w:style w:type="paragraph" w:customStyle="1" w:styleId="Titulo2">
    <w:name w:val="Titulo 2"/>
    <w:basedOn w:val="Texto0"/>
    <w:uiPriority w:val="99"/>
    <w:rsid w:val="00894C45"/>
    <w:pPr>
      <w:pBdr>
        <w:top w:val="double" w:sz="6" w:space="1" w:color="auto"/>
      </w:pBdr>
      <w:spacing w:line="240" w:lineRule="auto"/>
      <w:ind w:firstLine="0"/>
      <w:outlineLvl w:val="1"/>
    </w:pPr>
    <w:rPr>
      <w:rFonts w:cs="Times New Roman"/>
      <w:szCs w:val="20"/>
      <w:lang w:val="es-MX"/>
    </w:rPr>
  </w:style>
  <w:style w:type="paragraph" w:customStyle="1" w:styleId="tt">
    <w:name w:val="tt"/>
    <w:basedOn w:val="Texto0"/>
    <w:uiPriority w:val="99"/>
    <w:rsid w:val="00894C45"/>
    <w:pPr>
      <w:tabs>
        <w:tab w:val="left" w:pos="1320"/>
        <w:tab w:val="left" w:pos="1629"/>
      </w:tabs>
      <w:ind w:left="1647" w:hanging="1440"/>
    </w:pPr>
    <w:rPr>
      <w:rFonts w:cs="Times New Roman"/>
      <w:szCs w:val="20"/>
      <w:lang w:val="es-ES_tradnl"/>
    </w:rPr>
  </w:style>
  <w:style w:type="paragraph" w:customStyle="1" w:styleId="nextrow">
    <w:name w:val="nextrow"/>
    <w:basedOn w:val="Normal"/>
    <w:uiPriority w:val="99"/>
    <w:rsid w:val="00894C45"/>
    <w:pPr>
      <w:spacing w:before="100" w:beforeAutospacing="1" w:after="100" w:afterAutospacing="1" w:line="240" w:lineRule="auto"/>
    </w:pPr>
    <w:rPr>
      <w:rFonts w:ascii="Times New Roman" w:eastAsia="Times New Roman" w:hAnsi="Times New Roman"/>
      <w:sz w:val="24"/>
      <w:szCs w:val="24"/>
      <w:lang w:eastAsia="es-MX"/>
    </w:rPr>
  </w:style>
  <w:style w:type="paragraph" w:styleId="TtuloTDC">
    <w:name w:val="TOC Heading"/>
    <w:basedOn w:val="Ttulo1"/>
    <w:next w:val="Normal"/>
    <w:uiPriority w:val="39"/>
    <w:qFormat/>
    <w:rsid w:val="00894C45"/>
    <w:pPr>
      <w:keepLines/>
      <w:spacing w:before="480" w:line="276" w:lineRule="auto"/>
      <w:jc w:val="left"/>
      <w:outlineLvl w:val="9"/>
    </w:pPr>
    <w:rPr>
      <w:rFonts w:ascii="Calibri Light" w:hAnsi="Calibri Light"/>
      <w:bCs/>
      <w:color w:val="2E74B5"/>
      <w:sz w:val="28"/>
      <w:szCs w:val="28"/>
      <w:lang w:eastAsia="es-MX"/>
    </w:rPr>
  </w:style>
  <w:style w:type="character" w:styleId="nfasis">
    <w:name w:val="Emphasis"/>
    <w:aliases w:val="Título 4 (1.1.1)"/>
    <w:basedOn w:val="Fuentedeprrafopredeter"/>
    <w:uiPriority w:val="20"/>
    <w:qFormat/>
    <w:rsid w:val="00894C45"/>
    <w:rPr>
      <w:rFonts w:cs="Times New Roman"/>
      <w:i/>
      <w:iCs/>
      <w:color w:val="auto"/>
    </w:rPr>
  </w:style>
  <w:style w:type="paragraph" w:styleId="Cita">
    <w:name w:val="Quote"/>
    <w:aliases w:val="Bullets cita"/>
    <w:basedOn w:val="Normal"/>
    <w:next w:val="Normal"/>
    <w:link w:val="CitaCar"/>
    <w:uiPriority w:val="29"/>
    <w:qFormat/>
    <w:rsid w:val="00894C45"/>
    <w:pPr>
      <w:spacing w:before="160" w:after="160" w:line="259" w:lineRule="auto"/>
      <w:ind w:left="720" w:right="720"/>
    </w:pPr>
    <w:rPr>
      <w:rFonts w:eastAsia="Times New Roman"/>
      <w:i/>
      <w:iCs/>
      <w:color w:val="000000"/>
    </w:rPr>
  </w:style>
  <w:style w:type="character" w:customStyle="1" w:styleId="CitaCar">
    <w:name w:val="Cita Car"/>
    <w:aliases w:val="Bullets cita Car"/>
    <w:basedOn w:val="Fuentedeprrafopredeter"/>
    <w:link w:val="Cita"/>
    <w:uiPriority w:val="29"/>
    <w:rsid w:val="00894C45"/>
    <w:rPr>
      <w:rFonts w:ascii="Calibri" w:eastAsia="Times New Roman" w:hAnsi="Calibri" w:cs="Times New Roman"/>
      <w:i/>
      <w:iCs/>
      <w:color w:val="000000"/>
    </w:rPr>
  </w:style>
  <w:style w:type="paragraph" w:styleId="Citadestacada">
    <w:name w:val="Intense Quote"/>
    <w:basedOn w:val="Normal"/>
    <w:next w:val="Normal"/>
    <w:link w:val="CitadestacadaCar"/>
    <w:uiPriority w:val="99"/>
    <w:qFormat/>
    <w:rsid w:val="00894C45"/>
    <w:pPr>
      <w:pBdr>
        <w:top w:val="single" w:sz="24" w:space="1" w:color="F2F2F2"/>
        <w:bottom w:val="single" w:sz="24" w:space="1" w:color="F2F2F2"/>
      </w:pBdr>
      <w:shd w:val="clear" w:color="auto" w:fill="F2F2F2"/>
      <w:spacing w:before="240" w:after="240" w:line="259" w:lineRule="auto"/>
      <w:ind w:left="936" w:right="936"/>
      <w:jc w:val="center"/>
    </w:pPr>
    <w:rPr>
      <w:rFonts w:eastAsia="Times New Roman"/>
      <w:color w:val="000000"/>
    </w:rPr>
  </w:style>
  <w:style w:type="character" w:customStyle="1" w:styleId="CitadestacadaCar">
    <w:name w:val="Cita destacada Car"/>
    <w:basedOn w:val="Fuentedeprrafopredeter"/>
    <w:link w:val="Citadestacada"/>
    <w:uiPriority w:val="99"/>
    <w:rsid w:val="00894C45"/>
    <w:rPr>
      <w:rFonts w:ascii="Calibri" w:eastAsia="Times New Roman" w:hAnsi="Calibri" w:cs="Times New Roman"/>
      <w:color w:val="000000"/>
      <w:shd w:val="clear" w:color="auto" w:fill="F2F2F2"/>
    </w:rPr>
  </w:style>
  <w:style w:type="character" w:styleId="nfasissutil">
    <w:name w:val="Subtle Emphasis"/>
    <w:basedOn w:val="Fuentedeprrafopredeter"/>
    <w:uiPriority w:val="19"/>
    <w:qFormat/>
    <w:rsid w:val="00894C45"/>
    <w:rPr>
      <w:rFonts w:cs="Times New Roman"/>
      <w:i/>
      <w:iCs/>
      <w:color w:val="404040"/>
    </w:rPr>
  </w:style>
  <w:style w:type="character" w:styleId="nfasisintenso">
    <w:name w:val="Intense Emphasis"/>
    <w:basedOn w:val="Fuentedeprrafopredeter"/>
    <w:uiPriority w:val="99"/>
    <w:qFormat/>
    <w:rsid w:val="00894C45"/>
    <w:rPr>
      <w:rFonts w:cs="Times New Roman"/>
      <w:b/>
      <w:bCs/>
      <w:i/>
      <w:iCs/>
      <w:caps/>
    </w:rPr>
  </w:style>
  <w:style w:type="character" w:styleId="Referenciasutil">
    <w:name w:val="Subtle Reference"/>
    <w:basedOn w:val="Fuentedeprrafopredeter"/>
    <w:uiPriority w:val="99"/>
    <w:qFormat/>
    <w:rsid w:val="00894C45"/>
    <w:rPr>
      <w:rFonts w:cs="Times New Roman"/>
      <w:smallCaps/>
      <w:color w:val="404040"/>
      <w:u w:val="single" w:color="7F7F7F"/>
    </w:rPr>
  </w:style>
  <w:style w:type="character" w:styleId="Referenciaintensa">
    <w:name w:val="Intense Reference"/>
    <w:basedOn w:val="Fuentedeprrafopredeter"/>
    <w:uiPriority w:val="99"/>
    <w:qFormat/>
    <w:rsid w:val="00894C45"/>
    <w:rPr>
      <w:rFonts w:cs="Times New Roman"/>
      <w:b/>
      <w:bCs/>
      <w:smallCaps/>
      <w:u w:val="single"/>
    </w:rPr>
  </w:style>
  <w:style w:type="character" w:styleId="Ttulodellibro">
    <w:name w:val="Book Title"/>
    <w:basedOn w:val="Fuentedeprrafopredeter"/>
    <w:uiPriority w:val="99"/>
    <w:qFormat/>
    <w:rsid w:val="00894C45"/>
    <w:rPr>
      <w:rFonts w:cs="Times New Roman"/>
      <w:smallCaps/>
      <w:spacing w:val="5"/>
    </w:rPr>
  </w:style>
  <w:style w:type="character" w:customStyle="1" w:styleId="notranslate">
    <w:name w:val="notranslate"/>
    <w:basedOn w:val="Fuentedeprrafopredeter"/>
    <w:uiPriority w:val="99"/>
    <w:rsid w:val="00894C45"/>
    <w:rPr>
      <w:rFonts w:cs="Times New Roman"/>
    </w:rPr>
  </w:style>
  <w:style w:type="character" w:customStyle="1" w:styleId="HTMLconformatoprevioCar">
    <w:name w:val="HTML con formato previo Car"/>
    <w:basedOn w:val="Fuentedeprrafopredeter"/>
    <w:link w:val="HTMLconformatoprevio"/>
    <w:uiPriority w:val="99"/>
    <w:semiHidden/>
    <w:locked/>
    <w:rsid w:val="00894C45"/>
    <w:rPr>
      <w:rFonts w:ascii="Courier New" w:hAnsi="Courier New" w:cs="Courier New"/>
      <w:sz w:val="20"/>
      <w:szCs w:val="20"/>
      <w:lang w:eastAsia="es-MX"/>
    </w:rPr>
  </w:style>
  <w:style w:type="paragraph" w:styleId="HTMLconformatoprevio">
    <w:name w:val="HTML Preformatted"/>
    <w:basedOn w:val="Normal"/>
    <w:link w:val="HTMLconformatoprevioCar"/>
    <w:uiPriority w:val="99"/>
    <w:semiHidden/>
    <w:rsid w:val="00894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eastAsia="es-MX"/>
    </w:rPr>
  </w:style>
  <w:style w:type="character" w:customStyle="1" w:styleId="HTMLconformatoprevioCar1">
    <w:name w:val="HTML con formato previo Car1"/>
    <w:basedOn w:val="Fuentedeprrafopredeter"/>
    <w:uiPriority w:val="99"/>
    <w:semiHidden/>
    <w:rsid w:val="00894C45"/>
    <w:rPr>
      <w:rFonts w:ascii="Consolas" w:eastAsia="Calibri" w:hAnsi="Consolas" w:cs="Consolas"/>
      <w:sz w:val="20"/>
      <w:szCs w:val="20"/>
    </w:rPr>
  </w:style>
  <w:style w:type="character" w:customStyle="1" w:styleId="HTMLPreformattedChar1">
    <w:name w:val="HTML Preformatted Char1"/>
    <w:basedOn w:val="Fuentedeprrafopredeter"/>
    <w:uiPriority w:val="99"/>
    <w:semiHidden/>
    <w:rsid w:val="00894C45"/>
    <w:rPr>
      <w:rFonts w:ascii="Courier New" w:hAnsi="Courier New" w:cs="Courier New"/>
      <w:sz w:val="20"/>
      <w:szCs w:val="20"/>
      <w:lang w:eastAsia="en-US"/>
    </w:rPr>
  </w:style>
  <w:style w:type="paragraph" w:customStyle="1" w:styleId="TAL">
    <w:name w:val="TAL"/>
    <w:basedOn w:val="Normal"/>
    <w:link w:val="TALChar"/>
    <w:uiPriority w:val="99"/>
    <w:rsid w:val="00894C45"/>
    <w:pPr>
      <w:keepNext/>
      <w:keepLines/>
      <w:spacing w:after="0" w:line="240" w:lineRule="auto"/>
    </w:pPr>
    <w:rPr>
      <w:rFonts w:ascii="Arial" w:eastAsia="Batang" w:hAnsi="Arial"/>
      <w:sz w:val="18"/>
      <w:szCs w:val="20"/>
      <w:lang w:val="en-GB" w:eastAsia="es-ES"/>
    </w:rPr>
  </w:style>
  <w:style w:type="character" w:customStyle="1" w:styleId="TALChar">
    <w:name w:val="TAL Char"/>
    <w:link w:val="TAL"/>
    <w:uiPriority w:val="99"/>
    <w:locked/>
    <w:rsid w:val="00894C45"/>
    <w:rPr>
      <w:rFonts w:ascii="Arial" w:eastAsia="Batang" w:hAnsi="Arial" w:cs="Times New Roman"/>
      <w:sz w:val="18"/>
      <w:szCs w:val="20"/>
      <w:lang w:val="en-GB" w:eastAsia="es-ES"/>
    </w:rPr>
  </w:style>
  <w:style w:type="paragraph" w:customStyle="1" w:styleId="Ejemplo">
    <w:name w:val="Ejemplo"/>
    <w:basedOn w:val="Normal"/>
    <w:link w:val="EjemploChar"/>
    <w:uiPriority w:val="99"/>
    <w:rsid w:val="00894C45"/>
    <w:pPr>
      <w:spacing w:before="240" w:after="240"/>
      <w:jc w:val="center"/>
    </w:pPr>
    <w:rPr>
      <w:rFonts w:ascii="ITC Avant Garde" w:eastAsia="Times New Roman" w:hAnsi="ITC Avant Garde" w:cs="Arial"/>
      <w:lang w:eastAsia="es-MX"/>
    </w:rPr>
  </w:style>
  <w:style w:type="character" w:customStyle="1" w:styleId="EjemploChar">
    <w:name w:val="Ejemplo Char"/>
    <w:basedOn w:val="Fuentedeprrafopredeter"/>
    <w:link w:val="Ejemplo"/>
    <w:uiPriority w:val="99"/>
    <w:locked/>
    <w:rsid w:val="00894C45"/>
    <w:rPr>
      <w:rFonts w:ascii="ITC Avant Garde" w:eastAsia="Times New Roman" w:hAnsi="ITC Avant Garde" w:cs="Arial"/>
      <w:lang w:eastAsia="es-MX"/>
    </w:rPr>
  </w:style>
  <w:style w:type="paragraph" w:customStyle="1" w:styleId="Style1">
    <w:name w:val="Style1"/>
    <w:basedOn w:val="Prrafodelista"/>
    <w:link w:val="Style1Char"/>
    <w:uiPriority w:val="99"/>
    <w:rsid w:val="00894C45"/>
    <w:pPr>
      <w:keepNext/>
      <w:spacing w:before="240" w:after="240" w:line="276" w:lineRule="auto"/>
      <w:ind w:left="0"/>
      <w:contextualSpacing/>
      <w:outlineLvl w:val="0"/>
    </w:pPr>
    <w:rPr>
      <w:rFonts w:ascii="ITC Avant Garde" w:hAnsi="ITC Avant Garde" w:cs="Arial"/>
      <w:b/>
      <w:lang w:val="es-ES"/>
    </w:rPr>
  </w:style>
  <w:style w:type="character" w:customStyle="1" w:styleId="Style1Char">
    <w:name w:val="Style1 Char"/>
    <w:basedOn w:val="PrrafodelistaCar"/>
    <w:link w:val="Style1"/>
    <w:uiPriority w:val="99"/>
    <w:locked/>
    <w:rsid w:val="00894C45"/>
    <w:rPr>
      <w:rFonts w:ascii="ITC Avant Garde" w:eastAsia="Times New Roman" w:hAnsi="ITC Avant Garde" w:cs="Arial"/>
      <w:b/>
      <w:szCs w:val="24"/>
      <w:lang w:val="es-ES" w:eastAsia="es-ES"/>
    </w:rPr>
  </w:style>
  <w:style w:type="paragraph" w:customStyle="1" w:styleId="Style2">
    <w:name w:val="Style2"/>
    <w:basedOn w:val="Prrafodelista"/>
    <w:uiPriority w:val="99"/>
    <w:rsid w:val="00894C45"/>
    <w:pPr>
      <w:keepNext/>
      <w:spacing w:before="240" w:after="240" w:line="276" w:lineRule="auto"/>
      <w:ind w:left="0"/>
      <w:contextualSpacing/>
      <w:outlineLvl w:val="0"/>
    </w:pPr>
    <w:rPr>
      <w:rFonts w:ascii="ITC Avant Garde" w:hAnsi="ITC Avant Garde" w:cs="Arial"/>
      <w:b/>
      <w:szCs w:val="22"/>
      <w:lang w:eastAsia="es-MX"/>
    </w:rPr>
  </w:style>
  <w:style w:type="paragraph" w:customStyle="1" w:styleId="Style3">
    <w:name w:val="Style3"/>
    <w:basedOn w:val="Prrafodelista"/>
    <w:link w:val="Style3Char"/>
    <w:uiPriority w:val="99"/>
    <w:rsid w:val="00894C45"/>
    <w:pPr>
      <w:keepNext/>
      <w:numPr>
        <w:ilvl w:val="1"/>
        <w:numId w:val="23"/>
      </w:numPr>
      <w:spacing w:before="120" w:after="360" w:line="276" w:lineRule="auto"/>
      <w:ind w:left="357" w:hanging="357"/>
      <w:contextualSpacing/>
      <w:outlineLvl w:val="0"/>
    </w:pPr>
    <w:rPr>
      <w:rFonts w:ascii="ITC Avant Garde" w:hAnsi="ITC Avant Garde" w:cs="Arial"/>
      <w:b/>
      <w:sz w:val="30"/>
      <w:lang w:eastAsia="es-MX"/>
    </w:rPr>
  </w:style>
  <w:style w:type="character" w:customStyle="1" w:styleId="Style3Char">
    <w:name w:val="Style3 Char"/>
    <w:basedOn w:val="PrrafodelistaCar"/>
    <w:link w:val="Style3"/>
    <w:uiPriority w:val="99"/>
    <w:locked/>
    <w:rsid w:val="00894C45"/>
    <w:rPr>
      <w:rFonts w:ascii="ITC Avant Garde" w:eastAsia="Times New Roman" w:hAnsi="ITC Avant Garde" w:cs="Arial"/>
      <w:b/>
      <w:sz w:val="30"/>
      <w:szCs w:val="24"/>
      <w:lang w:eastAsia="es-MX"/>
    </w:rPr>
  </w:style>
  <w:style w:type="paragraph" w:customStyle="1" w:styleId="TAH">
    <w:name w:val="TAH"/>
    <w:basedOn w:val="Normal"/>
    <w:uiPriority w:val="99"/>
    <w:rsid w:val="00894C45"/>
    <w:pPr>
      <w:keepNext/>
      <w:keepLines/>
      <w:spacing w:after="0" w:line="240" w:lineRule="auto"/>
      <w:jc w:val="center"/>
    </w:pPr>
    <w:rPr>
      <w:rFonts w:ascii="Arial" w:eastAsia="Batang" w:hAnsi="Arial"/>
      <w:b/>
      <w:sz w:val="18"/>
      <w:szCs w:val="20"/>
      <w:lang w:val="en-GB"/>
    </w:rPr>
  </w:style>
  <w:style w:type="paragraph" w:customStyle="1" w:styleId="Estilo1">
    <w:name w:val="Estilo1"/>
    <w:basedOn w:val="Prrafodelista"/>
    <w:uiPriority w:val="99"/>
    <w:rsid w:val="00894C45"/>
    <w:pPr>
      <w:numPr>
        <w:numId w:val="24"/>
      </w:numPr>
      <w:spacing w:after="200" w:line="276" w:lineRule="auto"/>
      <w:ind w:left="0" w:firstLine="0"/>
      <w:contextualSpacing/>
    </w:pPr>
    <w:rPr>
      <w:rFonts w:ascii="ITC Avant Garde" w:hAnsi="ITC Avant Garde"/>
      <w:b/>
      <w:sz w:val="20"/>
      <w:szCs w:val="20"/>
      <w:lang w:eastAsia="en-US"/>
    </w:rPr>
  </w:style>
  <w:style w:type="paragraph" w:styleId="Textonotaalfinal">
    <w:name w:val="endnote text"/>
    <w:basedOn w:val="Normal"/>
    <w:link w:val="TextonotaalfinalCar"/>
    <w:uiPriority w:val="99"/>
    <w:semiHidden/>
    <w:unhideWhenUsed/>
    <w:rsid w:val="00894C4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94C45"/>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894C45"/>
    <w:rPr>
      <w:vertAlign w:val="superscript"/>
    </w:rPr>
  </w:style>
  <w:style w:type="table" w:styleId="Sombreadomedio2-nfasis1">
    <w:name w:val="Medium Shading 2 Accent 1"/>
    <w:basedOn w:val="Tablanormal"/>
    <w:uiPriority w:val="64"/>
    <w:unhideWhenUsed/>
    <w:rsid w:val="00894C4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1TitPrin">
    <w:name w:val="1TitPrin"/>
    <w:basedOn w:val="Ttulo1"/>
    <w:link w:val="1TitPrinCar"/>
    <w:autoRedefine/>
    <w:qFormat/>
    <w:rsid w:val="00772DC6"/>
    <w:pPr>
      <w:keepNext w:val="0"/>
      <w:spacing w:line="276" w:lineRule="auto"/>
      <w:ind w:left="567" w:right="49"/>
      <w:jc w:val="both"/>
      <w:outlineLvl w:val="9"/>
    </w:pPr>
    <w:rPr>
      <w:rFonts w:ascii="ITC Avant Garde" w:eastAsia="Calibri" w:hAnsi="ITC Avant Garde" w:cs="Arial"/>
      <w:b w:val="0"/>
      <w:szCs w:val="22"/>
      <w:lang w:val="es-ES_tradnl" w:eastAsia="es-ES"/>
    </w:rPr>
  </w:style>
  <w:style w:type="character" w:customStyle="1" w:styleId="1TitPrinCar">
    <w:name w:val="1TitPrin Car"/>
    <w:link w:val="1TitPrin"/>
    <w:rsid w:val="00772DC6"/>
    <w:rPr>
      <w:rFonts w:ascii="ITC Avant Garde" w:eastAsia="Calibri" w:hAnsi="ITC Avant Garde" w:cs="Arial"/>
      <w:lang w:val="es-ES_tradnl" w:eastAsia="es-ES"/>
    </w:rPr>
  </w:style>
  <w:style w:type="paragraph" w:customStyle="1" w:styleId="Citaift">
    <w:name w:val="Cita ift"/>
    <w:basedOn w:val="Normal"/>
    <w:link w:val="CitaiftCar"/>
    <w:qFormat/>
    <w:rsid w:val="00C97BF9"/>
    <w:pPr>
      <w:adjustRightInd w:val="0"/>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C97BF9"/>
    <w:rPr>
      <w:rFonts w:ascii="ITC Avant Garde" w:eastAsia="Times New Roman" w:hAnsi="ITC Avant Garde" w:cs="Arial"/>
      <w:i/>
      <w:color w:val="000000"/>
      <w:sz w:val="18"/>
      <w:szCs w:val="18"/>
      <w:lang w:eastAsia="es-ES"/>
    </w:rPr>
  </w:style>
  <w:style w:type="paragraph" w:customStyle="1" w:styleId="NumeracinIFT">
    <w:name w:val="Numeración IFT"/>
    <w:basedOn w:val="Normal"/>
    <w:link w:val="NumeracinIFTCar"/>
    <w:qFormat/>
    <w:rsid w:val="00C97BF9"/>
    <w:pPr>
      <w:tabs>
        <w:tab w:val="left" w:pos="1134"/>
      </w:tabs>
      <w:adjustRightInd w:val="0"/>
      <w:ind w:left="1134" w:hanging="992"/>
      <w:jc w:val="both"/>
    </w:pPr>
    <w:rPr>
      <w:rFonts w:ascii="ITC Avant Garde" w:hAnsi="ITC Avant Garde" w:cs="Arial"/>
      <w:bCs/>
      <w:lang w:eastAsia="es-ES"/>
    </w:rPr>
  </w:style>
  <w:style w:type="character" w:customStyle="1" w:styleId="NumeracinIFTCar">
    <w:name w:val="Numeración IFT Car"/>
    <w:link w:val="NumeracinIFT"/>
    <w:rsid w:val="00C97BF9"/>
    <w:rPr>
      <w:rFonts w:ascii="ITC Avant Garde" w:eastAsia="Calibri" w:hAnsi="ITC Avant Garde" w:cs="Arial"/>
      <w:bCs/>
      <w:lang w:eastAsia="es-ES"/>
    </w:rPr>
  </w:style>
  <w:style w:type="paragraph" w:customStyle="1" w:styleId="Listamulticolor-nfasis11">
    <w:name w:val="Lista multicolor - Énfasis 11"/>
    <w:basedOn w:val="Normal"/>
    <w:link w:val="Listamulticolor-nfasis1Car"/>
    <w:uiPriority w:val="34"/>
    <w:rsid w:val="00C97BF9"/>
    <w:pPr>
      <w:ind w:left="720"/>
      <w:contextualSpacing/>
    </w:pPr>
  </w:style>
  <w:style w:type="character" w:customStyle="1" w:styleId="Listamulticolor-nfasis1Car">
    <w:name w:val="Lista multicolor - Énfasis 1 Car"/>
    <w:link w:val="Listamulticolor-nfasis11"/>
    <w:uiPriority w:val="34"/>
    <w:rsid w:val="00C97BF9"/>
    <w:rPr>
      <w:rFonts w:ascii="Calibri" w:eastAsia="Calibri" w:hAnsi="Calibri" w:cs="Times New Roman"/>
    </w:rPr>
  </w:style>
  <w:style w:type="paragraph" w:customStyle="1" w:styleId="Cuadrculamediana21">
    <w:name w:val="Cuadrícula mediana 21"/>
    <w:uiPriority w:val="1"/>
    <w:rsid w:val="00C97BF9"/>
    <w:pPr>
      <w:spacing w:after="0" w:line="240" w:lineRule="auto"/>
    </w:pPr>
    <w:rPr>
      <w:rFonts w:ascii="Calibri" w:eastAsia="Calibri" w:hAnsi="Calibri" w:cs="Times New Roman"/>
    </w:rPr>
  </w:style>
  <w:style w:type="character" w:styleId="CitaHTML">
    <w:name w:val="HTML Cite"/>
    <w:uiPriority w:val="99"/>
    <w:semiHidden/>
    <w:unhideWhenUsed/>
    <w:rsid w:val="00C97BF9"/>
    <w:rPr>
      <w:i/>
      <w:iCs/>
    </w:rPr>
  </w:style>
  <w:style w:type="paragraph" w:customStyle="1" w:styleId="Sombreadomulticolor-nfasis11">
    <w:name w:val="Sombreado multicolor - Énfasis 11"/>
    <w:hidden/>
    <w:uiPriority w:val="99"/>
    <w:semiHidden/>
    <w:rsid w:val="00C97BF9"/>
    <w:pPr>
      <w:spacing w:after="0" w:line="240" w:lineRule="auto"/>
    </w:pPr>
    <w:rPr>
      <w:rFonts w:ascii="Calibri" w:eastAsia="Calibri" w:hAnsi="Calibri" w:cs="Times New Roman"/>
    </w:rPr>
  </w:style>
  <w:style w:type="table" w:styleId="Cuadrculamedia3-nfasis1">
    <w:name w:val="Medium Grid 3 Accent 1"/>
    <w:basedOn w:val="Tablanormal"/>
    <w:uiPriority w:val="64"/>
    <w:rsid w:val="00C97BF9"/>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untosC4">
    <w:name w:val="PuntosC4"/>
    <w:basedOn w:val="Normal"/>
    <w:link w:val="PuntosC4Car"/>
    <w:qFormat/>
    <w:rsid w:val="00C97BF9"/>
    <w:pPr>
      <w:ind w:left="716" w:hanging="432"/>
      <w:jc w:val="both"/>
    </w:pPr>
    <w:rPr>
      <w:rFonts w:ascii="ITC Avant Garde" w:eastAsia="Times New Roman" w:hAnsi="ITC Avant Garde" w:cs="Arial"/>
      <w:b/>
      <w:iCs/>
    </w:rPr>
  </w:style>
  <w:style w:type="paragraph" w:customStyle="1" w:styleId="Niv2Bullets">
    <w:name w:val="Niv2Bullets"/>
    <w:basedOn w:val="IFTnormal"/>
    <w:next w:val="IFTnormal"/>
    <w:autoRedefine/>
    <w:qFormat/>
    <w:rsid w:val="00C97BF9"/>
    <w:pPr>
      <w:ind w:left="1434" w:hanging="357"/>
      <w:contextualSpacing/>
      <w:outlineLvl w:val="1"/>
    </w:pPr>
    <w:rPr>
      <w:rFonts w:eastAsia="Calibri" w:cs="Arial"/>
      <w:iCs w:val="0"/>
      <w:color w:val="000000"/>
      <w:lang w:val="es-ES_tradnl" w:eastAsia="es-ES"/>
    </w:rPr>
  </w:style>
  <w:style w:type="paragraph" w:customStyle="1" w:styleId="ApartadoSub">
    <w:name w:val="ApartadoSub"/>
    <w:basedOn w:val="Normal"/>
    <w:qFormat/>
    <w:rsid w:val="00C97BF9"/>
    <w:pPr>
      <w:jc w:val="both"/>
    </w:pPr>
    <w:rPr>
      <w:rFonts w:ascii="ITC Avant Garde" w:hAnsi="ITC Avant Garde"/>
      <w:u w:val="single"/>
    </w:rPr>
  </w:style>
  <w:style w:type="paragraph" w:customStyle="1" w:styleId="ListaCitaOtras">
    <w:name w:val="ListaCitaOtras"/>
    <w:basedOn w:val="Citaift"/>
    <w:link w:val="ListaCitaOtrasCar"/>
    <w:qFormat/>
    <w:rsid w:val="00C97BF9"/>
    <w:pPr>
      <w:numPr>
        <w:numId w:val="45"/>
      </w:numPr>
      <w:ind w:left="1570" w:hanging="357"/>
    </w:pPr>
  </w:style>
  <w:style w:type="character" w:customStyle="1" w:styleId="ListaCitaOtrasCar">
    <w:name w:val="ListaCitaOtras Car"/>
    <w:basedOn w:val="CitaiftCar"/>
    <w:link w:val="ListaCitaOtras"/>
    <w:rsid w:val="00C97BF9"/>
    <w:rPr>
      <w:rFonts w:ascii="ITC Avant Garde" w:eastAsia="Times New Roman" w:hAnsi="ITC Avant Garde" w:cs="Arial"/>
      <w:i/>
      <w:color w:val="000000"/>
      <w:sz w:val="18"/>
      <w:szCs w:val="18"/>
      <w:lang w:eastAsia="es-ES"/>
    </w:rPr>
  </w:style>
  <w:style w:type="character" w:customStyle="1" w:styleId="Listavistosa-nfasis1Car">
    <w:name w:val="Lista vistosa - Énfasis 1 Car"/>
    <w:link w:val="Listavistosa-nfasis1"/>
    <w:uiPriority w:val="34"/>
    <w:semiHidden/>
    <w:rsid w:val="00C97BF9"/>
    <w:rPr>
      <w:sz w:val="22"/>
      <w:szCs w:val="22"/>
      <w:lang w:eastAsia="en-US"/>
    </w:rPr>
  </w:style>
  <w:style w:type="table" w:styleId="Listavistosa-nfasis1">
    <w:name w:val="Colorful List Accent 1"/>
    <w:basedOn w:val="Tablanormal"/>
    <w:link w:val="Listavistosa-nfasis1Car"/>
    <w:uiPriority w:val="34"/>
    <w:semiHidden/>
    <w:unhideWhenUsed/>
    <w:rsid w:val="00C97BF9"/>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PuntosC5">
    <w:name w:val="PuntosC5"/>
    <w:basedOn w:val="PuntosC4"/>
    <w:link w:val="PuntosC5Car"/>
    <w:qFormat/>
    <w:rsid w:val="00C97BF9"/>
    <w:pPr>
      <w:ind w:left="792"/>
    </w:pPr>
  </w:style>
  <w:style w:type="paragraph" w:customStyle="1" w:styleId="Niv2C4">
    <w:name w:val="Niv2C4"/>
    <w:basedOn w:val="Subttulo"/>
    <w:link w:val="Niv2C4Car"/>
    <w:qFormat/>
    <w:rsid w:val="00C97BF9"/>
    <w:pPr>
      <w:spacing w:after="200" w:line="276" w:lineRule="auto"/>
      <w:ind w:left="1224" w:hanging="504"/>
    </w:pPr>
    <w:rPr>
      <w:rFonts w:ascii="ITC Avant Garde" w:eastAsia="Calibri" w:hAnsi="ITC Avant Garde" w:cs="Times New Roman"/>
    </w:rPr>
  </w:style>
  <w:style w:type="character" w:customStyle="1" w:styleId="PuntosC4Car">
    <w:name w:val="PuntosC4 Car"/>
    <w:basedOn w:val="Fuentedeprrafopredeter"/>
    <w:link w:val="PuntosC4"/>
    <w:rsid w:val="00C97BF9"/>
    <w:rPr>
      <w:rFonts w:ascii="ITC Avant Garde" w:eastAsia="Times New Roman" w:hAnsi="ITC Avant Garde" w:cs="Arial"/>
      <w:b/>
      <w:iCs/>
    </w:rPr>
  </w:style>
  <w:style w:type="character" w:customStyle="1" w:styleId="PuntosC5Car">
    <w:name w:val="PuntosC5 Car"/>
    <w:basedOn w:val="PuntosC4Car"/>
    <w:link w:val="PuntosC5"/>
    <w:rsid w:val="00C97BF9"/>
    <w:rPr>
      <w:rFonts w:ascii="ITC Avant Garde" w:eastAsia="Times New Roman" w:hAnsi="ITC Avant Garde" w:cs="Arial"/>
      <w:b/>
      <w:iCs/>
    </w:rPr>
  </w:style>
  <w:style w:type="paragraph" w:customStyle="1" w:styleId="Niv3C4">
    <w:name w:val="Niv3C4"/>
    <w:basedOn w:val="Subttulo"/>
    <w:link w:val="Niv3C4Car"/>
    <w:qFormat/>
    <w:rsid w:val="00C97BF9"/>
    <w:pPr>
      <w:spacing w:after="200" w:line="276" w:lineRule="auto"/>
      <w:ind w:left="1925" w:hanging="648"/>
    </w:pPr>
    <w:rPr>
      <w:rFonts w:ascii="ITC Avant Garde" w:eastAsia="Calibri" w:hAnsi="ITC Avant Garde" w:cs="Times New Roman"/>
    </w:rPr>
  </w:style>
  <w:style w:type="paragraph" w:customStyle="1" w:styleId="TxtListado">
    <w:name w:val="TxtListado"/>
    <w:basedOn w:val="Normal"/>
    <w:qFormat/>
    <w:rsid w:val="00C97BF9"/>
    <w:rPr>
      <w:rFonts w:ascii="ITC Avant Garde" w:hAnsi="ITC Avant Garde"/>
      <w:sz w:val="20"/>
      <w:szCs w:val="20"/>
      <w:lang w:eastAsia="es-ES"/>
    </w:rPr>
  </w:style>
  <w:style w:type="paragraph" w:customStyle="1" w:styleId="z">
    <w:name w:val="z"/>
    <w:basedOn w:val="Normal"/>
    <w:link w:val="zCar"/>
    <w:qFormat/>
    <w:rsid w:val="00C97BF9"/>
    <w:pPr>
      <w:jc w:val="both"/>
    </w:pPr>
    <w:rPr>
      <w:rFonts w:ascii="ITC Avant Garde" w:eastAsia="Times New Roman" w:hAnsi="ITC Avant Garde"/>
      <w:iCs/>
    </w:rPr>
  </w:style>
  <w:style w:type="character" w:customStyle="1" w:styleId="zCar">
    <w:name w:val="z Car"/>
    <w:link w:val="z"/>
    <w:rsid w:val="00C97BF9"/>
    <w:rPr>
      <w:rFonts w:ascii="ITC Avant Garde" w:eastAsia="Times New Roman" w:hAnsi="ITC Avant Garde" w:cs="Times New Roman"/>
      <w:iCs/>
    </w:rPr>
  </w:style>
  <w:style w:type="paragraph" w:customStyle="1" w:styleId="CondicionesFinales">
    <w:name w:val="CondicionesFinales"/>
    <w:basedOn w:val="Citaift"/>
    <w:qFormat/>
    <w:rsid w:val="00C97BF9"/>
    <w:rPr>
      <w:bCs/>
      <w:i w:val="0"/>
      <w:sz w:val="22"/>
      <w:szCs w:val="22"/>
      <w:lang w:val="es-ES_tradnl"/>
    </w:rPr>
  </w:style>
  <w:style w:type="paragraph" w:customStyle="1" w:styleId="ecxmsonormal">
    <w:name w:val="ecxmsonormal"/>
    <w:basedOn w:val="Normal"/>
    <w:uiPriority w:val="99"/>
    <w:rsid w:val="00C97BF9"/>
    <w:pPr>
      <w:spacing w:after="324"/>
      <w:jc w:val="both"/>
    </w:pPr>
    <w:rPr>
      <w:rFonts w:ascii="Arial" w:hAnsi="Arial" w:cs="Arial"/>
    </w:rPr>
  </w:style>
  <w:style w:type="character" w:customStyle="1" w:styleId="IFTnormalCar">
    <w:name w:val="IFT normal Car"/>
    <w:basedOn w:val="Fuentedeprrafopredeter"/>
    <w:link w:val="IFTnormal"/>
    <w:qFormat/>
    <w:rsid w:val="00C97BF9"/>
    <w:rPr>
      <w:rFonts w:ascii="ITC Avant Garde" w:eastAsia="Times New Roman" w:hAnsi="ITC Avant Garde" w:cs="Times New Roman"/>
      <w:iCs/>
      <w:lang w:val="es-ES" w:eastAsia="es-MX"/>
    </w:rPr>
  </w:style>
  <w:style w:type="paragraph" w:customStyle="1" w:styleId="03TitPrin">
    <w:name w:val="03TitPrin"/>
    <w:basedOn w:val="Niv3C4"/>
    <w:next w:val="Niv3C4"/>
    <w:link w:val="03TitPrinCar"/>
    <w:autoRedefine/>
    <w:qFormat/>
    <w:rsid w:val="00C97BF9"/>
    <w:pPr>
      <w:tabs>
        <w:tab w:val="left" w:pos="992"/>
        <w:tab w:val="left" w:pos="1276"/>
      </w:tabs>
      <w:spacing w:before="120"/>
      <w:ind w:left="648"/>
      <w:jc w:val="left"/>
    </w:pPr>
  </w:style>
  <w:style w:type="paragraph" w:customStyle="1" w:styleId="LosOdioAtodos">
    <w:name w:val="LosOdioAtodos"/>
    <w:basedOn w:val="Niv3C4"/>
    <w:link w:val="LosOdioAtodosCar"/>
    <w:qFormat/>
    <w:rsid w:val="00C97BF9"/>
    <w:pPr>
      <w:tabs>
        <w:tab w:val="left" w:pos="851"/>
        <w:tab w:val="left" w:pos="1276"/>
      </w:tabs>
      <w:outlineLvl w:val="2"/>
    </w:pPr>
  </w:style>
  <w:style w:type="character" w:customStyle="1" w:styleId="Niv3C4Car">
    <w:name w:val="Niv3C4 Car"/>
    <w:basedOn w:val="SubttuloCar"/>
    <w:link w:val="Niv3C4"/>
    <w:rsid w:val="00C97BF9"/>
    <w:rPr>
      <w:rFonts w:ascii="ITC Avant Garde" w:eastAsia="Calibri" w:hAnsi="ITC Avant Garde" w:cs="Times New Roman"/>
      <w:b/>
      <w:szCs w:val="24"/>
      <w:lang w:eastAsia="es-ES"/>
    </w:rPr>
  </w:style>
  <w:style w:type="character" w:customStyle="1" w:styleId="03TitPrinCar">
    <w:name w:val="03TitPrin Car"/>
    <w:basedOn w:val="Niv3C4Car"/>
    <w:link w:val="03TitPrin"/>
    <w:rsid w:val="00C97BF9"/>
    <w:rPr>
      <w:rFonts w:ascii="ITC Avant Garde" w:eastAsia="Calibri" w:hAnsi="ITC Avant Garde" w:cs="Times New Roman"/>
      <w:b/>
      <w:szCs w:val="24"/>
      <w:lang w:eastAsia="es-ES"/>
    </w:rPr>
  </w:style>
  <w:style w:type="paragraph" w:customStyle="1" w:styleId="5TitCin">
    <w:name w:val="5TitCin"/>
    <w:basedOn w:val="LosOdioAtodos"/>
    <w:link w:val="5TitCinCar"/>
    <w:autoRedefine/>
    <w:qFormat/>
    <w:rsid w:val="00C97BF9"/>
    <w:pPr>
      <w:numPr>
        <w:numId w:val="47"/>
      </w:numPr>
      <w:tabs>
        <w:tab w:val="left" w:pos="709"/>
        <w:tab w:val="left" w:pos="1134"/>
      </w:tabs>
      <w:outlineLvl w:val="3"/>
    </w:pPr>
    <w:rPr>
      <w:b w:val="0"/>
    </w:rPr>
  </w:style>
  <w:style w:type="paragraph" w:customStyle="1" w:styleId="RIFT">
    <w:name w:val="R_IFT"/>
    <w:basedOn w:val="Ttulo2"/>
    <w:link w:val="RIFTCar"/>
    <w:qFormat/>
    <w:rsid w:val="00C97BF9"/>
    <w:pPr>
      <w:spacing w:after="200" w:line="276" w:lineRule="auto"/>
    </w:pPr>
    <w:rPr>
      <w:rFonts w:ascii="ITC Avant Garde" w:hAnsi="ITC Avant Garde" w:cs="Arial"/>
      <w:bCs/>
    </w:rPr>
  </w:style>
  <w:style w:type="character" w:customStyle="1" w:styleId="LosOdioAtodosCar">
    <w:name w:val="LosOdioAtodos Car"/>
    <w:basedOn w:val="Niv3C4Car"/>
    <w:link w:val="LosOdioAtodos"/>
    <w:rsid w:val="00C97BF9"/>
    <w:rPr>
      <w:rFonts w:ascii="ITC Avant Garde" w:eastAsia="Calibri" w:hAnsi="ITC Avant Garde" w:cs="Times New Roman"/>
      <w:b/>
      <w:szCs w:val="24"/>
      <w:lang w:eastAsia="es-ES"/>
    </w:rPr>
  </w:style>
  <w:style w:type="character" w:customStyle="1" w:styleId="5TitCinCar">
    <w:name w:val="5TitCin Car"/>
    <w:basedOn w:val="LosOdioAtodosCar"/>
    <w:link w:val="5TitCin"/>
    <w:rsid w:val="00C97BF9"/>
    <w:rPr>
      <w:rFonts w:ascii="ITC Avant Garde" w:eastAsia="Calibri" w:hAnsi="ITC Avant Garde" w:cs="Times New Roman"/>
      <w:b w:val="0"/>
      <w:szCs w:val="24"/>
      <w:lang w:eastAsia="es-ES"/>
    </w:rPr>
  </w:style>
  <w:style w:type="paragraph" w:customStyle="1" w:styleId="4TitCuar">
    <w:name w:val="4TitCuar"/>
    <w:basedOn w:val="Niv3C4"/>
    <w:link w:val="4TitCuarCar"/>
    <w:autoRedefine/>
    <w:qFormat/>
    <w:rsid w:val="00C97BF9"/>
    <w:pPr>
      <w:numPr>
        <w:ilvl w:val="3"/>
        <w:numId w:val="46"/>
      </w:numPr>
      <w:tabs>
        <w:tab w:val="left" w:pos="709"/>
        <w:tab w:val="left" w:leader="underscore" w:pos="1134"/>
      </w:tabs>
      <w:outlineLvl w:val="2"/>
    </w:pPr>
    <w:rPr>
      <w:b w:val="0"/>
    </w:rPr>
  </w:style>
  <w:style w:type="character" w:customStyle="1" w:styleId="RIFTCar">
    <w:name w:val="R_IFT Car"/>
    <w:basedOn w:val="Ttulo2Car"/>
    <w:link w:val="RIFT"/>
    <w:rsid w:val="00C97BF9"/>
    <w:rPr>
      <w:rFonts w:ascii="ITC Avant Garde" w:eastAsia="Times New Roman" w:hAnsi="ITC Avant Garde" w:cs="Arial"/>
      <w:b/>
      <w:bCs/>
      <w:szCs w:val="20"/>
    </w:rPr>
  </w:style>
  <w:style w:type="paragraph" w:customStyle="1" w:styleId="R2N4C4">
    <w:name w:val="R2N4C4"/>
    <w:basedOn w:val="4TitCuar"/>
    <w:link w:val="R2N4C4Car"/>
    <w:rsid w:val="00C97BF9"/>
    <w:pPr>
      <w:outlineLvl w:val="3"/>
    </w:pPr>
  </w:style>
  <w:style w:type="character" w:customStyle="1" w:styleId="4TitCuarCar">
    <w:name w:val="4TitCuar Car"/>
    <w:basedOn w:val="Niv3C4Car"/>
    <w:link w:val="4TitCuar"/>
    <w:rsid w:val="00C97BF9"/>
    <w:rPr>
      <w:rFonts w:ascii="ITC Avant Garde" w:eastAsia="Calibri" w:hAnsi="ITC Avant Garde" w:cs="Times New Roman"/>
      <w:b w:val="0"/>
      <w:szCs w:val="24"/>
      <w:lang w:eastAsia="es-ES"/>
    </w:rPr>
  </w:style>
  <w:style w:type="paragraph" w:customStyle="1" w:styleId="3TitTer">
    <w:name w:val="3TitTer"/>
    <w:basedOn w:val="Niv2C4"/>
    <w:link w:val="3TitTerCar"/>
    <w:autoRedefine/>
    <w:qFormat/>
    <w:rsid w:val="00C97BF9"/>
    <w:pPr>
      <w:ind w:left="0" w:firstLine="0"/>
      <w:outlineLvl w:val="1"/>
    </w:pPr>
  </w:style>
  <w:style w:type="character" w:customStyle="1" w:styleId="R2N4C4Car">
    <w:name w:val="R2N4C4 Car"/>
    <w:basedOn w:val="4TitCuarCar"/>
    <w:link w:val="R2N4C4"/>
    <w:rsid w:val="00C97BF9"/>
    <w:rPr>
      <w:rFonts w:ascii="ITC Avant Garde" w:eastAsia="Calibri" w:hAnsi="ITC Avant Garde" w:cs="Times New Roman"/>
      <w:b w:val="0"/>
      <w:szCs w:val="24"/>
      <w:lang w:eastAsia="es-ES"/>
    </w:rPr>
  </w:style>
  <w:style w:type="paragraph" w:customStyle="1" w:styleId="01TitPrin">
    <w:name w:val="01TitPrin"/>
    <w:basedOn w:val="Ttulo1"/>
    <w:link w:val="01TitPrinCar"/>
    <w:autoRedefine/>
    <w:qFormat/>
    <w:rsid w:val="00C97BF9"/>
    <w:pPr>
      <w:keepNext w:val="0"/>
      <w:spacing w:after="200" w:line="276" w:lineRule="auto"/>
      <w:jc w:val="both"/>
    </w:pPr>
    <w:rPr>
      <w:rFonts w:ascii="ITC Avant Garde" w:eastAsia="Calibri" w:hAnsi="ITC Avant Garde" w:cs="Arial"/>
      <w:color w:val="000000"/>
      <w:szCs w:val="22"/>
      <w:lang w:val="es-ES" w:eastAsia="es-ES"/>
    </w:rPr>
  </w:style>
  <w:style w:type="character" w:customStyle="1" w:styleId="Niv2C4Car">
    <w:name w:val="Niv2C4 Car"/>
    <w:basedOn w:val="SubttuloCar"/>
    <w:link w:val="Niv2C4"/>
    <w:rsid w:val="00C97BF9"/>
    <w:rPr>
      <w:rFonts w:ascii="ITC Avant Garde" w:eastAsia="Calibri" w:hAnsi="ITC Avant Garde" w:cs="Times New Roman"/>
      <w:b/>
      <w:szCs w:val="24"/>
      <w:lang w:eastAsia="es-ES"/>
    </w:rPr>
  </w:style>
  <w:style w:type="character" w:customStyle="1" w:styleId="3TitTerCar">
    <w:name w:val="3TitTer Car"/>
    <w:basedOn w:val="Niv2C4Car"/>
    <w:link w:val="3TitTer"/>
    <w:rsid w:val="00C97BF9"/>
    <w:rPr>
      <w:rFonts w:ascii="ITC Avant Garde" w:eastAsia="Calibri" w:hAnsi="ITC Avant Garde" w:cs="Times New Roman"/>
      <w:b/>
      <w:szCs w:val="24"/>
      <w:lang w:eastAsia="es-ES"/>
    </w:rPr>
  </w:style>
  <w:style w:type="character" w:customStyle="1" w:styleId="01TitPrinCar">
    <w:name w:val="01TitPrin Car"/>
    <w:link w:val="01TitPrin"/>
    <w:rsid w:val="00C97BF9"/>
    <w:rPr>
      <w:rFonts w:ascii="ITC Avant Garde" w:eastAsia="Calibri" w:hAnsi="ITC Avant Garde" w:cs="Arial"/>
      <w:b/>
      <w:color w:val="000000"/>
      <w:lang w:val="es-ES" w:eastAsia="es-ES"/>
    </w:rPr>
  </w:style>
  <w:style w:type="paragraph" w:customStyle="1" w:styleId="N1IFT">
    <w:name w:val="N1 IFT"/>
    <w:basedOn w:val="Ttulo1"/>
    <w:link w:val="N1IFTCar"/>
    <w:autoRedefine/>
    <w:qFormat/>
    <w:rsid w:val="00C97BF9"/>
    <w:pPr>
      <w:keepNext w:val="0"/>
      <w:spacing w:after="200" w:line="276" w:lineRule="auto"/>
      <w:ind w:left="792" w:hanging="432"/>
      <w:jc w:val="both"/>
    </w:pPr>
    <w:rPr>
      <w:rFonts w:ascii="ITC Avant Garde" w:eastAsia="Calibri" w:hAnsi="ITC Avant Garde" w:cs="Arial"/>
      <w:color w:val="000000"/>
      <w:szCs w:val="22"/>
      <w:lang w:val="es-ES" w:eastAsia="es-ES"/>
    </w:rPr>
  </w:style>
  <w:style w:type="paragraph" w:customStyle="1" w:styleId="T2IFT">
    <w:name w:val="T2 IFT"/>
    <w:basedOn w:val="Niv2C4"/>
    <w:autoRedefine/>
    <w:qFormat/>
    <w:rsid w:val="00C97BF9"/>
    <w:pPr>
      <w:jc w:val="left"/>
      <w:outlineLvl w:val="1"/>
    </w:pPr>
  </w:style>
  <w:style w:type="paragraph" w:styleId="TDC5">
    <w:name w:val="toc 5"/>
    <w:basedOn w:val="Normal"/>
    <w:next w:val="Normal"/>
    <w:autoRedefine/>
    <w:uiPriority w:val="39"/>
    <w:unhideWhenUsed/>
    <w:rsid w:val="00C97BF9"/>
    <w:pPr>
      <w:spacing w:after="100" w:line="259" w:lineRule="auto"/>
      <w:ind w:left="880"/>
    </w:pPr>
    <w:rPr>
      <w:rFonts w:asciiTheme="minorHAnsi" w:eastAsiaTheme="minorEastAsia" w:hAnsiTheme="minorHAnsi" w:cstheme="minorBidi"/>
      <w:lang w:val="en-US"/>
    </w:rPr>
  </w:style>
  <w:style w:type="paragraph" w:styleId="TDC6">
    <w:name w:val="toc 6"/>
    <w:basedOn w:val="Normal"/>
    <w:next w:val="Normal"/>
    <w:autoRedefine/>
    <w:uiPriority w:val="39"/>
    <w:unhideWhenUsed/>
    <w:rsid w:val="00C97BF9"/>
    <w:pPr>
      <w:spacing w:after="100" w:line="259" w:lineRule="auto"/>
      <w:ind w:left="1100"/>
    </w:pPr>
    <w:rPr>
      <w:rFonts w:asciiTheme="minorHAnsi" w:eastAsiaTheme="minorEastAsia" w:hAnsiTheme="minorHAnsi" w:cstheme="minorBidi"/>
      <w:lang w:val="en-US"/>
    </w:rPr>
  </w:style>
  <w:style w:type="paragraph" w:styleId="TDC7">
    <w:name w:val="toc 7"/>
    <w:basedOn w:val="Normal"/>
    <w:next w:val="Normal"/>
    <w:autoRedefine/>
    <w:uiPriority w:val="39"/>
    <w:unhideWhenUsed/>
    <w:rsid w:val="00C97BF9"/>
    <w:pPr>
      <w:spacing w:after="100" w:line="259" w:lineRule="auto"/>
      <w:ind w:left="1320"/>
    </w:pPr>
    <w:rPr>
      <w:rFonts w:asciiTheme="minorHAnsi" w:eastAsiaTheme="minorEastAsia" w:hAnsiTheme="minorHAnsi" w:cstheme="minorBidi"/>
      <w:lang w:val="en-US"/>
    </w:rPr>
  </w:style>
  <w:style w:type="paragraph" w:styleId="TDC8">
    <w:name w:val="toc 8"/>
    <w:basedOn w:val="Normal"/>
    <w:next w:val="Normal"/>
    <w:autoRedefine/>
    <w:uiPriority w:val="39"/>
    <w:unhideWhenUsed/>
    <w:rsid w:val="00C97BF9"/>
    <w:pPr>
      <w:spacing w:after="100" w:line="259" w:lineRule="auto"/>
      <w:ind w:left="1540"/>
    </w:pPr>
    <w:rPr>
      <w:rFonts w:asciiTheme="minorHAnsi" w:eastAsiaTheme="minorEastAsia" w:hAnsiTheme="minorHAnsi" w:cstheme="minorBidi"/>
      <w:lang w:val="en-US"/>
    </w:rPr>
  </w:style>
  <w:style w:type="paragraph" w:styleId="TDC9">
    <w:name w:val="toc 9"/>
    <w:basedOn w:val="Normal"/>
    <w:next w:val="Normal"/>
    <w:autoRedefine/>
    <w:uiPriority w:val="39"/>
    <w:unhideWhenUsed/>
    <w:rsid w:val="00C97BF9"/>
    <w:pPr>
      <w:spacing w:after="100" w:line="259" w:lineRule="auto"/>
      <w:ind w:left="1760"/>
    </w:pPr>
    <w:rPr>
      <w:rFonts w:asciiTheme="minorHAnsi" w:eastAsiaTheme="minorEastAsia" w:hAnsiTheme="minorHAnsi" w:cstheme="minorBidi"/>
      <w:lang w:val="en-US"/>
    </w:rPr>
  </w:style>
  <w:style w:type="paragraph" w:customStyle="1" w:styleId="CitaIFT0">
    <w:name w:val="Cita IFT"/>
    <w:basedOn w:val="IFTTexto"/>
    <w:link w:val="CitaIFTCar0"/>
    <w:qFormat/>
    <w:rsid w:val="00C97BF9"/>
    <w:pPr>
      <w:adjustRightInd w:val="0"/>
      <w:ind w:left="851" w:right="760"/>
    </w:pPr>
    <w:rPr>
      <w:rFonts w:eastAsia="Times New Roman"/>
      <w:bCs/>
      <w:i/>
      <w:sz w:val="18"/>
      <w:szCs w:val="18"/>
    </w:rPr>
  </w:style>
  <w:style w:type="character" w:customStyle="1" w:styleId="CitaIFTCar0">
    <w:name w:val="Cita IFT Car"/>
    <w:link w:val="CitaIFT0"/>
    <w:rsid w:val="00C97BF9"/>
    <w:rPr>
      <w:rFonts w:ascii="ITC Avant Garde" w:eastAsia="Times New Roman" w:hAnsi="ITC Avant Garde" w:cs="Arial"/>
      <w:bCs/>
      <w:i/>
      <w:color w:val="000000"/>
      <w:sz w:val="18"/>
      <w:szCs w:val="18"/>
      <w:lang w:val="es-ES_tradnl" w:eastAsia="es-ES"/>
    </w:rPr>
  </w:style>
  <w:style w:type="paragraph" w:customStyle="1" w:styleId="IFTTexto">
    <w:name w:val="IFT Texto"/>
    <w:link w:val="IFTTextoCar"/>
    <w:qFormat/>
    <w:rsid w:val="00C97BF9"/>
    <w:pPr>
      <w:spacing w:after="200" w:line="276" w:lineRule="auto"/>
      <w:jc w:val="both"/>
    </w:pPr>
    <w:rPr>
      <w:rFonts w:ascii="ITC Avant Garde" w:eastAsia="Calibri" w:hAnsi="ITC Avant Garde" w:cs="Arial"/>
      <w:color w:val="000000"/>
      <w:lang w:val="es-ES_tradnl" w:eastAsia="es-ES"/>
    </w:rPr>
  </w:style>
  <w:style w:type="character" w:customStyle="1" w:styleId="IFTTextoCar">
    <w:name w:val="IFT Texto Car"/>
    <w:basedOn w:val="Fuentedeprrafopredeter"/>
    <w:link w:val="IFTTexto"/>
    <w:rsid w:val="00C97BF9"/>
    <w:rPr>
      <w:rFonts w:ascii="ITC Avant Garde" w:eastAsia="Calibri" w:hAnsi="ITC Avant Garde" w:cs="Arial"/>
      <w:color w:val="000000"/>
      <w:lang w:val="es-ES_tradnl" w:eastAsia="es-ES"/>
    </w:rPr>
  </w:style>
  <w:style w:type="table" w:customStyle="1" w:styleId="TableNormal1">
    <w:name w:val="Table Normal1"/>
    <w:uiPriority w:val="2"/>
    <w:semiHidden/>
    <w:unhideWhenUsed/>
    <w:qFormat/>
    <w:rsid w:val="00C97BF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7BF9"/>
    <w:pPr>
      <w:widowControl w:val="0"/>
      <w:spacing w:after="0" w:line="240" w:lineRule="auto"/>
    </w:pPr>
    <w:rPr>
      <w:rFonts w:asciiTheme="minorHAnsi" w:eastAsiaTheme="minorHAnsi" w:hAnsiTheme="minorHAnsi" w:cstheme="minorBidi"/>
      <w:lang w:val="en-US"/>
    </w:rPr>
  </w:style>
  <w:style w:type="paragraph" w:customStyle="1" w:styleId="TableCaption">
    <w:name w:val="Table Caption"/>
    <w:basedOn w:val="Descripcin"/>
    <w:qFormat/>
    <w:rsid w:val="00C97BF9"/>
    <w:pPr>
      <w:keepNext/>
      <w:tabs>
        <w:tab w:val="left" w:pos="2041"/>
      </w:tabs>
      <w:spacing w:after="160" w:line="280" w:lineRule="atLeast"/>
      <w:jc w:val="left"/>
    </w:pPr>
    <w:rPr>
      <w:rFonts w:eastAsiaTheme="minorHAnsi" w:cs="Arial"/>
      <w:b w:val="0"/>
      <w:i/>
      <w:sz w:val="18"/>
      <w:szCs w:val="18"/>
      <w:lang w:val="en-GB" w:eastAsia="en-US"/>
    </w:rPr>
  </w:style>
  <w:style w:type="character" w:styleId="Textodelmarcadordeposicin">
    <w:name w:val="Placeholder Text"/>
    <w:basedOn w:val="Fuentedeprrafopredeter"/>
    <w:uiPriority w:val="99"/>
    <w:semiHidden/>
    <w:rsid w:val="00C97BF9"/>
    <w:rPr>
      <w:color w:val="808080"/>
    </w:rPr>
  </w:style>
  <w:style w:type="paragraph" w:customStyle="1" w:styleId="Prrafodelista11">
    <w:name w:val="Párrafo de lista11"/>
    <w:basedOn w:val="Normal"/>
    <w:uiPriority w:val="99"/>
    <w:rsid w:val="00C97BF9"/>
    <w:pPr>
      <w:widowControl w:val="0"/>
      <w:adjustRightInd w:val="0"/>
      <w:spacing w:after="0" w:line="360" w:lineRule="atLeast"/>
      <w:ind w:left="720"/>
      <w:contextualSpacing/>
      <w:jc w:val="both"/>
      <w:textAlignment w:val="baseline"/>
    </w:pPr>
    <w:rPr>
      <w:rFonts w:ascii="Times New Roman" w:eastAsia="Times New Roman" w:hAnsi="Times New Roman"/>
      <w:sz w:val="24"/>
      <w:szCs w:val="24"/>
      <w:lang w:val="es-ES" w:eastAsia="es-ES"/>
    </w:rPr>
  </w:style>
  <w:style w:type="paragraph" w:customStyle="1" w:styleId="Titulo">
    <w:name w:val="Titulo"/>
    <w:basedOn w:val="Normal"/>
    <w:uiPriority w:val="99"/>
    <w:rsid w:val="00C97BF9"/>
    <w:pPr>
      <w:tabs>
        <w:tab w:val="left" w:pos="3119"/>
      </w:tabs>
      <w:spacing w:after="0" w:line="240" w:lineRule="auto"/>
      <w:jc w:val="center"/>
    </w:pPr>
    <w:rPr>
      <w:rFonts w:ascii="Arial" w:eastAsia="Times New Roman" w:hAnsi="Arial"/>
      <w:b/>
      <w:sz w:val="24"/>
      <w:szCs w:val="20"/>
      <w:lang w:val="en-GB"/>
    </w:rPr>
  </w:style>
  <w:style w:type="character" w:customStyle="1" w:styleId="Dato">
    <w:name w:val="Dato"/>
    <w:uiPriority w:val="99"/>
    <w:rsid w:val="00C97BF9"/>
    <w:rPr>
      <w:rFonts w:cs="Times New Roman"/>
      <w:b/>
    </w:rPr>
  </w:style>
  <w:style w:type="paragraph" w:customStyle="1" w:styleId="Sub-titulo">
    <w:name w:val="Sub-titulo"/>
    <w:basedOn w:val="Normal"/>
    <w:uiPriority w:val="99"/>
    <w:rsid w:val="00C97BF9"/>
    <w:pPr>
      <w:tabs>
        <w:tab w:val="left" w:pos="3119"/>
      </w:tabs>
      <w:spacing w:before="20" w:after="20" w:line="240" w:lineRule="auto"/>
      <w:jc w:val="center"/>
    </w:pPr>
    <w:rPr>
      <w:rFonts w:ascii="Arial" w:eastAsia="Times New Roman" w:hAnsi="Arial"/>
      <w:b/>
      <w:sz w:val="16"/>
      <w:szCs w:val="20"/>
      <w:lang w:val="en-GB"/>
    </w:rPr>
  </w:style>
  <w:style w:type="paragraph" w:customStyle="1" w:styleId="Prrafodelista1">
    <w:name w:val="Párrafo de lista1"/>
    <w:basedOn w:val="Normal"/>
    <w:link w:val="ListParagraphChar"/>
    <w:rsid w:val="00C97BF9"/>
    <w:pPr>
      <w:spacing w:after="0" w:line="240" w:lineRule="auto"/>
      <w:ind w:left="720"/>
      <w:contextualSpacing/>
    </w:pPr>
    <w:rPr>
      <w:rFonts w:ascii="Times New Roman" w:eastAsia="Times New Roman" w:hAnsi="Times New Roman"/>
      <w:sz w:val="24"/>
      <w:szCs w:val="24"/>
      <w:lang w:val="es-ES" w:eastAsia="es-ES"/>
    </w:rPr>
  </w:style>
  <w:style w:type="paragraph" w:styleId="Sangranormal">
    <w:name w:val="Normal Indent"/>
    <w:basedOn w:val="Normal"/>
    <w:uiPriority w:val="99"/>
    <w:rsid w:val="00C97BF9"/>
    <w:pPr>
      <w:autoSpaceDE w:val="0"/>
      <w:autoSpaceDN w:val="0"/>
      <w:spacing w:after="0" w:line="240" w:lineRule="auto"/>
      <w:ind w:left="708"/>
    </w:pPr>
    <w:rPr>
      <w:rFonts w:ascii="Arial" w:eastAsia="Times New Roman" w:hAnsi="Arial" w:cs="Arial"/>
      <w:sz w:val="16"/>
      <w:szCs w:val="16"/>
      <w:lang w:val="es-ES_tradnl" w:eastAsia="es-ES"/>
    </w:rPr>
  </w:style>
  <w:style w:type="paragraph" w:customStyle="1" w:styleId="NOMBREDEFIGURA">
    <w:name w:val="NOMBRE DE FIGURA"/>
    <w:basedOn w:val="Textoindependiente"/>
    <w:qFormat/>
    <w:rsid w:val="00C97BF9"/>
    <w:pPr>
      <w:overflowPunct w:val="0"/>
      <w:autoSpaceDE w:val="0"/>
      <w:autoSpaceDN w:val="0"/>
      <w:adjustRightInd w:val="0"/>
      <w:spacing w:line="240" w:lineRule="atLeast"/>
      <w:ind w:right="657" w:firstLine="1"/>
      <w:jc w:val="center"/>
      <w:textAlignment w:val="baseline"/>
    </w:pPr>
    <w:rPr>
      <w:sz w:val="20"/>
      <w:lang w:val="es-ES_tradnl" w:eastAsia="ja-JP"/>
    </w:rPr>
  </w:style>
  <w:style w:type="paragraph" w:customStyle="1" w:styleId="TEXTOCONNUMERO">
    <w:name w:val="TEXTO CON NUMERO"/>
    <w:basedOn w:val="Normal"/>
    <w:qFormat/>
    <w:rsid w:val="00C97BF9"/>
    <w:pPr>
      <w:numPr>
        <w:numId w:val="48"/>
      </w:numPr>
      <w:tabs>
        <w:tab w:val="left" w:pos="426"/>
        <w:tab w:val="left" w:pos="2269"/>
      </w:tabs>
      <w:overflowPunct w:val="0"/>
      <w:autoSpaceDE w:val="0"/>
      <w:autoSpaceDN w:val="0"/>
      <w:adjustRightInd w:val="0"/>
      <w:spacing w:after="0" w:line="240" w:lineRule="auto"/>
      <w:jc w:val="both"/>
      <w:textAlignment w:val="baseline"/>
    </w:pPr>
    <w:rPr>
      <w:rFonts w:ascii="Arial" w:eastAsia="Times New Roman" w:hAnsi="Arial"/>
      <w:sz w:val="20"/>
      <w:szCs w:val="20"/>
      <w:lang w:val="es-ES_tradnl" w:eastAsia="ja-JP"/>
    </w:rPr>
  </w:style>
  <w:style w:type="paragraph" w:customStyle="1" w:styleId="TITULOCAP">
    <w:name w:val="TITULO CAP"/>
    <w:basedOn w:val="Normal"/>
    <w:link w:val="TITULOCAPCar"/>
    <w:qFormat/>
    <w:rsid w:val="00C97BF9"/>
    <w:pPr>
      <w:widowControl w:val="0"/>
      <w:numPr>
        <w:numId w:val="49"/>
      </w:numPr>
      <w:autoSpaceDE w:val="0"/>
      <w:autoSpaceDN w:val="0"/>
      <w:spacing w:after="0" w:line="240" w:lineRule="auto"/>
    </w:pPr>
    <w:rPr>
      <w:rFonts w:ascii="Arial" w:eastAsia="Times New Roman" w:hAnsi="Arial"/>
      <w:b/>
      <w:bCs/>
      <w:sz w:val="24"/>
      <w:szCs w:val="24"/>
      <w:lang w:val="es-ES_tradnl" w:eastAsia="x-none"/>
    </w:rPr>
  </w:style>
  <w:style w:type="character" w:customStyle="1" w:styleId="TITULOCAPCar">
    <w:name w:val="TITULO CAP Car"/>
    <w:link w:val="TITULOCAP"/>
    <w:rsid w:val="00C97BF9"/>
    <w:rPr>
      <w:rFonts w:ascii="Arial" w:eastAsia="Times New Roman" w:hAnsi="Arial" w:cs="Times New Roman"/>
      <w:b/>
      <w:bCs/>
      <w:sz w:val="24"/>
      <w:szCs w:val="24"/>
      <w:lang w:val="es-ES_tradnl" w:eastAsia="x-none"/>
    </w:rPr>
  </w:style>
  <w:style w:type="paragraph" w:customStyle="1" w:styleId="SUBCAP1">
    <w:name w:val="SUBCAP1"/>
    <w:basedOn w:val="Normal"/>
    <w:link w:val="SUBCAP1Car"/>
    <w:qFormat/>
    <w:rsid w:val="00C97BF9"/>
    <w:pPr>
      <w:numPr>
        <w:ilvl w:val="1"/>
        <w:numId w:val="50"/>
      </w:numPr>
      <w:autoSpaceDE w:val="0"/>
      <w:autoSpaceDN w:val="0"/>
      <w:spacing w:after="0" w:line="240" w:lineRule="auto"/>
    </w:pPr>
    <w:rPr>
      <w:rFonts w:ascii="Arial" w:eastAsia="Times New Roman" w:hAnsi="Arial"/>
      <w:b/>
      <w:bCs/>
      <w:sz w:val="24"/>
      <w:szCs w:val="24"/>
      <w:lang w:val="es-ES_tradnl" w:eastAsia="x-none"/>
    </w:rPr>
  </w:style>
  <w:style w:type="paragraph" w:customStyle="1" w:styleId="SUBCAP2">
    <w:name w:val="SUBCAP2"/>
    <w:basedOn w:val="Normal"/>
    <w:link w:val="SUBCAP2Car"/>
    <w:qFormat/>
    <w:rsid w:val="00C97BF9"/>
    <w:pPr>
      <w:numPr>
        <w:ilvl w:val="2"/>
        <w:numId w:val="50"/>
      </w:numPr>
      <w:tabs>
        <w:tab w:val="left" w:pos="851"/>
      </w:tabs>
      <w:autoSpaceDE w:val="0"/>
      <w:autoSpaceDN w:val="0"/>
      <w:spacing w:after="0" w:line="240" w:lineRule="auto"/>
    </w:pPr>
    <w:rPr>
      <w:rFonts w:ascii="Arial" w:eastAsia="Times New Roman" w:hAnsi="Arial"/>
      <w:b/>
      <w:bCs/>
      <w:sz w:val="24"/>
      <w:szCs w:val="24"/>
      <w:lang w:val="es-ES_tradnl" w:eastAsia="x-none"/>
    </w:rPr>
  </w:style>
  <w:style w:type="character" w:customStyle="1" w:styleId="SUBCAP1Car">
    <w:name w:val="SUBCAP1 Car"/>
    <w:link w:val="SUBCAP1"/>
    <w:rsid w:val="00C97BF9"/>
    <w:rPr>
      <w:rFonts w:ascii="Arial" w:eastAsia="Times New Roman" w:hAnsi="Arial" w:cs="Times New Roman"/>
      <w:b/>
      <w:bCs/>
      <w:sz w:val="24"/>
      <w:szCs w:val="24"/>
      <w:lang w:val="es-ES_tradnl" w:eastAsia="x-none"/>
    </w:rPr>
  </w:style>
  <w:style w:type="paragraph" w:customStyle="1" w:styleId="SUBCAP3">
    <w:name w:val="SUBCAP3"/>
    <w:basedOn w:val="SUBCAP2"/>
    <w:link w:val="SUBCAP3Car"/>
    <w:qFormat/>
    <w:rsid w:val="00C97BF9"/>
    <w:pPr>
      <w:numPr>
        <w:ilvl w:val="3"/>
      </w:numPr>
    </w:pPr>
  </w:style>
  <w:style w:type="character" w:customStyle="1" w:styleId="SUBCAP2Car">
    <w:name w:val="SUBCAP2 Car"/>
    <w:link w:val="SUBCAP2"/>
    <w:rsid w:val="00C97BF9"/>
    <w:rPr>
      <w:rFonts w:ascii="Arial" w:eastAsia="Times New Roman" w:hAnsi="Arial" w:cs="Times New Roman"/>
      <w:b/>
      <w:bCs/>
      <w:sz w:val="24"/>
      <w:szCs w:val="24"/>
      <w:lang w:val="es-ES_tradnl" w:eastAsia="x-none"/>
    </w:rPr>
  </w:style>
  <w:style w:type="paragraph" w:customStyle="1" w:styleId="SUBCAP4">
    <w:name w:val="SUBCAP4"/>
    <w:basedOn w:val="SUBCAP3"/>
    <w:link w:val="SUBCAP4Car"/>
    <w:qFormat/>
    <w:rsid w:val="00C97BF9"/>
  </w:style>
  <w:style w:type="character" w:customStyle="1" w:styleId="SUBCAP3Car">
    <w:name w:val="SUBCAP3 Car"/>
    <w:basedOn w:val="SUBCAP2Car"/>
    <w:link w:val="SUBCAP3"/>
    <w:rsid w:val="00C97BF9"/>
    <w:rPr>
      <w:rFonts w:ascii="Arial" w:eastAsia="Times New Roman" w:hAnsi="Arial" w:cs="Times New Roman"/>
      <w:b/>
      <w:bCs/>
      <w:sz w:val="24"/>
      <w:szCs w:val="24"/>
      <w:lang w:val="es-ES_tradnl" w:eastAsia="x-none"/>
    </w:rPr>
  </w:style>
  <w:style w:type="character" w:customStyle="1" w:styleId="SUBCAP4Car">
    <w:name w:val="SUBCAP4 Car"/>
    <w:basedOn w:val="SUBCAP3Car"/>
    <w:link w:val="SUBCAP4"/>
    <w:rsid w:val="00C97BF9"/>
    <w:rPr>
      <w:rFonts w:ascii="Arial" w:eastAsia="Times New Roman" w:hAnsi="Arial" w:cs="Times New Roman"/>
      <w:b/>
      <w:bCs/>
      <w:sz w:val="24"/>
      <w:szCs w:val="24"/>
      <w:lang w:val="es-ES_tradnl" w:eastAsia="x-none"/>
    </w:rPr>
  </w:style>
  <w:style w:type="paragraph" w:styleId="ndice1">
    <w:name w:val="index 1"/>
    <w:basedOn w:val="Normal"/>
    <w:next w:val="Normal"/>
    <w:autoRedefine/>
    <w:uiPriority w:val="99"/>
    <w:semiHidden/>
    <w:unhideWhenUsed/>
    <w:rsid w:val="00C97BF9"/>
    <w:pPr>
      <w:autoSpaceDE w:val="0"/>
      <w:autoSpaceDN w:val="0"/>
      <w:spacing w:after="0" w:line="240" w:lineRule="auto"/>
      <w:ind w:left="160" w:hanging="160"/>
    </w:pPr>
    <w:rPr>
      <w:rFonts w:ascii="Arial" w:eastAsia="Times New Roman" w:hAnsi="Arial" w:cs="Arial"/>
      <w:sz w:val="16"/>
      <w:szCs w:val="16"/>
      <w:lang w:val="es-ES_tradnl" w:eastAsia="es-ES"/>
    </w:rPr>
  </w:style>
  <w:style w:type="paragraph" w:customStyle="1" w:styleId="Estilo01">
    <w:name w:val="Estilo01"/>
    <w:basedOn w:val="Normal"/>
    <w:rsid w:val="00C97BF9"/>
    <w:pPr>
      <w:keepNext/>
      <w:suppressAutoHyphens/>
      <w:spacing w:after="0" w:line="240" w:lineRule="auto"/>
      <w:jc w:val="both"/>
    </w:pPr>
    <w:rPr>
      <w:rFonts w:ascii="Arial" w:eastAsia="Times New Roman" w:hAnsi="Arial"/>
      <w:sz w:val="20"/>
      <w:szCs w:val="20"/>
      <w:lang w:val="es-ES_tradnl"/>
    </w:rPr>
  </w:style>
  <w:style w:type="paragraph" w:customStyle="1" w:styleId="Estilo02">
    <w:name w:val="Estilo02"/>
    <w:basedOn w:val="Normal"/>
    <w:rsid w:val="00C97BF9"/>
    <w:pPr>
      <w:spacing w:after="0" w:line="240" w:lineRule="auto"/>
      <w:jc w:val="both"/>
    </w:pPr>
    <w:rPr>
      <w:rFonts w:ascii="Arial" w:eastAsia="Times New Roman" w:hAnsi="Arial"/>
      <w:sz w:val="20"/>
      <w:szCs w:val="20"/>
      <w:lang w:val="es-ES_tradnl"/>
    </w:rPr>
  </w:style>
  <w:style w:type="character" w:customStyle="1" w:styleId="N1IFTCar">
    <w:name w:val="N1 IFT Car"/>
    <w:basedOn w:val="Fuentedeprrafopredeter"/>
    <w:link w:val="N1IFT"/>
    <w:locked/>
    <w:rsid w:val="001A5E47"/>
    <w:rPr>
      <w:rFonts w:ascii="ITC Avant Garde" w:eastAsia="Calibri" w:hAnsi="ITC Avant Garde" w:cs="Arial"/>
      <w:b/>
      <w:color w:val="000000"/>
      <w:lang w:val="es-ES" w:eastAsia="es-ES"/>
    </w:rPr>
  </w:style>
  <w:style w:type="numbering" w:customStyle="1" w:styleId="Sinlista6">
    <w:name w:val="Sin lista6"/>
    <w:next w:val="Sinlista"/>
    <w:uiPriority w:val="99"/>
    <w:semiHidden/>
    <w:unhideWhenUsed/>
    <w:rsid w:val="001800EC"/>
  </w:style>
  <w:style w:type="numbering" w:customStyle="1" w:styleId="Sinlista12">
    <w:name w:val="Sin lista12"/>
    <w:next w:val="Sinlista"/>
    <w:semiHidden/>
    <w:unhideWhenUsed/>
    <w:rsid w:val="001800EC"/>
  </w:style>
  <w:style w:type="table" w:customStyle="1" w:styleId="Tablaconcuadrcula2">
    <w:name w:val="Tabla con cuadrícula2"/>
    <w:basedOn w:val="Tablanormal"/>
    <w:next w:val="Tablaconcuadrcula"/>
    <w:uiPriority w:val="59"/>
    <w:rsid w:val="001800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
    <w:name w:val="1 / a / i2"/>
    <w:basedOn w:val="Sinlista"/>
    <w:next w:val="1ai"/>
    <w:uiPriority w:val="99"/>
    <w:unhideWhenUsed/>
    <w:rsid w:val="001800EC"/>
    <w:pPr>
      <w:numPr>
        <w:numId w:val="10"/>
      </w:numPr>
    </w:pPr>
  </w:style>
  <w:style w:type="numbering" w:customStyle="1" w:styleId="Sinlista112">
    <w:name w:val="Sin lista112"/>
    <w:next w:val="Sinlista"/>
    <w:semiHidden/>
    <w:unhideWhenUsed/>
    <w:rsid w:val="001800EC"/>
  </w:style>
  <w:style w:type="numbering" w:customStyle="1" w:styleId="Sinlista22">
    <w:name w:val="Sin lista22"/>
    <w:next w:val="Sinlista"/>
    <w:semiHidden/>
    <w:rsid w:val="001800EC"/>
  </w:style>
  <w:style w:type="numbering" w:customStyle="1" w:styleId="Sinlista32">
    <w:name w:val="Sin lista32"/>
    <w:next w:val="Sinlista"/>
    <w:uiPriority w:val="99"/>
    <w:semiHidden/>
    <w:unhideWhenUsed/>
    <w:rsid w:val="001800EC"/>
  </w:style>
  <w:style w:type="numbering" w:customStyle="1" w:styleId="Sinlista42">
    <w:name w:val="Sin lista42"/>
    <w:next w:val="Sinlista"/>
    <w:semiHidden/>
    <w:unhideWhenUsed/>
    <w:rsid w:val="001800EC"/>
  </w:style>
  <w:style w:type="numbering" w:customStyle="1" w:styleId="1ai11">
    <w:name w:val="1 / a / i11"/>
    <w:basedOn w:val="Sinlista"/>
    <w:next w:val="1ai"/>
    <w:uiPriority w:val="99"/>
    <w:unhideWhenUsed/>
    <w:rsid w:val="001800EC"/>
    <w:pPr>
      <w:numPr>
        <w:numId w:val="7"/>
      </w:numPr>
    </w:pPr>
  </w:style>
  <w:style w:type="numbering" w:customStyle="1" w:styleId="Sinlista51">
    <w:name w:val="Sin lista51"/>
    <w:next w:val="Sinlista"/>
    <w:semiHidden/>
    <w:rsid w:val="001800EC"/>
  </w:style>
  <w:style w:type="numbering" w:customStyle="1" w:styleId="Sinlista1111">
    <w:name w:val="Sin lista1111"/>
    <w:next w:val="Sinlista"/>
    <w:semiHidden/>
    <w:unhideWhenUsed/>
    <w:rsid w:val="001800EC"/>
  </w:style>
  <w:style w:type="numbering" w:customStyle="1" w:styleId="Sinlista211">
    <w:name w:val="Sin lista211"/>
    <w:next w:val="Sinlista"/>
    <w:semiHidden/>
    <w:rsid w:val="001800EC"/>
  </w:style>
  <w:style w:type="numbering" w:customStyle="1" w:styleId="Sinlista311">
    <w:name w:val="Sin lista311"/>
    <w:next w:val="Sinlista"/>
    <w:uiPriority w:val="99"/>
    <w:semiHidden/>
    <w:unhideWhenUsed/>
    <w:rsid w:val="001800EC"/>
  </w:style>
  <w:style w:type="numbering" w:customStyle="1" w:styleId="Sinlista411">
    <w:name w:val="Sin lista411"/>
    <w:next w:val="Sinlista"/>
    <w:uiPriority w:val="99"/>
    <w:semiHidden/>
    <w:unhideWhenUsed/>
    <w:rsid w:val="001800EC"/>
  </w:style>
  <w:style w:type="table" w:customStyle="1" w:styleId="Listavistosa-nfasis12">
    <w:name w:val="Lista vistosa - Énfasis 12"/>
    <w:basedOn w:val="Tablanormal"/>
    <w:next w:val="Listavistosa-nfasis1"/>
    <w:uiPriority w:val="34"/>
    <w:semiHidden/>
    <w:unhideWhenUsed/>
    <w:rsid w:val="001800EC"/>
    <w:pPr>
      <w:spacing w:after="0" w:line="240" w:lineRule="auto"/>
    </w:pPr>
    <w:rPr>
      <w:rFonts w:ascii="Calibri" w:eastAsia="Calibri" w:hAnsi="Calibri"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ListParagraphChar">
    <w:name w:val="List Paragraph Char"/>
    <w:link w:val="Prrafodelista1"/>
    <w:locked/>
    <w:rsid w:val="002F3C79"/>
    <w:rPr>
      <w:rFonts w:ascii="Times New Roman" w:eastAsia="Times New Roman" w:hAnsi="Times New Roman" w:cs="Times New Roman"/>
      <w:sz w:val="24"/>
      <w:szCs w:val="24"/>
      <w:lang w:val="es-ES" w:eastAsia="es-ES"/>
    </w:rPr>
  </w:style>
  <w:style w:type="paragraph" w:customStyle="1" w:styleId="Medidas">
    <w:name w:val="Medidas"/>
    <w:basedOn w:val="Normal"/>
    <w:link w:val="MedidasCar"/>
    <w:uiPriority w:val="99"/>
    <w:rsid w:val="002F3C79"/>
    <w:pPr>
      <w:spacing w:after="0"/>
      <w:ind w:left="567" w:right="567"/>
      <w:contextualSpacing/>
      <w:jc w:val="both"/>
    </w:pPr>
    <w:rPr>
      <w:rFonts w:ascii="ITC Avant Garde" w:eastAsia="Times New Roman" w:hAnsi="ITC Avant Garde" w:cs="Arial"/>
      <w:bCs/>
      <w:i/>
      <w:color w:val="000000"/>
      <w:sz w:val="18"/>
      <w:lang w:val="en-GB" w:eastAsia="es-ES"/>
    </w:rPr>
  </w:style>
  <w:style w:type="character" w:customStyle="1" w:styleId="MedidasCar">
    <w:name w:val="Medidas Car"/>
    <w:basedOn w:val="Fuentedeprrafopredeter"/>
    <w:link w:val="Medidas"/>
    <w:uiPriority w:val="99"/>
    <w:locked/>
    <w:rsid w:val="002F3C79"/>
    <w:rPr>
      <w:rFonts w:ascii="ITC Avant Garde" w:eastAsia="Times New Roman" w:hAnsi="ITC Avant Garde" w:cs="Arial"/>
      <w:bCs/>
      <w:i/>
      <w:color w:val="000000"/>
      <w:sz w:val="18"/>
      <w:lang w:val="en-GB" w:eastAsia="es-ES"/>
    </w:rPr>
  </w:style>
  <w:style w:type="paragraph" w:customStyle="1" w:styleId="Level2">
    <w:name w:val="Level 2"/>
    <w:basedOn w:val="Normal"/>
    <w:rsid w:val="002F3C79"/>
    <w:pPr>
      <w:widowControl w:val="0"/>
      <w:spacing w:after="0" w:line="240" w:lineRule="auto"/>
      <w:ind w:left="1440" w:hanging="720"/>
    </w:pPr>
    <w:rPr>
      <w:rFonts w:ascii="Courier New" w:eastAsia="Times New Roman" w:hAnsi="Courier New"/>
      <w:sz w:val="24"/>
      <w:szCs w:val="20"/>
      <w:lang w:val="en-US" w:eastAsia="es-ES"/>
    </w:rPr>
  </w:style>
  <w:style w:type="paragraph" w:customStyle="1" w:styleId="Prrafodelista2">
    <w:name w:val="Párrafo de lista2"/>
    <w:basedOn w:val="Normal"/>
    <w:rsid w:val="002F3C79"/>
    <w:pPr>
      <w:spacing w:after="0" w:line="240" w:lineRule="auto"/>
      <w:ind w:left="720"/>
      <w:contextualSpacing/>
    </w:pPr>
    <w:rPr>
      <w:rFonts w:ascii="Times New Roman" w:eastAsia="Times New Roman" w:hAnsi="Times New Roman"/>
      <w:sz w:val="24"/>
      <w:szCs w:val="24"/>
      <w:lang w:eastAsia="es-MX"/>
    </w:rPr>
  </w:style>
  <w:style w:type="paragraph" w:customStyle="1" w:styleId="Estilo">
    <w:name w:val="Estilo"/>
    <w:rsid w:val="002F3C79"/>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p1">
    <w:name w:val="p1"/>
    <w:basedOn w:val="Normal"/>
    <w:rsid w:val="002F3C79"/>
    <w:pPr>
      <w:spacing w:after="0" w:line="240" w:lineRule="auto"/>
    </w:pPr>
    <w:rPr>
      <w:rFonts w:ascii="Helvetica" w:hAnsi="Helvetica"/>
      <w:color w:val="0F0F0F"/>
      <w:sz w:val="18"/>
      <w:szCs w:val="18"/>
      <w:lang w:val="es-ES_tradnl" w:eastAsia="es-ES_tradnl"/>
    </w:rPr>
  </w:style>
  <w:style w:type="paragraph" w:customStyle="1" w:styleId="p2">
    <w:name w:val="p2"/>
    <w:basedOn w:val="Normal"/>
    <w:rsid w:val="002F3C79"/>
    <w:pPr>
      <w:spacing w:after="0" w:line="240" w:lineRule="auto"/>
    </w:pPr>
    <w:rPr>
      <w:rFonts w:ascii="Helvetica" w:hAnsi="Helvetica"/>
      <w:color w:val="0F0F0F"/>
      <w:sz w:val="21"/>
      <w:szCs w:val="21"/>
      <w:lang w:val="es-ES_tradnl" w:eastAsia="es-ES_tradnl"/>
    </w:rPr>
  </w:style>
  <w:style w:type="paragraph" w:customStyle="1" w:styleId="p3">
    <w:name w:val="p3"/>
    <w:basedOn w:val="Normal"/>
    <w:rsid w:val="002F3C79"/>
    <w:pPr>
      <w:spacing w:after="0" w:line="240" w:lineRule="auto"/>
    </w:pPr>
    <w:rPr>
      <w:rFonts w:ascii="Helvetica" w:hAnsi="Helvetica"/>
      <w:color w:val="0F0F0F"/>
      <w:sz w:val="20"/>
      <w:szCs w:val="20"/>
      <w:lang w:val="es-ES_tradnl" w:eastAsia="es-ES_tradnl"/>
    </w:rPr>
  </w:style>
  <w:style w:type="paragraph" w:customStyle="1" w:styleId="p4">
    <w:name w:val="p4"/>
    <w:basedOn w:val="Normal"/>
    <w:rsid w:val="002F3C79"/>
    <w:pPr>
      <w:spacing w:after="0" w:line="240" w:lineRule="auto"/>
    </w:pPr>
    <w:rPr>
      <w:rFonts w:ascii="Helvetica" w:hAnsi="Helvetica"/>
      <w:color w:val="0F0F0F"/>
      <w:sz w:val="17"/>
      <w:szCs w:val="17"/>
      <w:lang w:val="es-ES_tradnl" w:eastAsia="es-ES_tradnl"/>
    </w:rPr>
  </w:style>
  <w:style w:type="character" w:customStyle="1" w:styleId="s1">
    <w:name w:val="s1"/>
    <w:basedOn w:val="Fuentedeprrafopredeter"/>
    <w:rsid w:val="002F3C79"/>
    <w:rPr>
      <w:rFonts w:ascii="Helvetica" w:hAnsi="Helvetica" w:hint="default"/>
      <w:sz w:val="15"/>
      <w:szCs w:val="15"/>
    </w:rPr>
  </w:style>
  <w:style w:type="character" w:customStyle="1" w:styleId="s2">
    <w:name w:val="s2"/>
    <w:basedOn w:val="Fuentedeprrafopredeter"/>
    <w:rsid w:val="002F3C79"/>
    <w:rPr>
      <w:rFonts w:ascii="Helvetica" w:hAnsi="Helvetica" w:hint="default"/>
      <w:sz w:val="17"/>
      <w:szCs w:val="17"/>
    </w:rPr>
  </w:style>
  <w:style w:type="character" w:customStyle="1" w:styleId="s3">
    <w:name w:val="s3"/>
    <w:basedOn w:val="Fuentedeprrafopredeter"/>
    <w:rsid w:val="002F3C79"/>
    <w:rPr>
      <w:rFonts w:ascii="Helvetica" w:hAnsi="Helvetica" w:hint="default"/>
      <w:sz w:val="27"/>
      <w:szCs w:val="27"/>
    </w:rPr>
  </w:style>
  <w:style w:type="character" w:customStyle="1" w:styleId="s4">
    <w:name w:val="s4"/>
    <w:basedOn w:val="Fuentedeprrafopredeter"/>
    <w:rsid w:val="002F3C79"/>
    <w:rPr>
      <w:rFonts w:ascii="Helvetica" w:hAnsi="Helvetica" w:hint="default"/>
      <w:sz w:val="23"/>
      <w:szCs w:val="23"/>
    </w:rPr>
  </w:style>
  <w:style w:type="character" w:customStyle="1" w:styleId="s5">
    <w:name w:val="s5"/>
    <w:basedOn w:val="Fuentedeprrafopredeter"/>
    <w:rsid w:val="002F3C79"/>
    <w:rPr>
      <w:rFonts w:ascii="Helvetica" w:hAnsi="Helvetica" w:hint="default"/>
      <w:sz w:val="18"/>
      <w:szCs w:val="18"/>
    </w:rPr>
  </w:style>
  <w:style w:type="character" w:customStyle="1" w:styleId="s6">
    <w:name w:val="s6"/>
    <w:basedOn w:val="Fuentedeprrafopredeter"/>
    <w:rsid w:val="002F3C79"/>
    <w:rPr>
      <w:rFonts w:ascii="Helvetica" w:hAnsi="Helvetica" w:hint="default"/>
      <w:sz w:val="26"/>
      <w:szCs w:val="26"/>
    </w:rPr>
  </w:style>
  <w:style w:type="character" w:customStyle="1" w:styleId="s7">
    <w:name w:val="s7"/>
    <w:basedOn w:val="Fuentedeprrafopredeter"/>
    <w:rsid w:val="002F3C79"/>
    <w:rPr>
      <w:rFonts w:ascii="Helvetica" w:hAnsi="Helvetica" w:hint="default"/>
      <w:sz w:val="20"/>
      <w:szCs w:val="20"/>
    </w:rPr>
  </w:style>
  <w:style w:type="character" w:customStyle="1" w:styleId="s8">
    <w:name w:val="s8"/>
    <w:basedOn w:val="Fuentedeprrafopredeter"/>
    <w:rsid w:val="002F3C79"/>
    <w:rPr>
      <w:rFonts w:ascii="Helvetica" w:hAnsi="Helvetica" w:hint="default"/>
      <w:sz w:val="20"/>
      <w:szCs w:val="20"/>
    </w:rPr>
  </w:style>
  <w:style w:type="character" w:customStyle="1" w:styleId="s9">
    <w:name w:val="s9"/>
    <w:basedOn w:val="Fuentedeprrafopredeter"/>
    <w:rsid w:val="002F3C79"/>
    <w:rPr>
      <w:rFonts w:ascii="Helvetica" w:hAnsi="Helvetica" w:hint="default"/>
      <w:sz w:val="19"/>
      <w:szCs w:val="19"/>
    </w:rPr>
  </w:style>
  <w:style w:type="character" w:customStyle="1" w:styleId="s10">
    <w:name w:val="s10"/>
    <w:basedOn w:val="Fuentedeprrafopredeter"/>
    <w:rsid w:val="002F3C79"/>
    <w:rPr>
      <w:rFonts w:ascii="Helvetica" w:hAnsi="Helvetica" w:hint="default"/>
      <w:sz w:val="23"/>
      <w:szCs w:val="23"/>
    </w:rPr>
  </w:style>
  <w:style w:type="character" w:customStyle="1" w:styleId="s11">
    <w:name w:val="s11"/>
    <w:basedOn w:val="Fuentedeprrafopredeter"/>
    <w:rsid w:val="002F3C79"/>
    <w:rPr>
      <w:rFonts w:ascii="Helvetica" w:hAnsi="Helvetica" w:hint="default"/>
      <w:sz w:val="21"/>
      <w:szCs w:val="21"/>
    </w:rPr>
  </w:style>
  <w:style w:type="character" w:customStyle="1" w:styleId="s12">
    <w:name w:val="s12"/>
    <w:basedOn w:val="Fuentedeprrafopredeter"/>
    <w:rsid w:val="002F3C79"/>
    <w:rPr>
      <w:rFonts w:ascii="Helvetica" w:hAnsi="Helvetica" w:hint="default"/>
      <w:sz w:val="14"/>
      <w:szCs w:val="14"/>
    </w:rPr>
  </w:style>
  <w:style w:type="character" w:customStyle="1" w:styleId="s13">
    <w:name w:val="s13"/>
    <w:basedOn w:val="Fuentedeprrafopredeter"/>
    <w:rsid w:val="002F3C79"/>
    <w:rPr>
      <w:rFonts w:ascii="Helvetica" w:hAnsi="Helvetica" w:hint="default"/>
      <w:sz w:val="23"/>
      <w:szCs w:val="23"/>
    </w:rPr>
  </w:style>
  <w:style w:type="character" w:customStyle="1" w:styleId="s14">
    <w:name w:val="s14"/>
    <w:basedOn w:val="Fuentedeprrafopredeter"/>
    <w:rsid w:val="002F3C79"/>
    <w:rPr>
      <w:rFonts w:ascii="Helvetica" w:hAnsi="Helvetica" w:hint="default"/>
      <w:sz w:val="23"/>
      <w:szCs w:val="23"/>
    </w:rPr>
  </w:style>
  <w:style w:type="character" w:customStyle="1" w:styleId="s15">
    <w:name w:val="s15"/>
    <w:basedOn w:val="Fuentedeprrafopredeter"/>
    <w:rsid w:val="002F3C79"/>
    <w:rPr>
      <w:rFonts w:ascii="Helvetica" w:hAnsi="Helvetica" w:hint="default"/>
      <w:sz w:val="25"/>
      <w:szCs w:val="25"/>
    </w:rPr>
  </w:style>
  <w:style w:type="character" w:customStyle="1" w:styleId="s16">
    <w:name w:val="s16"/>
    <w:basedOn w:val="Fuentedeprrafopredeter"/>
    <w:rsid w:val="002F3C79"/>
    <w:rPr>
      <w:rFonts w:ascii="Helvetica" w:hAnsi="Helvetica" w:hint="default"/>
      <w:sz w:val="27"/>
      <w:szCs w:val="27"/>
    </w:rPr>
  </w:style>
  <w:style w:type="character" w:customStyle="1" w:styleId="apple-tab-span">
    <w:name w:val="apple-tab-span"/>
    <w:basedOn w:val="Fuentedeprrafopredeter"/>
    <w:rsid w:val="002F3C79"/>
  </w:style>
  <w:style w:type="table" w:customStyle="1" w:styleId="Sombreadomedio2-nfasis12">
    <w:name w:val="Sombreado medio 2 - Énfasis 12"/>
    <w:basedOn w:val="Tablanormal"/>
    <w:next w:val="Sombreadomedio2-nfasis1"/>
    <w:uiPriority w:val="64"/>
    <w:unhideWhenUsed/>
    <w:rsid w:val="0071257E"/>
    <w:pPr>
      <w:spacing w:after="0" w:line="240" w:lineRule="auto"/>
    </w:pPr>
    <w:rPr>
      <w:rFonts w:ascii="Franklin Gothic Book" w:hAnsi="Franklin Gothic Book"/>
      <w:sz w:val="20"/>
      <w:lang w:val="en-GB"/>
    </w:rPr>
    <w:tblPr>
      <w:tblStyleRowBandSize w:val="1"/>
      <w:tblStyleColBandSize w:val="1"/>
    </w:tblPr>
    <w:tcPr>
      <w:shd w:val="clear" w:color="auto" w:fill="D9D9D9"/>
    </w:tcPr>
    <w:tblStylePr w:type="firstRow">
      <w:pPr>
        <w:spacing w:before="0" w:after="0" w:line="240" w:lineRule="auto"/>
      </w:pPr>
      <w:rPr>
        <w:b/>
        <w:bCs/>
        <w:color w:val="FFFFFF"/>
      </w:rPr>
      <w:tblPr/>
      <w:tcPr>
        <w:tcBorders>
          <w:top w:val="nil"/>
          <w:left w:val="nil"/>
          <w:bottom w:val="single" w:sz="18" w:space="0" w:color="FFFFFF"/>
          <w:right w:val="nil"/>
          <w:insideH w:val="nil"/>
          <w:insideV w:val="single" w:sz="8" w:space="0" w:color="FFFFFF"/>
          <w:tl2br w:val="nil"/>
          <w:tr2bl w:val="nil"/>
        </w:tcBorders>
        <w:shd w:val="clear" w:color="auto" w:fill="0F51B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band2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111">
    <w:name w:val="Sombreado medio 2 - Énfasis 111"/>
    <w:basedOn w:val="Tablanormal"/>
    <w:uiPriority w:val="64"/>
    <w:rsid w:val="00F81887"/>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normal31">
    <w:name w:val="Tabla normal 31"/>
    <w:basedOn w:val="Tablanormal"/>
    <w:uiPriority w:val="43"/>
    <w:rsid w:val="00F81887"/>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omentarios">
    <w:name w:val="comentarios"/>
    <w:basedOn w:val="IFTnormal"/>
    <w:link w:val="comentariosCar"/>
    <w:qFormat/>
    <w:rsid w:val="00F81887"/>
    <w:pPr>
      <w:ind w:left="0"/>
    </w:pPr>
    <w:rPr>
      <w:sz w:val="18"/>
    </w:rPr>
  </w:style>
  <w:style w:type="character" w:customStyle="1" w:styleId="comentariosCar">
    <w:name w:val="comentarios Car"/>
    <w:basedOn w:val="IFTnormalCar"/>
    <w:link w:val="comentarios"/>
    <w:rsid w:val="00F81887"/>
    <w:rPr>
      <w:rFonts w:ascii="ITC Avant Garde" w:eastAsia="Times New Roman" w:hAnsi="ITC Avant Garde" w:cs="Times New Roman"/>
      <w:iCs/>
      <w:sz w:val="18"/>
      <w:lang w:val="es-ES" w:eastAsia="es-MX"/>
    </w:rPr>
  </w:style>
  <w:style w:type="numbering" w:customStyle="1" w:styleId="1ai21">
    <w:name w:val="1 / a / i21"/>
    <w:basedOn w:val="Sinlista"/>
    <w:next w:val="1ai"/>
    <w:uiPriority w:val="99"/>
    <w:unhideWhenUsed/>
    <w:rsid w:val="003F16A5"/>
  </w:style>
  <w:style w:type="numbering" w:customStyle="1" w:styleId="1ai111">
    <w:name w:val="1 / a / i111"/>
    <w:basedOn w:val="Sinlista"/>
    <w:next w:val="1ai"/>
    <w:uiPriority w:val="99"/>
    <w:unhideWhenUsed/>
    <w:rsid w:val="003F16A5"/>
  </w:style>
  <w:style w:type="paragraph" w:customStyle="1" w:styleId="Fuente">
    <w:name w:val="Fuente"/>
    <w:basedOn w:val="Prrafodelista"/>
    <w:link w:val="FuenteChar"/>
    <w:qFormat/>
    <w:rsid w:val="00244294"/>
    <w:pPr>
      <w:spacing w:after="200" w:line="276" w:lineRule="auto"/>
      <w:ind w:left="851"/>
      <w:contextualSpacing/>
    </w:pPr>
    <w:rPr>
      <w:rFonts w:asciiTheme="minorHAnsi" w:eastAsiaTheme="minorEastAsia" w:hAnsiTheme="minorHAnsi" w:cstheme="minorBidi"/>
      <w:sz w:val="16"/>
      <w:szCs w:val="16"/>
      <w:lang w:eastAsia="en-US" w:bidi="en-US"/>
    </w:rPr>
  </w:style>
  <w:style w:type="character" w:customStyle="1" w:styleId="FuenteChar">
    <w:name w:val="Fuente Char"/>
    <w:basedOn w:val="Fuentedeprrafopredeter"/>
    <w:link w:val="Fuente"/>
    <w:rsid w:val="00244294"/>
    <w:rPr>
      <w:rFonts w:eastAsiaTheme="minorEastAsia"/>
      <w:sz w:val="16"/>
      <w:szCs w:val="16"/>
      <w:lang w:bidi="en-US"/>
    </w:rPr>
  </w:style>
  <w:style w:type="table" w:styleId="Tabladecuadrcula4">
    <w:name w:val="Grid Table 4"/>
    <w:basedOn w:val="Tablanormal"/>
    <w:uiPriority w:val="49"/>
    <w:rsid w:val="0024429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
    <w:name w:val="Grid Table 5 Dark"/>
    <w:basedOn w:val="Tablanormal"/>
    <w:uiPriority w:val="50"/>
    <w:rsid w:val="002442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lista3">
    <w:name w:val="List Table 3"/>
    <w:basedOn w:val="Tablanormal"/>
    <w:uiPriority w:val="48"/>
    <w:rsid w:val="0024429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67809">
      <w:bodyDiv w:val="1"/>
      <w:marLeft w:val="0"/>
      <w:marRight w:val="0"/>
      <w:marTop w:val="0"/>
      <w:marBottom w:val="0"/>
      <w:divBdr>
        <w:top w:val="none" w:sz="0" w:space="0" w:color="auto"/>
        <w:left w:val="none" w:sz="0" w:space="0" w:color="auto"/>
        <w:bottom w:val="none" w:sz="0" w:space="0" w:color="auto"/>
        <w:right w:val="none" w:sz="0" w:space="0" w:color="auto"/>
      </w:divBdr>
    </w:div>
    <w:div w:id="101189176">
      <w:bodyDiv w:val="1"/>
      <w:marLeft w:val="0"/>
      <w:marRight w:val="0"/>
      <w:marTop w:val="0"/>
      <w:marBottom w:val="0"/>
      <w:divBdr>
        <w:top w:val="none" w:sz="0" w:space="0" w:color="auto"/>
        <w:left w:val="none" w:sz="0" w:space="0" w:color="auto"/>
        <w:bottom w:val="none" w:sz="0" w:space="0" w:color="auto"/>
        <w:right w:val="none" w:sz="0" w:space="0" w:color="auto"/>
      </w:divBdr>
      <w:divsChild>
        <w:div w:id="750199937">
          <w:marLeft w:val="0"/>
          <w:marRight w:val="0"/>
          <w:marTop w:val="0"/>
          <w:marBottom w:val="0"/>
          <w:divBdr>
            <w:top w:val="none" w:sz="0" w:space="0" w:color="auto"/>
            <w:left w:val="none" w:sz="0" w:space="0" w:color="auto"/>
            <w:bottom w:val="none" w:sz="0" w:space="0" w:color="auto"/>
            <w:right w:val="none" w:sz="0" w:space="0" w:color="auto"/>
          </w:divBdr>
        </w:div>
        <w:div w:id="1867907214">
          <w:marLeft w:val="0"/>
          <w:marRight w:val="0"/>
          <w:marTop w:val="0"/>
          <w:marBottom w:val="0"/>
          <w:divBdr>
            <w:top w:val="none" w:sz="0" w:space="0" w:color="auto"/>
            <w:left w:val="none" w:sz="0" w:space="0" w:color="auto"/>
            <w:bottom w:val="none" w:sz="0" w:space="0" w:color="auto"/>
            <w:right w:val="none" w:sz="0" w:space="0" w:color="auto"/>
          </w:divBdr>
        </w:div>
      </w:divsChild>
    </w:div>
    <w:div w:id="152919788">
      <w:bodyDiv w:val="1"/>
      <w:marLeft w:val="0"/>
      <w:marRight w:val="0"/>
      <w:marTop w:val="0"/>
      <w:marBottom w:val="0"/>
      <w:divBdr>
        <w:top w:val="none" w:sz="0" w:space="0" w:color="auto"/>
        <w:left w:val="none" w:sz="0" w:space="0" w:color="auto"/>
        <w:bottom w:val="none" w:sz="0" w:space="0" w:color="auto"/>
        <w:right w:val="none" w:sz="0" w:space="0" w:color="auto"/>
      </w:divBdr>
    </w:div>
    <w:div w:id="174810921">
      <w:bodyDiv w:val="1"/>
      <w:marLeft w:val="0"/>
      <w:marRight w:val="0"/>
      <w:marTop w:val="0"/>
      <w:marBottom w:val="0"/>
      <w:divBdr>
        <w:top w:val="none" w:sz="0" w:space="0" w:color="auto"/>
        <w:left w:val="none" w:sz="0" w:space="0" w:color="auto"/>
        <w:bottom w:val="none" w:sz="0" w:space="0" w:color="auto"/>
        <w:right w:val="none" w:sz="0" w:space="0" w:color="auto"/>
      </w:divBdr>
    </w:div>
    <w:div w:id="419836094">
      <w:bodyDiv w:val="1"/>
      <w:marLeft w:val="0"/>
      <w:marRight w:val="0"/>
      <w:marTop w:val="0"/>
      <w:marBottom w:val="0"/>
      <w:divBdr>
        <w:top w:val="none" w:sz="0" w:space="0" w:color="auto"/>
        <w:left w:val="none" w:sz="0" w:space="0" w:color="auto"/>
        <w:bottom w:val="none" w:sz="0" w:space="0" w:color="auto"/>
        <w:right w:val="none" w:sz="0" w:space="0" w:color="auto"/>
      </w:divBdr>
      <w:divsChild>
        <w:div w:id="1032262773">
          <w:marLeft w:val="0"/>
          <w:marRight w:val="0"/>
          <w:marTop w:val="0"/>
          <w:marBottom w:val="101"/>
          <w:divBdr>
            <w:top w:val="none" w:sz="0" w:space="0" w:color="auto"/>
            <w:left w:val="none" w:sz="0" w:space="0" w:color="auto"/>
            <w:bottom w:val="none" w:sz="0" w:space="0" w:color="auto"/>
            <w:right w:val="none" w:sz="0" w:space="0" w:color="auto"/>
          </w:divBdr>
        </w:div>
        <w:div w:id="1328048397">
          <w:marLeft w:val="0"/>
          <w:marRight w:val="0"/>
          <w:marTop w:val="0"/>
          <w:marBottom w:val="101"/>
          <w:divBdr>
            <w:top w:val="none" w:sz="0" w:space="0" w:color="auto"/>
            <w:left w:val="none" w:sz="0" w:space="0" w:color="auto"/>
            <w:bottom w:val="none" w:sz="0" w:space="0" w:color="auto"/>
            <w:right w:val="none" w:sz="0" w:space="0" w:color="auto"/>
          </w:divBdr>
        </w:div>
        <w:div w:id="867137814">
          <w:marLeft w:val="0"/>
          <w:marRight w:val="0"/>
          <w:marTop w:val="0"/>
          <w:marBottom w:val="101"/>
          <w:divBdr>
            <w:top w:val="none" w:sz="0" w:space="0" w:color="auto"/>
            <w:left w:val="none" w:sz="0" w:space="0" w:color="auto"/>
            <w:bottom w:val="none" w:sz="0" w:space="0" w:color="auto"/>
            <w:right w:val="none" w:sz="0" w:space="0" w:color="auto"/>
          </w:divBdr>
        </w:div>
        <w:div w:id="1547717195">
          <w:marLeft w:val="0"/>
          <w:marRight w:val="0"/>
          <w:marTop w:val="0"/>
          <w:marBottom w:val="101"/>
          <w:divBdr>
            <w:top w:val="none" w:sz="0" w:space="0" w:color="auto"/>
            <w:left w:val="none" w:sz="0" w:space="0" w:color="auto"/>
            <w:bottom w:val="none" w:sz="0" w:space="0" w:color="auto"/>
            <w:right w:val="none" w:sz="0" w:space="0" w:color="auto"/>
          </w:divBdr>
        </w:div>
        <w:div w:id="837354944">
          <w:marLeft w:val="0"/>
          <w:marRight w:val="0"/>
          <w:marTop w:val="0"/>
          <w:marBottom w:val="101"/>
          <w:divBdr>
            <w:top w:val="none" w:sz="0" w:space="0" w:color="auto"/>
            <w:left w:val="none" w:sz="0" w:space="0" w:color="auto"/>
            <w:bottom w:val="none" w:sz="0" w:space="0" w:color="auto"/>
            <w:right w:val="none" w:sz="0" w:space="0" w:color="auto"/>
          </w:divBdr>
        </w:div>
        <w:div w:id="290328090">
          <w:marLeft w:val="0"/>
          <w:marRight w:val="0"/>
          <w:marTop w:val="0"/>
          <w:marBottom w:val="101"/>
          <w:divBdr>
            <w:top w:val="none" w:sz="0" w:space="0" w:color="auto"/>
            <w:left w:val="none" w:sz="0" w:space="0" w:color="auto"/>
            <w:bottom w:val="none" w:sz="0" w:space="0" w:color="auto"/>
            <w:right w:val="none" w:sz="0" w:space="0" w:color="auto"/>
          </w:divBdr>
        </w:div>
      </w:divsChild>
    </w:div>
    <w:div w:id="597326153">
      <w:bodyDiv w:val="1"/>
      <w:marLeft w:val="0"/>
      <w:marRight w:val="0"/>
      <w:marTop w:val="0"/>
      <w:marBottom w:val="0"/>
      <w:divBdr>
        <w:top w:val="none" w:sz="0" w:space="0" w:color="auto"/>
        <w:left w:val="none" w:sz="0" w:space="0" w:color="auto"/>
        <w:bottom w:val="none" w:sz="0" w:space="0" w:color="auto"/>
        <w:right w:val="none" w:sz="0" w:space="0" w:color="auto"/>
      </w:divBdr>
    </w:div>
    <w:div w:id="668678000">
      <w:bodyDiv w:val="1"/>
      <w:marLeft w:val="0"/>
      <w:marRight w:val="0"/>
      <w:marTop w:val="0"/>
      <w:marBottom w:val="0"/>
      <w:divBdr>
        <w:top w:val="none" w:sz="0" w:space="0" w:color="auto"/>
        <w:left w:val="none" w:sz="0" w:space="0" w:color="auto"/>
        <w:bottom w:val="none" w:sz="0" w:space="0" w:color="auto"/>
        <w:right w:val="none" w:sz="0" w:space="0" w:color="auto"/>
      </w:divBdr>
      <w:divsChild>
        <w:div w:id="1561866713">
          <w:marLeft w:val="274"/>
          <w:marRight w:val="0"/>
          <w:marTop w:val="0"/>
          <w:marBottom w:val="120"/>
          <w:divBdr>
            <w:top w:val="none" w:sz="0" w:space="0" w:color="auto"/>
            <w:left w:val="none" w:sz="0" w:space="0" w:color="auto"/>
            <w:bottom w:val="none" w:sz="0" w:space="0" w:color="auto"/>
            <w:right w:val="none" w:sz="0" w:space="0" w:color="auto"/>
          </w:divBdr>
        </w:div>
        <w:div w:id="1876847261">
          <w:marLeft w:val="562"/>
          <w:marRight w:val="0"/>
          <w:marTop w:val="0"/>
          <w:marBottom w:val="120"/>
          <w:divBdr>
            <w:top w:val="none" w:sz="0" w:space="0" w:color="auto"/>
            <w:left w:val="none" w:sz="0" w:space="0" w:color="auto"/>
            <w:bottom w:val="none" w:sz="0" w:space="0" w:color="auto"/>
            <w:right w:val="none" w:sz="0" w:space="0" w:color="auto"/>
          </w:divBdr>
        </w:div>
        <w:div w:id="770973996">
          <w:marLeft w:val="274"/>
          <w:marRight w:val="0"/>
          <w:marTop w:val="0"/>
          <w:marBottom w:val="120"/>
          <w:divBdr>
            <w:top w:val="none" w:sz="0" w:space="0" w:color="auto"/>
            <w:left w:val="none" w:sz="0" w:space="0" w:color="auto"/>
            <w:bottom w:val="none" w:sz="0" w:space="0" w:color="auto"/>
            <w:right w:val="none" w:sz="0" w:space="0" w:color="auto"/>
          </w:divBdr>
        </w:div>
        <w:div w:id="2070223740">
          <w:marLeft w:val="562"/>
          <w:marRight w:val="0"/>
          <w:marTop w:val="0"/>
          <w:marBottom w:val="120"/>
          <w:divBdr>
            <w:top w:val="none" w:sz="0" w:space="0" w:color="auto"/>
            <w:left w:val="none" w:sz="0" w:space="0" w:color="auto"/>
            <w:bottom w:val="none" w:sz="0" w:space="0" w:color="auto"/>
            <w:right w:val="none" w:sz="0" w:space="0" w:color="auto"/>
          </w:divBdr>
        </w:div>
        <w:div w:id="1926069302">
          <w:marLeft w:val="274"/>
          <w:marRight w:val="0"/>
          <w:marTop w:val="0"/>
          <w:marBottom w:val="120"/>
          <w:divBdr>
            <w:top w:val="none" w:sz="0" w:space="0" w:color="auto"/>
            <w:left w:val="none" w:sz="0" w:space="0" w:color="auto"/>
            <w:bottom w:val="none" w:sz="0" w:space="0" w:color="auto"/>
            <w:right w:val="none" w:sz="0" w:space="0" w:color="auto"/>
          </w:divBdr>
        </w:div>
        <w:div w:id="40834450">
          <w:marLeft w:val="562"/>
          <w:marRight w:val="0"/>
          <w:marTop w:val="0"/>
          <w:marBottom w:val="120"/>
          <w:divBdr>
            <w:top w:val="none" w:sz="0" w:space="0" w:color="auto"/>
            <w:left w:val="none" w:sz="0" w:space="0" w:color="auto"/>
            <w:bottom w:val="none" w:sz="0" w:space="0" w:color="auto"/>
            <w:right w:val="none" w:sz="0" w:space="0" w:color="auto"/>
          </w:divBdr>
        </w:div>
        <w:div w:id="1857380839">
          <w:marLeft w:val="562"/>
          <w:marRight w:val="0"/>
          <w:marTop w:val="0"/>
          <w:marBottom w:val="120"/>
          <w:divBdr>
            <w:top w:val="none" w:sz="0" w:space="0" w:color="auto"/>
            <w:left w:val="none" w:sz="0" w:space="0" w:color="auto"/>
            <w:bottom w:val="none" w:sz="0" w:space="0" w:color="auto"/>
            <w:right w:val="none" w:sz="0" w:space="0" w:color="auto"/>
          </w:divBdr>
        </w:div>
        <w:div w:id="1928073969">
          <w:marLeft w:val="274"/>
          <w:marRight w:val="0"/>
          <w:marTop w:val="0"/>
          <w:marBottom w:val="120"/>
          <w:divBdr>
            <w:top w:val="none" w:sz="0" w:space="0" w:color="auto"/>
            <w:left w:val="none" w:sz="0" w:space="0" w:color="auto"/>
            <w:bottom w:val="none" w:sz="0" w:space="0" w:color="auto"/>
            <w:right w:val="none" w:sz="0" w:space="0" w:color="auto"/>
          </w:divBdr>
        </w:div>
        <w:div w:id="274757855">
          <w:marLeft w:val="562"/>
          <w:marRight w:val="0"/>
          <w:marTop w:val="0"/>
          <w:marBottom w:val="120"/>
          <w:divBdr>
            <w:top w:val="none" w:sz="0" w:space="0" w:color="auto"/>
            <w:left w:val="none" w:sz="0" w:space="0" w:color="auto"/>
            <w:bottom w:val="none" w:sz="0" w:space="0" w:color="auto"/>
            <w:right w:val="none" w:sz="0" w:space="0" w:color="auto"/>
          </w:divBdr>
        </w:div>
      </w:divsChild>
    </w:div>
    <w:div w:id="833689271">
      <w:bodyDiv w:val="1"/>
      <w:marLeft w:val="0"/>
      <w:marRight w:val="0"/>
      <w:marTop w:val="0"/>
      <w:marBottom w:val="0"/>
      <w:divBdr>
        <w:top w:val="none" w:sz="0" w:space="0" w:color="auto"/>
        <w:left w:val="none" w:sz="0" w:space="0" w:color="auto"/>
        <w:bottom w:val="none" w:sz="0" w:space="0" w:color="auto"/>
        <w:right w:val="none" w:sz="0" w:space="0" w:color="auto"/>
      </w:divBdr>
    </w:div>
    <w:div w:id="1052726873">
      <w:bodyDiv w:val="1"/>
      <w:marLeft w:val="0"/>
      <w:marRight w:val="0"/>
      <w:marTop w:val="0"/>
      <w:marBottom w:val="0"/>
      <w:divBdr>
        <w:top w:val="none" w:sz="0" w:space="0" w:color="auto"/>
        <w:left w:val="none" w:sz="0" w:space="0" w:color="auto"/>
        <w:bottom w:val="none" w:sz="0" w:space="0" w:color="auto"/>
        <w:right w:val="none" w:sz="0" w:space="0" w:color="auto"/>
      </w:divBdr>
    </w:div>
    <w:div w:id="1098060901">
      <w:bodyDiv w:val="1"/>
      <w:marLeft w:val="0"/>
      <w:marRight w:val="0"/>
      <w:marTop w:val="0"/>
      <w:marBottom w:val="0"/>
      <w:divBdr>
        <w:top w:val="none" w:sz="0" w:space="0" w:color="auto"/>
        <w:left w:val="none" w:sz="0" w:space="0" w:color="auto"/>
        <w:bottom w:val="none" w:sz="0" w:space="0" w:color="auto"/>
        <w:right w:val="none" w:sz="0" w:space="0" w:color="auto"/>
      </w:divBdr>
    </w:div>
    <w:div w:id="1232347186">
      <w:bodyDiv w:val="1"/>
      <w:marLeft w:val="0"/>
      <w:marRight w:val="0"/>
      <w:marTop w:val="0"/>
      <w:marBottom w:val="0"/>
      <w:divBdr>
        <w:top w:val="none" w:sz="0" w:space="0" w:color="auto"/>
        <w:left w:val="none" w:sz="0" w:space="0" w:color="auto"/>
        <w:bottom w:val="none" w:sz="0" w:space="0" w:color="auto"/>
        <w:right w:val="none" w:sz="0" w:space="0" w:color="auto"/>
      </w:divBdr>
      <w:divsChild>
        <w:div w:id="287131365">
          <w:marLeft w:val="0"/>
          <w:marRight w:val="0"/>
          <w:marTop w:val="0"/>
          <w:marBottom w:val="0"/>
          <w:divBdr>
            <w:top w:val="none" w:sz="0" w:space="0" w:color="auto"/>
            <w:left w:val="none" w:sz="0" w:space="0" w:color="auto"/>
            <w:bottom w:val="none" w:sz="0" w:space="0" w:color="auto"/>
            <w:right w:val="none" w:sz="0" w:space="0" w:color="auto"/>
          </w:divBdr>
          <w:divsChild>
            <w:div w:id="958989893">
              <w:marLeft w:val="0"/>
              <w:marRight w:val="0"/>
              <w:marTop w:val="0"/>
              <w:marBottom w:val="0"/>
              <w:divBdr>
                <w:top w:val="none" w:sz="0" w:space="0" w:color="auto"/>
                <w:left w:val="none" w:sz="0" w:space="0" w:color="auto"/>
                <w:bottom w:val="none" w:sz="0" w:space="0" w:color="auto"/>
                <w:right w:val="none" w:sz="0" w:space="0" w:color="auto"/>
              </w:divBdr>
              <w:divsChild>
                <w:div w:id="790394786">
                  <w:marLeft w:val="0"/>
                  <w:marRight w:val="0"/>
                  <w:marTop w:val="0"/>
                  <w:marBottom w:val="0"/>
                  <w:divBdr>
                    <w:top w:val="none" w:sz="0" w:space="0" w:color="auto"/>
                    <w:left w:val="none" w:sz="0" w:space="0" w:color="auto"/>
                    <w:bottom w:val="none" w:sz="0" w:space="0" w:color="auto"/>
                    <w:right w:val="none" w:sz="0" w:space="0" w:color="auto"/>
                  </w:divBdr>
                  <w:divsChild>
                    <w:div w:id="161698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857236">
      <w:bodyDiv w:val="1"/>
      <w:marLeft w:val="0"/>
      <w:marRight w:val="0"/>
      <w:marTop w:val="0"/>
      <w:marBottom w:val="0"/>
      <w:divBdr>
        <w:top w:val="none" w:sz="0" w:space="0" w:color="auto"/>
        <w:left w:val="none" w:sz="0" w:space="0" w:color="auto"/>
        <w:bottom w:val="none" w:sz="0" w:space="0" w:color="auto"/>
        <w:right w:val="none" w:sz="0" w:space="0" w:color="auto"/>
      </w:divBdr>
      <w:divsChild>
        <w:div w:id="63140549">
          <w:marLeft w:val="0"/>
          <w:marRight w:val="0"/>
          <w:marTop w:val="0"/>
          <w:marBottom w:val="0"/>
          <w:divBdr>
            <w:top w:val="none" w:sz="0" w:space="0" w:color="auto"/>
            <w:left w:val="none" w:sz="0" w:space="0" w:color="auto"/>
            <w:bottom w:val="none" w:sz="0" w:space="0" w:color="auto"/>
            <w:right w:val="none" w:sz="0" w:space="0" w:color="auto"/>
          </w:divBdr>
          <w:divsChild>
            <w:div w:id="164132092">
              <w:marLeft w:val="0"/>
              <w:marRight w:val="0"/>
              <w:marTop w:val="0"/>
              <w:marBottom w:val="0"/>
              <w:divBdr>
                <w:top w:val="none" w:sz="0" w:space="0" w:color="auto"/>
                <w:left w:val="none" w:sz="0" w:space="0" w:color="auto"/>
                <w:bottom w:val="none" w:sz="0" w:space="0" w:color="auto"/>
                <w:right w:val="none" w:sz="0" w:space="0" w:color="auto"/>
              </w:divBdr>
            </w:div>
          </w:divsChild>
        </w:div>
        <w:div w:id="85080507">
          <w:marLeft w:val="0"/>
          <w:marRight w:val="0"/>
          <w:marTop w:val="0"/>
          <w:marBottom w:val="0"/>
          <w:divBdr>
            <w:top w:val="none" w:sz="0" w:space="0" w:color="auto"/>
            <w:left w:val="none" w:sz="0" w:space="0" w:color="auto"/>
            <w:bottom w:val="none" w:sz="0" w:space="0" w:color="auto"/>
            <w:right w:val="none" w:sz="0" w:space="0" w:color="auto"/>
          </w:divBdr>
          <w:divsChild>
            <w:div w:id="282424121">
              <w:marLeft w:val="0"/>
              <w:marRight w:val="0"/>
              <w:marTop w:val="0"/>
              <w:marBottom w:val="0"/>
              <w:divBdr>
                <w:top w:val="none" w:sz="0" w:space="0" w:color="auto"/>
                <w:left w:val="none" w:sz="0" w:space="0" w:color="auto"/>
                <w:bottom w:val="none" w:sz="0" w:space="0" w:color="auto"/>
                <w:right w:val="none" w:sz="0" w:space="0" w:color="auto"/>
              </w:divBdr>
            </w:div>
          </w:divsChild>
        </w:div>
        <w:div w:id="830411649">
          <w:marLeft w:val="0"/>
          <w:marRight w:val="0"/>
          <w:marTop w:val="0"/>
          <w:marBottom w:val="0"/>
          <w:divBdr>
            <w:top w:val="none" w:sz="0" w:space="0" w:color="auto"/>
            <w:left w:val="none" w:sz="0" w:space="0" w:color="auto"/>
            <w:bottom w:val="none" w:sz="0" w:space="0" w:color="auto"/>
            <w:right w:val="none" w:sz="0" w:space="0" w:color="auto"/>
          </w:divBdr>
          <w:divsChild>
            <w:div w:id="1058045418">
              <w:marLeft w:val="0"/>
              <w:marRight w:val="0"/>
              <w:marTop w:val="0"/>
              <w:marBottom w:val="0"/>
              <w:divBdr>
                <w:top w:val="none" w:sz="0" w:space="0" w:color="auto"/>
                <w:left w:val="none" w:sz="0" w:space="0" w:color="auto"/>
                <w:bottom w:val="none" w:sz="0" w:space="0" w:color="auto"/>
                <w:right w:val="none" w:sz="0" w:space="0" w:color="auto"/>
              </w:divBdr>
            </w:div>
          </w:divsChild>
        </w:div>
        <w:div w:id="1618483600">
          <w:marLeft w:val="0"/>
          <w:marRight w:val="0"/>
          <w:marTop w:val="0"/>
          <w:marBottom w:val="0"/>
          <w:divBdr>
            <w:top w:val="none" w:sz="0" w:space="0" w:color="auto"/>
            <w:left w:val="none" w:sz="0" w:space="0" w:color="auto"/>
            <w:bottom w:val="none" w:sz="0" w:space="0" w:color="auto"/>
            <w:right w:val="none" w:sz="0" w:space="0" w:color="auto"/>
          </w:divBdr>
          <w:divsChild>
            <w:div w:id="13926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70199">
      <w:bodyDiv w:val="1"/>
      <w:marLeft w:val="0"/>
      <w:marRight w:val="0"/>
      <w:marTop w:val="0"/>
      <w:marBottom w:val="0"/>
      <w:divBdr>
        <w:top w:val="none" w:sz="0" w:space="0" w:color="auto"/>
        <w:left w:val="none" w:sz="0" w:space="0" w:color="auto"/>
        <w:bottom w:val="none" w:sz="0" w:space="0" w:color="auto"/>
        <w:right w:val="none" w:sz="0" w:space="0" w:color="auto"/>
      </w:divBdr>
    </w:div>
    <w:div w:id="1259800687">
      <w:bodyDiv w:val="1"/>
      <w:marLeft w:val="0"/>
      <w:marRight w:val="0"/>
      <w:marTop w:val="0"/>
      <w:marBottom w:val="0"/>
      <w:divBdr>
        <w:top w:val="none" w:sz="0" w:space="0" w:color="auto"/>
        <w:left w:val="none" w:sz="0" w:space="0" w:color="auto"/>
        <w:bottom w:val="none" w:sz="0" w:space="0" w:color="auto"/>
        <w:right w:val="none" w:sz="0" w:space="0" w:color="auto"/>
      </w:divBdr>
    </w:div>
    <w:div w:id="1348022013">
      <w:bodyDiv w:val="1"/>
      <w:marLeft w:val="0"/>
      <w:marRight w:val="0"/>
      <w:marTop w:val="0"/>
      <w:marBottom w:val="0"/>
      <w:divBdr>
        <w:top w:val="none" w:sz="0" w:space="0" w:color="auto"/>
        <w:left w:val="none" w:sz="0" w:space="0" w:color="auto"/>
        <w:bottom w:val="none" w:sz="0" w:space="0" w:color="auto"/>
        <w:right w:val="none" w:sz="0" w:space="0" w:color="auto"/>
      </w:divBdr>
    </w:div>
    <w:div w:id="1349025071">
      <w:bodyDiv w:val="1"/>
      <w:marLeft w:val="0"/>
      <w:marRight w:val="0"/>
      <w:marTop w:val="0"/>
      <w:marBottom w:val="0"/>
      <w:divBdr>
        <w:top w:val="none" w:sz="0" w:space="0" w:color="auto"/>
        <w:left w:val="none" w:sz="0" w:space="0" w:color="auto"/>
        <w:bottom w:val="none" w:sz="0" w:space="0" w:color="auto"/>
        <w:right w:val="none" w:sz="0" w:space="0" w:color="auto"/>
      </w:divBdr>
    </w:div>
    <w:div w:id="1350789740">
      <w:bodyDiv w:val="1"/>
      <w:marLeft w:val="0"/>
      <w:marRight w:val="0"/>
      <w:marTop w:val="0"/>
      <w:marBottom w:val="0"/>
      <w:divBdr>
        <w:top w:val="none" w:sz="0" w:space="0" w:color="auto"/>
        <w:left w:val="none" w:sz="0" w:space="0" w:color="auto"/>
        <w:bottom w:val="none" w:sz="0" w:space="0" w:color="auto"/>
        <w:right w:val="none" w:sz="0" w:space="0" w:color="auto"/>
      </w:divBdr>
    </w:div>
    <w:div w:id="1399015464">
      <w:bodyDiv w:val="1"/>
      <w:marLeft w:val="0"/>
      <w:marRight w:val="0"/>
      <w:marTop w:val="0"/>
      <w:marBottom w:val="0"/>
      <w:divBdr>
        <w:top w:val="none" w:sz="0" w:space="0" w:color="auto"/>
        <w:left w:val="none" w:sz="0" w:space="0" w:color="auto"/>
        <w:bottom w:val="none" w:sz="0" w:space="0" w:color="auto"/>
        <w:right w:val="none" w:sz="0" w:space="0" w:color="auto"/>
      </w:divBdr>
    </w:div>
    <w:div w:id="1592658963">
      <w:bodyDiv w:val="1"/>
      <w:marLeft w:val="0"/>
      <w:marRight w:val="0"/>
      <w:marTop w:val="0"/>
      <w:marBottom w:val="0"/>
      <w:divBdr>
        <w:top w:val="none" w:sz="0" w:space="0" w:color="auto"/>
        <w:left w:val="none" w:sz="0" w:space="0" w:color="auto"/>
        <w:bottom w:val="none" w:sz="0" w:space="0" w:color="auto"/>
        <w:right w:val="none" w:sz="0" w:space="0" w:color="auto"/>
      </w:divBdr>
    </w:div>
    <w:div w:id="1658919447">
      <w:bodyDiv w:val="1"/>
      <w:marLeft w:val="0"/>
      <w:marRight w:val="0"/>
      <w:marTop w:val="0"/>
      <w:marBottom w:val="0"/>
      <w:divBdr>
        <w:top w:val="none" w:sz="0" w:space="0" w:color="auto"/>
        <w:left w:val="none" w:sz="0" w:space="0" w:color="auto"/>
        <w:bottom w:val="none" w:sz="0" w:space="0" w:color="auto"/>
        <w:right w:val="none" w:sz="0" w:space="0" w:color="auto"/>
      </w:divBdr>
    </w:div>
    <w:div w:id="1722360869">
      <w:bodyDiv w:val="1"/>
      <w:marLeft w:val="0"/>
      <w:marRight w:val="0"/>
      <w:marTop w:val="0"/>
      <w:marBottom w:val="0"/>
      <w:divBdr>
        <w:top w:val="none" w:sz="0" w:space="0" w:color="auto"/>
        <w:left w:val="none" w:sz="0" w:space="0" w:color="auto"/>
        <w:bottom w:val="none" w:sz="0" w:space="0" w:color="auto"/>
        <w:right w:val="none" w:sz="0" w:space="0" w:color="auto"/>
      </w:divBdr>
    </w:div>
    <w:div w:id="1928999303">
      <w:bodyDiv w:val="1"/>
      <w:marLeft w:val="0"/>
      <w:marRight w:val="0"/>
      <w:marTop w:val="0"/>
      <w:marBottom w:val="0"/>
      <w:divBdr>
        <w:top w:val="none" w:sz="0" w:space="0" w:color="auto"/>
        <w:left w:val="none" w:sz="0" w:space="0" w:color="auto"/>
        <w:bottom w:val="none" w:sz="0" w:space="0" w:color="auto"/>
        <w:right w:val="none" w:sz="0" w:space="0" w:color="auto"/>
      </w:divBdr>
    </w:div>
    <w:div w:id="2020548048">
      <w:bodyDiv w:val="1"/>
      <w:marLeft w:val="0"/>
      <w:marRight w:val="0"/>
      <w:marTop w:val="0"/>
      <w:marBottom w:val="0"/>
      <w:divBdr>
        <w:top w:val="none" w:sz="0" w:space="0" w:color="auto"/>
        <w:left w:val="none" w:sz="0" w:space="0" w:color="auto"/>
        <w:bottom w:val="none" w:sz="0" w:space="0" w:color="auto"/>
        <w:right w:val="none" w:sz="0" w:space="0" w:color="auto"/>
      </w:divBdr>
      <w:divsChild>
        <w:div w:id="1599097697">
          <w:marLeft w:val="0"/>
          <w:marRight w:val="0"/>
          <w:marTop w:val="0"/>
          <w:marBottom w:val="0"/>
          <w:divBdr>
            <w:top w:val="none" w:sz="0" w:space="0" w:color="auto"/>
            <w:left w:val="none" w:sz="0" w:space="0" w:color="auto"/>
            <w:bottom w:val="none" w:sz="0" w:space="0" w:color="auto"/>
            <w:right w:val="none" w:sz="0" w:space="0" w:color="auto"/>
          </w:divBdr>
          <w:divsChild>
            <w:div w:id="1962299577">
              <w:marLeft w:val="0"/>
              <w:marRight w:val="0"/>
              <w:marTop w:val="0"/>
              <w:marBottom w:val="0"/>
              <w:divBdr>
                <w:top w:val="none" w:sz="0" w:space="0" w:color="auto"/>
                <w:left w:val="none" w:sz="0" w:space="0" w:color="auto"/>
                <w:bottom w:val="none" w:sz="0" w:space="0" w:color="auto"/>
                <w:right w:val="none" w:sz="0" w:space="0" w:color="auto"/>
              </w:divBdr>
              <w:divsChild>
                <w:div w:id="535311086">
                  <w:marLeft w:val="0"/>
                  <w:marRight w:val="0"/>
                  <w:marTop w:val="0"/>
                  <w:marBottom w:val="0"/>
                  <w:divBdr>
                    <w:top w:val="none" w:sz="0" w:space="0" w:color="auto"/>
                    <w:left w:val="none" w:sz="0" w:space="0" w:color="auto"/>
                    <w:bottom w:val="none" w:sz="0" w:space="0" w:color="auto"/>
                    <w:right w:val="none" w:sz="0" w:space="0" w:color="auto"/>
                  </w:divBdr>
                  <w:divsChild>
                    <w:div w:id="413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unavailable@unavailable.invalid" TargetMode="External"/><Relationship Id="rId26" Type="http://schemas.openxmlformats.org/officeDocument/2006/relationships/image" Target="media/image9.wmf"/><Relationship Id="rId39" Type="http://schemas.openxmlformats.org/officeDocument/2006/relationships/image" Target="media/image21.wmf"/><Relationship Id="rId21" Type="http://schemas.openxmlformats.org/officeDocument/2006/relationships/image" Target="media/image4.png"/><Relationship Id="rId34" Type="http://schemas.openxmlformats.org/officeDocument/2006/relationships/oleObject" Target="embeddings/oleObject1.bin"/><Relationship Id="rId42" Type="http://schemas.microsoft.com/office/2007/relationships/hdphoto" Target="media/hdphoto2.wdp"/><Relationship Id="rId47" Type="http://schemas.openxmlformats.org/officeDocument/2006/relationships/image" Target="media/image26.emf"/><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5550154000@operador.mx%20o%20direcci&#243;n%20IP%3e;user=phone" TargetMode="External"/><Relationship Id="rId29" Type="http://schemas.openxmlformats.org/officeDocument/2006/relationships/image" Target="media/image12.wmf"/><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wmf"/><Relationship Id="rId37" Type="http://schemas.openxmlformats.org/officeDocument/2006/relationships/image" Target="media/image19.wmf"/><Relationship Id="rId40" Type="http://schemas.openxmlformats.org/officeDocument/2006/relationships/image" Target="media/image22.wmf"/><Relationship Id="rId45" Type="http://schemas.openxmlformats.org/officeDocument/2006/relationships/image" Target="media/image25.png"/><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NN@operador.mx" TargetMode="External"/><Relationship Id="rId31" Type="http://schemas.openxmlformats.org/officeDocument/2006/relationships/image" Target="media/image14.wmf"/><Relationship Id="rId44" Type="http://schemas.microsoft.com/office/2007/relationships/hdphoto" Target="media/hdphoto3.wdp"/><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sip:%3c5512345678@operador.mx" TargetMode="External"/><Relationship Id="rId22" Type="http://schemas.openxmlformats.org/officeDocument/2006/relationships/image" Target="media/image5.png"/><Relationship Id="rId27" Type="http://schemas.openxmlformats.org/officeDocument/2006/relationships/image" Target="media/image10.wmf"/><Relationship Id="rId30" Type="http://schemas.openxmlformats.org/officeDocument/2006/relationships/image" Target="media/image13.emf"/><Relationship Id="rId35" Type="http://schemas.openxmlformats.org/officeDocument/2006/relationships/image" Target="media/image17.wmf"/><Relationship Id="rId43" Type="http://schemas.openxmlformats.org/officeDocument/2006/relationships/image" Target="media/image24.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mailto:unknown@unknown.invalid" TargetMode="External"/><Relationship Id="rId25" Type="http://schemas.openxmlformats.org/officeDocument/2006/relationships/image" Target="media/image8.wmf"/><Relationship Id="rId33" Type="http://schemas.openxmlformats.org/officeDocument/2006/relationships/image" Target="media/image16.wmf"/><Relationship Id="rId38" Type="http://schemas.openxmlformats.org/officeDocument/2006/relationships/image" Target="media/image20.wmf"/><Relationship Id="rId46" Type="http://schemas.microsoft.com/office/2007/relationships/hdphoto" Target="media/hdphoto4.wdp"/><Relationship Id="rId20" Type="http://schemas.openxmlformats.org/officeDocument/2006/relationships/image" Target="media/image3.png"/><Relationship Id="rId41" Type="http://schemas.openxmlformats.org/officeDocument/2006/relationships/image" Target="media/image2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5550154000@%3coperador.mx" TargetMode="External"/><Relationship Id="rId23" Type="http://schemas.openxmlformats.org/officeDocument/2006/relationships/image" Target="media/image6.png"/><Relationship Id="rId28" Type="http://schemas.openxmlformats.org/officeDocument/2006/relationships/image" Target="media/image11.wmf"/><Relationship Id="rId36" Type="http://schemas.openxmlformats.org/officeDocument/2006/relationships/image" Target="media/image18.wmf"/><Relationship Id="rId49"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F0AB6F1CE501E4BAC4D279A45DF7E88" ma:contentTypeVersion="0" ma:contentTypeDescription="Crear nuevo documento." ma:contentTypeScope="" ma:versionID="868e326f67f1874abd819807f958e9d8">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A0D10-C312-4667-897D-F4CDA30442D0}">
  <ds:schemaRefs>
    <ds:schemaRef ds:uri="http://schemas.microsoft.com/sharepoint/v3/contenttype/forms"/>
  </ds:schemaRefs>
</ds:datastoreItem>
</file>

<file path=customXml/itemProps2.xml><?xml version="1.0" encoding="utf-8"?>
<ds:datastoreItem xmlns:ds="http://schemas.openxmlformats.org/officeDocument/2006/customXml" ds:itemID="{F7FC9B63-F052-4C3F-8982-F4A1D08E260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DFA6C6-F111-4F5E-A8B7-88B05DE40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B585845-4DBB-4DEA-8758-74136594D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88</Pages>
  <Words>25503</Words>
  <Characters>140267</Characters>
  <Application>Microsoft Office Word</Application>
  <DocSecurity>0</DocSecurity>
  <Lines>1168</Lines>
  <Paragraphs>330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Sostenes Diaz Gonzalez</dc:creator>
  <cp:lastModifiedBy>Primitivo Ortiz Maldonado</cp:lastModifiedBy>
  <cp:revision>4</cp:revision>
  <cp:lastPrinted>2023-08-16T18:32:00Z</cp:lastPrinted>
  <dcterms:created xsi:type="dcterms:W3CDTF">2023-08-16T00:23:00Z</dcterms:created>
  <dcterms:modified xsi:type="dcterms:W3CDTF">2023-08-16T18:32:00Z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0x0101006F0AB6F1CE501E4BAC4D279A45DF7E88</vt:lpwstr>
  </property>
</Properties>
</file>