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689"/>
        <w:gridCol w:w="3118"/>
        <w:gridCol w:w="3021"/>
      </w:tblGrid>
      <w:tr w:rsidR="00501ADF" w:rsidRPr="00FF6A29" w14:paraId="21F8C59C" w14:textId="77777777" w:rsidTr="00D23BD5">
        <w:trPr>
          <w:trHeight w:val="816"/>
        </w:trPr>
        <w:tc>
          <w:tcPr>
            <w:tcW w:w="2689" w:type="dxa"/>
            <w:shd w:val="clear" w:color="auto" w:fill="DBDBDB" w:themeFill="accent3" w:themeFillTint="66"/>
          </w:tcPr>
          <w:p w14:paraId="23D7205F" w14:textId="77777777" w:rsidR="00501ADF" w:rsidRPr="00FF6A29" w:rsidRDefault="00501ADF" w:rsidP="00501ADF">
            <w:pPr>
              <w:jc w:val="both"/>
              <w:rPr>
                <w:rFonts w:ascii="ITC Avant Garde" w:hAnsi="ITC Avant Garde"/>
                <w:b/>
                <w:sz w:val="18"/>
                <w:szCs w:val="18"/>
              </w:rPr>
            </w:pPr>
            <w:bookmarkStart w:id="0" w:name="_GoBack"/>
            <w:bookmarkEnd w:id="0"/>
            <w:r w:rsidRPr="00FF6A29">
              <w:rPr>
                <w:rFonts w:ascii="ITC Avant Garde" w:hAnsi="ITC Avant Garde"/>
                <w:b/>
                <w:sz w:val="18"/>
                <w:szCs w:val="18"/>
              </w:rPr>
              <w:t xml:space="preserve">Unidad </w:t>
            </w:r>
            <w:r w:rsidR="00D31AE9" w:rsidRPr="00FF6A29">
              <w:rPr>
                <w:rFonts w:ascii="ITC Avant Garde" w:hAnsi="ITC Avant Garde"/>
                <w:b/>
                <w:sz w:val="18"/>
                <w:szCs w:val="18"/>
              </w:rPr>
              <w:t>A</w:t>
            </w:r>
            <w:r w:rsidRPr="00FF6A29">
              <w:rPr>
                <w:rFonts w:ascii="ITC Avant Garde" w:hAnsi="ITC Avant Garde"/>
                <w:b/>
                <w:sz w:val="18"/>
                <w:szCs w:val="18"/>
              </w:rPr>
              <w:t>dministrativa</w:t>
            </w:r>
            <w:r w:rsidR="00D23BD5" w:rsidRPr="00FF6A29">
              <w:rPr>
                <w:rFonts w:ascii="ITC Avant Garde" w:hAnsi="ITC Avant Garde"/>
                <w:b/>
                <w:sz w:val="18"/>
                <w:szCs w:val="18"/>
              </w:rPr>
              <w:t xml:space="preserve"> </w:t>
            </w:r>
            <w:r w:rsidR="00F75427" w:rsidRPr="00FF6A29">
              <w:rPr>
                <w:rFonts w:ascii="ITC Avant Garde" w:hAnsi="ITC Avant Garde"/>
                <w:b/>
                <w:sz w:val="18"/>
                <w:szCs w:val="18"/>
              </w:rPr>
              <w:t xml:space="preserve">o Coordinación General </w:t>
            </w:r>
            <w:r w:rsidR="00D23BD5" w:rsidRPr="00FF6A29">
              <w:rPr>
                <w:rFonts w:ascii="ITC Avant Garde" w:hAnsi="ITC Avant Garde"/>
                <w:b/>
                <w:sz w:val="18"/>
                <w:szCs w:val="18"/>
              </w:rPr>
              <w:t>del Instituto</w:t>
            </w:r>
            <w:r w:rsidRPr="00FF6A29">
              <w:rPr>
                <w:rFonts w:ascii="ITC Avant Garde" w:hAnsi="ITC Avant Garde"/>
                <w:b/>
                <w:sz w:val="18"/>
                <w:szCs w:val="18"/>
              </w:rPr>
              <w:t>:</w:t>
            </w:r>
          </w:p>
          <w:p w14:paraId="2F216972" w14:textId="77777777" w:rsidR="00D46A47" w:rsidRDefault="00D46A47" w:rsidP="00501ADF">
            <w:pPr>
              <w:jc w:val="both"/>
              <w:rPr>
                <w:rFonts w:ascii="ITC Avant Garde" w:hAnsi="ITC Avant Garde"/>
                <w:sz w:val="18"/>
                <w:szCs w:val="18"/>
              </w:rPr>
            </w:pPr>
          </w:p>
          <w:p w14:paraId="0F019E61" w14:textId="3C46D0ED" w:rsidR="0068307E" w:rsidRPr="00FF6A29" w:rsidRDefault="00BB45B4" w:rsidP="00501ADF">
            <w:pPr>
              <w:jc w:val="both"/>
              <w:rPr>
                <w:rFonts w:ascii="ITC Avant Garde" w:hAnsi="ITC Avant Garde"/>
                <w:sz w:val="18"/>
                <w:szCs w:val="18"/>
              </w:rPr>
            </w:pPr>
            <w:r>
              <w:rPr>
                <w:rFonts w:ascii="ITC Avant Garde" w:hAnsi="ITC Avant Garde"/>
                <w:sz w:val="18"/>
                <w:szCs w:val="18"/>
              </w:rPr>
              <w:t>Unidad de Concesiones y Servicios</w:t>
            </w:r>
          </w:p>
          <w:p w14:paraId="4C2595C0" w14:textId="77777777" w:rsidR="0068307E" w:rsidRPr="00FF6A29" w:rsidRDefault="0068307E" w:rsidP="00501ADF">
            <w:pPr>
              <w:jc w:val="both"/>
              <w:rPr>
                <w:rFonts w:ascii="ITC Avant Garde" w:hAnsi="ITC Avant Garde"/>
                <w:sz w:val="18"/>
                <w:szCs w:val="18"/>
              </w:rPr>
            </w:pPr>
          </w:p>
        </w:tc>
        <w:tc>
          <w:tcPr>
            <w:tcW w:w="6139" w:type="dxa"/>
            <w:gridSpan w:val="2"/>
            <w:shd w:val="clear" w:color="auto" w:fill="DBDBDB" w:themeFill="accent3" w:themeFillTint="66"/>
          </w:tcPr>
          <w:p w14:paraId="58EECE86" w14:textId="77777777" w:rsidR="00501ADF" w:rsidRPr="00FF6A29" w:rsidRDefault="00D23BD5" w:rsidP="00501ADF">
            <w:pPr>
              <w:jc w:val="both"/>
              <w:rPr>
                <w:rFonts w:ascii="ITC Avant Garde" w:hAnsi="ITC Avant Garde"/>
                <w:b/>
                <w:sz w:val="18"/>
                <w:szCs w:val="18"/>
              </w:rPr>
            </w:pPr>
            <w:r w:rsidRPr="00FF6A29">
              <w:rPr>
                <w:rFonts w:ascii="ITC Avant Garde" w:hAnsi="ITC Avant Garde"/>
                <w:b/>
                <w:sz w:val="18"/>
                <w:szCs w:val="18"/>
              </w:rPr>
              <w:t xml:space="preserve">Título de la propuesta </w:t>
            </w:r>
            <w:r w:rsidR="00501ADF" w:rsidRPr="00FF6A29">
              <w:rPr>
                <w:rFonts w:ascii="ITC Avant Garde" w:hAnsi="ITC Avant Garde"/>
                <w:b/>
                <w:sz w:val="18"/>
                <w:szCs w:val="18"/>
              </w:rPr>
              <w:t>de regulación:</w:t>
            </w:r>
          </w:p>
          <w:p w14:paraId="5C75DA79" w14:textId="77777777" w:rsidR="004E15D3" w:rsidRPr="00FF6A29" w:rsidRDefault="004E15D3" w:rsidP="00501ADF">
            <w:pPr>
              <w:jc w:val="both"/>
              <w:rPr>
                <w:rFonts w:ascii="ITC Avant Garde" w:hAnsi="ITC Avant Garde"/>
                <w:b/>
                <w:sz w:val="18"/>
                <w:szCs w:val="18"/>
              </w:rPr>
            </w:pPr>
          </w:p>
          <w:p w14:paraId="28FC35E4" w14:textId="273860F4" w:rsidR="00D46A47" w:rsidRDefault="002979E2" w:rsidP="00501ADF">
            <w:pPr>
              <w:jc w:val="both"/>
              <w:rPr>
                <w:rFonts w:ascii="ITC Avant Garde" w:hAnsi="ITC Avant Garde"/>
                <w:sz w:val="18"/>
                <w:szCs w:val="18"/>
              </w:rPr>
            </w:pPr>
            <w:r w:rsidRPr="007F6B15">
              <w:rPr>
                <w:rFonts w:ascii="ITC Avant Garde" w:hAnsi="ITC Avant Garde"/>
                <w:sz w:val="18"/>
                <w:szCs w:val="18"/>
              </w:rPr>
              <w:t>Acuerdo mediante el cual el Pleno del Instituto Federal de Telecomunicaciones modifica los Lineamientos</w:t>
            </w:r>
            <w:r w:rsidR="00BB45B4">
              <w:rPr>
                <w:rFonts w:ascii="ITC Avant Garde" w:hAnsi="ITC Avant Garde"/>
                <w:sz w:val="18"/>
                <w:szCs w:val="18"/>
              </w:rPr>
              <w:t xml:space="preserve"> </w:t>
            </w:r>
            <w:r w:rsidR="00090852">
              <w:rPr>
                <w:rFonts w:ascii="ITC Avant Garde" w:hAnsi="ITC Avant Garde"/>
                <w:sz w:val="18"/>
                <w:szCs w:val="18"/>
              </w:rPr>
              <w:t xml:space="preserve">Generales </w:t>
            </w:r>
            <w:r w:rsidR="00BB45B4">
              <w:rPr>
                <w:rFonts w:ascii="ITC Avant Garde" w:hAnsi="ITC Avant Garde"/>
                <w:sz w:val="18"/>
                <w:szCs w:val="18"/>
              </w:rPr>
              <w:t>para el otorgamiento de las concesiones a que se refiere el Título Cuarto de la Ley Federal de Telecomunicaciones y Radiodifusión.</w:t>
            </w:r>
          </w:p>
          <w:p w14:paraId="4F343C43" w14:textId="5A667DFD" w:rsidR="00EC3911" w:rsidRPr="00E07AD8" w:rsidRDefault="00EC3911" w:rsidP="00501ADF">
            <w:pPr>
              <w:jc w:val="both"/>
              <w:rPr>
                <w:rFonts w:ascii="ITC Avant Garde" w:hAnsi="ITC Avant Garde"/>
                <w:sz w:val="18"/>
                <w:szCs w:val="18"/>
              </w:rPr>
            </w:pPr>
          </w:p>
        </w:tc>
      </w:tr>
      <w:tr w:rsidR="0068307E" w:rsidRPr="00FF6A29" w14:paraId="238CA776" w14:textId="77777777" w:rsidTr="00D23BD5">
        <w:trPr>
          <w:trHeight w:val="889"/>
        </w:trPr>
        <w:tc>
          <w:tcPr>
            <w:tcW w:w="2689" w:type="dxa"/>
            <w:vMerge w:val="restart"/>
            <w:shd w:val="clear" w:color="auto" w:fill="DBDBDB" w:themeFill="accent3" w:themeFillTint="66"/>
          </w:tcPr>
          <w:p w14:paraId="5FC1C165" w14:textId="541C8D22" w:rsidR="0068307E" w:rsidRPr="00FF6A29" w:rsidRDefault="00D23BD5" w:rsidP="00501ADF">
            <w:pPr>
              <w:jc w:val="both"/>
              <w:rPr>
                <w:rFonts w:ascii="ITC Avant Garde" w:hAnsi="ITC Avant Garde"/>
                <w:b/>
                <w:sz w:val="18"/>
                <w:szCs w:val="18"/>
              </w:rPr>
            </w:pPr>
            <w:r w:rsidRPr="00FF6A29">
              <w:rPr>
                <w:rFonts w:ascii="ITC Avant Garde" w:hAnsi="ITC Avant Garde"/>
                <w:b/>
                <w:sz w:val="18"/>
                <w:szCs w:val="18"/>
              </w:rPr>
              <w:t>Responsable de la propuesta de regulación</w:t>
            </w:r>
            <w:r w:rsidR="0068307E" w:rsidRPr="00FF6A29">
              <w:rPr>
                <w:rFonts w:ascii="ITC Avant Garde" w:hAnsi="ITC Avant Garde"/>
                <w:b/>
                <w:sz w:val="18"/>
                <w:szCs w:val="18"/>
              </w:rPr>
              <w:t>:</w:t>
            </w:r>
          </w:p>
          <w:p w14:paraId="272523B9" w14:textId="77777777" w:rsidR="0068307E" w:rsidRPr="00FF6A29" w:rsidRDefault="0068307E" w:rsidP="00501ADF">
            <w:pPr>
              <w:jc w:val="both"/>
              <w:rPr>
                <w:rFonts w:ascii="ITC Avant Garde" w:hAnsi="ITC Avant Garde"/>
                <w:b/>
                <w:sz w:val="18"/>
                <w:szCs w:val="18"/>
              </w:rPr>
            </w:pPr>
          </w:p>
          <w:p w14:paraId="56D8367D" w14:textId="169A7943" w:rsidR="0068307E" w:rsidRPr="00FF6A29" w:rsidRDefault="00BB45B4" w:rsidP="00501ADF">
            <w:pPr>
              <w:jc w:val="both"/>
              <w:rPr>
                <w:rFonts w:ascii="ITC Avant Garde" w:hAnsi="ITC Avant Garde"/>
                <w:sz w:val="18"/>
                <w:szCs w:val="18"/>
              </w:rPr>
            </w:pPr>
            <w:r>
              <w:rPr>
                <w:rFonts w:ascii="ITC Avant Garde" w:hAnsi="ITC Avant Garde"/>
                <w:sz w:val="18"/>
                <w:szCs w:val="18"/>
              </w:rPr>
              <w:t>César Augusto Arias Hernández</w:t>
            </w:r>
          </w:p>
          <w:p w14:paraId="3FAF41C9" w14:textId="48FE6CDD" w:rsidR="0068307E" w:rsidRPr="00FF6A29" w:rsidRDefault="0068307E" w:rsidP="00501ADF">
            <w:pPr>
              <w:jc w:val="both"/>
              <w:rPr>
                <w:rFonts w:ascii="ITC Avant Garde" w:hAnsi="ITC Avant Garde"/>
                <w:sz w:val="18"/>
                <w:szCs w:val="18"/>
              </w:rPr>
            </w:pPr>
            <w:r w:rsidRPr="00FF6A29">
              <w:rPr>
                <w:rFonts w:ascii="ITC Avant Garde" w:hAnsi="ITC Avant Garde"/>
                <w:sz w:val="18"/>
                <w:szCs w:val="18"/>
              </w:rPr>
              <w:t xml:space="preserve">Teléfono: </w:t>
            </w:r>
            <w:r w:rsidR="004E15D3" w:rsidRPr="00FF6A29">
              <w:rPr>
                <w:rFonts w:ascii="ITC Avant Garde" w:hAnsi="ITC Avant Garde"/>
                <w:sz w:val="18"/>
                <w:szCs w:val="18"/>
              </w:rPr>
              <w:t>55-5015-</w:t>
            </w:r>
            <w:r w:rsidR="00BB45B4">
              <w:rPr>
                <w:rFonts w:ascii="ITC Avant Garde" w:hAnsi="ITC Avant Garde"/>
                <w:sz w:val="18"/>
                <w:szCs w:val="18"/>
              </w:rPr>
              <w:t>4274</w:t>
            </w:r>
          </w:p>
          <w:p w14:paraId="7CB1652E" w14:textId="77777777" w:rsidR="00BB45B4" w:rsidRDefault="0068307E" w:rsidP="00501ADF">
            <w:pPr>
              <w:jc w:val="both"/>
            </w:pPr>
            <w:r w:rsidRPr="00FF6A29">
              <w:rPr>
                <w:rFonts w:ascii="ITC Avant Garde" w:hAnsi="ITC Avant Garde"/>
                <w:sz w:val="18"/>
                <w:szCs w:val="18"/>
              </w:rPr>
              <w:t>Correo electrónico</w:t>
            </w:r>
            <w:r w:rsidR="00BB45B4">
              <w:rPr>
                <w:rFonts w:ascii="ITC Avant Garde" w:hAnsi="ITC Avant Garde"/>
                <w:sz w:val="18"/>
                <w:szCs w:val="18"/>
              </w:rPr>
              <w:t>:</w:t>
            </w:r>
          </w:p>
          <w:p w14:paraId="417B96D5" w14:textId="7BB3D0BF" w:rsidR="0068307E" w:rsidRDefault="004516FA" w:rsidP="00501ADF">
            <w:pPr>
              <w:jc w:val="both"/>
            </w:pPr>
            <w:hyperlink r:id="rId11" w:history="1">
              <w:r w:rsidR="00BB45B4" w:rsidRPr="008B4CF1">
                <w:rPr>
                  <w:rStyle w:val="Hipervnculo"/>
                </w:rPr>
                <w:t>cesar.arias@ift.org.mx</w:t>
              </w:r>
            </w:hyperlink>
            <w:r w:rsidR="00BB45B4">
              <w:t xml:space="preserve"> </w:t>
            </w:r>
          </w:p>
          <w:p w14:paraId="32380330" w14:textId="77777777" w:rsidR="0068307E" w:rsidRPr="00FF6A29" w:rsidRDefault="0068307E" w:rsidP="00B16715">
            <w:pPr>
              <w:jc w:val="both"/>
              <w:rPr>
                <w:rFonts w:ascii="ITC Avant Garde" w:hAnsi="ITC Avant Garde"/>
                <w:b/>
                <w:sz w:val="18"/>
                <w:szCs w:val="18"/>
              </w:rPr>
            </w:pPr>
          </w:p>
        </w:tc>
        <w:tc>
          <w:tcPr>
            <w:tcW w:w="3118" w:type="dxa"/>
            <w:shd w:val="clear" w:color="auto" w:fill="DBDBDB" w:themeFill="accent3" w:themeFillTint="66"/>
            <w:vAlign w:val="center"/>
          </w:tcPr>
          <w:p w14:paraId="29DF1B89" w14:textId="77777777" w:rsidR="0068307E" w:rsidRPr="00FF6A29" w:rsidRDefault="0068307E" w:rsidP="008A48B0">
            <w:pPr>
              <w:jc w:val="both"/>
              <w:rPr>
                <w:rFonts w:ascii="ITC Avant Garde" w:hAnsi="ITC Avant Garde"/>
                <w:b/>
                <w:sz w:val="18"/>
                <w:szCs w:val="18"/>
              </w:rPr>
            </w:pPr>
            <w:r w:rsidRPr="00FF6A29">
              <w:rPr>
                <w:rFonts w:ascii="ITC Avant Garde" w:hAnsi="ITC Avant Garde"/>
                <w:b/>
                <w:sz w:val="18"/>
                <w:szCs w:val="18"/>
              </w:rPr>
              <w:t>Fecha de elaboración</w:t>
            </w:r>
            <w:r w:rsidR="00D23BD5" w:rsidRPr="00FF6A29">
              <w:rPr>
                <w:rFonts w:ascii="ITC Avant Garde" w:hAnsi="ITC Avant Garde"/>
                <w:b/>
                <w:sz w:val="18"/>
                <w:szCs w:val="18"/>
              </w:rPr>
              <w:t xml:space="preserve"> del análisis de nulo impacto regulatorio</w:t>
            </w:r>
            <w:r w:rsidRPr="00FF6A29">
              <w:rPr>
                <w:rFonts w:ascii="ITC Avant Garde" w:hAnsi="ITC Avant Garde"/>
                <w:b/>
                <w:sz w:val="18"/>
                <w:szCs w:val="18"/>
              </w:rPr>
              <w:t>:</w:t>
            </w:r>
          </w:p>
        </w:tc>
        <w:tc>
          <w:tcPr>
            <w:tcW w:w="3021" w:type="dxa"/>
            <w:shd w:val="clear" w:color="auto" w:fill="DBDBDB" w:themeFill="accent3" w:themeFillTint="66"/>
            <w:vAlign w:val="center"/>
          </w:tcPr>
          <w:p w14:paraId="6F301B1A" w14:textId="083FE05C" w:rsidR="0068307E" w:rsidRPr="006A2E74" w:rsidRDefault="00B16715" w:rsidP="0068307E">
            <w:pPr>
              <w:jc w:val="center"/>
              <w:rPr>
                <w:rFonts w:ascii="ITC Avant Garde" w:hAnsi="ITC Avant Garde"/>
                <w:color w:val="FF0000"/>
                <w:sz w:val="18"/>
                <w:szCs w:val="18"/>
              </w:rPr>
            </w:pPr>
            <w:r w:rsidRPr="00B16715">
              <w:rPr>
                <w:rFonts w:ascii="ITC Avant Garde" w:hAnsi="ITC Avant Garde"/>
                <w:sz w:val="18"/>
                <w:szCs w:val="18"/>
              </w:rPr>
              <w:t>12/11/2024</w:t>
            </w:r>
          </w:p>
        </w:tc>
      </w:tr>
      <w:tr w:rsidR="0068307E" w:rsidRPr="00FF6A29" w14:paraId="4A6FF285" w14:textId="77777777" w:rsidTr="00D23BD5">
        <w:trPr>
          <w:trHeight w:val="390"/>
        </w:trPr>
        <w:tc>
          <w:tcPr>
            <w:tcW w:w="2689" w:type="dxa"/>
            <w:vMerge/>
            <w:shd w:val="clear" w:color="auto" w:fill="DBDBDB" w:themeFill="accent3" w:themeFillTint="66"/>
          </w:tcPr>
          <w:p w14:paraId="66012CD0" w14:textId="77777777" w:rsidR="0068307E" w:rsidRPr="00FF6A29"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56210453" w14:textId="77777777" w:rsidR="0068307E" w:rsidRPr="00FF6A29" w:rsidRDefault="0049127C" w:rsidP="0049127C">
            <w:pPr>
              <w:jc w:val="both"/>
              <w:rPr>
                <w:rFonts w:ascii="ITC Avant Garde" w:hAnsi="ITC Avant Garde"/>
                <w:b/>
                <w:sz w:val="18"/>
                <w:szCs w:val="18"/>
              </w:rPr>
            </w:pPr>
            <w:r w:rsidRPr="00FF6A29">
              <w:rPr>
                <w:rFonts w:ascii="ITC Avant Garde" w:hAnsi="ITC Avant Garde"/>
                <w:b/>
                <w:sz w:val="18"/>
                <w:szCs w:val="18"/>
              </w:rPr>
              <w:t>En su caso, f</w:t>
            </w:r>
            <w:r w:rsidR="0068307E" w:rsidRPr="00FF6A29">
              <w:rPr>
                <w:rFonts w:ascii="ITC Avant Garde" w:hAnsi="ITC Avant Garde"/>
                <w:b/>
                <w:sz w:val="18"/>
                <w:szCs w:val="18"/>
              </w:rPr>
              <w:t xml:space="preserve">echa de inicio </w:t>
            </w:r>
            <w:r w:rsidR="00D23BD5" w:rsidRPr="00FF6A29">
              <w:rPr>
                <w:rFonts w:ascii="ITC Avant Garde" w:hAnsi="ITC Avant Garde"/>
                <w:b/>
                <w:sz w:val="18"/>
                <w:szCs w:val="18"/>
              </w:rPr>
              <w:t xml:space="preserve">y conclusión </w:t>
            </w:r>
            <w:r w:rsidR="0068307E" w:rsidRPr="00FF6A29">
              <w:rPr>
                <w:rFonts w:ascii="ITC Avant Garde" w:hAnsi="ITC Avant Garde"/>
                <w:b/>
                <w:sz w:val="18"/>
                <w:szCs w:val="18"/>
              </w:rPr>
              <w:t>de la consulta pública:</w:t>
            </w:r>
          </w:p>
        </w:tc>
        <w:tc>
          <w:tcPr>
            <w:tcW w:w="3021" w:type="dxa"/>
            <w:shd w:val="clear" w:color="auto" w:fill="DBDBDB" w:themeFill="accent3" w:themeFillTint="66"/>
            <w:vAlign w:val="center"/>
          </w:tcPr>
          <w:p w14:paraId="2F5AD37B" w14:textId="033010D8" w:rsidR="0068307E" w:rsidRPr="006A2E74" w:rsidRDefault="00B16715" w:rsidP="00BB45B4">
            <w:pPr>
              <w:jc w:val="center"/>
              <w:rPr>
                <w:rFonts w:ascii="ITC Avant Garde" w:hAnsi="ITC Avant Garde"/>
                <w:color w:val="FF0000"/>
                <w:sz w:val="18"/>
                <w:szCs w:val="18"/>
              </w:rPr>
            </w:pPr>
            <w:r w:rsidRPr="00B16715">
              <w:rPr>
                <w:rFonts w:ascii="ITC Avant Garde" w:hAnsi="ITC Avant Garde"/>
                <w:sz w:val="18"/>
                <w:szCs w:val="18"/>
              </w:rPr>
              <w:t xml:space="preserve">21/11/2024 al </w:t>
            </w:r>
            <w:r w:rsidR="005A42ED">
              <w:rPr>
                <w:rFonts w:ascii="ITC Avant Garde" w:hAnsi="ITC Avant Garde"/>
                <w:sz w:val="18"/>
                <w:szCs w:val="18"/>
              </w:rPr>
              <w:t>04</w:t>
            </w:r>
            <w:r w:rsidRPr="00B16715">
              <w:rPr>
                <w:rFonts w:ascii="ITC Avant Garde" w:hAnsi="ITC Avant Garde"/>
                <w:sz w:val="18"/>
                <w:szCs w:val="18"/>
              </w:rPr>
              <w:t>/1</w:t>
            </w:r>
            <w:r w:rsidR="005A42ED">
              <w:rPr>
                <w:rFonts w:ascii="ITC Avant Garde" w:hAnsi="ITC Avant Garde"/>
                <w:sz w:val="18"/>
                <w:szCs w:val="18"/>
              </w:rPr>
              <w:t>2</w:t>
            </w:r>
            <w:r w:rsidRPr="00B16715">
              <w:rPr>
                <w:rFonts w:ascii="ITC Avant Garde" w:hAnsi="ITC Avant Garde"/>
                <w:sz w:val="18"/>
                <w:szCs w:val="18"/>
              </w:rPr>
              <w:t>/2024</w:t>
            </w:r>
          </w:p>
        </w:tc>
      </w:tr>
    </w:tbl>
    <w:p w14:paraId="43B7B42E" w14:textId="77777777" w:rsidR="00501ADF" w:rsidRPr="00FF6A29" w:rsidRDefault="00501ADF" w:rsidP="00501ADF">
      <w:pPr>
        <w:jc w:val="both"/>
        <w:rPr>
          <w:rFonts w:ascii="ITC Avant Garde" w:hAnsi="ITC Avant Garde"/>
          <w:sz w:val="18"/>
          <w:szCs w:val="18"/>
        </w:rPr>
      </w:pPr>
    </w:p>
    <w:p w14:paraId="798816B5" w14:textId="77777777" w:rsidR="001932FC" w:rsidRPr="00FF6A29" w:rsidRDefault="001932FC" w:rsidP="0068307E">
      <w:pPr>
        <w:shd w:val="clear" w:color="auto" w:fill="A8D08D" w:themeFill="accent6" w:themeFillTint="99"/>
        <w:jc w:val="both"/>
        <w:rPr>
          <w:rFonts w:ascii="ITC Avant Garde" w:hAnsi="ITC Avant Garde"/>
          <w:b/>
          <w:sz w:val="18"/>
          <w:szCs w:val="18"/>
        </w:rPr>
      </w:pPr>
      <w:r w:rsidRPr="00FF6A29">
        <w:rPr>
          <w:rFonts w:ascii="ITC Avant Garde" w:hAnsi="ITC Avant Garde"/>
          <w:b/>
          <w:sz w:val="18"/>
          <w:szCs w:val="18"/>
        </w:rPr>
        <w:t xml:space="preserve">I. DEFINICIÓN DEL PROBLEMA Y OBJETIVOS GENERALES DE LA </w:t>
      </w:r>
      <w:r w:rsidR="00D23BD5" w:rsidRPr="00FF6A29">
        <w:rPr>
          <w:rFonts w:ascii="ITC Avant Garde" w:hAnsi="ITC Avant Garde"/>
          <w:b/>
          <w:sz w:val="18"/>
          <w:szCs w:val="18"/>
        </w:rPr>
        <w:t xml:space="preserve">PROPUESTA DE </w:t>
      </w:r>
      <w:r w:rsidRPr="00FF6A29">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FF6A29" w14:paraId="19313118" w14:textId="77777777" w:rsidTr="459BDC93">
        <w:tc>
          <w:tcPr>
            <w:tcW w:w="8828" w:type="dxa"/>
            <w:shd w:val="clear" w:color="auto" w:fill="FFFFFF" w:themeFill="background1"/>
          </w:tcPr>
          <w:p w14:paraId="186DEA39" w14:textId="77777777" w:rsidR="006018A0" w:rsidRDefault="006018A0" w:rsidP="008A48B0">
            <w:pPr>
              <w:shd w:val="clear" w:color="auto" w:fill="FFFFFF" w:themeFill="background1"/>
              <w:jc w:val="both"/>
              <w:rPr>
                <w:rFonts w:ascii="ITC Avant Garde" w:hAnsi="ITC Avant Garde"/>
                <w:b/>
                <w:sz w:val="18"/>
                <w:szCs w:val="18"/>
              </w:rPr>
            </w:pPr>
          </w:p>
          <w:p w14:paraId="74DC2153" w14:textId="4999480D" w:rsidR="001932FC" w:rsidRPr="00FF6A29" w:rsidRDefault="001932FC" w:rsidP="008A48B0">
            <w:pPr>
              <w:shd w:val="clear" w:color="auto" w:fill="FFFFFF" w:themeFill="background1"/>
              <w:jc w:val="both"/>
              <w:rPr>
                <w:rFonts w:ascii="ITC Avant Garde" w:hAnsi="ITC Avant Garde"/>
                <w:b/>
                <w:sz w:val="18"/>
                <w:szCs w:val="18"/>
              </w:rPr>
            </w:pPr>
            <w:r w:rsidRPr="00FF6A29">
              <w:rPr>
                <w:rFonts w:ascii="ITC Avant Garde" w:hAnsi="ITC Avant Garde"/>
                <w:b/>
                <w:sz w:val="18"/>
                <w:szCs w:val="18"/>
              </w:rPr>
              <w:t>1.</w:t>
            </w:r>
            <w:r w:rsidR="00E6080B" w:rsidRPr="00FF6A29">
              <w:rPr>
                <w:rFonts w:ascii="ITC Avant Garde" w:hAnsi="ITC Avant Garde"/>
                <w:b/>
                <w:sz w:val="18"/>
                <w:szCs w:val="18"/>
              </w:rPr>
              <w:t>-</w:t>
            </w:r>
            <w:r w:rsidRPr="00FF6A29">
              <w:rPr>
                <w:rFonts w:ascii="ITC Avant Garde" w:hAnsi="ITC Avant Garde"/>
                <w:b/>
                <w:sz w:val="18"/>
                <w:szCs w:val="18"/>
              </w:rPr>
              <w:t xml:space="preserve"> </w:t>
            </w:r>
            <w:r w:rsidR="00D221B5" w:rsidRPr="00FF6A29">
              <w:rPr>
                <w:rFonts w:ascii="ITC Avant Garde" w:hAnsi="ITC Avant Garde"/>
                <w:b/>
                <w:sz w:val="18"/>
                <w:szCs w:val="18"/>
              </w:rPr>
              <w:t xml:space="preserve">Explique brevemente </w:t>
            </w:r>
            <w:r w:rsidR="00BE7D1C" w:rsidRPr="00FF6A29">
              <w:rPr>
                <w:rFonts w:ascii="ITC Avant Garde" w:hAnsi="ITC Avant Garde"/>
                <w:b/>
                <w:sz w:val="18"/>
                <w:szCs w:val="18"/>
              </w:rPr>
              <w:t xml:space="preserve">la problemática que pretende prevenir o resolver la propuesta de regulación, así como </w:t>
            </w:r>
            <w:r w:rsidR="00D221B5" w:rsidRPr="00FF6A29">
              <w:rPr>
                <w:rFonts w:ascii="ITC Avant Garde" w:hAnsi="ITC Avant Garde"/>
                <w:b/>
                <w:sz w:val="18"/>
                <w:szCs w:val="18"/>
              </w:rPr>
              <w:t xml:space="preserve">en qué consiste </w:t>
            </w:r>
            <w:r w:rsidR="005319D5" w:rsidRPr="00FF6A29">
              <w:rPr>
                <w:rFonts w:ascii="ITC Avant Garde" w:hAnsi="ITC Avant Garde"/>
                <w:b/>
                <w:sz w:val="18"/>
                <w:szCs w:val="18"/>
              </w:rPr>
              <w:t xml:space="preserve">ésta </w:t>
            </w:r>
            <w:r w:rsidR="00BE7D1C" w:rsidRPr="00FF6A29">
              <w:rPr>
                <w:rFonts w:ascii="ITC Avant Garde" w:hAnsi="ITC Avant Garde"/>
                <w:b/>
                <w:sz w:val="18"/>
                <w:szCs w:val="18"/>
              </w:rPr>
              <w:t>y</w:t>
            </w:r>
            <w:r w:rsidR="00D221B5" w:rsidRPr="00FF6A29">
              <w:rPr>
                <w:rFonts w:ascii="ITC Avant Garde" w:hAnsi="ITC Avant Garde"/>
                <w:b/>
                <w:sz w:val="18"/>
                <w:szCs w:val="18"/>
              </w:rPr>
              <w:t xml:space="preserve"> sus objetivos generales</w:t>
            </w:r>
            <w:r w:rsidRPr="00FF6A29">
              <w:rPr>
                <w:rFonts w:ascii="ITC Avant Garde" w:hAnsi="ITC Avant Garde"/>
                <w:b/>
                <w:sz w:val="18"/>
                <w:szCs w:val="18"/>
              </w:rPr>
              <w:t>:</w:t>
            </w:r>
          </w:p>
          <w:p w14:paraId="3BF76BDB" w14:textId="77777777" w:rsidR="001634A2" w:rsidRPr="00FF6A29" w:rsidRDefault="001634A2" w:rsidP="008A48B0">
            <w:pPr>
              <w:shd w:val="clear" w:color="auto" w:fill="FFFFFF" w:themeFill="background1"/>
              <w:jc w:val="both"/>
              <w:rPr>
                <w:rFonts w:ascii="ITC Avant Garde" w:hAnsi="ITC Avant Garde"/>
                <w:b/>
                <w:sz w:val="18"/>
                <w:szCs w:val="18"/>
              </w:rPr>
            </w:pPr>
          </w:p>
          <w:p w14:paraId="11EDFEC5" w14:textId="40195728" w:rsidR="000F3224" w:rsidRDefault="00B16715" w:rsidP="003C1AA7">
            <w:pPr>
              <w:shd w:val="clear" w:color="auto" w:fill="FFFFFF" w:themeFill="background1"/>
              <w:jc w:val="both"/>
              <w:rPr>
                <w:rFonts w:ascii="ITC Avant Garde" w:hAnsi="ITC Avant Garde"/>
                <w:bCs/>
                <w:sz w:val="18"/>
                <w:szCs w:val="18"/>
                <w:lang w:val="es-ES"/>
              </w:rPr>
            </w:pPr>
            <w:r>
              <w:rPr>
                <w:rFonts w:ascii="ITC Avant Garde" w:hAnsi="ITC Avant Garde"/>
                <w:bCs/>
                <w:sz w:val="18"/>
                <w:szCs w:val="18"/>
                <w:lang w:val="es-ES"/>
              </w:rPr>
              <w:t>D</w:t>
            </w:r>
            <w:r w:rsidR="000F3224">
              <w:rPr>
                <w:rFonts w:ascii="ITC Avant Garde" w:hAnsi="ITC Avant Garde"/>
                <w:bCs/>
                <w:sz w:val="18"/>
                <w:szCs w:val="18"/>
                <w:lang w:val="es-ES"/>
              </w:rPr>
              <w:t>erivado de publicación en e</w:t>
            </w:r>
            <w:r w:rsidR="00033AC3">
              <w:rPr>
                <w:rFonts w:ascii="ITC Avant Garde" w:hAnsi="ITC Avant Garde"/>
                <w:bCs/>
                <w:sz w:val="18"/>
                <w:szCs w:val="18"/>
                <w:lang w:val="es-ES"/>
              </w:rPr>
              <w:t>l</w:t>
            </w:r>
            <w:r w:rsidR="000F3224">
              <w:rPr>
                <w:rFonts w:ascii="ITC Avant Garde" w:hAnsi="ITC Avant Garde"/>
                <w:bCs/>
                <w:sz w:val="18"/>
                <w:szCs w:val="18"/>
                <w:lang w:val="es-ES"/>
              </w:rPr>
              <w:t xml:space="preserve"> Diario Oficial de </w:t>
            </w:r>
            <w:r w:rsidR="00033AC3">
              <w:rPr>
                <w:rFonts w:ascii="ITC Avant Garde" w:hAnsi="ITC Avant Garde"/>
                <w:bCs/>
                <w:sz w:val="18"/>
                <w:szCs w:val="18"/>
                <w:lang w:val="es-ES"/>
              </w:rPr>
              <w:t>la</w:t>
            </w:r>
            <w:r w:rsidR="000F3224">
              <w:rPr>
                <w:rFonts w:ascii="ITC Avant Garde" w:hAnsi="ITC Avant Garde"/>
                <w:bCs/>
                <w:sz w:val="18"/>
                <w:szCs w:val="18"/>
                <w:lang w:val="es-ES"/>
              </w:rPr>
              <w:t xml:space="preserve"> Federación de las </w:t>
            </w:r>
            <w:r w:rsidR="000F3224" w:rsidRPr="000F3224">
              <w:rPr>
                <w:rFonts w:ascii="ITC Avant Garde" w:hAnsi="ITC Avant Garde"/>
                <w:bCs/>
                <w:sz w:val="18"/>
                <w:szCs w:val="18"/>
                <w:lang w:val="es-ES"/>
              </w:rPr>
              <w:t>Disposiciones Regulatorias en materia de Comunicación Vía Satélite</w:t>
            </w:r>
            <w:r w:rsidR="000F3224">
              <w:rPr>
                <w:rFonts w:ascii="ITC Avant Garde" w:hAnsi="ITC Avant Garde"/>
                <w:bCs/>
                <w:sz w:val="18"/>
                <w:szCs w:val="18"/>
                <w:lang w:val="es-ES"/>
              </w:rPr>
              <w:t>, se dispuso en su Transitorio Séptimo de dichas disposiciones que el Instituto debería realizar las modificaciones a los Lineamientos</w:t>
            </w:r>
            <w:r w:rsidR="000F3224" w:rsidRPr="000F3224">
              <w:rPr>
                <w:rFonts w:ascii="ITC Avant Garde" w:hAnsi="ITC Avant Garde"/>
                <w:bCs/>
                <w:sz w:val="18"/>
                <w:szCs w:val="18"/>
                <w:lang w:val="es-ES"/>
              </w:rPr>
              <w:t xml:space="preserve"> Generales para el otorgamiento de las concesiones a que se refiere el Título Cuarto de la Ley Federal de Telecomunicaciones y Radiodifusión</w:t>
            </w:r>
            <w:r w:rsidR="000F3224">
              <w:rPr>
                <w:rFonts w:ascii="ITC Avant Garde" w:hAnsi="ITC Avant Garde"/>
                <w:bCs/>
                <w:sz w:val="18"/>
                <w:szCs w:val="18"/>
                <w:lang w:val="es-ES"/>
              </w:rPr>
              <w:t>.</w:t>
            </w:r>
          </w:p>
          <w:p w14:paraId="27316510" w14:textId="77777777" w:rsidR="00772CD2" w:rsidRDefault="00772CD2" w:rsidP="003C1AA7">
            <w:pPr>
              <w:shd w:val="clear" w:color="auto" w:fill="FFFFFF" w:themeFill="background1"/>
              <w:jc w:val="both"/>
              <w:rPr>
                <w:rFonts w:ascii="ITC Avant Garde" w:hAnsi="ITC Avant Garde"/>
                <w:bCs/>
                <w:sz w:val="18"/>
                <w:szCs w:val="18"/>
                <w:lang w:val="es-ES"/>
              </w:rPr>
            </w:pPr>
          </w:p>
          <w:p w14:paraId="1BF54D3B" w14:textId="77777777" w:rsidR="00772CD2" w:rsidRDefault="00772CD2" w:rsidP="00772CD2">
            <w:pPr>
              <w:tabs>
                <w:tab w:val="left" w:pos="1710"/>
                <w:tab w:val="center" w:pos="4419"/>
              </w:tabs>
              <w:jc w:val="both"/>
              <w:rPr>
                <w:rFonts w:ascii="ITC Avant Garde" w:eastAsia="Calibri" w:hAnsi="ITC Avant Garde" w:cs="Arial"/>
                <w:sz w:val="18"/>
                <w:szCs w:val="18"/>
              </w:rPr>
            </w:pPr>
            <w:r>
              <w:rPr>
                <w:rFonts w:ascii="ITC Avant Garde" w:eastAsia="Calibri" w:hAnsi="ITC Avant Garde" w:cs="Arial"/>
                <w:sz w:val="18"/>
                <w:szCs w:val="18"/>
              </w:rPr>
              <w:t xml:space="preserve">Cabe destacar, que en el artículo </w:t>
            </w:r>
            <w:r w:rsidRPr="00852B24">
              <w:rPr>
                <w:rFonts w:ascii="ITC Avant Garde" w:eastAsia="Calibri" w:hAnsi="ITC Avant Garde" w:cs="Arial"/>
                <w:sz w:val="18"/>
                <w:szCs w:val="18"/>
              </w:rPr>
              <w:t>Séptimo</w:t>
            </w:r>
            <w:r>
              <w:rPr>
                <w:rFonts w:ascii="ITC Avant Garde" w:eastAsia="Calibri" w:hAnsi="ITC Avant Garde" w:cs="Arial"/>
                <w:sz w:val="18"/>
                <w:szCs w:val="18"/>
              </w:rPr>
              <w:t xml:space="preserve"> de las Disposiciones de referencia, se ordenó rea</w:t>
            </w:r>
            <w:r w:rsidRPr="00852B24">
              <w:rPr>
                <w:rFonts w:ascii="ITC Avant Garde" w:eastAsia="Calibri" w:hAnsi="ITC Avant Garde" w:cs="Arial"/>
                <w:sz w:val="18"/>
                <w:szCs w:val="18"/>
              </w:rPr>
              <w:t>lizar las modificaciones a los Lineamientos Generales para el otorgamiento de las</w:t>
            </w:r>
            <w:r>
              <w:rPr>
                <w:rFonts w:ascii="ITC Avant Garde" w:eastAsia="Calibri" w:hAnsi="ITC Avant Garde" w:cs="Arial"/>
                <w:sz w:val="18"/>
                <w:szCs w:val="18"/>
              </w:rPr>
              <w:t xml:space="preserve"> </w:t>
            </w:r>
            <w:r w:rsidRPr="00852B24">
              <w:rPr>
                <w:rFonts w:ascii="ITC Avant Garde" w:eastAsia="Calibri" w:hAnsi="ITC Avant Garde" w:cs="Arial"/>
                <w:sz w:val="18"/>
                <w:szCs w:val="18"/>
              </w:rPr>
              <w:t xml:space="preserve">concesiones, </w:t>
            </w:r>
            <w:r w:rsidRPr="000642BC">
              <w:rPr>
                <w:rFonts w:ascii="ITC Avant Garde" w:eastAsia="Calibri" w:hAnsi="ITC Avant Garde" w:cs="Arial"/>
                <w:sz w:val="18"/>
                <w:szCs w:val="18"/>
                <w:u w:val="single"/>
              </w:rPr>
              <w:t>incluyendo la derogación de la sección relativa a la obtención de Recurso Orbital a petición de parte interesada</w:t>
            </w:r>
            <w:r w:rsidRPr="00852B24">
              <w:rPr>
                <w:rFonts w:ascii="ITC Avant Garde" w:eastAsia="Calibri" w:hAnsi="ITC Avant Garde" w:cs="Arial"/>
                <w:sz w:val="18"/>
                <w:szCs w:val="18"/>
              </w:rPr>
              <w:t>,</w:t>
            </w:r>
            <w:r>
              <w:rPr>
                <w:rFonts w:ascii="ITC Avant Garde" w:eastAsia="Calibri" w:hAnsi="ITC Avant Garde" w:cs="Arial"/>
                <w:sz w:val="18"/>
                <w:szCs w:val="18"/>
              </w:rPr>
              <w:t xml:space="preserve"> </w:t>
            </w:r>
            <w:r w:rsidRPr="00852B24">
              <w:rPr>
                <w:rFonts w:ascii="ITC Avant Garde" w:eastAsia="Calibri" w:hAnsi="ITC Avant Garde" w:cs="Arial"/>
                <w:sz w:val="18"/>
                <w:szCs w:val="18"/>
              </w:rPr>
              <w:t>dentro de un plazo de</w:t>
            </w:r>
            <w:r>
              <w:rPr>
                <w:rFonts w:ascii="ITC Avant Garde" w:eastAsia="Calibri" w:hAnsi="ITC Avant Garde" w:cs="Arial"/>
                <w:sz w:val="18"/>
                <w:szCs w:val="18"/>
              </w:rPr>
              <w:t xml:space="preserve"> </w:t>
            </w:r>
            <w:r w:rsidRPr="00852B24">
              <w:rPr>
                <w:rFonts w:ascii="ITC Avant Garde" w:eastAsia="Calibri" w:hAnsi="ITC Avant Garde" w:cs="Arial"/>
                <w:sz w:val="18"/>
                <w:szCs w:val="18"/>
              </w:rPr>
              <w:t>hasta dos años siguientes contados a partir de la fecha de publicación de las Disposiciones</w:t>
            </w:r>
            <w:r>
              <w:rPr>
                <w:rFonts w:ascii="ITC Avant Garde" w:eastAsia="Calibri" w:hAnsi="ITC Avant Garde" w:cs="Arial"/>
                <w:sz w:val="18"/>
                <w:szCs w:val="18"/>
              </w:rPr>
              <w:t xml:space="preserve">. </w:t>
            </w:r>
          </w:p>
          <w:p w14:paraId="2CA09F2F" w14:textId="77777777" w:rsidR="00772CD2" w:rsidRDefault="00772CD2" w:rsidP="00772CD2">
            <w:pPr>
              <w:tabs>
                <w:tab w:val="left" w:pos="1710"/>
                <w:tab w:val="center" w:pos="4419"/>
              </w:tabs>
              <w:jc w:val="both"/>
              <w:rPr>
                <w:rFonts w:ascii="ITC Avant Garde" w:eastAsia="Calibri" w:hAnsi="ITC Avant Garde" w:cs="Arial"/>
                <w:sz w:val="18"/>
                <w:szCs w:val="18"/>
              </w:rPr>
            </w:pPr>
          </w:p>
          <w:p w14:paraId="2907A43E"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 xml:space="preserve">En ese sentido, derivado del análisis sobre las modificaciones necesarias, se advierte que en términos generales están dirigidas a realizar una armonización normativa, estableciendo definiciones, o términos de referencia a las Disposiciones Regulatorias en materia de Comunicación Vía Satélite; no obstante, como parte del análisis respectivo se advirtió la posible derogación del trámite referente a las Concesiones de Recursos Orbitales para Uso Privado, referidas en el artículo 76, fracción III, inciso b) de la Ley, para satisfacer necesidades de comunicación para embajadas o misiones diplomáticas que visiten el país, mismas que se incluyeron en las modificaciones a los Lineamientos de Concesiones realizadas el 13 de febrero de 2019, por las razones que a continuación se detallan. </w:t>
            </w:r>
          </w:p>
          <w:p w14:paraId="2534B405" w14:textId="77777777" w:rsidR="00772CD2" w:rsidRPr="00FA261C" w:rsidRDefault="00772CD2" w:rsidP="00772CD2">
            <w:pPr>
              <w:shd w:val="clear" w:color="auto" w:fill="FFFFFF" w:themeFill="background1"/>
              <w:jc w:val="both"/>
              <w:rPr>
                <w:rFonts w:ascii="ITC Avant Garde" w:hAnsi="ITC Avant Garde"/>
                <w:bCs/>
                <w:sz w:val="18"/>
                <w:szCs w:val="18"/>
              </w:rPr>
            </w:pPr>
          </w:p>
          <w:p w14:paraId="71EAE0F5"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Anterior a la modificación de febrero de 2019, los Lineamientos de Concesiones establecían que</w:t>
            </w:r>
            <w:r>
              <w:rPr>
                <w:rFonts w:ascii="ITC Avant Garde" w:hAnsi="ITC Avant Garde"/>
                <w:bCs/>
                <w:sz w:val="18"/>
                <w:szCs w:val="18"/>
              </w:rPr>
              <w:t>,</w:t>
            </w:r>
            <w:r w:rsidRPr="00FA261C">
              <w:rPr>
                <w:rFonts w:ascii="ITC Avant Garde" w:hAnsi="ITC Avant Garde"/>
                <w:bCs/>
                <w:sz w:val="18"/>
                <w:szCs w:val="18"/>
              </w:rPr>
              <w:t xml:space="preserve"> para este tipo de concesión, debía ser otorgada a la Secretaría de Relaciones Exteriores bajo el entendido de que dicha dependencia es la que realizaba las acciones del trámite. Al respecto, por simplificación administrativa, se dejó de realizar esta intermediación y se buscó que los solicitantes acudieran directamente con el Instituto.</w:t>
            </w:r>
          </w:p>
          <w:p w14:paraId="5AC4F93C" w14:textId="77777777" w:rsidR="00772CD2" w:rsidRPr="00FA261C" w:rsidRDefault="00772CD2" w:rsidP="00772CD2">
            <w:pPr>
              <w:shd w:val="clear" w:color="auto" w:fill="FFFFFF" w:themeFill="background1"/>
              <w:jc w:val="both"/>
              <w:rPr>
                <w:rFonts w:ascii="ITC Avant Garde" w:hAnsi="ITC Avant Garde"/>
                <w:bCs/>
                <w:sz w:val="18"/>
                <w:szCs w:val="18"/>
              </w:rPr>
            </w:pPr>
          </w:p>
          <w:p w14:paraId="519A51BB"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 xml:space="preserve">De ese modo, se consideró necesario y procedente modificar los Lineamientos de Concesiones a efecto de incluir y adecuar un formato aplicable a la solicitud de concesión para uso privado para </w:t>
            </w:r>
            <w:r w:rsidRPr="00FA261C">
              <w:rPr>
                <w:rFonts w:ascii="ITC Avant Garde" w:hAnsi="ITC Avant Garde"/>
                <w:bCs/>
                <w:sz w:val="18"/>
                <w:szCs w:val="18"/>
              </w:rPr>
              <w:lastRenderedPageBreak/>
              <w:t>embajadas o misiones diplomáticas, a fin de otorgar este tipo de concesiones directamente a las embajadas y misiones diplomáticas.</w:t>
            </w:r>
          </w:p>
          <w:p w14:paraId="283E5218" w14:textId="77777777" w:rsidR="00772CD2" w:rsidRPr="00FA261C" w:rsidRDefault="00772CD2" w:rsidP="00772CD2">
            <w:pPr>
              <w:shd w:val="clear" w:color="auto" w:fill="FFFFFF" w:themeFill="background1"/>
              <w:jc w:val="both"/>
              <w:rPr>
                <w:rFonts w:ascii="ITC Avant Garde" w:hAnsi="ITC Avant Garde"/>
                <w:bCs/>
                <w:sz w:val="18"/>
                <w:szCs w:val="18"/>
              </w:rPr>
            </w:pPr>
          </w:p>
          <w:p w14:paraId="79E0306B"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Por lo tanto, se acordó modificar tanto el artículo 8 de los Lineamientos en su primer párrafo a fin de excluir a las embajadas o misiones diplomáticas del requisito de presentar la solicitud de concesión conforme al artículo 3 de los Lineamientos, como la fracción VIII del mismo artículo 8 de los Lineamientos, la cual indicaba que las concesiones de espectro radioeléctrico para uso privado para embajadas o misiones diplomáticas se otorgarían a la Secretaría de Relaciones Exteriores, esto a fin de establecer que las solicitudes se presentarán mediante el FORMATO Tipo B2 específico.</w:t>
            </w:r>
          </w:p>
          <w:p w14:paraId="28AE6093" w14:textId="77777777" w:rsidR="00772CD2" w:rsidRPr="00FA261C" w:rsidRDefault="00772CD2" w:rsidP="00772CD2">
            <w:pPr>
              <w:shd w:val="clear" w:color="auto" w:fill="FFFFFF" w:themeFill="background1"/>
              <w:jc w:val="both"/>
              <w:rPr>
                <w:rFonts w:ascii="ITC Avant Garde" w:hAnsi="ITC Avant Garde"/>
                <w:bCs/>
                <w:sz w:val="18"/>
                <w:szCs w:val="18"/>
              </w:rPr>
            </w:pPr>
          </w:p>
          <w:p w14:paraId="44BBA9DD"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En ese mismo sentido, se modificó el artículo 11 de los Lineamientos para que, de igual forma quedara excluida la presentación de la solicitud en términos del artículo 3 de los Lineamientos, lo cual no le es aplicable a las Embajadas o misiones diplomáticas y para especificar que la presentación de las solicitudes para el otorgamiento de las concesiones de recursos orbitales de uso privado para la modalidad en comento debía realizarse en los mismos términos establecidos en el artículo 8 fracción VIII de los Lineamientos.</w:t>
            </w:r>
          </w:p>
          <w:p w14:paraId="6E70618B" w14:textId="77777777" w:rsidR="00772CD2" w:rsidRPr="00FA261C" w:rsidRDefault="00772CD2" w:rsidP="00772CD2">
            <w:pPr>
              <w:shd w:val="clear" w:color="auto" w:fill="FFFFFF" w:themeFill="background1"/>
              <w:jc w:val="both"/>
              <w:rPr>
                <w:rFonts w:ascii="ITC Avant Garde" w:hAnsi="ITC Avant Garde"/>
                <w:bCs/>
                <w:sz w:val="18"/>
                <w:szCs w:val="18"/>
              </w:rPr>
            </w:pPr>
          </w:p>
          <w:p w14:paraId="685AFEAA"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Sin embargo, en el ámbito internacional, con relación al uso y explotación del recurso orbital por parte de las administraciones de cada país, el Reglamento de Radiocomunicaciones de la Unión Internacional de Telecomunicaciones (UIT) establece todos los lineamientos técnicos y administrativos que se deben surtir para poner en operación un satélite o constelación, buscando garantizar el uso eficiente, armonizado y equitativo de este recurso escaso.</w:t>
            </w:r>
          </w:p>
          <w:p w14:paraId="05E8B2A0" w14:textId="77777777" w:rsidR="00772CD2" w:rsidRPr="00FA261C" w:rsidRDefault="00772CD2" w:rsidP="00772CD2">
            <w:pPr>
              <w:shd w:val="clear" w:color="auto" w:fill="FFFFFF" w:themeFill="background1"/>
              <w:jc w:val="both"/>
              <w:rPr>
                <w:rFonts w:ascii="ITC Avant Garde" w:hAnsi="ITC Avant Garde"/>
                <w:bCs/>
                <w:sz w:val="18"/>
                <w:szCs w:val="18"/>
              </w:rPr>
            </w:pPr>
          </w:p>
          <w:p w14:paraId="4B19690F"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 xml:space="preserve">Al respecto, el Reglamento de Radiocomunicaciones incluye los procedimientos de obligatorio complimiento por las administraciones para efectuar la coordinación internacional, la debida diligencia administrativa, notificación, registro y autorización de redes satelitales, y demás procedimientos. Esto es necesario, toda vez que este tipo de comunicaciones rebasan las fronteras de un país y, por lo tanto, a diferencia de las concesiones de espectro radioeléctrico, no le corresponde a una sola administración decidir sobre la viabilidad de su otorgamiento. </w:t>
            </w:r>
          </w:p>
          <w:p w14:paraId="28E0427C" w14:textId="77777777" w:rsidR="00772CD2" w:rsidRPr="00FA261C" w:rsidRDefault="00772CD2" w:rsidP="00772CD2">
            <w:pPr>
              <w:shd w:val="clear" w:color="auto" w:fill="FFFFFF" w:themeFill="background1"/>
              <w:jc w:val="both"/>
              <w:rPr>
                <w:rFonts w:ascii="ITC Avant Garde" w:hAnsi="ITC Avant Garde"/>
                <w:bCs/>
                <w:sz w:val="18"/>
                <w:szCs w:val="18"/>
              </w:rPr>
            </w:pPr>
          </w:p>
          <w:p w14:paraId="3E636750"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Sobre el particular, la UIT estableció para la explotación del recurso orbital dos esquemas, uno en bandas no planificadas en el cual el uso de este recurso se asigna mediante el procedimiento de “primeras entradas – primeras salidas” basado en el principio de que los derechos se adquieren por medio de acuerdos de coordinación entre países.</w:t>
            </w:r>
          </w:p>
          <w:p w14:paraId="067F40DB" w14:textId="77777777" w:rsidR="00772CD2" w:rsidRPr="00FA261C" w:rsidRDefault="00772CD2" w:rsidP="00772CD2">
            <w:pPr>
              <w:shd w:val="clear" w:color="auto" w:fill="FFFFFF" w:themeFill="background1"/>
              <w:jc w:val="both"/>
              <w:rPr>
                <w:rFonts w:ascii="ITC Avant Garde" w:hAnsi="ITC Avant Garde"/>
                <w:bCs/>
                <w:sz w:val="18"/>
                <w:szCs w:val="18"/>
              </w:rPr>
            </w:pPr>
          </w:p>
          <w:p w14:paraId="5AE7CE66"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El segundo, corresponde al recurso orbital en bandas planificadas, esquema que busca el acceso equitativo al espectro por parte de todos los países miembros de la UIT garantizado por la planificación a-priori. Estos planes para el uso de la órbita/espectro se establecieron por presión de los países en desarrollo que, en vista del rápido crecimiento de la utilización de este recurso limitado por los países desarrollados, querían tener una garantía de ser también capaces de acceder a este de recurso.</w:t>
            </w:r>
          </w:p>
          <w:p w14:paraId="09E60BC7" w14:textId="77777777" w:rsidR="00772CD2" w:rsidRPr="00FA261C" w:rsidRDefault="00772CD2" w:rsidP="00772CD2">
            <w:pPr>
              <w:shd w:val="clear" w:color="auto" w:fill="FFFFFF" w:themeFill="background1"/>
              <w:jc w:val="both"/>
              <w:rPr>
                <w:rFonts w:ascii="ITC Avant Garde" w:hAnsi="ITC Avant Garde"/>
                <w:bCs/>
                <w:sz w:val="18"/>
                <w:szCs w:val="18"/>
              </w:rPr>
            </w:pPr>
          </w:p>
          <w:p w14:paraId="595E9A46"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En este sentido, las administraciones de cada país pueden aprovechar el recurso orbital en bandas planificadas o una modificación del mismo a que tienen derecho conforme el reglamento de radiocomunicaciones de la UIT en los apéndices 30, 30A y 30B para explotar este recurso a nombre propio sin necesidad de acudir a otro país para realizar la gestión ante la UIT.</w:t>
            </w:r>
          </w:p>
          <w:p w14:paraId="1D514620" w14:textId="77777777" w:rsidR="00772CD2" w:rsidRPr="00FA261C" w:rsidRDefault="00772CD2" w:rsidP="00772CD2">
            <w:pPr>
              <w:shd w:val="clear" w:color="auto" w:fill="FFFFFF" w:themeFill="background1"/>
              <w:jc w:val="both"/>
              <w:rPr>
                <w:rFonts w:ascii="ITC Avant Garde" w:hAnsi="ITC Avant Garde"/>
                <w:bCs/>
                <w:sz w:val="18"/>
                <w:szCs w:val="18"/>
              </w:rPr>
            </w:pPr>
          </w:p>
          <w:p w14:paraId="51FBF32B" w14:textId="77777777" w:rsidR="00772CD2" w:rsidRPr="00FA261C"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Por lo tanto, para entidades como Embajadas o misiones diplomáticas de un país, si bien es cierto que podría existir la posibilidad de solicitar posiciones orbitales a través de la Administración Mexicana, también lo podrían hacer con el apoyo de su país de origen, lo cual se considera más viable técnica, administrativa y operacionalmente. Abonando a lo anterior, a la fecha no se han recibido solicitudes de este tipo de concesión ante el Instituto, razón por la cual se propone derogar este trámite de los Lineamientos de Concesiones, pues carece de eficacia y utilidad jurídica mantenerla, por las gestiones directas que cada país puede realizar ante la UIT.</w:t>
            </w:r>
          </w:p>
          <w:p w14:paraId="49ACA5A4" w14:textId="77777777" w:rsidR="00772CD2" w:rsidRPr="00FA261C" w:rsidRDefault="00772CD2" w:rsidP="00772CD2">
            <w:pPr>
              <w:shd w:val="clear" w:color="auto" w:fill="FFFFFF" w:themeFill="background1"/>
              <w:jc w:val="both"/>
              <w:rPr>
                <w:rFonts w:ascii="ITC Avant Garde" w:hAnsi="ITC Avant Garde"/>
                <w:bCs/>
                <w:sz w:val="18"/>
                <w:szCs w:val="18"/>
              </w:rPr>
            </w:pPr>
          </w:p>
          <w:p w14:paraId="7F5B696E" w14:textId="77777777" w:rsidR="00772CD2" w:rsidRDefault="00772CD2" w:rsidP="00772CD2">
            <w:pPr>
              <w:shd w:val="clear" w:color="auto" w:fill="FFFFFF" w:themeFill="background1"/>
              <w:jc w:val="both"/>
              <w:rPr>
                <w:rFonts w:ascii="ITC Avant Garde" w:hAnsi="ITC Avant Garde"/>
                <w:bCs/>
                <w:sz w:val="18"/>
                <w:szCs w:val="18"/>
              </w:rPr>
            </w:pPr>
            <w:r w:rsidRPr="00FA261C">
              <w:rPr>
                <w:rFonts w:ascii="ITC Avant Garde" w:hAnsi="ITC Avant Garde"/>
                <w:bCs/>
                <w:sz w:val="18"/>
                <w:szCs w:val="18"/>
              </w:rPr>
              <w:t>Aunado a que, existen otro tipo de soluciones como las autorizaciones de uso temporal para visitas diplomáticas y la provisión de un servicio por operadores que explotan los derechos de emisión y recepción de señales y bandas de frecuencias asociados a sistemas satelitales extranjeros que cubren y pueden prestar servicios en el territorio nacional y que satisfacen de manera más expedita las necesidades de Embajadas o misiones diplomáticas en el país.</w:t>
            </w:r>
          </w:p>
          <w:p w14:paraId="70E88D88" w14:textId="77777777" w:rsidR="00772CD2" w:rsidRDefault="00772CD2" w:rsidP="00772CD2">
            <w:pPr>
              <w:shd w:val="clear" w:color="auto" w:fill="FFFFFF" w:themeFill="background1"/>
              <w:jc w:val="both"/>
              <w:rPr>
                <w:rFonts w:ascii="ITC Avant Garde" w:hAnsi="ITC Avant Garde"/>
                <w:bCs/>
                <w:sz w:val="18"/>
                <w:szCs w:val="18"/>
              </w:rPr>
            </w:pPr>
          </w:p>
          <w:p w14:paraId="248A7BE4" w14:textId="77777777" w:rsidR="00772CD2" w:rsidRDefault="00772CD2" w:rsidP="00772CD2">
            <w:pPr>
              <w:tabs>
                <w:tab w:val="left" w:pos="1710"/>
                <w:tab w:val="center" w:pos="4419"/>
              </w:tabs>
              <w:jc w:val="both"/>
              <w:rPr>
                <w:rFonts w:ascii="ITC Avant Garde" w:eastAsia="Calibri" w:hAnsi="ITC Avant Garde" w:cs="Arial"/>
                <w:sz w:val="18"/>
                <w:szCs w:val="18"/>
              </w:rPr>
            </w:pPr>
            <w:r>
              <w:rPr>
                <w:rFonts w:ascii="ITC Avant Garde" w:hAnsi="ITC Avant Garde"/>
                <w:bCs/>
                <w:sz w:val="18"/>
                <w:szCs w:val="18"/>
              </w:rPr>
              <w:t>Finalmente, c</w:t>
            </w:r>
            <w:r>
              <w:rPr>
                <w:rFonts w:ascii="ITC Avant Garde" w:eastAsia="Calibri" w:hAnsi="ITC Avant Garde" w:cs="Arial"/>
                <w:sz w:val="18"/>
                <w:szCs w:val="18"/>
              </w:rPr>
              <w:t xml:space="preserve">abe destacar, que en el artículo </w:t>
            </w:r>
            <w:r w:rsidRPr="00852B24">
              <w:rPr>
                <w:rFonts w:ascii="ITC Avant Garde" w:eastAsia="Calibri" w:hAnsi="ITC Avant Garde" w:cs="Arial"/>
                <w:sz w:val="18"/>
                <w:szCs w:val="18"/>
              </w:rPr>
              <w:t>Séptimo</w:t>
            </w:r>
            <w:r>
              <w:rPr>
                <w:rFonts w:ascii="ITC Avant Garde" w:eastAsia="Calibri" w:hAnsi="ITC Avant Garde" w:cs="Arial"/>
                <w:sz w:val="18"/>
                <w:szCs w:val="18"/>
              </w:rPr>
              <w:t xml:space="preserve"> de las Disposiciones de referencia, se ordenó </w:t>
            </w:r>
            <w:r w:rsidRPr="008002F7">
              <w:rPr>
                <w:rFonts w:ascii="ITC Avant Garde" w:eastAsia="Calibri" w:hAnsi="ITC Avant Garde" w:cs="Arial"/>
                <w:sz w:val="18"/>
                <w:szCs w:val="18"/>
              </w:rPr>
              <w:t xml:space="preserve">la derogación de la sección relativa a la obtención de Recurso Orbital a petición de parte interesada, </w:t>
            </w:r>
            <w:r w:rsidRPr="00852B24">
              <w:rPr>
                <w:rFonts w:ascii="ITC Avant Garde" w:eastAsia="Calibri" w:hAnsi="ITC Avant Garde" w:cs="Arial"/>
                <w:sz w:val="18"/>
                <w:szCs w:val="18"/>
              </w:rPr>
              <w:t>dentro de un plazo de</w:t>
            </w:r>
            <w:r>
              <w:rPr>
                <w:rFonts w:ascii="ITC Avant Garde" w:eastAsia="Calibri" w:hAnsi="ITC Avant Garde" w:cs="Arial"/>
                <w:sz w:val="18"/>
                <w:szCs w:val="18"/>
              </w:rPr>
              <w:t xml:space="preserve"> </w:t>
            </w:r>
            <w:r w:rsidRPr="00852B24">
              <w:rPr>
                <w:rFonts w:ascii="ITC Avant Garde" w:eastAsia="Calibri" w:hAnsi="ITC Avant Garde" w:cs="Arial"/>
                <w:sz w:val="18"/>
                <w:szCs w:val="18"/>
              </w:rPr>
              <w:t>hasta dos años siguientes contados a partir de la fecha de publicación de las Disposiciones</w:t>
            </w:r>
            <w:r>
              <w:rPr>
                <w:rFonts w:ascii="ITC Avant Garde" w:eastAsia="Calibri" w:hAnsi="ITC Avant Garde" w:cs="Arial"/>
                <w:sz w:val="18"/>
                <w:szCs w:val="18"/>
              </w:rPr>
              <w:t xml:space="preserve">. </w:t>
            </w:r>
          </w:p>
          <w:p w14:paraId="6FBF9971" w14:textId="77777777" w:rsidR="00772CD2" w:rsidRDefault="00772CD2" w:rsidP="00772CD2">
            <w:pPr>
              <w:tabs>
                <w:tab w:val="left" w:pos="1710"/>
                <w:tab w:val="center" w:pos="4419"/>
              </w:tabs>
              <w:jc w:val="both"/>
              <w:rPr>
                <w:rFonts w:ascii="ITC Avant Garde" w:eastAsia="Calibri" w:hAnsi="ITC Avant Garde" w:cs="Arial"/>
                <w:sz w:val="18"/>
                <w:szCs w:val="18"/>
              </w:rPr>
            </w:pPr>
          </w:p>
          <w:p w14:paraId="246E660F" w14:textId="77777777" w:rsidR="00772CD2" w:rsidRDefault="00772CD2" w:rsidP="00772CD2">
            <w:pPr>
              <w:tabs>
                <w:tab w:val="left" w:pos="1710"/>
                <w:tab w:val="center" w:pos="4419"/>
              </w:tabs>
              <w:jc w:val="both"/>
              <w:rPr>
                <w:rFonts w:ascii="ITC Avant Garde" w:eastAsia="Calibri" w:hAnsi="ITC Avant Garde" w:cs="Arial"/>
                <w:sz w:val="18"/>
                <w:szCs w:val="18"/>
              </w:rPr>
            </w:pPr>
            <w:r>
              <w:rPr>
                <w:rFonts w:ascii="ITC Avant Garde" w:eastAsia="Calibri" w:hAnsi="ITC Avant Garde" w:cs="Arial"/>
                <w:sz w:val="18"/>
                <w:szCs w:val="18"/>
              </w:rPr>
              <w:t>No obstante, por lo que hace a la derogación del artículo 12 de los Lineamientos de Concesiones; la Unidad de Concesiones y Servicios propone su modificación en lugar de la derogación. Toda vez que el artículo 21 fracción IV de las Disposiciones no establece la totalidad de las modalidades de uso, o el tipo de documentación que deberá presentarse para acreditar la nacionalidad en caso de uso social comunitario e indígena, tampoco refiere la documentación requerida para acreditar la capacidad técnica, jurídica y administrativa del solicitante, lo cual si está detallada en el artículo 3 de los Lineamientos de Concesiones.</w:t>
            </w:r>
          </w:p>
          <w:p w14:paraId="3A4E1767" w14:textId="77777777" w:rsidR="00772CD2" w:rsidRDefault="00772CD2" w:rsidP="00772CD2">
            <w:pPr>
              <w:tabs>
                <w:tab w:val="left" w:pos="1710"/>
                <w:tab w:val="center" w:pos="4419"/>
              </w:tabs>
              <w:jc w:val="both"/>
              <w:rPr>
                <w:rFonts w:ascii="ITC Avant Garde" w:eastAsia="Calibri" w:hAnsi="ITC Avant Garde" w:cs="Arial"/>
                <w:sz w:val="18"/>
                <w:szCs w:val="18"/>
              </w:rPr>
            </w:pPr>
          </w:p>
          <w:p w14:paraId="60E4AEF8" w14:textId="77777777" w:rsidR="00772CD2" w:rsidRDefault="00772CD2" w:rsidP="00772CD2">
            <w:pPr>
              <w:tabs>
                <w:tab w:val="left" w:pos="1710"/>
                <w:tab w:val="center" w:pos="4419"/>
              </w:tabs>
              <w:jc w:val="both"/>
              <w:rPr>
                <w:rFonts w:ascii="ITC Avant Garde" w:eastAsia="Calibri" w:hAnsi="ITC Avant Garde" w:cs="Arial"/>
                <w:sz w:val="18"/>
                <w:szCs w:val="18"/>
              </w:rPr>
            </w:pPr>
            <w:r>
              <w:rPr>
                <w:rFonts w:ascii="ITC Avant Garde" w:eastAsia="Calibri" w:hAnsi="ITC Avant Garde" w:cs="Arial"/>
                <w:sz w:val="18"/>
                <w:szCs w:val="18"/>
              </w:rPr>
              <w:t xml:space="preserve">Bajo ese contexto, se considera oportuno mantener el artículo 12, haciendo referencia al artículo 3° de los Lineamientos de Concesiones y remitiendo a los requisitos contenidos en las Disposiciones Satelitales a fin de armonizar los requisitos para este tipo de concesión. </w:t>
            </w:r>
          </w:p>
          <w:p w14:paraId="05940E4D" w14:textId="77777777" w:rsidR="00772CD2" w:rsidRDefault="00772CD2" w:rsidP="003C1AA7">
            <w:pPr>
              <w:shd w:val="clear" w:color="auto" w:fill="FFFFFF" w:themeFill="background1"/>
              <w:jc w:val="both"/>
              <w:rPr>
                <w:rFonts w:ascii="ITC Avant Garde" w:hAnsi="ITC Avant Garde"/>
                <w:bCs/>
                <w:sz w:val="18"/>
                <w:szCs w:val="18"/>
                <w:lang w:val="es-ES"/>
              </w:rPr>
            </w:pPr>
          </w:p>
          <w:p w14:paraId="71F9F336" w14:textId="1CF4639E" w:rsidR="00766F77" w:rsidRDefault="00766F77" w:rsidP="003C1AA7">
            <w:pPr>
              <w:shd w:val="clear" w:color="auto" w:fill="FFFFFF" w:themeFill="background1"/>
              <w:jc w:val="both"/>
              <w:rPr>
                <w:rFonts w:ascii="ITC Avant Garde" w:hAnsi="ITC Avant Garde"/>
                <w:bCs/>
                <w:sz w:val="18"/>
                <w:szCs w:val="18"/>
              </w:rPr>
            </w:pPr>
          </w:p>
          <w:p w14:paraId="2FA99E78" w14:textId="30B8591F" w:rsidR="006018A0" w:rsidRPr="007F6B15" w:rsidRDefault="006018A0" w:rsidP="00B16715">
            <w:pPr>
              <w:shd w:val="clear" w:color="auto" w:fill="FFFFFF" w:themeFill="background1"/>
              <w:jc w:val="both"/>
              <w:rPr>
                <w:rFonts w:ascii="ITC Avant Garde" w:hAnsi="ITC Avant Garde"/>
                <w:sz w:val="18"/>
                <w:szCs w:val="18"/>
                <w:lang w:val="es-ES"/>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FF6A29" w14:paraId="27E5996F" w14:textId="77777777" w:rsidTr="00B41497">
        <w:tc>
          <w:tcPr>
            <w:tcW w:w="8828" w:type="dxa"/>
          </w:tcPr>
          <w:p w14:paraId="0F3534D9" w14:textId="77777777" w:rsidR="00B41497" w:rsidRPr="00FF6A29" w:rsidRDefault="00B41497" w:rsidP="00B41497">
            <w:pPr>
              <w:jc w:val="both"/>
              <w:rPr>
                <w:rFonts w:ascii="ITC Avant Garde" w:hAnsi="ITC Avant Garde"/>
                <w:b/>
                <w:sz w:val="18"/>
                <w:szCs w:val="18"/>
              </w:rPr>
            </w:pPr>
            <w:r w:rsidRPr="00FF6A29">
              <w:rPr>
                <w:rFonts w:ascii="ITC Avant Garde" w:hAnsi="ITC Avant Garde"/>
                <w:b/>
                <w:sz w:val="18"/>
                <w:szCs w:val="18"/>
              </w:rPr>
              <w:lastRenderedPageBreak/>
              <w:t xml:space="preserve">2.- </w:t>
            </w:r>
            <w:r w:rsidR="00A81C3A" w:rsidRPr="00FF6A29">
              <w:rPr>
                <w:rFonts w:ascii="ITC Avant Garde" w:hAnsi="ITC Avant Garde"/>
                <w:b/>
                <w:sz w:val="18"/>
                <w:szCs w:val="18"/>
              </w:rPr>
              <w:t>Según sea el caso, conforme a lo señalado por los artículos 51 de la Ley Federal de Telecomunicaciones y Radiodifusión y 12, fracción XXII, de la Ley Federal de Competencia Económica,</w:t>
            </w:r>
            <w:r w:rsidRPr="00FF6A29">
              <w:rPr>
                <w:rFonts w:ascii="ITC Avant Garde" w:hAnsi="ITC Avant Garde"/>
                <w:b/>
                <w:sz w:val="18"/>
                <w:szCs w:val="18"/>
              </w:rPr>
              <w:t xml:space="preserve"> ¿considera que la publicidad de la propuesta de regulación pueda comprometer los efectos que se pretenden </w:t>
            </w:r>
            <w:r w:rsidR="004226AE" w:rsidRPr="00FF6A29">
              <w:rPr>
                <w:rFonts w:ascii="ITC Avant Garde" w:hAnsi="ITC Avant Garde"/>
                <w:b/>
                <w:sz w:val="18"/>
                <w:szCs w:val="18"/>
              </w:rPr>
              <w:t xml:space="preserve">resolver o prevenir </w:t>
            </w:r>
            <w:r w:rsidRPr="00FF6A29">
              <w:rPr>
                <w:rFonts w:ascii="ITC Avant Garde" w:hAnsi="ITC Avant Garde"/>
                <w:b/>
                <w:sz w:val="18"/>
                <w:szCs w:val="18"/>
              </w:rPr>
              <w:t xml:space="preserve">con </w:t>
            </w:r>
            <w:r w:rsidR="00372BF7" w:rsidRPr="00FF6A29">
              <w:rPr>
                <w:rFonts w:ascii="ITC Avant Garde" w:hAnsi="ITC Avant Garde"/>
                <w:b/>
                <w:sz w:val="18"/>
                <w:szCs w:val="18"/>
              </w:rPr>
              <w:t>su</w:t>
            </w:r>
            <w:r w:rsidRPr="00FF6A29">
              <w:rPr>
                <w:rFonts w:ascii="ITC Avant Garde" w:hAnsi="ITC Avant Garde"/>
                <w:b/>
                <w:sz w:val="18"/>
                <w:szCs w:val="18"/>
              </w:rPr>
              <w:t xml:space="preserve"> 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FF6A29" w14:paraId="33EBE0CA" w14:textId="77777777" w:rsidTr="00B41497">
              <w:tc>
                <w:tcPr>
                  <w:tcW w:w="1462" w:type="dxa"/>
                  <w:shd w:val="clear" w:color="auto" w:fill="A8D08D" w:themeFill="accent6" w:themeFillTint="99"/>
                </w:tcPr>
                <w:p w14:paraId="0739151E" w14:textId="77777777" w:rsidR="00B41497" w:rsidRPr="00FF6A29" w:rsidRDefault="00B41497" w:rsidP="00B41497">
                  <w:pPr>
                    <w:jc w:val="center"/>
                    <w:rPr>
                      <w:rFonts w:ascii="ITC Avant Garde" w:hAnsi="ITC Avant Garde"/>
                      <w:b/>
                      <w:sz w:val="18"/>
                      <w:szCs w:val="18"/>
                    </w:rPr>
                  </w:pPr>
                  <w:r w:rsidRPr="00FF6A29">
                    <w:rPr>
                      <w:rFonts w:ascii="ITC Avant Garde" w:hAnsi="ITC Avant Garde"/>
                      <w:b/>
                      <w:sz w:val="18"/>
                      <w:szCs w:val="18"/>
                    </w:rPr>
                    <w:t>Seleccione</w:t>
                  </w:r>
                </w:p>
              </w:tc>
            </w:tr>
            <w:tr w:rsidR="00B41497" w:rsidRPr="00FF6A29" w14:paraId="64E76DAD" w14:textId="77777777" w:rsidTr="00B41497">
              <w:tc>
                <w:tcPr>
                  <w:tcW w:w="1462" w:type="dxa"/>
                </w:tcPr>
                <w:p w14:paraId="7B1B6465" w14:textId="77777777" w:rsidR="00B41497" w:rsidRPr="00FF6A29" w:rsidRDefault="00B41497" w:rsidP="00B41497">
                  <w:pPr>
                    <w:jc w:val="center"/>
                    <w:rPr>
                      <w:rFonts w:ascii="ITC Avant Garde" w:hAnsi="ITC Avant Garde"/>
                      <w:sz w:val="18"/>
                      <w:szCs w:val="18"/>
                    </w:rPr>
                  </w:pPr>
                  <w:r w:rsidRPr="00FF6A29">
                    <w:rPr>
                      <w:rFonts w:ascii="ITC Avant Garde" w:hAnsi="ITC Avant Garde"/>
                      <w:sz w:val="18"/>
                      <w:szCs w:val="18"/>
                    </w:rPr>
                    <w:t>S</w:t>
                  </w:r>
                  <w:r w:rsidR="00FB58BA" w:rsidRPr="00FF6A29">
                    <w:rPr>
                      <w:rFonts w:ascii="ITC Avant Garde" w:hAnsi="ITC Avant Garde"/>
                      <w:sz w:val="18"/>
                      <w:szCs w:val="18"/>
                    </w:rPr>
                    <w:t>í</w:t>
                  </w:r>
                  <w:r w:rsidR="002B41D8" w:rsidRPr="00FF6A29">
                    <w:rPr>
                      <w:rFonts w:ascii="ITC Avant Garde" w:hAnsi="ITC Avant Garde"/>
                      <w:sz w:val="18"/>
                      <w:szCs w:val="18"/>
                    </w:rPr>
                    <w:t xml:space="preserve"> ( ) No (</w:t>
                  </w:r>
                  <w:r w:rsidR="002B41D8" w:rsidRPr="00FF6A29">
                    <w:rPr>
                      <w:rFonts w:ascii="ITC Avant Garde" w:hAnsi="ITC Avant Garde"/>
                      <w:b/>
                      <w:sz w:val="18"/>
                      <w:szCs w:val="18"/>
                    </w:rPr>
                    <w:t>X</w:t>
                  </w:r>
                  <w:r w:rsidRPr="00FF6A29">
                    <w:rPr>
                      <w:rFonts w:ascii="ITC Avant Garde" w:hAnsi="ITC Avant Garde"/>
                      <w:sz w:val="18"/>
                      <w:szCs w:val="18"/>
                    </w:rPr>
                    <w:t>)</w:t>
                  </w:r>
                </w:p>
              </w:tc>
            </w:tr>
          </w:tbl>
          <w:p w14:paraId="1D6770C6" w14:textId="77777777" w:rsidR="00B41497" w:rsidRPr="00FF6A29" w:rsidRDefault="00B41497" w:rsidP="00B41497">
            <w:pPr>
              <w:jc w:val="both"/>
              <w:rPr>
                <w:rFonts w:ascii="ITC Avant Garde" w:hAnsi="ITC Avant Garde"/>
                <w:sz w:val="18"/>
                <w:szCs w:val="18"/>
              </w:rPr>
            </w:pPr>
          </w:p>
          <w:p w14:paraId="245E1720" w14:textId="77777777" w:rsidR="00B41497" w:rsidRPr="00FF6A29" w:rsidRDefault="00B41497" w:rsidP="00B41497">
            <w:pPr>
              <w:jc w:val="both"/>
              <w:rPr>
                <w:rFonts w:ascii="ITC Avant Garde" w:hAnsi="ITC Avant Garde"/>
                <w:sz w:val="18"/>
                <w:szCs w:val="18"/>
              </w:rPr>
            </w:pPr>
          </w:p>
          <w:p w14:paraId="48A9ED22" w14:textId="77777777" w:rsidR="00B41497" w:rsidRPr="00FF6A29" w:rsidRDefault="00B41497" w:rsidP="00B41497">
            <w:pPr>
              <w:jc w:val="both"/>
              <w:rPr>
                <w:rFonts w:ascii="ITC Avant Garde" w:hAnsi="ITC Avant Garde"/>
                <w:sz w:val="18"/>
                <w:szCs w:val="18"/>
              </w:rPr>
            </w:pPr>
          </w:p>
          <w:p w14:paraId="39FB0845" w14:textId="77777777" w:rsidR="00B41497" w:rsidRPr="00FF6A29" w:rsidRDefault="00B41497" w:rsidP="00B41497">
            <w:pPr>
              <w:jc w:val="both"/>
              <w:rPr>
                <w:rFonts w:ascii="ITC Avant Garde" w:hAnsi="ITC Avant Garde"/>
                <w:sz w:val="18"/>
                <w:szCs w:val="18"/>
              </w:rPr>
            </w:pPr>
          </w:p>
          <w:p w14:paraId="6E790D84" w14:textId="77777777" w:rsidR="000C16BC" w:rsidRPr="00FF6A29" w:rsidRDefault="000C16BC" w:rsidP="00B41497">
            <w:pPr>
              <w:jc w:val="both"/>
              <w:rPr>
                <w:rFonts w:ascii="ITC Avant Garde" w:hAnsi="ITC Avant Garde"/>
                <w:b/>
                <w:sz w:val="18"/>
                <w:szCs w:val="18"/>
              </w:rPr>
            </w:pPr>
          </w:p>
          <w:p w14:paraId="3508619D" w14:textId="77777777" w:rsidR="00B41497" w:rsidRPr="00FF6A29" w:rsidRDefault="00B41497" w:rsidP="00B41497">
            <w:pPr>
              <w:jc w:val="both"/>
              <w:rPr>
                <w:rFonts w:ascii="ITC Avant Garde" w:hAnsi="ITC Avant Garde"/>
                <w:sz w:val="18"/>
                <w:szCs w:val="18"/>
              </w:rPr>
            </w:pPr>
            <w:r w:rsidRPr="00FF6A29">
              <w:rPr>
                <w:rFonts w:ascii="ITC Avant Garde" w:hAnsi="ITC Avant Garde"/>
                <w:b/>
                <w:sz w:val="18"/>
                <w:szCs w:val="18"/>
              </w:rPr>
              <w:t>En caso de que la respuesta sea afirmativa, justifique y fundamente</w:t>
            </w:r>
            <w:r w:rsidR="00372BF7" w:rsidRPr="00FF6A29">
              <w:rPr>
                <w:rFonts w:ascii="ITC Avant Garde" w:hAnsi="ITC Avant Garde"/>
                <w:b/>
                <w:sz w:val="18"/>
                <w:szCs w:val="18"/>
              </w:rPr>
              <w:t xml:space="preserve"> las razones por las cuales su publicidad puede comprometer los efectos que se pretenden </w:t>
            </w:r>
            <w:r w:rsidR="004226AE" w:rsidRPr="00FF6A29">
              <w:rPr>
                <w:rFonts w:ascii="ITC Avant Garde" w:hAnsi="ITC Avant Garde"/>
                <w:b/>
                <w:sz w:val="18"/>
                <w:szCs w:val="18"/>
              </w:rPr>
              <w:t xml:space="preserve">resolver o prevenir </w:t>
            </w:r>
            <w:r w:rsidR="00372BF7" w:rsidRPr="00FF6A29">
              <w:rPr>
                <w:rFonts w:ascii="ITC Avant Garde" w:hAnsi="ITC Avant Garde"/>
                <w:b/>
                <w:sz w:val="18"/>
                <w:szCs w:val="18"/>
              </w:rPr>
              <w:t>con la propuesta regulatoria</w:t>
            </w:r>
            <w:r w:rsidRPr="00FF6A29">
              <w:rPr>
                <w:rFonts w:ascii="ITC Avant Garde" w:hAnsi="ITC Avant Garde"/>
                <w:b/>
                <w:sz w:val="18"/>
                <w:szCs w:val="18"/>
              </w:rPr>
              <w:t>:</w:t>
            </w:r>
          </w:p>
          <w:p w14:paraId="1D9583CD" w14:textId="77777777" w:rsidR="00B41497" w:rsidRPr="00FF6A29"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FF6A29" w14:paraId="235A8E2A" w14:textId="77777777" w:rsidTr="00596FDE">
              <w:tc>
                <w:tcPr>
                  <w:tcW w:w="8602" w:type="dxa"/>
                </w:tcPr>
                <w:p w14:paraId="0BEE190E" w14:textId="77777777" w:rsidR="00596FDE" w:rsidRPr="00FF6A29" w:rsidRDefault="00596FDE" w:rsidP="004516FA">
                  <w:pPr>
                    <w:framePr w:hSpace="141" w:wrap="around" w:vAnchor="text" w:hAnchor="margin" w:y="356"/>
                    <w:jc w:val="both"/>
                    <w:rPr>
                      <w:rFonts w:ascii="ITC Avant Garde" w:hAnsi="ITC Avant Garde"/>
                      <w:sz w:val="18"/>
                      <w:szCs w:val="18"/>
                    </w:rPr>
                  </w:pPr>
                </w:p>
                <w:p w14:paraId="4843EFCC" w14:textId="3D92B063" w:rsidR="00596FDE" w:rsidRPr="00FF6A29" w:rsidRDefault="00B362DA" w:rsidP="004516FA">
                  <w:pPr>
                    <w:framePr w:hSpace="141" w:wrap="around" w:vAnchor="text" w:hAnchor="margin" w:y="356"/>
                    <w:jc w:val="both"/>
                    <w:rPr>
                      <w:rFonts w:ascii="ITC Avant Garde" w:hAnsi="ITC Avant Garde"/>
                      <w:sz w:val="18"/>
                      <w:szCs w:val="18"/>
                    </w:rPr>
                  </w:pPr>
                  <w:r>
                    <w:rPr>
                      <w:rFonts w:ascii="ITC Avant Garde" w:hAnsi="ITC Avant Garde"/>
                      <w:sz w:val="18"/>
                      <w:szCs w:val="18"/>
                    </w:rPr>
                    <w:t>No aplica.</w:t>
                  </w:r>
                </w:p>
                <w:p w14:paraId="71534A69" w14:textId="77777777" w:rsidR="000C16BC" w:rsidRPr="00FF6A29" w:rsidRDefault="000C16BC" w:rsidP="004516FA">
                  <w:pPr>
                    <w:framePr w:hSpace="141" w:wrap="around" w:vAnchor="text" w:hAnchor="margin" w:y="356"/>
                    <w:jc w:val="both"/>
                    <w:rPr>
                      <w:rFonts w:ascii="ITC Avant Garde" w:hAnsi="ITC Avant Garde"/>
                      <w:sz w:val="18"/>
                      <w:szCs w:val="18"/>
                    </w:rPr>
                  </w:pPr>
                </w:p>
              </w:tc>
            </w:tr>
          </w:tbl>
          <w:p w14:paraId="640CAA03" w14:textId="77777777" w:rsidR="00596FDE" w:rsidRPr="00FF6A29" w:rsidRDefault="00596FDE" w:rsidP="00B41497">
            <w:pPr>
              <w:jc w:val="both"/>
              <w:rPr>
                <w:rFonts w:ascii="ITC Avant Garde" w:hAnsi="ITC Avant Garde"/>
                <w:sz w:val="18"/>
                <w:szCs w:val="18"/>
              </w:rPr>
            </w:pPr>
          </w:p>
          <w:p w14:paraId="54E31D3D" w14:textId="77777777" w:rsidR="009656B1" w:rsidRPr="00FF6A29" w:rsidRDefault="009656B1" w:rsidP="00B41497">
            <w:pPr>
              <w:jc w:val="both"/>
              <w:rPr>
                <w:rFonts w:ascii="ITC Avant Garde" w:hAnsi="ITC Avant Garde"/>
                <w:sz w:val="18"/>
                <w:szCs w:val="18"/>
              </w:rPr>
            </w:pPr>
          </w:p>
        </w:tc>
      </w:tr>
    </w:tbl>
    <w:p w14:paraId="4E604CFA" w14:textId="77777777" w:rsidR="00B41497" w:rsidRPr="00FF6A29" w:rsidRDefault="00B41497" w:rsidP="001932FC">
      <w:pPr>
        <w:jc w:val="both"/>
        <w:rPr>
          <w:rFonts w:ascii="ITC Avant Garde" w:hAnsi="ITC Avant Garde"/>
          <w:sz w:val="18"/>
          <w:szCs w:val="18"/>
        </w:rPr>
      </w:pPr>
    </w:p>
    <w:p w14:paraId="5F75F07B" w14:textId="77777777" w:rsidR="001932FC" w:rsidRPr="00FF6A29" w:rsidRDefault="001932FC" w:rsidP="00A1622C">
      <w:pPr>
        <w:shd w:val="clear" w:color="auto" w:fill="A8D08D" w:themeFill="accent6" w:themeFillTint="99"/>
        <w:jc w:val="both"/>
        <w:rPr>
          <w:rFonts w:ascii="ITC Avant Garde" w:hAnsi="ITC Avant Garde"/>
          <w:b/>
          <w:sz w:val="18"/>
          <w:szCs w:val="18"/>
        </w:rPr>
      </w:pPr>
      <w:r w:rsidRPr="00FF6A29">
        <w:rPr>
          <w:rFonts w:ascii="ITC Avant Garde" w:hAnsi="ITC Avant Garde"/>
          <w:b/>
          <w:sz w:val="18"/>
          <w:szCs w:val="18"/>
        </w:rPr>
        <w:t xml:space="preserve">II. </w:t>
      </w:r>
      <w:r w:rsidR="00E21B49" w:rsidRPr="00FF6A29">
        <w:rPr>
          <w:rFonts w:ascii="ITC Avant Garde" w:hAnsi="ITC Avant Garde"/>
          <w:b/>
          <w:sz w:val="18"/>
          <w:szCs w:val="18"/>
        </w:rPr>
        <w:t xml:space="preserve">IMPACTO DE LA </w:t>
      </w:r>
      <w:r w:rsidR="00D23BD5" w:rsidRPr="00FF6A29">
        <w:rPr>
          <w:rFonts w:ascii="ITC Avant Garde" w:hAnsi="ITC Avant Garde"/>
          <w:b/>
          <w:sz w:val="18"/>
          <w:szCs w:val="18"/>
        </w:rPr>
        <w:t xml:space="preserve">PROPUESTA DE </w:t>
      </w:r>
      <w:r w:rsidR="00E21B49" w:rsidRPr="00FF6A29">
        <w:rPr>
          <w:rFonts w:ascii="ITC Avant Garde" w:hAnsi="ITC Avant Garde"/>
          <w:b/>
          <w:sz w:val="18"/>
          <w:szCs w:val="18"/>
        </w:rPr>
        <w:t>REGULACIÓN</w:t>
      </w:r>
      <w:r w:rsidRPr="00FF6A29">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E7D1C" w:rsidRPr="00FF6A29" w14:paraId="1F71E24A" w14:textId="77777777" w:rsidTr="003F600A">
        <w:tc>
          <w:tcPr>
            <w:tcW w:w="8828" w:type="dxa"/>
          </w:tcPr>
          <w:p w14:paraId="4A977A78" w14:textId="77777777" w:rsidR="00BE7D1C" w:rsidRPr="00FF6A29" w:rsidRDefault="00BE7D1C" w:rsidP="003F600A">
            <w:pPr>
              <w:jc w:val="both"/>
              <w:rPr>
                <w:rFonts w:ascii="ITC Avant Garde" w:hAnsi="ITC Avant Garde"/>
                <w:b/>
                <w:sz w:val="18"/>
                <w:szCs w:val="18"/>
              </w:rPr>
            </w:pPr>
            <w:r w:rsidRPr="00FF6A29">
              <w:rPr>
                <w:rFonts w:ascii="ITC Avant Garde" w:hAnsi="ITC Avant Garde"/>
                <w:b/>
                <w:sz w:val="18"/>
                <w:szCs w:val="18"/>
              </w:rPr>
              <w:t>3.- Para solucionar la problemática identificada, describa las alternativas valoradas y señale las razones por las cuales fueron descartadas.</w:t>
            </w:r>
          </w:p>
          <w:p w14:paraId="30423AFE" w14:textId="78AA37CD" w:rsidR="00BE7D1C" w:rsidRPr="00FF6A29" w:rsidRDefault="00BE7D1C" w:rsidP="003F600A">
            <w:pPr>
              <w:jc w:val="both"/>
              <w:rPr>
                <w:rFonts w:ascii="ITC Avant Garde" w:hAnsi="ITC Avant Garde"/>
                <w:sz w:val="18"/>
                <w:szCs w:val="18"/>
              </w:rPr>
            </w:pPr>
            <w:r w:rsidRPr="00FF6A29">
              <w:rPr>
                <w:rFonts w:ascii="ITC Avant Garde" w:hAnsi="ITC Avant Garde"/>
                <w:sz w:val="18"/>
                <w:szCs w:val="18"/>
              </w:rPr>
              <w:t>Seleccione las alternativas aplicables y, en su c</w:t>
            </w:r>
            <w:r w:rsidR="004E0AA9" w:rsidRPr="00FF6A29">
              <w:rPr>
                <w:rFonts w:ascii="ITC Avant Garde" w:hAnsi="ITC Avant Garde"/>
                <w:sz w:val="18"/>
                <w:szCs w:val="18"/>
              </w:rPr>
              <w:t>aso, seleccione y describa</w:t>
            </w:r>
            <w:r w:rsidR="00E046F4" w:rsidRPr="00FF6A29">
              <w:rPr>
                <w:rFonts w:ascii="ITC Avant Garde" w:hAnsi="ITC Avant Garde"/>
                <w:sz w:val="18"/>
                <w:szCs w:val="18"/>
              </w:rPr>
              <w:t xml:space="preserve"> otra</w:t>
            </w:r>
            <w:r w:rsidR="004E0AA9" w:rsidRPr="00FF6A29">
              <w:rPr>
                <w:rFonts w:ascii="ITC Avant Garde" w:hAnsi="ITC Avant Garde"/>
                <w:sz w:val="18"/>
                <w:szCs w:val="18"/>
              </w:rPr>
              <w:t>.</w:t>
            </w:r>
            <w:r w:rsidRPr="00FF6A29">
              <w:rPr>
                <w:rFonts w:ascii="ITC Avant Garde" w:hAnsi="ITC Avant Garde"/>
                <w:sz w:val="18"/>
                <w:szCs w:val="18"/>
              </w:rPr>
              <w:t xml:space="preserve"> </w:t>
            </w:r>
            <w:r w:rsidR="004E0AA9" w:rsidRPr="00FF6A29">
              <w:rPr>
                <w:rFonts w:ascii="ITC Avant Garde" w:hAnsi="ITC Avant Garde"/>
                <w:sz w:val="18"/>
                <w:szCs w:val="18"/>
              </w:rPr>
              <w:t>C</w:t>
            </w:r>
            <w:r w:rsidRPr="00FF6A29">
              <w:rPr>
                <w:rFonts w:ascii="ITC Avant Garde" w:hAnsi="ITC Avant Garde"/>
                <w:sz w:val="18"/>
                <w:szCs w:val="18"/>
              </w:rPr>
              <w:t xml:space="preserve">onsidere al menos </w:t>
            </w:r>
            <w:r w:rsidR="004E0AA9" w:rsidRPr="00FF6A29">
              <w:rPr>
                <w:rFonts w:ascii="ITC Avant Garde" w:hAnsi="ITC Avant Garde"/>
                <w:sz w:val="18"/>
                <w:szCs w:val="18"/>
              </w:rPr>
              <w:t>dos</w:t>
            </w:r>
            <w:r w:rsidRPr="00FF6A29">
              <w:rPr>
                <w:rFonts w:ascii="ITC Avant Garde" w:hAnsi="ITC Avant Garde"/>
                <w:sz w:val="18"/>
                <w:szCs w:val="18"/>
              </w:rPr>
              <w:t xml:space="preserve"> opciones entre las cuales se encuentre la opción de no intervención.</w:t>
            </w:r>
            <w:r w:rsidR="00FB58BA" w:rsidRPr="00FF6A29">
              <w:rPr>
                <w:rFonts w:ascii="ITC Avant Garde" w:hAnsi="ITC Avant Garde"/>
                <w:sz w:val="18"/>
                <w:szCs w:val="18"/>
              </w:rPr>
              <w:t xml:space="preserve"> Agregue las filas que considere necesarias.</w:t>
            </w:r>
          </w:p>
          <w:p w14:paraId="77DDDD3D" w14:textId="77777777" w:rsidR="00BE7D1C" w:rsidRPr="00FF6A29" w:rsidRDefault="00BE7D1C" w:rsidP="003F600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876"/>
              <w:gridCol w:w="2684"/>
              <w:gridCol w:w="3969"/>
            </w:tblGrid>
            <w:tr w:rsidR="00BE7D1C" w:rsidRPr="00FF6A29" w14:paraId="48D10521" w14:textId="77777777" w:rsidTr="003F600A">
              <w:tc>
                <w:tcPr>
                  <w:tcW w:w="1876" w:type="dxa"/>
                  <w:tcBorders>
                    <w:bottom w:val="single" w:sz="12" w:space="0" w:color="auto"/>
                  </w:tcBorders>
                  <w:shd w:val="clear" w:color="auto" w:fill="A8D08D" w:themeFill="accent6" w:themeFillTint="99"/>
                </w:tcPr>
                <w:p w14:paraId="157D6B7E" w14:textId="77777777" w:rsidR="00BE7D1C" w:rsidRPr="00FF6A29" w:rsidRDefault="00BE7D1C" w:rsidP="003F600A">
                  <w:pPr>
                    <w:jc w:val="center"/>
                    <w:rPr>
                      <w:rFonts w:ascii="ITC Avant Garde" w:hAnsi="ITC Avant Garde"/>
                      <w:b/>
                      <w:sz w:val="18"/>
                      <w:szCs w:val="18"/>
                    </w:rPr>
                  </w:pPr>
                  <w:r w:rsidRPr="00FF6A29">
                    <w:rPr>
                      <w:rFonts w:ascii="ITC Avant Garde" w:hAnsi="ITC Avant Garde"/>
                      <w:b/>
                      <w:sz w:val="18"/>
                      <w:szCs w:val="18"/>
                    </w:rPr>
                    <w:lastRenderedPageBreak/>
                    <w:t xml:space="preserve">Alternativa evaluada </w:t>
                  </w:r>
                </w:p>
              </w:tc>
              <w:tc>
                <w:tcPr>
                  <w:tcW w:w="2684" w:type="dxa"/>
                  <w:shd w:val="clear" w:color="auto" w:fill="A8D08D" w:themeFill="accent6" w:themeFillTint="99"/>
                </w:tcPr>
                <w:p w14:paraId="07917DD8" w14:textId="77777777" w:rsidR="00BE7D1C" w:rsidRPr="00FF6A29" w:rsidRDefault="00BE7D1C" w:rsidP="003F600A">
                  <w:pPr>
                    <w:jc w:val="center"/>
                    <w:rPr>
                      <w:rFonts w:ascii="ITC Avant Garde" w:hAnsi="ITC Avant Garde"/>
                      <w:b/>
                      <w:sz w:val="18"/>
                      <w:szCs w:val="18"/>
                    </w:rPr>
                  </w:pPr>
                  <w:r w:rsidRPr="00FF6A29">
                    <w:rPr>
                      <w:rFonts w:ascii="ITC Avant Garde" w:hAnsi="ITC Avant Garde"/>
                      <w:b/>
                      <w:sz w:val="18"/>
                      <w:szCs w:val="18"/>
                    </w:rPr>
                    <w:t>Descripción</w:t>
                  </w:r>
                </w:p>
              </w:tc>
              <w:tc>
                <w:tcPr>
                  <w:tcW w:w="3969" w:type="dxa"/>
                  <w:shd w:val="clear" w:color="auto" w:fill="A8D08D" w:themeFill="accent6" w:themeFillTint="99"/>
                </w:tcPr>
                <w:p w14:paraId="73957C5E" w14:textId="77777777" w:rsidR="00BE7D1C" w:rsidRPr="00FF6A29" w:rsidRDefault="00BE7D1C" w:rsidP="003F600A">
                  <w:pPr>
                    <w:jc w:val="center"/>
                    <w:rPr>
                      <w:rFonts w:ascii="ITC Avant Garde" w:hAnsi="ITC Avant Garde"/>
                      <w:b/>
                      <w:sz w:val="18"/>
                      <w:szCs w:val="18"/>
                    </w:rPr>
                  </w:pPr>
                  <w:r w:rsidRPr="00FF6A29">
                    <w:rPr>
                      <w:rFonts w:ascii="ITC Avant Garde" w:hAnsi="ITC Avant Garde"/>
                      <w:b/>
                      <w:sz w:val="18"/>
                      <w:szCs w:val="18"/>
                    </w:rPr>
                    <w:t>Razones</w:t>
                  </w:r>
                </w:p>
              </w:tc>
            </w:tr>
            <w:tr w:rsidR="00BE7D1C" w:rsidRPr="00FF6A29" w14:paraId="3360E6CC" w14:textId="77777777" w:rsidTr="003F600A">
              <w:sdt>
                <w:sdtPr>
                  <w:rPr>
                    <w:rFonts w:ascii="ITC Avant Garde" w:hAnsi="ITC Avant Garde"/>
                    <w:i/>
                    <w:sz w:val="18"/>
                    <w:szCs w:val="18"/>
                  </w:rPr>
                  <w:alias w:val="Alternativa evaluada"/>
                  <w:tag w:val="Alternativa evaluada"/>
                  <w:id w:val="1516970041"/>
                  <w:placeholder>
                    <w:docPart w:val="53C06C5BEAE94D5BAF43FB3D4551B4A8"/>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18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15BE9AE2" w14:textId="77777777" w:rsidR="00BE7D1C" w:rsidRPr="00FF6A29" w:rsidRDefault="002B41D8" w:rsidP="003F600A">
                      <w:pPr>
                        <w:rPr>
                          <w:rFonts w:ascii="ITC Avant Garde" w:hAnsi="ITC Avant Garde"/>
                          <w:i/>
                          <w:sz w:val="18"/>
                          <w:szCs w:val="18"/>
                        </w:rPr>
                      </w:pPr>
                      <w:r w:rsidRPr="00FF6A29">
                        <w:rPr>
                          <w:rFonts w:ascii="ITC Avant Garde" w:hAnsi="ITC Avant Garde"/>
                          <w:i/>
                          <w:sz w:val="18"/>
                          <w:szCs w:val="18"/>
                        </w:rPr>
                        <w:t>No emitir regulación alguna</w:t>
                      </w:r>
                    </w:p>
                  </w:tc>
                </w:sdtContent>
              </w:sdt>
              <w:tc>
                <w:tcPr>
                  <w:tcW w:w="2684" w:type="dxa"/>
                  <w:tcBorders>
                    <w:left w:val="single" w:sz="12" w:space="0" w:color="auto"/>
                  </w:tcBorders>
                </w:tcPr>
                <w:p w14:paraId="69808986" w14:textId="77777777" w:rsidR="00B362DA" w:rsidRDefault="00B362DA" w:rsidP="00EC302D">
                  <w:pPr>
                    <w:jc w:val="both"/>
                    <w:rPr>
                      <w:rFonts w:ascii="ITC Avant Garde" w:hAnsi="ITC Avant Garde"/>
                      <w:sz w:val="18"/>
                      <w:szCs w:val="18"/>
                    </w:rPr>
                  </w:pPr>
                </w:p>
                <w:p w14:paraId="4C48860D" w14:textId="0C79C3AC" w:rsidR="00BE7D1C" w:rsidRPr="00FF6A29" w:rsidRDefault="00EC302D" w:rsidP="00EC302D">
                  <w:pPr>
                    <w:jc w:val="both"/>
                    <w:rPr>
                      <w:rFonts w:ascii="ITC Avant Garde" w:hAnsi="ITC Avant Garde"/>
                      <w:sz w:val="18"/>
                      <w:szCs w:val="18"/>
                    </w:rPr>
                  </w:pPr>
                  <w:r w:rsidRPr="00FF6A29">
                    <w:rPr>
                      <w:rFonts w:ascii="ITC Avant Garde" w:hAnsi="ITC Avant Garde"/>
                      <w:sz w:val="18"/>
                      <w:szCs w:val="18"/>
                    </w:rPr>
                    <w:t xml:space="preserve">No emitir la presente propuesta de modificación </w:t>
                  </w:r>
                  <w:r w:rsidR="00AB52E1" w:rsidRPr="00FF6A29">
                    <w:rPr>
                      <w:rFonts w:ascii="ITC Avant Garde" w:hAnsi="ITC Avant Garde"/>
                      <w:sz w:val="18"/>
                      <w:szCs w:val="18"/>
                    </w:rPr>
                    <w:t xml:space="preserve">y continuar con los </w:t>
                  </w:r>
                  <w:r w:rsidR="00B362DA">
                    <w:rPr>
                      <w:rFonts w:ascii="ITC Avant Garde" w:hAnsi="ITC Avant Garde"/>
                      <w:sz w:val="18"/>
                      <w:szCs w:val="18"/>
                    </w:rPr>
                    <w:t>actuales</w:t>
                  </w:r>
                  <w:r w:rsidR="00FF7FD7">
                    <w:rPr>
                      <w:rFonts w:ascii="ITC Avant Garde" w:hAnsi="ITC Avant Garde"/>
                      <w:sz w:val="18"/>
                      <w:szCs w:val="18"/>
                    </w:rPr>
                    <w:t xml:space="preserve"> canales de atención</w:t>
                  </w:r>
                  <w:r w:rsidR="00B362DA">
                    <w:rPr>
                      <w:rFonts w:ascii="ITC Avant Garde" w:hAnsi="ITC Avant Garde"/>
                      <w:sz w:val="18"/>
                      <w:szCs w:val="18"/>
                    </w:rPr>
                    <w:t>.</w:t>
                  </w:r>
                </w:p>
              </w:tc>
              <w:tc>
                <w:tcPr>
                  <w:tcW w:w="3969" w:type="dxa"/>
                </w:tcPr>
                <w:p w14:paraId="0B29F172" w14:textId="77777777" w:rsidR="00B362DA" w:rsidRDefault="00B362DA" w:rsidP="00885F10">
                  <w:pPr>
                    <w:jc w:val="both"/>
                    <w:rPr>
                      <w:rFonts w:ascii="ITC Avant Garde" w:hAnsi="ITC Avant Garde"/>
                      <w:sz w:val="18"/>
                      <w:szCs w:val="18"/>
                    </w:rPr>
                  </w:pPr>
                </w:p>
                <w:p w14:paraId="14E514F0" w14:textId="759A3B26" w:rsidR="00AB52E1" w:rsidRPr="00FF6A29" w:rsidRDefault="00B16715" w:rsidP="00B16715">
                  <w:pPr>
                    <w:pStyle w:val="Default"/>
                    <w:jc w:val="both"/>
                    <w:rPr>
                      <w:rFonts w:ascii="ITC Avant Garde" w:hAnsi="ITC Avant Garde"/>
                      <w:sz w:val="18"/>
                      <w:szCs w:val="18"/>
                    </w:rPr>
                  </w:pPr>
                  <w:r>
                    <w:rPr>
                      <w:rFonts w:ascii="ITC Avant Garde" w:hAnsi="ITC Avant Garde" w:cs="TimesNewRomanPS-BoldMT"/>
                      <w:bCs/>
                      <w:sz w:val="18"/>
                      <w:szCs w:val="18"/>
                    </w:rPr>
                    <w:t>R</w:t>
                  </w:r>
                  <w:r w:rsidR="00885F10">
                    <w:rPr>
                      <w:rFonts w:ascii="ITC Avant Garde" w:hAnsi="ITC Avant Garde" w:cs="TimesNewRomanPS-BoldMT"/>
                      <w:bCs/>
                      <w:sz w:val="18"/>
                      <w:szCs w:val="18"/>
                    </w:rPr>
                    <w:t xml:space="preserve">esulta necesario transparentar y dar certeza jurídica a los particulares respecto de </w:t>
                  </w:r>
                  <w:r>
                    <w:rPr>
                      <w:rFonts w:ascii="ITC Avant Garde" w:hAnsi="ITC Avant Garde" w:cs="TimesNewRomanPS-BoldMT"/>
                      <w:bCs/>
                      <w:sz w:val="18"/>
                      <w:szCs w:val="18"/>
                    </w:rPr>
                    <w:t>la regulación aplicable en materia satelital.</w:t>
                  </w:r>
                </w:p>
              </w:tc>
            </w:tr>
            <w:tr w:rsidR="00FF0751" w:rsidRPr="00FF6A29" w14:paraId="55E811DE" w14:textId="77777777" w:rsidTr="003F600A">
              <w:sdt>
                <w:sdtPr>
                  <w:rPr>
                    <w:rFonts w:ascii="ITC Avant Garde" w:hAnsi="ITC Avant Garde"/>
                    <w:i/>
                    <w:sz w:val="18"/>
                    <w:szCs w:val="18"/>
                  </w:rPr>
                  <w:alias w:val="Alternativa evaluada"/>
                  <w:tag w:val="Alternativa evaluada"/>
                  <w:id w:val="635999591"/>
                  <w:placeholder>
                    <w:docPart w:val="63F5CF3BA85A4C25BBB30453C26B325F"/>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18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5A388B70" w14:textId="7EEF3A1B" w:rsidR="00FF0751" w:rsidRDefault="00FF0751" w:rsidP="003F600A">
                      <w:pPr>
                        <w:rPr>
                          <w:rFonts w:ascii="ITC Avant Garde" w:hAnsi="ITC Avant Garde"/>
                          <w:i/>
                          <w:sz w:val="18"/>
                          <w:szCs w:val="18"/>
                        </w:rPr>
                      </w:pPr>
                      <w:r>
                        <w:rPr>
                          <w:rFonts w:ascii="ITC Avant Garde" w:hAnsi="ITC Avant Garde"/>
                          <w:i/>
                          <w:sz w:val="18"/>
                          <w:szCs w:val="18"/>
                        </w:rPr>
                        <w:t>Otro tipo de regulación</w:t>
                      </w:r>
                    </w:p>
                  </w:tc>
                </w:sdtContent>
              </w:sdt>
              <w:tc>
                <w:tcPr>
                  <w:tcW w:w="2684" w:type="dxa"/>
                  <w:tcBorders>
                    <w:left w:val="single" w:sz="12" w:space="0" w:color="auto"/>
                  </w:tcBorders>
                </w:tcPr>
                <w:p w14:paraId="464A1CBB" w14:textId="5E5585AA" w:rsidR="00FF0751" w:rsidRDefault="00FF0751" w:rsidP="00EC302D">
                  <w:pPr>
                    <w:jc w:val="both"/>
                    <w:rPr>
                      <w:rFonts w:ascii="ITC Avant Garde" w:hAnsi="ITC Avant Garde"/>
                      <w:sz w:val="18"/>
                      <w:szCs w:val="18"/>
                    </w:rPr>
                  </w:pPr>
                  <w:r>
                    <w:rPr>
                      <w:rFonts w:ascii="ITC Avant Garde" w:hAnsi="ITC Avant Garde"/>
                      <w:sz w:val="18"/>
                      <w:szCs w:val="18"/>
                    </w:rPr>
                    <w:t xml:space="preserve">En </w:t>
                  </w:r>
                  <w:r w:rsidRPr="00FF0751">
                    <w:rPr>
                      <w:rFonts w:ascii="ITC Avant Garde" w:hAnsi="ITC Avant Garde"/>
                      <w:sz w:val="18"/>
                      <w:szCs w:val="18"/>
                    </w:rPr>
                    <w:t xml:space="preserve">el artículo Séptimo de las </w:t>
                  </w:r>
                  <w:r w:rsidR="007B3047" w:rsidRPr="007B3047">
                    <w:rPr>
                      <w:rFonts w:ascii="ITC Avant Garde" w:hAnsi="ITC Avant Garde"/>
                      <w:sz w:val="18"/>
                      <w:szCs w:val="18"/>
                    </w:rPr>
                    <w:t>Disposiciones Regulatorias en materia de Comunicación Vía Satélite</w:t>
                  </w:r>
                  <w:r w:rsidRPr="00FF0751">
                    <w:rPr>
                      <w:rFonts w:ascii="ITC Avant Garde" w:hAnsi="ITC Avant Garde"/>
                      <w:sz w:val="18"/>
                      <w:szCs w:val="18"/>
                    </w:rPr>
                    <w:t>, se ordenó realizar las modificaciones a los Lineamientos Generales para el otorgamiento de las concesiones</w:t>
                  </w:r>
                  <w:r w:rsidR="007B3047">
                    <w:rPr>
                      <w:rFonts w:ascii="ITC Avant Garde" w:hAnsi="ITC Avant Garde"/>
                      <w:sz w:val="18"/>
                      <w:szCs w:val="18"/>
                    </w:rPr>
                    <w:t>.</w:t>
                  </w:r>
                </w:p>
              </w:tc>
              <w:tc>
                <w:tcPr>
                  <w:tcW w:w="3969" w:type="dxa"/>
                </w:tcPr>
                <w:p w14:paraId="243D11FE" w14:textId="7017300D" w:rsidR="007B3047" w:rsidRDefault="007B3047" w:rsidP="007B3047">
                  <w:pPr>
                    <w:jc w:val="both"/>
                    <w:rPr>
                      <w:rFonts w:ascii="ITC Avant Garde" w:hAnsi="ITC Avant Garde"/>
                      <w:sz w:val="18"/>
                      <w:szCs w:val="18"/>
                    </w:rPr>
                  </w:pPr>
                  <w:r>
                    <w:rPr>
                      <w:rFonts w:ascii="ITC Avant Garde" w:eastAsia="Calibri" w:hAnsi="ITC Avant Garde" w:cs="Arial"/>
                      <w:sz w:val="18"/>
                      <w:szCs w:val="18"/>
                    </w:rPr>
                    <w:t xml:space="preserve">En las </w:t>
                  </w:r>
                  <w:r w:rsidRPr="007B3047">
                    <w:rPr>
                      <w:rFonts w:ascii="ITC Avant Garde" w:hAnsi="ITC Avant Garde"/>
                      <w:sz w:val="18"/>
                      <w:szCs w:val="18"/>
                    </w:rPr>
                    <w:t>Disposiciones Regulatorias en materia de Comunicación Vía Satélite</w:t>
                  </w:r>
                  <w:r>
                    <w:rPr>
                      <w:rFonts w:ascii="ITC Avant Garde" w:eastAsia="Calibri" w:hAnsi="ITC Avant Garde" w:cs="Arial"/>
                      <w:sz w:val="18"/>
                      <w:szCs w:val="18"/>
                    </w:rPr>
                    <w:t xml:space="preserve"> se señaló que, las modificaciones debían realizarse en el</w:t>
                  </w:r>
                  <w:r w:rsidRPr="00852B24">
                    <w:rPr>
                      <w:rFonts w:ascii="ITC Avant Garde" w:eastAsia="Calibri" w:hAnsi="ITC Avant Garde" w:cs="Arial"/>
                      <w:sz w:val="18"/>
                      <w:szCs w:val="18"/>
                    </w:rPr>
                    <w:t xml:space="preserve"> plazo de</w:t>
                  </w:r>
                  <w:r>
                    <w:rPr>
                      <w:rFonts w:ascii="ITC Avant Garde" w:eastAsia="Calibri" w:hAnsi="ITC Avant Garde" w:cs="Arial"/>
                      <w:sz w:val="18"/>
                      <w:szCs w:val="18"/>
                    </w:rPr>
                    <w:t xml:space="preserve"> </w:t>
                  </w:r>
                  <w:r w:rsidRPr="00852B24">
                    <w:rPr>
                      <w:rFonts w:ascii="ITC Avant Garde" w:eastAsia="Calibri" w:hAnsi="ITC Avant Garde" w:cs="Arial"/>
                      <w:sz w:val="18"/>
                      <w:szCs w:val="18"/>
                    </w:rPr>
                    <w:t xml:space="preserve">hasta dos años siguientes contados a partir de la fecha de </w:t>
                  </w:r>
                  <w:r>
                    <w:rPr>
                      <w:rFonts w:ascii="ITC Avant Garde" w:eastAsia="Calibri" w:hAnsi="ITC Avant Garde" w:cs="Arial"/>
                      <w:sz w:val="18"/>
                      <w:szCs w:val="18"/>
                    </w:rPr>
                    <w:t xml:space="preserve">su </w:t>
                  </w:r>
                  <w:r w:rsidRPr="00852B24">
                    <w:rPr>
                      <w:rFonts w:ascii="ITC Avant Garde" w:eastAsia="Calibri" w:hAnsi="ITC Avant Garde" w:cs="Arial"/>
                      <w:sz w:val="18"/>
                      <w:szCs w:val="18"/>
                    </w:rPr>
                    <w:t>publicación</w:t>
                  </w:r>
                  <w:r>
                    <w:rPr>
                      <w:rFonts w:ascii="ITC Avant Garde" w:eastAsia="Calibri" w:hAnsi="ITC Avant Garde" w:cs="Arial"/>
                      <w:sz w:val="18"/>
                      <w:szCs w:val="18"/>
                    </w:rPr>
                    <w:t xml:space="preserve"> en el </w:t>
                  </w:r>
                  <w:r w:rsidRPr="007B3047">
                    <w:rPr>
                      <w:rFonts w:ascii="ITC Avant Garde" w:hAnsi="ITC Avant Garde"/>
                      <w:sz w:val="18"/>
                      <w:szCs w:val="18"/>
                    </w:rPr>
                    <w:t>Diario Oficial de la Federación</w:t>
                  </w:r>
                  <w:r>
                    <w:rPr>
                      <w:rFonts w:ascii="ITC Avant Garde" w:hAnsi="ITC Avant Garde"/>
                      <w:sz w:val="18"/>
                      <w:szCs w:val="18"/>
                    </w:rPr>
                    <w:t>.</w:t>
                  </w:r>
                </w:p>
              </w:tc>
            </w:tr>
          </w:tbl>
          <w:p w14:paraId="3B1B3FF8" w14:textId="77777777" w:rsidR="00BE7D1C" w:rsidRPr="00FF6A29" w:rsidRDefault="00BE7D1C" w:rsidP="003F600A">
            <w:pPr>
              <w:jc w:val="both"/>
              <w:rPr>
                <w:rFonts w:ascii="ITC Avant Garde" w:hAnsi="ITC Avant Garde"/>
                <w:sz w:val="18"/>
                <w:szCs w:val="18"/>
              </w:rPr>
            </w:pPr>
          </w:p>
        </w:tc>
      </w:tr>
    </w:tbl>
    <w:p w14:paraId="6F02F883" w14:textId="77777777" w:rsidR="00634DE8" w:rsidRPr="00FF6A29" w:rsidRDefault="00634DE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E7D1C" w:rsidRPr="00FF6A29" w14:paraId="4AD9C4F7" w14:textId="77777777" w:rsidTr="003F600A">
        <w:tc>
          <w:tcPr>
            <w:tcW w:w="8828" w:type="dxa"/>
          </w:tcPr>
          <w:p w14:paraId="0732CD07" w14:textId="77777777" w:rsidR="006018A0" w:rsidRDefault="006018A0" w:rsidP="003F600A">
            <w:pPr>
              <w:jc w:val="both"/>
              <w:rPr>
                <w:rFonts w:ascii="ITC Avant Garde" w:hAnsi="ITC Avant Garde"/>
                <w:b/>
                <w:sz w:val="18"/>
                <w:szCs w:val="18"/>
              </w:rPr>
            </w:pPr>
          </w:p>
          <w:p w14:paraId="6004AC4E" w14:textId="4BBF5BD5" w:rsidR="00BE7D1C" w:rsidRPr="00FF6A29" w:rsidRDefault="00BE7D1C" w:rsidP="003F600A">
            <w:pPr>
              <w:jc w:val="both"/>
              <w:rPr>
                <w:rFonts w:ascii="ITC Avant Garde" w:hAnsi="ITC Avant Garde"/>
                <w:b/>
                <w:sz w:val="18"/>
                <w:szCs w:val="18"/>
              </w:rPr>
            </w:pPr>
            <w:r w:rsidRPr="00FF6A29">
              <w:rPr>
                <w:rFonts w:ascii="ITC Avant Garde" w:hAnsi="ITC Avant Garde"/>
                <w:b/>
                <w:sz w:val="18"/>
                <w:szCs w:val="18"/>
              </w:rPr>
              <w:t>4.- Justifique las razones por las que considera que la propuesta de regulación no genera costos de cumplimiento, independientemente de los beneficios que ésta genere:</w:t>
            </w:r>
          </w:p>
          <w:p w14:paraId="2E5309C6" w14:textId="77777777" w:rsidR="00BE7D1C" w:rsidRPr="00FF6A29" w:rsidRDefault="00BE7D1C" w:rsidP="003F600A">
            <w:pPr>
              <w:jc w:val="both"/>
              <w:rPr>
                <w:rFonts w:ascii="ITC Avant Garde" w:hAnsi="ITC Avant Garde"/>
                <w:sz w:val="18"/>
                <w:szCs w:val="18"/>
              </w:rPr>
            </w:pPr>
          </w:p>
          <w:p w14:paraId="438BEC0E" w14:textId="4C298D54" w:rsidR="00356F52" w:rsidRPr="00356F52" w:rsidRDefault="00B654CC" w:rsidP="00356F52">
            <w:pPr>
              <w:jc w:val="both"/>
              <w:rPr>
                <w:rFonts w:ascii="ITC Avant Garde" w:hAnsi="ITC Avant Garde"/>
                <w:sz w:val="18"/>
                <w:szCs w:val="18"/>
                <w:lang w:val="es-ES_tradnl"/>
              </w:rPr>
            </w:pPr>
            <w:r w:rsidRPr="00FF6A29">
              <w:rPr>
                <w:rFonts w:ascii="ITC Avant Garde" w:hAnsi="ITC Avant Garde"/>
                <w:sz w:val="18"/>
                <w:szCs w:val="18"/>
              </w:rPr>
              <w:t>El</w:t>
            </w:r>
            <w:r w:rsidR="00D2399D">
              <w:rPr>
                <w:rFonts w:ascii="ITC Avant Garde" w:hAnsi="ITC Avant Garde"/>
                <w:sz w:val="18"/>
                <w:szCs w:val="18"/>
              </w:rPr>
              <w:t xml:space="preserve"> </w:t>
            </w:r>
            <w:r w:rsidR="009D2511" w:rsidRPr="00D2399D">
              <w:rPr>
                <w:rFonts w:ascii="ITC Avant Garde" w:hAnsi="ITC Avant Garde"/>
                <w:i/>
                <w:sz w:val="18"/>
                <w:szCs w:val="18"/>
              </w:rPr>
              <w:t>“</w:t>
            </w:r>
            <w:r w:rsidR="00281F39" w:rsidRPr="00281F39">
              <w:rPr>
                <w:rFonts w:ascii="ITC Avant Garde" w:hAnsi="ITC Avant Garde"/>
                <w:i/>
                <w:sz w:val="18"/>
                <w:szCs w:val="18"/>
              </w:rPr>
              <w:t xml:space="preserve">Acuerdo mediante el cual el Pleno del Instituto Federal de Telecomunicaciones modifica los Lineamientos </w:t>
            </w:r>
            <w:r w:rsidR="00E75942">
              <w:rPr>
                <w:rFonts w:ascii="ITC Avant Garde" w:hAnsi="ITC Avant Garde"/>
                <w:i/>
                <w:sz w:val="18"/>
                <w:szCs w:val="18"/>
              </w:rPr>
              <w:t xml:space="preserve">Generales </w:t>
            </w:r>
            <w:r w:rsidR="00281F39" w:rsidRPr="00281F39">
              <w:rPr>
                <w:rFonts w:ascii="ITC Avant Garde" w:hAnsi="ITC Avant Garde"/>
                <w:i/>
                <w:sz w:val="18"/>
                <w:szCs w:val="18"/>
              </w:rPr>
              <w:t>para el otorgamiento de las concesiones a que se refiere el Título Cuarto de la Ley Federal de Telecomunicaciones y Radiodifusión</w:t>
            </w:r>
            <w:r w:rsidR="00A3176C" w:rsidRPr="00D2399D">
              <w:rPr>
                <w:rFonts w:ascii="ITC Avant Garde" w:hAnsi="ITC Avant Garde"/>
                <w:i/>
                <w:sz w:val="18"/>
                <w:szCs w:val="18"/>
              </w:rPr>
              <w:t>”</w:t>
            </w:r>
            <w:r w:rsidR="002F4FA1" w:rsidRPr="002F4FA1">
              <w:rPr>
                <w:rFonts w:ascii="ITC Avant Garde" w:hAnsi="ITC Avant Garde"/>
                <w:sz w:val="18"/>
                <w:szCs w:val="18"/>
              </w:rPr>
              <w:t xml:space="preserve">, </w:t>
            </w:r>
            <w:r w:rsidR="00033AC3">
              <w:rPr>
                <w:rFonts w:ascii="ITC Avant Garde" w:hAnsi="ITC Avant Garde"/>
                <w:sz w:val="18"/>
                <w:szCs w:val="18"/>
                <w:lang w:val="es-ES"/>
              </w:rPr>
              <w:t>se evita caer en una sobrerregulación al identificar aquellos trámites que ahora cuentan con fundamento en las Disposiciones Regulatorias en materia de Comunicación Vía Satélite.</w:t>
            </w:r>
          </w:p>
          <w:p w14:paraId="5A457326" w14:textId="30EB018B" w:rsidR="009B617C" w:rsidRDefault="009B617C" w:rsidP="009D2511">
            <w:pPr>
              <w:jc w:val="both"/>
              <w:rPr>
                <w:rFonts w:ascii="ITC Avant Garde" w:hAnsi="ITC Avant Garde"/>
                <w:sz w:val="18"/>
                <w:szCs w:val="18"/>
                <w:lang w:val="es-ES_tradnl"/>
              </w:rPr>
            </w:pPr>
          </w:p>
          <w:p w14:paraId="42A6FDA0" w14:textId="728E5305" w:rsidR="000F0421" w:rsidRDefault="000F0421" w:rsidP="009D2511">
            <w:pPr>
              <w:jc w:val="both"/>
              <w:rPr>
                <w:rFonts w:ascii="ITC Avant Garde" w:hAnsi="ITC Avant Garde"/>
                <w:sz w:val="18"/>
                <w:szCs w:val="18"/>
                <w:lang w:val="es-ES_tradnl"/>
              </w:rPr>
            </w:pPr>
            <w:r>
              <w:rPr>
                <w:rFonts w:ascii="ITC Avant Garde" w:hAnsi="ITC Avant Garde"/>
                <w:sz w:val="18"/>
                <w:szCs w:val="18"/>
                <w:lang w:val="es-ES_tradnl"/>
              </w:rPr>
              <w:t>Por otra parte</w:t>
            </w:r>
            <w:r w:rsidRPr="000F0421">
              <w:rPr>
                <w:rFonts w:ascii="ITC Avant Garde" w:hAnsi="ITC Avant Garde"/>
                <w:sz w:val="18"/>
                <w:szCs w:val="18"/>
                <w:lang w:val="es-ES_tradnl"/>
              </w:rPr>
              <w:t>, derivado del análisis sobre las modificaciones necesarias, se advierte que en términos generales están dirigidas a realizar una armonización normativa, estableciendo definiciones, o términos de referencia a las Disposiciones Regulatorias en materia de Comunicación Vía Satélite; no obstante, como parte del análisis respectivo se advirtió la posible derogación del trámite referente a las Concesiones de Recursos Orbitales para Uso Privado, referidas en el artículo 76, fracción III, inciso b) de la Ley, para satisfacer necesidades de comunicación para embajadas o misiones diplomáticas que visiten el país, mismas que se incluyeron en las modificaciones a los Lineamientos de Concesiones realizadas el 13 de febrero de 2019, por las razones que a continuación se detallan</w:t>
            </w:r>
            <w:r>
              <w:rPr>
                <w:rFonts w:ascii="ITC Avant Garde" w:hAnsi="ITC Avant Garde"/>
                <w:sz w:val="18"/>
                <w:szCs w:val="18"/>
                <w:lang w:val="es-ES_tradnl"/>
              </w:rPr>
              <w:t>.</w:t>
            </w:r>
          </w:p>
          <w:p w14:paraId="720B3812" w14:textId="337311A3" w:rsidR="000F0421" w:rsidRDefault="000F0421" w:rsidP="009D2511">
            <w:pPr>
              <w:jc w:val="both"/>
              <w:rPr>
                <w:rFonts w:ascii="ITC Avant Garde" w:hAnsi="ITC Avant Garde"/>
                <w:sz w:val="18"/>
                <w:szCs w:val="18"/>
                <w:lang w:val="es-ES_tradnl"/>
              </w:rPr>
            </w:pPr>
          </w:p>
          <w:p w14:paraId="4E37567E" w14:textId="32D3E427" w:rsidR="000F0421" w:rsidRPr="000F0421" w:rsidRDefault="000F0421" w:rsidP="000F0421">
            <w:pPr>
              <w:jc w:val="both"/>
              <w:rPr>
                <w:rFonts w:ascii="ITC Avant Garde" w:hAnsi="ITC Avant Garde"/>
                <w:sz w:val="18"/>
                <w:szCs w:val="18"/>
                <w:lang w:val="es-ES_tradnl"/>
              </w:rPr>
            </w:pPr>
            <w:r w:rsidRPr="000F0421">
              <w:rPr>
                <w:rFonts w:ascii="ITC Avant Garde" w:hAnsi="ITC Avant Garde"/>
                <w:sz w:val="18"/>
                <w:szCs w:val="18"/>
                <w:lang w:val="es-ES_tradnl"/>
              </w:rPr>
              <w:t xml:space="preserve">Para entidades como Embajadas o misiones diplomáticas de un país, si bien es cierto que podría existir la posibilidad de solicitar posiciones orbitales a través de la Administración Mexicana, también lo podrían hacer con el apoyo de su país de origen, lo cual se considera más viable técnica, administrativa y operacionalmente. Abonando a lo anterior, a la fecha no se han recibido solicitudes de este tipo de concesión ante el Instituto, razón por la cual se propone </w:t>
            </w:r>
            <w:r>
              <w:rPr>
                <w:rFonts w:ascii="ITC Avant Garde" w:hAnsi="ITC Avant Garde"/>
                <w:sz w:val="18"/>
                <w:szCs w:val="18"/>
                <w:lang w:val="es-ES_tradnl"/>
              </w:rPr>
              <w:t>eliminar</w:t>
            </w:r>
            <w:r w:rsidRPr="000F0421">
              <w:rPr>
                <w:rFonts w:ascii="ITC Avant Garde" w:hAnsi="ITC Avant Garde"/>
                <w:sz w:val="18"/>
                <w:szCs w:val="18"/>
                <w:lang w:val="es-ES_tradnl"/>
              </w:rPr>
              <w:t xml:space="preserve"> este trámite de los Lineamientos de Concesiones, pues carece de eficacia y utilidad jurídica mantenerla, por las gestiones directas que cada país puede realizar ante la UIT.</w:t>
            </w:r>
          </w:p>
          <w:p w14:paraId="3BFDED8D" w14:textId="77777777" w:rsidR="000F0421" w:rsidRPr="000F0421" w:rsidRDefault="000F0421" w:rsidP="000F0421">
            <w:pPr>
              <w:jc w:val="both"/>
              <w:rPr>
                <w:rFonts w:ascii="ITC Avant Garde" w:hAnsi="ITC Avant Garde"/>
                <w:sz w:val="18"/>
                <w:szCs w:val="18"/>
                <w:lang w:val="es-ES_tradnl"/>
              </w:rPr>
            </w:pPr>
          </w:p>
          <w:p w14:paraId="178F0288" w14:textId="77777777" w:rsidR="000F0421" w:rsidRPr="000F0421" w:rsidRDefault="000F0421" w:rsidP="000F0421">
            <w:pPr>
              <w:jc w:val="both"/>
              <w:rPr>
                <w:rFonts w:ascii="ITC Avant Garde" w:hAnsi="ITC Avant Garde"/>
                <w:sz w:val="18"/>
                <w:szCs w:val="18"/>
                <w:lang w:val="es-ES_tradnl"/>
              </w:rPr>
            </w:pPr>
            <w:r w:rsidRPr="000F0421">
              <w:rPr>
                <w:rFonts w:ascii="ITC Avant Garde" w:hAnsi="ITC Avant Garde"/>
                <w:sz w:val="18"/>
                <w:szCs w:val="18"/>
                <w:lang w:val="es-ES_tradnl"/>
              </w:rPr>
              <w:t>Aunado a que, existen otro tipo de soluciones como las autorizaciones de uso temporal para visitas diplomáticas y la provisión de un servicio por operadores que explotan los derechos de emisión y recepción de señales y bandas de frecuencias asociados a sistemas satelitales extranjeros que cubren y pueden prestar servicios en el territorio nacional y que satisfacen de manera más expedita las necesidades de Embajadas o misiones diplomáticas en el país.</w:t>
            </w:r>
          </w:p>
          <w:p w14:paraId="4D2F3F68" w14:textId="77777777" w:rsidR="000F0421" w:rsidRPr="00D2399D" w:rsidRDefault="000F0421" w:rsidP="009D2511">
            <w:pPr>
              <w:jc w:val="both"/>
              <w:rPr>
                <w:rFonts w:ascii="ITC Avant Garde" w:hAnsi="ITC Avant Garde"/>
                <w:sz w:val="18"/>
                <w:szCs w:val="18"/>
                <w:lang w:val="es-ES_tradnl"/>
              </w:rPr>
            </w:pPr>
          </w:p>
          <w:p w14:paraId="42AAB7D0" w14:textId="1718A147" w:rsidR="009D2511" w:rsidRPr="004026D0" w:rsidRDefault="00033AC3" w:rsidP="009D2511">
            <w:pPr>
              <w:jc w:val="both"/>
              <w:rPr>
                <w:rFonts w:ascii="ITC Avant Garde" w:hAnsi="ITC Avant Garde"/>
                <w:sz w:val="18"/>
                <w:szCs w:val="18"/>
              </w:rPr>
            </w:pPr>
            <w:r>
              <w:rPr>
                <w:rFonts w:ascii="ITC Avant Garde" w:hAnsi="ITC Avant Garde"/>
                <w:sz w:val="18"/>
                <w:szCs w:val="18"/>
              </w:rPr>
              <w:t>C</w:t>
            </w:r>
            <w:r w:rsidR="003607A5">
              <w:rPr>
                <w:rFonts w:ascii="ITC Avant Garde" w:hAnsi="ITC Avant Garde"/>
                <w:sz w:val="18"/>
                <w:szCs w:val="18"/>
              </w:rPr>
              <w:t xml:space="preserve">abe mencionar que </w:t>
            </w:r>
            <w:r w:rsidR="009B617C">
              <w:rPr>
                <w:rFonts w:ascii="ITC Avant Garde" w:hAnsi="ITC Avant Garde"/>
                <w:sz w:val="18"/>
                <w:szCs w:val="18"/>
              </w:rPr>
              <w:t xml:space="preserve">el </w:t>
            </w:r>
            <w:r w:rsidR="003607A5">
              <w:rPr>
                <w:rFonts w:ascii="ITC Avant Garde" w:hAnsi="ITC Avant Garde"/>
                <w:sz w:val="18"/>
                <w:szCs w:val="18"/>
              </w:rPr>
              <w:t xml:space="preserve">presente </w:t>
            </w:r>
            <w:r w:rsidR="002979E2">
              <w:rPr>
                <w:rFonts w:ascii="ITC Avant Garde" w:hAnsi="ITC Avant Garde"/>
                <w:sz w:val="18"/>
                <w:szCs w:val="18"/>
              </w:rPr>
              <w:t xml:space="preserve">proyecto </w:t>
            </w:r>
            <w:r w:rsidR="003607A5">
              <w:rPr>
                <w:rFonts w:ascii="ITC Avant Garde" w:hAnsi="ITC Avant Garde"/>
                <w:sz w:val="18"/>
                <w:szCs w:val="18"/>
              </w:rPr>
              <w:t>de regulación</w:t>
            </w:r>
            <w:r w:rsidR="009B617C">
              <w:rPr>
                <w:rFonts w:ascii="ITC Avant Garde" w:hAnsi="ITC Avant Garde"/>
                <w:sz w:val="18"/>
                <w:szCs w:val="18"/>
              </w:rPr>
              <w:t xml:space="preserve"> </w:t>
            </w:r>
            <w:r w:rsidR="009B617C" w:rsidRPr="00FF6A29">
              <w:rPr>
                <w:rFonts w:ascii="ITC Avant Garde" w:hAnsi="ITC Avant Garde"/>
                <w:sz w:val="18"/>
                <w:szCs w:val="18"/>
              </w:rPr>
              <w:t xml:space="preserve">no </w:t>
            </w:r>
            <w:r w:rsidR="009B617C">
              <w:rPr>
                <w:rFonts w:ascii="ITC Avant Garde" w:hAnsi="ITC Avant Garde"/>
                <w:sz w:val="18"/>
                <w:szCs w:val="18"/>
              </w:rPr>
              <w:t xml:space="preserve">actualiza </w:t>
            </w:r>
            <w:r w:rsidR="00EB24E7">
              <w:rPr>
                <w:rFonts w:ascii="ITC Avant Garde" w:hAnsi="ITC Avant Garde"/>
                <w:sz w:val="18"/>
                <w:szCs w:val="18"/>
              </w:rPr>
              <w:t xml:space="preserve">ninguno de </w:t>
            </w:r>
            <w:r w:rsidR="009B617C">
              <w:rPr>
                <w:rFonts w:ascii="ITC Avant Garde" w:hAnsi="ITC Avant Garde"/>
                <w:sz w:val="18"/>
                <w:szCs w:val="18"/>
              </w:rPr>
              <w:t xml:space="preserve">los supuestos establecidos en el </w:t>
            </w:r>
            <w:r w:rsidR="003607A5">
              <w:rPr>
                <w:rFonts w:ascii="ITC Avant Garde" w:hAnsi="ITC Avant Garde"/>
                <w:sz w:val="18"/>
                <w:szCs w:val="18"/>
              </w:rPr>
              <w:t>L</w:t>
            </w:r>
            <w:r w:rsidR="009B617C">
              <w:rPr>
                <w:rFonts w:ascii="ITC Avant Garde" w:hAnsi="ITC Avant Garde"/>
                <w:sz w:val="18"/>
                <w:szCs w:val="18"/>
              </w:rPr>
              <w:t xml:space="preserve">ineamiento </w:t>
            </w:r>
            <w:r w:rsidR="003607A5">
              <w:rPr>
                <w:rFonts w:ascii="ITC Avant Garde" w:hAnsi="ITC Avant Garde"/>
                <w:sz w:val="18"/>
                <w:szCs w:val="18"/>
              </w:rPr>
              <w:t>Vigésimo Primero</w:t>
            </w:r>
            <w:r w:rsidR="009B617C">
              <w:rPr>
                <w:rFonts w:ascii="ITC Avant Garde" w:hAnsi="ITC Avant Garde"/>
                <w:sz w:val="18"/>
                <w:szCs w:val="18"/>
              </w:rPr>
              <w:t xml:space="preserve"> de los </w:t>
            </w:r>
            <w:r w:rsidR="009B617C" w:rsidRPr="009B617C">
              <w:rPr>
                <w:rFonts w:ascii="ITC Avant Garde" w:hAnsi="ITC Avant Garde"/>
                <w:i/>
                <w:iCs/>
                <w:sz w:val="18"/>
                <w:szCs w:val="18"/>
              </w:rPr>
              <w:t xml:space="preserve">Lineamientos de Consulta Pública y Análisis </w:t>
            </w:r>
            <w:r w:rsidR="009B617C" w:rsidRPr="009B617C">
              <w:rPr>
                <w:rFonts w:ascii="ITC Avant Garde" w:hAnsi="ITC Avant Garde"/>
                <w:i/>
                <w:iCs/>
                <w:sz w:val="18"/>
                <w:szCs w:val="18"/>
              </w:rPr>
              <w:lastRenderedPageBreak/>
              <w:t>de Impacto Regulatorio del Instituto Federal de Telecomunicaciones</w:t>
            </w:r>
            <w:r w:rsidR="003607A5" w:rsidRPr="004026D0">
              <w:rPr>
                <w:rFonts w:ascii="ITC Avant Garde" w:hAnsi="ITC Avant Garde"/>
                <w:iCs/>
                <w:sz w:val="18"/>
                <w:szCs w:val="18"/>
              </w:rPr>
              <w:t xml:space="preserve">, </w:t>
            </w:r>
            <w:r w:rsidR="004026D0">
              <w:rPr>
                <w:rFonts w:ascii="ITC Avant Garde" w:hAnsi="ITC Avant Garde"/>
                <w:iCs/>
                <w:sz w:val="18"/>
                <w:szCs w:val="18"/>
              </w:rPr>
              <w:t>el cual señala</w:t>
            </w:r>
            <w:r w:rsidR="003607A5" w:rsidRPr="004026D0">
              <w:rPr>
                <w:rFonts w:ascii="ITC Avant Garde" w:hAnsi="ITC Avant Garde"/>
                <w:iCs/>
                <w:sz w:val="18"/>
                <w:szCs w:val="18"/>
              </w:rPr>
              <w:t xml:space="preserve"> que es procedente que un proyecto de regulación sea sometido a consideración del Pleno del Instituto para el inicio de su consulta pública, cuando se estime que éste a su entrada en vigor:</w:t>
            </w:r>
          </w:p>
          <w:p w14:paraId="206E071A" w14:textId="77777777" w:rsidR="005137E3" w:rsidRPr="00FF6A29" w:rsidRDefault="005137E3" w:rsidP="009D2511">
            <w:pPr>
              <w:jc w:val="both"/>
              <w:rPr>
                <w:rFonts w:ascii="ITC Avant Garde" w:hAnsi="ITC Avant Garde"/>
                <w:sz w:val="18"/>
                <w:szCs w:val="18"/>
              </w:rPr>
            </w:pPr>
          </w:p>
          <w:p w14:paraId="48718432" w14:textId="6C7831AD" w:rsidR="005137E3" w:rsidRDefault="009D2511" w:rsidP="005137E3">
            <w:pPr>
              <w:pStyle w:val="Prrafodelista"/>
              <w:numPr>
                <w:ilvl w:val="0"/>
                <w:numId w:val="7"/>
              </w:numPr>
              <w:ind w:left="457"/>
              <w:jc w:val="both"/>
              <w:rPr>
                <w:rFonts w:ascii="ITC Avant Garde" w:hAnsi="ITC Avant Garde"/>
                <w:sz w:val="18"/>
                <w:szCs w:val="18"/>
              </w:rPr>
            </w:pPr>
            <w:r w:rsidRPr="005137E3">
              <w:rPr>
                <w:rFonts w:ascii="ITC Avant Garde" w:hAnsi="ITC Avant Garde"/>
                <w:sz w:val="18"/>
                <w:szCs w:val="18"/>
              </w:rPr>
              <w:t>No crea</w:t>
            </w:r>
            <w:r w:rsidR="003607A5">
              <w:rPr>
                <w:rFonts w:ascii="ITC Avant Garde" w:hAnsi="ITC Avant Garde"/>
                <w:sz w:val="18"/>
                <w:szCs w:val="18"/>
              </w:rPr>
              <w:t>rá</w:t>
            </w:r>
            <w:r w:rsidRPr="005137E3">
              <w:rPr>
                <w:rFonts w:ascii="ITC Avant Garde" w:hAnsi="ITC Avant Garde"/>
                <w:sz w:val="18"/>
                <w:szCs w:val="18"/>
              </w:rPr>
              <w:t xml:space="preserve"> nuevas obligaciones </w:t>
            </w:r>
            <w:r w:rsidR="00DF4011">
              <w:rPr>
                <w:rFonts w:ascii="ITC Avant Garde" w:hAnsi="ITC Avant Garde"/>
                <w:sz w:val="18"/>
                <w:szCs w:val="18"/>
              </w:rPr>
              <w:t xml:space="preserve">ni </w:t>
            </w:r>
            <w:r w:rsidR="003607A5">
              <w:rPr>
                <w:rFonts w:ascii="ITC Avant Garde" w:hAnsi="ITC Avant Garde"/>
                <w:sz w:val="18"/>
                <w:szCs w:val="18"/>
              </w:rPr>
              <w:t>hará</w:t>
            </w:r>
            <w:r w:rsidRPr="005137E3">
              <w:rPr>
                <w:rFonts w:ascii="ITC Avant Garde" w:hAnsi="ITC Avant Garde"/>
                <w:sz w:val="18"/>
                <w:szCs w:val="18"/>
              </w:rPr>
              <w:t xml:space="preserve"> más estrictas las existentes;</w:t>
            </w:r>
          </w:p>
          <w:p w14:paraId="69EAF9C2" w14:textId="234A2973" w:rsidR="005137E3" w:rsidRDefault="009D2511" w:rsidP="005137E3">
            <w:pPr>
              <w:pStyle w:val="Prrafodelista"/>
              <w:numPr>
                <w:ilvl w:val="0"/>
                <w:numId w:val="7"/>
              </w:numPr>
              <w:ind w:left="457"/>
              <w:jc w:val="both"/>
              <w:rPr>
                <w:rFonts w:ascii="ITC Avant Garde" w:hAnsi="ITC Avant Garde"/>
                <w:sz w:val="18"/>
                <w:szCs w:val="18"/>
              </w:rPr>
            </w:pPr>
            <w:r w:rsidRPr="005137E3">
              <w:rPr>
                <w:rFonts w:ascii="ITC Avant Garde" w:hAnsi="ITC Avant Garde"/>
                <w:sz w:val="18"/>
                <w:szCs w:val="18"/>
              </w:rPr>
              <w:t>No crea</w:t>
            </w:r>
            <w:r w:rsidR="003607A5">
              <w:rPr>
                <w:rFonts w:ascii="ITC Avant Garde" w:hAnsi="ITC Avant Garde"/>
                <w:sz w:val="18"/>
                <w:szCs w:val="18"/>
              </w:rPr>
              <w:t>rá</w:t>
            </w:r>
            <w:r w:rsidRPr="005137E3">
              <w:rPr>
                <w:rFonts w:ascii="ITC Avant Garde" w:hAnsi="ITC Avant Garde"/>
                <w:sz w:val="18"/>
                <w:szCs w:val="18"/>
              </w:rPr>
              <w:t xml:space="preserve"> ni modifica</w:t>
            </w:r>
            <w:r w:rsidR="003607A5">
              <w:rPr>
                <w:rFonts w:ascii="ITC Avant Garde" w:hAnsi="ITC Avant Garde"/>
                <w:sz w:val="18"/>
                <w:szCs w:val="18"/>
              </w:rPr>
              <w:t>rá</w:t>
            </w:r>
            <w:r w:rsidRPr="005137E3">
              <w:rPr>
                <w:rFonts w:ascii="ITC Avant Garde" w:hAnsi="ITC Avant Garde"/>
                <w:sz w:val="18"/>
                <w:szCs w:val="18"/>
              </w:rPr>
              <w:t xml:space="preserve"> Trámites;</w:t>
            </w:r>
          </w:p>
          <w:p w14:paraId="655B739D" w14:textId="004FCB65" w:rsidR="005137E3" w:rsidRDefault="009D2511" w:rsidP="005137E3">
            <w:pPr>
              <w:pStyle w:val="Prrafodelista"/>
              <w:numPr>
                <w:ilvl w:val="0"/>
                <w:numId w:val="7"/>
              </w:numPr>
              <w:ind w:left="457"/>
              <w:jc w:val="both"/>
              <w:rPr>
                <w:rFonts w:ascii="ITC Avant Garde" w:hAnsi="ITC Avant Garde"/>
                <w:sz w:val="18"/>
                <w:szCs w:val="18"/>
              </w:rPr>
            </w:pPr>
            <w:r w:rsidRPr="005137E3">
              <w:rPr>
                <w:rFonts w:ascii="ITC Avant Garde" w:hAnsi="ITC Avant Garde"/>
                <w:sz w:val="18"/>
                <w:szCs w:val="18"/>
              </w:rPr>
              <w:t>No reduc</w:t>
            </w:r>
            <w:r w:rsidR="003607A5">
              <w:rPr>
                <w:rFonts w:ascii="ITC Avant Garde" w:hAnsi="ITC Avant Garde"/>
                <w:sz w:val="18"/>
                <w:szCs w:val="18"/>
              </w:rPr>
              <w:t>irá</w:t>
            </w:r>
            <w:r w:rsidRPr="005137E3">
              <w:rPr>
                <w:rFonts w:ascii="ITC Avant Garde" w:hAnsi="ITC Avant Garde"/>
                <w:sz w:val="18"/>
                <w:szCs w:val="18"/>
              </w:rPr>
              <w:t xml:space="preserve"> ni </w:t>
            </w:r>
            <w:r w:rsidR="003607A5" w:rsidRPr="005137E3">
              <w:rPr>
                <w:rFonts w:ascii="ITC Avant Garde" w:hAnsi="ITC Avant Garde"/>
                <w:sz w:val="18"/>
                <w:szCs w:val="18"/>
              </w:rPr>
              <w:t>restrin</w:t>
            </w:r>
            <w:r w:rsidR="003607A5">
              <w:rPr>
                <w:rFonts w:ascii="ITC Avant Garde" w:hAnsi="ITC Avant Garde"/>
                <w:sz w:val="18"/>
                <w:szCs w:val="18"/>
              </w:rPr>
              <w:t>girá</w:t>
            </w:r>
            <w:r w:rsidRPr="005137E3">
              <w:rPr>
                <w:rFonts w:ascii="ITC Avant Garde" w:hAnsi="ITC Avant Garde"/>
                <w:sz w:val="18"/>
                <w:szCs w:val="18"/>
              </w:rPr>
              <w:t xml:space="preserve"> derechos o prestaciones </w:t>
            </w:r>
            <w:r w:rsidR="00DF4011">
              <w:rPr>
                <w:rFonts w:ascii="ITC Avant Garde" w:hAnsi="ITC Avant Garde"/>
                <w:sz w:val="18"/>
                <w:szCs w:val="18"/>
              </w:rPr>
              <w:t>a</w:t>
            </w:r>
            <w:r w:rsidR="00DF4011" w:rsidRPr="005137E3">
              <w:rPr>
                <w:rFonts w:ascii="ITC Avant Garde" w:hAnsi="ITC Avant Garde"/>
                <w:sz w:val="18"/>
                <w:szCs w:val="18"/>
              </w:rPr>
              <w:t xml:space="preserve"> </w:t>
            </w:r>
            <w:r w:rsidRPr="005137E3">
              <w:rPr>
                <w:rFonts w:ascii="ITC Avant Garde" w:hAnsi="ITC Avant Garde"/>
                <w:sz w:val="18"/>
                <w:szCs w:val="18"/>
              </w:rPr>
              <w:t>los particulares;</w:t>
            </w:r>
          </w:p>
          <w:p w14:paraId="3E1D4C79" w14:textId="658A12C1" w:rsidR="002F4FA1" w:rsidRPr="003607A5" w:rsidRDefault="009D2511" w:rsidP="003607A5">
            <w:pPr>
              <w:pStyle w:val="Prrafodelista"/>
              <w:numPr>
                <w:ilvl w:val="0"/>
                <w:numId w:val="7"/>
              </w:numPr>
              <w:ind w:left="457"/>
              <w:jc w:val="both"/>
              <w:rPr>
                <w:rFonts w:ascii="ITC Avant Garde" w:hAnsi="ITC Avant Garde"/>
                <w:sz w:val="18"/>
                <w:szCs w:val="18"/>
              </w:rPr>
            </w:pPr>
            <w:r w:rsidRPr="005137E3">
              <w:rPr>
                <w:rFonts w:ascii="ITC Avant Garde" w:hAnsi="ITC Avant Garde"/>
                <w:sz w:val="18"/>
                <w:szCs w:val="18"/>
              </w:rPr>
              <w:t>No</w:t>
            </w:r>
            <w:r w:rsidR="006018A0">
              <w:rPr>
                <w:rFonts w:ascii="ITC Avant Garde" w:hAnsi="ITC Avant Garde"/>
                <w:sz w:val="18"/>
                <w:szCs w:val="18"/>
              </w:rPr>
              <w:t xml:space="preserve"> </w:t>
            </w:r>
            <w:r w:rsidRPr="005137E3">
              <w:rPr>
                <w:rFonts w:ascii="ITC Avant Garde" w:hAnsi="ITC Avant Garde"/>
                <w:sz w:val="18"/>
                <w:szCs w:val="18"/>
              </w:rPr>
              <w:t>establece</w:t>
            </w:r>
            <w:r w:rsidR="003607A5">
              <w:rPr>
                <w:rFonts w:ascii="ITC Avant Garde" w:hAnsi="ITC Avant Garde"/>
                <w:sz w:val="18"/>
                <w:szCs w:val="18"/>
              </w:rPr>
              <w:t>rá</w:t>
            </w:r>
            <w:r w:rsidRPr="005137E3">
              <w:rPr>
                <w:rFonts w:ascii="ITC Avant Garde" w:hAnsi="ITC Avant Garde"/>
                <w:sz w:val="18"/>
                <w:szCs w:val="18"/>
              </w:rPr>
              <w:t xml:space="preserve"> </w:t>
            </w:r>
            <w:r w:rsidR="00DF4011">
              <w:rPr>
                <w:rFonts w:ascii="ITC Avant Garde" w:hAnsi="ITC Avant Garde"/>
                <w:sz w:val="18"/>
                <w:szCs w:val="18"/>
              </w:rPr>
              <w:t>ni</w:t>
            </w:r>
            <w:r w:rsidR="00DF4011" w:rsidRPr="005137E3">
              <w:rPr>
                <w:rFonts w:ascii="ITC Avant Garde" w:hAnsi="ITC Avant Garde"/>
                <w:sz w:val="18"/>
                <w:szCs w:val="18"/>
              </w:rPr>
              <w:t xml:space="preserve"> </w:t>
            </w:r>
            <w:r w:rsidRPr="005137E3">
              <w:rPr>
                <w:rFonts w:ascii="ITC Avant Garde" w:hAnsi="ITC Avant Garde"/>
                <w:sz w:val="18"/>
                <w:szCs w:val="18"/>
              </w:rPr>
              <w:t>modifica</w:t>
            </w:r>
            <w:r w:rsidR="003607A5">
              <w:rPr>
                <w:rFonts w:ascii="ITC Avant Garde" w:hAnsi="ITC Avant Garde"/>
                <w:sz w:val="18"/>
                <w:szCs w:val="18"/>
              </w:rPr>
              <w:t>rá</w:t>
            </w:r>
            <w:r w:rsidRPr="005137E3">
              <w:rPr>
                <w:rFonts w:ascii="ITC Avant Garde" w:hAnsi="ITC Avant Garde"/>
                <w:sz w:val="18"/>
                <w:szCs w:val="18"/>
              </w:rPr>
              <w:t xml:space="preserve"> definiciones, clasificaciones, metodologías, criterios, caracterizaciones o cualquier otro término de referencia, afectando derechos, obligaciones, prestaciones o trámites.</w:t>
            </w:r>
          </w:p>
          <w:p w14:paraId="125E6873" w14:textId="27357C75" w:rsidR="00BE7D1C" w:rsidRPr="00FF6A29" w:rsidRDefault="00BE7D1C" w:rsidP="003F600A">
            <w:pPr>
              <w:jc w:val="both"/>
              <w:rPr>
                <w:rFonts w:ascii="ITC Avant Garde" w:hAnsi="ITC Avant Garde"/>
                <w:sz w:val="18"/>
                <w:szCs w:val="18"/>
              </w:rPr>
            </w:pPr>
          </w:p>
        </w:tc>
      </w:tr>
    </w:tbl>
    <w:p w14:paraId="1F66129F" w14:textId="77777777" w:rsidR="00BE7D1C" w:rsidRPr="00FF6A29" w:rsidRDefault="00BE7D1C"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696"/>
        <w:gridCol w:w="5670"/>
        <w:gridCol w:w="1462"/>
      </w:tblGrid>
      <w:tr w:rsidR="00804F49" w:rsidRPr="00FF6A29" w14:paraId="5BC62C0F" w14:textId="77777777" w:rsidTr="003949C0">
        <w:tc>
          <w:tcPr>
            <w:tcW w:w="1696" w:type="dxa"/>
            <w:vMerge w:val="restart"/>
          </w:tcPr>
          <w:p w14:paraId="29E51DE7" w14:textId="77777777" w:rsidR="00804F49" w:rsidRPr="00FF6A29" w:rsidRDefault="00BE7D1C" w:rsidP="00BE7D1C">
            <w:pPr>
              <w:rPr>
                <w:rFonts w:ascii="ITC Avant Garde" w:hAnsi="ITC Avant Garde"/>
                <w:b/>
                <w:sz w:val="18"/>
                <w:szCs w:val="18"/>
              </w:rPr>
            </w:pPr>
            <w:r w:rsidRPr="00FF6A29">
              <w:rPr>
                <w:rFonts w:ascii="ITC Avant Garde" w:hAnsi="ITC Avant Garde"/>
                <w:b/>
                <w:sz w:val="18"/>
                <w:szCs w:val="18"/>
              </w:rPr>
              <w:t>5</w:t>
            </w:r>
            <w:r w:rsidR="00D23BD5" w:rsidRPr="00FF6A29">
              <w:rPr>
                <w:rFonts w:ascii="ITC Avant Garde" w:hAnsi="ITC Avant Garde"/>
                <w:b/>
                <w:sz w:val="18"/>
                <w:szCs w:val="18"/>
              </w:rPr>
              <w:t>.- Indique cuál(es) de los siguientes</w:t>
            </w:r>
            <w:r w:rsidR="00804F49" w:rsidRPr="00FF6A29">
              <w:rPr>
                <w:rFonts w:ascii="ITC Avant Garde" w:hAnsi="ITC Avant Garde"/>
                <w:b/>
                <w:sz w:val="18"/>
                <w:szCs w:val="18"/>
              </w:rPr>
              <w:t xml:space="preserve"> </w:t>
            </w:r>
            <w:r w:rsidR="00D23BD5" w:rsidRPr="00FF6A29">
              <w:rPr>
                <w:rFonts w:ascii="ITC Avant Garde" w:hAnsi="ITC Avant Garde"/>
                <w:b/>
                <w:sz w:val="18"/>
                <w:szCs w:val="18"/>
              </w:rPr>
              <w:t>criterios</w:t>
            </w:r>
            <w:r w:rsidR="00804F49" w:rsidRPr="00FF6A29">
              <w:rPr>
                <w:rFonts w:ascii="ITC Avant Garde" w:hAnsi="ITC Avant Garde"/>
                <w:b/>
                <w:sz w:val="18"/>
                <w:szCs w:val="18"/>
              </w:rPr>
              <w:t xml:space="preserve"> </w:t>
            </w:r>
            <w:r w:rsidR="00D23BD5" w:rsidRPr="00FF6A29">
              <w:rPr>
                <w:rFonts w:ascii="ITC Avant Garde" w:hAnsi="ITC Avant Garde"/>
                <w:b/>
                <w:sz w:val="18"/>
                <w:szCs w:val="18"/>
              </w:rPr>
              <w:t>actualiza la propuesta</w:t>
            </w:r>
            <w:r w:rsidR="00804F49" w:rsidRPr="00FF6A29">
              <w:rPr>
                <w:rFonts w:ascii="ITC Avant Garde" w:hAnsi="ITC Avant Garde"/>
                <w:b/>
                <w:sz w:val="18"/>
                <w:szCs w:val="18"/>
              </w:rPr>
              <w:t xml:space="preserve"> de </w:t>
            </w:r>
            <w:r w:rsidR="00D23BD5" w:rsidRPr="00FF6A29">
              <w:rPr>
                <w:rFonts w:ascii="ITC Avant Garde" w:hAnsi="ITC Avant Garde"/>
                <w:b/>
                <w:sz w:val="18"/>
                <w:szCs w:val="18"/>
              </w:rPr>
              <w:t>regulación</w:t>
            </w:r>
            <w:r w:rsidR="0006478F" w:rsidRPr="00FF6A29">
              <w:rPr>
                <w:rFonts w:ascii="ITC Avant Garde" w:hAnsi="ITC Avant Garde"/>
                <w:b/>
                <w:sz w:val="18"/>
                <w:szCs w:val="18"/>
              </w:rPr>
              <w:t>:</w:t>
            </w:r>
          </w:p>
        </w:tc>
        <w:tc>
          <w:tcPr>
            <w:tcW w:w="5670" w:type="dxa"/>
            <w:shd w:val="clear" w:color="auto" w:fill="A8D08D" w:themeFill="accent6" w:themeFillTint="99"/>
          </w:tcPr>
          <w:p w14:paraId="55B8ECFA" w14:textId="77777777" w:rsidR="00804F49" w:rsidRPr="00FF6A29" w:rsidRDefault="00804F49" w:rsidP="00804F49">
            <w:pPr>
              <w:jc w:val="center"/>
              <w:rPr>
                <w:rFonts w:ascii="ITC Avant Garde" w:hAnsi="ITC Avant Garde"/>
                <w:b/>
                <w:sz w:val="18"/>
                <w:szCs w:val="18"/>
              </w:rPr>
            </w:pPr>
            <w:r w:rsidRPr="00FF6A29">
              <w:rPr>
                <w:rFonts w:ascii="ITC Avant Garde" w:hAnsi="ITC Avant Garde"/>
                <w:b/>
                <w:sz w:val="18"/>
                <w:szCs w:val="18"/>
              </w:rPr>
              <w:t>Acciones</w:t>
            </w:r>
          </w:p>
        </w:tc>
        <w:tc>
          <w:tcPr>
            <w:tcW w:w="1462" w:type="dxa"/>
            <w:shd w:val="clear" w:color="auto" w:fill="A8D08D" w:themeFill="accent6" w:themeFillTint="99"/>
          </w:tcPr>
          <w:p w14:paraId="3268064B" w14:textId="77777777" w:rsidR="00804F49" w:rsidRPr="00FF6A29" w:rsidRDefault="00804F49" w:rsidP="00804F49">
            <w:pPr>
              <w:jc w:val="center"/>
              <w:rPr>
                <w:rFonts w:ascii="ITC Avant Garde" w:hAnsi="ITC Avant Garde"/>
                <w:b/>
                <w:sz w:val="18"/>
                <w:szCs w:val="18"/>
              </w:rPr>
            </w:pPr>
            <w:r w:rsidRPr="00FF6A29">
              <w:rPr>
                <w:rFonts w:ascii="ITC Avant Garde" w:hAnsi="ITC Avant Garde"/>
                <w:b/>
                <w:sz w:val="18"/>
                <w:szCs w:val="18"/>
              </w:rPr>
              <w:t>Seleccione</w:t>
            </w:r>
          </w:p>
        </w:tc>
      </w:tr>
      <w:tr w:rsidR="00804F49" w:rsidRPr="00FF6A29" w14:paraId="6AE59269" w14:textId="77777777" w:rsidTr="003949C0">
        <w:tc>
          <w:tcPr>
            <w:tcW w:w="1696" w:type="dxa"/>
            <w:vMerge/>
          </w:tcPr>
          <w:p w14:paraId="5C9519DC" w14:textId="77777777" w:rsidR="00804F49" w:rsidRPr="00FF6A29" w:rsidRDefault="00804F49" w:rsidP="00E21B49">
            <w:pPr>
              <w:jc w:val="both"/>
              <w:rPr>
                <w:rFonts w:ascii="ITC Avant Garde" w:hAnsi="ITC Avant Garde"/>
                <w:sz w:val="18"/>
                <w:szCs w:val="18"/>
              </w:rPr>
            </w:pPr>
          </w:p>
        </w:tc>
        <w:tc>
          <w:tcPr>
            <w:tcW w:w="5670" w:type="dxa"/>
          </w:tcPr>
          <w:p w14:paraId="5F0DE1AA" w14:textId="77777777" w:rsidR="00804F49" w:rsidRPr="00FF6A29" w:rsidRDefault="00804F49" w:rsidP="004A7C30">
            <w:pPr>
              <w:jc w:val="both"/>
              <w:rPr>
                <w:rFonts w:ascii="ITC Avant Garde" w:hAnsi="ITC Avant Garde"/>
                <w:sz w:val="18"/>
                <w:szCs w:val="18"/>
              </w:rPr>
            </w:pPr>
            <w:r w:rsidRPr="00FF6A29">
              <w:rPr>
                <w:rFonts w:ascii="ITC Avant Garde" w:hAnsi="ITC Avant Garde"/>
                <w:sz w:val="18"/>
                <w:szCs w:val="18"/>
              </w:rPr>
              <w:t>Crea nuevas obligaciones y/o sanciones o hace más estrictas las existentes.</w:t>
            </w:r>
          </w:p>
        </w:tc>
        <w:tc>
          <w:tcPr>
            <w:tcW w:w="1462" w:type="dxa"/>
          </w:tcPr>
          <w:p w14:paraId="3297214F" w14:textId="77777777" w:rsidR="00804F49" w:rsidRPr="00FF6A29" w:rsidRDefault="00804F49" w:rsidP="00804F49">
            <w:pPr>
              <w:jc w:val="center"/>
              <w:rPr>
                <w:rFonts w:ascii="ITC Avant Garde" w:hAnsi="ITC Avant Garde"/>
                <w:sz w:val="18"/>
                <w:szCs w:val="18"/>
              </w:rPr>
            </w:pPr>
            <w:r w:rsidRPr="00FF6A29">
              <w:rPr>
                <w:rFonts w:ascii="ITC Avant Garde" w:hAnsi="ITC Avant Garde"/>
                <w:sz w:val="18"/>
                <w:szCs w:val="18"/>
              </w:rPr>
              <w:t xml:space="preserve">Si </w:t>
            </w:r>
            <w:proofErr w:type="gramStart"/>
            <w:r w:rsidRPr="00FF6A29">
              <w:rPr>
                <w:rFonts w:ascii="ITC Avant Garde" w:hAnsi="ITC Avant Garde"/>
                <w:sz w:val="18"/>
                <w:szCs w:val="18"/>
              </w:rPr>
              <w:t xml:space="preserve">( </w:t>
            </w:r>
            <w:r w:rsidR="004A7C30" w:rsidRPr="00FF6A29">
              <w:rPr>
                <w:rFonts w:ascii="ITC Avant Garde" w:hAnsi="ITC Avant Garde"/>
                <w:sz w:val="18"/>
                <w:szCs w:val="18"/>
              </w:rPr>
              <w:t xml:space="preserve"> </w:t>
            </w:r>
            <w:r w:rsidRPr="00FF6A29">
              <w:rPr>
                <w:rFonts w:ascii="ITC Avant Garde" w:hAnsi="ITC Avant Garde"/>
                <w:sz w:val="18"/>
                <w:szCs w:val="18"/>
              </w:rPr>
              <w:t>)</w:t>
            </w:r>
            <w:proofErr w:type="gramEnd"/>
            <w:r w:rsidRPr="00FF6A29">
              <w:rPr>
                <w:rFonts w:ascii="ITC Avant Garde" w:hAnsi="ITC Avant Garde"/>
                <w:sz w:val="18"/>
                <w:szCs w:val="18"/>
              </w:rPr>
              <w:t xml:space="preserve"> No (</w:t>
            </w:r>
            <w:r w:rsidR="002B41D8" w:rsidRPr="00FF6A29">
              <w:rPr>
                <w:rFonts w:ascii="ITC Avant Garde" w:hAnsi="ITC Avant Garde"/>
                <w:b/>
                <w:sz w:val="18"/>
                <w:szCs w:val="18"/>
              </w:rPr>
              <w:t>X</w:t>
            </w:r>
            <w:r w:rsidRPr="00FF6A29">
              <w:rPr>
                <w:rFonts w:ascii="ITC Avant Garde" w:hAnsi="ITC Avant Garde"/>
                <w:sz w:val="18"/>
                <w:szCs w:val="18"/>
              </w:rPr>
              <w:t>)</w:t>
            </w:r>
          </w:p>
        </w:tc>
      </w:tr>
      <w:tr w:rsidR="00804F49" w:rsidRPr="00FF6A29" w14:paraId="5578F6C9" w14:textId="77777777" w:rsidTr="003949C0">
        <w:tc>
          <w:tcPr>
            <w:tcW w:w="1696" w:type="dxa"/>
            <w:vMerge/>
          </w:tcPr>
          <w:p w14:paraId="042EC7A0" w14:textId="77777777" w:rsidR="00804F49" w:rsidRPr="00FF6A29" w:rsidRDefault="00804F49" w:rsidP="00804F49">
            <w:pPr>
              <w:jc w:val="both"/>
              <w:rPr>
                <w:rFonts w:ascii="ITC Avant Garde" w:hAnsi="ITC Avant Garde"/>
                <w:sz w:val="18"/>
                <w:szCs w:val="18"/>
              </w:rPr>
            </w:pPr>
          </w:p>
        </w:tc>
        <w:tc>
          <w:tcPr>
            <w:tcW w:w="5670" w:type="dxa"/>
          </w:tcPr>
          <w:p w14:paraId="11ACF3CF" w14:textId="77777777" w:rsidR="00804F49" w:rsidRPr="00FF6A29" w:rsidRDefault="00804F49" w:rsidP="004A7C30">
            <w:pPr>
              <w:jc w:val="both"/>
              <w:rPr>
                <w:rFonts w:ascii="ITC Avant Garde" w:hAnsi="ITC Avant Garde"/>
                <w:sz w:val="18"/>
                <w:szCs w:val="18"/>
              </w:rPr>
            </w:pPr>
            <w:r w:rsidRPr="00FF6A29">
              <w:rPr>
                <w:rFonts w:ascii="ITC Avant Garde" w:hAnsi="ITC Avant Garde"/>
                <w:sz w:val="18"/>
                <w:szCs w:val="18"/>
              </w:rPr>
              <w:t xml:space="preserve">Modifica o crea </w:t>
            </w:r>
            <w:r w:rsidR="00814A48" w:rsidRPr="00FF6A29">
              <w:rPr>
                <w:rFonts w:ascii="ITC Avant Garde" w:hAnsi="ITC Avant Garde"/>
                <w:sz w:val="18"/>
                <w:szCs w:val="18"/>
              </w:rPr>
              <w:t>T</w:t>
            </w:r>
            <w:r w:rsidRPr="00FF6A29">
              <w:rPr>
                <w:rFonts w:ascii="ITC Avant Garde" w:hAnsi="ITC Avant Garde"/>
                <w:sz w:val="18"/>
                <w:szCs w:val="18"/>
              </w:rPr>
              <w:t>rámites</w:t>
            </w:r>
            <w:r w:rsidR="008E1AD3" w:rsidRPr="00FF6A29">
              <w:rPr>
                <w:rFonts w:ascii="ITC Avant Garde" w:hAnsi="ITC Avant Garde"/>
                <w:sz w:val="18"/>
                <w:szCs w:val="18"/>
              </w:rPr>
              <w:t xml:space="preserve"> </w:t>
            </w:r>
            <w:r w:rsidRPr="00FF6A29">
              <w:rPr>
                <w:rFonts w:ascii="ITC Avant Garde" w:hAnsi="ITC Avant Garde"/>
                <w:sz w:val="18"/>
                <w:szCs w:val="18"/>
              </w:rPr>
              <w:t>que signifiquen mayores cargas administrativas o costos de cumplimiento</w:t>
            </w:r>
            <w:r w:rsidR="008E1AD3" w:rsidRPr="00FF6A29">
              <w:rPr>
                <w:rFonts w:ascii="ITC Avant Garde" w:hAnsi="ITC Avant Garde"/>
                <w:sz w:val="18"/>
                <w:szCs w:val="18"/>
                <w:vertAlign w:val="superscript"/>
              </w:rPr>
              <w:footnoteReference w:id="1"/>
            </w:r>
            <w:r w:rsidRPr="00FF6A29">
              <w:rPr>
                <w:rFonts w:ascii="ITC Avant Garde" w:hAnsi="ITC Avant Garde"/>
                <w:sz w:val="18"/>
                <w:szCs w:val="18"/>
              </w:rPr>
              <w:t>.</w:t>
            </w:r>
          </w:p>
        </w:tc>
        <w:tc>
          <w:tcPr>
            <w:tcW w:w="1462" w:type="dxa"/>
          </w:tcPr>
          <w:p w14:paraId="331205E5" w14:textId="77777777" w:rsidR="00804F49" w:rsidRPr="00FF6A29" w:rsidRDefault="00804F49" w:rsidP="00804F49">
            <w:pPr>
              <w:jc w:val="center"/>
              <w:rPr>
                <w:rFonts w:ascii="ITC Avant Garde" w:hAnsi="ITC Avant Garde"/>
                <w:sz w:val="18"/>
                <w:szCs w:val="18"/>
              </w:rPr>
            </w:pPr>
            <w:r w:rsidRPr="00FF6A29">
              <w:rPr>
                <w:rFonts w:ascii="ITC Avant Garde" w:hAnsi="ITC Avant Garde"/>
                <w:sz w:val="18"/>
                <w:szCs w:val="18"/>
              </w:rPr>
              <w:t xml:space="preserve">Si </w:t>
            </w:r>
            <w:proofErr w:type="gramStart"/>
            <w:r w:rsidRPr="00FF6A29">
              <w:rPr>
                <w:rFonts w:ascii="ITC Avant Garde" w:hAnsi="ITC Avant Garde"/>
                <w:sz w:val="18"/>
                <w:szCs w:val="18"/>
              </w:rPr>
              <w:t>(</w:t>
            </w:r>
            <w:r w:rsidR="004A7C30" w:rsidRPr="00FF6A29">
              <w:rPr>
                <w:rFonts w:ascii="ITC Avant Garde" w:hAnsi="ITC Avant Garde"/>
                <w:sz w:val="18"/>
                <w:szCs w:val="18"/>
              </w:rPr>
              <w:t xml:space="preserve"> </w:t>
            </w:r>
            <w:r w:rsidRPr="00FF6A29">
              <w:rPr>
                <w:rFonts w:ascii="ITC Avant Garde" w:hAnsi="ITC Avant Garde"/>
                <w:sz w:val="18"/>
                <w:szCs w:val="18"/>
              </w:rPr>
              <w:t xml:space="preserve"> )</w:t>
            </w:r>
            <w:proofErr w:type="gramEnd"/>
            <w:r w:rsidRPr="00FF6A29">
              <w:rPr>
                <w:rFonts w:ascii="ITC Avant Garde" w:hAnsi="ITC Avant Garde"/>
                <w:sz w:val="18"/>
                <w:szCs w:val="18"/>
              </w:rPr>
              <w:t xml:space="preserve"> No (</w:t>
            </w:r>
            <w:r w:rsidR="002B41D8" w:rsidRPr="00FF6A29">
              <w:rPr>
                <w:rFonts w:ascii="ITC Avant Garde" w:hAnsi="ITC Avant Garde"/>
                <w:b/>
                <w:sz w:val="18"/>
                <w:szCs w:val="18"/>
              </w:rPr>
              <w:t>X</w:t>
            </w:r>
            <w:r w:rsidRPr="00FF6A29">
              <w:rPr>
                <w:rFonts w:ascii="ITC Avant Garde" w:hAnsi="ITC Avant Garde"/>
                <w:sz w:val="18"/>
                <w:szCs w:val="18"/>
              </w:rPr>
              <w:t>)</w:t>
            </w:r>
          </w:p>
        </w:tc>
      </w:tr>
      <w:tr w:rsidR="00804F49" w:rsidRPr="00FF6A29" w14:paraId="0A866567" w14:textId="77777777" w:rsidTr="003949C0">
        <w:tc>
          <w:tcPr>
            <w:tcW w:w="1696" w:type="dxa"/>
            <w:vMerge/>
          </w:tcPr>
          <w:p w14:paraId="1CA059A2" w14:textId="77777777" w:rsidR="00804F49" w:rsidRPr="00FF6A29" w:rsidRDefault="00804F49" w:rsidP="00804F49">
            <w:pPr>
              <w:jc w:val="both"/>
              <w:rPr>
                <w:rFonts w:ascii="ITC Avant Garde" w:hAnsi="ITC Avant Garde"/>
                <w:sz w:val="18"/>
                <w:szCs w:val="18"/>
              </w:rPr>
            </w:pPr>
          </w:p>
        </w:tc>
        <w:tc>
          <w:tcPr>
            <w:tcW w:w="5670" w:type="dxa"/>
          </w:tcPr>
          <w:p w14:paraId="4E9B62CF" w14:textId="77777777" w:rsidR="00804F49" w:rsidRPr="00FF6A29" w:rsidRDefault="00804F49" w:rsidP="004A7C30">
            <w:pPr>
              <w:jc w:val="both"/>
              <w:rPr>
                <w:rFonts w:ascii="ITC Avant Garde" w:hAnsi="ITC Avant Garde"/>
                <w:sz w:val="18"/>
                <w:szCs w:val="18"/>
              </w:rPr>
            </w:pPr>
            <w:r w:rsidRPr="00FF6A29">
              <w:rPr>
                <w:rFonts w:ascii="ITC Avant Garde" w:hAnsi="ITC Avant Garde"/>
                <w:sz w:val="18"/>
                <w:szCs w:val="18"/>
              </w:rPr>
              <w:t>Reduce o re</w:t>
            </w:r>
            <w:r w:rsidR="004A7C30" w:rsidRPr="00FF6A29">
              <w:rPr>
                <w:rFonts w:ascii="ITC Avant Garde" w:hAnsi="ITC Avant Garde"/>
                <w:sz w:val="18"/>
                <w:szCs w:val="18"/>
              </w:rPr>
              <w:t>stringe prestaciones o derechos</w:t>
            </w:r>
            <w:r w:rsidRPr="00FF6A29">
              <w:rPr>
                <w:rFonts w:ascii="ITC Avant Garde" w:hAnsi="ITC Avant Garde"/>
                <w:sz w:val="18"/>
                <w:szCs w:val="18"/>
              </w:rPr>
              <w:t>.</w:t>
            </w:r>
          </w:p>
        </w:tc>
        <w:tc>
          <w:tcPr>
            <w:tcW w:w="1462" w:type="dxa"/>
          </w:tcPr>
          <w:p w14:paraId="3A2A7990" w14:textId="77777777" w:rsidR="00804F49" w:rsidRPr="00FF6A29" w:rsidRDefault="00804F49" w:rsidP="002B41D8">
            <w:pPr>
              <w:jc w:val="center"/>
              <w:rPr>
                <w:rFonts w:ascii="ITC Avant Garde" w:hAnsi="ITC Avant Garde"/>
                <w:sz w:val="18"/>
                <w:szCs w:val="18"/>
              </w:rPr>
            </w:pPr>
            <w:r w:rsidRPr="00FF6A29">
              <w:rPr>
                <w:rFonts w:ascii="ITC Avant Garde" w:hAnsi="ITC Avant Garde"/>
                <w:sz w:val="18"/>
                <w:szCs w:val="18"/>
              </w:rPr>
              <w:t xml:space="preserve">Si </w:t>
            </w:r>
            <w:proofErr w:type="gramStart"/>
            <w:r w:rsidRPr="00FF6A29">
              <w:rPr>
                <w:rFonts w:ascii="ITC Avant Garde" w:hAnsi="ITC Avant Garde"/>
                <w:sz w:val="18"/>
                <w:szCs w:val="18"/>
              </w:rPr>
              <w:t>(</w:t>
            </w:r>
            <w:r w:rsidR="004A7C30" w:rsidRPr="00FF6A29">
              <w:rPr>
                <w:rFonts w:ascii="ITC Avant Garde" w:hAnsi="ITC Avant Garde"/>
                <w:sz w:val="18"/>
                <w:szCs w:val="18"/>
              </w:rPr>
              <w:t xml:space="preserve"> </w:t>
            </w:r>
            <w:r w:rsidRPr="00FF6A29">
              <w:rPr>
                <w:rFonts w:ascii="ITC Avant Garde" w:hAnsi="ITC Avant Garde"/>
                <w:sz w:val="18"/>
                <w:szCs w:val="18"/>
              </w:rPr>
              <w:t xml:space="preserve"> )</w:t>
            </w:r>
            <w:proofErr w:type="gramEnd"/>
            <w:r w:rsidRPr="00FF6A29">
              <w:rPr>
                <w:rFonts w:ascii="ITC Avant Garde" w:hAnsi="ITC Avant Garde"/>
                <w:sz w:val="18"/>
                <w:szCs w:val="18"/>
              </w:rPr>
              <w:t xml:space="preserve"> No (</w:t>
            </w:r>
            <w:r w:rsidR="002B41D8" w:rsidRPr="00FF6A29">
              <w:rPr>
                <w:rFonts w:ascii="ITC Avant Garde" w:hAnsi="ITC Avant Garde"/>
                <w:b/>
                <w:sz w:val="18"/>
                <w:szCs w:val="18"/>
              </w:rPr>
              <w:t>X</w:t>
            </w:r>
            <w:r w:rsidRPr="00FF6A29">
              <w:rPr>
                <w:rFonts w:ascii="ITC Avant Garde" w:hAnsi="ITC Avant Garde"/>
                <w:sz w:val="18"/>
                <w:szCs w:val="18"/>
              </w:rPr>
              <w:t>)</w:t>
            </w:r>
          </w:p>
        </w:tc>
      </w:tr>
      <w:tr w:rsidR="00804F49" w:rsidRPr="00FF6A29" w14:paraId="31292FC2" w14:textId="77777777" w:rsidTr="003949C0">
        <w:tc>
          <w:tcPr>
            <w:tcW w:w="1696" w:type="dxa"/>
            <w:vMerge/>
          </w:tcPr>
          <w:p w14:paraId="60ECDCF5" w14:textId="77777777" w:rsidR="00804F49" w:rsidRPr="00FF6A29" w:rsidRDefault="00804F49" w:rsidP="00804F49">
            <w:pPr>
              <w:jc w:val="both"/>
              <w:rPr>
                <w:rFonts w:ascii="ITC Avant Garde" w:hAnsi="ITC Avant Garde"/>
                <w:sz w:val="18"/>
                <w:szCs w:val="18"/>
              </w:rPr>
            </w:pPr>
          </w:p>
        </w:tc>
        <w:tc>
          <w:tcPr>
            <w:tcW w:w="5670" w:type="dxa"/>
          </w:tcPr>
          <w:p w14:paraId="79E59A36" w14:textId="77777777" w:rsidR="00804F49" w:rsidRPr="00FF6A29" w:rsidRDefault="00804F49" w:rsidP="004A7C30">
            <w:pPr>
              <w:jc w:val="both"/>
              <w:rPr>
                <w:rFonts w:ascii="ITC Avant Garde" w:hAnsi="ITC Avant Garde"/>
                <w:sz w:val="18"/>
                <w:szCs w:val="18"/>
              </w:rPr>
            </w:pPr>
            <w:r w:rsidRPr="00FF6A29">
              <w:rPr>
                <w:rFonts w:ascii="ITC Avant Garde" w:hAnsi="ITC Avant Garde"/>
                <w:sz w:val="18"/>
                <w:szCs w:val="18"/>
              </w:rPr>
              <w:t>Establece o modifica definiciones, clasificaciones, metodologías, criterios, caracterizaciones o cualquier otro término de referencia, afectando derechos, obliga</w:t>
            </w:r>
            <w:r w:rsidR="004A7C30" w:rsidRPr="00FF6A29">
              <w:rPr>
                <w:rFonts w:ascii="ITC Avant Garde" w:hAnsi="ITC Avant Garde"/>
                <w:sz w:val="18"/>
                <w:szCs w:val="18"/>
              </w:rPr>
              <w:t>ciones, prestaciones o trámites</w:t>
            </w:r>
            <w:r w:rsidRPr="00FF6A29">
              <w:rPr>
                <w:rFonts w:ascii="ITC Avant Garde" w:hAnsi="ITC Avant Garde"/>
                <w:sz w:val="18"/>
                <w:szCs w:val="18"/>
              </w:rPr>
              <w:t>.</w:t>
            </w:r>
          </w:p>
        </w:tc>
        <w:tc>
          <w:tcPr>
            <w:tcW w:w="1462" w:type="dxa"/>
          </w:tcPr>
          <w:p w14:paraId="785A0971" w14:textId="77777777" w:rsidR="00804F49" w:rsidRPr="00FF6A29" w:rsidRDefault="00804F49" w:rsidP="00804F49">
            <w:pPr>
              <w:jc w:val="center"/>
              <w:rPr>
                <w:rFonts w:ascii="ITC Avant Garde" w:hAnsi="ITC Avant Garde"/>
                <w:sz w:val="18"/>
                <w:szCs w:val="18"/>
              </w:rPr>
            </w:pPr>
            <w:r w:rsidRPr="00FF6A29">
              <w:rPr>
                <w:rFonts w:ascii="ITC Avant Garde" w:hAnsi="ITC Avant Garde"/>
                <w:sz w:val="18"/>
                <w:szCs w:val="18"/>
              </w:rPr>
              <w:t xml:space="preserve">Si </w:t>
            </w:r>
            <w:proofErr w:type="gramStart"/>
            <w:r w:rsidRPr="00FF6A29">
              <w:rPr>
                <w:rFonts w:ascii="ITC Avant Garde" w:hAnsi="ITC Avant Garde"/>
                <w:sz w:val="18"/>
                <w:szCs w:val="18"/>
              </w:rPr>
              <w:t xml:space="preserve">( </w:t>
            </w:r>
            <w:r w:rsidR="004A7C30" w:rsidRPr="00FF6A29">
              <w:rPr>
                <w:rFonts w:ascii="ITC Avant Garde" w:hAnsi="ITC Avant Garde"/>
                <w:sz w:val="18"/>
                <w:szCs w:val="18"/>
              </w:rPr>
              <w:t xml:space="preserve"> </w:t>
            </w:r>
            <w:r w:rsidR="002B41D8" w:rsidRPr="00FF6A29">
              <w:rPr>
                <w:rFonts w:ascii="ITC Avant Garde" w:hAnsi="ITC Avant Garde"/>
                <w:sz w:val="18"/>
                <w:szCs w:val="18"/>
              </w:rPr>
              <w:t>)</w:t>
            </w:r>
            <w:proofErr w:type="gramEnd"/>
            <w:r w:rsidR="002B41D8" w:rsidRPr="00FF6A29">
              <w:rPr>
                <w:rFonts w:ascii="ITC Avant Garde" w:hAnsi="ITC Avant Garde"/>
                <w:sz w:val="18"/>
                <w:szCs w:val="18"/>
              </w:rPr>
              <w:t xml:space="preserve"> No (</w:t>
            </w:r>
            <w:r w:rsidR="002B41D8" w:rsidRPr="00FF6A29">
              <w:rPr>
                <w:rFonts w:ascii="ITC Avant Garde" w:hAnsi="ITC Avant Garde"/>
                <w:b/>
                <w:sz w:val="18"/>
                <w:szCs w:val="18"/>
              </w:rPr>
              <w:t>X</w:t>
            </w:r>
            <w:r w:rsidRPr="00FF6A29">
              <w:rPr>
                <w:rFonts w:ascii="ITC Avant Garde" w:hAnsi="ITC Avant Garde"/>
                <w:sz w:val="18"/>
                <w:szCs w:val="18"/>
              </w:rPr>
              <w:t>)</w:t>
            </w:r>
          </w:p>
        </w:tc>
      </w:tr>
    </w:tbl>
    <w:p w14:paraId="1419FB1F" w14:textId="77777777" w:rsidR="00E21B49" w:rsidRPr="00FF6A29" w:rsidRDefault="00E21B49" w:rsidP="00E21B49">
      <w:pPr>
        <w:jc w:val="both"/>
        <w:rPr>
          <w:rFonts w:ascii="ITC Avant Garde" w:hAnsi="ITC Avant Garde"/>
          <w:sz w:val="18"/>
          <w:szCs w:val="18"/>
        </w:rPr>
      </w:pPr>
    </w:p>
    <w:p w14:paraId="43C39F57" w14:textId="77777777" w:rsidR="00A73AD8" w:rsidRPr="00FF6A29" w:rsidRDefault="00A73AD8" w:rsidP="00A73AD8">
      <w:pPr>
        <w:shd w:val="clear" w:color="auto" w:fill="A8D08D" w:themeFill="accent6" w:themeFillTint="99"/>
        <w:jc w:val="both"/>
        <w:rPr>
          <w:rFonts w:ascii="ITC Avant Garde" w:hAnsi="ITC Avant Garde"/>
          <w:b/>
          <w:sz w:val="18"/>
          <w:szCs w:val="18"/>
        </w:rPr>
      </w:pPr>
      <w:r w:rsidRPr="00FF6A29">
        <w:rPr>
          <w:rFonts w:ascii="ITC Avant Garde" w:hAnsi="ITC Avant Garde"/>
          <w:b/>
          <w:sz w:val="18"/>
          <w:szCs w:val="18"/>
        </w:rPr>
        <w:t>I</w:t>
      </w:r>
      <w:r w:rsidR="00804F49" w:rsidRPr="00FF6A29">
        <w:rPr>
          <w:rFonts w:ascii="ITC Avant Garde" w:hAnsi="ITC Avant Garde"/>
          <w:b/>
          <w:sz w:val="18"/>
          <w:szCs w:val="18"/>
        </w:rPr>
        <w:t>I</w:t>
      </w:r>
      <w:r w:rsidRPr="00FF6A29">
        <w:rPr>
          <w:rFonts w:ascii="ITC Avant Garde" w:hAnsi="ITC Avant Garde"/>
          <w:b/>
          <w:sz w:val="18"/>
          <w:szCs w:val="18"/>
        </w:rPr>
        <w:t xml:space="preserve">I. </w:t>
      </w:r>
      <w:r w:rsidR="003E1D84" w:rsidRPr="00FF6A29">
        <w:rPr>
          <w:rFonts w:ascii="ITC Avant Garde" w:hAnsi="ITC Avant Garde"/>
          <w:b/>
          <w:sz w:val="18"/>
          <w:szCs w:val="18"/>
        </w:rPr>
        <w:t>BIBLIOGRAFÍA O REFERENCIAS DE CUALQUIER ÍNDOLE QUE SE HAYAN UTILIZADO EN LA ELABORACIÓN DE LA PROPUESTA DE REGULACIÓN</w:t>
      </w:r>
      <w:r w:rsidRPr="00FF6A29">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A73AD8" w:rsidRPr="00FF6A29" w14:paraId="34836DB7" w14:textId="77777777" w:rsidTr="00A73AD8">
        <w:tc>
          <w:tcPr>
            <w:tcW w:w="8828" w:type="dxa"/>
          </w:tcPr>
          <w:p w14:paraId="47FF9F41" w14:textId="77777777" w:rsidR="006018A0" w:rsidRDefault="006018A0" w:rsidP="00A73AD8">
            <w:pPr>
              <w:jc w:val="both"/>
              <w:rPr>
                <w:rFonts w:ascii="ITC Avant Garde" w:hAnsi="ITC Avant Garde"/>
                <w:b/>
                <w:sz w:val="18"/>
                <w:szCs w:val="18"/>
              </w:rPr>
            </w:pPr>
          </w:p>
          <w:p w14:paraId="42C4A698" w14:textId="7CFE6F45" w:rsidR="00B74C55" w:rsidRPr="00FF6A29" w:rsidRDefault="00BE7D1C" w:rsidP="00A73AD8">
            <w:pPr>
              <w:jc w:val="both"/>
              <w:rPr>
                <w:rFonts w:ascii="ITC Avant Garde" w:hAnsi="ITC Avant Garde"/>
                <w:b/>
                <w:sz w:val="18"/>
                <w:szCs w:val="18"/>
              </w:rPr>
            </w:pPr>
            <w:r w:rsidRPr="00FF6A29">
              <w:rPr>
                <w:rFonts w:ascii="ITC Avant Garde" w:hAnsi="ITC Avant Garde"/>
                <w:b/>
                <w:sz w:val="18"/>
                <w:szCs w:val="18"/>
              </w:rPr>
              <w:t>6</w:t>
            </w:r>
            <w:r w:rsidR="00A73AD8" w:rsidRPr="00FF6A29">
              <w:rPr>
                <w:rFonts w:ascii="ITC Avant Garde" w:hAnsi="ITC Avant Garde"/>
                <w:b/>
                <w:sz w:val="18"/>
                <w:szCs w:val="18"/>
              </w:rPr>
              <w:t xml:space="preserve">.- Enliste </w:t>
            </w:r>
            <w:r w:rsidR="00B74C55" w:rsidRPr="00FF6A29">
              <w:rPr>
                <w:rFonts w:ascii="ITC Avant Garde" w:hAnsi="ITC Avant Garde"/>
                <w:b/>
                <w:sz w:val="18"/>
                <w:szCs w:val="18"/>
              </w:rPr>
              <w:t>los datos bibliográficos o las direcciones electrónicas consultadas para el diseño y redacción</w:t>
            </w:r>
            <w:r w:rsidR="00804F49" w:rsidRPr="00FF6A29">
              <w:rPr>
                <w:rFonts w:ascii="ITC Avant Garde" w:hAnsi="ITC Avant Garde"/>
                <w:b/>
                <w:sz w:val="18"/>
                <w:szCs w:val="18"/>
              </w:rPr>
              <w:t xml:space="preserve"> </w:t>
            </w:r>
            <w:r w:rsidR="00D23BD5" w:rsidRPr="00FF6A29">
              <w:rPr>
                <w:rFonts w:ascii="ITC Avant Garde" w:hAnsi="ITC Avant Garde"/>
                <w:b/>
                <w:sz w:val="18"/>
                <w:szCs w:val="18"/>
              </w:rPr>
              <w:t>de la propuesta</w:t>
            </w:r>
            <w:r w:rsidR="00804F49" w:rsidRPr="00FF6A29">
              <w:rPr>
                <w:rFonts w:ascii="ITC Avant Garde" w:hAnsi="ITC Avant Garde"/>
                <w:b/>
                <w:sz w:val="18"/>
                <w:szCs w:val="18"/>
              </w:rPr>
              <w:t xml:space="preserve"> de regulación, así como cualquier otra documentación que se considere de interés.</w:t>
            </w:r>
          </w:p>
          <w:p w14:paraId="0D37F4D5" w14:textId="77777777" w:rsidR="00A73AD8" w:rsidRPr="00FF6A29" w:rsidRDefault="00A73AD8" w:rsidP="0086684A">
            <w:pPr>
              <w:jc w:val="both"/>
              <w:rPr>
                <w:rFonts w:ascii="ITC Avant Garde" w:hAnsi="ITC Avant Garde"/>
                <w:sz w:val="18"/>
                <w:szCs w:val="18"/>
              </w:rPr>
            </w:pPr>
          </w:p>
          <w:p w14:paraId="36B83A2A" w14:textId="0EFE5D71" w:rsidR="00870931" w:rsidRPr="000D0E86" w:rsidRDefault="00B654CC" w:rsidP="004026D0">
            <w:pPr>
              <w:pStyle w:val="Prrafodelista"/>
              <w:numPr>
                <w:ilvl w:val="0"/>
                <w:numId w:val="3"/>
              </w:numPr>
              <w:ind w:left="312" w:hanging="284"/>
              <w:jc w:val="both"/>
              <w:rPr>
                <w:rFonts w:ascii="ITC Avant Garde" w:hAnsi="ITC Avant Garde"/>
                <w:sz w:val="18"/>
                <w:szCs w:val="18"/>
              </w:rPr>
            </w:pPr>
            <w:r w:rsidRPr="00FF6A29">
              <w:rPr>
                <w:rFonts w:ascii="ITC Avant Garde" w:eastAsia="Times New Roman" w:hAnsi="ITC Avant Garde"/>
                <w:kern w:val="2"/>
                <w:sz w:val="18"/>
                <w:szCs w:val="18"/>
                <w:lang w:val="es-ES" w:eastAsia="ar-SA"/>
              </w:rPr>
              <w:t>Acuerdo mediante el cual el Pleno del Instituto Federal de Telecomunicaciones aprueba y emite los Lineamientos de Consulta Pública y Análisis de Impacto Regulatorio del Instituto Federal de Telecomunicaciones</w:t>
            </w:r>
            <w:r w:rsidR="004026D0">
              <w:rPr>
                <w:rFonts w:ascii="ITC Avant Garde" w:eastAsia="Times New Roman" w:hAnsi="ITC Avant Garde"/>
                <w:kern w:val="2"/>
                <w:sz w:val="18"/>
                <w:szCs w:val="18"/>
                <w:lang w:val="es-ES" w:eastAsia="ar-SA"/>
              </w:rPr>
              <w:t>.</w:t>
            </w:r>
          </w:p>
          <w:p w14:paraId="4F5364A2" w14:textId="62325805" w:rsidR="000D0E86" w:rsidRPr="000D0E86" w:rsidRDefault="004516FA" w:rsidP="000D0E86">
            <w:pPr>
              <w:pStyle w:val="Prrafodelista"/>
              <w:ind w:left="312"/>
              <w:jc w:val="both"/>
              <w:rPr>
                <w:rFonts w:ascii="ITC Avant Garde" w:hAnsi="ITC Avant Garde"/>
                <w:sz w:val="18"/>
                <w:szCs w:val="18"/>
              </w:rPr>
            </w:pPr>
            <w:hyperlink r:id="rId12" w:anchor="gsc.tab=0" w:history="1">
              <w:r w:rsidR="000D0E86" w:rsidRPr="0044688E">
                <w:rPr>
                  <w:rStyle w:val="Hipervnculo"/>
                  <w:rFonts w:ascii="ITC Avant Garde" w:hAnsi="ITC Avant Garde"/>
                  <w:sz w:val="18"/>
                  <w:szCs w:val="18"/>
                </w:rPr>
                <w:t>https://www.dof.gob.mx/nota_detalle.php?codigo=5503960&amp;fecha=08/11/2017#gsc.tab=0</w:t>
              </w:r>
            </w:hyperlink>
            <w:r w:rsidR="000D0E86">
              <w:rPr>
                <w:rFonts w:ascii="ITC Avant Garde" w:hAnsi="ITC Avant Garde"/>
                <w:sz w:val="18"/>
                <w:szCs w:val="18"/>
              </w:rPr>
              <w:t xml:space="preserve"> </w:t>
            </w:r>
          </w:p>
          <w:p w14:paraId="749AA5C3" w14:textId="77777777" w:rsidR="000D0E86" w:rsidRPr="009C7499" w:rsidRDefault="000D0E86" w:rsidP="000D0E86">
            <w:pPr>
              <w:pStyle w:val="Prrafodelista"/>
              <w:ind w:left="312"/>
              <w:jc w:val="both"/>
              <w:rPr>
                <w:rFonts w:ascii="ITC Avant Garde" w:hAnsi="ITC Avant Garde"/>
                <w:sz w:val="18"/>
                <w:szCs w:val="18"/>
              </w:rPr>
            </w:pPr>
          </w:p>
          <w:p w14:paraId="6433FEB2" w14:textId="77777777" w:rsidR="006018A0" w:rsidRDefault="000F3224" w:rsidP="00545AC3">
            <w:pPr>
              <w:pStyle w:val="Prrafodelista"/>
              <w:numPr>
                <w:ilvl w:val="0"/>
                <w:numId w:val="3"/>
              </w:numPr>
              <w:ind w:left="312" w:hanging="284"/>
              <w:jc w:val="both"/>
              <w:rPr>
                <w:rFonts w:ascii="ITC Avant Garde" w:hAnsi="ITC Avant Garde"/>
                <w:sz w:val="18"/>
                <w:szCs w:val="18"/>
              </w:rPr>
            </w:pPr>
            <w:r w:rsidRPr="000F3224">
              <w:rPr>
                <w:rFonts w:ascii="ITC Avant Garde" w:hAnsi="ITC Avant Garde"/>
                <w:sz w:val="18"/>
                <w:szCs w:val="18"/>
              </w:rPr>
              <w:t>A</w:t>
            </w:r>
            <w:r>
              <w:rPr>
                <w:rFonts w:ascii="ITC Avant Garde" w:hAnsi="ITC Avant Garde"/>
                <w:sz w:val="18"/>
                <w:szCs w:val="18"/>
              </w:rPr>
              <w:t xml:space="preserve">cuerdo </w:t>
            </w:r>
            <w:r w:rsidRPr="000F3224">
              <w:rPr>
                <w:rFonts w:ascii="ITC Avant Garde" w:hAnsi="ITC Avant Garde"/>
                <w:sz w:val="18"/>
                <w:szCs w:val="18"/>
              </w:rPr>
              <w:t>mediante el cual el Pleno del Instituto Federal de Telecomunicaciones emite las Disposiciones Regulatorias en materia de Comunicación Vía Satélite.</w:t>
            </w:r>
          </w:p>
          <w:p w14:paraId="148E5C9B" w14:textId="3E5BFDF3" w:rsidR="000D0E86" w:rsidRPr="00545AC3" w:rsidRDefault="004516FA" w:rsidP="000D0E86">
            <w:pPr>
              <w:pStyle w:val="Prrafodelista"/>
              <w:ind w:left="312"/>
              <w:jc w:val="both"/>
              <w:rPr>
                <w:rFonts w:ascii="ITC Avant Garde" w:hAnsi="ITC Avant Garde"/>
                <w:sz w:val="18"/>
                <w:szCs w:val="18"/>
              </w:rPr>
            </w:pPr>
            <w:hyperlink r:id="rId13" w:anchor="gsc.tab=0" w:history="1">
              <w:r w:rsidR="000D0E86" w:rsidRPr="0044688E">
                <w:rPr>
                  <w:rStyle w:val="Hipervnculo"/>
                  <w:rFonts w:ascii="ITC Avant Garde" w:hAnsi="ITC Avant Garde"/>
                  <w:sz w:val="18"/>
                  <w:szCs w:val="18"/>
                </w:rPr>
                <w:t>https://www.dof.gob.mx/nota_detalle.php?codigo=5677587&amp;fecha=23/01/2023#gsc.tab=0</w:t>
              </w:r>
            </w:hyperlink>
            <w:r w:rsidR="000D0E86">
              <w:rPr>
                <w:rFonts w:ascii="ITC Avant Garde" w:hAnsi="ITC Avant Garde"/>
                <w:sz w:val="18"/>
                <w:szCs w:val="18"/>
              </w:rPr>
              <w:t xml:space="preserve"> </w:t>
            </w:r>
          </w:p>
        </w:tc>
      </w:tr>
    </w:tbl>
    <w:p w14:paraId="3114E34B" w14:textId="77777777" w:rsidR="00FF6A29" w:rsidRPr="00FF6A29" w:rsidRDefault="00FF6A29" w:rsidP="006018A0">
      <w:pPr>
        <w:jc w:val="both"/>
        <w:rPr>
          <w:rFonts w:ascii="ITC Avant Garde" w:hAnsi="ITC Avant Garde"/>
          <w:sz w:val="18"/>
          <w:szCs w:val="18"/>
        </w:rPr>
      </w:pPr>
    </w:p>
    <w:sectPr w:rsidR="00FF6A29" w:rsidRPr="00FF6A29">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AA1DD" w14:textId="77777777" w:rsidR="004211DF" w:rsidRDefault="004211DF" w:rsidP="00501ADF">
      <w:pPr>
        <w:spacing w:after="0" w:line="240" w:lineRule="auto"/>
      </w:pPr>
      <w:r>
        <w:separator/>
      </w:r>
    </w:p>
  </w:endnote>
  <w:endnote w:type="continuationSeparator" w:id="0">
    <w:p w14:paraId="34734F18" w14:textId="77777777" w:rsidR="004211DF" w:rsidRDefault="004211DF" w:rsidP="0050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5566809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16AAB462" w14:textId="77777777" w:rsidR="0006478F" w:rsidRPr="0006478F" w:rsidRDefault="0006478F">
            <w:pPr>
              <w:pStyle w:val="Piedepgina"/>
              <w:jc w:val="right"/>
              <w:rPr>
                <w:sz w:val="20"/>
              </w:rPr>
            </w:pPr>
            <w:r w:rsidRPr="0006478F">
              <w:rPr>
                <w:b/>
                <w:bCs/>
                <w:szCs w:val="24"/>
              </w:rPr>
              <w:fldChar w:fldCharType="begin"/>
            </w:r>
            <w:r w:rsidRPr="0006478F">
              <w:rPr>
                <w:b/>
                <w:bCs/>
                <w:sz w:val="20"/>
              </w:rPr>
              <w:instrText>PAGE</w:instrText>
            </w:r>
            <w:r w:rsidRPr="0006478F">
              <w:rPr>
                <w:b/>
                <w:bCs/>
                <w:szCs w:val="24"/>
              </w:rPr>
              <w:fldChar w:fldCharType="separate"/>
            </w:r>
            <w:r w:rsidR="00E73F56">
              <w:rPr>
                <w:b/>
                <w:bCs/>
                <w:noProof/>
                <w:sz w:val="20"/>
              </w:rPr>
              <w:t>1</w:t>
            </w:r>
            <w:r w:rsidRPr="0006478F">
              <w:rPr>
                <w:b/>
                <w:bCs/>
                <w:szCs w:val="24"/>
              </w:rPr>
              <w:fldChar w:fldCharType="end"/>
            </w:r>
          </w:p>
        </w:sdtContent>
      </w:sdt>
    </w:sdtContent>
  </w:sdt>
  <w:p w14:paraId="2DD6C129" w14:textId="77777777" w:rsidR="0006478F" w:rsidRDefault="000647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AC541" w14:textId="77777777" w:rsidR="004211DF" w:rsidRDefault="004211DF" w:rsidP="00501ADF">
      <w:pPr>
        <w:spacing w:after="0" w:line="240" w:lineRule="auto"/>
      </w:pPr>
      <w:r>
        <w:separator/>
      </w:r>
    </w:p>
  </w:footnote>
  <w:footnote w:type="continuationSeparator" w:id="0">
    <w:p w14:paraId="13627FC0" w14:textId="77777777" w:rsidR="004211DF" w:rsidRDefault="004211DF" w:rsidP="00501ADF">
      <w:pPr>
        <w:spacing w:after="0" w:line="240" w:lineRule="auto"/>
      </w:pPr>
      <w:r>
        <w:continuationSeparator/>
      </w:r>
    </w:p>
  </w:footnote>
  <w:footnote w:id="1">
    <w:p w14:paraId="6371089C" w14:textId="17385682" w:rsidR="0033344D" w:rsidRDefault="008E1AD3" w:rsidP="003C1AA7">
      <w:pPr>
        <w:pStyle w:val="Textonotapie"/>
        <w:jc w:val="both"/>
        <w:rPr>
          <w:rFonts w:ascii="ITC Avant Garde" w:hAnsi="ITC Avant Garde"/>
          <w:sz w:val="16"/>
          <w:szCs w:val="16"/>
        </w:rPr>
      </w:pPr>
      <w:r w:rsidRPr="003C1AA7">
        <w:rPr>
          <w:rStyle w:val="Refdenotaalpie"/>
          <w:rFonts w:ascii="ITC Avant Garde" w:hAnsi="ITC Avant Garde"/>
          <w:sz w:val="16"/>
          <w:szCs w:val="16"/>
        </w:rPr>
        <w:footnoteRef/>
      </w:r>
      <w:r w:rsidR="00BA4E93" w:rsidRPr="003C1AA7">
        <w:rPr>
          <w:rFonts w:ascii="ITC Avant Garde" w:hAnsi="ITC Avant Garde"/>
          <w:sz w:val="16"/>
          <w:szCs w:val="16"/>
        </w:rPr>
        <w:t xml:space="preserve"> </w:t>
      </w:r>
      <w:r w:rsidR="00525271" w:rsidRPr="003C1AA7">
        <w:rPr>
          <w:rFonts w:ascii="ITC Avant Garde" w:hAnsi="ITC Avant Garde"/>
          <w:sz w:val="16"/>
          <w:szCs w:val="16"/>
        </w:rPr>
        <w:t>De conformidad con lo previsto en el artículo 3, fracción XXI de la Ley General de Mejora Regulatoria, por trámite se</w:t>
      </w:r>
      <w:r w:rsidR="0033344D">
        <w:rPr>
          <w:rFonts w:ascii="ITC Avant Garde" w:hAnsi="ITC Avant Garde"/>
          <w:sz w:val="16"/>
          <w:szCs w:val="16"/>
        </w:rPr>
        <w:t xml:space="preserve"> entiende </w:t>
      </w:r>
      <w:r w:rsidR="00525271" w:rsidRPr="003C1AA7">
        <w:rPr>
          <w:rFonts w:ascii="ITC Avant Garde" w:hAnsi="ITC Avant Garde"/>
          <w:sz w:val="16"/>
          <w:szCs w:val="16"/>
        </w:rPr>
        <w:t xml:space="preserve">a cualquier solicitud o entrega de información que las personas físicas o morales del sector privado realicen ante la autoridad competente en el ámbito federal, de las entidades federativas, municipal o de la alcaldía, ya sea para cumplir una obligación o, en general, a fin de que se emita una resolución. El Decreto por el que se expide la Ley General de Mejora Regulatoria y se derogan diversas disposiciones de la Ley Federal de Procedimiento Administrativo fue publicado en el Diario Oficial de la Federación, el 18 de mayo del 2018. Disponible para su consulta en </w:t>
      </w:r>
      <w:r w:rsidR="00E71321">
        <w:rPr>
          <w:rFonts w:ascii="ITC Avant Garde" w:hAnsi="ITC Avant Garde"/>
          <w:sz w:val="16"/>
          <w:szCs w:val="16"/>
        </w:rPr>
        <w:t>la</w:t>
      </w:r>
      <w:r w:rsidR="00E71321" w:rsidRPr="003C1AA7">
        <w:rPr>
          <w:rFonts w:ascii="ITC Avant Garde" w:hAnsi="ITC Avant Garde"/>
          <w:sz w:val="16"/>
          <w:szCs w:val="16"/>
        </w:rPr>
        <w:t xml:space="preserve"> siguiente </w:t>
      </w:r>
      <w:r w:rsidR="00E71321">
        <w:rPr>
          <w:rFonts w:ascii="ITC Avant Garde" w:hAnsi="ITC Avant Garde"/>
          <w:sz w:val="16"/>
          <w:szCs w:val="16"/>
        </w:rPr>
        <w:t>dirección</w:t>
      </w:r>
      <w:r w:rsidR="00E71321" w:rsidRPr="003C1AA7">
        <w:rPr>
          <w:rFonts w:ascii="ITC Avant Garde" w:hAnsi="ITC Avant Garde"/>
          <w:sz w:val="16"/>
          <w:szCs w:val="16"/>
        </w:rPr>
        <w:t xml:space="preserve"> electrónic</w:t>
      </w:r>
      <w:r w:rsidR="00E71321">
        <w:rPr>
          <w:rFonts w:ascii="ITC Avant Garde" w:hAnsi="ITC Avant Garde"/>
          <w:sz w:val="16"/>
          <w:szCs w:val="16"/>
        </w:rPr>
        <w:t>a</w:t>
      </w:r>
      <w:r w:rsidR="00525271" w:rsidRPr="003C1AA7">
        <w:rPr>
          <w:rFonts w:ascii="ITC Avant Garde" w:hAnsi="ITC Avant Garde"/>
          <w:sz w:val="16"/>
          <w:szCs w:val="16"/>
        </w:rPr>
        <w:t>:</w:t>
      </w:r>
    </w:p>
    <w:p w14:paraId="73978E39" w14:textId="11040CF0" w:rsidR="00525271" w:rsidRPr="003C1AA7" w:rsidRDefault="00525271" w:rsidP="003C1AA7">
      <w:pPr>
        <w:pStyle w:val="Textonotapie"/>
        <w:jc w:val="both"/>
        <w:rPr>
          <w:rFonts w:ascii="ITC Avant Garde" w:hAnsi="ITC Avant Garde"/>
          <w:sz w:val="16"/>
          <w:szCs w:val="16"/>
        </w:rPr>
      </w:pPr>
      <w:r w:rsidRPr="003C1AA7">
        <w:rPr>
          <w:rFonts w:ascii="ITC Avant Garde" w:hAnsi="ITC Avant Garde"/>
          <w:sz w:val="16"/>
          <w:szCs w:val="16"/>
        </w:rPr>
        <w:t xml:space="preserve"> </w:t>
      </w:r>
      <w:hyperlink r:id="rId1" w:history="1">
        <w:r w:rsidR="00FD121A" w:rsidRPr="003C1AA7">
          <w:rPr>
            <w:rStyle w:val="Hipervnculo"/>
            <w:rFonts w:ascii="ITC Avant Garde" w:hAnsi="ITC Avant Garde"/>
            <w:sz w:val="16"/>
            <w:szCs w:val="16"/>
          </w:rPr>
          <w:t>http://www.diputados.gob.mx/LeyesBiblio/pdf/LGMR_180518.pdf</w:t>
        </w:r>
      </w:hyperlink>
      <w:r w:rsidR="00FD121A" w:rsidRPr="003C1AA7">
        <w:rPr>
          <w:rFonts w:ascii="ITC Avant Garde" w:hAnsi="ITC Avant Garde"/>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6CC1" w14:textId="77777777" w:rsidR="00501ADF" w:rsidRPr="00501ADF" w:rsidRDefault="00911216" w:rsidP="00501ADF">
    <w:pPr>
      <w:spacing w:line="240" w:lineRule="auto"/>
      <w:rPr>
        <w:rFonts w:ascii="Arial" w:eastAsia="Times New Roman" w:hAnsi="Arial" w:cs="Arial"/>
        <w:color w:val="222222"/>
        <w:sz w:val="24"/>
        <w:szCs w:val="24"/>
        <w:lang w:eastAsia="es-MX"/>
      </w:rPr>
    </w:pPr>
    <w:r>
      <w:rPr>
        <w:noProof/>
        <w:lang w:eastAsia="es-MX"/>
      </w:rPr>
      <w:drawing>
        <wp:anchor distT="0" distB="0" distL="114300" distR="114300" simplePos="0" relativeHeight="251666432" behindDoc="1" locked="0" layoutInCell="1" allowOverlap="1" wp14:anchorId="07D5FEFA" wp14:editId="37A36BE0">
          <wp:simplePos x="0" y="0"/>
          <wp:positionH relativeFrom="margin">
            <wp:align>left</wp:align>
          </wp:positionH>
          <wp:positionV relativeFrom="paragraph">
            <wp:posOffset>-187960</wp:posOffset>
          </wp:positionV>
          <wp:extent cx="1362075" cy="93903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362075" cy="939031"/>
                  </a:xfrm>
                  <a:prstGeom prst="rect">
                    <a:avLst/>
                  </a:prstGeom>
                </pic:spPr>
              </pic:pic>
            </a:graphicData>
          </a:graphic>
          <wp14:sizeRelH relativeFrom="margin">
            <wp14:pctWidth>0</wp14:pctWidth>
          </wp14:sizeRelH>
          <wp14:sizeRelV relativeFrom="margin">
            <wp14:pctHeight>0</wp14:pctHeight>
          </wp14:sizeRelV>
        </wp:anchor>
      </w:drawing>
    </w:r>
    <w:r w:rsidR="00804F49">
      <w:rPr>
        <w:noProof/>
        <w:lang w:eastAsia="es-MX"/>
      </w:rPr>
      <mc:AlternateContent>
        <mc:Choice Requires="wps">
          <w:drawing>
            <wp:anchor distT="45720" distB="45720" distL="114300" distR="114300" simplePos="0" relativeHeight="251661312" behindDoc="0" locked="0" layoutInCell="1" allowOverlap="1" wp14:anchorId="136E4CEA" wp14:editId="09896D00">
              <wp:simplePos x="0" y="0"/>
              <wp:positionH relativeFrom="margin">
                <wp:posOffset>3006090</wp:posOffset>
              </wp:positionH>
              <wp:positionV relativeFrom="paragraph">
                <wp:posOffset>140970</wp:posOffset>
              </wp:positionV>
              <wp:extent cx="2695575" cy="4667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66725"/>
                      </a:xfrm>
                      <a:prstGeom prst="rect">
                        <a:avLst/>
                      </a:prstGeom>
                      <a:solidFill>
                        <a:srgbClr val="FFFFFF"/>
                      </a:solidFill>
                      <a:ln w="9525">
                        <a:solidFill>
                          <a:schemeClr val="bg1"/>
                        </a:solidFill>
                        <a:miter lim="800000"/>
                        <a:headEnd/>
                        <a:tailEnd/>
                      </a:ln>
                    </wps:spPr>
                    <wps:txbx>
                      <w:txbxContent>
                        <w:p w14:paraId="38D5648A" w14:textId="77777777" w:rsidR="00804F49" w:rsidRPr="00451B7D" w:rsidRDefault="0006478F" w:rsidP="00804F49">
                          <w:pPr>
                            <w:jc w:val="right"/>
                            <w:rPr>
                              <w:rFonts w:ascii="ITC Avant Garde" w:hAnsi="ITC Avant Garde"/>
                              <w:sz w:val="20"/>
                            </w:rPr>
                          </w:pPr>
                          <w:r w:rsidRPr="00451B7D">
                            <w:rPr>
                              <w:rFonts w:ascii="ITC Avant Garde" w:hAnsi="ITC Avant Garde"/>
                              <w:sz w:val="20"/>
                            </w:rPr>
                            <w:t>ANÁ</w:t>
                          </w:r>
                          <w:r w:rsidR="00804F49" w:rsidRPr="00451B7D">
                            <w:rPr>
                              <w:rFonts w:ascii="ITC Avant Garde" w:hAnsi="ITC Avant Garde"/>
                              <w:sz w:val="20"/>
                            </w:rPr>
                            <w:t xml:space="preserve">LISIS DE </w:t>
                          </w:r>
                          <w:r w:rsidR="00F31821" w:rsidRPr="00451B7D">
                            <w:rPr>
                              <w:rFonts w:ascii="ITC Avant Garde" w:hAnsi="ITC Avant Garde"/>
                              <w:sz w:val="20"/>
                            </w:rPr>
                            <w:t xml:space="preserve">NULO </w:t>
                          </w:r>
                          <w:r w:rsidR="00804F49" w:rsidRPr="00451B7D">
                            <w:rPr>
                              <w:rFonts w:ascii="ITC Avant Garde" w:hAnsi="ITC Avant Garde"/>
                              <w:sz w:val="20"/>
                            </w:rPr>
                            <w:t>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E4CEA" id="_x0000_t202" coordsize="21600,21600" o:spt="202" path="m,l,21600r21600,l21600,xe">
              <v:stroke joinstyle="miter"/>
              <v:path gradientshapeok="t" o:connecttype="rect"/>
            </v:shapetype>
            <v:shape id="Cuadro de texto 2" o:spid="_x0000_s1026" type="#_x0000_t202" style="position:absolute;margin-left:236.7pt;margin-top:11.1pt;width:212.25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" strokecolor="white [3212]">
              <v:textbox>
                <w:txbxContent>
                  <w:p w14:paraId="38D5648A" w14:textId="77777777" w:rsidR="00804F49" w:rsidRPr="00451B7D" w:rsidRDefault="0006478F" w:rsidP="00804F49">
                    <w:pPr>
                      <w:jc w:val="right"/>
                      <w:rPr>
                        <w:rFonts w:ascii="ITC Avant Garde" w:hAnsi="ITC Avant Garde"/>
                        <w:sz w:val="20"/>
                      </w:rPr>
                    </w:pPr>
                    <w:r w:rsidRPr="00451B7D">
                      <w:rPr>
                        <w:rFonts w:ascii="ITC Avant Garde" w:hAnsi="ITC Avant Garde"/>
                        <w:sz w:val="20"/>
                      </w:rPr>
                      <w:t>ANÁ</w:t>
                    </w:r>
                    <w:r w:rsidR="00804F49" w:rsidRPr="00451B7D">
                      <w:rPr>
                        <w:rFonts w:ascii="ITC Avant Garde" w:hAnsi="ITC Avant Garde"/>
                        <w:sz w:val="20"/>
                      </w:rPr>
                      <w:t xml:space="preserve">LISIS DE </w:t>
                    </w:r>
                    <w:r w:rsidR="00F31821" w:rsidRPr="00451B7D">
                      <w:rPr>
                        <w:rFonts w:ascii="ITC Avant Garde" w:hAnsi="ITC Avant Garde"/>
                        <w:sz w:val="20"/>
                      </w:rPr>
                      <w:t xml:space="preserve">NULO </w:t>
                    </w:r>
                    <w:r w:rsidR="00804F49" w:rsidRPr="00451B7D">
                      <w:rPr>
                        <w:rFonts w:ascii="ITC Avant Garde" w:hAnsi="ITC Avant Garde"/>
                        <w:sz w:val="20"/>
                      </w:rPr>
                      <w:t>IMPACTO REGULATORIO</w:t>
                    </w:r>
                  </w:p>
                </w:txbxContent>
              </v:textbox>
              <w10:wrap type="square" anchorx="margin"/>
            </v:shape>
          </w:pict>
        </mc:Fallback>
      </mc:AlternateContent>
    </w:r>
  </w:p>
  <w:p w14:paraId="4C71F66A" w14:textId="77777777" w:rsidR="00501ADF" w:rsidRDefault="00501ADF">
    <w:pPr>
      <w:pStyle w:val="Encabezado"/>
    </w:pPr>
  </w:p>
  <w:p w14:paraId="4B07133A" w14:textId="77777777" w:rsidR="00804F49" w:rsidRDefault="00804F49">
    <w:pPr>
      <w:pStyle w:val="Encabezado"/>
    </w:pPr>
  </w:p>
  <w:p w14:paraId="6979864A" w14:textId="77777777" w:rsidR="00501ADF" w:rsidRDefault="00501ADF">
    <w:pPr>
      <w:pStyle w:val="Encabezado"/>
    </w:pPr>
    <w:r>
      <w:rPr>
        <w:noProof/>
        <w:lang w:eastAsia="es-MX"/>
      </w:rPr>
      <mc:AlternateContent>
        <mc:Choice Requires="wps">
          <w:drawing>
            <wp:anchor distT="0" distB="0" distL="114300" distR="114300" simplePos="0" relativeHeight="251659264" behindDoc="0" locked="0" layoutInCell="1" allowOverlap="1" wp14:anchorId="7827511E" wp14:editId="175FEDFA">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v:line id="Conector recto 2"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o:spid="_x0000_s1026" strokecolor="#70ad47 [3209]" strokeweight="1.5pt" from="0,10.45pt" to="443.25pt,11.2pt" w14:anchorId="6ABEC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v:stroke joinstyle="miter"/>
              <w10:wrap anchorx="margin"/>
            </v:line>
          </w:pict>
        </mc:Fallback>
      </mc:AlternateContent>
    </w:r>
  </w:p>
  <w:p w14:paraId="7621A623" w14:textId="77777777" w:rsidR="00501ADF" w:rsidRDefault="00501A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4E16"/>
    <w:multiLevelType w:val="hybridMultilevel"/>
    <w:tmpl w:val="967814BC"/>
    <w:lvl w:ilvl="0" w:tplc="617AFB1A">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904404"/>
    <w:multiLevelType w:val="hybridMultilevel"/>
    <w:tmpl w:val="264EEC48"/>
    <w:lvl w:ilvl="0" w:tplc="080A0017">
      <w:start w:val="1"/>
      <w:numFmt w:val="low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544A749B"/>
    <w:multiLevelType w:val="hybridMultilevel"/>
    <w:tmpl w:val="64740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7E18C1"/>
    <w:multiLevelType w:val="hybridMultilevel"/>
    <w:tmpl w:val="BAA00406"/>
    <w:lvl w:ilvl="0" w:tplc="28300C7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21824"/>
    <w:rsid w:val="00021FB4"/>
    <w:rsid w:val="00033AC3"/>
    <w:rsid w:val="00044D30"/>
    <w:rsid w:val="00056AE8"/>
    <w:rsid w:val="0006478F"/>
    <w:rsid w:val="00090852"/>
    <w:rsid w:val="000A0D49"/>
    <w:rsid w:val="000A50CC"/>
    <w:rsid w:val="000B44DE"/>
    <w:rsid w:val="000B6B0B"/>
    <w:rsid w:val="000C16BC"/>
    <w:rsid w:val="000C3806"/>
    <w:rsid w:val="000D0E86"/>
    <w:rsid w:val="000D1044"/>
    <w:rsid w:val="000D401B"/>
    <w:rsid w:val="000D75BF"/>
    <w:rsid w:val="000E6A13"/>
    <w:rsid w:val="000F0421"/>
    <w:rsid w:val="000F3224"/>
    <w:rsid w:val="000F669B"/>
    <w:rsid w:val="000F79B1"/>
    <w:rsid w:val="00100CBD"/>
    <w:rsid w:val="00103727"/>
    <w:rsid w:val="001045A2"/>
    <w:rsid w:val="00116C2A"/>
    <w:rsid w:val="00126487"/>
    <w:rsid w:val="00142833"/>
    <w:rsid w:val="001634A2"/>
    <w:rsid w:val="0017653B"/>
    <w:rsid w:val="001774BE"/>
    <w:rsid w:val="00177F7B"/>
    <w:rsid w:val="00180AEB"/>
    <w:rsid w:val="00180FCF"/>
    <w:rsid w:val="00181A32"/>
    <w:rsid w:val="00185EEA"/>
    <w:rsid w:val="001932FC"/>
    <w:rsid w:val="001B4A51"/>
    <w:rsid w:val="001E26FE"/>
    <w:rsid w:val="001F1D87"/>
    <w:rsid w:val="00206C6C"/>
    <w:rsid w:val="00211C96"/>
    <w:rsid w:val="00235DF7"/>
    <w:rsid w:val="00236BD7"/>
    <w:rsid w:val="00242B03"/>
    <w:rsid w:val="00247B33"/>
    <w:rsid w:val="002545EA"/>
    <w:rsid w:val="0026065B"/>
    <w:rsid w:val="00271E31"/>
    <w:rsid w:val="00281F39"/>
    <w:rsid w:val="00283533"/>
    <w:rsid w:val="00286496"/>
    <w:rsid w:val="00295E97"/>
    <w:rsid w:val="002979E2"/>
    <w:rsid w:val="002B41D8"/>
    <w:rsid w:val="002B74F3"/>
    <w:rsid w:val="002D28C7"/>
    <w:rsid w:val="002D424E"/>
    <w:rsid w:val="002D5265"/>
    <w:rsid w:val="002E5ECF"/>
    <w:rsid w:val="002F4FA1"/>
    <w:rsid w:val="0030055F"/>
    <w:rsid w:val="0030316D"/>
    <w:rsid w:val="003039BF"/>
    <w:rsid w:val="00323167"/>
    <w:rsid w:val="00323442"/>
    <w:rsid w:val="0033344D"/>
    <w:rsid w:val="00333B41"/>
    <w:rsid w:val="003446E2"/>
    <w:rsid w:val="00345079"/>
    <w:rsid w:val="00351125"/>
    <w:rsid w:val="0035364F"/>
    <w:rsid w:val="00356F52"/>
    <w:rsid w:val="003607A5"/>
    <w:rsid w:val="00372BF7"/>
    <w:rsid w:val="0039169A"/>
    <w:rsid w:val="003949C0"/>
    <w:rsid w:val="00397785"/>
    <w:rsid w:val="003A72BC"/>
    <w:rsid w:val="003B48A5"/>
    <w:rsid w:val="003B5978"/>
    <w:rsid w:val="003C1AA7"/>
    <w:rsid w:val="003C5D6C"/>
    <w:rsid w:val="003E1D84"/>
    <w:rsid w:val="003F05E7"/>
    <w:rsid w:val="003F59EF"/>
    <w:rsid w:val="004026D0"/>
    <w:rsid w:val="004211DF"/>
    <w:rsid w:val="004226AE"/>
    <w:rsid w:val="0044761D"/>
    <w:rsid w:val="004516FA"/>
    <w:rsid w:val="00451B7D"/>
    <w:rsid w:val="004603F7"/>
    <w:rsid w:val="0049127C"/>
    <w:rsid w:val="0049283E"/>
    <w:rsid w:val="004A03E4"/>
    <w:rsid w:val="004A6B76"/>
    <w:rsid w:val="004A7C30"/>
    <w:rsid w:val="004B6836"/>
    <w:rsid w:val="004B6F68"/>
    <w:rsid w:val="004C795A"/>
    <w:rsid w:val="004E0AA9"/>
    <w:rsid w:val="004E0DA9"/>
    <w:rsid w:val="004E15D3"/>
    <w:rsid w:val="004F538A"/>
    <w:rsid w:val="00501ADF"/>
    <w:rsid w:val="00504A96"/>
    <w:rsid w:val="00504EFE"/>
    <w:rsid w:val="005137E3"/>
    <w:rsid w:val="00522285"/>
    <w:rsid w:val="00525271"/>
    <w:rsid w:val="005319D5"/>
    <w:rsid w:val="00536103"/>
    <w:rsid w:val="005374F2"/>
    <w:rsid w:val="00545AC3"/>
    <w:rsid w:val="00571A63"/>
    <w:rsid w:val="00572F75"/>
    <w:rsid w:val="00575E8F"/>
    <w:rsid w:val="00581EEF"/>
    <w:rsid w:val="00596FDE"/>
    <w:rsid w:val="005A06B2"/>
    <w:rsid w:val="005A40FB"/>
    <w:rsid w:val="005A42ED"/>
    <w:rsid w:val="005B2C92"/>
    <w:rsid w:val="005C44A8"/>
    <w:rsid w:val="005E2B92"/>
    <w:rsid w:val="006013EB"/>
    <w:rsid w:val="006018A0"/>
    <w:rsid w:val="006047C6"/>
    <w:rsid w:val="00616D46"/>
    <w:rsid w:val="006173EC"/>
    <w:rsid w:val="0062196B"/>
    <w:rsid w:val="006220C6"/>
    <w:rsid w:val="00623EB8"/>
    <w:rsid w:val="00634DE8"/>
    <w:rsid w:val="00641D09"/>
    <w:rsid w:val="00647D0D"/>
    <w:rsid w:val="00647FB6"/>
    <w:rsid w:val="00665DE7"/>
    <w:rsid w:val="006717D5"/>
    <w:rsid w:val="006738BB"/>
    <w:rsid w:val="0068307E"/>
    <w:rsid w:val="006A2C43"/>
    <w:rsid w:val="006A2E74"/>
    <w:rsid w:val="006A3776"/>
    <w:rsid w:val="006A3A0E"/>
    <w:rsid w:val="006D1DCF"/>
    <w:rsid w:val="006D7556"/>
    <w:rsid w:val="006D7A08"/>
    <w:rsid w:val="007018A1"/>
    <w:rsid w:val="0070733E"/>
    <w:rsid w:val="00712636"/>
    <w:rsid w:val="00714252"/>
    <w:rsid w:val="007144D4"/>
    <w:rsid w:val="00717DB6"/>
    <w:rsid w:val="007325EA"/>
    <w:rsid w:val="00733BFE"/>
    <w:rsid w:val="0074323F"/>
    <w:rsid w:val="0076488A"/>
    <w:rsid w:val="00766F77"/>
    <w:rsid w:val="00772CD2"/>
    <w:rsid w:val="00774CAB"/>
    <w:rsid w:val="00782628"/>
    <w:rsid w:val="00787E10"/>
    <w:rsid w:val="007906D0"/>
    <w:rsid w:val="00796657"/>
    <w:rsid w:val="007A37D6"/>
    <w:rsid w:val="007B3047"/>
    <w:rsid w:val="007B4E9E"/>
    <w:rsid w:val="007C425A"/>
    <w:rsid w:val="007C5383"/>
    <w:rsid w:val="007D2384"/>
    <w:rsid w:val="007D4E5B"/>
    <w:rsid w:val="007D636F"/>
    <w:rsid w:val="007F37BF"/>
    <w:rsid w:val="007F6B15"/>
    <w:rsid w:val="007F77C2"/>
    <w:rsid w:val="00801FED"/>
    <w:rsid w:val="00802B67"/>
    <w:rsid w:val="00802E2E"/>
    <w:rsid w:val="00804F49"/>
    <w:rsid w:val="008135FB"/>
    <w:rsid w:val="00814A48"/>
    <w:rsid w:val="00815855"/>
    <w:rsid w:val="0082015F"/>
    <w:rsid w:val="008207E8"/>
    <w:rsid w:val="00827470"/>
    <w:rsid w:val="00830021"/>
    <w:rsid w:val="0083502A"/>
    <w:rsid w:val="0084560D"/>
    <w:rsid w:val="0086684A"/>
    <w:rsid w:val="008701CE"/>
    <w:rsid w:val="00870931"/>
    <w:rsid w:val="00876D05"/>
    <w:rsid w:val="00885F10"/>
    <w:rsid w:val="008A1704"/>
    <w:rsid w:val="008A48B0"/>
    <w:rsid w:val="008B321D"/>
    <w:rsid w:val="008C76AF"/>
    <w:rsid w:val="008D3E0C"/>
    <w:rsid w:val="008D4FF7"/>
    <w:rsid w:val="008E1AD3"/>
    <w:rsid w:val="008E3011"/>
    <w:rsid w:val="008F7410"/>
    <w:rsid w:val="009058DB"/>
    <w:rsid w:val="00911216"/>
    <w:rsid w:val="00925B77"/>
    <w:rsid w:val="009442FD"/>
    <w:rsid w:val="009656B1"/>
    <w:rsid w:val="00971ECB"/>
    <w:rsid w:val="009806B7"/>
    <w:rsid w:val="00986E23"/>
    <w:rsid w:val="00993BC3"/>
    <w:rsid w:val="009A554E"/>
    <w:rsid w:val="009B2CF2"/>
    <w:rsid w:val="009B617C"/>
    <w:rsid w:val="009B7BF7"/>
    <w:rsid w:val="009C7499"/>
    <w:rsid w:val="009D10E1"/>
    <w:rsid w:val="009D2511"/>
    <w:rsid w:val="009D5C70"/>
    <w:rsid w:val="009D73E5"/>
    <w:rsid w:val="009E2F03"/>
    <w:rsid w:val="009E6DF0"/>
    <w:rsid w:val="009F15DD"/>
    <w:rsid w:val="009F237F"/>
    <w:rsid w:val="009F3E53"/>
    <w:rsid w:val="00A1622C"/>
    <w:rsid w:val="00A22800"/>
    <w:rsid w:val="00A3176C"/>
    <w:rsid w:val="00A403EB"/>
    <w:rsid w:val="00A46D2B"/>
    <w:rsid w:val="00A61B93"/>
    <w:rsid w:val="00A678E7"/>
    <w:rsid w:val="00A7211D"/>
    <w:rsid w:val="00A73AD8"/>
    <w:rsid w:val="00A81C3A"/>
    <w:rsid w:val="00A855B0"/>
    <w:rsid w:val="00AA4CB3"/>
    <w:rsid w:val="00AA6463"/>
    <w:rsid w:val="00AB05BD"/>
    <w:rsid w:val="00AB207C"/>
    <w:rsid w:val="00AB45DF"/>
    <w:rsid w:val="00AB52E1"/>
    <w:rsid w:val="00AB6F3C"/>
    <w:rsid w:val="00AB72A9"/>
    <w:rsid w:val="00AC2B87"/>
    <w:rsid w:val="00AD1DAD"/>
    <w:rsid w:val="00AD2F5C"/>
    <w:rsid w:val="00AF4D26"/>
    <w:rsid w:val="00B139C7"/>
    <w:rsid w:val="00B16715"/>
    <w:rsid w:val="00B2360F"/>
    <w:rsid w:val="00B24AB5"/>
    <w:rsid w:val="00B32137"/>
    <w:rsid w:val="00B32DDD"/>
    <w:rsid w:val="00B362DA"/>
    <w:rsid w:val="00B401B3"/>
    <w:rsid w:val="00B41497"/>
    <w:rsid w:val="00B43D57"/>
    <w:rsid w:val="00B5202F"/>
    <w:rsid w:val="00B6461E"/>
    <w:rsid w:val="00B654CC"/>
    <w:rsid w:val="00B70A68"/>
    <w:rsid w:val="00B74C55"/>
    <w:rsid w:val="00B74F10"/>
    <w:rsid w:val="00B77B4B"/>
    <w:rsid w:val="00B8094B"/>
    <w:rsid w:val="00B836D1"/>
    <w:rsid w:val="00BA0F10"/>
    <w:rsid w:val="00BA4E93"/>
    <w:rsid w:val="00BB1638"/>
    <w:rsid w:val="00BB45B4"/>
    <w:rsid w:val="00BB73BA"/>
    <w:rsid w:val="00BC2FF7"/>
    <w:rsid w:val="00BE559D"/>
    <w:rsid w:val="00BE7D1C"/>
    <w:rsid w:val="00C010BE"/>
    <w:rsid w:val="00C37872"/>
    <w:rsid w:val="00C403EC"/>
    <w:rsid w:val="00C40CF5"/>
    <w:rsid w:val="00C43B10"/>
    <w:rsid w:val="00C4565A"/>
    <w:rsid w:val="00C46746"/>
    <w:rsid w:val="00C51336"/>
    <w:rsid w:val="00C5135A"/>
    <w:rsid w:val="00C53388"/>
    <w:rsid w:val="00C5470D"/>
    <w:rsid w:val="00C5598C"/>
    <w:rsid w:val="00C917FC"/>
    <w:rsid w:val="00CB597C"/>
    <w:rsid w:val="00CC176C"/>
    <w:rsid w:val="00CE1F67"/>
    <w:rsid w:val="00CE2EA1"/>
    <w:rsid w:val="00D02DA9"/>
    <w:rsid w:val="00D0386B"/>
    <w:rsid w:val="00D046D8"/>
    <w:rsid w:val="00D10A13"/>
    <w:rsid w:val="00D221B5"/>
    <w:rsid w:val="00D2399D"/>
    <w:rsid w:val="00D23BD5"/>
    <w:rsid w:val="00D31AE9"/>
    <w:rsid w:val="00D34604"/>
    <w:rsid w:val="00D41896"/>
    <w:rsid w:val="00D46A47"/>
    <w:rsid w:val="00D55CA7"/>
    <w:rsid w:val="00D800D6"/>
    <w:rsid w:val="00D8066B"/>
    <w:rsid w:val="00D82C5B"/>
    <w:rsid w:val="00D8764E"/>
    <w:rsid w:val="00D9317D"/>
    <w:rsid w:val="00DB01FA"/>
    <w:rsid w:val="00DB0451"/>
    <w:rsid w:val="00DE6F24"/>
    <w:rsid w:val="00DF4011"/>
    <w:rsid w:val="00DF7742"/>
    <w:rsid w:val="00E046F4"/>
    <w:rsid w:val="00E07AD8"/>
    <w:rsid w:val="00E16506"/>
    <w:rsid w:val="00E21B49"/>
    <w:rsid w:val="00E27972"/>
    <w:rsid w:val="00E5618B"/>
    <w:rsid w:val="00E6080B"/>
    <w:rsid w:val="00E60F0C"/>
    <w:rsid w:val="00E71321"/>
    <w:rsid w:val="00E73F56"/>
    <w:rsid w:val="00E7434D"/>
    <w:rsid w:val="00E75942"/>
    <w:rsid w:val="00E768BA"/>
    <w:rsid w:val="00E8340B"/>
    <w:rsid w:val="00EA2E4D"/>
    <w:rsid w:val="00EB24E7"/>
    <w:rsid w:val="00EC17E8"/>
    <w:rsid w:val="00EC302D"/>
    <w:rsid w:val="00EC3911"/>
    <w:rsid w:val="00ED1D5B"/>
    <w:rsid w:val="00EE04B6"/>
    <w:rsid w:val="00EE6FE8"/>
    <w:rsid w:val="00EF107C"/>
    <w:rsid w:val="00EF6E6C"/>
    <w:rsid w:val="00F03289"/>
    <w:rsid w:val="00F06565"/>
    <w:rsid w:val="00F10870"/>
    <w:rsid w:val="00F1442A"/>
    <w:rsid w:val="00F20D7B"/>
    <w:rsid w:val="00F31821"/>
    <w:rsid w:val="00F33052"/>
    <w:rsid w:val="00F342A4"/>
    <w:rsid w:val="00F4503D"/>
    <w:rsid w:val="00F529CF"/>
    <w:rsid w:val="00F553C4"/>
    <w:rsid w:val="00F57B64"/>
    <w:rsid w:val="00F637E8"/>
    <w:rsid w:val="00F64AAC"/>
    <w:rsid w:val="00F651D5"/>
    <w:rsid w:val="00F75427"/>
    <w:rsid w:val="00F75C80"/>
    <w:rsid w:val="00F77074"/>
    <w:rsid w:val="00F9299E"/>
    <w:rsid w:val="00F94A28"/>
    <w:rsid w:val="00FB158A"/>
    <w:rsid w:val="00FB4FEA"/>
    <w:rsid w:val="00FB58BA"/>
    <w:rsid w:val="00FB7CC0"/>
    <w:rsid w:val="00FC1B47"/>
    <w:rsid w:val="00FC65F4"/>
    <w:rsid w:val="00FD121A"/>
    <w:rsid w:val="00FE174F"/>
    <w:rsid w:val="00FF0751"/>
    <w:rsid w:val="00FF6A29"/>
    <w:rsid w:val="00FF7FD7"/>
    <w:rsid w:val="0C810F15"/>
    <w:rsid w:val="459BDC93"/>
    <w:rsid w:val="68217645"/>
    <w:rsid w:val="7B772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320AF"/>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1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paragraph" w:styleId="Textonotapie">
    <w:name w:val="footnote text"/>
    <w:basedOn w:val="Normal"/>
    <w:link w:val="TextonotapieCar"/>
    <w:uiPriority w:val="99"/>
    <w:unhideWhenUsed/>
    <w:rsid w:val="008E1AD3"/>
    <w:pPr>
      <w:spacing w:after="0" w:line="240" w:lineRule="auto"/>
    </w:pPr>
    <w:rPr>
      <w:sz w:val="20"/>
      <w:szCs w:val="20"/>
    </w:rPr>
  </w:style>
  <w:style w:type="character" w:customStyle="1" w:styleId="TextonotapieCar">
    <w:name w:val="Texto nota pie Car"/>
    <w:basedOn w:val="Fuentedeprrafopredeter"/>
    <w:link w:val="Textonotapie"/>
    <w:uiPriority w:val="99"/>
    <w:rsid w:val="008E1AD3"/>
    <w:rPr>
      <w:sz w:val="20"/>
      <w:szCs w:val="20"/>
    </w:rPr>
  </w:style>
  <w:style w:type="character" w:styleId="Refdenotaalpie">
    <w:name w:val="footnote reference"/>
    <w:aliases w:val="Ref,de nota al pie,(NECG) Footnote Reference,o,fr,Style 3,Appel note de bas de p,Style 12,Style 124,Ref. de nota al pie 2"/>
    <w:basedOn w:val="Fuentedeprrafopredeter"/>
    <w:uiPriority w:val="99"/>
    <w:unhideWhenUsed/>
    <w:qFormat/>
    <w:rsid w:val="008E1AD3"/>
    <w:rPr>
      <w:vertAlign w:val="superscript"/>
    </w:rPr>
  </w:style>
  <w:style w:type="paragraph" w:styleId="Textodeglobo">
    <w:name w:val="Balloon Text"/>
    <w:basedOn w:val="Normal"/>
    <w:link w:val="TextodegloboCar"/>
    <w:uiPriority w:val="99"/>
    <w:semiHidden/>
    <w:unhideWhenUsed/>
    <w:rsid w:val="006D75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7556"/>
    <w:rPr>
      <w:rFonts w:ascii="Segoe UI" w:hAnsi="Segoe UI" w:cs="Segoe UI"/>
      <w:sz w:val="18"/>
      <w:szCs w:val="18"/>
    </w:rPr>
  </w:style>
  <w:style w:type="character" w:styleId="Refdecomentario">
    <w:name w:val="annotation reference"/>
    <w:basedOn w:val="Fuentedeprrafopredeter"/>
    <w:uiPriority w:val="99"/>
    <w:semiHidden/>
    <w:unhideWhenUsed/>
    <w:rsid w:val="008135FB"/>
    <w:rPr>
      <w:sz w:val="16"/>
      <w:szCs w:val="16"/>
    </w:rPr>
  </w:style>
  <w:style w:type="paragraph" w:styleId="Textocomentario">
    <w:name w:val="annotation text"/>
    <w:basedOn w:val="Normal"/>
    <w:link w:val="TextocomentarioCar"/>
    <w:uiPriority w:val="99"/>
    <w:unhideWhenUsed/>
    <w:rsid w:val="008135FB"/>
    <w:pPr>
      <w:spacing w:line="240" w:lineRule="auto"/>
    </w:pPr>
    <w:rPr>
      <w:sz w:val="20"/>
      <w:szCs w:val="20"/>
    </w:rPr>
  </w:style>
  <w:style w:type="character" w:customStyle="1" w:styleId="TextocomentarioCar">
    <w:name w:val="Texto comentario Car"/>
    <w:basedOn w:val="Fuentedeprrafopredeter"/>
    <w:link w:val="Textocomentario"/>
    <w:uiPriority w:val="99"/>
    <w:rsid w:val="008135FB"/>
    <w:rPr>
      <w:sz w:val="20"/>
      <w:szCs w:val="20"/>
    </w:rPr>
  </w:style>
  <w:style w:type="paragraph" w:styleId="Asuntodelcomentario">
    <w:name w:val="annotation subject"/>
    <w:basedOn w:val="Textocomentario"/>
    <w:next w:val="Textocomentario"/>
    <w:link w:val="AsuntodelcomentarioCar"/>
    <w:uiPriority w:val="99"/>
    <w:semiHidden/>
    <w:unhideWhenUsed/>
    <w:rsid w:val="008135FB"/>
    <w:rPr>
      <w:b/>
      <w:bCs/>
    </w:rPr>
  </w:style>
  <w:style w:type="character" w:customStyle="1" w:styleId="AsuntodelcomentarioCar">
    <w:name w:val="Asunto del comentario Car"/>
    <w:basedOn w:val="TextocomentarioCar"/>
    <w:link w:val="Asuntodelcomentario"/>
    <w:uiPriority w:val="99"/>
    <w:semiHidden/>
    <w:rsid w:val="008135FB"/>
    <w:rPr>
      <w:b/>
      <w:bCs/>
      <w:sz w:val="20"/>
      <w:szCs w:val="20"/>
    </w:rPr>
  </w:style>
  <w:style w:type="paragraph" w:styleId="Revisin">
    <w:name w:val="Revision"/>
    <w:hidden/>
    <w:uiPriority w:val="99"/>
    <w:semiHidden/>
    <w:rsid w:val="00BE7D1C"/>
    <w:pPr>
      <w:spacing w:after="0" w:line="240" w:lineRule="auto"/>
    </w:pPr>
  </w:style>
  <w:style w:type="character" w:styleId="Textodelmarcadordeposicin">
    <w:name w:val="Placeholder Text"/>
    <w:basedOn w:val="Fuentedeprrafopredeter"/>
    <w:uiPriority w:val="99"/>
    <w:semiHidden/>
    <w:rsid w:val="00BE7D1C"/>
    <w:rPr>
      <w:color w:val="808080"/>
    </w:rPr>
  </w:style>
  <w:style w:type="paragraph" w:customStyle="1" w:styleId="Default">
    <w:name w:val="Default"/>
    <w:rsid w:val="001634A2"/>
    <w:pPr>
      <w:autoSpaceDE w:val="0"/>
      <w:autoSpaceDN w:val="0"/>
      <w:adjustRightInd w:val="0"/>
      <w:spacing w:after="0" w:line="240" w:lineRule="auto"/>
    </w:pPr>
    <w:rPr>
      <w:rFonts w:ascii="Tahoma" w:eastAsia="Calibri" w:hAnsi="Tahoma" w:cs="Tahoma"/>
      <w:color w:val="000000"/>
      <w:sz w:val="24"/>
      <w:szCs w:val="24"/>
      <w:lang w:eastAsia="es-MX"/>
    </w:rPr>
  </w:style>
  <w:style w:type="character" w:styleId="Mencinsinresolver">
    <w:name w:val="Unresolved Mention"/>
    <w:basedOn w:val="Fuentedeprrafopredeter"/>
    <w:uiPriority w:val="99"/>
    <w:semiHidden/>
    <w:unhideWhenUsed/>
    <w:rsid w:val="00236BD7"/>
    <w:rPr>
      <w:color w:val="605E5C"/>
      <w:shd w:val="clear" w:color="auto" w:fill="E1DFDD"/>
    </w:rPr>
  </w:style>
  <w:style w:type="character" w:styleId="Hipervnculovisitado">
    <w:name w:val="FollowedHyperlink"/>
    <w:basedOn w:val="Fuentedeprrafopredeter"/>
    <w:uiPriority w:val="99"/>
    <w:semiHidden/>
    <w:unhideWhenUsed/>
    <w:rsid w:val="00545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146258">
      <w:bodyDiv w:val="1"/>
      <w:marLeft w:val="0"/>
      <w:marRight w:val="0"/>
      <w:marTop w:val="0"/>
      <w:marBottom w:val="0"/>
      <w:divBdr>
        <w:top w:val="none" w:sz="0" w:space="0" w:color="auto"/>
        <w:left w:val="none" w:sz="0" w:space="0" w:color="auto"/>
        <w:bottom w:val="none" w:sz="0" w:space="0" w:color="auto"/>
        <w:right w:val="none" w:sz="0" w:space="0" w:color="auto"/>
      </w:divBdr>
    </w:div>
    <w:div w:id="1293830658">
      <w:bodyDiv w:val="1"/>
      <w:marLeft w:val="0"/>
      <w:marRight w:val="0"/>
      <w:marTop w:val="0"/>
      <w:marBottom w:val="0"/>
      <w:divBdr>
        <w:top w:val="none" w:sz="0" w:space="0" w:color="auto"/>
        <w:left w:val="none" w:sz="0" w:space="0" w:color="auto"/>
        <w:bottom w:val="none" w:sz="0" w:space="0" w:color="auto"/>
        <w:right w:val="none" w:sz="0" w:space="0" w:color="auto"/>
      </w:divBdr>
    </w:div>
    <w:div w:id="1420911335">
      <w:bodyDiv w:val="1"/>
      <w:marLeft w:val="0"/>
      <w:marRight w:val="0"/>
      <w:marTop w:val="0"/>
      <w:marBottom w:val="0"/>
      <w:divBdr>
        <w:top w:val="none" w:sz="0" w:space="0" w:color="auto"/>
        <w:left w:val="none" w:sz="0" w:space="0" w:color="auto"/>
        <w:bottom w:val="none" w:sz="0" w:space="0" w:color="auto"/>
        <w:right w:val="none" w:sz="0" w:space="0" w:color="auto"/>
      </w:divBdr>
    </w:div>
    <w:div w:id="156159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f.gob.mx/nota_detalle.php?codigo=5677587&amp;fecha=23/01/20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f.gob.mx/nota_detalle.php?codigo=5503960&amp;fecha=08/11/2017"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sar.arias@ift.org.m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LGMR_1805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C06C5BEAE94D5BAF43FB3D4551B4A8"/>
        <w:category>
          <w:name w:val="General"/>
          <w:gallery w:val="placeholder"/>
        </w:category>
        <w:types>
          <w:type w:val="bbPlcHdr"/>
        </w:types>
        <w:behaviors>
          <w:behavior w:val="content"/>
        </w:behaviors>
        <w:guid w:val="{466F39C6-64C3-475B-837F-04EB6D3EEB33}"/>
      </w:docPartPr>
      <w:docPartBody>
        <w:p w:rsidR="007118CA" w:rsidRDefault="00895355" w:rsidP="00895355">
          <w:pPr>
            <w:pStyle w:val="53C06C5BEAE94D5BAF43FB3D4551B4A8"/>
          </w:pPr>
          <w:r w:rsidRPr="00B76C9A">
            <w:rPr>
              <w:rStyle w:val="Textodelmarcadordeposicin"/>
              <w:sz w:val="20"/>
            </w:rPr>
            <w:t>Elija un elemento.</w:t>
          </w:r>
        </w:p>
      </w:docPartBody>
    </w:docPart>
    <w:docPart>
      <w:docPartPr>
        <w:name w:val="63F5CF3BA85A4C25BBB30453C26B325F"/>
        <w:category>
          <w:name w:val="General"/>
          <w:gallery w:val="placeholder"/>
        </w:category>
        <w:types>
          <w:type w:val="bbPlcHdr"/>
        </w:types>
        <w:behaviors>
          <w:behavior w:val="content"/>
        </w:behaviors>
        <w:guid w:val="{5619DF64-55D4-4F70-AFCA-AACAC1F32124}"/>
      </w:docPartPr>
      <w:docPartBody>
        <w:p w:rsidR="006322F0" w:rsidRDefault="0036666E" w:rsidP="0036666E">
          <w:pPr>
            <w:pStyle w:val="63F5CF3BA85A4C25BBB30453C26B325F"/>
          </w:pPr>
          <w:r w:rsidRPr="00B76C9A">
            <w:rPr>
              <w:rStyle w:val="Textodelmarcadordeposicin"/>
              <w:sz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55"/>
    <w:rsid w:val="00014954"/>
    <w:rsid w:val="00024568"/>
    <w:rsid w:val="00055F24"/>
    <w:rsid w:val="000970D1"/>
    <w:rsid w:val="000D15A3"/>
    <w:rsid w:val="000D791F"/>
    <w:rsid w:val="00156B10"/>
    <w:rsid w:val="00162398"/>
    <w:rsid w:val="0018666F"/>
    <w:rsid w:val="001A3482"/>
    <w:rsid w:val="001C2262"/>
    <w:rsid w:val="00276F12"/>
    <w:rsid w:val="00281F45"/>
    <w:rsid w:val="002A3119"/>
    <w:rsid w:val="002A3EEE"/>
    <w:rsid w:val="002C2FC8"/>
    <w:rsid w:val="002D1216"/>
    <w:rsid w:val="002E25CC"/>
    <w:rsid w:val="002F4624"/>
    <w:rsid w:val="002F4E21"/>
    <w:rsid w:val="00361AF2"/>
    <w:rsid w:val="0036666E"/>
    <w:rsid w:val="003C492A"/>
    <w:rsid w:val="003D0E8C"/>
    <w:rsid w:val="00403656"/>
    <w:rsid w:val="00411D12"/>
    <w:rsid w:val="00435F46"/>
    <w:rsid w:val="004755F0"/>
    <w:rsid w:val="00504DE3"/>
    <w:rsid w:val="005071E1"/>
    <w:rsid w:val="0051743B"/>
    <w:rsid w:val="0052358B"/>
    <w:rsid w:val="00540EA6"/>
    <w:rsid w:val="005608EB"/>
    <w:rsid w:val="0058081F"/>
    <w:rsid w:val="006020B4"/>
    <w:rsid w:val="00622624"/>
    <w:rsid w:val="006322F0"/>
    <w:rsid w:val="00634506"/>
    <w:rsid w:val="0067131A"/>
    <w:rsid w:val="00677D13"/>
    <w:rsid w:val="00692604"/>
    <w:rsid w:val="007118CA"/>
    <w:rsid w:val="00713232"/>
    <w:rsid w:val="0072666F"/>
    <w:rsid w:val="00760FAD"/>
    <w:rsid w:val="00776365"/>
    <w:rsid w:val="007C27B7"/>
    <w:rsid w:val="007E693A"/>
    <w:rsid w:val="0081168A"/>
    <w:rsid w:val="00895355"/>
    <w:rsid w:val="0094408F"/>
    <w:rsid w:val="00963F51"/>
    <w:rsid w:val="00981D52"/>
    <w:rsid w:val="00A35377"/>
    <w:rsid w:val="00A80CA9"/>
    <w:rsid w:val="00B05362"/>
    <w:rsid w:val="00B234BA"/>
    <w:rsid w:val="00B53C30"/>
    <w:rsid w:val="00B61F28"/>
    <w:rsid w:val="00B63627"/>
    <w:rsid w:val="00B748CE"/>
    <w:rsid w:val="00BD02AE"/>
    <w:rsid w:val="00BD59E5"/>
    <w:rsid w:val="00C00755"/>
    <w:rsid w:val="00C06EBD"/>
    <w:rsid w:val="00C21FEC"/>
    <w:rsid w:val="00C27F6E"/>
    <w:rsid w:val="00C8510D"/>
    <w:rsid w:val="00C877E3"/>
    <w:rsid w:val="00CF1BA4"/>
    <w:rsid w:val="00D3094E"/>
    <w:rsid w:val="00D724A7"/>
    <w:rsid w:val="00D72DDE"/>
    <w:rsid w:val="00D82C5B"/>
    <w:rsid w:val="00DB3940"/>
    <w:rsid w:val="00E26436"/>
    <w:rsid w:val="00E67918"/>
    <w:rsid w:val="00E75A8C"/>
    <w:rsid w:val="00EB2284"/>
    <w:rsid w:val="00EE3CB7"/>
    <w:rsid w:val="00F04DDA"/>
    <w:rsid w:val="00F10181"/>
    <w:rsid w:val="00F774A0"/>
    <w:rsid w:val="00F96912"/>
    <w:rsid w:val="00FA6E3A"/>
    <w:rsid w:val="00FC5630"/>
    <w:rsid w:val="00FD0F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6666E"/>
    <w:rPr>
      <w:color w:val="808080"/>
    </w:rPr>
  </w:style>
  <w:style w:type="paragraph" w:customStyle="1" w:styleId="53C06C5BEAE94D5BAF43FB3D4551B4A8">
    <w:name w:val="53C06C5BEAE94D5BAF43FB3D4551B4A8"/>
    <w:rsid w:val="00895355"/>
  </w:style>
  <w:style w:type="paragraph" w:customStyle="1" w:styleId="63F5CF3BA85A4C25BBB30453C26B325F">
    <w:name w:val="63F5CF3BA85A4C25BBB30453C26B325F"/>
    <w:rsid w:val="00366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59B3-C177-46A1-8B2C-D09ED1C299FD}">
  <ds:schemaRef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6682E52-85E1-442C-80E6-9A59C96FB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C2AEE7-5484-4F59-8B6C-5DF166446E42}">
  <ds:schemaRefs>
    <ds:schemaRef ds:uri="http://schemas.microsoft.com/sharepoint/v3/contenttype/forms"/>
  </ds:schemaRefs>
</ds:datastoreItem>
</file>

<file path=customXml/itemProps4.xml><?xml version="1.0" encoding="utf-8"?>
<ds:datastoreItem xmlns:ds="http://schemas.openxmlformats.org/officeDocument/2006/customXml" ds:itemID="{13745680-0E2E-4700-8F4D-70A74F17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2439</Words>
  <Characters>13415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Nancy Jazmin Gil Jimenez</cp:lastModifiedBy>
  <cp:revision>4</cp:revision>
  <cp:lastPrinted>2022-12-19T17:13:00Z</cp:lastPrinted>
  <dcterms:created xsi:type="dcterms:W3CDTF">2024-12-16T21:06:00Z</dcterms:created>
  <dcterms:modified xsi:type="dcterms:W3CDTF">2024-12-18T15:34:00Z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