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Look w:val="04A0" w:firstRow="1" w:lastRow="0" w:firstColumn="1" w:lastColumn="0" w:noHBand="0" w:noVBand="1"/>
      </w:tblPr>
      <w:tblGrid>
        <w:gridCol w:w="2689"/>
        <w:gridCol w:w="3118"/>
        <w:gridCol w:w="3021"/>
      </w:tblGrid>
      <w:tr w:rsidR="00501ADF" w:rsidRPr="00451B7D" w14:paraId="1488B188" w14:textId="77777777" w:rsidTr="00D23BD5">
        <w:trPr>
          <w:trHeight w:val="816"/>
        </w:trPr>
        <w:tc>
          <w:tcPr>
            <w:tcW w:w="2689" w:type="dxa"/>
            <w:shd w:val="clear" w:color="auto" w:fill="DBDBDB" w:themeFill="accent3" w:themeFillTint="66"/>
          </w:tcPr>
          <w:p w14:paraId="4410292B" w14:textId="0E63C13C" w:rsidR="00501ADF" w:rsidRDefault="00501ADF" w:rsidP="00501ADF">
            <w:pPr>
              <w:jc w:val="both"/>
              <w:rPr>
                <w:rFonts w:ascii="ITC Avant Garde" w:hAnsi="ITC Avant Garde"/>
                <w:b/>
                <w:sz w:val="18"/>
                <w:szCs w:val="18"/>
              </w:rPr>
            </w:pPr>
            <w:r w:rsidRPr="00451B7D">
              <w:rPr>
                <w:rFonts w:ascii="ITC Avant Garde" w:hAnsi="ITC Avant Garde"/>
                <w:b/>
                <w:sz w:val="18"/>
                <w:szCs w:val="18"/>
              </w:rPr>
              <w:t xml:space="preserve">Unidad </w:t>
            </w:r>
            <w:r w:rsidR="00D31AE9">
              <w:rPr>
                <w:rFonts w:ascii="ITC Avant Garde" w:hAnsi="ITC Avant Garde"/>
                <w:b/>
                <w:sz w:val="18"/>
                <w:szCs w:val="18"/>
              </w:rPr>
              <w:t>A</w:t>
            </w:r>
            <w:r w:rsidRPr="00451B7D">
              <w:rPr>
                <w:rFonts w:ascii="ITC Avant Garde" w:hAnsi="ITC Avant Garde"/>
                <w:b/>
                <w:sz w:val="18"/>
                <w:szCs w:val="18"/>
              </w:rPr>
              <w:t>dministrativa</w:t>
            </w:r>
            <w:r w:rsidR="00D23BD5" w:rsidRPr="00451B7D">
              <w:rPr>
                <w:rFonts w:ascii="ITC Avant Garde" w:hAnsi="ITC Avant Garde"/>
                <w:b/>
                <w:sz w:val="18"/>
                <w:szCs w:val="18"/>
              </w:rPr>
              <w:t xml:space="preserve"> </w:t>
            </w:r>
            <w:r w:rsidR="00F75427">
              <w:rPr>
                <w:rFonts w:ascii="ITC Avant Garde" w:hAnsi="ITC Avant Garde"/>
                <w:b/>
                <w:sz w:val="18"/>
                <w:szCs w:val="18"/>
              </w:rPr>
              <w:t xml:space="preserve">o Coordinación General </w:t>
            </w:r>
            <w:r w:rsidR="00D23BD5" w:rsidRPr="00451B7D">
              <w:rPr>
                <w:rFonts w:ascii="ITC Avant Garde" w:hAnsi="ITC Avant Garde"/>
                <w:b/>
                <w:sz w:val="18"/>
                <w:szCs w:val="18"/>
              </w:rPr>
              <w:t>del Instituto</w:t>
            </w:r>
            <w:r w:rsidRPr="00451B7D">
              <w:rPr>
                <w:rFonts w:ascii="ITC Avant Garde" w:hAnsi="ITC Avant Garde"/>
                <w:b/>
                <w:sz w:val="18"/>
                <w:szCs w:val="18"/>
              </w:rPr>
              <w:t>:</w:t>
            </w:r>
          </w:p>
          <w:p w14:paraId="23F8DDC9" w14:textId="77777777" w:rsidR="004D3B21" w:rsidRPr="00451B7D" w:rsidRDefault="004D3B21" w:rsidP="00501ADF">
            <w:pPr>
              <w:jc w:val="both"/>
              <w:rPr>
                <w:rFonts w:ascii="ITC Avant Garde" w:hAnsi="ITC Avant Garde"/>
                <w:b/>
                <w:sz w:val="18"/>
                <w:szCs w:val="18"/>
              </w:rPr>
            </w:pPr>
          </w:p>
          <w:p w14:paraId="3B08303C" w14:textId="1AEAA561" w:rsidR="0068307E" w:rsidRPr="00451B7D" w:rsidRDefault="00963016" w:rsidP="00501ADF">
            <w:pPr>
              <w:jc w:val="both"/>
              <w:rPr>
                <w:rFonts w:ascii="ITC Avant Garde" w:hAnsi="ITC Avant Garde"/>
                <w:sz w:val="18"/>
                <w:szCs w:val="18"/>
              </w:rPr>
            </w:pPr>
            <w:r w:rsidRPr="00963016">
              <w:rPr>
                <w:rFonts w:ascii="ITC Avant Garde" w:hAnsi="ITC Avant Garde"/>
                <w:sz w:val="18"/>
                <w:szCs w:val="18"/>
              </w:rPr>
              <w:t>Coordinación General de Planeación Estratégica</w:t>
            </w:r>
          </w:p>
          <w:p w14:paraId="442F50ED" w14:textId="77777777" w:rsidR="0068307E" w:rsidRPr="00451B7D"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664079D9" w14:textId="50D4A622" w:rsidR="00501ADF" w:rsidRDefault="00D23BD5" w:rsidP="00501ADF">
            <w:pPr>
              <w:jc w:val="both"/>
              <w:rPr>
                <w:rFonts w:ascii="ITC Avant Garde" w:hAnsi="ITC Avant Garde"/>
                <w:b/>
                <w:sz w:val="18"/>
                <w:szCs w:val="18"/>
              </w:rPr>
            </w:pPr>
            <w:r w:rsidRPr="00451B7D">
              <w:rPr>
                <w:rFonts w:ascii="ITC Avant Garde" w:hAnsi="ITC Avant Garde"/>
                <w:b/>
                <w:sz w:val="18"/>
                <w:szCs w:val="18"/>
              </w:rPr>
              <w:t xml:space="preserve">Título de la propuesta </w:t>
            </w:r>
            <w:r w:rsidR="00501ADF" w:rsidRPr="00451B7D">
              <w:rPr>
                <w:rFonts w:ascii="ITC Avant Garde" w:hAnsi="ITC Avant Garde"/>
                <w:b/>
                <w:sz w:val="18"/>
                <w:szCs w:val="18"/>
              </w:rPr>
              <w:t>de regulación:</w:t>
            </w:r>
          </w:p>
          <w:p w14:paraId="08F64165" w14:textId="77777777" w:rsidR="00C1532E" w:rsidRPr="00451B7D" w:rsidRDefault="00C1532E" w:rsidP="00501ADF">
            <w:pPr>
              <w:jc w:val="both"/>
              <w:rPr>
                <w:rFonts w:ascii="ITC Avant Garde" w:hAnsi="ITC Avant Garde"/>
                <w:b/>
                <w:sz w:val="18"/>
                <w:szCs w:val="18"/>
              </w:rPr>
            </w:pPr>
          </w:p>
          <w:p w14:paraId="528F6D4C" w14:textId="3AE2010E" w:rsidR="0068307E" w:rsidRPr="00203315" w:rsidRDefault="00AC0FEC" w:rsidP="00913436">
            <w:pPr>
              <w:jc w:val="both"/>
              <w:rPr>
                <w:rFonts w:ascii="ITC Avant Garde" w:hAnsi="ITC Avant Garde"/>
                <w:sz w:val="18"/>
                <w:szCs w:val="18"/>
              </w:rPr>
            </w:pPr>
            <w:r w:rsidRPr="00AC0FEC">
              <w:rPr>
                <w:rFonts w:ascii="ITC Avant Garde" w:hAnsi="ITC Avant Garde"/>
                <w:b/>
                <w:sz w:val="18"/>
                <w:szCs w:val="18"/>
              </w:rPr>
              <w:t>ACUERDO MEDIANTE EL CUAL EL PLENO DEL INSTITUTO FEDERAL DE TELECOMUNICACIONES APRUEBA Y EMITE LOS “LINEAMIENTOS PARA INTEGRAR EL ACERVO ESTADÍSTICO DEL INSTITUTO FEDERAL DE TELECOMUNICACIONES”.</w:t>
            </w:r>
          </w:p>
          <w:p w14:paraId="6360D2ED" w14:textId="77777777" w:rsidR="0068307E" w:rsidRPr="00451B7D" w:rsidRDefault="0068307E" w:rsidP="00501ADF">
            <w:pPr>
              <w:jc w:val="both"/>
              <w:rPr>
                <w:rFonts w:ascii="ITC Avant Garde" w:hAnsi="ITC Avant Garde"/>
                <w:sz w:val="18"/>
                <w:szCs w:val="18"/>
              </w:rPr>
            </w:pPr>
          </w:p>
        </w:tc>
      </w:tr>
      <w:tr w:rsidR="0068307E" w:rsidRPr="00451B7D" w14:paraId="61C511B7" w14:textId="77777777" w:rsidTr="00D23BD5">
        <w:trPr>
          <w:trHeight w:val="889"/>
        </w:trPr>
        <w:tc>
          <w:tcPr>
            <w:tcW w:w="2689" w:type="dxa"/>
            <w:vMerge w:val="restart"/>
            <w:shd w:val="clear" w:color="auto" w:fill="DBDBDB" w:themeFill="accent3" w:themeFillTint="66"/>
          </w:tcPr>
          <w:p w14:paraId="5B0F634E" w14:textId="77777777" w:rsidR="0068307E" w:rsidRPr="00451B7D" w:rsidRDefault="00D23BD5" w:rsidP="00501ADF">
            <w:pPr>
              <w:jc w:val="both"/>
              <w:rPr>
                <w:rFonts w:ascii="ITC Avant Garde" w:hAnsi="ITC Avant Garde"/>
                <w:b/>
                <w:sz w:val="18"/>
                <w:szCs w:val="18"/>
              </w:rPr>
            </w:pPr>
            <w:r w:rsidRPr="00451B7D">
              <w:rPr>
                <w:rFonts w:ascii="ITC Avant Garde" w:hAnsi="ITC Avant Garde"/>
                <w:b/>
                <w:sz w:val="18"/>
                <w:szCs w:val="18"/>
              </w:rPr>
              <w:t>Responsable de la propuesta de regulación</w:t>
            </w:r>
            <w:r w:rsidR="0068307E" w:rsidRPr="00451B7D">
              <w:rPr>
                <w:rFonts w:ascii="ITC Avant Garde" w:hAnsi="ITC Avant Garde"/>
                <w:b/>
                <w:sz w:val="18"/>
                <w:szCs w:val="18"/>
              </w:rPr>
              <w:t>:</w:t>
            </w:r>
          </w:p>
          <w:p w14:paraId="78618A50" w14:textId="77777777" w:rsidR="0068307E" w:rsidRPr="00451B7D" w:rsidRDefault="0068307E" w:rsidP="00501ADF">
            <w:pPr>
              <w:jc w:val="both"/>
              <w:rPr>
                <w:rFonts w:ascii="ITC Avant Garde" w:hAnsi="ITC Avant Garde"/>
                <w:b/>
                <w:sz w:val="18"/>
                <w:szCs w:val="18"/>
              </w:rPr>
            </w:pPr>
          </w:p>
          <w:p w14:paraId="59C8F469" w14:textId="77777777" w:rsidR="00963016" w:rsidRPr="00963016" w:rsidRDefault="00963016" w:rsidP="00963016">
            <w:pPr>
              <w:jc w:val="both"/>
              <w:rPr>
                <w:rFonts w:ascii="ITC Avant Garde" w:hAnsi="ITC Avant Garde"/>
                <w:sz w:val="18"/>
                <w:szCs w:val="18"/>
              </w:rPr>
            </w:pPr>
            <w:r w:rsidRPr="00963016">
              <w:rPr>
                <w:rFonts w:ascii="ITC Avant Garde" w:hAnsi="ITC Avant Garde"/>
                <w:sz w:val="18"/>
                <w:szCs w:val="18"/>
              </w:rPr>
              <w:t>Nombre: Victoria Eugenia Prieto Moreno</w:t>
            </w:r>
          </w:p>
          <w:p w14:paraId="299B5DCA" w14:textId="225AA03E" w:rsidR="00963016" w:rsidRDefault="00963016" w:rsidP="00963016">
            <w:pPr>
              <w:rPr>
                <w:rFonts w:ascii="ITC Avant Garde" w:hAnsi="ITC Avant Garde"/>
                <w:sz w:val="18"/>
                <w:szCs w:val="18"/>
              </w:rPr>
            </w:pPr>
            <w:r w:rsidRPr="00963016">
              <w:rPr>
                <w:rFonts w:ascii="ITC Avant Garde" w:hAnsi="ITC Avant Garde"/>
                <w:sz w:val="18"/>
                <w:szCs w:val="18"/>
              </w:rPr>
              <w:t>Teléfono:</w:t>
            </w:r>
            <w:r>
              <w:rPr>
                <w:rFonts w:ascii="ITC Avant Garde" w:hAnsi="ITC Avant Garde"/>
                <w:sz w:val="18"/>
                <w:szCs w:val="18"/>
              </w:rPr>
              <w:t xml:space="preserve"> </w:t>
            </w:r>
            <w:r w:rsidRPr="00963016">
              <w:rPr>
                <w:rFonts w:ascii="ITC Avant Garde" w:hAnsi="ITC Avant Garde"/>
                <w:sz w:val="18"/>
                <w:szCs w:val="18"/>
              </w:rPr>
              <w:t>55-5015-4289 Correo electrónico:</w:t>
            </w:r>
          </w:p>
          <w:p w14:paraId="33A1CF34" w14:textId="77777777" w:rsidR="0068307E" w:rsidRDefault="00963016" w:rsidP="00963016">
            <w:pPr>
              <w:jc w:val="both"/>
              <w:rPr>
                <w:rFonts w:ascii="ITC Avant Garde" w:hAnsi="ITC Avant Garde"/>
                <w:sz w:val="18"/>
                <w:szCs w:val="18"/>
              </w:rPr>
            </w:pPr>
            <w:r w:rsidRPr="00963016">
              <w:rPr>
                <w:rFonts w:ascii="ITC Avant Garde" w:hAnsi="ITC Avant Garde"/>
                <w:sz w:val="18"/>
                <w:szCs w:val="18"/>
              </w:rPr>
              <w:t xml:space="preserve"> </w:t>
            </w:r>
            <w:hyperlink r:id="rId11" w:history="1">
              <w:r w:rsidRPr="00B30A02">
                <w:rPr>
                  <w:rStyle w:val="Hipervnculo"/>
                  <w:rFonts w:ascii="ITC Avant Garde" w:hAnsi="ITC Avant Garde"/>
                  <w:sz w:val="18"/>
                  <w:szCs w:val="18"/>
                </w:rPr>
                <w:t>victoria.prieto@ift.org.mx</w:t>
              </w:r>
            </w:hyperlink>
            <w:r>
              <w:rPr>
                <w:rFonts w:ascii="ITC Avant Garde" w:hAnsi="ITC Avant Garde"/>
                <w:sz w:val="18"/>
                <w:szCs w:val="18"/>
              </w:rPr>
              <w:t xml:space="preserve"> </w:t>
            </w:r>
            <w:r w:rsidRPr="00963016">
              <w:rPr>
                <w:rFonts w:ascii="ITC Avant Garde" w:hAnsi="ITC Avant Garde"/>
                <w:sz w:val="18"/>
                <w:szCs w:val="18"/>
              </w:rPr>
              <w:t xml:space="preserve"> </w:t>
            </w:r>
          </w:p>
          <w:p w14:paraId="3FAE8274" w14:textId="1D612A55" w:rsidR="004D3B21" w:rsidRPr="00451B7D" w:rsidRDefault="004D3B21" w:rsidP="00963016">
            <w:pPr>
              <w:jc w:val="both"/>
              <w:rPr>
                <w:rFonts w:ascii="ITC Avant Garde" w:hAnsi="ITC Avant Garde"/>
                <w:b/>
                <w:sz w:val="18"/>
                <w:szCs w:val="18"/>
              </w:rPr>
            </w:pPr>
          </w:p>
        </w:tc>
        <w:tc>
          <w:tcPr>
            <w:tcW w:w="3118" w:type="dxa"/>
            <w:shd w:val="clear" w:color="auto" w:fill="DBDBDB" w:themeFill="accent3" w:themeFillTint="66"/>
            <w:vAlign w:val="center"/>
          </w:tcPr>
          <w:p w14:paraId="24CF7A41" w14:textId="77777777" w:rsidR="0068307E" w:rsidRPr="00451B7D" w:rsidRDefault="0068307E" w:rsidP="008A48B0">
            <w:pPr>
              <w:jc w:val="both"/>
              <w:rPr>
                <w:rFonts w:ascii="ITC Avant Garde" w:hAnsi="ITC Avant Garde"/>
                <w:b/>
                <w:sz w:val="18"/>
                <w:szCs w:val="18"/>
              </w:rPr>
            </w:pPr>
            <w:r w:rsidRPr="00451B7D">
              <w:rPr>
                <w:rFonts w:ascii="ITC Avant Garde" w:hAnsi="ITC Avant Garde"/>
                <w:b/>
                <w:sz w:val="18"/>
                <w:szCs w:val="18"/>
              </w:rPr>
              <w:t>Fecha de elaboración</w:t>
            </w:r>
            <w:r w:rsidR="00D23BD5" w:rsidRPr="00451B7D">
              <w:rPr>
                <w:rFonts w:ascii="ITC Avant Garde" w:hAnsi="ITC Avant Garde"/>
                <w:b/>
                <w:sz w:val="18"/>
                <w:szCs w:val="18"/>
              </w:rPr>
              <w:t xml:space="preserve"> del análisis de nulo impacto regulatorio</w:t>
            </w:r>
            <w:r w:rsidRPr="00451B7D">
              <w:rPr>
                <w:rFonts w:ascii="ITC Avant Garde" w:hAnsi="ITC Avant Garde"/>
                <w:b/>
                <w:sz w:val="18"/>
                <w:szCs w:val="18"/>
              </w:rPr>
              <w:t>:</w:t>
            </w:r>
          </w:p>
        </w:tc>
        <w:tc>
          <w:tcPr>
            <w:tcW w:w="3021" w:type="dxa"/>
            <w:shd w:val="clear" w:color="auto" w:fill="DBDBDB" w:themeFill="accent3" w:themeFillTint="66"/>
            <w:vAlign w:val="center"/>
          </w:tcPr>
          <w:p w14:paraId="4691C87C" w14:textId="1346482B" w:rsidR="0068307E" w:rsidRPr="00451B7D" w:rsidRDefault="003C0CF2" w:rsidP="0068307E">
            <w:pPr>
              <w:jc w:val="center"/>
              <w:rPr>
                <w:rFonts w:ascii="ITC Avant Garde" w:hAnsi="ITC Avant Garde"/>
                <w:sz w:val="18"/>
                <w:szCs w:val="18"/>
              </w:rPr>
            </w:pPr>
            <w:r>
              <w:rPr>
                <w:rFonts w:ascii="ITC Avant Garde" w:hAnsi="ITC Avant Garde"/>
                <w:sz w:val="18"/>
                <w:szCs w:val="18"/>
              </w:rPr>
              <w:t>14</w:t>
            </w:r>
            <w:r w:rsidR="0068307E" w:rsidRPr="00451B7D">
              <w:rPr>
                <w:rFonts w:ascii="ITC Avant Garde" w:hAnsi="ITC Avant Garde"/>
                <w:sz w:val="18"/>
                <w:szCs w:val="18"/>
              </w:rPr>
              <w:t>/</w:t>
            </w:r>
            <w:r>
              <w:rPr>
                <w:rFonts w:ascii="ITC Avant Garde" w:hAnsi="ITC Avant Garde"/>
                <w:sz w:val="18"/>
                <w:szCs w:val="18"/>
              </w:rPr>
              <w:t>08</w:t>
            </w:r>
            <w:r w:rsidR="0068307E" w:rsidRPr="00451B7D">
              <w:rPr>
                <w:rFonts w:ascii="ITC Avant Garde" w:hAnsi="ITC Avant Garde"/>
                <w:sz w:val="18"/>
                <w:szCs w:val="18"/>
              </w:rPr>
              <w:t>/</w:t>
            </w:r>
            <w:r w:rsidR="00913436">
              <w:rPr>
                <w:rFonts w:ascii="ITC Avant Garde" w:hAnsi="ITC Avant Garde"/>
                <w:sz w:val="18"/>
                <w:szCs w:val="18"/>
              </w:rPr>
              <w:t>2024</w:t>
            </w:r>
          </w:p>
        </w:tc>
      </w:tr>
      <w:tr w:rsidR="0068307E" w:rsidRPr="00451B7D" w14:paraId="0AF74691" w14:textId="77777777" w:rsidTr="00D23BD5">
        <w:trPr>
          <w:trHeight w:val="390"/>
        </w:trPr>
        <w:tc>
          <w:tcPr>
            <w:tcW w:w="2689" w:type="dxa"/>
            <w:vMerge/>
            <w:shd w:val="clear" w:color="auto" w:fill="DBDBDB" w:themeFill="accent3" w:themeFillTint="66"/>
          </w:tcPr>
          <w:p w14:paraId="60457D0F" w14:textId="77777777" w:rsidR="0068307E" w:rsidRPr="00451B7D"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64DB91A6" w14:textId="77777777" w:rsidR="0068307E" w:rsidRPr="00451B7D" w:rsidRDefault="0049127C" w:rsidP="0049127C">
            <w:pPr>
              <w:jc w:val="both"/>
              <w:rPr>
                <w:rFonts w:ascii="ITC Avant Garde" w:hAnsi="ITC Avant Garde"/>
                <w:b/>
                <w:sz w:val="18"/>
                <w:szCs w:val="18"/>
              </w:rPr>
            </w:pPr>
            <w:r w:rsidRPr="00451B7D">
              <w:rPr>
                <w:rFonts w:ascii="ITC Avant Garde" w:hAnsi="ITC Avant Garde"/>
                <w:b/>
                <w:sz w:val="18"/>
                <w:szCs w:val="18"/>
              </w:rPr>
              <w:t>En su caso, f</w:t>
            </w:r>
            <w:r w:rsidR="0068307E" w:rsidRPr="00451B7D">
              <w:rPr>
                <w:rFonts w:ascii="ITC Avant Garde" w:hAnsi="ITC Avant Garde"/>
                <w:b/>
                <w:sz w:val="18"/>
                <w:szCs w:val="18"/>
              </w:rPr>
              <w:t xml:space="preserve">echa de inicio </w:t>
            </w:r>
            <w:r w:rsidR="00D23BD5" w:rsidRPr="00451B7D">
              <w:rPr>
                <w:rFonts w:ascii="ITC Avant Garde" w:hAnsi="ITC Avant Garde"/>
                <w:b/>
                <w:sz w:val="18"/>
                <w:szCs w:val="18"/>
              </w:rPr>
              <w:t xml:space="preserve">y conclusión </w:t>
            </w:r>
            <w:r w:rsidR="0068307E" w:rsidRPr="00451B7D">
              <w:rPr>
                <w:rFonts w:ascii="ITC Avant Garde" w:hAnsi="ITC Avant Garde"/>
                <w:b/>
                <w:sz w:val="18"/>
                <w:szCs w:val="18"/>
              </w:rPr>
              <w:t>de la consulta pública:</w:t>
            </w:r>
          </w:p>
        </w:tc>
        <w:tc>
          <w:tcPr>
            <w:tcW w:w="3021" w:type="dxa"/>
            <w:shd w:val="clear" w:color="auto" w:fill="DBDBDB" w:themeFill="accent3" w:themeFillTint="66"/>
            <w:vAlign w:val="center"/>
          </w:tcPr>
          <w:p w14:paraId="566F680B" w14:textId="7CCF3286" w:rsidR="0068307E" w:rsidRPr="00451B7D" w:rsidRDefault="007431B6" w:rsidP="0068307E">
            <w:pPr>
              <w:jc w:val="center"/>
              <w:rPr>
                <w:rFonts w:ascii="ITC Avant Garde" w:hAnsi="ITC Avant Garde"/>
                <w:sz w:val="18"/>
                <w:szCs w:val="18"/>
              </w:rPr>
            </w:pPr>
            <w:r>
              <w:rPr>
                <w:rFonts w:ascii="ITC Avant Garde" w:hAnsi="ITC Avant Garde"/>
                <w:sz w:val="18"/>
                <w:szCs w:val="18"/>
              </w:rPr>
              <w:t>15</w:t>
            </w:r>
            <w:r w:rsidR="0068307E" w:rsidRPr="00451B7D">
              <w:rPr>
                <w:rFonts w:ascii="ITC Avant Garde" w:hAnsi="ITC Avant Garde"/>
                <w:sz w:val="18"/>
                <w:szCs w:val="18"/>
              </w:rPr>
              <w:t>/</w:t>
            </w:r>
            <w:r>
              <w:rPr>
                <w:rFonts w:ascii="ITC Avant Garde" w:hAnsi="ITC Avant Garde"/>
                <w:sz w:val="18"/>
                <w:szCs w:val="18"/>
              </w:rPr>
              <w:t>12</w:t>
            </w:r>
            <w:r w:rsidR="0068307E" w:rsidRPr="00451B7D">
              <w:rPr>
                <w:rFonts w:ascii="ITC Avant Garde" w:hAnsi="ITC Avant Garde"/>
                <w:sz w:val="18"/>
                <w:szCs w:val="18"/>
              </w:rPr>
              <w:t>/</w:t>
            </w:r>
            <w:r w:rsidR="004B5C7B">
              <w:rPr>
                <w:rFonts w:ascii="ITC Avant Garde" w:hAnsi="ITC Avant Garde"/>
                <w:sz w:val="18"/>
                <w:szCs w:val="18"/>
              </w:rPr>
              <w:t>2023</w:t>
            </w:r>
            <w:r w:rsidR="00D23BD5" w:rsidRPr="00451B7D">
              <w:rPr>
                <w:rFonts w:ascii="ITC Avant Garde" w:hAnsi="ITC Avant Garde"/>
                <w:sz w:val="18"/>
                <w:szCs w:val="18"/>
              </w:rPr>
              <w:t xml:space="preserve"> a </w:t>
            </w:r>
            <w:r>
              <w:rPr>
                <w:rFonts w:ascii="ITC Avant Garde" w:hAnsi="ITC Avant Garde"/>
                <w:sz w:val="18"/>
                <w:szCs w:val="18"/>
              </w:rPr>
              <w:t>03</w:t>
            </w:r>
            <w:r w:rsidR="00913436" w:rsidRPr="00451B7D">
              <w:rPr>
                <w:rFonts w:ascii="ITC Avant Garde" w:hAnsi="ITC Avant Garde"/>
                <w:sz w:val="18"/>
                <w:szCs w:val="18"/>
              </w:rPr>
              <w:t>/</w:t>
            </w:r>
            <w:r>
              <w:rPr>
                <w:rFonts w:ascii="ITC Avant Garde" w:hAnsi="ITC Avant Garde"/>
                <w:sz w:val="18"/>
                <w:szCs w:val="18"/>
              </w:rPr>
              <w:t>04</w:t>
            </w:r>
            <w:r w:rsidR="00913436" w:rsidRPr="00451B7D">
              <w:rPr>
                <w:rFonts w:ascii="ITC Avant Garde" w:hAnsi="ITC Avant Garde"/>
                <w:sz w:val="18"/>
                <w:szCs w:val="18"/>
              </w:rPr>
              <w:t>/</w:t>
            </w:r>
            <w:r w:rsidR="00913436">
              <w:rPr>
                <w:rFonts w:ascii="ITC Avant Garde" w:hAnsi="ITC Avant Garde"/>
                <w:sz w:val="18"/>
                <w:szCs w:val="18"/>
              </w:rPr>
              <w:t>2024</w:t>
            </w:r>
          </w:p>
        </w:tc>
      </w:tr>
    </w:tbl>
    <w:p w14:paraId="4B5AD09D" w14:textId="77777777" w:rsidR="00501ADF" w:rsidRPr="00451B7D" w:rsidRDefault="00501ADF" w:rsidP="00501ADF">
      <w:pPr>
        <w:jc w:val="both"/>
        <w:rPr>
          <w:rFonts w:ascii="ITC Avant Garde" w:hAnsi="ITC Avant Garde"/>
          <w:sz w:val="18"/>
          <w:szCs w:val="18"/>
        </w:rPr>
      </w:pPr>
    </w:p>
    <w:p w14:paraId="7601E9C1" w14:textId="0BB573C6" w:rsidR="001932FC" w:rsidRPr="00451B7D" w:rsidRDefault="001932FC" w:rsidP="0068307E">
      <w:pPr>
        <w:shd w:val="clear" w:color="auto" w:fill="A8D08D" w:themeFill="accent6" w:themeFillTint="99"/>
        <w:jc w:val="both"/>
        <w:rPr>
          <w:rFonts w:ascii="ITC Avant Garde" w:hAnsi="ITC Avant Garde"/>
          <w:b/>
          <w:sz w:val="18"/>
          <w:szCs w:val="18"/>
        </w:rPr>
      </w:pPr>
      <w:r w:rsidRPr="00451B7D">
        <w:rPr>
          <w:rFonts w:ascii="ITC Avant Garde" w:hAnsi="ITC Avant Garde"/>
          <w:b/>
          <w:sz w:val="18"/>
          <w:szCs w:val="18"/>
        </w:rPr>
        <w:t xml:space="preserve">I. DEFINICIÓN DEL PROBLEMA Y OBJETIVOS GENERALES DE LA </w:t>
      </w:r>
      <w:r w:rsidR="00D23BD5" w:rsidRPr="00451B7D">
        <w:rPr>
          <w:rFonts w:ascii="ITC Avant Garde" w:hAnsi="ITC Avant Garde"/>
          <w:b/>
          <w:sz w:val="18"/>
          <w:szCs w:val="18"/>
        </w:rPr>
        <w:t xml:space="preserve">PROPUESTA DE </w:t>
      </w:r>
      <w:r w:rsidRPr="00451B7D">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451B7D" w14:paraId="446A9369" w14:textId="77777777" w:rsidTr="008A48B0">
        <w:tc>
          <w:tcPr>
            <w:tcW w:w="8828" w:type="dxa"/>
            <w:shd w:val="clear" w:color="auto" w:fill="FFFFFF" w:themeFill="background1"/>
          </w:tcPr>
          <w:p w14:paraId="42717F55" w14:textId="3B3F928D" w:rsidR="001932FC" w:rsidRPr="00451B7D" w:rsidRDefault="001932FC" w:rsidP="008A48B0">
            <w:pPr>
              <w:shd w:val="clear" w:color="auto" w:fill="FFFFFF" w:themeFill="background1"/>
              <w:jc w:val="both"/>
              <w:rPr>
                <w:rFonts w:ascii="ITC Avant Garde" w:hAnsi="ITC Avant Garde"/>
                <w:b/>
                <w:sz w:val="18"/>
                <w:szCs w:val="18"/>
              </w:rPr>
            </w:pPr>
            <w:r w:rsidRPr="00451B7D">
              <w:rPr>
                <w:rFonts w:ascii="ITC Avant Garde" w:hAnsi="ITC Avant Garde"/>
                <w:b/>
                <w:sz w:val="18"/>
                <w:szCs w:val="18"/>
              </w:rPr>
              <w:t>1.</w:t>
            </w:r>
            <w:r w:rsidR="00E6080B" w:rsidRPr="00451B7D">
              <w:rPr>
                <w:rFonts w:ascii="ITC Avant Garde" w:hAnsi="ITC Avant Garde"/>
                <w:b/>
                <w:sz w:val="18"/>
                <w:szCs w:val="18"/>
              </w:rPr>
              <w:t>-</w:t>
            </w:r>
            <w:r w:rsidRPr="00451B7D">
              <w:rPr>
                <w:rFonts w:ascii="ITC Avant Garde" w:hAnsi="ITC Avant Garde"/>
                <w:b/>
                <w:sz w:val="18"/>
                <w:szCs w:val="18"/>
              </w:rPr>
              <w:t xml:space="preserve"> </w:t>
            </w:r>
            <w:r w:rsidR="00D221B5" w:rsidRPr="00451B7D">
              <w:rPr>
                <w:rFonts w:ascii="ITC Avant Garde" w:hAnsi="ITC Avant Garde"/>
                <w:b/>
                <w:sz w:val="18"/>
                <w:szCs w:val="18"/>
              </w:rPr>
              <w:t xml:space="preserve">Explique brevemente </w:t>
            </w:r>
            <w:r w:rsidR="00BE7D1C" w:rsidRPr="00451B7D">
              <w:rPr>
                <w:rFonts w:ascii="ITC Avant Garde" w:hAnsi="ITC Avant Garde"/>
                <w:b/>
                <w:sz w:val="18"/>
                <w:szCs w:val="18"/>
              </w:rPr>
              <w:t xml:space="preserve">la problemática que pretende prevenir o resolver la propuesta de regulación, así como </w:t>
            </w:r>
            <w:r w:rsidR="00D221B5" w:rsidRPr="00451B7D">
              <w:rPr>
                <w:rFonts w:ascii="ITC Avant Garde" w:hAnsi="ITC Avant Garde"/>
                <w:b/>
                <w:sz w:val="18"/>
                <w:szCs w:val="18"/>
              </w:rPr>
              <w:t xml:space="preserve">en qué consiste </w:t>
            </w:r>
            <w:r w:rsidR="005319D5" w:rsidRPr="00451B7D">
              <w:rPr>
                <w:rFonts w:ascii="ITC Avant Garde" w:hAnsi="ITC Avant Garde"/>
                <w:b/>
                <w:sz w:val="18"/>
                <w:szCs w:val="18"/>
              </w:rPr>
              <w:t xml:space="preserve">ésta </w:t>
            </w:r>
            <w:r w:rsidR="00BE7D1C" w:rsidRPr="00451B7D">
              <w:rPr>
                <w:rFonts w:ascii="ITC Avant Garde" w:hAnsi="ITC Avant Garde"/>
                <w:b/>
                <w:sz w:val="18"/>
                <w:szCs w:val="18"/>
              </w:rPr>
              <w:t>y</w:t>
            </w:r>
            <w:r w:rsidR="00D221B5" w:rsidRPr="00451B7D">
              <w:rPr>
                <w:rFonts w:ascii="ITC Avant Garde" w:hAnsi="ITC Avant Garde"/>
                <w:b/>
                <w:sz w:val="18"/>
                <w:szCs w:val="18"/>
              </w:rPr>
              <w:t xml:space="preserve"> sus objetivos generales</w:t>
            </w:r>
            <w:r w:rsidRPr="00451B7D">
              <w:rPr>
                <w:rFonts w:ascii="ITC Avant Garde" w:hAnsi="ITC Avant Garde"/>
                <w:b/>
                <w:sz w:val="18"/>
                <w:szCs w:val="18"/>
              </w:rPr>
              <w:t>:</w:t>
            </w:r>
          </w:p>
          <w:p w14:paraId="172EC137" w14:textId="77777777" w:rsidR="001932FC" w:rsidRPr="00451B7D" w:rsidRDefault="001932FC" w:rsidP="008A48B0">
            <w:pPr>
              <w:shd w:val="clear" w:color="auto" w:fill="FFFFFF" w:themeFill="background1"/>
              <w:jc w:val="both"/>
              <w:rPr>
                <w:rFonts w:ascii="ITC Avant Garde" w:hAnsi="ITC Avant Garde"/>
                <w:sz w:val="18"/>
                <w:szCs w:val="18"/>
              </w:rPr>
            </w:pPr>
          </w:p>
          <w:p w14:paraId="019BB860" w14:textId="08BFBDED" w:rsidR="00A85D6D" w:rsidRPr="000D4171" w:rsidRDefault="00784EE1" w:rsidP="000D4171">
            <w:pPr>
              <w:jc w:val="both"/>
              <w:rPr>
                <w:rFonts w:ascii="ITC Avant Garde" w:hAnsi="ITC Avant Garde"/>
                <w:sz w:val="18"/>
                <w:szCs w:val="18"/>
              </w:rPr>
            </w:pPr>
            <w:r>
              <w:rPr>
                <w:rFonts w:ascii="ITC Avant Garde" w:hAnsi="ITC Avant Garde"/>
                <w:sz w:val="18"/>
                <w:szCs w:val="18"/>
              </w:rPr>
              <w:t>L</w:t>
            </w:r>
            <w:r w:rsidRPr="00784EE1">
              <w:rPr>
                <w:rFonts w:ascii="ITC Avant Garde" w:hAnsi="ITC Avant Garde"/>
                <w:sz w:val="18"/>
                <w:szCs w:val="18"/>
              </w:rPr>
              <w:t xml:space="preserve">os </w:t>
            </w:r>
            <w:r w:rsidRPr="00A85D6D">
              <w:rPr>
                <w:rFonts w:ascii="ITC Avant Garde" w:hAnsi="ITC Avant Garde"/>
                <w:i/>
                <w:sz w:val="18"/>
                <w:szCs w:val="18"/>
              </w:rPr>
              <w:t>Lineamientos que establecen la metodología, la periodicidad, el catálogo de claves de información y los formatos electrónicos con los que los operadores del sector de telecomunicaciones entregarán información para integrar el acervo estadístico del Instituto Federal de Telecomunicaciones</w:t>
            </w:r>
            <w:r>
              <w:rPr>
                <w:rFonts w:ascii="ITC Avant Garde" w:hAnsi="ITC Avant Garde"/>
                <w:sz w:val="18"/>
                <w:szCs w:val="18"/>
              </w:rPr>
              <w:t xml:space="preserve"> </w:t>
            </w:r>
            <w:r w:rsidRPr="00784EE1">
              <w:rPr>
                <w:rFonts w:ascii="ITC Avant Garde" w:hAnsi="ITC Avant Garde"/>
                <w:sz w:val="18"/>
                <w:szCs w:val="18"/>
              </w:rPr>
              <w:t xml:space="preserve">(en lo sucesivo, </w:t>
            </w:r>
            <w:r>
              <w:rPr>
                <w:rFonts w:ascii="ITC Avant Garde" w:hAnsi="ITC Avant Garde"/>
                <w:sz w:val="18"/>
                <w:szCs w:val="18"/>
              </w:rPr>
              <w:t>los</w:t>
            </w:r>
            <w:r w:rsidRPr="00784EE1">
              <w:rPr>
                <w:rFonts w:ascii="ITC Avant Garde" w:hAnsi="ITC Avant Garde"/>
                <w:sz w:val="18"/>
                <w:szCs w:val="18"/>
              </w:rPr>
              <w:t xml:space="preserve"> "</w:t>
            </w:r>
            <w:r>
              <w:rPr>
                <w:rFonts w:ascii="ITC Avant Garde" w:hAnsi="ITC Avant Garde"/>
                <w:sz w:val="18"/>
                <w:szCs w:val="18"/>
              </w:rPr>
              <w:t>Lineamientos</w:t>
            </w:r>
            <w:r w:rsidRPr="00784EE1">
              <w:rPr>
                <w:rFonts w:ascii="ITC Avant Garde" w:hAnsi="ITC Avant Garde"/>
                <w:sz w:val="18"/>
                <w:szCs w:val="18"/>
              </w:rPr>
              <w:t>")</w:t>
            </w:r>
            <w:r w:rsidR="00337E63">
              <w:rPr>
                <w:rFonts w:ascii="ITC Avant Garde" w:hAnsi="ITC Avant Garde"/>
                <w:sz w:val="18"/>
                <w:szCs w:val="18"/>
              </w:rPr>
              <w:t xml:space="preserve"> </w:t>
            </w:r>
            <w:r w:rsidR="007344D3">
              <w:rPr>
                <w:rFonts w:ascii="ITC Avant Garde" w:hAnsi="ITC Avant Garde"/>
                <w:sz w:val="18"/>
                <w:szCs w:val="18"/>
              </w:rPr>
              <w:t>están</w:t>
            </w:r>
            <w:r>
              <w:rPr>
                <w:rFonts w:ascii="ITC Avant Garde" w:hAnsi="ITC Avant Garde"/>
                <w:sz w:val="18"/>
                <w:szCs w:val="18"/>
              </w:rPr>
              <w:t xml:space="preserve"> </w:t>
            </w:r>
            <w:r w:rsidR="00337E63">
              <w:rPr>
                <w:rFonts w:ascii="ITC Avant Garde" w:hAnsi="ITC Avant Garde"/>
                <w:sz w:val="18"/>
                <w:szCs w:val="18"/>
              </w:rPr>
              <w:t>diseñados</w:t>
            </w:r>
            <w:r w:rsidR="00337E63" w:rsidRPr="00337E63">
              <w:rPr>
                <w:rFonts w:ascii="ITC Avant Garde" w:hAnsi="ITC Avant Garde"/>
                <w:sz w:val="18"/>
                <w:szCs w:val="18"/>
              </w:rPr>
              <w:t xml:space="preserve"> </w:t>
            </w:r>
            <w:r w:rsidR="00A85D6D">
              <w:rPr>
                <w:rFonts w:ascii="ITC Avant Garde" w:hAnsi="ITC Avant Garde"/>
                <w:sz w:val="18"/>
                <w:szCs w:val="18"/>
              </w:rPr>
              <w:t>para establecer</w:t>
            </w:r>
            <w:r w:rsidR="00A85D6D" w:rsidRPr="00784EE1">
              <w:rPr>
                <w:rFonts w:ascii="ITC Avant Garde" w:hAnsi="ITC Avant Garde"/>
                <w:sz w:val="18"/>
                <w:szCs w:val="18"/>
              </w:rPr>
              <w:t xml:space="preserve"> </w:t>
            </w:r>
            <w:r w:rsidR="00A85D6D">
              <w:rPr>
                <w:rFonts w:ascii="ITC Avant Garde" w:hAnsi="ITC Avant Garde"/>
                <w:sz w:val="18"/>
                <w:szCs w:val="18"/>
              </w:rPr>
              <w:t xml:space="preserve">los </w:t>
            </w:r>
            <w:r w:rsidR="00A85D6D" w:rsidRPr="00784EE1">
              <w:rPr>
                <w:rFonts w:ascii="ITC Avant Garde" w:hAnsi="ITC Avant Garde"/>
                <w:sz w:val="18"/>
                <w:szCs w:val="18"/>
              </w:rPr>
              <w:t xml:space="preserve">sistemas de gestión de trámites y servicios electrónicos, eFormatos homologados, </w:t>
            </w:r>
            <w:r w:rsidR="00A85D6D">
              <w:rPr>
                <w:rFonts w:ascii="ITC Avant Garde" w:hAnsi="ITC Avant Garde"/>
                <w:sz w:val="18"/>
                <w:szCs w:val="18"/>
              </w:rPr>
              <w:t xml:space="preserve">la </w:t>
            </w:r>
            <w:r w:rsidR="00A85D6D" w:rsidRPr="00337E63">
              <w:rPr>
                <w:rFonts w:ascii="ITC Avant Garde" w:hAnsi="ITC Avant Garde"/>
                <w:sz w:val="18"/>
                <w:szCs w:val="18"/>
              </w:rPr>
              <w:t>metodología y la implementación de un sistema electrónico por medio del cual los operadores</w:t>
            </w:r>
            <w:r w:rsidR="00A85D6D">
              <w:rPr>
                <w:rFonts w:ascii="ITC Avant Garde" w:hAnsi="ITC Avant Garde"/>
                <w:sz w:val="18"/>
                <w:szCs w:val="18"/>
              </w:rPr>
              <w:t xml:space="preserve"> de telecomunicaciones remiten </w:t>
            </w:r>
            <w:r w:rsidR="00A85D6D" w:rsidRPr="00337E63">
              <w:rPr>
                <w:rFonts w:ascii="ITC Avant Garde" w:hAnsi="ITC Avant Garde"/>
                <w:sz w:val="18"/>
                <w:szCs w:val="18"/>
              </w:rPr>
              <w:t>información estadística</w:t>
            </w:r>
            <w:r w:rsidR="00A85D6D">
              <w:rPr>
                <w:rFonts w:ascii="ITC Avant Garde" w:hAnsi="ITC Avant Garde"/>
                <w:sz w:val="18"/>
                <w:szCs w:val="18"/>
              </w:rPr>
              <w:t xml:space="preserve"> de interés del </w:t>
            </w:r>
            <w:r w:rsidR="002911C6" w:rsidRPr="002911C6">
              <w:rPr>
                <w:rFonts w:ascii="ITC Avant Garde" w:hAnsi="ITC Avant Garde"/>
                <w:sz w:val="18"/>
                <w:szCs w:val="18"/>
              </w:rPr>
              <w:t xml:space="preserve">Instituto Federal de Telecomunicaciones (en </w:t>
            </w:r>
            <w:r w:rsidR="002911C6" w:rsidRPr="00784EE1">
              <w:rPr>
                <w:rFonts w:ascii="ITC Avant Garde" w:hAnsi="ITC Avant Garde"/>
                <w:sz w:val="18"/>
                <w:szCs w:val="18"/>
              </w:rPr>
              <w:t xml:space="preserve">lo sucesivo, </w:t>
            </w:r>
            <w:r w:rsidR="002911C6">
              <w:rPr>
                <w:rFonts w:ascii="ITC Avant Garde" w:hAnsi="ITC Avant Garde"/>
                <w:sz w:val="18"/>
                <w:szCs w:val="18"/>
              </w:rPr>
              <w:t>el</w:t>
            </w:r>
            <w:r w:rsidR="002911C6" w:rsidRPr="00784EE1">
              <w:rPr>
                <w:rFonts w:ascii="ITC Avant Garde" w:hAnsi="ITC Avant Garde"/>
                <w:sz w:val="18"/>
                <w:szCs w:val="18"/>
              </w:rPr>
              <w:t xml:space="preserve"> "</w:t>
            </w:r>
            <w:r w:rsidR="002911C6">
              <w:rPr>
                <w:rFonts w:ascii="ITC Avant Garde" w:hAnsi="ITC Avant Garde"/>
                <w:sz w:val="18"/>
                <w:szCs w:val="18"/>
              </w:rPr>
              <w:t>Instituto</w:t>
            </w:r>
            <w:r w:rsidR="002911C6" w:rsidRPr="00784EE1">
              <w:rPr>
                <w:rFonts w:ascii="ITC Avant Garde" w:hAnsi="ITC Avant Garde"/>
                <w:sz w:val="18"/>
                <w:szCs w:val="18"/>
              </w:rPr>
              <w:t>")</w:t>
            </w:r>
            <w:r w:rsidR="002911C6">
              <w:rPr>
                <w:rFonts w:ascii="ITC Avant Garde" w:hAnsi="ITC Avant Garde"/>
                <w:sz w:val="18"/>
                <w:szCs w:val="18"/>
              </w:rPr>
              <w:t xml:space="preserve"> </w:t>
            </w:r>
            <w:r w:rsidR="00A85D6D" w:rsidRPr="00337E63">
              <w:rPr>
                <w:rFonts w:ascii="ITC Avant Garde" w:hAnsi="ITC Avant Garde"/>
                <w:sz w:val="18"/>
                <w:szCs w:val="18"/>
              </w:rPr>
              <w:t>de manera</w:t>
            </w:r>
            <w:r w:rsidR="00A85D6D">
              <w:rPr>
                <w:rFonts w:ascii="ITC Avant Garde" w:hAnsi="ITC Avant Garde"/>
                <w:sz w:val="18"/>
                <w:szCs w:val="18"/>
              </w:rPr>
              <w:t xml:space="preserve"> clara,</w:t>
            </w:r>
            <w:r w:rsidR="00A85D6D" w:rsidRPr="00337E63">
              <w:rPr>
                <w:rFonts w:ascii="ITC Avant Garde" w:hAnsi="ITC Avant Garde"/>
                <w:sz w:val="18"/>
                <w:szCs w:val="18"/>
              </w:rPr>
              <w:t xml:space="preserve"> fácil y </w:t>
            </w:r>
            <w:r w:rsidR="00A85D6D">
              <w:rPr>
                <w:rFonts w:ascii="ITC Avant Garde" w:hAnsi="ITC Avant Garde"/>
                <w:sz w:val="18"/>
                <w:szCs w:val="18"/>
              </w:rPr>
              <w:t>minimizando los</w:t>
            </w:r>
            <w:r w:rsidR="00A85D6D" w:rsidRPr="00337E63">
              <w:rPr>
                <w:rFonts w:ascii="ITC Avant Garde" w:hAnsi="ITC Avant Garde"/>
                <w:sz w:val="18"/>
                <w:szCs w:val="18"/>
              </w:rPr>
              <w:t xml:space="preserve"> costos de transacción.</w:t>
            </w:r>
            <w:r w:rsidR="00A85D6D" w:rsidRPr="00784EE1">
              <w:rPr>
                <w:rFonts w:ascii="ITC Avant Garde" w:hAnsi="ITC Avant Garde"/>
                <w:sz w:val="18"/>
                <w:szCs w:val="18"/>
              </w:rPr>
              <w:t xml:space="preserve"> </w:t>
            </w:r>
            <w:r w:rsidR="00DF5C23" w:rsidRPr="000D4171">
              <w:rPr>
                <w:rFonts w:ascii="ITC Avant Garde" w:hAnsi="ITC Avant Garde"/>
                <w:sz w:val="18"/>
                <w:szCs w:val="18"/>
              </w:rPr>
              <w:t>Adicionalmente, de acuerdo a los propios Lineamientos la Coordinación General de Planeación Estratégica podrá revisar al menos cada 2 años, a partir de su entrada en vigor, a efecto de determinar, en su caso, cualquier modificación a los mismos</w:t>
            </w:r>
            <w:r w:rsidR="00F67871" w:rsidRPr="000D4171">
              <w:rPr>
                <w:rFonts w:ascii="ITC Avant Garde" w:hAnsi="ITC Avant Garde"/>
                <w:sz w:val="18"/>
                <w:szCs w:val="18"/>
              </w:rPr>
              <w:t xml:space="preserve"> (Lineamiento Décimo Segundo)</w:t>
            </w:r>
            <w:r w:rsidR="00DF5C23" w:rsidRPr="000D4171">
              <w:rPr>
                <w:rFonts w:ascii="ITC Avant Garde" w:hAnsi="ITC Avant Garde"/>
                <w:sz w:val="18"/>
                <w:szCs w:val="18"/>
              </w:rPr>
              <w:t>.</w:t>
            </w:r>
          </w:p>
          <w:p w14:paraId="3EE5E3DF" w14:textId="77777777" w:rsidR="000D4171" w:rsidRPr="000D4171" w:rsidRDefault="000D4171" w:rsidP="000D4171">
            <w:pPr>
              <w:jc w:val="both"/>
              <w:rPr>
                <w:rFonts w:ascii="ITC Avant Garde" w:hAnsi="ITC Avant Garde"/>
                <w:sz w:val="18"/>
                <w:szCs w:val="18"/>
              </w:rPr>
            </w:pPr>
          </w:p>
          <w:p w14:paraId="031257D0" w14:textId="3AFA1499" w:rsidR="008B5F47" w:rsidRDefault="008B5F47" w:rsidP="008B5F47">
            <w:pPr>
              <w:jc w:val="both"/>
              <w:rPr>
                <w:rFonts w:ascii="ITC Avant Garde" w:hAnsi="ITC Avant Garde"/>
                <w:sz w:val="18"/>
                <w:szCs w:val="18"/>
              </w:rPr>
            </w:pPr>
            <w:r w:rsidRPr="008B5F47">
              <w:rPr>
                <w:rFonts w:ascii="ITC Avant Garde" w:hAnsi="ITC Avant Garde"/>
                <w:sz w:val="18"/>
                <w:szCs w:val="18"/>
              </w:rPr>
              <w:t>La información</w:t>
            </w:r>
            <w:r>
              <w:rPr>
                <w:rFonts w:ascii="ITC Avant Garde" w:hAnsi="ITC Avant Garde"/>
                <w:sz w:val="18"/>
                <w:szCs w:val="18"/>
              </w:rPr>
              <w:t xml:space="preserve"> obtenida de los Lineamientos</w:t>
            </w:r>
            <w:r w:rsidRPr="008B5F47">
              <w:rPr>
                <w:rFonts w:ascii="ITC Avant Garde" w:hAnsi="ITC Avant Garde"/>
                <w:sz w:val="18"/>
                <w:szCs w:val="18"/>
              </w:rPr>
              <w:t xml:space="preserve"> es un insumo esencial para conocer y entender el funcionamiento y la evolución del sector de telecomunicaciones a fin de monitorear su desempeño y emitir regulación que promueva su desarrollo, competencia y libre concurrencia. Es por ello que la </w:t>
            </w:r>
            <w:r w:rsidRPr="00F34F30">
              <w:rPr>
                <w:rFonts w:ascii="ITC Avant Garde" w:hAnsi="ITC Avant Garde"/>
                <w:sz w:val="18"/>
                <w:szCs w:val="18"/>
              </w:rPr>
              <w:t>Dirección General Adjunta de Estadística y Análisis de Indicadores (DGAEAI)</w:t>
            </w:r>
            <w:r w:rsidRPr="008B5F47">
              <w:rPr>
                <w:rFonts w:ascii="ITC Avant Garde" w:hAnsi="ITC Avant Garde"/>
                <w:sz w:val="18"/>
                <w:szCs w:val="18"/>
              </w:rPr>
              <w:t>, en cumplimiento de sus obligaciones, ha desarrollado diversos instrumentos para</w:t>
            </w:r>
            <w:r w:rsidR="00A91287">
              <w:rPr>
                <w:rFonts w:ascii="ITC Avant Garde" w:hAnsi="ITC Avant Garde"/>
                <w:sz w:val="18"/>
                <w:szCs w:val="18"/>
              </w:rPr>
              <w:t xml:space="preserve"> recopilar,</w:t>
            </w:r>
            <w:r w:rsidRPr="008B5F47">
              <w:rPr>
                <w:rFonts w:ascii="ITC Avant Garde" w:hAnsi="ITC Avant Garde"/>
                <w:sz w:val="18"/>
                <w:szCs w:val="18"/>
              </w:rPr>
              <w:t xml:space="preserve"> </w:t>
            </w:r>
            <w:r w:rsidR="00A91287">
              <w:rPr>
                <w:rFonts w:ascii="ITC Avant Garde" w:hAnsi="ITC Avant Garde"/>
                <w:sz w:val="18"/>
                <w:szCs w:val="18"/>
              </w:rPr>
              <w:t>publicar y promover la</w:t>
            </w:r>
            <w:r w:rsidRPr="008B5F47">
              <w:rPr>
                <w:rFonts w:ascii="ITC Avant Garde" w:hAnsi="ITC Avant Garde"/>
                <w:sz w:val="18"/>
                <w:szCs w:val="18"/>
              </w:rPr>
              <w:t xml:space="preserve"> información de los servicios que integran este sector,</w:t>
            </w:r>
            <w:r w:rsidR="00E745D9">
              <w:rPr>
                <w:rFonts w:ascii="ITC Avant Garde" w:hAnsi="ITC Avant Garde"/>
                <w:sz w:val="18"/>
                <w:szCs w:val="18"/>
              </w:rPr>
              <w:t xml:space="preserve"> entre ellos, los Lineamientos,</w:t>
            </w:r>
            <w:r w:rsidRPr="008B5F47">
              <w:rPr>
                <w:rFonts w:ascii="ITC Avant Garde" w:hAnsi="ITC Avant Garde"/>
                <w:sz w:val="18"/>
                <w:szCs w:val="18"/>
              </w:rPr>
              <w:t xml:space="preserve"> los cuales son usados por los</w:t>
            </w:r>
            <w:r>
              <w:rPr>
                <w:rFonts w:ascii="ITC Avant Garde" w:hAnsi="ITC Avant Garde"/>
                <w:sz w:val="18"/>
                <w:szCs w:val="18"/>
              </w:rPr>
              <w:t xml:space="preserve"> </w:t>
            </w:r>
            <w:r w:rsidRPr="008B5F47">
              <w:rPr>
                <w:rFonts w:ascii="ITC Avant Garde" w:hAnsi="ITC Avant Garde"/>
                <w:sz w:val="18"/>
                <w:szCs w:val="18"/>
              </w:rPr>
              <w:t>sujetos obligados para hacer llegar al IFT esta información.</w:t>
            </w:r>
            <w:r w:rsidR="00A91287">
              <w:rPr>
                <w:rFonts w:ascii="ITC Avant Garde" w:hAnsi="ITC Avant Garde"/>
                <w:sz w:val="18"/>
                <w:szCs w:val="18"/>
              </w:rPr>
              <w:t xml:space="preserve"> </w:t>
            </w:r>
          </w:p>
          <w:p w14:paraId="33156DBC" w14:textId="3C461430" w:rsidR="008B5F47" w:rsidRDefault="008B5F47" w:rsidP="008B5F47">
            <w:pPr>
              <w:jc w:val="both"/>
              <w:rPr>
                <w:rFonts w:ascii="ITC Avant Garde" w:hAnsi="ITC Avant Garde"/>
                <w:sz w:val="18"/>
                <w:szCs w:val="18"/>
              </w:rPr>
            </w:pPr>
          </w:p>
          <w:p w14:paraId="67815C3D" w14:textId="18E1E26A" w:rsidR="00A91287" w:rsidRDefault="00A91287" w:rsidP="00A91287">
            <w:pPr>
              <w:jc w:val="both"/>
              <w:rPr>
                <w:rFonts w:ascii="ITC Avant Garde" w:hAnsi="ITC Avant Garde"/>
                <w:sz w:val="18"/>
                <w:szCs w:val="18"/>
              </w:rPr>
            </w:pPr>
            <w:r>
              <w:rPr>
                <w:rFonts w:ascii="ITC Avant Garde" w:hAnsi="ITC Avant Garde"/>
                <w:sz w:val="18"/>
                <w:szCs w:val="18"/>
              </w:rPr>
              <w:t>En este contexto, s</w:t>
            </w:r>
            <w:r w:rsidRPr="00A91287">
              <w:rPr>
                <w:rFonts w:ascii="ITC Avant Garde" w:hAnsi="ITC Avant Garde"/>
                <w:sz w:val="18"/>
                <w:szCs w:val="18"/>
              </w:rPr>
              <w:t xml:space="preserve">e requiere que estos instrumentos sean sencillos y fáciles de </w:t>
            </w:r>
            <w:r w:rsidR="00D61D28">
              <w:rPr>
                <w:rFonts w:ascii="ITC Avant Garde" w:hAnsi="ITC Avant Garde"/>
                <w:sz w:val="18"/>
                <w:szCs w:val="18"/>
              </w:rPr>
              <w:t xml:space="preserve">comprender </w:t>
            </w:r>
            <w:r w:rsidRPr="00A91287">
              <w:rPr>
                <w:rFonts w:ascii="ITC Avant Garde" w:hAnsi="ITC Avant Garde"/>
                <w:sz w:val="18"/>
                <w:szCs w:val="18"/>
              </w:rPr>
              <w:t>para quienes reportan información, a la vez que permiten obtener información veraz, confiable y oportuna para efectuar</w:t>
            </w:r>
            <w:r>
              <w:rPr>
                <w:rFonts w:ascii="ITC Avant Garde" w:hAnsi="ITC Avant Garde"/>
                <w:sz w:val="18"/>
                <w:szCs w:val="18"/>
              </w:rPr>
              <w:t xml:space="preserve"> </w:t>
            </w:r>
            <w:r w:rsidRPr="00A91287">
              <w:rPr>
                <w:rFonts w:ascii="ITC Avant Garde" w:hAnsi="ITC Avant Garde"/>
                <w:sz w:val="18"/>
                <w:szCs w:val="18"/>
              </w:rPr>
              <w:t>un monitoreo preciso de la evolución de los servicios de telecomunicaciones.</w:t>
            </w:r>
          </w:p>
          <w:p w14:paraId="3FEFF54F" w14:textId="77777777" w:rsidR="00A91287" w:rsidRDefault="00A91287" w:rsidP="00A91287">
            <w:pPr>
              <w:jc w:val="both"/>
              <w:rPr>
                <w:rFonts w:ascii="ITC Avant Garde" w:hAnsi="ITC Avant Garde"/>
                <w:sz w:val="18"/>
                <w:szCs w:val="18"/>
              </w:rPr>
            </w:pPr>
          </w:p>
          <w:p w14:paraId="537CB82B" w14:textId="7E46B6EB" w:rsidR="00162006" w:rsidRPr="00F34F30" w:rsidRDefault="00F34F30" w:rsidP="00F34F30">
            <w:pPr>
              <w:jc w:val="both"/>
              <w:rPr>
                <w:rFonts w:ascii="ITC Avant Garde" w:hAnsi="ITC Avant Garde"/>
                <w:sz w:val="18"/>
                <w:szCs w:val="18"/>
              </w:rPr>
            </w:pPr>
            <w:r w:rsidRPr="00F34F30">
              <w:rPr>
                <w:rFonts w:ascii="ITC Avant Garde" w:hAnsi="ITC Avant Garde"/>
                <w:sz w:val="18"/>
                <w:szCs w:val="18"/>
              </w:rPr>
              <w:t xml:space="preserve">Derivado de lo anterior, durante el 2022 la DGAEAI identificó la necesidad de </w:t>
            </w:r>
            <w:r w:rsidR="00181D97" w:rsidRPr="00181D97">
              <w:rPr>
                <w:rFonts w:ascii="ITC Avant Garde" w:hAnsi="ITC Avant Garde"/>
                <w:sz w:val="18"/>
                <w:szCs w:val="18"/>
              </w:rPr>
              <w:t xml:space="preserve">contar </w:t>
            </w:r>
            <w:r w:rsidR="00181D97" w:rsidRPr="006724E4">
              <w:rPr>
                <w:rFonts w:ascii="ITC Avant Garde" w:hAnsi="ITC Avant Garde"/>
                <w:sz w:val="18"/>
                <w:szCs w:val="18"/>
              </w:rPr>
              <w:t xml:space="preserve">con información a través de una asesoría que </w:t>
            </w:r>
            <w:r w:rsidR="00181D97">
              <w:rPr>
                <w:rFonts w:ascii="ITC Avant Garde" w:hAnsi="ITC Avant Garde"/>
                <w:sz w:val="18"/>
                <w:szCs w:val="18"/>
              </w:rPr>
              <w:t xml:space="preserve">permitiera </w:t>
            </w:r>
            <w:r w:rsidR="00162006" w:rsidRPr="00F34F30">
              <w:rPr>
                <w:rFonts w:ascii="ITC Avant Garde" w:hAnsi="ITC Avant Garde"/>
                <w:sz w:val="18"/>
                <w:szCs w:val="18"/>
              </w:rPr>
              <w:t xml:space="preserve">realizar un análisis de la pertinencia y eficacia de los </w:t>
            </w:r>
            <w:r w:rsidRPr="00F34F30">
              <w:rPr>
                <w:rFonts w:ascii="ITC Avant Garde" w:hAnsi="ITC Avant Garde"/>
                <w:sz w:val="18"/>
                <w:szCs w:val="18"/>
              </w:rPr>
              <w:t>Lineamientos</w:t>
            </w:r>
            <w:r w:rsidR="00162006" w:rsidRPr="00F34F30">
              <w:rPr>
                <w:rFonts w:ascii="ITC Avant Garde" w:hAnsi="ITC Avant Garde"/>
                <w:sz w:val="18"/>
                <w:szCs w:val="18"/>
              </w:rPr>
              <w:t xml:space="preserve"> para obtener información estadística veraz,</w:t>
            </w:r>
            <w:r w:rsidRPr="00F34F30">
              <w:rPr>
                <w:rFonts w:ascii="ITC Avant Garde" w:hAnsi="ITC Avant Garde"/>
                <w:sz w:val="18"/>
                <w:szCs w:val="18"/>
              </w:rPr>
              <w:t xml:space="preserve"> </w:t>
            </w:r>
            <w:r w:rsidR="00162006" w:rsidRPr="00F34F30">
              <w:rPr>
                <w:rFonts w:ascii="ITC Avant Garde" w:hAnsi="ITC Avant Garde"/>
                <w:sz w:val="18"/>
                <w:szCs w:val="18"/>
              </w:rPr>
              <w:t>confiable y oportuna del sector de telecomunicaciones. Lo anterior</w:t>
            </w:r>
            <w:r w:rsidRPr="00F34F30">
              <w:rPr>
                <w:rFonts w:ascii="ITC Avant Garde" w:hAnsi="ITC Avant Garde"/>
                <w:sz w:val="18"/>
                <w:szCs w:val="18"/>
              </w:rPr>
              <w:t>,</w:t>
            </w:r>
            <w:r w:rsidR="00162006" w:rsidRPr="00F34F30">
              <w:rPr>
                <w:rFonts w:ascii="ITC Avant Garde" w:hAnsi="ITC Avant Garde"/>
                <w:sz w:val="18"/>
                <w:szCs w:val="18"/>
              </w:rPr>
              <w:t xml:space="preserve"> a fin de identificar las</w:t>
            </w:r>
            <w:r w:rsidRPr="00F34F30">
              <w:rPr>
                <w:rFonts w:ascii="ITC Avant Garde" w:hAnsi="ITC Avant Garde"/>
                <w:sz w:val="18"/>
                <w:szCs w:val="18"/>
              </w:rPr>
              <w:t xml:space="preserve"> </w:t>
            </w:r>
            <w:r w:rsidR="00162006" w:rsidRPr="00F34F30">
              <w:rPr>
                <w:rFonts w:ascii="ITC Avant Garde" w:hAnsi="ITC Avant Garde"/>
                <w:sz w:val="18"/>
                <w:szCs w:val="18"/>
              </w:rPr>
              <w:t>oportunidades de mejoras de dicho instrumento con base en las mejores prácticas en la</w:t>
            </w:r>
            <w:r w:rsidRPr="00F34F30">
              <w:rPr>
                <w:rFonts w:ascii="ITC Avant Garde" w:hAnsi="ITC Avant Garde"/>
                <w:sz w:val="18"/>
                <w:szCs w:val="18"/>
              </w:rPr>
              <w:t xml:space="preserve"> m</w:t>
            </w:r>
            <w:r w:rsidR="00162006" w:rsidRPr="00F34F30">
              <w:rPr>
                <w:rFonts w:ascii="ITC Avant Garde" w:hAnsi="ITC Avant Garde"/>
                <w:sz w:val="18"/>
                <w:szCs w:val="18"/>
              </w:rPr>
              <w:t>ateria,</w:t>
            </w:r>
            <w:r w:rsidRPr="00F34F30">
              <w:rPr>
                <w:rFonts w:ascii="ITC Avant Garde" w:hAnsi="ITC Avant Garde"/>
                <w:sz w:val="18"/>
                <w:szCs w:val="18"/>
              </w:rPr>
              <w:t xml:space="preserve"> </w:t>
            </w:r>
            <w:r w:rsidR="00162006" w:rsidRPr="00F34F30">
              <w:rPr>
                <w:rFonts w:ascii="ITC Avant Garde" w:hAnsi="ITC Avant Garde"/>
                <w:sz w:val="18"/>
                <w:szCs w:val="18"/>
              </w:rPr>
              <w:t xml:space="preserve">y con ello realizar los ajustes y </w:t>
            </w:r>
            <w:r w:rsidR="00162006" w:rsidRPr="00F34F30">
              <w:rPr>
                <w:rFonts w:ascii="ITC Avant Garde" w:hAnsi="ITC Avant Garde"/>
                <w:sz w:val="18"/>
                <w:szCs w:val="18"/>
              </w:rPr>
              <w:lastRenderedPageBreak/>
              <w:t>modificaciones necesarios para facilitar y agilizar su información,</w:t>
            </w:r>
            <w:r w:rsidRPr="00F34F30">
              <w:rPr>
                <w:rFonts w:ascii="ITC Avant Garde" w:hAnsi="ITC Avant Garde"/>
                <w:sz w:val="18"/>
                <w:szCs w:val="18"/>
              </w:rPr>
              <w:t xml:space="preserve"> </w:t>
            </w:r>
            <w:r w:rsidR="00162006" w:rsidRPr="00F34F30">
              <w:rPr>
                <w:rFonts w:ascii="ITC Avant Garde" w:hAnsi="ITC Avant Garde"/>
                <w:sz w:val="18"/>
                <w:szCs w:val="18"/>
              </w:rPr>
              <w:t>así como identificar y medir los retos, obstáculos y beneficios de dichos ajustes y modificaciones</w:t>
            </w:r>
            <w:r w:rsidRPr="00F34F30">
              <w:rPr>
                <w:rFonts w:ascii="ITC Avant Garde" w:hAnsi="ITC Avant Garde"/>
                <w:sz w:val="18"/>
                <w:szCs w:val="18"/>
              </w:rPr>
              <w:t xml:space="preserve"> </w:t>
            </w:r>
            <w:r w:rsidR="00162006" w:rsidRPr="00F34F30">
              <w:rPr>
                <w:rFonts w:ascii="ITC Avant Garde" w:hAnsi="ITC Avant Garde"/>
                <w:sz w:val="18"/>
                <w:szCs w:val="18"/>
              </w:rPr>
              <w:t>para los actores involucrados</w:t>
            </w:r>
            <w:r w:rsidR="00DE4A34" w:rsidRPr="006724E4">
              <w:rPr>
                <w:rFonts w:ascii="ITC Avant Garde" w:hAnsi="ITC Avant Garde"/>
                <w:sz w:val="18"/>
                <w:szCs w:val="18"/>
              </w:rPr>
              <w:t xml:space="preserve">, a fin de contar con recomendaciones de mejora a dicho instrumento orientadas </w:t>
            </w:r>
            <w:r w:rsidR="007537C3">
              <w:rPr>
                <w:rFonts w:ascii="ITC Avant Garde" w:hAnsi="ITC Avant Garde"/>
                <w:sz w:val="18"/>
                <w:szCs w:val="18"/>
              </w:rPr>
              <w:t xml:space="preserve">a </w:t>
            </w:r>
            <w:r w:rsidR="00DE4A34" w:rsidRPr="006724E4">
              <w:rPr>
                <w:rFonts w:ascii="ITC Avant Garde" w:hAnsi="ITC Avant Garde"/>
                <w:sz w:val="18"/>
                <w:szCs w:val="18"/>
              </w:rPr>
              <w:t>optim</w:t>
            </w:r>
            <w:r w:rsidR="007537C3">
              <w:rPr>
                <w:rFonts w:ascii="ITC Avant Garde" w:hAnsi="ITC Avant Garde"/>
                <w:sz w:val="18"/>
                <w:szCs w:val="18"/>
              </w:rPr>
              <w:t>izar</w:t>
            </w:r>
            <w:r w:rsidR="00DE4A34" w:rsidRPr="006724E4">
              <w:rPr>
                <w:rFonts w:ascii="ITC Avant Garde" w:hAnsi="ITC Avant Garde"/>
                <w:sz w:val="18"/>
                <w:szCs w:val="18"/>
              </w:rPr>
              <w:t xml:space="preserve"> la integración del </w:t>
            </w:r>
            <w:r w:rsidR="0058358B" w:rsidRPr="006724E4">
              <w:rPr>
                <w:rFonts w:ascii="ITC Avant Garde" w:hAnsi="ITC Avant Garde"/>
                <w:sz w:val="18"/>
                <w:szCs w:val="18"/>
              </w:rPr>
              <w:t xml:space="preserve">Acervo Estadístico </w:t>
            </w:r>
            <w:r w:rsidR="00DE4A34" w:rsidRPr="006724E4">
              <w:rPr>
                <w:rFonts w:ascii="ITC Avant Garde" w:hAnsi="ITC Avant Garde"/>
                <w:sz w:val="18"/>
                <w:szCs w:val="18"/>
              </w:rPr>
              <w:t>del IFT, en beneficio de los usuarios de la información.</w:t>
            </w:r>
          </w:p>
          <w:p w14:paraId="78FA4936" w14:textId="22885704" w:rsidR="00F34F30" w:rsidRPr="00036A41" w:rsidRDefault="00F34F30" w:rsidP="00F34F30">
            <w:pPr>
              <w:jc w:val="both"/>
              <w:rPr>
                <w:rFonts w:ascii="ITC Avant Garde" w:hAnsi="ITC Avant Garde"/>
                <w:sz w:val="18"/>
                <w:szCs w:val="18"/>
              </w:rPr>
            </w:pPr>
          </w:p>
          <w:p w14:paraId="116ED3F4" w14:textId="4DA5C111" w:rsidR="00162006" w:rsidRPr="00036A41" w:rsidRDefault="00A91287" w:rsidP="00162006">
            <w:pPr>
              <w:jc w:val="both"/>
              <w:rPr>
                <w:rFonts w:ascii="ITC Avant Garde" w:hAnsi="ITC Avant Garde"/>
                <w:sz w:val="18"/>
                <w:szCs w:val="18"/>
              </w:rPr>
            </w:pPr>
            <w:r w:rsidRPr="00036A41">
              <w:rPr>
                <w:rFonts w:ascii="ITC Avant Garde" w:hAnsi="ITC Avant Garde"/>
                <w:sz w:val="18"/>
                <w:szCs w:val="18"/>
              </w:rPr>
              <w:t xml:space="preserve">De esta manera, el 16 de agosto de 2022, </w:t>
            </w:r>
            <w:r w:rsidR="002911C6" w:rsidRPr="00036A41">
              <w:rPr>
                <w:rFonts w:ascii="ITC Avant Garde" w:hAnsi="ITC Avant Garde"/>
                <w:sz w:val="18"/>
                <w:szCs w:val="18"/>
              </w:rPr>
              <w:t xml:space="preserve">se </w:t>
            </w:r>
            <w:r w:rsidRPr="00036A41">
              <w:rPr>
                <w:rFonts w:ascii="ITC Avant Garde" w:hAnsi="ITC Avant Garde"/>
                <w:sz w:val="18"/>
                <w:szCs w:val="18"/>
              </w:rPr>
              <w:t>publicó</w:t>
            </w:r>
            <w:r w:rsidR="002911C6" w:rsidRPr="00036A41">
              <w:rPr>
                <w:rFonts w:ascii="ITC Avant Garde" w:hAnsi="ITC Avant Garde"/>
                <w:sz w:val="18"/>
                <w:szCs w:val="18"/>
              </w:rPr>
              <w:t xml:space="preserve"> en el Diario Oficial de la Federación</w:t>
            </w:r>
            <w:r w:rsidRPr="00036A41">
              <w:rPr>
                <w:rFonts w:ascii="ITC Avant Garde" w:hAnsi="ITC Avant Garde"/>
                <w:sz w:val="18"/>
                <w:szCs w:val="18"/>
              </w:rPr>
              <w:t xml:space="preserve"> la convocatoria a licitación pública LA-043240999-E62-2022</w:t>
            </w:r>
            <w:r w:rsidRPr="00036A41">
              <w:rPr>
                <w:rStyle w:val="Refdenotaalpie"/>
                <w:rFonts w:ascii="ITC Avant Garde" w:hAnsi="ITC Avant Garde"/>
                <w:sz w:val="18"/>
                <w:szCs w:val="18"/>
              </w:rPr>
              <w:footnoteReference w:id="1"/>
            </w:r>
            <w:r w:rsidRPr="00036A41">
              <w:rPr>
                <w:rFonts w:ascii="ITC Avant Garde" w:hAnsi="ITC Avant Garde"/>
                <w:sz w:val="18"/>
                <w:szCs w:val="18"/>
              </w:rPr>
              <w:t xml:space="preserve">, con el objetivo de la </w:t>
            </w:r>
            <w:r w:rsidRPr="00036A41">
              <w:rPr>
                <w:rFonts w:ascii="ITC Avant Garde" w:hAnsi="ITC Avant Garde"/>
                <w:i/>
                <w:sz w:val="18"/>
                <w:szCs w:val="18"/>
              </w:rPr>
              <w:t>Contratación del servicio de Evaluación del diseño y alcance de los Lineamientos para integrar el Acervo Estadístico del IFT</w:t>
            </w:r>
            <w:r w:rsidR="00CA5CDE" w:rsidRPr="00036A41">
              <w:rPr>
                <w:rFonts w:ascii="ITC Avant Garde" w:hAnsi="ITC Avant Garde"/>
                <w:sz w:val="18"/>
                <w:szCs w:val="18"/>
              </w:rPr>
              <w:t>, cuy</w:t>
            </w:r>
            <w:r w:rsidR="002911C6" w:rsidRPr="00036A41">
              <w:rPr>
                <w:rFonts w:ascii="ITC Avant Garde" w:hAnsi="ITC Avant Garde"/>
                <w:sz w:val="18"/>
                <w:szCs w:val="18"/>
              </w:rPr>
              <w:t xml:space="preserve">a finalidad era </w:t>
            </w:r>
            <w:r w:rsidR="00162006" w:rsidRPr="00036A41">
              <w:rPr>
                <w:rFonts w:ascii="ITC Avant Garde" w:hAnsi="ITC Avant Garde"/>
                <w:sz w:val="18"/>
                <w:szCs w:val="18"/>
              </w:rPr>
              <w:t>identificar si efectivamente los instrumentos vigentes permiten</w:t>
            </w:r>
            <w:r w:rsidR="00F34F30" w:rsidRPr="00036A41">
              <w:rPr>
                <w:rFonts w:ascii="ITC Avant Garde" w:hAnsi="ITC Avant Garde"/>
                <w:sz w:val="18"/>
                <w:szCs w:val="18"/>
              </w:rPr>
              <w:t xml:space="preserve"> </w:t>
            </w:r>
            <w:r w:rsidR="00162006" w:rsidRPr="00036A41">
              <w:rPr>
                <w:rFonts w:ascii="ITC Avant Garde" w:hAnsi="ITC Avant Garde"/>
                <w:sz w:val="18"/>
                <w:szCs w:val="18"/>
              </w:rPr>
              <w:t>cumplir ambos objetivos en beneficio de los actores involucrados, o bien, identificar las</w:t>
            </w:r>
            <w:r w:rsidR="00F34F30" w:rsidRPr="00036A41">
              <w:rPr>
                <w:rFonts w:ascii="ITC Avant Garde" w:hAnsi="ITC Avant Garde"/>
                <w:sz w:val="18"/>
                <w:szCs w:val="18"/>
              </w:rPr>
              <w:t xml:space="preserve"> </w:t>
            </w:r>
            <w:r w:rsidR="00162006" w:rsidRPr="00036A41">
              <w:rPr>
                <w:rFonts w:ascii="ITC Avant Garde" w:hAnsi="ITC Avant Garde"/>
                <w:sz w:val="18"/>
                <w:szCs w:val="18"/>
              </w:rPr>
              <w:t>oportunidades de mejora, ajustes y modificaciones que deben de realizar. Con ello, se busc</w:t>
            </w:r>
            <w:r w:rsidR="00CA5CDE" w:rsidRPr="00036A41">
              <w:rPr>
                <w:rFonts w:ascii="ITC Avant Garde" w:hAnsi="ITC Avant Garde"/>
                <w:sz w:val="18"/>
                <w:szCs w:val="18"/>
              </w:rPr>
              <w:t>ó</w:t>
            </w:r>
            <w:r w:rsidR="00F34F30" w:rsidRPr="00036A41">
              <w:rPr>
                <w:rFonts w:ascii="ITC Avant Garde" w:hAnsi="ITC Avant Garde"/>
                <w:sz w:val="18"/>
                <w:szCs w:val="18"/>
              </w:rPr>
              <w:t xml:space="preserve"> </w:t>
            </w:r>
            <w:r w:rsidR="00162006" w:rsidRPr="00036A41">
              <w:rPr>
                <w:rFonts w:ascii="ITC Avant Garde" w:hAnsi="ITC Avant Garde"/>
                <w:sz w:val="18"/>
                <w:szCs w:val="18"/>
              </w:rPr>
              <w:t>agilizar y facilitar la obtención de información, así como asegurar que la que se obtiene sea de</w:t>
            </w:r>
            <w:r w:rsidR="00F34F30" w:rsidRPr="00036A41">
              <w:rPr>
                <w:rFonts w:ascii="ITC Avant Garde" w:hAnsi="ITC Avant Garde"/>
                <w:sz w:val="18"/>
                <w:szCs w:val="18"/>
              </w:rPr>
              <w:t xml:space="preserve"> </w:t>
            </w:r>
            <w:r w:rsidR="00162006" w:rsidRPr="00036A41">
              <w:rPr>
                <w:rFonts w:ascii="ITC Avant Garde" w:hAnsi="ITC Avant Garde"/>
                <w:sz w:val="18"/>
                <w:szCs w:val="18"/>
              </w:rPr>
              <w:t>utilidad para los actores involucrados.</w:t>
            </w:r>
          </w:p>
          <w:p w14:paraId="356B46A1" w14:textId="65BFEEB0" w:rsidR="003A5DBB" w:rsidRPr="00036A41" w:rsidRDefault="003A5DBB" w:rsidP="00383818">
            <w:pPr>
              <w:jc w:val="both"/>
              <w:rPr>
                <w:rFonts w:ascii="ITC Avant Garde" w:hAnsi="ITC Avant Garde"/>
                <w:sz w:val="18"/>
                <w:szCs w:val="18"/>
              </w:rPr>
            </w:pPr>
          </w:p>
          <w:p w14:paraId="2C8FF91A" w14:textId="2F043C3C" w:rsidR="006724E4" w:rsidRDefault="00181D97" w:rsidP="00383818">
            <w:pPr>
              <w:jc w:val="both"/>
              <w:rPr>
                <w:rFonts w:ascii="ITC Avant Garde" w:hAnsi="ITC Avant Garde"/>
                <w:sz w:val="18"/>
                <w:szCs w:val="18"/>
              </w:rPr>
            </w:pPr>
            <w:r w:rsidRPr="00036A41">
              <w:rPr>
                <w:rFonts w:ascii="ITC Avant Garde" w:hAnsi="ITC Avant Garde"/>
                <w:sz w:val="18"/>
                <w:szCs w:val="18"/>
              </w:rPr>
              <w:t xml:space="preserve">Como resultado </w:t>
            </w:r>
            <w:r w:rsidRPr="00DE4A34">
              <w:rPr>
                <w:rFonts w:ascii="ITC Avant Garde" w:hAnsi="ITC Avant Garde"/>
                <w:sz w:val="18"/>
                <w:szCs w:val="18"/>
              </w:rPr>
              <w:t xml:space="preserve">de la licitación pública ya mencionada, se contrató al licitante “IDEA </w:t>
            </w:r>
            <w:r w:rsidR="0058358B">
              <w:rPr>
                <w:rFonts w:ascii="ITC Avant Garde" w:hAnsi="ITC Avant Garde"/>
                <w:sz w:val="18"/>
                <w:szCs w:val="18"/>
              </w:rPr>
              <w:t>C</w:t>
            </w:r>
            <w:r w:rsidRPr="00DE4A34">
              <w:rPr>
                <w:rFonts w:ascii="ITC Avant Garde" w:hAnsi="ITC Avant Garde"/>
                <w:sz w:val="18"/>
                <w:szCs w:val="18"/>
              </w:rPr>
              <w:t>onsultores”</w:t>
            </w:r>
            <w:r w:rsidR="007537C3">
              <w:rPr>
                <w:rStyle w:val="Refdenotaalpie"/>
                <w:rFonts w:ascii="ITC Avant Garde" w:hAnsi="ITC Avant Garde"/>
                <w:sz w:val="18"/>
                <w:szCs w:val="18"/>
              </w:rPr>
              <w:footnoteReference w:id="2"/>
            </w:r>
            <w:r w:rsidRPr="00DE4A34">
              <w:rPr>
                <w:rFonts w:ascii="ITC Avant Garde" w:hAnsi="ITC Avant Garde"/>
                <w:sz w:val="18"/>
                <w:szCs w:val="18"/>
              </w:rPr>
              <w:t>,</w:t>
            </w:r>
            <w:r w:rsidR="00DE4A34">
              <w:rPr>
                <w:rFonts w:ascii="ITC Avant Garde" w:hAnsi="ITC Avant Garde"/>
                <w:sz w:val="18"/>
                <w:szCs w:val="18"/>
              </w:rPr>
              <w:t xml:space="preserve"> bajo</w:t>
            </w:r>
            <w:r w:rsidR="006724E4">
              <w:rPr>
                <w:rFonts w:ascii="ITC Avant Garde" w:hAnsi="ITC Avant Garde"/>
                <w:sz w:val="18"/>
                <w:szCs w:val="18"/>
              </w:rPr>
              <w:t xml:space="preserve"> los siguientes objetivos específicos:</w:t>
            </w:r>
          </w:p>
          <w:p w14:paraId="447B574D" w14:textId="30C644F1" w:rsidR="00A85D6D" w:rsidRPr="00A85D6D" w:rsidRDefault="00A85D6D" w:rsidP="00DE4A34">
            <w:pPr>
              <w:pStyle w:val="Prrafodelista"/>
              <w:numPr>
                <w:ilvl w:val="0"/>
                <w:numId w:val="7"/>
              </w:numPr>
              <w:jc w:val="both"/>
              <w:rPr>
                <w:rFonts w:ascii="ITC Avant Garde" w:hAnsi="ITC Avant Garde"/>
                <w:sz w:val="18"/>
                <w:szCs w:val="18"/>
              </w:rPr>
            </w:pPr>
            <w:r w:rsidRPr="00A85D6D">
              <w:rPr>
                <w:rFonts w:ascii="ITC Avant Garde" w:hAnsi="ITC Avant Garde"/>
                <w:sz w:val="18"/>
                <w:szCs w:val="18"/>
              </w:rPr>
              <w:t>Identificar las oportunidades de mejora de los Lineamientos vigentes en cuanto a consistencia, claridad, pertinencia y relevancia de los elementos que los integran.</w:t>
            </w:r>
          </w:p>
          <w:p w14:paraId="4AD10076" w14:textId="181C03E8" w:rsidR="00A85D6D" w:rsidRPr="00A85D6D" w:rsidRDefault="00A85D6D" w:rsidP="00DE4A34">
            <w:pPr>
              <w:pStyle w:val="Prrafodelista"/>
              <w:numPr>
                <w:ilvl w:val="0"/>
                <w:numId w:val="7"/>
              </w:numPr>
              <w:jc w:val="both"/>
              <w:rPr>
                <w:rFonts w:ascii="ITC Avant Garde" w:hAnsi="ITC Avant Garde"/>
                <w:sz w:val="18"/>
                <w:szCs w:val="18"/>
              </w:rPr>
            </w:pPr>
            <w:r w:rsidRPr="00A85D6D">
              <w:rPr>
                <w:rFonts w:ascii="ITC Avant Garde" w:hAnsi="ITC Avant Garde"/>
                <w:sz w:val="18"/>
                <w:szCs w:val="18"/>
              </w:rPr>
              <w:t>Valorar la pertinencia de la información solicitada en los Lineamientos de acuerdo con los sujetos obligados.</w:t>
            </w:r>
          </w:p>
          <w:p w14:paraId="4F0B8063" w14:textId="48E8BE7B" w:rsidR="00A85D6D" w:rsidRPr="00A85D6D" w:rsidRDefault="00A85D6D" w:rsidP="00DE4A34">
            <w:pPr>
              <w:pStyle w:val="Prrafodelista"/>
              <w:numPr>
                <w:ilvl w:val="0"/>
                <w:numId w:val="7"/>
              </w:numPr>
              <w:jc w:val="both"/>
              <w:rPr>
                <w:rFonts w:ascii="ITC Avant Garde" w:hAnsi="ITC Avant Garde"/>
                <w:sz w:val="18"/>
                <w:szCs w:val="18"/>
              </w:rPr>
            </w:pPr>
            <w:r w:rsidRPr="00A85D6D">
              <w:rPr>
                <w:rFonts w:ascii="ITC Avant Garde" w:hAnsi="ITC Avant Garde"/>
                <w:sz w:val="18"/>
                <w:szCs w:val="18"/>
              </w:rPr>
              <w:t>Contar con información que permita identificar los retos y obstáculos afrontados por los sujetos obligados para poder cumplir con las obligaciones de entrega de información.</w:t>
            </w:r>
          </w:p>
          <w:p w14:paraId="074947C9" w14:textId="0DDCED72" w:rsidR="00A85D6D" w:rsidRPr="00A85D6D" w:rsidRDefault="00A85D6D" w:rsidP="00DE4A34">
            <w:pPr>
              <w:pStyle w:val="Prrafodelista"/>
              <w:numPr>
                <w:ilvl w:val="0"/>
                <w:numId w:val="7"/>
              </w:numPr>
              <w:jc w:val="both"/>
              <w:rPr>
                <w:rFonts w:ascii="ITC Avant Garde" w:hAnsi="ITC Avant Garde"/>
                <w:sz w:val="18"/>
                <w:szCs w:val="18"/>
              </w:rPr>
            </w:pPr>
            <w:r w:rsidRPr="00A85D6D">
              <w:rPr>
                <w:rFonts w:ascii="ITC Avant Garde" w:hAnsi="ITC Avant Garde"/>
                <w:sz w:val="18"/>
                <w:szCs w:val="18"/>
              </w:rPr>
              <w:t>Identificar propuestas de modificación que permitan, en su caso, contar con un instrumento regulatorio más eficiente acorde con las necesidades de información del IFT y con la carga regulatoria sobre los sujetos obligados.</w:t>
            </w:r>
          </w:p>
          <w:p w14:paraId="1D447001" w14:textId="7F1BB57C" w:rsidR="00A85D6D" w:rsidRPr="00A85D6D" w:rsidRDefault="00A85D6D" w:rsidP="00DE4A34">
            <w:pPr>
              <w:pStyle w:val="Prrafodelista"/>
              <w:numPr>
                <w:ilvl w:val="0"/>
                <w:numId w:val="7"/>
              </w:numPr>
              <w:jc w:val="both"/>
              <w:rPr>
                <w:rFonts w:ascii="ITC Avant Garde" w:hAnsi="ITC Avant Garde"/>
                <w:sz w:val="18"/>
                <w:szCs w:val="18"/>
              </w:rPr>
            </w:pPr>
            <w:r w:rsidRPr="00A85D6D">
              <w:rPr>
                <w:rFonts w:ascii="ITC Avant Garde" w:hAnsi="ITC Avant Garde"/>
                <w:sz w:val="18"/>
                <w:szCs w:val="18"/>
              </w:rPr>
              <w:t>Identificar los retos/desventajas y los beneficios/ventajas de implementar las modificaciones identificadas</w:t>
            </w:r>
          </w:p>
          <w:p w14:paraId="008CC660" w14:textId="36E7A0A9" w:rsidR="00337E63" w:rsidRDefault="00337E63" w:rsidP="00383818">
            <w:pPr>
              <w:jc w:val="both"/>
              <w:rPr>
                <w:rFonts w:ascii="ITC Avant Garde" w:hAnsi="ITC Avant Garde"/>
                <w:sz w:val="18"/>
                <w:szCs w:val="18"/>
              </w:rPr>
            </w:pPr>
          </w:p>
          <w:p w14:paraId="6F0B3E8C" w14:textId="33D237EA" w:rsidR="006724E4" w:rsidRPr="0098791B" w:rsidRDefault="001A17E3" w:rsidP="00383818">
            <w:pPr>
              <w:jc w:val="both"/>
              <w:rPr>
                <w:rFonts w:ascii="ITC Avant Garde" w:hAnsi="ITC Avant Garde"/>
                <w:sz w:val="18"/>
                <w:szCs w:val="18"/>
              </w:rPr>
            </w:pPr>
            <w:r>
              <w:rPr>
                <w:rFonts w:ascii="ITC Avant Garde" w:hAnsi="ITC Avant Garde"/>
                <w:sz w:val="18"/>
                <w:szCs w:val="18"/>
              </w:rPr>
              <w:t>En consecuencia</w:t>
            </w:r>
            <w:r w:rsidR="006724E4">
              <w:rPr>
                <w:rFonts w:ascii="ITC Avant Garde" w:hAnsi="ITC Avant Garde"/>
                <w:sz w:val="18"/>
                <w:szCs w:val="18"/>
              </w:rPr>
              <w:t xml:space="preserve">, como resultado de la asesoría </w:t>
            </w:r>
            <w:r w:rsidR="00DE4A34">
              <w:rPr>
                <w:rFonts w:ascii="ITC Avant Garde" w:hAnsi="ITC Avant Garde"/>
                <w:sz w:val="18"/>
                <w:szCs w:val="18"/>
              </w:rPr>
              <w:t>correspondiente</w:t>
            </w:r>
            <w:r w:rsidR="006724E4">
              <w:rPr>
                <w:rFonts w:ascii="ITC Avant Garde" w:hAnsi="ITC Avant Garde"/>
                <w:sz w:val="18"/>
                <w:szCs w:val="18"/>
              </w:rPr>
              <w:t>, el equipo consultor encontró</w:t>
            </w:r>
            <w:r w:rsidR="00657D6C">
              <w:rPr>
                <w:rFonts w:ascii="ITC Avant Garde" w:hAnsi="ITC Avant Garde"/>
                <w:sz w:val="18"/>
                <w:szCs w:val="18"/>
              </w:rPr>
              <w:t>, entre otras,</w:t>
            </w:r>
            <w:r w:rsidR="006724E4">
              <w:rPr>
                <w:rFonts w:ascii="ITC Avant Garde" w:hAnsi="ITC Avant Garde"/>
                <w:sz w:val="18"/>
                <w:szCs w:val="18"/>
              </w:rPr>
              <w:t xml:space="preserve"> las </w:t>
            </w:r>
            <w:r w:rsidR="006724E4" w:rsidRPr="0098791B">
              <w:rPr>
                <w:rFonts w:ascii="ITC Avant Garde" w:hAnsi="ITC Avant Garde"/>
                <w:sz w:val="18"/>
                <w:szCs w:val="18"/>
              </w:rPr>
              <w:t>siguientes áreas de oportunidad</w:t>
            </w:r>
            <w:r w:rsidR="00F210F1" w:rsidRPr="0098791B">
              <w:rPr>
                <w:rFonts w:ascii="ITC Avant Garde" w:hAnsi="ITC Avant Garde"/>
                <w:sz w:val="18"/>
                <w:szCs w:val="18"/>
              </w:rPr>
              <w:t xml:space="preserve"> en los Lineamientos</w:t>
            </w:r>
            <w:r w:rsidR="006724E4" w:rsidRPr="0098791B">
              <w:rPr>
                <w:rFonts w:ascii="ITC Avant Garde" w:hAnsi="ITC Avant Garde"/>
                <w:sz w:val="18"/>
                <w:szCs w:val="18"/>
              </w:rPr>
              <w:t xml:space="preserve">: </w:t>
            </w:r>
          </w:p>
          <w:p w14:paraId="0424B4EB" w14:textId="77777777" w:rsidR="00CA16FE" w:rsidRPr="0098791B" w:rsidRDefault="00CA16FE" w:rsidP="00CA16FE">
            <w:pPr>
              <w:pStyle w:val="Prrafodelista"/>
              <w:numPr>
                <w:ilvl w:val="0"/>
                <w:numId w:val="7"/>
              </w:numPr>
              <w:jc w:val="both"/>
              <w:rPr>
                <w:rFonts w:ascii="ITC Avant Garde" w:hAnsi="ITC Avant Garde"/>
                <w:sz w:val="18"/>
                <w:szCs w:val="18"/>
              </w:rPr>
            </w:pPr>
            <w:r w:rsidRPr="0098791B">
              <w:rPr>
                <w:rFonts w:ascii="ITC Avant Garde" w:hAnsi="ITC Avant Garde"/>
                <w:sz w:val="18"/>
                <w:szCs w:val="18"/>
              </w:rPr>
              <w:t>La frecuencia con que se solicita la información definida en los Lineamientos es exhaustiva, lo cual genera cargas administrativas importantes sobre los sujetos regulados;</w:t>
            </w:r>
          </w:p>
          <w:p w14:paraId="582150DD" w14:textId="55F71707" w:rsidR="00CA16FE" w:rsidRPr="0098791B" w:rsidRDefault="00CA16FE" w:rsidP="00CA16FE">
            <w:pPr>
              <w:pStyle w:val="Prrafodelista"/>
              <w:numPr>
                <w:ilvl w:val="0"/>
                <w:numId w:val="7"/>
              </w:numPr>
              <w:jc w:val="both"/>
              <w:rPr>
                <w:rFonts w:ascii="ITC Avant Garde" w:hAnsi="ITC Avant Garde"/>
                <w:sz w:val="18"/>
                <w:szCs w:val="18"/>
              </w:rPr>
            </w:pPr>
            <w:r w:rsidRPr="0098791B">
              <w:rPr>
                <w:rFonts w:ascii="ITC Avant Garde" w:hAnsi="ITC Avant Garde"/>
                <w:sz w:val="18"/>
                <w:szCs w:val="18"/>
              </w:rPr>
              <w:t>Para las solicitudes de información que se catalogan como no publicables, es importante que el IFT defina claramente cuál es la utilidad de contar con esta información en el formato y la frecuencia que la solicita</w:t>
            </w:r>
            <w:r w:rsidR="0098791B">
              <w:rPr>
                <w:rFonts w:ascii="ITC Avant Garde" w:hAnsi="ITC Avant Garde"/>
                <w:sz w:val="18"/>
                <w:szCs w:val="18"/>
              </w:rPr>
              <w:t>;</w:t>
            </w:r>
          </w:p>
          <w:p w14:paraId="5352232E" w14:textId="70F2FD76" w:rsidR="0098791B" w:rsidRDefault="0098791B" w:rsidP="00CA16FE">
            <w:pPr>
              <w:pStyle w:val="Prrafodelista"/>
              <w:numPr>
                <w:ilvl w:val="0"/>
                <w:numId w:val="7"/>
              </w:numPr>
              <w:jc w:val="both"/>
              <w:rPr>
                <w:rFonts w:ascii="ITC Avant Garde" w:hAnsi="ITC Avant Garde"/>
                <w:sz w:val="18"/>
                <w:szCs w:val="18"/>
              </w:rPr>
            </w:pPr>
            <w:r w:rsidRPr="0098791B">
              <w:rPr>
                <w:rFonts w:ascii="ITC Avant Garde" w:hAnsi="ITC Avant Garde"/>
                <w:sz w:val="18"/>
                <w:szCs w:val="18"/>
              </w:rPr>
              <w:t>Exceso de procesos y requerimientos</w:t>
            </w:r>
            <w:r>
              <w:rPr>
                <w:rFonts w:ascii="ITC Avant Garde" w:hAnsi="ITC Avant Garde"/>
                <w:sz w:val="18"/>
                <w:szCs w:val="18"/>
              </w:rPr>
              <w:t>;</w:t>
            </w:r>
          </w:p>
          <w:p w14:paraId="06C7B907" w14:textId="195DA6E5" w:rsidR="0098791B" w:rsidRPr="0098791B" w:rsidRDefault="0098791B" w:rsidP="0098791B">
            <w:pPr>
              <w:pStyle w:val="Prrafodelista"/>
              <w:numPr>
                <w:ilvl w:val="0"/>
                <w:numId w:val="7"/>
              </w:numPr>
              <w:jc w:val="both"/>
              <w:rPr>
                <w:rFonts w:ascii="ITC Avant Garde" w:hAnsi="ITC Avant Garde"/>
                <w:sz w:val="18"/>
                <w:szCs w:val="18"/>
              </w:rPr>
            </w:pPr>
            <w:r>
              <w:rPr>
                <w:rFonts w:ascii="ITC Avant Garde" w:hAnsi="ITC Avant Garde"/>
                <w:sz w:val="18"/>
                <w:szCs w:val="18"/>
              </w:rPr>
              <w:t>La</w:t>
            </w:r>
            <w:r w:rsidRPr="0098791B">
              <w:rPr>
                <w:rFonts w:ascii="ITC Avant Garde" w:hAnsi="ITC Avant Garde"/>
                <w:sz w:val="18"/>
                <w:szCs w:val="18"/>
              </w:rPr>
              <w:t xml:space="preserve"> cantidad de información solicitada a los operadores</w:t>
            </w:r>
            <w:r>
              <w:rPr>
                <w:rFonts w:ascii="ITC Avant Garde" w:hAnsi="ITC Avant Garde"/>
                <w:sz w:val="18"/>
                <w:szCs w:val="18"/>
              </w:rPr>
              <w:t>;</w:t>
            </w:r>
          </w:p>
          <w:p w14:paraId="3711E702" w14:textId="4D46CBB4" w:rsidR="0098791B" w:rsidRPr="0098791B" w:rsidRDefault="0098791B" w:rsidP="0098791B">
            <w:pPr>
              <w:pStyle w:val="Prrafodelista"/>
              <w:numPr>
                <w:ilvl w:val="0"/>
                <w:numId w:val="7"/>
              </w:numPr>
              <w:jc w:val="both"/>
              <w:rPr>
                <w:rFonts w:ascii="ITC Avant Garde" w:hAnsi="ITC Avant Garde"/>
                <w:sz w:val="18"/>
                <w:szCs w:val="18"/>
              </w:rPr>
            </w:pPr>
            <w:r>
              <w:rPr>
                <w:rFonts w:ascii="ITC Avant Garde" w:hAnsi="ITC Avant Garde"/>
                <w:sz w:val="18"/>
                <w:szCs w:val="18"/>
              </w:rPr>
              <w:t>Demasiada</w:t>
            </w:r>
            <w:r w:rsidRPr="0098791B">
              <w:rPr>
                <w:rFonts w:ascii="ITC Avant Garde" w:hAnsi="ITC Avant Garde"/>
                <w:sz w:val="18"/>
                <w:szCs w:val="18"/>
              </w:rPr>
              <w:t xml:space="preserve"> desagregación de la información solicitada</w:t>
            </w:r>
            <w:r>
              <w:rPr>
                <w:rFonts w:ascii="ITC Avant Garde" w:hAnsi="ITC Avant Garde"/>
                <w:sz w:val="18"/>
                <w:szCs w:val="18"/>
              </w:rPr>
              <w:t>;</w:t>
            </w:r>
          </w:p>
          <w:p w14:paraId="34F292E7" w14:textId="72561895" w:rsidR="0098791B" w:rsidRDefault="00B97CF1" w:rsidP="00CA16FE">
            <w:pPr>
              <w:pStyle w:val="Prrafodelista"/>
              <w:numPr>
                <w:ilvl w:val="0"/>
                <w:numId w:val="7"/>
              </w:numPr>
              <w:jc w:val="both"/>
              <w:rPr>
                <w:rFonts w:ascii="ITC Avant Garde" w:hAnsi="ITC Avant Garde"/>
                <w:sz w:val="18"/>
                <w:szCs w:val="18"/>
              </w:rPr>
            </w:pPr>
            <w:r>
              <w:rPr>
                <w:rFonts w:ascii="ITC Avant Garde" w:hAnsi="ITC Avant Garde"/>
                <w:sz w:val="18"/>
                <w:szCs w:val="18"/>
              </w:rPr>
              <w:t>Duplicidad en los requerimientos de información;</w:t>
            </w:r>
          </w:p>
          <w:p w14:paraId="6BFA024A" w14:textId="608BA283" w:rsidR="00B97CF1" w:rsidRDefault="00B97CF1" w:rsidP="00CA16FE">
            <w:pPr>
              <w:pStyle w:val="Prrafodelista"/>
              <w:numPr>
                <w:ilvl w:val="0"/>
                <w:numId w:val="7"/>
              </w:numPr>
              <w:jc w:val="both"/>
              <w:rPr>
                <w:rFonts w:ascii="ITC Avant Garde" w:hAnsi="ITC Avant Garde"/>
                <w:sz w:val="18"/>
                <w:szCs w:val="18"/>
              </w:rPr>
            </w:pPr>
            <w:r>
              <w:rPr>
                <w:rFonts w:ascii="ITC Avant Garde" w:hAnsi="ITC Avant Garde"/>
                <w:sz w:val="18"/>
                <w:szCs w:val="18"/>
              </w:rPr>
              <w:t>C</w:t>
            </w:r>
            <w:r w:rsidRPr="00B97CF1">
              <w:rPr>
                <w:rFonts w:ascii="ITC Avant Garde" w:hAnsi="ITC Avant Garde"/>
                <w:sz w:val="18"/>
                <w:szCs w:val="18"/>
              </w:rPr>
              <w:t>omplejidad global de los Lineamientos por tener que consultar múltiples referencias cruzadas en otros documentos para hacer sentido de éstos</w:t>
            </w:r>
            <w:r>
              <w:rPr>
                <w:rFonts w:ascii="ITC Avant Garde" w:hAnsi="ITC Avant Garde"/>
                <w:sz w:val="18"/>
                <w:szCs w:val="18"/>
              </w:rPr>
              <w:t>;</w:t>
            </w:r>
          </w:p>
          <w:p w14:paraId="7AA51AF9" w14:textId="68679275" w:rsidR="00B97CF1" w:rsidRDefault="00B97CF1" w:rsidP="00CA16FE">
            <w:pPr>
              <w:pStyle w:val="Prrafodelista"/>
              <w:numPr>
                <w:ilvl w:val="0"/>
                <w:numId w:val="7"/>
              </w:numPr>
              <w:jc w:val="both"/>
              <w:rPr>
                <w:rFonts w:ascii="ITC Avant Garde" w:hAnsi="ITC Avant Garde"/>
                <w:sz w:val="18"/>
                <w:szCs w:val="18"/>
              </w:rPr>
            </w:pPr>
            <w:r>
              <w:rPr>
                <w:rFonts w:ascii="ITC Avant Garde" w:hAnsi="ITC Avant Garde"/>
                <w:sz w:val="18"/>
                <w:szCs w:val="18"/>
              </w:rPr>
              <w:t>No todos los operadores tienen información a nivel localidad, además de que esta desagregación genera altos costos;</w:t>
            </w:r>
          </w:p>
          <w:p w14:paraId="299741EF" w14:textId="4F9F29B0" w:rsidR="00B97CF1" w:rsidRPr="00B97CF1" w:rsidRDefault="00B97CF1" w:rsidP="00B97CF1">
            <w:pPr>
              <w:pStyle w:val="Prrafodelista"/>
              <w:numPr>
                <w:ilvl w:val="0"/>
                <w:numId w:val="7"/>
              </w:numPr>
              <w:rPr>
                <w:rFonts w:ascii="ITC Avant Garde" w:hAnsi="ITC Avant Garde"/>
                <w:sz w:val="18"/>
                <w:szCs w:val="18"/>
              </w:rPr>
            </w:pPr>
            <w:r w:rsidRPr="00B97CF1">
              <w:rPr>
                <w:rFonts w:ascii="ITC Avant Garde" w:hAnsi="ITC Avant Garde"/>
                <w:sz w:val="18"/>
                <w:szCs w:val="18"/>
              </w:rPr>
              <w:t>Los Lineamientos no están diseñados para los operadores mayoristas</w:t>
            </w:r>
            <w:r>
              <w:rPr>
                <w:rFonts w:ascii="ITC Avant Garde" w:hAnsi="ITC Avant Garde"/>
                <w:sz w:val="18"/>
                <w:szCs w:val="18"/>
              </w:rPr>
              <w:t>;</w:t>
            </w:r>
          </w:p>
          <w:p w14:paraId="1A6BBEE5" w14:textId="5A5689F2" w:rsidR="00B97CF1" w:rsidRDefault="00B97CF1" w:rsidP="00CA16FE">
            <w:pPr>
              <w:pStyle w:val="Prrafodelista"/>
              <w:numPr>
                <w:ilvl w:val="0"/>
                <w:numId w:val="7"/>
              </w:numPr>
              <w:jc w:val="both"/>
              <w:rPr>
                <w:rFonts w:ascii="ITC Avant Garde" w:hAnsi="ITC Avant Garde"/>
                <w:sz w:val="18"/>
                <w:szCs w:val="18"/>
              </w:rPr>
            </w:pPr>
            <w:r w:rsidRPr="00B97CF1">
              <w:rPr>
                <w:rFonts w:ascii="ITC Avant Garde" w:hAnsi="ITC Avant Garde"/>
                <w:sz w:val="18"/>
                <w:szCs w:val="18"/>
              </w:rPr>
              <w:t>Las prevenciones son emitidas en formato físico, con fotocopias de un archivo, y no son realizadas en formato digital</w:t>
            </w:r>
            <w:r>
              <w:rPr>
                <w:rFonts w:ascii="ITC Avant Garde" w:hAnsi="ITC Avant Garde"/>
                <w:sz w:val="18"/>
                <w:szCs w:val="18"/>
              </w:rPr>
              <w:t>;</w:t>
            </w:r>
          </w:p>
          <w:p w14:paraId="68B79778" w14:textId="35BED792" w:rsidR="00B97CF1" w:rsidRPr="002753E1" w:rsidRDefault="00B97CF1" w:rsidP="002753E1">
            <w:pPr>
              <w:pStyle w:val="Prrafodelista"/>
              <w:numPr>
                <w:ilvl w:val="0"/>
                <w:numId w:val="7"/>
              </w:numPr>
              <w:jc w:val="both"/>
              <w:rPr>
                <w:rFonts w:ascii="ITC Avant Garde" w:hAnsi="ITC Avant Garde"/>
                <w:sz w:val="18"/>
                <w:szCs w:val="18"/>
              </w:rPr>
            </w:pPr>
            <w:r w:rsidRPr="00B97CF1">
              <w:rPr>
                <w:rFonts w:ascii="ITC Avant Garde" w:hAnsi="ITC Avant Garde"/>
                <w:sz w:val="18"/>
                <w:szCs w:val="18"/>
              </w:rPr>
              <w:lastRenderedPageBreak/>
              <w:t>La información tarda en ser publicada y por tanto no es oportuna, presentando atrasos promedio entre seis meses, como cota inferior, y un año como cota superior</w:t>
            </w:r>
            <w:r>
              <w:rPr>
                <w:rFonts w:ascii="ITC Avant Garde" w:hAnsi="ITC Avant Garde"/>
                <w:sz w:val="18"/>
                <w:szCs w:val="18"/>
              </w:rPr>
              <w:t>;</w:t>
            </w:r>
          </w:p>
          <w:p w14:paraId="1D22AAC8" w14:textId="55FE8D27" w:rsidR="00784EE1" w:rsidRDefault="00784EE1" w:rsidP="00383818">
            <w:pPr>
              <w:jc w:val="both"/>
              <w:rPr>
                <w:rFonts w:ascii="ITC Avant Garde" w:hAnsi="ITC Avant Garde"/>
                <w:sz w:val="18"/>
                <w:szCs w:val="18"/>
              </w:rPr>
            </w:pPr>
          </w:p>
          <w:p w14:paraId="2179EA7C" w14:textId="02139777" w:rsidR="00784EE1" w:rsidRDefault="00DE4A34" w:rsidP="00383818">
            <w:pPr>
              <w:jc w:val="both"/>
              <w:rPr>
                <w:rFonts w:ascii="ITC Avant Garde" w:hAnsi="ITC Avant Garde"/>
                <w:sz w:val="18"/>
                <w:szCs w:val="18"/>
              </w:rPr>
            </w:pPr>
            <w:r>
              <w:rPr>
                <w:rFonts w:ascii="ITC Avant Garde" w:hAnsi="ITC Avant Garde"/>
                <w:sz w:val="18"/>
                <w:szCs w:val="18"/>
              </w:rPr>
              <w:t xml:space="preserve">En </w:t>
            </w:r>
            <w:r w:rsidR="00E745D9">
              <w:rPr>
                <w:rFonts w:ascii="ITC Avant Garde" w:hAnsi="ITC Avant Garde"/>
                <w:sz w:val="18"/>
                <w:szCs w:val="18"/>
              </w:rPr>
              <w:t>consecuencia</w:t>
            </w:r>
            <w:r>
              <w:rPr>
                <w:rFonts w:ascii="ITC Avant Garde" w:hAnsi="ITC Avant Garde"/>
                <w:sz w:val="18"/>
                <w:szCs w:val="18"/>
              </w:rPr>
              <w:t xml:space="preserve">, </w:t>
            </w:r>
            <w:r w:rsidR="002753E1">
              <w:rPr>
                <w:rFonts w:ascii="ITC Avant Garde" w:hAnsi="ITC Avant Garde"/>
                <w:sz w:val="18"/>
                <w:szCs w:val="18"/>
              </w:rPr>
              <w:t xml:space="preserve">entre las recomendaciones de </w:t>
            </w:r>
            <w:r>
              <w:rPr>
                <w:rFonts w:ascii="ITC Avant Garde" w:hAnsi="ITC Avant Garde"/>
                <w:sz w:val="18"/>
                <w:szCs w:val="18"/>
              </w:rPr>
              <w:t xml:space="preserve">IDEA consultores </w:t>
            </w:r>
            <w:r w:rsidR="002753E1">
              <w:rPr>
                <w:rFonts w:ascii="ITC Avant Garde" w:hAnsi="ITC Avant Garde"/>
                <w:sz w:val="18"/>
                <w:szCs w:val="18"/>
              </w:rPr>
              <w:t>destacan las siguientes</w:t>
            </w:r>
            <w:r w:rsidR="00162006">
              <w:rPr>
                <w:rFonts w:ascii="ITC Avant Garde" w:hAnsi="ITC Avant Garde"/>
                <w:sz w:val="18"/>
                <w:szCs w:val="18"/>
              </w:rPr>
              <w:t>:</w:t>
            </w:r>
          </w:p>
          <w:p w14:paraId="137B0659" w14:textId="77777777" w:rsidR="0098791B" w:rsidRPr="002753E1" w:rsidRDefault="0098791B" w:rsidP="00DE4A34">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Consultar</w:t>
            </w:r>
            <w:r w:rsidR="00CA16FE" w:rsidRPr="002753E1">
              <w:rPr>
                <w:rFonts w:ascii="ITC Avant Garde" w:hAnsi="ITC Avant Garde"/>
                <w:sz w:val="18"/>
                <w:szCs w:val="18"/>
              </w:rPr>
              <w:t xml:space="preserve"> con las áreas técnicas la utilidad de la información que recaba.</w:t>
            </w:r>
          </w:p>
          <w:p w14:paraId="48359582" w14:textId="1BBB74DC" w:rsidR="0098791B" w:rsidRPr="002753E1" w:rsidRDefault="0098791B" w:rsidP="00DE4A34">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 xml:space="preserve">Modificar los requerimientos duplicados de información al interior de los eFormatos. </w:t>
            </w:r>
          </w:p>
          <w:p w14:paraId="2F6AFCB5" w14:textId="3001A603" w:rsidR="0098791B" w:rsidRPr="002753E1" w:rsidRDefault="0098791B" w:rsidP="00DE4A34">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Modificar la codificación de las solicitudes de información para que los Lineamientos y los eFormatos sean más simples en su entendimiento.</w:t>
            </w:r>
          </w:p>
          <w:p w14:paraId="29A81F56" w14:textId="43153F5D" w:rsidR="0098791B" w:rsidRPr="002753E1" w:rsidRDefault="0098791B" w:rsidP="0098791B">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Reducir la cantidad de información solicitada a los operadores, tomando como referencia los indicadores publicados por organismos internaciones homólogos al IFT;</w:t>
            </w:r>
          </w:p>
          <w:p w14:paraId="31C6E449" w14:textId="212CA3DC" w:rsidR="0098791B" w:rsidRPr="002753E1" w:rsidRDefault="0098791B" w:rsidP="0098791B">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Modificar la desagregación de la información solicitada, verificando que los resultados expuestos sean útiles tanto para el regulador como para el mercado;</w:t>
            </w:r>
          </w:p>
          <w:p w14:paraId="4A4A90F7" w14:textId="7450ED87" w:rsidR="0098791B" w:rsidRPr="002753E1" w:rsidRDefault="0098791B" w:rsidP="00DE4A34">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Eliminar los eFormatos que contienen información no publicable.</w:t>
            </w:r>
          </w:p>
          <w:p w14:paraId="2983C222" w14:textId="157A3F6C" w:rsidR="0098791B" w:rsidRPr="002753E1" w:rsidRDefault="00B97CF1" w:rsidP="00DE4A34">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Realizar un estudio interno para determinar las necesidades mínimas de información ante los objetivos de política pública del IFT;</w:t>
            </w:r>
          </w:p>
          <w:p w14:paraId="0DDFC0EB" w14:textId="08715901" w:rsidR="00B97CF1" w:rsidRPr="002753E1" w:rsidRDefault="00B97CF1" w:rsidP="00DE4A34">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Realizar un proceso de consulta con los sujetos obligados como parte del proceso de modificación de los Lineamientos;</w:t>
            </w:r>
          </w:p>
          <w:p w14:paraId="7F702CF6" w14:textId="2A39DD41" w:rsidR="00B97CF1" w:rsidRPr="002753E1" w:rsidRDefault="00B97CF1" w:rsidP="00DE4A34">
            <w:pPr>
              <w:pStyle w:val="Prrafodelista"/>
              <w:numPr>
                <w:ilvl w:val="0"/>
                <w:numId w:val="7"/>
              </w:numPr>
              <w:jc w:val="both"/>
              <w:rPr>
                <w:rFonts w:ascii="ITC Avant Garde" w:hAnsi="ITC Avant Garde"/>
                <w:sz w:val="18"/>
                <w:szCs w:val="18"/>
              </w:rPr>
            </w:pPr>
            <w:r w:rsidRPr="002753E1">
              <w:rPr>
                <w:rFonts w:ascii="ITC Avant Garde" w:hAnsi="ITC Avant Garde"/>
                <w:sz w:val="18"/>
                <w:szCs w:val="18"/>
              </w:rPr>
              <w:t>Incorporar progresivamente funcionalidades de tecnologías de la información (TICs) a los procesos relacionados con los Lineamientos;</w:t>
            </w:r>
          </w:p>
          <w:p w14:paraId="08E9BDD7" w14:textId="1510F539" w:rsidR="00B97CF1" w:rsidRPr="002753E1" w:rsidRDefault="004729E8" w:rsidP="00DE4A34">
            <w:pPr>
              <w:pStyle w:val="Prrafodelista"/>
              <w:numPr>
                <w:ilvl w:val="0"/>
                <w:numId w:val="7"/>
              </w:numPr>
              <w:jc w:val="both"/>
              <w:rPr>
                <w:rFonts w:ascii="ITC Avant Garde" w:hAnsi="ITC Avant Garde"/>
                <w:sz w:val="18"/>
                <w:szCs w:val="18"/>
              </w:rPr>
            </w:pPr>
            <w:r>
              <w:rPr>
                <w:rFonts w:ascii="ITC Avant Garde" w:hAnsi="ITC Avant Garde"/>
                <w:sz w:val="18"/>
                <w:szCs w:val="18"/>
              </w:rPr>
              <w:t xml:space="preserve">Realizar </w:t>
            </w:r>
            <w:r w:rsidR="00B97CF1" w:rsidRPr="002753E1">
              <w:rPr>
                <w:rFonts w:ascii="ITC Avant Garde" w:hAnsi="ITC Avant Garde"/>
                <w:sz w:val="18"/>
                <w:szCs w:val="18"/>
              </w:rPr>
              <w:t>algunas modificaciones menores a las definiciones contenidas en los Lineamientos;</w:t>
            </w:r>
          </w:p>
          <w:p w14:paraId="6C4CD907" w14:textId="04BC5AC9" w:rsidR="00AC0FEC" w:rsidRPr="002753E1" w:rsidRDefault="00AC0FEC" w:rsidP="00AC0FEC">
            <w:pPr>
              <w:pStyle w:val="Prrafodelista"/>
              <w:numPr>
                <w:ilvl w:val="0"/>
                <w:numId w:val="7"/>
              </w:numPr>
              <w:spacing w:after="160" w:line="259" w:lineRule="auto"/>
              <w:jc w:val="both"/>
              <w:rPr>
                <w:rFonts w:ascii="ITC Avant Garde" w:hAnsi="ITC Avant Garde"/>
                <w:sz w:val="18"/>
                <w:szCs w:val="18"/>
              </w:rPr>
            </w:pPr>
            <w:r>
              <w:rPr>
                <w:rFonts w:ascii="ITC Avant Garde" w:hAnsi="ITC Avant Garde"/>
                <w:sz w:val="18"/>
                <w:szCs w:val="18"/>
              </w:rPr>
              <w:t>Agrupar y eliminar</w:t>
            </w:r>
            <w:r w:rsidRPr="002753E1">
              <w:rPr>
                <w:rFonts w:ascii="ITC Avant Garde" w:hAnsi="ITC Avant Garde"/>
                <w:sz w:val="18"/>
                <w:szCs w:val="18"/>
              </w:rPr>
              <w:t xml:space="preserve"> indicadores para la integración de nuevos eFormatos;</w:t>
            </w:r>
          </w:p>
          <w:p w14:paraId="5D27679F" w14:textId="3E900D26" w:rsidR="002753E1" w:rsidRPr="002753E1" w:rsidRDefault="004729E8" w:rsidP="00DE4A34">
            <w:pPr>
              <w:pStyle w:val="Prrafodelista"/>
              <w:numPr>
                <w:ilvl w:val="0"/>
                <w:numId w:val="7"/>
              </w:numPr>
              <w:jc w:val="both"/>
              <w:rPr>
                <w:rFonts w:ascii="ITC Avant Garde" w:hAnsi="ITC Avant Garde"/>
                <w:sz w:val="18"/>
                <w:szCs w:val="18"/>
              </w:rPr>
            </w:pPr>
            <w:r>
              <w:rPr>
                <w:rFonts w:ascii="ITC Avant Garde" w:hAnsi="ITC Avant Garde"/>
                <w:sz w:val="18"/>
                <w:szCs w:val="18"/>
              </w:rPr>
              <w:t>C</w:t>
            </w:r>
            <w:r w:rsidR="002753E1" w:rsidRPr="002753E1">
              <w:rPr>
                <w:rFonts w:ascii="ITC Avant Garde" w:hAnsi="ITC Avant Garde"/>
                <w:sz w:val="18"/>
                <w:szCs w:val="18"/>
              </w:rPr>
              <w:t>ambiar la periodicidad de la información solicitada a los operadores a trimestral y anual;</w:t>
            </w:r>
          </w:p>
          <w:p w14:paraId="32957FAC" w14:textId="21B6C266" w:rsidR="002753E1" w:rsidRPr="002753E1" w:rsidRDefault="004729E8" w:rsidP="00DE4A34">
            <w:pPr>
              <w:pStyle w:val="Prrafodelista"/>
              <w:numPr>
                <w:ilvl w:val="0"/>
                <w:numId w:val="7"/>
              </w:numPr>
              <w:jc w:val="both"/>
              <w:rPr>
                <w:rFonts w:ascii="ITC Avant Garde" w:hAnsi="ITC Avant Garde"/>
                <w:sz w:val="18"/>
                <w:szCs w:val="18"/>
              </w:rPr>
            </w:pPr>
            <w:r>
              <w:rPr>
                <w:rFonts w:ascii="ITC Avant Garde" w:hAnsi="ITC Avant Garde"/>
                <w:sz w:val="18"/>
                <w:szCs w:val="18"/>
              </w:rPr>
              <w:t>C</w:t>
            </w:r>
            <w:r w:rsidR="002753E1" w:rsidRPr="002753E1">
              <w:rPr>
                <w:rFonts w:ascii="ITC Avant Garde" w:hAnsi="ITC Avant Garde"/>
                <w:sz w:val="18"/>
                <w:szCs w:val="18"/>
              </w:rPr>
              <w:t>ambiar la desagregación geográfica solicitada de los operadores, pasando de localidad a municipio, para todos los indicadores donde aplique;</w:t>
            </w:r>
          </w:p>
          <w:p w14:paraId="340C644C" w14:textId="1DB7318D" w:rsidR="002753E1" w:rsidRPr="002753E1" w:rsidRDefault="004729E8" w:rsidP="00DE4A34">
            <w:pPr>
              <w:pStyle w:val="Prrafodelista"/>
              <w:numPr>
                <w:ilvl w:val="0"/>
                <w:numId w:val="7"/>
              </w:numPr>
              <w:jc w:val="both"/>
              <w:rPr>
                <w:rFonts w:ascii="ITC Avant Garde" w:hAnsi="ITC Avant Garde"/>
                <w:sz w:val="18"/>
                <w:szCs w:val="18"/>
              </w:rPr>
            </w:pPr>
            <w:r>
              <w:rPr>
                <w:rFonts w:ascii="ITC Avant Garde" w:hAnsi="ITC Avant Garde"/>
                <w:sz w:val="18"/>
                <w:szCs w:val="18"/>
              </w:rPr>
              <w:t>Establecer</w:t>
            </w:r>
            <w:r w:rsidR="002753E1" w:rsidRPr="002753E1">
              <w:rPr>
                <w:rFonts w:ascii="ITC Avant Garde" w:hAnsi="ITC Avant Garde"/>
                <w:sz w:val="18"/>
                <w:szCs w:val="18"/>
              </w:rPr>
              <w:t xml:space="preserve"> los umbrales para la entrega de información en función de criterios que permitan la identificación de grupos de empresas con condiciones o características estructurales similares;</w:t>
            </w:r>
          </w:p>
          <w:p w14:paraId="67A80664" w14:textId="78218823" w:rsidR="002753E1" w:rsidRPr="002753E1" w:rsidRDefault="004729E8" w:rsidP="00DE4A34">
            <w:pPr>
              <w:pStyle w:val="Prrafodelista"/>
              <w:numPr>
                <w:ilvl w:val="0"/>
                <w:numId w:val="7"/>
              </w:numPr>
              <w:jc w:val="both"/>
              <w:rPr>
                <w:rFonts w:ascii="ITC Avant Garde" w:hAnsi="ITC Avant Garde"/>
                <w:sz w:val="18"/>
                <w:szCs w:val="18"/>
              </w:rPr>
            </w:pPr>
            <w:r>
              <w:rPr>
                <w:rFonts w:ascii="ITC Avant Garde" w:hAnsi="ITC Avant Garde"/>
                <w:sz w:val="18"/>
                <w:szCs w:val="18"/>
              </w:rPr>
              <w:t>Identificar</w:t>
            </w:r>
            <w:r w:rsidR="002753E1" w:rsidRPr="002753E1">
              <w:rPr>
                <w:rFonts w:ascii="ITC Avant Garde" w:hAnsi="ITC Avant Garde"/>
                <w:sz w:val="18"/>
                <w:szCs w:val="18"/>
              </w:rPr>
              <w:t xml:space="preserve"> los umbrales de acuerdo con un análisis de gabinete sobre las participaciones de mercado y complementarse con estudios cualitativos;</w:t>
            </w:r>
          </w:p>
          <w:p w14:paraId="5A66CA41" w14:textId="64D5660A" w:rsidR="00AB3C82" w:rsidRPr="002753E1" w:rsidRDefault="00AB3C82" w:rsidP="00383818">
            <w:pPr>
              <w:jc w:val="both"/>
              <w:rPr>
                <w:rFonts w:ascii="ITC Avant Garde" w:hAnsi="ITC Avant Garde"/>
                <w:sz w:val="18"/>
                <w:szCs w:val="18"/>
              </w:rPr>
            </w:pPr>
          </w:p>
          <w:p w14:paraId="1C117839" w14:textId="05AE0FA9" w:rsidR="00AC0FEC" w:rsidRPr="0058358B" w:rsidRDefault="003A5DBB" w:rsidP="00AC0FEC">
            <w:pPr>
              <w:jc w:val="both"/>
              <w:rPr>
                <w:rFonts w:ascii="ITC Avant Garde" w:hAnsi="ITC Avant Garde"/>
                <w:sz w:val="18"/>
                <w:szCs w:val="18"/>
              </w:rPr>
            </w:pPr>
            <w:r w:rsidRPr="002753E1">
              <w:rPr>
                <w:rFonts w:ascii="ITC Avant Garde" w:hAnsi="ITC Avant Garde"/>
                <w:sz w:val="18"/>
                <w:szCs w:val="18"/>
              </w:rPr>
              <w:t>En este sentido,</w:t>
            </w:r>
            <w:r w:rsidR="00321A38">
              <w:rPr>
                <w:rFonts w:ascii="ITC Avant Garde" w:hAnsi="ITC Avant Garde"/>
                <w:sz w:val="18"/>
                <w:szCs w:val="18"/>
              </w:rPr>
              <w:t xml:space="preserve"> se recibieron comentarios de las unidades administrativas del Instituto y se elaboró bitácora de los operadores. </w:t>
            </w:r>
            <w:r w:rsidR="00AC0FEC">
              <w:rPr>
                <w:rFonts w:ascii="ITC Avant Garde" w:hAnsi="ITC Avant Garde"/>
                <w:sz w:val="18"/>
                <w:szCs w:val="18"/>
              </w:rPr>
              <w:t>La emisión de Lineamientos para integrar el Acervo Estadístico del IFT</w:t>
            </w:r>
            <w:r w:rsidR="00AC0FEC" w:rsidRPr="002753E1">
              <w:rPr>
                <w:rFonts w:ascii="ITC Avant Garde" w:hAnsi="ITC Avant Garde"/>
                <w:sz w:val="18"/>
                <w:szCs w:val="18"/>
              </w:rPr>
              <w:t xml:space="preserve"> </w:t>
            </w:r>
            <w:r w:rsidRPr="002753E1">
              <w:rPr>
                <w:rFonts w:ascii="ITC Avant Garde" w:hAnsi="ITC Avant Garde"/>
                <w:sz w:val="18"/>
                <w:szCs w:val="18"/>
              </w:rPr>
              <w:t xml:space="preserve">resulta necesaria </w:t>
            </w:r>
            <w:r w:rsidR="0058358B" w:rsidRPr="002753E1">
              <w:rPr>
                <w:rFonts w:ascii="ITC Avant Garde" w:hAnsi="ITC Avant Garde"/>
                <w:sz w:val="18"/>
                <w:szCs w:val="18"/>
              </w:rPr>
              <w:t>para</w:t>
            </w:r>
            <w:r w:rsidRPr="002753E1">
              <w:rPr>
                <w:rFonts w:ascii="ITC Avant Garde" w:hAnsi="ITC Avant Garde"/>
                <w:sz w:val="18"/>
                <w:szCs w:val="18"/>
              </w:rPr>
              <w:t xml:space="preserve"> </w:t>
            </w:r>
            <w:r w:rsidR="002911C6" w:rsidRPr="002753E1">
              <w:rPr>
                <w:rFonts w:ascii="ITC Avant Garde" w:hAnsi="ITC Avant Garde"/>
                <w:sz w:val="18"/>
                <w:szCs w:val="18"/>
              </w:rPr>
              <w:t>optimizar la integración del Acervo Estadístico</w:t>
            </w:r>
            <w:r w:rsidR="003D7CA5">
              <w:rPr>
                <w:rFonts w:ascii="ITC Avant Garde" w:hAnsi="ITC Avant Garde"/>
                <w:sz w:val="18"/>
                <w:szCs w:val="18"/>
              </w:rPr>
              <w:t>,</w:t>
            </w:r>
            <w:r w:rsidR="002911C6" w:rsidRPr="0058358B">
              <w:rPr>
                <w:rFonts w:ascii="ITC Avant Garde" w:hAnsi="ITC Avant Garde"/>
                <w:sz w:val="18"/>
                <w:szCs w:val="18"/>
              </w:rPr>
              <w:t xml:space="preserve"> para mantener vigentes y actualizados los Lineamientos, </w:t>
            </w:r>
            <w:r w:rsidR="00E812F7">
              <w:rPr>
                <w:rFonts w:ascii="ITC Avant Garde" w:hAnsi="ITC Avant Garde"/>
                <w:sz w:val="18"/>
                <w:szCs w:val="18"/>
              </w:rPr>
              <w:t xml:space="preserve">de acuerdo con las mejores prácticas en la materia, </w:t>
            </w:r>
            <w:r w:rsidR="002911C6" w:rsidRPr="0058358B">
              <w:rPr>
                <w:rFonts w:ascii="ITC Avant Garde" w:hAnsi="ITC Avant Garde"/>
                <w:sz w:val="18"/>
                <w:szCs w:val="18"/>
              </w:rPr>
              <w:t>con la finalidad de dar cumplimiento oportuno y adecuado a las obligaciones de entrega de información por parte de los operadores al Instituto, lo que a su vez permitirá contar con información eficiente, estandarizada, precisa, sencilla, clara y transparente en el Acervo Estadístico para obtener un mejor conocimiento del sector y de los servicios que se prestan; además de brindar seguridad y certidumbre jurídica a los operadores y personas usuarias de telecomunicaciones, y contribuir a la toma de decisiones informadas.</w:t>
            </w:r>
            <w:r w:rsidR="0058358B" w:rsidRPr="0058358B">
              <w:rPr>
                <w:rFonts w:ascii="ITC Avant Garde" w:hAnsi="ITC Avant Garde"/>
                <w:sz w:val="18"/>
                <w:szCs w:val="18"/>
              </w:rPr>
              <w:t xml:space="preserve"> </w:t>
            </w:r>
            <w:r w:rsidR="00AC0FEC">
              <w:rPr>
                <w:rFonts w:ascii="ITC Avant Garde" w:hAnsi="ITC Avant Garde"/>
                <w:sz w:val="18"/>
                <w:szCs w:val="18"/>
              </w:rPr>
              <w:t>Por lo anterior</w:t>
            </w:r>
            <w:r w:rsidR="00AC0FEC" w:rsidRPr="0058358B">
              <w:rPr>
                <w:rFonts w:ascii="ITC Avant Garde" w:hAnsi="ITC Avant Garde"/>
                <w:sz w:val="18"/>
                <w:szCs w:val="18"/>
              </w:rPr>
              <w:t xml:space="preserve">, </w:t>
            </w:r>
            <w:r w:rsidR="00AC0FEC">
              <w:rPr>
                <w:rFonts w:ascii="ITC Avant Garde" w:hAnsi="ITC Avant Garde"/>
                <w:sz w:val="18"/>
                <w:szCs w:val="18"/>
              </w:rPr>
              <w:t>ante un entorno convergente en tecnologías y servicios, á</w:t>
            </w:r>
            <w:r w:rsidR="00AC0FEC" w:rsidRPr="0058358B">
              <w:rPr>
                <w:rFonts w:ascii="ITC Avant Garde" w:hAnsi="ITC Avant Garde"/>
                <w:sz w:val="18"/>
                <w:szCs w:val="18"/>
              </w:rPr>
              <w:t xml:space="preserve">reas de oportunidad y recomendaciones realizadas por IDEA Consultores, resulta necesaria </w:t>
            </w:r>
            <w:r w:rsidR="00AC0FEC">
              <w:rPr>
                <w:rFonts w:ascii="ITC Avant Garde" w:hAnsi="ITC Avant Garde"/>
                <w:sz w:val="18"/>
                <w:szCs w:val="18"/>
              </w:rPr>
              <w:t>la publicación de los Lineamientos para integrar el Acervo Estadístico del IFT</w:t>
            </w:r>
            <w:r w:rsidR="00AC0FEC" w:rsidRPr="0058358B">
              <w:rPr>
                <w:rFonts w:ascii="ITC Avant Garde" w:hAnsi="ITC Avant Garde"/>
                <w:sz w:val="18"/>
                <w:szCs w:val="18"/>
              </w:rPr>
              <w:t>.</w:t>
            </w:r>
          </w:p>
          <w:p w14:paraId="77B70C94" w14:textId="067B4AC1" w:rsidR="002753E1" w:rsidRPr="00036A41" w:rsidRDefault="002753E1" w:rsidP="00383818">
            <w:pPr>
              <w:jc w:val="both"/>
              <w:rPr>
                <w:rFonts w:ascii="ITC Avant Garde" w:hAnsi="ITC Avant Garde"/>
                <w:sz w:val="18"/>
                <w:szCs w:val="18"/>
              </w:rPr>
            </w:pPr>
          </w:p>
        </w:tc>
      </w:tr>
    </w:tbl>
    <w:p w14:paraId="7AA3F27A" w14:textId="77777777" w:rsidR="002753E1" w:rsidRDefault="002753E1">
      <w:r>
        <w:lastRenderedPageBreak/>
        <w:br w:type="page"/>
      </w:r>
    </w:p>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451B7D" w14:paraId="4CC01DA5" w14:textId="77777777" w:rsidTr="00B41497">
        <w:tc>
          <w:tcPr>
            <w:tcW w:w="8828" w:type="dxa"/>
          </w:tcPr>
          <w:p w14:paraId="47A5F08C" w14:textId="7998EC08" w:rsidR="00B41497" w:rsidRPr="00451B7D" w:rsidRDefault="00B41497" w:rsidP="00B41497">
            <w:pPr>
              <w:jc w:val="both"/>
              <w:rPr>
                <w:rFonts w:ascii="ITC Avant Garde" w:hAnsi="ITC Avant Garde"/>
                <w:b/>
                <w:sz w:val="18"/>
                <w:szCs w:val="18"/>
              </w:rPr>
            </w:pPr>
            <w:r w:rsidRPr="00451B7D">
              <w:rPr>
                <w:rFonts w:ascii="ITC Avant Garde" w:hAnsi="ITC Avant Garde"/>
                <w:b/>
                <w:sz w:val="18"/>
                <w:szCs w:val="18"/>
              </w:rPr>
              <w:lastRenderedPageBreak/>
              <w:t xml:space="preserve">2.- </w:t>
            </w:r>
            <w:r w:rsidR="00A81C3A" w:rsidRPr="00A81C3A">
              <w:rPr>
                <w:rFonts w:ascii="ITC Avant Garde" w:hAnsi="ITC Avant Garde"/>
                <w:b/>
                <w:sz w:val="18"/>
                <w:szCs w:val="18"/>
              </w:rPr>
              <w:t>Según sea el caso, conforme a lo señalado por los artículos 51 de la Ley Federal de Telecomunicaciones y Radiodifusión y 12, fracción XXII, de la Ley Federal de Competencia Económica,</w:t>
            </w:r>
            <w:r w:rsidRPr="00451B7D">
              <w:rPr>
                <w:rFonts w:ascii="ITC Avant Garde" w:hAnsi="ITC Avant Garde"/>
                <w:b/>
                <w:sz w:val="18"/>
                <w:szCs w:val="18"/>
              </w:rPr>
              <w:t xml:space="preserve"> ¿considera que la publicidad de la propuesta de regulación pueda comprometer los efectos que se pretenden </w:t>
            </w:r>
            <w:r w:rsidR="004226AE" w:rsidRPr="00451B7D">
              <w:rPr>
                <w:rFonts w:ascii="ITC Avant Garde" w:hAnsi="ITC Avant Garde"/>
                <w:b/>
                <w:sz w:val="18"/>
                <w:szCs w:val="18"/>
              </w:rPr>
              <w:t xml:space="preserve">resolver o prevenir </w:t>
            </w:r>
            <w:r w:rsidRPr="00451B7D">
              <w:rPr>
                <w:rFonts w:ascii="ITC Avant Garde" w:hAnsi="ITC Avant Garde"/>
                <w:b/>
                <w:sz w:val="18"/>
                <w:szCs w:val="18"/>
              </w:rPr>
              <w:t xml:space="preserve">con </w:t>
            </w:r>
            <w:r w:rsidR="00372BF7" w:rsidRPr="00451B7D">
              <w:rPr>
                <w:rFonts w:ascii="ITC Avant Garde" w:hAnsi="ITC Avant Garde"/>
                <w:b/>
                <w:sz w:val="18"/>
                <w:szCs w:val="18"/>
              </w:rPr>
              <w:t>su</w:t>
            </w:r>
            <w:r w:rsidRPr="00451B7D">
              <w:rPr>
                <w:rFonts w:ascii="ITC Avant Garde" w:hAnsi="ITC Avant Garde"/>
                <w:b/>
                <w:sz w:val="18"/>
                <w:szCs w:val="18"/>
              </w:rPr>
              <w:t xml:space="preserve"> 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451B7D" w14:paraId="4D4990E2" w14:textId="77777777" w:rsidTr="00B41497">
              <w:tc>
                <w:tcPr>
                  <w:tcW w:w="1462" w:type="dxa"/>
                  <w:shd w:val="clear" w:color="auto" w:fill="A8D08D" w:themeFill="accent6" w:themeFillTint="99"/>
                </w:tcPr>
                <w:p w14:paraId="4409F6B0" w14:textId="77777777" w:rsidR="00B41497" w:rsidRPr="00451B7D" w:rsidRDefault="00B41497" w:rsidP="00B41497">
                  <w:pPr>
                    <w:jc w:val="center"/>
                    <w:rPr>
                      <w:rFonts w:ascii="ITC Avant Garde" w:hAnsi="ITC Avant Garde"/>
                      <w:b/>
                      <w:sz w:val="18"/>
                      <w:szCs w:val="18"/>
                    </w:rPr>
                  </w:pPr>
                  <w:r w:rsidRPr="00451B7D">
                    <w:rPr>
                      <w:rFonts w:ascii="ITC Avant Garde" w:hAnsi="ITC Avant Garde"/>
                      <w:b/>
                      <w:sz w:val="18"/>
                      <w:szCs w:val="18"/>
                    </w:rPr>
                    <w:t>Seleccione</w:t>
                  </w:r>
                </w:p>
              </w:tc>
            </w:tr>
            <w:tr w:rsidR="00B41497" w:rsidRPr="00451B7D" w14:paraId="58D5952D" w14:textId="77777777" w:rsidTr="00B41497">
              <w:tc>
                <w:tcPr>
                  <w:tcW w:w="1462" w:type="dxa"/>
                </w:tcPr>
                <w:p w14:paraId="1A480ADE" w14:textId="36C21379" w:rsidR="00B41497" w:rsidRPr="00451B7D" w:rsidRDefault="00B41497" w:rsidP="00B41497">
                  <w:pPr>
                    <w:jc w:val="center"/>
                    <w:rPr>
                      <w:rFonts w:ascii="ITC Avant Garde" w:hAnsi="ITC Avant Garde"/>
                      <w:sz w:val="18"/>
                      <w:szCs w:val="18"/>
                    </w:rPr>
                  </w:pPr>
                  <w:r w:rsidRPr="00451B7D">
                    <w:rPr>
                      <w:rFonts w:ascii="ITC Avant Garde" w:hAnsi="ITC Avant Garde"/>
                      <w:sz w:val="18"/>
                      <w:szCs w:val="18"/>
                    </w:rPr>
                    <w:t>S</w:t>
                  </w:r>
                  <w:r w:rsidR="00FB58BA">
                    <w:rPr>
                      <w:rFonts w:ascii="ITC Avant Garde" w:hAnsi="ITC Avant Garde"/>
                      <w:sz w:val="18"/>
                      <w:szCs w:val="18"/>
                    </w:rPr>
                    <w:t>í</w:t>
                  </w:r>
                  <w:r w:rsidRPr="00451B7D">
                    <w:rPr>
                      <w:rFonts w:ascii="ITC Avant Garde" w:hAnsi="ITC Avant Garde"/>
                      <w:sz w:val="18"/>
                      <w:szCs w:val="18"/>
                    </w:rPr>
                    <w:t xml:space="preserve"> ( ) No </w:t>
                  </w:r>
                  <w:r w:rsidR="00943FAB" w:rsidRPr="00451B7D">
                    <w:rPr>
                      <w:rFonts w:ascii="ITC Avant Garde" w:hAnsi="ITC Avant Garde"/>
                      <w:sz w:val="18"/>
                      <w:szCs w:val="18"/>
                    </w:rPr>
                    <w:t>(</w:t>
                  </w:r>
                  <w:r w:rsidR="00943FAB">
                    <w:rPr>
                      <w:rFonts w:ascii="ITC Avant Garde" w:hAnsi="ITC Avant Garde"/>
                      <w:sz w:val="18"/>
                      <w:szCs w:val="18"/>
                    </w:rPr>
                    <w:t>X</w:t>
                  </w:r>
                  <w:r w:rsidR="00943FAB" w:rsidRPr="00451B7D">
                    <w:rPr>
                      <w:rFonts w:ascii="ITC Avant Garde" w:hAnsi="ITC Avant Garde"/>
                      <w:sz w:val="18"/>
                      <w:szCs w:val="18"/>
                    </w:rPr>
                    <w:t>)</w:t>
                  </w:r>
                </w:p>
              </w:tc>
            </w:tr>
          </w:tbl>
          <w:p w14:paraId="14C8D7D6" w14:textId="77777777" w:rsidR="00B41497" w:rsidRPr="00451B7D" w:rsidRDefault="00B41497" w:rsidP="003D7CA5">
            <w:pPr>
              <w:ind w:left="708" w:hanging="708"/>
              <w:jc w:val="both"/>
              <w:rPr>
                <w:rFonts w:ascii="ITC Avant Garde" w:hAnsi="ITC Avant Garde"/>
                <w:sz w:val="18"/>
                <w:szCs w:val="18"/>
              </w:rPr>
            </w:pPr>
          </w:p>
          <w:p w14:paraId="780CE336" w14:textId="77777777" w:rsidR="00B41497" w:rsidRPr="00451B7D" w:rsidRDefault="00B41497" w:rsidP="00B41497">
            <w:pPr>
              <w:jc w:val="both"/>
              <w:rPr>
                <w:rFonts w:ascii="ITC Avant Garde" w:hAnsi="ITC Avant Garde"/>
                <w:sz w:val="18"/>
                <w:szCs w:val="18"/>
              </w:rPr>
            </w:pPr>
          </w:p>
          <w:p w14:paraId="217590D8" w14:textId="77777777" w:rsidR="00B41497" w:rsidRPr="00451B7D" w:rsidRDefault="00B41497" w:rsidP="00B41497">
            <w:pPr>
              <w:jc w:val="both"/>
              <w:rPr>
                <w:rFonts w:ascii="ITC Avant Garde" w:hAnsi="ITC Avant Garde"/>
                <w:sz w:val="18"/>
                <w:szCs w:val="18"/>
              </w:rPr>
            </w:pPr>
          </w:p>
          <w:p w14:paraId="36427C9F" w14:textId="77777777" w:rsidR="00B41497" w:rsidRPr="00451B7D" w:rsidRDefault="00B41497" w:rsidP="00B41497">
            <w:pPr>
              <w:jc w:val="both"/>
              <w:rPr>
                <w:rFonts w:ascii="ITC Avant Garde" w:hAnsi="ITC Avant Garde"/>
                <w:sz w:val="18"/>
                <w:szCs w:val="18"/>
              </w:rPr>
            </w:pPr>
          </w:p>
          <w:p w14:paraId="6D9062FD" w14:textId="77777777" w:rsidR="000C16BC" w:rsidRDefault="000C16BC" w:rsidP="00B41497">
            <w:pPr>
              <w:jc w:val="both"/>
              <w:rPr>
                <w:rFonts w:ascii="ITC Avant Garde" w:hAnsi="ITC Avant Garde"/>
                <w:b/>
                <w:sz w:val="18"/>
                <w:szCs w:val="18"/>
              </w:rPr>
            </w:pPr>
          </w:p>
          <w:p w14:paraId="2FB3A48C" w14:textId="6D39D626" w:rsidR="00B41497" w:rsidRPr="00451B7D" w:rsidRDefault="00B41497" w:rsidP="00B41497">
            <w:pPr>
              <w:jc w:val="both"/>
              <w:rPr>
                <w:rFonts w:ascii="ITC Avant Garde" w:hAnsi="ITC Avant Garde"/>
                <w:sz w:val="18"/>
                <w:szCs w:val="18"/>
              </w:rPr>
            </w:pPr>
            <w:r w:rsidRPr="00451B7D">
              <w:rPr>
                <w:rFonts w:ascii="ITC Avant Garde" w:hAnsi="ITC Avant Garde"/>
                <w:b/>
                <w:sz w:val="18"/>
                <w:szCs w:val="18"/>
              </w:rPr>
              <w:t>En caso de que la respuesta sea afirmativa, justifique y fundamente</w:t>
            </w:r>
            <w:r w:rsidR="00372BF7" w:rsidRPr="00451B7D">
              <w:rPr>
                <w:rFonts w:ascii="ITC Avant Garde" w:hAnsi="ITC Avant Garde"/>
                <w:b/>
                <w:sz w:val="18"/>
                <w:szCs w:val="18"/>
              </w:rPr>
              <w:t xml:space="preserve"> las razones por las cuales su publicidad puede comprometer los efectos que se pretenden </w:t>
            </w:r>
            <w:r w:rsidR="004226AE" w:rsidRPr="00451B7D">
              <w:rPr>
                <w:rFonts w:ascii="ITC Avant Garde" w:hAnsi="ITC Avant Garde"/>
                <w:b/>
                <w:sz w:val="18"/>
                <w:szCs w:val="18"/>
              </w:rPr>
              <w:t xml:space="preserve">resolver o prevenir </w:t>
            </w:r>
            <w:r w:rsidR="00372BF7" w:rsidRPr="00451B7D">
              <w:rPr>
                <w:rFonts w:ascii="ITC Avant Garde" w:hAnsi="ITC Avant Garde"/>
                <w:b/>
                <w:sz w:val="18"/>
                <w:szCs w:val="18"/>
              </w:rPr>
              <w:t>con la propuesta regulatoria</w:t>
            </w:r>
            <w:r w:rsidRPr="00451B7D">
              <w:rPr>
                <w:rFonts w:ascii="ITC Avant Garde" w:hAnsi="ITC Avant Garde"/>
                <w:b/>
                <w:sz w:val="18"/>
                <w:szCs w:val="18"/>
              </w:rPr>
              <w:t>:</w:t>
            </w:r>
          </w:p>
          <w:p w14:paraId="19BC5EF6" w14:textId="77777777" w:rsidR="00B41497" w:rsidRPr="00451B7D"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451B7D" w14:paraId="0B6F64BD" w14:textId="77777777" w:rsidTr="00596FDE">
              <w:tc>
                <w:tcPr>
                  <w:tcW w:w="8602" w:type="dxa"/>
                </w:tcPr>
                <w:p w14:paraId="6A93BD82" w14:textId="77777777" w:rsidR="00596FDE" w:rsidRPr="00451B7D" w:rsidRDefault="00596FDE" w:rsidP="00007235">
                  <w:pPr>
                    <w:framePr w:hSpace="141" w:wrap="around" w:vAnchor="text" w:hAnchor="margin" w:y="356"/>
                    <w:jc w:val="both"/>
                    <w:rPr>
                      <w:rFonts w:ascii="ITC Avant Garde" w:hAnsi="ITC Avant Garde"/>
                      <w:sz w:val="18"/>
                      <w:szCs w:val="18"/>
                    </w:rPr>
                  </w:pPr>
                </w:p>
                <w:p w14:paraId="7CA4A6B4" w14:textId="77777777" w:rsidR="00596FDE" w:rsidRDefault="00596FDE" w:rsidP="00007235">
                  <w:pPr>
                    <w:framePr w:hSpace="141" w:wrap="around" w:vAnchor="text" w:hAnchor="margin" w:y="356"/>
                    <w:jc w:val="both"/>
                    <w:rPr>
                      <w:rFonts w:ascii="ITC Avant Garde" w:hAnsi="ITC Avant Garde"/>
                      <w:sz w:val="18"/>
                      <w:szCs w:val="18"/>
                    </w:rPr>
                  </w:pPr>
                </w:p>
                <w:p w14:paraId="40DA22A2" w14:textId="77777777" w:rsidR="000C16BC" w:rsidRPr="00451B7D" w:rsidRDefault="000C16BC" w:rsidP="00007235">
                  <w:pPr>
                    <w:framePr w:hSpace="141" w:wrap="around" w:vAnchor="text" w:hAnchor="margin" w:y="356"/>
                    <w:jc w:val="both"/>
                    <w:rPr>
                      <w:rFonts w:ascii="ITC Avant Garde" w:hAnsi="ITC Avant Garde"/>
                      <w:sz w:val="18"/>
                      <w:szCs w:val="18"/>
                    </w:rPr>
                  </w:pPr>
                </w:p>
              </w:tc>
            </w:tr>
          </w:tbl>
          <w:p w14:paraId="00767070" w14:textId="77777777" w:rsidR="00596FDE" w:rsidRPr="00451B7D" w:rsidRDefault="00596FDE" w:rsidP="00B41497">
            <w:pPr>
              <w:jc w:val="both"/>
              <w:rPr>
                <w:rFonts w:ascii="ITC Avant Garde" w:hAnsi="ITC Avant Garde"/>
                <w:sz w:val="18"/>
                <w:szCs w:val="18"/>
              </w:rPr>
            </w:pPr>
          </w:p>
          <w:p w14:paraId="66685CE1" w14:textId="77777777" w:rsidR="009656B1" w:rsidRPr="00451B7D" w:rsidRDefault="009656B1" w:rsidP="00B41497">
            <w:pPr>
              <w:jc w:val="both"/>
              <w:rPr>
                <w:rFonts w:ascii="ITC Avant Garde" w:hAnsi="ITC Avant Garde"/>
                <w:sz w:val="18"/>
                <w:szCs w:val="18"/>
              </w:rPr>
            </w:pPr>
          </w:p>
        </w:tc>
      </w:tr>
    </w:tbl>
    <w:p w14:paraId="013E3117" w14:textId="77777777" w:rsidR="001932FC" w:rsidRPr="00451B7D" w:rsidRDefault="001932FC" w:rsidP="001932FC">
      <w:pPr>
        <w:jc w:val="both"/>
        <w:rPr>
          <w:rFonts w:ascii="ITC Avant Garde" w:hAnsi="ITC Avant Garde"/>
          <w:sz w:val="18"/>
          <w:szCs w:val="18"/>
        </w:rPr>
      </w:pPr>
    </w:p>
    <w:p w14:paraId="49EDF348" w14:textId="77777777" w:rsidR="00B41497" w:rsidRPr="00451B7D" w:rsidRDefault="00B41497" w:rsidP="001932FC">
      <w:pPr>
        <w:jc w:val="both"/>
        <w:rPr>
          <w:rFonts w:ascii="ITC Avant Garde" w:hAnsi="ITC Avant Garde"/>
          <w:sz w:val="18"/>
          <w:szCs w:val="18"/>
        </w:rPr>
      </w:pPr>
    </w:p>
    <w:p w14:paraId="489AE647" w14:textId="77777777" w:rsidR="001932FC" w:rsidRPr="00451B7D" w:rsidRDefault="001932FC" w:rsidP="00A1622C">
      <w:pPr>
        <w:shd w:val="clear" w:color="auto" w:fill="A8D08D" w:themeFill="accent6" w:themeFillTint="99"/>
        <w:jc w:val="both"/>
        <w:rPr>
          <w:rFonts w:ascii="ITC Avant Garde" w:hAnsi="ITC Avant Garde"/>
          <w:b/>
          <w:sz w:val="18"/>
          <w:szCs w:val="18"/>
        </w:rPr>
      </w:pPr>
      <w:r w:rsidRPr="00451B7D">
        <w:rPr>
          <w:rFonts w:ascii="ITC Avant Garde" w:hAnsi="ITC Avant Garde"/>
          <w:b/>
          <w:sz w:val="18"/>
          <w:szCs w:val="18"/>
        </w:rPr>
        <w:t xml:space="preserve">II. </w:t>
      </w:r>
      <w:r w:rsidR="00E21B49" w:rsidRPr="00451B7D">
        <w:rPr>
          <w:rFonts w:ascii="ITC Avant Garde" w:hAnsi="ITC Avant Garde"/>
          <w:b/>
          <w:sz w:val="18"/>
          <w:szCs w:val="18"/>
        </w:rPr>
        <w:t xml:space="preserve">IMPACTO DE LA </w:t>
      </w:r>
      <w:r w:rsidR="00D23BD5" w:rsidRPr="00451B7D">
        <w:rPr>
          <w:rFonts w:ascii="ITC Avant Garde" w:hAnsi="ITC Avant Garde"/>
          <w:b/>
          <w:sz w:val="18"/>
          <w:szCs w:val="18"/>
        </w:rPr>
        <w:t xml:space="preserve">PROPUESTA DE </w:t>
      </w:r>
      <w:r w:rsidR="00E21B49" w:rsidRPr="00451B7D">
        <w:rPr>
          <w:rFonts w:ascii="ITC Avant Garde" w:hAnsi="ITC Avant Garde"/>
          <w:b/>
          <w:sz w:val="18"/>
          <w:szCs w:val="18"/>
        </w:rPr>
        <w:t>REGULACIÓN</w:t>
      </w:r>
      <w:r w:rsidRPr="00451B7D">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E7D1C" w:rsidRPr="00451B7D" w14:paraId="07A6A9B3" w14:textId="77777777" w:rsidTr="003F600A">
        <w:tc>
          <w:tcPr>
            <w:tcW w:w="8828" w:type="dxa"/>
          </w:tcPr>
          <w:p w14:paraId="695C7A4C" w14:textId="60C0AEAD" w:rsidR="00BE7D1C" w:rsidRPr="00451B7D" w:rsidRDefault="00BE7D1C" w:rsidP="003F600A">
            <w:pPr>
              <w:jc w:val="both"/>
              <w:rPr>
                <w:rFonts w:ascii="ITC Avant Garde" w:hAnsi="ITC Avant Garde"/>
                <w:b/>
                <w:sz w:val="18"/>
                <w:szCs w:val="18"/>
              </w:rPr>
            </w:pPr>
            <w:r w:rsidRPr="00451B7D">
              <w:rPr>
                <w:rFonts w:ascii="ITC Avant Garde" w:hAnsi="ITC Avant Garde"/>
                <w:b/>
                <w:sz w:val="18"/>
                <w:szCs w:val="18"/>
              </w:rPr>
              <w:t>3.- Para solucionar la problemática identificada, describa las alternativas valoradas y señale las razones por las cuales fueron descartadas.</w:t>
            </w:r>
          </w:p>
          <w:p w14:paraId="1BCCB4D7" w14:textId="76C42742" w:rsidR="00BE7D1C" w:rsidRPr="00451B7D" w:rsidRDefault="00BE7D1C" w:rsidP="003F600A">
            <w:pPr>
              <w:jc w:val="both"/>
              <w:rPr>
                <w:rFonts w:ascii="ITC Avant Garde" w:hAnsi="ITC Avant Garde"/>
                <w:sz w:val="18"/>
                <w:szCs w:val="18"/>
              </w:rPr>
            </w:pPr>
            <w:r w:rsidRPr="00451B7D">
              <w:rPr>
                <w:rFonts w:ascii="ITC Avant Garde" w:hAnsi="ITC Avant Garde"/>
                <w:sz w:val="18"/>
                <w:szCs w:val="18"/>
              </w:rPr>
              <w:t>Seleccione las alternativas aplicables y, en su c</w:t>
            </w:r>
            <w:r w:rsidR="004E0AA9" w:rsidRPr="00451B7D">
              <w:rPr>
                <w:rFonts w:ascii="ITC Avant Garde" w:hAnsi="ITC Avant Garde"/>
                <w:sz w:val="18"/>
                <w:szCs w:val="18"/>
              </w:rPr>
              <w:t>aso, seleccione y describa</w:t>
            </w:r>
            <w:r w:rsidR="00E046F4" w:rsidRPr="00451B7D">
              <w:rPr>
                <w:rFonts w:ascii="ITC Avant Garde" w:hAnsi="ITC Avant Garde"/>
                <w:sz w:val="18"/>
                <w:szCs w:val="18"/>
              </w:rPr>
              <w:t xml:space="preserve"> otra</w:t>
            </w:r>
            <w:r w:rsidR="004E0AA9" w:rsidRPr="00451B7D">
              <w:rPr>
                <w:rFonts w:ascii="ITC Avant Garde" w:hAnsi="ITC Avant Garde"/>
                <w:sz w:val="18"/>
                <w:szCs w:val="18"/>
              </w:rPr>
              <w:t>.</w:t>
            </w:r>
            <w:r w:rsidRPr="00451B7D">
              <w:rPr>
                <w:rFonts w:ascii="ITC Avant Garde" w:hAnsi="ITC Avant Garde"/>
                <w:sz w:val="18"/>
                <w:szCs w:val="18"/>
              </w:rPr>
              <w:t xml:space="preserve"> </w:t>
            </w:r>
            <w:r w:rsidR="004E0AA9" w:rsidRPr="00451B7D">
              <w:rPr>
                <w:rFonts w:ascii="ITC Avant Garde" w:hAnsi="ITC Avant Garde"/>
                <w:sz w:val="18"/>
                <w:szCs w:val="18"/>
              </w:rPr>
              <w:t>C</w:t>
            </w:r>
            <w:r w:rsidRPr="00451B7D">
              <w:rPr>
                <w:rFonts w:ascii="ITC Avant Garde" w:hAnsi="ITC Avant Garde"/>
                <w:sz w:val="18"/>
                <w:szCs w:val="18"/>
              </w:rPr>
              <w:t xml:space="preserve">onsidere al menos </w:t>
            </w:r>
            <w:r w:rsidR="004E0AA9" w:rsidRPr="00451B7D">
              <w:rPr>
                <w:rFonts w:ascii="ITC Avant Garde" w:hAnsi="ITC Avant Garde"/>
                <w:sz w:val="18"/>
                <w:szCs w:val="18"/>
              </w:rPr>
              <w:t>dos</w:t>
            </w:r>
            <w:r w:rsidRPr="00451B7D">
              <w:rPr>
                <w:rFonts w:ascii="ITC Avant Garde" w:hAnsi="ITC Avant Garde"/>
                <w:sz w:val="18"/>
                <w:szCs w:val="18"/>
              </w:rPr>
              <w:t xml:space="preserve"> opciones entre las cuales se encuentre la opción de no intervención.</w:t>
            </w:r>
            <w:r w:rsidR="00FB58BA">
              <w:rPr>
                <w:rFonts w:ascii="ITC Avant Garde" w:hAnsi="ITC Avant Garde"/>
                <w:sz w:val="18"/>
                <w:szCs w:val="18"/>
              </w:rPr>
              <w:t xml:space="preserve"> Agregue las filas que considere necesarias.</w:t>
            </w:r>
          </w:p>
          <w:p w14:paraId="17425FEB" w14:textId="77777777" w:rsidR="00BE7D1C" w:rsidRPr="00451B7D" w:rsidRDefault="00BE7D1C" w:rsidP="003F600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876"/>
              <w:gridCol w:w="2684"/>
              <w:gridCol w:w="3969"/>
            </w:tblGrid>
            <w:tr w:rsidR="00BE7D1C" w:rsidRPr="00451B7D" w14:paraId="2593A0C9" w14:textId="77777777" w:rsidTr="003F600A">
              <w:tc>
                <w:tcPr>
                  <w:tcW w:w="1876" w:type="dxa"/>
                  <w:tcBorders>
                    <w:bottom w:val="single" w:sz="12" w:space="0" w:color="auto"/>
                  </w:tcBorders>
                  <w:shd w:val="clear" w:color="auto" w:fill="A8D08D" w:themeFill="accent6" w:themeFillTint="99"/>
                </w:tcPr>
                <w:p w14:paraId="68667C9B" w14:textId="77777777" w:rsidR="00BE7D1C" w:rsidRPr="00451B7D" w:rsidRDefault="00BE7D1C" w:rsidP="003F600A">
                  <w:pPr>
                    <w:jc w:val="center"/>
                    <w:rPr>
                      <w:rFonts w:ascii="ITC Avant Garde" w:hAnsi="ITC Avant Garde"/>
                      <w:b/>
                      <w:sz w:val="18"/>
                      <w:szCs w:val="18"/>
                    </w:rPr>
                  </w:pPr>
                  <w:r w:rsidRPr="00451B7D">
                    <w:rPr>
                      <w:rFonts w:ascii="ITC Avant Garde" w:hAnsi="ITC Avant Garde"/>
                      <w:b/>
                      <w:sz w:val="18"/>
                      <w:szCs w:val="18"/>
                    </w:rPr>
                    <w:t xml:space="preserve">Alternativa evaluada </w:t>
                  </w:r>
                </w:p>
              </w:tc>
              <w:tc>
                <w:tcPr>
                  <w:tcW w:w="2684" w:type="dxa"/>
                  <w:shd w:val="clear" w:color="auto" w:fill="A8D08D" w:themeFill="accent6" w:themeFillTint="99"/>
                </w:tcPr>
                <w:p w14:paraId="3EC73607" w14:textId="77777777" w:rsidR="00BE7D1C" w:rsidRPr="00451B7D" w:rsidRDefault="00BE7D1C" w:rsidP="003F600A">
                  <w:pPr>
                    <w:jc w:val="center"/>
                    <w:rPr>
                      <w:rFonts w:ascii="ITC Avant Garde" w:hAnsi="ITC Avant Garde"/>
                      <w:b/>
                      <w:sz w:val="18"/>
                      <w:szCs w:val="18"/>
                    </w:rPr>
                  </w:pPr>
                  <w:r w:rsidRPr="00451B7D">
                    <w:rPr>
                      <w:rFonts w:ascii="ITC Avant Garde" w:hAnsi="ITC Avant Garde"/>
                      <w:b/>
                      <w:sz w:val="18"/>
                      <w:szCs w:val="18"/>
                    </w:rPr>
                    <w:t>Descripción</w:t>
                  </w:r>
                </w:p>
              </w:tc>
              <w:tc>
                <w:tcPr>
                  <w:tcW w:w="3969" w:type="dxa"/>
                  <w:shd w:val="clear" w:color="auto" w:fill="A8D08D" w:themeFill="accent6" w:themeFillTint="99"/>
                </w:tcPr>
                <w:p w14:paraId="7B707DB6" w14:textId="77777777" w:rsidR="00BE7D1C" w:rsidRPr="00451B7D" w:rsidRDefault="00BE7D1C" w:rsidP="003F600A">
                  <w:pPr>
                    <w:jc w:val="center"/>
                    <w:rPr>
                      <w:rFonts w:ascii="ITC Avant Garde" w:hAnsi="ITC Avant Garde"/>
                      <w:b/>
                      <w:sz w:val="18"/>
                      <w:szCs w:val="18"/>
                    </w:rPr>
                  </w:pPr>
                  <w:r w:rsidRPr="00451B7D">
                    <w:rPr>
                      <w:rFonts w:ascii="ITC Avant Garde" w:hAnsi="ITC Avant Garde"/>
                      <w:b/>
                      <w:sz w:val="18"/>
                      <w:szCs w:val="18"/>
                    </w:rPr>
                    <w:t>Razones</w:t>
                  </w:r>
                </w:p>
              </w:tc>
            </w:tr>
            <w:tr w:rsidR="00BE7D1C" w:rsidRPr="00451B7D" w14:paraId="7A198942" w14:textId="77777777" w:rsidTr="003F600A">
              <w:sdt>
                <w:sdtPr>
                  <w:rPr>
                    <w:rFonts w:ascii="ITC Avant Garde" w:hAnsi="ITC Avant Garde"/>
                    <w:i/>
                    <w:sz w:val="18"/>
                    <w:szCs w:val="18"/>
                  </w:rPr>
                  <w:alias w:val="Alternativa evaluada"/>
                  <w:tag w:val="Alternativa evaluada"/>
                  <w:id w:val="1516970041"/>
                  <w:placeholder>
                    <w:docPart w:val="53C06C5BEAE94D5BAF43FB3D4551B4A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B8C07A0" w14:textId="229D4378" w:rsidR="00BE7D1C" w:rsidRPr="00451B7D" w:rsidRDefault="004D3B21" w:rsidP="003F600A">
                      <w:pPr>
                        <w:rPr>
                          <w:rFonts w:ascii="ITC Avant Garde" w:hAnsi="ITC Avant Garde"/>
                          <w:i/>
                          <w:sz w:val="18"/>
                          <w:szCs w:val="18"/>
                        </w:rPr>
                      </w:pPr>
                      <w:r>
                        <w:rPr>
                          <w:rFonts w:ascii="ITC Avant Garde" w:hAnsi="ITC Avant Garde"/>
                          <w:i/>
                          <w:sz w:val="18"/>
                          <w:szCs w:val="18"/>
                        </w:rPr>
                        <w:t>No emitir regulación alguna</w:t>
                      </w:r>
                    </w:p>
                  </w:tc>
                </w:sdtContent>
              </w:sdt>
              <w:tc>
                <w:tcPr>
                  <w:tcW w:w="2684" w:type="dxa"/>
                  <w:tcBorders>
                    <w:left w:val="single" w:sz="12" w:space="0" w:color="auto"/>
                  </w:tcBorders>
                </w:tcPr>
                <w:p w14:paraId="360D5F57" w14:textId="4E5824B9" w:rsidR="00BE7D1C" w:rsidRPr="00451B7D" w:rsidRDefault="004D3B21" w:rsidP="003D7CA5">
                  <w:pPr>
                    <w:jc w:val="center"/>
                    <w:rPr>
                      <w:rFonts w:ascii="ITC Avant Garde" w:hAnsi="ITC Avant Garde"/>
                      <w:sz w:val="18"/>
                      <w:szCs w:val="18"/>
                    </w:rPr>
                  </w:pPr>
                  <w:r w:rsidRPr="004D3B21">
                    <w:rPr>
                      <w:rFonts w:ascii="ITC Avant Garde" w:hAnsi="ITC Avant Garde"/>
                      <w:sz w:val="18"/>
                      <w:szCs w:val="18"/>
                    </w:rPr>
                    <w:t xml:space="preserve">No emitir </w:t>
                  </w:r>
                  <w:r w:rsidR="003D7CA5">
                    <w:rPr>
                      <w:rFonts w:ascii="ITC Avant Garde" w:hAnsi="ITC Avant Garde"/>
                      <w:sz w:val="18"/>
                      <w:szCs w:val="18"/>
                    </w:rPr>
                    <w:t>los L</w:t>
                  </w:r>
                  <w:r w:rsidR="003D7CA5" w:rsidRPr="003D7CA5">
                    <w:rPr>
                      <w:rFonts w:ascii="ITC Avant Garde" w:hAnsi="ITC Avant Garde"/>
                      <w:sz w:val="18"/>
                      <w:szCs w:val="18"/>
                    </w:rPr>
                    <w:t>ineamientos para integrar el acervo estadístico del Instituto Federal de Telecomunicaciones</w:t>
                  </w:r>
                  <w:r w:rsidR="00520AF8">
                    <w:rPr>
                      <w:rFonts w:ascii="ITC Avant Garde" w:hAnsi="ITC Avant Garde"/>
                      <w:sz w:val="18"/>
                      <w:szCs w:val="18"/>
                    </w:rPr>
                    <w:t xml:space="preserve"> </w:t>
                  </w:r>
                  <w:r w:rsidRPr="004D3B21">
                    <w:rPr>
                      <w:rFonts w:ascii="ITC Avant Garde" w:hAnsi="ITC Avant Garde"/>
                      <w:sz w:val="18"/>
                      <w:szCs w:val="18"/>
                    </w:rPr>
                    <w:t xml:space="preserve">y continuar con los mismos términos y </w:t>
                  </w:r>
                  <w:r>
                    <w:rPr>
                      <w:rFonts w:ascii="ITC Avant Garde" w:hAnsi="ITC Avant Garde"/>
                      <w:sz w:val="18"/>
                      <w:szCs w:val="18"/>
                    </w:rPr>
                    <w:t>condiciones</w:t>
                  </w:r>
                  <w:r w:rsidRPr="004D3B21">
                    <w:rPr>
                      <w:rFonts w:ascii="ITC Avant Garde" w:hAnsi="ITC Avant Garde"/>
                      <w:sz w:val="18"/>
                      <w:szCs w:val="18"/>
                    </w:rPr>
                    <w:t xml:space="preserve"> contenidos en los Lineamientos que establecen la metodología, la periodicidad, el catálogo de claves de información y los formatos electrónicos con los que los operadores del sector de telecomunicaciones entregarán información para integrar el </w:t>
                  </w:r>
                  <w:r w:rsidR="0058358B" w:rsidRPr="004D3B21">
                    <w:rPr>
                      <w:rFonts w:ascii="ITC Avant Garde" w:hAnsi="ITC Avant Garde"/>
                      <w:sz w:val="18"/>
                      <w:szCs w:val="18"/>
                    </w:rPr>
                    <w:t xml:space="preserve">Acervo Estadístico </w:t>
                  </w:r>
                  <w:r w:rsidRPr="004D3B21">
                    <w:rPr>
                      <w:rFonts w:ascii="ITC Avant Garde" w:hAnsi="ITC Avant Garde"/>
                      <w:sz w:val="18"/>
                      <w:szCs w:val="18"/>
                    </w:rPr>
                    <w:t>del Instituto Federal de Telecomunicaciones</w:t>
                  </w:r>
                  <w:r w:rsidR="003D7CA5">
                    <w:rPr>
                      <w:rFonts w:ascii="ITC Avant Garde" w:hAnsi="ITC Avant Garde"/>
                      <w:sz w:val="18"/>
                      <w:szCs w:val="18"/>
                    </w:rPr>
                    <w:t xml:space="preserve"> </w:t>
                  </w:r>
                </w:p>
              </w:tc>
              <w:tc>
                <w:tcPr>
                  <w:tcW w:w="3969" w:type="dxa"/>
                </w:tcPr>
                <w:p w14:paraId="48D91D75" w14:textId="5A143132" w:rsidR="00BE7D1C" w:rsidRDefault="004D3B21" w:rsidP="003D7CA5">
                  <w:pPr>
                    <w:jc w:val="both"/>
                    <w:rPr>
                      <w:rFonts w:ascii="ITC Avant Garde" w:hAnsi="ITC Avant Garde"/>
                      <w:sz w:val="18"/>
                      <w:szCs w:val="18"/>
                    </w:rPr>
                  </w:pPr>
                  <w:r w:rsidRPr="004D3B21">
                    <w:rPr>
                      <w:rFonts w:ascii="ITC Avant Garde" w:hAnsi="ITC Avant Garde"/>
                      <w:sz w:val="18"/>
                      <w:szCs w:val="18"/>
                    </w:rPr>
                    <w:t xml:space="preserve">De no </w:t>
                  </w:r>
                  <w:r w:rsidR="00520AF8">
                    <w:rPr>
                      <w:rFonts w:ascii="ITC Avant Garde" w:hAnsi="ITC Avant Garde"/>
                      <w:sz w:val="18"/>
                      <w:szCs w:val="18"/>
                    </w:rPr>
                    <w:t xml:space="preserve">emitirse </w:t>
                  </w:r>
                  <w:r w:rsidR="00520AF8" w:rsidRPr="00520AF8">
                    <w:rPr>
                      <w:rFonts w:ascii="ITC Avant Garde" w:hAnsi="ITC Avant Garde"/>
                      <w:sz w:val="18"/>
                      <w:szCs w:val="18"/>
                    </w:rPr>
                    <w:t xml:space="preserve">los Lineamientos para integrar el acervo estadístico del </w:t>
                  </w:r>
                  <w:r w:rsidR="00AC0FEC">
                    <w:rPr>
                      <w:rFonts w:ascii="ITC Avant Garde" w:hAnsi="ITC Avant Garde"/>
                      <w:sz w:val="18"/>
                      <w:szCs w:val="18"/>
                    </w:rPr>
                    <w:t>IFT</w:t>
                  </w:r>
                  <w:r w:rsidR="00520AF8" w:rsidRPr="00520AF8">
                    <w:rPr>
                      <w:rFonts w:ascii="ITC Avant Garde" w:hAnsi="ITC Avant Garde"/>
                      <w:sz w:val="18"/>
                      <w:szCs w:val="18"/>
                    </w:rPr>
                    <w:t xml:space="preserve"> </w:t>
                  </w:r>
                  <w:r w:rsidR="00E812F7">
                    <w:rPr>
                      <w:rFonts w:ascii="ITC Avant Garde" w:hAnsi="ITC Avant Garde"/>
                      <w:sz w:val="18"/>
                      <w:szCs w:val="18"/>
                    </w:rPr>
                    <w:t>, no se atenderían las áreas de oportunidad identificadas</w:t>
                  </w:r>
                  <w:r w:rsidR="000B2437">
                    <w:rPr>
                      <w:rFonts w:ascii="ITC Avant Garde" w:hAnsi="ITC Avant Garde"/>
                      <w:sz w:val="18"/>
                      <w:szCs w:val="18"/>
                    </w:rPr>
                    <w:t xml:space="preserve"> en los Lineamientos</w:t>
                  </w:r>
                  <w:r w:rsidR="008E21BB">
                    <w:rPr>
                      <w:rFonts w:ascii="ITC Avant Garde" w:hAnsi="ITC Avant Garde"/>
                      <w:sz w:val="18"/>
                      <w:szCs w:val="18"/>
                    </w:rPr>
                    <w:t>, lo que cond</w:t>
                  </w:r>
                  <w:r w:rsidR="000B2437">
                    <w:rPr>
                      <w:rFonts w:ascii="ITC Avant Garde" w:hAnsi="ITC Avant Garde"/>
                      <w:sz w:val="18"/>
                      <w:szCs w:val="18"/>
                    </w:rPr>
                    <w:t>u</w:t>
                  </w:r>
                  <w:r w:rsidR="008E21BB">
                    <w:rPr>
                      <w:rFonts w:ascii="ITC Avant Garde" w:hAnsi="ITC Avant Garde"/>
                      <w:sz w:val="18"/>
                      <w:szCs w:val="18"/>
                    </w:rPr>
                    <w:t xml:space="preserve">ce a que los procesos de levantamiento de la información no se realicen con base en las mejores prácticas en la materia. </w:t>
                  </w:r>
                </w:p>
                <w:p w14:paraId="167C6D0F" w14:textId="7C4D3B81" w:rsidR="004D3B21" w:rsidRDefault="004D3B21" w:rsidP="003D7CA5">
                  <w:pPr>
                    <w:jc w:val="both"/>
                    <w:rPr>
                      <w:rFonts w:ascii="ITC Avant Garde" w:hAnsi="ITC Avant Garde"/>
                      <w:sz w:val="18"/>
                      <w:szCs w:val="18"/>
                    </w:rPr>
                  </w:pPr>
                </w:p>
                <w:p w14:paraId="50E8AA28" w14:textId="2188DFCD" w:rsidR="008E21BB" w:rsidRDefault="00E812F7" w:rsidP="003D7CA5">
                  <w:pPr>
                    <w:jc w:val="both"/>
                    <w:rPr>
                      <w:rFonts w:ascii="ITC Avant Garde" w:hAnsi="ITC Avant Garde"/>
                      <w:sz w:val="18"/>
                      <w:szCs w:val="18"/>
                    </w:rPr>
                  </w:pPr>
                  <w:r w:rsidRPr="00E812F7">
                    <w:rPr>
                      <w:rFonts w:ascii="ITC Avant Garde" w:hAnsi="ITC Avant Garde"/>
                      <w:sz w:val="18"/>
                      <w:szCs w:val="18"/>
                    </w:rPr>
                    <w:t xml:space="preserve">En este sentido, </w:t>
                  </w:r>
                  <w:r w:rsidR="008E21BB">
                    <w:rPr>
                      <w:rFonts w:ascii="ITC Avant Garde" w:hAnsi="ITC Avant Garde"/>
                      <w:sz w:val="18"/>
                      <w:szCs w:val="18"/>
                    </w:rPr>
                    <w:t>de seguir con los Lineamientos y mecanismos actuales, no se facilitaría y agilizaría la</w:t>
                  </w:r>
                  <w:r w:rsidRPr="00E812F7">
                    <w:rPr>
                      <w:rFonts w:ascii="ITC Avant Garde" w:hAnsi="ITC Avant Garde"/>
                      <w:sz w:val="18"/>
                      <w:szCs w:val="18"/>
                    </w:rPr>
                    <w:t xml:space="preserve"> entrega de información por parte de los operadores al Instituto, lo que a su vez </w:t>
                  </w:r>
                  <w:r w:rsidR="008E21BB">
                    <w:rPr>
                      <w:rFonts w:ascii="ITC Avant Garde" w:hAnsi="ITC Avant Garde"/>
                      <w:sz w:val="18"/>
                      <w:szCs w:val="18"/>
                    </w:rPr>
                    <w:t>afectaría la posibilidad de</w:t>
                  </w:r>
                  <w:r w:rsidRPr="00E812F7">
                    <w:rPr>
                      <w:rFonts w:ascii="ITC Avant Garde" w:hAnsi="ITC Avant Garde"/>
                      <w:sz w:val="18"/>
                      <w:szCs w:val="18"/>
                    </w:rPr>
                    <w:t xml:space="preserve"> contar con información eficiente, estandarizada, precisa, sencilla, clara y transparente en el Acervo Estadístico </w:t>
                  </w:r>
                  <w:r w:rsidR="008E21BB">
                    <w:rPr>
                      <w:rFonts w:ascii="ITC Avant Garde" w:hAnsi="ITC Avant Garde"/>
                      <w:sz w:val="18"/>
                      <w:szCs w:val="18"/>
                    </w:rPr>
                    <w:t xml:space="preserve">del IFT. </w:t>
                  </w:r>
                </w:p>
                <w:p w14:paraId="4E66C145" w14:textId="77777777" w:rsidR="00E812F7" w:rsidRDefault="00E812F7" w:rsidP="003D7CA5">
                  <w:pPr>
                    <w:jc w:val="both"/>
                    <w:rPr>
                      <w:rFonts w:ascii="ITC Avant Garde" w:hAnsi="ITC Avant Garde"/>
                      <w:sz w:val="18"/>
                      <w:szCs w:val="18"/>
                    </w:rPr>
                  </w:pPr>
                </w:p>
                <w:p w14:paraId="1A40DA93" w14:textId="1AFD6461" w:rsidR="004D3B21" w:rsidRDefault="004D3B21" w:rsidP="003D7CA5">
                  <w:pPr>
                    <w:jc w:val="both"/>
                    <w:rPr>
                      <w:rFonts w:ascii="ITC Avant Garde" w:hAnsi="ITC Avant Garde"/>
                      <w:sz w:val="18"/>
                      <w:szCs w:val="18"/>
                    </w:rPr>
                  </w:pPr>
                  <w:r w:rsidRPr="004D3B21">
                    <w:rPr>
                      <w:rFonts w:ascii="ITC Avant Garde" w:hAnsi="ITC Avant Garde"/>
                      <w:sz w:val="18"/>
                      <w:szCs w:val="18"/>
                    </w:rPr>
                    <w:t xml:space="preserve">En tal virtud, resulta necesario, entre otras acciones, la </w:t>
                  </w:r>
                  <w:r w:rsidR="000B2437">
                    <w:rPr>
                      <w:rFonts w:ascii="ITC Avant Garde" w:hAnsi="ITC Avant Garde"/>
                      <w:sz w:val="18"/>
                      <w:szCs w:val="18"/>
                    </w:rPr>
                    <w:t xml:space="preserve">emisión de los </w:t>
                  </w:r>
                  <w:r w:rsidR="00AC0FEC" w:rsidRPr="00520AF8">
                    <w:rPr>
                      <w:rFonts w:ascii="ITC Avant Garde" w:hAnsi="ITC Avant Garde"/>
                      <w:sz w:val="18"/>
                      <w:szCs w:val="18"/>
                    </w:rPr>
                    <w:t xml:space="preserve">Lineamientos para integrar el acervo estadístico del </w:t>
                  </w:r>
                  <w:r w:rsidR="00AC0FEC">
                    <w:rPr>
                      <w:rFonts w:ascii="ITC Avant Garde" w:hAnsi="ITC Avant Garde"/>
                      <w:sz w:val="18"/>
                      <w:szCs w:val="18"/>
                    </w:rPr>
                    <w:t>IFT</w:t>
                  </w:r>
                  <w:r w:rsidR="000B2437">
                    <w:rPr>
                      <w:rFonts w:ascii="ITC Avant Garde" w:hAnsi="ITC Avant Garde"/>
                      <w:sz w:val="18"/>
                      <w:szCs w:val="18"/>
                    </w:rPr>
                    <w:t>.</w:t>
                  </w:r>
                </w:p>
                <w:p w14:paraId="3A0F5AC2" w14:textId="65226B2E" w:rsidR="003A5DBB" w:rsidRPr="00451B7D" w:rsidRDefault="003A5DBB" w:rsidP="003A5DBB">
                  <w:pPr>
                    <w:rPr>
                      <w:rFonts w:ascii="ITC Avant Garde" w:hAnsi="ITC Avant Garde"/>
                      <w:sz w:val="18"/>
                      <w:szCs w:val="18"/>
                    </w:rPr>
                  </w:pPr>
                </w:p>
              </w:tc>
            </w:tr>
            <w:tr w:rsidR="00BE7D1C" w:rsidRPr="00451B7D" w14:paraId="504B2907" w14:textId="77777777" w:rsidTr="003F600A">
              <w:sdt>
                <w:sdtPr>
                  <w:rPr>
                    <w:rFonts w:ascii="ITC Avant Garde" w:hAnsi="ITC Avant Garde"/>
                    <w:i/>
                    <w:sz w:val="18"/>
                    <w:szCs w:val="18"/>
                  </w:rPr>
                  <w:alias w:val="Alternativa evaluada"/>
                  <w:tag w:val="Alternativa evaluada"/>
                  <w:id w:val="946584835"/>
                  <w:placeholder>
                    <w:docPart w:val="5CAECFA481BF4B18BAA1A109B5DCE30F"/>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0B39F70" w14:textId="7446E109" w:rsidR="00BE7D1C" w:rsidRPr="00451B7D" w:rsidRDefault="00DF5C23" w:rsidP="003F600A">
                      <w:pPr>
                        <w:rPr>
                          <w:rFonts w:ascii="ITC Avant Garde" w:hAnsi="ITC Avant Garde"/>
                          <w:i/>
                          <w:sz w:val="18"/>
                          <w:szCs w:val="18"/>
                        </w:rPr>
                      </w:pPr>
                      <w:r>
                        <w:rPr>
                          <w:rFonts w:ascii="ITC Avant Garde" w:hAnsi="ITC Avant Garde"/>
                          <w:i/>
                          <w:sz w:val="18"/>
                          <w:szCs w:val="18"/>
                        </w:rPr>
                        <w:t>Otro tipo de regulación</w:t>
                      </w:r>
                    </w:p>
                  </w:tc>
                </w:sdtContent>
              </w:sdt>
              <w:tc>
                <w:tcPr>
                  <w:tcW w:w="2684" w:type="dxa"/>
                  <w:tcBorders>
                    <w:left w:val="single" w:sz="12" w:space="0" w:color="auto"/>
                  </w:tcBorders>
                </w:tcPr>
                <w:p w14:paraId="45F86C45" w14:textId="61D8758E" w:rsidR="00BE7D1C" w:rsidRPr="00451B7D" w:rsidRDefault="00AC0FEC" w:rsidP="003D7CA5">
                  <w:pPr>
                    <w:jc w:val="center"/>
                    <w:rPr>
                      <w:rFonts w:ascii="ITC Avant Garde" w:hAnsi="ITC Avant Garde"/>
                      <w:sz w:val="18"/>
                      <w:szCs w:val="18"/>
                    </w:rPr>
                  </w:pPr>
                  <w:r>
                    <w:rPr>
                      <w:rFonts w:ascii="ITC Avant Garde" w:hAnsi="ITC Avant Garde"/>
                      <w:sz w:val="18"/>
                      <w:szCs w:val="18"/>
                    </w:rPr>
                    <w:t>Establecer un calendario de sesiones de trabajo anual para los regulados a fin de que el IFT exponga las adecuaciones necesarias que atiendan las demandas de información del sector en términos de las mejores prácticas internacionales. Las solicitudes de información se realizarían de manera simultánea a las propias obligaciones previstas en los Lineamientos.</w:t>
                  </w:r>
                </w:p>
              </w:tc>
              <w:tc>
                <w:tcPr>
                  <w:tcW w:w="3969" w:type="dxa"/>
                </w:tcPr>
                <w:p w14:paraId="665E7213" w14:textId="3386DB0A" w:rsidR="00BE7D1C" w:rsidRPr="00451B7D" w:rsidRDefault="00DF5C23" w:rsidP="00DF5C23">
                  <w:pPr>
                    <w:jc w:val="both"/>
                    <w:rPr>
                      <w:rFonts w:ascii="ITC Avant Garde" w:hAnsi="ITC Avant Garde"/>
                      <w:sz w:val="18"/>
                      <w:szCs w:val="18"/>
                    </w:rPr>
                  </w:pPr>
                  <w:r>
                    <w:rPr>
                      <w:rFonts w:ascii="ITC Avant Garde" w:hAnsi="ITC Avant Garde"/>
                      <w:sz w:val="18"/>
                      <w:szCs w:val="18"/>
                    </w:rPr>
                    <w:t>Esta alternativa no es viable al considerarse ineficiente y contrari</w:t>
                  </w:r>
                  <w:r w:rsidR="00FA4E7E">
                    <w:rPr>
                      <w:rFonts w:ascii="ITC Avant Garde" w:hAnsi="ITC Avant Garde"/>
                      <w:sz w:val="18"/>
                      <w:szCs w:val="18"/>
                    </w:rPr>
                    <w:t>a</w:t>
                  </w:r>
                  <w:r>
                    <w:rPr>
                      <w:rFonts w:ascii="ITC Avant Garde" w:hAnsi="ITC Avant Garde"/>
                      <w:sz w:val="18"/>
                      <w:szCs w:val="18"/>
                    </w:rPr>
                    <w:t xml:space="preserve"> a la mejora regulatoria</w:t>
                  </w:r>
                  <w:r w:rsidR="00B81B81">
                    <w:rPr>
                      <w:rFonts w:ascii="ITC Avant Garde" w:hAnsi="ITC Avant Garde"/>
                      <w:sz w:val="18"/>
                      <w:szCs w:val="18"/>
                    </w:rPr>
                    <w:t>, al agregar obligaciones adicionales a las establecidas en los Lineamientos</w:t>
                  </w:r>
                  <w:r>
                    <w:rPr>
                      <w:rFonts w:ascii="ITC Avant Garde" w:hAnsi="ITC Avant Garde"/>
                      <w:sz w:val="18"/>
                      <w:szCs w:val="18"/>
                    </w:rPr>
                    <w:t xml:space="preserve">. </w:t>
                  </w:r>
                  <w:r w:rsidR="00FA4E7E">
                    <w:rPr>
                      <w:rFonts w:ascii="ITC Avant Garde" w:hAnsi="ITC Avant Garde"/>
                      <w:sz w:val="18"/>
                      <w:szCs w:val="18"/>
                    </w:rPr>
                    <w:t>Además</w:t>
                  </w:r>
                  <w:r w:rsidR="00C57F9E">
                    <w:rPr>
                      <w:rFonts w:ascii="ITC Avant Garde" w:hAnsi="ITC Avant Garde"/>
                      <w:sz w:val="18"/>
                      <w:szCs w:val="18"/>
                    </w:rPr>
                    <w:t xml:space="preserve">, </w:t>
                  </w:r>
                  <w:r w:rsidR="00B81B81">
                    <w:rPr>
                      <w:rFonts w:ascii="ITC Avant Garde" w:hAnsi="ITC Avant Garde"/>
                      <w:sz w:val="18"/>
                      <w:szCs w:val="18"/>
                    </w:rPr>
                    <w:t xml:space="preserve">esta alternativa es contraria a lo dispuesto </w:t>
                  </w:r>
                  <w:r w:rsidR="00C57F9E">
                    <w:rPr>
                      <w:rFonts w:ascii="ITC Avant Garde" w:hAnsi="ITC Avant Garde"/>
                      <w:sz w:val="18"/>
                      <w:szCs w:val="18"/>
                    </w:rPr>
                    <w:t>en los Lineamientos</w:t>
                  </w:r>
                  <w:r w:rsidR="00B81B81">
                    <w:rPr>
                      <w:rFonts w:ascii="ITC Avant Garde" w:hAnsi="ITC Avant Garde"/>
                      <w:sz w:val="18"/>
                      <w:szCs w:val="18"/>
                    </w:rPr>
                    <w:t>, donde</w:t>
                  </w:r>
                  <w:r w:rsidR="00C57F9E">
                    <w:rPr>
                      <w:rFonts w:ascii="ITC Avant Garde" w:hAnsi="ITC Avant Garde"/>
                      <w:sz w:val="18"/>
                      <w:szCs w:val="18"/>
                    </w:rPr>
                    <w:t xml:space="preserve"> se prevé la revisión a</w:t>
                  </w:r>
                  <w:r w:rsidR="00C57F9E" w:rsidRPr="00C57F9E">
                    <w:rPr>
                      <w:rFonts w:ascii="ITC Avant Garde" w:hAnsi="ITC Avant Garde"/>
                      <w:sz w:val="18"/>
                      <w:szCs w:val="18"/>
                    </w:rPr>
                    <w:t xml:space="preserve"> dicha disposición</w:t>
                  </w:r>
                  <w:r w:rsidRPr="00C57F9E">
                    <w:rPr>
                      <w:rFonts w:ascii="ITC Avant Garde" w:hAnsi="ITC Avant Garde"/>
                      <w:sz w:val="18"/>
                      <w:szCs w:val="18"/>
                    </w:rPr>
                    <w:t>, a efecto de determinar, en su caso, cualquier modificación a los mismos</w:t>
                  </w:r>
                  <w:r w:rsidR="00FA4E7E">
                    <w:rPr>
                      <w:rFonts w:ascii="ITC Avant Garde" w:hAnsi="ITC Avant Garde"/>
                      <w:sz w:val="18"/>
                      <w:szCs w:val="18"/>
                    </w:rPr>
                    <w:t>.</w:t>
                  </w:r>
                </w:p>
              </w:tc>
            </w:tr>
          </w:tbl>
          <w:p w14:paraId="3DD0A069" w14:textId="77777777" w:rsidR="00BE7D1C" w:rsidRPr="00451B7D" w:rsidRDefault="00BE7D1C" w:rsidP="003F600A">
            <w:pPr>
              <w:jc w:val="both"/>
              <w:rPr>
                <w:rFonts w:ascii="ITC Avant Garde" w:hAnsi="ITC Avant Garde"/>
                <w:sz w:val="18"/>
                <w:szCs w:val="18"/>
              </w:rPr>
            </w:pPr>
          </w:p>
        </w:tc>
      </w:tr>
    </w:tbl>
    <w:p w14:paraId="51FDB038" w14:textId="4B8A0D97" w:rsidR="00634DE8" w:rsidRDefault="00634DE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E7D1C" w:rsidRPr="00451B7D" w14:paraId="686C9D4A" w14:textId="77777777" w:rsidTr="003F600A">
        <w:tc>
          <w:tcPr>
            <w:tcW w:w="8828" w:type="dxa"/>
          </w:tcPr>
          <w:p w14:paraId="34F02CB1" w14:textId="324C7F87" w:rsidR="00BE7D1C" w:rsidRPr="00451B7D" w:rsidRDefault="00BE7D1C" w:rsidP="003F600A">
            <w:pPr>
              <w:jc w:val="both"/>
              <w:rPr>
                <w:rFonts w:ascii="ITC Avant Garde" w:hAnsi="ITC Avant Garde"/>
                <w:b/>
                <w:sz w:val="18"/>
                <w:szCs w:val="18"/>
              </w:rPr>
            </w:pPr>
            <w:r w:rsidRPr="00451B7D">
              <w:rPr>
                <w:rFonts w:ascii="ITC Avant Garde" w:hAnsi="ITC Avant Garde"/>
                <w:b/>
                <w:sz w:val="18"/>
                <w:szCs w:val="18"/>
              </w:rPr>
              <w:t>4.- Justifique las razones por las que considera que la propuesta de regulación no genera costos de cumplimiento, independientemente de los beneficios que ésta genere:</w:t>
            </w:r>
          </w:p>
          <w:p w14:paraId="7CEF5AB6" w14:textId="77777777" w:rsidR="00BE7D1C" w:rsidRPr="00451B7D" w:rsidRDefault="00BE7D1C" w:rsidP="003F600A">
            <w:pPr>
              <w:jc w:val="both"/>
              <w:rPr>
                <w:rFonts w:ascii="ITC Avant Garde" w:hAnsi="ITC Avant Garde"/>
                <w:sz w:val="18"/>
                <w:szCs w:val="18"/>
              </w:rPr>
            </w:pPr>
          </w:p>
          <w:p w14:paraId="1444FF5C" w14:textId="73ACC20B" w:rsidR="00BE562E" w:rsidRPr="00626423" w:rsidRDefault="00092911" w:rsidP="00BE562E">
            <w:pPr>
              <w:jc w:val="both"/>
              <w:rPr>
                <w:rFonts w:ascii="ITC Avant Garde" w:hAnsi="ITC Avant Garde"/>
                <w:sz w:val="18"/>
                <w:szCs w:val="18"/>
              </w:rPr>
            </w:pPr>
            <w:r>
              <w:rPr>
                <w:rFonts w:ascii="ITC Avant Garde" w:hAnsi="ITC Avant Garde"/>
                <w:sz w:val="18"/>
                <w:szCs w:val="18"/>
              </w:rPr>
              <w:t xml:space="preserve">El </w:t>
            </w:r>
            <w:r w:rsidRPr="00092911">
              <w:rPr>
                <w:rFonts w:ascii="ITC Avant Garde" w:hAnsi="ITC Avant Garde"/>
                <w:sz w:val="18"/>
                <w:szCs w:val="18"/>
              </w:rPr>
              <w:t>ACUERDO MEDIANTE EL CUAL EL PLENO DEL INSTITUTO FEDERAL DE TELECOMUNICACIONES APRUEBA Y EMITE LOS “LINEAMIENTOS PARA INTEGRAR EL ACERVO ESTADÍSTICO DEL INSTITUTO FEDERAL DE TELECOMUNICACIONES”</w:t>
            </w:r>
            <w:r w:rsidR="00BE562E" w:rsidRPr="00626423">
              <w:rPr>
                <w:rFonts w:ascii="ITC Avant Garde" w:hAnsi="ITC Avant Garde"/>
                <w:sz w:val="18"/>
                <w:szCs w:val="18"/>
              </w:rPr>
              <w:t>, no genera costos de cumplimiento,</w:t>
            </w:r>
            <w:r w:rsidR="00626423" w:rsidRPr="00626423">
              <w:rPr>
                <w:rFonts w:ascii="ITC Avant Garde" w:hAnsi="ITC Avant Garde"/>
                <w:sz w:val="18"/>
                <w:szCs w:val="18"/>
              </w:rPr>
              <w:t xml:space="preserve"> </w:t>
            </w:r>
            <w:r w:rsidR="00BE562E" w:rsidRPr="00626423">
              <w:rPr>
                <w:rFonts w:ascii="ITC Avant Garde" w:hAnsi="ITC Avant Garde"/>
                <w:sz w:val="18"/>
                <w:szCs w:val="18"/>
              </w:rPr>
              <w:t>a partir de lo siguiente:</w:t>
            </w:r>
          </w:p>
          <w:p w14:paraId="53AEB191" w14:textId="77777777" w:rsidR="00BE562E" w:rsidRPr="00036A41" w:rsidRDefault="00BE562E" w:rsidP="00BE562E">
            <w:pPr>
              <w:jc w:val="both"/>
              <w:rPr>
                <w:rFonts w:ascii="ITC Avant Garde" w:hAnsi="ITC Avant Garde"/>
                <w:sz w:val="18"/>
                <w:szCs w:val="18"/>
              </w:rPr>
            </w:pPr>
          </w:p>
          <w:p w14:paraId="36053015" w14:textId="2064438D" w:rsidR="00BE562E" w:rsidRPr="00626423" w:rsidRDefault="00BE562E" w:rsidP="00626423">
            <w:pPr>
              <w:pStyle w:val="Prrafodelista"/>
              <w:numPr>
                <w:ilvl w:val="0"/>
                <w:numId w:val="9"/>
              </w:numPr>
              <w:jc w:val="both"/>
              <w:rPr>
                <w:rFonts w:ascii="ITC Avant Garde" w:hAnsi="ITC Avant Garde"/>
                <w:sz w:val="18"/>
                <w:szCs w:val="18"/>
              </w:rPr>
            </w:pPr>
            <w:r w:rsidRPr="00626423">
              <w:rPr>
                <w:rFonts w:ascii="ITC Avant Garde" w:hAnsi="ITC Avant Garde"/>
                <w:sz w:val="18"/>
                <w:szCs w:val="18"/>
              </w:rPr>
              <w:t>No crea nuevas obligaciones ni hace más estrictas las existentes;</w:t>
            </w:r>
          </w:p>
          <w:p w14:paraId="0012704C" w14:textId="4430057A" w:rsidR="00BE562E" w:rsidRPr="00626423" w:rsidRDefault="00BE562E" w:rsidP="00626423">
            <w:pPr>
              <w:pStyle w:val="Prrafodelista"/>
              <w:numPr>
                <w:ilvl w:val="0"/>
                <w:numId w:val="9"/>
              </w:numPr>
              <w:jc w:val="both"/>
              <w:rPr>
                <w:rFonts w:ascii="ITC Avant Garde" w:hAnsi="ITC Avant Garde"/>
                <w:sz w:val="18"/>
                <w:szCs w:val="18"/>
              </w:rPr>
            </w:pPr>
            <w:r w:rsidRPr="00626423">
              <w:rPr>
                <w:rFonts w:ascii="ITC Avant Garde" w:hAnsi="ITC Avant Garde"/>
                <w:sz w:val="18"/>
                <w:szCs w:val="18"/>
              </w:rPr>
              <w:t>No crea ni modifica Trámites</w:t>
            </w:r>
            <w:r w:rsidR="00897B80">
              <w:rPr>
                <w:rStyle w:val="Refdenotaalpie"/>
                <w:rFonts w:ascii="ITC Avant Garde" w:hAnsi="ITC Avant Garde"/>
                <w:sz w:val="18"/>
                <w:szCs w:val="18"/>
              </w:rPr>
              <w:footnoteReference w:id="3"/>
            </w:r>
            <w:r w:rsidRPr="00626423">
              <w:rPr>
                <w:rFonts w:ascii="ITC Avant Garde" w:hAnsi="ITC Avant Garde"/>
                <w:sz w:val="18"/>
                <w:szCs w:val="18"/>
              </w:rPr>
              <w:t xml:space="preserve"> (salvo cuando dicha modificación los simplifica);</w:t>
            </w:r>
          </w:p>
          <w:p w14:paraId="5E6ABED7" w14:textId="55E856AE" w:rsidR="00BE562E" w:rsidRPr="00626423" w:rsidRDefault="00BE562E" w:rsidP="00626423">
            <w:pPr>
              <w:pStyle w:val="Prrafodelista"/>
              <w:numPr>
                <w:ilvl w:val="0"/>
                <w:numId w:val="9"/>
              </w:numPr>
              <w:jc w:val="both"/>
              <w:rPr>
                <w:rFonts w:ascii="ITC Avant Garde" w:hAnsi="ITC Avant Garde"/>
                <w:sz w:val="18"/>
                <w:szCs w:val="18"/>
              </w:rPr>
            </w:pPr>
            <w:r w:rsidRPr="00626423">
              <w:rPr>
                <w:rFonts w:ascii="ITC Avant Garde" w:hAnsi="ITC Avant Garde"/>
                <w:sz w:val="18"/>
                <w:szCs w:val="18"/>
              </w:rPr>
              <w:t>No reduce ni restringe derechos o prestaciones a los particulares;</w:t>
            </w:r>
          </w:p>
          <w:p w14:paraId="55198FA4" w14:textId="3CA160E6" w:rsidR="00BE7D1C" w:rsidRPr="00626423" w:rsidRDefault="00BE562E" w:rsidP="00626423">
            <w:pPr>
              <w:pStyle w:val="Prrafodelista"/>
              <w:numPr>
                <w:ilvl w:val="0"/>
                <w:numId w:val="9"/>
              </w:numPr>
              <w:jc w:val="both"/>
              <w:rPr>
                <w:rFonts w:ascii="ITC Avant Garde" w:hAnsi="ITC Avant Garde"/>
                <w:sz w:val="18"/>
                <w:szCs w:val="18"/>
              </w:rPr>
            </w:pPr>
            <w:r w:rsidRPr="00626423">
              <w:rPr>
                <w:rFonts w:ascii="ITC Avant Garde" w:hAnsi="ITC Avant Garde"/>
                <w:sz w:val="18"/>
                <w:szCs w:val="18"/>
              </w:rPr>
              <w:t>No establece ni modifica definiciones, clasificaciones, metodologías, criterios,</w:t>
            </w:r>
            <w:r w:rsidR="00626423">
              <w:rPr>
                <w:rFonts w:ascii="ITC Avant Garde" w:hAnsi="ITC Avant Garde"/>
                <w:sz w:val="18"/>
                <w:szCs w:val="18"/>
              </w:rPr>
              <w:t xml:space="preserve"> </w:t>
            </w:r>
            <w:r w:rsidRPr="00626423">
              <w:rPr>
                <w:rFonts w:ascii="ITC Avant Garde" w:hAnsi="ITC Avant Garde"/>
                <w:sz w:val="18"/>
                <w:szCs w:val="18"/>
              </w:rPr>
              <w:t>caracterizaciones o cualquier otro término de referencia, afectando derechos, obligaciones,</w:t>
            </w:r>
            <w:r w:rsidR="00626423">
              <w:rPr>
                <w:rFonts w:ascii="ITC Avant Garde" w:hAnsi="ITC Avant Garde"/>
                <w:sz w:val="18"/>
                <w:szCs w:val="18"/>
              </w:rPr>
              <w:t xml:space="preserve"> </w:t>
            </w:r>
            <w:r w:rsidRPr="00626423">
              <w:rPr>
                <w:rFonts w:ascii="ITC Avant Garde" w:hAnsi="ITC Avant Garde"/>
                <w:sz w:val="18"/>
                <w:szCs w:val="18"/>
              </w:rPr>
              <w:t>prestaciones o trámites.</w:t>
            </w:r>
          </w:p>
          <w:p w14:paraId="768FC72E" w14:textId="77777777" w:rsidR="00092911" w:rsidRDefault="00092911" w:rsidP="00BE562E">
            <w:pPr>
              <w:jc w:val="both"/>
              <w:rPr>
                <w:rFonts w:ascii="ITC Avant Garde" w:hAnsi="ITC Avant Garde"/>
                <w:sz w:val="18"/>
                <w:szCs w:val="18"/>
              </w:rPr>
            </w:pPr>
          </w:p>
          <w:p w14:paraId="6CB817AE" w14:textId="04210CE9" w:rsidR="00320B7F" w:rsidRDefault="00320B7F" w:rsidP="00092911">
            <w:pPr>
              <w:jc w:val="both"/>
              <w:rPr>
                <w:rFonts w:ascii="ITC Avant Garde" w:hAnsi="ITC Avant Garde"/>
                <w:sz w:val="18"/>
                <w:szCs w:val="18"/>
              </w:rPr>
            </w:pPr>
            <w:r>
              <w:rPr>
                <w:rFonts w:ascii="ITC Avant Garde" w:hAnsi="ITC Avant Garde"/>
                <w:sz w:val="18"/>
                <w:szCs w:val="18"/>
              </w:rPr>
              <w:t>La emisión de los Lineamientos para integrar el Acervo Estadístico de IFT no ocasiona afectaciones a los derechos, obligaciones, prestaciones o trámites relacionados con los sujetos regulados.</w:t>
            </w:r>
          </w:p>
          <w:p w14:paraId="02F8E84B" w14:textId="21F427B7" w:rsidR="00320B7F" w:rsidRDefault="00320B7F" w:rsidP="00092911">
            <w:pPr>
              <w:jc w:val="both"/>
              <w:rPr>
                <w:rFonts w:ascii="ITC Avant Garde" w:hAnsi="ITC Avant Garde"/>
                <w:sz w:val="18"/>
                <w:szCs w:val="18"/>
              </w:rPr>
            </w:pPr>
          </w:p>
          <w:p w14:paraId="2AB5D21B" w14:textId="052CF10B" w:rsidR="00F23918" w:rsidRDefault="00320B7F" w:rsidP="00092911">
            <w:pPr>
              <w:jc w:val="both"/>
              <w:rPr>
                <w:rFonts w:ascii="ITC Avant Garde" w:hAnsi="ITC Avant Garde"/>
                <w:sz w:val="18"/>
                <w:szCs w:val="18"/>
              </w:rPr>
            </w:pPr>
            <w:r>
              <w:rPr>
                <w:rFonts w:ascii="ITC Avant Garde" w:hAnsi="ITC Avant Garde"/>
                <w:sz w:val="18"/>
                <w:szCs w:val="18"/>
                <w:lang w:val="es-ES"/>
              </w:rPr>
              <w:t xml:space="preserve">Los </w:t>
            </w:r>
            <w:r w:rsidRPr="00320B7F">
              <w:rPr>
                <w:rFonts w:ascii="ITC Avant Garde" w:hAnsi="ITC Avant Garde"/>
                <w:sz w:val="18"/>
                <w:szCs w:val="18"/>
              </w:rPr>
              <w:t xml:space="preserve">Lineamientos para integrar el Acervo Estadístico de IFT </w:t>
            </w:r>
            <w:r w:rsidR="00F23918">
              <w:rPr>
                <w:rFonts w:ascii="ITC Avant Garde" w:hAnsi="ITC Avant Garde"/>
                <w:sz w:val="18"/>
                <w:szCs w:val="18"/>
              </w:rPr>
              <w:t>tienen por</w:t>
            </w:r>
            <w:r w:rsidRPr="00320B7F">
              <w:rPr>
                <w:rFonts w:ascii="ITC Avant Garde" w:hAnsi="ITC Avant Garde"/>
                <w:sz w:val="18"/>
                <w:szCs w:val="18"/>
              </w:rPr>
              <w:t xml:space="preserve"> </w:t>
            </w:r>
            <w:r w:rsidR="00ED3272">
              <w:rPr>
                <w:rFonts w:ascii="ITC Avant Garde" w:hAnsi="ITC Avant Garde"/>
                <w:sz w:val="18"/>
                <w:szCs w:val="18"/>
              </w:rPr>
              <w:t xml:space="preserve">objeto </w:t>
            </w:r>
            <w:r w:rsidRPr="00320B7F">
              <w:rPr>
                <w:rFonts w:ascii="ITC Avant Garde" w:hAnsi="ITC Avant Garde"/>
                <w:sz w:val="18"/>
                <w:szCs w:val="18"/>
              </w:rPr>
              <w:t>establecer la metodología y periodicidad con la que deberán cumplir ante el Instituto los Operadores del sector de telecomunicaciones;</w:t>
            </w:r>
            <w:r>
              <w:rPr>
                <w:rFonts w:ascii="ITC Avant Garde" w:hAnsi="ITC Avant Garde"/>
                <w:sz w:val="18"/>
                <w:szCs w:val="18"/>
              </w:rPr>
              <w:t xml:space="preserve"> </w:t>
            </w:r>
            <w:r w:rsidRPr="00320B7F">
              <w:rPr>
                <w:rFonts w:ascii="ITC Avant Garde" w:hAnsi="ITC Avant Garde"/>
                <w:sz w:val="18"/>
                <w:szCs w:val="18"/>
              </w:rPr>
              <w:t>los eFormatos mediante los cuales los Operadores del sector de telecomunicaciones darán cumplimiento, y el Catálogo de Claves de Información que se empleará para las desagregaciones que se determinen en dichos eFormato</w:t>
            </w:r>
            <w:r w:rsidR="00F23918">
              <w:rPr>
                <w:rFonts w:ascii="ITC Avant Garde" w:hAnsi="ITC Avant Garde"/>
                <w:sz w:val="18"/>
                <w:szCs w:val="18"/>
              </w:rPr>
              <w:t>.</w:t>
            </w:r>
          </w:p>
          <w:p w14:paraId="79680416" w14:textId="2671BDF3" w:rsidR="00E16857" w:rsidRDefault="00E16857" w:rsidP="00092911">
            <w:pPr>
              <w:jc w:val="both"/>
              <w:rPr>
                <w:rFonts w:ascii="ITC Avant Garde" w:hAnsi="ITC Avant Garde"/>
                <w:sz w:val="18"/>
                <w:szCs w:val="18"/>
              </w:rPr>
            </w:pPr>
          </w:p>
          <w:p w14:paraId="7319D548" w14:textId="0429BBA6" w:rsidR="00E16857" w:rsidRPr="00320B7F" w:rsidRDefault="00E16857" w:rsidP="00E16857">
            <w:pPr>
              <w:jc w:val="both"/>
              <w:rPr>
                <w:rFonts w:ascii="ITC Avant Garde" w:hAnsi="ITC Avant Garde"/>
                <w:sz w:val="18"/>
                <w:szCs w:val="18"/>
              </w:rPr>
            </w:pPr>
            <w:r>
              <w:rPr>
                <w:rFonts w:ascii="ITC Avant Garde" w:hAnsi="ITC Avant Garde"/>
                <w:sz w:val="18"/>
                <w:szCs w:val="18"/>
              </w:rPr>
              <w:t xml:space="preserve">Lo anterior, </w:t>
            </w:r>
            <w:r w:rsidRPr="00F23918">
              <w:rPr>
                <w:rFonts w:ascii="ITC Avant Garde" w:hAnsi="ITC Avant Garde"/>
                <w:sz w:val="18"/>
                <w:szCs w:val="18"/>
              </w:rPr>
              <w:t xml:space="preserve">con el propósito de simplificar, clasificar y homologar elementos comunes de información bajo criterios de eficiencia, estandarización, precisión, sencillez, claridad y transparencia que permitan dar oportuno y adecuado cumplimiento a las obligaciones de entrega de información y, al mismo tiempo, </w:t>
            </w:r>
            <w:r>
              <w:rPr>
                <w:rFonts w:ascii="ITC Avant Garde" w:hAnsi="ITC Avant Garde"/>
                <w:sz w:val="18"/>
                <w:szCs w:val="18"/>
              </w:rPr>
              <w:t xml:space="preserve">ante un entorno convergente de tecnologías y servicios, y una vez identificadas las áreas de </w:t>
            </w:r>
            <w:r w:rsidR="00657AAB">
              <w:rPr>
                <w:rFonts w:ascii="ITC Avant Garde" w:hAnsi="ITC Avant Garde"/>
                <w:sz w:val="18"/>
                <w:szCs w:val="18"/>
              </w:rPr>
              <w:t>mejora</w:t>
            </w:r>
            <w:r>
              <w:rPr>
                <w:rFonts w:ascii="ITC Avant Garde" w:hAnsi="ITC Avant Garde"/>
                <w:sz w:val="18"/>
                <w:szCs w:val="18"/>
              </w:rPr>
              <w:t xml:space="preserve"> en términos de las mejores prácticas internaciones, con la </w:t>
            </w:r>
            <w:r>
              <w:rPr>
                <w:rFonts w:ascii="ITC Avant Garde" w:hAnsi="ITC Avant Garde"/>
                <w:sz w:val="18"/>
                <w:szCs w:val="18"/>
              </w:rPr>
              <w:lastRenderedPageBreak/>
              <w:t xml:space="preserve">emisión de los Lineamientos para integrar el Acervo Estadístico de IFT se garantiza la </w:t>
            </w:r>
            <w:r w:rsidRPr="00F23918">
              <w:rPr>
                <w:rFonts w:ascii="ITC Avant Garde" w:hAnsi="ITC Avant Garde"/>
                <w:sz w:val="18"/>
                <w:szCs w:val="18"/>
              </w:rPr>
              <w:t xml:space="preserve">seguridad y certidumbre jurídica </w:t>
            </w:r>
            <w:r>
              <w:rPr>
                <w:rFonts w:ascii="ITC Avant Garde" w:hAnsi="ITC Avant Garde"/>
                <w:sz w:val="18"/>
                <w:szCs w:val="18"/>
              </w:rPr>
              <w:t>para todo regulado</w:t>
            </w:r>
            <w:r w:rsidRPr="00F23918">
              <w:rPr>
                <w:rFonts w:ascii="ITC Avant Garde" w:hAnsi="ITC Avant Garde"/>
                <w:sz w:val="18"/>
                <w:szCs w:val="18"/>
              </w:rPr>
              <w:t>.</w:t>
            </w:r>
          </w:p>
          <w:p w14:paraId="3CE5589D" w14:textId="77777777" w:rsidR="00F23918" w:rsidRDefault="00F23918" w:rsidP="00092911">
            <w:pPr>
              <w:jc w:val="both"/>
              <w:rPr>
                <w:rFonts w:ascii="ITC Avant Garde" w:hAnsi="ITC Avant Garde"/>
                <w:sz w:val="18"/>
                <w:szCs w:val="18"/>
              </w:rPr>
            </w:pPr>
          </w:p>
          <w:p w14:paraId="184A2497" w14:textId="1C78F563" w:rsidR="00664A8B" w:rsidRDefault="00E16857" w:rsidP="00F23918">
            <w:pPr>
              <w:jc w:val="both"/>
              <w:rPr>
                <w:rFonts w:ascii="ITC Avant Garde" w:hAnsi="ITC Avant Garde"/>
                <w:sz w:val="18"/>
                <w:szCs w:val="18"/>
                <w:lang w:val="es-ES"/>
              </w:rPr>
            </w:pPr>
            <w:r>
              <w:rPr>
                <w:rFonts w:ascii="ITC Avant Garde" w:hAnsi="ITC Avant Garde"/>
                <w:sz w:val="18"/>
                <w:szCs w:val="18"/>
                <w:lang w:val="es-ES"/>
              </w:rPr>
              <w:t>Adicionalmente, l</w:t>
            </w:r>
            <w:r w:rsidR="00967963">
              <w:rPr>
                <w:rFonts w:ascii="ITC Avant Garde" w:hAnsi="ITC Avant Garde"/>
                <w:sz w:val="18"/>
                <w:szCs w:val="18"/>
                <w:lang w:val="es-ES"/>
              </w:rPr>
              <w:t xml:space="preserve">os regulados </w:t>
            </w:r>
            <w:r w:rsidR="00F23918">
              <w:rPr>
                <w:rFonts w:ascii="ITC Avant Garde" w:hAnsi="ITC Avant Garde"/>
                <w:sz w:val="18"/>
                <w:szCs w:val="18"/>
                <w:lang w:val="es-ES"/>
              </w:rPr>
              <w:t>tendrán tiempo suficiente</w:t>
            </w:r>
            <w:r w:rsidR="00967963">
              <w:rPr>
                <w:rFonts w:ascii="ITC Avant Garde" w:hAnsi="ITC Avant Garde"/>
                <w:sz w:val="18"/>
                <w:szCs w:val="18"/>
                <w:lang w:val="es-ES"/>
              </w:rPr>
              <w:t xml:space="preserve"> entre la emisión y entrada en vigor de los Lineamientos para integrar el Acervo Estadístico. Sin mencionar </w:t>
            </w:r>
            <w:r w:rsidR="00A75E22">
              <w:rPr>
                <w:rFonts w:ascii="ITC Avant Garde" w:hAnsi="ITC Avant Garde"/>
                <w:sz w:val="18"/>
                <w:szCs w:val="18"/>
                <w:lang w:val="es-ES"/>
              </w:rPr>
              <w:t>que los</w:t>
            </w:r>
            <w:r w:rsidR="00967963">
              <w:rPr>
                <w:rFonts w:ascii="ITC Avant Garde" w:hAnsi="ITC Avant Garde"/>
                <w:sz w:val="18"/>
                <w:szCs w:val="18"/>
                <w:lang w:val="es-ES"/>
              </w:rPr>
              <w:t xml:space="preserve"> </w:t>
            </w:r>
            <w:r w:rsidR="00361296">
              <w:rPr>
                <w:rFonts w:ascii="ITC Avant Garde" w:hAnsi="ITC Avant Garde"/>
                <w:sz w:val="18"/>
                <w:szCs w:val="18"/>
                <w:lang w:val="es-ES"/>
              </w:rPr>
              <w:t>operadores de servicios de telecomunicaciones que forman parte del Acervo Estadístico de IFT</w:t>
            </w:r>
            <w:r w:rsidR="00967963">
              <w:rPr>
                <w:rFonts w:ascii="ITC Avant Garde" w:hAnsi="ITC Avant Garde"/>
                <w:sz w:val="18"/>
                <w:szCs w:val="18"/>
                <w:lang w:val="es-ES"/>
              </w:rPr>
              <w:t xml:space="preserve"> se ha</w:t>
            </w:r>
            <w:r w:rsidR="00361296">
              <w:rPr>
                <w:rFonts w:ascii="ITC Avant Garde" w:hAnsi="ITC Avant Garde"/>
                <w:sz w:val="18"/>
                <w:szCs w:val="18"/>
                <w:lang w:val="es-ES"/>
              </w:rPr>
              <w:t>n</w:t>
            </w:r>
            <w:r w:rsidR="00967963">
              <w:rPr>
                <w:rFonts w:ascii="ITC Avant Garde" w:hAnsi="ITC Avant Garde"/>
                <w:sz w:val="18"/>
                <w:szCs w:val="18"/>
                <w:lang w:val="es-ES"/>
              </w:rPr>
              <w:t xml:space="preserve"> familiarizado </w:t>
            </w:r>
            <w:r w:rsidR="00664A8B">
              <w:rPr>
                <w:rFonts w:ascii="ITC Avant Garde" w:hAnsi="ITC Avant Garde"/>
                <w:sz w:val="18"/>
                <w:szCs w:val="18"/>
                <w:lang w:val="es-ES"/>
              </w:rPr>
              <w:t xml:space="preserve">previamente </w:t>
            </w:r>
            <w:r w:rsidR="00A75E22">
              <w:rPr>
                <w:rFonts w:ascii="ITC Avant Garde" w:hAnsi="ITC Avant Garde"/>
                <w:sz w:val="18"/>
                <w:szCs w:val="18"/>
                <w:lang w:val="es-ES"/>
              </w:rPr>
              <w:t xml:space="preserve">con la entrega de información en términos de </w:t>
            </w:r>
            <w:r w:rsidR="00657AAB">
              <w:rPr>
                <w:rFonts w:ascii="ITC Avant Garde" w:hAnsi="ITC Avant Garde"/>
                <w:sz w:val="18"/>
                <w:szCs w:val="18"/>
                <w:lang w:val="es-ES"/>
              </w:rPr>
              <w:t>l</w:t>
            </w:r>
            <w:r w:rsidR="00967963">
              <w:rPr>
                <w:rFonts w:ascii="ITC Avant Garde" w:hAnsi="ITC Avant Garde"/>
                <w:sz w:val="18"/>
                <w:szCs w:val="18"/>
                <w:lang w:val="es-ES"/>
              </w:rPr>
              <w:t xml:space="preserve">os Lineamientos </w:t>
            </w:r>
            <w:r w:rsidR="00657AAB">
              <w:rPr>
                <w:rFonts w:ascii="ITC Avant Garde" w:hAnsi="ITC Avant Garde"/>
                <w:sz w:val="18"/>
                <w:szCs w:val="18"/>
                <w:lang w:val="es-ES"/>
              </w:rPr>
              <w:t>que fueron publicados en el año</w:t>
            </w:r>
            <w:r w:rsidR="00967963">
              <w:rPr>
                <w:rFonts w:ascii="ITC Avant Garde" w:hAnsi="ITC Avant Garde"/>
                <w:sz w:val="18"/>
                <w:szCs w:val="18"/>
                <w:lang w:val="es-ES"/>
              </w:rPr>
              <w:t xml:space="preserve"> 2020</w:t>
            </w:r>
            <w:r w:rsidR="003F6F23">
              <w:rPr>
                <w:rFonts w:ascii="ITC Avant Garde" w:hAnsi="ITC Avant Garde"/>
                <w:sz w:val="18"/>
                <w:szCs w:val="18"/>
                <w:lang w:val="es-ES"/>
              </w:rPr>
              <w:t xml:space="preserve">. </w:t>
            </w:r>
          </w:p>
          <w:p w14:paraId="63F44B3A" w14:textId="77777777" w:rsidR="00664A8B" w:rsidRDefault="00664A8B" w:rsidP="00F23918">
            <w:pPr>
              <w:jc w:val="both"/>
              <w:rPr>
                <w:rFonts w:ascii="ITC Avant Garde" w:hAnsi="ITC Avant Garde"/>
                <w:sz w:val="18"/>
                <w:szCs w:val="18"/>
                <w:lang w:val="es-ES"/>
              </w:rPr>
            </w:pPr>
          </w:p>
          <w:p w14:paraId="069EE572" w14:textId="7A4D934A" w:rsidR="00F23918" w:rsidRDefault="003F6F23" w:rsidP="00F23918">
            <w:pPr>
              <w:jc w:val="both"/>
              <w:rPr>
                <w:rFonts w:ascii="ITC Avant Garde" w:hAnsi="ITC Avant Garde"/>
                <w:sz w:val="18"/>
                <w:szCs w:val="18"/>
                <w:lang w:val="es-ES"/>
              </w:rPr>
            </w:pPr>
            <w:r>
              <w:rPr>
                <w:rFonts w:ascii="ITC Avant Garde" w:hAnsi="ITC Avant Garde"/>
                <w:sz w:val="18"/>
                <w:szCs w:val="18"/>
                <w:lang w:val="es-ES"/>
              </w:rPr>
              <w:t>L</w:t>
            </w:r>
            <w:r w:rsidR="00967963">
              <w:rPr>
                <w:rFonts w:ascii="ITC Avant Garde" w:hAnsi="ITC Avant Garde"/>
                <w:sz w:val="18"/>
                <w:szCs w:val="18"/>
                <w:lang w:val="es-ES"/>
              </w:rPr>
              <w:t>a actual emisión</w:t>
            </w:r>
            <w:r>
              <w:rPr>
                <w:rFonts w:ascii="ITC Avant Garde" w:hAnsi="ITC Avant Garde"/>
                <w:sz w:val="18"/>
                <w:szCs w:val="18"/>
                <w:lang w:val="es-ES"/>
              </w:rPr>
              <w:t>, además de responder a una simplificación administrativa,</w:t>
            </w:r>
            <w:r w:rsidR="00967963">
              <w:rPr>
                <w:rFonts w:ascii="ITC Avant Garde" w:hAnsi="ITC Avant Garde"/>
                <w:sz w:val="18"/>
                <w:szCs w:val="18"/>
                <w:lang w:val="es-ES"/>
              </w:rPr>
              <w:t xml:space="preserve"> considera a su vez aquellas observaciones y áreas de mejora </w:t>
            </w:r>
            <w:r w:rsidR="00ED4836">
              <w:rPr>
                <w:rFonts w:ascii="ITC Avant Garde" w:hAnsi="ITC Avant Garde"/>
                <w:sz w:val="18"/>
                <w:szCs w:val="18"/>
                <w:lang w:val="es-ES"/>
              </w:rPr>
              <w:t xml:space="preserve">que fueron </w:t>
            </w:r>
            <w:r w:rsidR="00664A8B">
              <w:rPr>
                <w:rFonts w:ascii="ITC Avant Garde" w:hAnsi="ITC Avant Garde"/>
                <w:sz w:val="18"/>
                <w:szCs w:val="18"/>
                <w:lang w:val="es-ES"/>
              </w:rPr>
              <w:t xml:space="preserve">identificadas y/o </w:t>
            </w:r>
            <w:r>
              <w:rPr>
                <w:rFonts w:ascii="ITC Avant Garde" w:hAnsi="ITC Avant Garde"/>
                <w:sz w:val="18"/>
                <w:szCs w:val="18"/>
                <w:lang w:val="es-ES"/>
              </w:rPr>
              <w:t>compartidas por los propios regulados</w:t>
            </w:r>
            <w:r w:rsidR="00664A8B">
              <w:rPr>
                <w:rFonts w:ascii="ITC Avant Garde" w:hAnsi="ITC Avant Garde"/>
                <w:sz w:val="18"/>
                <w:szCs w:val="18"/>
                <w:lang w:val="es-ES"/>
              </w:rPr>
              <w:t xml:space="preserve"> desde 2020 a la fecha</w:t>
            </w:r>
            <w:r w:rsidR="00967963">
              <w:rPr>
                <w:rFonts w:ascii="ITC Avant Garde" w:hAnsi="ITC Avant Garde"/>
                <w:sz w:val="18"/>
                <w:szCs w:val="18"/>
                <w:lang w:val="es-ES"/>
              </w:rPr>
              <w:t xml:space="preserve">. </w:t>
            </w:r>
            <w:r w:rsidR="00ED4836">
              <w:rPr>
                <w:rFonts w:ascii="ITC Avant Garde" w:hAnsi="ITC Avant Garde"/>
                <w:sz w:val="18"/>
                <w:szCs w:val="18"/>
                <w:lang w:val="es-ES"/>
              </w:rPr>
              <w:t>Considerando todo lo anterior, y la experiencia acumulada</w:t>
            </w:r>
            <w:r w:rsidR="00664A8B">
              <w:rPr>
                <w:rFonts w:ascii="ITC Avant Garde" w:hAnsi="ITC Avant Garde"/>
                <w:sz w:val="18"/>
                <w:szCs w:val="18"/>
                <w:lang w:val="es-ES"/>
              </w:rPr>
              <w:t xml:space="preserve"> de los operadores,</w:t>
            </w:r>
            <w:r w:rsidR="00ED4836">
              <w:rPr>
                <w:rFonts w:ascii="ITC Avant Garde" w:hAnsi="ITC Avant Garde"/>
                <w:sz w:val="18"/>
                <w:szCs w:val="18"/>
                <w:lang w:val="es-ES"/>
              </w:rPr>
              <w:t xml:space="preserve"> </w:t>
            </w:r>
            <w:r w:rsidR="00967963">
              <w:rPr>
                <w:rFonts w:ascii="ITC Avant Garde" w:hAnsi="ITC Avant Garde"/>
                <w:sz w:val="18"/>
                <w:szCs w:val="18"/>
                <w:lang w:val="es-ES"/>
              </w:rPr>
              <w:t>se reducen</w:t>
            </w:r>
            <w:r w:rsidR="00F23918">
              <w:rPr>
                <w:rFonts w:ascii="ITC Avant Garde" w:hAnsi="ITC Avant Garde"/>
                <w:sz w:val="18"/>
                <w:szCs w:val="18"/>
                <w:lang w:val="es-ES"/>
              </w:rPr>
              <w:t xml:space="preserve"> </w:t>
            </w:r>
            <w:r w:rsidR="00967963">
              <w:rPr>
                <w:rFonts w:ascii="ITC Avant Garde" w:hAnsi="ITC Avant Garde"/>
                <w:sz w:val="18"/>
                <w:szCs w:val="18"/>
                <w:lang w:val="es-ES"/>
              </w:rPr>
              <w:t>los tiempos de la curva de aprendizaje de los propios regulados</w:t>
            </w:r>
            <w:r w:rsidR="00ED4836">
              <w:rPr>
                <w:rFonts w:ascii="ITC Avant Garde" w:hAnsi="ITC Avant Garde"/>
                <w:sz w:val="18"/>
                <w:szCs w:val="18"/>
                <w:lang w:val="es-ES"/>
              </w:rPr>
              <w:t>, beneficiándose</w:t>
            </w:r>
            <w:r w:rsidR="00664A8B">
              <w:rPr>
                <w:rFonts w:ascii="ITC Avant Garde" w:hAnsi="ITC Avant Garde"/>
                <w:sz w:val="18"/>
                <w:szCs w:val="18"/>
                <w:lang w:val="es-ES"/>
              </w:rPr>
              <w:t xml:space="preserve"> también</w:t>
            </w:r>
            <w:r w:rsidR="00ED4836">
              <w:rPr>
                <w:rFonts w:ascii="ITC Avant Garde" w:hAnsi="ITC Avant Garde"/>
                <w:sz w:val="18"/>
                <w:szCs w:val="18"/>
                <w:lang w:val="es-ES"/>
              </w:rPr>
              <w:t xml:space="preserve"> los nuevos entrantes con la simplificación, clarificación y homologación de los elementos establecidos en </w:t>
            </w:r>
            <w:r w:rsidR="00ED4836">
              <w:rPr>
                <w:rFonts w:ascii="ITC Avant Garde" w:hAnsi="ITC Avant Garde"/>
                <w:sz w:val="18"/>
                <w:szCs w:val="18"/>
              </w:rPr>
              <w:t>los Lineamientos para integrar el Acervo Estadístico de IFT.</w:t>
            </w:r>
          </w:p>
          <w:p w14:paraId="1C6B19F6" w14:textId="53CFC2FD" w:rsidR="003F6F23" w:rsidRDefault="003F6F23" w:rsidP="00F23918">
            <w:pPr>
              <w:jc w:val="both"/>
              <w:rPr>
                <w:rFonts w:ascii="ITC Avant Garde" w:hAnsi="ITC Avant Garde"/>
                <w:sz w:val="18"/>
                <w:szCs w:val="18"/>
                <w:lang w:val="es-ES"/>
              </w:rPr>
            </w:pPr>
          </w:p>
          <w:p w14:paraId="531D7D11" w14:textId="17D0A885" w:rsidR="00092911" w:rsidRDefault="00E16857" w:rsidP="00ED4836">
            <w:pPr>
              <w:pStyle w:val="texto0"/>
              <w:ind w:firstLine="0"/>
              <w:rPr>
                <w:rFonts w:ascii="ITC Avant Garde" w:hAnsi="ITC Avant Garde"/>
              </w:rPr>
            </w:pPr>
            <w:r>
              <w:rPr>
                <w:rFonts w:ascii="ITC Avant Garde" w:hAnsi="ITC Avant Garde"/>
                <w:lang w:val="es-ES"/>
              </w:rPr>
              <w:t>Los Lineamientos para integrar el Acervo Estadístico</w:t>
            </w:r>
            <w:r w:rsidR="003F6F23">
              <w:rPr>
                <w:rFonts w:ascii="ITC Avant Garde" w:hAnsi="ITC Avant Garde"/>
                <w:lang w:val="es-ES"/>
              </w:rPr>
              <w:t xml:space="preserve"> no actualiza ninguno de los supuestos establecidos en las fracciones I a IV del Lineamiento Vigésimo Primero de los Lineamientos de Consulta Pública y Análisis de Impacto Regulatorio del Instituto Federal de Telecomunicaciones, por lo </w:t>
            </w:r>
            <w:r>
              <w:rPr>
                <w:rFonts w:ascii="ITC Avant Garde" w:hAnsi="ITC Avant Garde"/>
                <w:lang w:val="es-ES"/>
              </w:rPr>
              <w:t>que,</w:t>
            </w:r>
            <w:r w:rsidR="003F6F23">
              <w:rPr>
                <w:rFonts w:ascii="ITC Avant Garde" w:hAnsi="ITC Avant Garde"/>
                <w:lang w:val="es-ES"/>
              </w:rPr>
              <w:t xml:space="preserve"> </w:t>
            </w:r>
            <w:r w:rsidR="0001148A">
              <w:rPr>
                <w:rFonts w:ascii="ITC Avant Garde" w:hAnsi="ITC Avant Garde"/>
                <w:lang w:val="es-ES"/>
              </w:rPr>
              <w:t>de acuerdo al</w:t>
            </w:r>
            <w:r w:rsidR="003F6F23">
              <w:rPr>
                <w:rFonts w:ascii="ITC Avant Garde" w:hAnsi="ITC Avant Garde"/>
                <w:lang w:val="es-ES"/>
              </w:rPr>
              <w:t xml:space="preserve"> último párrafo </w:t>
            </w:r>
            <w:r w:rsidR="0001148A">
              <w:rPr>
                <w:rFonts w:ascii="ITC Avant Garde" w:hAnsi="ITC Avant Garde"/>
                <w:lang w:val="es-ES"/>
              </w:rPr>
              <w:t>del Lineamiento Vigésimo Primero</w:t>
            </w:r>
            <w:r w:rsidR="003F6F23">
              <w:rPr>
                <w:rFonts w:ascii="ITC Avant Garde" w:hAnsi="ITC Avant Garde"/>
                <w:lang w:val="es-ES"/>
              </w:rPr>
              <w:t xml:space="preserve">, </w:t>
            </w:r>
            <w:r w:rsidRPr="00E16857">
              <w:rPr>
                <w:rFonts w:ascii="ITC Avant Garde" w:hAnsi="ITC Avant Garde"/>
                <w:lang w:val="es-ES"/>
              </w:rPr>
              <w:t xml:space="preserve">a la entrada en vigor de los </w:t>
            </w:r>
            <w:r>
              <w:rPr>
                <w:rFonts w:ascii="ITC Avant Garde" w:hAnsi="ITC Avant Garde"/>
                <w:lang w:val="es-ES"/>
              </w:rPr>
              <w:t>Lineamientos para integrar el Acervo Estadístico</w:t>
            </w:r>
            <w:r w:rsidRPr="00E16857">
              <w:rPr>
                <w:rFonts w:ascii="ITC Avant Garde" w:hAnsi="ITC Avant Garde"/>
                <w:lang w:val="es-ES"/>
              </w:rPr>
              <w:t xml:space="preserve"> no se generarán nuevos costos de cumplimiento.</w:t>
            </w:r>
          </w:p>
          <w:p w14:paraId="05780536" w14:textId="12EE180E" w:rsidR="00092911" w:rsidRPr="00451B7D" w:rsidRDefault="00092911" w:rsidP="00BE562E">
            <w:pPr>
              <w:jc w:val="both"/>
              <w:rPr>
                <w:rFonts w:ascii="ITC Avant Garde" w:hAnsi="ITC Avant Garde"/>
                <w:sz w:val="18"/>
                <w:szCs w:val="18"/>
              </w:rPr>
            </w:pPr>
          </w:p>
        </w:tc>
      </w:tr>
    </w:tbl>
    <w:p w14:paraId="1C286EAA" w14:textId="117AFE49" w:rsidR="00BE7D1C" w:rsidRDefault="00BE7D1C"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696"/>
        <w:gridCol w:w="5670"/>
        <w:gridCol w:w="1462"/>
      </w:tblGrid>
      <w:tr w:rsidR="00804F49" w:rsidRPr="00451B7D" w14:paraId="74024075" w14:textId="77777777" w:rsidTr="003949C0">
        <w:tc>
          <w:tcPr>
            <w:tcW w:w="1696" w:type="dxa"/>
            <w:vMerge w:val="restart"/>
          </w:tcPr>
          <w:p w14:paraId="6AAD2E4E" w14:textId="56A4742B" w:rsidR="00804F49" w:rsidRPr="00451B7D" w:rsidRDefault="00BE7D1C" w:rsidP="00BE7D1C">
            <w:pPr>
              <w:rPr>
                <w:rFonts w:ascii="ITC Avant Garde" w:hAnsi="ITC Avant Garde"/>
                <w:b/>
                <w:sz w:val="18"/>
                <w:szCs w:val="18"/>
              </w:rPr>
            </w:pPr>
            <w:r w:rsidRPr="00451B7D">
              <w:rPr>
                <w:rFonts w:ascii="ITC Avant Garde" w:hAnsi="ITC Avant Garde"/>
                <w:b/>
                <w:sz w:val="18"/>
                <w:szCs w:val="18"/>
              </w:rPr>
              <w:t>5</w:t>
            </w:r>
            <w:r w:rsidR="00D23BD5" w:rsidRPr="00451B7D">
              <w:rPr>
                <w:rFonts w:ascii="ITC Avant Garde" w:hAnsi="ITC Avant Garde"/>
                <w:b/>
                <w:sz w:val="18"/>
                <w:szCs w:val="18"/>
              </w:rPr>
              <w:t>.- Indique cuál(es) de los siguientes</w:t>
            </w:r>
            <w:r w:rsidR="00804F49" w:rsidRPr="00451B7D">
              <w:rPr>
                <w:rFonts w:ascii="ITC Avant Garde" w:hAnsi="ITC Avant Garde"/>
                <w:b/>
                <w:sz w:val="18"/>
                <w:szCs w:val="18"/>
              </w:rPr>
              <w:t xml:space="preserve"> </w:t>
            </w:r>
            <w:r w:rsidR="00D23BD5" w:rsidRPr="00451B7D">
              <w:rPr>
                <w:rFonts w:ascii="ITC Avant Garde" w:hAnsi="ITC Avant Garde"/>
                <w:b/>
                <w:sz w:val="18"/>
                <w:szCs w:val="18"/>
              </w:rPr>
              <w:t>criterios</w:t>
            </w:r>
            <w:r w:rsidR="00804F49" w:rsidRPr="00451B7D">
              <w:rPr>
                <w:rFonts w:ascii="ITC Avant Garde" w:hAnsi="ITC Avant Garde"/>
                <w:b/>
                <w:sz w:val="18"/>
                <w:szCs w:val="18"/>
              </w:rPr>
              <w:t xml:space="preserve"> </w:t>
            </w:r>
            <w:r w:rsidR="00D23BD5" w:rsidRPr="00451B7D">
              <w:rPr>
                <w:rFonts w:ascii="ITC Avant Garde" w:hAnsi="ITC Avant Garde"/>
                <w:b/>
                <w:sz w:val="18"/>
                <w:szCs w:val="18"/>
              </w:rPr>
              <w:t>actualiza la propuesta</w:t>
            </w:r>
            <w:r w:rsidR="00804F49" w:rsidRPr="00451B7D">
              <w:rPr>
                <w:rFonts w:ascii="ITC Avant Garde" w:hAnsi="ITC Avant Garde"/>
                <w:b/>
                <w:sz w:val="18"/>
                <w:szCs w:val="18"/>
              </w:rPr>
              <w:t xml:space="preserve"> de </w:t>
            </w:r>
            <w:r w:rsidR="00D23BD5" w:rsidRPr="00451B7D">
              <w:rPr>
                <w:rFonts w:ascii="ITC Avant Garde" w:hAnsi="ITC Avant Garde"/>
                <w:b/>
                <w:sz w:val="18"/>
                <w:szCs w:val="18"/>
              </w:rPr>
              <w:t>regulación</w:t>
            </w:r>
            <w:r w:rsidR="0006478F" w:rsidRPr="00451B7D">
              <w:rPr>
                <w:rFonts w:ascii="ITC Avant Garde" w:hAnsi="ITC Avant Garde"/>
                <w:b/>
                <w:sz w:val="18"/>
                <w:szCs w:val="18"/>
              </w:rPr>
              <w:t>:</w:t>
            </w:r>
          </w:p>
        </w:tc>
        <w:tc>
          <w:tcPr>
            <w:tcW w:w="5670" w:type="dxa"/>
            <w:shd w:val="clear" w:color="auto" w:fill="A8D08D" w:themeFill="accent6" w:themeFillTint="99"/>
          </w:tcPr>
          <w:p w14:paraId="10D6462C" w14:textId="77777777" w:rsidR="00804F49" w:rsidRPr="00451B7D" w:rsidRDefault="00804F49" w:rsidP="00804F49">
            <w:pPr>
              <w:jc w:val="center"/>
              <w:rPr>
                <w:rFonts w:ascii="ITC Avant Garde" w:hAnsi="ITC Avant Garde"/>
                <w:b/>
                <w:sz w:val="18"/>
                <w:szCs w:val="18"/>
              </w:rPr>
            </w:pPr>
            <w:r w:rsidRPr="00451B7D">
              <w:rPr>
                <w:rFonts w:ascii="ITC Avant Garde" w:hAnsi="ITC Avant Garde"/>
                <w:b/>
                <w:sz w:val="18"/>
                <w:szCs w:val="18"/>
              </w:rPr>
              <w:t>Acciones</w:t>
            </w:r>
          </w:p>
        </w:tc>
        <w:tc>
          <w:tcPr>
            <w:tcW w:w="1462" w:type="dxa"/>
            <w:shd w:val="clear" w:color="auto" w:fill="A8D08D" w:themeFill="accent6" w:themeFillTint="99"/>
          </w:tcPr>
          <w:p w14:paraId="074EC5AD" w14:textId="77777777" w:rsidR="00804F49" w:rsidRPr="00451B7D" w:rsidRDefault="00804F49" w:rsidP="00804F49">
            <w:pPr>
              <w:jc w:val="center"/>
              <w:rPr>
                <w:rFonts w:ascii="ITC Avant Garde" w:hAnsi="ITC Avant Garde"/>
                <w:b/>
                <w:sz w:val="18"/>
                <w:szCs w:val="18"/>
              </w:rPr>
            </w:pPr>
            <w:r w:rsidRPr="00451B7D">
              <w:rPr>
                <w:rFonts w:ascii="ITC Avant Garde" w:hAnsi="ITC Avant Garde"/>
                <w:b/>
                <w:sz w:val="18"/>
                <w:szCs w:val="18"/>
              </w:rPr>
              <w:t>Seleccione</w:t>
            </w:r>
          </w:p>
        </w:tc>
      </w:tr>
      <w:tr w:rsidR="00804F49" w:rsidRPr="00451B7D" w14:paraId="0EC0E926" w14:textId="77777777" w:rsidTr="003949C0">
        <w:tc>
          <w:tcPr>
            <w:tcW w:w="1696" w:type="dxa"/>
            <w:vMerge/>
          </w:tcPr>
          <w:p w14:paraId="156FB4B4" w14:textId="77777777" w:rsidR="00804F49" w:rsidRPr="00451B7D" w:rsidRDefault="00804F49" w:rsidP="00E21B49">
            <w:pPr>
              <w:jc w:val="both"/>
              <w:rPr>
                <w:rFonts w:ascii="ITC Avant Garde" w:hAnsi="ITC Avant Garde"/>
                <w:sz w:val="18"/>
                <w:szCs w:val="18"/>
              </w:rPr>
            </w:pPr>
          </w:p>
        </w:tc>
        <w:tc>
          <w:tcPr>
            <w:tcW w:w="5670" w:type="dxa"/>
          </w:tcPr>
          <w:p w14:paraId="79741BF4" w14:textId="1CB96842" w:rsidR="00804F49" w:rsidRPr="00451B7D" w:rsidRDefault="00804F49" w:rsidP="004A7C30">
            <w:pPr>
              <w:jc w:val="both"/>
              <w:rPr>
                <w:rFonts w:ascii="ITC Avant Garde" w:hAnsi="ITC Avant Garde"/>
                <w:sz w:val="18"/>
                <w:szCs w:val="18"/>
              </w:rPr>
            </w:pPr>
            <w:r w:rsidRPr="00451B7D">
              <w:rPr>
                <w:rFonts w:ascii="ITC Avant Garde" w:hAnsi="ITC Avant Garde"/>
                <w:sz w:val="18"/>
                <w:szCs w:val="18"/>
              </w:rPr>
              <w:t>Crea nuevas obligaciones y/o sanciones o hace más estrictas las existentes.</w:t>
            </w:r>
          </w:p>
        </w:tc>
        <w:tc>
          <w:tcPr>
            <w:tcW w:w="1462" w:type="dxa"/>
          </w:tcPr>
          <w:p w14:paraId="7661532D" w14:textId="51756C4B"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 xml:space="preserve">Si ( </w:t>
            </w:r>
            <w:r w:rsidR="004A7C30" w:rsidRPr="00451B7D">
              <w:rPr>
                <w:rFonts w:ascii="ITC Avant Garde" w:hAnsi="ITC Avant Garde"/>
                <w:sz w:val="18"/>
                <w:szCs w:val="18"/>
              </w:rPr>
              <w:t xml:space="preserve"> </w:t>
            </w:r>
            <w:r w:rsidRPr="00451B7D">
              <w:rPr>
                <w:rFonts w:ascii="ITC Avant Garde" w:hAnsi="ITC Avant Garde"/>
                <w:sz w:val="18"/>
                <w:szCs w:val="18"/>
              </w:rPr>
              <w:t>) No (</w:t>
            </w:r>
            <w:r w:rsidR="00C1532E">
              <w:rPr>
                <w:rFonts w:ascii="ITC Avant Garde" w:hAnsi="ITC Avant Garde"/>
                <w:sz w:val="18"/>
                <w:szCs w:val="18"/>
              </w:rPr>
              <w:t>X</w:t>
            </w:r>
            <w:r w:rsidRPr="00451B7D">
              <w:rPr>
                <w:rFonts w:ascii="ITC Avant Garde" w:hAnsi="ITC Avant Garde"/>
                <w:sz w:val="18"/>
                <w:szCs w:val="18"/>
              </w:rPr>
              <w:t>)</w:t>
            </w:r>
          </w:p>
        </w:tc>
      </w:tr>
      <w:tr w:rsidR="00804F49" w:rsidRPr="00451B7D" w14:paraId="39C023BA" w14:textId="77777777" w:rsidTr="003949C0">
        <w:tc>
          <w:tcPr>
            <w:tcW w:w="1696" w:type="dxa"/>
            <w:vMerge/>
          </w:tcPr>
          <w:p w14:paraId="19BD1DC4" w14:textId="77777777" w:rsidR="00804F49" w:rsidRPr="00451B7D" w:rsidRDefault="00804F49" w:rsidP="00804F49">
            <w:pPr>
              <w:jc w:val="both"/>
              <w:rPr>
                <w:rFonts w:ascii="ITC Avant Garde" w:hAnsi="ITC Avant Garde"/>
                <w:sz w:val="18"/>
                <w:szCs w:val="18"/>
              </w:rPr>
            </w:pPr>
          </w:p>
        </w:tc>
        <w:tc>
          <w:tcPr>
            <w:tcW w:w="5670" w:type="dxa"/>
          </w:tcPr>
          <w:p w14:paraId="072B9C35" w14:textId="22B7E1F4" w:rsidR="00804F49" w:rsidRPr="00451B7D" w:rsidRDefault="00804F49" w:rsidP="004A7C30">
            <w:pPr>
              <w:jc w:val="both"/>
              <w:rPr>
                <w:rFonts w:ascii="ITC Avant Garde" w:hAnsi="ITC Avant Garde"/>
                <w:sz w:val="18"/>
                <w:szCs w:val="18"/>
              </w:rPr>
            </w:pPr>
            <w:r w:rsidRPr="00451B7D">
              <w:rPr>
                <w:rFonts w:ascii="ITC Avant Garde" w:hAnsi="ITC Avant Garde"/>
                <w:sz w:val="18"/>
                <w:szCs w:val="18"/>
              </w:rPr>
              <w:t xml:space="preserve">Modifica o crea </w:t>
            </w:r>
            <w:r w:rsidR="00814A48">
              <w:rPr>
                <w:rFonts w:ascii="ITC Avant Garde" w:hAnsi="ITC Avant Garde"/>
                <w:sz w:val="18"/>
                <w:szCs w:val="18"/>
              </w:rPr>
              <w:t>T</w:t>
            </w:r>
            <w:r w:rsidRPr="00451B7D">
              <w:rPr>
                <w:rFonts w:ascii="ITC Avant Garde" w:hAnsi="ITC Avant Garde"/>
                <w:sz w:val="18"/>
                <w:szCs w:val="18"/>
              </w:rPr>
              <w:t>rámites</w:t>
            </w:r>
            <w:r w:rsidR="008E1AD3" w:rsidRPr="00451B7D">
              <w:rPr>
                <w:rFonts w:ascii="ITC Avant Garde" w:hAnsi="ITC Avant Garde"/>
                <w:sz w:val="18"/>
                <w:szCs w:val="18"/>
              </w:rPr>
              <w:t xml:space="preserve"> </w:t>
            </w:r>
            <w:r w:rsidRPr="00451B7D">
              <w:rPr>
                <w:rFonts w:ascii="ITC Avant Garde" w:hAnsi="ITC Avant Garde"/>
                <w:sz w:val="18"/>
                <w:szCs w:val="18"/>
              </w:rPr>
              <w:t xml:space="preserve">que signifiquen mayores cargas administrativas o costos de </w:t>
            </w:r>
            <w:r w:rsidRPr="007C425A">
              <w:rPr>
                <w:rFonts w:ascii="ITC Avant Garde" w:hAnsi="ITC Avant Garde"/>
                <w:sz w:val="18"/>
                <w:szCs w:val="18"/>
              </w:rPr>
              <w:t>cumplimiento.</w:t>
            </w:r>
          </w:p>
        </w:tc>
        <w:tc>
          <w:tcPr>
            <w:tcW w:w="1462" w:type="dxa"/>
          </w:tcPr>
          <w:p w14:paraId="2F1452FB" w14:textId="3C83BE23"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Si (</w:t>
            </w:r>
            <w:r w:rsidR="004A7C30" w:rsidRPr="00451B7D">
              <w:rPr>
                <w:rFonts w:ascii="ITC Avant Garde" w:hAnsi="ITC Avant Garde"/>
                <w:sz w:val="18"/>
                <w:szCs w:val="18"/>
              </w:rPr>
              <w:t xml:space="preserve"> </w:t>
            </w:r>
            <w:r w:rsidRPr="00451B7D">
              <w:rPr>
                <w:rFonts w:ascii="ITC Avant Garde" w:hAnsi="ITC Avant Garde"/>
                <w:sz w:val="18"/>
                <w:szCs w:val="18"/>
              </w:rPr>
              <w:t xml:space="preserve"> ) No </w:t>
            </w:r>
            <w:r w:rsidR="00C1532E" w:rsidRPr="00451B7D">
              <w:rPr>
                <w:rFonts w:ascii="ITC Avant Garde" w:hAnsi="ITC Avant Garde"/>
                <w:sz w:val="18"/>
                <w:szCs w:val="18"/>
              </w:rPr>
              <w:t>(</w:t>
            </w:r>
            <w:r w:rsidR="00C1532E">
              <w:rPr>
                <w:rFonts w:ascii="ITC Avant Garde" w:hAnsi="ITC Avant Garde"/>
                <w:sz w:val="18"/>
                <w:szCs w:val="18"/>
              </w:rPr>
              <w:t>X</w:t>
            </w:r>
            <w:r w:rsidR="00C1532E" w:rsidRPr="00451B7D">
              <w:rPr>
                <w:rFonts w:ascii="ITC Avant Garde" w:hAnsi="ITC Avant Garde"/>
                <w:sz w:val="18"/>
                <w:szCs w:val="18"/>
              </w:rPr>
              <w:t>)</w:t>
            </w:r>
          </w:p>
        </w:tc>
      </w:tr>
      <w:tr w:rsidR="00804F49" w:rsidRPr="00451B7D" w14:paraId="3489DD52" w14:textId="77777777" w:rsidTr="003949C0">
        <w:tc>
          <w:tcPr>
            <w:tcW w:w="1696" w:type="dxa"/>
            <w:vMerge/>
          </w:tcPr>
          <w:p w14:paraId="1B27676C" w14:textId="77777777" w:rsidR="00804F49" w:rsidRPr="00451B7D" w:rsidRDefault="00804F49" w:rsidP="00804F49">
            <w:pPr>
              <w:jc w:val="both"/>
              <w:rPr>
                <w:rFonts w:ascii="ITC Avant Garde" w:hAnsi="ITC Avant Garde"/>
                <w:sz w:val="18"/>
                <w:szCs w:val="18"/>
              </w:rPr>
            </w:pPr>
          </w:p>
        </w:tc>
        <w:tc>
          <w:tcPr>
            <w:tcW w:w="5670" w:type="dxa"/>
          </w:tcPr>
          <w:p w14:paraId="51B74D56" w14:textId="51C90606" w:rsidR="00804F49" w:rsidRPr="00451B7D" w:rsidRDefault="00804F49" w:rsidP="004A7C30">
            <w:pPr>
              <w:jc w:val="both"/>
              <w:rPr>
                <w:rFonts w:ascii="ITC Avant Garde" w:hAnsi="ITC Avant Garde"/>
                <w:sz w:val="18"/>
                <w:szCs w:val="18"/>
              </w:rPr>
            </w:pPr>
            <w:r w:rsidRPr="00451B7D">
              <w:rPr>
                <w:rFonts w:ascii="ITC Avant Garde" w:hAnsi="ITC Avant Garde"/>
                <w:sz w:val="18"/>
                <w:szCs w:val="18"/>
              </w:rPr>
              <w:t>Reduce o re</w:t>
            </w:r>
            <w:r w:rsidR="004A7C30" w:rsidRPr="00451B7D">
              <w:rPr>
                <w:rFonts w:ascii="ITC Avant Garde" w:hAnsi="ITC Avant Garde"/>
                <w:sz w:val="18"/>
                <w:szCs w:val="18"/>
              </w:rPr>
              <w:t>stringe prestaciones o derechos</w:t>
            </w:r>
            <w:r w:rsidRPr="00451B7D">
              <w:rPr>
                <w:rFonts w:ascii="ITC Avant Garde" w:hAnsi="ITC Avant Garde"/>
                <w:sz w:val="18"/>
                <w:szCs w:val="18"/>
              </w:rPr>
              <w:t>.</w:t>
            </w:r>
          </w:p>
        </w:tc>
        <w:tc>
          <w:tcPr>
            <w:tcW w:w="1462" w:type="dxa"/>
          </w:tcPr>
          <w:p w14:paraId="001EB171" w14:textId="1206699F"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Si (</w:t>
            </w:r>
            <w:r w:rsidR="004A7C30" w:rsidRPr="00451B7D">
              <w:rPr>
                <w:rFonts w:ascii="ITC Avant Garde" w:hAnsi="ITC Avant Garde"/>
                <w:sz w:val="18"/>
                <w:szCs w:val="18"/>
              </w:rPr>
              <w:t xml:space="preserve"> </w:t>
            </w:r>
            <w:r w:rsidRPr="00451B7D">
              <w:rPr>
                <w:rFonts w:ascii="ITC Avant Garde" w:hAnsi="ITC Avant Garde"/>
                <w:sz w:val="18"/>
                <w:szCs w:val="18"/>
              </w:rPr>
              <w:t xml:space="preserve"> ) No </w:t>
            </w:r>
            <w:r w:rsidR="00C1532E" w:rsidRPr="00451B7D">
              <w:rPr>
                <w:rFonts w:ascii="ITC Avant Garde" w:hAnsi="ITC Avant Garde"/>
                <w:sz w:val="18"/>
                <w:szCs w:val="18"/>
              </w:rPr>
              <w:t>(</w:t>
            </w:r>
            <w:r w:rsidR="00C1532E">
              <w:rPr>
                <w:rFonts w:ascii="ITC Avant Garde" w:hAnsi="ITC Avant Garde"/>
                <w:sz w:val="18"/>
                <w:szCs w:val="18"/>
              </w:rPr>
              <w:t>X</w:t>
            </w:r>
            <w:r w:rsidR="00C1532E" w:rsidRPr="00451B7D">
              <w:rPr>
                <w:rFonts w:ascii="ITC Avant Garde" w:hAnsi="ITC Avant Garde"/>
                <w:sz w:val="18"/>
                <w:szCs w:val="18"/>
              </w:rPr>
              <w:t>)</w:t>
            </w:r>
          </w:p>
        </w:tc>
      </w:tr>
      <w:tr w:rsidR="00804F49" w:rsidRPr="00451B7D" w14:paraId="4AD32941" w14:textId="77777777" w:rsidTr="003949C0">
        <w:tc>
          <w:tcPr>
            <w:tcW w:w="1696" w:type="dxa"/>
            <w:vMerge/>
          </w:tcPr>
          <w:p w14:paraId="27FC5F25" w14:textId="77777777" w:rsidR="00804F49" w:rsidRPr="00451B7D" w:rsidRDefault="00804F49" w:rsidP="00804F49">
            <w:pPr>
              <w:jc w:val="both"/>
              <w:rPr>
                <w:rFonts w:ascii="ITC Avant Garde" w:hAnsi="ITC Avant Garde"/>
                <w:sz w:val="18"/>
                <w:szCs w:val="18"/>
              </w:rPr>
            </w:pPr>
          </w:p>
        </w:tc>
        <w:tc>
          <w:tcPr>
            <w:tcW w:w="5670" w:type="dxa"/>
          </w:tcPr>
          <w:p w14:paraId="17DAD3D4" w14:textId="160F23D6" w:rsidR="00804F49" w:rsidRPr="00451B7D" w:rsidRDefault="00804F49" w:rsidP="004A7C30">
            <w:pPr>
              <w:jc w:val="both"/>
              <w:rPr>
                <w:rFonts w:ascii="ITC Avant Garde" w:hAnsi="ITC Avant Garde"/>
                <w:sz w:val="18"/>
                <w:szCs w:val="18"/>
              </w:rPr>
            </w:pPr>
            <w:r w:rsidRPr="00451B7D">
              <w:rPr>
                <w:rFonts w:ascii="ITC Avant Garde" w:hAnsi="ITC Avant Garde"/>
                <w:sz w:val="18"/>
                <w:szCs w:val="18"/>
              </w:rPr>
              <w:t>Establece o modifica definiciones, clasificaciones, metodologías, criterios, caracterizaciones o cualquier otro término de referencia, afectando derechos, obliga</w:t>
            </w:r>
            <w:r w:rsidR="004A7C30" w:rsidRPr="00451B7D">
              <w:rPr>
                <w:rFonts w:ascii="ITC Avant Garde" w:hAnsi="ITC Avant Garde"/>
                <w:sz w:val="18"/>
                <w:szCs w:val="18"/>
              </w:rPr>
              <w:t>ciones, prestaciones o trámites</w:t>
            </w:r>
            <w:r w:rsidRPr="00451B7D">
              <w:rPr>
                <w:rFonts w:ascii="ITC Avant Garde" w:hAnsi="ITC Avant Garde"/>
                <w:sz w:val="18"/>
                <w:szCs w:val="18"/>
              </w:rPr>
              <w:t>.</w:t>
            </w:r>
          </w:p>
        </w:tc>
        <w:tc>
          <w:tcPr>
            <w:tcW w:w="1462" w:type="dxa"/>
          </w:tcPr>
          <w:p w14:paraId="40FD2722" w14:textId="4B87EE24"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 xml:space="preserve">Si ( </w:t>
            </w:r>
            <w:r w:rsidR="004A7C30" w:rsidRPr="00451B7D">
              <w:rPr>
                <w:rFonts w:ascii="ITC Avant Garde" w:hAnsi="ITC Avant Garde"/>
                <w:sz w:val="18"/>
                <w:szCs w:val="18"/>
              </w:rPr>
              <w:t xml:space="preserve"> </w:t>
            </w:r>
            <w:r w:rsidRPr="00451B7D">
              <w:rPr>
                <w:rFonts w:ascii="ITC Avant Garde" w:hAnsi="ITC Avant Garde"/>
                <w:sz w:val="18"/>
                <w:szCs w:val="18"/>
              </w:rPr>
              <w:t xml:space="preserve">) No </w:t>
            </w:r>
            <w:r w:rsidR="00C1532E" w:rsidRPr="00451B7D">
              <w:rPr>
                <w:rFonts w:ascii="ITC Avant Garde" w:hAnsi="ITC Avant Garde"/>
                <w:sz w:val="18"/>
                <w:szCs w:val="18"/>
              </w:rPr>
              <w:t>(</w:t>
            </w:r>
            <w:r w:rsidR="00C1532E">
              <w:rPr>
                <w:rFonts w:ascii="ITC Avant Garde" w:hAnsi="ITC Avant Garde"/>
                <w:sz w:val="18"/>
                <w:szCs w:val="18"/>
              </w:rPr>
              <w:t>X</w:t>
            </w:r>
            <w:r w:rsidR="00C1532E" w:rsidRPr="00451B7D">
              <w:rPr>
                <w:rFonts w:ascii="ITC Avant Garde" w:hAnsi="ITC Avant Garde"/>
                <w:sz w:val="18"/>
                <w:szCs w:val="18"/>
              </w:rPr>
              <w:t>)</w:t>
            </w:r>
          </w:p>
        </w:tc>
      </w:tr>
    </w:tbl>
    <w:p w14:paraId="21E27DA7" w14:textId="77777777" w:rsidR="00E21B49" w:rsidRPr="00451B7D" w:rsidRDefault="00E21B49" w:rsidP="00E21B49">
      <w:pPr>
        <w:jc w:val="both"/>
        <w:rPr>
          <w:rFonts w:ascii="ITC Avant Garde" w:hAnsi="ITC Avant Garde"/>
          <w:sz w:val="18"/>
          <w:szCs w:val="18"/>
        </w:rPr>
      </w:pPr>
    </w:p>
    <w:p w14:paraId="08FB3DBF" w14:textId="7D2B9B6E" w:rsidR="00A73AD8" w:rsidRPr="00451B7D" w:rsidRDefault="00A73AD8" w:rsidP="00A73AD8">
      <w:pPr>
        <w:shd w:val="clear" w:color="auto" w:fill="A8D08D" w:themeFill="accent6" w:themeFillTint="99"/>
        <w:jc w:val="both"/>
        <w:rPr>
          <w:rFonts w:ascii="ITC Avant Garde" w:hAnsi="ITC Avant Garde"/>
          <w:b/>
          <w:sz w:val="18"/>
          <w:szCs w:val="18"/>
        </w:rPr>
      </w:pPr>
      <w:r w:rsidRPr="00451B7D">
        <w:rPr>
          <w:rFonts w:ascii="ITC Avant Garde" w:hAnsi="ITC Avant Garde"/>
          <w:b/>
          <w:sz w:val="18"/>
          <w:szCs w:val="18"/>
        </w:rPr>
        <w:t>I</w:t>
      </w:r>
      <w:r w:rsidR="00804F49" w:rsidRPr="00451B7D">
        <w:rPr>
          <w:rFonts w:ascii="ITC Avant Garde" w:hAnsi="ITC Avant Garde"/>
          <w:b/>
          <w:sz w:val="18"/>
          <w:szCs w:val="18"/>
        </w:rPr>
        <w:t>I</w:t>
      </w:r>
      <w:r w:rsidRPr="00451B7D">
        <w:rPr>
          <w:rFonts w:ascii="ITC Avant Garde" w:hAnsi="ITC Avant Garde"/>
          <w:b/>
          <w:sz w:val="18"/>
          <w:szCs w:val="18"/>
        </w:rPr>
        <w:t xml:space="preserve">I. </w:t>
      </w:r>
      <w:r w:rsidR="003E1D84" w:rsidRPr="00451B7D">
        <w:rPr>
          <w:rFonts w:ascii="ITC Avant Garde" w:hAnsi="ITC Avant Garde"/>
          <w:b/>
          <w:sz w:val="18"/>
          <w:szCs w:val="18"/>
        </w:rPr>
        <w:t>BIBLIOGRAFÍA O REFERENCIAS DE CUALQUIER ÍNDOLE QUE SE HAYAN UTILIZADO EN LA ELABORACIÓN DE LA PROPUESTA DE REGULACIÓN</w:t>
      </w:r>
      <w:r w:rsidRPr="00451B7D">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A73AD8" w:rsidRPr="00451B7D" w14:paraId="20AA8AE7" w14:textId="77777777" w:rsidTr="00A73AD8">
        <w:tc>
          <w:tcPr>
            <w:tcW w:w="8828" w:type="dxa"/>
          </w:tcPr>
          <w:p w14:paraId="297C8634" w14:textId="5B2B4DF5" w:rsidR="00B74C55" w:rsidRPr="00451B7D" w:rsidRDefault="00BE7D1C" w:rsidP="00A73AD8">
            <w:pPr>
              <w:jc w:val="both"/>
              <w:rPr>
                <w:rFonts w:ascii="ITC Avant Garde" w:hAnsi="ITC Avant Garde"/>
                <w:b/>
                <w:sz w:val="18"/>
                <w:szCs w:val="18"/>
              </w:rPr>
            </w:pPr>
            <w:r w:rsidRPr="00451B7D">
              <w:rPr>
                <w:rFonts w:ascii="ITC Avant Garde" w:hAnsi="ITC Avant Garde"/>
                <w:b/>
                <w:sz w:val="18"/>
                <w:szCs w:val="18"/>
              </w:rPr>
              <w:t>6</w:t>
            </w:r>
            <w:r w:rsidR="00A73AD8" w:rsidRPr="00451B7D">
              <w:rPr>
                <w:rFonts w:ascii="ITC Avant Garde" w:hAnsi="ITC Avant Garde"/>
                <w:b/>
                <w:sz w:val="18"/>
                <w:szCs w:val="18"/>
              </w:rPr>
              <w:t xml:space="preserve">.- Enliste </w:t>
            </w:r>
            <w:r w:rsidR="00B74C55" w:rsidRPr="00451B7D">
              <w:rPr>
                <w:rFonts w:ascii="ITC Avant Garde" w:hAnsi="ITC Avant Garde"/>
                <w:b/>
                <w:sz w:val="18"/>
                <w:szCs w:val="18"/>
              </w:rPr>
              <w:t>los datos bibliográficos o las direcciones electrónicas consultadas para el diseño y redacción</w:t>
            </w:r>
            <w:r w:rsidR="00804F49" w:rsidRPr="00451B7D">
              <w:rPr>
                <w:rFonts w:ascii="ITC Avant Garde" w:hAnsi="ITC Avant Garde"/>
                <w:b/>
                <w:sz w:val="18"/>
                <w:szCs w:val="18"/>
              </w:rPr>
              <w:t xml:space="preserve"> </w:t>
            </w:r>
            <w:r w:rsidR="00D23BD5" w:rsidRPr="00451B7D">
              <w:rPr>
                <w:rFonts w:ascii="ITC Avant Garde" w:hAnsi="ITC Avant Garde"/>
                <w:b/>
                <w:sz w:val="18"/>
                <w:szCs w:val="18"/>
              </w:rPr>
              <w:t>de la propuesta</w:t>
            </w:r>
            <w:r w:rsidR="00804F49" w:rsidRPr="00451B7D">
              <w:rPr>
                <w:rFonts w:ascii="ITC Avant Garde" w:hAnsi="ITC Avant Garde"/>
                <w:b/>
                <w:sz w:val="18"/>
                <w:szCs w:val="18"/>
              </w:rPr>
              <w:t xml:space="preserve"> de regulación, así como cualquier otra documentación que se considere de interés.</w:t>
            </w:r>
          </w:p>
          <w:p w14:paraId="29354D1D" w14:textId="77777777" w:rsidR="00A73AD8" w:rsidRPr="00451B7D" w:rsidRDefault="00A73AD8" w:rsidP="0086684A">
            <w:pPr>
              <w:jc w:val="both"/>
              <w:rPr>
                <w:rFonts w:ascii="ITC Avant Garde" w:hAnsi="ITC Avant Garde"/>
                <w:sz w:val="18"/>
                <w:szCs w:val="18"/>
              </w:rPr>
            </w:pPr>
          </w:p>
          <w:p w14:paraId="6E263EAA" w14:textId="1C0FCD0A" w:rsidR="00377507" w:rsidRDefault="00377507" w:rsidP="00870931">
            <w:pPr>
              <w:pStyle w:val="Prrafodelista"/>
              <w:numPr>
                <w:ilvl w:val="0"/>
                <w:numId w:val="3"/>
              </w:numPr>
              <w:jc w:val="both"/>
              <w:rPr>
                <w:rFonts w:ascii="ITC Avant Garde" w:hAnsi="ITC Avant Garde"/>
                <w:sz w:val="18"/>
                <w:szCs w:val="18"/>
              </w:rPr>
            </w:pPr>
            <w:r>
              <w:rPr>
                <w:rFonts w:ascii="ITC Avant Garde" w:hAnsi="ITC Avant Garde"/>
                <w:sz w:val="18"/>
                <w:szCs w:val="18"/>
              </w:rPr>
              <w:t xml:space="preserve">Artículo 292 de la Ley Federal de Telecomunicaciones y Radiodifusión. Disponible en: </w:t>
            </w:r>
            <w:r w:rsidRPr="00377507">
              <w:rPr>
                <w:rFonts w:ascii="ITC Avant Garde" w:hAnsi="ITC Avant Garde"/>
                <w:sz w:val="18"/>
                <w:szCs w:val="18"/>
              </w:rPr>
              <w:t>https://www.diputados.gob.mx/LeyesBiblio/pdf/LFTR.pdf</w:t>
            </w:r>
          </w:p>
          <w:p w14:paraId="1CDF4E97" w14:textId="1C7FCE9E" w:rsidR="00870931" w:rsidRDefault="00BE562E" w:rsidP="00870931">
            <w:pPr>
              <w:pStyle w:val="Prrafodelista"/>
              <w:numPr>
                <w:ilvl w:val="0"/>
                <w:numId w:val="3"/>
              </w:numPr>
              <w:jc w:val="both"/>
              <w:rPr>
                <w:rFonts w:ascii="ITC Avant Garde" w:hAnsi="ITC Avant Garde"/>
                <w:sz w:val="18"/>
                <w:szCs w:val="18"/>
              </w:rPr>
            </w:pPr>
            <w:r w:rsidRPr="00BE562E">
              <w:rPr>
                <w:rFonts w:ascii="ITC Avant Garde" w:hAnsi="ITC Avant Garde"/>
                <w:sz w:val="18"/>
                <w:szCs w:val="18"/>
              </w:rPr>
              <w:t>ACUERDO mediante el cual el Pleno del Instituto Federal de Telecomunicaciones aprueba y emite los Lineamientos que establecen la metodología, la periodicidad, el catálogo de claves de información y los formatos electrónicos con los que los operadores del sector de telecomunicaciones entregarán información para integrar el acervo estadístico del Instituto Federal de Telecomunicaciones.</w:t>
            </w:r>
            <w:r w:rsidR="002911C6">
              <w:rPr>
                <w:rFonts w:ascii="ITC Avant Garde" w:hAnsi="ITC Avant Garde"/>
                <w:sz w:val="18"/>
                <w:szCs w:val="18"/>
              </w:rPr>
              <w:t xml:space="preserve"> Disponible en: </w:t>
            </w:r>
            <w:hyperlink r:id="rId12" w:history="1">
              <w:r w:rsidR="002911C6" w:rsidRPr="00B30A02">
                <w:rPr>
                  <w:rStyle w:val="Hipervnculo"/>
                  <w:rFonts w:ascii="ITC Avant Garde" w:hAnsi="ITC Avant Garde"/>
                  <w:sz w:val="18"/>
                  <w:szCs w:val="18"/>
                </w:rPr>
                <w:t>https://www.dof.gob.mx/nota_detalle.php?codigo=5584775&amp;fecha=24/01/2020&amp;print=true</w:t>
              </w:r>
            </w:hyperlink>
            <w:r w:rsidR="00261153">
              <w:rPr>
                <w:rStyle w:val="Hipervnculo"/>
                <w:rFonts w:ascii="ITC Avant Garde" w:hAnsi="ITC Avant Garde"/>
                <w:sz w:val="18"/>
                <w:szCs w:val="18"/>
              </w:rPr>
              <w:t>.</w:t>
            </w:r>
            <w:r w:rsidR="002911C6">
              <w:rPr>
                <w:rFonts w:ascii="ITC Avant Garde" w:hAnsi="ITC Avant Garde"/>
                <w:sz w:val="18"/>
                <w:szCs w:val="18"/>
              </w:rPr>
              <w:t xml:space="preserve"> </w:t>
            </w:r>
          </w:p>
          <w:p w14:paraId="01414A8B" w14:textId="3333C828" w:rsidR="00A54EB9" w:rsidRDefault="00A54EB9" w:rsidP="00870931">
            <w:pPr>
              <w:pStyle w:val="Prrafodelista"/>
              <w:numPr>
                <w:ilvl w:val="0"/>
                <w:numId w:val="3"/>
              </w:numPr>
              <w:jc w:val="both"/>
              <w:rPr>
                <w:rFonts w:ascii="ITC Avant Garde" w:hAnsi="ITC Avant Garde"/>
                <w:sz w:val="18"/>
                <w:szCs w:val="18"/>
              </w:rPr>
            </w:pPr>
            <w:r w:rsidRPr="00A54EB9">
              <w:rPr>
                <w:rFonts w:ascii="ITC Avant Garde" w:hAnsi="ITC Avant Garde"/>
                <w:sz w:val="18"/>
                <w:szCs w:val="18"/>
              </w:rPr>
              <w:lastRenderedPageBreak/>
              <w:t>ACUERDO mediante el cual el Pleno del Instituto Federal de Telecomunicaciones modifica el artículo Primero Transitorio del Acuerdo mediante el cual el Pleno del Instituto Federal de Telecomunicaciones aprueba y emite los Lineamientos que establecen la metodología, la periodicidad, el catálogo de claves de información y los formatos electrónicos con los que los operadores del sector de telecomunicaciones entregarán información para integrar el acervo estadístico del Instituto Federal de Telecomunicaciones.</w:t>
            </w:r>
            <w:r w:rsidR="005E3ED7">
              <w:rPr>
                <w:rFonts w:ascii="ITC Avant Garde" w:hAnsi="ITC Avant Garde"/>
                <w:sz w:val="18"/>
                <w:szCs w:val="18"/>
              </w:rPr>
              <w:t xml:space="preserve"> Disponible en: </w:t>
            </w:r>
            <w:hyperlink r:id="rId13" w:anchor="gsc.tab=0" w:history="1">
              <w:r w:rsidR="005E3ED7" w:rsidRPr="00320669">
                <w:rPr>
                  <w:rStyle w:val="Hipervnculo"/>
                  <w:rFonts w:ascii="ITC Avant Garde" w:hAnsi="ITC Avant Garde"/>
                  <w:sz w:val="18"/>
                  <w:szCs w:val="18"/>
                </w:rPr>
                <w:t>https://www.dof.gob.mx/nota_detalle.php?codigo=5596253&amp;fecha=07/07/2020#gsc.tab=0</w:t>
              </w:r>
            </w:hyperlink>
            <w:r w:rsidR="005E3ED7">
              <w:rPr>
                <w:rFonts w:ascii="ITC Avant Garde" w:hAnsi="ITC Avant Garde"/>
                <w:sz w:val="18"/>
                <w:szCs w:val="18"/>
              </w:rPr>
              <w:t>.</w:t>
            </w:r>
          </w:p>
          <w:p w14:paraId="4786CBEB" w14:textId="3ADDA705" w:rsidR="00680326" w:rsidRDefault="005E3ED7" w:rsidP="005E3ED7">
            <w:pPr>
              <w:pStyle w:val="Prrafodelista"/>
              <w:numPr>
                <w:ilvl w:val="0"/>
                <w:numId w:val="3"/>
              </w:numPr>
              <w:jc w:val="both"/>
              <w:rPr>
                <w:rFonts w:ascii="ITC Avant Garde" w:hAnsi="ITC Avant Garde"/>
                <w:sz w:val="18"/>
                <w:szCs w:val="18"/>
              </w:rPr>
            </w:pPr>
            <w:r w:rsidRPr="005E3ED7">
              <w:rPr>
                <w:rFonts w:ascii="ITC Avant Garde" w:hAnsi="ITC Avant Garde"/>
                <w:sz w:val="18"/>
                <w:szCs w:val="18"/>
              </w:rPr>
              <w:t xml:space="preserve">ACLARACIÓN al Acuerdo mediante el cual el Pleno del Instituto Federal de Telecomunicaciones aprueba y emite los Lineamientos que establecen la metodología, la periodicidad, el catálogo de claves de información y los formatos electrónicos con los que los operadores del sector de telecomunicaciones entregarán información para integrar el acervo estadístico del Instituto Federal de Telecomunicaciones. </w:t>
            </w:r>
            <w:r>
              <w:rPr>
                <w:rFonts w:ascii="ITC Avant Garde" w:hAnsi="ITC Avant Garde"/>
                <w:sz w:val="18"/>
                <w:szCs w:val="18"/>
              </w:rPr>
              <w:t xml:space="preserve">Disponible en: </w:t>
            </w:r>
            <w:hyperlink r:id="rId14" w:anchor="gsc.tab=0" w:history="1">
              <w:r w:rsidRPr="00320669">
                <w:rPr>
                  <w:rStyle w:val="Hipervnculo"/>
                  <w:rFonts w:ascii="ITC Avant Garde" w:hAnsi="ITC Avant Garde"/>
                  <w:sz w:val="18"/>
                  <w:szCs w:val="18"/>
                </w:rPr>
                <w:t>https://www.dof.gob.mx/nota_detalle.php?codigo=5605250&amp;fecha=18/11/2020#gsc.tab=0</w:t>
              </w:r>
            </w:hyperlink>
            <w:r>
              <w:rPr>
                <w:rFonts w:ascii="ITC Avant Garde" w:hAnsi="ITC Avant Garde"/>
                <w:sz w:val="18"/>
                <w:szCs w:val="18"/>
              </w:rPr>
              <w:t>.</w:t>
            </w:r>
          </w:p>
          <w:p w14:paraId="7CDC0B4D" w14:textId="645D4733" w:rsidR="002911C6" w:rsidRPr="00451B7D" w:rsidRDefault="00736B71" w:rsidP="00870931">
            <w:pPr>
              <w:pStyle w:val="Prrafodelista"/>
              <w:numPr>
                <w:ilvl w:val="0"/>
                <w:numId w:val="3"/>
              </w:numPr>
              <w:jc w:val="both"/>
              <w:rPr>
                <w:rFonts w:ascii="ITC Avant Garde" w:hAnsi="ITC Avant Garde"/>
                <w:sz w:val="18"/>
                <w:szCs w:val="18"/>
              </w:rPr>
            </w:pPr>
            <w:r w:rsidRPr="00736B71">
              <w:rPr>
                <w:rFonts w:ascii="ITC Avant Garde" w:hAnsi="ITC Avant Garde"/>
                <w:sz w:val="18"/>
                <w:szCs w:val="18"/>
              </w:rPr>
              <w:t>RESUMEN DE CONVOCATORIA A LICITACION PUBLICA</w:t>
            </w:r>
            <w:r w:rsidR="002911C6" w:rsidRPr="002911C6">
              <w:rPr>
                <w:rFonts w:ascii="ITC Avant Garde" w:hAnsi="ITC Avant Garde"/>
                <w:sz w:val="18"/>
                <w:szCs w:val="18"/>
              </w:rPr>
              <w:t xml:space="preserve">. Disponible en: </w:t>
            </w:r>
            <w:hyperlink r:id="rId15" w:history="1">
              <w:r w:rsidR="002911C6" w:rsidRPr="00B30A02">
                <w:rPr>
                  <w:rStyle w:val="Hipervnculo"/>
                  <w:rFonts w:ascii="ITC Avant Garde" w:hAnsi="ITC Avant Garde"/>
                  <w:sz w:val="18"/>
                  <w:szCs w:val="18"/>
                </w:rPr>
                <w:t>https://dof.gob.mx/nota_detalle_popup.php?codigo=5661683</w:t>
              </w:r>
            </w:hyperlink>
            <w:r w:rsidR="00261153">
              <w:rPr>
                <w:rStyle w:val="Hipervnculo"/>
                <w:rFonts w:ascii="ITC Avant Garde" w:hAnsi="ITC Avant Garde"/>
                <w:sz w:val="18"/>
                <w:szCs w:val="18"/>
              </w:rPr>
              <w:t>.</w:t>
            </w:r>
            <w:r w:rsidR="002911C6">
              <w:rPr>
                <w:rFonts w:ascii="ITC Avant Garde" w:hAnsi="ITC Avant Garde"/>
                <w:sz w:val="18"/>
                <w:szCs w:val="18"/>
              </w:rPr>
              <w:t xml:space="preserve"> </w:t>
            </w:r>
            <w:r w:rsidR="00D826F1">
              <w:rPr>
                <w:rFonts w:ascii="ITC Avant Garde" w:hAnsi="ITC Avant Garde"/>
                <w:sz w:val="18"/>
                <w:szCs w:val="18"/>
              </w:rPr>
              <w:t xml:space="preserve"> </w:t>
            </w:r>
          </w:p>
        </w:tc>
      </w:tr>
    </w:tbl>
    <w:p w14:paraId="499F7232" w14:textId="77777777" w:rsidR="0086684A" w:rsidRPr="00451B7D" w:rsidRDefault="0086684A" w:rsidP="0086684A">
      <w:pPr>
        <w:jc w:val="both"/>
        <w:rPr>
          <w:rFonts w:ascii="ITC Avant Garde" w:hAnsi="ITC Avant Garde"/>
          <w:sz w:val="18"/>
          <w:szCs w:val="18"/>
        </w:rPr>
      </w:pPr>
    </w:p>
    <w:sectPr w:rsidR="0086684A" w:rsidRPr="00451B7D">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092C6" w14:textId="77777777" w:rsidR="00F301D0" w:rsidRDefault="00F301D0" w:rsidP="00501ADF">
      <w:pPr>
        <w:spacing w:after="0" w:line="240" w:lineRule="auto"/>
      </w:pPr>
      <w:r>
        <w:separator/>
      </w:r>
    </w:p>
  </w:endnote>
  <w:endnote w:type="continuationSeparator" w:id="0">
    <w:p w14:paraId="410895C4" w14:textId="77777777" w:rsidR="00F301D0" w:rsidRDefault="00F301D0" w:rsidP="0050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4556680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4887E92B" w14:textId="40999B1A" w:rsidR="0006478F" w:rsidRPr="0006478F" w:rsidRDefault="0006478F">
            <w:pPr>
              <w:pStyle w:val="Piedepgina"/>
              <w:jc w:val="right"/>
              <w:rPr>
                <w:sz w:val="20"/>
              </w:rPr>
            </w:pPr>
            <w:r w:rsidRPr="0006478F">
              <w:rPr>
                <w:b/>
                <w:bCs/>
                <w:szCs w:val="24"/>
              </w:rPr>
              <w:fldChar w:fldCharType="begin"/>
            </w:r>
            <w:r w:rsidRPr="0006478F">
              <w:rPr>
                <w:b/>
                <w:bCs/>
                <w:sz w:val="20"/>
              </w:rPr>
              <w:instrText>PAGE</w:instrText>
            </w:r>
            <w:r w:rsidRPr="0006478F">
              <w:rPr>
                <w:b/>
                <w:bCs/>
                <w:szCs w:val="24"/>
              </w:rPr>
              <w:fldChar w:fldCharType="separate"/>
            </w:r>
            <w:r w:rsidR="007C425A">
              <w:rPr>
                <w:b/>
                <w:bCs/>
                <w:noProof/>
                <w:sz w:val="20"/>
              </w:rPr>
              <w:t>1</w:t>
            </w:r>
            <w:r w:rsidRPr="0006478F">
              <w:rPr>
                <w:b/>
                <w:bCs/>
                <w:szCs w:val="24"/>
              </w:rPr>
              <w:fldChar w:fldCharType="end"/>
            </w:r>
          </w:p>
        </w:sdtContent>
      </w:sdt>
    </w:sdtContent>
  </w:sdt>
  <w:p w14:paraId="2108E346" w14:textId="77777777" w:rsidR="0006478F" w:rsidRDefault="000647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5849E" w14:textId="77777777" w:rsidR="00F301D0" w:rsidRDefault="00F301D0" w:rsidP="00501ADF">
      <w:pPr>
        <w:spacing w:after="0" w:line="240" w:lineRule="auto"/>
      </w:pPr>
      <w:r>
        <w:separator/>
      </w:r>
    </w:p>
  </w:footnote>
  <w:footnote w:type="continuationSeparator" w:id="0">
    <w:p w14:paraId="5463351C" w14:textId="77777777" w:rsidR="00F301D0" w:rsidRDefault="00F301D0" w:rsidP="00501ADF">
      <w:pPr>
        <w:spacing w:after="0" w:line="240" w:lineRule="auto"/>
      </w:pPr>
      <w:r>
        <w:continuationSeparator/>
      </w:r>
    </w:p>
  </w:footnote>
  <w:footnote w:id="1">
    <w:p w14:paraId="27FCC67B" w14:textId="7384FF1C" w:rsidR="00A91287" w:rsidRPr="00036A41" w:rsidRDefault="00A91287">
      <w:pPr>
        <w:pStyle w:val="Textonotapie"/>
        <w:rPr>
          <w:rFonts w:ascii="ITC Avant Garde" w:hAnsi="ITC Avant Garde"/>
          <w:sz w:val="18"/>
          <w:szCs w:val="18"/>
        </w:rPr>
      </w:pPr>
      <w:r w:rsidRPr="00036A41">
        <w:rPr>
          <w:rStyle w:val="Refdenotaalpie"/>
          <w:rFonts w:ascii="ITC Avant Garde" w:hAnsi="ITC Avant Garde"/>
          <w:sz w:val="18"/>
          <w:szCs w:val="18"/>
        </w:rPr>
        <w:footnoteRef/>
      </w:r>
      <w:r w:rsidRPr="00036A41">
        <w:rPr>
          <w:rFonts w:ascii="ITC Avant Garde" w:hAnsi="ITC Avant Garde"/>
          <w:sz w:val="18"/>
          <w:szCs w:val="18"/>
        </w:rPr>
        <w:t xml:space="preserve"> Licitación pública con el objetivo de la Contratación del servicio de Evaluación del diseño y alcance de los Lineamientos para integrar el Acervo Estadístico del IFT. Disponible en: </w:t>
      </w:r>
      <w:hyperlink r:id="rId1" w:history="1">
        <w:r w:rsidRPr="00036A41">
          <w:rPr>
            <w:rStyle w:val="Hipervnculo"/>
            <w:rFonts w:ascii="ITC Avant Garde" w:hAnsi="ITC Avant Garde"/>
            <w:sz w:val="18"/>
            <w:szCs w:val="18"/>
          </w:rPr>
          <w:t>https://dof.gob.mx/nota_detalle_popup.php?codigo=5661683</w:t>
        </w:r>
      </w:hyperlink>
      <w:r w:rsidRPr="00036A41">
        <w:rPr>
          <w:rFonts w:ascii="ITC Avant Garde" w:hAnsi="ITC Avant Garde"/>
          <w:sz w:val="18"/>
          <w:szCs w:val="18"/>
        </w:rPr>
        <w:t xml:space="preserve"> </w:t>
      </w:r>
    </w:p>
  </w:footnote>
  <w:footnote w:id="2">
    <w:p w14:paraId="5087854A" w14:textId="02F1FC1F" w:rsidR="007537C3" w:rsidRDefault="007537C3">
      <w:pPr>
        <w:pStyle w:val="Textonotapie"/>
      </w:pPr>
      <w:r w:rsidRPr="00036A41">
        <w:rPr>
          <w:rStyle w:val="Refdenotaalpie"/>
          <w:rFonts w:ascii="ITC Avant Garde" w:hAnsi="ITC Avant Garde"/>
          <w:sz w:val="18"/>
          <w:szCs w:val="18"/>
        </w:rPr>
        <w:footnoteRef/>
      </w:r>
      <w:r w:rsidRPr="00036A41">
        <w:rPr>
          <w:rFonts w:ascii="ITC Avant Garde" w:hAnsi="ITC Avant Garde"/>
          <w:sz w:val="18"/>
          <w:szCs w:val="18"/>
        </w:rPr>
        <w:t xml:space="preserve"> Contrato IFT/LPN/025/22</w:t>
      </w:r>
    </w:p>
  </w:footnote>
  <w:footnote w:id="3">
    <w:p w14:paraId="68DF1FD7" w14:textId="77777777" w:rsidR="00897B80" w:rsidRPr="007C425A" w:rsidRDefault="00897B80" w:rsidP="00897B80">
      <w:pPr>
        <w:pStyle w:val="Textonotapie"/>
        <w:jc w:val="both"/>
        <w:rPr>
          <w:rFonts w:ascii="ITC Avant Garde" w:hAnsi="ITC Avant Garde"/>
          <w:sz w:val="16"/>
          <w:szCs w:val="16"/>
        </w:rPr>
      </w:pPr>
      <w:r>
        <w:rPr>
          <w:rStyle w:val="Refdenotaalpie"/>
        </w:rPr>
        <w:footnoteRef/>
      </w:r>
      <w:r>
        <w:t xml:space="preserve"> </w:t>
      </w:r>
      <w:r w:rsidRPr="007C425A">
        <w:rPr>
          <w:rFonts w:ascii="ITC Avant Garde" w:hAnsi="ITC Avant Garde"/>
          <w:sz w:val="16"/>
          <w:szCs w:val="16"/>
        </w:rPr>
        <w:t xml:space="preserve">De conformidad con lo previsto en el artículo 3, fracción XXI de la Ley General de Mejora Regulatoria, por </w:t>
      </w:r>
      <w:r>
        <w:rPr>
          <w:rFonts w:ascii="ITC Avant Garde" w:hAnsi="ITC Avant Garde"/>
          <w:sz w:val="16"/>
          <w:szCs w:val="16"/>
        </w:rPr>
        <w:t>T</w:t>
      </w:r>
      <w:r w:rsidRPr="007C425A">
        <w:rPr>
          <w:rFonts w:ascii="ITC Avant Garde" w:hAnsi="ITC Avant Garde"/>
          <w:sz w:val="16"/>
          <w:szCs w:val="16"/>
        </w:rPr>
        <w:t xml:space="preserve">rámite se define a cualquier solicitud o entrega de información que las personas físicas o morales del sector privado realicen ante la autoridad competente en el ámbito federal, de las entidades federativas, municipal o de la alcaldía, ya sea para cumplir una obligación o, en general, a fin de que se emita una resolución. </w:t>
      </w:r>
    </w:p>
    <w:p w14:paraId="3082B6F1" w14:textId="77777777" w:rsidR="00F61108" w:rsidRDefault="00897B80" w:rsidP="007C6480">
      <w:pPr>
        <w:pStyle w:val="Textonotapie"/>
        <w:jc w:val="both"/>
        <w:rPr>
          <w:rFonts w:ascii="ITC Avant Garde" w:hAnsi="ITC Avant Garde"/>
          <w:sz w:val="16"/>
          <w:szCs w:val="16"/>
        </w:rPr>
      </w:pPr>
      <w:r w:rsidRPr="007C425A">
        <w:rPr>
          <w:rFonts w:ascii="ITC Avant Garde" w:hAnsi="ITC Avant Garde"/>
          <w:sz w:val="16"/>
          <w:szCs w:val="16"/>
        </w:rPr>
        <w:t>El Decreto por el que se expide la Ley General de Mejora Regulatoria y se derogan diversas disposiciones de la Ley Federal de Procedimiento Administrativo fue publicado en el Diario Oficial de la Federación, el 18 de mayo del 2018. Disponible para su consulta en el siguiente vinculo electrónico:</w:t>
      </w:r>
    </w:p>
    <w:p w14:paraId="014EE7B3" w14:textId="1CE584AC" w:rsidR="00897B80" w:rsidRDefault="00007235" w:rsidP="007C6480">
      <w:pPr>
        <w:pStyle w:val="Textonotapie"/>
        <w:jc w:val="both"/>
      </w:pPr>
      <w:hyperlink r:id="rId2" w:history="1">
        <w:r w:rsidR="00897B80" w:rsidRPr="007C425A">
          <w:rPr>
            <w:rStyle w:val="Hipervnculo"/>
            <w:rFonts w:ascii="ITC Avant Garde" w:hAnsi="ITC Avant Garde"/>
            <w:sz w:val="16"/>
            <w:szCs w:val="16"/>
          </w:rPr>
          <w:t>http://www.diputados.gob.mx/LeyesBiblio/pdf/LGMR_180518.pdf</w:t>
        </w:r>
      </w:hyperlink>
      <w:r w:rsidR="00897B80">
        <w:rPr>
          <w:rStyle w:val="Hipervnculo"/>
          <w:rFonts w:ascii="ITC Avant Garde" w:hAnsi="ITC Avant Gard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910DA" w14:textId="3228465B" w:rsidR="00501ADF" w:rsidRPr="00501ADF" w:rsidRDefault="00911216" w:rsidP="00501ADF">
    <w:pPr>
      <w:spacing w:line="240" w:lineRule="auto"/>
      <w:rPr>
        <w:rFonts w:ascii="Arial" w:eastAsia="Times New Roman" w:hAnsi="Arial" w:cs="Arial"/>
        <w:color w:val="222222"/>
        <w:sz w:val="24"/>
        <w:szCs w:val="24"/>
        <w:lang w:eastAsia="es-MX"/>
      </w:rPr>
    </w:pPr>
    <w:r>
      <w:rPr>
        <w:noProof/>
        <w:lang w:eastAsia="es-MX"/>
      </w:rPr>
      <w:drawing>
        <wp:anchor distT="0" distB="0" distL="114300" distR="114300" simplePos="0" relativeHeight="251666432" behindDoc="1" locked="0" layoutInCell="1" allowOverlap="1" wp14:anchorId="54DAEDD3" wp14:editId="7B4F442D">
          <wp:simplePos x="0" y="0"/>
          <wp:positionH relativeFrom="margin">
            <wp:align>left</wp:align>
          </wp:positionH>
          <wp:positionV relativeFrom="paragraph">
            <wp:posOffset>-187960</wp:posOffset>
          </wp:positionV>
          <wp:extent cx="1362075" cy="93903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362075" cy="939031"/>
                  </a:xfrm>
                  <a:prstGeom prst="rect">
                    <a:avLst/>
                  </a:prstGeom>
                </pic:spPr>
              </pic:pic>
            </a:graphicData>
          </a:graphic>
          <wp14:sizeRelH relativeFrom="margin">
            <wp14:pctWidth>0</wp14:pctWidth>
          </wp14:sizeRelH>
          <wp14:sizeRelV relativeFrom="margin">
            <wp14:pctHeight>0</wp14:pctHeight>
          </wp14:sizeRelV>
        </wp:anchor>
      </w:drawing>
    </w:r>
    <w:r w:rsidR="00804F49">
      <w:rPr>
        <w:noProof/>
        <w:lang w:eastAsia="es-MX"/>
      </w:rPr>
      <mc:AlternateContent>
        <mc:Choice Requires="wps">
          <w:drawing>
            <wp:anchor distT="45720" distB="45720" distL="114300" distR="114300" simplePos="0" relativeHeight="251661312" behindDoc="0" locked="0" layoutInCell="1" allowOverlap="1" wp14:anchorId="5EBD25DC" wp14:editId="5B1C8A6D">
              <wp:simplePos x="0" y="0"/>
              <wp:positionH relativeFrom="margin">
                <wp:posOffset>3006090</wp:posOffset>
              </wp:positionH>
              <wp:positionV relativeFrom="paragraph">
                <wp:posOffset>140970</wp:posOffset>
              </wp:positionV>
              <wp:extent cx="2695575" cy="4667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66725"/>
                      </a:xfrm>
                      <a:prstGeom prst="rect">
                        <a:avLst/>
                      </a:prstGeom>
                      <a:solidFill>
                        <a:srgbClr val="FFFFFF"/>
                      </a:solidFill>
                      <a:ln w="9525">
                        <a:solidFill>
                          <a:schemeClr val="bg1"/>
                        </a:solidFill>
                        <a:miter lim="800000"/>
                        <a:headEnd/>
                        <a:tailEnd/>
                      </a:ln>
                    </wps:spPr>
                    <wps:txbx>
                      <w:txbxContent>
                        <w:p w14:paraId="5DD1672B" w14:textId="2222B65D" w:rsidR="00804F49" w:rsidRPr="00451B7D" w:rsidRDefault="0006478F" w:rsidP="00804F49">
                          <w:pPr>
                            <w:jc w:val="right"/>
                            <w:rPr>
                              <w:rFonts w:ascii="ITC Avant Garde" w:hAnsi="ITC Avant Garde"/>
                              <w:sz w:val="20"/>
                            </w:rPr>
                          </w:pPr>
                          <w:r w:rsidRPr="00451B7D">
                            <w:rPr>
                              <w:rFonts w:ascii="ITC Avant Garde" w:hAnsi="ITC Avant Garde"/>
                              <w:sz w:val="20"/>
                            </w:rPr>
                            <w:t>ANÁ</w:t>
                          </w:r>
                          <w:r w:rsidR="00804F49" w:rsidRPr="00451B7D">
                            <w:rPr>
                              <w:rFonts w:ascii="ITC Avant Garde" w:hAnsi="ITC Avant Garde"/>
                              <w:sz w:val="20"/>
                            </w:rPr>
                            <w:t xml:space="preserve">LISIS DE </w:t>
                          </w:r>
                          <w:r w:rsidR="00F31821" w:rsidRPr="00451B7D">
                            <w:rPr>
                              <w:rFonts w:ascii="ITC Avant Garde" w:hAnsi="ITC Avant Garde"/>
                              <w:sz w:val="20"/>
                            </w:rPr>
                            <w:t xml:space="preserve">NULO </w:t>
                          </w:r>
                          <w:r w:rsidR="00804F49" w:rsidRPr="00451B7D">
                            <w:rPr>
                              <w:rFonts w:ascii="ITC Avant Garde" w:hAnsi="ITC Avant Garde"/>
                              <w:sz w:val="20"/>
                            </w:rPr>
                            <w:t>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D25DC" id="_x0000_t202" coordsize="21600,21600" o:spt="202" path="m,l,21600r21600,l21600,xe">
              <v:stroke joinstyle="miter"/>
              <v:path gradientshapeok="t" o:connecttype="rect"/>
            </v:shapetype>
            <v:shape id="Cuadro de texto 2" o:spid="_x0000_s1026" type="#_x0000_t202" style="position:absolute;margin-left:236.7pt;margin-top:11.1pt;width:212.25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" strokecolor="white [3212]">
              <v:textbox>
                <w:txbxContent>
                  <w:p w14:paraId="5DD1672B" w14:textId="2222B65D" w:rsidR="00804F49" w:rsidRPr="00451B7D" w:rsidRDefault="0006478F" w:rsidP="00804F49">
                    <w:pPr>
                      <w:jc w:val="right"/>
                      <w:rPr>
                        <w:rFonts w:ascii="ITC Avant Garde" w:hAnsi="ITC Avant Garde"/>
                        <w:sz w:val="20"/>
                      </w:rPr>
                    </w:pPr>
                    <w:r w:rsidRPr="00451B7D">
                      <w:rPr>
                        <w:rFonts w:ascii="ITC Avant Garde" w:hAnsi="ITC Avant Garde"/>
                        <w:sz w:val="20"/>
                      </w:rPr>
                      <w:t>ANÁ</w:t>
                    </w:r>
                    <w:r w:rsidR="00804F49" w:rsidRPr="00451B7D">
                      <w:rPr>
                        <w:rFonts w:ascii="ITC Avant Garde" w:hAnsi="ITC Avant Garde"/>
                        <w:sz w:val="20"/>
                      </w:rPr>
                      <w:t xml:space="preserve">LISIS DE </w:t>
                    </w:r>
                    <w:r w:rsidR="00F31821" w:rsidRPr="00451B7D">
                      <w:rPr>
                        <w:rFonts w:ascii="ITC Avant Garde" w:hAnsi="ITC Avant Garde"/>
                        <w:sz w:val="20"/>
                      </w:rPr>
                      <w:t xml:space="preserve">NULO </w:t>
                    </w:r>
                    <w:r w:rsidR="00804F49" w:rsidRPr="00451B7D">
                      <w:rPr>
                        <w:rFonts w:ascii="ITC Avant Garde" w:hAnsi="ITC Avant Garde"/>
                        <w:sz w:val="20"/>
                      </w:rPr>
                      <w:t>IMPACTO REGULATORIO</w:t>
                    </w:r>
                  </w:p>
                </w:txbxContent>
              </v:textbox>
              <w10:wrap type="square" anchorx="margin"/>
            </v:shape>
          </w:pict>
        </mc:Fallback>
      </mc:AlternateContent>
    </w:r>
  </w:p>
  <w:p w14:paraId="27882036" w14:textId="37A00500" w:rsidR="00501ADF" w:rsidRDefault="00501ADF">
    <w:pPr>
      <w:pStyle w:val="Encabezado"/>
    </w:pPr>
  </w:p>
  <w:p w14:paraId="2C48871E" w14:textId="77777777" w:rsidR="00804F49" w:rsidRDefault="00804F49">
    <w:pPr>
      <w:pStyle w:val="Encabezado"/>
    </w:pPr>
  </w:p>
  <w:p w14:paraId="75745905" w14:textId="19BBBECD" w:rsidR="00501ADF" w:rsidRDefault="00501ADF">
    <w:pPr>
      <w:pStyle w:val="Encabezado"/>
    </w:pPr>
    <w:r>
      <w:rPr>
        <w:noProof/>
        <w:lang w:eastAsia="es-MX"/>
      </w:rPr>
      <mc:AlternateContent>
        <mc:Choice Requires="wps">
          <w:drawing>
            <wp:anchor distT="0" distB="0" distL="114300" distR="114300" simplePos="0" relativeHeight="251659264" behindDoc="0" locked="0" layoutInCell="1" allowOverlap="1" wp14:anchorId="1F123746" wp14:editId="18DF3473">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4C7A2C0"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0B880DD4" w14:textId="77777777" w:rsidR="00501ADF" w:rsidRDefault="00501A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799F"/>
    <w:multiLevelType w:val="hybridMultilevel"/>
    <w:tmpl w:val="70444B92"/>
    <w:lvl w:ilvl="0" w:tplc="BF3615DA">
      <w:numFmt w:val="bullet"/>
      <w:lvlText w:val="•"/>
      <w:lvlJc w:val="left"/>
      <w:pPr>
        <w:ind w:left="1425" w:hanging="705"/>
      </w:pPr>
      <w:rPr>
        <w:rFonts w:ascii="ITC Avant Garde" w:eastAsiaTheme="minorHAnsi" w:hAnsi="ITC Avant Gard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9A52A00"/>
    <w:multiLevelType w:val="hybridMultilevel"/>
    <w:tmpl w:val="E35AAAC2"/>
    <w:lvl w:ilvl="0" w:tplc="BF3615DA">
      <w:numFmt w:val="bullet"/>
      <w:lvlText w:val="•"/>
      <w:lvlJc w:val="left"/>
      <w:pPr>
        <w:ind w:left="1065" w:hanging="705"/>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C5621"/>
    <w:multiLevelType w:val="hybridMultilevel"/>
    <w:tmpl w:val="FE384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6E223F"/>
    <w:multiLevelType w:val="multilevel"/>
    <w:tmpl w:val="20AAA0A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095434"/>
    <w:multiLevelType w:val="hybridMultilevel"/>
    <w:tmpl w:val="048E25C0"/>
    <w:lvl w:ilvl="0" w:tplc="BF3615DA">
      <w:numFmt w:val="bullet"/>
      <w:lvlText w:val="•"/>
      <w:lvlJc w:val="left"/>
      <w:pPr>
        <w:ind w:left="1065" w:hanging="705"/>
      </w:pPr>
      <w:rPr>
        <w:rFonts w:ascii="ITC Avant Garde" w:eastAsiaTheme="minorHAnsi" w:hAnsi="ITC Avant Garde" w:cstheme="minorBidi" w:hint="default"/>
      </w:rPr>
    </w:lvl>
    <w:lvl w:ilvl="1" w:tplc="080A0003">
      <w:start w:val="1"/>
      <w:numFmt w:val="bullet"/>
      <w:lvlText w:val="o"/>
      <w:lvlJc w:val="left"/>
      <w:pPr>
        <w:ind w:left="1440" w:hanging="360"/>
      </w:pPr>
      <w:rPr>
        <w:rFonts w:ascii="Courier New" w:hAnsi="Courier New" w:cs="Courier New" w:hint="default"/>
      </w:rPr>
    </w:lvl>
    <w:lvl w:ilvl="2" w:tplc="927AFA3C">
      <w:numFmt w:val="bullet"/>
      <w:lvlText w:val=""/>
      <w:lvlJc w:val="left"/>
      <w:pPr>
        <w:ind w:left="2505" w:hanging="705"/>
      </w:pPr>
      <w:rPr>
        <w:rFonts w:ascii="Symbol" w:eastAsiaTheme="minorHAnsi" w:hAnsi="Symbol" w:cstheme="minorBidi"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4F24B1"/>
    <w:multiLevelType w:val="hybridMultilevel"/>
    <w:tmpl w:val="D1A2BBF0"/>
    <w:lvl w:ilvl="0" w:tplc="BF3615DA">
      <w:numFmt w:val="bullet"/>
      <w:lvlText w:val="•"/>
      <w:lvlJc w:val="left"/>
      <w:pPr>
        <w:ind w:left="1065" w:hanging="705"/>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7F6E4B"/>
    <w:multiLevelType w:val="hybridMultilevel"/>
    <w:tmpl w:val="FD0655F8"/>
    <w:lvl w:ilvl="0" w:tplc="114C1506">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820636"/>
    <w:multiLevelType w:val="multilevel"/>
    <w:tmpl w:val="DE98EA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7E443EEC"/>
    <w:multiLevelType w:val="multilevel"/>
    <w:tmpl w:val="6F0825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7ECF29FB"/>
    <w:multiLevelType w:val="hybridMultilevel"/>
    <w:tmpl w:val="8266F6AA"/>
    <w:lvl w:ilvl="0" w:tplc="2F36A7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5610054">
    <w:abstractNumId w:val="4"/>
  </w:num>
  <w:num w:numId="2" w16cid:durableId="1450053867">
    <w:abstractNumId w:val="5"/>
  </w:num>
  <w:num w:numId="3" w16cid:durableId="1829982685">
    <w:abstractNumId w:val="9"/>
  </w:num>
  <w:num w:numId="4" w16cid:durableId="649138671">
    <w:abstractNumId w:val="2"/>
  </w:num>
  <w:num w:numId="5" w16cid:durableId="578055023">
    <w:abstractNumId w:val="7"/>
  </w:num>
  <w:num w:numId="6" w16cid:durableId="1800416550">
    <w:abstractNumId w:val="0"/>
  </w:num>
  <w:num w:numId="7" w16cid:durableId="1305086914">
    <w:abstractNumId w:val="6"/>
  </w:num>
  <w:num w:numId="8" w16cid:durableId="3869559">
    <w:abstractNumId w:val="1"/>
  </w:num>
  <w:num w:numId="9" w16cid:durableId="806432059">
    <w:abstractNumId w:val="8"/>
  </w:num>
  <w:num w:numId="10" w16cid:durableId="1189178803">
    <w:abstractNumId w:val="12"/>
  </w:num>
  <w:num w:numId="11" w16cid:durableId="1116680075">
    <w:abstractNumId w:val="10"/>
  </w:num>
  <w:num w:numId="12" w16cid:durableId="686636027">
    <w:abstractNumId w:val="11"/>
  </w:num>
  <w:num w:numId="13" w16cid:durableId="180819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7235"/>
    <w:rsid w:val="0001148A"/>
    <w:rsid w:val="00021824"/>
    <w:rsid w:val="00021FB4"/>
    <w:rsid w:val="00036A41"/>
    <w:rsid w:val="00044D30"/>
    <w:rsid w:val="0004705F"/>
    <w:rsid w:val="00056AE8"/>
    <w:rsid w:val="0006478F"/>
    <w:rsid w:val="00082370"/>
    <w:rsid w:val="000925DC"/>
    <w:rsid w:val="00092911"/>
    <w:rsid w:val="000A4164"/>
    <w:rsid w:val="000B2437"/>
    <w:rsid w:val="000B4E8B"/>
    <w:rsid w:val="000C16BC"/>
    <w:rsid w:val="000D401B"/>
    <w:rsid w:val="000D4137"/>
    <w:rsid w:val="000D4171"/>
    <w:rsid w:val="000E6A13"/>
    <w:rsid w:val="000F669B"/>
    <w:rsid w:val="00162006"/>
    <w:rsid w:val="001647E9"/>
    <w:rsid w:val="00177F7B"/>
    <w:rsid w:val="00181A32"/>
    <w:rsid w:val="00181D97"/>
    <w:rsid w:val="00184F86"/>
    <w:rsid w:val="001932FC"/>
    <w:rsid w:val="001976D1"/>
    <w:rsid w:val="001A17E3"/>
    <w:rsid w:val="001B4A51"/>
    <w:rsid w:val="001E00EF"/>
    <w:rsid w:val="001E26FE"/>
    <w:rsid w:val="001E33F5"/>
    <w:rsid w:val="001F52B6"/>
    <w:rsid w:val="002020DD"/>
    <w:rsid w:val="00202668"/>
    <w:rsid w:val="00203315"/>
    <w:rsid w:val="00203BD1"/>
    <w:rsid w:val="00206C6C"/>
    <w:rsid w:val="00211C96"/>
    <w:rsid w:val="00247B33"/>
    <w:rsid w:val="00261153"/>
    <w:rsid w:val="00263068"/>
    <w:rsid w:val="002753E1"/>
    <w:rsid w:val="00285E9F"/>
    <w:rsid w:val="00286496"/>
    <w:rsid w:val="002911C6"/>
    <w:rsid w:val="00295E97"/>
    <w:rsid w:val="002D1019"/>
    <w:rsid w:val="002D28C7"/>
    <w:rsid w:val="0030055F"/>
    <w:rsid w:val="003039BF"/>
    <w:rsid w:val="00320B7F"/>
    <w:rsid w:val="00321A38"/>
    <w:rsid w:val="00323167"/>
    <w:rsid w:val="00333B41"/>
    <w:rsid w:val="00337E63"/>
    <w:rsid w:val="00361296"/>
    <w:rsid w:val="003638BA"/>
    <w:rsid w:val="00372BF7"/>
    <w:rsid w:val="00377507"/>
    <w:rsid w:val="00383818"/>
    <w:rsid w:val="0039169A"/>
    <w:rsid w:val="003949C0"/>
    <w:rsid w:val="003A5DBB"/>
    <w:rsid w:val="003A72BC"/>
    <w:rsid w:val="003B48A5"/>
    <w:rsid w:val="003C0CF2"/>
    <w:rsid w:val="003D67A8"/>
    <w:rsid w:val="003D7CA5"/>
    <w:rsid w:val="003E1D84"/>
    <w:rsid w:val="003F05E7"/>
    <w:rsid w:val="003F0609"/>
    <w:rsid w:val="003F6F23"/>
    <w:rsid w:val="00401018"/>
    <w:rsid w:val="00416533"/>
    <w:rsid w:val="004226AE"/>
    <w:rsid w:val="00451B7D"/>
    <w:rsid w:val="004603F7"/>
    <w:rsid w:val="00466E0B"/>
    <w:rsid w:val="004729E8"/>
    <w:rsid w:val="0049127C"/>
    <w:rsid w:val="004A022B"/>
    <w:rsid w:val="004A7C30"/>
    <w:rsid w:val="004B5C7B"/>
    <w:rsid w:val="004B6836"/>
    <w:rsid w:val="004D3B21"/>
    <w:rsid w:val="004E0AA9"/>
    <w:rsid w:val="004E0DA9"/>
    <w:rsid w:val="00501ADF"/>
    <w:rsid w:val="00520AF8"/>
    <w:rsid w:val="00525271"/>
    <w:rsid w:val="005319D5"/>
    <w:rsid w:val="005477D7"/>
    <w:rsid w:val="0058358B"/>
    <w:rsid w:val="00590D56"/>
    <w:rsid w:val="00596FDE"/>
    <w:rsid w:val="005A06B2"/>
    <w:rsid w:val="005A1C4A"/>
    <w:rsid w:val="005A40FB"/>
    <w:rsid w:val="005B2C92"/>
    <w:rsid w:val="005C44A8"/>
    <w:rsid w:val="005D40A9"/>
    <w:rsid w:val="005E3ED7"/>
    <w:rsid w:val="005F4580"/>
    <w:rsid w:val="006132D1"/>
    <w:rsid w:val="006220C6"/>
    <w:rsid w:val="00623EB8"/>
    <w:rsid w:val="00626423"/>
    <w:rsid w:val="00634DE8"/>
    <w:rsid w:val="00641D09"/>
    <w:rsid w:val="00647FB6"/>
    <w:rsid w:val="00657AAB"/>
    <w:rsid w:val="00657D6C"/>
    <w:rsid w:val="00664A8B"/>
    <w:rsid w:val="006717D5"/>
    <w:rsid w:val="006724E4"/>
    <w:rsid w:val="00680326"/>
    <w:rsid w:val="0068307E"/>
    <w:rsid w:val="006A3A0E"/>
    <w:rsid w:val="006D7556"/>
    <w:rsid w:val="006D7A08"/>
    <w:rsid w:val="006F2429"/>
    <w:rsid w:val="006F69F6"/>
    <w:rsid w:val="007018A1"/>
    <w:rsid w:val="0070353D"/>
    <w:rsid w:val="00712636"/>
    <w:rsid w:val="00714252"/>
    <w:rsid w:val="007344D3"/>
    <w:rsid w:val="00736B71"/>
    <w:rsid w:val="007431B6"/>
    <w:rsid w:val="0074323F"/>
    <w:rsid w:val="007537C3"/>
    <w:rsid w:val="0076488A"/>
    <w:rsid w:val="00784EE1"/>
    <w:rsid w:val="0078746F"/>
    <w:rsid w:val="007906D0"/>
    <w:rsid w:val="00794307"/>
    <w:rsid w:val="007A37D6"/>
    <w:rsid w:val="007C425A"/>
    <w:rsid w:val="007C6480"/>
    <w:rsid w:val="007D4E5B"/>
    <w:rsid w:val="007F37BF"/>
    <w:rsid w:val="00801FED"/>
    <w:rsid w:val="00804F49"/>
    <w:rsid w:val="008135FB"/>
    <w:rsid w:val="00814536"/>
    <w:rsid w:val="00814A48"/>
    <w:rsid w:val="00827470"/>
    <w:rsid w:val="0084560D"/>
    <w:rsid w:val="0085783E"/>
    <w:rsid w:val="0086684A"/>
    <w:rsid w:val="00870931"/>
    <w:rsid w:val="00876D05"/>
    <w:rsid w:val="00897B80"/>
    <w:rsid w:val="008A1704"/>
    <w:rsid w:val="008A48B0"/>
    <w:rsid w:val="008A5DB1"/>
    <w:rsid w:val="008B5F47"/>
    <w:rsid w:val="008C76AF"/>
    <w:rsid w:val="008D1314"/>
    <w:rsid w:val="008E1AD3"/>
    <w:rsid w:val="008E21BB"/>
    <w:rsid w:val="008E3011"/>
    <w:rsid w:val="009058DB"/>
    <w:rsid w:val="00911216"/>
    <w:rsid w:val="00913436"/>
    <w:rsid w:val="00943FAB"/>
    <w:rsid w:val="009442FD"/>
    <w:rsid w:val="00963016"/>
    <w:rsid w:val="009656B1"/>
    <w:rsid w:val="00967963"/>
    <w:rsid w:val="009806B7"/>
    <w:rsid w:val="00986E23"/>
    <w:rsid w:val="0098791B"/>
    <w:rsid w:val="009A2A34"/>
    <w:rsid w:val="009D10E1"/>
    <w:rsid w:val="009D5C70"/>
    <w:rsid w:val="009D73E5"/>
    <w:rsid w:val="009E2F03"/>
    <w:rsid w:val="009F237F"/>
    <w:rsid w:val="00A004AA"/>
    <w:rsid w:val="00A1622C"/>
    <w:rsid w:val="00A54EB9"/>
    <w:rsid w:val="00A7211D"/>
    <w:rsid w:val="00A73AD8"/>
    <w:rsid w:val="00A75E22"/>
    <w:rsid w:val="00A81C3A"/>
    <w:rsid w:val="00A855B0"/>
    <w:rsid w:val="00A85D6D"/>
    <w:rsid w:val="00A91287"/>
    <w:rsid w:val="00A96209"/>
    <w:rsid w:val="00AA1CF2"/>
    <w:rsid w:val="00AA4CB3"/>
    <w:rsid w:val="00AB3C82"/>
    <w:rsid w:val="00AC0FEC"/>
    <w:rsid w:val="00B2360F"/>
    <w:rsid w:val="00B24AB5"/>
    <w:rsid w:val="00B32137"/>
    <w:rsid w:val="00B32DDD"/>
    <w:rsid w:val="00B41497"/>
    <w:rsid w:val="00B43D57"/>
    <w:rsid w:val="00B5026F"/>
    <w:rsid w:val="00B6461E"/>
    <w:rsid w:val="00B74C55"/>
    <w:rsid w:val="00B74F10"/>
    <w:rsid w:val="00B77B4B"/>
    <w:rsid w:val="00B81B81"/>
    <w:rsid w:val="00B97CF1"/>
    <w:rsid w:val="00BA0F10"/>
    <w:rsid w:val="00BA4E93"/>
    <w:rsid w:val="00BB73BA"/>
    <w:rsid w:val="00BC2FF7"/>
    <w:rsid w:val="00BE562E"/>
    <w:rsid w:val="00BE7D1C"/>
    <w:rsid w:val="00C1532E"/>
    <w:rsid w:val="00C37872"/>
    <w:rsid w:val="00C50920"/>
    <w:rsid w:val="00C53388"/>
    <w:rsid w:val="00C5470D"/>
    <w:rsid w:val="00C57F9E"/>
    <w:rsid w:val="00C917FC"/>
    <w:rsid w:val="00CA16FE"/>
    <w:rsid w:val="00CA5CDE"/>
    <w:rsid w:val="00CE2EA1"/>
    <w:rsid w:val="00CF4AA6"/>
    <w:rsid w:val="00D02DA9"/>
    <w:rsid w:val="00D0386B"/>
    <w:rsid w:val="00D221B5"/>
    <w:rsid w:val="00D23BD5"/>
    <w:rsid w:val="00D31AE9"/>
    <w:rsid w:val="00D55CA7"/>
    <w:rsid w:val="00D61D28"/>
    <w:rsid w:val="00D63361"/>
    <w:rsid w:val="00D826F1"/>
    <w:rsid w:val="00DB01FA"/>
    <w:rsid w:val="00DD03E1"/>
    <w:rsid w:val="00DD2725"/>
    <w:rsid w:val="00DE4A34"/>
    <w:rsid w:val="00DE6F24"/>
    <w:rsid w:val="00DF5C23"/>
    <w:rsid w:val="00E046F4"/>
    <w:rsid w:val="00E16506"/>
    <w:rsid w:val="00E16857"/>
    <w:rsid w:val="00E17EAA"/>
    <w:rsid w:val="00E21B49"/>
    <w:rsid w:val="00E27972"/>
    <w:rsid w:val="00E5544E"/>
    <w:rsid w:val="00E6080B"/>
    <w:rsid w:val="00E745D9"/>
    <w:rsid w:val="00E768BA"/>
    <w:rsid w:val="00E812F7"/>
    <w:rsid w:val="00E8340B"/>
    <w:rsid w:val="00E8799D"/>
    <w:rsid w:val="00EC7D28"/>
    <w:rsid w:val="00ED05BE"/>
    <w:rsid w:val="00ED3272"/>
    <w:rsid w:val="00ED4836"/>
    <w:rsid w:val="00EE6FE8"/>
    <w:rsid w:val="00F03289"/>
    <w:rsid w:val="00F210F1"/>
    <w:rsid w:val="00F23918"/>
    <w:rsid w:val="00F301D0"/>
    <w:rsid w:val="00F31821"/>
    <w:rsid w:val="00F342A4"/>
    <w:rsid w:val="00F34F30"/>
    <w:rsid w:val="00F61108"/>
    <w:rsid w:val="00F67871"/>
    <w:rsid w:val="00F75427"/>
    <w:rsid w:val="00F75C80"/>
    <w:rsid w:val="00F9299E"/>
    <w:rsid w:val="00F94A28"/>
    <w:rsid w:val="00FA4E7E"/>
    <w:rsid w:val="00FB158A"/>
    <w:rsid w:val="00FB4FEA"/>
    <w:rsid w:val="00FB58BA"/>
    <w:rsid w:val="00FD121A"/>
    <w:rsid w:val="00FD4003"/>
    <w:rsid w:val="00FE17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752E5"/>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paragraph" w:styleId="Textonotapie">
    <w:name w:val="footnote text"/>
    <w:basedOn w:val="Normal"/>
    <w:link w:val="TextonotapieCar"/>
    <w:uiPriority w:val="99"/>
    <w:unhideWhenUsed/>
    <w:rsid w:val="008E1AD3"/>
    <w:pPr>
      <w:spacing w:after="0" w:line="240" w:lineRule="auto"/>
    </w:pPr>
    <w:rPr>
      <w:sz w:val="20"/>
      <w:szCs w:val="20"/>
    </w:rPr>
  </w:style>
  <w:style w:type="character" w:customStyle="1" w:styleId="TextonotapieCar">
    <w:name w:val="Texto nota pie Car"/>
    <w:basedOn w:val="Fuentedeprrafopredeter"/>
    <w:link w:val="Textonotapie"/>
    <w:uiPriority w:val="99"/>
    <w:rsid w:val="008E1AD3"/>
    <w:rPr>
      <w:sz w:val="20"/>
      <w:szCs w:val="20"/>
    </w:rPr>
  </w:style>
  <w:style w:type="character" w:styleId="Refdenotaalpie">
    <w:name w:val="footnote reference"/>
    <w:basedOn w:val="Fuentedeprrafopredeter"/>
    <w:uiPriority w:val="99"/>
    <w:semiHidden/>
    <w:unhideWhenUsed/>
    <w:rsid w:val="008E1AD3"/>
    <w:rPr>
      <w:vertAlign w:val="superscript"/>
    </w:rPr>
  </w:style>
  <w:style w:type="paragraph" w:styleId="Textodeglobo">
    <w:name w:val="Balloon Text"/>
    <w:basedOn w:val="Normal"/>
    <w:link w:val="TextodegloboCar"/>
    <w:uiPriority w:val="99"/>
    <w:semiHidden/>
    <w:unhideWhenUsed/>
    <w:rsid w:val="006D75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556"/>
    <w:rPr>
      <w:rFonts w:ascii="Segoe UI" w:hAnsi="Segoe UI" w:cs="Segoe UI"/>
      <w:sz w:val="18"/>
      <w:szCs w:val="18"/>
    </w:rPr>
  </w:style>
  <w:style w:type="character" w:styleId="Refdecomentario">
    <w:name w:val="annotation reference"/>
    <w:basedOn w:val="Fuentedeprrafopredeter"/>
    <w:uiPriority w:val="99"/>
    <w:semiHidden/>
    <w:unhideWhenUsed/>
    <w:rsid w:val="008135FB"/>
    <w:rPr>
      <w:sz w:val="16"/>
      <w:szCs w:val="16"/>
    </w:rPr>
  </w:style>
  <w:style w:type="paragraph" w:styleId="Textocomentario">
    <w:name w:val="annotation text"/>
    <w:basedOn w:val="Normal"/>
    <w:link w:val="TextocomentarioCar"/>
    <w:uiPriority w:val="99"/>
    <w:unhideWhenUsed/>
    <w:rsid w:val="008135FB"/>
    <w:pPr>
      <w:spacing w:line="240" w:lineRule="auto"/>
    </w:pPr>
    <w:rPr>
      <w:sz w:val="20"/>
      <w:szCs w:val="20"/>
    </w:rPr>
  </w:style>
  <w:style w:type="character" w:customStyle="1" w:styleId="TextocomentarioCar">
    <w:name w:val="Texto comentario Car"/>
    <w:basedOn w:val="Fuentedeprrafopredeter"/>
    <w:link w:val="Textocomentario"/>
    <w:uiPriority w:val="99"/>
    <w:rsid w:val="008135FB"/>
    <w:rPr>
      <w:sz w:val="20"/>
      <w:szCs w:val="20"/>
    </w:rPr>
  </w:style>
  <w:style w:type="paragraph" w:styleId="Asuntodelcomentario">
    <w:name w:val="annotation subject"/>
    <w:basedOn w:val="Textocomentario"/>
    <w:next w:val="Textocomentario"/>
    <w:link w:val="AsuntodelcomentarioCar"/>
    <w:uiPriority w:val="99"/>
    <w:semiHidden/>
    <w:unhideWhenUsed/>
    <w:rsid w:val="008135FB"/>
    <w:rPr>
      <w:b/>
      <w:bCs/>
    </w:rPr>
  </w:style>
  <w:style w:type="character" w:customStyle="1" w:styleId="AsuntodelcomentarioCar">
    <w:name w:val="Asunto del comentario Car"/>
    <w:basedOn w:val="TextocomentarioCar"/>
    <w:link w:val="Asuntodelcomentario"/>
    <w:uiPriority w:val="99"/>
    <w:semiHidden/>
    <w:rsid w:val="008135FB"/>
    <w:rPr>
      <w:b/>
      <w:bCs/>
      <w:sz w:val="20"/>
      <w:szCs w:val="20"/>
    </w:rPr>
  </w:style>
  <w:style w:type="paragraph" w:styleId="Revisin">
    <w:name w:val="Revision"/>
    <w:hidden/>
    <w:uiPriority w:val="99"/>
    <w:semiHidden/>
    <w:rsid w:val="00BE7D1C"/>
    <w:pPr>
      <w:spacing w:after="0" w:line="240" w:lineRule="auto"/>
    </w:pPr>
  </w:style>
  <w:style w:type="character" w:styleId="Textodelmarcadordeposicin">
    <w:name w:val="Placeholder Text"/>
    <w:basedOn w:val="Fuentedeprrafopredeter"/>
    <w:uiPriority w:val="99"/>
    <w:semiHidden/>
    <w:rsid w:val="00BE7D1C"/>
    <w:rPr>
      <w:color w:val="808080"/>
    </w:rPr>
  </w:style>
  <w:style w:type="character" w:styleId="Mencinsinresolver">
    <w:name w:val="Unresolved Mention"/>
    <w:basedOn w:val="Fuentedeprrafopredeter"/>
    <w:uiPriority w:val="99"/>
    <w:semiHidden/>
    <w:unhideWhenUsed/>
    <w:rsid w:val="00963016"/>
    <w:rPr>
      <w:color w:val="605E5C"/>
      <w:shd w:val="clear" w:color="auto" w:fill="E1DFDD"/>
    </w:rPr>
  </w:style>
  <w:style w:type="paragraph" w:customStyle="1" w:styleId="Texto">
    <w:name w:val="Texto"/>
    <w:basedOn w:val="Normal"/>
    <w:link w:val="TextoCar"/>
    <w:rsid w:val="00DF5C2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DF5C23"/>
    <w:rPr>
      <w:rFonts w:ascii="Arial" w:eastAsia="Times New Roman" w:hAnsi="Arial" w:cs="Arial"/>
      <w:sz w:val="18"/>
      <w:szCs w:val="20"/>
      <w:lang w:eastAsia="es-ES"/>
    </w:rPr>
  </w:style>
  <w:style w:type="character" w:styleId="Hipervnculovisitado">
    <w:name w:val="FollowedHyperlink"/>
    <w:basedOn w:val="Fuentedeprrafopredeter"/>
    <w:uiPriority w:val="99"/>
    <w:semiHidden/>
    <w:unhideWhenUsed/>
    <w:rsid w:val="00261153"/>
    <w:rPr>
      <w:color w:val="954F72" w:themeColor="followedHyperlink"/>
      <w:u w:val="single"/>
    </w:rPr>
  </w:style>
  <w:style w:type="character" w:customStyle="1" w:styleId="eop">
    <w:name w:val="eop"/>
    <w:basedOn w:val="Fuentedeprrafopredeter"/>
    <w:rsid w:val="00AC0FEC"/>
  </w:style>
  <w:style w:type="paragraph" w:customStyle="1" w:styleId="paragraph">
    <w:name w:val="paragraph"/>
    <w:basedOn w:val="Normal"/>
    <w:rsid w:val="00320B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320B7F"/>
  </w:style>
  <w:style w:type="paragraph" w:customStyle="1" w:styleId="texto0">
    <w:name w:val="texto"/>
    <w:basedOn w:val="Normal"/>
    <w:rsid w:val="00E16857"/>
    <w:pPr>
      <w:snapToGrid w:val="0"/>
      <w:spacing w:after="101" w:line="216" w:lineRule="exact"/>
      <w:ind w:firstLine="288"/>
      <w:jc w:val="both"/>
    </w:pPr>
    <w:rPr>
      <w:rFonts w:ascii="Arial" w:eastAsia="Times New Roma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7734">
      <w:bodyDiv w:val="1"/>
      <w:marLeft w:val="0"/>
      <w:marRight w:val="0"/>
      <w:marTop w:val="0"/>
      <w:marBottom w:val="0"/>
      <w:divBdr>
        <w:top w:val="none" w:sz="0" w:space="0" w:color="auto"/>
        <w:left w:val="none" w:sz="0" w:space="0" w:color="auto"/>
        <w:bottom w:val="none" w:sz="0" w:space="0" w:color="auto"/>
        <w:right w:val="none" w:sz="0" w:space="0" w:color="auto"/>
      </w:divBdr>
    </w:div>
    <w:div w:id="408111909">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633895">
      <w:bodyDiv w:val="1"/>
      <w:marLeft w:val="0"/>
      <w:marRight w:val="0"/>
      <w:marTop w:val="0"/>
      <w:marBottom w:val="0"/>
      <w:divBdr>
        <w:top w:val="none" w:sz="0" w:space="0" w:color="auto"/>
        <w:left w:val="none" w:sz="0" w:space="0" w:color="auto"/>
        <w:bottom w:val="none" w:sz="0" w:space="0" w:color="auto"/>
        <w:right w:val="none" w:sz="0" w:space="0" w:color="auto"/>
      </w:divBdr>
    </w:div>
    <w:div w:id="613948992">
      <w:bodyDiv w:val="1"/>
      <w:marLeft w:val="0"/>
      <w:marRight w:val="0"/>
      <w:marTop w:val="0"/>
      <w:marBottom w:val="0"/>
      <w:divBdr>
        <w:top w:val="none" w:sz="0" w:space="0" w:color="auto"/>
        <w:left w:val="none" w:sz="0" w:space="0" w:color="auto"/>
        <w:bottom w:val="none" w:sz="0" w:space="0" w:color="auto"/>
        <w:right w:val="none" w:sz="0" w:space="0" w:color="auto"/>
      </w:divBdr>
    </w:div>
    <w:div w:id="875579927">
      <w:bodyDiv w:val="1"/>
      <w:marLeft w:val="0"/>
      <w:marRight w:val="0"/>
      <w:marTop w:val="0"/>
      <w:marBottom w:val="0"/>
      <w:divBdr>
        <w:top w:val="none" w:sz="0" w:space="0" w:color="auto"/>
        <w:left w:val="none" w:sz="0" w:space="0" w:color="auto"/>
        <w:bottom w:val="none" w:sz="0" w:space="0" w:color="auto"/>
        <w:right w:val="none" w:sz="0" w:space="0" w:color="auto"/>
      </w:divBdr>
      <w:divsChild>
        <w:div w:id="810361852">
          <w:marLeft w:val="0"/>
          <w:marRight w:val="0"/>
          <w:marTop w:val="0"/>
          <w:marBottom w:val="0"/>
          <w:divBdr>
            <w:top w:val="none" w:sz="0" w:space="0" w:color="auto"/>
            <w:left w:val="none" w:sz="0" w:space="0" w:color="auto"/>
            <w:bottom w:val="none" w:sz="0" w:space="0" w:color="auto"/>
            <w:right w:val="none" w:sz="0" w:space="0" w:color="auto"/>
          </w:divBdr>
        </w:div>
        <w:div w:id="29692775">
          <w:marLeft w:val="0"/>
          <w:marRight w:val="0"/>
          <w:marTop w:val="0"/>
          <w:marBottom w:val="0"/>
          <w:divBdr>
            <w:top w:val="none" w:sz="0" w:space="0" w:color="auto"/>
            <w:left w:val="none" w:sz="0" w:space="0" w:color="auto"/>
            <w:bottom w:val="none" w:sz="0" w:space="0" w:color="auto"/>
            <w:right w:val="none" w:sz="0" w:space="0" w:color="auto"/>
          </w:divBdr>
        </w:div>
        <w:div w:id="1604411807">
          <w:marLeft w:val="0"/>
          <w:marRight w:val="0"/>
          <w:marTop w:val="0"/>
          <w:marBottom w:val="0"/>
          <w:divBdr>
            <w:top w:val="none" w:sz="0" w:space="0" w:color="auto"/>
            <w:left w:val="none" w:sz="0" w:space="0" w:color="auto"/>
            <w:bottom w:val="none" w:sz="0" w:space="0" w:color="auto"/>
            <w:right w:val="none" w:sz="0" w:space="0" w:color="auto"/>
          </w:divBdr>
        </w:div>
        <w:div w:id="892693268">
          <w:marLeft w:val="0"/>
          <w:marRight w:val="0"/>
          <w:marTop w:val="0"/>
          <w:marBottom w:val="0"/>
          <w:divBdr>
            <w:top w:val="none" w:sz="0" w:space="0" w:color="auto"/>
            <w:left w:val="none" w:sz="0" w:space="0" w:color="auto"/>
            <w:bottom w:val="none" w:sz="0" w:space="0" w:color="auto"/>
            <w:right w:val="none" w:sz="0" w:space="0" w:color="auto"/>
          </w:divBdr>
        </w:div>
        <w:div w:id="1723140009">
          <w:marLeft w:val="0"/>
          <w:marRight w:val="0"/>
          <w:marTop w:val="0"/>
          <w:marBottom w:val="0"/>
          <w:divBdr>
            <w:top w:val="none" w:sz="0" w:space="0" w:color="auto"/>
            <w:left w:val="none" w:sz="0" w:space="0" w:color="auto"/>
            <w:bottom w:val="none" w:sz="0" w:space="0" w:color="auto"/>
            <w:right w:val="none" w:sz="0" w:space="0" w:color="auto"/>
          </w:divBdr>
          <w:divsChild>
            <w:div w:id="293023765">
              <w:marLeft w:val="0"/>
              <w:marRight w:val="0"/>
              <w:marTop w:val="0"/>
              <w:marBottom w:val="0"/>
              <w:divBdr>
                <w:top w:val="none" w:sz="0" w:space="0" w:color="auto"/>
                <w:left w:val="none" w:sz="0" w:space="0" w:color="auto"/>
                <w:bottom w:val="none" w:sz="0" w:space="0" w:color="auto"/>
                <w:right w:val="none" w:sz="0" w:space="0" w:color="auto"/>
              </w:divBdr>
            </w:div>
            <w:div w:id="761026174">
              <w:marLeft w:val="0"/>
              <w:marRight w:val="0"/>
              <w:marTop w:val="0"/>
              <w:marBottom w:val="0"/>
              <w:divBdr>
                <w:top w:val="none" w:sz="0" w:space="0" w:color="auto"/>
                <w:left w:val="none" w:sz="0" w:space="0" w:color="auto"/>
                <w:bottom w:val="none" w:sz="0" w:space="0" w:color="auto"/>
                <w:right w:val="none" w:sz="0" w:space="0" w:color="auto"/>
              </w:divBdr>
            </w:div>
            <w:div w:id="1446269081">
              <w:marLeft w:val="0"/>
              <w:marRight w:val="0"/>
              <w:marTop w:val="0"/>
              <w:marBottom w:val="0"/>
              <w:divBdr>
                <w:top w:val="none" w:sz="0" w:space="0" w:color="auto"/>
                <w:left w:val="none" w:sz="0" w:space="0" w:color="auto"/>
                <w:bottom w:val="none" w:sz="0" w:space="0" w:color="auto"/>
                <w:right w:val="none" w:sz="0" w:space="0" w:color="auto"/>
              </w:divBdr>
            </w:div>
            <w:div w:id="1510950925">
              <w:marLeft w:val="0"/>
              <w:marRight w:val="0"/>
              <w:marTop w:val="0"/>
              <w:marBottom w:val="0"/>
              <w:divBdr>
                <w:top w:val="none" w:sz="0" w:space="0" w:color="auto"/>
                <w:left w:val="none" w:sz="0" w:space="0" w:color="auto"/>
                <w:bottom w:val="none" w:sz="0" w:space="0" w:color="auto"/>
                <w:right w:val="none" w:sz="0" w:space="0" w:color="auto"/>
              </w:divBdr>
            </w:div>
            <w:div w:id="1226644264">
              <w:marLeft w:val="0"/>
              <w:marRight w:val="0"/>
              <w:marTop w:val="0"/>
              <w:marBottom w:val="0"/>
              <w:divBdr>
                <w:top w:val="none" w:sz="0" w:space="0" w:color="auto"/>
                <w:left w:val="none" w:sz="0" w:space="0" w:color="auto"/>
                <w:bottom w:val="none" w:sz="0" w:space="0" w:color="auto"/>
                <w:right w:val="none" w:sz="0" w:space="0" w:color="auto"/>
              </w:divBdr>
            </w:div>
          </w:divsChild>
        </w:div>
        <w:div w:id="1736078590">
          <w:marLeft w:val="0"/>
          <w:marRight w:val="0"/>
          <w:marTop w:val="0"/>
          <w:marBottom w:val="0"/>
          <w:divBdr>
            <w:top w:val="none" w:sz="0" w:space="0" w:color="auto"/>
            <w:left w:val="none" w:sz="0" w:space="0" w:color="auto"/>
            <w:bottom w:val="none" w:sz="0" w:space="0" w:color="auto"/>
            <w:right w:val="none" w:sz="0" w:space="0" w:color="auto"/>
          </w:divBdr>
          <w:divsChild>
            <w:div w:id="1197811021">
              <w:marLeft w:val="0"/>
              <w:marRight w:val="0"/>
              <w:marTop w:val="0"/>
              <w:marBottom w:val="0"/>
              <w:divBdr>
                <w:top w:val="none" w:sz="0" w:space="0" w:color="auto"/>
                <w:left w:val="none" w:sz="0" w:space="0" w:color="auto"/>
                <w:bottom w:val="none" w:sz="0" w:space="0" w:color="auto"/>
                <w:right w:val="none" w:sz="0" w:space="0" w:color="auto"/>
              </w:divBdr>
            </w:div>
            <w:div w:id="725378669">
              <w:marLeft w:val="0"/>
              <w:marRight w:val="0"/>
              <w:marTop w:val="0"/>
              <w:marBottom w:val="0"/>
              <w:divBdr>
                <w:top w:val="none" w:sz="0" w:space="0" w:color="auto"/>
                <w:left w:val="none" w:sz="0" w:space="0" w:color="auto"/>
                <w:bottom w:val="none" w:sz="0" w:space="0" w:color="auto"/>
                <w:right w:val="none" w:sz="0" w:space="0" w:color="auto"/>
              </w:divBdr>
            </w:div>
            <w:div w:id="1171412144">
              <w:marLeft w:val="0"/>
              <w:marRight w:val="0"/>
              <w:marTop w:val="0"/>
              <w:marBottom w:val="0"/>
              <w:divBdr>
                <w:top w:val="none" w:sz="0" w:space="0" w:color="auto"/>
                <w:left w:val="none" w:sz="0" w:space="0" w:color="auto"/>
                <w:bottom w:val="none" w:sz="0" w:space="0" w:color="auto"/>
                <w:right w:val="none" w:sz="0" w:space="0" w:color="auto"/>
              </w:divBdr>
            </w:div>
            <w:div w:id="1877544678">
              <w:marLeft w:val="0"/>
              <w:marRight w:val="0"/>
              <w:marTop w:val="0"/>
              <w:marBottom w:val="0"/>
              <w:divBdr>
                <w:top w:val="none" w:sz="0" w:space="0" w:color="auto"/>
                <w:left w:val="none" w:sz="0" w:space="0" w:color="auto"/>
                <w:bottom w:val="none" w:sz="0" w:space="0" w:color="auto"/>
                <w:right w:val="none" w:sz="0" w:space="0" w:color="auto"/>
              </w:divBdr>
            </w:div>
            <w:div w:id="606818723">
              <w:marLeft w:val="0"/>
              <w:marRight w:val="0"/>
              <w:marTop w:val="0"/>
              <w:marBottom w:val="0"/>
              <w:divBdr>
                <w:top w:val="none" w:sz="0" w:space="0" w:color="auto"/>
                <w:left w:val="none" w:sz="0" w:space="0" w:color="auto"/>
                <w:bottom w:val="none" w:sz="0" w:space="0" w:color="auto"/>
                <w:right w:val="none" w:sz="0" w:space="0" w:color="auto"/>
              </w:divBdr>
            </w:div>
          </w:divsChild>
        </w:div>
        <w:div w:id="1720669648">
          <w:marLeft w:val="0"/>
          <w:marRight w:val="0"/>
          <w:marTop w:val="0"/>
          <w:marBottom w:val="0"/>
          <w:divBdr>
            <w:top w:val="none" w:sz="0" w:space="0" w:color="auto"/>
            <w:left w:val="none" w:sz="0" w:space="0" w:color="auto"/>
            <w:bottom w:val="none" w:sz="0" w:space="0" w:color="auto"/>
            <w:right w:val="none" w:sz="0" w:space="0" w:color="auto"/>
          </w:divBdr>
          <w:divsChild>
            <w:div w:id="676154925">
              <w:marLeft w:val="0"/>
              <w:marRight w:val="0"/>
              <w:marTop w:val="0"/>
              <w:marBottom w:val="0"/>
              <w:divBdr>
                <w:top w:val="none" w:sz="0" w:space="0" w:color="auto"/>
                <w:left w:val="none" w:sz="0" w:space="0" w:color="auto"/>
                <w:bottom w:val="none" w:sz="0" w:space="0" w:color="auto"/>
                <w:right w:val="none" w:sz="0" w:space="0" w:color="auto"/>
              </w:divBdr>
            </w:div>
            <w:div w:id="852501233">
              <w:marLeft w:val="0"/>
              <w:marRight w:val="0"/>
              <w:marTop w:val="0"/>
              <w:marBottom w:val="0"/>
              <w:divBdr>
                <w:top w:val="none" w:sz="0" w:space="0" w:color="auto"/>
                <w:left w:val="none" w:sz="0" w:space="0" w:color="auto"/>
                <w:bottom w:val="none" w:sz="0" w:space="0" w:color="auto"/>
                <w:right w:val="none" w:sz="0" w:space="0" w:color="auto"/>
              </w:divBdr>
            </w:div>
            <w:div w:id="20275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6784">
      <w:bodyDiv w:val="1"/>
      <w:marLeft w:val="0"/>
      <w:marRight w:val="0"/>
      <w:marTop w:val="0"/>
      <w:marBottom w:val="0"/>
      <w:divBdr>
        <w:top w:val="none" w:sz="0" w:space="0" w:color="auto"/>
        <w:left w:val="none" w:sz="0" w:space="0" w:color="auto"/>
        <w:bottom w:val="none" w:sz="0" w:space="0" w:color="auto"/>
        <w:right w:val="none" w:sz="0" w:space="0" w:color="auto"/>
      </w:divBdr>
    </w:div>
    <w:div w:id="1640652776">
      <w:bodyDiv w:val="1"/>
      <w:marLeft w:val="0"/>
      <w:marRight w:val="0"/>
      <w:marTop w:val="0"/>
      <w:marBottom w:val="0"/>
      <w:divBdr>
        <w:top w:val="none" w:sz="0" w:space="0" w:color="auto"/>
        <w:left w:val="none" w:sz="0" w:space="0" w:color="auto"/>
        <w:bottom w:val="none" w:sz="0" w:space="0" w:color="auto"/>
        <w:right w:val="none" w:sz="0" w:space="0" w:color="auto"/>
      </w:divBdr>
      <w:divsChild>
        <w:div w:id="904072954">
          <w:marLeft w:val="0"/>
          <w:marRight w:val="0"/>
          <w:marTop w:val="0"/>
          <w:marBottom w:val="0"/>
          <w:divBdr>
            <w:top w:val="none" w:sz="0" w:space="0" w:color="auto"/>
            <w:left w:val="none" w:sz="0" w:space="0" w:color="auto"/>
            <w:bottom w:val="none" w:sz="0" w:space="0" w:color="auto"/>
            <w:right w:val="none" w:sz="0" w:space="0" w:color="auto"/>
          </w:divBdr>
        </w:div>
        <w:div w:id="194006021">
          <w:marLeft w:val="0"/>
          <w:marRight w:val="0"/>
          <w:marTop w:val="0"/>
          <w:marBottom w:val="0"/>
          <w:divBdr>
            <w:top w:val="none" w:sz="0" w:space="0" w:color="auto"/>
            <w:left w:val="none" w:sz="0" w:space="0" w:color="auto"/>
            <w:bottom w:val="none" w:sz="0" w:space="0" w:color="auto"/>
            <w:right w:val="none" w:sz="0" w:space="0" w:color="auto"/>
          </w:divBdr>
        </w:div>
        <w:div w:id="211426896">
          <w:marLeft w:val="0"/>
          <w:marRight w:val="0"/>
          <w:marTop w:val="0"/>
          <w:marBottom w:val="0"/>
          <w:divBdr>
            <w:top w:val="none" w:sz="0" w:space="0" w:color="auto"/>
            <w:left w:val="none" w:sz="0" w:space="0" w:color="auto"/>
            <w:bottom w:val="none" w:sz="0" w:space="0" w:color="auto"/>
            <w:right w:val="none" w:sz="0" w:space="0" w:color="auto"/>
          </w:divBdr>
        </w:div>
        <w:div w:id="4290832">
          <w:marLeft w:val="0"/>
          <w:marRight w:val="0"/>
          <w:marTop w:val="0"/>
          <w:marBottom w:val="0"/>
          <w:divBdr>
            <w:top w:val="none" w:sz="0" w:space="0" w:color="auto"/>
            <w:left w:val="none" w:sz="0" w:space="0" w:color="auto"/>
            <w:bottom w:val="none" w:sz="0" w:space="0" w:color="auto"/>
            <w:right w:val="none" w:sz="0" w:space="0" w:color="auto"/>
          </w:divBdr>
        </w:div>
        <w:div w:id="1379815731">
          <w:marLeft w:val="0"/>
          <w:marRight w:val="0"/>
          <w:marTop w:val="0"/>
          <w:marBottom w:val="0"/>
          <w:divBdr>
            <w:top w:val="none" w:sz="0" w:space="0" w:color="auto"/>
            <w:left w:val="none" w:sz="0" w:space="0" w:color="auto"/>
            <w:bottom w:val="none" w:sz="0" w:space="0" w:color="auto"/>
            <w:right w:val="none" w:sz="0" w:space="0" w:color="auto"/>
          </w:divBdr>
          <w:divsChild>
            <w:div w:id="351035562">
              <w:marLeft w:val="0"/>
              <w:marRight w:val="0"/>
              <w:marTop w:val="0"/>
              <w:marBottom w:val="0"/>
              <w:divBdr>
                <w:top w:val="none" w:sz="0" w:space="0" w:color="auto"/>
                <w:left w:val="none" w:sz="0" w:space="0" w:color="auto"/>
                <w:bottom w:val="none" w:sz="0" w:space="0" w:color="auto"/>
                <w:right w:val="none" w:sz="0" w:space="0" w:color="auto"/>
              </w:divBdr>
            </w:div>
            <w:div w:id="1273586206">
              <w:marLeft w:val="0"/>
              <w:marRight w:val="0"/>
              <w:marTop w:val="0"/>
              <w:marBottom w:val="0"/>
              <w:divBdr>
                <w:top w:val="none" w:sz="0" w:space="0" w:color="auto"/>
                <w:left w:val="none" w:sz="0" w:space="0" w:color="auto"/>
                <w:bottom w:val="none" w:sz="0" w:space="0" w:color="auto"/>
                <w:right w:val="none" w:sz="0" w:space="0" w:color="auto"/>
              </w:divBdr>
            </w:div>
            <w:div w:id="85350829">
              <w:marLeft w:val="0"/>
              <w:marRight w:val="0"/>
              <w:marTop w:val="0"/>
              <w:marBottom w:val="0"/>
              <w:divBdr>
                <w:top w:val="none" w:sz="0" w:space="0" w:color="auto"/>
                <w:left w:val="none" w:sz="0" w:space="0" w:color="auto"/>
                <w:bottom w:val="none" w:sz="0" w:space="0" w:color="auto"/>
                <w:right w:val="none" w:sz="0" w:space="0" w:color="auto"/>
              </w:divBdr>
            </w:div>
            <w:div w:id="1184977946">
              <w:marLeft w:val="0"/>
              <w:marRight w:val="0"/>
              <w:marTop w:val="0"/>
              <w:marBottom w:val="0"/>
              <w:divBdr>
                <w:top w:val="none" w:sz="0" w:space="0" w:color="auto"/>
                <w:left w:val="none" w:sz="0" w:space="0" w:color="auto"/>
                <w:bottom w:val="none" w:sz="0" w:space="0" w:color="auto"/>
                <w:right w:val="none" w:sz="0" w:space="0" w:color="auto"/>
              </w:divBdr>
            </w:div>
            <w:div w:id="100221105">
              <w:marLeft w:val="0"/>
              <w:marRight w:val="0"/>
              <w:marTop w:val="0"/>
              <w:marBottom w:val="0"/>
              <w:divBdr>
                <w:top w:val="none" w:sz="0" w:space="0" w:color="auto"/>
                <w:left w:val="none" w:sz="0" w:space="0" w:color="auto"/>
                <w:bottom w:val="none" w:sz="0" w:space="0" w:color="auto"/>
                <w:right w:val="none" w:sz="0" w:space="0" w:color="auto"/>
              </w:divBdr>
            </w:div>
          </w:divsChild>
        </w:div>
        <w:div w:id="2120247784">
          <w:marLeft w:val="0"/>
          <w:marRight w:val="0"/>
          <w:marTop w:val="0"/>
          <w:marBottom w:val="0"/>
          <w:divBdr>
            <w:top w:val="none" w:sz="0" w:space="0" w:color="auto"/>
            <w:left w:val="none" w:sz="0" w:space="0" w:color="auto"/>
            <w:bottom w:val="none" w:sz="0" w:space="0" w:color="auto"/>
            <w:right w:val="none" w:sz="0" w:space="0" w:color="auto"/>
          </w:divBdr>
          <w:divsChild>
            <w:div w:id="1933582155">
              <w:marLeft w:val="0"/>
              <w:marRight w:val="0"/>
              <w:marTop w:val="0"/>
              <w:marBottom w:val="0"/>
              <w:divBdr>
                <w:top w:val="none" w:sz="0" w:space="0" w:color="auto"/>
                <w:left w:val="none" w:sz="0" w:space="0" w:color="auto"/>
                <w:bottom w:val="none" w:sz="0" w:space="0" w:color="auto"/>
                <w:right w:val="none" w:sz="0" w:space="0" w:color="auto"/>
              </w:divBdr>
            </w:div>
            <w:div w:id="1134445013">
              <w:marLeft w:val="0"/>
              <w:marRight w:val="0"/>
              <w:marTop w:val="0"/>
              <w:marBottom w:val="0"/>
              <w:divBdr>
                <w:top w:val="none" w:sz="0" w:space="0" w:color="auto"/>
                <w:left w:val="none" w:sz="0" w:space="0" w:color="auto"/>
                <w:bottom w:val="none" w:sz="0" w:space="0" w:color="auto"/>
                <w:right w:val="none" w:sz="0" w:space="0" w:color="auto"/>
              </w:divBdr>
            </w:div>
            <w:div w:id="400830239">
              <w:marLeft w:val="0"/>
              <w:marRight w:val="0"/>
              <w:marTop w:val="0"/>
              <w:marBottom w:val="0"/>
              <w:divBdr>
                <w:top w:val="none" w:sz="0" w:space="0" w:color="auto"/>
                <w:left w:val="none" w:sz="0" w:space="0" w:color="auto"/>
                <w:bottom w:val="none" w:sz="0" w:space="0" w:color="auto"/>
                <w:right w:val="none" w:sz="0" w:space="0" w:color="auto"/>
              </w:divBdr>
            </w:div>
            <w:div w:id="290094877">
              <w:marLeft w:val="0"/>
              <w:marRight w:val="0"/>
              <w:marTop w:val="0"/>
              <w:marBottom w:val="0"/>
              <w:divBdr>
                <w:top w:val="none" w:sz="0" w:space="0" w:color="auto"/>
                <w:left w:val="none" w:sz="0" w:space="0" w:color="auto"/>
                <w:bottom w:val="none" w:sz="0" w:space="0" w:color="auto"/>
                <w:right w:val="none" w:sz="0" w:space="0" w:color="auto"/>
              </w:divBdr>
            </w:div>
            <w:div w:id="738677876">
              <w:marLeft w:val="0"/>
              <w:marRight w:val="0"/>
              <w:marTop w:val="0"/>
              <w:marBottom w:val="0"/>
              <w:divBdr>
                <w:top w:val="none" w:sz="0" w:space="0" w:color="auto"/>
                <w:left w:val="none" w:sz="0" w:space="0" w:color="auto"/>
                <w:bottom w:val="none" w:sz="0" w:space="0" w:color="auto"/>
                <w:right w:val="none" w:sz="0" w:space="0" w:color="auto"/>
              </w:divBdr>
            </w:div>
          </w:divsChild>
        </w:div>
        <w:div w:id="1777796966">
          <w:marLeft w:val="0"/>
          <w:marRight w:val="0"/>
          <w:marTop w:val="0"/>
          <w:marBottom w:val="0"/>
          <w:divBdr>
            <w:top w:val="none" w:sz="0" w:space="0" w:color="auto"/>
            <w:left w:val="none" w:sz="0" w:space="0" w:color="auto"/>
            <w:bottom w:val="none" w:sz="0" w:space="0" w:color="auto"/>
            <w:right w:val="none" w:sz="0" w:space="0" w:color="auto"/>
          </w:divBdr>
          <w:divsChild>
            <w:div w:id="1886140662">
              <w:marLeft w:val="0"/>
              <w:marRight w:val="0"/>
              <w:marTop w:val="0"/>
              <w:marBottom w:val="0"/>
              <w:divBdr>
                <w:top w:val="none" w:sz="0" w:space="0" w:color="auto"/>
                <w:left w:val="none" w:sz="0" w:space="0" w:color="auto"/>
                <w:bottom w:val="none" w:sz="0" w:space="0" w:color="auto"/>
                <w:right w:val="none" w:sz="0" w:space="0" w:color="auto"/>
              </w:divBdr>
            </w:div>
            <w:div w:id="1331445852">
              <w:marLeft w:val="0"/>
              <w:marRight w:val="0"/>
              <w:marTop w:val="0"/>
              <w:marBottom w:val="0"/>
              <w:divBdr>
                <w:top w:val="none" w:sz="0" w:space="0" w:color="auto"/>
                <w:left w:val="none" w:sz="0" w:space="0" w:color="auto"/>
                <w:bottom w:val="none" w:sz="0" w:space="0" w:color="auto"/>
                <w:right w:val="none" w:sz="0" w:space="0" w:color="auto"/>
              </w:divBdr>
            </w:div>
            <w:div w:id="6235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58350">
      <w:bodyDiv w:val="1"/>
      <w:marLeft w:val="0"/>
      <w:marRight w:val="0"/>
      <w:marTop w:val="0"/>
      <w:marBottom w:val="0"/>
      <w:divBdr>
        <w:top w:val="none" w:sz="0" w:space="0" w:color="auto"/>
        <w:left w:val="none" w:sz="0" w:space="0" w:color="auto"/>
        <w:bottom w:val="none" w:sz="0" w:space="0" w:color="auto"/>
        <w:right w:val="none" w:sz="0" w:space="0" w:color="auto"/>
      </w:divBdr>
    </w:div>
    <w:div w:id="21436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f.gob.mx/nota_detalle.php?codigo=5596253&amp;fecha=07/07/20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f.gob.mx/nota_detalle.php?codigo=5584775&amp;fecha=24/01/2020&amp;print=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ia.prieto@ift.org.mx" TargetMode="External"/><Relationship Id="rId5" Type="http://schemas.openxmlformats.org/officeDocument/2006/relationships/numbering" Target="numbering.xml"/><Relationship Id="rId15" Type="http://schemas.openxmlformats.org/officeDocument/2006/relationships/hyperlink" Target="https://dof.gob.mx/nota_detalle_popup.php?codigo=5661683"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f.gob.mx/nota_detalle.php?codigo=5605250&amp;fecha=18/11/20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pdf/LGMR_180518.pdf" TargetMode="External"/><Relationship Id="rId1" Type="http://schemas.openxmlformats.org/officeDocument/2006/relationships/hyperlink" Target="https://dof.gob.mx/nota_detalle_popup.php?codigo=56616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C06C5BEAE94D5BAF43FB3D4551B4A8"/>
        <w:category>
          <w:name w:val="General"/>
          <w:gallery w:val="placeholder"/>
        </w:category>
        <w:types>
          <w:type w:val="bbPlcHdr"/>
        </w:types>
        <w:behaviors>
          <w:behavior w:val="content"/>
        </w:behaviors>
        <w:guid w:val="{466F39C6-64C3-475B-837F-04EB6D3EEB33}"/>
      </w:docPartPr>
      <w:docPartBody>
        <w:p w:rsidR="007118CA" w:rsidRDefault="00895355" w:rsidP="00895355">
          <w:pPr>
            <w:pStyle w:val="53C06C5BEAE94D5BAF43FB3D4551B4A8"/>
          </w:pPr>
          <w:r w:rsidRPr="00B76C9A">
            <w:rPr>
              <w:rStyle w:val="Textodelmarcadordeposicin"/>
              <w:sz w:val="20"/>
            </w:rPr>
            <w:t>Elija un elemento.</w:t>
          </w:r>
        </w:p>
      </w:docPartBody>
    </w:docPart>
    <w:docPart>
      <w:docPartPr>
        <w:name w:val="5CAECFA481BF4B18BAA1A109B5DCE30F"/>
        <w:category>
          <w:name w:val="General"/>
          <w:gallery w:val="placeholder"/>
        </w:category>
        <w:types>
          <w:type w:val="bbPlcHdr"/>
        </w:types>
        <w:behaviors>
          <w:behavior w:val="content"/>
        </w:behaviors>
        <w:guid w:val="{6D7537F5-3C15-4CCE-9242-D3FF204D6877}"/>
      </w:docPartPr>
      <w:docPartBody>
        <w:p w:rsidR="007118CA" w:rsidRDefault="00895355" w:rsidP="00895355">
          <w:pPr>
            <w:pStyle w:val="5CAECFA481BF4B18BAA1A109B5DCE30F"/>
          </w:pPr>
          <w:r w:rsidRPr="007430B6">
            <w:rPr>
              <w:rStyle w:val="Textodelmarcadordeposicin"/>
              <w:sz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55"/>
    <w:rsid w:val="00014954"/>
    <w:rsid w:val="00024568"/>
    <w:rsid w:val="00055F24"/>
    <w:rsid w:val="000970D1"/>
    <w:rsid w:val="000E49FF"/>
    <w:rsid w:val="00156B10"/>
    <w:rsid w:val="00162398"/>
    <w:rsid w:val="001953A5"/>
    <w:rsid w:val="002D1216"/>
    <w:rsid w:val="0033575D"/>
    <w:rsid w:val="00361AF2"/>
    <w:rsid w:val="00426370"/>
    <w:rsid w:val="0046646A"/>
    <w:rsid w:val="004E5E53"/>
    <w:rsid w:val="00504DE3"/>
    <w:rsid w:val="0051743B"/>
    <w:rsid w:val="00540EA6"/>
    <w:rsid w:val="0058081F"/>
    <w:rsid w:val="006020B4"/>
    <w:rsid w:val="006132D1"/>
    <w:rsid w:val="00622624"/>
    <w:rsid w:val="00633C23"/>
    <w:rsid w:val="0067131A"/>
    <w:rsid w:val="007118CA"/>
    <w:rsid w:val="00760FAD"/>
    <w:rsid w:val="008713CE"/>
    <w:rsid w:val="00895355"/>
    <w:rsid w:val="00963F51"/>
    <w:rsid w:val="00981D52"/>
    <w:rsid w:val="00A80CA9"/>
    <w:rsid w:val="00B05362"/>
    <w:rsid w:val="00B234BA"/>
    <w:rsid w:val="00B53C30"/>
    <w:rsid w:val="00B748CE"/>
    <w:rsid w:val="00BD02AE"/>
    <w:rsid w:val="00BD59E5"/>
    <w:rsid w:val="00C93843"/>
    <w:rsid w:val="00CE2E21"/>
    <w:rsid w:val="00CF1BA4"/>
    <w:rsid w:val="00D13A41"/>
    <w:rsid w:val="00DB3940"/>
    <w:rsid w:val="00E75A8C"/>
    <w:rsid w:val="00EB2284"/>
    <w:rsid w:val="00F04DDA"/>
    <w:rsid w:val="00FD0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5355"/>
    <w:rPr>
      <w:color w:val="808080"/>
    </w:rPr>
  </w:style>
  <w:style w:type="paragraph" w:customStyle="1" w:styleId="53C06C5BEAE94D5BAF43FB3D4551B4A8">
    <w:name w:val="53C06C5BEAE94D5BAF43FB3D4551B4A8"/>
    <w:rsid w:val="00895355"/>
  </w:style>
  <w:style w:type="paragraph" w:customStyle="1" w:styleId="5CAECFA481BF4B18BAA1A109B5DCE30F">
    <w:name w:val="5CAECFA481BF4B18BAA1A109B5DCE30F"/>
    <w:rsid w:val="00895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DD34F-9DB3-421B-87D8-F87FB4453542}">
  <ds:schemaRefs>
    <ds:schemaRef ds:uri="http://schemas.openxmlformats.org/officeDocument/2006/bibliography"/>
  </ds:schemaRefs>
</ds:datastoreItem>
</file>

<file path=customXml/itemProps2.xml><?xml version="1.0" encoding="utf-8"?>
<ds:datastoreItem xmlns:ds="http://schemas.openxmlformats.org/officeDocument/2006/customXml" ds:itemID="{E6682E52-85E1-442C-80E6-9A59C96FB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9259B3-C177-46A1-8B2C-D09ED1C299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C2AEE7-5484-4F59-8B6C-5DF16644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3006</Words>
  <Characters>16538</Characters>
  <Application>Microsoft Office Word</Application>
  <DocSecurity>4</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Rodrigo Ortega Arreguin</cp:lastModifiedBy>
  <cp:revision>2</cp:revision>
  <dcterms:created xsi:type="dcterms:W3CDTF">2024-09-18T15:22:00Z</dcterms:created>
  <dcterms:modified xsi:type="dcterms:W3CDTF">2024-09-18T15:22:00Z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