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9616" w14:textId="69AA44A3" w:rsidR="002C1A88" w:rsidRPr="0092074E" w:rsidRDefault="0003191B" w:rsidP="000F1B14">
      <w:pPr>
        <w:pStyle w:val="Titletype"/>
        <w:spacing w:before="3000"/>
        <w:ind w:left="142" w:right="1939"/>
        <w:rPr>
          <w:color w:val="auto"/>
          <w:lang w:val="es-ES"/>
        </w:rPr>
      </w:pPr>
      <w:bookmarkStart w:id="0" w:name="_GoBack"/>
      <w:bookmarkEnd w:id="0"/>
      <w:r w:rsidRPr="00AA54E1">
        <w:rPr>
          <w:lang w:val="es-ES"/>
        </w:rPr>
        <w:br/>
      </w:r>
      <w:r w:rsidRPr="00AA54E1">
        <w:rPr>
          <w:lang w:val="es-ES"/>
        </w:rPr>
        <w:br/>
      </w:r>
      <w:r w:rsidRPr="00AA54E1">
        <w:rPr>
          <w:lang w:val="es-ES"/>
        </w:rPr>
        <w:br/>
      </w:r>
      <w:r w:rsidRPr="00AA54E1">
        <w:rPr>
          <w:lang w:val="es-ES"/>
        </w:rPr>
        <w:br/>
      </w:r>
      <w:r w:rsidRPr="00AA54E1">
        <w:rPr>
          <w:lang w:val="es-ES"/>
        </w:rPr>
        <w:br/>
      </w:r>
      <w:r w:rsidRPr="00AA54E1">
        <w:rPr>
          <w:lang w:val="es-ES"/>
        </w:rPr>
        <w:br/>
      </w:r>
      <w:r w:rsidRPr="00AA54E1">
        <w:rPr>
          <w:lang w:val="es-ES"/>
        </w:rPr>
        <w:br/>
      </w:r>
      <w:r w:rsidR="00FF193A" w:rsidRPr="00571DAB">
        <w:rPr>
          <w:noProof/>
          <w:color w:val="FFFFFF" w:themeColor="background1"/>
        </w:rPr>
        <mc:AlternateContent>
          <mc:Choice Requires="wps">
            <w:drawing>
              <wp:anchor distT="0" distB="0" distL="114300" distR="114300" simplePos="0" relativeHeight="251660288" behindDoc="1" locked="0" layoutInCell="1" allowOverlap="1" wp14:anchorId="7B774DB3" wp14:editId="720412B0">
                <wp:simplePos x="0" y="0"/>
                <wp:positionH relativeFrom="page">
                  <wp:posOffset>525145</wp:posOffset>
                </wp:positionH>
                <wp:positionV relativeFrom="page">
                  <wp:posOffset>4347210</wp:posOffset>
                </wp:positionV>
                <wp:extent cx="5558155" cy="3527425"/>
                <wp:effectExtent l="0" t="0" r="0" b="0"/>
                <wp:wrapNone/>
                <wp:docPr id="42" name="Rectangle 42"/>
                <wp:cNvGraphicFramePr/>
                <a:graphic xmlns:a="http://schemas.openxmlformats.org/drawingml/2006/main">
                  <a:graphicData uri="http://schemas.microsoft.com/office/word/2010/wordprocessingShape">
                    <wps:wsp>
                      <wps:cNvSpPr/>
                      <wps:spPr>
                        <a:xfrm>
                          <a:off x="0" y="0"/>
                          <a:ext cx="5558155" cy="3527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194ED" w14:textId="77777777" w:rsidR="002C1A88" w:rsidRDefault="002C1A88" w:rsidP="002C1A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774DB3" id="Rectangle 42" o:spid="_x0000_s1026" style="position:absolute;left:0;text-align:left;margin-left:41.35pt;margin-top:342.3pt;width:437.65pt;height:27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" filled="f" stroked="f" strokeweight="2pt">
                <v:textbox>
                  <w:txbxContent>
                    <w:p w14:paraId="25F194ED" w14:textId="77777777" w:rsidR="002C1A88" w:rsidRDefault="002C1A88" w:rsidP="002C1A88">
                      <w:pPr>
                        <w:jc w:val="center"/>
                      </w:pPr>
                    </w:p>
                  </w:txbxContent>
                </v:textbox>
                <w10:wrap anchorx="page" anchory="page"/>
              </v:rect>
            </w:pict>
          </mc:Fallback>
        </mc:AlternateContent>
      </w:r>
      <w:r w:rsidR="00571DAB" w:rsidRPr="00AA54E1">
        <w:rPr>
          <w:lang w:val="es-ES"/>
        </w:rPr>
        <w:t xml:space="preserve"> </w:t>
      </w:r>
      <w:r w:rsidR="00571DAB" w:rsidRPr="0092074E">
        <w:rPr>
          <w:color w:val="auto"/>
          <w:lang w:val="es-ES"/>
        </w:rPr>
        <w:t>Instituto Federal de Telecomunicaciones (IFT)</w:t>
      </w:r>
    </w:p>
    <w:p w14:paraId="46D1560B" w14:textId="6EB3D155" w:rsidR="002C1A88" w:rsidRPr="0092074E" w:rsidRDefault="00571DAB" w:rsidP="00C573C5">
      <w:pPr>
        <w:pStyle w:val="Titlemain"/>
        <w:spacing w:after="360" w:line="259" w:lineRule="auto"/>
        <w:ind w:left="142" w:right="2931"/>
        <w:jc w:val="both"/>
        <w:rPr>
          <w:color w:val="auto"/>
          <w:lang w:val="es-ES"/>
        </w:rPr>
      </w:pPr>
      <w:r w:rsidRPr="0092074E">
        <w:rPr>
          <w:color w:val="auto"/>
          <w:lang w:val="es-ES"/>
        </w:rPr>
        <w:t xml:space="preserve">Metodología para el cálculo del </w:t>
      </w:r>
      <w:r w:rsidR="00BD39A2" w:rsidRPr="0092074E">
        <w:rPr>
          <w:color w:val="auto"/>
          <w:lang w:val="es-ES"/>
        </w:rPr>
        <w:t>costo de capital promedio ponderad</w:t>
      </w:r>
      <w:r w:rsidR="007F1D42" w:rsidRPr="0092074E">
        <w:rPr>
          <w:color w:val="auto"/>
          <w:lang w:val="es-ES"/>
        </w:rPr>
        <w:t>o</w:t>
      </w:r>
      <w:r w:rsidRPr="0092074E">
        <w:rPr>
          <w:color w:val="auto"/>
          <w:lang w:val="es-ES"/>
        </w:rPr>
        <w:t xml:space="preserve"> (CCPP)</w:t>
      </w:r>
    </w:p>
    <w:p w14:paraId="3A4BD828" w14:textId="77777777" w:rsidR="002C1A88" w:rsidRPr="00AA54E1" w:rsidRDefault="002C1A88" w:rsidP="00FF193A">
      <w:pPr>
        <w:pStyle w:val="ConfidentialFront"/>
        <w:rPr>
          <w:lang w:val="es-ES"/>
        </w:rPr>
      </w:pPr>
    </w:p>
    <w:p w14:paraId="36B8D941" w14:textId="77777777" w:rsidR="00FF193A" w:rsidRPr="00AA54E1" w:rsidRDefault="00FF193A" w:rsidP="00FF193A">
      <w:pPr>
        <w:pStyle w:val="01"/>
        <w:rPr>
          <w:lang w:val="es-ES"/>
        </w:rPr>
        <w:sectPr w:rsidR="00FF193A" w:rsidRPr="00AA54E1" w:rsidSect="00F1349C">
          <w:headerReference w:type="even" r:id="rId9"/>
          <w:headerReference w:type="default" r:id="rId10"/>
          <w:footerReference w:type="even" r:id="rId11"/>
          <w:footerReference w:type="default" r:id="rId12"/>
          <w:headerReference w:type="first" r:id="rId13"/>
          <w:pgSz w:w="11906" w:h="16838" w:code="9"/>
          <w:pgMar w:top="1440" w:right="1440" w:bottom="1440" w:left="1440" w:header="567" w:footer="567" w:gutter="0"/>
          <w:pgNumType w:start="1"/>
          <w:cols w:space="720"/>
          <w:titlePg/>
          <w:docGrid w:linePitch="299"/>
        </w:sectPr>
      </w:pPr>
    </w:p>
    <w:p w14:paraId="44A4B202" w14:textId="77777777" w:rsidR="002C1A88" w:rsidRPr="002C1A88" w:rsidRDefault="00200606" w:rsidP="0086457E">
      <w:pPr>
        <w:pStyle w:val="Contentsheading"/>
        <w:rPr>
          <w:lang w:val="es-ES"/>
        </w:rPr>
      </w:pPr>
      <w:r w:rsidRPr="00BC52BF">
        <w:rPr>
          <w:lang w:val="es-ES"/>
        </w:rPr>
        <w:lastRenderedPageBreak/>
        <w:t>Índice</w:t>
      </w:r>
    </w:p>
    <w:p w14:paraId="28749F34" w14:textId="099327FA" w:rsidR="00D20317" w:rsidRPr="00D20317" w:rsidRDefault="00DF3B88">
      <w:pPr>
        <w:pStyle w:val="TDC1"/>
        <w:rPr>
          <w:rFonts w:asciiTheme="minorHAnsi" w:eastAsiaTheme="minorEastAsia" w:hAnsiTheme="minorHAnsi"/>
          <w:b w:val="0"/>
          <w:noProof/>
          <w:kern w:val="2"/>
          <w:lang w:val="es-ES" w:eastAsia="en-GB"/>
          <w14:ligatures w14:val="standardContextual"/>
        </w:rPr>
      </w:pPr>
      <w:r w:rsidRPr="00BC52BF">
        <w:rPr>
          <w:lang w:val="es-ES"/>
        </w:rPr>
        <w:fldChar w:fldCharType="begin"/>
      </w:r>
      <w:r w:rsidRPr="00BC52BF">
        <w:rPr>
          <w:lang w:val="es-ES"/>
        </w:rPr>
        <w:instrText xml:space="preserve"> TOC \t "Heading 1,1, Heading 2,2" </w:instrText>
      </w:r>
      <w:r w:rsidRPr="00BC52BF">
        <w:rPr>
          <w:lang w:val="es-ES"/>
        </w:rPr>
        <w:fldChar w:fldCharType="separate"/>
      </w:r>
      <w:r w:rsidR="00D20317" w:rsidRPr="0051618D">
        <w:rPr>
          <w:noProof/>
          <w:lang w:val="es-ES"/>
        </w:rPr>
        <w:t>1</w:t>
      </w:r>
      <w:r w:rsidR="00D20317" w:rsidRPr="00D20317">
        <w:rPr>
          <w:rFonts w:asciiTheme="minorHAnsi" w:eastAsiaTheme="minorEastAsia" w:hAnsiTheme="minorHAnsi"/>
          <w:b w:val="0"/>
          <w:noProof/>
          <w:kern w:val="2"/>
          <w:lang w:val="es-ES" w:eastAsia="en-GB"/>
          <w14:ligatures w14:val="standardContextual"/>
        </w:rPr>
        <w:tab/>
      </w:r>
      <w:r w:rsidR="00D20317" w:rsidRPr="0051618D">
        <w:rPr>
          <w:noProof/>
          <w:lang w:val="es-ES"/>
        </w:rPr>
        <w:t>Introducción</w:t>
      </w:r>
      <w:r w:rsidR="00D20317" w:rsidRPr="00D20317">
        <w:rPr>
          <w:noProof/>
          <w:lang w:val="es-ES"/>
        </w:rPr>
        <w:tab/>
      </w:r>
      <w:r w:rsidR="00D20317">
        <w:rPr>
          <w:noProof/>
        </w:rPr>
        <w:fldChar w:fldCharType="begin"/>
      </w:r>
      <w:r w:rsidR="00D20317" w:rsidRPr="00D20317">
        <w:rPr>
          <w:noProof/>
          <w:lang w:val="es-ES"/>
        </w:rPr>
        <w:instrText xml:space="preserve"> PAGEREF _Toc135788680 \h </w:instrText>
      </w:r>
      <w:r w:rsidR="00D20317">
        <w:rPr>
          <w:noProof/>
        </w:rPr>
      </w:r>
      <w:r w:rsidR="00D20317">
        <w:rPr>
          <w:noProof/>
        </w:rPr>
        <w:fldChar w:fldCharType="separate"/>
      </w:r>
      <w:r w:rsidR="001F1D48">
        <w:rPr>
          <w:noProof/>
          <w:lang w:val="es-ES"/>
        </w:rPr>
        <w:t>1</w:t>
      </w:r>
      <w:r w:rsidR="00D20317">
        <w:rPr>
          <w:noProof/>
        </w:rPr>
        <w:fldChar w:fldCharType="end"/>
      </w:r>
    </w:p>
    <w:p w14:paraId="1D0C432B" w14:textId="2F77BB11" w:rsidR="00D20317" w:rsidRPr="00D20317" w:rsidRDefault="00D20317">
      <w:pPr>
        <w:pStyle w:val="TDC1"/>
        <w:rPr>
          <w:rFonts w:asciiTheme="minorHAnsi" w:eastAsiaTheme="minorEastAsia" w:hAnsiTheme="minorHAnsi"/>
          <w:b w:val="0"/>
          <w:noProof/>
          <w:kern w:val="2"/>
          <w:lang w:val="es-ES" w:eastAsia="en-GB"/>
          <w14:ligatures w14:val="standardContextual"/>
        </w:rPr>
      </w:pPr>
      <w:r w:rsidRPr="0051618D">
        <w:rPr>
          <w:noProof/>
          <w:lang w:val="es-ES"/>
        </w:rPr>
        <w:t>2</w:t>
      </w:r>
      <w:r w:rsidRPr="00D20317">
        <w:rPr>
          <w:rFonts w:asciiTheme="minorHAnsi" w:eastAsiaTheme="minorEastAsia" w:hAnsiTheme="minorHAnsi"/>
          <w:b w:val="0"/>
          <w:noProof/>
          <w:kern w:val="2"/>
          <w:lang w:val="es-ES" w:eastAsia="en-GB"/>
          <w14:ligatures w14:val="standardContextual"/>
        </w:rPr>
        <w:tab/>
      </w:r>
      <w:r w:rsidRPr="0051618D">
        <w:rPr>
          <w:noProof/>
          <w:lang w:val="es-ES"/>
        </w:rPr>
        <w:t>Conceptos generales de la definición del CCPP</w:t>
      </w:r>
      <w:r w:rsidRPr="00D20317">
        <w:rPr>
          <w:noProof/>
          <w:lang w:val="es-ES"/>
        </w:rPr>
        <w:tab/>
      </w:r>
      <w:r>
        <w:rPr>
          <w:noProof/>
        </w:rPr>
        <w:fldChar w:fldCharType="begin"/>
      </w:r>
      <w:r w:rsidRPr="00D20317">
        <w:rPr>
          <w:noProof/>
          <w:lang w:val="es-ES"/>
        </w:rPr>
        <w:instrText xml:space="preserve"> PAGEREF _Toc135788681 \h </w:instrText>
      </w:r>
      <w:r>
        <w:rPr>
          <w:noProof/>
        </w:rPr>
      </w:r>
      <w:r>
        <w:rPr>
          <w:noProof/>
        </w:rPr>
        <w:fldChar w:fldCharType="separate"/>
      </w:r>
      <w:r w:rsidR="001F1D48">
        <w:rPr>
          <w:noProof/>
          <w:lang w:val="es-ES"/>
        </w:rPr>
        <w:t>2</w:t>
      </w:r>
      <w:r>
        <w:rPr>
          <w:noProof/>
        </w:rPr>
        <w:fldChar w:fldCharType="end"/>
      </w:r>
    </w:p>
    <w:p w14:paraId="7A7981B7" w14:textId="67A68E73"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2.1</w:t>
      </w:r>
      <w:r w:rsidRPr="00D20317">
        <w:rPr>
          <w:rFonts w:asciiTheme="minorHAnsi" w:eastAsiaTheme="minorEastAsia" w:hAnsiTheme="minorHAnsi"/>
          <w:kern w:val="2"/>
          <w:lang w:val="es-ES" w:eastAsia="en-GB"/>
          <w14:ligatures w14:val="standardContextual"/>
        </w:rPr>
        <w:tab/>
      </w:r>
      <w:r w:rsidRPr="0051618D">
        <w:rPr>
          <w:lang w:val="es-ES"/>
        </w:rPr>
        <w:t>Definición de los operadores modelados</w:t>
      </w:r>
      <w:r w:rsidRPr="00D20317">
        <w:rPr>
          <w:lang w:val="es-ES"/>
        </w:rPr>
        <w:tab/>
      </w:r>
      <w:r>
        <w:fldChar w:fldCharType="begin"/>
      </w:r>
      <w:r w:rsidRPr="00D20317">
        <w:rPr>
          <w:lang w:val="es-ES"/>
        </w:rPr>
        <w:instrText xml:space="preserve"> PAGEREF _Toc135788682 \h </w:instrText>
      </w:r>
      <w:r>
        <w:fldChar w:fldCharType="separate"/>
      </w:r>
      <w:r w:rsidR="001F1D48">
        <w:rPr>
          <w:lang w:val="es-ES"/>
        </w:rPr>
        <w:t>2</w:t>
      </w:r>
      <w:r>
        <w:fldChar w:fldCharType="end"/>
      </w:r>
    </w:p>
    <w:p w14:paraId="2272330E" w14:textId="3C186107"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2.2</w:t>
      </w:r>
      <w:r w:rsidRPr="00D20317">
        <w:rPr>
          <w:rFonts w:asciiTheme="minorHAnsi" w:eastAsiaTheme="minorEastAsia" w:hAnsiTheme="minorHAnsi"/>
          <w:kern w:val="2"/>
          <w:lang w:val="es-ES" w:eastAsia="en-GB"/>
          <w14:ligatures w14:val="standardContextual"/>
        </w:rPr>
        <w:tab/>
      </w:r>
      <w:r w:rsidRPr="0051618D">
        <w:rPr>
          <w:lang w:val="es-ES"/>
        </w:rPr>
        <w:t>Formulación general del CCPP</w:t>
      </w:r>
      <w:r w:rsidRPr="00D20317">
        <w:rPr>
          <w:lang w:val="es-ES"/>
        </w:rPr>
        <w:tab/>
      </w:r>
      <w:r>
        <w:fldChar w:fldCharType="begin"/>
      </w:r>
      <w:r w:rsidRPr="00D20317">
        <w:rPr>
          <w:lang w:val="es-ES"/>
        </w:rPr>
        <w:instrText xml:space="preserve"> PAGEREF _Toc135788683 \h </w:instrText>
      </w:r>
      <w:r>
        <w:fldChar w:fldCharType="separate"/>
      </w:r>
      <w:r w:rsidR="001F1D48">
        <w:rPr>
          <w:lang w:val="es-ES"/>
        </w:rPr>
        <w:t>3</w:t>
      </w:r>
      <w:r>
        <w:fldChar w:fldCharType="end"/>
      </w:r>
    </w:p>
    <w:p w14:paraId="121D7761" w14:textId="0EB6A523"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2.3</w:t>
      </w:r>
      <w:r w:rsidRPr="00D20317">
        <w:rPr>
          <w:rFonts w:asciiTheme="minorHAnsi" w:eastAsiaTheme="minorEastAsia" w:hAnsiTheme="minorHAnsi"/>
          <w:kern w:val="2"/>
          <w:lang w:val="es-ES" w:eastAsia="en-GB"/>
          <w14:ligatures w14:val="standardContextual"/>
        </w:rPr>
        <w:tab/>
      </w:r>
      <w:r w:rsidRPr="0051618D">
        <w:rPr>
          <w:lang w:val="es-ES"/>
        </w:rPr>
        <w:t>Periodo de referencia</w:t>
      </w:r>
      <w:r w:rsidRPr="00D20317">
        <w:rPr>
          <w:lang w:val="es-ES"/>
        </w:rPr>
        <w:tab/>
      </w:r>
      <w:r>
        <w:fldChar w:fldCharType="begin"/>
      </w:r>
      <w:r w:rsidRPr="00D20317">
        <w:rPr>
          <w:lang w:val="es-ES"/>
        </w:rPr>
        <w:instrText xml:space="preserve"> PAGEREF _Toc135788684 \h </w:instrText>
      </w:r>
      <w:r>
        <w:fldChar w:fldCharType="separate"/>
      </w:r>
      <w:r w:rsidR="001F1D48">
        <w:rPr>
          <w:lang w:val="es-ES"/>
        </w:rPr>
        <w:t>4</w:t>
      </w:r>
      <w:r>
        <w:fldChar w:fldCharType="end"/>
      </w:r>
    </w:p>
    <w:p w14:paraId="0F798F2B" w14:textId="1B41DA87"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2.4</w:t>
      </w:r>
      <w:r w:rsidRPr="00D20317">
        <w:rPr>
          <w:rFonts w:asciiTheme="minorHAnsi" w:eastAsiaTheme="minorEastAsia" w:hAnsiTheme="minorHAnsi"/>
          <w:kern w:val="2"/>
          <w:lang w:val="es-ES" w:eastAsia="en-GB"/>
          <w14:ligatures w14:val="standardContextual"/>
        </w:rPr>
        <w:tab/>
      </w:r>
      <w:r w:rsidRPr="0051618D">
        <w:rPr>
          <w:lang w:val="es-ES"/>
        </w:rPr>
        <w:t>Definición de empresas y mercados comparables</w:t>
      </w:r>
      <w:r w:rsidRPr="00D20317">
        <w:rPr>
          <w:lang w:val="es-ES"/>
        </w:rPr>
        <w:tab/>
      </w:r>
      <w:r>
        <w:fldChar w:fldCharType="begin"/>
      </w:r>
      <w:r w:rsidRPr="00D20317">
        <w:rPr>
          <w:lang w:val="es-ES"/>
        </w:rPr>
        <w:instrText xml:space="preserve"> PAGEREF _Toc135788685 \h </w:instrText>
      </w:r>
      <w:r>
        <w:fldChar w:fldCharType="separate"/>
      </w:r>
      <w:r w:rsidR="001F1D48">
        <w:rPr>
          <w:lang w:val="es-ES"/>
        </w:rPr>
        <w:t>5</w:t>
      </w:r>
      <w:r>
        <w:fldChar w:fldCharType="end"/>
      </w:r>
    </w:p>
    <w:p w14:paraId="457630AC" w14:textId="04565CE3" w:rsidR="00D20317" w:rsidRPr="00D20317" w:rsidRDefault="00D20317">
      <w:pPr>
        <w:pStyle w:val="TDC1"/>
        <w:rPr>
          <w:rFonts w:asciiTheme="minorHAnsi" w:eastAsiaTheme="minorEastAsia" w:hAnsiTheme="minorHAnsi"/>
          <w:b w:val="0"/>
          <w:noProof/>
          <w:kern w:val="2"/>
          <w:lang w:val="es-ES" w:eastAsia="en-GB"/>
          <w14:ligatures w14:val="standardContextual"/>
        </w:rPr>
      </w:pPr>
      <w:r w:rsidRPr="0051618D">
        <w:rPr>
          <w:noProof/>
          <w:lang w:val="es-ES"/>
        </w:rPr>
        <w:t>3</w:t>
      </w:r>
      <w:r w:rsidRPr="00D20317">
        <w:rPr>
          <w:rFonts w:asciiTheme="minorHAnsi" w:eastAsiaTheme="minorEastAsia" w:hAnsiTheme="minorHAnsi"/>
          <w:b w:val="0"/>
          <w:noProof/>
          <w:kern w:val="2"/>
          <w:lang w:val="es-ES" w:eastAsia="en-GB"/>
          <w14:ligatures w14:val="standardContextual"/>
        </w:rPr>
        <w:tab/>
      </w:r>
      <w:r w:rsidRPr="0051618D">
        <w:rPr>
          <w:noProof/>
          <w:lang w:val="es-ES"/>
        </w:rPr>
        <w:t>Metodología para la estimación de los parámetros del CCPP</w:t>
      </w:r>
      <w:r w:rsidRPr="00D20317">
        <w:rPr>
          <w:noProof/>
          <w:lang w:val="es-ES"/>
        </w:rPr>
        <w:tab/>
      </w:r>
      <w:r>
        <w:rPr>
          <w:noProof/>
        </w:rPr>
        <w:fldChar w:fldCharType="begin"/>
      </w:r>
      <w:r w:rsidRPr="00D20317">
        <w:rPr>
          <w:noProof/>
          <w:lang w:val="es-ES"/>
        </w:rPr>
        <w:instrText xml:space="preserve"> PAGEREF _Toc135788686 \h </w:instrText>
      </w:r>
      <w:r>
        <w:rPr>
          <w:noProof/>
        </w:rPr>
      </w:r>
      <w:r>
        <w:rPr>
          <w:noProof/>
        </w:rPr>
        <w:fldChar w:fldCharType="separate"/>
      </w:r>
      <w:r w:rsidR="001F1D48">
        <w:rPr>
          <w:noProof/>
          <w:lang w:val="es-ES"/>
        </w:rPr>
        <w:t>9</w:t>
      </w:r>
      <w:r>
        <w:rPr>
          <w:noProof/>
        </w:rPr>
        <w:fldChar w:fldCharType="end"/>
      </w:r>
    </w:p>
    <w:p w14:paraId="62361E55" w14:textId="3A694B11"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3.1</w:t>
      </w:r>
      <w:r w:rsidRPr="00D20317">
        <w:rPr>
          <w:rFonts w:asciiTheme="minorHAnsi" w:eastAsiaTheme="minorEastAsia" w:hAnsiTheme="minorHAnsi"/>
          <w:kern w:val="2"/>
          <w:lang w:val="es-ES" w:eastAsia="en-GB"/>
          <w14:ligatures w14:val="standardContextual"/>
        </w:rPr>
        <w:tab/>
      </w:r>
      <w:r w:rsidRPr="0051618D">
        <w:rPr>
          <w:lang w:val="es-ES"/>
        </w:rPr>
        <w:t>Costo del capital (</w:t>
      </w:r>
      <w:r w:rsidRPr="0051618D">
        <w:rPr>
          <w:i/>
          <w:iCs/>
          <w:lang w:val="es-ES"/>
        </w:rPr>
        <w:t>equity</w:t>
      </w:r>
      <w:r w:rsidRPr="0051618D">
        <w:rPr>
          <w:lang w:val="es-ES"/>
        </w:rPr>
        <w:t>)</w:t>
      </w:r>
      <w:r w:rsidRPr="00D20317">
        <w:rPr>
          <w:lang w:val="es-ES"/>
        </w:rPr>
        <w:tab/>
      </w:r>
      <w:r>
        <w:fldChar w:fldCharType="begin"/>
      </w:r>
      <w:r w:rsidRPr="00D20317">
        <w:rPr>
          <w:lang w:val="es-ES"/>
        </w:rPr>
        <w:instrText xml:space="preserve"> PAGEREF _Toc135788687 \h </w:instrText>
      </w:r>
      <w:r>
        <w:fldChar w:fldCharType="separate"/>
      </w:r>
      <w:r w:rsidR="001F1D48">
        <w:rPr>
          <w:lang w:val="es-ES"/>
        </w:rPr>
        <w:t>9</w:t>
      </w:r>
      <w:r>
        <w:fldChar w:fldCharType="end"/>
      </w:r>
    </w:p>
    <w:p w14:paraId="513699A4" w14:textId="438D1046"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3.2</w:t>
      </w:r>
      <w:r w:rsidRPr="00D20317">
        <w:rPr>
          <w:rFonts w:asciiTheme="minorHAnsi" w:eastAsiaTheme="minorEastAsia" w:hAnsiTheme="minorHAnsi"/>
          <w:kern w:val="2"/>
          <w:lang w:val="es-ES" w:eastAsia="en-GB"/>
          <w14:ligatures w14:val="standardContextual"/>
        </w:rPr>
        <w:tab/>
      </w:r>
      <w:r w:rsidRPr="0051618D">
        <w:rPr>
          <w:lang w:val="es-ES"/>
        </w:rPr>
        <w:t>Apalancamiento</w:t>
      </w:r>
      <w:r w:rsidRPr="00D20317">
        <w:rPr>
          <w:lang w:val="es-ES"/>
        </w:rPr>
        <w:tab/>
      </w:r>
      <w:r>
        <w:fldChar w:fldCharType="begin"/>
      </w:r>
      <w:r w:rsidRPr="00D20317">
        <w:rPr>
          <w:lang w:val="es-ES"/>
        </w:rPr>
        <w:instrText xml:space="preserve"> PAGEREF _Toc135788688 \h </w:instrText>
      </w:r>
      <w:r>
        <w:fldChar w:fldCharType="separate"/>
      </w:r>
      <w:r w:rsidR="001F1D48">
        <w:rPr>
          <w:lang w:val="es-ES"/>
        </w:rPr>
        <w:t>15</w:t>
      </w:r>
      <w:r>
        <w:fldChar w:fldCharType="end"/>
      </w:r>
    </w:p>
    <w:p w14:paraId="36B0FE99" w14:textId="09664439"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3.3</w:t>
      </w:r>
      <w:r w:rsidRPr="00D20317">
        <w:rPr>
          <w:rFonts w:asciiTheme="minorHAnsi" w:eastAsiaTheme="minorEastAsia" w:hAnsiTheme="minorHAnsi"/>
          <w:kern w:val="2"/>
          <w:lang w:val="es-ES" w:eastAsia="en-GB"/>
          <w14:ligatures w14:val="standardContextual"/>
        </w:rPr>
        <w:tab/>
      </w:r>
      <w:r w:rsidRPr="0051618D">
        <w:rPr>
          <w:lang w:val="es-ES"/>
        </w:rPr>
        <w:t>Costo de la deuda</w:t>
      </w:r>
      <w:r w:rsidRPr="00D20317">
        <w:rPr>
          <w:lang w:val="es-ES"/>
        </w:rPr>
        <w:tab/>
      </w:r>
      <w:r>
        <w:fldChar w:fldCharType="begin"/>
      </w:r>
      <w:r w:rsidRPr="00D20317">
        <w:rPr>
          <w:lang w:val="es-ES"/>
        </w:rPr>
        <w:instrText xml:space="preserve"> PAGEREF _Toc135788689 \h </w:instrText>
      </w:r>
      <w:r>
        <w:fldChar w:fldCharType="separate"/>
      </w:r>
      <w:r w:rsidR="001F1D48">
        <w:rPr>
          <w:lang w:val="es-ES"/>
        </w:rPr>
        <w:t>16</w:t>
      </w:r>
      <w:r>
        <w:fldChar w:fldCharType="end"/>
      </w:r>
    </w:p>
    <w:p w14:paraId="3F23FB24" w14:textId="370E8048"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3.4</w:t>
      </w:r>
      <w:r w:rsidRPr="00D20317">
        <w:rPr>
          <w:rFonts w:asciiTheme="minorHAnsi" w:eastAsiaTheme="minorEastAsia" w:hAnsiTheme="minorHAnsi"/>
          <w:kern w:val="2"/>
          <w:lang w:val="es-ES" w:eastAsia="en-GB"/>
          <w14:ligatures w14:val="standardContextual"/>
        </w:rPr>
        <w:tab/>
      </w:r>
      <w:r w:rsidRPr="0051618D">
        <w:rPr>
          <w:lang w:val="es-ES"/>
        </w:rPr>
        <w:t>Tasa del impuesto de sociedades (</w:t>
      </w:r>
      <w:r w:rsidRPr="0051618D">
        <w:rPr>
          <w:i/>
          <w:iCs/>
          <w:lang w:val="es-ES"/>
        </w:rPr>
        <w:t>T</w:t>
      </w:r>
      <w:r w:rsidRPr="0051618D">
        <w:rPr>
          <w:lang w:val="es-ES"/>
        </w:rPr>
        <w:t>)</w:t>
      </w:r>
      <w:r w:rsidRPr="00D20317">
        <w:rPr>
          <w:lang w:val="es-ES"/>
        </w:rPr>
        <w:tab/>
      </w:r>
      <w:r>
        <w:fldChar w:fldCharType="begin"/>
      </w:r>
      <w:r w:rsidRPr="00D20317">
        <w:rPr>
          <w:lang w:val="es-ES"/>
        </w:rPr>
        <w:instrText xml:space="preserve"> PAGEREF _Toc135788690 \h </w:instrText>
      </w:r>
      <w:r>
        <w:fldChar w:fldCharType="separate"/>
      </w:r>
      <w:r w:rsidR="001F1D48">
        <w:rPr>
          <w:lang w:val="es-ES"/>
        </w:rPr>
        <w:t>18</w:t>
      </w:r>
      <w:r>
        <w:fldChar w:fldCharType="end"/>
      </w:r>
    </w:p>
    <w:p w14:paraId="62665976" w14:textId="61AA58A8"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spacing w:val="-4"/>
          <w:lang w:val="es-ES"/>
        </w:rPr>
        <w:t>3.5</w:t>
      </w:r>
      <w:r w:rsidRPr="00D20317">
        <w:rPr>
          <w:rFonts w:asciiTheme="minorHAnsi" w:eastAsiaTheme="minorEastAsia" w:hAnsiTheme="minorHAnsi"/>
          <w:kern w:val="2"/>
          <w:lang w:val="es-ES" w:eastAsia="en-GB"/>
          <w14:ligatures w14:val="standardContextual"/>
        </w:rPr>
        <w:tab/>
      </w:r>
      <w:r w:rsidRPr="0051618D">
        <w:rPr>
          <w:spacing w:val="-4"/>
          <w:lang w:val="es-ES"/>
        </w:rPr>
        <w:t>Inflación</w:t>
      </w:r>
      <w:r w:rsidRPr="00D20317">
        <w:rPr>
          <w:lang w:val="es-ES"/>
        </w:rPr>
        <w:tab/>
      </w:r>
      <w:r>
        <w:fldChar w:fldCharType="begin"/>
      </w:r>
      <w:r w:rsidRPr="00D20317">
        <w:rPr>
          <w:lang w:val="es-ES"/>
        </w:rPr>
        <w:instrText xml:space="preserve"> PAGEREF _Toc135788691 \h </w:instrText>
      </w:r>
      <w:r>
        <w:fldChar w:fldCharType="separate"/>
      </w:r>
      <w:r w:rsidR="001F1D48">
        <w:rPr>
          <w:lang w:val="es-ES"/>
        </w:rPr>
        <w:t>18</w:t>
      </w:r>
      <w:r>
        <w:fldChar w:fldCharType="end"/>
      </w:r>
    </w:p>
    <w:p w14:paraId="0B82E55A" w14:textId="36D8BFD7" w:rsidR="00D20317" w:rsidRPr="00D20317" w:rsidRDefault="00D20317">
      <w:pPr>
        <w:pStyle w:val="TDC2"/>
        <w:rPr>
          <w:rFonts w:asciiTheme="minorHAnsi" w:eastAsiaTheme="minorEastAsia" w:hAnsiTheme="minorHAnsi"/>
          <w:kern w:val="2"/>
          <w:lang w:val="es-ES" w:eastAsia="en-GB"/>
          <w14:ligatures w14:val="standardContextual"/>
        </w:rPr>
      </w:pPr>
      <w:r w:rsidRPr="0051618D">
        <w:rPr>
          <w:rFonts w:ascii="Times New Roman Bold" w:hAnsi="Times New Roman Bold"/>
          <w:lang w:val="es-ES"/>
        </w:rPr>
        <w:t>3.6</w:t>
      </w:r>
      <w:r w:rsidRPr="00D20317">
        <w:rPr>
          <w:rFonts w:asciiTheme="minorHAnsi" w:eastAsiaTheme="minorEastAsia" w:hAnsiTheme="minorHAnsi"/>
          <w:kern w:val="2"/>
          <w:lang w:val="es-ES" w:eastAsia="en-GB"/>
          <w14:ligatures w14:val="standardContextual"/>
        </w:rPr>
        <w:tab/>
      </w:r>
      <w:r w:rsidRPr="0051618D">
        <w:rPr>
          <w:lang w:val="es-ES"/>
        </w:rPr>
        <w:t>Sensibilidad del costo de capital a cambios en los parámetros de cálculo</w:t>
      </w:r>
      <w:r w:rsidRPr="00D20317">
        <w:rPr>
          <w:lang w:val="es-ES"/>
        </w:rPr>
        <w:tab/>
      </w:r>
      <w:r>
        <w:fldChar w:fldCharType="begin"/>
      </w:r>
      <w:r w:rsidRPr="00D20317">
        <w:rPr>
          <w:lang w:val="es-ES"/>
        </w:rPr>
        <w:instrText xml:space="preserve"> PAGEREF _Toc135788692 \h </w:instrText>
      </w:r>
      <w:r>
        <w:fldChar w:fldCharType="separate"/>
      </w:r>
      <w:r w:rsidR="001F1D48">
        <w:rPr>
          <w:lang w:val="es-ES"/>
        </w:rPr>
        <w:t>19</w:t>
      </w:r>
      <w:r>
        <w:fldChar w:fldCharType="end"/>
      </w:r>
    </w:p>
    <w:p w14:paraId="37A56D3C" w14:textId="3F1F526B" w:rsidR="00D20317" w:rsidRPr="00D20317" w:rsidRDefault="00D20317">
      <w:pPr>
        <w:pStyle w:val="TDC1"/>
        <w:rPr>
          <w:rFonts w:asciiTheme="minorHAnsi" w:eastAsiaTheme="minorEastAsia" w:hAnsiTheme="minorHAnsi"/>
          <w:b w:val="0"/>
          <w:noProof/>
          <w:kern w:val="2"/>
          <w:lang w:val="es-ES" w:eastAsia="en-GB"/>
          <w14:ligatures w14:val="standardContextual"/>
        </w:rPr>
      </w:pPr>
      <w:r w:rsidRPr="0051618D">
        <w:rPr>
          <w:noProof/>
          <w:lang w:val="es-ES"/>
        </w:rPr>
        <w:t>4</w:t>
      </w:r>
      <w:r w:rsidRPr="00D20317">
        <w:rPr>
          <w:rFonts w:asciiTheme="minorHAnsi" w:eastAsiaTheme="minorEastAsia" w:hAnsiTheme="minorHAnsi"/>
          <w:b w:val="0"/>
          <w:noProof/>
          <w:kern w:val="2"/>
          <w:lang w:val="es-ES" w:eastAsia="en-GB"/>
          <w14:ligatures w14:val="standardContextual"/>
        </w:rPr>
        <w:tab/>
      </w:r>
      <w:r w:rsidRPr="0051618D">
        <w:rPr>
          <w:noProof/>
          <w:lang w:val="es-ES"/>
        </w:rPr>
        <w:t>Valores y cálculo del CCPP</w:t>
      </w:r>
      <w:r w:rsidRPr="00D20317">
        <w:rPr>
          <w:noProof/>
          <w:lang w:val="es-ES"/>
        </w:rPr>
        <w:tab/>
      </w:r>
      <w:r>
        <w:rPr>
          <w:noProof/>
        </w:rPr>
        <w:fldChar w:fldCharType="begin"/>
      </w:r>
      <w:r w:rsidRPr="00D20317">
        <w:rPr>
          <w:noProof/>
          <w:lang w:val="es-ES"/>
        </w:rPr>
        <w:instrText xml:space="preserve"> PAGEREF _Toc135788693 \h </w:instrText>
      </w:r>
      <w:r>
        <w:rPr>
          <w:noProof/>
        </w:rPr>
      </w:r>
      <w:r>
        <w:rPr>
          <w:noProof/>
        </w:rPr>
        <w:fldChar w:fldCharType="separate"/>
      </w:r>
      <w:r w:rsidR="001F1D48">
        <w:rPr>
          <w:noProof/>
          <w:lang w:val="es-ES"/>
        </w:rPr>
        <w:t>21</w:t>
      </w:r>
      <w:r>
        <w:rPr>
          <w:noProof/>
        </w:rPr>
        <w:fldChar w:fldCharType="end"/>
      </w:r>
    </w:p>
    <w:p w14:paraId="688F29F7" w14:textId="605C71D5" w:rsidR="002C1A88" w:rsidRPr="002C1A88" w:rsidRDefault="00DF3B88" w:rsidP="000F1B14">
      <w:pPr>
        <w:pStyle w:val="TDC1"/>
        <w:rPr>
          <w:lang w:val="es-ES"/>
        </w:rPr>
      </w:pPr>
      <w:r w:rsidRPr="00BC52BF">
        <w:rPr>
          <w:lang w:val="es-ES"/>
        </w:rPr>
        <w:fldChar w:fldCharType="end"/>
      </w:r>
      <w:r w:rsidR="000A0B66" w:rsidRPr="00BE6F49">
        <w:rPr>
          <w:lang w:val="es-ES"/>
        </w:rPr>
        <w:br w:type="page"/>
      </w:r>
    </w:p>
    <w:p w14:paraId="172F54AF" w14:textId="77777777" w:rsidR="00067399" w:rsidRPr="0080329F" w:rsidRDefault="00067399" w:rsidP="007C6FB3">
      <w:pPr>
        <w:rPr>
          <w:lang w:val="es-ES"/>
        </w:rPr>
        <w:sectPr w:rsidR="00067399" w:rsidRPr="0080329F" w:rsidSect="00D42DA0">
          <w:headerReference w:type="even" r:id="rId14"/>
          <w:headerReference w:type="default" r:id="rId15"/>
          <w:footerReference w:type="even" r:id="rId16"/>
          <w:footerReference w:type="default" r:id="rId17"/>
          <w:headerReference w:type="first" r:id="rId18"/>
          <w:footerReference w:type="first" r:id="rId19"/>
          <w:pgSz w:w="11907" w:h="16840" w:code="9"/>
          <w:pgMar w:top="1418" w:right="1588" w:bottom="1418" w:left="1588" w:header="567" w:footer="567" w:gutter="0"/>
          <w:pgNumType w:fmt="lowerRoman" w:start="1"/>
          <w:cols w:space="720"/>
          <w:titlePg/>
          <w:docGrid w:linePitch="299"/>
        </w:sectPr>
      </w:pPr>
      <w:bookmarkStart w:id="1" w:name="SectionReportContents"/>
    </w:p>
    <w:p w14:paraId="285CAF71" w14:textId="77777777" w:rsidR="002C1A88" w:rsidRPr="002C1A88" w:rsidRDefault="00901135" w:rsidP="004520FE">
      <w:pPr>
        <w:pStyle w:val="Ttulo1"/>
        <w:rPr>
          <w:lang w:val="es-ES"/>
        </w:rPr>
      </w:pPr>
      <w:bookmarkStart w:id="2" w:name="_Toc135788680"/>
      <w:bookmarkStart w:id="3" w:name="_Toc126589295"/>
      <w:bookmarkStart w:id="4" w:name="_Ref321212522"/>
      <w:bookmarkStart w:id="5" w:name="_Ref452739943"/>
      <w:bookmarkStart w:id="6" w:name="_Ref472949800"/>
      <w:bookmarkStart w:id="7" w:name="_Toc527663513"/>
      <w:bookmarkStart w:id="8" w:name="SectionReportBody"/>
      <w:bookmarkEnd w:id="1"/>
      <w:r>
        <w:rPr>
          <w:lang w:val="es-ES"/>
        </w:rPr>
        <w:lastRenderedPageBreak/>
        <w:t>Introducción</w:t>
      </w:r>
      <w:bookmarkEnd w:id="2"/>
    </w:p>
    <w:p w14:paraId="73215EE2" w14:textId="5DA0D0E3" w:rsidR="002C1A88" w:rsidRPr="002C1A88" w:rsidRDefault="00855883" w:rsidP="00855883">
      <w:pPr>
        <w:rPr>
          <w:lang w:val="es-ES"/>
        </w:rPr>
      </w:pPr>
      <w:r w:rsidRPr="00855883">
        <w:rPr>
          <w:lang w:val="es-ES"/>
        </w:rPr>
        <w:t xml:space="preserve">El Instituto Federal de Telecomunicaciones (IFT) </w:t>
      </w:r>
      <w:r w:rsidR="006E0849" w:rsidRPr="004626E5">
        <w:rPr>
          <w:lang w:val="es-ES"/>
        </w:rPr>
        <w:t xml:space="preserve">ha </w:t>
      </w:r>
      <w:r w:rsidR="006E0849">
        <w:rPr>
          <w:lang w:val="es-ES"/>
        </w:rPr>
        <w:t xml:space="preserve">llevado a cabo el proceso para el </w:t>
      </w:r>
      <w:r w:rsidR="006E0849" w:rsidRPr="004626E5">
        <w:rPr>
          <w:lang w:val="es-ES"/>
        </w:rPr>
        <w:t>desarrollo</w:t>
      </w:r>
      <w:r w:rsidRPr="00855883">
        <w:rPr>
          <w:lang w:val="es-ES"/>
        </w:rPr>
        <w:t xml:space="preserve"> de los modelos de costos cuyo objetivo es dar soport</w:t>
      </w:r>
      <w:r>
        <w:rPr>
          <w:lang w:val="es-ES"/>
        </w:rPr>
        <w:t>e</w:t>
      </w:r>
      <w:r w:rsidRPr="00855883">
        <w:rPr>
          <w:lang w:val="es-ES"/>
        </w:rPr>
        <w:t xml:space="preserve"> </w:t>
      </w:r>
      <w:r w:rsidR="00CB1E1D">
        <w:rPr>
          <w:lang w:val="es-ES"/>
        </w:rPr>
        <w:t>para</w:t>
      </w:r>
      <w:r w:rsidRPr="00855883">
        <w:rPr>
          <w:lang w:val="es-ES"/>
        </w:rPr>
        <w:t xml:space="preserve"> la fijación de las tarifas </w:t>
      </w:r>
      <w:r w:rsidR="00CB1E1D">
        <w:rPr>
          <w:lang w:val="es-ES"/>
        </w:rPr>
        <w:t>de</w:t>
      </w:r>
      <w:r w:rsidR="00CB1E1D" w:rsidRPr="00855883">
        <w:rPr>
          <w:lang w:val="es-ES"/>
        </w:rPr>
        <w:t xml:space="preserve"> </w:t>
      </w:r>
      <w:r w:rsidRPr="00855883">
        <w:rPr>
          <w:lang w:val="es-ES"/>
        </w:rPr>
        <w:t>diversos servicios mayoristas provistos por los operadores de telecomunicaciones en México para el periodo 2024–26</w:t>
      </w:r>
      <w:r>
        <w:rPr>
          <w:lang w:val="es-ES"/>
        </w:rPr>
        <w:t>, incluyendo</w:t>
      </w:r>
      <w:r w:rsidR="00926F8C">
        <w:rPr>
          <w:lang w:val="es-ES"/>
        </w:rPr>
        <w:t xml:space="preserve"> los siguientes</w:t>
      </w:r>
      <w:r w:rsidRPr="00855883">
        <w:rPr>
          <w:lang w:val="es-ES"/>
        </w:rPr>
        <w:t>:</w:t>
      </w:r>
    </w:p>
    <w:p w14:paraId="4BE8CB31" w14:textId="4FE8BF22" w:rsidR="002C1A88" w:rsidRPr="002C1A88" w:rsidRDefault="00493B77" w:rsidP="00BD39A2">
      <w:pPr>
        <w:pStyle w:val="ListBulletCompact"/>
        <w:rPr>
          <w:lang w:val="es-ES"/>
        </w:rPr>
      </w:pPr>
      <w:r>
        <w:rPr>
          <w:lang w:val="es-ES"/>
        </w:rPr>
        <w:t xml:space="preserve">servicio de </w:t>
      </w:r>
      <w:r w:rsidR="002550B8">
        <w:rPr>
          <w:lang w:val="es-ES"/>
        </w:rPr>
        <w:t>t</w:t>
      </w:r>
      <w:r w:rsidR="00855883" w:rsidRPr="00855883">
        <w:rPr>
          <w:lang w:val="es-ES"/>
        </w:rPr>
        <w:t xml:space="preserve">erminación de voz, </w:t>
      </w:r>
      <w:r w:rsidR="002550B8">
        <w:rPr>
          <w:lang w:val="es-ES"/>
        </w:rPr>
        <w:t>mensajería (</w:t>
      </w:r>
      <w:r w:rsidR="00855883" w:rsidRPr="00855883">
        <w:rPr>
          <w:lang w:val="es-ES"/>
        </w:rPr>
        <w:t>SMS</w:t>
      </w:r>
      <w:r w:rsidR="002550B8">
        <w:rPr>
          <w:lang w:val="es-ES"/>
        </w:rPr>
        <w:t>)</w:t>
      </w:r>
      <w:r w:rsidR="00855883" w:rsidRPr="00855883">
        <w:rPr>
          <w:lang w:val="es-ES"/>
        </w:rPr>
        <w:t xml:space="preserve"> y tránsito en redes fijas y móviles</w:t>
      </w:r>
    </w:p>
    <w:p w14:paraId="7ABE0ABA" w14:textId="2F2C0021" w:rsidR="002C1A88" w:rsidRPr="002C1A88" w:rsidRDefault="00360FFB" w:rsidP="00BD39A2">
      <w:pPr>
        <w:pStyle w:val="ListBulletCompact"/>
        <w:rPr>
          <w:lang w:val="es-ES"/>
        </w:rPr>
      </w:pPr>
      <w:r>
        <w:rPr>
          <w:lang w:val="es-ES"/>
        </w:rPr>
        <w:t>s</w:t>
      </w:r>
      <w:r w:rsidR="00855883" w:rsidRPr="00855883">
        <w:rPr>
          <w:lang w:val="es-ES"/>
        </w:rPr>
        <w:t>ervicio de usuario visitante</w:t>
      </w:r>
    </w:p>
    <w:p w14:paraId="330D7DA9" w14:textId="77777777" w:rsidR="0020216F" w:rsidRPr="004626E5" w:rsidRDefault="0020216F" w:rsidP="0020216F">
      <w:pPr>
        <w:pStyle w:val="ListBulletCompact"/>
        <w:rPr>
          <w:lang w:val="es-ES"/>
        </w:rPr>
      </w:pPr>
      <w:r w:rsidRPr="004626E5">
        <w:rPr>
          <w:lang w:val="es-ES"/>
        </w:rPr>
        <w:t>Servicio de concentración y distribución</w:t>
      </w:r>
      <w:r>
        <w:rPr>
          <w:lang w:val="es-ES"/>
        </w:rPr>
        <w:t xml:space="preserve"> (SCyD)</w:t>
      </w:r>
      <w:r w:rsidRPr="004626E5">
        <w:rPr>
          <w:lang w:val="es-ES"/>
        </w:rPr>
        <w:t xml:space="preserve"> asociado al servicio de acceso indirecto al bucle (SAIB)</w:t>
      </w:r>
    </w:p>
    <w:p w14:paraId="608E3483" w14:textId="340CE039" w:rsidR="002C1A88" w:rsidRPr="002C1A88" w:rsidRDefault="00360FFB" w:rsidP="00BD39A2">
      <w:pPr>
        <w:pStyle w:val="ListBulletCompact"/>
        <w:rPr>
          <w:lang w:val="es-ES"/>
        </w:rPr>
      </w:pPr>
      <w:r>
        <w:rPr>
          <w:lang w:val="es-ES"/>
        </w:rPr>
        <w:t>s</w:t>
      </w:r>
      <w:r w:rsidR="00855883" w:rsidRPr="00855883">
        <w:rPr>
          <w:lang w:val="es-ES"/>
        </w:rPr>
        <w:t>ervicio de enlaces dedicados</w:t>
      </w:r>
      <w:r>
        <w:rPr>
          <w:lang w:val="es-ES"/>
        </w:rPr>
        <w:t>.</w:t>
      </w:r>
    </w:p>
    <w:p w14:paraId="0F86FD82" w14:textId="6D02B7E1" w:rsidR="002C1A88" w:rsidRPr="002C1A88" w:rsidRDefault="00300F3F" w:rsidP="00855883">
      <w:pPr>
        <w:rPr>
          <w:lang w:val="es-ES"/>
        </w:rPr>
      </w:pPr>
      <w:r>
        <w:rPr>
          <w:lang w:val="es-ES"/>
        </w:rPr>
        <w:t xml:space="preserve">Como parte de este proyecto, se hace necesario definir una metodología apropiada y robusta para el cálculo del costo de capital promedio ponderado (CCPP, o WACC por sus siglas en inglés). El CCPP es uno de los principales insumos de los modelos de costos, </w:t>
      </w:r>
      <w:r w:rsidR="006113FD">
        <w:rPr>
          <w:lang w:val="es-ES"/>
        </w:rPr>
        <w:t>y su objetivo es el de asegurar</w:t>
      </w:r>
      <w:r>
        <w:rPr>
          <w:lang w:val="es-ES"/>
        </w:rPr>
        <w:t xml:space="preserve"> </w:t>
      </w:r>
      <w:r w:rsidR="006113FD">
        <w:rPr>
          <w:lang w:val="es-ES"/>
        </w:rPr>
        <w:t>que el operador</w:t>
      </w:r>
      <w:r w:rsidR="00855883" w:rsidRPr="00855883">
        <w:rPr>
          <w:lang w:val="es-ES"/>
        </w:rPr>
        <w:t xml:space="preserve"> </w:t>
      </w:r>
      <w:r w:rsidR="006113FD">
        <w:rPr>
          <w:lang w:val="es-ES"/>
        </w:rPr>
        <w:t xml:space="preserve">modelado puede </w:t>
      </w:r>
      <w:r w:rsidR="00725779">
        <w:rPr>
          <w:lang w:val="es-ES"/>
        </w:rPr>
        <w:t>obtener</w:t>
      </w:r>
      <w:r w:rsidR="006113FD">
        <w:rPr>
          <w:lang w:val="es-ES"/>
        </w:rPr>
        <w:t xml:space="preserve"> un</w:t>
      </w:r>
      <w:r w:rsidR="00725779">
        <w:rPr>
          <w:lang w:val="es-ES"/>
        </w:rPr>
        <w:t xml:space="preserve"> retorno razonable y justificado del capital necesario para desplegar redes de telecomunicaciones en México.</w:t>
      </w:r>
    </w:p>
    <w:p w14:paraId="2271B9D6" w14:textId="39207138" w:rsidR="00901135" w:rsidRDefault="00855883" w:rsidP="00855883">
      <w:pPr>
        <w:rPr>
          <w:lang w:val="es-ES"/>
        </w:rPr>
      </w:pPr>
      <w:r w:rsidRPr="00855883">
        <w:rPr>
          <w:lang w:val="es-ES"/>
        </w:rPr>
        <w:t xml:space="preserve">Este informe presenta </w:t>
      </w:r>
      <w:r w:rsidR="00BD1C6C">
        <w:rPr>
          <w:lang w:val="es-ES"/>
        </w:rPr>
        <w:t xml:space="preserve">la metodología </w:t>
      </w:r>
      <w:r w:rsidRPr="00855883">
        <w:rPr>
          <w:lang w:val="es-ES"/>
        </w:rPr>
        <w:t>propuest</w:t>
      </w:r>
      <w:r w:rsidR="00BD1C6C">
        <w:rPr>
          <w:lang w:val="es-ES"/>
        </w:rPr>
        <w:t>a</w:t>
      </w:r>
      <w:r w:rsidRPr="00855883">
        <w:rPr>
          <w:lang w:val="es-ES"/>
        </w:rPr>
        <w:t xml:space="preserve"> para </w:t>
      </w:r>
      <w:r w:rsidR="00BD1C6C">
        <w:rPr>
          <w:lang w:val="es-ES"/>
        </w:rPr>
        <w:t xml:space="preserve">la estimación del CCPP </w:t>
      </w:r>
      <w:r w:rsidR="00A04B4F">
        <w:rPr>
          <w:lang w:val="es-ES"/>
        </w:rPr>
        <w:t xml:space="preserve">que se ha de </w:t>
      </w:r>
      <w:r w:rsidR="00BD1C6C">
        <w:rPr>
          <w:lang w:val="es-ES"/>
        </w:rPr>
        <w:t xml:space="preserve">emplear en los modelos de costos, </w:t>
      </w:r>
      <w:r w:rsidRPr="00855883">
        <w:rPr>
          <w:lang w:val="es-ES"/>
        </w:rPr>
        <w:t>previo a su salida a consulta pública.</w:t>
      </w:r>
      <w:r w:rsidR="00D1240A">
        <w:rPr>
          <w:lang w:val="es-ES"/>
        </w:rPr>
        <w:t xml:space="preserve"> Adicionalmente, se presentan los resultados</w:t>
      </w:r>
      <w:r w:rsidR="00A058F1">
        <w:rPr>
          <w:lang w:val="es-ES"/>
        </w:rPr>
        <w:t xml:space="preserve"> para los distintos parámetros con base a la metodología definida.</w:t>
      </w:r>
    </w:p>
    <w:tbl>
      <w:tblPr>
        <w:tblStyle w:val="Tablaconcuadrcula"/>
        <w:tblW w:w="0" w:type="auto"/>
        <w:tblLook w:val="04A0" w:firstRow="1" w:lastRow="0" w:firstColumn="1" w:lastColumn="0" w:noHBand="0" w:noVBand="1"/>
      </w:tblPr>
      <w:tblGrid>
        <w:gridCol w:w="8721"/>
      </w:tblGrid>
      <w:tr w:rsidR="000B1502" w:rsidRPr="001F1D48" w14:paraId="009FE5FD" w14:textId="77777777" w:rsidTr="00A022D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7984D49" w14:textId="77DD1DDB" w:rsidR="002C1A88" w:rsidRPr="002C1A88" w:rsidRDefault="000B1502" w:rsidP="00A022D0">
            <w:pPr>
              <w:spacing w:after="120"/>
              <w:rPr>
                <w:lang w:val="es-ES"/>
              </w:rPr>
            </w:pPr>
            <w:r>
              <w:rPr>
                <w:b/>
                <w:lang w:val="es-ES"/>
              </w:rPr>
              <w:t>Nota</w:t>
            </w:r>
            <w:r w:rsidRPr="00BC52BF">
              <w:rPr>
                <w:b/>
                <w:bCs/>
                <w:lang w:val="es-ES"/>
              </w:rPr>
              <w:t xml:space="preserve">: </w:t>
            </w:r>
            <w:r>
              <w:rPr>
                <w:lang w:val="es-ES"/>
              </w:rPr>
              <w:t xml:space="preserve">La metodología presentada en este documento incluye una serie de modificaciones y aclaraciones con respecto a la versión </w:t>
            </w:r>
            <w:r w:rsidR="00FF6CC0">
              <w:rPr>
                <w:lang w:val="es-ES"/>
              </w:rPr>
              <w:t>empleada en la última actualización de los modelos de costos del IFT</w:t>
            </w:r>
            <w:r>
              <w:rPr>
                <w:lang w:val="es-ES"/>
              </w:rPr>
              <w:t xml:space="preserve">. Estos cambios son el resultado de una revisión pormenorizada de la metodología </w:t>
            </w:r>
            <w:r w:rsidR="00A25747">
              <w:rPr>
                <w:lang w:val="es-ES"/>
              </w:rPr>
              <w:t xml:space="preserve">para el cálculo del </w:t>
            </w:r>
            <w:r>
              <w:rPr>
                <w:lang w:val="es-ES"/>
              </w:rPr>
              <w:t>CCPP, con cuatro objetivos diferenciados:</w:t>
            </w:r>
          </w:p>
          <w:p w14:paraId="188F2EDF" w14:textId="42435586" w:rsidR="002C1A88" w:rsidRPr="002C1A88" w:rsidRDefault="00A30479" w:rsidP="00A30479">
            <w:pPr>
              <w:pStyle w:val="Prrafodelista"/>
              <w:numPr>
                <w:ilvl w:val="0"/>
                <w:numId w:val="33"/>
              </w:numPr>
              <w:spacing w:after="120"/>
              <w:ind w:left="595" w:hanging="567"/>
              <w:rPr>
                <w:lang w:val="es-ES"/>
              </w:rPr>
            </w:pPr>
            <w:r>
              <w:rPr>
                <w:lang w:val="es-ES"/>
              </w:rPr>
              <w:t>m</w:t>
            </w:r>
            <w:r w:rsidR="000B1502" w:rsidRPr="007F36A7">
              <w:rPr>
                <w:lang w:val="es-ES"/>
              </w:rPr>
              <w:t xml:space="preserve">ejorar </w:t>
            </w:r>
            <w:r>
              <w:rPr>
                <w:lang w:val="es-ES"/>
              </w:rPr>
              <w:t xml:space="preserve">el </w:t>
            </w:r>
            <w:r w:rsidR="000B1502" w:rsidRPr="007F36A7">
              <w:rPr>
                <w:lang w:val="es-ES"/>
              </w:rPr>
              <w:t>alineamiento con las mejores prácticas internacionales</w:t>
            </w:r>
          </w:p>
          <w:p w14:paraId="797F6CE1" w14:textId="2C34DFA2" w:rsidR="002C1A88" w:rsidRPr="002C1A88" w:rsidRDefault="00A30479" w:rsidP="00A30479">
            <w:pPr>
              <w:pStyle w:val="Prrafodelista"/>
              <w:numPr>
                <w:ilvl w:val="0"/>
                <w:numId w:val="33"/>
              </w:numPr>
              <w:spacing w:after="120"/>
              <w:ind w:left="595" w:hanging="567"/>
              <w:rPr>
                <w:lang w:val="es-ES"/>
              </w:rPr>
            </w:pPr>
            <w:r>
              <w:rPr>
                <w:lang w:val="es-ES"/>
              </w:rPr>
              <w:t>p</w:t>
            </w:r>
            <w:r w:rsidR="000B1502" w:rsidRPr="00950D46">
              <w:rPr>
                <w:lang w:val="es-ES"/>
              </w:rPr>
              <w:t xml:space="preserve">roporcionar mayor transparencia </w:t>
            </w:r>
            <w:r w:rsidR="000B1502">
              <w:rPr>
                <w:lang w:val="es-ES"/>
              </w:rPr>
              <w:t xml:space="preserve">sobre la metodología </w:t>
            </w:r>
            <w:r w:rsidR="000B1502" w:rsidRPr="00950D46">
              <w:rPr>
                <w:lang w:val="es-ES"/>
              </w:rPr>
              <w:t>a la industria</w:t>
            </w:r>
          </w:p>
          <w:p w14:paraId="5B9F0D79" w14:textId="03740E31" w:rsidR="002C1A88" w:rsidRPr="002C1A88" w:rsidRDefault="00A30479" w:rsidP="00A30479">
            <w:pPr>
              <w:pStyle w:val="Prrafodelista"/>
              <w:numPr>
                <w:ilvl w:val="0"/>
                <w:numId w:val="33"/>
              </w:numPr>
              <w:spacing w:after="120"/>
              <w:ind w:left="595" w:hanging="567"/>
              <w:rPr>
                <w:lang w:val="es-ES"/>
              </w:rPr>
            </w:pPr>
            <w:r>
              <w:rPr>
                <w:lang w:val="es-ES"/>
              </w:rPr>
              <w:t>a</w:t>
            </w:r>
            <w:r w:rsidR="000B1502" w:rsidRPr="00950D46">
              <w:rPr>
                <w:lang w:val="es-ES"/>
              </w:rPr>
              <w:t xml:space="preserve">segurar </w:t>
            </w:r>
            <w:r>
              <w:rPr>
                <w:lang w:val="es-ES"/>
              </w:rPr>
              <w:t xml:space="preserve">una </w:t>
            </w:r>
            <w:r w:rsidR="000B1502" w:rsidRPr="00950D46">
              <w:rPr>
                <w:lang w:val="es-ES"/>
              </w:rPr>
              <w:t>mayor consistencia metodológica para siguientes actualizaciones</w:t>
            </w:r>
            <w:r w:rsidR="000B1502">
              <w:rPr>
                <w:lang w:val="es-ES"/>
              </w:rPr>
              <w:t xml:space="preserve"> del CCPP</w:t>
            </w:r>
          </w:p>
          <w:p w14:paraId="18E0BC2E" w14:textId="16511418" w:rsidR="000B1502" w:rsidRPr="007F36A7" w:rsidRDefault="00A30479" w:rsidP="00A30479">
            <w:pPr>
              <w:pStyle w:val="Prrafodelista"/>
              <w:numPr>
                <w:ilvl w:val="0"/>
                <w:numId w:val="33"/>
              </w:numPr>
              <w:spacing w:after="120"/>
              <w:ind w:left="595" w:hanging="567"/>
              <w:rPr>
                <w:lang w:val="es-ES"/>
              </w:rPr>
            </w:pPr>
            <w:r>
              <w:rPr>
                <w:lang w:val="es-ES"/>
              </w:rPr>
              <w:t>m</w:t>
            </w:r>
            <w:r w:rsidR="000B1502" w:rsidRPr="00950D46">
              <w:rPr>
                <w:lang w:val="es-ES"/>
              </w:rPr>
              <w:t>ejorar la representatividad de los costos de los operadores mexicanos</w:t>
            </w:r>
            <w:r>
              <w:rPr>
                <w:lang w:val="es-ES"/>
              </w:rPr>
              <w:t>.</w:t>
            </w:r>
          </w:p>
        </w:tc>
      </w:tr>
    </w:tbl>
    <w:p w14:paraId="62273A2C" w14:textId="77777777" w:rsidR="002C1A88" w:rsidRPr="002C1A88" w:rsidRDefault="002C1A88" w:rsidP="00BD39A2">
      <w:pPr>
        <w:rPr>
          <w:lang w:val="es-ES"/>
        </w:rPr>
      </w:pPr>
    </w:p>
    <w:p w14:paraId="04AB9F7B" w14:textId="77777777" w:rsidR="002C1A88" w:rsidRPr="002C1A88" w:rsidRDefault="00303C5D" w:rsidP="004520FE">
      <w:pPr>
        <w:pStyle w:val="Ttulo1"/>
        <w:rPr>
          <w:lang w:val="es-ES"/>
        </w:rPr>
      </w:pPr>
      <w:bookmarkStart w:id="9" w:name="_Toc135788681"/>
      <w:bookmarkEnd w:id="3"/>
      <w:r>
        <w:rPr>
          <w:lang w:val="es-ES"/>
        </w:rPr>
        <w:lastRenderedPageBreak/>
        <w:t>Conceptos generales de la definición del CCPP</w:t>
      </w:r>
      <w:bookmarkEnd w:id="9"/>
      <w:r w:rsidR="00044909" w:rsidRPr="00BC52BF">
        <w:rPr>
          <w:lang w:val="es-ES"/>
        </w:rPr>
        <w:t xml:space="preserve"> </w:t>
      </w:r>
      <w:bookmarkEnd w:id="4"/>
      <w:bookmarkEnd w:id="5"/>
      <w:bookmarkEnd w:id="6"/>
      <w:bookmarkEnd w:id="7"/>
    </w:p>
    <w:p w14:paraId="375F3076" w14:textId="27A94BDD" w:rsidR="002C1A88" w:rsidRDefault="008E01F0" w:rsidP="007060D0">
      <w:pPr>
        <w:rPr>
          <w:lang w:val="es-ES"/>
        </w:rPr>
      </w:pPr>
      <w:r>
        <w:rPr>
          <w:lang w:val="es-ES"/>
        </w:rPr>
        <w:t>El obj</w:t>
      </w:r>
      <w:r w:rsidR="00C0600E">
        <w:rPr>
          <w:lang w:val="es-ES"/>
        </w:rPr>
        <w:t xml:space="preserve">etivo de esta sección es presentar una serie </w:t>
      </w:r>
      <w:r w:rsidR="0077646C">
        <w:rPr>
          <w:lang w:val="es-ES"/>
        </w:rPr>
        <w:t xml:space="preserve">de </w:t>
      </w:r>
      <w:r w:rsidR="00C0600E">
        <w:rPr>
          <w:lang w:val="es-ES"/>
        </w:rPr>
        <w:t>conceptos general</w:t>
      </w:r>
      <w:r w:rsidR="0077646C">
        <w:rPr>
          <w:lang w:val="es-ES"/>
        </w:rPr>
        <w:t>es</w:t>
      </w:r>
      <w:r w:rsidR="00C0600E">
        <w:rPr>
          <w:lang w:val="es-ES"/>
        </w:rPr>
        <w:t xml:space="preserve"> que guiarán la definición de la metodología para el cálculo del CCPP. </w:t>
      </w:r>
      <w:r w:rsidR="00272640">
        <w:rPr>
          <w:lang w:val="es-ES"/>
        </w:rPr>
        <w:t xml:space="preserve">En particular, </w:t>
      </w:r>
      <w:r w:rsidR="006D151C">
        <w:rPr>
          <w:lang w:val="es-ES"/>
        </w:rPr>
        <w:t xml:space="preserve">se abordan </w:t>
      </w:r>
      <w:r w:rsidR="00C0600E">
        <w:rPr>
          <w:lang w:val="es-ES"/>
        </w:rPr>
        <w:t>los siguientes aspectos:</w:t>
      </w:r>
    </w:p>
    <w:p w14:paraId="1EF85815" w14:textId="32E2C206" w:rsidR="006D151C" w:rsidRPr="006D151C" w:rsidRDefault="00F714EF" w:rsidP="006D151C">
      <w:pPr>
        <w:pStyle w:val="ListBulletCompact"/>
        <w:rPr>
          <w:lang w:val="es-ES"/>
        </w:rPr>
      </w:pPr>
      <w:r>
        <w:rPr>
          <w:lang w:val="es-ES"/>
        </w:rPr>
        <w:t>d</w:t>
      </w:r>
      <w:r w:rsidR="006D151C" w:rsidRPr="006D151C">
        <w:rPr>
          <w:lang w:val="es-ES"/>
        </w:rPr>
        <w:t xml:space="preserve">efinición de </w:t>
      </w:r>
      <w:r>
        <w:rPr>
          <w:lang w:val="es-ES"/>
        </w:rPr>
        <w:t xml:space="preserve">los </w:t>
      </w:r>
      <w:r w:rsidR="006D151C" w:rsidRPr="006D151C">
        <w:rPr>
          <w:lang w:val="es-ES"/>
        </w:rPr>
        <w:t>operadores modelados</w:t>
      </w:r>
      <w:r>
        <w:rPr>
          <w:lang w:val="es-ES"/>
        </w:rPr>
        <w:t xml:space="preserve"> (Sección</w:t>
      </w:r>
      <w:r w:rsidR="001A2BF2">
        <w:rPr>
          <w:lang w:val="es-ES"/>
        </w:rPr>
        <w:t> </w:t>
      </w:r>
      <w:r w:rsidR="001A2BF2">
        <w:rPr>
          <w:lang w:val="es-ES"/>
        </w:rPr>
        <w:fldChar w:fldCharType="begin"/>
      </w:r>
      <w:r w:rsidR="001A2BF2">
        <w:rPr>
          <w:lang w:val="es-ES"/>
        </w:rPr>
        <w:instrText xml:space="preserve"> REF _Ref132991164 \r \h </w:instrText>
      </w:r>
      <w:r w:rsidR="001A2BF2">
        <w:rPr>
          <w:lang w:val="es-ES"/>
        </w:rPr>
      </w:r>
      <w:r w:rsidR="001A2BF2">
        <w:rPr>
          <w:lang w:val="es-ES"/>
        </w:rPr>
        <w:fldChar w:fldCharType="separate"/>
      </w:r>
      <w:r w:rsidR="001F1D48">
        <w:rPr>
          <w:lang w:val="es-ES"/>
        </w:rPr>
        <w:t>2.1</w:t>
      </w:r>
      <w:r w:rsidR="001A2BF2">
        <w:rPr>
          <w:lang w:val="es-ES"/>
        </w:rPr>
        <w:fldChar w:fldCharType="end"/>
      </w:r>
      <w:r>
        <w:rPr>
          <w:lang w:val="es-ES"/>
        </w:rPr>
        <w:t>)</w:t>
      </w:r>
    </w:p>
    <w:p w14:paraId="44EA6E24" w14:textId="1207C390" w:rsidR="001A2BF2" w:rsidRPr="006D151C" w:rsidRDefault="001A2BF2" w:rsidP="001A2BF2">
      <w:pPr>
        <w:pStyle w:val="ListBulletCompact"/>
        <w:rPr>
          <w:lang w:val="es-ES"/>
        </w:rPr>
      </w:pPr>
      <w:r>
        <w:rPr>
          <w:lang w:val="es-ES"/>
        </w:rPr>
        <w:t>f</w:t>
      </w:r>
      <w:r w:rsidRPr="006D151C">
        <w:rPr>
          <w:lang w:val="es-ES"/>
        </w:rPr>
        <w:t>ormulación general del CCPP</w:t>
      </w:r>
      <w:r>
        <w:rPr>
          <w:lang w:val="es-ES"/>
        </w:rPr>
        <w:t xml:space="preserve"> (Sección </w:t>
      </w:r>
      <w:r>
        <w:rPr>
          <w:lang w:val="es-ES"/>
        </w:rPr>
        <w:fldChar w:fldCharType="begin"/>
      </w:r>
      <w:r>
        <w:rPr>
          <w:lang w:val="es-ES"/>
        </w:rPr>
        <w:instrText xml:space="preserve"> REF _Ref134203068 \r \h </w:instrText>
      </w:r>
      <w:r>
        <w:rPr>
          <w:lang w:val="es-ES"/>
        </w:rPr>
      </w:r>
      <w:r>
        <w:rPr>
          <w:lang w:val="es-ES"/>
        </w:rPr>
        <w:fldChar w:fldCharType="separate"/>
      </w:r>
      <w:r w:rsidR="001F1D48">
        <w:rPr>
          <w:lang w:val="es-ES"/>
        </w:rPr>
        <w:t>2.2</w:t>
      </w:r>
      <w:r>
        <w:rPr>
          <w:lang w:val="es-ES"/>
        </w:rPr>
        <w:fldChar w:fldCharType="end"/>
      </w:r>
      <w:r>
        <w:rPr>
          <w:lang w:val="es-ES"/>
        </w:rPr>
        <w:t>)</w:t>
      </w:r>
    </w:p>
    <w:p w14:paraId="3857F260" w14:textId="70D59369" w:rsidR="006D151C" w:rsidRPr="006D151C" w:rsidRDefault="00F714EF" w:rsidP="006D151C">
      <w:pPr>
        <w:pStyle w:val="ListBulletCompact"/>
        <w:rPr>
          <w:lang w:val="es-ES"/>
        </w:rPr>
      </w:pPr>
      <w:r>
        <w:rPr>
          <w:lang w:val="es-ES"/>
        </w:rPr>
        <w:t>p</w:t>
      </w:r>
      <w:r w:rsidR="006D151C" w:rsidRPr="006D151C">
        <w:rPr>
          <w:lang w:val="es-ES"/>
        </w:rPr>
        <w:t>eriodo de referencia</w:t>
      </w:r>
      <w:r>
        <w:rPr>
          <w:lang w:val="es-ES"/>
        </w:rPr>
        <w:t xml:space="preserve"> (Sección </w:t>
      </w:r>
      <w:r>
        <w:rPr>
          <w:lang w:val="es-ES"/>
        </w:rPr>
        <w:fldChar w:fldCharType="begin"/>
      </w:r>
      <w:r>
        <w:rPr>
          <w:lang w:val="es-ES"/>
        </w:rPr>
        <w:instrText xml:space="preserve"> REF _Ref132972740 \r \h </w:instrText>
      </w:r>
      <w:r>
        <w:rPr>
          <w:lang w:val="es-ES"/>
        </w:rPr>
      </w:r>
      <w:r>
        <w:rPr>
          <w:lang w:val="es-ES"/>
        </w:rPr>
        <w:fldChar w:fldCharType="separate"/>
      </w:r>
      <w:r w:rsidR="001F1D48">
        <w:rPr>
          <w:lang w:val="es-ES"/>
        </w:rPr>
        <w:t>2.3</w:t>
      </w:r>
      <w:r>
        <w:rPr>
          <w:lang w:val="es-ES"/>
        </w:rPr>
        <w:fldChar w:fldCharType="end"/>
      </w:r>
      <w:r>
        <w:rPr>
          <w:lang w:val="es-ES"/>
        </w:rPr>
        <w:t>)</w:t>
      </w:r>
    </w:p>
    <w:p w14:paraId="20FA1110" w14:textId="273486EA" w:rsidR="006D151C" w:rsidRPr="006D151C" w:rsidRDefault="00F714EF" w:rsidP="006D151C">
      <w:pPr>
        <w:pStyle w:val="ListBulletCompact"/>
        <w:rPr>
          <w:lang w:val="es-ES"/>
        </w:rPr>
      </w:pPr>
      <w:r>
        <w:rPr>
          <w:lang w:val="es-ES"/>
        </w:rPr>
        <w:t>d</w:t>
      </w:r>
      <w:r w:rsidR="006D151C" w:rsidRPr="006D151C">
        <w:rPr>
          <w:lang w:val="es-ES"/>
        </w:rPr>
        <w:t>efinición de empresas y mercados comparables</w:t>
      </w:r>
      <w:r>
        <w:rPr>
          <w:lang w:val="es-ES"/>
        </w:rPr>
        <w:t xml:space="preserve"> (</w:t>
      </w:r>
      <w:r w:rsidR="000F130A">
        <w:rPr>
          <w:lang w:val="es-ES"/>
        </w:rPr>
        <w:t>Sección </w:t>
      </w:r>
      <w:r w:rsidR="000F130A">
        <w:rPr>
          <w:lang w:val="es-ES"/>
        </w:rPr>
        <w:fldChar w:fldCharType="begin"/>
      </w:r>
      <w:r w:rsidR="000F130A">
        <w:rPr>
          <w:lang w:val="es-ES"/>
        </w:rPr>
        <w:instrText xml:space="preserve"> REF _Ref132988681 \r \h </w:instrText>
      </w:r>
      <w:r w:rsidR="000F130A">
        <w:rPr>
          <w:lang w:val="es-ES"/>
        </w:rPr>
      </w:r>
      <w:r w:rsidR="000F130A">
        <w:rPr>
          <w:lang w:val="es-ES"/>
        </w:rPr>
        <w:fldChar w:fldCharType="separate"/>
      </w:r>
      <w:r w:rsidR="001F1D48">
        <w:rPr>
          <w:lang w:val="es-ES"/>
        </w:rPr>
        <w:t>2.4</w:t>
      </w:r>
      <w:r w:rsidR="000F130A">
        <w:rPr>
          <w:lang w:val="es-ES"/>
        </w:rPr>
        <w:fldChar w:fldCharType="end"/>
      </w:r>
      <w:r w:rsidR="000F130A">
        <w:rPr>
          <w:lang w:val="es-ES"/>
        </w:rPr>
        <w:t>)</w:t>
      </w:r>
    </w:p>
    <w:p w14:paraId="314094A3" w14:textId="77777777" w:rsidR="004B33DB" w:rsidRPr="002C1A88" w:rsidRDefault="004B33DB" w:rsidP="004B33DB">
      <w:pPr>
        <w:pStyle w:val="Ttulo2"/>
        <w:rPr>
          <w:lang w:val="es-ES"/>
        </w:rPr>
      </w:pPr>
      <w:bookmarkStart w:id="10" w:name="_Ref134203023"/>
      <w:bookmarkStart w:id="11" w:name="_Ref134203193"/>
      <w:bookmarkStart w:id="12" w:name="_Ref134203209"/>
      <w:bookmarkStart w:id="13" w:name="_Toc135788682"/>
      <w:bookmarkStart w:id="14" w:name="_Ref132991164"/>
      <w:r>
        <w:rPr>
          <w:lang w:val="es-ES"/>
        </w:rPr>
        <w:t>Definición de los operadores modelados</w:t>
      </w:r>
      <w:bookmarkEnd w:id="10"/>
      <w:bookmarkEnd w:id="11"/>
      <w:bookmarkEnd w:id="12"/>
      <w:bookmarkEnd w:id="13"/>
    </w:p>
    <w:p w14:paraId="1593116D" w14:textId="77777777" w:rsidR="004B33DB" w:rsidRPr="002C1A88" w:rsidRDefault="004B33DB" w:rsidP="004B33DB">
      <w:pPr>
        <w:rPr>
          <w:lang w:val="es-ES"/>
        </w:rPr>
      </w:pPr>
      <w:r>
        <w:rPr>
          <w:lang w:val="es-ES"/>
        </w:rPr>
        <w:t>Tal y como se presenta en la introducción de este documento, el CCPP se empleará en los diversos modelos de costos desarrollados por el IFT. En este sentido, es importante alinear la definición del CCPP a la definición de los operadores modelados.</w:t>
      </w:r>
    </w:p>
    <w:p w14:paraId="46103EC4" w14:textId="77777777" w:rsidR="004B33DB" w:rsidRPr="002C1A88" w:rsidRDefault="004B33DB" w:rsidP="004B33DB">
      <w:pPr>
        <w:rPr>
          <w:lang w:val="es-ES"/>
        </w:rPr>
      </w:pPr>
      <w:r>
        <w:rPr>
          <w:lang w:val="es-ES"/>
        </w:rPr>
        <w:t>Los modelos de costos de interconexión definen los siguientes operadores modelados:</w:t>
      </w:r>
    </w:p>
    <w:p w14:paraId="7844B992" w14:textId="77777777" w:rsidR="004B33DB" w:rsidRPr="002C1A88" w:rsidRDefault="004B33DB" w:rsidP="004B33DB">
      <w:pPr>
        <w:pStyle w:val="ListBulletCompact"/>
        <w:rPr>
          <w:lang w:val="es-ES"/>
        </w:rPr>
      </w:pPr>
      <w:r>
        <w:rPr>
          <w:lang w:val="es-ES"/>
        </w:rPr>
        <w:t>d</w:t>
      </w:r>
      <w:r w:rsidRPr="00AA061D">
        <w:rPr>
          <w:lang w:val="es-ES"/>
        </w:rPr>
        <w:t xml:space="preserve">os operadores móviles representativos de i) </w:t>
      </w:r>
      <w:r>
        <w:rPr>
          <w:lang w:val="es-ES"/>
        </w:rPr>
        <w:t>un operador eficiente con escala similar al</w:t>
      </w:r>
      <w:r w:rsidRPr="00BC52BF">
        <w:rPr>
          <w:lang w:val="es-ES"/>
        </w:rPr>
        <w:t xml:space="preserve"> </w:t>
      </w:r>
      <w:r>
        <w:rPr>
          <w:lang w:val="es-ES"/>
        </w:rPr>
        <w:t>agente económico preponderante (</w:t>
      </w:r>
      <w:r w:rsidRPr="00BC52BF">
        <w:rPr>
          <w:lang w:val="es-ES"/>
        </w:rPr>
        <w:t>AEP</w:t>
      </w:r>
      <w:r>
        <w:rPr>
          <w:lang w:val="es-ES"/>
        </w:rPr>
        <w:t>)</w:t>
      </w:r>
      <w:r w:rsidRPr="00AA061D">
        <w:rPr>
          <w:lang w:val="es-ES"/>
        </w:rPr>
        <w:t>, y ii) un concesionario alternativo eficiente</w:t>
      </w:r>
    </w:p>
    <w:p w14:paraId="7F90041B" w14:textId="77777777" w:rsidR="004B33DB" w:rsidRPr="002C1A88" w:rsidRDefault="004B33DB" w:rsidP="004B33DB">
      <w:pPr>
        <w:pStyle w:val="ListBulletCompact"/>
        <w:rPr>
          <w:lang w:val="es-ES"/>
        </w:rPr>
      </w:pPr>
      <w:r>
        <w:rPr>
          <w:lang w:val="es-ES"/>
        </w:rPr>
        <w:t>d</w:t>
      </w:r>
      <w:r w:rsidRPr="00C97F2D">
        <w:rPr>
          <w:lang w:val="es-ES"/>
        </w:rPr>
        <w:t xml:space="preserve">os operadores fijos representativos de i) </w:t>
      </w:r>
      <w:r>
        <w:rPr>
          <w:lang w:val="es-ES"/>
        </w:rPr>
        <w:t>un operador eficiente con escala similar al</w:t>
      </w:r>
      <w:r w:rsidRPr="00BC52BF">
        <w:rPr>
          <w:lang w:val="es-ES"/>
        </w:rPr>
        <w:t xml:space="preserve"> AEP</w:t>
      </w:r>
      <w:r w:rsidRPr="00C97F2D">
        <w:rPr>
          <w:lang w:val="es-ES"/>
        </w:rPr>
        <w:t>, y ii) un concesionario alternativo eficiente</w:t>
      </w:r>
      <w:r>
        <w:rPr>
          <w:lang w:val="es-ES"/>
        </w:rPr>
        <w:t>.</w:t>
      </w:r>
    </w:p>
    <w:p w14:paraId="52FA7991" w14:textId="77777777" w:rsidR="004B33DB" w:rsidRPr="002C1A88" w:rsidRDefault="004B33DB" w:rsidP="004B33DB">
      <w:pPr>
        <w:rPr>
          <w:lang w:val="es-ES"/>
        </w:rPr>
      </w:pPr>
      <w:r>
        <w:rPr>
          <w:lang w:val="es-ES"/>
        </w:rPr>
        <w:t>Para asegurar el alineamiento entre la definición del CCPP y la definición de los operadores modelados, surgen dos cuestiones. Por un lado, es necesario determinar si se debe estimar un único CCPP para redes fijas y redes móviles, o si, por el contrario, es más apropiado realizar estimaciones diferenciadas para cada red. A este respecto, históricamente, el IFT ha desarrollado estimaciones diferenciadas para redes fijas y redes móviles. Esta diferenciación surgía de la necesidad, según lo expuesto en la legislación mexicana, de asegurar que la estimación de los costos de los servicios cursados a través de cada red hacía el mayor uso posible de parámetros específicos, a fin de lograr la estimación más precisa en cada caso. Por este motivo, el IFT considera que lo más apropiado es continuar manteniendo la desagregación entre el CCPP de redes fijas y redes móviles.</w:t>
      </w:r>
    </w:p>
    <w:p w14:paraId="6E168FF5" w14:textId="18ED086A" w:rsidR="004B33DB" w:rsidRPr="002C1A88" w:rsidRDefault="004B33DB" w:rsidP="004B33DB">
      <w:pPr>
        <w:rPr>
          <w:lang w:val="es-ES"/>
        </w:rPr>
      </w:pPr>
      <w:r>
        <w:rPr>
          <w:lang w:val="es-ES"/>
        </w:rPr>
        <w:t>Por otro lado, surge la cuestión del nivel de desagregación necesario para el CCPP de redes fijas y redes móviles. Es decir, si se realizará una estimación de un CCPP promedio de la industria de las telecomunicaciones en México (diferenciado entre redes fijas y redes móviles), o si se realizará una estimación para cada uno de los operadores presentes (AEP y CS) en el mercado. A este respecto, la aproximación histórica del IFT ha sido la definición de un CCPP promedio industrial, con una diferenciación entre el CCPP asociado a redes fijas y el CCPP asociado a redes móviles. Esta alternativa se considera más apropiada para la definición del CCPP por los siguientes motivos:</w:t>
      </w:r>
    </w:p>
    <w:p w14:paraId="729D9380" w14:textId="77777777" w:rsidR="004B33DB" w:rsidRPr="002C1A88" w:rsidRDefault="004B33DB" w:rsidP="004B33DB">
      <w:pPr>
        <w:pStyle w:val="ListBulletCompact"/>
        <w:rPr>
          <w:lang w:val="es-ES"/>
        </w:rPr>
      </w:pPr>
      <w:r>
        <w:rPr>
          <w:lang w:val="es-ES"/>
        </w:rPr>
        <w:t>permite una definición más objetiva de un operador eficiente, ya que la utilización de parámetros específicos por operador llevaría a contabilizar las posibles ineficiencias de los operadores</w:t>
      </w:r>
    </w:p>
    <w:p w14:paraId="22308C1D" w14:textId="77777777" w:rsidR="004B33DB" w:rsidRPr="002C1A88" w:rsidRDefault="004B33DB" w:rsidP="004B33DB">
      <w:pPr>
        <w:pStyle w:val="ListBulletCompact"/>
        <w:rPr>
          <w:lang w:val="es-ES"/>
        </w:rPr>
      </w:pPr>
      <w:r>
        <w:rPr>
          <w:lang w:val="es-ES"/>
        </w:rPr>
        <w:lastRenderedPageBreak/>
        <w:t>desde un punto de vista estadístico, los valores de un parámetro de un único operador tendrán un mayor error estadístico que aquellos sobre una muestra de empresas.</w:t>
      </w:r>
    </w:p>
    <w:p w14:paraId="3B7BFCB1" w14:textId="77777777" w:rsidR="004B33DB" w:rsidRPr="00BC52BF" w:rsidRDefault="004B33DB" w:rsidP="004B33DB">
      <w:pPr>
        <w:rPr>
          <w:lang w:val="es-ES"/>
        </w:rPr>
      </w:pPr>
      <w:r>
        <w:rPr>
          <w:lang w:val="es-ES"/>
        </w:rPr>
        <w:t xml:space="preserve">Cabe destacar que los modelos de costos no representan, directamente, a ningún operador real del mercado. Los modelos desarrollan las hipótesis necesarias para modelar operadores eficientes con una escala determinada. Por este motivo, la utilización de un CCPP específico de un operador concreto no sería apropiado en el contexto de la definición de los operadores modelados. En esta misma línea, no se considera apropiado establecer un cálculo diferenciado para las distintas divisiones del AEP de telecomunicaciones de redes fijas, y se considera que el CCPP estimado para redes fijas será aplicable para las distintas divisiones del AEP. </w:t>
      </w:r>
    </w:p>
    <w:tbl>
      <w:tblPr>
        <w:tblStyle w:val="Tablaconcuadrcula"/>
        <w:tblW w:w="0" w:type="auto"/>
        <w:tblLook w:val="04A0" w:firstRow="1" w:lastRow="0" w:firstColumn="1" w:lastColumn="0" w:noHBand="0" w:noVBand="1"/>
      </w:tblPr>
      <w:tblGrid>
        <w:gridCol w:w="8721"/>
      </w:tblGrid>
      <w:tr w:rsidR="004B33DB" w:rsidRPr="001F1D48" w14:paraId="118F180E" w14:textId="77777777" w:rsidTr="00A114DA">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99E912" w14:textId="2867C302" w:rsidR="004B33DB" w:rsidRPr="00BC52BF" w:rsidRDefault="004B33DB" w:rsidP="00A114DA">
            <w:pPr>
              <w:spacing w:after="120"/>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1</w:t>
            </w:r>
            <w:r w:rsidRPr="00BC52BF">
              <w:rPr>
                <w:b/>
                <w:lang w:val="es-ES"/>
              </w:rPr>
              <w:fldChar w:fldCharType="end"/>
            </w:r>
            <w:r w:rsidRPr="00BC52BF">
              <w:rPr>
                <w:b/>
                <w:bCs/>
                <w:lang w:val="es-ES"/>
              </w:rPr>
              <w:t xml:space="preserve">: </w:t>
            </w:r>
            <w:r w:rsidRPr="00BC52BF">
              <w:rPr>
                <w:lang w:val="es-ES"/>
              </w:rPr>
              <w:t xml:space="preserve">Se </w:t>
            </w:r>
            <w:r>
              <w:rPr>
                <w:lang w:val="es-ES"/>
              </w:rPr>
              <w:t>definirá un CCPP para redes móviles, y un CCPP para redes fijas. Los CCPP serán representativos del promedio industrial y no de ningún operador concreto en el mercado</w:t>
            </w:r>
            <w:r w:rsidRPr="00BC52BF">
              <w:rPr>
                <w:lang w:val="es-ES"/>
              </w:rPr>
              <w:t>.</w:t>
            </w:r>
          </w:p>
        </w:tc>
      </w:tr>
    </w:tbl>
    <w:p w14:paraId="62821F34" w14:textId="77777777" w:rsidR="002C1A88" w:rsidRPr="002C1A88" w:rsidRDefault="007060D0" w:rsidP="00BD39A2">
      <w:pPr>
        <w:pStyle w:val="Ttulo2"/>
        <w:rPr>
          <w:lang w:val="es-ES"/>
        </w:rPr>
      </w:pPr>
      <w:bookmarkStart w:id="15" w:name="_Ref134203068"/>
      <w:bookmarkStart w:id="16" w:name="_Toc135788683"/>
      <w:r>
        <w:rPr>
          <w:lang w:val="es-ES"/>
        </w:rPr>
        <w:t>For</w:t>
      </w:r>
      <w:r w:rsidR="000B1502">
        <w:rPr>
          <w:lang w:val="es-ES"/>
        </w:rPr>
        <w:t xml:space="preserve">mulación </w:t>
      </w:r>
      <w:r w:rsidR="005D490D">
        <w:rPr>
          <w:lang w:val="es-ES"/>
        </w:rPr>
        <w:t xml:space="preserve">general </w:t>
      </w:r>
      <w:r w:rsidR="000B1502">
        <w:rPr>
          <w:lang w:val="es-ES"/>
        </w:rPr>
        <w:t>del CCPP</w:t>
      </w:r>
      <w:bookmarkEnd w:id="14"/>
      <w:bookmarkEnd w:id="15"/>
      <w:bookmarkEnd w:id="16"/>
    </w:p>
    <w:p w14:paraId="64811567" w14:textId="1D444D9C" w:rsidR="002C1A88" w:rsidRPr="002C1A88" w:rsidRDefault="00905C57" w:rsidP="00982643">
      <w:pPr>
        <w:rPr>
          <w:lang w:val="es-ES"/>
        </w:rPr>
      </w:pPr>
      <w:r>
        <w:rPr>
          <w:lang w:val="es-ES"/>
        </w:rPr>
        <w:t>Los modelos de costos</w:t>
      </w:r>
      <w:r w:rsidR="00044909" w:rsidRPr="00BC52BF">
        <w:rPr>
          <w:lang w:val="es-ES"/>
        </w:rPr>
        <w:t xml:space="preserve"> debe</w:t>
      </w:r>
      <w:r>
        <w:rPr>
          <w:lang w:val="es-ES"/>
        </w:rPr>
        <w:t>n</w:t>
      </w:r>
      <w:r w:rsidR="00044909" w:rsidRPr="00BC52BF">
        <w:rPr>
          <w:lang w:val="es-ES"/>
        </w:rPr>
        <w:t xml:space="preserve"> incluir un retorno razonable sobre los activos, determinado a través del </w:t>
      </w:r>
      <w:r w:rsidR="000D1C97">
        <w:rPr>
          <w:lang w:val="es-ES"/>
        </w:rPr>
        <w:t>CCPP</w:t>
      </w:r>
      <w:r w:rsidR="00044909" w:rsidRPr="00BC52BF">
        <w:rPr>
          <w:lang w:val="es-ES"/>
        </w:rPr>
        <w:t>.</w:t>
      </w:r>
      <w:r w:rsidR="00044909">
        <w:rPr>
          <w:lang w:val="es-ES"/>
        </w:rPr>
        <w:t xml:space="preserve"> </w:t>
      </w:r>
      <w:r w:rsidR="00044909" w:rsidRPr="00461531">
        <w:rPr>
          <w:lang w:val="es-ES"/>
        </w:rPr>
        <w:t xml:space="preserve">El </w:t>
      </w:r>
      <w:r w:rsidR="00044909">
        <w:rPr>
          <w:lang w:val="es-ES"/>
        </w:rPr>
        <w:t>CCPP</w:t>
      </w:r>
      <w:r w:rsidR="00044909" w:rsidRPr="00461531">
        <w:rPr>
          <w:lang w:val="es-ES"/>
        </w:rPr>
        <w:t xml:space="preserve"> se refiere a la tasa de rendimiento </w:t>
      </w:r>
      <w:r w:rsidR="00044909">
        <w:rPr>
          <w:lang w:val="es-ES"/>
        </w:rPr>
        <w:t xml:space="preserve">con la que una empresa </w:t>
      </w:r>
      <w:r w:rsidR="00044909" w:rsidRPr="00461531">
        <w:rPr>
          <w:lang w:val="es-ES"/>
        </w:rPr>
        <w:t>espera</w:t>
      </w:r>
      <w:r w:rsidR="00044909">
        <w:rPr>
          <w:lang w:val="es-ES"/>
        </w:rPr>
        <w:t xml:space="preserve"> </w:t>
      </w:r>
      <w:r w:rsidR="00044909" w:rsidRPr="00461531">
        <w:rPr>
          <w:lang w:val="es-ES"/>
        </w:rPr>
        <w:t>compensar a sus diferentes inversores</w:t>
      </w:r>
      <w:r w:rsidR="00044909">
        <w:rPr>
          <w:lang w:val="es-ES"/>
        </w:rPr>
        <w:t xml:space="preserve"> y acreedores</w:t>
      </w:r>
      <w:r w:rsidR="00044909" w:rsidRPr="00461531">
        <w:rPr>
          <w:lang w:val="es-ES"/>
        </w:rPr>
        <w:t>, ponderando cada fuente de financiació</w:t>
      </w:r>
      <w:r w:rsidR="00044909">
        <w:rPr>
          <w:lang w:val="es-ES"/>
        </w:rPr>
        <w:t>n con base a sus respectivas participaciones. De esta manera, la tasa del</w:t>
      </w:r>
      <w:r w:rsidR="00044909" w:rsidRPr="00BC52BF">
        <w:rPr>
          <w:lang w:val="es-ES"/>
        </w:rPr>
        <w:t xml:space="preserve"> CCPP se calcula de la siguiente </w:t>
      </w:r>
      <w:r w:rsidR="00044909">
        <w:rPr>
          <w:lang w:val="es-ES"/>
        </w:rPr>
        <w:t>manera</w:t>
      </w:r>
      <w:r w:rsidR="00044909" w:rsidRPr="00BC52BF">
        <w:rPr>
          <w:lang w:val="es-ES"/>
        </w:rPr>
        <w:t>:</w:t>
      </w:r>
    </w:p>
    <w:p w14:paraId="67530B84" w14:textId="45843711" w:rsidR="002C1A88" w:rsidRPr="002C1A88" w:rsidRDefault="00044909" w:rsidP="00982643">
      <w:pPr>
        <w:jc w:val="center"/>
        <w:rPr>
          <w:sz w:val="24"/>
          <w:szCs w:val="24"/>
          <w:lang w:val="es-ES"/>
        </w:rPr>
      </w:pPr>
      <m:oMathPara>
        <m:oMath>
          <m:r>
            <w:rPr>
              <w:rFonts w:ascii="Cambria Math"/>
              <w:sz w:val="24"/>
              <w:szCs w:val="24"/>
              <w:lang w:val="es-ES"/>
            </w:rPr>
            <m:t>CCPP=</m:t>
          </m:r>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e</m:t>
              </m:r>
            </m:sub>
          </m:sSub>
          <m:r>
            <w:rPr>
              <w:rFonts w:ascii="Cambria Math"/>
              <w:sz w:val="24"/>
              <w:szCs w:val="24"/>
              <w:lang w:val="es-ES"/>
            </w:rPr>
            <m:t>×</m:t>
          </m:r>
          <m:f>
            <m:fPr>
              <m:ctrlPr>
                <w:rPr>
                  <w:rFonts w:ascii="Cambria Math" w:hAnsi="Cambria Math"/>
                  <w:i/>
                  <w:sz w:val="24"/>
                  <w:szCs w:val="24"/>
                  <w:lang w:val="es-ES"/>
                </w:rPr>
              </m:ctrlPr>
            </m:fPr>
            <m:num>
              <m:r>
                <w:rPr>
                  <w:rFonts w:ascii="Cambria Math"/>
                  <w:sz w:val="24"/>
                  <w:szCs w:val="24"/>
                  <w:lang w:val="es-ES"/>
                </w:rPr>
                <m:t>E</m:t>
              </m:r>
            </m:num>
            <m:den>
              <m:r>
                <w:rPr>
                  <w:rFonts w:ascii="Cambria Math"/>
                  <w:sz w:val="24"/>
                  <w:szCs w:val="24"/>
                  <w:lang w:val="es-ES"/>
                </w:rPr>
                <m:t>D+E</m:t>
              </m:r>
            </m:den>
          </m:f>
          <m:r>
            <w:rPr>
              <w:rFonts w:ascii="Cambria Math" w:eastAsiaTheme="minorEastAsia" w:hAnsi="Cambria Math"/>
              <w:sz w:val="24"/>
              <w:szCs w:val="24"/>
              <w:lang w:val="es-ES"/>
            </w:rPr>
            <m:t>+</m:t>
          </m:r>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d</m:t>
              </m:r>
            </m:sub>
          </m:sSub>
          <m:r>
            <w:rPr>
              <w:rFonts w:ascii="Cambria Math"/>
              <w:sz w:val="24"/>
              <w:szCs w:val="24"/>
              <w:lang w:val="es-ES"/>
            </w:rPr>
            <m:t>×</m:t>
          </m:r>
          <m:f>
            <m:fPr>
              <m:ctrlPr>
                <w:rPr>
                  <w:rFonts w:ascii="Cambria Math" w:hAnsi="Cambria Math"/>
                  <w:i/>
                  <w:sz w:val="24"/>
                  <w:szCs w:val="24"/>
                  <w:lang w:val="es-ES"/>
                </w:rPr>
              </m:ctrlPr>
            </m:fPr>
            <m:num>
              <m:r>
                <w:rPr>
                  <w:rFonts w:ascii="Cambria Math"/>
                  <w:sz w:val="24"/>
                  <w:szCs w:val="24"/>
                  <w:lang w:val="es-ES"/>
                </w:rPr>
                <m:t>D</m:t>
              </m:r>
            </m:num>
            <m:den>
              <m:r>
                <w:rPr>
                  <w:rFonts w:ascii="Cambria Math"/>
                  <w:sz w:val="24"/>
                  <w:szCs w:val="24"/>
                  <w:lang w:val="es-ES"/>
                </w:rPr>
                <m:t>D+E</m:t>
              </m:r>
            </m:den>
          </m:f>
          <m:r>
            <w:rPr>
              <w:rFonts w:ascii="Cambria Math"/>
              <w:sz w:val="24"/>
              <w:szCs w:val="24"/>
              <w:lang w:val="es-ES"/>
            </w:rPr>
            <m:t>×</m:t>
          </m:r>
          <m:r>
            <w:rPr>
              <w:rFonts w:ascii="Cambria Math"/>
              <w:sz w:val="24"/>
              <w:szCs w:val="24"/>
              <w:lang w:val="es-ES"/>
            </w:rPr>
            <m:t>(1</m:t>
          </m:r>
          <m:r>
            <w:rPr>
              <w:rFonts w:ascii="Cambria Math"/>
              <w:sz w:val="24"/>
              <w:szCs w:val="24"/>
              <w:lang w:val="es-ES"/>
            </w:rPr>
            <m:t>-</m:t>
          </m:r>
          <m:r>
            <w:rPr>
              <w:rFonts w:ascii="Cambria Math"/>
              <w:sz w:val="24"/>
              <w:szCs w:val="24"/>
              <w:lang w:val="es-ES"/>
            </w:rPr>
            <m:t>T)</m:t>
          </m:r>
        </m:oMath>
      </m:oMathPara>
    </w:p>
    <w:p w14:paraId="18159AC7" w14:textId="77777777" w:rsidR="002C1A88" w:rsidRPr="002C1A88" w:rsidRDefault="00044909" w:rsidP="00982643">
      <w:pPr>
        <w:rPr>
          <w:lang w:val="es-ES"/>
        </w:rPr>
      </w:pPr>
      <w:r w:rsidRPr="00BC52BF">
        <w:rPr>
          <w:lang w:val="es-ES"/>
        </w:rPr>
        <w:t>D</w:t>
      </w:r>
      <w:r>
        <w:rPr>
          <w:lang w:val="es-ES"/>
        </w:rPr>
        <w:t>o</w:t>
      </w:r>
      <w:r w:rsidRPr="00BC52BF">
        <w:rPr>
          <w:lang w:val="es-ES"/>
        </w:rPr>
        <w:t>nde:</w:t>
      </w:r>
    </w:p>
    <w:p w14:paraId="17654908" w14:textId="77777777" w:rsidR="002C1A88" w:rsidRPr="002C1A88" w:rsidRDefault="00927F08" w:rsidP="00982643">
      <w:pPr>
        <w:pStyle w:val="ListBulletCompact"/>
        <w:rPr>
          <w:lang w:val="es-ES"/>
        </w:rPr>
      </w:pPr>
      <m:oMath>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e</m:t>
            </m:r>
          </m:sub>
        </m:sSub>
      </m:oMath>
      <w:r w:rsidR="00044909" w:rsidRPr="00BC52BF">
        <w:rPr>
          <w:lang w:val="es-ES"/>
        </w:rPr>
        <w:t xml:space="preserve"> es el costo de</w:t>
      </w:r>
      <w:r w:rsidR="002C5CDF">
        <w:rPr>
          <w:lang w:val="es-ES"/>
        </w:rPr>
        <w:t xml:space="preserve">l capital </w:t>
      </w:r>
      <w:r w:rsidR="00577DD3">
        <w:rPr>
          <w:lang w:val="es-ES"/>
        </w:rPr>
        <w:t>(</w:t>
      </w:r>
      <w:r w:rsidR="00577DD3" w:rsidRPr="00577DD3">
        <w:rPr>
          <w:i/>
          <w:iCs/>
          <w:lang w:val="es-ES"/>
        </w:rPr>
        <w:t>equity</w:t>
      </w:r>
      <w:r w:rsidR="00577DD3">
        <w:rPr>
          <w:lang w:val="es-ES"/>
        </w:rPr>
        <w:t>)</w:t>
      </w:r>
    </w:p>
    <w:p w14:paraId="02996150" w14:textId="77777777" w:rsidR="002C1A88" w:rsidRPr="002C1A88" w:rsidRDefault="00044909" w:rsidP="00982643">
      <w:pPr>
        <w:pStyle w:val="ListBulletCompact"/>
        <w:rPr>
          <w:lang w:val="es-ES"/>
        </w:rPr>
      </w:pPr>
      <m:oMath>
        <m:r>
          <w:rPr>
            <w:rFonts w:ascii="Cambria Math"/>
            <w:sz w:val="24"/>
            <w:szCs w:val="24"/>
            <w:lang w:val="es-ES"/>
          </w:rPr>
          <m:t>E</m:t>
        </m:r>
      </m:oMath>
      <w:r w:rsidRPr="004520FE">
        <w:rPr>
          <w:sz w:val="24"/>
          <w:szCs w:val="24"/>
          <w:lang w:val="es-ES"/>
        </w:rPr>
        <w:t xml:space="preserve"> </w:t>
      </w:r>
      <w:r w:rsidRPr="00BC52BF">
        <w:rPr>
          <w:lang w:val="es-ES"/>
        </w:rPr>
        <w:t xml:space="preserve">es </w:t>
      </w:r>
      <w:r w:rsidR="009671CC">
        <w:rPr>
          <w:lang w:val="es-ES"/>
        </w:rPr>
        <w:t xml:space="preserve">el valor de los recursos propios del operador (o </w:t>
      </w:r>
      <w:r w:rsidR="009671CC" w:rsidRPr="00A26498">
        <w:rPr>
          <w:i/>
          <w:iCs/>
          <w:lang w:val="es-ES"/>
        </w:rPr>
        <w:t>equity</w:t>
      </w:r>
      <w:r w:rsidR="009671CC">
        <w:rPr>
          <w:lang w:val="es-ES"/>
        </w:rPr>
        <w:t>)</w:t>
      </w:r>
    </w:p>
    <w:p w14:paraId="729B9DD2" w14:textId="77777777" w:rsidR="002C1A88" w:rsidRPr="002C1A88" w:rsidRDefault="009671CC" w:rsidP="00982643">
      <w:pPr>
        <w:pStyle w:val="ListBulletCompact"/>
        <w:rPr>
          <w:lang w:val="es-ES"/>
        </w:rPr>
      </w:pPr>
      <m:oMath>
        <m:r>
          <w:rPr>
            <w:rFonts w:ascii="Cambria Math" w:hAnsi="Cambria Math"/>
            <w:lang w:val="es-ES"/>
          </w:rPr>
          <m:t>D</m:t>
        </m:r>
      </m:oMath>
      <w:r>
        <w:rPr>
          <w:rFonts w:eastAsiaTheme="minorEastAsia"/>
          <w:lang w:val="es-ES"/>
        </w:rPr>
        <w:t xml:space="preserve"> es el valor de la deduda del operador</w:t>
      </w:r>
    </w:p>
    <w:p w14:paraId="41C455D8" w14:textId="77777777" w:rsidR="002C1A88" w:rsidRPr="002C1A88" w:rsidRDefault="00927F08" w:rsidP="004520FE">
      <w:pPr>
        <w:pStyle w:val="ListBulletCompact"/>
        <w:rPr>
          <w:lang w:val="es-ES"/>
        </w:rPr>
      </w:pPr>
      <m:oMath>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d</m:t>
            </m:r>
          </m:sub>
        </m:sSub>
      </m:oMath>
      <w:r w:rsidR="00044909" w:rsidRPr="00BC52BF">
        <w:rPr>
          <w:lang w:val="es-ES"/>
        </w:rPr>
        <w:t xml:space="preserve"> es el costo de la deuda</w:t>
      </w:r>
    </w:p>
    <w:p w14:paraId="4D730CE4" w14:textId="69C48E0C" w:rsidR="002C1A88" w:rsidRPr="002C1A88" w:rsidRDefault="009751DD" w:rsidP="004520FE">
      <w:pPr>
        <w:pStyle w:val="ListBulletCompact"/>
        <w:rPr>
          <w:lang w:val="es-ES"/>
        </w:rPr>
      </w:pPr>
      <m:oMath>
        <m:r>
          <w:rPr>
            <w:rFonts w:ascii="Cambria Math" w:hAnsi="Cambria Math"/>
            <w:sz w:val="24"/>
            <w:szCs w:val="24"/>
            <w:lang w:val="es-ES"/>
          </w:rPr>
          <m:t>T</m:t>
        </m:r>
      </m:oMath>
      <w:r>
        <w:rPr>
          <w:rFonts w:eastAsiaTheme="minorEastAsia"/>
          <w:sz w:val="24"/>
          <w:szCs w:val="24"/>
          <w:lang w:val="es-ES"/>
        </w:rPr>
        <w:t xml:space="preserve"> </w:t>
      </w:r>
      <w:r w:rsidRPr="00A26498">
        <w:rPr>
          <w:rFonts w:eastAsiaTheme="minorEastAsia"/>
          <w:lang w:val="es-ES"/>
        </w:rPr>
        <w:t>es el impuesto de sociedades</w:t>
      </w:r>
      <w:r w:rsidR="00B03AEA">
        <w:rPr>
          <w:rFonts w:eastAsiaTheme="minorEastAsia"/>
          <w:lang w:val="es-ES"/>
        </w:rPr>
        <w:t>.</w:t>
      </w:r>
    </w:p>
    <w:p w14:paraId="72F66ECF" w14:textId="1F95EED7" w:rsidR="002C1A88" w:rsidRPr="002C1A88" w:rsidRDefault="00E57ECF" w:rsidP="00E57ECF">
      <w:pPr>
        <w:rPr>
          <w:lang w:val="es-ES"/>
        </w:rPr>
      </w:pPr>
      <w:r>
        <w:rPr>
          <w:lang w:val="es-ES"/>
        </w:rPr>
        <w:t xml:space="preserve">Con respecto a estos parámetros, un aspecto a clarificar </w:t>
      </w:r>
      <w:r w:rsidR="00CB7E94">
        <w:rPr>
          <w:lang w:val="es-ES"/>
        </w:rPr>
        <w:t xml:space="preserve">para </w:t>
      </w:r>
      <w:r w:rsidR="0073137C">
        <w:rPr>
          <w:lang w:val="es-ES"/>
        </w:rPr>
        <w:t>el cálculo d</w:t>
      </w:r>
      <w:r w:rsidR="00164496">
        <w:rPr>
          <w:lang w:val="es-ES"/>
        </w:rPr>
        <w:t xml:space="preserve">el CCPP </w:t>
      </w:r>
      <w:r w:rsidR="0067253A">
        <w:rPr>
          <w:lang w:val="es-ES"/>
        </w:rPr>
        <w:t xml:space="preserve">es </w:t>
      </w:r>
      <w:r w:rsidR="00F86253">
        <w:rPr>
          <w:lang w:val="es-ES"/>
        </w:rPr>
        <w:t xml:space="preserve">el tratamiento </w:t>
      </w:r>
      <w:r w:rsidR="0073137C">
        <w:rPr>
          <w:lang w:val="es-ES"/>
        </w:rPr>
        <w:t xml:space="preserve">que se ha de dar al </w:t>
      </w:r>
      <w:r w:rsidR="00F86253">
        <w:rPr>
          <w:lang w:val="es-ES"/>
        </w:rPr>
        <w:t>impuesto de sociedades</w:t>
      </w:r>
      <w:r w:rsidR="00A9693F">
        <w:rPr>
          <w:lang w:val="es-ES"/>
        </w:rPr>
        <w:t>,</w:t>
      </w:r>
      <w:r w:rsidR="009751DD">
        <w:rPr>
          <w:lang w:val="es-ES"/>
        </w:rPr>
        <w:t xml:space="preserve"> ya que </w:t>
      </w:r>
      <w:r w:rsidR="00F86253">
        <w:rPr>
          <w:lang w:val="es-ES"/>
        </w:rPr>
        <w:t xml:space="preserve">el CCPP puede medirse </w:t>
      </w:r>
      <w:r w:rsidR="00F86253" w:rsidRPr="00B31B60">
        <w:rPr>
          <w:i/>
          <w:iCs/>
          <w:lang w:val="es-ES"/>
        </w:rPr>
        <w:t>antes</w:t>
      </w:r>
      <w:r w:rsidR="00F86253">
        <w:rPr>
          <w:lang w:val="es-ES"/>
        </w:rPr>
        <w:t xml:space="preserve"> o </w:t>
      </w:r>
      <w:r w:rsidR="00F86253" w:rsidRPr="00B31B60">
        <w:rPr>
          <w:i/>
          <w:iCs/>
          <w:lang w:val="es-ES"/>
        </w:rPr>
        <w:t>después</w:t>
      </w:r>
      <w:r w:rsidR="00F86253">
        <w:rPr>
          <w:lang w:val="es-ES"/>
        </w:rPr>
        <w:t xml:space="preserve"> de impuestos.</w:t>
      </w:r>
      <w:r w:rsidR="00CF6D8B">
        <w:rPr>
          <w:lang w:val="es-ES"/>
        </w:rPr>
        <w:t xml:space="preserve"> El objetivo de medir el CCPP después de impuesto</w:t>
      </w:r>
      <w:r w:rsidR="00323DD2">
        <w:rPr>
          <w:lang w:val="es-ES"/>
        </w:rPr>
        <w:t>s</w:t>
      </w:r>
      <w:r w:rsidR="00CF6D8B">
        <w:rPr>
          <w:lang w:val="es-ES"/>
        </w:rPr>
        <w:t xml:space="preserve"> es reconocer que los intereses pagados a los acreedores son deducibles de </w:t>
      </w:r>
      <w:r w:rsidR="0051002F">
        <w:rPr>
          <w:lang w:val="es-ES"/>
        </w:rPr>
        <w:t>la base imponible (esto es, los impuestos se aplican</w:t>
      </w:r>
      <w:r w:rsidR="00C83566">
        <w:rPr>
          <w:lang w:val="es-ES"/>
        </w:rPr>
        <w:t xml:space="preserve"> después de deducir los intereses)</w:t>
      </w:r>
      <w:r w:rsidR="00196695">
        <w:rPr>
          <w:lang w:val="es-ES"/>
        </w:rPr>
        <w:t>. En el caso de los modelos de costos, ya que las estimaciones que se realizan son antes de impuestos, es importante</w:t>
      </w:r>
      <w:r w:rsidR="00B44239">
        <w:rPr>
          <w:lang w:val="es-ES"/>
        </w:rPr>
        <w:t xml:space="preserve"> aplicar un costo de capital antes de impuestos. Para estimar el CCPP antes de impuestos, es necesario </w:t>
      </w:r>
      <w:r w:rsidR="00AF0774">
        <w:rPr>
          <w:lang w:val="es-ES"/>
        </w:rPr>
        <w:t>aplicar la siguiente fórmula:</w:t>
      </w:r>
    </w:p>
    <w:p w14:paraId="5EF05E74" w14:textId="77777777" w:rsidR="002C1A88" w:rsidRPr="002C1A88" w:rsidRDefault="00AF0774">
      <w:pPr>
        <w:rPr>
          <w:rFonts w:eastAsiaTheme="minorEastAsia"/>
          <w:sz w:val="24"/>
          <w:szCs w:val="24"/>
          <w:lang w:val="es-ES"/>
        </w:rPr>
      </w:pPr>
      <m:oMathPara>
        <m:oMath>
          <m:r>
            <w:rPr>
              <w:rFonts w:ascii="Cambria Math"/>
              <w:sz w:val="24"/>
              <w:szCs w:val="24"/>
              <w:lang w:val="es-ES"/>
            </w:rPr>
            <m:t>CCP</m:t>
          </m:r>
          <m:sSub>
            <m:sSubPr>
              <m:ctrlPr>
                <w:rPr>
                  <w:rFonts w:ascii="Cambria Math" w:hAnsi="Cambria Math"/>
                  <w:i/>
                  <w:sz w:val="24"/>
                  <w:szCs w:val="24"/>
                  <w:lang w:val="es-ES"/>
                </w:rPr>
              </m:ctrlPr>
            </m:sSubPr>
            <m:e>
              <m:r>
                <w:rPr>
                  <w:rFonts w:ascii="Cambria Math"/>
                  <w:sz w:val="24"/>
                  <w:szCs w:val="24"/>
                  <w:lang w:val="es-ES"/>
                </w:rPr>
                <m:t>P</m:t>
              </m:r>
            </m:e>
            <m:sub>
              <m:r>
                <w:rPr>
                  <w:rFonts w:ascii="Cambria Math"/>
                  <w:sz w:val="24"/>
                  <w:szCs w:val="24"/>
                  <w:lang w:val="es-ES"/>
                </w:rPr>
                <m:t>AI</m:t>
              </m:r>
            </m:sub>
          </m:sSub>
          <m:r>
            <w:rPr>
              <w:rFonts w:asci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CCPP</m:t>
              </m:r>
            </m:num>
            <m:den>
              <m:d>
                <m:dPr>
                  <m:ctrlPr>
                    <w:rPr>
                      <w:rFonts w:ascii="Cambria Math" w:hAnsi="Cambria Math"/>
                      <w:i/>
                      <w:sz w:val="24"/>
                      <w:szCs w:val="24"/>
                      <w:lang w:val="es-ES"/>
                    </w:rPr>
                  </m:ctrlPr>
                </m:dPr>
                <m:e>
                  <m:r>
                    <w:rPr>
                      <w:rFonts w:ascii="Cambria Math"/>
                      <w:sz w:val="24"/>
                      <w:szCs w:val="24"/>
                      <w:lang w:val="es-ES"/>
                    </w:rPr>
                    <m:t>1</m:t>
                  </m:r>
                  <m:r>
                    <w:rPr>
                      <w:rFonts w:ascii="Cambria Math"/>
                      <w:sz w:val="24"/>
                      <w:szCs w:val="24"/>
                      <w:lang w:val="es-ES"/>
                    </w:rPr>
                    <m:t>-</m:t>
                  </m:r>
                  <m:r>
                    <w:rPr>
                      <w:rFonts w:ascii="Cambria Math"/>
                      <w:sz w:val="24"/>
                      <w:szCs w:val="24"/>
                      <w:lang w:val="es-ES"/>
                    </w:rPr>
                    <m:t>T</m:t>
                  </m:r>
                </m:e>
              </m:d>
            </m:den>
          </m:f>
        </m:oMath>
      </m:oMathPara>
    </w:p>
    <w:p w14:paraId="0E028338" w14:textId="38F49290" w:rsidR="002C1A88" w:rsidRPr="002C1A88" w:rsidRDefault="00696B9E">
      <w:pPr>
        <w:rPr>
          <w:rFonts w:eastAsiaTheme="minorEastAsia"/>
          <w:lang w:val="es-ES"/>
        </w:rPr>
      </w:pPr>
      <w:r>
        <w:rPr>
          <w:rFonts w:eastAsiaTheme="minorEastAsia"/>
          <w:lang w:val="es-ES"/>
        </w:rPr>
        <w:t>Integrando esta fórmula sobre la formulación del CCPP después de impuestos</w:t>
      </w:r>
      <w:r w:rsidR="000D6D70">
        <w:rPr>
          <w:rFonts w:eastAsiaTheme="minorEastAsia"/>
          <w:lang w:val="es-ES"/>
        </w:rPr>
        <w:t xml:space="preserve"> se obtiene</w:t>
      </w:r>
      <w:r>
        <w:rPr>
          <w:rFonts w:eastAsiaTheme="minorEastAsia"/>
          <w:lang w:val="es-ES"/>
        </w:rPr>
        <w:t xml:space="preserve"> la siguiente formulación integral para el CCPP antes de impuestos:</w:t>
      </w:r>
    </w:p>
    <w:p w14:paraId="52663456" w14:textId="5769B99C" w:rsidR="00696B9E" w:rsidRPr="00183A36" w:rsidRDefault="00696B9E" w:rsidP="00183A36">
      <w:pPr>
        <w:rPr>
          <w:rFonts w:eastAsiaTheme="minorEastAsia"/>
          <w:lang w:val="es-ES"/>
        </w:rPr>
      </w:pPr>
      <m:oMathPara>
        <m:oMath>
          <m:r>
            <w:rPr>
              <w:rFonts w:ascii="Cambria Math"/>
              <w:sz w:val="24"/>
              <w:szCs w:val="24"/>
              <w:lang w:val="es-ES"/>
            </w:rPr>
            <w:lastRenderedPageBreak/>
            <m:t>CCP</m:t>
          </m:r>
          <m:sSub>
            <m:sSubPr>
              <m:ctrlPr>
                <w:rPr>
                  <w:rFonts w:ascii="Cambria Math" w:hAnsi="Cambria Math"/>
                  <w:i/>
                  <w:sz w:val="24"/>
                  <w:szCs w:val="24"/>
                  <w:lang w:val="es-ES"/>
                </w:rPr>
              </m:ctrlPr>
            </m:sSubPr>
            <m:e>
              <m:r>
                <w:rPr>
                  <w:rFonts w:ascii="Cambria Math"/>
                  <w:sz w:val="24"/>
                  <w:szCs w:val="24"/>
                  <w:lang w:val="es-ES"/>
                </w:rPr>
                <m:t>P</m:t>
              </m:r>
            </m:e>
            <m:sub>
              <m:r>
                <w:rPr>
                  <w:rFonts w:ascii="Cambria Math"/>
                  <w:sz w:val="24"/>
                  <w:szCs w:val="24"/>
                  <w:lang w:val="es-ES"/>
                </w:rPr>
                <m:t>AI</m:t>
              </m:r>
            </m:sub>
          </m:sSub>
          <m:r>
            <w:rPr>
              <w:rFonts w:ascii="Cambria Math"/>
              <w:sz w:val="24"/>
              <w:szCs w:val="24"/>
              <w:lang w:val="es-ES"/>
            </w:rPr>
            <m:t>=</m:t>
          </m:r>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e</m:t>
              </m:r>
            </m:sub>
          </m:sSub>
          <m:r>
            <w:rPr>
              <w:rFonts w:ascii="Cambria Math"/>
              <w:sz w:val="24"/>
              <w:szCs w:val="24"/>
              <w:lang w:val="es-ES"/>
            </w:rPr>
            <m:t>×</m:t>
          </m:r>
          <m:f>
            <m:fPr>
              <m:ctrlPr>
                <w:rPr>
                  <w:rFonts w:ascii="Cambria Math" w:hAnsi="Cambria Math"/>
                  <w:i/>
                  <w:sz w:val="24"/>
                  <w:szCs w:val="24"/>
                  <w:lang w:val="es-ES"/>
                </w:rPr>
              </m:ctrlPr>
            </m:fPr>
            <m:num>
              <m:r>
                <w:rPr>
                  <w:rFonts w:ascii="Cambria Math"/>
                  <w:sz w:val="24"/>
                  <w:szCs w:val="24"/>
                  <w:lang w:val="es-ES"/>
                </w:rPr>
                <m:t>E</m:t>
              </m:r>
            </m:num>
            <m:den>
              <m:r>
                <w:rPr>
                  <w:rFonts w:ascii="Cambria Math"/>
                  <w:sz w:val="24"/>
                  <w:szCs w:val="24"/>
                  <w:lang w:val="es-ES"/>
                </w:rPr>
                <m:t>D+E</m:t>
              </m:r>
            </m:den>
          </m:f>
          <m:r>
            <w:rPr>
              <w:rFonts w:ascii="Cambria Math"/>
              <w:sz w:val="24"/>
              <w:szCs w:val="24"/>
              <w:lang w:val="es-ES"/>
            </w:rPr>
            <m:t>×</m:t>
          </m:r>
          <m:f>
            <m:fPr>
              <m:ctrlPr>
                <w:rPr>
                  <w:rFonts w:ascii="Cambria Math" w:hAnsi="Cambria Math"/>
                  <w:i/>
                  <w:sz w:val="24"/>
                  <w:szCs w:val="24"/>
                  <w:lang w:val="es-ES"/>
                </w:rPr>
              </m:ctrlPr>
            </m:fPr>
            <m:num>
              <m:r>
                <w:rPr>
                  <w:rFonts w:ascii="Cambria Math"/>
                  <w:sz w:val="24"/>
                  <w:szCs w:val="24"/>
                  <w:lang w:val="es-ES"/>
                </w:rPr>
                <m:t>1</m:t>
              </m:r>
            </m:num>
            <m:den>
              <m:r>
                <w:rPr>
                  <w:rFonts w:ascii="Cambria Math"/>
                  <w:sz w:val="24"/>
                  <w:szCs w:val="24"/>
                  <w:lang w:val="es-ES"/>
                </w:rPr>
                <m:t>(1</m:t>
              </m:r>
              <m:r>
                <w:rPr>
                  <w:rFonts w:ascii="Cambria Math"/>
                  <w:sz w:val="24"/>
                  <w:szCs w:val="24"/>
                  <w:lang w:val="es-ES"/>
                </w:rPr>
                <m:t>-</m:t>
              </m:r>
              <m:r>
                <w:rPr>
                  <w:rFonts w:ascii="Cambria Math"/>
                  <w:sz w:val="24"/>
                  <w:szCs w:val="24"/>
                  <w:lang w:val="es-ES"/>
                </w:rPr>
                <m:t>T)</m:t>
              </m:r>
            </m:den>
          </m:f>
          <m:r>
            <w:rPr>
              <w:rFonts w:ascii="Cambria Math" w:eastAsiaTheme="minorEastAsia" w:hAnsi="Cambria Math"/>
              <w:sz w:val="24"/>
              <w:szCs w:val="24"/>
              <w:lang w:val="es-ES"/>
            </w:rPr>
            <m:t>+</m:t>
          </m:r>
          <m:sSub>
            <m:sSubPr>
              <m:ctrlPr>
                <w:rPr>
                  <w:rFonts w:ascii="Cambria Math" w:hAnsi="Cambria Math"/>
                  <w:i/>
                  <w:sz w:val="24"/>
                  <w:szCs w:val="24"/>
                  <w:lang w:val="es-ES"/>
                </w:rPr>
              </m:ctrlPr>
            </m:sSubPr>
            <m:e>
              <m:r>
                <w:rPr>
                  <w:rFonts w:ascii="Cambria Math"/>
                  <w:sz w:val="24"/>
                  <w:szCs w:val="24"/>
                  <w:lang w:val="es-ES"/>
                </w:rPr>
                <m:t>C</m:t>
              </m:r>
            </m:e>
            <m:sub>
              <m:r>
                <w:rPr>
                  <w:rFonts w:ascii="Cambria Math"/>
                  <w:sz w:val="24"/>
                  <w:szCs w:val="24"/>
                  <w:lang w:val="es-ES"/>
                </w:rPr>
                <m:t>d</m:t>
              </m:r>
            </m:sub>
          </m:sSub>
          <m:r>
            <w:rPr>
              <w:rFonts w:ascii="Cambria Math"/>
              <w:sz w:val="24"/>
              <w:szCs w:val="24"/>
              <w:lang w:val="es-ES"/>
            </w:rPr>
            <m:t>×</m:t>
          </m:r>
          <m:f>
            <m:fPr>
              <m:ctrlPr>
                <w:rPr>
                  <w:rFonts w:ascii="Cambria Math" w:hAnsi="Cambria Math"/>
                  <w:i/>
                  <w:sz w:val="24"/>
                  <w:szCs w:val="24"/>
                  <w:lang w:val="es-ES"/>
                </w:rPr>
              </m:ctrlPr>
            </m:fPr>
            <m:num>
              <m:r>
                <w:rPr>
                  <w:rFonts w:ascii="Cambria Math"/>
                  <w:sz w:val="24"/>
                  <w:szCs w:val="24"/>
                  <w:lang w:val="es-ES"/>
                </w:rPr>
                <m:t>D</m:t>
              </m:r>
            </m:num>
            <m:den>
              <m:r>
                <w:rPr>
                  <w:rFonts w:ascii="Cambria Math"/>
                  <w:sz w:val="24"/>
                  <w:szCs w:val="24"/>
                  <w:lang w:val="es-ES"/>
                </w:rPr>
                <m:t>D+E</m:t>
              </m:r>
            </m:den>
          </m:f>
        </m:oMath>
      </m:oMathPara>
    </w:p>
    <w:tbl>
      <w:tblPr>
        <w:tblStyle w:val="Tablaconcuadrcula"/>
        <w:tblW w:w="0" w:type="auto"/>
        <w:tblLook w:val="04A0" w:firstRow="1" w:lastRow="0" w:firstColumn="1" w:lastColumn="0" w:noHBand="0" w:noVBand="1"/>
      </w:tblPr>
      <w:tblGrid>
        <w:gridCol w:w="8721"/>
      </w:tblGrid>
      <w:tr w:rsidR="00E57ECF" w:rsidRPr="001F1D48" w14:paraId="53D96E1F" w14:textId="77777777" w:rsidTr="00A022D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AC2879D" w14:textId="05A96297" w:rsidR="00E57ECF" w:rsidRPr="00BC52BF" w:rsidRDefault="00E57ECF" w:rsidP="00A022D0">
            <w:pPr>
              <w:spacing w:after="120"/>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2</w:t>
            </w:r>
            <w:r w:rsidRPr="00BC52BF">
              <w:rPr>
                <w:b/>
                <w:lang w:val="es-ES"/>
              </w:rPr>
              <w:fldChar w:fldCharType="end"/>
            </w:r>
            <w:r w:rsidRPr="00BC52BF">
              <w:rPr>
                <w:b/>
                <w:bCs/>
                <w:lang w:val="es-ES"/>
              </w:rPr>
              <w:t xml:space="preserve">: </w:t>
            </w:r>
            <w:r w:rsidRPr="00BC52BF">
              <w:rPr>
                <w:lang w:val="es-ES"/>
              </w:rPr>
              <w:t xml:space="preserve">Se usará el </w:t>
            </w:r>
            <w:r>
              <w:rPr>
                <w:lang w:val="es-ES"/>
              </w:rPr>
              <w:t xml:space="preserve">CCPP </w:t>
            </w:r>
            <w:r w:rsidR="007D6DE5">
              <w:rPr>
                <w:lang w:val="es-ES"/>
              </w:rPr>
              <w:t>antes de impuestos</w:t>
            </w:r>
            <w:r w:rsidR="00A315A6">
              <w:rPr>
                <w:lang w:val="es-ES"/>
              </w:rPr>
              <w:t>.</w:t>
            </w:r>
          </w:p>
        </w:tc>
      </w:tr>
    </w:tbl>
    <w:p w14:paraId="2F3312E4" w14:textId="77777777" w:rsidR="002C1A88" w:rsidRPr="002C1A88" w:rsidRDefault="00364FD0" w:rsidP="00D36EE5">
      <w:pPr>
        <w:pStyle w:val="Ttulo2"/>
        <w:rPr>
          <w:lang w:val="es-ES"/>
        </w:rPr>
      </w:pPr>
      <w:bookmarkStart w:id="17" w:name="_Toc134031415"/>
      <w:bookmarkStart w:id="18" w:name="_Toc134031429"/>
      <w:bookmarkStart w:id="19" w:name="_Ref132972740"/>
      <w:bookmarkStart w:id="20" w:name="_Toc135788684"/>
      <w:bookmarkEnd w:id="17"/>
      <w:bookmarkEnd w:id="18"/>
      <w:r>
        <w:rPr>
          <w:lang w:val="es-ES"/>
        </w:rPr>
        <w:t>Periodo de referencia</w:t>
      </w:r>
      <w:bookmarkEnd w:id="19"/>
      <w:bookmarkEnd w:id="20"/>
    </w:p>
    <w:p w14:paraId="14F8F1FA" w14:textId="513B4F44" w:rsidR="002C1A88" w:rsidRPr="002C1A88" w:rsidRDefault="000673C7" w:rsidP="000673C7">
      <w:pPr>
        <w:rPr>
          <w:lang w:val="es-ES"/>
        </w:rPr>
      </w:pPr>
      <w:r>
        <w:rPr>
          <w:lang w:val="es-ES"/>
        </w:rPr>
        <w:t xml:space="preserve">Los modelos de costos a desarrollar en el contexto de este proyecto parten de una base de costos incrementales promedio a largo plazo. El concepto de largo plazo implica que los distintos parámetros </w:t>
      </w:r>
      <w:r w:rsidR="00585CA7">
        <w:rPr>
          <w:lang w:val="es-ES"/>
        </w:rPr>
        <w:t>incluidos para la estimación de costos deben tener una naturaleza fundamentalmente prospectiva, con el objetivo de que sean representativos, al menos para el próximo periodo regulatorio (2024</w:t>
      </w:r>
      <w:r w:rsidR="00E829F5">
        <w:rPr>
          <w:lang w:val="es-ES"/>
        </w:rPr>
        <w:t>–</w:t>
      </w:r>
      <w:r w:rsidR="00585CA7">
        <w:rPr>
          <w:lang w:val="es-ES"/>
        </w:rPr>
        <w:t>26).</w:t>
      </w:r>
      <w:r w:rsidR="008D7C92">
        <w:rPr>
          <w:lang w:val="es-ES"/>
        </w:rPr>
        <w:t xml:space="preserve"> De esta manera, los distintos parámetros que se incluyan en </w:t>
      </w:r>
      <w:r w:rsidR="00500E9B">
        <w:rPr>
          <w:lang w:val="es-ES"/>
        </w:rPr>
        <w:t>la estimación del CCPP deberán ser, en la medida de lo posible, determinados con esta visión prospectiva, considerando los últimos datos disponibles.</w:t>
      </w:r>
    </w:p>
    <w:p w14:paraId="58E5CFA9" w14:textId="5BD16EEE" w:rsidR="002C1A88" w:rsidRPr="002C1A88" w:rsidRDefault="009347E6" w:rsidP="000673C7">
      <w:pPr>
        <w:rPr>
          <w:lang w:val="es-ES"/>
        </w:rPr>
      </w:pPr>
      <w:r>
        <w:rPr>
          <w:lang w:val="es-ES"/>
        </w:rPr>
        <w:t>L</w:t>
      </w:r>
      <w:r w:rsidR="00500E9B">
        <w:rPr>
          <w:lang w:val="es-ES"/>
        </w:rPr>
        <w:t>os modelos de costos</w:t>
      </w:r>
      <w:r w:rsidR="00E16331">
        <w:rPr>
          <w:lang w:val="es-ES"/>
        </w:rPr>
        <w:t xml:space="preserve"> incluyen una serie de datos históricos (por ejemplo, de demanda de los servicios) y, de manera adicional, una serie de proyecciones y estimaciones para el resto de </w:t>
      </w:r>
      <w:r w:rsidR="00905C57">
        <w:rPr>
          <w:lang w:val="es-ES"/>
        </w:rPr>
        <w:t>los años</w:t>
      </w:r>
      <w:r w:rsidR="00073EFB">
        <w:rPr>
          <w:lang w:val="es-ES"/>
        </w:rPr>
        <w:t xml:space="preserve"> que cubre el horizonte temporal de</w:t>
      </w:r>
      <w:r w:rsidR="00905C57">
        <w:rPr>
          <w:lang w:val="es-ES"/>
        </w:rPr>
        <w:t xml:space="preserve"> </w:t>
      </w:r>
      <w:r w:rsidR="00073EFB">
        <w:rPr>
          <w:lang w:val="es-ES"/>
        </w:rPr>
        <w:t>l</w:t>
      </w:r>
      <w:r w:rsidR="00905C57">
        <w:rPr>
          <w:lang w:val="es-ES"/>
        </w:rPr>
        <w:t>os</w:t>
      </w:r>
      <w:r w:rsidR="00073EFB">
        <w:rPr>
          <w:lang w:val="es-ES"/>
        </w:rPr>
        <w:t xml:space="preserve"> modelo</w:t>
      </w:r>
      <w:r w:rsidR="00905C57">
        <w:rPr>
          <w:lang w:val="es-ES"/>
        </w:rPr>
        <w:t>s</w:t>
      </w:r>
      <w:r w:rsidR="00E16331">
        <w:rPr>
          <w:lang w:val="es-ES"/>
        </w:rPr>
        <w:t xml:space="preserve">. En la </w:t>
      </w:r>
      <w:r w:rsidR="00867D7F">
        <w:rPr>
          <w:lang w:val="es-ES"/>
        </w:rPr>
        <w:t>versión</w:t>
      </w:r>
      <w:r w:rsidR="00E16331">
        <w:rPr>
          <w:lang w:val="es-ES"/>
        </w:rPr>
        <w:t xml:space="preserve"> actual</w:t>
      </w:r>
      <w:r w:rsidR="00905C57">
        <w:rPr>
          <w:lang w:val="es-ES"/>
        </w:rPr>
        <w:t>izada</w:t>
      </w:r>
      <w:r w:rsidR="00E16331">
        <w:rPr>
          <w:lang w:val="es-ES"/>
        </w:rPr>
        <w:t xml:space="preserve"> </w:t>
      </w:r>
      <w:r w:rsidR="004B33DB">
        <w:rPr>
          <w:lang w:val="es-ES"/>
        </w:rPr>
        <w:t xml:space="preserve">de los modelos de costos para el periodo regulatorio 2024-2026, se incluye </w:t>
      </w:r>
      <w:r w:rsidR="00E16331">
        <w:rPr>
          <w:lang w:val="es-ES"/>
        </w:rPr>
        <w:t xml:space="preserve">información histórica </w:t>
      </w:r>
      <w:r w:rsidR="004B33DB">
        <w:rPr>
          <w:lang w:val="es-ES"/>
        </w:rPr>
        <w:t xml:space="preserve">hasta </w:t>
      </w:r>
      <w:r w:rsidR="00E16331">
        <w:rPr>
          <w:lang w:val="es-ES"/>
        </w:rPr>
        <w:t>el año 2022</w:t>
      </w:r>
      <w:r w:rsidR="004B33DB">
        <w:rPr>
          <w:lang w:val="es-ES"/>
        </w:rPr>
        <w:t xml:space="preserve"> (incluyendo este año)</w:t>
      </w:r>
      <w:r w:rsidR="00E16331">
        <w:rPr>
          <w:lang w:val="es-ES"/>
        </w:rPr>
        <w:t xml:space="preserve">, </w:t>
      </w:r>
      <w:r w:rsidR="00A6738E">
        <w:rPr>
          <w:lang w:val="es-ES"/>
        </w:rPr>
        <w:t xml:space="preserve">mientras que se han realizado estimaciones y previsiones para </w:t>
      </w:r>
      <w:r w:rsidR="00905C57">
        <w:rPr>
          <w:lang w:val="es-ES"/>
        </w:rPr>
        <w:t xml:space="preserve">el </w:t>
      </w:r>
      <w:r w:rsidR="00E16331">
        <w:rPr>
          <w:lang w:val="es-ES"/>
        </w:rPr>
        <w:t>año 2023</w:t>
      </w:r>
      <w:r w:rsidR="00905C57">
        <w:rPr>
          <w:lang w:val="es-ES"/>
        </w:rPr>
        <w:t xml:space="preserve"> y posteriores</w:t>
      </w:r>
      <w:r w:rsidR="003629CF">
        <w:rPr>
          <w:lang w:val="es-ES"/>
        </w:rPr>
        <w:t xml:space="preserve">. De esta manera, consideramos que es importante asegurar el alineamiento total entre el periodo histórico </w:t>
      </w:r>
      <w:r w:rsidR="00C62FD8">
        <w:rPr>
          <w:lang w:val="es-ES"/>
        </w:rPr>
        <w:t>de los modelos y</w:t>
      </w:r>
      <w:r w:rsidR="00905C57">
        <w:rPr>
          <w:lang w:val="es-ES"/>
        </w:rPr>
        <w:t xml:space="preserve"> </w:t>
      </w:r>
      <w:r w:rsidR="00147B25">
        <w:rPr>
          <w:lang w:val="es-ES"/>
        </w:rPr>
        <w:t>el CCPP incluido en los mismos</w:t>
      </w:r>
      <w:r w:rsidR="00C62FD8">
        <w:rPr>
          <w:lang w:val="es-ES"/>
        </w:rPr>
        <w:t>,</w:t>
      </w:r>
      <w:r w:rsidR="00147B25">
        <w:rPr>
          <w:lang w:val="es-ES"/>
        </w:rPr>
        <w:t xml:space="preserve"> </w:t>
      </w:r>
      <w:r w:rsidR="00D06F7B">
        <w:rPr>
          <w:lang w:val="es-ES"/>
        </w:rPr>
        <w:t xml:space="preserve">de forma que este último </w:t>
      </w:r>
      <w:r w:rsidR="00147B25">
        <w:rPr>
          <w:lang w:val="es-ES"/>
        </w:rPr>
        <w:t>incluy</w:t>
      </w:r>
      <w:r w:rsidR="00D06F7B">
        <w:rPr>
          <w:lang w:val="es-ES"/>
        </w:rPr>
        <w:t>a</w:t>
      </w:r>
      <w:r w:rsidR="00147B25">
        <w:rPr>
          <w:lang w:val="es-ES"/>
        </w:rPr>
        <w:t xml:space="preserve"> datos hasta el año 2022.</w:t>
      </w:r>
      <w:r>
        <w:rPr>
          <w:lang w:val="es-ES"/>
        </w:rPr>
        <w:t xml:space="preserve"> En caso de que </w:t>
      </w:r>
      <w:r w:rsidR="00905C57">
        <w:rPr>
          <w:lang w:val="es-ES"/>
        </w:rPr>
        <w:t xml:space="preserve">los modelos se actualizasen </w:t>
      </w:r>
      <w:r>
        <w:rPr>
          <w:lang w:val="es-ES"/>
        </w:rPr>
        <w:t>en el futuro, incluyendo información adicional para años subsiguientes, el CCPP podría de la misma manera actualizarse para incluir la información más reciente.</w:t>
      </w:r>
    </w:p>
    <w:p w14:paraId="270CF3DF" w14:textId="77777777" w:rsidR="002C1A88" w:rsidRPr="002C1A88" w:rsidRDefault="009347E6" w:rsidP="000673C7">
      <w:pPr>
        <w:rPr>
          <w:lang w:val="es-ES"/>
        </w:rPr>
      </w:pPr>
      <w:r>
        <w:rPr>
          <w:lang w:val="es-ES"/>
        </w:rPr>
        <w:t xml:space="preserve">Por otro lado, surge una cuestión relacionada con el </w:t>
      </w:r>
      <w:r w:rsidR="00AC406B">
        <w:rPr>
          <w:lang w:val="es-ES"/>
        </w:rPr>
        <w:t>horizonte</w:t>
      </w:r>
      <w:r>
        <w:rPr>
          <w:lang w:val="es-ES"/>
        </w:rPr>
        <w:t xml:space="preserve"> de </w:t>
      </w:r>
      <w:r w:rsidR="00AC406B">
        <w:rPr>
          <w:lang w:val="es-ES"/>
        </w:rPr>
        <w:t>promediado razonable para los parámetros incluidos en los modelos de costos. Este horizonte de promediado es necesario por dos motivos:</w:t>
      </w:r>
    </w:p>
    <w:p w14:paraId="1F5B3AA3" w14:textId="5401ED7A" w:rsidR="002C1A88" w:rsidRPr="002C1A88" w:rsidRDefault="00AC406B" w:rsidP="00DF41CC">
      <w:pPr>
        <w:pStyle w:val="Listaconvietas"/>
        <w:rPr>
          <w:lang w:val="es-ES"/>
        </w:rPr>
      </w:pPr>
      <w:r>
        <w:rPr>
          <w:lang w:val="es-ES"/>
        </w:rPr>
        <w:t xml:space="preserve">Cada uno de los parámetros </w:t>
      </w:r>
      <w:r w:rsidR="00052AAC">
        <w:rPr>
          <w:lang w:val="es-ES"/>
        </w:rPr>
        <w:t xml:space="preserve">se publica con una regularidad diferenciada </w:t>
      </w:r>
      <w:r w:rsidR="005833A4">
        <w:rPr>
          <w:lang w:val="es-ES"/>
        </w:rPr>
        <w:t>(</w:t>
      </w:r>
      <w:r w:rsidR="00052AAC">
        <w:rPr>
          <w:lang w:val="es-ES"/>
        </w:rPr>
        <w:t>por ejemplo, el rendimiento de los bonos del estado</w:t>
      </w:r>
      <w:r w:rsidR="0051006B">
        <w:rPr>
          <w:lang w:val="es-ES"/>
        </w:rPr>
        <w:t>, o la cotización de los operadores</w:t>
      </w:r>
      <w:r w:rsidR="00052AAC">
        <w:rPr>
          <w:lang w:val="es-ES"/>
        </w:rPr>
        <w:t xml:space="preserve"> se </w:t>
      </w:r>
      <w:r w:rsidR="0051006B">
        <w:rPr>
          <w:lang w:val="es-ES"/>
        </w:rPr>
        <w:t>puede observar</w:t>
      </w:r>
      <w:r w:rsidR="00052AAC">
        <w:rPr>
          <w:lang w:val="es-ES"/>
        </w:rPr>
        <w:t xml:space="preserve"> de manera diaria</w:t>
      </w:r>
      <w:r w:rsidR="005833A4">
        <w:rPr>
          <w:lang w:val="es-ES"/>
        </w:rPr>
        <w:t>)</w:t>
      </w:r>
      <w:r w:rsidR="00052AAC">
        <w:rPr>
          <w:lang w:val="es-ES"/>
        </w:rPr>
        <w:t xml:space="preserve">, mientras que </w:t>
      </w:r>
      <w:r w:rsidR="00EB431A">
        <w:rPr>
          <w:lang w:val="es-ES"/>
        </w:rPr>
        <w:t xml:space="preserve">la </w:t>
      </w:r>
      <w:r w:rsidR="0051006B">
        <w:rPr>
          <w:lang w:val="es-ES"/>
        </w:rPr>
        <w:t>información de los operadores (incluid</w:t>
      </w:r>
      <w:r w:rsidR="00EB431A">
        <w:rPr>
          <w:lang w:val="es-ES"/>
        </w:rPr>
        <w:t>os</w:t>
      </w:r>
      <w:r w:rsidR="0051006B">
        <w:rPr>
          <w:lang w:val="es-ES"/>
        </w:rPr>
        <w:t xml:space="preserve"> </w:t>
      </w:r>
      <w:r w:rsidR="00A32BB5">
        <w:rPr>
          <w:lang w:val="es-ES"/>
        </w:rPr>
        <w:t xml:space="preserve">sus </w:t>
      </w:r>
      <w:r w:rsidR="0051006B">
        <w:rPr>
          <w:lang w:val="es-ES"/>
        </w:rPr>
        <w:t xml:space="preserve">estados financieros) solo está disponible de manera anual o trimestral. </w:t>
      </w:r>
    </w:p>
    <w:p w14:paraId="14F84E21" w14:textId="203CF0BE" w:rsidR="002C1A88" w:rsidRPr="002C1A88" w:rsidRDefault="00AF67E1" w:rsidP="00DF41CC">
      <w:pPr>
        <w:pStyle w:val="Listaconvietas"/>
        <w:rPr>
          <w:lang w:val="es-ES"/>
        </w:rPr>
      </w:pPr>
      <w:r>
        <w:rPr>
          <w:lang w:val="es-ES"/>
        </w:rPr>
        <w:t>Los modelos de costos realizan</w:t>
      </w:r>
      <w:r w:rsidR="00AC5576">
        <w:rPr>
          <w:lang w:val="es-ES"/>
        </w:rPr>
        <w:t xml:space="preserve"> estimaciones </w:t>
      </w:r>
      <w:r w:rsidR="00AC7053">
        <w:rPr>
          <w:lang w:val="es-ES"/>
        </w:rPr>
        <w:t xml:space="preserve">de los costos de los servicios </w:t>
      </w:r>
      <w:r w:rsidR="00AC5576">
        <w:rPr>
          <w:lang w:val="es-ES"/>
        </w:rPr>
        <w:t xml:space="preserve">a largo plazo, mientras que </w:t>
      </w:r>
      <w:r w:rsidR="0010084E">
        <w:rPr>
          <w:lang w:val="es-ES"/>
        </w:rPr>
        <w:t>las medidas de algunos parámetros pueden</w:t>
      </w:r>
      <w:r w:rsidR="00AC7053">
        <w:rPr>
          <w:lang w:val="es-ES"/>
        </w:rPr>
        <w:t xml:space="preserve"> </w:t>
      </w:r>
      <w:r w:rsidR="00C56D6B">
        <w:rPr>
          <w:lang w:val="es-ES"/>
        </w:rPr>
        <w:t xml:space="preserve">sufrir </w:t>
      </w:r>
      <w:r w:rsidR="003C1FA2">
        <w:rPr>
          <w:lang w:val="es-ES"/>
        </w:rPr>
        <w:t xml:space="preserve">cambios bruscos </w:t>
      </w:r>
      <w:r w:rsidR="00AC7053">
        <w:rPr>
          <w:lang w:val="es-ES"/>
        </w:rPr>
        <w:t xml:space="preserve">a corto plazo (por </w:t>
      </w:r>
      <w:r w:rsidR="00364FD0">
        <w:rPr>
          <w:lang w:val="es-ES"/>
        </w:rPr>
        <w:t>ejemplo,</w:t>
      </w:r>
      <w:r w:rsidR="00AC7053">
        <w:rPr>
          <w:lang w:val="es-ES"/>
        </w:rPr>
        <w:t xml:space="preserve"> por </w:t>
      </w:r>
      <w:r w:rsidR="004B33DB">
        <w:rPr>
          <w:lang w:val="es-ES"/>
        </w:rPr>
        <w:t xml:space="preserve">un </w:t>
      </w:r>
      <w:r w:rsidR="00AC7053">
        <w:rPr>
          <w:lang w:val="es-ES"/>
        </w:rPr>
        <w:t xml:space="preserve">cambio </w:t>
      </w:r>
      <w:r w:rsidR="004B33DB">
        <w:rPr>
          <w:lang w:val="es-ES"/>
        </w:rPr>
        <w:t xml:space="preserve">transitorio </w:t>
      </w:r>
      <w:r w:rsidR="00AC7053">
        <w:rPr>
          <w:lang w:val="es-ES"/>
        </w:rPr>
        <w:t>en las condiciones macroeconómicas)</w:t>
      </w:r>
      <w:r w:rsidR="00DE04A5">
        <w:rPr>
          <w:lang w:val="es-ES"/>
        </w:rPr>
        <w:t>.</w:t>
      </w:r>
      <w:r w:rsidR="00723A6B">
        <w:rPr>
          <w:lang w:val="es-ES"/>
        </w:rPr>
        <w:t xml:space="preserve"> </w:t>
      </w:r>
      <w:r w:rsidR="00C02CDC">
        <w:rPr>
          <w:lang w:val="es-ES"/>
        </w:rPr>
        <w:t>E</w:t>
      </w:r>
      <w:r w:rsidR="00A32BB5">
        <w:rPr>
          <w:lang w:val="es-ES"/>
        </w:rPr>
        <w:t xml:space="preserve">l hecho de que se den </w:t>
      </w:r>
      <w:r w:rsidR="00723A6B">
        <w:rPr>
          <w:lang w:val="es-ES"/>
        </w:rPr>
        <w:t xml:space="preserve">variaciones significativas en los precios de </w:t>
      </w:r>
      <w:r w:rsidR="00A32BB5">
        <w:rPr>
          <w:lang w:val="es-ES"/>
        </w:rPr>
        <w:t xml:space="preserve">los </w:t>
      </w:r>
      <w:r w:rsidR="00723A6B">
        <w:rPr>
          <w:lang w:val="es-ES"/>
        </w:rPr>
        <w:t xml:space="preserve">servicios regulados a corto plazo </w:t>
      </w:r>
      <w:r w:rsidR="008736BA">
        <w:rPr>
          <w:lang w:val="es-ES"/>
        </w:rPr>
        <w:t>podría</w:t>
      </w:r>
      <w:r w:rsidR="00723A6B">
        <w:rPr>
          <w:lang w:val="es-ES"/>
        </w:rPr>
        <w:t xml:space="preserve"> generar una cierta inseguridad </w:t>
      </w:r>
      <w:r w:rsidR="00C02CDC">
        <w:rPr>
          <w:lang w:val="es-ES"/>
        </w:rPr>
        <w:t xml:space="preserve">e incertidumbre </w:t>
      </w:r>
      <w:r w:rsidR="00723A6B">
        <w:rPr>
          <w:lang w:val="es-ES"/>
        </w:rPr>
        <w:t>en la industria</w:t>
      </w:r>
      <w:r w:rsidR="008736BA">
        <w:rPr>
          <w:lang w:val="es-ES"/>
        </w:rPr>
        <w:t xml:space="preserve">, </w:t>
      </w:r>
      <w:r w:rsidR="00E77238">
        <w:rPr>
          <w:lang w:val="es-ES"/>
        </w:rPr>
        <w:t xml:space="preserve">lo que </w:t>
      </w:r>
      <w:r w:rsidR="00CB4307">
        <w:rPr>
          <w:lang w:val="es-ES"/>
        </w:rPr>
        <w:t>conllevaría</w:t>
      </w:r>
      <w:r w:rsidR="00E77238">
        <w:rPr>
          <w:lang w:val="es-ES"/>
        </w:rPr>
        <w:t xml:space="preserve"> </w:t>
      </w:r>
      <w:r w:rsidR="00364FD0">
        <w:rPr>
          <w:lang w:val="es-ES"/>
        </w:rPr>
        <w:t xml:space="preserve">un posible </w:t>
      </w:r>
      <w:r w:rsidR="008736BA">
        <w:rPr>
          <w:lang w:val="es-ES"/>
        </w:rPr>
        <w:t xml:space="preserve">impacto negativo sobre la inversión y </w:t>
      </w:r>
      <w:r w:rsidR="00364FD0">
        <w:rPr>
          <w:lang w:val="es-ES"/>
        </w:rPr>
        <w:t xml:space="preserve">la </w:t>
      </w:r>
      <w:r w:rsidR="008736BA">
        <w:rPr>
          <w:lang w:val="es-ES"/>
        </w:rPr>
        <w:t>innovación en el sector.</w:t>
      </w:r>
    </w:p>
    <w:p w14:paraId="2AFD00A2" w14:textId="3339CEC7" w:rsidR="002C1A88" w:rsidRPr="002C1A88" w:rsidRDefault="008736BA" w:rsidP="00183A36">
      <w:pPr>
        <w:rPr>
          <w:lang w:val="es-ES"/>
        </w:rPr>
      </w:pPr>
      <w:r>
        <w:rPr>
          <w:lang w:val="es-ES"/>
        </w:rPr>
        <w:t>Sobre esta base</w:t>
      </w:r>
      <w:r w:rsidR="00AC7053">
        <w:rPr>
          <w:lang w:val="es-ES"/>
        </w:rPr>
        <w:t xml:space="preserve">, </w:t>
      </w:r>
      <w:r>
        <w:rPr>
          <w:lang w:val="es-ES"/>
        </w:rPr>
        <w:t>el horizonte de promediado debe asegurar</w:t>
      </w:r>
      <w:r w:rsidR="0010084E">
        <w:rPr>
          <w:lang w:val="es-ES"/>
        </w:rPr>
        <w:t xml:space="preserve"> que: i) </w:t>
      </w:r>
      <w:r w:rsidR="00AC7053">
        <w:rPr>
          <w:lang w:val="es-ES"/>
        </w:rPr>
        <w:t xml:space="preserve">los distintos parámetros </w:t>
      </w:r>
      <w:r w:rsidR="0010084E">
        <w:rPr>
          <w:lang w:val="es-ES"/>
        </w:rPr>
        <w:t xml:space="preserve">son comparables </w:t>
      </w:r>
      <w:r w:rsidR="00AC7053">
        <w:rPr>
          <w:lang w:val="es-ES"/>
        </w:rPr>
        <w:t xml:space="preserve">entre </w:t>
      </w:r>
      <w:r w:rsidR="0010084E">
        <w:rPr>
          <w:lang w:val="es-ES"/>
        </w:rPr>
        <w:t>sí</w:t>
      </w:r>
      <w:r w:rsidR="00CB4307">
        <w:rPr>
          <w:lang w:val="es-ES"/>
        </w:rPr>
        <w:t>,</w:t>
      </w:r>
      <w:r w:rsidR="0010084E">
        <w:rPr>
          <w:lang w:val="es-ES"/>
        </w:rPr>
        <w:t xml:space="preserve"> y ii) </w:t>
      </w:r>
      <w:r w:rsidR="008F734C">
        <w:rPr>
          <w:lang w:val="es-ES"/>
        </w:rPr>
        <w:t xml:space="preserve">el CCPP debería </w:t>
      </w:r>
      <w:r w:rsidR="00723A6B">
        <w:rPr>
          <w:lang w:val="es-ES"/>
        </w:rPr>
        <w:t>suavizar</w:t>
      </w:r>
      <w:r w:rsidR="00AF67E1">
        <w:rPr>
          <w:lang w:val="es-ES"/>
        </w:rPr>
        <w:t xml:space="preserve"> </w:t>
      </w:r>
      <w:r w:rsidR="00723A6B">
        <w:rPr>
          <w:lang w:val="es-ES"/>
        </w:rPr>
        <w:t xml:space="preserve">(pero no eliminar) </w:t>
      </w:r>
      <w:r w:rsidR="00AF67E1">
        <w:rPr>
          <w:lang w:val="es-ES"/>
        </w:rPr>
        <w:t>las fluctuaciones</w:t>
      </w:r>
      <w:r w:rsidR="00723A6B">
        <w:rPr>
          <w:lang w:val="es-ES"/>
        </w:rPr>
        <w:t xml:space="preserve"> a corto plazo de los parámetros. Con este fin, consideramos que es apropiado tomar un horizonte de promediado de cinco años. Este horizonte permite</w:t>
      </w:r>
      <w:r w:rsidR="005417A2">
        <w:rPr>
          <w:lang w:val="es-ES"/>
        </w:rPr>
        <w:t>,</w:t>
      </w:r>
      <w:r w:rsidR="00723A6B">
        <w:rPr>
          <w:lang w:val="es-ES"/>
        </w:rPr>
        <w:t xml:space="preserve"> por un lado</w:t>
      </w:r>
      <w:r w:rsidR="005417A2">
        <w:rPr>
          <w:lang w:val="es-ES"/>
        </w:rPr>
        <w:t>,</w:t>
      </w:r>
      <w:r w:rsidR="00723A6B">
        <w:rPr>
          <w:lang w:val="es-ES"/>
        </w:rPr>
        <w:t xml:space="preserve"> asegurar que todos los parámetros se pueden estimar con una base temporal homogénea y, </w:t>
      </w:r>
      <w:r w:rsidR="00364FD0">
        <w:rPr>
          <w:lang w:val="es-ES"/>
        </w:rPr>
        <w:t>adicionalmente</w:t>
      </w:r>
      <w:r w:rsidR="00723A6B">
        <w:rPr>
          <w:lang w:val="es-ES"/>
        </w:rPr>
        <w:t>, asegurar que se suavizan (sin eliminar</w:t>
      </w:r>
      <w:r w:rsidR="00723A6B" w:rsidRPr="00C67169">
        <w:rPr>
          <w:lang w:val="es-ES"/>
        </w:rPr>
        <w:t>) las fluctuaciones a corto plazo</w:t>
      </w:r>
      <w:r w:rsidR="00364FD0" w:rsidRPr="00C67169">
        <w:rPr>
          <w:lang w:val="es-ES"/>
        </w:rPr>
        <w:t xml:space="preserve"> de los distintos parámetros involucrados en la estimación del CCPP</w:t>
      </w:r>
      <w:r w:rsidR="007E1AF4" w:rsidRPr="00C67169">
        <w:rPr>
          <w:lang w:val="es-ES"/>
        </w:rPr>
        <w:t xml:space="preserve">, </w:t>
      </w:r>
      <w:r w:rsidR="00A0042D" w:rsidRPr="00AA54E1">
        <w:rPr>
          <w:lang w:val="es-ES"/>
        </w:rPr>
        <w:t xml:space="preserve">limitando en un futuro la </w:t>
      </w:r>
      <w:r w:rsidR="00BF53E1" w:rsidRPr="00AA54E1">
        <w:rPr>
          <w:lang w:val="es-ES"/>
        </w:rPr>
        <w:t xml:space="preserve">necesidad de </w:t>
      </w:r>
      <w:r w:rsidR="00450B1F" w:rsidRPr="00AA54E1">
        <w:rPr>
          <w:lang w:val="es-ES"/>
        </w:rPr>
        <w:t>realizar ajustes</w:t>
      </w:r>
      <w:r w:rsidR="00BF53E1" w:rsidRPr="00AA54E1">
        <w:rPr>
          <w:lang w:val="es-ES"/>
        </w:rPr>
        <w:t xml:space="preserve"> metodológicos </w:t>
      </w:r>
      <w:r w:rsidR="00730BF0" w:rsidRPr="00AA54E1">
        <w:rPr>
          <w:lang w:val="es-ES"/>
        </w:rPr>
        <w:t>en épocas de gran variabilidad en el mercado</w:t>
      </w:r>
      <w:r w:rsidR="00364FD0" w:rsidRPr="00C67169">
        <w:rPr>
          <w:lang w:val="es-ES"/>
        </w:rPr>
        <w:t xml:space="preserve">. </w:t>
      </w:r>
      <w:r w:rsidR="00502222" w:rsidRPr="00C67169">
        <w:rPr>
          <w:lang w:val="es-ES"/>
        </w:rPr>
        <w:t xml:space="preserve">Este horizonte de promediado </w:t>
      </w:r>
      <w:r w:rsidR="00DD0F0F" w:rsidRPr="00C67169">
        <w:rPr>
          <w:lang w:val="es-ES"/>
        </w:rPr>
        <w:t>se encuentra alineado</w:t>
      </w:r>
      <w:r w:rsidR="00697402" w:rsidRPr="00C67169">
        <w:rPr>
          <w:lang w:val="es-ES"/>
        </w:rPr>
        <w:t xml:space="preserve"> con el empleado por reguladores en otros países (como</w:t>
      </w:r>
      <w:r w:rsidR="00A94C17" w:rsidRPr="00C67169">
        <w:rPr>
          <w:lang w:val="es-ES"/>
        </w:rPr>
        <w:t>,</w:t>
      </w:r>
      <w:r w:rsidR="00697402">
        <w:rPr>
          <w:lang w:val="es-ES"/>
        </w:rPr>
        <w:t xml:space="preserve"> por ejemplo</w:t>
      </w:r>
      <w:r w:rsidR="00731613">
        <w:rPr>
          <w:lang w:val="es-ES"/>
        </w:rPr>
        <w:t>,</w:t>
      </w:r>
      <w:r w:rsidR="00697402">
        <w:rPr>
          <w:lang w:val="es-ES"/>
        </w:rPr>
        <w:t xml:space="preserve"> España</w:t>
      </w:r>
      <w:r w:rsidR="00905C57">
        <w:rPr>
          <w:rStyle w:val="Refdenotaalpie"/>
          <w:lang w:val="es-ES"/>
        </w:rPr>
        <w:footnoteReference w:id="2"/>
      </w:r>
      <w:r w:rsidR="00697402">
        <w:rPr>
          <w:lang w:val="es-ES"/>
        </w:rPr>
        <w:t xml:space="preserve">, </w:t>
      </w:r>
      <w:r w:rsidR="003F13DB">
        <w:rPr>
          <w:lang w:val="es-ES"/>
        </w:rPr>
        <w:t>Alemania</w:t>
      </w:r>
      <w:r w:rsidR="00905C57">
        <w:rPr>
          <w:rStyle w:val="Refdenotaalpie"/>
          <w:lang w:val="es-ES"/>
        </w:rPr>
        <w:footnoteReference w:id="3"/>
      </w:r>
      <w:r w:rsidR="00697402">
        <w:rPr>
          <w:lang w:val="es-ES"/>
        </w:rPr>
        <w:t xml:space="preserve"> </w:t>
      </w:r>
      <w:r w:rsidR="00731613">
        <w:rPr>
          <w:lang w:val="es-ES"/>
        </w:rPr>
        <w:t>o</w:t>
      </w:r>
      <w:r w:rsidR="00697402">
        <w:rPr>
          <w:lang w:val="es-ES"/>
        </w:rPr>
        <w:t xml:space="preserve"> </w:t>
      </w:r>
      <w:r w:rsidR="00D906E7">
        <w:rPr>
          <w:lang w:val="es-ES"/>
        </w:rPr>
        <w:t>Italia</w:t>
      </w:r>
      <w:r w:rsidR="00905C57">
        <w:rPr>
          <w:rStyle w:val="Refdenotaalpie"/>
          <w:lang w:val="es-ES"/>
        </w:rPr>
        <w:footnoteReference w:id="4"/>
      </w:r>
      <w:r w:rsidR="00697402">
        <w:rPr>
          <w:lang w:val="es-ES"/>
        </w:rPr>
        <w:t>) para la estimación del CCPP.</w:t>
      </w:r>
    </w:p>
    <w:p w14:paraId="66D516D6" w14:textId="77777777" w:rsidR="002C1A88" w:rsidRPr="002C1A88" w:rsidRDefault="00C0600E" w:rsidP="00C0600E">
      <w:pPr>
        <w:pStyle w:val="Ttulo2"/>
        <w:rPr>
          <w:lang w:val="es-ES"/>
        </w:rPr>
      </w:pPr>
      <w:bookmarkStart w:id="21" w:name="_Ref132988681"/>
      <w:bookmarkStart w:id="22" w:name="_Toc135788685"/>
      <w:r>
        <w:rPr>
          <w:lang w:val="es-ES"/>
        </w:rPr>
        <w:t>Definición de empresas y mercados comparables</w:t>
      </w:r>
      <w:bookmarkEnd w:id="21"/>
      <w:bookmarkEnd w:id="22"/>
    </w:p>
    <w:p w14:paraId="2610D4BF" w14:textId="24191619" w:rsidR="002C1A88" w:rsidRPr="002C1A88" w:rsidRDefault="00C0600E" w:rsidP="00C0600E">
      <w:pPr>
        <w:rPr>
          <w:iCs/>
          <w:lang w:val="es-ES"/>
        </w:rPr>
      </w:pPr>
      <w:r>
        <w:rPr>
          <w:iCs/>
          <w:lang w:val="es-ES"/>
        </w:rPr>
        <w:t>Parte de los parámetros empleados en el cálculo del CCPP son independientes de la empresa</w:t>
      </w:r>
      <w:r w:rsidR="00FD361A">
        <w:rPr>
          <w:iCs/>
          <w:lang w:val="es-ES"/>
        </w:rPr>
        <w:t xml:space="preserve"> a modelar</w:t>
      </w:r>
      <w:r>
        <w:rPr>
          <w:iCs/>
          <w:lang w:val="es-ES"/>
        </w:rPr>
        <w:t>, o incluso de la industria para la que se calcule el CCPP. Ejemplos de estos parámetros son la tasa de retorno libre de riesgo o la prima de riesgo del mercado, entre otros. Mientras tanto, otros parámetros (como los niveles de apalancamiento o la beta) son dependientes de las empresas o industria bajo análisis. Por este motivo, es necesario prestar atención a qu</w:t>
      </w:r>
      <w:r w:rsidR="00E53AB3">
        <w:rPr>
          <w:iCs/>
          <w:lang w:val="es-ES"/>
        </w:rPr>
        <w:t>é</w:t>
      </w:r>
      <w:r>
        <w:rPr>
          <w:iCs/>
          <w:lang w:val="es-ES"/>
        </w:rPr>
        <w:t xml:space="preserve"> empresa o empresas se emplean para determinar estos parámetros.</w:t>
      </w:r>
    </w:p>
    <w:p w14:paraId="219C9BF7" w14:textId="507D3E8B" w:rsidR="002C1A88" w:rsidRPr="002C1A88" w:rsidRDefault="00C0600E" w:rsidP="00C0600E">
      <w:pPr>
        <w:rPr>
          <w:iCs/>
          <w:lang w:val="es-ES"/>
        </w:rPr>
      </w:pPr>
      <w:r>
        <w:rPr>
          <w:iCs/>
          <w:lang w:val="es-ES"/>
        </w:rPr>
        <w:t xml:space="preserve">Tal y como hemos </w:t>
      </w:r>
      <w:r w:rsidR="00811F2C">
        <w:rPr>
          <w:iCs/>
          <w:lang w:val="es-ES"/>
        </w:rPr>
        <w:t xml:space="preserve">comentado </w:t>
      </w:r>
      <w:r>
        <w:rPr>
          <w:iCs/>
          <w:lang w:val="es-ES"/>
        </w:rPr>
        <w:t xml:space="preserve">en la </w:t>
      </w:r>
      <w:r w:rsidR="00811F2C">
        <w:rPr>
          <w:iCs/>
          <w:lang w:val="es-ES"/>
        </w:rPr>
        <w:t>S</w:t>
      </w:r>
      <w:r>
        <w:rPr>
          <w:iCs/>
          <w:lang w:val="es-ES"/>
        </w:rPr>
        <w:t>ección</w:t>
      </w:r>
      <w:r w:rsidR="009C37B0">
        <w:rPr>
          <w:iCs/>
          <w:lang w:val="es-ES"/>
        </w:rPr>
        <w:t> </w:t>
      </w:r>
      <w:r w:rsidR="009C37B0">
        <w:rPr>
          <w:iCs/>
          <w:lang w:val="es-ES"/>
        </w:rPr>
        <w:fldChar w:fldCharType="begin"/>
      </w:r>
      <w:r w:rsidR="009C37B0">
        <w:rPr>
          <w:iCs/>
          <w:lang w:val="es-ES"/>
        </w:rPr>
        <w:instrText xml:space="preserve"> REF _Ref134203193 \r \h </w:instrText>
      </w:r>
      <w:r w:rsidR="009C37B0">
        <w:rPr>
          <w:iCs/>
          <w:lang w:val="es-ES"/>
        </w:rPr>
      </w:r>
      <w:r w:rsidR="009C37B0">
        <w:rPr>
          <w:iCs/>
          <w:lang w:val="es-ES"/>
        </w:rPr>
        <w:fldChar w:fldCharType="separate"/>
      </w:r>
      <w:r w:rsidR="001F1D48">
        <w:rPr>
          <w:iCs/>
          <w:lang w:val="es-ES"/>
        </w:rPr>
        <w:t>2.1</w:t>
      </w:r>
      <w:r w:rsidR="009C37B0">
        <w:rPr>
          <w:iCs/>
          <w:lang w:val="es-ES"/>
        </w:rPr>
        <w:fldChar w:fldCharType="end"/>
      </w:r>
      <w:r>
        <w:rPr>
          <w:iCs/>
          <w:lang w:val="es-ES"/>
        </w:rPr>
        <w:t xml:space="preserve">, el CCPP a determinar por el IFT debe ser representativo no de una empresa concreta </w:t>
      </w:r>
      <w:r w:rsidR="00811F2C">
        <w:rPr>
          <w:iCs/>
          <w:lang w:val="es-ES"/>
        </w:rPr>
        <w:t xml:space="preserve">que opere </w:t>
      </w:r>
      <w:r>
        <w:rPr>
          <w:iCs/>
          <w:lang w:val="es-ES"/>
        </w:rPr>
        <w:t>en México, sino que debe representar un CCPP promedio de la industria, diferenciando entre redes fijas y móviles.</w:t>
      </w:r>
      <w:r w:rsidR="00393228">
        <w:rPr>
          <w:iCs/>
          <w:lang w:val="es-ES"/>
        </w:rPr>
        <w:t xml:space="preserve"> </w:t>
      </w:r>
      <w:r>
        <w:rPr>
          <w:iCs/>
          <w:lang w:val="es-ES"/>
        </w:rPr>
        <w:t xml:space="preserve">Por este motivo, no se hará uso de parámetros específicos de una empresa en la estimación del CCPP, </w:t>
      </w:r>
      <w:r w:rsidR="000D2BB3">
        <w:rPr>
          <w:iCs/>
          <w:lang w:val="es-ES"/>
        </w:rPr>
        <w:t xml:space="preserve">sino que </w:t>
      </w:r>
      <w:r>
        <w:rPr>
          <w:iCs/>
          <w:lang w:val="es-ES"/>
        </w:rPr>
        <w:t>será necesario realizar una comparativa que permita tener una visión amplia de la situación de la industria de las telecomunicaciones</w:t>
      </w:r>
      <w:r w:rsidR="004F009F">
        <w:rPr>
          <w:iCs/>
          <w:lang w:val="es-ES"/>
        </w:rPr>
        <w:t xml:space="preserve"> en México</w:t>
      </w:r>
      <w:r>
        <w:rPr>
          <w:iCs/>
          <w:lang w:val="es-ES"/>
        </w:rPr>
        <w:t>.</w:t>
      </w:r>
    </w:p>
    <w:p w14:paraId="23B8D432" w14:textId="500652BC" w:rsidR="002C1A88" w:rsidRPr="002C1A88" w:rsidRDefault="00C0600E" w:rsidP="00C0600E">
      <w:pPr>
        <w:rPr>
          <w:iCs/>
          <w:lang w:val="es-ES"/>
        </w:rPr>
      </w:pPr>
      <w:r>
        <w:rPr>
          <w:iCs/>
          <w:lang w:val="es-ES"/>
        </w:rPr>
        <w:t>En este sentido, e</w:t>
      </w:r>
      <w:r w:rsidRPr="00982643">
        <w:rPr>
          <w:iCs/>
          <w:lang w:val="es-ES"/>
        </w:rPr>
        <w:t>l mercado mexicano, y también el latinoamericano</w:t>
      </w:r>
      <w:r>
        <w:rPr>
          <w:iCs/>
          <w:lang w:val="es-ES"/>
        </w:rPr>
        <w:t xml:space="preserve"> en general</w:t>
      </w:r>
      <w:r w:rsidRPr="00982643">
        <w:rPr>
          <w:iCs/>
          <w:lang w:val="es-ES"/>
        </w:rPr>
        <w:t>, se encuentra dominado por grandes grupos de operadores de telecomunicaciones.</w:t>
      </w:r>
      <w:r>
        <w:rPr>
          <w:iCs/>
          <w:lang w:val="es-ES"/>
        </w:rPr>
        <w:t xml:space="preserve"> Estos grupos operan en diversos países, dentro y fuera de Latinoamérica, y, en muchos casos, proveen </w:t>
      </w:r>
      <w:r w:rsidR="00FD2BF5">
        <w:rPr>
          <w:iCs/>
          <w:lang w:val="es-ES"/>
        </w:rPr>
        <w:t xml:space="preserve">todo tipo de </w:t>
      </w:r>
      <w:r>
        <w:rPr>
          <w:iCs/>
          <w:lang w:val="es-ES"/>
        </w:rPr>
        <w:t>servicios (fijos, móviles, regulados y no regulados) a lo largo de sus operaciones globales.</w:t>
      </w:r>
      <w:r w:rsidRPr="00982643">
        <w:rPr>
          <w:iCs/>
          <w:lang w:val="es-ES"/>
        </w:rPr>
        <w:t xml:space="preserve"> Sin embargo, estas empresas presentan resultados consolidados</w:t>
      </w:r>
      <w:r>
        <w:rPr>
          <w:iCs/>
          <w:lang w:val="es-ES"/>
        </w:rPr>
        <w:t xml:space="preserve"> a nivel global, </w:t>
      </w:r>
      <w:r w:rsidRPr="00982643">
        <w:rPr>
          <w:iCs/>
          <w:lang w:val="es-ES"/>
        </w:rPr>
        <w:t xml:space="preserve">lo cual </w:t>
      </w:r>
      <w:r>
        <w:rPr>
          <w:iCs/>
          <w:lang w:val="es-ES"/>
        </w:rPr>
        <w:t>conlleva establecer que los parámetros no son realmente representativos, de forma exclusiva, de la situación en México</w:t>
      </w:r>
      <w:r w:rsidRPr="00982643">
        <w:rPr>
          <w:iCs/>
          <w:lang w:val="es-ES"/>
        </w:rPr>
        <w:t>.</w:t>
      </w:r>
      <w:r>
        <w:rPr>
          <w:iCs/>
          <w:lang w:val="es-ES"/>
        </w:rPr>
        <w:t xml:space="preserve"> Adicionalmente, dado que no todos los operadores en México cotizan públicamente, lograr una representatividad absoluta del mercado no es una tarea posible a través de información pública. Esta situación limita la información disponible </w:t>
      </w:r>
      <w:r w:rsidR="004B33DB">
        <w:rPr>
          <w:iCs/>
          <w:lang w:val="es-ES"/>
        </w:rPr>
        <w:t>a</w:t>
      </w:r>
      <w:r w:rsidR="0016271B">
        <w:rPr>
          <w:iCs/>
          <w:lang w:val="es-ES"/>
        </w:rPr>
        <w:t xml:space="preserve"> </w:t>
      </w:r>
      <w:r>
        <w:rPr>
          <w:iCs/>
          <w:lang w:val="es-ES"/>
        </w:rPr>
        <w:t>los siguientes operadores:</w:t>
      </w:r>
    </w:p>
    <w:p w14:paraId="19407407" w14:textId="77777777" w:rsidR="002C1A88" w:rsidRPr="000F1B14" w:rsidRDefault="00C0600E" w:rsidP="000F1B14">
      <w:pPr>
        <w:pStyle w:val="ListBulletCompact"/>
        <w:rPr>
          <w:lang w:val="es-ES"/>
        </w:rPr>
      </w:pPr>
      <w:r w:rsidRPr="000F1B14">
        <w:rPr>
          <w:lang w:val="es-ES"/>
        </w:rPr>
        <w:t>América Móvil</w:t>
      </w:r>
    </w:p>
    <w:p w14:paraId="55A7CA87" w14:textId="77777777" w:rsidR="002C1A88" w:rsidRPr="002C1A88" w:rsidRDefault="00C0600E" w:rsidP="00C0600E">
      <w:pPr>
        <w:pStyle w:val="ListBulletCompact"/>
        <w:rPr>
          <w:lang w:val="es-ES"/>
        </w:rPr>
      </w:pPr>
      <w:r w:rsidRPr="000C199F">
        <w:rPr>
          <w:lang w:val="es-ES"/>
        </w:rPr>
        <w:t>AT&amp;T</w:t>
      </w:r>
    </w:p>
    <w:p w14:paraId="459DAE46" w14:textId="77777777" w:rsidR="002C1A88" w:rsidRPr="002C1A88" w:rsidRDefault="00C0600E" w:rsidP="000F1B14">
      <w:pPr>
        <w:pStyle w:val="ListBulletCompact"/>
        <w:rPr>
          <w:lang w:val="es-ES"/>
        </w:rPr>
      </w:pPr>
      <w:r w:rsidRPr="000C199F">
        <w:rPr>
          <w:lang w:val="es-ES"/>
        </w:rPr>
        <w:t>Axtel</w:t>
      </w:r>
    </w:p>
    <w:p w14:paraId="5FA16FA4" w14:textId="5056BB20" w:rsidR="002C1A88" w:rsidRPr="002C1A88" w:rsidRDefault="00C0600E" w:rsidP="00C0600E">
      <w:pPr>
        <w:pStyle w:val="ListBulletCompact"/>
        <w:rPr>
          <w:lang w:val="es-ES"/>
        </w:rPr>
      </w:pPr>
      <w:r w:rsidRPr="000C199F">
        <w:rPr>
          <w:lang w:val="es-ES"/>
        </w:rPr>
        <w:t>Megacable Holdings</w:t>
      </w:r>
      <w:r w:rsidR="00A52BDB">
        <w:rPr>
          <w:lang w:val="es-ES"/>
        </w:rPr>
        <w:t>.</w:t>
      </w:r>
    </w:p>
    <w:p w14:paraId="0686C187" w14:textId="38442595" w:rsidR="002C1A88" w:rsidRPr="002C1A88" w:rsidRDefault="00C0600E" w:rsidP="00C0600E">
      <w:pPr>
        <w:rPr>
          <w:lang w:val="es-ES"/>
        </w:rPr>
      </w:pPr>
      <w:r>
        <w:rPr>
          <w:lang w:val="es-ES"/>
        </w:rPr>
        <w:t xml:space="preserve">De esta manera, surge la cuestión sobre la necesidad de incluir en la comparativa solamente aquellas empresas </w:t>
      </w:r>
      <w:r w:rsidR="00A52BDB">
        <w:rPr>
          <w:lang w:val="es-ES"/>
        </w:rPr>
        <w:t xml:space="preserve">que estén </w:t>
      </w:r>
      <w:r>
        <w:rPr>
          <w:lang w:val="es-ES"/>
        </w:rPr>
        <w:t xml:space="preserve">operando en México, o si por el contrario podría resultar más apropiado añadir empresas </w:t>
      </w:r>
      <w:r w:rsidR="00A52BDB">
        <w:rPr>
          <w:lang w:val="es-ES"/>
        </w:rPr>
        <w:t xml:space="preserve">que </w:t>
      </w:r>
      <w:r>
        <w:rPr>
          <w:lang w:val="es-ES"/>
        </w:rPr>
        <w:t>operen en otros países –siempre y cuando estos países y operadores guarden una cierta relación con el mercado mexicano.</w:t>
      </w:r>
    </w:p>
    <w:p w14:paraId="135B9C80" w14:textId="23ACE8E9" w:rsidR="002C1A88" w:rsidRPr="002C1A88" w:rsidRDefault="00666F3D" w:rsidP="00C0600E">
      <w:pPr>
        <w:rPr>
          <w:lang w:val="es-ES"/>
        </w:rPr>
      </w:pPr>
      <w:r>
        <w:rPr>
          <w:lang w:val="es-ES"/>
        </w:rPr>
        <w:t>P</w:t>
      </w:r>
      <w:r w:rsidR="00695B53">
        <w:rPr>
          <w:lang w:val="es-ES"/>
        </w:rPr>
        <w:t>uesto que</w:t>
      </w:r>
      <w:r w:rsidR="00B454CE">
        <w:rPr>
          <w:lang w:val="es-ES"/>
        </w:rPr>
        <w:t xml:space="preserve"> </w:t>
      </w:r>
      <w:r w:rsidR="00695B53">
        <w:rPr>
          <w:lang w:val="es-ES"/>
        </w:rPr>
        <w:t xml:space="preserve">solamente existe información pública para un </w:t>
      </w:r>
      <w:r w:rsidR="00C0600E">
        <w:rPr>
          <w:lang w:val="es-ES"/>
        </w:rPr>
        <w:t xml:space="preserve">número limitado de </w:t>
      </w:r>
      <w:r w:rsidR="00695B53">
        <w:rPr>
          <w:lang w:val="es-ES"/>
        </w:rPr>
        <w:t>ope</w:t>
      </w:r>
      <w:r w:rsidR="00E27EAC">
        <w:rPr>
          <w:lang w:val="es-ES"/>
        </w:rPr>
        <w:t>r</w:t>
      </w:r>
      <w:r w:rsidR="00695B53">
        <w:rPr>
          <w:lang w:val="es-ES"/>
        </w:rPr>
        <w:t xml:space="preserve">adores en México, </w:t>
      </w:r>
      <w:r w:rsidR="00E27EAC">
        <w:rPr>
          <w:lang w:val="es-ES"/>
        </w:rPr>
        <w:t>est</w:t>
      </w:r>
      <w:r w:rsidR="002D34D9">
        <w:rPr>
          <w:lang w:val="es-ES"/>
        </w:rPr>
        <w:t>a</w:t>
      </w:r>
      <w:r w:rsidR="00E27EAC">
        <w:rPr>
          <w:lang w:val="es-ES"/>
        </w:rPr>
        <w:t xml:space="preserve"> </w:t>
      </w:r>
      <w:r w:rsidR="00C0600E">
        <w:rPr>
          <w:lang w:val="es-ES"/>
        </w:rPr>
        <w:t xml:space="preserve">podría no resultar suficiente para poder realizar una estimación apropiada de los principales indicadores necesarios para poder </w:t>
      </w:r>
      <w:r w:rsidR="00ED0294">
        <w:rPr>
          <w:lang w:val="es-ES"/>
        </w:rPr>
        <w:t>proceder al</w:t>
      </w:r>
      <w:r w:rsidR="00E27EAC">
        <w:rPr>
          <w:lang w:val="es-ES"/>
        </w:rPr>
        <w:t xml:space="preserve"> cálculo del</w:t>
      </w:r>
      <w:r w:rsidR="00C0600E">
        <w:rPr>
          <w:lang w:val="es-ES"/>
        </w:rPr>
        <w:t xml:space="preserve"> CCPP en el mercado mexicano. Por este motivo, se ha optado por añadir una serie de empresas para robustecer el análisis.</w:t>
      </w:r>
    </w:p>
    <w:p w14:paraId="616507D7" w14:textId="5C3D1CF3" w:rsidR="002C1A88" w:rsidRPr="002C1A88" w:rsidRDefault="00C0600E" w:rsidP="00C0600E">
      <w:pPr>
        <w:rPr>
          <w:iCs/>
          <w:lang w:val="es-ES"/>
        </w:rPr>
      </w:pPr>
      <w:r>
        <w:rPr>
          <w:iCs/>
          <w:lang w:val="es-ES"/>
        </w:rPr>
        <w:t xml:space="preserve">A la hora de </w:t>
      </w:r>
      <w:r w:rsidR="00BB4F75">
        <w:rPr>
          <w:iCs/>
          <w:lang w:val="es-ES"/>
        </w:rPr>
        <w:t xml:space="preserve">seleccionar </w:t>
      </w:r>
      <w:r w:rsidR="00BB5E1D">
        <w:rPr>
          <w:iCs/>
          <w:lang w:val="es-ES"/>
        </w:rPr>
        <w:t xml:space="preserve">la lista de </w:t>
      </w:r>
      <w:r>
        <w:rPr>
          <w:iCs/>
          <w:lang w:val="es-ES"/>
        </w:rPr>
        <w:t>empresas adicionales</w:t>
      </w:r>
      <w:r w:rsidR="00BB5E1D">
        <w:rPr>
          <w:iCs/>
          <w:lang w:val="es-ES"/>
        </w:rPr>
        <w:t xml:space="preserve"> que sean comparables al caso de México</w:t>
      </w:r>
      <w:r>
        <w:rPr>
          <w:iCs/>
          <w:lang w:val="es-ES"/>
        </w:rPr>
        <w:t xml:space="preserve">, se considera apropiado tomar </w:t>
      </w:r>
      <w:r w:rsidR="004E6412">
        <w:rPr>
          <w:iCs/>
          <w:lang w:val="es-ES"/>
        </w:rPr>
        <w:t xml:space="preserve">como guía </w:t>
      </w:r>
      <w:r>
        <w:rPr>
          <w:iCs/>
          <w:lang w:val="es-ES"/>
        </w:rPr>
        <w:t xml:space="preserve">las </w:t>
      </w:r>
      <w:r w:rsidR="004E6412">
        <w:rPr>
          <w:iCs/>
          <w:lang w:val="es-ES"/>
        </w:rPr>
        <w:t xml:space="preserve">directrices </w:t>
      </w:r>
      <w:r>
        <w:rPr>
          <w:iCs/>
          <w:lang w:val="es-ES"/>
        </w:rPr>
        <w:t>emitidas por e</w:t>
      </w:r>
      <w:r w:rsidRPr="00982643">
        <w:rPr>
          <w:iCs/>
          <w:lang w:val="es-ES"/>
        </w:rPr>
        <w:t>l Organismo de Reguladores Europeos de Comunicaciones Electrónicas (BEREC, por sus siglas en ingles) y respaldad</w:t>
      </w:r>
      <w:r w:rsidR="004E6412">
        <w:rPr>
          <w:iCs/>
          <w:lang w:val="es-ES"/>
        </w:rPr>
        <w:t>as</w:t>
      </w:r>
      <w:r w:rsidRPr="00982643">
        <w:rPr>
          <w:iCs/>
          <w:lang w:val="es-ES"/>
        </w:rPr>
        <w:t xml:space="preserve"> por la Comisión Europea</w:t>
      </w:r>
      <w:r>
        <w:rPr>
          <w:iCs/>
          <w:lang w:val="es-ES"/>
        </w:rPr>
        <w:t>. Según el BEREC</w:t>
      </w:r>
      <w:r w:rsidRPr="00982643">
        <w:rPr>
          <w:iCs/>
          <w:lang w:val="es-ES"/>
        </w:rPr>
        <w:t>, todas aquellas empresas comparables deberán</w:t>
      </w:r>
      <w:r w:rsidR="00C67169">
        <w:rPr>
          <w:rStyle w:val="Refdenotaalpie"/>
          <w:iCs/>
          <w:lang w:val="es-ES"/>
        </w:rPr>
        <w:footnoteReference w:id="5"/>
      </w:r>
      <w:r w:rsidRPr="00982643">
        <w:rPr>
          <w:iCs/>
          <w:lang w:val="es-ES"/>
        </w:rPr>
        <w:t>:</w:t>
      </w:r>
    </w:p>
    <w:p w14:paraId="63C93D2D" w14:textId="77777777" w:rsidR="002C1A88" w:rsidRPr="002C1A88" w:rsidRDefault="00C0600E" w:rsidP="000F1B14">
      <w:pPr>
        <w:pStyle w:val="ListBulletCompact"/>
        <w:rPr>
          <w:lang w:val="es-ES"/>
        </w:rPr>
      </w:pPr>
      <w:r w:rsidRPr="00982643">
        <w:rPr>
          <w:lang w:val="es-ES"/>
        </w:rPr>
        <w:t>cotizar en bolsa y tener acciones con liquidez</w:t>
      </w:r>
    </w:p>
    <w:p w14:paraId="721359D9" w14:textId="77777777" w:rsidR="002C1A88" w:rsidRPr="002C1A88" w:rsidRDefault="00C0600E" w:rsidP="000F1B14">
      <w:pPr>
        <w:pStyle w:val="ListBulletCompact"/>
        <w:rPr>
          <w:lang w:val="es-ES"/>
        </w:rPr>
      </w:pPr>
      <w:r w:rsidRPr="00982643">
        <w:rPr>
          <w:lang w:val="es-ES"/>
        </w:rPr>
        <w:t>poseer infraestructuras de comunicaciones electrónicas e invertir en ellas</w:t>
      </w:r>
    </w:p>
    <w:p w14:paraId="2E0F6823" w14:textId="2F8C8FBD" w:rsidR="002C1A88" w:rsidRPr="002C1A88" w:rsidRDefault="00C0600E" w:rsidP="00DF41CC">
      <w:pPr>
        <w:pStyle w:val="ListBulletCompact"/>
        <w:rPr>
          <w:lang w:val="es-ES"/>
        </w:rPr>
      </w:pPr>
      <w:r w:rsidRPr="00982643">
        <w:rPr>
          <w:lang w:val="es-ES"/>
        </w:rPr>
        <w:t xml:space="preserve">tener sus operaciones principales ubicadas en la región económica </w:t>
      </w:r>
      <w:r w:rsidR="00C54694">
        <w:rPr>
          <w:lang w:val="es-ES"/>
        </w:rPr>
        <w:t>objeto de</w:t>
      </w:r>
      <w:r w:rsidR="00C54694" w:rsidRPr="00982643">
        <w:rPr>
          <w:lang w:val="es-ES"/>
        </w:rPr>
        <w:t xml:space="preserve"> </w:t>
      </w:r>
      <w:r w:rsidRPr="00982643">
        <w:rPr>
          <w:lang w:val="es-ES"/>
        </w:rPr>
        <w:t>estudio</w:t>
      </w:r>
    </w:p>
    <w:p w14:paraId="4269AF92" w14:textId="646CBFBD" w:rsidR="002C1A88" w:rsidRPr="002C1A88" w:rsidRDefault="00C0600E" w:rsidP="00DF41CC">
      <w:pPr>
        <w:pStyle w:val="ListBulletCompact"/>
        <w:rPr>
          <w:lang w:val="es-ES"/>
        </w:rPr>
      </w:pPr>
      <w:r w:rsidRPr="00982643">
        <w:rPr>
          <w:lang w:val="es-ES"/>
        </w:rPr>
        <w:t xml:space="preserve">tener </w:t>
      </w:r>
      <w:r w:rsidR="001C45D2">
        <w:rPr>
          <w:lang w:val="es-ES"/>
        </w:rPr>
        <w:t xml:space="preserve">una </w:t>
      </w:r>
      <w:r w:rsidRPr="00982643">
        <w:rPr>
          <w:lang w:val="es-ES"/>
        </w:rPr>
        <w:t>calificación crediticia razonable</w:t>
      </w:r>
      <w:r w:rsidRPr="00982643">
        <w:rPr>
          <w:rStyle w:val="Refdenotaalpie"/>
          <w:iCs/>
          <w:lang w:val="es-ES"/>
        </w:rPr>
        <w:footnoteReference w:id="6"/>
      </w:r>
      <w:r w:rsidRPr="00982643">
        <w:rPr>
          <w:lang w:val="es-ES"/>
        </w:rPr>
        <w:t xml:space="preserve"> </w:t>
      </w:r>
    </w:p>
    <w:p w14:paraId="64FAFB89" w14:textId="65DACF60" w:rsidR="002C1A88" w:rsidRPr="002C1A88" w:rsidRDefault="00C0600E" w:rsidP="00DF41CC">
      <w:pPr>
        <w:pStyle w:val="ListBulletCompact"/>
        <w:rPr>
          <w:lang w:val="es-ES"/>
        </w:rPr>
      </w:pPr>
      <w:r w:rsidRPr="00982643">
        <w:rPr>
          <w:lang w:val="es-ES"/>
        </w:rPr>
        <w:t>no haber participado recientemente en ninguna fusión o adquisición sustancial asociada a infraestructura regulada</w:t>
      </w:r>
      <w:r w:rsidR="003758EF">
        <w:rPr>
          <w:lang w:val="es-ES"/>
        </w:rPr>
        <w:t>.</w:t>
      </w:r>
    </w:p>
    <w:p w14:paraId="77F2C49E" w14:textId="3E7309FF" w:rsidR="002C1A88" w:rsidRPr="002C1A88" w:rsidRDefault="00C0600E" w:rsidP="00C0600E">
      <w:pPr>
        <w:rPr>
          <w:iCs/>
          <w:lang w:val="es-ES"/>
        </w:rPr>
      </w:pPr>
      <w:r w:rsidRPr="00982643">
        <w:rPr>
          <w:iCs/>
          <w:lang w:val="es-ES"/>
        </w:rPr>
        <w:t xml:space="preserve">A fin de identificar las empresas de telecomunicaciones que cumplan con estos criterios, se ha realizado una búsqueda exhaustiva a lo largo de las bolsas de valores en México y </w:t>
      </w:r>
      <w:r w:rsidR="001C45D2">
        <w:rPr>
          <w:iCs/>
          <w:lang w:val="es-ES"/>
        </w:rPr>
        <w:t>Latinoamérica</w:t>
      </w:r>
      <w:r w:rsidRPr="00982643">
        <w:rPr>
          <w:iCs/>
          <w:lang w:val="es-ES"/>
        </w:rPr>
        <w:t xml:space="preserve">. A continuación, se muestra el listado de operadores </w:t>
      </w:r>
      <w:r>
        <w:rPr>
          <w:iCs/>
          <w:lang w:val="es-ES"/>
        </w:rPr>
        <w:t xml:space="preserve">adicionales </w:t>
      </w:r>
      <w:r w:rsidRPr="00982643">
        <w:rPr>
          <w:iCs/>
          <w:lang w:val="es-ES"/>
        </w:rPr>
        <w:t>seleccionados siguiendo los criterios mencionados:</w:t>
      </w:r>
    </w:p>
    <w:p w14:paraId="73A8FF7D" w14:textId="7A5DEBE1" w:rsidR="002C1A88" w:rsidRPr="002C1A88" w:rsidRDefault="00C0600E" w:rsidP="00DF41CC">
      <w:pPr>
        <w:pStyle w:val="ListBulletCompact"/>
        <w:rPr>
          <w:lang w:val="es-ES"/>
        </w:rPr>
      </w:pPr>
      <w:r w:rsidRPr="00982643">
        <w:rPr>
          <w:lang w:val="es-ES"/>
        </w:rPr>
        <w:t>Millicom International Cellular</w:t>
      </w:r>
      <w:r w:rsidR="00015B7D">
        <w:rPr>
          <w:lang w:val="es-ES"/>
        </w:rPr>
        <w:t xml:space="preserve"> (</w:t>
      </w:r>
      <w:r w:rsidR="00435C5E">
        <w:rPr>
          <w:lang w:val="es-ES"/>
        </w:rPr>
        <w:t xml:space="preserve">presente en </w:t>
      </w:r>
      <w:r w:rsidR="004D2F2D">
        <w:rPr>
          <w:lang w:val="es-ES"/>
        </w:rPr>
        <w:t>Colombia</w:t>
      </w:r>
      <w:r w:rsidR="00435C5E">
        <w:rPr>
          <w:lang w:val="es-ES"/>
        </w:rPr>
        <w:t>, Panamá, Costa Rica, Paraguay y más países en Latinoamérica</w:t>
      </w:r>
      <w:r w:rsidR="00015B7D">
        <w:rPr>
          <w:lang w:val="es-ES"/>
        </w:rPr>
        <w:t>)</w:t>
      </w:r>
    </w:p>
    <w:p w14:paraId="5B96FCB9" w14:textId="51963AD8" w:rsidR="002C1A88" w:rsidRPr="002C1A88" w:rsidRDefault="00C0600E" w:rsidP="00DF41CC">
      <w:pPr>
        <w:pStyle w:val="ListBulletCompact"/>
        <w:rPr>
          <w:lang w:val="es-ES"/>
        </w:rPr>
      </w:pPr>
      <w:r w:rsidRPr="00982643">
        <w:rPr>
          <w:lang w:val="es-ES"/>
        </w:rPr>
        <w:t>Empresa de Telecomunicaciones de Bogotá</w:t>
      </w:r>
      <w:r w:rsidR="00015B7D">
        <w:rPr>
          <w:lang w:val="es-ES"/>
        </w:rPr>
        <w:t xml:space="preserve"> (Colombia)</w:t>
      </w:r>
    </w:p>
    <w:p w14:paraId="09724167" w14:textId="49117120" w:rsidR="002C1A88" w:rsidRPr="002C1A88" w:rsidRDefault="00C0600E" w:rsidP="00DF41CC">
      <w:pPr>
        <w:pStyle w:val="ListBulletCompact"/>
        <w:rPr>
          <w:lang w:val="es-ES"/>
        </w:rPr>
      </w:pPr>
      <w:r w:rsidRPr="00982643">
        <w:rPr>
          <w:lang w:val="es-ES"/>
        </w:rPr>
        <w:t>Telefónica Brasil</w:t>
      </w:r>
      <w:r w:rsidR="00015B7D">
        <w:rPr>
          <w:lang w:val="es-ES"/>
        </w:rPr>
        <w:t xml:space="preserve"> (Brasil)</w:t>
      </w:r>
    </w:p>
    <w:p w14:paraId="1290FA44" w14:textId="5E534849" w:rsidR="002C1A88" w:rsidRPr="002C1A88" w:rsidRDefault="00A42F01" w:rsidP="00A42F01">
      <w:pPr>
        <w:pStyle w:val="ListBulletCompact"/>
        <w:rPr>
          <w:lang w:val="es-ES"/>
        </w:rPr>
      </w:pPr>
      <w:r w:rsidRPr="00A42F01">
        <w:rPr>
          <w:lang w:val="es-ES"/>
        </w:rPr>
        <w:t>TIM Participações</w:t>
      </w:r>
      <w:r w:rsidR="00015B7D">
        <w:rPr>
          <w:lang w:val="es-ES"/>
        </w:rPr>
        <w:t xml:space="preserve"> (Brasil)</w:t>
      </w:r>
    </w:p>
    <w:p w14:paraId="3EC40375" w14:textId="3C0911C1" w:rsidR="002C1A88" w:rsidRPr="002C1A88" w:rsidRDefault="00C0600E" w:rsidP="00DF41CC">
      <w:pPr>
        <w:pStyle w:val="ListBulletCompact"/>
        <w:rPr>
          <w:lang w:val="es-ES"/>
        </w:rPr>
      </w:pPr>
      <w:r w:rsidRPr="00982643">
        <w:rPr>
          <w:lang w:val="es-ES"/>
        </w:rPr>
        <w:t>Empresa Nacional de Telecomunicaciones (ENTEL</w:t>
      </w:r>
      <w:r w:rsidR="00015B7D">
        <w:rPr>
          <w:lang w:val="es-ES"/>
        </w:rPr>
        <w:t>, Chile)</w:t>
      </w:r>
      <w:r w:rsidR="00206EEB">
        <w:rPr>
          <w:lang w:val="es-ES"/>
        </w:rPr>
        <w:t>.</w:t>
      </w:r>
    </w:p>
    <w:p w14:paraId="1BFE32D2" w14:textId="649B5281" w:rsidR="002C1A88" w:rsidRPr="002C1A88" w:rsidRDefault="00C0600E" w:rsidP="00C0600E">
      <w:pPr>
        <w:rPr>
          <w:lang w:val="es-ES"/>
        </w:rPr>
      </w:pPr>
      <w:r>
        <w:rPr>
          <w:lang w:val="es-ES"/>
        </w:rPr>
        <w:t xml:space="preserve">Por otro lado, tal y como se comenta en la </w:t>
      </w:r>
      <w:r w:rsidR="009711EF">
        <w:rPr>
          <w:lang w:val="es-ES"/>
        </w:rPr>
        <w:t>S</w:t>
      </w:r>
      <w:r>
        <w:rPr>
          <w:lang w:val="es-ES"/>
        </w:rPr>
        <w:t>ección</w:t>
      </w:r>
      <w:r w:rsidR="009C37B0">
        <w:rPr>
          <w:lang w:val="es-ES"/>
        </w:rPr>
        <w:t> </w:t>
      </w:r>
      <w:r w:rsidR="009C37B0">
        <w:rPr>
          <w:lang w:val="es-ES"/>
        </w:rPr>
        <w:fldChar w:fldCharType="begin"/>
      </w:r>
      <w:r w:rsidR="009C37B0">
        <w:rPr>
          <w:lang w:val="es-ES"/>
        </w:rPr>
        <w:instrText xml:space="preserve"> REF _Ref134203209 \r \h </w:instrText>
      </w:r>
      <w:r w:rsidR="009C37B0">
        <w:rPr>
          <w:lang w:val="es-ES"/>
        </w:rPr>
      </w:r>
      <w:r w:rsidR="009C37B0">
        <w:rPr>
          <w:lang w:val="es-ES"/>
        </w:rPr>
        <w:fldChar w:fldCharType="separate"/>
      </w:r>
      <w:r w:rsidR="001F1D48">
        <w:rPr>
          <w:lang w:val="es-ES"/>
        </w:rPr>
        <w:t>2.1</w:t>
      </w:r>
      <w:r w:rsidR="009C37B0">
        <w:rPr>
          <w:lang w:val="es-ES"/>
        </w:rPr>
        <w:fldChar w:fldCharType="end"/>
      </w:r>
      <w:r>
        <w:rPr>
          <w:lang w:val="es-ES"/>
        </w:rPr>
        <w:t xml:space="preserve">, se proporcionarán dos cálculos del CCPP: uno para redes fijas y otro para redes móviles. Por este motivo, es necesario tratar de reflejar las diferencias </w:t>
      </w:r>
      <w:r w:rsidR="006C741B">
        <w:rPr>
          <w:lang w:val="es-ES"/>
        </w:rPr>
        <w:t xml:space="preserve">en </w:t>
      </w:r>
      <w:r>
        <w:rPr>
          <w:lang w:val="es-ES"/>
        </w:rPr>
        <w:t>los parámetros entre las empresas que disponen de redes fijas y redes móviles. D</w:t>
      </w:r>
      <w:r w:rsidRPr="00982643">
        <w:rPr>
          <w:lang w:val="es-ES"/>
        </w:rPr>
        <w:t xml:space="preserve">ebido a que cada día hay menos operadores </w:t>
      </w:r>
      <w:r w:rsidR="00435C5E">
        <w:rPr>
          <w:i/>
          <w:lang w:val="es-ES"/>
        </w:rPr>
        <w:t>que ofrezcan exclusivamente servicios sobre redes fijas o redes móviles</w:t>
      </w:r>
      <w:r w:rsidRPr="00982643">
        <w:rPr>
          <w:lang w:val="es-ES"/>
        </w:rPr>
        <w:t xml:space="preserve">, </w:t>
      </w:r>
      <w:r>
        <w:rPr>
          <w:lang w:val="es-ES"/>
        </w:rPr>
        <w:t>es necesario llevar a cabo una desagregación de la tipología de cada operador, donde podemos distinguir entre tres tipos de operadores:</w:t>
      </w:r>
    </w:p>
    <w:p w14:paraId="05C81BE3" w14:textId="2FE5AF6B" w:rsidR="002C1A88" w:rsidRPr="002C1A88" w:rsidRDefault="00C0600E" w:rsidP="00DF41CC">
      <w:pPr>
        <w:pStyle w:val="Listaconvietas"/>
        <w:rPr>
          <w:lang w:val="es-ES"/>
        </w:rPr>
      </w:pPr>
      <w:r w:rsidRPr="009711EF">
        <w:rPr>
          <w:b/>
          <w:bCs/>
          <w:lang w:val="es-ES"/>
        </w:rPr>
        <w:t>Operadores predominantemente móviles</w:t>
      </w:r>
      <w:r w:rsidRPr="00982643">
        <w:rPr>
          <w:lang w:val="es-ES"/>
        </w:rPr>
        <w:t xml:space="preserve"> – aquellos donde </w:t>
      </w:r>
      <w:r>
        <w:rPr>
          <w:lang w:val="es-ES"/>
        </w:rPr>
        <w:t xml:space="preserve">la mayoría de </w:t>
      </w:r>
      <w:r w:rsidR="001D3DF1">
        <w:rPr>
          <w:lang w:val="es-ES"/>
        </w:rPr>
        <w:t xml:space="preserve">sus </w:t>
      </w:r>
      <w:r>
        <w:rPr>
          <w:lang w:val="es-ES"/>
        </w:rPr>
        <w:t>operaciones se correspondan con redes móviles.</w:t>
      </w:r>
    </w:p>
    <w:p w14:paraId="53ECE4BD" w14:textId="19876621" w:rsidR="002C1A88" w:rsidRPr="002C1A88" w:rsidRDefault="00C0600E" w:rsidP="00DF41CC">
      <w:pPr>
        <w:pStyle w:val="Listaconvietas"/>
        <w:rPr>
          <w:lang w:val="es-ES"/>
        </w:rPr>
      </w:pPr>
      <w:r w:rsidRPr="009711EF">
        <w:rPr>
          <w:b/>
          <w:bCs/>
          <w:lang w:val="es-ES"/>
        </w:rPr>
        <w:t>Operadores predominantemente fijos</w:t>
      </w:r>
      <w:r w:rsidRPr="00982643">
        <w:rPr>
          <w:lang w:val="es-ES"/>
        </w:rPr>
        <w:t xml:space="preserve"> – aquellos donde </w:t>
      </w:r>
      <w:r>
        <w:rPr>
          <w:lang w:val="es-ES"/>
        </w:rPr>
        <w:t xml:space="preserve">la mayoría de </w:t>
      </w:r>
      <w:r w:rsidR="001D3DF1">
        <w:rPr>
          <w:lang w:val="es-ES"/>
        </w:rPr>
        <w:t xml:space="preserve">sus </w:t>
      </w:r>
      <w:r>
        <w:rPr>
          <w:lang w:val="es-ES"/>
        </w:rPr>
        <w:t>operaciones se correspondan con redes fijas.</w:t>
      </w:r>
    </w:p>
    <w:p w14:paraId="15FB9DD9" w14:textId="6EC2A1D3" w:rsidR="002C1A88" w:rsidRPr="002C1A88" w:rsidRDefault="00C0600E" w:rsidP="00DF41CC">
      <w:pPr>
        <w:pStyle w:val="Listaconvietas"/>
        <w:rPr>
          <w:lang w:val="es-ES"/>
        </w:rPr>
      </w:pPr>
      <w:r w:rsidRPr="009711EF">
        <w:rPr>
          <w:b/>
          <w:bCs/>
          <w:lang w:val="es-ES"/>
        </w:rPr>
        <w:t>Operadores híbridos fijo–móvil</w:t>
      </w:r>
      <w:r w:rsidRPr="00982643">
        <w:rPr>
          <w:lang w:val="es-ES"/>
        </w:rPr>
        <w:t xml:space="preserve"> – aquellos </w:t>
      </w:r>
      <w:r>
        <w:rPr>
          <w:lang w:val="es-ES"/>
        </w:rPr>
        <w:t>donde no se pueda establecer que el operador está centrado exclusivamente (o casi exclusivamente) en redes fijas o móviles</w:t>
      </w:r>
      <w:r w:rsidR="001D3DF1">
        <w:rPr>
          <w:lang w:val="es-ES"/>
        </w:rPr>
        <w:t>.</w:t>
      </w:r>
    </w:p>
    <w:p w14:paraId="0D458901" w14:textId="6264C445" w:rsidR="002C1A88" w:rsidRPr="002C1A88" w:rsidRDefault="00C0600E" w:rsidP="00C0600E">
      <w:pPr>
        <w:rPr>
          <w:lang w:val="es-ES"/>
        </w:rPr>
      </w:pPr>
      <w:r>
        <w:rPr>
          <w:lang w:val="es-ES"/>
        </w:rPr>
        <w:t>Para realizar esta desagregación podrían seguirse distintos criterios, como por ejemplo</w:t>
      </w:r>
      <w:r w:rsidR="009329F1">
        <w:rPr>
          <w:lang w:val="es-ES"/>
        </w:rPr>
        <w:t xml:space="preserve"> el</w:t>
      </w:r>
      <w:r>
        <w:rPr>
          <w:lang w:val="es-ES"/>
        </w:rPr>
        <w:t xml:space="preserve"> </w:t>
      </w:r>
      <w:r w:rsidR="004202BC" w:rsidRPr="004202BC">
        <w:rPr>
          <w:lang w:val="es-ES"/>
        </w:rPr>
        <w:t xml:space="preserve">beneficio antes de intereses, impuestos, depreciaciones y amortizaciones </w:t>
      </w:r>
      <w:r w:rsidR="004202BC">
        <w:rPr>
          <w:lang w:val="es-ES"/>
        </w:rPr>
        <w:t>(</w:t>
      </w:r>
      <w:r>
        <w:rPr>
          <w:lang w:val="es-ES"/>
        </w:rPr>
        <w:t>EBITDA</w:t>
      </w:r>
      <w:r w:rsidR="004202BC">
        <w:rPr>
          <w:lang w:val="es-ES"/>
        </w:rPr>
        <w:t>, por sus siglas en inglés)</w:t>
      </w:r>
      <w:r>
        <w:rPr>
          <w:lang w:val="es-ES"/>
        </w:rPr>
        <w:t xml:space="preserve"> o </w:t>
      </w:r>
      <w:r w:rsidR="004202BC">
        <w:rPr>
          <w:lang w:val="es-ES"/>
        </w:rPr>
        <w:t xml:space="preserve">el </w:t>
      </w:r>
      <w:r>
        <w:rPr>
          <w:lang w:val="es-ES"/>
        </w:rPr>
        <w:t xml:space="preserve">volumen de usuarios. No obstante, esta información no es siempre pública y consistente entre los </w:t>
      </w:r>
      <w:r w:rsidR="008E30EC">
        <w:rPr>
          <w:lang w:val="es-ES"/>
        </w:rPr>
        <w:t xml:space="preserve">distintos </w:t>
      </w:r>
      <w:r>
        <w:rPr>
          <w:lang w:val="es-ES"/>
        </w:rPr>
        <w:t xml:space="preserve">operadores, por lo </w:t>
      </w:r>
      <w:proofErr w:type="gramStart"/>
      <w:r>
        <w:rPr>
          <w:lang w:val="es-ES"/>
        </w:rPr>
        <w:t>tanto</w:t>
      </w:r>
      <w:proofErr w:type="gramEnd"/>
      <w:r>
        <w:rPr>
          <w:lang w:val="es-ES"/>
        </w:rPr>
        <w:t xml:space="preserve"> se ha optado por realizar una desagregación cualitativa con base a la información pública de redes y operaciones de cada empresa. La tabla a continuación presenta esta desagregación para cada</w:t>
      </w:r>
      <w:r w:rsidR="007925C4">
        <w:rPr>
          <w:lang w:val="es-ES"/>
        </w:rPr>
        <w:t xml:space="preserve"> uno de los</w:t>
      </w:r>
      <w:r>
        <w:rPr>
          <w:lang w:val="es-ES"/>
        </w:rPr>
        <w:t xml:space="preserve"> operador</w:t>
      </w:r>
      <w:r w:rsidR="007925C4">
        <w:rPr>
          <w:lang w:val="es-ES"/>
        </w:rPr>
        <w:t>es</w:t>
      </w:r>
      <w:r>
        <w:rPr>
          <w:lang w:val="es-ES"/>
        </w:rPr>
        <w:t xml:space="preserve"> seleccionado</w:t>
      </w:r>
      <w:r w:rsidR="007925C4">
        <w:rPr>
          <w:lang w:val="es-ES"/>
        </w:rPr>
        <w:t>s</w:t>
      </w:r>
      <w:r>
        <w:rPr>
          <w:lang w:val="es-ES"/>
        </w:rPr>
        <w:t>:</w:t>
      </w:r>
    </w:p>
    <w:p w14:paraId="60322CEE" w14:textId="2029E388" w:rsidR="00C0600E" w:rsidRPr="00183A36" w:rsidRDefault="005918EB" w:rsidP="00C0600E">
      <w:pPr>
        <w:pStyle w:val="TableCaption"/>
        <w:rPr>
          <w:lang w:val="es-ES"/>
        </w:rPr>
      </w:pPr>
      <w:r>
        <w:rPr>
          <w:lang w:val="es-ES"/>
        </w:rPr>
        <w:t>Figura</w:t>
      </w:r>
      <w:r w:rsidR="00C0600E" w:rsidRPr="00183A36">
        <w:rPr>
          <w:lang w:val="es-ES"/>
        </w:rPr>
        <w:t xml:space="preserve"> </w:t>
      </w:r>
      <w:r w:rsidR="00C0600E">
        <w:rPr>
          <w:lang w:val="es-ES"/>
        </w:rPr>
        <w:fldChar w:fldCharType="begin"/>
      </w:r>
      <w:r w:rsidR="00C0600E" w:rsidRPr="00183A36">
        <w:rPr>
          <w:lang w:val="es-ES"/>
        </w:rPr>
        <w:instrText xml:space="preserve"> STYLEREF 1 \s \* MERGEFORMAT </w:instrText>
      </w:r>
      <w:r w:rsidR="00C0600E">
        <w:rPr>
          <w:lang w:val="es-ES"/>
        </w:rPr>
        <w:fldChar w:fldCharType="separate"/>
      </w:r>
      <w:r w:rsidR="001F1D48">
        <w:rPr>
          <w:noProof/>
          <w:lang w:val="es-ES"/>
        </w:rPr>
        <w:t>2</w:t>
      </w:r>
      <w:r w:rsidR="00C0600E">
        <w:rPr>
          <w:lang w:val="es-ES"/>
        </w:rPr>
        <w:fldChar w:fldCharType="end"/>
      </w:r>
      <w:r w:rsidR="00C0600E" w:rsidRPr="00183A36">
        <w:rPr>
          <w:lang w:val="es-ES"/>
        </w:rPr>
        <w:t>.</w:t>
      </w:r>
      <w:r w:rsidR="00C0600E">
        <w:rPr>
          <w:lang w:val="es-ES"/>
        </w:rPr>
        <w:fldChar w:fldCharType="begin"/>
      </w:r>
      <w:r w:rsidR="00C0600E" w:rsidRPr="00183A36">
        <w:rPr>
          <w:lang w:val="es-ES"/>
        </w:rPr>
        <w:instrText xml:space="preserve"> </w:instrText>
      </w:r>
      <w:r>
        <w:rPr>
          <w:lang w:val="es-ES"/>
        </w:rPr>
        <w:instrText>SEQ Ilustración</w:instrText>
      </w:r>
      <w:r w:rsidR="00C0600E" w:rsidRPr="00183A36">
        <w:rPr>
          <w:lang w:val="es-ES"/>
        </w:rPr>
        <w:instrText xml:space="preserve"> \* ARABIC \s 1 \* MERGEFORMAT </w:instrText>
      </w:r>
      <w:r w:rsidR="00C0600E">
        <w:rPr>
          <w:lang w:val="es-ES"/>
        </w:rPr>
        <w:fldChar w:fldCharType="separate"/>
      </w:r>
      <w:r w:rsidR="001F1D48">
        <w:rPr>
          <w:noProof/>
          <w:lang w:val="es-ES"/>
        </w:rPr>
        <w:t>1</w:t>
      </w:r>
      <w:r w:rsidR="00C0600E">
        <w:rPr>
          <w:lang w:val="es-ES"/>
        </w:rPr>
        <w:fldChar w:fldCharType="end"/>
      </w:r>
      <w:r w:rsidR="00C0600E" w:rsidRPr="00183A36">
        <w:rPr>
          <w:lang w:val="es-ES"/>
        </w:rPr>
        <w:t>: Tipo de operador para empresas comparables [</w:t>
      </w:r>
      <w:r>
        <w:rPr>
          <w:lang w:val="es-ES"/>
        </w:rPr>
        <w:t>Fuente</w:t>
      </w:r>
      <w:r w:rsidR="00C0600E" w:rsidRPr="00183A36">
        <w:rPr>
          <w:lang w:val="es-ES"/>
        </w:rPr>
        <w:t>: Analysys Mason, 2023]</w:t>
      </w:r>
    </w:p>
    <w:tbl>
      <w:tblPr>
        <w:tblStyle w:val="Sombreadomedio2-nfasis1"/>
        <w:tblW w:w="8721"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127"/>
        <w:gridCol w:w="4394"/>
        <w:gridCol w:w="2200"/>
      </w:tblGrid>
      <w:tr w:rsidR="00C0600E" w:rsidRPr="00A662E6" w14:paraId="2FFC94B3" w14:textId="77777777" w:rsidTr="00183A36">
        <w:trPr>
          <w:cnfStyle w:val="100000000000" w:firstRow="1" w:lastRow="0" w:firstColumn="0" w:lastColumn="0" w:oddVBand="0" w:evenVBand="0" w:oddHBand="0" w:evenHBand="0" w:firstRowFirstColumn="0" w:firstRowLastColumn="0" w:lastRowFirstColumn="0" w:lastRowLastColumn="0"/>
          <w:tblHeader/>
        </w:trPr>
        <w:tc>
          <w:tcPr>
            <w:tcW w:w="2127" w:type="dxa"/>
            <w:tcBorders>
              <w:bottom w:val="single" w:sz="18" w:space="0" w:color="FFFFFF"/>
            </w:tcBorders>
            <w:shd w:val="solid" w:color="0F51B1" w:fill="0F51B1"/>
          </w:tcPr>
          <w:p w14:paraId="7FF291FB" w14:textId="77777777" w:rsidR="00C0600E" w:rsidRPr="00A662E6" w:rsidRDefault="00C0600E" w:rsidP="00FB01AB">
            <w:pPr>
              <w:pStyle w:val="Tableheading"/>
              <w:rPr>
                <w:b/>
                <w:lang w:val="es-ES"/>
              </w:rPr>
            </w:pPr>
            <w:r>
              <w:rPr>
                <w:b/>
                <w:lang w:val="es-ES"/>
              </w:rPr>
              <w:t>Operador</w:t>
            </w:r>
          </w:p>
        </w:tc>
        <w:tc>
          <w:tcPr>
            <w:tcW w:w="4394" w:type="dxa"/>
            <w:tcBorders>
              <w:bottom w:val="single" w:sz="18" w:space="0" w:color="FFFFFF"/>
            </w:tcBorders>
            <w:shd w:val="solid" w:color="0F51B1" w:fill="0F51B1"/>
          </w:tcPr>
          <w:p w14:paraId="17D73D20" w14:textId="77777777" w:rsidR="00C0600E" w:rsidRPr="00A662E6" w:rsidRDefault="00C0600E" w:rsidP="00FB01AB">
            <w:pPr>
              <w:pStyle w:val="Tableheading"/>
              <w:rPr>
                <w:b/>
                <w:lang w:val="es-ES"/>
              </w:rPr>
            </w:pPr>
            <w:r>
              <w:rPr>
                <w:b/>
                <w:lang w:val="es-ES"/>
              </w:rPr>
              <w:t>Análisis cualitativo</w:t>
            </w:r>
          </w:p>
        </w:tc>
        <w:tc>
          <w:tcPr>
            <w:tcW w:w="2200" w:type="dxa"/>
            <w:tcBorders>
              <w:bottom w:val="single" w:sz="18" w:space="0" w:color="FFFFFF"/>
            </w:tcBorders>
            <w:shd w:val="solid" w:color="0F51B1" w:fill="0F51B1"/>
          </w:tcPr>
          <w:p w14:paraId="3750C0AE" w14:textId="77777777" w:rsidR="00C0600E" w:rsidRPr="00A662E6" w:rsidRDefault="00C0600E" w:rsidP="00FB01AB">
            <w:pPr>
              <w:pStyle w:val="Tableheading"/>
              <w:rPr>
                <w:b/>
                <w:lang w:val="es-ES"/>
              </w:rPr>
            </w:pPr>
            <w:r>
              <w:rPr>
                <w:b/>
                <w:lang w:val="es-ES"/>
              </w:rPr>
              <w:t>Tipo de operador</w:t>
            </w:r>
          </w:p>
        </w:tc>
      </w:tr>
      <w:tr w:rsidR="00C0600E" w14:paraId="515EBB7B" w14:textId="77777777" w:rsidTr="00183A36">
        <w:tc>
          <w:tcPr>
            <w:tcW w:w="2127" w:type="dxa"/>
            <w:tcBorders>
              <w:top w:val="single" w:sz="18" w:space="0" w:color="FFFFFF"/>
            </w:tcBorders>
          </w:tcPr>
          <w:p w14:paraId="07E1676E" w14:textId="77777777" w:rsidR="00C0600E" w:rsidRDefault="00C0600E" w:rsidP="00FB01AB">
            <w:pPr>
              <w:pStyle w:val="Tablecells"/>
              <w:rPr>
                <w:lang w:val="es-ES"/>
              </w:rPr>
            </w:pPr>
            <w:r w:rsidRPr="006B7A81">
              <w:rPr>
                <w:lang w:val="es-ES"/>
              </w:rPr>
              <w:t>América Móvil</w:t>
            </w:r>
          </w:p>
        </w:tc>
        <w:tc>
          <w:tcPr>
            <w:tcW w:w="4394" w:type="dxa"/>
            <w:tcBorders>
              <w:top w:val="single" w:sz="18" w:space="0" w:color="FFFFFF"/>
            </w:tcBorders>
          </w:tcPr>
          <w:p w14:paraId="6D49969D" w14:textId="4D19A3D9" w:rsidR="00C0600E" w:rsidRDefault="006D3CF7" w:rsidP="00FB01AB">
            <w:pPr>
              <w:pStyle w:val="Tablecells"/>
              <w:rPr>
                <w:lang w:val="es-ES"/>
              </w:rPr>
            </w:pPr>
            <w:r>
              <w:rPr>
                <w:lang w:val="es-ES"/>
              </w:rPr>
              <w:t>AEP</w:t>
            </w:r>
            <w:r w:rsidR="00C0600E">
              <w:rPr>
                <w:lang w:val="es-ES"/>
              </w:rPr>
              <w:t xml:space="preserve"> en </w:t>
            </w:r>
            <w:r w:rsidR="00626FF8">
              <w:rPr>
                <w:lang w:val="es-ES"/>
              </w:rPr>
              <w:t xml:space="preserve">el mercado de las telecomunicaciones </w:t>
            </w:r>
            <w:r w:rsidR="00C0600E">
              <w:rPr>
                <w:lang w:val="es-ES"/>
              </w:rPr>
              <w:t>fijas (Telmex, RNUM) y móviles (Telcel)</w:t>
            </w:r>
            <w:r w:rsidR="00626FF8">
              <w:rPr>
                <w:lang w:val="es-ES"/>
              </w:rPr>
              <w:t xml:space="preserve"> en México</w:t>
            </w:r>
          </w:p>
        </w:tc>
        <w:tc>
          <w:tcPr>
            <w:tcW w:w="2200" w:type="dxa"/>
            <w:tcBorders>
              <w:top w:val="single" w:sz="18" w:space="0" w:color="FFFFFF"/>
            </w:tcBorders>
          </w:tcPr>
          <w:p w14:paraId="3B23F2F5" w14:textId="77777777" w:rsidR="00C0600E" w:rsidRDefault="00C0600E" w:rsidP="00FB01AB">
            <w:pPr>
              <w:pStyle w:val="Tablecells"/>
              <w:rPr>
                <w:lang w:val="es-ES"/>
              </w:rPr>
            </w:pPr>
            <w:r>
              <w:rPr>
                <w:lang w:val="es-ES"/>
              </w:rPr>
              <w:t>H</w:t>
            </w:r>
            <w:r w:rsidRPr="006B7A81">
              <w:rPr>
                <w:lang w:val="es-ES"/>
              </w:rPr>
              <w:t>íbrido fijo–móvil</w:t>
            </w:r>
          </w:p>
        </w:tc>
      </w:tr>
      <w:tr w:rsidR="00C0600E" w14:paraId="7FB98074" w14:textId="77777777" w:rsidTr="00183A36">
        <w:tc>
          <w:tcPr>
            <w:tcW w:w="2127" w:type="dxa"/>
          </w:tcPr>
          <w:p w14:paraId="5B63A551" w14:textId="77777777" w:rsidR="00C0600E" w:rsidRDefault="00C0600E" w:rsidP="00FB01AB">
            <w:pPr>
              <w:pStyle w:val="Tablecells"/>
              <w:rPr>
                <w:lang w:val="es-ES"/>
              </w:rPr>
            </w:pPr>
            <w:r w:rsidRPr="006B7A81">
              <w:rPr>
                <w:lang w:val="es-ES"/>
              </w:rPr>
              <w:t>AT&amp;T</w:t>
            </w:r>
          </w:p>
        </w:tc>
        <w:tc>
          <w:tcPr>
            <w:tcW w:w="4394" w:type="dxa"/>
          </w:tcPr>
          <w:p w14:paraId="18C9F65C" w14:textId="77777777" w:rsidR="00C0600E" w:rsidRDefault="00C0600E" w:rsidP="00FB01AB">
            <w:pPr>
              <w:pStyle w:val="Tablecells"/>
              <w:rPr>
                <w:lang w:val="es-ES"/>
              </w:rPr>
            </w:pPr>
            <w:r>
              <w:rPr>
                <w:lang w:val="es-ES"/>
              </w:rPr>
              <w:t>Segundo operador móvil en México, con red propia, y uno de los mayores operadores móviles en Estados Unidos</w:t>
            </w:r>
          </w:p>
        </w:tc>
        <w:tc>
          <w:tcPr>
            <w:tcW w:w="2200" w:type="dxa"/>
          </w:tcPr>
          <w:p w14:paraId="16FCEA69" w14:textId="77777777" w:rsidR="00C0600E" w:rsidRDefault="00C0600E" w:rsidP="00FB01AB">
            <w:pPr>
              <w:pStyle w:val="Tablecells"/>
              <w:rPr>
                <w:lang w:val="es-ES"/>
              </w:rPr>
            </w:pPr>
            <w:r>
              <w:rPr>
                <w:lang w:val="es-ES"/>
              </w:rPr>
              <w:t>P</w:t>
            </w:r>
            <w:r w:rsidRPr="006B7A81">
              <w:rPr>
                <w:lang w:val="es-ES"/>
              </w:rPr>
              <w:t>redominantemente móvil</w:t>
            </w:r>
          </w:p>
        </w:tc>
      </w:tr>
      <w:tr w:rsidR="00CF7E9D" w14:paraId="0112E43F" w14:textId="77777777" w:rsidTr="00183A36">
        <w:tc>
          <w:tcPr>
            <w:tcW w:w="2127" w:type="dxa"/>
          </w:tcPr>
          <w:p w14:paraId="0A81D8D5" w14:textId="16AFC568" w:rsidR="00CF7E9D" w:rsidRDefault="00CF7E9D" w:rsidP="00CF7E9D">
            <w:pPr>
              <w:pStyle w:val="Tablecells"/>
              <w:rPr>
                <w:lang w:val="es-ES"/>
              </w:rPr>
            </w:pPr>
            <w:r>
              <w:rPr>
                <w:lang w:val="es-ES"/>
              </w:rPr>
              <w:t>Axtel</w:t>
            </w:r>
          </w:p>
        </w:tc>
        <w:tc>
          <w:tcPr>
            <w:tcW w:w="4394" w:type="dxa"/>
          </w:tcPr>
          <w:p w14:paraId="32680C11" w14:textId="22D570DC" w:rsidR="00CF7E9D" w:rsidRDefault="00B724C3" w:rsidP="00CF7E9D">
            <w:pPr>
              <w:pStyle w:val="Tablecells"/>
              <w:rPr>
                <w:lang w:val="es-ES"/>
              </w:rPr>
            </w:pPr>
            <w:r>
              <w:rPr>
                <w:lang w:val="es-ES"/>
              </w:rPr>
              <w:t xml:space="preserve">Operador </w:t>
            </w:r>
            <w:r w:rsidR="004F7AAA">
              <w:rPr>
                <w:lang w:val="es-ES"/>
              </w:rPr>
              <w:t xml:space="preserve">que ofrece servicios </w:t>
            </w:r>
            <w:r w:rsidR="00E971C8">
              <w:rPr>
                <w:lang w:val="es-ES"/>
              </w:rPr>
              <w:t xml:space="preserve">exclusivamente </w:t>
            </w:r>
            <w:r w:rsidR="00970AC5">
              <w:rPr>
                <w:lang w:val="es-ES"/>
              </w:rPr>
              <w:t xml:space="preserve">servicios </w:t>
            </w:r>
            <w:r w:rsidR="00E971C8">
              <w:rPr>
                <w:lang w:val="es-ES"/>
              </w:rPr>
              <w:t>fijo</w:t>
            </w:r>
            <w:r w:rsidR="004F7AAA">
              <w:rPr>
                <w:lang w:val="es-ES"/>
              </w:rPr>
              <w:t>s</w:t>
            </w:r>
            <w:r w:rsidR="00E971C8">
              <w:rPr>
                <w:lang w:val="es-ES"/>
              </w:rPr>
              <w:t xml:space="preserve"> en México</w:t>
            </w:r>
          </w:p>
        </w:tc>
        <w:tc>
          <w:tcPr>
            <w:tcW w:w="2200" w:type="dxa"/>
          </w:tcPr>
          <w:p w14:paraId="5CA3B3DA" w14:textId="0DD3AA86" w:rsidR="00CF7E9D" w:rsidRDefault="00CF7E9D" w:rsidP="00CF7E9D">
            <w:pPr>
              <w:pStyle w:val="Tablecells"/>
              <w:rPr>
                <w:lang w:val="es-ES"/>
              </w:rPr>
            </w:pPr>
            <w:r>
              <w:rPr>
                <w:lang w:val="es-ES"/>
              </w:rPr>
              <w:t>P</w:t>
            </w:r>
            <w:r w:rsidRPr="006B7A81">
              <w:rPr>
                <w:lang w:val="es-ES"/>
              </w:rPr>
              <w:t xml:space="preserve">redominantemente </w:t>
            </w:r>
            <w:r w:rsidR="00B84762">
              <w:rPr>
                <w:lang w:val="es-ES"/>
              </w:rPr>
              <w:t>fijo</w:t>
            </w:r>
          </w:p>
        </w:tc>
      </w:tr>
      <w:tr w:rsidR="008D6805" w:rsidRPr="005819D6" w14:paraId="03265C04" w14:textId="77777777" w:rsidTr="00183A36">
        <w:tc>
          <w:tcPr>
            <w:tcW w:w="2127" w:type="dxa"/>
          </w:tcPr>
          <w:p w14:paraId="1E75EBDD" w14:textId="07AAAE10" w:rsidR="008D6805" w:rsidRPr="00FB01AB" w:rsidRDefault="008D6805" w:rsidP="008D6805">
            <w:pPr>
              <w:pStyle w:val="Tablecells"/>
              <w:rPr>
                <w:highlight w:val="yellow"/>
                <w:lang w:val="es-ES"/>
              </w:rPr>
            </w:pPr>
            <w:r w:rsidRPr="009E0450">
              <w:rPr>
                <w:lang w:val="es-ES"/>
              </w:rPr>
              <w:t>Empresa de Telecomunicaciones de Bogotá</w:t>
            </w:r>
          </w:p>
        </w:tc>
        <w:tc>
          <w:tcPr>
            <w:tcW w:w="4394" w:type="dxa"/>
          </w:tcPr>
          <w:p w14:paraId="2CE64E36" w14:textId="78E37E61" w:rsidR="008D6805" w:rsidRDefault="008D6805" w:rsidP="008D6805">
            <w:pPr>
              <w:pStyle w:val="Tablecells"/>
              <w:rPr>
                <w:lang w:val="es-ES"/>
              </w:rPr>
            </w:pPr>
            <w:r>
              <w:rPr>
                <w:lang w:val="es-ES"/>
              </w:rPr>
              <w:t>Quinto operador móvil y cuarto operador fijo en Colombia, con red propia en ambos servicios. No obstante, la presencia de la red fija es más material que la red móvil, donde presenta un alcance más limitado</w:t>
            </w:r>
          </w:p>
        </w:tc>
        <w:tc>
          <w:tcPr>
            <w:tcW w:w="2200" w:type="dxa"/>
          </w:tcPr>
          <w:p w14:paraId="1A5327B0" w14:textId="61F12A47" w:rsidR="008D6805" w:rsidRDefault="008D6805" w:rsidP="008D6805">
            <w:pPr>
              <w:pStyle w:val="Tablecells"/>
              <w:rPr>
                <w:lang w:val="es-ES"/>
              </w:rPr>
            </w:pPr>
            <w:r>
              <w:rPr>
                <w:lang w:val="es-ES"/>
              </w:rPr>
              <w:t>P</w:t>
            </w:r>
            <w:r w:rsidRPr="006B7A81">
              <w:rPr>
                <w:lang w:val="es-ES"/>
              </w:rPr>
              <w:t xml:space="preserve">redominantemente </w:t>
            </w:r>
            <w:r>
              <w:rPr>
                <w:lang w:val="es-ES"/>
              </w:rPr>
              <w:t>fijo</w:t>
            </w:r>
          </w:p>
        </w:tc>
      </w:tr>
      <w:tr w:rsidR="00CF7E9D" w:rsidRPr="005819D6" w14:paraId="0CA7AF81" w14:textId="77777777" w:rsidTr="00183A36">
        <w:tc>
          <w:tcPr>
            <w:tcW w:w="2127" w:type="dxa"/>
          </w:tcPr>
          <w:p w14:paraId="08D1BF39" w14:textId="3D397D88" w:rsidR="00CF7E9D" w:rsidRPr="00FB01AB" w:rsidRDefault="00CF7E9D" w:rsidP="00CF7E9D">
            <w:pPr>
              <w:pStyle w:val="Tablecells"/>
              <w:rPr>
                <w:highlight w:val="yellow"/>
                <w:lang w:val="es-ES"/>
              </w:rPr>
            </w:pPr>
            <w:r w:rsidRPr="009E0450">
              <w:rPr>
                <w:lang w:val="es-ES"/>
              </w:rPr>
              <w:t>Empresa Nacional de Telecomunicaciones (ENTEL)</w:t>
            </w:r>
          </w:p>
        </w:tc>
        <w:tc>
          <w:tcPr>
            <w:tcW w:w="4394" w:type="dxa"/>
          </w:tcPr>
          <w:p w14:paraId="71A1A839" w14:textId="3ABEE8EB" w:rsidR="00CF7E9D" w:rsidRDefault="00472AFF" w:rsidP="00CF7E9D">
            <w:pPr>
              <w:pStyle w:val="Tablecells"/>
              <w:rPr>
                <w:lang w:val="es-ES"/>
              </w:rPr>
            </w:pPr>
            <w:r>
              <w:rPr>
                <w:lang w:val="es-ES"/>
              </w:rPr>
              <w:t>Operad</w:t>
            </w:r>
            <w:r w:rsidR="00C82D5E">
              <w:rPr>
                <w:lang w:val="es-ES"/>
              </w:rPr>
              <w:t xml:space="preserve">or </w:t>
            </w:r>
            <w:r w:rsidR="00AB5816">
              <w:rPr>
                <w:lang w:val="es-ES"/>
              </w:rPr>
              <w:t xml:space="preserve">con </w:t>
            </w:r>
            <w:r w:rsidR="00C271EC">
              <w:rPr>
                <w:lang w:val="es-ES"/>
              </w:rPr>
              <w:t xml:space="preserve">gran foco en </w:t>
            </w:r>
            <w:r w:rsidR="00947793">
              <w:rPr>
                <w:lang w:val="es-ES"/>
              </w:rPr>
              <w:t xml:space="preserve">el </w:t>
            </w:r>
            <w:r w:rsidR="00C271EC">
              <w:rPr>
                <w:lang w:val="es-ES"/>
              </w:rPr>
              <w:t xml:space="preserve">segmento móvil </w:t>
            </w:r>
            <w:r w:rsidR="00947793">
              <w:rPr>
                <w:lang w:val="es-ES"/>
              </w:rPr>
              <w:t xml:space="preserve">en </w:t>
            </w:r>
            <w:r w:rsidR="00C271EC">
              <w:rPr>
                <w:lang w:val="es-ES"/>
              </w:rPr>
              <w:t xml:space="preserve">Chile, donde es el </w:t>
            </w:r>
            <w:r w:rsidR="00C82D5E">
              <w:rPr>
                <w:lang w:val="es-ES"/>
              </w:rPr>
              <w:t xml:space="preserve">líder en </w:t>
            </w:r>
            <w:r w:rsidR="00947793">
              <w:rPr>
                <w:lang w:val="es-ES"/>
              </w:rPr>
              <w:t xml:space="preserve">términos de </w:t>
            </w:r>
            <w:r w:rsidR="00C82D5E">
              <w:rPr>
                <w:lang w:val="es-ES"/>
              </w:rPr>
              <w:t>usuarios</w:t>
            </w:r>
            <w:r w:rsidR="00DB3463">
              <w:rPr>
                <w:lang w:val="es-ES"/>
              </w:rPr>
              <w:t>.</w:t>
            </w:r>
            <w:r w:rsidR="00C271EC">
              <w:rPr>
                <w:lang w:val="es-ES"/>
              </w:rPr>
              <w:t xml:space="preserve"> </w:t>
            </w:r>
            <w:r w:rsidR="00DB3463">
              <w:rPr>
                <w:lang w:val="es-ES"/>
              </w:rPr>
              <w:t>E</w:t>
            </w:r>
            <w:r w:rsidR="00C271EC">
              <w:rPr>
                <w:lang w:val="es-ES"/>
              </w:rPr>
              <w:t xml:space="preserve">n </w:t>
            </w:r>
            <w:r w:rsidR="004C6761">
              <w:rPr>
                <w:lang w:val="es-ES"/>
              </w:rPr>
              <w:t xml:space="preserve">redes </w:t>
            </w:r>
            <w:r w:rsidR="00C271EC">
              <w:rPr>
                <w:lang w:val="es-ES"/>
              </w:rPr>
              <w:t>fij</w:t>
            </w:r>
            <w:r w:rsidR="004C6761">
              <w:rPr>
                <w:lang w:val="es-ES"/>
              </w:rPr>
              <w:t>as</w:t>
            </w:r>
            <w:r w:rsidR="00DB3463">
              <w:rPr>
                <w:lang w:val="es-ES"/>
              </w:rPr>
              <w:t>,</w:t>
            </w:r>
            <w:r w:rsidR="00C271EC">
              <w:rPr>
                <w:lang w:val="es-ES"/>
              </w:rPr>
              <w:t xml:space="preserve"> </w:t>
            </w:r>
            <w:r w:rsidR="00D33DBB">
              <w:rPr>
                <w:lang w:val="es-ES"/>
              </w:rPr>
              <w:t xml:space="preserve">ENTEL comienza a tener una presencia relevante, no obstante, </w:t>
            </w:r>
            <w:r w:rsidR="000F080B">
              <w:rPr>
                <w:lang w:val="es-ES"/>
              </w:rPr>
              <w:t xml:space="preserve">su participación en este mercado </w:t>
            </w:r>
            <w:r w:rsidR="00D33DBB">
              <w:rPr>
                <w:lang w:val="es-ES"/>
              </w:rPr>
              <w:t xml:space="preserve">todavía es </w:t>
            </w:r>
            <w:r w:rsidR="00DB3463">
              <w:rPr>
                <w:lang w:val="es-ES"/>
              </w:rPr>
              <w:t xml:space="preserve">significativamente menor </w:t>
            </w:r>
            <w:r w:rsidR="00D33DBB">
              <w:rPr>
                <w:lang w:val="es-ES"/>
              </w:rPr>
              <w:t xml:space="preserve">que </w:t>
            </w:r>
            <w:r w:rsidR="00947793">
              <w:rPr>
                <w:lang w:val="es-ES"/>
              </w:rPr>
              <w:t xml:space="preserve">la </w:t>
            </w:r>
            <w:r w:rsidR="000F080B">
              <w:rPr>
                <w:lang w:val="es-ES"/>
              </w:rPr>
              <w:t xml:space="preserve">que ostenta </w:t>
            </w:r>
            <w:r w:rsidR="00ED4479">
              <w:rPr>
                <w:lang w:val="es-ES"/>
              </w:rPr>
              <w:t>en el</w:t>
            </w:r>
            <w:r w:rsidR="00947793">
              <w:rPr>
                <w:lang w:val="es-ES"/>
              </w:rPr>
              <w:t xml:space="preserve"> </w:t>
            </w:r>
            <w:r w:rsidR="00ED4479">
              <w:rPr>
                <w:lang w:val="es-ES"/>
              </w:rPr>
              <w:t xml:space="preserve">mercado </w:t>
            </w:r>
            <w:r w:rsidR="00D33DBB">
              <w:rPr>
                <w:lang w:val="es-ES"/>
              </w:rPr>
              <w:t>móvil</w:t>
            </w:r>
          </w:p>
        </w:tc>
        <w:tc>
          <w:tcPr>
            <w:tcW w:w="2200" w:type="dxa"/>
          </w:tcPr>
          <w:p w14:paraId="61BF8D96" w14:textId="77339001" w:rsidR="00CF7E9D" w:rsidRDefault="00CF7E9D" w:rsidP="00CF7E9D">
            <w:pPr>
              <w:pStyle w:val="Tablecells"/>
              <w:rPr>
                <w:lang w:val="es-ES"/>
              </w:rPr>
            </w:pPr>
            <w:r>
              <w:rPr>
                <w:lang w:val="es-ES"/>
              </w:rPr>
              <w:t>P</w:t>
            </w:r>
            <w:r w:rsidRPr="006B7A81">
              <w:rPr>
                <w:lang w:val="es-ES"/>
              </w:rPr>
              <w:t>redominantemente móvil</w:t>
            </w:r>
          </w:p>
        </w:tc>
      </w:tr>
      <w:tr w:rsidR="00CF7E9D" w:rsidRPr="005819D6" w14:paraId="54FC0FF5" w14:textId="77777777" w:rsidTr="00183A36">
        <w:tc>
          <w:tcPr>
            <w:tcW w:w="2127" w:type="dxa"/>
          </w:tcPr>
          <w:p w14:paraId="093A160A" w14:textId="759CEEB5" w:rsidR="00CF7E9D" w:rsidRPr="00FB01AB" w:rsidRDefault="00CF7E9D" w:rsidP="00CF7E9D">
            <w:pPr>
              <w:pStyle w:val="Tablecells"/>
              <w:rPr>
                <w:highlight w:val="yellow"/>
                <w:lang w:val="es-ES"/>
              </w:rPr>
            </w:pPr>
            <w:r w:rsidRPr="009E0450">
              <w:rPr>
                <w:lang w:val="es-ES"/>
              </w:rPr>
              <w:t>Megacable Holdings</w:t>
            </w:r>
          </w:p>
        </w:tc>
        <w:tc>
          <w:tcPr>
            <w:tcW w:w="4394" w:type="dxa"/>
          </w:tcPr>
          <w:p w14:paraId="146C3EC0" w14:textId="479C1A05" w:rsidR="00CF7E9D" w:rsidRDefault="00EF605D" w:rsidP="00CF7E9D">
            <w:pPr>
              <w:pStyle w:val="Tablecells"/>
              <w:rPr>
                <w:lang w:val="es-ES"/>
              </w:rPr>
            </w:pPr>
            <w:r>
              <w:rPr>
                <w:lang w:val="es-ES"/>
              </w:rPr>
              <w:t xml:space="preserve">Cuarto operador fijo </w:t>
            </w:r>
            <w:r w:rsidR="00947793">
              <w:rPr>
                <w:lang w:val="es-ES"/>
              </w:rPr>
              <w:t xml:space="preserve">en términos de </w:t>
            </w:r>
            <w:r>
              <w:rPr>
                <w:lang w:val="es-ES"/>
              </w:rPr>
              <w:t xml:space="preserve">usuarios en </w:t>
            </w:r>
            <w:r w:rsidR="001C095C">
              <w:rPr>
                <w:lang w:val="es-ES"/>
              </w:rPr>
              <w:t>México</w:t>
            </w:r>
            <w:r w:rsidR="00947793">
              <w:rPr>
                <w:lang w:val="es-ES"/>
              </w:rPr>
              <w:t>,</w:t>
            </w:r>
            <w:r w:rsidR="00757DFD">
              <w:rPr>
                <w:lang w:val="es-ES"/>
              </w:rPr>
              <w:t xml:space="preserve"> con </w:t>
            </w:r>
            <w:r w:rsidR="009E2050">
              <w:rPr>
                <w:lang w:val="es-ES"/>
              </w:rPr>
              <w:t>un</w:t>
            </w:r>
            <w:r w:rsidR="00635CC1">
              <w:rPr>
                <w:lang w:val="es-ES"/>
              </w:rPr>
              <w:t>a</w:t>
            </w:r>
            <w:r w:rsidR="009E2050">
              <w:rPr>
                <w:lang w:val="es-ES"/>
              </w:rPr>
              <w:t xml:space="preserve"> de las </w:t>
            </w:r>
            <w:r w:rsidR="00757DFD">
              <w:rPr>
                <w:lang w:val="es-ES"/>
              </w:rPr>
              <w:t>mayor</w:t>
            </w:r>
            <w:r w:rsidR="009E2050">
              <w:rPr>
                <w:lang w:val="es-ES"/>
              </w:rPr>
              <w:t>es</w:t>
            </w:r>
            <w:r w:rsidR="00757DFD">
              <w:rPr>
                <w:lang w:val="es-ES"/>
              </w:rPr>
              <w:t xml:space="preserve"> red</w:t>
            </w:r>
            <w:r w:rsidR="009E2050">
              <w:rPr>
                <w:lang w:val="es-ES"/>
              </w:rPr>
              <w:t>es</w:t>
            </w:r>
            <w:r w:rsidR="00757DFD">
              <w:rPr>
                <w:lang w:val="es-ES"/>
              </w:rPr>
              <w:t xml:space="preserve"> de </w:t>
            </w:r>
            <w:r w:rsidR="000678A5">
              <w:rPr>
                <w:lang w:val="es-ES"/>
              </w:rPr>
              <w:t>cable</w:t>
            </w:r>
            <w:r w:rsidR="00757DFD">
              <w:rPr>
                <w:lang w:val="es-ES"/>
              </w:rPr>
              <w:t xml:space="preserve"> </w:t>
            </w:r>
            <w:r w:rsidR="009E2050">
              <w:rPr>
                <w:lang w:val="es-ES"/>
              </w:rPr>
              <w:t>d</w:t>
            </w:r>
            <w:r w:rsidR="003C3BD1">
              <w:rPr>
                <w:lang w:val="es-ES"/>
              </w:rPr>
              <w:t>el país.</w:t>
            </w:r>
            <w:r w:rsidR="009E2050">
              <w:rPr>
                <w:lang w:val="es-ES"/>
              </w:rPr>
              <w:t xml:space="preserve"> En el segmento móvil participa como operador virtual</w:t>
            </w:r>
            <w:r w:rsidR="00635CC1">
              <w:rPr>
                <w:lang w:val="es-ES"/>
              </w:rPr>
              <w:t>, a través de la red de Alt</w:t>
            </w:r>
            <w:r w:rsidR="00B54FA2">
              <w:rPr>
                <w:lang w:val="es-ES"/>
              </w:rPr>
              <w:t>á</w:t>
            </w:r>
            <w:r w:rsidR="00635CC1">
              <w:rPr>
                <w:lang w:val="es-ES"/>
              </w:rPr>
              <w:t>n</w:t>
            </w:r>
          </w:p>
        </w:tc>
        <w:tc>
          <w:tcPr>
            <w:tcW w:w="2200" w:type="dxa"/>
          </w:tcPr>
          <w:p w14:paraId="17AFF94F" w14:textId="01B51B71" w:rsidR="00CF7E9D" w:rsidRDefault="00CF7E9D" w:rsidP="00CF7E9D">
            <w:pPr>
              <w:pStyle w:val="Tablecells"/>
              <w:rPr>
                <w:lang w:val="es-ES"/>
              </w:rPr>
            </w:pPr>
            <w:r>
              <w:rPr>
                <w:lang w:val="es-ES"/>
              </w:rPr>
              <w:t>P</w:t>
            </w:r>
            <w:r w:rsidRPr="006B7A81">
              <w:rPr>
                <w:lang w:val="es-ES"/>
              </w:rPr>
              <w:t xml:space="preserve">redominantemente </w:t>
            </w:r>
            <w:r w:rsidR="00B84762">
              <w:rPr>
                <w:lang w:val="es-ES"/>
              </w:rPr>
              <w:t>fijo</w:t>
            </w:r>
          </w:p>
        </w:tc>
      </w:tr>
      <w:tr w:rsidR="00CF7E9D" w:rsidRPr="005819D6" w14:paraId="6649010E" w14:textId="77777777" w:rsidTr="00183A36">
        <w:tc>
          <w:tcPr>
            <w:tcW w:w="2127" w:type="dxa"/>
          </w:tcPr>
          <w:p w14:paraId="1FE92167" w14:textId="3D96D406" w:rsidR="00CF7E9D" w:rsidRPr="00FB01AB" w:rsidRDefault="00CF7E9D" w:rsidP="00CF7E9D">
            <w:pPr>
              <w:pStyle w:val="Tablecells"/>
              <w:rPr>
                <w:highlight w:val="yellow"/>
                <w:lang w:val="es-ES"/>
              </w:rPr>
            </w:pPr>
            <w:r w:rsidRPr="00FB73D7">
              <w:rPr>
                <w:lang w:val="es-ES"/>
              </w:rPr>
              <w:t>Millicom International Cellular</w:t>
            </w:r>
          </w:p>
        </w:tc>
        <w:tc>
          <w:tcPr>
            <w:tcW w:w="4394" w:type="dxa"/>
          </w:tcPr>
          <w:p w14:paraId="4DB33014" w14:textId="4A9F1CAA" w:rsidR="00CF7E9D" w:rsidRDefault="00E70207" w:rsidP="00CF7E9D">
            <w:pPr>
              <w:pStyle w:val="Tablecells"/>
              <w:rPr>
                <w:lang w:val="es-ES"/>
              </w:rPr>
            </w:pPr>
            <w:r>
              <w:rPr>
                <w:lang w:val="es-ES"/>
              </w:rPr>
              <w:t xml:space="preserve">Tercer operador móvil </w:t>
            </w:r>
            <w:r w:rsidR="00947793">
              <w:rPr>
                <w:lang w:val="es-ES"/>
              </w:rPr>
              <w:t xml:space="preserve">en términos de </w:t>
            </w:r>
            <w:r>
              <w:rPr>
                <w:lang w:val="es-ES"/>
              </w:rPr>
              <w:t xml:space="preserve">usuarios </w:t>
            </w:r>
            <w:r w:rsidR="005A229D">
              <w:rPr>
                <w:lang w:val="es-ES"/>
              </w:rPr>
              <w:t>y segundo operador fijo en Colombia, con red propia en ambos servicios</w:t>
            </w:r>
            <w:r w:rsidR="00435C5E">
              <w:rPr>
                <w:lang w:val="es-ES"/>
              </w:rPr>
              <w:t>. También opera en otros países de Latinoamérica, con servicios sobre redes fijas y sobre redes móviles</w:t>
            </w:r>
          </w:p>
        </w:tc>
        <w:tc>
          <w:tcPr>
            <w:tcW w:w="2200" w:type="dxa"/>
          </w:tcPr>
          <w:p w14:paraId="6E4849ED" w14:textId="551B8058" w:rsidR="00CF7E9D" w:rsidRDefault="00B84762" w:rsidP="00CF7E9D">
            <w:pPr>
              <w:pStyle w:val="Tablecells"/>
              <w:rPr>
                <w:lang w:val="es-ES"/>
              </w:rPr>
            </w:pPr>
            <w:r w:rsidRPr="00B84762">
              <w:rPr>
                <w:lang w:val="es-ES"/>
              </w:rPr>
              <w:t>Híbrido fijo</w:t>
            </w:r>
            <w:r w:rsidR="00947793">
              <w:rPr>
                <w:lang w:val="es-ES"/>
              </w:rPr>
              <w:t>–</w:t>
            </w:r>
            <w:r w:rsidRPr="00B84762">
              <w:rPr>
                <w:lang w:val="es-ES"/>
              </w:rPr>
              <w:t>móvil</w:t>
            </w:r>
          </w:p>
        </w:tc>
      </w:tr>
      <w:tr w:rsidR="00CF7E9D" w:rsidRPr="005819D6" w14:paraId="613A520D" w14:textId="77777777" w:rsidTr="00183A36">
        <w:tc>
          <w:tcPr>
            <w:tcW w:w="2127" w:type="dxa"/>
          </w:tcPr>
          <w:p w14:paraId="3160DE35" w14:textId="2CDA8394" w:rsidR="00CF7E9D" w:rsidRPr="00FB01AB" w:rsidRDefault="00CF7E9D" w:rsidP="00CF7E9D">
            <w:pPr>
              <w:pStyle w:val="Tablecells"/>
              <w:rPr>
                <w:highlight w:val="yellow"/>
                <w:lang w:val="es-ES"/>
              </w:rPr>
            </w:pPr>
            <w:r w:rsidRPr="009E0450">
              <w:rPr>
                <w:lang w:val="es-ES"/>
              </w:rPr>
              <w:t>Telefónica</w:t>
            </w:r>
            <w:r>
              <w:rPr>
                <w:lang w:val="es-ES"/>
              </w:rPr>
              <w:t xml:space="preserve"> </w:t>
            </w:r>
            <w:r w:rsidRPr="009E0450">
              <w:rPr>
                <w:lang w:val="es-ES"/>
              </w:rPr>
              <w:t>Brasil</w:t>
            </w:r>
          </w:p>
        </w:tc>
        <w:tc>
          <w:tcPr>
            <w:tcW w:w="4394" w:type="dxa"/>
          </w:tcPr>
          <w:p w14:paraId="6C396ACC" w14:textId="737C639D" w:rsidR="00CF7E9D" w:rsidRDefault="00A31832" w:rsidP="00CF7E9D">
            <w:pPr>
              <w:pStyle w:val="Tablecells"/>
              <w:rPr>
                <w:lang w:val="es-ES"/>
              </w:rPr>
            </w:pPr>
            <w:r>
              <w:rPr>
                <w:lang w:val="es-ES"/>
              </w:rPr>
              <w:t xml:space="preserve">Operador móvil líder </w:t>
            </w:r>
            <w:r w:rsidR="00947793">
              <w:rPr>
                <w:lang w:val="es-ES"/>
              </w:rPr>
              <w:t xml:space="preserve">en términos de </w:t>
            </w:r>
            <w:r>
              <w:rPr>
                <w:lang w:val="es-ES"/>
              </w:rPr>
              <w:t>usuarios en Brasil</w:t>
            </w:r>
            <w:r w:rsidR="009E2CF4">
              <w:rPr>
                <w:lang w:val="es-ES"/>
              </w:rPr>
              <w:t xml:space="preserve">. A pesar de ser el segundo operador </w:t>
            </w:r>
            <w:r w:rsidR="00947793">
              <w:rPr>
                <w:lang w:val="es-ES"/>
              </w:rPr>
              <w:t>en el mercado fijo</w:t>
            </w:r>
            <w:r w:rsidR="009E2CF4">
              <w:rPr>
                <w:lang w:val="es-ES"/>
              </w:rPr>
              <w:t>, su participación</w:t>
            </w:r>
            <w:r w:rsidR="003113CB">
              <w:rPr>
                <w:lang w:val="es-ES"/>
              </w:rPr>
              <w:t xml:space="preserve"> en términos de usuarios en este mercado</w:t>
            </w:r>
            <w:r w:rsidR="009E2CF4">
              <w:rPr>
                <w:lang w:val="es-ES"/>
              </w:rPr>
              <w:t xml:space="preserve"> es significativamente menor </w:t>
            </w:r>
            <w:r w:rsidR="003113CB">
              <w:rPr>
                <w:lang w:val="es-ES"/>
              </w:rPr>
              <w:t>a la que ostenta en el mercado móvil</w:t>
            </w:r>
          </w:p>
        </w:tc>
        <w:tc>
          <w:tcPr>
            <w:tcW w:w="2200" w:type="dxa"/>
          </w:tcPr>
          <w:p w14:paraId="71C30240" w14:textId="16A213E9" w:rsidR="00CF7E9D" w:rsidRDefault="00CF7E9D" w:rsidP="00CF7E9D">
            <w:pPr>
              <w:pStyle w:val="Tablecells"/>
              <w:rPr>
                <w:lang w:val="es-ES"/>
              </w:rPr>
            </w:pPr>
            <w:r>
              <w:rPr>
                <w:lang w:val="es-ES"/>
              </w:rPr>
              <w:t>P</w:t>
            </w:r>
            <w:r w:rsidRPr="006B7A81">
              <w:rPr>
                <w:lang w:val="es-ES"/>
              </w:rPr>
              <w:t>redominantemente móvil</w:t>
            </w:r>
          </w:p>
        </w:tc>
      </w:tr>
      <w:tr w:rsidR="00CF7E9D" w:rsidRPr="005819D6" w14:paraId="51292A1E" w14:textId="77777777" w:rsidTr="00183A36">
        <w:tc>
          <w:tcPr>
            <w:tcW w:w="2127" w:type="dxa"/>
          </w:tcPr>
          <w:p w14:paraId="5967484D" w14:textId="4087CE88" w:rsidR="00CF7E9D" w:rsidRPr="00FB01AB" w:rsidRDefault="00A42F01" w:rsidP="00CF7E9D">
            <w:pPr>
              <w:pStyle w:val="Tablecells"/>
              <w:rPr>
                <w:highlight w:val="yellow"/>
                <w:lang w:val="es-ES"/>
              </w:rPr>
            </w:pPr>
            <w:r w:rsidRPr="00A42F01">
              <w:rPr>
                <w:lang w:val="es-ES"/>
              </w:rPr>
              <w:t>TIM Participações</w:t>
            </w:r>
          </w:p>
        </w:tc>
        <w:tc>
          <w:tcPr>
            <w:tcW w:w="4394" w:type="dxa"/>
          </w:tcPr>
          <w:p w14:paraId="6A4D9B9F" w14:textId="028DA77D" w:rsidR="00CF7E9D" w:rsidRDefault="008F512F" w:rsidP="00CF7E9D">
            <w:pPr>
              <w:pStyle w:val="Tablecells"/>
              <w:rPr>
                <w:lang w:val="es-ES"/>
              </w:rPr>
            </w:pPr>
            <w:r>
              <w:rPr>
                <w:lang w:val="es-ES"/>
              </w:rPr>
              <w:t xml:space="preserve">Tercer operador móvil en </w:t>
            </w:r>
            <w:r w:rsidR="00551A4D">
              <w:rPr>
                <w:lang w:val="es-ES"/>
              </w:rPr>
              <w:t>Brasil</w:t>
            </w:r>
            <w:r w:rsidR="00817421">
              <w:rPr>
                <w:lang w:val="es-ES"/>
              </w:rPr>
              <w:t xml:space="preserve">. Su participación </w:t>
            </w:r>
            <w:r w:rsidR="003113CB">
              <w:rPr>
                <w:lang w:val="es-ES"/>
              </w:rPr>
              <w:t xml:space="preserve">en términos de usuarios </w:t>
            </w:r>
            <w:r w:rsidR="00817421">
              <w:rPr>
                <w:lang w:val="es-ES"/>
              </w:rPr>
              <w:t xml:space="preserve">en el mercado </w:t>
            </w:r>
            <w:r w:rsidR="00A46E67">
              <w:rPr>
                <w:lang w:val="es-ES"/>
              </w:rPr>
              <w:t xml:space="preserve">fijo es </w:t>
            </w:r>
            <w:r w:rsidR="00A46E67" w:rsidRPr="00A46E67">
              <w:rPr>
                <w:lang w:val="es-ES"/>
              </w:rPr>
              <w:t xml:space="preserve">significativamente menor </w:t>
            </w:r>
            <w:r w:rsidR="003113CB">
              <w:rPr>
                <w:lang w:val="es-ES"/>
              </w:rPr>
              <w:t>a la que ostenta en el mercado móvil</w:t>
            </w:r>
          </w:p>
        </w:tc>
        <w:tc>
          <w:tcPr>
            <w:tcW w:w="2200" w:type="dxa"/>
          </w:tcPr>
          <w:p w14:paraId="3E5800F2" w14:textId="62E28904" w:rsidR="00CF7E9D" w:rsidRDefault="00CF7E9D" w:rsidP="00CF7E9D">
            <w:pPr>
              <w:pStyle w:val="Tablecells"/>
              <w:rPr>
                <w:lang w:val="es-ES"/>
              </w:rPr>
            </w:pPr>
            <w:r>
              <w:rPr>
                <w:lang w:val="es-ES"/>
              </w:rPr>
              <w:t>P</w:t>
            </w:r>
            <w:r w:rsidRPr="006B7A81">
              <w:rPr>
                <w:lang w:val="es-ES"/>
              </w:rPr>
              <w:t>redominantemente móvil</w:t>
            </w:r>
          </w:p>
        </w:tc>
      </w:tr>
    </w:tbl>
    <w:p w14:paraId="751B3A27" w14:textId="72C65F2C" w:rsidR="002C1A88" w:rsidRPr="002C1A88" w:rsidRDefault="00A42F01" w:rsidP="00C0600E">
      <w:pPr>
        <w:rPr>
          <w:lang w:val="es-ES"/>
        </w:rPr>
      </w:pPr>
      <w:r>
        <w:rPr>
          <w:lang w:val="es-ES"/>
        </w:rPr>
        <w:br/>
      </w:r>
      <w:r w:rsidR="00C0600E">
        <w:rPr>
          <w:lang w:val="es-ES"/>
        </w:rPr>
        <w:t>Con base a esta información se puede determinar cada parámetro para el cálculo del C</w:t>
      </w:r>
      <w:r w:rsidR="003A3411">
        <w:rPr>
          <w:lang w:val="es-ES"/>
        </w:rPr>
        <w:t>C</w:t>
      </w:r>
      <w:r w:rsidR="00C0600E">
        <w:rPr>
          <w:lang w:val="es-ES"/>
        </w:rPr>
        <w:t>PP de redes fijas y móviles de la siguiente manera:</w:t>
      </w:r>
    </w:p>
    <w:p w14:paraId="5E33407D" w14:textId="0F5F1492" w:rsidR="002C1A88" w:rsidRPr="002C1A88" w:rsidRDefault="00C0600E" w:rsidP="00DF41CC">
      <w:pPr>
        <w:pStyle w:val="Listaconvietas"/>
        <w:rPr>
          <w:lang w:val="es-ES"/>
        </w:rPr>
      </w:pPr>
      <w:r w:rsidRPr="00A42F01">
        <w:rPr>
          <w:b/>
          <w:bCs/>
          <w:lang w:val="es-ES"/>
        </w:rPr>
        <w:t>CCPP de redes móviles</w:t>
      </w:r>
      <w:r w:rsidR="00A42F01">
        <w:rPr>
          <w:lang w:val="es-ES"/>
        </w:rPr>
        <w:t xml:space="preserve"> –</w:t>
      </w:r>
      <w:r w:rsidRPr="004520FE">
        <w:rPr>
          <w:lang w:val="es-ES"/>
        </w:rPr>
        <w:t xml:space="preserve"> </w:t>
      </w:r>
      <w:r>
        <w:rPr>
          <w:lang w:val="es-ES"/>
        </w:rPr>
        <w:t xml:space="preserve">promedio de los indicadores de los </w:t>
      </w:r>
      <w:r w:rsidRPr="004520FE">
        <w:rPr>
          <w:lang w:val="es-ES"/>
        </w:rPr>
        <w:t xml:space="preserve">operadores </w:t>
      </w:r>
      <w:r>
        <w:rPr>
          <w:lang w:val="es-ES"/>
        </w:rPr>
        <w:t xml:space="preserve">predominantemente móviles o </w:t>
      </w:r>
      <w:r w:rsidRPr="006B7A81">
        <w:rPr>
          <w:lang w:val="es-ES"/>
        </w:rPr>
        <w:t>híbridos fijo–móvil</w:t>
      </w:r>
      <w:r w:rsidR="004B2BF9">
        <w:rPr>
          <w:lang w:val="es-ES"/>
        </w:rPr>
        <w:t>.</w:t>
      </w:r>
    </w:p>
    <w:p w14:paraId="7EBE4B73" w14:textId="4DA4D452" w:rsidR="002C1A88" w:rsidRPr="002C1A88" w:rsidRDefault="00C0600E" w:rsidP="00DF41CC">
      <w:pPr>
        <w:pStyle w:val="Listaconvietas"/>
        <w:rPr>
          <w:lang w:val="es-ES"/>
        </w:rPr>
      </w:pPr>
      <w:r w:rsidRPr="004B2BF9">
        <w:rPr>
          <w:b/>
          <w:bCs/>
          <w:lang w:val="es-ES"/>
        </w:rPr>
        <w:t>CCPP de redes fijas</w:t>
      </w:r>
      <w:r w:rsidR="004B2BF9">
        <w:rPr>
          <w:lang w:val="es-ES"/>
        </w:rPr>
        <w:t xml:space="preserve"> –</w:t>
      </w:r>
      <w:r>
        <w:rPr>
          <w:lang w:val="es-ES"/>
        </w:rPr>
        <w:t xml:space="preserve"> promedio de los indicadores de los </w:t>
      </w:r>
      <w:r w:rsidRPr="004520FE">
        <w:rPr>
          <w:lang w:val="es-ES"/>
        </w:rPr>
        <w:t xml:space="preserve">operadores </w:t>
      </w:r>
      <w:r>
        <w:rPr>
          <w:lang w:val="es-ES"/>
        </w:rPr>
        <w:t xml:space="preserve">predominantemente fijos o </w:t>
      </w:r>
      <w:r w:rsidRPr="006B7A81">
        <w:rPr>
          <w:lang w:val="es-ES"/>
        </w:rPr>
        <w:t>híbridos fijo–móvil</w:t>
      </w:r>
      <w:r w:rsidR="004B2BF9">
        <w:rPr>
          <w:lang w:val="es-ES"/>
        </w:rPr>
        <w:t>.</w:t>
      </w:r>
    </w:p>
    <w:p w14:paraId="2F173C38" w14:textId="3A51FC19" w:rsidR="002C1A88" w:rsidRPr="002C1A88" w:rsidRDefault="00C9151A" w:rsidP="00C9151A">
      <w:pPr>
        <w:pStyle w:val="Ttulo1"/>
        <w:rPr>
          <w:lang w:val="es-ES"/>
        </w:rPr>
      </w:pPr>
      <w:bookmarkStart w:id="23" w:name="_Toc135788686"/>
      <w:r>
        <w:rPr>
          <w:lang w:val="es-ES"/>
        </w:rPr>
        <w:t>Metodología para la estimación de los parámetros del CCPP</w:t>
      </w:r>
      <w:bookmarkEnd w:id="23"/>
    </w:p>
    <w:p w14:paraId="7BE7F2C1" w14:textId="6B8DD8C9" w:rsidR="002C1A88" w:rsidRDefault="008C4D7B" w:rsidP="008C4D7B">
      <w:pPr>
        <w:rPr>
          <w:lang w:val="es-ES"/>
        </w:rPr>
      </w:pPr>
      <w:r>
        <w:rPr>
          <w:lang w:val="es-ES"/>
        </w:rPr>
        <w:t>Esta sección presenta</w:t>
      </w:r>
      <w:r w:rsidR="0040520D">
        <w:rPr>
          <w:lang w:val="es-ES"/>
        </w:rPr>
        <w:t xml:space="preserve"> el procedimiento para la estimación de los distintos parámetros</w:t>
      </w:r>
      <w:r w:rsidR="00843239">
        <w:rPr>
          <w:lang w:val="es-ES"/>
        </w:rPr>
        <w:t xml:space="preserve"> para el cálculo del CCPP. Tal y como se presenta en la </w:t>
      </w:r>
      <w:r w:rsidR="00743FDD">
        <w:rPr>
          <w:lang w:val="es-ES"/>
        </w:rPr>
        <w:t>S</w:t>
      </w:r>
      <w:r w:rsidR="00843239">
        <w:rPr>
          <w:lang w:val="es-ES"/>
        </w:rPr>
        <w:t>ección</w:t>
      </w:r>
      <w:r w:rsidR="00E2622C">
        <w:rPr>
          <w:lang w:val="es-ES"/>
        </w:rPr>
        <w:t xml:space="preserve"> </w:t>
      </w:r>
      <w:r w:rsidR="00E2622C">
        <w:rPr>
          <w:lang w:val="es-ES"/>
        </w:rPr>
        <w:fldChar w:fldCharType="begin"/>
      </w:r>
      <w:r w:rsidR="00E2622C">
        <w:rPr>
          <w:lang w:val="es-ES"/>
        </w:rPr>
        <w:instrText xml:space="preserve"> REF _Ref132991164 \r \h </w:instrText>
      </w:r>
      <w:r w:rsidR="00E2622C">
        <w:rPr>
          <w:lang w:val="es-ES"/>
        </w:rPr>
      </w:r>
      <w:r w:rsidR="00E2622C">
        <w:rPr>
          <w:lang w:val="es-ES"/>
        </w:rPr>
        <w:fldChar w:fldCharType="separate"/>
      </w:r>
      <w:r w:rsidR="001F1D48">
        <w:rPr>
          <w:lang w:val="es-ES"/>
        </w:rPr>
        <w:t>2.1</w:t>
      </w:r>
      <w:r w:rsidR="00E2622C">
        <w:rPr>
          <w:lang w:val="es-ES"/>
        </w:rPr>
        <w:fldChar w:fldCharType="end"/>
      </w:r>
      <w:r w:rsidR="00843239">
        <w:rPr>
          <w:lang w:val="es-ES"/>
        </w:rPr>
        <w:t>, las principales componentes del costo de capital son las siguientes:</w:t>
      </w:r>
    </w:p>
    <w:p w14:paraId="5E75CCB4" w14:textId="319DE07D" w:rsidR="00743FDD" w:rsidRPr="00743FDD" w:rsidRDefault="00743FDD" w:rsidP="00743FDD">
      <w:pPr>
        <w:pStyle w:val="ListBulletCompact"/>
        <w:rPr>
          <w:lang w:val="es-ES"/>
        </w:rPr>
      </w:pPr>
      <w:r>
        <w:rPr>
          <w:lang w:val="es-ES"/>
        </w:rPr>
        <w:t>c</w:t>
      </w:r>
      <w:r w:rsidRPr="00743FDD">
        <w:rPr>
          <w:lang w:val="es-ES"/>
        </w:rPr>
        <w:t>osto del capital (</w:t>
      </w:r>
      <w:r w:rsidRPr="00743FDD">
        <w:rPr>
          <w:i/>
          <w:iCs/>
          <w:lang w:val="es-ES"/>
        </w:rPr>
        <w:t>equity</w:t>
      </w:r>
      <w:r w:rsidRPr="00743FDD">
        <w:rPr>
          <w:lang w:val="es-ES"/>
        </w:rPr>
        <w:t>)</w:t>
      </w:r>
      <w:r>
        <w:rPr>
          <w:lang w:val="es-ES"/>
        </w:rPr>
        <w:t xml:space="preserve"> (Sección </w:t>
      </w:r>
      <w:r>
        <w:rPr>
          <w:lang w:val="es-ES"/>
        </w:rPr>
        <w:fldChar w:fldCharType="begin"/>
      </w:r>
      <w:r>
        <w:rPr>
          <w:lang w:val="es-ES"/>
        </w:rPr>
        <w:instrText xml:space="preserve"> REF _Ref132966801 \r \h </w:instrText>
      </w:r>
      <w:r>
        <w:rPr>
          <w:lang w:val="es-ES"/>
        </w:rPr>
      </w:r>
      <w:r>
        <w:rPr>
          <w:lang w:val="es-ES"/>
        </w:rPr>
        <w:fldChar w:fldCharType="separate"/>
      </w:r>
      <w:r w:rsidR="001F1D48">
        <w:rPr>
          <w:lang w:val="es-ES"/>
        </w:rPr>
        <w:t>3.1</w:t>
      </w:r>
      <w:r>
        <w:rPr>
          <w:lang w:val="es-ES"/>
        </w:rPr>
        <w:fldChar w:fldCharType="end"/>
      </w:r>
      <w:r>
        <w:rPr>
          <w:lang w:val="es-ES"/>
        </w:rPr>
        <w:t>)</w:t>
      </w:r>
    </w:p>
    <w:p w14:paraId="683B0BA0" w14:textId="47CED7C2" w:rsidR="00743FDD" w:rsidRPr="00743FDD" w:rsidRDefault="00743FDD" w:rsidP="00743FDD">
      <w:pPr>
        <w:pStyle w:val="ListBulletCompact"/>
        <w:rPr>
          <w:lang w:val="es-ES"/>
        </w:rPr>
      </w:pPr>
      <w:r>
        <w:rPr>
          <w:lang w:val="es-ES"/>
        </w:rPr>
        <w:t>a</w:t>
      </w:r>
      <w:r w:rsidRPr="00743FDD">
        <w:rPr>
          <w:lang w:val="es-ES"/>
        </w:rPr>
        <w:t>palancamiento</w:t>
      </w:r>
      <w:r>
        <w:rPr>
          <w:lang w:val="es-ES"/>
        </w:rPr>
        <w:t xml:space="preserve"> (Sección </w:t>
      </w:r>
      <w:r>
        <w:rPr>
          <w:lang w:val="es-ES"/>
        </w:rPr>
        <w:fldChar w:fldCharType="begin"/>
      </w:r>
      <w:r>
        <w:rPr>
          <w:lang w:val="es-ES"/>
        </w:rPr>
        <w:instrText xml:space="preserve"> REF _Ref132991259 \r \h </w:instrText>
      </w:r>
      <w:r>
        <w:rPr>
          <w:lang w:val="es-ES"/>
        </w:rPr>
      </w:r>
      <w:r>
        <w:rPr>
          <w:lang w:val="es-ES"/>
        </w:rPr>
        <w:fldChar w:fldCharType="separate"/>
      </w:r>
      <w:r w:rsidR="001F1D48">
        <w:rPr>
          <w:lang w:val="es-ES"/>
        </w:rPr>
        <w:t>3.2</w:t>
      </w:r>
      <w:r>
        <w:rPr>
          <w:lang w:val="es-ES"/>
        </w:rPr>
        <w:fldChar w:fldCharType="end"/>
      </w:r>
      <w:r>
        <w:rPr>
          <w:lang w:val="es-ES"/>
        </w:rPr>
        <w:t>)</w:t>
      </w:r>
    </w:p>
    <w:p w14:paraId="3C39EB17" w14:textId="34438028" w:rsidR="00743FDD" w:rsidRPr="00743FDD" w:rsidRDefault="00743FDD" w:rsidP="00743FDD">
      <w:pPr>
        <w:pStyle w:val="ListBulletCompact"/>
        <w:rPr>
          <w:lang w:val="es-ES"/>
        </w:rPr>
      </w:pPr>
      <w:r>
        <w:rPr>
          <w:lang w:val="es-ES"/>
        </w:rPr>
        <w:t>c</w:t>
      </w:r>
      <w:r w:rsidRPr="00743FDD">
        <w:rPr>
          <w:lang w:val="es-ES"/>
        </w:rPr>
        <w:t>osto de la deuda</w:t>
      </w:r>
      <w:r>
        <w:rPr>
          <w:lang w:val="es-ES"/>
        </w:rPr>
        <w:t xml:space="preserve"> (Sección </w:t>
      </w:r>
      <w:r>
        <w:rPr>
          <w:lang w:val="es-ES"/>
        </w:rPr>
        <w:fldChar w:fldCharType="begin"/>
      </w:r>
      <w:r>
        <w:rPr>
          <w:lang w:val="es-ES"/>
        </w:rPr>
        <w:instrText xml:space="preserve"> REF _Ref132991268 \r \h </w:instrText>
      </w:r>
      <w:r>
        <w:rPr>
          <w:lang w:val="es-ES"/>
        </w:rPr>
      </w:r>
      <w:r>
        <w:rPr>
          <w:lang w:val="es-ES"/>
        </w:rPr>
        <w:fldChar w:fldCharType="separate"/>
      </w:r>
      <w:r w:rsidR="001F1D48">
        <w:rPr>
          <w:lang w:val="es-ES"/>
        </w:rPr>
        <w:t>3.3</w:t>
      </w:r>
      <w:r>
        <w:rPr>
          <w:lang w:val="es-ES"/>
        </w:rPr>
        <w:fldChar w:fldCharType="end"/>
      </w:r>
      <w:r>
        <w:rPr>
          <w:lang w:val="es-ES"/>
        </w:rPr>
        <w:t>)</w:t>
      </w:r>
    </w:p>
    <w:p w14:paraId="40CD9F8A" w14:textId="7F6A9E0E" w:rsidR="00743FDD" w:rsidRDefault="005F0813" w:rsidP="00743FDD">
      <w:pPr>
        <w:pStyle w:val="ListBulletCompact"/>
        <w:rPr>
          <w:lang w:val="es-ES"/>
        </w:rPr>
      </w:pPr>
      <w:r>
        <w:rPr>
          <w:lang w:val="es-ES"/>
        </w:rPr>
        <w:t>tasa del impuesto de sociedades</w:t>
      </w:r>
      <w:r w:rsidR="00743FDD">
        <w:rPr>
          <w:lang w:val="es-ES"/>
        </w:rPr>
        <w:t xml:space="preserve"> (Sección </w:t>
      </w:r>
      <w:r w:rsidR="00743FDD">
        <w:rPr>
          <w:lang w:val="es-ES"/>
        </w:rPr>
        <w:fldChar w:fldCharType="begin"/>
      </w:r>
      <w:r w:rsidR="00743FDD">
        <w:rPr>
          <w:lang w:val="es-ES"/>
        </w:rPr>
        <w:instrText xml:space="preserve"> REF _Ref132991276 \r \h </w:instrText>
      </w:r>
      <w:r w:rsidR="00743FDD">
        <w:rPr>
          <w:lang w:val="es-ES"/>
        </w:rPr>
      </w:r>
      <w:r w:rsidR="00743FDD">
        <w:rPr>
          <w:lang w:val="es-ES"/>
        </w:rPr>
        <w:fldChar w:fldCharType="separate"/>
      </w:r>
      <w:r w:rsidR="001F1D48">
        <w:rPr>
          <w:lang w:val="es-ES"/>
        </w:rPr>
        <w:t>3.4</w:t>
      </w:r>
      <w:r w:rsidR="00743FDD">
        <w:rPr>
          <w:lang w:val="es-ES"/>
        </w:rPr>
        <w:fldChar w:fldCharType="end"/>
      </w:r>
      <w:r w:rsidR="00743FDD">
        <w:rPr>
          <w:lang w:val="es-ES"/>
        </w:rPr>
        <w:t>)</w:t>
      </w:r>
    </w:p>
    <w:p w14:paraId="75F06FDD" w14:textId="4E1F48CD" w:rsidR="005F0813" w:rsidRDefault="005F0813" w:rsidP="00743FDD">
      <w:pPr>
        <w:pStyle w:val="ListBulletCompact"/>
        <w:rPr>
          <w:lang w:val="es-ES"/>
        </w:rPr>
      </w:pPr>
      <w:r>
        <w:rPr>
          <w:lang w:val="es-ES"/>
        </w:rPr>
        <w:t>inflación (Sección</w:t>
      </w:r>
      <w:r w:rsidR="009C37B0">
        <w:rPr>
          <w:lang w:val="es-ES"/>
        </w:rPr>
        <w:t> </w:t>
      </w:r>
      <w:r w:rsidR="009C37B0">
        <w:rPr>
          <w:lang w:val="es-ES"/>
        </w:rPr>
        <w:fldChar w:fldCharType="begin"/>
      </w:r>
      <w:r w:rsidR="009C37B0">
        <w:rPr>
          <w:lang w:val="es-ES"/>
        </w:rPr>
        <w:instrText xml:space="preserve"> REF _Ref134201208 \r \h </w:instrText>
      </w:r>
      <w:r w:rsidR="009C37B0">
        <w:rPr>
          <w:lang w:val="es-ES"/>
        </w:rPr>
      </w:r>
      <w:r w:rsidR="009C37B0">
        <w:rPr>
          <w:lang w:val="es-ES"/>
        </w:rPr>
        <w:fldChar w:fldCharType="separate"/>
      </w:r>
      <w:r w:rsidR="001F1D48">
        <w:rPr>
          <w:lang w:val="es-ES"/>
        </w:rPr>
        <w:t>3.5</w:t>
      </w:r>
      <w:r w:rsidR="009C37B0">
        <w:rPr>
          <w:lang w:val="es-ES"/>
        </w:rPr>
        <w:fldChar w:fldCharType="end"/>
      </w:r>
      <w:r w:rsidR="009C37B0">
        <w:rPr>
          <w:lang w:val="es-ES"/>
        </w:rPr>
        <w:t>)</w:t>
      </w:r>
    </w:p>
    <w:p w14:paraId="6A92FE55" w14:textId="1B4FDE35" w:rsidR="009C37B0" w:rsidRPr="002C1A88" w:rsidRDefault="009C37B0" w:rsidP="00743FDD">
      <w:pPr>
        <w:pStyle w:val="ListBulletCompact"/>
        <w:rPr>
          <w:lang w:val="es-ES"/>
        </w:rPr>
      </w:pPr>
      <w:r>
        <w:rPr>
          <w:lang w:val="es-ES"/>
        </w:rPr>
        <w:t>sensibilidad del costo de capital a cambios (Sección </w:t>
      </w:r>
      <w:r>
        <w:rPr>
          <w:lang w:val="es-ES"/>
        </w:rPr>
        <w:fldChar w:fldCharType="begin"/>
      </w:r>
      <w:r>
        <w:rPr>
          <w:lang w:val="es-ES"/>
        </w:rPr>
        <w:instrText xml:space="preserve"> REF _Ref134203169 \r \h </w:instrText>
      </w:r>
      <w:r>
        <w:rPr>
          <w:lang w:val="es-ES"/>
        </w:rPr>
      </w:r>
      <w:r>
        <w:rPr>
          <w:lang w:val="es-ES"/>
        </w:rPr>
        <w:fldChar w:fldCharType="separate"/>
      </w:r>
      <w:r w:rsidR="001F1D48">
        <w:rPr>
          <w:lang w:val="es-ES"/>
        </w:rPr>
        <w:t>3.6</w:t>
      </w:r>
      <w:r>
        <w:rPr>
          <w:lang w:val="es-ES"/>
        </w:rPr>
        <w:fldChar w:fldCharType="end"/>
      </w:r>
      <w:r>
        <w:rPr>
          <w:lang w:val="es-ES"/>
        </w:rPr>
        <w:t>)</w:t>
      </w:r>
    </w:p>
    <w:p w14:paraId="57853F53" w14:textId="77777777" w:rsidR="002C1A88" w:rsidRPr="002C1A88" w:rsidRDefault="00044909" w:rsidP="004520FE">
      <w:pPr>
        <w:pStyle w:val="Ttulo2"/>
        <w:rPr>
          <w:lang w:val="es-ES"/>
        </w:rPr>
      </w:pPr>
      <w:bookmarkStart w:id="24" w:name="_Ref132966801"/>
      <w:bookmarkStart w:id="25" w:name="_Toc135788687"/>
      <w:r w:rsidRPr="00BC52BF">
        <w:rPr>
          <w:lang w:val="es-ES"/>
        </w:rPr>
        <w:t>Costo del capital (</w:t>
      </w:r>
      <w:r w:rsidRPr="00703124">
        <w:rPr>
          <w:i/>
          <w:iCs/>
          <w:lang w:val="es-ES"/>
        </w:rPr>
        <w:t>equity</w:t>
      </w:r>
      <w:r w:rsidRPr="00BC52BF">
        <w:rPr>
          <w:lang w:val="es-ES"/>
        </w:rPr>
        <w:t>)</w:t>
      </w:r>
      <w:bookmarkEnd w:id="24"/>
      <w:bookmarkEnd w:id="25"/>
    </w:p>
    <w:p w14:paraId="26B16343" w14:textId="724CD681" w:rsidR="002C1A88" w:rsidRPr="002C1A88" w:rsidRDefault="00044909" w:rsidP="00982643">
      <w:pPr>
        <w:rPr>
          <w:lang w:val="es-ES"/>
        </w:rPr>
      </w:pPr>
      <w:r w:rsidRPr="00BC52BF">
        <w:rPr>
          <w:lang w:val="es-ES"/>
        </w:rPr>
        <w:t>El costo del capital (</w:t>
      </w:r>
      <w:r w:rsidRPr="00BC52BF">
        <w:rPr>
          <w:i/>
          <w:lang w:val="es-ES"/>
        </w:rPr>
        <w:t>equity</w:t>
      </w:r>
      <w:r w:rsidRPr="00BC52BF">
        <w:rPr>
          <w:lang w:val="es-ES"/>
        </w:rPr>
        <w:t xml:space="preserve">) se puede calcular utilizando varias metodologías. No obstante, la más común, y la </w:t>
      </w:r>
      <w:r w:rsidR="003834B3">
        <w:rPr>
          <w:lang w:val="es-ES"/>
        </w:rPr>
        <w:t>elegida</w:t>
      </w:r>
      <w:r w:rsidR="003834B3" w:rsidRPr="00BC52BF">
        <w:rPr>
          <w:lang w:val="es-ES"/>
        </w:rPr>
        <w:t xml:space="preserve"> </w:t>
      </w:r>
      <w:r w:rsidRPr="00BC52BF">
        <w:rPr>
          <w:lang w:val="es-ES"/>
        </w:rPr>
        <w:t xml:space="preserve">por el IFT, es el método conocido como </w:t>
      </w:r>
      <w:r w:rsidR="00231350">
        <w:rPr>
          <w:lang w:val="es-ES"/>
        </w:rPr>
        <w:t>‘</w:t>
      </w:r>
      <w:r w:rsidRPr="00BC52BF">
        <w:rPr>
          <w:lang w:val="es-ES"/>
        </w:rPr>
        <w:t>val</w:t>
      </w:r>
      <w:r w:rsidR="008C20C5">
        <w:rPr>
          <w:lang w:val="es-ES"/>
        </w:rPr>
        <w:t>oraci</w:t>
      </w:r>
      <w:r w:rsidRPr="00BC52BF">
        <w:rPr>
          <w:lang w:val="es-ES"/>
        </w:rPr>
        <w:t>ón de activos financieros</w:t>
      </w:r>
      <w:r w:rsidR="00231350">
        <w:rPr>
          <w:lang w:val="es-ES"/>
        </w:rPr>
        <w:t>’</w:t>
      </w:r>
      <w:r w:rsidRPr="00BC52BF">
        <w:rPr>
          <w:lang w:val="es-ES"/>
        </w:rPr>
        <w:t xml:space="preserve"> (CAPM</w:t>
      </w:r>
      <w:r w:rsidR="009F1C30">
        <w:rPr>
          <w:lang w:val="es-ES"/>
        </w:rPr>
        <w:t>, por sus siglas en inglés</w:t>
      </w:r>
      <w:r w:rsidRPr="00BC52BF">
        <w:rPr>
          <w:lang w:val="es-ES"/>
        </w:rPr>
        <w:t>) debido a su relativa sencillez.</w:t>
      </w:r>
      <w:r w:rsidR="00C67169">
        <w:rPr>
          <w:lang w:val="es-ES"/>
        </w:rPr>
        <w:t xml:space="preserve"> </w:t>
      </w:r>
      <w:r w:rsidRPr="000C5DB7">
        <w:rPr>
          <w:lang w:val="es-ES"/>
        </w:rPr>
        <w:t xml:space="preserve">El CAPM </w:t>
      </w:r>
      <w:r w:rsidR="00C67169">
        <w:rPr>
          <w:lang w:val="es-ES"/>
        </w:rPr>
        <w:t>proporciona una metodología para cuantificar el riesgo asociado a una cartera de valores, para así poder estimar el retorno esperado para un nivel de riesgo dado.</w:t>
      </w:r>
      <w:r w:rsidRPr="000C5DB7">
        <w:rPr>
          <w:lang w:val="es-ES"/>
        </w:rPr>
        <w:t xml:space="preserve"> </w:t>
      </w:r>
    </w:p>
    <w:p w14:paraId="79E546A1" w14:textId="77777777" w:rsidR="002C1A88" w:rsidRPr="002C1A88" w:rsidRDefault="00044909" w:rsidP="00982643">
      <w:pPr>
        <w:rPr>
          <w:lang w:val="es-ES"/>
        </w:rPr>
      </w:pPr>
      <w:r>
        <w:rPr>
          <w:lang w:val="es-ES"/>
        </w:rPr>
        <w:t>El modelo de cálculo a aplicar es el siguiente:</w:t>
      </w:r>
    </w:p>
    <w:p w14:paraId="01EF8EAD" w14:textId="34A439AB" w:rsidR="002C1A88" w:rsidRPr="002C1A88" w:rsidRDefault="00927F08" w:rsidP="004520FE">
      <w:pPr>
        <w:jc w:val="center"/>
        <w:rPr>
          <w:rFonts w:eastAsiaTheme="minorEastAsia" w:cs="Times New Roman"/>
          <w:lang w:val="es-ES"/>
        </w:rPr>
      </w:pPr>
      <m:oMathPara>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e</m:t>
              </m:r>
            </m:sub>
          </m:sSub>
          <m:r>
            <m:rPr>
              <m:sty m:val="p"/>
            </m:rPr>
            <w:rPr>
              <w:rFonts w:ascii="Cambria Math" w:hAnsi="Cambria Math" w:cs="Times New Roman"/>
              <w:sz w:val="24"/>
              <w:szCs w:val="24"/>
              <w:lang w:val="es-ES"/>
            </w:rPr>
            <m:t>=</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r>
            <w:rPr>
              <w:rFonts w:ascii="Cambria Math" w:hAnsi="Cambria Math" w:cs="Times New Roman"/>
              <w:sz w:val="24"/>
              <w:szCs w:val="24"/>
              <w:lang w:val="es-ES"/>
            </w:rPr>
            <m:t>+β</m:t>
          </m:r>
          <m:d>
            <m:dPr>
              <m:ctrlPr>
                <w:rPr>
                  <w:rFonts w:ascii="Cambria Math" w:hAnsi="Cambria Math" w:cs="Times New Roman"/>
                  <w:i/>
                  <w:sz w:val="24"/>
                  <w:szCs w:val="24"/>
                  <w:lang w:val="es-ES"/>
                </w:rPr>
              </m:ctrlPr>
            </m:dPr>
            <m:e>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e</m:t>
                  </m:r>
                </m:sub>
              </m:sSub>
            </m:e>
          </m:d>
        </m:oMath>
      </m:oMathPara>
    </w:p>
    <w:p w14:paraId="65A13D82" w14:textId="77777777" w:rsidR="002C1A88" w:rsidRPr="002C1A88" w:rsidRDefault="00044909" w:rsidP="00982643">
      <w:pPr>
        <w:rPr>
          <w:lang w:val="es-ES"/>
        </w:rPr>
      </w:pPr>
      <w:r>
        <w:rPr>
          <w:lang w:val="es-ES"/>
        </w:rPr>
        <w:t>Donde:</w:t>
      </w:r>
    </w:p>
    <w:p w14:paraId="172262BF" w14:textId="77777777" w:rsidR="002C1A88" w:rsidRPr="002C1A88" w:rsidRDefault="00927F08" w:rsidP="00982643">
      <w:pPr>
        <w:pStyle w:val="ListBulletCompact"/>
        <w:rPr>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e</m:t>
            </m:r>
          </m:sub>
        </m:sSub>
      </m:oMath>
      <w:r w:rsidR="00044909" w:rsidRPr="00BC52BF">
        <w:rPr>
          <w:lang w:val="es-ES"/>
        </w:rPr>
        <w:t xml:space="preserve"> es el costo del capital de la empresa</w:t>
      </w:r>
    </w:p>
    <w:p w14:paraId="53251C3F" w14:textId="056B17B2" w:rsidR="002C1A88" w:rsidRPr="002C1A88" w:rsidRDefault="00927F08" w:rsidP="00982643">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oMath>
      <w:r w:rsidR="00044909" w:rsidRPr="00F925D4">
        <w:rPr>
          <w:rFonts w:cs="Times New Roman"/>
          <w:lang w:val="es-ES"/>
        </w:rPr>
        <w:t xml:space="preserve"> es </w:t>
      </w:r>
      <w:r w:rsidR="00044909">
        <w:rPr>
          <w:rFonts w:cs="Times New Roman"/>
          <w:lang w:val="es-ES"/>
        </w:rPr>
        <w:t>la tasa libre de riesgo</w:t>
      </w:r>
      <w:r w:rsidR="00F562B9">
        <w:rPr>
          <w:rFonts w:cs="Times New Roman"/>
          <w:lang w:val="es-ES"/>
        </w:rPr>
        <w:t xml:space="preserve">, aplicable para el </w:t>
      </w:r>
      <w:r w:rsidR="0050700B">
        <w:rPr>
          <w:rFonts w:cs="Times New Roman"/>
          <w:lang w:val="es-ES"/>
        </w:rPr>
        <w:t>país</w:t>
      </w:r>
      <w:r w:rsidR="00F562B9">
        <w:rPr>
          <w:rFonts w:cs="Times New Roman"/>
          <w:lang w:val="es-ES"/>
        </w:rPr>
        <w:t xml:space="preserve"> en el que se calcule el CCPP</w:t>
      </w:r>
    </w:p>
    <w:p w14:paraId="790EDD4E" w14:textId="77777777" w:rsidR="002C1A88" w:rsidRPr="002C1A88" w:rsidRDefault="00044909" w:rsidP="00982643">
      <w:pPr>
        <w:pStyle w:val="ListBulletCompact"/>
        <w:rPr>
          <w:rFonts w:cs="Times New Roman"/>
          <w:lang w:val="es-ES"/>
        </w:rPr>
      </w:pPr>
      <m:oMath>
        <m:r>
          <w:rPr>
            <w:rFonts w:ascii="Cambria Math" w:hAnsi="Cambria Math" w:cs="Times New Roman"/>
            <w:sz w:val="24"/>
            <w:szCs w:val="24"/>
            <w:lang w:val="es-ES"/>
          </w:rPr>
          <m:t>β</m:t>
        </m:r>
      </m:oMath>
      <w:r w:rsidRPr="00F925D4">
        <w:rPr>
          <w:rFonts w:cs="Times New Roman"/>
          <w:lang w:val="es-ES"/>
        </w:rPr>
        <w:t xml:space="preserve"> es </w:t>
      </w:r>
      <w:r>
        <w:rPr>
          <w:rFonts w:cs="Times New Roman"/>
          <w:lang w:val="es-ES"/>
        </w:rPr>
        <w:t xml:space="preserve">la </w:t>
      </w:r>
      <w:r w:rsidRPr="007E3B2E">
        <w:rPr>
          <w:rFonts w:cs="Times New Roman"/>
          <w:lang w:val="es-ES"/>
        </w:rPr>
        <w:t>volatilidad de</w:t>
      </w:r>
      <w:r>
        <w:rPr>
          <w:rFonts w:cs="Times New Roman"/>
          <w:lang w:val="es-ES"/>
        </w:rPr>
        <w:t xml:space="preserve">l </w:t>
      </w:r>
      <w:r w:rsidRPr="007E3B2E">
        <w:rPr>
          <w:rFonts w:cs="Times New Roman"/>
          <w:lang w:val="es-ES"/>
        </w:rPr>
        <w:t xml:space="preserve">rendimiento </w:t>
      </w:r>
      <w:r>
        <w:rPr>
          <w:rFonts w:cs="Times New Roman"/>
          <w:lang w:val="es-ES"/>
        </w:rPr>
        <w:t xml:space="preserve">de una inversión </w:t>
      </w:r>
      <w:r w:rsidRPr="007E3B2E">
        <w:rPr>
          <w:rFonts w:cs="Times New Roman"/>
          <w:lang w:val="es-ES"/>
        </w:rPr>
        <w:t>en relación con el conjunto del mercado</w:t>
      </w:r>
    </w:p>
    <w:p w14:paraId="066A2E42" w14:textId="2C9E326E" w:rsidR="002C1A88" w:rsidRPr="002C1A88" w:rsidRDefault="00927F08" w:rsidP="00DF41CC">
      <w:pPr>
        <w:pStyle w:val="ListBulletCompact"/>
        <w:rPr>
          <w:lang w:val="es-ES"/>
        </w:rPr>
      </w:pPr>
      <m:oMath>
        <m:sSub>
          <m:sSubPr>
            <m:ctrlPr>
              <w:rPr>
                <w:rFonts w:ascii="Cambria Math" w:hAnsi="Cambria Math"/>
                <w:i/>
                <w:sz w:val="24"/>
                <w:szCs w:val="24"/>
                <w:lang w:val="es-ES"/>
              </w:rPr>
            </m:ctrlPr>
          </m:sSubPr>
          <m:e>
            <m:r>
              <w:rPr>
                <w:rFonts w:ascii="Cambria Math" w:hAnsi="Cambria Math"/>
                <w:sz w:val="24"/>
                <w:szCs w:val="24"/>
                <w:lang w:val="es-ES"/>
              </w:rPr>
              <m:t>R</m:t>
            </m:r>
          </m:e>
          <m:sub>
            <m:r>
              <w:rPr>
                <w:rFonts w:ascii="Cambria Math" w:hAnsi="Cambria Math"/>
                <w:sz w:val="24"/>
                <w:szCs w:val="24"/>
                <w:lang w:val="es-ES"/>
              </w:rPr>
              <m:t>e</m:t>
            </m:r>
          </m:sub>
        </m:sSub>
      </m:oMath>
      <w:r w:rsidR="00044909" w:rsidRPr="00F925D4">
        <w:rPr>
          <w:lang w:val="es-ES"/>
        </w:rPr>
        <w:t xml:space="preserve"> es </w:t>
      </w:r>
      <w:r w:rsidR="008745EF">
        <w:rPr>
          <w:lang w:val="es-ES"/>
        </w:rPr>
        <w:t xml:space="preserve">la </w:t>
      </w:r>
      <w:r w:rsidR="00044909">
        <w:rPr>
          <w:lang w:val="es-ES"/>
        </w:rPr>
        <w:t xml:space="preserve">prima de riesgo </w:t>
      </w:r>
      <w:r w:rsidR="000D1DCA">
        <w:rPr>
          <w:lang w:val="es-ES"/>
        </w:rPr>
        <w:t>de mercado</w:t>
      </w:r>
      <w:r w:rsidR="008745EF">
        <w:rPr>
          <w:lang w:val="es-ES"/>
        </w:rPr>
        <w:t>.</w:t>
      </w:r>
    </w:p>
    <w:p w14:paraId="1764DC88" w14:textId="2BA8D117" w:rsidR="00044909" w:rsidRPr="00094236" w:rsidRDefault="00044909" w:rsidP="00183A36">
      <w:pPr>
        <w:pStyle w:val="ListBulletCompact"/>
        <w:numPr>
          <w:ilvl w:val="0"/>
          <w:numId w:val="0"/>
        </w:numPr>
        <w:ind w:left="357"/>
        <w:rPr>
          <w:rFonts w:cs="Times New Roman"/>
          <w:lang w:val="es-ES"/>
        </w:rPr>
      </w:pPr>
    </w:p>
    <w:tbl>
      <w:tblPr>
        <w:tblStyle w:val="Tablaconcuadrcula"/>
        <w:tblW w:w="0" w:type="auto"/>
        <w:tblLook w:val="04A0" w:firstRow="1" w:lastRow="0" w:firstColumn="1" w:lastColumn="0" w:noHBand="0" w:noVBand="1"/>
      </w:tblPr>
      <w:tblGrid>
        <w:gridCol w:w="8721"/>
      </w:tblGrid>
      <w:tr w:rsidR="00044909" w:rsidRPr="00752BC6" w14:paraId="595A1DAB"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6D0B60" w14:textId="3CBAF916" w:rsidR="00044909" w:rsidRPr="00BC52BF" w:rsidRDefault="00044909" w:rsidP="00982643">
            <w:pPr>
              <w:spacing w:after="120"/>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3</w:t>
            </w:r>
            <w:r w:rsidRPr="00BC52BF">
              <w:rPr>
                <w:b/>
                <w:lang w:val="es-ES"/>
              </w:rPr>
              <w:fldChar w:fldCharType="end"/>
            </w:r>
            <w:r w:rsidRPr="00BC52BF">
              <w:rPr>
                <w:b/>
                <w:bCs/>
                <w:lang w:val="es-ES"/>
              </w:rPr>
              <w:t xml:space="preserve">: </w:t>
            </w:r>
            <w:r w:rsidRPr="00BC52BF">
              <w:rPr>
                <w:lang w:val="es-ES"/>
              </w:rPr>
              <w:t>Se usará el método CAPM para calcular el costo del capital (</w:t>
            </w:r>
            <w:r w:rsidRPr="00BC52BF">
              <w:rPr>
                <w:i/>
                <w:lang w:val="es-ES"/>
              </w:rPr>
              <w:t>equity</w:t>
            </w:r>
            <w:r w:rsidRPr="00BC52BF">
              <w:rPr>
                <w:lang w:val="es-ES"/>
              </w:rPr>
              <w:t>).</w:t>
            </w:r>
          </w:p>
        </w:tc>
      </w:tr>
    </w:tbl>
    <w:p w14:paraId="2281DE8A" w14:textId="561535C0" w:rsidR="002C1A88" w:rsidRDefault="00B4430B" w:rsidP="00C45D26">
      <w:pPr>
        <w:rPr>
          <w:lang w:val="es-ES"/>
        </w:rPr>
      </w:pPr>
      <w:r>
        <w:rPr>
          <w:lang w:val="es-ES"/>
        </w:rPr>
        <w:br/>
      </w:r>
      <w:r w:rsidR="00044909">
        <w:rPr>
          <w:lang w:val="es-ES"/>
        </w:rPr>
        <w:t>Las subsecciones a continuación describen la metodología de cálculo definida para cada uno de los parámetros.</w:t>
      </w:r>
    </w:p>
    <w:p w14:paraId="23F105B3" w14:textId="01A5B5E3" w:rsidR="00C45D26" w:rsidRPr="000F1B14" w:rsidRDefault="00C45D26" w:rsidP="00C45D26">
      <w:pPr>
        <w:pStyle w:val="Ttulo3"/>
        <w:rPr>
          <w:lang w:val="es-ES"/>
        </w:rPr>
      </w:pPr>
      <w:bookmarkStart w:id="26" w:name="_Ref134021964"/>
      <w:bookmarkStart w:id="27" w:name="_Ref131149326"/>
      <w:r>
        <w:rPr>
          <w:lang w:val="es-ES"/>
        </w:rPr>
        <w:t>Tasa de retorno libre de riesgo</w:t>
      </w:r>
      <w:r w:rsidR="0055136D">
        <w:rPr>
          <w:lang w:val="es-ES"/>
        </w:rPr>
        <w:t xml:space="preserve"> (</w:t>
      </w:r>
      <w:r w:rsidR="0055136D" w:rsidRPr="000F1B14">
        <w:rPr>
          <w:i/>
          <w:lang w:val="es-ES"/>
        </w:rPr>
        <w:t>R</w:t>
      </w:r>
      <w:r w:rsidR="0055136D" w:rsidRPr="000F1B14">
        <w:rPr>
          <w:rFonts w:ascii="Times New Roman Bold" w:hAnsi="Times New Roman Bold"/>
          <w:i/>
          <w:vertAlign w:val="subscript"/>
          <w:lang w:val="es-ES"/>
        </w:rPr>
        <w:t>f</w:t>
      </w:r>
      <w:r w:rsidR="0055136D">
        <w:rPr>
          <w:lang w:val="es-ES"/>
        </w:rPr>
        <w:t>)</w:t>
      </w:r>
      <w:bookmarkEnd w:id="26"/>
      <w:bookmarkEnd w:id="27"/>
    </w:p>
    <w:p w14:paraId="194DE444" w14:textId="77777777" w:rsidR="002C1A88" w:rsidRPr="002C1A88" w:rsidRDefault="00044909" w:rsidP="00982643">
      <w:pPr>
        <w:rPr>
          <w:lang w:val="es-ES"/>
        </w:rPr>
      </w:pPr>
      <w:r w:rsidRPr="00BC52BF">
        <w:rPr>
          <w:lang w:val="es-ES"/>
        </w:rPr>
        <w:t>Según el</w:t>
      </w:r>
      <w:r>
        <w:rPr>
          <w:lang w:val="es-ES"/>
        </w:rPr>
        <w:t xml:space="preserve"> Grupo de Reguladores Independientes</w:t>
      </w:r>
      <w:r w:rsidRPr="00BC52BF">
        <w:rPr>
          <w:lang w:val="es-ES"/>
        </w:rPr>
        <w:t xml:space="preserve"> </w:t>
      </w:r>
      <w:r>
        <w:rPr>
          <w:lang w:val="es-ES"/>
        </w:rPr>
        <w:t>(</w:t>
      </w:r>
      <w:r w:rsidRPr="00BC52BF">
        <w:rPr>
          <w:lang w:val="es-ES"/>
        </w:rPr>
        <w:t>IRG</w:t>
      </w:r>
      <w:r>
        <w:rPr>
          <w:lang w:val="es-ES"/>
        </w:rPr>
        <w:t>, por sus siglas en inglés)</w:t>
      </w:r>
      <w:r w:rsidRPr="00BC52BF">
        <w:rPr>
          <w:lang w:val="es-ES"/>
        </w:rPr>
        <w:t>,</w:t>
      </w:r>
      <w:r w:rsidRPr="00BC52BF">
        <w:rPr>
          <w:rStyle w:val="Refdenotaalpie"/>
          <w:lang w:val="es-ES"/>
        </w:rPr>
        <w:footnoteReference w:id="7"/>
      </w:r>
      <w:r w:rsidRPr="00BC52BF">
        <w:rPr>
          <w:lang w:val="es-ES"/>
        </w:rPr>
        <w:t xml:space="preserve"> </w:t>
      </w:r>
      <w:r>
        <w:rPr>
          <w:lang w:val="es-ES"/>
        </w:rPr>
        <w:t>en la estimación de la tasa libre de riesgo se deben considerar una serie de aspectos clave:</w:t>
      </w:r>
    </w:p>
    <w:p w14:paraId="1F1DA5CB" w14:textId="3A8B50B9" w:rsidR="002C1A88" w:rsidRPr="002C1A88" w:rsidRDefault="00813A0B" w:rsidP="00982643">
      <w:pPr>
        <w:pStyle w:val="ListBulletCompact"/>
        <w:rPr>
          <w:lang w:val="es-ES"/>
        </w:rPr>
      </w:pPr>
      <w:r>
        <w:rPr>
          <w:lang w:val="es-ES"/>
        </w:rPr>
        <w:t>¿</w:t>
      </w:r>
      <w:r w:rsidR="0092736A">
        <w:rPr>
          <w:lang w:val="es-ES"/>
        </w:rPr>
        <w:t>Q</w:t>
      </w:r>
      <w:r w:rsidR="00044909" w:rsidRPr="00BC52BF">
        <w:rPr>
          <w:lang w:val="es-ES"/>
        </w:rPr>
        <w:t xml:space="preserve">ué referencia </w:t>
      </w:r>
      <w:r w:rsidR="00044909">
        <w:rPr>
          <w:lang w:val="es-ES"/>
        </w:rPr>
        <w:t>se debe utilizar</w:t>
      </w:r>
      <w:r w:rsidR="00044909" w:rsidRPr="00BC52BF">
        <w:rPr>
          <w:lang w:val="es-ES"/>
        </w:rPr>
        <w:t xml:space="preserve"> </w:t>
      </w:r>
      <w:r w:rsidR="003834B3">
        <w:rPr>
          <w:lang w:val="es-ES"/>
        </w:rPr>
        <w:t>para México</w:t>
      </w:r>
      <w:r w:rsidR="00044909">
        <w:rPr>
          <w:lang w:val="es-ES"/>
        </w:rPr>
        <w:t>?</w:t>
      </w:r>
    </w:p>
    <w:p w14:paraId="684EFC6B" w14:textId="161A4F08" w:rsidR="002C1A88" w:rsidRPr="002C1A88" w:rsidRDefault="00813A0B" w:rsidP="00982643">
      <w:pPr>
        <w:pStyle w:val="ListBulletCompact"/>
        <w:rPr>
          <w:lang w:val="es-ES"/>
        </w:rPr>
      </w:pPr>
      <w:r>
        <w:rPr>
          <w:lang w:val="es-ES"/>
        </w:rPr>
        <w:t>¿</w:t>
      </w:r>
      <w:r w:rsidR="0092736A">
        <w:rPr>
          <w:lang w:val="es-ES"/>
        </w:rPr>
        <w:t>Q</w:t>
      </w:r>
      <w:r w:rsidR="00044909" w:rsidRPr="00BC52BF">
        <w:rPr>
          <w:lang w:val="es-ES"/>
        </w:rPr>
        <w:t xml:space="preserve">ué período de madurez </w:t>
      </w:r>
      <w:r w:rsidR="00044909">
        <w:rPr>
          <w:lang w:val="es-ES"/>
        </w:rPr>
        <w:t xml:space="preserve">se debe tener en cuenta </w:t>
      </w:r>
      <w:r w:rsidR="00044909" w:rsidRPr="00BC52BF">
        <w:rPr>
          <w:lang w:val="es-ES"/>
        </w:rPr>
        <w:t>(horizonte temporal de inversión o periodo regulatorio)</w:t>
      </w:r>
      <w:r w:rsidR="00044909">
        <w:rPr>
          <w:lang w:val="es-ES"/>
        </w:rPr>
        <w:t>?</w:t>
      </w:r>
    </w:p>
    <w:p w14:paraId="36CCC43C" w14:textId="2B4D1F0F" w:rsidR="002C1A88" w:rsidRPr="002C1A88" w:rsidRDefault="00813A0B" w:rsidP="004520FE">
      <w:pPr>
        <w:pStyle w:val="ListBulletCompact"/>
        <w:rPr>
          <w:lang w:val="es-ES"/>
        </w:rPr>
      </w:pPr>
      <w:r>
        <w:rPr>
          <w:lang w:val="es-ES"/>
        </w:rPr>
        <w:t>¿</w:t>
      </w:r>
      <w:r w:rsidR="005610B7">
        <w:rPr>
          <w:lang w:val="es-ES"/>
        </w:rPr>
        <w:t>Q</w:t>
      </w:r>
      <w:r w:rsidR="00044909" w:rsidRPr="00BC52BF">
        <w:rPr>
          <w:lang w:val="es-ES"/>
        </w:rPr>
        <w:t>ué tipo de información se debe utilizar (actual, histórica</w:t>
      </w:r>
      <w:r w:rsidR="0050700B">
        <w:rPr>
          <w:lang w:val="es-ES"/>
        </w:rPr>
        <w:t xml:space="preserve"> o </w:t>
      </w:r>
      <w:r w:rsidR="003834B3">
        <w:rPr>
          <w:lang w:val="es-ES"/>
        </w:rPr>
        <w:t>esperada</w:t>
      </w:r>
      <w:r w:rsidR="00044909" w:rsidRPr="00BC52BF">
        <w:rPr>
          <w:lang w:val="es-ES"/>
        </w:rPr>
        <w:t>)</w:t>
      </w:r>
      <w:r w:rsidR="00044909">
        <w:rPr>
          <w:lang w:val="es-ES"/>
        </w:rPr>
        <w:t>?</w:t>
      </w:r>
    </w:p>
    <w:p w14:paraId="15069038" w14:textId="77777777" w:rsidR="002C1A88" w:rsidRPr="002C1A88" w:rsidRDefault="00E243B6" w:rsidP="00E243B6">
      <w:pPr>
        <w:rPr>
          <w:lang w:val="es-ES"/>
        </w:rPr>
      </w:pPr>
      <w:r>
        <w:rPr>
          <w:lang w:val="es-ES"/>
        </w:rPr>
        <w:t>Cada uno de estos aspectos se presentan a continuación.</w:t>
      </w:r>
    </w:p>
    <w:p w14:paraId="21A989DB" w14:textId="77777777" w:rsidR="002C1A88" w:rsidRPr="002C1A88" w:rsidRDefault="00142C72" w:rsidP="00A26498">
      <w:pPr>
        <w:pStyle w:val="Ttulo4"/>
        <w:rPr>
          <w:lang w:val="es-ES"/>
        </w:rPr>
      </w:pPr>
      <w:r>
        <w:rPr>
          <w:lang w:val="es-ES"/>
        </w:rPr>
        <w:t>País de referencia para la tasa de retorno libre de riesgo</w:t>
      </w:r>
    </w:p>
    <w:p w14:paraId="334D4916" w14:textId="3BCE9BAF" w:rsidR="002C1A88" w:rsidRPr="002C1A88" w:rsidRDefault="00044909" w:rsidP="00982643">
      <w:pPr>
        <w:rPr>
          <w:lang w:val="es-ES"/>
        </w:rPr>
      </w:pPr>
      <w:r>
        <w:rPr>
          <w:lang w:val="es-ES"/>
        </w:rPr>
        <w:t>Con respecto al país de referencia, h</w:t>
      </w:r>
      <w:r w:rsidRPr="00BC52BF">
        <w:rPr>
          <w:lang w:val="es-ES"/>
        </w:rPr>
        <w:t xml:space="preserve">abitualmente se asume que la tasa de retorno libre de riesgo es la de los bonos del </w:t>
      </w:r>
      <w:r w:rsidR="003834B3">
        <w:rPr>
          <w:lang w:val="es-ES"/>
        </w:rPr>
        <w:t>E</w:t>
      </w:r>
      <w:r w:rsidRPr="00BC52BF">
        <w:rPr>
          <w:lang w:val="es-ES"/>
        </w:rPr>
        <w:t>stado a largo plazo</w:t>
      </w:r>
      <w:r>
        <w:rPr>
          <w:lang w:val="es-ES"/>
        </w:rPr>
        <w:t xml:space="preserve"> (por ejemplo, los bonos emitidos por el Banco de México)</w:t>
      </w:r>
      <w:r w:rsidRPr="00BC52BF">
        <w:rPr>
          <w:lang w:val="es-ES"/>
        </w:rPr>
        <w:t xml:space="preserve">. </w:t>
      </w:r>
      <w:r>
        <w:rPr>
          <w:lang w:val="es-ES"/>
        </w:rPr>
        <w:t xml:space="preserve">No obstante, la literatura muestra que en múltiples ocasiones los reguladores de comunicaciones electrónicas optan por </w:t>
      </w:r>
      <w:r w:rsidR="00D9580B">
        <w:rPr>
          <w:lang w:val="es-ES"/>
        </w:rPr>
        <w:t xml:space="preserve">estimar la tasa de </w:t>
      </w:r>
      <w:r w:rsidR="00B76B13">
        <w:rPr>
          <w:lang w:val="es-ES"/>
        </w:rPr>
        <w:t xml:space="preserve">retorno </w:t>
      </w:r>
      <w:r w:rsidR="00D9580B">
        <w:rPr>
          <w:lang w:val="es-ES"/>
        </w:rPr>
        <w:t>libre de riesgo a través d</w:t>
      </w:r>
      <w:r>
        <w:rPr>
          <w:lang w:val="es-ES"/>
        </w:rPr>
        <w:t xml:space="preserve">el bono nacional de referencia de un país extranjero. </w:t>
      </w:r>
      <w:r w:rsidR="00A141B9">
        <w:rPr>
          <w:lang w:val="es-ES"/>
        </w:rPr>
        <w:t xml:space="preserve">En estos casos, generalmente se añade una prima de riesgo país (CRP, por sus siglas en inglés) para contabilizar el riesgo adicional que implica invertir en un país concreto. </w:t>
      </w:r>
      <w:r>
        <w:rPr>
          <w:lang w:val="es-ES"/>
        </w:rPr>
        <w:t>Por ejemplo, en el caso de México se podría tomar como referencia el bono estadounidense</w:t>
      </w:r>
      <w:r w:rsidR="00A141B9">
        <w:rPr>
          <w:lang w:val="es-ES"/>
        </w:rPr>
        <w:t>, sumando la prima de riesgo asociada al bono mexicano sobre el bono estadounidense</w:t>
      </w:r>
      <w:r>
        <w:rPr>
          <w:lang w:val="es-ES"/>
        </w:rPr>
        <w:t>.</w:t>
      </w:r>
      <w:r w:rsidR="00E84690">
        <w:rPr>
          <w:lang w:val="es-ES"/>
        </w:rPr>
        <w:t xml:space="preserve"> </w:t>
      </w:r>
    </w:p>
    <w:p w14:paraId="770F160D" w14:textId="5672604E" w:rsidR="002C1A88" w:rsidRPr="002C1A88" w:rsidRDefault="00677EC5" w:rsidP="001660DA">
      <w:pPr>
        <w:rPr>
          <w:lang w:val="es-ES"/>
        </w:rPr>
      </w:pPr>
      <w:r>
        <w:rPr>
          <w:lang w:val="es-ES"/>
        </w:rPr>
        <w:t xml:space="preserve">La </w:t>
      </w:r>
      <w:r w:rsidR="00D9178D">
        <w:rPr>
          <w:lang w:val="es-ES"/>
        </w:rPr>
        <w:t xml:space="preserve">principal </w:t>
      </w:r>
      <w:r>
        <w:rPr>
          <w:lang w:val="es-ES"/>
        </w:rPr>
        <w:t xml:space="preserve">diferencia </w:t>
      </w:r>
      <w:r w:rsidR="00D9178D">
        <w:rPr>
          <w:lang w:val="es-ES"/>
        </w:rPr>
        <w:t xml:space="preserve">entre ambas opciones es que, en el caso de tomar un bono emitido por el gobierno mexicano, la tasa </w:t>
      </w:r>
      <w:r w:rsidR="008F4B64">
        <w:rPr>
          <w:lang w:val="es-ES"/>
        </w:rPr>
        <w:t xml:space="preserve">de retorno </w:t>
      </w:r>
      <w:r w:rsidR="00D9178D">
        <w:rPr>
          <w:lang w:val="es-ES"/>
        </w:rPr>
        <w:t>libre de riesgo incorporaría el riesgo</w:t>
      </w:r>
      <w:r w:rsidR="004C475A">
        <w:rPr>
          <w:lang w:val="es-ES"/>
        </w:rPr>
        <w:t xml:space="preserve"> cambiario, al estar los bonos denominados en pesos mexicanos, mientras </w:t>
      </w:r>
      <w:r w:rsidR="001660DA">
        <w:rPr>
          <w:lang w:val="es-ES"/>
        </w:rPr>
        <w:t>que,</w:t>
      </w:r>
      <w:r w:rsidR="00696A50">
        <w:rPr>
          <w:lang w:val="es-ES"/>
        </w:rPr>
        <w:t xml:space="preserve"> si se tomase</w:t>
      </w:r>
      <w:r w:rsidR="004C475A">
        <w:rPr>
          <w:lang w:val="es-ES"/>
        </w:rPr>
        <w:t xml:space="preserve"> la alternativa</w:t>
      </w:r>
      <w:r w:rsidR="002D6B30">
        <w:rPr>
          <w:lang w:val="es-ES"/>
        </w:rPr>
        <w:t xml:space="preserve"> a través del bono estadounidense, podría controlarse este riesgo cambiario.</w:t>
      </w:r>
      <w:r w:rsidR="00086640">
        <w:rPr>
          <w:lang w:val="es-ES"/>
        </w:rPr>
        <w:t xml:space="preserve"> Cabe destacar que, a nivel práctico, ambas alternativas serían equivalentes</w:t>
      </w:r>
      <w:r w:rsidR="00D73B5D">
        <w:rPr>
          <w:lang w:val="es-ES"/>
        </w:rPr>
        <w:t xml:space="preserve">, tanto </w:t>
      </w:r>
      <w:r w:rsidR="00086640">
        <w:rPr>
          <w:lang w:val="es-ES"/>
        </w:rPr>
        <w:t>a la hora de medir un CCPP real</w:t>
      </w:r>
      <w:r w:rsidR="00D73B5D">
        <w:rPr>
          <w:lang w:val="es-ES"/>
        </w:rPr>
        <w:t xml:space="preserve">, como a la hora de </w:t>
      </w:r>
      <w:r w:rsidR="00AB0475">
        <w:rPr>
          <w:lang w:val="es-ES"/>
        </w:rPr>
        <w:t xml:space="preserve">estimar </w:t>
      </w:r>
      <w:r w:rsidR="00D73B5D">
        <w:rPr>
          <w:lang w:val="es-ES"/>
        </w:rPr>
        <w:t>el CCPP nominal denominado en pesos mexicanos, dado que el riesgo asociado al tipo cambiario se corrige a través de la deducción de la inflación</w:t>
      </w:r>
      <w:r w:rsidR="001660DA">
        <w:rPr>
          <w:lang w:val="es-ES"/>
        </w:rPr>
        <w:t xml:space="preserve"> (ver Sección </w:t>
      </w:r>
      <w:r w:rsidR="001660DA">
        <w:rPr>
          <w:lang w:val="es-ES"/>
        </w:rPr>
        <w:fldChar w:fldCharType="begin"/>
      </w:r>
      <w:r w:rsidR="001660DA">
        <w:rPr>
          <w:lang w:val="es-ES"/>
        </w:rPr>
        <w:instrText xml:space="preserve"> REF _Ref134201208 \r \h </w:instrText>
      </w:r>
      <w:r w:rsidR="001660DA">
        <w:rPr>
          <w:lang w:val="es-ES"/>
        </w:rPr>
      </w:r>
      <w:r w:rsidR="001660DA">
        <w:rPr>
          <w:lang w:val="es-ES"/>
        </w:rPr>
        <w:fldChar w:fldCharType="separate"/>
      </w:r>
      <w:r w:rsidR="001F1D48">
        <w:rPr>
          <w:lang w:val="es-ES"/>
        </w:rPr>
        <w:t>3.5</w:t>
      </w:r>
      <w:r w:rsidR="001660DA">
        <w:rPr>
          <w:lang w:val="es-ES"/>
        </w:rPr>
        <w:fldChar w:fldCharType="end"/>
      </w:r>
      <w:r w:rsidR="001660DA">
        <w:rPr>
          <w:lang w:val="es-ES"/>
        </w:rPr>
        <w:t>)</w:t>
      </w:r>
      <w:r w:rsidR="00831A80">
        <w:rPr>
          <w:lang w:val="es-ES"/>
        </w:rPr>
        <w:t>.</w:t>
      </w:r>
    </w:p>
    <w:p w14:paraId="2B05AC7D" w14:textId="735CC882" w:rsidR="002C1A88" w:rsidRPr="002C1A88" w:rsidRDefault="001660DA" w:rsidP="00021198">
      <w:pPr>
        <w:rPr>
          <w:lang w:val="es-ES"/>
        </w:rPr>
      </w:pPr>
      <w:r>
        <w:rPr>
          <w:lang w:val="es-ES"/>
        </w:rPr>
        <w:t xml:space="preserve">A este respecto, se considera que la alternativa más apropiada </w:t>
      </w:r>
      <w:r w:rsidR="00AA5EA8">
        <w:rPr>
          <w:lang w:val="es-ES"/>
        </w:rPr>
        <w:t xml:space="preserve">se correspondería con la de </w:t>
      </w:r>
      <w:r w:rsidR="005B5F47">
        <w:rPr>
          <w:lang w:val="es-ES"/>
        </w:rPr>
        <w:t xml:space="preserve">realizar </w:t>
      </w:r>
      <w:r w:rsidR="00AA5EA8">
        <w:rPr>
          <w:lang w:val="es-ES"/>
        </w:rPr>
        <w:t xml:space="preserve">una estimación </w:t>
      </w:r>
      <w:r w:rsidR="00EA2CEA">
        <w:rPr>
          <w:lang w:val="es-ES"/>
        </w:rPr>
        <w:t xml:space="preserve">del CCPP </w:t>
      </w:r>
      <w:r w:rsidR="00AA5EA8">
        <w:rPr>
          <w:lang w:val="es-ES"/>
        </w:rPr>
        <w:t xml:space="preserve">a partir </w:t>
      </w:r>
      <w:r w:rsidR="00C645FB">
        <w:rPr>
          <w:lang w:val="es-ES"/>
        </w:rPr>
        <w:t>d</w:t>
      </w:r>
      <w:r w:rsidR="008913E8">
        <w:rPr>
          <w:lang w:val="es-ES"/>
        </w:rPr>
        <w:t xml:space="preserve">el bono estadounidense y añadir la prima de riesgo de México con respecto a </w:t>
      </w:r>
      <w:r w:rsidR="00C645FB">
        <w:rPr>
          <w:lang w:val="es-ES"/>
        </w:rPr>
        <w:t xml:space="preserve">la de </w:t>
      </w:r>
      <w:r w:rsidR="008913E8">
        <w:rPr>
          <w:lang w:val="es-ES"/>
        </w:rPr>
        <w:t xml:space="preserve">Estados Unidos. </w:t>
      </w:r>
    </w:p>
    <w:p w14:paraId="03F74363" w14:textId="0A69396E" w:rsidR="002C1A88" w:rsidRPr="002C1A88" w:rsidRDefault="008913E8" w:rsidP="000F1B14">
      <w:pPr>
        <w:rPr>
          <w:lang w:val="es-ES"/>
        </w:rPr>
      </w:pPr>
      <w:r>
        <w:rPr>
          <w:lang w:val="es-ES"/>
        </w:rPr>
        <w:t xml:space="preserve">Esta opción se sustenta de manera adicional </w:t>
      </w:r>
      <w:r w:rsidR="00163FC5">
        <w:rPr>
          <w:lang w:val="es-ES"/>
        </w:rPr>
        <w:t>al observar</w:t>
      </w:r>
      <w:r w:rsidR="00044909">
        <w:rPr>
          <w:lang w:val="es-ES"/>
        </w:rPr>
        <w:t xml:space="preserve"> </w:t>
      </w:r>
      <w:r w:rsidR="00225269">
        <w:rPr>
          <w:lang w:val="es-ES"/>
        </w:rPr>
        <w:t>l</w:t>
      </w:r>
      <w:r w:rsidR="004B6182">
        <w:rPr>
          <w:lang w:val="es-ES"/>
        </w:rPr>
        <w:t xml:space="preserve">as prácticas </w:t>
      </w:r>
      <w:r w:rsidR="00225269">
        <w:rPr>
          <w:lang w:val="es-ES"/>
        </w:rPr>
        <w:t xml:space="preserve">de los </w:t>
      </w:r>
      <w:r w:rsidR="004B6182">
        <w:rPr>
          <w:lang w:val="es-ES"/>
        </w:rPr>
        <w:t xml:space="preserve">principales grupos de </w:t>
      </w:r>
      <w:r w:rsidR="00225269">
        <w:rPr>
          <w:lang w:val="es-ES"/>
        </w:rPr>
        <w:t>operadores de telecomunicaciones en México</w:t>
      </w:r>
      <w:r w:rsidR="004B6182">
        <w:rPr>
          <w:lang w:val="es-ES"/>
        </w:rPr>
        <w:t xml:space="preserve"> (los cuales operan no solo en México, sino en muchos otros países, integrando generalmente tanto servicios fijos como móviles)</w:t>
      </w:r>
      <w:r w:rsidR="00225269">
        <w:rPr>
          <w:lang w:val="es-ES"/>
        </w:rPr>
        <w:t xml:space="preserve">. En concreto, </w:t>
      </w:r>
      <w:r w:rsidR="004B6182">
        <w:rPr>
          <w:lang w:val="es-ES"/>
        </w:rPr>
        <w:t xml:space="preserve">estos operadores </w:t>
      </w:r>
      <w:r w:rsidR="00044909">
        <w:rPr>
          <w:lang w:val="es-ES"/>
        </w:rPr>
        <w:t>se encuentran</w:t>
      </w:r>
      <w:r w:rsidR="004B6182">
        <w:rPr>
          <w:lang w:val="es-ES"/>
        </w:rPr>
        <w:t>, en muchos casos,</w:t>
      </w:r>
      <w:r w:rsidR="00044909">
        <w:rPr>
          <w:lang w:val="es-ES"/>
        </w:rPr>
        <w:t xml:space="preserve"> listados en la bolsa de valores de Nueva York</w:t>
      </w:r>
      <w:r w:rsidR="00713D12">
        <w:rPr>
          <w:lang w:val="es-ES"/>
        </w:rPr>
        <w:t xml:space="preserve">. </w:t>
      </w:r>
      <w:r w:rsidR="00915EB6" w:rsidRPr="00915EB6">
        <w:rPr>
          <w:lang w:val="es-ES"/>
        </w:rPr>
        <w:t>De esta manera, un</w:t>
      </w:r>
      <w:r w:rsidR="00915EB6">
        <w:rPr>
          <w:lang w:val="es-ES"/>
        </w:rPr>
        <w:t xml:space="preserve"> inversor </w:t>
      </w:r>
      <w:r w:rsidR="00915EB6" w:rsidRPr="00915EB6">
        <w:rPr>
          <w:lang w:val="es-ES"/>
        </w:rPr>
        <w:t xml:space="preserve">que potencialmente decida invertir en alguno de los operadores mexicanos </w:t>
      </w:r>
      <w:r w:rsidR="00915EB6">
        <w:rPr>
          <w:lang w:val="es-ES"/>
        </w:rPr>
        <w:t xml:space="preserve">tendría una </w:t>
      </w:r>
      <w:r w:rsidR="00CA3796">
        <w:rPr>
          <w:lang w:val="es-ES"/>
        </w:rPr>
        <w:t xml:space="preserve">alternativa libre de riesgo que serían los </w:t>
      </w:r>
      <w:r w:rsidR="00915EB6" w:rsidRPr="00915EB6">
        <w:rPr>
          <w:lang w:val="es-ES"/>
        </w:rPr>
        <w:t>bonos del Estado</w:t>
      </w:r>
      <w:r w:rsidR="00CA3796">
        <w:rPr>
          <w:lang w:val="es-ES"/>
        </w:rPr>
        <w:t xml:space="preserve"> de los Estado Unidos</w:t>
      </w:r>
      <w:r w:rsidR="00915EB6" w:rsidRPr="00915EB6">
        <w:rPr>
          <w:lang w:val="es-ES"/>
        </w:rPr>
        <w:t xml:space="preserve">. Por este motivo, la mejor estimación de la tasa de retorno libre de riesgo para </w:t>
      </w:r>
      <w:r w:rsidR="00CA3796">
        <w:rPr>
          <w:lang w:val="es-ES"/>
        </w:rPr>
        <w:t>este</w:t>
      </w:r>
      <w:r w:rsidR="00915EB6" w:rsidRPr="00915EB6">
        <w:rPr>
          <w:lang w:val="es-ES"/>
        </w:rPr>
        <w:t xml:space="preserve"> inversor potencial </w:t>
      </w:r>
      <w:r w:rsidR="00C5584A">
        <w:rPr>
          <w:lang w:val="es-ES"/>
        </w:rPr>
        <w:t xml:space="preserve">sería </w:t>
      </w:r>
      <w:r w:rsidR="00915EB6" w:rsidRPr="00915EB6">
        <w:rPr>
          <w:lang w:val="es-ES"/>
        </w:rPr>
        <w:t xml:space="preserve">el </w:t>
      </w:r>
      <w:r w:rsidR="00C5584A">
        <w:rPr>
          <w:lang w:val="es-ES"/>
        </w:rPr>
        <w:t xml:space="preserve">retorno del </w:t>
      </w:r>
      <w:r w:rsidR="00915EB6" w:rsidRPr="00915EB6">
        <w:rPr>
          <w:lang w:val="es-ES"/>
        </w:rPr>
        <w:t>bono gubernamental estadounidense</w:t>
      </w:r>
      <w:r w:rsidR="001660DA">
        <w:rPr>
          <w:lang w:val="es-ES"/>
        </w:rPr>
        <w:t>.</w:t>
      </w:r>
      <w:r w:rsidR="00915EB6" w:rsidRPr="00915EB6">
        <w:rPr>
          <w:lang w:val="es-ES"/>
        </w:rPr>
        <w:t xml:space="preserve"> </w:t>
      </w:r>
      <w:r w:rsidR="00F84840">
        <w:rPr>
          <w:lang w:val="es-ES"/>
        </w:rPr>
        <w:t xml:space="preserve">En este caso, se considera apropiado añadir la prima de riesgo </w:t>
      </w:r>
      <w:r w:rsidR="00CC1AFB">
        <w:rPr>
          <w:lang w:val="es-ES"/>
        </w:rPr>
        <w:t>país</w:t>
      </w:r>
      <w:r w:rsidR="00481C1F">
        <w:rPr>
          <w:lang w:val="es-ES"/>
        </w:rPr>
        <w:t xml:space="preserve">, esto es, el diferencial de los bonos mexicanos (denominados en dólares americanos) sobre el bono estadounidense. </w:t>
      </w:r>
      <w:r w:rsidR="00021198">
        <w:rPr>
          <w:lang w:val="es-ES"/>
        </w:rPr>
        <w:t xml:space="preserve">Para asegurar claridad a este respecto, la formulación de la tasa de retorno libre de </w:t>
      </w:r>
      <w:r w:rsidR="0050700B">
        <w:rPr>
          <w:lang w:val="es-ES"/>
        </w:rPr>
        <w:t>riesgo</w:t>
      </w:r>
      <w:r w:rsidR="00021198">
        <w:rPr>
          <w:lang w:val="es-ES"/>
        </w:rPr>
        <w:t xml:space="preserve"> será la siguiente:</w:t>
      </w:r>
    </w:p>
    <w:p w14:paraId="1D4A0702" w14:textId="77777777" w:rsidR="002C1A88" w:rsidRPr="002C1A88" w:rsidRDefault="00927F08" w:rsidP="00021198">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f</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f</m:t>
              </m:r>
            </m:sub>
          </m:sSub>
          <m:d>
            <m:dPr>
              <m:ctrlPr>
                <w:rPr>
                  <w:rFonts w:ascii="Cambria Math" w:hAnsi="Cambria Math"/>
                  <w:i/>
                  <w:lang w:val="es-ES"/>
                </w:rPr>
              </m:ctrlPr>
            </m:dPr>
            <m:e>
              <m:r>
                <w:rPr>
                  <w:rFonts w:ascii="Cambria Math" w:hAnsi="Cambria Math"/>
                  <w:lang w:val="es-ES"/>
                </w:rPr>
                <m:t>EEUU</m:t>
              </m:r>
            </m:e>
          </m:d>
          <m:r>
            <w:rPr>
              <w:rFonts w:ascii="Cambria Math" w:hAnsi="Cambria Math"/>
              <w:lang w:val="es-ES"/>
            </w:rPr>
            <m:t>+CRP</m:t>
          </m:r>
        </m:oMath>
      </m:oMathPara>
    </w:p>
    <w:p w14:paraId="66AD2649" w14:textId="31478D62" w:rsidR="002C1A88" w:rsidRPr="002C1A88" w:rsidRDefault="00021198" w:rsidP="00021198">
      <w:pPr>
        <w:rPr>
          <w:lang w:val="es-ES"/>
        </w:rPr>
      </w:pPr>
      <w:r>
        <w:rPr>
          <w:rFonts w:eastAsiaTheme="minorEastAsia"/>
          <w:lang w:val="es-ES"/>
        </w:rPr>
        <w:t>Donde</w:t>
      </w:r>
      <w:r w:rsidR="00195A70">
        <w:rPr>
          <w:rFonts w:eastAsiaTheme="minorEastAsia"/>
          <w:lang w:val="es-ES"/>
        </w:rPr>
        <w:t>:</w:t>
      </w:r>
    </w:p>
    <w:p w14:paraId="77002685" w14:textId="77777777" w:rsidR="002C1A88" w:rsidRPr="002C1A88" w:rsidRDefault="00927F08" w:rsidP="002B64E1">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oMath>
      <w:r w:rsidR="002B64E1" w:rsidRPr="00F925D4">
        <w:rPr>
          <w:rFonts w:cs="Times New Roman"/>
          <w:lang w:val="es-ES"/>
        </w:rPr>
        <w:t xml:space="preserve"> es </w:t>
      </w:r>
      <w:r w:rsidR="002B64E1">
        <w:rPr>
          <w:rFonts w:cs="Times New Roman"/>
          <w:lang w:val="es-ES"/>
        </w:rPr>
        <w:t>la tasa de retorno libre de riesgo, aplicable en México</w:t>
      </w:r>
    </w:p>
    <w:p w14:paraId="042C72E8" w14:textId="77777777" w:rsidR="002C1A88" w:rsidRPr="002C1A88" w:rsidRDefault="00927F08" w:rsidP="002B64E1">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r>
          <w:rPr>
            <w:rFonts w:ascii="Cambria Math" w:hAnsi="Cambria Math" w:cs="Times New Roman"/>
            <w:sz w:val="24"/>
            <w:szCs w:val="24"/>
            <w:lang w:val="es-ES"/>
          </w:rPr>
          <m:t>(EEUU)</m:t>
        </m:r>
      </m:oMath>
      <w:r w:rsidR="002B64E1" w:rsidRPr="00F925D4">
        <w:rPr>
          <w:rFonts w:cs="Times New Roman"/>
          <w:lang w:val="es-ES"/>
        </w:rPr>
        <w:t xml:space="preserve"> es </w:t>
      </w:r>
      <w:r w:rsidR="002B64E1">
        <w:rPr>
          <w:rFonts w:cs="Times New Roman"/>
          <w:lang w:val="es-ES"/>
        </w:rPr>
        <w:t>la tasa de retorno libre de riesgo en Estados Unidos</w:t>
      </w:r>
    </w:p>
    <w:p w14:paraId="7F88CAD5" w14:textId="59A396E2" w:rsidR="00E40FCB" w:rsidRPr="00195A70" w:rsidRDefault="00771662" w:rsidP="00A26498">
      <w:pPr>
        <w:pStyle w:val="ListBulletCompact"/>
        <w:rPr>
          <w:rFonts w:cs="Times New Roman"/>
          <w:lang w:val="es-ES"/>
        </w:rPr>
      </w:pPr>
      <m:oMath>
        <m:r>
          <w:rPr>
            <w:rFonts w:ascii="Cambria Math" w:hAnsi="Cambria Math" w:cs="Times New Roman"/>
            <w:sz w:val="24"/>
            <w:szCs w:val="24"/>
            <w:lang w:val="es-ES"/>
          </w:rPr>
          <m:t>CRP</m:t>
        </m:r>
      </m:oMath>
      <w:r w:rsidRPr="00195A70">
        <w:rPr>
          <w:rFonts w:eastAsiaTheme="minorEastAsia" w:cs="Times New Roman"/>
          <w:sz w:val="24"/>
          <w:szCs w:val="24"/>
          <w:lang w:val="es-ES"/>
        </w:rPr>
        <w:t xml:space="preserve"> </w:t>
      </w:r>
      <w:r w:rsidRPr="00195A70">
        <w:rPr>
          <w:lang w:val="es-ES"/>
        </w:rPr>
        <w:t>es la prima de riesgo país</w:t>
      </w:r>
      <w:r w:rsidR="00195A70" w:rsidRPr="00195A70">
        <w:rPr>
          <w:lang w:val="es-ES"/>
        </w:rPr>
        <w:t>.</w:t>
      </w:r>
    </w:p>
    <w:tbl>
      <w:tblPr>
        <w:tblStyle w:val="Tablaconcuadrcula"/>
        <w:tblW w:w="0" w:type="auto"/>
        <w:tblLook w:val="04A0" w:firstRow="1" w:lastRow="0" w:firstColumn="1" w:lastColumn="0" w:noHBand="0" w:noVBand="1"/>
      </w:tblPr>
      <w:tblGrid>
        <w:gridCol w:w="8721"/>
      </w:tblGrid>
      <w:tr w:rsidR="00E40FCB" w:rsidRPr="00752BC6" w14:paraId="7D128586" w14:textId="77777777" w:rsidTr="00A022D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DA5C45" w14:textId="05FF4347" w:rsidR="00E40FCB" w:rsidRPr="00BC52BF" w:rsidRDefault="00E40FCB" w:rsidP="00A022D0">
            <w:pPr>
              <w:spacing w:after="120"/>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4</w:t>
            </w:r>
            <w:r w:rsidRPr="00BC52BF">
              <w:rPr>
                <w:b/>
                <w:lang w:val="es-ES"/>
              </w:rPr>
              <w:fldChar w:fldCharType="end"/>
            </w:r>
            <w:r w:rsidRPr="00BC52BF">
              <w:rPr>
                <w:b/>
                <w:bCs/>
                <w:lang w:val="es-ES"/>
              </w:rPr>
              <w:t xml:space="preserve">: </w:t>
            </w:r>
            <w:r w:rsidRPr="00BC52BF">
              <w:rPr>
                <w:lang w:val="es-ES"/>
              </w:rPr>
              <w:t xml:space="preserve">Se </w:t>
            </w:r>
            <w:r>
              <w:rPr>
                <w:lang w:val="es-ES"/>
              </w:rPr>
              <w:t xml:space="preserve">tomará la tasa de retorno libre de riesgo a partir del bono estadounidense, añadiendo una prima de riesgo </w:t>
            </w:r>
            <w:r w:rsidR="00E31DA9">
              <w:rPr>
                <w:lang w:val="es-ES"/>
              </w:rPr>
              <w:t>país que represente el diferencial entre el bono mexicano (denominado en dólares</w:t>
            </w:r>
            <w:r w:rsidR="00991D70">
              <w:rPr>
                <w:lang w:val="es-ES"/>
              </w:rPr>
              <w:t xml:space="preserve"> americanos</w:t>
            </w:r>
            <w:r w:rsidR="00E31DA9">
              <w:rPr>
                <w:lang w:val="es-ES"/>
              </w:rPr>
              <w:t>) y el bono estadounidense</w:t>
            </w:r>
            <w:r w:rsidRPr="00BC52BF">
              <w:rPr>
                <w:lang w:val="es-ES"/>
              </w:rPr>
              <w:t>.</w:t>
            </w:r>
          </w:p>
        </w:tc>
      </w:tr>
    </w:tbl>
    <w:p w14:paraId="5B014F46" w14:textId="77777777" w:rsidR="002C1A88" w:rsidRPr="002C1A88" w:rsidRDefault="00D17E6E" w:rsidP="00A26498">
      <w:pPr>
        <w:pStyle w:val="Ttulo4"/>
        <w:rPr>
          <w:lang w:val="es-ES"/>
        </w:rPr>
      </w:pPr>
      <w:r>
        <w:rPr>
          <w:lang w:val="es-ES"/>
        </w:rPr>
        <w:t>Periodo de madurez del bono de referencia</w:t>
      </w:r>
    </w:p>
    <w:p w14:paraId="25CAF0F1" w14:textId="2AFA3EA8" w:rsidR="002C1A88" w:rsidRPr="002C1A88" w:rsidRDefault="00C779DB" w:rsidP="00982643">
      <w:pPr>
        <w:rPr>
          <w:lang w:val="es-ES"/>
        </w:rPr>
      </w:pPr>
      <w:r>
        <w:rPr>
          <w:lang w:val="es-ES"/>
        </w:rPr>
        <w:t>Con respecto al periodo de</w:t>
      </w:r>
      <w:r w:rsidR="00044909">
        <w:rPr>
          <w:lang w:val="es-ES"/>
        </w:rPr>
        <w:t xml:space="preserve"> madurez de los bonos a emplear, la literatura muestra que este </w:t>
      </w:r>
      <w:r w:rsidR="00044909" w:rsidRPr="00C95E29">
        <w:rPr>
          <w:lang w:val="es-ES"/>
        </w:rPr>
        <w:t xml:space="preserve">debe reflejar el riesgo y rendimiento de las inversiones </w:t>
      </w:r>
      <w:r w:rsidR="00050C46">
        <w:rPr>
          <w:lang w:val="es-ES"/>
        </w:rPr>
        <w:t xml:space="preserve">en </w:t>
      </w:r>
      <w:r w:rsidR="00044909" w:rsidRPr="00C95E29">
        <w:rPr>
          <w:lang w:val="es-ES"/>
        </w:rPr>
        <w:t xml:space="preserve">infraestructura de </w:t>
      </w:r>
      <w:r w:rsidR="00044909">
        <w:rPr>
          <w:lang w:val="es-ES"/>
        </w:rPr>
        <w:t>telecomunicaciones, que por su naturaleza suelen ser a largo plazo</w:t>
      </w:r>
      <w:r w:rsidR="00044909" w:rsidRPr="00C95E29">
        <w:rPr>
          <w:lang w:val="es-ES"/>
        </w:rPr>
        <w:t>, y</w:t>
      </w:r>
      <w:r w:rsidR="00044909">
        <w:rPr>
          <w:lang w:val="es-ES"/>
        </w:rPr>
        <w:t xml:space="preserve"> a la vez</w:t>
      </w:r>
      <w:r w:rsidR="00044909" w:rsidRPr="00C95E29">
        <w:rPr>
          <w:lang w:val="es-ES"/>
        </w:rPr>
        <w:t xml:space="preserve"> deb</w:t>
      </w:r>
      <w:r w:rsidR="00044909">
        <w:rPr>
          <w:lang w:val="es-ES"/>
        </w:rPr>
        <w:t xml:space="preserve">en comercializarse con </w:t>
      </w:r>
      <w:r w:rsidR="00044909" w:rsidRPr="00C95E29">
        <w:rPr>
          <w:lang w:val="es-ES"/>
        </w:rPr>
        <w:t>liquidez</w:t>
      </w:r>
      <w:r w:rsidR="00044909">
        <w:rPr>
          <w:lang w:val="es-ES"/>
        </w:rPr>
        <w:t xml:space="preserve">. En este sentido, la práctica internacional muestra que la alternativa más común es la de tomar una duración de en torno a </w:t>
      </w:r>
      <w:r w:rsidR="00EB4B00">
        <w:rPr>
          <w:lang w:val="es-ES"/>
        </w:rPr>
        <w:t xml:space="preserve">10 </w:t>
      </w:r>
      <w:r w:rsidR="00044909">
        <w:rPr>
          <w:lang w:val="es-ES"/>
        </w:rPr>
        <w:t>años</w:t>
      </w:r>
      <w:r w:rsidR="00050C46">
        <w:rPr>
          <w:lang w:val="es-ES"/>
        </w:rPr>
        <w:t>,</w:t>
      </w:r>
      <w:r w:rsidR="001608F9">
        <w:rPr>
          <w:rStyle w:val="Refdenotaalpie"/>
          <w:lang w:val="es-ES"/>
        </w:rPr>
        <w:footnoteReference w:id="8"/>
      </w:r>
      <w:r w:rsidR="00D43B9A">
        <w:rPr>
          <w:lang w:val="es-ES"/>
        </w:rPr>
        <w:t xml:space="preserve"> si bien también se considerarían apropiadas</w:t>
      </w:r>
      <w:r w:rsidR="00050C46">
        <w:rPr>
          <w:lang w:val="es-ES"/>
        </w:rPr>
        <w:t xml:space="preserve"> opciones de mayor duración (20 o 30 años)</w:t>
      </w:r>
      <w:r w:rsidR="00D43B9A">
        <w:rPr>
          <w:lang w:val="es-ES"/>
        </w:rPr>
        <w:t>.</w:t>
      </w:r>
      <w:r w:rsidR="00315A09">
        <w:rPr>
          <w:lang w:val="es-ES"/>
        </w:rPr>
        <w:t xml:space="preserve"> </w:t>
      </w:r>
      <w:r w:rsidR="00CF6B78">
        <w:rPr>
          <w:lang w:val="es-ES"/>
        </w:rPr>
        <w:t>Otras o</w:t>
      </w:r>
      <w:r>
        <w:rPr>
          <w:lang w:val="es-ES"/>
        </w:rPr>
        <w:t>pciones</w:t>
      </w:r>
      <w:r w:rsidR="00315A09">
        <w:rPr>
          <w:lang w:val="es-ES"/>
        </w:rPr>
        <w:t xml:space="preserve"> de menor duración no serían las más apropiadas, ya que las inversiones de los operadores tienden a tener una </w:t>
      </w:r>
      <w:r>
        <w:rPr>
          <w:lang w:val="es-ES"/>
        </w:rPr>
        <w:t>duración mayor a este tiempo</w:t>
      </w:r>
      <w:r w:rsidR="00315A09">
        <w:rPr>
          <w:lang w:val="es-ES"/>
        </w:rPr>
        <w:t>.</w:t>
      </w:r>
    </w:p>
    <w:p w14:paraId="1F468013" w14:textId="7E18849A" w:rsidR="002C1A88" w:rsidRPr="002C1A88" w:rsidRDefault="00BA40CE" w:rsidP="00982643">
      <w:pPr>
        <w:rPr>
          <w:lang w:val="es-ES"/>
        </w:rPr>
      </w:pPr>
      <w:r>
        <w:rPr>
          <w:lang w:val="es-ES"/>
        </w:rPr>
        <w:t xml:space="preserve">Para determinar </w:t>
      </w:r>
      <w:r w:rsidR="00975004">
        <w:rPr>
          <w:lang w:val="es-ES"/>
        </w:rPr>
        <w:t xml:space="preserve">el periodo de </w:t>
      </w:r>
      <w:r w:rsidR="001608F9">
        <w:rPr>
          <w:lang w:val="es-ES"/>
        </w:rPr>
        <w:t xml:space="preserve">madurez </w:t>
      </w:r>
      <w:r>
        <w:rPr>
          <w:lang w:val="es-ES"/>
        </w:rPr>
        <w:t>más apropiad</w:t>
      </w:r>
      <w:r w:rsidR="00975004">
        <w:rPr>
          <w:lang w:val="es-ES"/>
        </w:rPr>
        <w:t>o</w:t>
      </w:r>
      <w:r>
        <w:rPr>
          <w:lang w:val="es-ES"/>
        </w:rPr>
        <w:t xml:space="preserve"> para el bono</w:t>
      </w:r>
      <w:r w:rsidR="001608F9">
        <w:rPr>
          <w:lang w:val="es-ES"/>
        </w:rPr>
        <w:t xml:space="preserve"> seleccionado en el caso concreto de México</w:t>
      </w:r>
      <w:r>
        <w:rPr>
          <w:lang w:val="es-ES"/>
        </w:rPr>
        <w:t xml:space="preserve">, consideramos que es relevante </w:t>
      </w:r>
      <w:r w:rsidR="007317C4">
        <w:rPr>
          <w:lang w:val="es-ES"/>
        </w:rPr>
        <w:t>observar la</w:t>
      </w:r>
      <w:r>
        <w:rPr>
          <w:lang w:val="es-ES"/>
        </w:rPr>
        <w:t xml:space="preserve"> realidad de los operadores mexicanos. Por un lado, </w:t>
      </w:r>
      <w:r w:rsidR="006D3884">
        <w:rPr>
          <w:lang w:val="es-ES"/>
        </w:rPr>
        <w:t>es cierto que parte de la infraestructura</w:t>
      </w:r>
      <w:r w:rsidR="0060640D">
        <w:rPr>
          <w:lang w:val="es-ES"/>
        </w:rPr>
        <w:t xml:space="preserve"> (por ejemplo, la infraestructura civil) requiere de inversiones a más largo plazo</w:t>
      </w:r>
      <w:r>
        <w:rPr>
          <w:lang w:val="es-ES"/>
        </w:rPr>
        <w:t xml:space="preserve"> (20 o 30 años).</w:t>
      </w:r>
      <w:r w:rsidR="005659EC">
        <w:rPr>
          <w:lang w:val="es-ES"/>
        </w:rPr>
        <w:t xml:space="preserve"> </w:t>
      </w:r>
      <w:r>
        <w:rPr>
          <w:lang w:val="es-ES"/>
        </w:rPr>
        <w:t xml:space="preserve">No obstante, un operador debe invertir en </w:t>
      </w:r>
      <w:r w:rsidR="007E7D35">
        <w:rPr>
          <w:lang w:val="es-ES"/>
        </w:rPr>
        <w:t>múltiples activos, de mayor y menor</w:t>
      </w:r>
      <w:r w:rsidR="00C67169">
        <w:rPr>
          <w:lang w:val="es-ES"/>
        </w:rPr>
        <w:t xml:space="preserve"> vida útil</w:t>
      </w:r>
      <w:r w:rsidR="007E7D35">
        <w:rPr>
          <w:lang w:val="es-ES"/>
        </w:rPr>
        <w:t>, con lo cual la madurez del bono debe ser representativa de los activos fijos totales de l</w:t>
      </w:r>
      <w:r w:rsidR="00360E9D">
        <w:rPr>
          <w:lang w:val="es-ES"/>
        </w:rPr>
        <w:t xml:space="preserve">os operadores mexicanos. Si </w:t>
      </w:r>
      <w:r w:rsidR="004B2F49">
        <w:rPr>
          <w:lang w:val="es-ES"/>
        </w:rPr>
        <w:t xml:space="preserve">analizamos </w:t>
      </w:r>
      <w:r w:rsidR="00360E9D">
        <w:rPr>
          <w:lang w:val="es-ES"/>
        </w:rPr>
        <w:t>los datos reales</w:t>
      </w:r>
      <w:r w:rsidR="005D7EC9">
        <w:rPr>
          <w:lang w:val="es-ES"/>
        </w:rPr>
        <w:t xml:space="preserve"> de </w:t>
      </w:r>
      <w:r w:rsidR="00597F89">
        <w:rPr>
          <w:lang w:val="es-ES"/>
        </w:rPr>
        <w:t>América</w:t>
      </w:r>
      <w:r w:rsidR="005D7EC9">
        <w:rPr>
          <w:lang w:val="es-ES"/>
        </w:rPr>
        <w:t xml:space="preserve"> Móvil </w:t>
      </w:r>
      <w:r w:rsidR="006F2D75">
        <w:rPr>
          <w:lang w:val="es-ES"/>
        </w:rPr>
        <w:t xml:space="preserve">en sus estados financieros </w:t>
      </w:r>
      <w:r w:rsidR="00285D47">
        <w:rPr>
          <w:lang w:val="es-ES"/>
        </w:rPr>
        <w:t>correspondientes a</w:t>
      </w:r>
      <w:r w:rsidR="005D7EC9">
        <w:rPr>
          <w:lang w:val="es-ES"/>
        </w:rPr>
        <w:t xml:space="preserve">l año 2022, </w:t>
      </w:r>
      <w:r w:rsidR="006F2D75">
        <w:rPr>
          <w:lang w:val="es-ES"/>
        </w:rPr>
        <w:t>podemos observar que, en promedio,</w:t>
      </w:r>
      <w:r w:rsidR="004F3AD3">
        <w:rPr>
          <w:lang w:val="es-ES"/>
        </w:rPr>
        <w:t xml:space="preserve"> </w:t>
      </w:r>
      <w:r w:rsidR="006F2D75">
        <w:rPr>
          <w:lang w:val="es-ES"/>
        </w:rPr>
        <w:t xml:space="preserve">los activos fijos del operador tendrían </w:t>
      </w:r>
      <w:r w:rsidR="004F3AD3">
        <w:rPr>
          <w:lang w:val="es-ES"/>
        </w:rPr>
        <w:t>una vida útil ligeramente superior a ocho años</w:t>
      </w:r>
      <w:r w:rsidR="00285D47">
        <w:rPr>
          <w:lang w:val="es-ES"/>
        </w:rPr>
        <w:t>.</w:t>
      </w:r>
      <w:r w:rsidR="00597F89">
        <w:rPr>
          <w:rStyle w:val="Refdenotaalpie"/>
          <w:lang w:val="es-ES"/>
        </w:rPr>
        <w:footnoteReference w:id="9"/>
      </w:r>
      <w:r w:rsidR="007956DD">
        <w:rPr>
          <w:lang w:val="es-ES"/>
        </w:rPr>
        <w:t xml:space="preserve">. </w:t>
      </w:r>
      <w:r w:rsidR="004F3AD3">
        <w:rPr>
          <w:lang w:val="es-ES"/>
        </w:rPr>
        <w:t xml:space="preserve">Adicionalmente, </w:t>
      </w:r>
      <w:r w:rsidR="00044909">
        <w:rPr>
          <w:lang w:val="es-ES"/>
        </w:rPr>
        <w:t xml:space="preserve">el bono estadounidense a </w:t>
      </w:r>
      <w:r w:rsidR="005541AE">
        <w:rPr>
          <w:lang w:val="es-ES"/>
        </w:rPr>
        <w:t xml:space="preserve">10 </w:t>
      </w:r>
      <w:r w:rsidR="00044909">
        <w:rPr>
          <w:lang w:val="es-ES"/>
        </w:rPr>
        <w:t xml:space="preserve">años se trata de una alternativa </w:t>
      </w:r>
      <w:r w:rsidR="00E700FF">
        <w:rPr>
          <w:lang w:val="es-ES"/>
        </w:rPr>
        <w:t xml:space="preserve">que ofrece </w:t>
      </w:r>
      <w:r w:rsidR="00044909">
        <w:rPr>
          <w:lang w:val="es-ES"/>
        </w:rPr>
        <w:t>mayor liquidez comparada con otras opciones</w:t>
      </w:r>
      <w:r w:rsidR="00283FC7">
        <w:rPr>
          <w:lang w:val="es-ES"/>
        </w:rPr>
        <w:t>,</w:t>
      </w:r>
      <w:r w:rsidR="00044909">
        <w:rPr>
          <w:rStyle w:val="Refdenotaalpie"/>
          <w:lang w:val="es-ES"/>
        </w:rPr>
        <w:footnoteReference w:id="10"/>
      </w:r>
      <w:r w:rsidR="00044909">
        <w:rPr>
          <w:lang w:val="es-ES"/>
        </w:rPr>
        <w:t xml:space="preserve"> </w:t>
      </w:r>
      <w:r w:rsidR="00EC0464">
        <w:rPr>
          <w:lang w:val="es-ES"/>
        </w:rPr>
        <w:t>lo cual indica que posiblemente se trat</w:t>
      </w:r>
      <w:r w:rsidR="005541AE">
        <w:rPr>
          <w:lang w:val="es-ES"/>
        </w:rPr>
        <w:t>e</w:t>
      </w:r>
      <w:r w:rsidR="00EC0464">
        <w:rPr>
          <w:lang w:val="es-ES"/>
        </w:rPr>
        <w:t xml:space="preserve"> de la opción de referencia entre los inversores. </w:t>
      </w:r>
    </w:p>
    <w:p w14:paraId="35055FA8" w14:textId="551E32FD" w:rsidR="005823FD" w:rsidRPr="00E40FCB" w:rsidRDefault="007956DD" w:rsidP="005823FD">
      <w:pPr>
        <w:rPr>
          <w:lang w:val="es-ES"/>
        </w:rPr>
      </w:pPr>
      <w:r>
        <w:rPr>
          <w:lang w:val="es-ES"/>
        </w:rPr>
        <w:t xml:space="preserve">Por estos motivos, se considera que una madurez de </w:t>
      </w:r>
      <w:r w:rsidR="00BA40CE">
        <w:rPr>
          <w:lang w:val="es-ES"/>
        </w:rPr>
        <w:t>10 años</w:t>
      </w:r>
      <w:r w:rsidR="00391583">
        <w:rPr>
          <w:lang w:val="es-ES"/>
        </w:rPr>
        <w:t xml:space="preserve"> es una alternativa razonable</w:t>
      </w:r>
      <w:r w:rsidR="00BA40CE">
        <w:rPr>
          <w:lang w:val="es-ES"/>
        </w:rPr>
        <w:t>.</w:t>
      </w:r>
    </w:p>
    <w:tbl>
      <w:tblPr>
        <w:tblStyle w:val="Tablaconcuadrcula"/>
        <w:tblW w:w="0" w:type="auto"/>
        <w:tblLook w:val="04A0" w:firstRow="1" w:lastRow="0" w:firstColumn="1" w:lastColumn="0" w:noHBand="0" w:noVBand="1"/>
      </w:tblPr>
      <w:tblGrid>
        <w:gridCol w:w="8721"/>
      </w:tblGrid>
      <w:tr w:rsidR="005823FD" w:rsidRPr="00752BC6" w14:paraId="138B20BA" w14:textId="77777777" w:rsidTr="00A022D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A3377E4" w14:textId="2C16FAB1" w:rsidR="005823FD" w:rsidRPr="00BC52BF" w:rsidRDefault="005823FD" w:rsidP="000F1B14">
            <w:pPr>
              <w:spacing w:after="120"/>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5</w:t>
            </w:r>
            <w:r w:rsidRPr="00BC52BF">
              <w:rPr>
                <w:b/>
                <w:lang w:val="es-ES"/>
              </w:rPr>
              <w:fldChar w:fldCharType="end"/>
            </w:r>
            <w:r w:rsidRPr="00BC52BF">
              <w:rPr>
                <w:b/>
                <w:bCs/>
                <w:lang w:val="es-ES"/>
              </w:rPr>
              <w:t xml:space="preserve">: </w:t>
            </w:r>
            <w:r w:rsidRPr="00BC52BF">
              <w:rPr>
                <w:lang w:val="es-ES"/>
              </w:rPr>
              <w:t xml:space="preserve">Se </w:t>
            </w:r>
            <w:r>
              <w:rPr>
                <w:lang w:val="es-ES"/>
              </w:rPr>
              <w:t>tomarán los bonos estadounidenses con una madurez de 10 años.</w:t>
            </w:r>
          </w:p>
        </w:tc>
      </w:tr>
    </w:tbl>
    <w:p w14:paraId="1F92D736" w14:textId="71704993" w:rsidR="002C1A88" w:rsidRPr="002C1A88" w:rsidRDefault="005823FD" w:rsidP="00A26498">
      <w:pPr>
        <w:pStyle w:val="Ttulo4"/>
        <w:rPr>
          <w:lang w:val="es-ES"/>
        </w:rPr>
      </w:pPr>
      <w:r>
        <w:rPr>
          <w:lang w:val="es-ES"/>
        </w:rPr>
        <w:t xml:space="preserve">Fuentes </w:t>
      </w:r>
      <w:r w:rsidR="008827FF">
        <w:rPr>
          <w:lang w:val="es-ES"/>
        </w:rPr>
        <w:t>d</w:t>
      </w:r>
      <w:r>
        <w:rPr>
          <w:lang w:val="es-ES"/>
        </w:rPr>
        <w:t>e información a utilizar</w:t>
      </w:r>
    </w:p>
    <w:p w14:paraId="22220D93" w14:textId="77777777" w:rsidR="002C1A88" w:rsidRPr="002C1A88" w:rsidRDefault="00044909" w:rsidP="00982643">
      <w:pPr>
        <w:rPr>
          <w:lang w:val="es-ES"/>
        </w:rPr>
      </w:pPr>
      <w:r>
        <w:rPr>
          <w:lang w:val="es-ES"/>
        </w:rPr>
        <w:t xml:space="preserve">Con respecto a la información a utilizar, en general se </w:t>
      </w:r>
      <w:r w:rsidR="005823FD">
        <w:rPr>
          <w:lang w:val="es-ES"/>
        </w:rPr>
        <w:t>tomará información de fuentes oficiales cuando sea posible.</w:t>
      </w:r>
      <w:r w:rsidR="006D4C89">
        <w:rPr>
          <w:lang w:val="es-ES"/>
        </w:rPr>
        <w:t xml:space="preserve"> </w:t>
      </w:r>
    </w:p>
    <w:p w14:paraId="5AA007D7" w14:textId="683FC326" w:rsidR="002C1A88" w:rsidRPr="002C1A88" w:rsidRDefault="003D16E3" w:rsidP="00982643">
      <w:pPr>
        <w:rPr>
          <w:lang w:val="es-ES"/>
        </w:rPr>
      </w:pPr>
      <w:r>
        <w:rPr>
          <w:lang w:val="es-ES"/>
        </w:rPr>
        <w:t>Para el bono estadounidense, se empleará</w:t>
      </w:r>
      <w:r w:rsidR="005823FD">
        <w:rPr>
          <w:lang w:val="es-ES"/>
        </w:rPr>
        <w:t xml:space="preserve"> la serie de datos d</w:t>
      </w:r>
      <w:r>
        <w:rPr>
          <w:lang w:val="es-ES"/>
        </w:rPr>
        <w:t>el rendimiento diario del bono provista por el</w:t>
      </w:r>
      <w:r w:rsidR="005823FD">
        <w:rPr>
          <w:lang w:val="es-ES"/>
        </w:rPr>
        <w:t xml:space="preserve"> </w:t>
      </w:r>
      <w:r w:rsidR="005823FD" w:rsidRPr="00DA6B97">
        <w:rPr>
          <w:lang w:val="es-ES"/>
        </w:rPr>
        <w:t>Departamento del Tesoro de los Estados Unidos (</w:t>
      </w:r>
      <w:r w:rsidR="005823FD" w:rsidRPr="00953F9E">
        <w:rPr>
          <w:i/>
          <w:iCs/>
          <w:lang w:val="es-ES"/>
        </w:rPr>
        <w:t>United States Department of the Treasury</w:t>
      </w:r>
      <w:r w:rsidR="005823FD" w:rsidRPr="00DA6B97">
        <w:rPr>
          <w:lang w:val="es-ES"/>
        </w:rPr>
        <w:t>)</w:t>
      </w:r>
      <w:r w:rsidR="006D4C89">
        <w:rPr>
          <w:lang w:val="es-ES"/>
        </w:rPr>
        <w:t>.</w:t>
      </w:r>
      <w:r w:rsidR="004006D6">
        <w:rPr>
          <w:lang w:val="es-ES"/>
        </w:rPr>
        <w:t xml:space="preserve"> </w:t>
      </w:r>
      <w:r w:rsidR="008804E1">
        <w:rPr>
          <w:lang w:val="es-ES"/>
        </w:rPr>
        <w:t xml:space="preserve">Con respecto al </w:t>
      </w:r>
      <w:r w:rsidR="000F0FED">
        <w:rPr>
          <w:lang w:val="es-ES"/>
        </w:rPr>
        <w:t>horizonte</w:t>
      </w:r>
      <w:r w:rsidR="008804E1">
        <w:rPr>
          <w:lang w:val="es-ES"/>
        </w:rPr>
        <w:t xml:space="preserve"> de promediado, </w:t>
      </w:r>
      <w:r w:rsidR="000F0FED">
        <w:rPr>
          <w:lang w:val="es-ES"/>
        </w:rPr>
        <w:t xml:space="preserve">se tomará un periodo de cinco años, </w:t>
      </w:r>
      <w:r w:rsidR="00E8619C">
        <w:rPr>
          <w:lang w:val="es-ES"/>
        </w:rPr>
        <w:t xml:space="preserve">tomando el promedio diario del rendimiento del bono seleccionado, en línea con el periodo de referencia descrito en la </w:t>
      </w:r>
      <w:r w:rsidR="00953F9E">
        <w:rPr>
          <w:lang w:val="es-ES"/>
        </w:rPr>
        <w:t>S</w:t>
      </w:r>
      <w:r w:rsidR="00E8619C">
        <w:rPr>
          <w:lang w:val="es-ES"/>
        </w:rPr>
        <w:t xml:space="preserve">ección </w:t>
      </w:r>
      <w:r w:rsidR="00E8619C">
        <w:rPr>
          <w:lang w:val="es-ES"/>
        </w:rPr>
        <w:fldChar w:fldCharType="begin"/>
      </w:r>
      <w:r w:rsidR="00E8619C">
        <w:rPr>
          <w:lang w:val="es-ES"/>
        </w:rPr>
        <w:instrText xml:space="preserve"> REF _Ref132972740 \r \h </w:instrText>
      </w:r>
      <w:r w:rsidR="00E8619C">
        <w:rPr>
          <w:lang w:val="es-ES"/>
        </w:rPr>
      </w:r>
      <w:r w:rsidR="00E8619C">
        <w:rPr>
          <w:lang w:val="es-ES"/>
        </w:rPr>
        <w:fldChar w:fldCharType="separate"/>
      </w:r>
      <w:r w:rsidR="001F1D48">
        <w:rPr>
          <w:lang w:val="es-ES"/>
        </w:rPr>
        <w:t>2.3</w:t>
      </w:r>
      <w:r w:rsidR="00E8619C">
        <w:rPr>
          <w:lang w:val="es-ES"/>
        </w:rPr>
        <w:fldChar w:fldCharType="end"/>
      </w:r>
      <w:r w:rsidR="00E8619C">
        <w:rPr>
          <w:lang w:val="es-ES"/>
        </w:rPr>
        <w:t>.</w:t>
      </w:r>
    </w:p>
    <w:p w14:paraId="7C428B67" w14:textId="1A1832A9" w:rsidR="002C1A88" w:rsidRPr="002C1A88" w:rsidRDefault="003D16E3" w:rsidP="003D16E3">
      <w:pPr>
        <w:rPr>
          <w:lang w:val="es-ES"/>
        </w:rPr>
      </w:pPr>
      <w:r>
        <w:rPr>
          <w:lang w:val="es-ES"/>
        </w:rPr>
        <w:t xml:space="preserve">De manera adicional, tal y como se presenta anteriormente, es necesario que la tasa libre de riesgo empleada sea representativa del país de referencia para el que se calcula el CCPP. Esto quiere decir que, en el caso particular de México, la tasa libre de riesgo debe incorporar una medida razonable del riesgo adicional al que se expone un inversor </w:t>
      </w:r>
      <w:r w:rsidR="00AD53EE">
        <w:rPr>
          <w:lang w:val="es-ES"/>
        </w:rPr>
        <w:t xml:space="preserve">de bonos </w:t>
      </w:r>
      <w:r w:rsidR="00194BA2">
        <w:rPr>
          <w:lang w:val="es-ES"/>
        </w:rPr>
        <w:t xml:space="preserve">gubernamentales </w:t>
      </w:r>
      <w:r>
        <w:rPr>
          <w:lang w:val="es-ES"/>
        </w:rPr>
        <w:t>a la hora de invertir en México comparado con invertir en Estados Unidos.</w:t>
      </w:r>
      <w:r w:rsidR="00211819">
        <w:rPr>
          <w:lang w:val="es-ES"/>
        </w:rPr>
        <w:t xml:space="preserve"> </w:t>
      </w:r>
    </w:p>
    <w:p w14:paraId="49E3AD91" w14:textId="583E47F9" w:rsidR="00044909" w:rsidRPr="00BC52BF" w:rsidRDefault="00BB72A1" w:rsidP="00F548F9">
      <w:pPr>
        <w:rPr>
          <w:lang w:val="es-ES"/>
        </w:rPr>
      </w:pPr>
      <w:r>
        <w:rPr>
          <w:lang w:val="es-ES"/>
        </w:rPr>
        <w:t>P</w:t>
      </w:r>
      <w:r w:rsidR="003D16E3">
        <w:rPr>
          <w:lang w:val="es-ES"/>
        </w:rPr>
        <w:t xml:space="preserve">ara </w:t>
      </w:r>
      <w:r w:rsidR="00AD53EE">
        <w:rPr>
          <w:lang w:val="es-ES"/>
        </w:rPr>
        <w:t>esta medida del riesgo adicional de</w:t>
      </w:r>
      <w:r w:rsidR="00194BA2">
        <w:rPr>
          <w:lang w:val="es-ES"/>
        </w:rPr>
        <w:t xml:space="preserve"> los bonos, la medida idónea sería la de obtener el diferencial del rendimiento diario entre ambos bonos. No obstante, para ello, sería necesario asegurar que ambos bonos se encuentran denominados en dólares americanos. Dado que no existe información pública disponible sobre el rendimiento de </w:t>
      </w:r>
      <w:r w:rsidR="007E5B8F">
        <w:rPr>
          <w:lang w:val="es-ES"/>
        </w:rPr>
        <w:t xml:space="preserve">los </w:t>
      </w:r>
      <w:r w:rsidR="00194BA2">
        <w:rPr>
          <w:lang w:val="es-ES"/>
        </w:rPr>
        <w:t>bono</w:t>
      </w:r>
      <w:r w:rsidR="0074101A">
        <w:rPr>
          <w:lang w:val="es-ES"/>
        </w:rPr>
        <w:t xml:space="preserve">s gubernamentales mexicanos denominados en dólares </w:t>
      </w:r>
      <w:r w:rsidR="0074492C">
        <w:rPr>
          <w:lang w:val="es-ES"/>
        </w:rPr>
        <w:t>americanos</w:t>
      </w:r>
      <w:r w:rsidR="0074101A">
        <w:rPr>
          <w:lang w:val="es-ES"/>
        </w:rPr>
        <w:t xml:space="preserve">, se hace necesario encontrar una estimación alternativa que presente el diferencial del riesgo asociado. Para </w:t>
      </w:r>
      <w:r w:rsidR="003D16E3">
        <w:rPr>
          <w:lang w:val="es-ES"/>
        </w:rPr>
        <w:t xml:space="preserve">ello, se </w:t>
      </w:r>
      <w:r w:rsidR="0074101A">
        <w:rPr>
          <w:lang w:val="es-ES"/>
        </w:rPr>
        <w:t>estima</w:t>
      </w:r>
      <w:r w:rsidR="003D16E3">
        <w:rPr>
          <w:lang w:val="es-ES"/>
        </w:rPr>
        <w:t xml:space="preserve"> apropiado considerar la prima de riesgo país estimada por el profesor </w:t>
      </w:r>
      <w:r w:rsidR="009F6CB9" w:rsidRPr="009F6CB9">
        <w:rPr>
          <w:lang w:val="es-ES"/>
        </w:rPr>
        <w:t xml:space="preserve">Aswath </w:t>
      </w:r>
      <w:r w:rsidR="003D16E3">
        <w:rPr>
          <w:lang w:val="es-ES"/>
        </w:rPr>
        <w:t>Damodaran de la Universidad de Nueva York</w:t>
      </w:r>
      <w:r w:rsidR="0074101A">
        <w:rPr>
          <w:lang w:val="es-ES"/>
        </w:rPr>
        <w:t xml:space="preserve">, la cual </w:t>
      </w:r>
      <w:r w:rsidR="00B6714A">
        <w:rPr>
          <w:lang w:val="es-ES"/>
        </w:rPr>
        <w:t xml:space="preserve">calcula </w:t>
      </w:r>
      <w:r w:rsidR="00F87AD5">
        <w:rPr>
          <w:lang w:val="es-ES"/>
        </w:rPr>
        <w:t xml:space="preserve">el diferencial a partir </w:t>
      </w:r>
      <w:r w:rsidR="0074101A">
        <w:rPr>
          <w:lang w:val="es-ES"/>
        </w:rPr>
        <w:t>de la calificación crediticia de los bonos</w:t>
      </w:r>
      <w:r w:rsidR="00F87AD5">
        <w:rPr>
          <w:lang w:val="es-ES"/>
        </w:rPr>
        <w:t xml:space="preserve"> de cada país</w:t>
      </w:r>
      <w:r w:rsidR="003D16E3">
        <w:rPr>
          <w:lang w:val="es-ES"/>
        </w:rPr>
        <w:t>.</w:t>
      </w:r>
      <w:r w:rsidR="00B23670">
        <w:rPr>
          <w:lang w:val="es-ES"/>
        </w:rPr>
        <w:t xml:space="preserve"> </w:t>
      </w:r>
      <w:r w:rsidR="003D16E3" w:rsidRPr="00982643">
        <w:rPr>
          <w:lang w:val="es-ES"/>
        </w:rPr>
        <w:t>De manera consistente con la definición de la tasa libre de riesgo, se tomará un promedio de los últimos cinco años.</w:t>
      </w:r>
    </w:p>
    <w:tbl>
      <w:tblPr>
        <w:tblStyle w:val="Tablaconcuadrcula"/>
        <w:tblW w:w="0" w:type="auto"/>
        <w:tblLook w:val="04A0" w:firstRow="1" w:lastRow="0" w:firstColumn="1" w:lastColumn="0" w:noHBand="0" w:noVBand="1"/>
      </w:tblPr>
      <w:tblGrid>
        <w:gridCol w:w="8721"/>
      </w:tblGrid>
      <w:tr w:rsidR="00044909" w:rsidRPr="00752BC6" w14:paraId="48ED128D" w14:textId="77777777" w:rsidTr="00BC52BF">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868019" w14:textId="09050AF7" w:rsidR="00047748" w:rsidRPr="00BC52BF" w:rsidRDefault="00044909" w:rsidP="004520FE">
            <w:pPr>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6</w:t>
            </w:r>
            <w:r w:rsidRPr="00BC52BF">
              <w:rPr>
                <w:b/>
                <w:lang w:val="es-ES"/>
              </w:rPr>
              <w:fldChar w:fldCharType="end"/>
            </w:r>
            <w:r w:rsidRPr="00BC52BF">
              <w:rPr>
                <w:b/>
                <w:bCs/>
                <w:lang w:val="es-ES"/>
              </w:rPr>
              <w:t xml:space="preserve">: </w:t>
            </w:r>
            <w:r w:rsidRPr="009354DC">
              <w:rPr>
                <w:lang w:val="es-ES"/>
              </w:rPr>
              <w:t xml:space="preserve">Se </w:t>
            </w:r>
            <w:r>
              <w:rPr>
                <w:lang w:val="es-ES"/>
              </w:rPr>
              <w:t>estimará</w:t>
            </w:r>
            <w:r w:rsidRPr="009354DC">
              <w:rPr>
                <w:lang w:val="es-ES"/>
              </w:rPr>
              <w:t xml:space="preserve"> la tasa de retorno libre de riesgo (</w:t>
            </w: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oMath>
            <w:r w:rsidRPr="009354DC">
              <w:rPr>
                <w:lang w:val="es-ES"/>
              </w:rPr>
              <w:t xml:space="preserve">) </w:t>
            </w:r>
            <w:r>
              <w:rPr>
                <w:lang w:val="es-ES"/>
              </w:rPr>
              <w:t xml:space="preserve">como el retorno </w:t>
            </w:r>
            <w:r w:rsidRPr="009354DC">
              <w:rPr>
                <w:lang w:val="es-ES"/>
              </w:rPr>
              <w:t>de los bonos gubernamentales estadounidenses</w:t>
            </w:r>
            <w:r>
              <w:rPr>
                <w:lang w:val="es-ES"/>
              </w:rPr>
              <w:t xml:space="preserve"> a 10 años, promedia</w:t>
            </w:r>
            <w:r w:rsidR="00AB251F">
              <w:rPr>
                <w:lang w:val="es-ES"/>
              </w:rPr>
              <w:t>n</w:t>
            </w:r>
            <w:r>
              <w:rPr>
                <w:lang w:val="es-ES"/>
              </w:rPr>
              <w:t>do de manera aritmética los retornos diarios de los últimos cinco años</w:t>
            </w:r>
            <w:r w:rsidRPr="009354DC">
              <w:rPr>
                <w:lang w:val="es-ES"/>
              </w:rPr>
              <w:t>.</w:t>
            </w:r>
            <w:r w:rsidR="0068568F" w:rsidRPr="00BC52BF">
              <w:rPr>
                <w:lang w:val="es-ES"/>
              </w:rPr>
              <w:t xml:space="preserve"> </w:t>
            </w:r>
            <w:r w:rsidR="00364091">
              <w:rPr>
                <w:lang w:val="es-ES"/>
              </w:rPr>
              <w:t>Adicionalmente</w:t>
            </w:r>
            <w:r w:rsidR="00151724">
              <w:rPr>
                <w:lang w:val="es-ES"/>
              </w:rPr>
              <w:t>,</w:t>
            </w:r>
            <w:r w:rsidR="00347359">
              <w:rPr>
                <w:lang w:val="es-ES"/>
              </w:rPr>
              <w:t xml:space="preserve"> se sumará a la tasa de retorno la prima de riesgo por invertir en bonos mexicanos, a través de las estimaciones del profesor Damodaran.</w:t>
            </w:r>
          </w:p>
        </w:tc>
      </w:tr>
    </w:tbl>
    <w:p w14:paraId="60A2E02A" w14:textId="5A65CF3E" w:rsidR="002D62C8" w:rsidRPr="000F1B14" w:rsidRDefault="002D62C8" w:rsidP="002D62C8">
      <w:pPr>
        <w:pStyle w:val="Ttulo3"/>
        <w:rPr>
          <w:lang w:val="es-ES"/>
        </w:rPr>
      </w:pPr>
      <w:r w:rsidRPr="002D62C8">
        <w:rPr>
          <w:lang w:val="es-ES"/>
        </w:rPr>
        <w:t>Prima de riesgo de mercado (</w:t>
      </w:r>
      <w:r w:rsidRPr="002D62C8">
        <w:rPr>
          <w:i/>
          <w:iCs/>
          <w:lang w:val="es-ES"/>
        </w:rPr>
        <w:t>R</w:t>
      </w:r>
      <w:r w:rsidRPr="002D62C8">
        <w:rPr>
          <w:rFonts w:ascii="Times New Roman Bold" w:hAnsi="Times New Roman Bold"/>
          <w:i/>
          <w:iCs/>
          <w:vertAlign w:val="subscript"/>
          <w:lang w:val="es-ES"/>
        </w:rPr>
        <w:t>e</w:t>
      </w:r>
      <w:r w:rsidRPr="002D62C8">
        <w:rPr>
          <w:lang w:val="es-ES"/>
        </w:rPr>
        <w:t>)</w:t>
      </w:r>
    </w:p>
    <w:p w14:paraId="07FF0010" w14:textId="0ECC55F1" w:rsidR="002C1A88" w:rsidRPr="002C1A88" w:rsidRDefault="00044909" w:rsidP="00982643">
      <w:pPr>
        <w:rPr>
          <w:lang w:val="es-ES"/>
        </w:rPr>
      </w:pPr>
      <w:r w:rsidRPr="00982643">
        <w:rPr>
          <w:lang w:val="es-ES"/>
        </w:rPr>
        <w:t>La prima de riesgo del capital representa el incremento sobre la tasa de retorno libre de riesgo que los inversores demandan del capital (</w:t>
      </w:r>
      <w:r w:rsidRPr="00982643">
        <w:rPr>
          <w:i/>
          <w:lang w:val="es-ES"/>
        </w:rPr>
        <w:t>equity</w:t>
      </w:r>
      <w:r w:rsidRPr="00982643">
        <w:rPr>
          <w:lang w:val="es-ES"/>
        </w:rPr>
        <w:t xml:space="preserve">), debido a que invertir en acciones conlleva un mayor riesgo que invertir en bonos del </w:t>
      </w:r>
      <w:r w:rsidR="00977A5D">
        <w:rPr>
          <w:lang w:val="es-ES"/>
        </w:rPr>
        <w:t>E</w:t>
      </w:r>
      <w:r w:rsidRPr="00982643">
        <w:rPr>
          <w:lang w:val="es-ES"/>
        </w:rPr>
        <w:t xml:space="preserve">stado. </w:t>
      </w:r>
      <w:r w:rsidR="008E7758" w:rsidRPr="00982643">
        <w:rPr>
          <w:lang w:val="es-ES"/>
        </w:rPr>
        <w:t>Existen múltiples fuentes para estimar</w:t>
      </w:r>
      <w:r w:rsidR="00123DD5" w:rsidRPr="00982643">
        <w:rPr>
          <w:lang w:val="es-ES"/>
        </w:rPr>
        <w:t xml:space="preserve"> la prima de riesgo de mercado, siendo dos de las más conocidas las siguientes:</w:t>
      </w:r>
    </w:p>
    <w:p w14:paraId="1E9481F9" w14:textId="5009BEEA" w:rsidR="002C1A88" w:rsidRPr="002C1A88" w:rsidRDefault="00702615" w:rsidP="00982643">
      <w:pPr>
        <w:pStyle w:val="ListBulletCompact"/>
        <w:rPr>
          <w:lang w:val="pt-PT"/>
        </w:rPr>
      </w:pPr>
      <w:r>
        <w:rPr>
          <w:lang w:val="pt-PT"/>
        </w:rPr>
        <w:t>i</w:t>
      </w:r>
      <w:r w:rsidR="00044909" w:rsidRPr="004520FE">
        <w:rPr>
          <w:lang w:val="pt-PT"/>
        </w:rPr>
        <w:t xml:space="preserve">nforme DMS, publicado anualmente por </w:t>
      </w:r>
      <w:r w:rsidR="00044909" w:rsidRPr="00982643">
        <w:rPr>
          <w:lang w:val="pt-PT"/>
        </w:rPr>
        <w:t>C</w:t>
      </w:r>
      <w:r w:rsidR="00044909" w:rsidRPr="004520FE">
        <w:rPr>
          <w:lang w:val="pt-PT"/>
        </w:rPr>
        <w:t xml:space="preserve">redit </w:t>
      </w:r>
      <w:r w:rsidR="00044909" w:rsidRPr="00982643">
        <w:rPr>
          <w:lang w:val="pt-PT"/>
        </w:rPr>
        <w:t>Suisse</w:t>
      </w:r>
      <w:r w:rsidR="000B38D7">
        <w:rPr>
          <w:rStyle w:val="Refdenotaalpie"/>
          <w:lang w:val="pt-PT"/>
        </w:rPr>
        <w:footnoteReference w:id="11"/>
      </w:r>
    </w:p>
    <w:p w14:paraId="0293CB68" w14:textId="6368A490" w:rsidR="002C1A88" w:rsidRPr="002C1A88" w:rsidRDefault="002405F8" w:rsidP="00982643">
      <w:pPr>
        <w:pStyle w:val="ListBulletCompact"/>
        <w:rPr>
          <w:lang w:val="es-ES"/>
        </w:rPr>
      </w:pPr>
      <w:r>
        <w:rPr>
          <w:lang w:val="es-ES"/>
        </w:rPr>
        <w:t>e</w:t>
      </w:r>
      <w:r w:rsidR="00044909" w:rsidRPr="004520FE">
        <w:rPr>
          <w:lang w:val="es-ES"/>
        </w:rPr>
        <w:t>stimación de</w:t>
      </w:r>
      <w:r>
        <w:rPr>
          <w:lang w:val="es-ES"/>
        </w:rPr>
        <w:t>l profesor</w:t>
      </w:r>
      <w:r w:rsidR="00044909" w:rsidRPr="004520FE">
        <w:rPr>
          <w:lang w:val="es-ES"/>
        </w:rPr>
        <w:t xml:space="preserve"> Damodaran</w:t>
      </w:r>
      <w:r>
        <w:rPr>
          <w:lang w:val="es-ES"/>
        </w:rPr>
        <w:t>.</w:t>
      </w:r>
      <w:r w:rsidR="00044909" w:rsidRPr="004520FE">
        <w:rPr>
          <w:lang w:val="es-ES"/>
        </w:rPr>
        <w:t xml:space="preserve"> </w:t>
      </w:r>
    </w:p>
    <w:p w14:paraId="5E8EACA6" w14:textId="407E109D" w:rsidR="002C1A88" w:rsidRPr="002C1A88" w:rsidRDefault="00123DD5" w:rsidP="00982643">
      <w:pPr>
        <w:rPr>
          <w:lang w:val="es-ES"/>
        </w:rPr>
      </w:pPr>
      <w:r w:rsidRPr="00982643">
        <w:rPr>
          <w:lang w:val="es-ES"/>
        </w:rPr>
        <w:t>Dentro de estas dos fuentes, observamos que existen varias formas de estimar la prima de riesgo de mercado.</w:t>
      </w:r>
      <w:r w:rsidR="00213D21" w:rsidRPr="00982643">
        <w:rPr>
          <w:lang w:val="es-ES"/>
        </w:rPr>
        <w:t xml:space="preserve"> En general, podemos agrupar estas alternativas en </w:t>
      </w:r>
      <w:r w:rsidR="00087E7D" w:rsidRPr="00982643">
        <w:rPr>
          <w:lang w:val="es-ES"/>
        </w:rPr>
        <w:t>i) estimaciones que parten de información pasada</w:t>
      </w:r>
      <w:r w:rsidR="00CC7919">
        <w:rPr>
          <w:lang w:val="es-ES"/>
        </w:rPr>
        <w:t>,</w:t>
      </w:r>
      <w:r w:rsidR="00087E7D" w:rsidRPr="00982643">
        <w:rPr>
          <w:lang w:val="es-ES"/>
        </w:rPr>
        <w:t xml:space="preserve"> y ii) </w:t>
      </w:r>
      <w:r w:rsidR="000D1E6D" w:rsidRPr="00982643">
        <w:rPr>
          <w:lang w:val="es-ES"/>
        </w:rPr>
        <w:t>estimaciones con base a la evolución esperada del mercado.</w:t>
      </w:r>
      <w:r w:rsidR="00DE2322">
        <w:rPr>
          <w:lang w:val="es-ES"/>
        </w:rPr>
        <w:t xml:space="preserve"> A este respecto, el informe DMS se basa en la perspectiva histórica</w:t>
      </w:r>
      <w:r w:rsidR="00E70879">
        <w:rPr>
          <w:lang w:val="es-ES"/>
        </w:rPr>
        <w:t>, tomando datos desde 19</w:t>
      </w:r>
      <w:r w:rsidR="006645CC">
        <w:rPr>
          <w:lang w:val="es-ES"/>
        </w:rPr>
        <w:t>00</w:t>
      </w:r>
      <w:r w:rsidR="00E70879">
        <w:rPr>
          <w:lang w:val="es-ES"/>
        </w:rPr>
        <w:t xml:space="preserve">, mientras que </w:t>
      </w:r>
      <w:r w:rsidR="008E554D">
        <w:rPr>
          <w:lang w:val="es-ES"/>
        </w:rPr>
        <w:t xml:space="preserve">el profesor </w:t>
      </w:r>
      <w:r w:rsidR="00E70879">
        <w:rPr>
          <w:lang w:val="es-ES"/>
        </w:rPr>
        <w:t>Damodaran proporciona ambas visiones</w:t>
      </w:r>
      <w:r w:rsidR="008E554D">
        <w:rPr>
          <w:lang w:val="es-ES"/>
        </w:rPr>
        <w:t>:</w:t>
      </w:r>
      <w:r w:rsidR="00E70879">
        <w:rPr>
          <w:lang w:val="es-ES"/>
        </w:rPr>
        <w:t xml:space="preserve"> una visión histórica con datos desde </w:t>
      </w:r>
      <w:r w:rsidR="00E70879" w:rsidRPr="007420F5">
        <w:rPr>
          <w:lang w:val="es-ES"/>
        </w:rPr>
        <w:t>19</w:t>
      </w:r>
      <w:r w:rsidR="00590FB1">
        <w:rPr>
          <w:lang w:val="es-ES"/>
        </w:rPr>
        <w:t>28</w:t>
      </w:r>
      <w:r w:rsidR="00E76193">
        <w:rPr>
          <w:lang w:val="es-ES"/>
        </w:rPr>
        <w:t>,</w:t>
      </w:r>
      <w:r w:rsidR="00E70879">
        <w:rPr>
          <w:lang w:val="es-ES"/>
        </w:rPr>
        <w:t xml:space="preserve"> y una visión prospectiva, considerando</w:t>
      </w:r>
      <w:r w:rsidR="00E94B0A">
        <w:rPr>
          <w:lang w:val="es-ES"/>
        </w:rPr>
        <w:t xml:space="preserve"> previsiones a futuro de los retornos de los mercados.</w:t>
      </w:r>
    </w:p>
    <w:p w14:paraId="7199FEA3" w14:textId="09B19986" w:rsidR="002C1A88" w:rsidRPr="002C1A88" w:rsidRDefault="000D1E6D" w:rsidP="00982643">
      <w:pPr>
        <w:rPr>
          <w:lang w:val="es-ES"/>
        </w:rPr>
      </w:pPr>
      <w:r w:rsidRPr="00982643">
        <w:rPr>
          <w:lang w:val="es-ES"/>
        </w:rPr>
        <w:t xml:space="preserve">A este respecto, una aproximación basada en la evolución esperada del mercado es más adecuada para el uso objetivo del CCPP, ya que los modelos </w:t>
      </w:r>
      <w:r w:rsidR="00CF42C4">
        <w:rPr>
          <w:lang w:val="es-ES"/>
        </w:rPr>
        <w:t xml:space="preserve">de costos </w:t>
      </w:r>
      <w:r w:rsidR="00A463CC" w:rsidRPr="00982643">
        <w:rPr>
          <w:lang w:val="es-ES"/>
        </w:rPr>
        <w:t>tienen un carácter fundamentalmente prospectivo</w:t>
      </w:r>
      <w:r w:rsidR="00044909" w:rsidRPr="00982643">
        <w:rPr>
          <w:lang w:val="es-ES"/>
        </w:rPr>
        <w:t>. Bajo esta visión, se tomará la estimación del profesor Damodaran,</w:t>
      </w:r>
      <w:r w:rsidR="001E3ABF" w:rsidRPr="00982643">
        <w:rPr>
          <w:lang w:val="es-ES"/>
        </w:rPr>
        <w:t xml:space="preserve"> con base a </w:t>
      </w:r>
      <w:r w:rsidR="003F0974" w:rsidRPr="00982643">
        <w:rPr>
          <w:lang w:val="es-ES"/>
        </w:rPr>
        <w:t>las</w:t>
      </w:r>
      <w:r w:rsidR="001E3ABF" w:rsidRPr="00982643">
        <w:rPr>
          <w:lang w:val="es-ES"/>
        </w:rPr>
        <w:t xml:space="preserve"> previsiones del mercado</w:t>
      </w:r>
      <w:r w:rsidR="00044909" w:rsidRPr="00982643">
        <w:rPr>
          <w:lang w:val="es-ES"/>
        </w:rPr>
        <w:t>.</w:t>
      </w:r>
    </w:p>
    <w:p w14:paraId="227ADBE6" w14:textId="5A03A53D" w:rsidR="002C1A88" w:rsidRPr="002C1A88" w:rsidRDefault="00D721F3" w:rsidP="00982643">
      <w:pPr>
        <w:rPr>
          <w:lang w:val="es-ES"/>
        </w:rPr>
      </w:pPr>
      <w:r>
        <w:rPr>
          <w:lang w:val="es-ES"/>
        </w:rPr>
        <w:t xml:space="preserve">Para asegurar consistencia con el resto de </w:t>
      </w:r>
      <w:r w:rsidR="00810D65">
        <w:rPr>
          <w:lang w:val="es-ES"/>
        </w:rPr>
        <w:t>los parámetros</w:t>
      </w:r>
      <w:r>
        <w:rPr>
          <w:lang w:val="es-ES"/>
        </w:rPr>
        <w:t xml:space="preserve"> involucrados </w:t>
      </w:r>
      <w:r w:rsidR="00FC1368">
        <w:rPr>
          <w:lang w:val="es-ES"/>
        </w:rPr>
        <w:t xml:space="preserve">en la estimación del costo del capital, es necesario asegurar que la </w:t>
      </w:r>
      <w:r w:rsidR="009553AA">
        <w:rPr>
          <w:lang w:val="es-ES"/>
        </w:rPr>
        <w:t>estimación</w:t>
      </w:r>
      <w:r w:rsidR="00FC1368">
        <w:rPr>
          <w:lang w:val="es-ES"/>
        </w:rPr>
        <w:t xml:space="preserve"> de</w:t>
      </w:r>
      <w:r w:rsidR="00FB7E34">
        <w:rPr>
          <w:lang w:val="es-ES"/>
        </w:rPr>
        <w:t xml:space="preserve"> la prima de riesgo de mercado es representativa del mercado mexicano</w:t>
      </w:r>
      <w:r w:rsidR="00044909" w:rsidRPr="00982643">
        <w:rPr>
          <w:lang w:val="es-ES"/>
        </w:rPr>
        <w:t>.</w:t>
      </w:r>
      <w:r w:rsidR="00FB7E34">
        <w:rPr>
          <w:lang w:val="es-ES"/>
        </w:rPr>
        <w:t xml:space="preserve"> Para e</w:t>
      </w:r>
      <w:r w:rsidR="00F45DD2">
        <w:rPr>
          <w:lang w:val="es-ES"/>
        </w:rPr>
        <w:t xml:space="preserve">llo, se tomará la prima de riesgo estimada por </w:t>
      </w:r>
      <w:r w:rsidR="00185101">
        <w:rPr>
          <w:lang w:val="es-ES"/>
        </w:rPr>
        <w:t xml:space="preserve">el profesor </w:t>
      </w:r>
      <w:r w:rsidR="00F45DD2">
        <w:rPr>
          <w:lang w:val="es-ES"/>
        </w:rPr>
        <w:t xml:space="preserve">Damodaran para Estados Unidos, y se le añadirá la prima de riesgo adicional </w:t>
      </w:r>
      <w:r w:rsidR="005A5952">
        <w:rPr>
          <w:lang w:val="es-ES"/>
        </w:rPr>
        <w:t xml:space="preserve">por invertir en México, teniendo en cuenta la </w:t>
      </w:r>
      <w:r w:rsidR="00633978">
        <w:rPr>
          <w:lang w:val="es-ES"/>
        </w:rPr>
        <w:t xml:space="preserve">relación de </w:t>
      </w:r>
      <w:r w:rsidR="005A5952">
        <w:rPr>
          <w:lang w:val="es-ES"/>
        </w:rPr>
        <w:t>volatilidad</w:t>
      </w:r>
      <w:r w:rsidR="00633978">
        <w:rPr>
          <w:lang w:val="es-ES"/>
        </w:rPr>
        <w:t>es</w:t>
      </w:r>
      <w:r w:rsidR="005A5952">
        <w:rPr>
          <w:lang w:val="es-ES"/>
        </w:rPr>
        <w:t xml:space="preserve"> </w:t>
      </w:r>
      <w:r w:rsidR="00C02463">
        <w:rPr>
          <w:lang w:val="es-ES"/>
        </w:rPr>
        <w:t>aplicables al mercado mexicano. De esta manera, la formulación de la prima de riesgo de mercado resultante es la siguiente:</w:t>
      </w:r>
    </w:p>
    <w:p w14:paraId="64736ACA" w14:textId="77777777" w:rsidR="002C1A88" w:rsidRPr="002C1A88" w:rsidRDefault="00927F08" w:rsidP="00A26498">
      <w:pPr>
        <w:jc w:val="center"/>
        <w:rPr>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e</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e</m:t>
              </m:r>
            </m:sub>
          </m:sSub>
          <m:d>
            <m:dPr>
              <m:ctrlPr>
                <w:rPr>
                  <w:rFonts w:ascii="Cambria Math" w:hAnsi="Cambria Math"/>
                  <w:i/>
                  <w:lang w:val="es-ES"/>
                </w:rPr>
              </m:ctrlPr>
            </m:dPr>
            <m:e>
              <m:r>
                <w:rPr>
                  <w:rFonts w:ascii="Cambria Math" w:hAnsi="Cambria Math"/>
                  <w:lang w:val="es-ES"/>
                </w:rPr>
                <m:t>EEUU</m:t>
              </m:r>
            </m:e>
          </m:d>
          <m:r>
            <w:rPr>
              <w:rFonts w:ascii="Cambria Math" w:hAnsi="Cambria Math"/>
              <w:lang w:val="es-ES"/>
            </w:rPr>
            <m:t>+CRP</m:t>
          </m:r>
          <m:r>
            <w:rPr>
              <w:rFonts w:ascii="Cambria Math"/>
              <w:sz w:val="24"/>
              <w:szCs w:val="24"/>
              <w:lang w:val="es-ES"/>
            </w:rPr>
            <m:t>×</m:t>
          </m:r>
          <m:r>
            <m:rPr>
              <m:sty m:val="p"/>
            </m:rPr>
            <w:rPr>
              <w:rFonts w:ascii="Cambria Math" w:eastAsiaTheme="minorEastAsia" w:hAnsi="Cambria Math"/>
              <w:sz w:val="24"/>
              <w:szCs w:val="24"/>
              <w:lang w:val="es-ES"/>
            </w:rPr>
            <m:t>σ</m:t>
          </m:r>
          <m:r>
            <w:rPr>
              <w:rFonts w:ascii="Cambria Math"/>
              <w:sz w:val="24"/>
              <w:szCs w:val="24"/>
              <w:lang w:val="es-ES"/>
            </w:rPr>
            <m:t xml:space="preserve"> </m:t>
          </m:r>
        </m:oMath>
      </m:oMathPara>
    </w:p>
    <w:p w14:paraId="2B9039EB" w14:textId="0D2815A3" w:rsidR="002C1A88" w:rsidRPr="002C1A88" w:rsidRDefault="00593649" w:rsidP="00593649">
      <w:pPr>
        <w:rPr>
          <w:lang w:val="es-ES"/>
        </w:rPr>
      </w:pPr>
      <w:r>
        <w:rPr>
          <w:rFonts w:eastAsiaTheme="minorEastAsia"/>
          <w:lang w:val="es-ES"/>
        </w:rPr>
        <w:t>Donde</w:t>
      </w:r>
      <w:r w:rsidR="002B2998">
        <w:rPr>
          <w:rFonts w:eastAsiaTheme="minorEastAsia"/>
          <w:lang w:val="es-ES"/>
        </w:rPr>
        <w:t>:</w:t>
      </w:r>
    </w:p>
    <w:p w14:paraId="27F72667" w14:textId="77777777" w:rsidR="002C1A88" w:rsidRPr="002C1A88" w:rsidRDefault="00927F08" w:rsidP="00593649">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e</m:t>
            </m:r>
          </m:sub>
        </m:sSub>
      </m:oMath>
      <w:r w:rsidR="00593649" w:rsidRPr="00F925D4">
        <w:rPr>
          <w:rFonts w:cs="Times New Roman"/>
          <w:lang w:val="es-ES"/>
        </w:rPr>
        <w:t xml:space="preserve"> es </w:t>
      </w:r>
      <w:r w:rsidR="00593649">
        <w:rPr>
          <w:rFonts w:cs="Times New Roman"/>
          <w:lang w:val="es-ES"/>
        </w:rPr>
        <w:t>la prima de riesgo de mercado aplicable en México</w:t>
      </w:r>
    </w:p>
    <w:p w14:paraId="36721821" w14:textId="77777777" w:rsidR="002C1A88" w:rsidRPr="002C1A88" w:rsidRDefault="00927F08" w:rsidP="00593649">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e</m:t>
            </m:r>
          </m:sub>
        </m:sSub>
        <m:r>
          <w:rPr>
            <w:rFonts w:ascii="Cambria Math" w:hAnsi="Cambria Math" w:cs="Times New Roman"/>
            <w:sz w:val="24"/>
            <w:szCs w:val="24"/>
            <w:lang w:val="es-ES"/>
          </w:rPr>
          <m:t>(EEUU)</m:t>
        </m:r>
      </m:oMath>
      <w:r w:rsidR="00593649" w:rsidRPr="00F925D4">
        <w:rPr>
          <w:rFonts w:cs="Times New Roman"/>
          <w:lang w:val="es-ES"/>
        </w:rPr>
        <w:t xml:space="preserve"> es </w:t>
      </w:r>
      <w:r w:rsidR="00593649">
        <w:rPr>
          <w:rFonts w:cs="Times New Roman"/>
          <w:lang w:val="es-ES"/>
        </w:rPr>
        <w:t>la prima de riesgo de mercado en Estados Unidos</w:t>
      </w:r>
    </w:p>
    <w:p w14:paraId="3F85B21E" w14:textId="77777777" w:rsidR="002C1A88" w:rsidRPr="002C1A88" w:rsidRDefault="00593649" w:rsidP="00593649">
      <w:pPr>
        <w:pStyle w:val="ListBulletCompact"/>
        <w:rPr>
          <w:rFonts w:cs="Times New Roman"/>
          <w:lang w:val="es-ES"/>
        </w:rPr>
      </w:pPr>
      <m:oMath>
        <m:r>
          <w:rPr>
            <w:rFonts w:ascii="Cambria Math" w:hAnsi="Cambria Math" w:cs="Times New Roman"/>
            <w:sz w:val="24"/>
            <w:szCs w:val="24"/>
            <w:lang w:val="es-ES"/>
          </w:rPr>
          <m:t>CRP</m:t>
        </m:r>
      </m:oMath>
      <w:r>
        <w:rPr>
          <w:rFonts w:eastAsiaTheme="minorEastAsia" w:cs="Times New Roman"/>
          <w:sz w:val="24"/>
          <w:szCs w:val="24"/>
          <w:lang w:val="es-ES"/>
        </w:rPr>
        <w:t xml:space="preserve"> </w:t>
      </w:r>
      <w:r w:rsidRPr="00A26498">
        <w:rPr>
          <w:rFonts w:cs="Times New Roman"/>
          <w:lang w:val="es-ES"/>
        </w:rPr>
        <w:t>es la prima de riesgo país</w:t>
      </w:r>
    </w:p>
    <w:p w14:paraId="5CB38A61" w14:textId="52AAD751" w:rsidR="002C1A88" w:rsidRPr="002C1A88" w:rsidRDefault="00593649" w:rsidP="00593649">
      <w:pPr>
        <w:pStyle w:val="ListBulletCompact"/>
        <w:rPr>
          <w:rFonts w:cs="Times New Roman"/>
          <w:lang w:val="es-ES"/>
        </w:rPr>
      </w:pPr>
      <w:r>
        <w:rPr>
          <w:rFonts w:ascii="Cambria Math" w:eastAsiaTheme="minorEastAsia" w:hAnsi="Cambria Math"/>
          <w:sz w:val="24"/>
          <w:szCs w:val="24"/>
          <w:lang w:val="es-ES"/>
        </w:rPr>
        <w:t xml:space="preserve">𝜎 </w:t>
      </w:r>
      <w:r w:rsidRPr="00A26498">
        <w:rPr>
          <w:rFonts w:cs="Times New Roman"/>
          <w:lang w:val="es-ES"/>
        </w:rPr>
        <w:t>representa el</w:t>
      </w:r>
      <w:r>
        <w:rPr>
          <w:rFonts w:cs="Times New Roman"/>
          <w:lang w:val="es-ES"/>
        </w:rPr>
        <w:t xml:space="preserve"> factor de volatilidad adicional de las acciones en México</w:t>
      </w:r>
      <w:r w:rsidR="003A5C28">
        <w:rPr>
          <w:rFonts w:cs="Times New Roman"/>
          <w:lang w:val="es-ES"/>
        </w:rPr>
        <w:t xml:space="preserve"> sobre el bono mexicano</w:t>
      </w:r>
      <w:r w:rsidR="002B2998">
        <w:rPr>
          <w:rFonts w:cs="Times New Roman"/>
          <w:lang w:val="es-ES"/>
        </w:rPr>
        <w:t>.</w:t>
      </w:r>
    </w:p>
    <w:p w14:paraId="66E4FF88" w14:textId="20D1E5A3" w:rsidR="00044909" w:rsidRPr="00982643" w:rsidRDefault="00924E99" w:rsidP="00982643">
      <w:pPr>
        <w:rPr>
          <w:lang w:val="es-ES"/>
        </w:rPr>
      </w:pPr>
      <w:r w:rsidRPr="00982643">
        <w:rPr>
          <w:lang w:val="es-ES"/>
        </w:rPr>
        <w:t>Finalmente, en línea con la definición de la tasa libre de riesgo, consideramos apropiado tomar el promedio de los últimos cinco años</w:t>
      </w:r>
      <w:r w:rsidR="00060B41" w:rsidRPr="00982643">
        <w:rPr>
          <w:lang w:val="es-ES"/>
        </w:rPr>
        <w:t xml:space="preserve"> para la estimación de este parámetro.</w:t>
      </w:r>
      <w:r w:rsidR="003A5C28">
        <w:rPr>
          <w:lang w:val="es-ES"/>
        </w:rPr>
        <w:t xml:space="preserve"> Se aplicará</w:t>
      </w:r>
      <w:r w:rsidR="0089092B">
        <w:rPr>
          <w:lang w:val="es-ES"/>
        </w:rPr>
        <w:t>n</w:t>
      </w:r>
      <w:r w:rsidR="003A5C28">
        <w:rPr>
          <w:lang w:val="es-ES"/>
        </w:rPr>
        <w:t xml:space="preserve"> </w:t>
      </w:r>
      <w:r w:rsidR="0089092B">
        <w:rPr>
          <w:lang w:val="es-ES"/>
        </w:rPr>
        <w:t>los</w:t>
      </w:r>
      <w:r w:rsidR="003A5C28">
        <w:rPr>
          <w:lang w:val="es-ES"/>
        </w:rPr>
        <w:t xml:space="preserve"> mismo</w:t>
      </w:r>
      <w:r w:rsidR="0089092B">
        <w:rPr>
          <w:lang w:val="es-ES"/>
        </w:rPr>
        <w:t>s</w:t>
      </w:r>
      <w:r w:rsidR="003A5C28">
        <w:rPr>
          <w:lang w:val="es-ES"/>
        </w:rPr>
        <w:t xml:space="preserve"> parámetro</w:t>
      </w:r>
      <w:r w:rsidR="0089092B">
        <w:rPr>
          <w:lang w:val="es-ES"/>
        </w:rPr>
        <w:t>s</w:t>
      </w:r>
      <w:r w:rsidR="003A5C28">
        <w:rPr>
          <w:lang w:val="es-ES"/>
        </w:rPr>
        <w:t xml:space="preserve"> para el cálculo del CCPP </w:t>
      </w:r>
      <w:r w:rsidR="009E281D">
        <w:rPr>
          <w:lang w:val="es-ES"/>
        </w:rPr>
        <w:t xml:space="preserve">para </w:t>
      </w:r>
      <w:r w:rsidR="0089092B">
        <w:rPr>
          <w:lang w:val="es-ES"/>
        </w:rPr>
        <w:t>redes fijas y redes móviles.</w:t>
      </w:r>
    </w:p>
    <w:tbl>
      <w:tblPr>
        <w:tblStyle w:val="Tablaconcuadrcula"/>
        <w:tblW w:w="0" w:type="auto"/>
        <w:tblLook w:val="04A0" w:firstRow="1" w:lastRow="0" w:firstColumn="1" w:lastColumn="0" w:noHBand="0" w:noVBand="1"/>
      </w:tblPr>
      <w:tblGrid>
        <w:gridCol w:w="8721"/>
      </w:tblGrid>
      <w:tr w:rsidR="007866E1" w:rsidRPr="00752BC6" w14:paraId="0055E46D" w14:textId="77777777" w:rsidTr="00BC52BF">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2BE0A4" w14:textId="351E3F9C" w:rsidR="00044909" w:rsidRPr="00982643" w:rsidRDefault="00044909" w:rsidP="00982643">
            <w:pPr>
              <w:spacing w:after="120"/>
              <w:rPr>
                <w:lang w:val="es-ES"/>
              </w:rPr>
            </w:pPr>
            <w:r w:rsidRPr="00982643">
              <w:rPr>
                <w:b/>
                <w:lang w:val="es-ES"/>
              </w:rPr>
              <w:t xml:space="preserve">Concepto </w:t>
            </w:r>
            <w:r w:rsidRPr="00982643">
              <w:rPr>
                <w:b/>
                <w:lang w:val="es-ES"/>
              </w:rPr>
              <w:fldChar w:fldCharType="begin"/>
            </w:r>
            <w:r w:rsidRPr="00982643">
              <w:rPr>
                <w:b/>
                <w:lang w:val="es-ES"/>
              </w:rPr>
              <w:instrText xml:space="preserve"> SEQ Recommendation \* ARABIC \s 0 </w:instrText>
            </w:r>
            <w:r w:rsidRPr="00982643">
              <w:rPr>
                <w:b/>
                <w:lang w:val="es-ES"/>
              </w:rPr>
              <w:fldChar w:fldCharType="separate"/>
            </w:r>
            <w:r w:rsidR="001F1D48">
              <w:rPr>
                <w:b/>
                <w:noProof/>
                <w:lang w:val="es-ES"/>
              </w:rPr>
              <w:t>7</w:t>
            </w:r>
            <w:r w:rsidRPr="00982643">
              <w:rPr>
                <w:b/>
                <w:lang w:val="es-ES"/>
              </w:rPr>
              <w:fldChar w:fldCharType="end"/>
            </w:r>
            <w:r w:rsidRPr="00982643">
              <w:rPr>
                <w:b/>
                <w:bCs/>
                <w:lang w:val="es-ES"/>
              </w:rPr>
              <w:t xml:space="preserve">: </w:t>
            </w:r>
            <w:r w:rsidRPr="00982643">
              <w:rPr>
                <w:lang w:val="es-ES"/>
              </w:rPr>
              <w:t xml:space="preserve">Se </w:t>
            </w:r>
            <w:r w:rsidR="00977B12">
              <w:rPr>
                <w:lang w:val="es-ES"/>
              </w:rPr>
              <w:t>estimará</w:t>
            </w:r>
            <w:r w:rsidR="00977B12" w:rsidRPr="00982643">
              <w:rPr>
                <w:lang w:val="es-ES"/>
              </w:rPr>
              <w:t xml:space="preserve"> </w:t>
            </w:r>
            <w:r w:rsidRPr="00982643">
              <w:rPr>
                <w:lang w:val="es-ES"/>
              </w:rPr>
              <w:t>la prima de riesgo del capital (</w:t>
            </w:r>
            <w:r w:rsidRPr="00982643">
              <w:rPr>
                <w:i/>
                <w:lang w:val="es-ES"/>
              </w:rPr>
              <w:t>R</w:t>
            </w:r>
            <w:r w:rsidRPr="00982643">
              <w:rPr>
                <w:i/>
                <w:vertAlign w:val="subscript"/>
                <w:lang w:val="es-ES"/>
              </w:rPr>
              <w:t>e</w:t>
            </w:r>
            <w:r w:rsidRPr="00982643">
              <w:rPr>
                <w:lang w:val="es-ES"/>
              </w:rPr>
              <w:t xml:space="preserve">) </w:t>
            </w:r>
            <w:r w:rsidR="00977B12">
              <w:rPr>
                <w:lang w:val="es-ES"/>
              </w:rPr>
              <w:t xml:space="preserve">en México a partir de la prima de riesgo en un </w:t>
            </w:r>
            <w:r w:rsidRPr="00982643">
              <w:rPr>
                <w:lang w:val="es-ES"/>
              </w:rPr>
              <w:t xml:space="preserve">mercado maduro propuesta por </w:t>
            </w:r>
            <w:r w:rsidR="009E281D">
              <w:rPr>
                <w:lang w:val="es-ES"/>
              </w:rPr>
              <w:t>el profesor</w:t>
            </w:r>
            <w:r w:rsidR="009E281D" w:rsidRPr="00982643">
              <w:rPr>
                <w:lang w:val="es-ES"/>
              </w:rPr>
              <w:t xml:space="preserve"> </w:t>
            </w:r>
            <w:r w:rsidRPr="00982643">
              <w:rPr>
                <w:lang w:val="es-ES"/>
              </w:rPr>
              <w:t>Damodaran</w:t>
            </w:r>
            <w:r w:rsidR="0068568F" w:rsidRPr="00982643">
              <w:rPr>
                <w:lang w:val="es-ES"/>
              </w:rPr>
              <w:t>,</w:t>
            </w:r>
            <w:r w:rsidR="00534E90">
              <w:rPr>
                <w:lang w:val="es-ES"/>
              </w:rPr>
              <w:t xml:space="preserve"> </w:t>
            </w:r>
            <w:r w:rsidR="00311EFE">
              <w:rPr>
                <w:lang w:val="es-ES"/>
              </w:rPr>
              <w:t xml:space="preserve">a la que se </w:t>
            </w:r>
            <w:r w:rsidR="00534E90">
              <w:rPr>
                <w:lang w:val="es-ES"/>
              </w:rPr>
              <w:t>añadi</w:t>
            </w:r>
            <w:r w:rsidR="00311EFE">
              <w:rPr>
                <w:lang w:val="es-ES"/>
              </w:rPr>
              <w:t>rá</w:t>
            </w:r>
            <w:r w:rsidR="00534E90">
              <w:rPr>
                <w:lang w:val="es-ES"/>
              </w:rPr>
              <w:t xml:space="preserve"> la prima de riesgo </w:t>
            </w:r>
            <w:r w:rsidR="00B35E5B">
              <w:rPr>
                <w:lang w:val="es-ES"/>
              </w:rPr>
              <w:t xml:space="preserve">país asociada a </w:t>
            </w:r>
            <w:r w:rsidR="00534E90">
              <w:rPr>
                <w:lang w:val="es-ES"/>
              </w:rPr>
              <w:t xml:space="preserve">México, multiplicada por </w:t>
            </w:r>
            <w:r w:rsidR="00B35E5B">
              <w:rPr>
                <w:lang w:val="es-ES"/>
              </w:rPr>
              <w:t>un</w:t>
            </w:r>
            <w:r w:rsidR="00534E90">
              <w:rPr>
                <w:lang w:val="es-ES"/>
              </w:rPr>
              <w:t xml:space="preserve"> factor de volatilidad</w:t>
            </w:r>
            <w:r w:rsidR="00977B12">
              <w:rPr>
                <w:lang w:val="es-ES"/>
              </w:rPr>
              <w:t xml:space="preserve"> </w:t>
            </w:r>
            <w:r w:rsidR="00B35E5B">
              <w:rPr>
                <w:lang w:val="es-ES"/>
              </w:rPr>
              <w:t>que considere la mayor volatilidad de las acciones frente a los bonos.</w:t>
            </w:r>
            <w:r w:rsidR="0068568F" w:rsidRPr="00982643">
              <w:rPr>
                <w:lang w:val="es-ES"/>
              </w:rPr>
              <w:t xml:space="preserve"> </w:t>
            </w:r>
            <w:r w:rsidR="00B35E5B">
              <w:rPr>
                <w:lang w:val="es-ES"/>
              </w:rPr>
              <w:t xml:space="preserve">Se tomará </w:t>
            </w:r>
            <w:r w:rsidR="0068568F" w:rsidRPr="00982643">
              <w:rPr>
                <w:lang w:val="es-ES"/>
              </w:rPr>
              <w:t>el promedio de los últimos cinco años</w:t>
            </w:r>
            <w:r w:rsidR="00B35E5B">
              <w:rPr>
                <w:lang w:val="es-ES"/>
              </w:rPr>
              <w:t xml:space="preserve"> para los distintos parámetros</w:t>
            </w:r>
            <w:r w:rsidRPr="00982643">
              <w:rPr>
                <w:lang w:val="es-ES"/>
              </w:rPr>
              <w:t xml:space="preserve">. </w:t>
            </w:r>
          </w:p>
        </w:tc>
      </w:tr>
    </w:tbl>
    <w:p w14:paraId="119B4579" w14:textId="349BF309" w:rsidR="002C1A88" w:rsidRPr="002C1A88" w:rsidRDefault="00044909" w:rsidP="00982643">
      <w:pPr>
        <w:pStyle w:val="Ttulo3"/>
        <w:rPr>
          <w:lang w:val="es-ES"/>
        </w:rPr>
      </w:pPr>
      <w:r w:rsidRPr="00982643">
        <w:rPr>
          <w:lang w:val="es-ES"/>
        </w:rPr>
        <w:t>Beta para los operadores de telecomunicaciones</w:t>
      </w:r>
      <w:r w:rsidR="00B4430B">
        <w:rPr>
          <w:lang w:val="es-ES"/>
        </w:rPr>
        <w:t xml:space="preserve"> (</w:t>
      </w:r>
      <w:r w:rsidRPr="00B4430B">
        <w:rPr>
          <w:i/>
          <w:iCs/>
          <w:lang w:val="es-ES"/>
        </w:rPr>
        <w:sym w:font="Symbol" w:char="F062"/>
      </w:r>
      <w:r w:rsidR="00B4430B">
        <w:rPr>
          <w:lang w:val="es-ES"/>
        </w:rPr>
        <w:t>)</w:t>
      </w:r>
    </w:p>
    <w:p w14:paraId="31B18DCC" w14:textId="157DAD37" w:rsidR="002C1A88" w:rsidRPr="002C1A88" w:rsidRDefault="00044909" w:rsidP="00982643">
      <w:pPr>
        <w:rPr>
          <w:lang w:val="es-ES"/>
        </w:rPr>
      </w:pPr>
      <w:r w:rsidRPr="00982643">
        <w:rPr>
          <w:lang w:val="es-ES"/>
        </w:rPr>
        <w:t xml:space="preserve">Cuando alguien invierte en cualquier tipo de acción se enfrenta </w:t>
      </w:r>
      <w:r w:rsidR="00521FE0">
        <w:rPr>
          <w:lang w:val="es-ES"/>
        </w:rPr>
        <w:t>a</w:t>
      </w:r>
      <w:r w:rsidR="00521FE0" w:rsidRPr="00982643">
        <w:rPr>
          <w:lang w:val="es-ES"/>
        </w:rPr>
        <w:t xml:space="preserve"> </w:t>
      </w:r>
      <w:r w:rsidRPr="00982643">
        <w:rPr>
          <w:lang w:val="es-ES"/>
        </w:rPr>
        <w:t>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3976F33E" w14:textId="116AC24B" w:rsidR="002C1A88" w:rsidRPr="000F1B14" w:rsidRDefault="00044909" w:rsidP="00982643">
      <w:pPr>
        <w:rPr>
          <w:lang w:val="es-ES"/>
        </w:rPr>
      </w:pPr>
      <w:r w:rsidRPr="00982643">
        <w:rPr>
          <w:lang w:val="es-ES"/>
        </w:rPr>
        <w:t>El riesgo sistemático se da por la naturaleza intrínseca de invertir. Este riesgo se denomina como Beta (</w:t>
      </w:r>
      <w:r w:rsidRPr="00982643">
        <w:rPr>
          <w:i/>
          <w:iCs/>
          <w:lang w:val="es-ES"/>
        </w:rPr>
        <w:sym w:font="Symbol" w:char="F062"/>
      </w:r>
      <w:r w:rsidRPr="00982643">
        <w:rPr>
          <w:lang w:val="es-ES"/>
        </w:rPr>
        <w:t>) y se mide como la variación entre el retorno de una acción específica y el retorno de un port</w:t>
      </w:r>
      <w:r w:rsidR="004A33DE">
        <w:rPr>
          <w:lang w:val="es-ES"/>
        </w:rPr>
        <w:t>a</w:t>
      </w:r>
      <w:r w:rsidRPr="00982643">
        <w:rPr>
          <w:lang w:val="es-ES"/>
        </w:rPr>
        <w: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6C06A9CC" w14:textId="6705760B" w:rsidR="002C1A88" w:rsidRPr="002C1A88" w:rsidRDefault="00DD0C4E" w:rsidP="00643362">
      <w:pPr>
        <w:rPr>
          <w:lang w:val="es-ES"/>
        </w:rPr>
      </w:pPr>
      <w:r w:rsidRPr="00982643">
        <w:rPr>
          <w:lang w:val="es-ES"/>
        </w:rPr>
        <w:t xml:space="preserve">El IRG recomienda estimar la </w:t>
      </w:r>
      <w:r w:rsidRPr="00982643">
        <w:rPr>
          <w:i/>
          <w:iCs/>
          <w:lang w:val="es-ES"/>
        </w:rPr>
        <w:sym w:font="Symbol" w:char="F062"/>
      </w:r>
      <w:r w:rsidRPr="00982643">
        <w:rPr>
          <w:i/>
          <w:iCs/>
          <w:lang w:val="es-ES"/>
        </w:rPr>
        <w:t xml:space="preserve"> </w:t>
      </w:r>
      <w:r w:rsidRPr="00982643">
        <w:rPr>
          <w:lang w:val="es-ES"/>
        </w:rPr>
        <w:t xml:space="preserve">de una empresa </w:t>
      </w:r>
      <w:r w:rsidR="003F000A">
        <w:rPr>
          <w:lang w:val="es-ES"/>
        </w:rPr>
        <w:t>a partir de</w:t>
      </w:r>
      <w:r w:rsidRPr="00982643">
        <w:rPr>
          <w:lang w:val="es-ES"/>
        </w:rPr>
        <w:t xml:space="preserve"> información histórica </w:t>
      </w:r>
      <w:r w:rsidR="003F000A">
        <w:rPr>
          <w:lang w:val="es-ES"/>
        </w:rPr>
        <w:t>relativa a</w:t>
      </w:r>
      <w:r w:rsidR="003F000A" w:rsidRPr="00982643">
        <w:rPr>
          <w:lang w:val="es-ES"/>
        </w:rPr>
        <w:t xml:space="preserve"> </w:t>
      </w:r>
      <w:r w:rsidRPr="00982643">
        <w:rPr>
          <w:lang w:val="es-ES"/>
        </w:rPr>
        <w:t>la relación entre los retornos de la empresa y los del mercado</w:t>
      </w:r>
      <w:r>
        <w:rPr>
          <w:lang w:val="es-ES"/>
        </w:rPr>
        <w:t>.</w:t>
      </w:r>
      <w:r w:rsidRPr="00982643">
        <w:rPr>
          <w:lang w:val="es-ES"/>
        </w:rPr>
        <w:t xml:space="preserve"> </w:t>
      </w:r>
      <w:r w:rsidR="00A27C54">
        <w:rPr>
          <w:lang w:val="es-ES"/>
        </w:rPr>
        <w:t>Existen d</w:t>
      </w:r>
      <w:r w:rsidR="000A0A0C">
        <w:rPr>
          <w:lang w:val="es-ES"/>
        </w:rPr>
        <w:t xml:space="preserve">istintas empresas </w:t>
      </w:r>
      <w:r w:rsidR="00A27C54">
        <w:rPr>
          <w:lang w:val="es-ES"/>
        </w:rPr>
        <w:t xml:space="preserve">y recursos que </w:t>
      </w:r>
      <w:r w:rsidR="000A0A0C" w:rsidRPr="00DD0C4E">
        <w:rPr>
          <w:lang w:val="es-ES"/>
        </w:rPr>
        <w:t xml:space="preserve">proporcionan estimaciones de la </w:t>
      </w:r>
      <w:r w:rsidR="00643362" w:rsidRPr="00A26498">
        <w:rPr>
          <w:i/>
          <w:iCs/>
        </w:rPr>
        <w:sym w:font="Symbol" w:char="F062"/>
      </w:r>
      <w:r w:rsidR="00643362" w:rsidRPr="00A26498">
        <w:rPr>
          <w:lang w:val="es-ES"/>
        </w:rPr>
        <w:t xml:space="preserve"> </w:t>
      </w:r>
      <w:r w:rsidR="00A27C54" w:rsidRPr="00A26498">
        <w:rPr>
          <w:lang w:val="es-ES"/>
        </w:rPr>
        <w:t xml:space="preserve">para las empresas que cotizan de manera pública. Una de estas fuentes es Reuters, que proporciona la </w:t>
      </w:r>
      <w:r w:rsidR="00A27C54" w:rsidRPr="00A26498">
        <w:rPr>
          <w:i/>
          <w:iCs/>
        </w:rPr>
        <w:sym w:font="Symbol" w:char="F062"/>
      </w:r>
      <w:r w:rsidR="00A27C54" w:rsidRPr="00A26498">
        <w:rPr>
          <w:lang w:val="es-ES"/>
        </w:rPr>
        <w:t xml:space="preserve"> de distintos activos frente a su índice de referencia</w:t>
      </w:r>
      <w:r w:rsidR="00A120FF" w:rsidRPr="00A26498">
        <w:rPr>
          <w:lang w:val="es-ES"/>
        </w:rPr>
        <w:t xml:space="preserve">, medida con </w:t>
      </w:r>
      <w:r w:rsidR="00A27C54" w:rsidRPr="009E202B">
        <w:rPr>
          <w:lang w:val="es-ES"/>
        </w:rPr>
        <w:t xml:space="preserve">una frecuencia mensual </w:t>
      </w:r>
      <w:r w:rsidR="00A120FF" w:rsidRPr="009E202B">
        <w:rPr>
          <w:lang w:val="es-ES"/>
        </w:rPr>
        <w:t>durante los últimos cinco años.</w:t>
      </w:r>
    </w:p>
    <w:p w14:paraId="0D2F7B6A" w14:textId="7C0C1885" w:rsidR="002C1A88" w:rsidRPr="002C1A88" w:rsidRDefault="009E202B" w:rsidP="00643362">
      <w:pPr>
        <w:rPr>
          <w:iCs/>
          <w:lang w:val="es-ES"/>
        </w:rPr>
      </w:pPr>
      <w:r>
        <w:rPr>
          <w:lang w:val="es-ES"/>
        </w:rPr>
        <w:t xml:space="preserve">No obstante, tal y como se presenta en la </w:t>
      </w:r>
      <w:r w:rsidR="009F1782">
        <w:rPr>
          <w:lang w:val="es-ES"/>
        </w:rPr>
        <w:t>S</w:t>
      </w:r>
      <w:r>
        <w:rPr>
          <w:lang w:val="es-ES"/>
        </w:rPr>
        <w:t>ección</w:t>
      </w:r>
      <w:r w:rsidR="0080329F">
        <w:rPr>
          <w:lang w:val="es-ES"/>
        </w:rPr>
        <w:t> </w:t>
      </w:r>
      <w:r w:rsidR="0080329F">
        <w:rPr>
          <w:lang w:val="es-ES"/>
        </w:rPr>
        <w:fldChar w:fldCharType="begin"/>
      </w:r>
      <w:r w:rsidR="0080329F">
        <w:rPr>
          <w:lang w:val="es-ES"/>
        </w:rPr>
        <w:instrText xml:space="preserve"> REF _Ref134203023 \r \h </w:instrText>
      </w:r>
      <w:r w:rsidR="0080329F">
        <w:rPr>
          <w:lang w:val="es-ES"/>
        </w:rPr>
      </w:r>
      <w:r w:rsidR="0080329F">
        <w:rPr>
          <w:lang w:val="es-ES"/>
        </w:rPr>
        <w:fldChar w:fldCharType="separate"/>
      </w:r>
      <w:r w:rsidR="001F1D48">
        <w:rPr>
          <w:lang w:val="es-ES"/>
        </w:rPr>
        <w:t>2.1</w:t>
      </w:r>
      <w:r w:rsidR="0080329F">
        <w:rPr>
          <w:lang w:val="es-ES"/>
        </w:rPr>
        <w:fldChar w:fldCharType="end"/>
      </w:r>
      <w:r>
        <w:rPr>
          <w:lang w:val="es-ES"/>
        </w:rPr>
        <w:t xml:space="preserve">, el CCPP calculado por el IFT no representa a una empresa concreta. Al contrario, se trata de una medición que trata de ser representativa del costo de capital de un operador eficiente de redes fijas y móviles de telecomunicaciones en </w:t>
      </w:r>
      <w:r w:rsidR="009E3CE3">
        <w:rPr>
          <w:lang w:val="es-ES"/>
        </w:rPr>
        <w:t>México</w:t>
      </w:r>
      <w:r>
        <w:rPr>
          <w:lang w:val="es-ES"/>
        </w:rPr>
        <w:t xml:space="preserve">. Con este fin, se considera apropiado realizar </w:t>
      </w:r>
      <w:r w:rsidRPr="00982643">
        <w:rPr>
          <w:lang w:val="es-ES"/>
        </w:rPr>
        <w:t xml:space="preserve">un </w:t>
      </w:r>
      <w:r w:rsidRPr="000F1B14">
        <w:rPr>
          <w:lang w:val="es-ES"/>
        </w:rPr>
        <w:t>benchmarking</w:t>
      </w:r>
      <w:r w:rsidRPr="00982643">
        <w:rPr>
          <w:lang w:val="es-ES"/>
        </w:rPr>
        <w:t xml:space="preserve"> de las </w:t>
      </w:r>
      <w:r w:rsidRPr="00982643">
        <w:rPr>
          <w:i/>
          <w:iCs/>
          <w:lang w:val="es-ES"/>
        </w:rPr>
        <w:sym w:font="Symbol" w:char="F062"/>
      </w:r>
      <w:r w:rsidRPr="00982643">
        <w:rPr>
          <w:lang w:val="es-ES"/>
        </w:rPr>
        <w:t xml:space="preserve"> de empresas comparables</w:t>
      </w:r>
      <w:r w:rsidRPr="00982643">
        <w:rPr>
          <w:iCs/>
          <w:lang w:val="es-ES"/>
        </w:rPr>
        <w:t>. Como indica el IRG, se debe asegurar que las compañías usadas en una comparativa sean comparables en términos de regulación, ambiente competitivo, tamaño e impuestos.</w:t>
      </w:r>
      <w:r>
        <w:rPr>
          <w:iCs/>
          <w:lang w:val="es-ES"/>
        </w:rPr>
        <w:t xml:space="preserve"> La </w:t>
      </w:r>
      <w:r w:rsidR="00AD4FB6">
        <w:rPr>
          <w:iCs/>
          <w:lang w:val="es-ES"/>
        </w:rPr>
        <w:t>S</w:t>
      </w:r>
      <w:r>
        <w:rPr>
          <w:iCs/>
          <w:lang w:val="es-ES"/>
        </w:rPr>
        <w:t xml:space="preserve">ección </w:t>
      </w:r>
      <w:r w:rsidR="00EC168E">
        <w:rPr>
          <w:iCs/>
          <w:highlight w:val="yellow"/>
          <w:lang w:val="es-ES"/>
        </w:rPr>
        <w:fldChar w:fldCharType="begin"/>
      </w:r>
      <w:r w:rsidR="00EC168E">
        <w:rPr>
          <w:iCs/>
          <w:lang w:val="es-ES"/>
        </w:rPr>
        <w:instrText xml:space="preserve"> REF _Ref132988681 \r \h </w:instrText>
      </w:r>
      <w:r w:rsidR="00EC168E">
        <w:rPr>
          <w:iCs/>
          <w:highlight w:val="yellow"/>
          <w:lang w:val="es-ES"/>
        </w:rPr>
      </w:r>
      <w:r w:rsidR="00EC168E">
        <w:rPr>
          <w:iCs/>
          <w:highlight w:val="yellow"/>
          <w:lang w:val="es-ES"/>
        </w:rPr>
        <w:fldChar w:fldCharType="separate"/>
      </w:r>
      <w:r w:rsidR="001F1D48">
        <w:rPr>
          <w:iCs/>
          <w:lang w:val="es-ES"/>
        </w:rPr>
        <w:t>2.4</w:t>
      </w:r>
      <w:r w:rsidR="00EC168E">
        <w:rPr>
          <w:iCs/>
          <w:highlight w:val="yellow"/>
          <w:lang w:val="es-ES"/>
        </w:rPr>
        <w:fldChar w:fldCharType="end"/>
      </w:r>
      <w:r>
        <w:rPr>
          <w:iCs/>
          <w:lang w:val="es-ES"/>
        </w:rPr>
        <w:t xml:space="preserve"> presenta el detalle sobre el listado de empresas comparables.</w:t>
      </w:r>
    </w:p>
    <w:p w14:paraId="4A35CB74" w14:textId="65E99254" w:rsidR="002C1A88" w:rsidRPr="002C1A88" w:rsidRDefault="00464460" w:rsidP="000F1B14">
      <w:pPr>
        <w:spacing w:after="120"/>
        <w:rPr>
          <w:lang w:val="es-ES" w:eastAsia="en-GB"/>
        </w:rPr>
      </w:pPr>
      <w:r>
        <w:rPr>
          <w:iCs/>
          <w:lang w:val="es-ES"/>
        </w:rPr>
        <w:t xml:space="preserve">Como resultado del ejercicio de benchmarking se estimará la </w:t>
      </w:r>
      <w:r w:rsidRPr="00982643">
        <w:rPr>
          <w:i/>
          <w:iCs/>
          <w:lang w:val="es-ES"/>
        </w:rPr>
        <w:sym w:font="Symbol" w:char="F062"/>
      </w:r>
      <w:r>
        <w:rPr>
          <w:i/>
          <w:iCs/>
          <w:lang w:val="es-ES"/>
        </w:rPr>
        <w:t xml:space="preserve"> </w:t>
      </w:r>
      <w:r>
        <w:rPr>
          <w:lang w:val="es-ES"/>
        </w:rPr>
        <w:t>asociada a las distintas em</w:t>
      </w:r>
      <w:r w:rsidR="009170D1">
        <w:rPr>
          <w:lang w:val="es-ES"/>
        </w:rPr>
        <w:t>presas</w:t>
      </w:r>
      <w:r>
        <w:rPr>
          <w:lang w:val="es-ES"/>
        </w:rPr>
        <w:t xml:space="preserve"> </w:t>
      </w:r>
      <w:r>
        <w:rPr>
          <w:iCs/>
          <w:lang w:val="es-ES"/>
        </w:rPr>
        <w:t>comparables</w:t>
      </w:r>
      <w:r w:rsidR="006153A3">
        <w:rPr>
          <w:lang w:val="es-ES" w:eastAsia="en-GB"/>
        </w:rPr>
        <w:t xml:space="preserve"> de cada empresa, así como el nivel del impuesto de sociedades aplicable</w:t>
      </w:r>
      <w:r w:rsidR="004B3DD0">
        <w:rPr>
          <w:lang w:val="es-ES" w:eastAsia="en-GB"/>
        </w:rPr>
        <w:t>. A través de la f</w:t>
      </w:r>
      <w:r w:rsidR="00014859">
        <w:rPr>
          <w:lang w:val="es-ES" w:eastAsia="en-GB"/>
        </w:rPr>
        <w:t>ó</w:t>
      </w:r>
      <w:r w:rsidR="004B3DD0">
        <w:rPr>
          <w:lang w:val="es-ES" w:eastAsia="en-GB"/>
        </w:rPr>
        <w:t>rmula a continuación podemos extraer la</w:t>
      </w:r>
      <w:r w:rsidR="00044909" w:rsidRPr="00982643">
        <w:rPr>
          <w:lang w:val="es-ES" w:eastAsia="en-GB"/>
        </w:rPr>
        <w:t xml:space="preserve"> </w:t>
      </w:r>
      <w:r w:rsidR="00044909" w:rsidRPr="00982643">
        <w:rPr>
          <w:i/>
          <w:iCs/>
          <w:lang w:val="es-ES"/>
        </w:rPr>
        <w:sym w:font="Symbol" w:char="F062"/>
      </w:r>
      <w:r w:rsidR="00044909" w:rsidRPr="00982643">
        <w:rPr>
          <w:rFonts w:ascii="Symbol" w:hAnsi="Symbol" w:cs="Symbol"/>
          <w:sz w:val="26"/>
          <w:szCs w:val="26"/>
          <w:lang w:val="es-ES" w:eastAsia="en-GB"/>
        </w:rPr>
        <w:t></w:t>
      </w:r>
      <w:r w:rsidR="00014859">
        <w:rPr>
          <w:rFonts w:ascii="Symbol" w:hAnsi="Symbol" w:cs="Symbol"/>
          <w:sz w:val="26"/>
          <w:szCs w:val="26"/>
          <w:lang w:val="es-ES" w:eastAsia="en-GB"/>
        </w:rPr>
        <w:t></w:t>
      </w:r>
      <w:r w:rsidR="00014859">
        <w:rPr>
          <w:lang w:val="es-ES" w:eastAsia="en-GB"/>
        </w:rPr>
        <w:t>‘d</w:t>
      </w:r>
      <w:r w:rsidR="00044909" w:rsidRPr="00982643">
        <w:rPr>
          <w:lang w:val="es-ES" w:eastAsia="en-GB"/>
        </w:rPr>
        <w:t>esapalancada</w:t>
      </w:r>
      <w:r w:rsidR="00014859">
        <w:rPr>
          <w:lang w:val="es-ES" w:eastAsia="en-GB"/>
        </w:rPr>
        <w:t>’</w:t>
      </w:r>
      <w:r w:rsidR="00044909" w:rsidRPr="00982643">
        <w:rPr>
          <w:lang w:val="es-ES" w:eastAsia="en-GB"/>
        </w:rPr>
        <w:t xml:space="preserve"> (</w:t>
      </w:r>
      <w:r w:rsidR="00044909" w:rsidRPr="00982643">
        <w:rPr>
          <w:i/>
          <w:iCs/>
          <w:lang w:val="es-ES" w:eastAsia="en-GB"/>
        </w:rPr>
        <w:t>asset</w:t>
      </w:r>
      <w:r w:rsidR="00044909" w:rsidRPr="00982643">
        <w:rPr>
          <w:lang w:val="es-ES" w:eastAsia="en-GB"/>
        </w:rPr>
        <w:t xml:space="preserve">) </w:t>
      </w:r>
      <w:r w:rsidR="004B3DD0">
        <w:rPr>
          <w:lang w:val="es-ES" w:eastAsia="en-GB"/>
        </w:rPr>
        <w:t>para cada empresa:</w:t>
      </w:r>
    </w:p>
    <w:p w14:paraId="1513C772" w14:textId="00DAA2D3" w:rsidR="002C1A88" w:rsidRPr="002C1A88" w:rsidRDefault="00927F08" w:rsidP="0080329F">
      <w:pPr>
        <w:spacing w:before="240"/>
        <w:jc w:val="center"/>
        <w:rPr>
          <w:lang w:val="es-ES"/>
        </w:rPr>
      </w:pPr>
      <m:oMathPara>
        <m:oMath>
          <m:sSub>
            <m:sSubPr>
              <m:ctrlPr>
                <w:rPr>
                  <w:rFonts w:ascii="Cambria Math" w:hAnsi="Cambria Math"/>
                  <w:i/>
                  <w:lang w:val="es-ES"/>
                </w:rPr>
              </m:ctrlPr>
            </m:sSubPr>
            <m:e>
              <m:r>
                <w:rPr>
                  <w:rFonts w:ascii="Cambria Math" w:hAnsi="Cambria Math"/>
                  <w:i/>
                  <w:iCs/>
                  <w:lang w:val="es-ES"/>
                </w:rPr>
                <w:sym w:font="Symbol" w:char="F062"/>
              </m:r>
            </m:e>
            <m:sub>
              <m:r>
                <w:rPr>
                  <w:rFonts w:ascii="Cambria Math" w:hAnsi="Cambria Math"/>
                  <w:lang w:val="es-ES"/>
                </w:rPr>
                <m:t>asset</m:t>
              </m:r>
            </m:sub>
          </m:sSub>
          <m:r>
            <w:rPr>
              <w:rFonts w:ascii="Cambria Math" w:hAnsi="Cambria Math"/>
              <w:lang w:val="es-ES"/>
            </w:rPr>
            <m:t>=</m:t>
          </m:r>
          <m:sSub>
            <m:sSubPr>
              <m:ctrlPr>
                <w:rPr>
                  <w:rFonts w:ascii="Cambria Math" w:hAnsi="Cambria Math"/>
                  <w:i/>
                  <w:lang w:val="es-ES"/>
                </w:rPr>
              </m:ctrlPr>
            </m:sSubPr>
            <m:e>
              <m:r>
                <w:rPr>
                  <w:rFonts w:ascii="Cambria Math" w:hAnsi="Cambria Math"/>
                  <w:i/>
                  <w:iCs/>
                  <w:lang w:val="es-ES"/>
                </w:rPr>
                <w:sym w:font="Symbol" w:char="F062"/>
              </m:r>
            </m:e>
            <m:sub>
              <m:r>
                <w:rPr>
                  <w:rFonts w:ascii="Cambria Math" w:hAnsi="Cambria Math"/>
                  <w:lang w:val="es-ES"/>
                </w:rPr>
                <m:t>equity</m:t>
              </m:r>
            </m:sub>
          </m:sSub>
          <m:r>
            <w:rPr>
              <w:rFonts w:ascii="Cambria Math"/>
              <w:sz w:val="24"/>
              <w:szCs w:val="24"/>
              <w:lang w:val="es-ES"/>
            </w:rPr>
            <m:t>×</m:t>
          </m:r>
          <m:f>
            <m:fPr>
              <m:ctrlPr>
                <w:rPr>
                  <w:rFonts w:ascii="Cambria Math" w:eastAsiaTheme="minorEastAsia" w:hAnsi="Cambria Math"/>
                  <w:sz w:val="24"/>
                  <w:szCs w:val="24"/>
                  <w:lang w:val="es-ES"/>
                </w:rPr>
              </m:ctrlPr>
            </m:fPr>
            <m:num>
              <m:r>
                <m:rPr>
                  <m:sty m:val="p"/>
                </m:rPr>
                <w:rPr>
                  <w:rFonts w:ascii="Cambria Math" w:eastAsiaTheme="minorEastAsia" w:hAnsi="Cambria Math"/>
                  <w:sz w:val="24"/>
                  <w:szCs w:val="24"/>
                  <w:lang w:val="es-ES"/>
                </w:rPr>
                <m:t>1</m:t>
              </m:r>
            </m:num>
            <m:den>
              <m:r>
                <w:rPr>
                  <w:rFonts w:ascii="Cambria Math" w:eastAsiaTheme="minorEastAsia" w:hAnsi="Cambria Math"/>
                  <w:sz w:val="24"/>
                  <w:szCs w:val="24"/>
                  <w:lang w:val="es-ES"/>
                </w:rPr>
                <m:t>1+</m:t>
              </m:r>
              <m:f>
                <m:fPr>
                  <m:ctrlPr>
                    <w:rPr>
                      <w:rFonts w:ascii="Cambria Math" w:eastAsiaTheme="minorEastAsia" w:hAnsi="Cambria Math"/>
                      <w:i/>
                      <w:sz w:val="24"/>
                      <w:szCs w:val="24"/>
                      <w:lang w:val="es-ES"/>
                    </w:rPr>
                  </m:ctrlPr>
                </m:fPr>
                <m:num>
                  <m:r>
                    <w:rPr>
                      <w:rFonts w:ascii="Cambria Math" w:eastAsiaTheme="minorEastAsia" w:hAnsi="Cambria Math"/>
                      <w:sz w:val="24"/>
                      <w:szCs w:val="24"/>
                      <w:lang w:val="es-ES"/>
                    </w:rPr>
                    <m:t>(1-T)</m:t>
                  </m:r>
                  <m:r>
                    <w:rPr>
                      <w:rFonts w:ascii="Cambria Math"/>
                      <w:sz w:val="24"/>
                      <w:szCs w:val="24"/>
                      <w:lang w:val="es-ES"/>
                    </w:rPr>
                    <m:t>×</m:t>
                  </m:r>
                  <m:r>
                    <w:rPr>
                      <w:rFonts w:ascii="Cambria Math"/>
                      <w:sz w:val="24"/>
                      <w:szCs w:val="24"/>
                      <w:lang w:val="es-ES"/>
                    </w:rPr>
                    <m:t>D</m:t>
                  </m:r>
                </m:num>
                <m:den>
                  <m:r>
                    <w:rPr>
                      <w:rFonts w:ascii="Cambria Math" w:eastAsiaTheme="minorEastAsia" w:hAnsi="Cambria Math"/>
                      <w:sz w:val="24"/>
                      <w:szCs w:val="24"/>
                      <w:lang w:val="es-ES"/>
                    </w:rPr>
                    <m:t>E</m:t>
                  </m:r>
                </m:den>
              </m:f>
            </m:den>
          </m:f>
        </m:oMath>
      </m:oMathPara>
    </w:p>
    <w:p w14:paraId="2AC8BA3A" w14:textId="77777777" w:rsidR="002C1A88" w:rsidRPr="002C1A88" w:rsidRDefault="00464460" w:rsidP="00982643">
      <w:pPr>
        <w:rPr>
          <w:lang w:val="es-ES"/>
        </w:rPr>
      </w:pPr>
      <w:r>
        <w:rPr>
          <w:lang w:val="es-ES"/>
        </w:rPr>
        <w:t xml:space="preserve">Cada empresa será desapalancada con los niveles de apalancamiento </w:t>
      </w:r>
      <w:r w:rsidR="004B3DD0">
        <w:rPr>
          <w:lang w:val="es-ES"/>
        </w:rPr>
        <w:t>propios</w:t>
      </w:r>
      <w:r>
        <w:rPr>
          <w:lang w:val="es-ES"/>
        </w:rPr>
        <w:t xml:space="preserve"> de la empresa</w:t>
      </w:r>
      <w:r w:rsidR="00286CDF">
        <w:rPr>
          <w:lang w:val="es-ES"/>
        </w:rPr>
        <w:t xml:space="preserve"> y los impuestos propios del país principal en el que radique</w:t>
      </w:r>
      <w:r>
        <w:rPr>
          <w:lang w:val="es-ES"/>
        </w:rPr>
        <w:t>.</w:t>
      </w:r>
      <w:r w:rsidR="004B3DD0">
        <w:rPr>
          <w:lang w:val="es-ES"/>
        </w:rPr>
        <w:t xml:space="preserve"> La </w:t>
      </w:r>
      <w:r w:rsidR="002803BF" w:rsidRPr="00982643">
        <w:rPr>
          <w:i/>
          <w:iCs/>
          <w:lang w:val="es-ES"/>
        </w:rPr>
        <w:sym w:font="Symbol" w:char="F062"/>
      </w:r>
      <w:r w:rsidR="002803BF">
        <w:rPr>
          <w:i/>
          <w:iCs/>
          <w:lang w:val="es-ES"/>
        </w:rPr>
        <w:t xml:space="preserve"> </w:t>
      </w:r>
      <w:r w:rsidR="006C2520">
        <w:rPr>
          <w:lang w:val="es-ES"/>
        </w:rPr>
        <w:t xml:space="preserve">desapalancada aplicable para el cálculo del CCPP resultará del promedio simple de las </w:t>
      </w:r>
      <w:r w:rsidR="002803BF" w:rsidRPr="00982643">
        <w:rPr>
          <w:i/>
          <w:iCs/>
          <w:lang w:val="es-ES"/>
        </w:rPr>
        <w:sym w:font="Symbol" w:char="F062"/>
      </w:r>
      <w:r w:rsidR="002803BF">
        <w:rPr>
          <w:i/>
          <w:iCs/>
          <w:lang w:val="es-ES"/>
        </w:rPr>
        <w:t xml:space="preserve"> </w:t>
      </w:r>
      <w:r w:rsidR="006C2520">
        <w:rPr>
          <w:lang w:val="es-ES"/>
        </w:rPr>
        <w:t>desapalancadas de las empresas comparables</w:t>
      </w:r>
      <w:r w:rsidR="002803BF">
        <w:rPr>
          <w:lang w:val="es-ES"/>
        </w:rPr>
        <w:t xml:space="preserve">. Se estimarán </w:t>
      </w:r>
      <w:r w:rsidR="002803BF" w:rsidRPr="00982643">
        <w:rPr>
          <w:i/>
          <w:iCs/>
          <w:lang w:val="es-ES"/>
        </w:rPr>
        <w:sym w:font="Symbol" w:char="F062"/>
      </w:r>
      <w:r w:rsidR="002803BF">
        <w:rPr>
          <w:i/>
          <w:iCs/>
          <w:lang w:val="es-ES"/>
        </w:rPr>
        <w:t xml:space="preserve"> </w:t>
      </w:r>
      <w:r w:rsidR="002803BF">
        <w:rPr>
          <w:lang w:val="es-ES"/>
        </w:rPr>
        <w:t>diferenciadas para el CCPP de redes fijas y el CCPP de redes móviles, con base a las empresas comparables definidas en cada caso.</w:t>
      </w:r>
    </w:p>
    <w:p w14:paraId="5F3035DD" w14:textId="50D8F399" w:rsidR="002C1A88" w:rsidRDefault="00A07140" w:rsidP="00185528">
      <w:pPr>
        <w:rPr>
          <w:lang w:val="es-ES"/>
        </w:rPr>
      </w:pPr>
      <w:r>
        <w:rPr>
          <w:lang w:val="es-ES"/>
        </w:rPr>
        <w:t xml:space="preserve">Para estimar la </w:t>
      </w:r>
      <w:r w:rsidRPr="00982643">
        <w:rPr>
          <w:i/>
          <w:iCs/>
          <w:lang w:val="es-ES"/>
        </w:rPr>
        <w:sym w:font="Symbol" w:char="F062"/>
      </w:r>
      <w:r>
        <w:rPr>
          <w:i/>
          <w:iCs/>
          <w:lang w:val="es-ES"/>
        </w:rPr>
        <w:t xml:space="preserve"> </w:t>
      </w:r>
      <w:r w:rsidRPr="00A26498">
        <w:rPr>
          <w:lang w:val="es-ES"/>
        </w:rPr>
        <w:t>final aplicable</w:t>
      </w:r>
      <w:r>
        <w:rPr>
          <w:lang w:val="es-ES"/>
        </w:rPr>
        <w:t xml:space="preserve"> para el cálculo del CCPP se hace necesario </w:t>
      </w:r>
      <w:r w:rsidR="00EC168E">
        <w:rPr>
          <w:lang w:val="es-ES"/>
        </w:rPr>
        <w:t>reaplicar</w:t>
      </w:r>
      <w:r>
        <w:rPr>
          <w:lang w:val="es-ES"/>
        </w:rPr>
        <w:t xml:space="preserve"> </w:t>
      </w:r>
      <w:r w:rsidR="00664690">
        <w:rPr>
          <w:lang w:val="es-ES"/>
        </w:rPr>
        <w:t xml:space="preserve">el ajuste de </w:t>
      </w:r>
      <w:r>
        <w:rPr>
          <w:lang w:val="es-ES"/>
        </w:rPr>
        <w:t>los niveles de apalancamiento</w:t>
      </w:r>
      <w:r w:rsidR="00664690">
        <w:rPr>
          <w:lang w:val="es-ES"/>
        </w:rPr>
        <w:t xml:space="preserve"> e impuestos. En este caso, se tomarán los valores de apalancamiento (ver </w:t>
      </w:r>
      <w:r w:rsidR="00CB1FFB">
        <w:rPr>
          <w:lang w:val="es-ES"/>
        </w:rPr>
        <w:t>S</w:t>
      </w:r>
      <w:r w:rsidR="00664690">
        <w:rPr>
          <w:lang w:val="es-ES"/>
        </w:rPr>
        <w:t>ección</w:t>
      </w:r>
      <w:r w:rsidR="000D6B03">
        <w:rPr>
          <w:lang w:val="es-ES"/>
        </w:rPr>
        <w:t xml:space="preserve"> </w:t>
      </w:r>
      <w:r w:rsidR="000D6B03">
        <w:rPr>
          <w:lang w:val="es-ES"/>
        </w:rPr>
        <w:fldChar w:fldCharType="begin"/>
      </w:r>
      <w:r w:rsidR="000D6B03">
        <w:rPr>
          <w:lang w:val="es-ES"/>
        </w:rPr>
        <w:instrText xml:space="preserve"> REF _Ref132991259 \r \h </w:instrText>
      </w:r>
      <w:r w:rsidR="000D6B03">
        <w:rPr>
          <w:lang w:val="es-ES"/>
        </w:rPr>
      </w:r>
      <w:r w:rsidR="000D6B03">
        <w:rPr>
          <w:lang w:val="es-ES"/>
        </w:rPr>
        <w:fldChar w:fldCharType="separate"/>
      </w:r>
      <w:r w:rsidR="001F1D48">
        <w:rPr>
          <w:lang w:val="es-ES"/>
        </w:rPr>
        <w:t>3.2</w:t>
      </w:r>
      <w:r w:rsidR="000D6B03">
        <w:rPr>
          <w:lang w:val="es-ES"/>
        </w:rPr>
        <w:fldChar w:fldCharType="end"/>
      </w:r>
      <w:r w:rsidR="00664690">
        <w:rPr>
          <w:lang w:val="es-ES"/>
        </w:rPr>
        <w:t xml:space="preserve">) e impuestos (ver </w:t>
      </w:r>
      <w:r w:rsidR="00CB1FFB">
        <w:rPr>
          <w:lang w:val="es-ES"/>
        </w:rPr>
        <w:t>S</w:t>
      </w:r>
      <w:r w:rsidR="00664690">
        <w:rPr>
          <w:lang w:val="es-ES"/>
        </w:rPr>
        <w:t>ección</w:t>
      </w:r>
      <w:r w:rsidR="00065D80">
        <w:rPr>
          <w:lang w:val="es-ES"/>
        </w:rPr>
        <w:t xml:space="preserve"> </w:t>
      </w:r>
      <w:r w:rsidR="00065D80">
        <w:rPr>
          <w:lang w:val="es-ES"/>
        </w:rPr>
        <w:fldChar w:fldCharType="begin"/>
      </w:r>
      <w:r w:rsidR="00065D80">
        <w:rPr>
          <w:lang w:val="es-ES"/>
        </w:rPr>
        <w:instrText xml:space="preserve"> REF _Ref133232252 \r \h </w:instrText>
      </w:r>
      <w:r w:rsidR="00065D80">
        <w:rPr>
          <w:lang w:val="es-ES"/>
        </w:rPr>
      </w:r>
      <w:r w:rsidR="00065D80">
        <w:rPr>
          <w:lang w:val="es-ES"/>
        </w:rPr>
        <w:fldChar w:fldCharType="separate"/>
      </w:r>
      <w:r w:rsidR="001F1D48">
        <w:rPr>
          <w:lang w:val="es-ES"/>
        </w:rPr>
        <w:t>3.4</w:t>
      </w:r>
      <w:r w:rsidR="00065D80">
        <w:rPr>
          <w:lang w:val="es-ES"/>
        </w:rPr>
        <w:fldChar w:fldCharType="end"/>
      </w:r>
      <w:r w:rsidR="00664690">
        <w:rPr>
          <w:lang w:val="es-ES"/>
        </w:rPr>
        <w:t>) aplicables para el cálculo del CCPP</w:t>
      </w:r>
      <w:r w:rsidR="00065D80">
        <w:rPr>
          <w:lang w:val="es-ES"/>
        </w:rPr>
        <w:t>.</w:t>
      </w:r>
    </w:p>
    <w:tbl>
      <w:tblPr>
        <w:tblStyle w:val="Tablaconcuadrcula"/>
        <w:tblW w:w="0" w:type="auto"/>
        <w:tblLook w:val="04A0" w:firstRow="1" w:lastRow="0" w:firstColumn="1" w:lastColumn="0" w:noHBand="0" w:noVBand="1"/>
      </w:tblPr>
      <w:tblGrid>
        <w:gridCol w:w="8721"/>
      </w:tblGrid>
      <w:tr w:rsidR="002C1A88" w:rsidRPr="00752BC6" w14:paraId="640427F7" w14:textId="77777777" w:rsidTr="002C1A88">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EF7264" w14:textId="021F1461" w:rsidR="002C1A88" w:rsidRDefault="002C1A88" w:rsidP="00185528">
            <w:pPr>
              <w:rPr>
                <w:lang w:val="es-ES"/>
              </w:rPr>
            </w:pPr>
            <w:r w:rsidRPr="00982643">
              <w:rPr>
                <w:b/>
                <w:lang w:val="es-ES"/>
              </w:rPr>
              <w:t xml:space="preserve">Concepto </w:t>
            </w:r>
            <w:r w:rsidRPr="00982643">
              <w:rPr>
                <w:b/>
                <w:lang w:val="es-ES"/>
              </w:rPr>
              <w:fldChar w:fldCharType="begin"/>
            </w:r>
            <w:r w:rsidRPr="00982643">
              <w:rPr>
                <w:b/>
                <w:lang w:val="es-ES"/>
              </w:rPr>
              <w:instrText xml:space="preserve"> SEQ Recommendation \* ARABIC \s 0 </w:instrText>
            </w:r>
            <w:r w:rsidRPr="00982643">
              <w:rPr>
                <w:b/>
                <w:lang w:val="es-ES"/>
              </w:rPr>
              <w:fldChar w:fldCharType="separate"/>
            </w:r>
            <w:r w:rsidR="001F1D48">
              <w:rPr>
                <w:b/>
                <w:noProof/>
                <w:lang w:val="es-ES"/>
              </w:rPr>
              <w:t>8</w:t>
            </w:r>
            <w:r w:rsidRPr="00982643">
              <w:rPr>
                <w:b/>
                <w:lang w:val="es-ES"/>
              </w:rPr>
              <w:fldChar w:fldCharType="end"/>
            </w:r>
            <w:r w:rsidRPr="00982643">
              <w:rPr>
                <w:b/>
                <w:bCs/>
                <w:lang w:val="es-ES"/>
              </w:rPr>
              <w:t xml:space="preserve">: </w:t>
            </w:r>
            <w:r>
              <w:rPr>
                <w:lang w:val="es-ES"/>
              </w:rPr>
              <w:t xml:space="preserve">Para la estimación de la </w:t>
            </w:r>
            <w:r w:rsidRPr="00982643">
              <w:rPr>
                <w:i/>
                <w:iCs/>
                <w:lang w:val="es-ES"/>
              </w:rPr>
              <w:sym w:font="Symbol" w:char="F062"/>
            </w:r>
            <w:r>
              <w:rPr>
                <w:i/>
                <w:iCs/>
                <w:lang w:val="es-ES"/>
              </w:rPr>
              <w:t xml:space="preserve"> s</w:t>
            </w:r>
            <w:r w:rsidRPr="00982643">
              <w:rPr>
                <w:lang w:val="es-ES"/>
              </w:rPr>
              <w:t xml:space="preserve">e </w:t>
            </w:r>
            <w:r>
              <w:rPr>
                <w:lang w:val="es-ES"/>
              </w:rPr>
              <w:t>tomará</w:t>
            </w:r>
            <w:r w:rsidRPr="00982643">
              <w:rPr>
                <w:lang w:val="es-ES"/>
              </w:rPr>
              <w:t xml:space="preserve"> una comparativa de </w:t>
            </w:r>
            <w:r>
              <w:rPr>
                <w:lang w:val="es-ES"/>
              </w:rPr>
              <w:t>empresas</w:t>
            </w:r>
            <w:r w:rsidRPr="00982643">
              <w:rPr>
                <w:lang w:val="es-ES"/>
              </w:rPr>
              <w:t xml:space="preserve"> de telecomunicaciones, </w:t>
            </w:r>
            <w:r w:rsidR="00CB1FFB">
              <w:rPr>
                <w:lang w:val="es-ES"/>
              </w:rPr>
              <w:t>a fin de</w:t>
            </w:r>
            <w:r w:rsidR="00CB1FFB" w:rsidRPr="00982643">
              <w:rPr>
                <w:lang w:val="es-ES"/>
              </w:rPr>
              <w:t xml:space="preserve"> </w:t>
            </w:r>
            <w:r w:rsidRPr="00982643">
              <w:rPr>
                <w:lang w:val="es-ES"/>
              </w:rPr>
              <w:t xml:space="preserve">identificar las </w:t>
            </w:r>
            <w:r w:rsidRPr="00982643">
              <w:rPr>
                <w:i/>
                <w:iCs/>
                <w:lang w:val="es-ES"/>
              </w:rPr>
              <w:sym w:font="Symbol" w:char="F062"/>
            </w:r>
            <w:r w:rsidRPr="00982643">
              <w:rPr>
                <w:lang w:val="es-ES"/>
              </w:rPr>
              <w:t xml:space="preserve"> específicas del mercado fijo y el mercado móvil. Las </w:t>
            </w:r>
            <w:r w:rsidRPr="00982643">
              <w:rPr>
                <w:i/>
                <w:iCs/>
                <w:lang w:val="es-ES"/>
              </w:rPr>
              <w:sym w:font="Symbol" w:char="F062"/>
            </w:r>
            <w:r w:rsidRPr="00982643">
              <w:rPr>
                <w:i/>
                <w:iCs/>
                <w:lang w:val="es-ES"/>
              </w:rPr>
              <w:t xml:space="preserve"> </w:t>
            </w:r>
            <w:r w:rsidRPr="00982643">
              <w:rPr>
                <w:lang w:val="es-ES"/>
              </w:rPr>
              <w:t xml:space="preserve">apalancadas para cada uno de los operadores </w:t>
            </w:r>
            <w:r w:rsidRPr="000B38D7">
              <w:rPr>
                <w:lang w:val="es-ES"/>
              </w:rPr>
              <w:t xml:space="preserve">serán </w:t>
            </w:r>
            <w:r w:rsidRPr="00AA54E1">
              <w:rPr>
                <w:lang w:val="es-ES"/>
              </w:rPr>
              <w:t>extraídas de Reuters</w:t>
            </w:r>
            <w:r w:rsidRPr="000B38D7">
              <w:rPr>
                <w:lang w:val="es-ES"/>
              </w:rPr>
              <w:t xml:space="preserve">, </w:t>
            </w:r>
            <w:r w:rsidR="005B5936">
              <w:rPr>
                <w:lang w:val="es-ES"/>
              </w:rPr>
              <w:t>dado que</w:t>
            </w:r>
            <w:r w:rsidR="004701D7">
              <w:rPr>
                <w:lang w:val="es-ES"/>
              </w:rPr>
              <w:t xml:space="preserve"> se trata de una </w:t>
            </w:r>
            <w:r w:rsidRPr="00982643">
              <w:rPr>
                <w:lang w:val="es-ES"/>
              </w:rPr>
              <w:t xml:space="preserve">fuente pública y </w:t>
            </w:r>
            <w:r w:rsidR="004701D7">
              <w:rPr>
                <w:lang w:val="es-ES"/>
              </w:rPr>
              <w:t xml:space="preserve">utiliza </w:t>
            </w:r>
            <w:r w:rsidRPr="00982643">
              <w:rPr>
                <w:lang w:val="es-ES"/>
              </w:rPr>
              <w:t xml:space="preserve">una metodología de promedio </w:t>
            </w:r>
            <w:r w:rsidR="001366EA">
              <w:rPr>
                <w:lang w:val="es-ES"/>
              </w:rPr>
              <w:t>para los últimos</w:t>
            </w:r>
            <w:r w:rsidR="001366EA" w:rsidRPr="00982643">
              <w:rPr>
                <w:lang w:val="es-ES"/>
              </w:rPr>
              <w:t xml:space="preserve"> </w:t>
            </w:r>
            <w:r w:rsidR="002D21CB">
              <w:rPr>
                <w:lang w:val="es-ES"/>
              </w:rPr>
              <w:t>cinco</w:t>
            </w:r>
            <w:r w:rsidRPr="00982643">
              <w:rPr>
                <w:lang w:val="es-ES"/>
              </w:rPr>
              <w:t xml:space="preserve"> años con datos mensuales. La </w:t>
            </w:r>
            <w:r w:rsidR="004701D7" w:rsidRPr="00982643">
              <w:rPr>
                <w:i/>
                <w:iCs/>
                <w:lang w:val="es-ES"/>
              </w:rPr>
              <w:sym w:font="Symbol" w:char="F062"/>
            </w:r>
            <w:r w:rsidR="004701D7" w:rsidRPr="00982643">
              <w:rPr>
                <w:lang w:val="es-ES"/>
              </w:rPr>
              <w:t xml:space="preserve"> </w:t>
            </w:r>
            <w:r w:rsidRPr="00982643">
              <w:rPr>
                <w:lang w:val="es-ES"/>
              </w:rPr>
              <w:t xml:space="preserve">de cada uno de los operadores comparables será desapalancada con base a los niveles de apalancamiento de cada operador, y </w:t>
            </w:r>
            <w:r w:rsidR="004701D7">
              <w:rPr>
                <w:lang w:val="es-ES"/>
              </w:rPr>
              <w:t xml:space="preserve">se </w:t>
            </w:r>
            <w:r>
              <w:rPr>
                <w:lang w:val="es-ES"/>
              </w:rPr>
              <w:t>volver</w:t>
            </w:r>
            <w:r w:rsidR="004701D7">
              <w:rPr>
                <w:lang w:val="es-ES"/>
              </w:rPr>
              <w:t>á</w:t>
            </w:r>
            <w:r>
              <w:rPr>
                <w:lang w:val="es-ES"/>
              </w:rPr>
              <w:t xml:space="preserve"> a aplicar el ajuste de apalancamiento</w:t>
            </w:r>
            <w:r w:rsidRPr="00982643">
              <w:rPr>
                <w:lang w:val="es-ES"/>
              </w:rPr>
              <w:t xml:space="preserve"> con el nivel de apalancamiento definido para los operadores </w:t>
            </w:r>
            <w:r>
              <w:rPr>
                <w:lang w:val="es-ES"/>
              </w:rPr>
              <w:t xml:space="preserve">eficientes empleados en el cálculo de los CCPP de redes </w:t>
            </w:r>
            <w:r w:rsidRPr="00982643">
              <w:rPr>
                <w:lang w:val="es-ES"/>
              </w:rPr>
              <w:t>fij</w:t>
            </w:r>
            <w:r>
              <w:rPr>
                <w:lang w:val="es-ES"/>
              </w:rPr>
              <w:t>as</w:t>
            </w:r>
            <w:r w:rsidRPr="00982643">
              <w:rPr>
                <w:lang w:val="es-ES"/>
              </w:rPr>
              <w:t xml:space="preserve"> y móvil</w:t>
            </w:r>
            <w:r>
              <w:rPr>
                <w:lang w:val="es-ES"/>
              </w:rPr>
              <w:t>es</w:t>
            </w:r>
            <w:r w:rsidRPr="00982643">
              <w:rPr>
                <w:lang w:val="es-ES"/>
              </w:rPr>
              <w:t>.</w:t>
            </w:r>
          </w:p>
        </w:tc>
      </w:tr>
    </w:tbl>
    <w:p w14:paraId="07204C4C" w14:textId="77777777" w:rsidR="002C1A88" w:rsidRPr="002C1A88" w:rsidRDefault="00C41CF2" w:rsidP="00C41CF2">
      <w:pPr>
        <w:pStyle w:val="Ttulo2"/>
        <w:rPr>
          <w:lang w:val="es-ES"/>
        </w:rPr>
      </w:pPr>
      <w:bookmarkStart w:id="28" w:name="_Toc134002720"/>
      <w:bookmarkStart w:id="29" w:name="_Toc134002728"/>
      <w:bookmarkStart w:id="30" w:name="_Toc134002736"/>
      <w:bookmarkStart w:id="31" w:name="_Ref132991259"/>
      <w:bookmarkStart w:id="32" w:name="_Ref126689248"/>
      <w:bookmarkStart w:id="33" w:name="_Toc135788688"/>
      <w:bookmarkEnd w:id="28"/>
      <w:bookmarkEnd w:id="29"/>
      <w:bookmarkEnd w:id="30"/>
      <w:r w:rsidRPr="00982643">
        <w:rPr>
          <w:lang w:val="es-ES"/>
        </w:rPr>
        <w:t>Apalancamiento</w:t>
      </w:r>
      <w:bookmarkEnd w:id="31"/>
      <w:bookmarkEnd w:id="32"/>
      <w:bookmarkEnd w:id="33"/>
    </w:p>
    <w:p w14:paraId="2888149E" w14:textId="60C7D26B" w:rsidR="002C1A88" w:rsidRPr="000F1B14" w:rsidRDefault="00640498" w:rsidP="00444D49">
      <w:pPr>
        <w:rPr>
          <w:lang w:val="es-ES"/>
        </w:rPr>
      </w:pPr>
      <w:r>
        <w:rPr>
          <w:lang w:val="es-ES"/>
        </w:rPr>
        <w:t>En el cálculo del CCPP, uno de los aspectos clave</w:t>
      </w:r>
      <w:r w:rsidRPr="000F1B14">
        <w:rPr>
          <w:lang w:val="es-ES"/>
        </w:rPr>
        <w:t xml:space="preserve"> es </w:t>
      </w:r>
      <w:r w:rsidR="00C41CF2" w:rsidRPr="000F1B14">
        <w:rPr>
          <w:lang w:val="es-ES"/>
        </w:rPr>
        <w:t xml:space="preserve">definir la estructura de </w:t>
      </w:r>
      <w:r>
        <w:rPr>
          <w:lang w:val="es-ES"/>
        </w:rPr>
        <w:t>financiación</w:t>
      </w:r>
      <w:r w:rsidR="00C41CF2" w:rsidRPr="000F1B14">
        <w:rPr>
          <w:lang w:val="es-ES"/>
        </w:rPr>
        <w:t xml:space="preserve"> para el operador basada en una estimación de la proporción de deuda y capital en el negocio. El nivel de apalancamiento (</w:t>
      </w:r>
      <m:oMath>
        <m:r>
          <w:rPr>
            <w:rFonts w:ascii="Cambria Math"/>
            <w:lang w:val="es-ES"/>
          </w:rPr>
          <m:t>g</m:t>
        </m:r>
      </m:oMath>
      <w:r w:rsidR="00C41CF2" w:rsidRPr="00982643">
        <w:rPr>
          <w:rFonts w:eastAsiaTheme="minorEastAsia"/>
          <w:lang w:val="es-ES"/>
        </w:rPr>
        <w:t>)</w:t>
      </w:r>
      <w:r w:rsidR="00C41CF2" w:rsidRPr="000F1B14">
        <w:rPr>
          <w:lang w:val="es-ES"/>
        </w:rPr>
        <w:t xml:space="preserve"> denota la deuda como proporción de las necesidades de financiamiento de la empresa, y se expresa como:</w:t>
      </w:r>
    </w:p>
    <w:p w14:paraId="6BF9FA80" w14:textId="77777777" w:rsidR="002C1A88" w:rsidRPr="002C1A88" w:rsidRDefault="00C41CF2" w:rsidP="00C41CF2">
      <w:pPr>
        <w:jc w:val="center"/>
        <w:rPr>
          <w:position w:val="-24"/>
          <w:lang w:val="es-ES"/>
        </w:rPr>
      </w:pPr>
      <w:r w:rsidRPr="00982643">
        <w:rPr>
          <w:i/>
          <w:lang w:val="es-ES"/>
        </w:rPr>
        <w:t>Apalancamiento</w:t>
      </w:r>
      <w:r w:rsidRPr="00982643">
        <w:rPr>
          <w:lang w:val="es-ES"/>
        </w:rPr>
        <w:t xml:space="preserve"> = g =</w:t>
      </w:r>
      <w:r w:rsidRPr="00982643">
        <w:rPr>
          <w:position w:val="-24"/>
          <w:lang w:val="es-ES"/>
        </w:rPr>
        <w:object w:dxaOrig="700" w:dyaOrig="620" w14:anchorId="6C7BB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órmula" style="width:36pt;height:28.2pt" o:ole="">
            <v:imagedata r:id="rId20" o:title=""/>
          </v:shape>
          <o:OLEObject Type="Embed" ProgID="Equation.3" ShapeID="_x0000_i1025" DrawAspect="Content" ObjectID="_1747557914" r:id="rId21"/>
        </w:object>
      </w:r>
    </w:p>
    <w:p w14:paraId="043174F0" w14:textId="3EE8066C" w:rsidR="002C1A88" w:rsidRPr="002C1A88" w:rsidRDefault="00C41CF2" w:rsidP="00C41CF2">
      <w:pPr>
        <w:rPr>
          <w:lang w:val="es-ES"/>
        </w:rPr>
      </w:pPr>
      <w:r w:rsidRPr="00982643">
        <w:rPr>
          <w:lang w:val="es-ES"/>
        </w:rPr>
        <w:t>Para la estimación de la tasa de CCPP, el IRG espec</w:t>
      </w:r>
      <w:r w:rsidR="009D336D">
        <w:rPr>
          <w:lang w:val="es-ES"/>
        </w:rPr>
        <w:t>i</w:t>
      </w:r>
      <w:r w:rsidRPr="00982643">
        <w:rPr>
          <w:lang w:val="es-ES"/>
        </w:rPr>
        <w:t>fica tres enfoques posibles para la estimación de la tasa de apalancamiento:</w:t>
      </w:r>
    </w:p>
    <w:p w14:paraId="4D4AE4CF" w14:textId="77777777" w:rsidR="002C1A88" w:rsidRPr="002C1A88" w:rsidRDefault="00C41CF2" w:rsidP="000F1B14">
      <w:pPr>
        <w:pStyle w:val="ListBulletCompact"/>
        <w:rPr>
          <w:lang w:val="es-ES"/>
        </w:rPr>
      </w:pPr>
      <w:r w:rsidRPr="00982643">
        <w:rPr>
          <w:lang w:val="es-ES"/>
        </w:rPr>
        <w:t>apalancamiento de empresas comparables</w:t>
      </w:r>
    </w:p>
    <w:p w14:paraId="3E8453B8" w14:textId="77777777" w:rsidR="002C1A88" w:rsidRPr="002C1A88" w:rsidRDefault="00C41CF2" w:rsidP="000F1B14">
      <w:pPr>
        <w:pStyle w:val="ListBulletCompact"/>
        <w:rPr>
          <w:lang w:val="es-ES"/>
        </w:rPr>
      </w:pPr>
      <w:r w:rsidRPr="00982643">
        <w:rPr>
          <w:lang w:val="es-ES"/>
        </w:rPr>
        <w:t>apalancamiento real de la empresa regulada</w:t>
      </w:r>
    </w:p>
    <w:p w14:paraId="348E6B96" w14:textId="77777777" w:rsidR="002C1A88" w:rsidRPr="002C1A88" w:rsidRDefault="00C41CF2" w:rsidP="000F1B14">
      <w:pPr>
        <w:pStyle w:val="ListBulletCompact"/>
        <w:rPr>
          <w:lang w:val="es-ES"/>
        </w:rPr>
      </w:pPr>
      <w:r w:rsidRPr="00982643">
        <w:rPr>
          <w:lang w:val="es-ES"/>
        </w:rPr>
        <w:t>definición de un apalancamiento óptimo.</w:t>
      </w:r>
    </w:p>
    <w:p w14:paraId="0B20AF57" w14:textId="04D5588B" w:rsidR="002C1A88" w:rsidRPr="002C1A88" w:rsidRDefault="00C41CF2" w:rsidP="002C1A88">
      <w:pPr>
        <w:rPr>
          <w:lang w:val="es-ES"/>
        </w:rPr>
      </w:pPr>
      <w:r w:rsidRPr="000F1B14">
        <w:rPr>
          <w:lang w:val="es-ES"/>
        </w:rPr>
        <w:t>Generalmente, la expectativa en lo que respecta al nivel de retorno del capital (</w:t>
      </w:r>
      <w:r w:rsidRPr="000F1B14">
        <w:rPr>
          <w:i/>
          <w:lang w:val="es-ES"/>
        </w:rPr>
        <w:t>equity</w:t>
      </w:r>
      <w:r w:rsidRPr="000F1B14">
        <w:rPr>
          <w:lang w:val="es-ES"/>
        </w:rPr>
        <w:t xml:space="preserve">) será mayor que la del retorno de la deuda. No obstante, si aumenta el nivel de apalancamiento, la deuda tendrá una prima de riesgo mayor, ya que los acreedores requerirán un mayor interés al existir menor certidumbre en el pago. </w:t>
      </w:r>
      <w:r w:rsidRPr="00982643">
        <w:rPr>
          <w:lang w:val="es-ES"/>
        </w:rPr>
        <w:t xml:space="preserve">Por eso mismo, la teoría financiera asume que existe una estructura financiera óptima que minimiza el costo del capital y se le conoce como apalancamiento objetivo. En la práctica, este apalancamiento óptimo es difícil de determinar y variará en función del tipo y forma </w:t>
      </w:r>
      <w:r w:rsidR="00B71ABC">
        <w:rPr>
          <w:lang w:val="es-ES"/>
        </w:rPr>
        <w:t>del</w:t>
      </w:r>
      <w:r w:rsidR="00B05C88">
        <w:rPr>
          <w:lang w:val="es-ES"/>
        </w:rPr>
        <w:t xml:space="preserve"> </w:t>
      </w:r>
      <w:r w:rsidR="002B32E8">
        <w:rPr>
          <w:lang w:val="es-ES"/>
        </w:rPr>
        <w:t>operador a modelar</w:t>
      </w:r>
      <w:r w:rsidRPr="00982643">
        <w:rPr>
          <w:lang w:val="es-ES"/>
        </w:rPr>
        <w:t>.</w:t>
      </w:r>
      <w:r w:rsidR="00797568">
        <w:rPr>
          <w:lang w:val="es-ES"/>
        </w:rPr>
        <w:t xml:space="preserve"> </w:t>
      </w:r>
      <w:r w:rsidRPr="00982643">
        <w:rPr>
          <w:lang w:val="es-ES"/>
        </w:rPr>
        <w:t xml:space="preserve">Por este motivo, se propone estimar el apalancamiento con base a la </w:t>
      </w:r>
      <w:r w:rsidRPr="000B38D7">
        <w:rPr>
          <w:lang w:val="es-ES"/>
        </w:rPr>
        <w:t xml:space="preserve">selección de </w:t>
      </w:r>
      <w:r w:rsidRPr="000F1B14">
        <w:rPr>
          <w:lang w:val="es-ES"/>
        </w:rPr>
        <w:t>empresas comparable</w:t>
      </w:r>
      <w:r w:rsidRPr="000B38D7">
        <w:rPr>
          <w:lang w:val="es-ES"/>
        </w:rPr>
        <w:t>s listada</w:t>
      </w:r>
      <w:r w:rsidR="00B05C88">
        <w:rPr>
          <w:lang w:val="es-ES"/>
        </w:rPr>
        <w:t xml:space="preserve"> en la </w:t>
      </w:r>
      <w:r w:rsidR="00B71ABC">
        <w:rPr>
          <w:lang w:val="es-ES"/>
        </w:rPr>
        <w:t>S</w:t>
      </w:r>
      <w:r w:rsidR="00B05C88">
        <w:rPr>
          <w:lang w:val="es-ES"/>
        </w:rPr>
        <w:t xml:space="preserve">ección </w:t>
      </w:r>
      <w:r w:rsidR="00B05C88">
        <w:rPr>
          <w:lang w:val="es-ES"/>
        </w:rPr>
        <w:fldChar w:fldCharType="begin"/>
      </w:r>
      <w:r w:rsidR="00B05C88">
        <w:rPr>
          <w:lang w:val="es-ES"/>
        </w:rPr>
        <w:instrText xml:space="preserve"> REF _Ref132988681 \r \h </w:instrText>
      </w:r>
      <w:r w:rsidR="00B05C88">
        <w:rPr>
          <w:lang w:val="es-ES"/>
        </w:rPr>
      </w:r>
      <w:r w:rsidR="00B05C88">
        <w:rPr>
          <w:lang w:val="es-ES"/>
        </w:rPr>
        <w:fldChar w:fldCharType="separate"/>
      </w:r>
      <w:r w:rsidR="001F1D48">
        <w:rPr>
          <w:lang w:val="es-ES"/>
        </w:rPr>
        <w:t>2.4</w:t>
      </w:r>
      <w:r w:rsidR="00B05C88">
        <w:rPr>
          <w:lang w:val="es-ES"/>
        </w:rPr>
        <w:fldChar w:fldCharType="end"/>
      </w:r>
      <w:r w:rsidRPr="00982643">
        <w:rPr>
          <w:lang w:val="es-ES"/>
        </w:rPr>
        <w:t xml:space="preserve">. </w:t>
      </w:r>
    </w:p>
    <w:p w14:paraId="52E51B20" w14:textId="1821C677" w:rsidR="002C1A88" w:rsidRPr="002C1A88" w:rsidRDefault="00797568" w:rsidP="00C41CF2">
      <w:pPr>
        <w:rPr>
          <w:lang w:val="es-ES"/>
        </w:rPr>
      </w:pPr>
      <w:r>
        <w:rPr>
          <w:lang w:val="es-ES"/>
        </w:rPr>
        <w:t>E</w:t>
      </w:r>
      <w:r w:rsidR="00C41CF2" w:rsidRPr="004520FE">
        <w:rPr>
          <w:lang w:val="es-ES"/>
        </w:rPr>
        <w:t xml:space="preserve">n la estimación del apalancamiento, es necesario realizar una definición precisa de los parámetros de deuda y recursos propios a emplear. A este respecto, la aproximación </w:t>
      </w:r>
      <w:r>
        <w:rPr>
          <w:lang w:val="es-ES"/>
        </w:rPr>
        <w:t>seguida</w:t>
      </w:r>
      <w:r w:rsidR="00C41CF2" w:rsidRPr="004520FE">
        <w:rPr>
          <w:lang w:val="es-ES"/>
        </w:rPr>
        <w:t xml:space="preserve"> es la siguiente:</w:t>
      </w:r>
    </w:p>
    <w:p w14:paraId="174900EA" w14:textId="62C785C4" w:rsidR="002C1A88" w:rsidRPr="002C1A88" w:rsidRDefault="00C41CF2" w:rsidP="000F1B14">
      <w:pPr>
        <w:pStyle w:val="Listaconvietas"/>
        <w:rPr>
          <w:lang w:val="es-ES"/>
        </w:rPr>
      </w:pPr>
      <w:r w:rsidRPr="000F1B14">
        <w:rPr>
          <w:b/>
          <w:lang w:val="es-ES"/>
        </w:rPr>
        <w:t>Deuda</w:t>
      </w:r>
      <w:r w:rsidR="00B71ABC">
        <w:rPr>
          <w:lang w:val="es-ES"/>
        </w:rPr>
        <w:t xml:space="preserve"> –</w:t>
      </w:r>
      <w:r w:rsidRPr="004520FE">
        <w:rPr>
          <w:lang w:val="es-ES"/>
        </w:rPr>
        <w:t xml:space="preserve"> </w:t>
      </w:r>
      <w:r w:rsidR="00B71ABC">
        <w:rPr>
          <w:lang w:val="es-ES"/>
        </w:rPr>
        <w:t>v</w:t>
      </w:r>
      <w:r w:rsidRPr="004520FE">
        <w:rPr>
          <w:lang w:val="es-ES"/>
        </w:rPr>
        <w:t>alor de la deuda total (</w:t>
      </w:r>
      <w:r w:rsidR="00F909F9">
        <w:rPr>
          <w:lang w:val="es-ES"/>
        </w:rPr>
        <w:t xml:space="preserve">a </w:t>
      </w:r>
      <w:r w:rsidRPr="004520FE">
        <w:rPr>
          <w:lang w:val="es-ES"/>
        </w:rPr>
        <w:t xml:space="preserve">corto y largo plazo) en </w:t>
      </w:r>
      <w:r w:rsidR="00B71ABC">
        <w:rPr>
          <w:lang w:val="es-ES"/>
        </w:rPr>
        <w:t xml:space="preserve">los </w:t>
      </w:r>
      <w:r w:rsidRPr="004520FE">
        <w:rPr>
          <w:lang w:val="es-ES"/>
        </w:rPr>
        <w:t>libros de los operadores, promediada de forma trimestral para los últimos cinco años</w:t>
      </w:r>
      <w:r w:rsidR="00B71ABC">
        <w:rPr>
          <w:lang w:val="es-ES"/>
        </w:rPr>
        <w:t>.</w:t>
      </w:r>
    </w:p>
    <w:p w14:paraId="3ABCDF76" w14:textId="56688602" w:rsidR="002C1A88" w:rsidRPr="002C1A88" w:rsidRDefault="00C41CF2" w:rsidP="000F1B14">
      <w:pPr>
        <w:pStyle w:val="Listaconvietas"/>
        <w:rPr>
          <w:lang w:val="es-ES"/>
        </w:rPr>
      </w:pPr>
      <w:r w:rsidRPr="000F1B14">
        <w:rPr>
          <w:b/>
          <w:lang w:val="es-ES"/>
        </w:rPr>
        <w:t>Recursos propios (</w:t>
      </w:r>
      <w:r w:rsidRPr="000F1B14">
        <w:rPr>
          <w:b/>
          <w:i/>
          <w:lang w:val="es-ES"/>
        </w:rPr>
        <w:t>equity</w:t>
      </w:r>
      <w:r w:rsidRPr="00011749">
        <w:rPr>
          <w:b/>
          <w:bCs/>
          <w:lang w:val="es-ES"/>
        </w:rPr>
        <w:t>)</w:t>
      </w:r>
      <w:r w:rsidR="00011749">
        <w:rPr>
          <w:lang w:val="es-ES"/>
        </w:rPr>
        <w:t xml:space="preserve"> –</w:t>
      </w:r>
      <w:r w:rsidRPr="004520FE">
        <w:rPr>
          <w:lang w:val="es-ES"/>
        </w:rPr>
        <w:t xml:space="preserve"> </w:t>
      </w:r>
      <w:r w:rsidR="00011749">
        <w:rPr>
          <w:lang w:val="es-ES"/>
        </w:rPr>
        <w:t>v</w:t>
      </w:r>
      <w:r w:rsidRPr="004520FE">
        <w:rPr>
          <w:lang w:val="es-ES"/>
        </w:rPr>
        <w:t xml:space="preserve">alor de mercado de los recursos propios, medido a partir del número de acciones emitidas y el precio unitario de las acciones (capitalización de mercado). El valor será calculado </w:t>
      </w:r>
      <w:r w:rsidR="0018247D">
        <w:rPr>
          <w:lang w:val="es-ES"/>
        </w:rPr>
        <w:t>a través del promedio de los valores</w:t>
      </w:r>
      <w:r w:rsidRPr="004520FE">
        <w:rPr>
          <w:lang w:val="es-ES"/>
        </w:rPr>
        <w:t xml:space="preserve"> trimestral</w:t>
      </w:r>
      <w:r w:rsidR="0018247D">
        <w:rPr>
          <w:lang w:val="es-ES"/>
        </w:rPr>
        <w:t>es</w:t>
      </w:r>
      <w:r w:rsidRPr="004520FE">
        <w:rPr>
          <w:lang w:val="es-ES"/>
        </w:rPr>
        <w:t xml:space="preserve"> para los últimos cinco años.</w:t>
      </w:r>
    </w:p>
    <w:p w14:paraId="585AD57D" w14:textId="02E9EDE5" w:rsidR="00C41CF2" w:rsidRPr="00982643" w:rsidRDefault="00C41CF2" w:rsidP="00C41CF2">
      <w:pPr>
        <w:rPr>
          <w:lang w:val="es-ES"/>
        </w:rPr>
      </w:pPr>
      <w:r w:rsidRPr="00982643">
        <w:rPr>
          <w:lang w:val="es-ES"/>
        </w:rPr>
        <w:t>Con respecto a la fuente</w:t>
      </w:r>
      <w:r w:rsidR="00011749">
        <w:rPr>
          <w:lang w:val="es-ES"/>
        </w:rPr>
        <w:t>,</w:t>
      </w:r>
      <w:r w:rsidRPr="00982643">
        <w:rPr>
          <w:lang w:val="es-ES"/>
        </w:rPr>
        <w:t xml:space="preserve"> se utilizarán los </w:t>
      </w:r>
      <w:r w:rsidRPr="004520FE">
        <w:rPr>
          <w:lang w:val="es-ES"/>
        </w:rPr>
        <w:t xml:space="preserve">datos disponibles del servicio Tradingview, </w:t>
      </w:r>
      <w:r w:rsidR="009D72B0">
        <w:rPr>
          <w:lang w:val="es-ES"/>
        </w:rPr>
        <w:t>el</w:t>
      </w:r>
      <w:r w:rsidR="009D72B0" w:rsidRPr="004520FE">
        <w:rPr>
          <w:lang w:val="es-ES"/>
        </w:rPr>
        <w:t xml:space="preserve"> </w:t>
      </w:r>
      <w:r w:rsidRPr="004520FE">
        <w:rPr>
          <w:lang w:val="es-ES"/>
        </w:rPr>
        <w:t xml:space="preserve">cual reporta estos valores para todos los operadores incluidos en la muestra de empresas comparables. </w:t>
      </w:r>
    </w:p>
    <w:tbl>
      <w:tblPr>
        <w:tblStyle w:val="Tablaconcuadrcula"/>
        <w:tblW w:w="0" w:type="auto"/>
        <w:tblLook w:val="04A0" w:firstRow="1" w:lastRow="0" w:firstColumn="1" w:lastColumn="0" w:noHBand="0" w:noVBand="1"/>
      </w:tblPr>
      <w:tblGrid>
        <w:gridCol w:w="8721"/>
      </w:tblGrid>
      <w:tr w:rsidR="00C41CF2" w:rsidRPr="00752BC6" w14:paraId="7FF7BEA4" w14:textId="77777777" w:rsidTr="0080783B">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FBCFB0C" w14:textId="5127AFF6" w:rsidR="00C41CF2" w:rsidRPr="00982643" w:rsidRDefault="00C41CF2" w:rsidP="0080783B">
            <w:pPr>
              <w:spacing w:after="120"/>
              <w:rPr>
                <w:lang w:val="es-ES"/>
              </w:rPr>
            </w:pPr>
            <w:r w:rsidRPr="00982643">
              <w:rPr>
                <w:b/>
                <w:lang w:val="es-ES"/>
              </w:rPr>
              <w:t xml:space="preserve">Concepto </w:t>
            </w:r>
            <w:r w:rsidRPr="00982643">
              <w:rPr>
                <w:b/>
                <w:lang w:val="es-ES"/>
              </w:rPr>
              <w:fldChar w:fldCharType="begin"/>
            </w:r>
            <w:r w:rsidRPr="00982643">
              <w:rPr>
                <w:b/>
                <w:lang w:val="es-ES"/>
              </w:rPr>
              <w:instrText xml:space="preserve"> SEQ Recommendation \* ARABIC \s 0 </w:instrText>
            </w:r>
            <w:r w:rsidRPr="00982643">
              <w:rPr>
                <w:b/>
                <w:lang w:val="es-ES"/>
              </w:rPr>
              <w:fldChar w:fldCharType="separate"/>
            </w:r>
            <w:r w:rsidR="001F1D48">
              <w:rPr>
                <w:b/>
                <w:noProof/>
                <w:lang w:val="es-ES"/>
              </w:rPr>
              <w:t>9</w:t>
            </w:r>
            <w:r w:rsidRPr="00982643">
              <w:rPr>
                <w:b/>
                <w:lang w:val="es-ES"/>
              </w:rPr>
              <w:fldChar w:fldCharType="end"/>
            </w:r>
            <w:r w:rsidRPr="00982643">
              <w:rPr>
                <w:b/>
                <w:bCs/>
                <w:lang w:val="es-ES"/>
              </w:rPr>
              <w:t xml:space="preserve">: </w:t>
            </w:r>
            <w:r w:rsidR="00A8579E">
              <w:rPr>
                <w:lang w:val="es-ES"/>
              </w:rPr>
              <w:t>S</w:t>
            </w:r>
            <w:r w:rsidRPr="004520FE">
              <w:rPr>
                <w:lang w:val="es-ES"/>
              </w:rPr>
              <w:t xml:space="preserve">e evaluará el nivel apropiado de apalancamiento utilizando </w:t>
            </w:r>
            <w:r w:rsidR="00A8579E">
              <w:rPr>
                <w:lang w:val="es-ES"/>
              </w:rPr>
              <w:t>una selección de empresas comparables</w:t>
            </w:r>
            <w:r w:rsidRPr="004520FE">
              <w:rPr>
                <w:lang w:val="es-ES"/>
              </w:rPr>
              <w:t>.</w:t>
            </w:r>
            <w:r>
              <w:rPr>
                <w:lang w:val="es-ES"/>
              </w:rPr>
              <w:t xml:space="preserve"> Se tomará el valor en libros de la deuda total de los operadores y el valor de mercado de los recursos propios.</w:t>
            </w:r>
            <w:r w:rsidRPr="004520FE">
              <w:rPr>
                <w:lang w:val="es-ES"/>
              </w:rPr>
              <w:t xml:space="preserve"> Para ello se usará información financiera que está públicamente disponible en </w:t>
            </w:r>
            <w:r>
              <w:rPr>
                <w:lang w:val="es-ES"/>
              </w:rPr>
              <w:t>el portal Tradingview</w:t>
            </w:r>
            <w:r w:rsidRPr="004520FE">
              <w:rPr>
                <w:lang w:val="es-ES"/>
              </w:rPr>
              <w:t>.</w:t>
            </w:r>
            <w:r w:rsidRPr="00982643" w:rsidDel="00D612E8">
              <w:rPr>
                <w:lang w:val="es-ES"/>
              </w:rPr>
              <w:t xml:space="preserve"> </w:t>
            </w:r>
          </w:p>
        </w:tc>
      </w:tr>
    </w:tbl>
    <w:p w14:paraId="1360D133" w14:textId="77777777" w:rsidR="002C1A88" w:rsidRDefault="002C1A88" w:rsidP="00C41CF2">
      <w:pPr>
        <w:rPr>
          <w:lang w:val="es-ES"/>
        </w:rPr>
      </w:pPr>
    </w:p>
    <w:p w14:paraId="3714A252" w14:textId="77777777" w:rsidR="002C1A88" w:rsidRPr="002C1A88" w:rsidRDefault="00C41CF2" w:rsidP="00C41CF2">
      <w:pPr>
        <w:pStyle w:val="Ttulo2"/>
        <w:rPr>
          <w:lang w:val="es-ES"/>
        </w:rPr>
      </w:pPr>
      <w:bookmarkStart w:id="34" w:name="_Ref132991268"/>
      <w:bookmarkStart w:id="35" w:name="_Ref321212527"/>
      <w:bookmarkStart w:id="36" w:name="_Toc135788689"/>
      <w:r w:rsidRPr="00BC52BF">
        <w:rPr>
          <w:lang w:val="es-ES"/>
        </w:rPr>
        <w:t>Costo de la deuda</w:t>
      </w:r>
      <w:bookmarkEnd w:id="34"/>
      <w:bookmarkEnd w:id="35"/>
      <w:bookmarkEnd w:id="36"/>
    </w:p>
    <w:p w14:paraId="5D66BFC3" w14:textId="77777777" w:rsidR="002C1A88" w:rsidRPr="002C1A88" w:rsidRDefault="00C41CF2" w:rsidP="00C41CF2">
      <w:pPr>
        <w:rPr>
          <w:lang w:val="es-ES"/>
        </w:rPr>
      </w:pPr>
      <w:r w:rsidRPr="00BC52BF">
        <w:rPr>
          <w:lang w:val="es-ES"/>
        </w:rPr>
        <w:t>El costo de la deuda</w:t>
      </w:r>
      <w:r>
        <w:rPr>
          <w:lang w:val="es-ES"/>
        </w:rPr>
        <w:t xml:space="preserve"> antes de impuestos</w:t>
      </w:r>
      <w:r w:rsidRPr="00BC52BF">
        <w:rPr>
          <w:lang w:val="es-ES"/>
        </w:rPr>
        <w:t xml:space="preserve"> se define como:</w:t>
      </w:r>
    </w:p>
    <w:p w14:paraId="2AF00D3D" w14:textId="31962EBD" w:rsidR="002C1A88" w:rsidRPr="009D72B0" w:rsidRDefault="00927F08" w:rsidP="00C41CF2">
      <w:pPr>
        <w:jc w:val="center"/>
        <w:rPr>
          <w:rFonts w:cs="Times New Roman"/>
          <w:lang w:val="es-ES"/>
        </w:rPr>
      </w:pPr>
      <m:oMathPara>
        <m:oMath>
          <m:sSub>
            <m:sSubPr>
              <m:ctrlPr>
                <w:rPr>
                  <w:rFonts w:ascii="Cambria Math" w:hAnsi="Cambria Math" w:cs="Times New Roman"/>
                  <w:i/>
                  <w:lang w:val="es-ES"/>
                </w:rPr>
              </m:ctrlPr>
            </m:sSubPr>
            <m:e>
              <m:r>
                <w:rPr>
                  <w:rFonts w:ascii="Cambria Math" w:hAnsi="Cambria Math"/>
                  <w:lang w:val="es-ES"/>
                </w:rPr>
                <m:t>C</m:t>
              </m:r>
            </m:e>
            <m:sub>
              <m:r>
                <w:rPr>
                  <w:rFonts w:ascii="Cambria Math" w:hAnsi="Cambria Math"/>
                  <w:lang w:val="es-ES"/>
                </w:rPr>
                <m:t>d</m:t>
              </m:r>
            </m:sub>
          </m:sSub>
          <m:r>
            <w:rPr>
              <w:rFonts w:ascii="Cambria Math" w:hAnsi="Cambria Math" w:cs="Times New Roman"/>
              <w:lang w:val="es-ES"/>
            </w:rPr>
            <m:t>=</m:t>
          </m:r>
          <m:sSub>
            <m:sSubPr>
              <m:ctrlPr>
                <w:rPr>
                  <w:rFonts w:ascii="Cambria Math" w:hAnsi="Cambria Math" w:cs="Times New Roman"/>
                  <w:i/>
                  <w:lang w:val="es-ES"/>
                </w:rPr>
              </m:ctrlPr>
            </m:sSubPr>
            <m:e>
              <m:r>
                <w:rPr>
                  <w:rFonts w:ascii="Cambria Math" w:hAnsi="Cambria Math" w:cs="Times New Roman"/>
                  <w:lang w:val="es-ES"/>
                </w:rPr>
                <m:t>R</m:t>
              </m:r>
            </m:e>
            <m:sub>
              <m:r>
                <w:rPr>
                  <w:rFonts w:ascii="Cambria Math" w:hAnsi="Cambria Math" w:cs="Times New Roman"/>
                  <w:lang w:val="es-ES"/>
                </w:rPr>
                <m:t>f</m:t>
              </m:r>
            </m:sub>
          </m:sSub>
          <m:r>
            <w:rPr>
              <w:rFonts w:ascii="Cambria Math" w:hAnsi="Cambria Math"/>
              <w:lang w:val="es-ES"/>
            </w:rPr>
            <m:t>+</m:t>
          </m:r>
          <m:sSub>
            <m:sSubPr>
              <m:ctrlPr>
                <w:rPr>
                  <w:rFonts w:ascii="Cambria Math" w:hAnsi="Cambria Math" w:cs="Times New Roman"/>
                  <w:i/>
                  <w:lang w:val="es-ES"/>
                </w:rPr>
              </m:ctrlPr>
            </m:sSubPr>
            <m:e>
              <m:r>
                <w:rPr>
                  <w:rFonts w:ascii="Cambria Math" w:hAnsi="Cambria Math"/>
                  <w:lang w:val="es-ES"/>
                </w:rPr>
                <m:t>R</m:t>
              </m:r>
            </m:e>
            <m:sub>
              <m:r>
                <w:rPr>
                  <w:rFonts w:ascii="Cambria Math" w:hAnsi="Cambria Math"/>
                  <w:lang w:val="es-ES"/>
                </w:rPr>
                <m:t>D</m:t>
              </m:r>
            </m:sub>
          </m:sSub>
        </m:oMath>
      </m:oMathPara>
    </w:p>
    <w:p w14:paraId="7C157CC1" w14:textId="77777777" w:rsidR="002C1A88" w:rsidRPr="002C1A88" w:rsidRDefault="00C41CF2" w:rsidP="00C41CF2">
      <w:pPr>
        <w:rPr>
          <w:lang w:val="es-ES"/>
        </w:rPr>
      </w:pPr>
      <w:r w:rsidRPr="00BC52BF">
        <w:rPr>
          <w:lang w:val="es-ES"/>
        </w:rPr>
        <w:t>Donde:</w:t>
      </w:r>
    </w:p>
    <w:p w14:paraId="1C6B4C36" w14:textId="2D4321A6" w:rsidR="002C1A88" w:rsidRPr="002C1A88" w:rsidRDefault="00927F08" w:rsidP="00C41CF2">
      <w:pPr>
        <w:pStyle w:val="ListBulletCompact"/>
        <w:spacing w:after="0"/>
        <w:ind w:left="360" w:hanging="360"/>
        <w:contextualSpacing w:val="0"/>
        <w:rPr>
          <w:lang w:val="es-ES"/>
        </w:rPr>
      </w:pPr>
      <m:oMath>
        <m:sSub>
          <m:sSubPr>
            <m:ctrlPr>
              <w:rPr>
                <w:rFonts w:ascii="Cambria Math" w:hAnsi="Cambria Math"/>
                <w:i/>
                <w:sz w:val="24"/>
                <w:szCs w:val="24"/>
                <w:lang w:val="es-ES"/>
              </w:rPr>
            </m:ctrlPr>
          </m:sSubPr>
          <m:e>
            <m:r>
              <w:rPr>
                <w:rFonts w:ascii="Cambria Math"/>
                <w:sz w:val="24"/>
                <w:szCs w:val="24"/>
                <w:lang w:val="es-ES"/>
              </w:rPr>
              <m:t>R</m:t>
            </m:r>
          </m:e>
          <m:sub>
            <m:r>
              <w:rPr>
                <w:rFonts w:ascii="Cambria Math"/>
                <w:sz w:val="24"/>
                <w:szCs w:val="24"/>
                <w:lang w:val="es-ES"/>
              </w:rPr>
              <m:t>f</m:t>
            </m:r>
          </m:sub>
        </m:sSub>
      </m:oMath>
      <w:r w:rsidR="00C41CF2" w:rsidRPr="00BC52BF">
        <w:rPr>
          <w:lang w:val="es-ES"/>
        </w:rPr>
        <w:t xml:space="preserve"> es la tasa de retorno libre de riesgo</w:t>
      </w:r>
    </w:p>
    <w:p w14:paraId="734C0D55" w14:textId="3DE942AB" w:rsidR="002C1A88" w:rsidRPr="002C1A88" w:rsidRDefault="00927F08" w:rsidP="00C41CF2">
      <w:pPr>
        <w:pStyle w:val="ListBulletCompact"/>
        <w:rPr>
          <w:lang w:val="es-ES"/>
        </w:rPr>
      </w:pPr>
      <m:oMath>
        <m:sSub>
          <m:sSubPr>
            <m:ctrlPr>
              <w:rPr>
                <w:rFonts w:ascii="Cambria Math" w:hAnsi="Cambria Math"/>
                <w:i/>
                <w:sz w:val="24"/>
                <w:szCs w:val="24"/>
                <w:lang w:val="es-ES"/>
              </w:rPr>
            </m:ctrlPr>
          </m:sSubPr>
          <m:e>
            <m:r>
              <w:rPr>
                <w:rFonts w:ascii="Cambria Math"/>
                <w:sz w:val="24"/>
                <w:szCs w:val="24"/>
                <w:lang w:val="es-ES"/>
              </w:rPr>
              <m:t>R</m:t>
            </m:r>
          </m:e>
          <m:sub>
            <m:r>
              <w:rPr>
                <w:rFonts w:ascii="Cambria Math"/>
                <w:sz w:val="24"/>
                <w:szCs w:val="24"/>
                <w:lang w:val="es-ES"/>
              </w:rPr>
              <m:t>D</m:t>
            </m:r>
          </m:sub>
        </m:sSub>
      </m:oMath>
      <w:r w:rsidR="00C41CF2" w:rsidRPr="00BC52BF">
        <w:rPr>
          <w:lang w:val="es-ES"/>
        </w:rPr>
        <w:t xml:space="preserve"> es la prima de riesgo de</w:t>
      </w:r>
      <w:r w:rsidR="00835F5C">
        <w:rPr>
          <w:lang w:val="es-ES"/>
        </w:rPr>
        <w:t xml:space="preserve"> </w:t>
      </w:r>
      <w:r w:rsidR="00C41CF2" w:rsidRPr="00BC52BF">
        <w:rPr>
          <w:lang w:val="es-ES"/>
        </w:rPr>
        <w:t>deuda</w:t>
      </w:r>
      <w:r w:rsidR="00835F5C">
        <w:rPr>
          <w:lang w:val="es-ES"/>
        </w:rPr>
        <w:t>.</w:t>
      </w:r>
    </w:p>
    <w:p w14:paraId="6C38B9D5" w14:textId="1E59960B" w:rsidR="002C1A88" w:rsidRPr="002C1A88" w:rsidRDefault="00FA0415" w:rsidP="00C41CF2">
      <w:pPr>
        <w:rPr>
          <w:lang w:val="es-ES"/>
        </w:rPr>
      </w:pPr>
      <w:r>
        <w:rPr>
          <w:lang w:val="es-ES"/>
        </w:rPr>
        <w:t xml:space="preserve">A </w:t>
      </w:r>
      <w:proofErr w:type="gramStart"/>
      <w:r>
        <w:rPr>
          <w:lang w:val="es-ES"/>
        </w:rPr>
        <w:t>continuación</w:t>
      </w:r>
      <w:proofErr w:type="gramEnd"/>
      <w:r>
        <w:rPr>
          <w:lang w:val="es-ES"/>
        </w:rPr>
        <w:t xml:space="preserve"> se describe l</w:t>
      </w:r>
      <w:r w:rsidR="00C41CF2">
        <w:rPr>
          <w:lang w:val="es-ES"/>
        </w:rPr>
        <w:t>a metodología de cálculo de cada uno de estos parámetros.</w:t>
      </w:r>
    </w:p>
    <w:p w14:paraId="577D9D33" w14:textId="43B27ED7" w:rsidR="002C1A88" w:rsidRPr="002C1A88" w:rsidRDefault="00C41CF2" w:rsidP="00C41CF2">
      <w:pPr>
        <w:pStyle w:val="Ttulo3"/>
        <w:rPr>
          <w:lang w:val="es-ES"/>
        </w:rPr>
      </w:pPr>
      <w:r>
        <w:rPr>
          <w:lang w:val="es-ES"/>
        </w:rPr>
        <w:t xml:space="preserve">Tasa </w:t>
      </w:r>
      <w:r w:rsidR="00FA0415">
        <w:rPr>
          <w:lang w:val="es-ES"/>
        </w:rPr>
        <w:t xml:space="preserve">de retorno </w:t>
      </w:r>
      <w:r>
        <w:rPr>
          <w:lang w:val="es-ES"/>
        </w:rPr>
        <w:t>libre de riesgo (</w:t>
      </w:r>
      <w:r w:rsidRPr="000F1B14">
        <w:rPr>
          <w:i/>
          <w:lang w:val="es-ES"/>
        </w:rPr>
        <w:t>R</w:t>
      </w:r>
      <w:r w:rsidRPr="000F1B14">
        <w:rPr>
          <w:i/>
          <w:vertAlign w:val="subscript"/>
          <w:lang w:val="es-ES"/>
        </w:rPr>
        <w:t>f</w:t>
      </w:r>
      <w:r w:rsidRPr="004520FE">
        <w:rPr>
          <w:lang w:val="es-ES"/>
        </w:rPr>
        <w:t>)</w:t>
      </w:r>
    </w:p>
    <w:p w14:paraId="029C1F18" w14:textId="725EE849" w:rsidR="002C1A88" w:rsidRPr="002C1A88" w:rsidRDefault="00C41CF2" w:rsidP="00C41CF2">
      <w:pPr>
        <w:rPr>
          <w:lang w:val="es-ES"/>
        </w:rPr>
      </w:pPr>
      <w:r>
        <w:rPr>
          <w:lang w:val="es-ES"/>
        </w:rPr>
        <w:t xml:space="preserve">La tasa </w:t>
      </w:r>
      <w:r w:rsidR="00FA0415">
        <w:rPr>
          <w:lang w:val="es-ES"/>
        </w:rPr>
        <w:t xml:space="preserve">de retorno </w:t>
      </w:r>
      <w:r>
        <w:rPr>
          <w:lang w:val="es-ES"/>
        </w:rPr>
        <w:t>libre de riesgo debe definirse en consecuencia con la tasa empleada en la definición del cost</w:t>
      </w:r>
      <w:r w:rsidR="00351505">
        <w:rPr>
          <w:lang w:val="es-ES"/>
        </w:rPr>
        <w:t>o</w:t>
      </w:r>
      <w:r>
        <w:rPr>
          <w:lang w:val="es-ES"/>
        </w:rPr>
        <w:t xml:space="preserve"> del </w:t>
      </w:r>
      <w:r w:rsidRPr="000F1B14">
        <w:rPr>
          <w:i/>
          <w:lang w:val="es-ES"/>
        </w:rPr>
        <w:t>equity</w:t>
      </w:r>
      <w:r>
        <w:rPr>
          <w:lang w:val="es-ES"/>
        </w:rPr>
        <w:t xml:space="preserve"> (ver </w:t>
      </w:r>
      <w:r w:rsidR="00351505">
        <w:rPr>
          <w:lang w:val="es-ES"/>
        </w:rPr>
        <w:t>S</w:t>
      </w:r>
      <w:r>
        <w:rPr>
          <w:lang w:val="es-ES"/>
        </w:rPr>
        <w:t>ección</w:t>
      </w:r>
      <w:r w:rsidR="001660DA">
        <w:rPr>
          <w:lang w:val="es-ES"/>
        </w:rPr>
        <w:t> </w:t>
      </w:r>
      <w:r w:rsidR="00A53C52">
        <w:rPr>
          <w:lang w:val="es-ES"/>
        </w:rPr>
        <w:fldChar w:fldCharType="begin"/>
      </w:r>
      <w:r w:rsidR="00A53C52">
        <w:rPr>
          <w:lang w:val="es-ES"/>
        </w:rPr>
        <w:instrText xml:space="preserve"> REF _Ref134021964 \r \h </w:instrText>
      </w:r>
      <w:r w:rsidR="00A53C52">
        <w:rPr>
          <w:lang w:val="es-ES"/>
        </w:rPr>
      </w:r>
      <w:r w:rsidR="00A53C52">
        <w:rPr>
          <w:lang w:val="es-ES"/>
        </w:rPr>
        <w:fldChar w:fldCharType="separate"/>
      </w:r>
      <w:r w:rsidR="001F1D48">
        <w:rPr>
          <w:lang w:val="es-ES"/>
        </w:rPr>
        <w:t>3.1.1</w:t>
      </w:r>
      <w:r w:rsidR="00A53C52">
        <w:rPr>
          <w:lang w:val="es-ES"/>
        </w:rPr>
        <w:fldChar w:fldCharType="end"/>
      </w:r>
      <w:r>
        <w:rPr>
          <w:lang w:val="es-ES"/>
        </w:rPr>
        <w:t xml:space="preserve">). Esta definición toma el </w:t>
      </w:r>
      <w:r w:rsidRPr="00141DCB">
        <w:rPr>
          <w:lang w:val="es-ES"/>
        </w:rPr>
        <w:t>retorno de los bonos gubernamentales estadounidenses a 10 años, promedia</w:t>
      </w:r>
      <w:r w:rsidR="00351505">
        <w:rPr>
          <w:lang w:val="es-ES"/>
        </w:rPr>
        <w:t>n</w:t>
      </w:r>
      <w:r w:rsidRPr="00141DCB">
        <w:rPr>
          <w:lang w:val="es-ES"/>
        </w:rPr>
        <w:t>do de manera aritmética los retornos diarios de los últimos cinco años</w:t>
      </w:r>
      <w:r w:rsidR="00442F3E">
        <w:rPr>
          <w:lang w:val="es-ES"/>
        </w:rPr>
        <w:t xml:space="preserve"> y añadiendo la prima de riesgo país asociada a Mé</w:t>
      </w:r>
      <w:r w:rsidR="00177AB4">
        <w:rPr>
          <w:lang w:val="es-ES"/>
        </w:rPr>
        <w:t>x</w:t>
      </w:r>
      <w:r w:rsidR="00442F3E">
        <w:rPr>
          <w:lang w:val="es-ES"/>
        </w:rPr>
        <w:t>ico</w:t>
      </w:r>
      <w:r w:rsidR="00177AB4">
        <w:rPr>
          <w:lang w:val="es-ES"/>
        </w:rPr>
        <w:t>. La f</w:t>
      </w:r>
      <w:r w:rsidR="007C63D1">
        <w:rPr>
          <w:lang w:val="es-ES"/>
        </w:rPr>
        <w:t>ó</w:t>
      </w:r>
      <w:r w:rsidR="00177AB4">
        <w:rPr>
          <w:lang w:val="es-ES"/>
        </w:rPr>
        <w:t>rmula concreta es la siguiente:</w:t>
      </w:r>
    </w:p>
    <w:p w14:paraId="57737BA7" w14:textId="77777777" w:rsidR="002C1A88" w:rsidRPr="002C1A88" w:rsidRDefault="00927F08" w:rsidP="00177AB4">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f</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f</m:t>
              </m:r>
            </m:sub>
          </m:sSub>
          <m:d>
            <m:dPr>
              <m:ctrlPr>
                <w:rPr>
                  <w:rFonts w:ascii="Cambria Math" w:hAnsi="Cambria Math"/>
                  <w:i/>
                  <w:lang w:val="es-ES"/>
                </w:rPr>
              </m:ctrlPr>
            </m:dPr>
            <m:e>
              <m:r>
                <w:rPr>
                  <w:rFonts w:ascii="Cambria Math" w:hAnsi="Cambria Math"/>
                  <w:lang w:val="es-ES"/>
                </w:rPr>
                <m:t>EEUU</m:t>
              </m:r>
            </m:e>
          </m:d>
          <m:r>
            <w:rPr>
              <w:rFonts w:ascii="Cambria Math" w:hAnsi="Cambria Math"/>
              <w:lang w:val="es-ES"/>
            </w:rPr>
            <m:t>+CRP</m:t>
          </m:r>
        </m:oMath>
      </m:oMathPara>
    </w:p>
    <w:p w14:paraId="58272140" w14:textId="48361BCB" w:rsidR="002C1A88" w:rsidRPr="002C1A88" w:rsidRDefault="00177AB4" w:rsidP="00177AB4">
      <w:pPr>
        <w:rPr>
          <w:lang w:val="es-ES"/>
        </w:rPr>
      </w:pPr>
      <w:r>
        <w:rPr>
          <w:rFonts w:eastAsiaTheme="minorEastAsia"/>
          <w:lang w:val="es-ES"/>
        </w:rPr>
        <w:t>Donde</w:t>
      </w:r>
      <w:r w:rsidR="00351505">
        <w:rPr>
          <w:rFonts w:eastAsiaTheme="minorEastAsia"/>
          <w:lang w:val="es-ES"/>
        </w:rPr>
        <w:t>:</w:t>
      </w:r>
    </w:p>
    <w:p w14:paraId="4434D5CF" w14:textId="77777777" w:rsidR="002C1A88" w:rsidRPr="002C1A88" w:rsidRDefault="00927F08" w:rsidP="00177AB4">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oMath>
      <w:r w:rsidR="00177AB4" w:rsidRPr="00F925D4">
        <w:rPr>
          <w:rFonts w:cs="Times New Roman"/>
          <w:lang w:val="es-ES"/>
        </w:rPr>
        <w:t xml:space="preserve"> es </w:t>
      </w:r>
      <w:r w:rsidR="00177AB4">
        <w:rPr>
          <w:rFonts w:cs="Times New Roman"/>
          <w:lang w:val="es-ES"/>
        </w:rPr>
        <w:t>la tasa de retorno libre de riesgo, aplicable en México</w:t>
      </w:r>
    </w:p>
    <w:p w14:paraId="61D52903" w14:textId="77777777" w:rsidR="002C1A88" w:rsidRPr="002C1A88" w:rsidRDefault="00927F08" w:rsidP="00177AB4">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r>
          <w:rPr>
            <w:rFonts w:ascii="Cambria Math" w:hAnsi="Cambria Math" w:cs="Times New Roman"/>
            <w:sz w:val="24"/>
            <w:szCs w:val="24"/>
            <w:lang w:val="es-ES"/>
          </w:rPr>
          <m:t>(EEUU)</m:t>
        </m:r>
      </m:oMath>
      <w:r w:rsidR="00177AB4" w:rsidRPr="00F925D4">
        <w:rPr>
          <w:rFonts w:cs="Times New Roman"/>
          <w:lang w:val="es-ES"/>
        </w:rPr>
        <w:t xml:space="preserve"> es </w:t>
      </w:r>
      <w:r w:rsidR="00177AB4">
        <w:rPr>
          <w:rFonts w:cs="Times New Roman"/>
          <w:lang w:val="es-ES"/>
        </w:rPr>
        <w:t>la tasa de retorno libre de riesgo en Estados Unidos</w:t>
      </w:r>
    </w:p>
    <w:p w14:paraId="25F72615" w14:textId="52C441C2" w:rsidR="002C1A88" w:rsidRPr="002C1A88" w:rsidRDefault="00177AB4" w:rsidP="00A26498">
      <w:pPr>
        <w:pStyle w:val="ListBulletCompact"/>
        <w:rPr>
          <w:rFonts w:cs="Times New Roman"/>
          <w:lang w:val="es-ES"/>
        </w:rPr>
      </w:pPr>
      <m:oMath>
        <m:r>
          <w:rPr>
            <w:rFonts w:ascii="Cambria Math" w:hAnsi="Cambria Math" w:cs="Times New Roman"/>
            <w:sz w:val="24"/>
            <w:szCs w:val="24"/>
            <w:lang w:val="es-ES"/>
          </w:rPr>
          <m:t>CRP</m:t>
        </m:r>
      </m:oMath>
      <w:r>
        <w:rPr>
          <w:rFonts w:eastAsiaTheme="minorEastAsia" w:cs="Times New Roman"/>
          <w:sz w:val="24"/>
          <w:szCs w:val="24"/>
          <w:lang w:val="es-ES"/>
        </w:rPr>
        <w:t xml:space="preserve"> </w:t>
      </w:r>
      <w:r w:rsidRPr="00A26498">
        <w:rPr>
          <w:rFonts w:cs="Times New Roman"/>
          <w:lang w:val="es-ES"/>
        </w:rPr>
        <w:t>es la prima de riesgo país</w:t>
      </w:r>
      <w:r w:rsidR="00351505">
        <w:rPr>
          <w:rFonts w:cs="Times New Roman"/>
          <w:lang w:val="es-ES"/>
        </w:rPr>
        <w:t>.</w:t>
      </w:r>
    </w:p>
    <w:tbl>
      <w:tblPr>
        <w:tblStyle w:val="Tablaconcuadrcula"/>
        <w:tblW w:w="0" w:type="auto"/>
        <w:tblLook w:val="04A0" w:firstRow="1" w:lastRow="0" w:firstColumn="1" w:lastColumn="0" w:noHBand="0" w:noVBand="1"/>
      </w:tblPr>
      <w:tblGrid>
        <w:gridCol w:w="8721"/>
      </w:tblGrid>
      <w:tr w:rsidR="00C41CF2" w:rsidRPr="00752BC6" w14:paraId="119C4504" w14:textId="77777777" w:rsidTr="000F73F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566CE4" w14:textId="31E7328C" w:rsidR="00C41CF2" w:rsidRPr="00BC52BF" w:rsidRDefault="00C41CF2" w:rsidP="000F73F0">
            <w:pPr>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10</w:t>
            </w:r>
            <w:r w:rsidRPr="00BC52BF">
              <w:rPr>
                <w:b/>
                <w:lang w:val="es-ES"/>
              </w:rPr>
              <w:fldChar w:fldCharType="end"/>
            </w:r>
            <w:r w:rsidRPr="00BC52BF">
              <w:rPr>
                <w:b/>
                <w:bCs/>
                <w:lang w:val="es-ES"/>
              </w:rPr>
              <w:t xml:space="preserve">: </w:t>
            </w:r>
            <w:r w:rsidRPr="00BC52BF">
              <w:rPr>
                <w:lang w:val="es-ES"/>
              </w:rPr>
              <w:t>Se usará un</w:t>
            </w:r>
            <w:r w:rsidR="001660DA">
              <w:rPr>
                <w:lang w:val="es-ES"/>
              </w:rPr>
              <w:t>a tasa de retorno libre de riesgo</w:t>
            </w:r>
            <w:r w:rsidR="001660DA" w:rsidRPr="00BC52BF" w:rsidDel="001660DA">
              <w:rPr>
                <w:lang w:val="es-ES"/>
              </w:rPr>
              <w:t xml:space="preserve"> </w:t>
            </w:r>
            <w:r w:rsidR="001660DA">
              <w:rPr>
                <w:lang w:val="es-ES"/>
              </w:rPr>
              <w:t xml:space="preserve">para México </w:t>
            </w:r>
            <w:r w:rsidRPr="00BC52BF">
              <w:rPr>
                <w:lang w:val="es-ES"/>
              </w:rPr>
              <w:t xml:space="preserve">que </w:t>
            </w:r>
            <w:r w:rsidR="001660DA">
              <w:rPr>
                <w:lang w:val="es-ES"/>
              </w:rPr>
              <w:t xml:space="preserve">se </w:t>
            </w:r>
            <w:r w:rsidRPr="00BC52BF">
              <w:rPr>
                <w:lang w:val="es-ES"/>
              </w:rPr>
              <w:t>corresponde con la tasa de retorno libre de riesgo</w:t>
            </w:r>
            <w:r w:rsidR="001660DA">
              <w:rPr>
                <w:lang w:val="es-ES"/>
              </w:rPr>
              <w:t xml:space="preserve"> en Estados Unidos (</w:t>
            </w:r>
            <w:r>
              <w:rPr>
                <w:lang w:val="es-ES"/>
              </w:rPr>
              <w:t>medida a través del bono estadounidense</w:t>
            </w:r>
            <w:r w:rsidR="001660DA">
              <w:rPr>
                <w:lang w:val="es-ES"/>
              </w:rPr>
              <w:t>)</w:t>
            </w:r>
            <w:r>
              <w:rPr>
                <w:lang w:val="es-ES"/>
              </w:rPr>
              <w:t xml:space="preserve">, más una prima de riesgo país </w:t>
            </w:r>
            <w:r w:rsidRPr="000B38D7">
              <w:rPr>
                <w:lang w:val="es-ES"/>
              </w:rPr>
              <w:t>que t</w:t>
            </w:r>
            <w:r w:rsidRPr="000F1B14">
              <w:rPr>
                <w:lang w:val="es-ES"/>
              </w:rPr>
              <w:t>enga en cuenta</w:t>
            </w:r>
            <w:r w:rsidRPr="000B38D7">
              <w:rPr>
                <w:lang w:val="es-ES"/>
              </w:rPr>
              <w:t xml:space="preserve"> </w:t>
            </w:r>
            <w:r>
              <w:rPr>
                <w:lang w:val="es-ES"/>
              </w:rPr>
              <w:t xml:space="preserve">el mayor riesgo asociado a un bono mexicano denominado en dólares </w:t>
            </w:r>
            <w:r w:rsidR="0044292E">
              <w:rPr>
                <w:lang w:val="es-ES"/>
              </w:rPr>
              <w:t>americanos</w:t>
            </w:r>
            <w:r>
              <w:rPr>
                <w:lang w:val="es-ES"/>
              </w:rPr>
              <w:t>.</w:t>
            </w:r>
          </w:p>
        </w:tc>
      </w:tr>
    </w:tbl>
    <w:p w14:paraId="3DCD18C0" w14:textId="77777777" w:rsidR="002C1A88" w:rsidRPr="002C1A88" w:rsidRDefault="00C41CF2" w:rsidP="00C41CF2">
      <w:pPr>
        <w:pStyle w:val="Ttulo3"/>
        <w:rPr>
          <w:lang w:val="es-ES"/>
        </w:rPr>
      </w:pPr>
      <w:r>
        <w:rPr>
          <w:lang w:val="es-ES"/>
        </w:rPr>
        <w:t>Prima de riesgo de deuda (</w:t>
      </w:r>
      <w:r w:rsidRPr="000F1B14">
        <w:rPr>
          <w:i/>
          <w:lang w:val="es-ES"/>
        </w:rPr>
        <w:t>R</w:t>
      </w:r>
      <w:r w:rsidRPr="000F1B14">
        <w:rPr>
          <w:i/>
          <w:vertAlign w:val="subscript"/>
          <w:lang w:val="es-ES"/>
        </w:rPr>
        <w:t>d</w:t>
      </w:r>
      <w:r w:rsidRPr="003C67FE">
        <w:rPr>
          <w:lang w:val="es-ES"/>
        </w:rPr>
        <w:t>)</w:t>
      </w:r>
    </w:p>
    <w:p w14:paraId="4DB8AD77" w14:textId="07576372" w:rsidR="002C1A88" w:rsidRPr="002C1A88" w:rsidRDefault="00C41CF2" w:rsidP="00C41CF2">
      <w:pPr>
        <w:rPr>
          <w:lang w:val="es-ES"/>
        </w:rPr>
      </w:pPr>
      <w:r w:rsidRPr="00BC52BF">
        <w:rPr>
          <w:lang w:val="es-ES"/>
        </w:rPr>
        <w:t xml:space="preserve">La prima de riesgo de deuda de una empresa es la diferencia entre lo que </w:t>
      </w:r>
      <w:r w:rsidR="0021543F">
        <w:rPr>
          <w:lang w:val="es-ES"/>
        </w:rPr>
        <w:t>esa</w:t>
      </w:r>
      <w:r w:rsidR="0021543F" w:rsidRPr="00BC52BF">
        <w:rPr>
          <w:lang w:val="es-ES"/>
        </w:rPr>
        <w:t xml:space="preserve"> </w:t>
      </w:r>
      <w:r w:rsidRPr="00BC52BF">
        <w:rPr>
          <w:lang w:val="es-ES"/>
        </w:rPr>
        <w:t xml:space="preserve">empresa tiene que pagar a sus acreedores al adquirir un préstamo y la tasa libre de riesgo. Típicamente, la prima de riesgo de deuda varía de acuerdo con el </w:t>
      </w:r>
      <w:r w:rsidR="009D06BB">
        <w:rPr>
          <w:lang w:val="es-ES"/>
        </w:rPr>
        <w:t xml:space="preserve">nivel de </w:t>
      </w:r>
      <w:r w:rsidRPr="00BC52BF">
        <w:rPr>
          <w:lang w:val="es-ES"/>
        </w:rPr>
        <w:t xml:space="preserve">apalancamiento de la empresa –cuanto mayor sea </w:t>
      </w:r>
      <w:r w:rsidR="00F03CBC">
        <w:rPr>
          <w:lang w:val="es-ES"/>
        </w:rPr>
        <w:t>el porcentaje</w:t>
      </w:r>
      <w:r w:rsidRPr="00BC52BF">
        <w:rPr>
          <w:lang w:val="es-ES"/>
        </w:rPr>
        <w:t xml:space="preserve"> de </w:t>
      </w:r>
      <w:r>
        <w:rPr>
          <w:lang w:val="es-ES"/>
        </w:rPr>
        <w:t>financiación</w:t>
      </w:r>
      <w:r w:rsidRPr="00BC52BF">
        <w:rPr>
          <w:lang w:val="es-ES"/>
        </w:rPr>
        <w:t xml:space="preserve"> a través de deuda, mayor </w:t>
      </w:r>
      <w:r w:rsidR="00E761DB">
        <w:rPr>
          <w:lang w:val="es-ES"/>
        </w:rPr>
        <w:t>será</w:t>
      </w:r>
      <w:r w:rsidR="00E761DB" w:rsidRPr="00BC52BF">
        <w:rPr>
          <w:lang w:val="es-ES"/>
        </w:rPr>
        <w:t xml:space="preserve"> </w:t>
      </w:r>
      <w:r w:rsidRPr="00BC52BF">
        <w:rPr>
          <w:lang w:val="es-ES"/>
        </w:rPr>
        <w:t>la prima (el IRG presenta una aproximación lineal) debido a la presión ejercida sobre los flujos de efectivo</w:t>
      </w:r>
      <w:r>
        <w:rPr>
          <w:lang w:val="es-ES"/>
        </w:rPr>
        <w:t>–</w:t>
      </w:r>
      <w:r w:rsidRPr="00BC52BF">
        <w:rPr>
          <w:lang w:val="es-ES"/>
        </w:rPr>
        <w:t>.</w:t>
      </w:r>
    </w:p>
    <w:p w14:paraId="69693428" w14:textId="77777777" w:rsidR="002C1A88" w:rsidRPr="002C1A88" w:rsidRDefault="00C41CF2" w:rsidP="00C41CF2">
      <w:pPr>
        <w:rPr>
          <w:lang w:val="es-ES"/>
        </w:rPr>
      </w:pPr>
      <w:r w:rsidRPr="00BC52BF">
        <w:rPr>
          <w:lang w:val="es-ES"/>
        </w:rPr>
        <w:t xml:space="preserve">El IRG menciona tres posibles métodos para determinar el costo de la deuda: </w:t>
      </w:r>
    </w:p>
    <w:p w14:paraId="595CAA65" w14:textId="77777777" w:rsidR="002C1A88" w:rsidRPr="002C1A88" w:rsidRDefault="00C41CF2" w:rsidP="00C41CF2">
      <w:pPr>
        <w:pStyle w:val="ListBulletCompact"/>
        <w:spacing w:after="0"/>
        <w:ind w:left="360" w:hanging="360"/>
        <w:contextualSpacing w:val="0"/>
        <w:rPr>
          <w:lang w:val="es-ES"/>
        </w:rPr>
      </w:pPr>
      <w:r w:rsidRPr="00BC52BF">
        <w:rPr>
          <w:lang w:val="es-ES"/>
        </w:rPr>
        <w:t>el uso de información contable</w:t>
      </w:r>
      <w:r>
        <w:rPr>
          <w:lang w:val="es-ES"/>
        </w:rPr>
        <w:t>,</w:t>
      </w:r>
      <w:r w:rsidRPr="00BC52BF">
        <w:rPr>
          <w:lang w:val="es-ES"/>
        </w:rPr>
        <w:t xml:space="preserve"> como pueden ser deudas actuales</w:t>
      </w:r>
    </w:p>
    <w:p w14:paraId="7D5307BD" w14:textId="3E8ED385" w:rsidR="002C1A88" w:rsidRPr="002C1A88" w:rsidRDefault="00C41CF2" w:rsidP="00C41CF2">
      <w:pPr>
        <w:pStyle w:val="ListBulletCompact"/>
        <w:spacing w:after="0"/>
        <w:ind w:left="360" w:hanging="360"/>
        <w:contextualSpacing w:val="0"/>
        <w:rPr>
          <w:lang w:val="es-ES"/>
        </w:rPr>
      </w:pPr>
      <w:r>
        <w:rPr>
          <w:lang w:val="es-ES"/>
        </w:rPr>
        <w:t>el cálculo de</w:t>
      </w:r>
      <w:r w:rsidR="00E42796">
        <w:rPr>
          <w:lang w:val="es-ES"/>
        </w:rPr>
        <w:t>l</w:t>
      </w:r>
      <w:r w:rsidRPr="00BC52BF">
        <w:rPr>
          <w:lang w:val="es-ES"/>
        </w:rPr>
        <w:t xml:space="preserve"> nivel eficiente de endeudamiento y el costo asociado de la deuda con base en calificaciones de crédito</w:t>
      </w:r>
    </w:p>
    <w:p w14:paraId="002D9613" w14:textId="4DE7302D" w:rsidR="002C1A88" w:rsidRPr="002C1A88" w:rsidRDefault="00C41CF2" w:rsidP="00C41CF2">
      <w:pPr>
        <w:pStyle w:val="I1"/>
        <w:numPr>
          <w:ilvl w:val="0"/>
          <w:numId w:val="11"/>
        </w:numPr>
        <w:rPr>
          <w:lang w:val="es-ES"/>
        </w:rPr>
      </w:pPr>
      <w:r>
        <w:rPr>
          <w:lang w:val="es-ES"/>
        </w:rPr>
        <w:t xml:space="preserve">la </w:t>
      </w:r>
      <w:r w:rsidRPr="00BC52BF">
        <w:rPr>
          <w:lang w:val="es-ES"/>
        </w:rPr>
        <w:t xml:space="preserve">suma </w:t>
      </w:r>
      <w:r>
        <w:rPr>
          <w:lang w:val="es-ES"/>
        </w:rPr>
        <w:t xml:space="preserve">de </w:t>
      </w:r>
      <w:r w:rsidRPr="00BC52BF">
        <w:rPr>
          <w:lang w:val="es-ES"/>
        </w:rPr>
        <w:t xml:space="preserve">la tasa libre de riesgo </w:t>
      </w:r>
      <w:r>
        <w:rPr>
          <w:lang w:val="es-ES"/>
        </w:rPr>
        <w:t xml:space="preserve">y </w:t>
      </w:r>
      <w:r w:rsidRPr="00BC52BF">
        <w:rPr>
          <w:lang w:val="es-ES"/>
        </w:rPr>
        <w:t>la prima de riesgo de la deuda asociada con la empresa, con base en una comparativa de las tasas de retorno de la deuda de empresas comparables con riesgo o madurez semejantes.</w:t>
      </w:r>
    </w:p>
    <w:p w14:paraId="3AAFE2C2" w14:textId="2C0576D3" w:rsidR="002C1A88" w:rsidRPr="002C1A88" w:rsidRDefault="00C41CF2" w:rsidP="00C41CF2">
      <w:pPr>
        <w:pStyle w:val="I1"/>
        <w:numPr>
          <w:ilvl w:val="0"/>
          <w:numId w:val="0"/>
        </w:numPr>
        <w:rPr>
          <w:lang w:val="es-ES"/>
        </w:rPr>
      </w:pPr>
      <w:r>
        <w:rPr>
          <w:lang w:val="es-ES"/>
        </w:rPr>
        <w:t xml:space="preserve">Dentro del mercado mexicano, observamos que cinco operadores han emitido bonos corporativos a lo largo de los últimos </w:t>
      </w:r>
      <w:r w:rsidR="00240D8C">
        <w:rPr>
          <w:lang w:val="es-ES"/>
        </w:rPr>
        <w:t>cinco</w:t>
      </w:r>
      <w:r>
        <w:rPr>
          <w:lang w:val="es-ES"/>
        </w:rPr>
        <w:t xml:space="preserve"> años: América Móvil, AT&amp;T, DirecTV, Axtel y Maxcom. La gran mayoría </w:t>
      </w:r>
      <w:r w:rsidR="00573B53">
        <w:rPr>
          <w:lang w:val="es-ES"/>
        </w:rPr>
        <w:t xml:space="preserve">de estos bonos han sido </w:t>
      </w:r>
      <w:r>
        <w:rPr>
          <w:lang w:val="es-ES"/>
        </w:rPr>
        <w:t xml:space="preserve">emitidos en dólares americanos, lo que respalda </w:t>
      </w:r>
      <w:r w:rsidR="00240D8C">
        <w:rPr>
          <w:lang w:val="es-ES"/>
        </w:rPr>
        <w:t xml:space="preserve">la utilización de </w:t>
      </w:r>
      <w:r>
        <w:rPr>
          <w:lang w:val="es-ES"/>
        </w:rPr>
        <w:t>esta divisa para el cálculo del cost</w:t>
      </w:r>
      <w:r w:rsidR="00240D8C">
        <w:rPr>
          <w:lang w:val="es-ES"/>
        </w:rPr>
        <w:t>o</w:t>
      </w:r>
      <w:r>
        <w:rPr>
          <w:lang w:val="es-ES"/>
        </w:rPr>
        <w:t xml:space="preserve"> de la deuda y</w:t>
      </w:r>
      <w:r w:rsidR="00573B53">
        <w:rPr>
          <w:lang w:val="es-ES"/>
        </w:rPr>
        <w:t>,</w:t>
      </w:r>
      <w:r>
        <w:rPr>
          <w:lang w:val="es-ES"/>
        </w:rPr>
        <w:t xml:space="preserve"> en general</w:t>
      </w:r>
      <w:r w:rsidR="00573B53">
        <w:rPr>
          <w:lang w:val="es-ES"/>
        </w:rPr>
        <w:t>,</w:t>
      </w:r>
      <w:r>
        <w:rPr>
          <w:lang w:val="es-ES"/>
        </w:rPr>
        <w:t xml:space="preserve"> el CCPP nominal.</w:t>
      </w:r>
      <w:r w:rsidR="008D1E5E">
        <w:rPr>
          <w:lang w:val="es-ES"/>
        </w:rPr>
        <w:t xml:space="preserve"> Cabe destacar que en este caso no se añaden operadores de otros países, ya que</w:t>
      </w:r>
      <w:r w:rsidR="00573B53">
        <w:rPr>
          <w:lang w:val="es-ES"/>
        </w:rPr>
        <w:t xml:space="preserve"> ello</w:t>
      </w:r>
      <w:r w:rsidR="008D1E5E">
        <w:rPr>
          <w:lang w:val="es-ES"/>
        </w:rPr>
        <w:t xml:space="preserve"> </w:t>
      </w:r>
      <w:r w:rsidR="00010346">
        <w:rPr>
          <w:lang w:val="es-ES"/>
        </w:rPr>
        <w:t>implicaría realizar una estimación de la tasa libre de riesgo en países adicionales para estimar</w:t>
      </w:r>
      <w:r w:rsidR="00FB094D">
        <w:rPr>
          <w:lang w:val="es-ES"/>
        </w:rPr>
        <w:t xml:space="preserve"> la prima de deuda real asociada a los bonos corporativos</w:t>
      </w:r>
      <w:r w:rsidR="001D026B">
        <w:rPr>
          <w:lang w:val="es-ES"/>
        </w:rPr>
        <w:t>.</w:t>
      </w:r>
    </w:p>
    <w:p w14:paraId="31701496" w14:textId="69D75C27" w:rsidR="002C1A88" w:rsidRPr="002C1A88" w:rsidRDefault="00C41CF2" w:rsidP="00C41CF2">
      <w:pPr>
        <w:pStyle w:val="I1"/>
        <w:numPr>
          <w:ilvl w:val="0"/>
          <w:numId w:val="0"/>
        </w:numPr>
        <w:rPr>
          <w:lang w:val="es-ES"/>
        </w:rPr>
      </w:pPr>
      <w:r w:rsidRPr="00501388">
        <w:rPr>
          <w:lang w:val="es-ES"/>
        </w:rPr>
        <w:t xml:space="preserve">Al igual que para los bonos gubernamentales relativos a la tasa libre de riesgo, la madurez de los bonos corporativos también deberá reflejar el riesgo y rendimiento de las inversiones </w:t>
      </w:r>
      <w:r w:rsidR="001D026B">
        <w:rPr>
          <w:lang w:val="es-ES"/>
        </w:rPr>
        <w:t>en</w:t>
      </w:r>
      <w:r w:rsidR="001D026B" w:rsidRPr="00501388">
        <w:rPr>
          <w:lang w:val="es-ES"/>
        </w:rPr>
        <w:t xml:space="preserve"> </w:t>
      </w:r>
      <w:r w:rsidRPr="00501388">
        <w:rPr>
          <w:lang w:val="es-ES"/>
        </w:rPr>
        <w:t xml:space="preserve">infraestructura a largo plazo, y a la vez comercializarse con liquidez. </w:t>
      </w:r>
      <w:r w:rsidR="00132FE2" w:rsidRPr="00501388">
        <w:rPr>
          <w:lang w:val="es-ES"/>
        </w:rPr>
        <w:t>No obstante, en el caso de los bonos corporativos, es más difícil identificar una muestra amplia de bonos con una duración específica (</w:t>
      </w:r>
      <w:r w:rsidR="001D026B">
        <w:rPr>
          <w:lang w:val="es-ES"/>
        </w:rPr>
        <w:t>por ejemplo,</w:t>
      </w:r>
      <w:r w:rsidR="00132FE2" w:rsidRPr="00501388">
        <w:rPr>
          <w:lang w:val="es-ES"/>
        </w:rPr>
        <w:t xml:space="preserve"> 10 años). </w:t>
      </w:r>
      <w:r w:rsidRPr="00501388">
        <w:rPr>
          <w:lang w:val="es-ES"/>
        </w:rPr>
        <w:t xml:space="preserve">Por este motivo, y con el fin de maximizar la muestra y </w:t>
      </w:r>
      <w:r w:rsidR="001D026B">
        <w:rPr>
          <w:lang w:val="es-ES"/>
        </w:rPr>
        <w:t>e</w:t>
      </w:r>
      <w:r w:rsidR="00D53A48">
        <w:rPr>
          <w:lang w:val="es-ES"/>
        </w:rPr>
        <w:t>l</w:t>
      </w:r>
      <w:r w:rsidR="001D026B">
        <w:rPr>
          <w:lang w:val="es-ES"/>
        </w:rPr>
        <w:t xml:space="preserve"> </w:t>
      </w:r>
      <w:r w:rsidRPr="00501388">
        <w:rPr>
          <w:lang w:val="es-ES"/>
        </w:rPr>
        <w:t xml:space="preserve">número de operadores considerados se </w:t>
      </w:r>
      <w:r w:rsidR="001D026B">
        <w:rPr>
          <w:lang w:val="es-ES"/>
        </w:rPr>
        <w:t>estima</w:t>
      </w:r>
      <w:r w:rsidR="001D026B" w:rsidRPr="00501388">
        <w:rPr>
          <w:lang w:val="es-ES"/>
        </w:rPr>
        <w:t xml:space="preserve"> </w:t>
      </w:r>
      <w:r w:rsidRPr="00501388">
        <w:rPr>
          <w:lang w:val="es-ES"/>
        </w:rPr>
        <w:t xml:space="preserve">relevante emplear aquellos bonos con </w:t>
      </w:r>
      <w:r w:rsidR="001D026B">
        <w:rPr>
          <w:lang w:val="es-ES"/>
        </w:rPr>
        <w:t xml:space="preserve">una </w:t>
      </w:r>
      <w:r w:rsidRPr="00501388">
        <w:rPr>
          <w:lang w:val="es-ES"/>
        </w:rPr>
        <w:t xml:space="preserve">madurez de </w:t>
      </w:r>
      <w:r w:rsidR="001D026B">
        <w:rPr>
          <w:lang w:val="es-ES"/>
        </w:rPr>
        <w:t>cinco</w:t>
      </w:r>
      <w:r w:rsidRPr="00501388">
        <w:rPr>
          <w:lang w:val="es-ES"/>
        </w:rPr>
        <w:t xml:space="preserve"> a 15 años. Est</w:t>
      </w:r>
      <w:r w:rsidR="00AF683C" w:rsidRPr="00501388">
        <w:rPr>
          <w:lang w:val="es-ES"/>
        </w:rPr>
        <w:t>e rango</w:t>
      </w:r>
      <w:r w:rsidRPr="00501388">
        <w:rPr>
          <w:lang w:val="es-ES"/>
        </w:rPr>
        <w:t xml:space="preserve"> se </w:t>
      </w:r>
      <w:r w:rsidR="00906E27">
        <w:rPr>
          <w:lang w:val="es-ES"/>
        </w:rPr>
        <w:t>encuentra</w:t>
      </w:r>
      <w:r w:rsidR="00906E27" w:rsidRPr="00501388">
        <w:rPr>
          <w:lang w:val="es-ES"/>
        </w:rPr>
        <w:t xml:space="preserve"> </w:t>
      </w:r>
      <w:r w:rsidRPr="00501388">
        <w:rPr>
          <w:lang w:val="es-ES"/>
        </w:rPr>
        <w:t xml:space="preserve">en línea con </w:t>
      </w:r>
      <w:r w:rsidR="001C63F2" w:rsidRPr="00501388">
        <w:rPr>
          <w:lang w:val="es-ES"/>
        </w:rPr>
        <w:t xml:space="preserve">lo sugerido </w:t>
      </w:r>
      <w:r w:rsidR="005A42D4" w:rsidRPr="00501388">
        <w:rPr>
          <w:lang w:val="es-ES"/>
        </w:rPr>
        <w:t xml:space="preserve">por </w:t>
      </w:r>
      <w:r w:rsidR="001E5685" w:rsidRPr="00A26498">
        <w:rPr>
          <w:lang w:val="es-ES"/>
        </w:rPr>
        <w:t>el</w:t>
      </w:r>
      <w:r w:rsidR="001E5685" w:rsidRPr="00501388">
        <w:rPr>
          <w:lang w:val="es-ES"/>
        </w:rPr>
        <w:t xml:space="preserve"> BEREC y </w:t>
      </w:r>
      <w:r w:rsidR="005A42D4" w:rsidRPr="00501388">
        <w:rPr>
          <w:lang w:val="es-ES"/>
        </w:rPr>
        <w:t xml:space="preserve">la Comisión Europea en </w:t>
      </w:r>
      <w:r w:rsidRPr="00501388">
        <w:rPr>
          <w:lang w:val="es-ES"/>
        </w:rPr>
        <w:t>la práctica internacional.</w:t>
      </w:r>
    </w:p>
    <w:p w14:paraId="6AB20E96" w14:textId="4A10FCAA" w:rsidR="002C1A88" w:rsidRPr="002C1A88" w:rsidRDefault="00C41CF2" w:rsidP="00C41CF2">
      <w:pPr>
        <w:rPr>
          <w:lang w:val="es-ES"/>
        </w:rPr>
      </w:pPr>
      <w:r>
        <w:rPr>
          <w:lang w:val="es-ES"/>
        </w:rPr>
        <w:t>P</w:t>
      </w:r>
      <w:r w:rsidRPr="00BC52BF">
        <w:rPr>
          <w:lang w:val="es-ES"/>
        </w:rPr>
        <w:t xml:space="preserve">ara definir la prima </w:t>
      </w:r>
      <w:r>
        <w:rPr>
          <w:lang w:val="es-ES"/>
        </w:rPr>
        <w:t xml:space="preserve">de deuda, </w:t>
      </w:r>
      <w:r w:rsidRPr="00BC52BF">
        <w:rPr>
          <w:lang w:val="es-ES"/>
        </w:rPr>
        <w:t xml:space="preserve">se </w:t>
      </w:r>
      <w:r>
        <w:rPr>
          <w:lang w:val="es-ES"/>
        </w:rPr>
        <w:t xml:space="preserve">calculará la diferencia entre el </w:t>
      </w:r>
      <w:r w:rsidRPr="00F535E2">
        <w:rPr>
          <w:lang w:val="es-ES"/>
        </w:rPr>
        <w:t xml:space="preserve">cupón </w:t>
      </w:r>
      <w:r>
        <w:rPr>
          <w:lang w:val="es-ES"/>
        </w:rPr>
        <w:t>de los bonos emitidos en México por operadores de telecomunicaciones y el rendimiento del bono estadounidense de madurez equivalente en la fecha de emisión del bono. Adicionalmente, para asegurar consistencia</w:t>
      </w:r>
      <w:r w:rsidR="000B38D7">
        <w:rPr>
          <w:lang w:val="es-ES"/>
        </w:rPr>
        <w:t xml:space="preserve"> con la estimación de la tasa libre de riesgo en México,</w:t>
      </w:r>
      <w:r>
        <w:rPr>
          <w:lang w:val="es-ES"/>
        </w:rPr>
        <w:t xml:space="preserve"> se descontará la prima de riesgo asociada a los bonos mexicanos en el año de emisión de los bonos.</w:t>
      </w:r>
      <w:r w:rsidR="001773D4">
        <w:rPr>
          <w:lang w:val="es-ES"/>
        </w:rPr>
        <w:t xml:space="preserve"> La formulación práctica se muestra a continuación:</w:t>
      </w:r>
    </w:p>
    <w:p w14:paraId="1AF6D138" w14:textId="77777777" w:rsidR="002C1A88" w:rsidRPr="002C1A88" w:rsidRDefault="00927F08" w:rsidP="001773D4">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d</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b</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f</m:t>
              </m:r>
            </m:sub>
          </m:sSub>
          <m:d>
            <m:dPr>
              <m:ctrlPr>
                <w:rPr>
                  <w:rFonts w:ascii="Cambria Math" w:hAnsi="Cambria Math"/>
                  <w:i/>
                  <w:lang w:val="es-ES"/>
                </w:rPr>
              </m:ctrlPr>
            </m:dPr>
            <m:e>
              <m:r>
                <w:rPr>
                  <w:rFonts w:ascii="Cambria Math" w:hAnsi="Cambria Math"/>
                  <w:lang w:val="es-ES"/>
                </w:rPr>
                <m:t>EEUU</m:t>
              </m:r>
            </m:e>
          </m:d>
          <m:r>
            <w:rPr>
              <w:rFonts w:ascii="Cambria Math" w:hAnsi="Cambria Math"/>
              <w:lang w:val="es-ES"/>
            </w:rPr>
            <m:t>-CRP</m:t>
          </m:r>
        </m:oMath>
      </m:oMathPara>
    </w:p>
    <w:p w14:paraId="7DFD9788" w14:textId="6895E71B" w:rsidR="002C1A88" w:rsidRPr="002C1A88" w:rsidRDefault="001773D4" w:rsidP="001773D4">
      <w:pPr>
        <w:rPr>
          <w:lang w:val="es-ES"/>
        </w:rPr>
      </w:pPr>
      <w:r>
        <w:rPr>
          <w:rFonts w:eastAsiaTheme="minorEastAsia"/>
          <w:lang w:val="es-ES"/>
        </w:rPr>
        <w:t>Donde</w:t>
      </w:r>
      <w:r w:rsidR="008220A0">
        <w:rPr>
          <w:rFonts w:eastAsiaTheme="minorEastAsia"/>
          <w:lang w:val="es-ES"/>
        </w:rPr>
        <w:t>:</w:t>
      </w:r>
    </w:p>
    <w:p w14:paraId="55304323" w14:textId="77777777" w:rsidR="002C1A88" w:rsidRPr="002C1A88" w:rsidRDefault="00927F08" w:rsidP="001773D4">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d</m:t>
            </m:r>
          </m:sub>
        </m:sSub>
      </m:oMath>
      <w:r w:rsidR="0093474E">
        <w:rPr>
          <w:rFonts w:eastAsiaTheme="minorEastAsia" w:cs="Times New Roman"/>
          <w:sz w:val="24"/>
          <w:szCs w:val="24"/>
          <w:lang w:val="es-ES"/>
        </w:rPr>
        <w:t xml:space="preserve"> </w:t>
      </w:r>
      <w:r w:rsidR="00093D6F" w:rsidRPr="00A26498">
        <w:rPr>
          <w:rFonts w:cs="Times New Roman"/>
          <w:lang w:val="es-ES"/>
        </w:rPr>
        <w:t>es la prima de deuda asociada al bono</w:t>
      </w:r>
    </w:p>
    <w:p w14:paraId="752DACD1" w14:textId="77777777" w:rsidR="002C1A88" w:rsidRPr="002C1A88" w:rsidRDefault="00927F08" w:rsidP="001773D4">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C</m:t>
            </m:r>
          </m:e>
          <m:sub>
            <m:r>
              <w:rPr>
                <w:rFonts w:ascii="Cambria Math" w:hAnsi="Cambria Math" w:cs="Times New Roman"/>
                <w:sz w:val="24"/>
                <w:szCs w:val="24"/>
                <w:lang w:val="es-ES"/>
              </w:rPr>
              <m:t>b</m:t>
            </m:r>
          </m:sub>
        </m:sSub>
        <m:r>
          <w:rPr>
            <w:rFonts w:ascii="Cambria Math" w:hAnsi="Cambria Math" w:cs="Times New Roman"/>
            <w:sz w:val="24"/>
            <w:szCs w:val="24"/>
            <w:lang w:val="es-ES"/>
          </w:rPr>
          <m:t xml:space="preserve"> </m:t>
        </m:r>
      </m:oMath>
      <w:r w:rsidR="00093D6F" w:rsidRPr="00A26498">
        <w:rPr>
          <w:rFonts w:cs="Times New Roman"/>
          <w:lang w:val="es-ES"/>
        </w:rPr>
        <w:t>es el</w:t>
      </w:r>
      <w:r w:rsidR="00994C95" w:rsidRPr="00A26498">
        <w:rPr>
          <w:rFonts w:cs="Times New Roman"/>
          <w:lang w:val="es-ES"/>
        </w:rPr>
        <w:t xml:space="preserve"> cupón asociado al bono corporativo emitido por la empresa</w:t>
      </w:r>
    </w:p>
    <w:p w14:paraId="31823BB6" w14:textId="60E887BE" w:rsidR="002C1A88" w:rsidRPr="002C1A88" w:rsidRDefault="00927F08" w:rsidP="001773D4">
      <w:pPr>
        <w:pStyle w:val="ListBulletCompact"/>
        <w:rPr>
          <w:rFonts w:cs="Times New Roman"/>
          <w:lang w:val="es-ES"/>
        </w:rPr>
      </w:pP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R</m:t>
            </m:r>
          </m:e>
          <m:sub>
            <m:r>
              <w:rPr>
                <w:rFonts w:ascii="Cambria Math" w:hAnsi="Cambria Math" w:cs="Times New Roman"/>
                <w:sz w:val="24"/>
                <w:szCs w:val="24"/>
                <w:lang w:val="es-ES"/>
              </w:rPr>
              <m:t>f</m:t>
            </m:r>
          </m:sub>
        </m:sSub>
        <m:r>
          <w:rPr>
            <w:rFonts w:ascii="Cambria Math" w:hAnsi="Cambria Math" w:cs="Times New Roman"/>
            <w:sz w:val="24"/>
            <w:szCs w:val="24"/>
            <w:lang w:val="es-ES"/>
          </w:rPr>
          <m:t>(EEUU)</m:t>
        </m:r>
      </m:oMath>
      <w:r w:rsidR="001773D4" w:rsidRPr="00F925D4">
        <w:rPr>
          <w:rFonts w:cs="Times New Roman"/>
          <w:lang w:val="es-ES"/>
        </w:rPr>
        <w:t xml:space="preserve"> es </w:t>
      </w:r>
      <w:r w:rsidR="006C4D61">
        <w:rPr>
          <w:rFonts w:cs="Times New Roman"/>
          <w:lang w:val="es-ES"/>
        </w:rPr>
        <w:t xml:space="preserve">el retorno de un bono emitido por el gobierno de </w:t>
      </w:r>
      <w:r w:rsidR="008220A0">
        <w:rPr>
          <w:rFonts w:cs="Times New Roman"/>
          <w:lang w:val="es-ES"/>
        </w:rPr>
        <w:t xml:space="preserve">Estados Unidos </w:t>
      </w:r>
      <w:r w:rsidR="006C4D61">
        <w:rPr>
          <w:rFonts w:cs="Times New Roman"/>
          <w:lang w:val="es-ES"/>
        </w:rPr>
        <w:t xml:space="preserve">y de </w:t>
      </w:r>
      <w:r w:rsidR="00093D6F">
        <w:rPr>
          <w:rFonts w:cs="Times New Roman"/>
          <w:lang w:val="es-ES"/>
        </w:rPr>
        <w:t>una duración comparable</w:t>
      </w:r>
      <w:r w:rsidR="00663DCB">
        <w:rPr>
          <w:rFonts w:cs="Times New Roman"/>
          <w:lang w:val="es-ES"/>
        </w:rPr>
        <w:t>,</w:t>
      </w:r>
      <w:r w:rsidR="006C4D61">
        <w:rPr>
          <w:rFonts w:cs="Times New Roman"/>
          <w:lang w:val="es-ES"/>
        </w:rPr>
        <w:t xml:space="preserve"> en el momento de la emisión del bono corporativo</w:t>
      </w:r>
    </w:p>
    <w:p w14:paraId="124D097A" w14:textId="203D717E" w:rsidR="001773D4" w:rsidRPr="00093D6F" w:rsidRDefault="001773D4" w:rsidP="00A26498">
      <w:pPr>
        <w:pStyle w:val="ListBulletCompact"/>
        <w:rPr>
          <w:rFonts w:cs="Times New Roman"/>
          <w:lang w:val="es-ES"/>
        </w:rPr>
      </w:pPr>
      <m:oMath>
        <m:r>
          <w:rPr>
            <w:rFonts w:ascii="Cambria Math" w:hAnsi="Cambria Math" w:cs="Times New Roman"/>
            <w:sz w:val="24"/>
            <w:szCs w:val="24"/>
            <w:lang w:val="es-ES"/>
          </w:rPr>
          <m:t>CRP</m:t>
        </m:r>
      </m:oMath>
      <w:r w:rsidRPr="00093D6F">
        <w:rPr>
          <w:rFonts w:eastAsiaTheme="minorEastAsia" w:cs="Times New Roman"/>
          <w:sz w:val="24"/>
          <w:szCs w:val="24"/>
          <w:lang w:val="es-ES"/>
        </w:rPr>
        <w:t xml:space="preserve"> </w:t>
      </w:r>
      <w:r w:rsidRPr="00093D6F">
        <w:rPr>
          <w:rFonts w:cs="Times New Roman"/>
          <w:lang w:val="es-ES"/>
        </w:rPr>
        <w:t>es la prima de riesgo</w:t>
      </w:r>
      <w:r w:rsidR="00093D6F">
        <w:rPr>
          <w:rFonts w:cs="Times New Roman"/>
          <w:lang w:val="es-ES"/>
        </w:rPr>
        <w:t xml:space="preserve"> asociada a México en el momento de emisión del bono corporativo</w:t>
      </w:r>
      <w:r w:rsidR="0065115E">
        <w:rPr>
          <w:rFonts w:cs="Times New Roman"/>
          <w:lang w:val="es-ES"/>
        </w:rPr>
        <w:t>.</w:t>
      </w:r>
    </w:p>
    <w:tbl>
      <w:tblPr>
        <w:tblStyle w:val="Tablaconcuadrcula"/>
        <w:tblW w:w="0" w:type="auto"/>
        <w:tblLook w:val="04A0" w:firstRow="1" w:lastRow="0" w:firstColumn="1" w:lastColumn="0" w:noHBand="0" w:noVBand="1"/>
      </w:tblPr>
      <w:tblGrid>
        <w:gridCol w:w="8721"/>
      </w:tblGrid>
      <w:tr w:rsidR="00C41CF2" w:rsidRPr="00752BC6" w14:paraId="02EB1979" w14:textId="77777777" w:rsidTr="000F73F0">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464C54" w14:textId="4E9AB316" w:rsidR="00C41CF2" w:rsidRPr="00BC52BF" w:rsidRDefault="00C41CF2" w:rsidP="000F73F0">
            <w:pPr>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11</w:t>
            </w:r>
            <w:r w:rsidRPr="00BC52BF">
              <w:rPr>
                <w:b/>
                <w:lang w:val="es-ES"/>
              </w:rPr>
              <w:fldChar w:fldCharType="end"/>
            </w:r>
            <w:r w:rsidRPr="00BC52BF">
              <w:rPr>
                <w:b/>
                <w:bCs/>
                <w:lang w:val="es-ES"/>
              </w:rPr>
              <w:t xml:space="preserve">: </w:t>
            </w:r>
            <w:r w:rsidRPr="00BC52BF">
              <w:rPr>
                <w:lang w:val="es-ES"/>
              </w:rPr>
              <w:t xml:space="preserve">Se </w:t>
            </w:r>
            <w:r>
              <w:rPr>
                <w:lang w:val="es-ES"/>
              </w:rPr>
              <w:t>estimará</w:t>
            </w:r>
            <w:r w:rsidRPr="00BC52BF">
              <w:rPr>
                <w:lang w:val="es-ES"/>
              </w:rPr>
              <w:t xml:space="preserve"> </w:t>
            </w:r>
            <w:r>
              <w:rPr>
                <w:lang w:val="es-ES"/>
              </w:rPr>
              <w:t xml:space="preserve">la </w:t>
            </w:r>
            <w:r w:rsidRPr="00BC52BF">
              <w:rPr>
                <w:lang w:val="es-ES"/>
              </w:rPr>
              <w:t xml:space="preserve">prima de </w:t>
            </w:r>
            <w:r>
              <w:rPr>
                <w:lang w:val="es-ES"/>
              </w:rPr>
              <w:t xml:space="preserve">riesgo de </w:t>
            </w:r>
            <w:r w:rsidRPr="00BC52BF">
              <w:rPr>
                <w:lang w:val="es-ES"/>
              </w:rPr>
              <w:t xml:space="preserve">deuda </w:t>
            </w:r>
            <w:r>
              <w:rPr>
                <w:lang w:val="es-ES"/>
              </w:rPr>
              <w:t>con base al diferencial entre las emisiones de deuda de operadores con operaciones en México y la tasa</w:t>
            </w:r>
            <w:r w:rsidR="00EF4D11">
              <w:rPr>
                <w:lang w:val="es-ES"/>
              </w:rPr>
              <w:t xml:space="preserve"> </w:t>
            </w:r>
            <w:r>
              <w:rPr>
                <w:lang w:val="es-ES"/>
              </w:rPr>
              <w:t>libre de riesgo en el momento de la emisión</w:t>
            </w:r>
            <w:r w:rsidR="00EF4D11">
              <w:rPr>
                <w:lang w:val="es-ES"/>
              </w:rPr>
              <w:t xml:space="preserve"> del bono corporativo</w:t>
            </w:r>
            <w:r w:rsidRPr="00BC52BF">
              <w:rPr>
                <w:lang w:val="es-ES"/>
              </w:rPr>
              <w:t xml:space="preserve">. </w:t>
            </w:r>
          </w:p>
        </w:tc>
      </w:tr>
    </w:tbl>
    <w:p w14:paraId="08DF37D7" w14:textId="0334C825" w:rsidR="00C67169" w:rsidRPr="002C1A88" w:rsidRDefault="00C67169" w:rsidP="00C67169">
      <w:pPr>
        <w:pStyle w:val="Ttulo2"/>
        <w:rPr>
          <w:lang w:val="es-ES"/>
        </w:rPr>
      </w:pPr>
      <w:bookmarkStart w:id="37" w:name="_Ref133232252"/>
      <w:bookmarkStart w:id="38" w:name="_Toc135788690"/>
      <w:bookmarkStart w:id="39" w:name="_Ref132991276"/>
      <w:r w:rsidRPr="00982643">
        <w:rPr>
          <w:lang w:val="es-ES"/>
        </w:rPr>
        <w:t>Tasa de</w:t>
      </w:r>
      <w:r>
        <w:rPr>
          <w:lang w:val="es-ES"/>
        </w:rPr>
        <w:t>l</w:t>
      </w:r>
      <w:r w:rsidRPr="00982643">
        <w:rPr>
          <w:lang w:val="es-ES"/>
        </w:rPr>
        <w:t xml:space="preserve"> impuesto </w:t>
      </w:r>
      <w:r>
        <w:rPr>
          <w:lang w:val="es-ES"/>
        </w:rPr>
        <w:t>de</w:t>
      </w:r>
      <w:r w:rsidRPr="00982643">
        <w:rPr>
          <w:lang w:val="es-ES"/>
        </w:rPr>
        <w:t xml:space="preserve"> sociedades</w:t>
      </w:r>
      <w:r>
        <w:rPr>
          <w:lang w:val="es-ES"/>
        </w:rPr>
        <w:t xml:space="preserve"> (</w:t>
      </w:r>
      <w:r w:rsidRPr="00B4430B">
        <w:rPr>
          <w:i/>
          <w:iCs/>
          <w:lang w:val="es-ES"/>
        </w:rPr>
        <w:t>T</w:t>
      </w:r>
      <w:bookmarkEnd w:id="37"/>
      <w:r>
        <w:rPr>
          <w:lang w:val="es-ES"/>
        </w:rPr>
        <w:t>)</w:t>
      </w:r>
      <w:bookmarkEnd w:id="38"/>
    </w:p>
    <w:p w14:paraId="766DDC17" w14:textId="1D7D2834" w:rsidR="00C67169" w:rsidRPr="004520FE" w:rsidRDefault="00C67169" w:rsidP="00C67169">
      <w:pPr>
        <w:rPr>
          <w:lang w:val="es-ES"/>
        </w:rPr>
      </w:pPr>
      <w:r w:rsidRPr="004520FE">
        <w:rPr>
          <w:lang w:val="es-ES"/>
        </w:rPr>
        <w:t xml:space="preserve">Tal y como se </w:t>
      </w:r>
      <w:r>
        <w:rPr>
          <w:lang w:val="es-ES"/>
        </w:rPr>
        <w:t>comenta</w:t>
      </w:r>
      <w:r w:rsidRPr="004520FE">
        <w:rPr>
          <w:lang w:val="es-ES"/>
        </w:rPr>
        <w:t xml:space="preserve"> al inicio de esta sección, </w:t>
      </w:r>
      <w:r>
        <w:rPr>
          <w:lang w:val="es-ES"/>
        </w:rPr>
        <w:t>para los modelos de costos es necesario estimar un CCPP</w:t>
      </w:r>
      <w:r w:rsidRPr="004520FE">
        <w:rPr>
          <w:lang w:val="es-ES"/>
        </w:rPr>
        <w:t xml:space="preserve"> antes de impuestos. Para lograr este resultado, es necesario descontar el impacto de</w:t>
      </w:r>
      <w:r>
        <w:rPr>
          <w:lang w:val="es-ES"/>
        </w:rPr>
        <w:t>l</w:t>
      </w:r>
      <w:r w:rsidRPr="004520FE">
        <w:rPr>
          <w:lang w:val="es-ES"/>
        </w:rPr>
        <w:t xml:space="preserve"> impuesto de sociedades sobre el cost</w:t>
      </w:r>
      <w:r>
        <w:rPr>
          <w:lang w:val="es-ES"/>
        </w:rPr>
        <w:t>o</w:t>
      </w:r>
      <w:r w:rsidRPr="004520FE">
        <w:rPr>
          <w:lang w:val="es-ES"/>
        </w:rPr>
        <w:t xml:space="preserve"> de capital de los operadores fijo</w:t>
      </w:r>
      <w:r>
        <w:rPr>
          <w:lang w:val="es-ES"/>
        </w:rPr>
        <w:t>s</w:t>
      </w:r>
      <w:r w:rsidRPr="004520FE">
        <w:rPr>
          <w:lang w:val="es-ES"/>
        </w:rPr>
        <w:t xml:space="preserve"> y móvil</w:t>
      </w:r>
      <w:r>
        <w:rPr>
          <w:lang w:val="es-ES"/>
        </w:rPr>
        <w:t>es</w:t>
      </w:r>
      <w:r w:rsidRPr="004520FE">
        <w:rPr>
          <w:lang w:val="es-ES"/>
        </w:rPr>
        <w:t>. Con este fin, se considera apropiado tomar la tasa del impuesto de sociedades aprobada en México</w:t>
      </w:r>
    </w:p>
    <w:tbl>
      <w:tblPr>
        <w:tblStyle w:val="Tablaconcuadrcula"/>
        <w:tblW w:w="0" w:type="auto"/>
        <w:tblLook w:val="04A0" w:firstRow="1" w:lastRow="0" w:firstColumn="1" w:lastColumn="0" w:noHBand="0" w:noVBand="1"/>
      </w:tblPr>
      <w:tblGrid>
        <w:gridCol w:w="8721"/>
      </w:tblGrid>
      <w:tr w:rsidR="00C67169" w:rsidRPr="00752BC6" w14:paraId="1903B052" w14:textId="77777777" w:rsidTr="00AD49ED">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A145E7" w14:textId="1C52C4E3" w:rsidR="00C67169" w:rsidRPr="00982643" w:rsidRDefault="00C67169" w:rsidP="00AD49ED">
            <w:pPr>
              <w:spacing w:after="120"/>
              <w:rPr>
                <w:lang w:val="es-ES"/>
              </w:rPr>
            </w:pPr>
            <w:r w:rsidRPr="00982643">
              <w:rPr>
                <w:b/>
                <w:lang w:val="es-ES"/>
              </w:rPr>
              <w:t xml:space="preserve">Concepto </w:t>
            </w:r>
            <w:r w:rsidRPr="00982643">
              <w:rPr>
                <w:b/>
                <w:lang w:val="es-ES"/>
              </w:rPr>
              <w:fldChar w:fldCharType="begin"/>
            </w:r>
            <w:r w:rsidRPr="00982643">
              <w:rPr>
                <w:b/>
                <w:lang w:val="es-ES"/>
              </w:rPr>
              <w:instrText xml:space="preserve"> SEQ Recommendation \* ARABIC \s 0 </w:instrText>
            </w:r>
            <w:r w:rsidRPr="00982643">
              <w:rPr>
                <w:b/>
                <w:lang w:val="es-ES"/>
              </w:rPr>
              <w:fldChar w:fldCharType="separate"/>
            </w:r>
            <w:r w:rsidR="001F1D48">
              <w:rPr>
                <w:b/>
                <w:noProof/>
                <w:lang w:val="es-ES"/>
              </w:rPr>
              <w:t>12</w:t>
            </w:r>
            <w:r w:rsidRPr="00982643">
              <w:rPr>
                <w:b/>
                <w:lang w:val="es-ES"/>
              </w:rPr>
              <w:fldChar w:fldCharType="end"/>
            </w:r>
            <w:r w:rsidRPr="00982643">
              <w:rPr>
                <w:b/>
                <w:bCs/>
                <w:lang w:val="es-ES"/>
              </w:rPr>
              <w:t xml:space="preserve">: </w:t>
            </w:r>
            <w:r w:rsidRPr="004520FE">
              <w:rPr>
                <w:lang w:val="es-ES"/>
              </w:rPr>
              <w:t>S</w:t>
            </w:r>
            <w:r w:rsidRPr="00982643">
              <w:rPr>
                <w:lang w:val="es-ES"/>
              </w:rPr>
              <w:t>e ajustará el coste del capital (</w:t>
            </w:r>
            <w:r w:rsidRPr="00444D49">
              <w:rPr>
                <w:i/>
                <w:iCs/>
                <w:lang w:val="es-ES"/>
              </w:rPr>
              <w:t>equity</w:t>
            </w:r>
            <w:r w:rsidRPr="00982643">
              <w:rPr>
                <w:lang w:val="es-ES"/>
              </w:rPr>
              <w:t>) mediante la consideración del impuesto sobre sociedades en México equivalente al 30%.</w:t>
            </w:r>
          </w:p>
        </w:tc>
      </w:tr>
    </w:tbl>
    <w:p w14:paraId="0A18B312" w14:textId="77777777" w:rsidR="002C1A88" w:rsidRPr="002C1A88" w:rsidRDefault="00C41CF2" w:rsidP="00C41CF2">
      <w:pPr>
        <w:pStyle w:val="Ttulo2"/>
        <w:rPr>
          <w:spacing w:val="-4"/>
          <w:lang w:val="es-ES"/>
        </w:rPr>
      </w:pPr>
      <w:bookmarkStart w:id="40" w:name="_Ref134201208"/>
      <w:bookmarkStart w:id="41" w:name="_Toc135788691"/>
      <w:r>
        <w:rPr>
          <w:spacing w:val="-4"/>
          <w:lang w:val="es-ES"/>
        </w:rPr>
        <w:t>Inflación</w:t>
      </w:r>
      <w:bookmarkEnd w:id="39"/>
      <w:bookmarkEnd w:id="40"/>
      <w:bookmarkEnd w:id="41"/>
    </w:p>
    <w:p w14:paraId="562EF5C9" w14:textId="03166F4B" w:rsidR="002C1A88" w:rsidRPr="002C1A88" w:rsidRDefault="001E6F8C" w:rsidP="00C41CF2">
      <w:pPr>
        <w:rPr>
          <w:lang w:val="es-ES"/>
        </w:rPr>
      </w:pPr>
      <w:r>
        <w:rPr>
          <w:lang w:val="es-ES"/>
        </w:rPr>
        <w:t xml:space="preserve">La formulación general del CCPP proporciona una medición </w:t>
      </w:r>
      <w:r w:rsidR="0065115E">
        <w:rPr>
          <w:lang w:val="es-ES"/>
        </w:rPr>
        <w:t xml:space="preserve">por </w:t>
      </w:r>
      <w:r>
        <w:rPr>
          <w:lang w:val="es-ES"/>
        </w:rPr>
        <w:t xml:space="preserve">parámetro en términos nominales. </w:t>
      </w:r>
      <w:r w:rsidR="00FF6CC0">
        <w:rPr>
          <w:lang w:val="es-ES"/>
        </w:rPr>
        <w:t>En el caso de los modelos de costos que</w:t>
      </w:r>
      <w:r>
        <w:rPr>
          <w:lang w:val="es-ES"/>
        </w:rPr>
        <w:t xml:space="preserve"> </w:t>
      </w:r>
      <w:r w:rsidR="00FF6CC0">
        <w:rPr>
          <w:lang w:val="es-ES"/>
        </w:rPr>
        <w:t xml:space="preserve">estimen </w:t>
      </w:r>
      <w:r>
        <w:rPr>
          <w:lang w:val="es-ES"/>
        </w:rPr>
        <w:t xml:space="preserve">los costos de los activos en términos reales, es necesario asegurar que el CCPP estimado se encuentra alineado con la aproximación definida en los modelos de costos. </w:t>
      </w:r>
    </w:p>
    <w:p w14:paraId="38B4948D" w14:textId="600EA4BB" w:rsidR="002C1A88" w:rsidRPr="002C1A88" w:rsidRDefault="00C41CF2" w:rsidP="00C41CF2">
      <w:pPr>
        <w:rPr>
          <w:lang w:val="es-ES"/>
        </w:rPr>
      </w:pPr>
      <w:r>
        <w:rPr>
          <w:lang w:val="es-ES"/>
        </w:rPr>
        <w:t xml:space="preserve">En este caso, dado que la definición de los distintos parámetros (como el costo de la deuda, </w:t>
      </w:r>
      <w:r w:rsidR="00085B89">
        <w:rPr>
          <w:lang w:val="es-ES"/>
        </w:rPr>
        <w:t xml:space="preserve">la </w:t>
      </w:r>
      <w:r>
        <w:rPr>
          <w:lang w:val="es-ES"/>
        </w:rPr>
        <w:t xml:space="preserve">tasa </w:t>
      </w:r>
      <w:r w:rsidR="00085B89">
        <w:rPr>
          <w:lang w:val="es-ES"/>
        </w:rPr>
        <w:t xml:space="preserve">de retorno </w:t>
      </w:r>
      <w:r>
        <w:rPr>
          <w:lang w:val="es-ES"/>
        </w:rPr>
        <w:t xml:space="preserve">libre de riesgo y </w:t>
      </w:r>
      <w:r w:rsidR="00085B89">
        <w:rPr>
          <w:lang w:val="es-ES"/>
        </w:rPr>
        <w:t xml:space="preserve">la </w:t>
      </w:r>
      <w:r>
        <w:rPr>
          <w:lang w:val="es-ES"/>
        </w:rPr>
        <w:t xml:space="preserve">prima de mercado) se realiza en dólares americanos, es relevante clarificar que el CCPP resultante de este cálculo </w:t>
      </w:r>
      <w:r w:rsidR="00767FA7">
        <w:rPr>
          <w:lang w:val="es-ES"/>
        </w:rPr>
        <w:t xml:space="preserve">es </w:t>
      </w:r>
      <w:r>
        <w:rPr>
          <w:lang w:val="es-ES"/>
        </w:rPr>
        <w:t xml:space="preserve">nominal, denominado en dólares </w:t>
      </w:r>
      <w:r w:rsidR="00C47316">
        <w:rPr>
          <w:lang w:val="es-ES"/>
        </w:rPr>
        <w:t>americanos</w:t>
      </w:r>
      <w:r>
        <w:rPr>
          <w:lang w:val="es-ES"/>
        </w:rPr>
        <w:t>. De esta manera, para poder obtener el CCPP real</w:t>
      </w:r>
      <w:r w:rsidR="00747D0E">
        <w:rPr>
          <w:lang w:val="es-ES"/>
        </w:rPr>
        <w:t xml:space="preserve"> a partir del CCPP nominal</w:t>
      </w:r>
      <w:r>
        <w:rPr>
          <w:lang w:val="es-ES"/>
        </w:rPr>
        <w:t xml:space="preserve">, es necesario tomar la </w:t>
      </w:r>
      <w:r w:rsidR="003A02AE">
        <w:rPr>
          <w:lang w:val="es-ES"/>
        </w:rPr>
        <w:t xml:space="preserve">tasa de </w:t>
      </w:r>
      <w:r>
        <w:rPr>
          <w:lang w:val="es-ES"/>
        </w:rPr>
        <w:t>inflación en Estados Unidos</w:t>
      </w:r>
      <w:r w:rsidR="009900A7">
        <w:rPr>
          <w:lang w:val="es-ES"/>
        </w:rPr>
        <w:t xml:space="preserve"> </w:t>
      </w:r>
      <w:r w:rsidR="009900A7" w:rsidRPr="009900A7">
        <w:rPr>
          <w:lang w:val="es-ES"/>
        </w:rPr>
        <w:t>en el momento de la estimación del CCPP</w:t>
      </w:r>
      <w:r>
        <w:rPr>
          <w:lang w:val="es-ES"/>
        </w:rPr>
        <w:t xml:space="preserve">. </w:t>
      </w:r>
    </w:p>
    <w:p w14:paraId="67085459" w14:textId="61CD1813" w:rsidR="002C1A88" w:rsidRPr="002C1A88" w:rsidRDefault="0021682D" w:rsidP="0021682D">
      <w:pPr>
        <w:rPr>
          <w:lang w:val="es-ES"/>
        </w:rPr>
      </w:pPr>
      <w:r>
        <w:rPr>
          <w:lang w:val="es-ES"/>
        </w:rPr>
        <w:t>Para obtener</w:t>
      </w:r>
      <w:r w:rsidRPr="00BC52BF">
        <w:rPr>
          <w:lang w:val="es-ES"/>
        </w:rPr>
        <w:t xml:space="preserve"> </w:t>
      </w:r>
      <w:r>
        <w:rPr>
          <w:lang w:val="es-ES"/>
        </w:rPr>
        <w:t>e</w:t>
      </w:r>
      <w:r w:rsidRPr="00BC52BF">
        <w:rPr>
          <w:lang w:val="es-ES"/>
        </w:rPr>
        <w:t>l CCPP real</w:t>
      </w:r>
      <w:r w:rsidRPr="000F1B14">
        <w:rPr>
          <w:rStyle w:val="Refdenotaalpie"/>
          <w:lang w:val="es-ES"/>
        </w:rPr>
        <w:footnoteReference w:id="12"/>
      </w:r>
      <w:r w:rsidRPr="00E97127">
        <w:rPr>
          <w:lang w:val="es-ES"/>
        </w:rPr>
        <w:t xml:space="preserve"> </w:t>
      </w:r>
      <w:r>
        <w:rPr>
          <w:lang w:val="es-ES"/>
        </w:rPr>
        <w:t>a partir del C</w:t>
      </w:r>
      <w:r w:rsidR="0002406C">
        <w:rPr>
          <w:lang w:val="es-ES"/>
        </w:rPr>
        <w:t>C</w:t>
      </w:r>
      <w:r>
        <w:rPr>
          <w:lang w:val="es-ES"/>
        </w:rPr>
        <w:t>PP nominal, podemos hacer uso de</w:t>
      </w:r>
      <w:r w:rsidRPr="00BC52BF">
        <w:rPr>
          <w:lang w:val="es-ES"/>
        </w:rPr>
        <w:t xml:space="preserve"> </w:t>
      </w:r>
      <w:r>
        <w:rPr>
          <w:lang w:val="es-ES"/>
        </w:rPr>
        <w:t>la ecuación de Fisher</w:t>
      </w:r>
      <w:r w:rsidR="00FF6CC0">
        <w:rPr>
          <w:rStyle w:val="Refdenotaalpie"/>
          <w:lang w:val="es-ES"/>
        </w:rPr>
        <w:footnoteReference w:id="13"/>
      </w:r>
      <w:r w:rsidRPr="00BC52BF">
        <w:rPr>
          <w:lang w:val="es-ES"/>
        </w:rPr>
        <w:t>:</w:t>
      </w:r>
    </w:p>
    <w:p w14:paraId="79F996C3" w14:textId="5A1DD829" w:rsidR="002C1A88" w:rsidRPr="002C1A88" w:rsidRDefault="00927F08" w:rsidP="0021682D">
      <w:pPr>
        <w:jc w:val="center"/>
        <w:rPr>
          <w:bCs/>
          <w:lang w:val="es-ES"/>
        </w:rPr>
      </w:pPr>
      <m:oMathPara>
        <m:oMath>
          <m:sSub>
            <m:sSubPr>
              <m:ctrlPr>
                <w:rPr>
                  <w:rFonts w:ascii="Cambria Math" w:hAnsi="Cambria Math"/>
                  <w:bCs/>
                  <w:i/>
                  <w:iCs/>
                  <w:sz w:val="24"/>
                  <w:szCs w:val="24"/>
                  <w:lang w:val="es-ES"/>
                </w:rPr>
              </m:ctrlPr>
            </m:sSubPr>
            <m:e>
              <m:r>
                <w:rPr>
                  <w:rFonts w:ascii="Cambria Math"/>
                  <w:sz w:val="24"/>
                  <w:szCs w:val="24"/>
                  <w:lang w:val="es-ES"/>
                </w:rPr>
                <m:t>CCPP</m:t>
              </m:r>
            </m:e>
            <m:sub>
              <m:r>
                <w:rPr>
                  <w:rFonts w:ascii="Cambria Math"/>
                  <w:sz w:val="24"/>
                  <w:szCs w:val="24"/>
                  <w:lang w:val="es-ES"/>
                </w:rPr>
                <m:t>Real</m:t>
              </m:r>
            </m:sub>
          </m:sSub>
          <m:r>
            <m:rPr>
              <m:sty m:val="p"/>
            </m:rPr>
            <w:rPr>
              <w:rFonts w:ascii="Cambria Math"/>
              <w:sz w:val="24"/>
              <w:szCs w:val="24"/>
              <w:lang w:val="es-ES"/>
            </w:rPr>
            <m:t>=</m:t>
          </m:r>
          <m:f>
            <m:fPr>
              <m:ctrlPr>
                <w:rPr>
                  <w:rFonts w:ascii="Cambria Math" w:hAnsi="Cambria Math"/>
                  <w:bCs/>
                  <w:i/>
                  <w:sz w:val="24"/>
                  <w:szCs w:val="24"/>
                  <w:lang w:val="es-ES"/>
                </w:rPr>
              </m:ctrlPr>
            </m:fPr>
            <m:num>
              <m:d>
                <m:dPr>
                  <m:ctrlPr>
                    <w:rPr>
                      <w:rFonts w:ascii="Cambria Math" w:hAnsi="Cambria Math"/>
                      <w:bCs/>
                      <w:i/>
                      <w:sz w:val="24"/>
                      <w:szCs w:val="24"/>
                      <w:lang w:val="es-ES"/>
                    </w:rPr>
                  </m:ctrlPr>
                </m:dPr>
                <m:e>
                  <m:r>
                    <w:rPr>
                      <w:rFonts w:ascii="Cambria Math"/>
                      <w:sz w:val="24"/>
                      <w:szCs w:val="24"/>
                      <w:lang w:val="es-ES"/>
                    </w:rPr>
                    <m:t>1+</m:t>
                  </m:r>
                  <m:sSub>
                    <m:sSubPr>
                      <m:ctrlPr>
                        <w:rPr>
                          <w:rFonts w:ascii="Cambria Math" w:hAnsi="Cambria Math"/>
                          <w:bCs/>
                          <w:i/>
                          <w:iCs/>
                          <w:sz w:val="24"/>
                          <w:szCs w:val="24"/>
                          <w:lang w:val="es-ES"/>
                        </w:rPr>
                      </m:ctrlPr>
                    </m:sSubPr>
                    <m:e>
                      <m:r>
                        <w:rPr>
                          <w:rFonts w:ascii="Cambria Math"/>
                          <w:sz w:val="24"/>
                          <w:szCs w:val="24"/>
                          <w:lang w:val="es-ES"/>
                        </w:rPr>
                        <m:t>CCPP</m:t>
                      </m:r>
                    </m:e>
                    <m:sub>
                      <m:r>
                        <w:rPr>
                          <w:rFonts w:ascii="Cambria Math"/>
                          <w:sz w:val="24"/>
                          <w:szCs w:val="24"/>
                          <w:lang w:val="es-ES"/>
                        </w:rPr>
                        <m:t>Nominal(USD)</m:t>
                      </m:r>
                    </m:sub>
                  </m:sSub>
                  <m:ctrlPr>
                    <w:rPr>
                      <w:rFonts w:ascii="Cambria Math" w:hAnsi="Cambria Math"/>
                      <w:bCs/>
                      <w:sz w:val="24"/>
                      <w:szCs w:val="24"/>
                      <w:lang w:val="es-ES"/>
                    </w:rPr>
                  </m:ctrlPr>
                </m:e>
              </m:d>
            </m:num>
            <m:den>
              <m:r>
                <w:rPr>
                  <w:rFonts w:ascii="Cambria Math"/>
                  <w:sz w:val="24"/>
                  <w:szCs w:val="24"/>
                  <w:lang w:val="es-ES"/>
                </w:rPr>
                <m:t>(1+</m:t>
              </m:r>
              <m:r>
                <w:rPr>
                  <w:rFonts w:ascii="Cambria Math" w:hAnsi="Cambria Math"/>
                  <w:sz w:val="24"/>
                  <w:szCs w:val="24"/>
                  <w:lang w:val="es-ES"/>
                </w:rPr>
                <m:t>π(EEUU)</m:t>
              </m:r>
              <m:r>
                <w:rPr>
                  <w:rFonts w:ascii="Cambria Math"/>
                  <w:sz w:val="24"/>
                  <w:szCs w:val="24"/>
                  <w:lang w:val="es-ES"/>
                </w:rPr>
                <m:t>)</m:t>
              </m:r>
            </m:den>
          </m:f>
          <m:r>
            <w:rPr>
              <w:rFonts w:ascii="Cambria Math"/>
              <w:sz w:val="24"/>
              <w:szCs w:val="24"/>
              <w:lang w:val="es-ES"/>
            </w:rPr>
            <m:t>-</m:t>
          </m:r>
          <m:r>
            <w:rPr>
              <w:rFonts w:ascii="Cambria Math"/>
              <w:sz w:val="24"/>
              <w:szCs w:val="24"/>
              <w:lang w:val="es-ES"/>
            </w:rPr>
            <m:t>1</m:t>
          </m:r>
        </m:oMath>
      </m:oMathPara>
    </w:p>
    <w:p w14:paraId="00162052" w14:textId="77777777" w:rsidR="002C1A88" w:rsidRPr="002C1A88" w:rsidRDefault="0021682D" w:rsidP="0021682D">
      <w:pPr>
        <w:rPr>
          <w:lang w:val="es-ES"/>
        </w:rPr>
      </w:pPr>
      <w:r w:rsidRPr="00BC52BF">
        <w:rPr>
          <w:lang w:val="es-ES"/>
        </w:rPr>
        <w:t>D</w:t>
      </w:r>
      <w:r>
        <w:rPr>
          <w:lang w:val="es-ES"/>
        </w:rPr>
        <w:t>o</w:t>
      </w:r>
      <w:r w:rsidRPr="00BC52BF">
        <w:rPr>
          <w:lang w:val="es-ES"/>
        </w:rPr>
        <w:t>nde:</w:t>
      </w:r>
    </w:p>
    <w:p w14:paraId="5401BDF3" w14:textId="6BD52F26" w:rsidR="002C1A88" w:rsidRPr="002C1A88" w:rsidRDefault="0021682D" w:rsidP="0021682D">
      <w:pPr>
        <w:pStyle w:val="ListBulletCompact"/>
        <w:rPr>
          <w:lang w:val="es-ES"/>
        </w:rPr>
      </w:pPr>
      <w:r w:rsidRPr="000F1B14">
        <w:rPr>
          <w:i/>
          <w:lang w:val="es-ES"/>
        </w:rPr>
        <w:t>π</w:t>
      </w:r>
      <w:r w:rsidR="00474A51" w:rsidRPr="004C2E90">
        <w:rPr>
          <w:i/>
          <w:iCs/>
          <w:lang w:val="es-ES"/>
        </w:rPr>
        <w:t>(EEUU)</w:t>
      </w:r>
      <w:r w:rsidRPr="00152E9E">
        <w:rPr>
          <w:lang w:val="es-ES"/>
        </w:rPr>
        <w:t xml:space="preserve"> es la tasa de inflación, medida por el índice de precios al consum</w:t>
      </w:r>
      <w:r>
        <w:rPr>
          <w:lang w:val="es-ES"/>
        </w:rPr>
        <w:t>idor</w:t>
      </w:r>
      <w:r w:rsidR="00474A51">
        <w:rPr>
          <w:lang w:val="es-ES"/>
        </w:rPr>
        <w:t xml:space="preserve"> en Estados Unidos</w:t>
      </w:r>
      <w:r w:rsidR="004C2E90">
        <w:rPr>
          <w:lang w:val="es-ES"/>
        </w:rPr>
        <w:t>.</w:t>
      </w:r>
    </w:p>
    <w:p w14:paraId="337CB345" w14:textId="1C2AB4FB" w:rsidR="002C1A88" w:rsidRPr="002C1A88" w:rsidRDefault="00C41CF2" w:rsidP="00C41CF2">
      <w:pPr>
        <w:rPr>
          <w:lang w:val="es-ES"/>
        </w:rPr>
      </w:pPr>
      <w:r>
        <w:rPr>
          <w:lang w:val="es-ES"/>
        </w:rPr>
        <w:t xml:space="preserve">Posteriormente, se podrá estimar un CCPP nominal, denominado en pesos mexicanos, aplicando la </w:t>
      </w:r>
      <w:r w:rsidR="00BF3845">
        <w:rPr>
          <w:lang w:val="es-ES"/>
        </w:rPr>
        <w:t xml:space="preserve">relación de </w:t>
      </w:r>
      <w:r w:rsidR="006F0B65">
        <w:rPr>
          <w:lang w:val="es-ES"/>
        </w:rPr>
        <w:t>inflaciones</w:t>
      </w:r>
      <w:r>
        <w:rPr>
          <w:lang w:val="es-ES"/>
        </w:rPr>
        <w:t xml:space="preserve"> en</w:t>
      </w:r>
      <w:r w:rsidR="00BF3845">
        <w:rPr>
          <w:lang w:val="es-ES"/>
        </w:rPr>
        <w:t>tre</w:t>
      </w:r>
      <w:r>
        <w:rPr>
          <w:lang w:val="es-ES"/>
        </w:rPr>
        <w:t xml:space="preserve"> </w:t>
      </w:r>
      <w:r w:rsidR="00BF3845">
        <w:rPr>
          <w:lang w:val="es-ES"/>
        </w:rPr>
        <w:t>Estados Unidos</w:t>
      </w:r>
      <w:r w:rsidR="006F0B65" w:rsidRPr="006F0B65">
        <w:rPr>
          <w:lang w:val="es-ES"/>
        </w:rPr>
        <w:t xml:space="preserve"> </w:t>
      </w:r>
      <w:r w:rsidR="006F0B65">
        <w:rPr>
          <w:lang w:val="es-ES"/>
        </w:rPr>
        <w:t>y México</w:t>
      </w:r>
      <w:r>
        <w:rPr>
          <w:lang w:val="es-ES"/>
        </w:rPr>
        <w:t>.</w:t>
      </w:r>
      <w:r w:rsidR="00474A51">
        <w:rPr>
          <w:lang w:val="es-ES"/>
        </w:rPr>
        <w:t xml:space="preserve"> Esto se muestra en la </w:t>
      </w:r>
      <w:r w:rsidR="00BC3445">
        <w:rPr>
          <w:lang w:val="es-ES"/>
        </w:rPr>
        <w:t>siguiente fórmula:</w:t>
      </w:r>
    </w:p>
    <w:p w14:paraId="736626A2" w14:textId="77777777" w:rsidR="002C1A88" w:rsidRPr="002C1A88" w:rsidRDefault="00927F08" w:rsidP="00C41CF2">
      <w:pPr>
        <w:rPr>
          <w:lang w:val="es-ES"/>
        </w:rPr>
      </w:pPr>
      <m:oMathPara>
        <m:oMath>
          <m:sSub>
            <m:sSubPr>
              <m:ctrlPr>
                <w:rPr>
                  <w:rFonts w:ascii="Cambria Math" w:hAnsi="Cambria Math"/>
                  <w:bCs/>
                  <w:i/>
                  <w:iCs/>
                  <w:sz w:val="24"/>
                  <w:szCs w:val="24"/>
                  <w:lang w:val="es-ES"/>
                </w:rPr>
              </m:ctrlPr>
            </m:sSubPr>
            <m:e>
              <m:r>
                <w:rPr>
                  <w:rFonts w:ascii="Cambria Math"/>
                  <w:sz w:val="24"/>
                  <w:szCs w:val="24"/>
                  <w:lang w:val="es-ES"/>
                </w:rPr>
                <m:t>CCPP</m:t>
              </m:r>
            </m:e>
            <m:sub>
              <m:r>
                <w:rPr>
                  <w:rFonts w:ascii="Cambria Math"/>
                  <w:sz w:val="24"/>
                  <w:szCs w:val="24"/>
                  <w:lang w:val="es-ES"/>
                </w:rPr>
                <m:t>Nominal(MXN)</m:t>
              </m:r>
            </m:sub>
          </m:sSub>
          <m:r>
            <m:rPr>
              <m:sty m:val="p"/>
            </m:rPr>
            <w:rPr>
              <w:rFonts w:ascii="Cambria Math"/>
              <w:sz w:val="24"/>
              <w:szCs w:val="24"/>
              <w:lang w:val="es-ES"/>
            </w:rPr>
            <m:t>=</m:t>
          </m:r>
          <m:sSub>
            <m:sSubPr>
              <m:ctrlPr>
                <w:rPr>
                  <w:rFonts w:ascii="Cambria Math" w:hAnsi="Cambria Math"/>
                  <w:bCs/>
                  <w:i/>
                  <w:iCs/>
                  <w:sz w:val="24"/>
                  <w:szCs w:val="24"/>
                  <w:lang w:val="es-ES"/>
                </w:rPr>
              </m:ctrlPr>
            </m:sSubPr>
            <m:e>
              <m:r>
                <w:rPr>
                  <w:rFonts w:ascii="Cambria Math"/>
                  <w:sz w:val="24"/>
                  <w:szCs w:val="24"/>
                  <w:lang w:val="es-ES"/>
                </w:rPr>
                <m:t>(1+CCPP</m:t>
              </m:r>
            </m:e>
            <m:sub>
              <m:r>
                <w:rPr>
                  <w:rFonts w:ascii="Cambria Math"/>
                  <w:sz w:val="24"/>
                  <w:szCs w:val="24"/>
                  <w:lang w:val="es-ES"/>
                </w:rPr>
                <m:t>Nominal(USD)</m:t>
              </m:r>
            </m:sub>
          </m:sSub>
          <m:r>
            <w:rPr>
              <w:rFonts w:ascii="Cambria Math" w:hAnsi="Cambria Math"/>
              <w:sz w:val="24"/>
              <w:szCs w:val="24"/>
              <w:lang w:val="es-ES"/>
            </w:rPr>
            <m:t>)</m:t>
          </m:r>
          <m:r>
            <w:rPr>
              <w:rFonts w:ascii="Cambria Math"/>
              <w:sz w:val="24"/>
              <w:szCs w:val="24"/>
              <w:lang w:val="es-ES"/>
            </w:rPr>
            <m:t>×</m:t>
          </m:r>
          <m:f>
            <m:fPr>
              <m:ctrlPr>
                <w:rPr>
                  <w:rFonts w:ascii="Cambria Math" w:hAnsi="Cambria Math"/>
                  <w:bCs/>
                  <w:i/>
                  <w:sz w:val="24"/>
                  <w:szCs w:val="24"/>
                  <w:lang w:val="es-ES"/>
                </w:rPr>
              </m:ctrlPr>
            </m:fPr>
            <m:num>
              <m:d>
                <m:dPr>
                  <m:ctrlPr>
                    <w:rPr>
                      <w:rFonts w:ascii="Cambria Math" w:hAnsi="Cambria Math"/>
                      <w:bCs/>
                      <w:i/>
                      <w:sz w:val="24"/>
                      <w:szCs w:val="24"/>
                      <w:lang w:val="es-ES"/>
                    </w:rPr>
                  </m:ctrlPr>
                </m:dPr>
                <m:e>
                  <m:r>
                    <w:rPr>
                      <w:rFonts w:ascii="Cambria Math"/>
                      <w:sz w:val="24"/>
                      <w:szCs w:val="24"/>
                      <w:lang w:val="es-ES"/>
                    </w:rPr>
                    <m:t>1+</m:t>
                  </m:r>
                  <m:r>
                    <w:rPr>
                      <w:rFonts w:ascii="Cambria Math" w:hAnsi="Cambria Math"/>
                      <w:sz w:val="24"/>
                      <w:szCs w:val="24"/>
                      <w:lang w:val="es-ES"/>
                    </w:rPr>
                    <m:t>(EEUU)</m:t>
                  </m:r>
                  <m:ctrlPr>
                    <w:rPr>
                      <w:rFonts w:ascii="Cambria Math" w:hAnsi="Cambria Math"/>
                      <w:bCs/>
                      <w:sz w:val="24"/>
                      <w:szCs w:val="24"/>
                      <w:lang w:val="es-ES"/>
                    </w:rPr>
                  </m:ctrlPr>
                </m:e>
              </m:d>
            </m:num>
            <m:den>
              <m:r>
                <w:rPr>
                  <w:rFonts w:ascii="Cambria Math"/>
                  <w:sz w:val="24"/>
                  <w:szCs w:val="24"/>
                  <w:lang w:val="es-ES"/>
                </w:rPr>
                <m:t>(1+</m:t>
              </m:r>
              <m:r>
                <w:rPr>
                  <w:rFonts w:ascii="Cambria Math" w:hAnsi="Cambria Math"/>
                  <w:sz w:val="24"/>
                  <w:szCs w:val="24"/>
                  <w:lang w:val="es-ES"/>
                </w:rPr>
                <m:t>π(MEX)</m:t>
              </m:r>
              <m:r>
                <w:rPr>
                  <w:rFonts w:ascii="Cambria Math"/>
                  <w:sz w:val="24"/>
                  <w:szCs w:val="24"/>
                  <w:lang w:val="es-ES"/>
                </w:rPr>
                <m:t>)</m:t>
              </m:r>
            </m:den>
          </m:f>
          <m:r>
            <w:rPr>
              <w:rFonts w:ascii="Cambria Math"/>
              <w:sz w:val="24"/>
              <w:szCs w:val="24"/>
              <w:lang w:val="es-ES"/>
            </w:rPr>
            <m:t>-</m:t>
          </m:r>
          <m:r>
            <w:rPr>
              <w:rFonts w:ascii="Cambria Math"/>
              <w:sz w:val="24"/>
              <w:szCs w:val="24"/>
              <w:lang w:val="es-ES"/>
            </w:rPr>
            <m:t>1</m:t>
          </m:r>
        </m:oMath>
      </m:oMathPara>
    </w:p>
    <w:p w14:paraId="01586C4B" w14:textId="3AF843C8" w:rsidR="00C41CF2" w:rsidRDefault="00C41CF2" w:rsidP="00C41CF2">
      <w:pPr>
        <w:rPr>
          <w:lang w:val="es-ES"/>
        </w:rPr>
      </w:pPr>
      <w:r>
        <w:rPr>
          <w:lang w:val="es-ES"/>
        </w:rPr>
        <w:t>Con respecto a las tasas de inflación a emplear, la práctica internacional recomienda el uso de perspectivas a largo plazo (por ejemplo, 10 años)</w:t>
      </w:r>
      <w:r w:rsidR="00FF6CC0">
        <w:rPr>
          <w:lang w:val="es-ES"/>
        </w:rPr>
        <w:t>. Dicha duración</w:t>
      </w:r>
      <w:r>
        <w:rPr>
          <w:lang w:val="es-ES"/>
        </w:rPr>
        <w:t xml:space="preserve"> </w:t>
      </w:r>
      <w:r w:rsidR="00FF6CC0">
        <w:rPr>
          <w:lang w:val="es-ES"/>
        </w:rPr>
        <w:t xml:space="preserve">permite </w:t>
      </w:r>
      <w:r>
        <w:rPr>
          <w:lang w:val="es-ES"/>
        </w:rPr>
        <w:t xml:space="preserve">asegurar </w:t>
      </w:r>
      <w:r w:rsidR="00465C4A">
        <w:rPr>
          <w:lang w:val="es-ES"/>
        </w:rPr>
        <w:t xml:space="preserve">el </w:t>
      </w:r>
      <w:r>
        <w:rPr>
          <w:lang w:val="es-ES"/>
        </w:rPr>
        <w:t xml:space="preserve">alineamiento </w:t>
      </w:r>
      <w:r w:rsidR="00FF6CC0">
        <w:rPr>
          <w:lang w:val="es-ES"/>
        </w:rPr>
        <w:t xml:space="preserve">de este parámetro </w:t>
      </w:r>
      <w:r>
        <w:rPr>
          <w:lang w:val="es-ES"/>
        </w:rPr>
        <w:t>con la definición del resto de parámetros</w:t>
      </w:r>
      <w:r w:rsidR="00FF6CC0">
        <w:rPr>
          <w:lang w:val="es-ES"/>
        </w:rPr>
        <w:t xml:space="preserve"> involucrados en el cálculo del CCPP</w:t>
      </w:r>
      <w:r>
        <w:rPr>
          <w:lang w:val="es-ES"/>
        </w:rPr>
        <w:t xml:space="preserve"> (como, por ejemplo, la tasa </w:t>
      </w:r>
      <w:r w:rsidR="004903E4">
        <w:rPr>
          <w:lang w:val="es-ES"/>
        </w:rPr>
        <w:t xml:space="preserve">de retorno </w:t>
      </w:r>
      <w:r>
        <w:rPr>
          <w:lang w:val="es-ES"/>
        </w:rPr>
        <w:t>libre de riesgo). Para esta estimación, se empleará</w:t>
      </w:r>
      <w:r w:rsidR="009900A7">
        <w:rPr>
          <w:lang w:val="es-ES"/>
        </w:rPr>
        <w:t>n</w:t>
      </w:r>
      <w:r>
        <w:rPr>
          <w:lang w:val="es-ES"/>
        </w:rPr>
        <w:t>, como fuente inicial</w:t>
      </w:r>
      <w:r w:rsidR="00465C4A">
        <w:rPr>
          <w:lang w:val="es-ES"/>
        </w:rPr>
        <w:t>,</w:t>
      </w:r>
      <w:r>
        <w:rPr>
          <w:lang w:val="es-ES"/>
        </w:rPr>
        <w:t xml:space="preserve"> las perspectivas de inflación oficiales para el periodo que se encuentre</w:t>
      </w:r>
      <w:r w:rsidR="00676E0B">
        <w:rPr>
          <w:lang w:val="es-ES"/>
        </w:rPr>
        <w:t>n</w:t>
      </w:r>
      <w:r>
        <w:rPr>
          <w:lang w:val="es-ES"/>
        </w:rPr>
        <w:t xml:space="preserve"> disponible</w:t>
      </w:r>
      <w:r w:rsidR="00676E0B">
        <w:rPr>
          <w:lang w:val="es-ES"/>
        </w:rPr>
        <w:t>s</w:t>
      </w:r>
      <w:r>
        <w:rPr>
          <w:lang w:val="es-ES"/>
        </w:rPr>
        <w:t xml:space="preserve"> en el momento de </w:t>
      </w:r>
      <w:r w:rsidR="00465C4A">
        <w:rPr>
          <w:lang w:val="es-ES"/>
        </w:rPr>
        <w:t xml:space="preserve">la </w:t>
      </w:r>
      <w:r>
        <w:rPr>
          <w:lang w:val="es-ES"/>
        </w:rPr>
        <w:t>estimación del CCPP, y se complementarán los años para los cuales no se disponga de una perspectiva de inflación a través de los objetivos de inflación propuestos por las fuentes oficiales.</w:t>
      </w:r>
      <w:r w:rsidR="004B32E0">
        <w:rPr>
          <w:lang w:val="es-ES"/>
        </w:rPr>
        <w:t xml:space="preserve"> </w:t>
      </w:r>
      <w:r>
        <w:rPr>
          <w:lang w:val="es-ES"/>
        </w:rPr>
        <w:t xml:space="preserve">En concreto, se hará uso de datos </w:t>
      </w:r>
      <w:r w:rsidR="00711A35">
        <w:rPr>
          <w:lang w:val="es-ES"/>
        </w:rPr>
        <w:t xml:space="preserve">publicados por el </w:t>
      </w:r>
      <w:r>
        <w:rPr>
          <w:lang w:val="es-ES"/>
        </w:rPr>
        <w:t xml:space="preserve">Banco de México para México y </w:t>
      </w:r>
      <w:r w:rsidR="00354FC0">
        <w:rPr>
          <w:lang w:val="es-ES"/>
        </w:rPr>
        <w:t xml:space="preserve">de </w:t>
      </w:r>
      <w:r>
        <w:rPr>
          <w:lang w:val="es-ES"/>
        </w:rPr>
        <w:t xml:space="preserve">datos </w:t>
      </w:r>
      <w:r w:rsidR="00711A35">
        <w:rPr>
          <w:lang w:val="es-ES"/>
        </w:rPr>
        <w:t xml:space="preserve">reportados por </w:t>
      </w:r>
      <w:r>
        <w:rPr>
          <w:lang w:val="es-ES"/>
        </w:rPr>
        <w:t xml:space="preserve">la Reserva Federal en el caso de Estados Unidos. </w:t>
      </w:r>
    </w:p>
    <w:tbl>
      <w:tblPr>
        <w:tblStyle w:val="Tablaconcuadrcula"/>
        <w:tblW w:w="0" w:type="auto"/>
        <w:tblLook w:val="04A0" w:firstRow="1" w:lastRow="0" w:firstColumn="1" w:lastColumn="0" w:noHBand="0" w:noVBand="1"/>
      </w:tblPr>
      <w:tblGrid>
        <w:gridCol w:w="8721"/>
      </w:tblGrid>
      <w:tr w:rsidR="00C41CF2" w:rsidRPr="00752BC6" w14:paraId="6A6FC935" w14:textId="77777777" w:rsidTr="00EC799C">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3F2B60" w14:textId="5A16C228" w:rsidR="00C41CF2" w:rsidRPr="00BC52BF" w:rsidRDefault="00C41CF2" w:rsidP="00EC799C">
            <w:pPr>
              <w:rPr>
                <w:lang w:val="es-ES"/>
              </w:rPr>
            </w:pPr>
            <w:r w:rsidRPr="00BC52BF">
              <w:rPr>
                <w:b/>
                <w:lang w:val="es-ES"/>
              </w:rPr>
              <w:t xml:space="preserve">Concepto </w:t>
            </w:r>
            <w:r w:rsidRPr="00BC52BF">
              <w:rPr>
                <w:b/>
                <w:lang w:val="es-ES"/>
              </w:rPr>
              <w:fldChar w:fldCharType="begin"/>
            </w:r>
            <w:r w:rsidRPr="00BC52BF">
              <w:rPr>
                <w:b/>
                <w:lang w:val="es-ES"/>
              </w:rPr>
              <w:instrText xml:space="preserve"> SEQ Recommendation \* ARABIC \s 0 </w:instrText>
            </w:r>
            <w:r w:rsidRPr="00BC52BF">
              <w:rPr>
                <w:b/>
                <w:lang w:val="es-ES"/>
              </w:rPr>
              <w:fldChar w:fldCharType="separate"/>
            </w:r>
            <w:r w:rsidR="001F1D48">
              <w:rPr>
                <w:b/>
                <w:noProof/>
                <w:lang w:val="es-ES"/>
              </w:rPr>
              <w:t>13</w:t>
            </w:r>
            <w:r w:rsidRPr="00BC52BF">
              <w:rPr>
                <w:b/>
                <w:lang w:val="es-ES"/>
              </w:rPr>
              <w:fldChar w:fldCharType="end"/>
            </w:r>
            <w:r w:rsidRPr="00BC52BF">
              <w:rPr>
                <w:b/>
                <w:bCs/>
                <w:lang w:val="es-ES"/>
              </w:rPr>
              <w:t xml:space="preserve">: </w:t>
            </w:r>
            <w:r>
              <w:rPr>
                <w:lang w:val="es-ES"/>
              </w:rPr>
              <w:t xml:space="preserve">Se tomará un horizonte </w:t>
            </w:r>
            <w:r w:rsidR="00A45B3F">
              <w:rPr>
                <w:lang w:val="es-ES"/>
              </w:rPr>
              <w:t xml:space="preserve">temporal </w:t>
            </w:r>
            <w:r>
              <w:rPr>
                <w:lang w:val="es-ES"/>
              </w:rPr>
              <w:t xml:space="preserve">de </w:t>
            </w:r>
            <w:r w:rsidR="00354FC0">
              <w:rPr>
                <w:lang w:val="es-ES"/>
              </w:rPr>
              <w:t xml:space="preserve">10 </w:t>
            </w:r>
            <w:r>
              <w:rPr>
                <w:lang w:val="es-ES"/>
              </w:rPr>
              <w:t xml:space="preserve">años para las expectativas de inflación para </w:t>
            </w:r>
            <w:r w:rsidR="00FF6CC0">
              <w:rPr>
                <w:lang w:val="es-ES"/>
              </w:rPr>
              <w:t>México y Estados Unidos</w:t>
            </w:r>
            <w:r>
              <w:rPr>
                <w:lang w:val="es-ES"/>
              </w:rPr>
              <w:t>. Se tomarán expectativas provistas por fuentes oficiales para los años en los que se encuentren disponibles</w:t>
            </w:r>
            <w:r w:rsidR="004104E7">
              <w:rPr>
                <w:lang w:val="es-ES"/>
              </w:rPr>
              <w:t xml:space="preserve">, </w:t>
            </w:r>
            <w:r w:rsidR="00BA5B55">
              <w:rPr>
                <w:lang w:val="es-ES"/>
              </w:rPr>
              <w:t>y</w:t>
            </w:r>
            <w:r w:rsidR="004104E7">
              <w:rPr>
                <w:lang w:val="es-ES"/>
              </w:rPr>
              <w:t xml:space="preserve"> se complementará con los objetivos de inflación de cada país</w:t>
            </w:r>
            <w:r>
              <w:rPr>
                <w:lang w:val="es-ES"/>
              </w:rPr>
              <w:t xml:space="preserve"> para los años adicionales en los cuales no se disponga de una estimación de la inflación esperada.</w:t>
            </w:r>
          </w:p>
        </w:tc>
      </w:tr>
    </w:tbl>
    <w:p w14:paraId="7AAC6DFE" w14:textId="77777777" w:rsidR="002C1A88" w:rsidRPr="002C1A88" w:rsidRDefault="00D530EB" w:rsidP="00D530EB">
      <w:pPr>
        <w:pStyle w:val="Ttulo2"/>
        <w:rPr>
          <w:lang w:val="es-ES"/>
        </w:rPr>
      </w:pPr>
      <w:bookmarkStart w:id="42" w:name="_Ref134203169"/>
      <w:bookmarkStart w:id="43" w:name="_Toc135788692"/>
      <w:bookmarkEnd w:id="8"/>
      <w:r w:rsidRPr="00BC52BF">
        <w:rPr>
          <w:lang w:val="es-ES"/>
        </w:rPr>
        <w:t>Sensibilidad del costo de capital a cambios en los parámetros de cálculo</w:t>
      </w:r>
      <w:bookmarkEnd w:id="42"/>
      <w:bookmarkEnd w:id="43"/>
    </w:p>
    <w:p w14:paraId="30111C04" w14:textId="1D51D995" w:rsidR="00B649C6" w:rsidRDefault="008A17FC" w:rsidP="00DF41CC">
      <w:pPr>
        <w:rPr>
          <w:lang w:val="es-ES"/>
        </w:rPr>
      </w:pPr>
      <w:r>
        <w:rPr>
          <w:lang w:val="es-ES"/>
        </w:rPr>
        <w:t>Tal y como se ha visto en las secciones anteriores</w:t>
      </w:r>
      <w:r w:rsidR="00A56456">
        <w:rPr>
          <w:lang w:val="es-ES"/>
        </w:rPr>
        <w:t>, en el cálculo del</w:t>
      </w:r>
      <w:r w:rsidR="00E034FF">
        <w:rPr>
          <w:lang w:val="es-ES"/>
        </w:rPr>
        <w:t xml:space="preserve"> </w:t>
      </w:r>
      <w:r w:rsidR="00044909" w:rsidRPr="00BC52BF">
        <w:rPr>
          <w:lang w:val="es-ES"/>
        </w:rPr>
        <w:t xml:space="preserve">CCPP es necesario especificar el nivel de apalancamiento para </w:t>
      </w:r>
      <w:r w:rsidR="000659F2">
        <w:rPr>
          <w:lang w:val="es-ES"/>
        </w:rPr>
        <w:t>ponderar</w:t>
      </w:r>
      <w:r w:rsidR="000659F2" w:rsidRPr="00BC52BF">
        <w:rPr>
          <w:lang w:val="es-ES"/>
        </w:rPr>
        <w:t xml:space="preserve"> </w:t>
      </w:r>
      <w:r w:rsidR="00044909" w:rsidRPr="00BC52BF">
        <w:rPr>
          <w:lang w:val="es-ES"/>
        </w:rPr>
        <w:t>los costos relativos del capital (</w:t>
      </w:r>
      <w:r w:rsidR="00044909" w:rsidRPr="00BC52BF">
        <w:rPr>
          <w:i/>
          <w:lang w:val="es-ES"/>
        </w:rPr>
        <w:t>equity</w:t>
      </w:r>
      <w:r w:rsidR="00044909" w:rsidRPr="00BC52BF">
        <w:rPr>
          <w:lang w:val="es-ES"/>
        </w:rPr>
        <w:t xml:space="preserve">) y la deuda. </w:t>
      </w:r>
      <w:r w:rsidR="00174C20">
        <w:rPr>
          <w:lang w:val="es-ES"/>
        </w:rPr>
        <w:t xml:space="preserve">Este </w:t>
      </w:r>
      <w:r w:rsidR="00A56456">
        <w:rPr>
          <w:lang w:val="es-ES"/>
        </w:rPr>
        <w:t xml:space="preserve">nivel de </w:t>
      </w:r>
      <w:r w:rsidR="00D530EB" w:rsidRPr="00BC52BF">
        <w:rPr>
          <w:lang w:val="es-ES"/>
        </w:rPr>
        <w:t xml:space="preserve">apalancamiento de la empresa también influye </w:t>
      </w:r>
      <w:r w:rsidR="00174C20">
        <w:rPr>
          <w:lang w:val="es-ES"/>
        </w:rPr>
        <w:t xml:space="preserve">también </w:t>
      </w:r>
      <w:r w:rsidR="00D530EB" w:rsidRPr="00BC52BF">
        <w:rPr>
          <w:lang w:val="es-ES"/>
        </w:rPr>
        <w:t xml:space="preserve">en el cálculo de </w:t>
      </w:r>
      <w:r w:rsidR="00D530EB" w:rsidRPr="00BC52BF">
        <w:rPr>
          <w:position w:val="-10"/>
          <w:lang w:val="es-ES"/>
        </w:rPr>
        <w:object w:dxaOrig="240" w:dyaOrig="320" w14:anchorId="2C7EC5CB">
          <v:shape id="_x0000_i1026" type="#_x0000_t75" alt="Fórmula" style="width:14.4pt;height:22.2pt" o:ole="">
            <v:imagedata r:id="rId22" o:title=""/>
          </v:shape>
          <o:OLEObject Type="Embed" ProgID="Equation.3" ShapeID="_x0000_i1026" DrawAspect="Content" ObjectID="_1747557915" r:id="rId23"/>
        </w:object>
      </w:r>
      <w:r w:rsidR="00D530EB" w:rsidRPr="00BC52BF">
        <w:rPr>
          <w:i/>
          <w:vertAlign w:val="subscript"/>
          <w:lang w:val="es-ES"/>
        </w:rPr>
        <w:t>equity</w:t>
      </w:r>
      <w:r w:rsidR="00D530EB" w:rsidRPr="00BC52BF">
        <w:rPr>
          <w:lang w:val="es-ES"/>
        </w:rPr>
        <w:t>,</w:t>
      </w:r>
      <w:r w:rsidR="00D530EB" w:rsidRPr="00BC52BF">
        <w:rPr>
          <w:i/>
          <w:iCs/>
          <w:vertAlign w:val="subscript"/>
          <w:lang w:val="es-ES"/>
        </w:rPr>
        <w:t xml:space="preserve"> </w:t>
      </w:r>
      <w:r w:rsidR="00174C20">
        <w:rPr>
          <w:lang w:val="es-ES"/>
        </w:rPr>
        <w:t xml:space="preserve">necesario en el cálculo de la </w:t>
      </w:r>
      <w:r w:rsidR="00D530EB" w:rsidRPr="00BC52BF">
        <w:rPr>
          <w:lang w:val="es-ES"/>
        </w:rPr>
        <w:t>tasa de retorno requerida para el capital</w:t>
      </w:r>
      <w:r w:rsidR="004F7112">
        <w:rPr>
          <w:lang w:val="es-ES"/>
        </w:rPr>
        <w:t xml:space="preserve"> y, eventualmente, un mayor nivel de apalancamiento podría tener un impacto relevante en aumentar la prima de riesgo asociada a la deuda.</w:t>
      </w:r>
    </w:p>
    <w:p w14:paraId="6396EB12" w14:textId="05A2BFB8" w:rsidR="002C1A88" w:rsidRPr="002C1A88" w:rsidRDefault="001841E5" w:rsidP="00DF41CC">
      <w:pPr>
        <w:rPr>
          <w:lang w:val="es-ES"/>
        </w:rPr>
      </w:pPr>
      <w:r>
        <w:rPr>
          <w:lang w:val="es-ES"/>
        </w:rPr>
        <w:t xml:space="preserve">Al aumentar el </w:t>
      </w:r>
      <w:r w:rsidR="00D530EB" w:rsidRPr="00BC52BF">
        <w:rPr>
          <w:lang w:val="es-ES"/>
        </w:rPr>
        <w:t>apalancamiento, una proporción mayor del costo de capital se debe al retorno sobre la deuda –</w:t>
      </w:r>
      <w:r>
        <w:rPr>
          <w:lang w:val="es-ES"/>
        </w:rPr>
        <w:t xml:space="preserve"> la cual suele tener </w:t>
      </w:r>
      <w:r w:rsidR="00D530EB" w:rsidRPr="00BC52BF">
        <w:rPr>
          <w:lang w:val="es-ES"/>
        </w:rPr>
        <w:t>una tasa menor que el capital</w:t>
      </w:r>
      <w:r w:rsidR="00D530EB">
        <w:rPr>
          <w:lang w:val="es-ES"/>
        </w:rPr>
        <w:t>–</w:t>
      </w:r>
      <w:r w:rsidR="00D530EB" w:rsidRPr="00BC52BF">
        <w:rPr>
          <w:lang w:val="es-ES"/>
        </w:rPr>
        <w:t xml:space="preserve">. Sin embargo, </w:t>
      </w:r>
      <w:r>
        <w:rPr>
          <w:lang w:val="es-ES"/>
        </w:rPr>
        <w:t>según aumenta</w:t>
      </w:r>
      <w:r w:rsidR="002D656F">
        <w:rPr>
          <w:lang w:val="es-ES"/>
        </w:rPr>
        <w:t xml:space="preserve"> el </w:t>
      </w:r>
      <w:r w:rsidR="00D530EB" w:rsidRPr="00BC52BF">
        <w:rPr>
          <w:lang w:val="es-ES"/>
        </w:rPr>
        <w:t>apalancamiento</w:t>
      </w:r>
      <w:r w:rsidR="00D530EB">
        <w:rPr>
          <w:lang w:val="es-ES"/>
        </w:rPr>
        <w:t>,</w:t>
      </w:r>
      <w:r w:rsidR="00D530EB" w:rsidRPr="00BC52BF">
        <w:rPr>
          <w:lang w:val="es-ES"/>
        </w:rPr>
        <w:t xml:space="preserve"> la prima de riesgo de la deuda y </w:t>
      </w:r>
      <w:r w:rsidR="00D530EB" w:rsidRPr="00BC52BF">
        <w:rPr>
          <w:position w:val="-10"/>
          <w:lang w:val="es-ES"/>
        </w:rPr>
        <w:object w:dxaOrig="240" w:dyaOrig="320" w14:anchorId="6638BF80">
          <v:shape id="_x0000_i1027" type="#_x0000_t75" alt="Fórmula" style="width:14.4pt;height:22.2pt" o:ole="">
            <v:imagedata r:id="rId22" o:title=""/>
          </v:shape>
          <o:OLEObject Type="Embed" ProgID="Equation.3" ShapeID="_x0000_i1027" DrawAspect="Content" ObjectID="_1747557916" r:id="rId24"/>
        </w:object>
      </w:r>
      <w:r w:rsidR="00D530EB" w:rsidRPr="00BC52BF">
        <w:rPr>
          <w:i/>
          <w:vertAlign w:val="subscript"/>
          <w:lang w:val="es-ES"/>
        </w:rPr>
        <w:t>equity</w:t>
      </w:r>
      <w:r w:rsidR="00D530EB" w:rsidRPr="00BC52BF">
        <w:rPr>
          <w:lang w:val="es-ES"/>
        </w:rPr>
        <w:t xml:space="preserve"> aumenta</w:t>
      </w:r>
      <w:r w:rsidR="002D656F">
        <w:rPr>
          <w:lang w:val="es-ES"/>
        </w:rPr>
        <w:t>rían</w:t>
      </w:r>
      <w:r w:rsidR="00D530EB" w:rsidRPr="00BC52BF">
        <w:rPr>
          <w:lang w:val="es-ES"/>
        </w:rPr>
        <w:t>, neutraliza</w:t>
      </w:r>
      <w:r w:rsidR="002D656F">
        <w:rPr>
          <w:lang w:val="es-ES"/>
        </w:rPr>
        <w:t>ndo</w:t>
      </w:r>
      <w:r w:rsidR="00D530EB" w:rsidRPr="00BC52BF">
        <w:rPr>
          <w:lang w:val="es-ES"/>
        </w:rPr>
        <w:t xml:space="preserve"> en gran medida los ahorros logrados mediante un mayor financiamiento a través de deuda. Est</w:t>
      </w:r>
      <w:r w:rsidR="002D656F">
        <w:rPr>
          <w:lang w:val="es-ES"/>
        </w:rPr>
        <w:t>e comportamiento</w:t>
      </w:r>
      <w:r w:rsidR="00D530EB" w:rsidRPr="00BC52BF">
        <w:rPr>
          <w:lang w:val="es-ES"/>
        </w:rPr>
        <w:t xml:space="preserve"> está ampliamente documentado y explicado en la hipótesis Modigliani-Miller.</w:t>
      </w:r>
      <w:r w:rsidR="0054342E" w:rsidRPr="0054342E">
        <w:rPr>
          <w:rStyle w:val="Refdenotaalpie"/>
          <w:lang w:val="es-ES"/>
        </w:rPr>
        <w:t xml:space="preserve"> </w:t>
      </w:r>
      <w:r w:rsidR="0054342E">
        <w:rPr>
          <w:rStyle w:val="Refdenotaalpie"/>
          <w:lang w:val="es-ES"/>
        </w:rPr>
        <w:footnoteReference w:id="14"/>
      </w:r>
      <w:r w:rsidR="00D530EB" w:rsidRPr="00BC52BF">
        <w:rPr>
          <w:lang w:val="es-ES"/>
        </w:rPr>
        <w:t xml:space="preserve"> </w:t>
      </w:r>
    </w:p>
    <w:p w14:paraId="39818435" w14:textId="2FC50947" w:rsidR="00044909" w:rsidRDefault="00D530EB" w:rsidP="002C1A88">
      <w:pPr>
        <w:rPr>
          <w:spacing w:val="-4"/>
          <w:lang w:val="es-ES"/>
        </w:rPr>
      </w:pPr>
      <w:r w:rsidRPr="00124A9D">
        <w:rPr>
          <w:spacing w:val="-4"/>
          <w:lang w:val="es-ES"/>
        </w:rPr>
        <w:t xml:space="preserve">Por lo tanto, el nivel de apalancamiento de la empresa tiene un impacto reducido en el nivel de CCPP. </w:t>
      </w:r>
    </w:p>
    <w:p w14:paraId="0FEA14E5" w14:textId="77777777" w:rsidR="00A058F1" w:rsidRDefault="00A058F1" w:rsidP="002C1A88">
      <w:pPr>
        <w:rPr>
          <w:spacing w:val="-4"/>
          <w:lang w:val="es-ES"/>
        </w:rPr>
      </w:pPr>
    </w:p>
    <w:p w14:paraId="6C287309" w14:textId="57FB0439" w:rsidR="00A058F1" w:rsidRDefault="00A058F1" w:rsidP="00A058F1">
      <w:pPr>
        <w:pStyle w:val="Ttulo1"/>
        <w:rPr>
          <w:lang w:val="es-ES"/>
        </w:rPr>
      </w:pPr>
      <w:bookmarkStart w:id="44" w:name="_Toc135788693"/>
      <w:r>
        <w:rPr>
          <w:lang w:val="es-ES"/>
        </w:rPr>
        <w:t>Valores y cálculo del CCPP</w:t>
      </w:r>
      <w:bookmarkEnd w:id="44"/>
    </w:p>
    <w:p w14:paraId="65082014" w14:textId="7B7F87BD" w:rsidR="00A058F1" w:rsidRDefault="00A058F1" w:rsidP="00A058F1">
      <w:pPr>
        <w:rPr>
          <w:lang w:val="es-ES"/>
        </w:rPr>
      </w:pPr>
      <w:r>
        <w:rPr>
          <w:lang w:val="es-ES"/>
        </w:rPr>
        <w:t xml:space="preserve">A </w:t>
      </w:r>
      <w:proofErr w:type="gramStart"/>
      <w:r>
        <w:rPr>
          <w:lang w:val="es-ES"/>
        </w:rPr>
        <w:t>continuación</w:t>
      </w:r>
      <w:proofErr w:type="gramEnd"/>
      <w:r>
        <w:rPr>
          <w:lang w:val="es-ES"/>
        </w:rPr>
        <w:t xml:space="preserve"> se presentan los valores</w:t>
      </w:r>
      <w:r w:rsidR="003E4659">
        <w:rPr>
          <w:lang w:val="es-ES"/>
        </w:rPr>
        <w:t xml:space="preserve"> propuestos para los distintos parámetros involucrados en el cálculo del CCPP, con base a la metodología descrita en el presente documento.</w:t>
      </w:r>
    </w:p>
    <w:p w14:paraId="7D965A54" w14:textId="37B0666F" w:rsidR="003E4659" w:rsidRPr="00183A36" w:rsidRDefault="003E4659" w:rsidP="003E4659">
      <w:pPr>
        <w:pStyle w:val="TableCaption"/>
        <w:rPr>
          <w:lang w:val="es-ES"/>
        </w:rPr>
      </w:pPr>
      <w:r>
        <w:rPr>
          <w:lang w:val="es-ES"/>
        </w:rPr>
        <w:t>Figura</w:t>
      </w:r>
      <w:r w:rsidRPr="00183A36">
        <w:rPr>
          <w:lang w:val="es-ES"/>
        </w:rPr>
        <w:t xml:space="preserve"> </w:t>
      </w:r>
      <w:r>
        <w:rPr>
          <w:lang w:val="es-ES"/>
        </w:rPr>
        <w:fldChar w:fldCharType="begin"/>
      </w:r>
      <w:r w:rsidRPr="00183A36">
        <w:rPr>
          <w:lang w:val="es-ES"/>
        </w:rPr>
        <w:instrText xml:space="preserve"> STYLEREF 1 \s \* MERGEFORMAT </w:instrText>
      </w:r>
      <w:r>
        <w:rPr>
          <w:lang w:val="es-ES"/>
        </w:rPr>
        <w:fldChar w:fldCharType="separate"/>
      </w:r>
      <w:r w:rsidR="001F1D48">
        <w:rPr>
          <w:noProof/>
          <w:lang w:val="es-ES"/>
        </w:rPr>
        <w:t>4</w:t>
      </w:r>
      <w:r>
        <w:rPr>
          <w:lang w:val="es-ES"/>
        </w:rPr>
        <w:fldChar w:fldCharType="end"/>
      </w:r>
      <w:r w:rsidRPr="00183A36">
        <w:rPr>
          <w:lang w:val="es-ES"/>
        </w:rPr>
        <w:t>.</w:t>
      </w:r>
      <w:r>
        <w:rPr>
          <w:lang w:val="es-ES"/>
        </w:rPr>
        <w:fldChar w:fldCharType="begin"/>
      </w:r>
      <w:r w:rsidRPr="00183A36">
        <w:rPr>
          <w:lang w:val="es-ES"/>
        </w:rPr>
        <w:instrText xml:space="preserve"> </w:instrText>
      </w:r>
      <w:r>
        <w:rPr>
          <w:lang w:val="es-ES"/>
        </w:rPr>
        <w:instrText>SEQ Ilustración</w:instrText>
      </w:r>
      <w:r w:rsidRPr="00183A36">
        <w:rPr>
          <w:lang w:val="es-ES"/>
        </w:rPr>
        <w:instrText xml:space="preserve"> \* ARABIC \s 1 \* MERGEFORMAT </w:instrText>
      </w:r>
      <w:r>
        <w:rPr>
          <w:lang w:val="es-ES"/>
        </w:rPr>
        <w:fldChar w:fldCharType="separate"/>
      </w:r>
      <w:r w:rsidR="001F1D48">
        <w:rPr>
          <w:noProof/>
          <w:lang w:val="es-ES"/>
        </w:rPr>
        <w:t>1</w:t>
      </w:r>
      <w:r>
        <w:rPr>
          <w:lang w:val="es-ES"/>
        </w:rPr>
        <w:fldChar w:fldCharType="end"/>
      </w:r>
      <w:r w:rsidRPr="00183A36">
        <w:rPr>
          <w:lang w:val="es-ES"/>
        </w:rPr>
        <w:t xml:space="preserve">: </w:t>
      </w:r>
      <w:r>
        <w:rPr>
          <w:lang w:val="es-ES"/>
        </w:rPr>
        <w:t>Valores para el cálculo del CCPP</w:t>
      </w:r>
      <w:r w:rsidRPr="00183A36">
        <w:rPr>
          <w:lang w:val="es-ES"/>
        </w:rPr>
        <w:t xml:space="preserve"> [</w:t>
      </w:r>
      <w:r>
        <w:rPr>
          <w:lang w:val="es-ES"/>
        </w:rPr>
        <w:t>Fuente</w:t>
      </w:r>
      <w:r w:rsidRPr="00183A36">
        <w:rPr>
          <w:lang w:val="es-ES"/>
        </w:rPr>
        <w:t>: Analysys Mason, 2023]</w:t>
      </w:r>
    </w:p>
    <w:tbl>
      <w:tblPr>
        <w:tblStyle w:val="Sombreadomedio2-nfasis1"/>
        <w:tblW w:w="8788"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4252"/>
        <w:gridCol w:w="2268"/>
        <w:gridCol w:w="2268"/>
      </w:tblGrid>
      <w:tr w:rsidR="00823242" w:rsidRPr="008D32BD" w14:paraId="0FCF5C85" w14:textId="77777777" w:rsidTr="00823242">
        <w:trPr>
          <w:cnfStyle w:val="100000000000" w:firstRow="1" w:lastRow="0" w:firstColumn="0" w:lastColumn="0" w:oddVBand="0" w:evenVBand="0" w:oddHBand="0" w:evenHBand="0" w:firstRowFirstColumn="0" w:firstRowLastColumn="0" w:lastRowFirstColumn="0" w:lastRowLastColumn="0"/>
          <w:tblHeader/>
        </w:trPr>
        <w:tc>
          <w:tcPr>
            <w:tcW w:w="4252" w:type="dxa"/>
            <w:tcBorders>
              <w:bottom w:val="single" w:sz="18" w:space="0" w:color="FFFFFF"/>
            </w:tcBorders>
            <w:shd w:val="solid" w:color="0F51B1" w:fill="0F51B1"/>
          </w:tcPr>
          <w:p w14:paraId="0C14353D" w14:textId="3349C338" w:rsidR="003E4659" w:rsidRPr="008D32BD" w:rsidRDefault="003E4659" w:rsidP="003E4659">
            <w:pPr>
              <w:pStyle w:val="Tableheading"/>
              <w:rPr>
                <w:b/>
                <w:szCs w:val="20"/>
                <w:lang w:val="es-ES"/>
              </w:rPr>
            </w:pPr>
            <w:r w:rsidRPr="008D32BD">
              <w:rPr>
                <w:b/>
                <w:szCs w:val="20"/>
                <w:lang w:val="es-ES"/>
              </w:rPr>
              <w:t>Parámetro</w:t>
            </w:r>
          </w:p>
        </w:tc>
        <w:tc>
          <w:tcPr>
            <w:tcW w:w="2268" w:type="dxa"/>
            <w:tcBorders>
              <w:bottom w:val="single" w:sz="18" w:space="0" w:color="FFFFFF"/>
            </w:tcBorders>
            <w:shd w:val="solid" w:color="0F51B1" w:fill="0F51B1"/>
          </w:tcPr>
          <w:p w14:paraId="7E4B2E36" w14:textId="3A7F1F9B" w:rsidR="003E4659" w:rsidRPr="008D32BD" w:rsidRDefault="003E4659" w:rsidP="00A00FEB">
            <w:pPr>
              <w:pStyle w:val="Tableheading"/>
              <w:jc w:val="center"/>
              <w:rPr>
                <w:b/>
                <w:szCs w:val="20"/>
                <w:lang w:val="es-ES"/>
              </w:rPr>
            </w:pPr>
            <w:r w:rsidRPr="008D32BD">
              <w:rPr>
                <w:b/>
                <w:szCs w:val="20"/>
                <w:lang w:val="es-ES"/>
              </w:rPr>
              <w:t>CCPP de redes móviles</w:t>
            </w:r>
          </w:p>
        </w:tc>
        <w:tc>
          <w:tcPr>
            <w:tcW w:w="2268" w:type="dxa"/>
            <w:tcBorders>
              <w:bottom w:val="single" w:sz="18" w:space="0" w:color="FFFFFF"/>
            </w:tcBorders>
            <w:shd w:val="solid" w:color="0F51B1" w:fill="0F51B1"/>
          </w:tcPr>
          <w:p w14:paraId="2538D1A5" w14:textId="4AE88804" w:rsidR="003E4659" w:rsidRPr="008D32BD" w:rsidRDefault="003E4659" w:rsidP="00A00FEB">
            <w:pPr>
              <w:pStyle w:val="Tableheading"/>
              <w:jc w:val="center"/>
              <w:rPr>
                <w:b/>
                <w:szCs w:val="20"/>
                <w:lang w:val="es-ES"/>
              </w:rPr>
            </w:pPr>
            <w:r w:rsidRPr="008D32BD">
              <w:rPr>
                <w:b/>
                <w:szCs w:val="20"/>
                <w:lang w:val="es-ES"/>
              </w:rPr>
              <w:t>CCPP de redes fijas</w:t>
            </w:r>
          </w:p>
        </w:tc>
      </w:tr>
      <w:tr w:rsidR="00166DEB" w:rsidRPr="008D32BD" w14:paraId="3A75BB63" w14:textId="77777777" w:rsidTr="00786B06">
        <w:tc>
          <w:tcPr>
            <w:tcW w:w="4252" w:type="dxa"/>
            <w:tcBorders>
              <w:top w:val="single" w:sz="18" w:space="0" w:color="FFFFFF"/>
            </w:tcBorders>
          </w:tcPr>
          <w:p w14:paraId="211D08ED" w14:textId="14625ED6" w:rsidR="00166DEB" w:rsidRPr="008D32BD" w:rsidRDefault="00166DEB" w:rsidP="00166DEB">
            <w:pPr>
              <w:pStyle w:val="Tablecells"/>
              <w:rPr>
                <w:b/>
                <w:bCs/>
                <w:szCs w:val="20"/>
                <w:lang w:val="es-ES"/>
              </w:rPr>
            </w:pPr>
            <w:r w:rsidRPr="008D32BD">
              <w:rPr>
                <w:b/>
                <w:bCs/>
                <w:szCs w:val="20"/>
                <w:lang w:val="es-ES"/>
              </w:rPr>
              <w:t>Costo de capital (equity)</w:t>
            </w:r>
          </w:p>
        </w:tc>
        <w:tc>
          <w:tcPr>
            <w:tcW w:w="2268" w:type="dxa"/>
            <w:tcBorders>
              <w:top w:val="single" w:sz="18" w:space="0" w:color="FFFFFF"/>
            </w:tcBorders>
            <w:vAlign w:val="center"/>
          </w:tcPr>
          <w:p w14:paraId="71EC1ED2" w14:textId="09B11F62" w:rsidR="00166DEB" w:rsidRPr="008D32BD" w:rsidRDefault="00166DEB" w:rsidP="00166DEB">
            <w:pPr>
              <w:pStyle w:val="Tablecells"/>
              <w:jc w:val="right"/>
              <w:rPr>
                <w:b/>
                <w:bCs/>
                <w:szCs w:val="20"/>
                <w:lang w:val="es-ES"/>
              </w:rPr>
            </w:pPr>
            <w:r w:rsidRPr="008D32BD">
              <w:rPr>
                <w:rFonts w:cs="Arial"/>
                <w:b/>
                <w:bCs/>
                <w:szCs w:val="20"/>
              </w:rPr>
              <w:t>9.33%</w:t>
            </w:r>
          </w:p>
        </w:tc>
        <w:tc>
          <w:tcPr>
            <w:tcW w:w="2268" w:type="dxa"/>
            <w:tcBorders>
              <w:top w:val="single" w:sz="18" w:space="0" w:color="FFFFFF"/>
            </w:tcBorders>
            <w:vAlign w:val="center"/>
          </w:tcPr>
          <w:p w14:paraId="0A675D5F" w14:textId="035619B6" w:rsidR="00166DEB" w:rsidRPr="008D32BD" w:rsidRDefault="00166DEB" w:rsidP="00166DEB">
            <w:pPr>
              <w:pStyle w:val="Tablecells"/>
              <w:jc w:val="right"/>
              <w:rPr>
                <w:b/>
                <w:bCs/>
                <w:szCs w:val="20"/>
                <w:lang w:val="es-ES"/>
              </w:rPr>
            </w:pPr>
            <w:r w:rsidRPr="008D32BD">
              <w:rPr>
                <w:rFonts w:cs="Arial"/>
                <w:b/>
                <w:bCs/>
                <w:szCs w:val="20"/>
              </w:rPr>
              <w:t>9.02%</w:t>
            </w:r>
          </w:p>
        </w:tc>
      </w:tr>
      <w:tr w:rsidR="002C6664" w:rsidRPr="008D32BD" w14:paraId="62190C0E" w14:textId="77777777" w:rsidTr="0087131E">
        <w:tc>
          <w:tcPr>
            <w:tcW w:w="4252" w:type="dxa"/>
          </w:tcPr>
          <w:p w14:paraId="51A28F71" w14:textId="37078CAC" w:rsidR="002C6664" w:rsidRPr="008D32BD" w:rsidRDefault="002C6664" w:rsidP="002C6664">
            <w:pPr>
              <w:pStyle w:val="Tablecells"/>
              <w:rPr>
                <w:szCs w:val="20"/>
                <w:lang w:val="es-ES"/>
              </w:rPr>
            </w:pPr>
            <w:r w:rsidRPr="008D32BD">
              <w:rPr>
                <w:szCs w:val="20"/>
                <w:lang w:val="es-ES"/>
              </w:rPr>
              <w:t xml:space="preserve">     Tasa libre de riesgo en México</w:t>
            </w:r>
          </w:p>
        </w:tc>
        <w:tc>
          <w:tcPr>
            <w:tcW w:w="2268" w:type="dxa"/>
            <w:vAlign w:val="center"/>
          </w:tcPr>
          <w:p w14:paraId="6465D105" w14:textId="2523A9A6" w:rsidR="002C6664" w:rsidRPr="008D32BD" w:rsidRDefault="002C6664" w:rsidP="002C6664">
            <w:pPr>
              <w:pStyle w:val="Tablecells"/>
              <w:jc w:val="right"/>
              <w:rPr>
                <w:szCs w:val="20"/>
                <w:lang w:val="es-ES"/>
              </w:rPr>
            </w:pPr>
            <w:r w:rsidRPr="008D32BD">
              <w:rPr>
                <w:rFonts w:cs="Arial"/>
                <w:szCs w:val="20"/>
              </w:rPr>
              <w:t>3.56%</w:t>
            </w:r>
          </w:p>
        </w:tc>
        <w:tc>
          <w:tcPr>
            <w:tcW w:w="2268" w:type="dxa"/>
            <w:vAlign w:val="center"/>
          </w:tcPr>
          <w:p w14:paraId="31108708" w14:textId="642FF93A" w:rsidR="002C6664" w:rsidRPr="008D32BD" w:rsidRDefault="002C6664" w:rsidP="002C6664">
            <w:pPr>
              <w:pStyle w:val="Tablecells"/>
              <w:jc w:val="right"/>
              <w:rPr>
                <w:szCs w:val="20"/>
                <w:lang w:val="es-ES"/>
              </w:rPr>
            </w:pPr>
            <w:r w:rsidRPr="008D32BD">
              <w:rPr>
                <w:rFonts w:cs="Arial"/>
                <w:szCs w:val="20"/>
              </w:rPr>
              <w:t>3.56%</w:t>
            </w:r>
          </w:p>
        </w:tc>
      </w:tr>
      <w:tr w:rsidR="0066170E" w:rsidRPr="008D32BD" w14:paraId="203A0DF3" w14:textId="77777777" w:rsidTr="00310C92">
        <w:tc>
          <w:tcPr>
            <w:tcW w:w="4252" w:type="dxa"/>
          </w:tcPr>
          <w:p w14:paraId="7D09FCA0" w14:textId="5E7D7E94" w:rsidR="0066170E" w:rsidRPr="008D32BD" w:rsidRDefault="0066170E" w:rsidP="0066170E">
            <w:pPr>
              <w:pStyle w:val="Tablecells"/>
              <w:rPr>
                <w:szCs w:val="20"/>
                <w:lang w:val="es-ES"/>
              </w:rPr>
            </w:pPr>
            <w:r w:rsidRPr="008D32BD">
              <w:rPr>
                <w:szCs w:val="20"/>
                <w:lang w:val="es-ES"/>
              </w:rPr>
              <w:t xml:space="preserve">          Tasa libre de riesgo en EEUU</w:t>
            </w:r>
          </w:p>
        </w:tc>
        <w:tc>
          <w:tcPr>
            <w:tcW w:w="2268" w:type="dxa"/>
            <w:vAlign w:val="center"/>
          </w:tcPr>
          <w:p w14:paraId="032D82BC" w14:textId="62FAEDB6" w:rsidR="0066170E" w:rsidRPr="008D32BD" w:rsidRDefault="0066170E" w:rsidP="0066170E">
            <w:pPr>
              <w:pStyle w:val="Tablecells"/>
              <w:jc w:val="right"/>
              <w:rPr>
                <w:szCs w:val="20"/>
                <w:lang w:val="es-ES"/>
              </w:rPr>
            </w:pPr>
            <w:r w:rsidRPr="008D32BD">
              <w:rPr>
                <w:rFonts w:cs="Arial"/>
                <w:szCs w:val="20"/>
              </w:rPr>
              <w:t>2.07%</w:t>
            </w:r>
          </w:p>
        </w:tc>
        <w:tc>
          <w:tcPr>
            <w:tcW w:w="2268" w:type="dxa"/>
            <w:vAlign w:val="center"/>
          </w:tcPr>
          <w:p w14:paraId="03FD1C79" w14:textId="4F7E494A" w:rsidR="0066170E" w:rsidRPr="008D32BD" w:rsidRDefault="0066170E" w:rsidP="0066170E">
            <w:pPr>
              <w:pStyle w:val="Tablecells"/>
              <w:jc w:val="right"/>
              <w:rPr>
                <w:szCs w:val="20"/>
                <w:lang w:val="es-ES"/>
              </w:rPr>
            </w:pPr>
            <w:r w:rsidRPr="008D32BD">
              <w:rPr>
                <w:rFonts w:cs="Arial"/>
                <w:szCs w:val="20"/>
              </w:rPr>
              <w:t>2.07%</w:t>
            </w:r>
          </w:p>
        </w:tc>
      </w:tr>
      <w:tr w:rsidR="0066170E" w:rsidRPr="008D32BD" w14:paraId="2A676AB2" w14:textId="77777777" w:rsidTr="00310C92">
        <w:tc>
          <w:tcPr>
            <w:tcW w:w="4252" w:type="dxa"/>
          </w:tcPr>
          <w:p w14:paraId="4B6B73ED" w14:textId="7467CE53" w:rsidR="0066170E" w:rsidRPr="008D32BD" w:rsidRDefault="0066170E" w:rsidP="0066170E">
            <w:pPr>
              <w:pStyle w:val="Tablecells"/>
              <w:rPr>
                <w:szCs w:val="20"/>
                <w:lang w:val="es-ES"/>
              </w:rPr>
            </w:pPr>
            <w:r w:rsidRPr="008D32BD">
              <w:rPr>
                <w:szCs w:val="20"/>
                <w:lang w:val="es-ES"/>
              </w:rPr>
              <w:t xml:space="preserve">          Prima de riesgo país para México</w:t>
            </w:r>
          </w:p>
        </w:tc>
        <w:tc>
          <w:tcPr>
            <w:tcW w:w="2268" w:type="dxa"/>
            <w:vAlign w:val="center"/>
          </w:tcPr>
          <w:p w14:paraId="744B3B56" w14:textId="3ACE847C" w:rsidR="0066170E" w:rsidRPr="008D32BD" w:rsidRDefault="0066170E" w:rsidP="0066170E">
            <w:pPr>
              <w:pStyle w:val="Tablecells"/>
              <w:jc w:val="right"/>
              <w:rPr>
                <w:szCs w:val="20"/>
                <w:lang w:val="es-ES"/>
              </w:rPr>
            </w:pPr>
            <w:r w:rsidRPr="008D32BD">
              <w:rPr>
                <w:rFonts w:cs="Arial"/>
                <w:szCs w:val="20"/>
              </w:rPr>
              <w:t>1.49%</w:t>
            </w:r>
          </w:p>
        </w:tc>
        <w:tc>
          <w:tcPr>
            <w:tcW w:w="2268" w:type="dxa"/>
            <w:vAlign w:val="center"/>
          </w:tcPr>
          <w:p w14:paraId="05305632" w14:textId="1FBD5267" w:rsidR="0066170E" w:rsidRPr="008D32BD" w:rsidRDefault="0066170E" w:rsidP="0066170E">
            <w:pPr>
              <w:pStyle w:val="Tablecells"/>
              <w:jc w:val="right"/>
              <w:rPr>
                <w:szCs w:val="20"/>
                <w:lang w:val="es-ES"/>
              </w:rPr>
            </w:pPr>
            <w:r w:rsidRPr="008D32BD">
              <w:rPr>
                <w:rFonts w:cs="Arial"/>
                <w:szCs w:val="20"/>
              </w:rPr>
              <w:t>1.49%</w:t>
            </w:r>
          </w:p>
        </w:tc>
      </w:tr>
      <w:tr w:rsidR="002C6664" w:rsidRPr="008D32BD" w14:paraId="629CA8CF" w14:textId="77777777" w:rsidTr="00DA17C0">
        <w:tc>
          <w:tcPr>
            <w:tcW w:w="4252" w:type="dxa"/>
          </w:tcPr>
          <w:p w14:paraId="6F196E4B" w14:textId="4E2BD479" w:rsidR="002C6664" w:rsidRPr="008D32BD" w:rsidRDefault="002C6664" w:rsidP="002C6664">
            <w:pPr>
              <w:pStyle w:val="Tablecells"/>
              <w:rPr>
                <w:szCs w:val="20"/>
                <w:lang w:val="es-ES"/>
              </w:rPr>
            </w:pPr>
            <w:r w:rsidRPr="008D32BD">
              <w:rPr>
                <w:szCs w:val="20"/>
                <w:lang w:val="es-ES"/>
              </w:rPr>
              <w:t xml:space="preserve">     Prima de riesgo de mercado en México</w:t>
            </w:r>
          </w:p>
        </w:tc>
        <w:tc>
          <w:tcPr>
            <w:tcW w:w="2268" w:type="dxa"/>
            <w:vAlign w:val="center"/>
          </w:tcPr>
          <w:p w14:paraId="3DA9206B" w14:textId="5F68F7E7" w:rsidR="002C6664" w:rsidRPr="008D32BD" w:rsidRDefault="002C6664" w:rsidP="002C6664">
            <w:pPr>
              <w:pStyle w:val="Tablecells"/>
              <w:jc w:val="right"/>
              <w:rPr>
                <w:szCs w:val="20"/>
                <w:lang w:val="es-ES"/>
              </w:rPr>
            </w:pPr>
            <w:r w:rsidRPr="008D32BD">
              <w:rPr>
                <w:rFonts w:cs="Arial"/>
                <w:szCs w:val="20"/>
              </w:rPr>
              <w:t>8.57%</w:t>
            </w:r>
          </w:p>
        </w:tc>
        <w:tc>
          <w:tcPr>
            <w:tcW w:w="2268" w:type="dxa"/>
            <w:vAlign w:val="center"/>
          </w:tcPr>
          <w:p w14:paraId="1C4D7560" w14:textId="58FB3E85" w:rsidR="002C6664" w:rsidRPr="008D32BD" w:rsidRDefault="002C6664" w:rsidP="002C6664">
            <w:pPr>
              <w:pStyle w:val="Tablecells"/>
              <w:jc w:val="right"/>
              <w:rPr>
                <w:szCs w:val="20"/>
                <w:lang w:val="es-ES"/>
              </w:rPr>
            </w:pPr>
            <w:r w:rsidRPr="008D32BD">
              <w:rPr>
                <w:rFonts w:cs="Arial"/>
                <w:szCs w:val="20"/>
              </w:rPr>
              <w:t>8.57%</w:t>
            </w:r>
          </w:p>
        </w:tc>
      </w:tr>
      <w:tr w:rsidR="002C6664" w:rsidRPr="008D32BD" w14:paraId="2F08F2B8" w14:textId="77777777" w:rsidTr="00E16194">
        <w:tc>
          <w:tcPr>
            <w:tcW w:w="4252" w:type="dxa"/>
          </w:tcPr>
          <w:p w14:paraId="36798DDA" w14:textId="05A43512" w:rsidR="002C6664" w:rsidRPr="008D32BD" w:rsidRDefault="002C6664" w:rsidP="002C6664">
            <w:pPr>
              <w:pStyle w:val="Tablecells"/>
              <w:rPr>
                <w:szCs w:val="20"/>
                <w:lang w:val="es-ES"/>
              </w:rPr>
            </w:pPr>
            <w:r w:rsidRPr="008D32BD">
              <w:rPr>
                <w:szCs w:val="20"/>
                <w:lang w:val="es-ES"/>
              </w:rPr>
              <w:t xml:space="preserve">          Prima de riesgo de mercado en EEUU</w:t>
            </w:r>
          </w:p>
        </w:tc>
        <w:tc>
          <w:tcPr>
            <w:tcW w:w="2268" w:type="dxa"/>
            <w:vAlign w:val="center"/>
          </w:tcPr>
          <w:p w14:paraId="7043C107" w14:textId="436EB702" w:rsidR="002C6664" w:rsidRPr="008D32BD" w:rsidRDefault="002C6664" w:rsidP="002C6664">
            <w:pPr>
              <w:pStyle w:val="Tablecells"/>
              <w:jc w:val="right"/>
              <w:rPr>
                <w:szCs w:val="20"/>
                <w:lang w:val="es-ES"/>
              </w:rPr>
            </w:pPr>
            <w:r w:rsidRPr="008D32BD">
              <w:rPr>
                <w:rFonts w:cs="Arial"/>
                <w:szCs w:val="20"/>
              </w:rPr>
              <w:t>5.21%</w:t>
            </w:r>
          </w:p>
        </w:tc>
        <w:tc>
          <w:tcPr>
            <w:tcW w:w="2268" w:type="dxa"/>
            <w:vAlign w:val="center"/>
          </w:tcPr>
          <w:p w14:paraId="72512BC4" w14:textId="096FA145" w:rsidR="002C6664" w:rsidRPr="008D32BD" w:rsidRDefault="002C6664" w:rsidP="002C6664">
            <w:pPr>
              <w:pStyle w:val="Tablecells"/>
              <w:jc w:val="right"/>
              <w:rPr>
                <w:szCs w:val="20"/>
                <w:lang w:val="es-ES"/>
              </w:rPr>
            </w:pPr>
            <w:r w:rsidRPr="008D32BD">
              <w:rPr>
                <w:rFonts w:cs="Arial"/>
                <w:szCs w:val="20"/>
              </w:rPr>
              <w:t>5.21%</w:t>
            </w:r>
          </w:p>
        </w:tc>
      </w:tr>
      <w:tr w:rsidR="00460C31" w:rsidRPr="008D32BD" w14:paraId="72F88535" w14:textId="77777777" w:rsidTr="00A30B94">
        <w:tc>
          <w:tcPr>
            <w:tcW w:w="4252" w:type="dxa"/>
          </w:tcPr>
          <w:p w14:paraId="6E0535E9" w14:textId="7AF6FA1B" w:rsidR="00460C31" w:rsidRPr="008D32BD" w:rsidRDefault="00460C31" w:rsidP="00460C31">
            <w:pPr>
              <w:pStyle w:val="Tablecells"/>
              <w:rPr>
                <w:szCs w:val="20"/>
                <w:lang w:val="es-ES"/>
              </w:rPr>
            </w:pPr>
            <w:r w:rsidRPr="008D32BD">
              <w:rPr>
                <w:szCs w:val="20"/>
                <w:lang w:val="es-ES"/>
              </w:rPr>
              <w:t xml:space="preserve">          Factor de volatilidad para México</w:t>
            </w:r>
          </w:p>
        </w:tc>
        <w:tc>
          <w:tcPr>
            <w:tcW w:w="2268" w:type="dxa"/>
            <w:vAlign w:val="center"/>
          </w:tcPr>
          <w:p w14:paraId="58F20ACD" w14:textId="703B608E" w:rsidR="00460C31" w:rsidRPr="008D32BD" w:rsidRDefault="00460C31" w:rsidP="00460C31">
            <w:pPr>
              <w:pStyle w:val="Tablecells"/>
              <w:jc w:val="right"/>
              <w:rPr>
                <w:szCs w:val="20"/>
                <w:lang w:val="es-ES"/>
              </w:rPr>
            </w:pPr>
            <w:r w:rsidRPr="008D32BD">
              <w:rPr>
                <w:rFonts w:cs="Arial"/>
                <w:szCs w:val="20"/>
              </w:rPr>
              <w:t xml:space="preserve">2.25 </w:t>
            </w:r>
          </w:p>
        </w:tc>
        <w:tc>
          <w:tcPr>
            <w:tcW w:w="2268" w:type="dxa"/>
            <w:vAlign w:val="center"/>
          </w:tcPr>
          <w:p w14:paraId="58954EAF" w14:textId="77A1EF60" w:rsidR="00460C31" w:rsidRPr="008D32BD" w:rsidRDefault="00460C31" w:rsidP="00460C31">
            <w:pPr>
              <w:pStyle w:val="Tablecells"/>
              <w:jc w:val="right"/>
              <w:rPr>
                <w:szCs w:val="20"/>
                <w:lang w:val="es-ES"/>
              </w:rPr>
            </w:pPr>
            <w:r w:rsidRPr="008D32BD">
              <w:rPr>
                <w:rFonts w:cs="Arial"/>
                <w:szCs w:val="20"/>
              </w:rPr>
              <w:t xml:space="preserve">2.25 </w:t>
            </w:r>
          </w:p>
        </w:tc>
      </w:tr>
      <w:tr w:rsidR="00460C31" w:rsidRPr="008D32BD" w14:paraId="208E4D56" w14:textId="77777777" w:rsidTr="00601FD6">
        <w:tc>
          <w:tcPr>
            <w:tcW w:w="4252" w:type="dxa"/>
          </w:tcPr>
          <w:p w14:paraId="116B3F74" w14:textId="1BCFA8B6" w:rsidR="00460C31" w:rsidRPr="008D32BD" w:rsidRDefault="00460C31" w:rsidP="00460C31">
            <w:pPr>
              <w:pStyle w:val="Tablecells"/>
              <w:rPr>
                <w:szCs w:val="20"/>
                <w:lang w:val="es-ES"/>
              </w:rPr>
            </w:pPr>
            <w:r w:rsidRPr="008D32BD">
              <w:rPr>
                <w:szCs w:val="20"/>
                <w:lang w:val="es-ES"/>
              </w:rPr>
              <w:t xml:space="preserve">          Prima de riesgo país para México</w:t>
            </w:r>
          </w:p>
        </w:tc>
        <w:tc>
          <w:tcPr>
            <w:tcW w:w="2268" w:type="dxa"/>
            <w:vAlign w:val="center"/>
          </w:tcPr>
          <w:p w14:paraId="5A6DF6F7" w14:textId="1687AA4A" w:rsidR="00460C31" w:rsidRPr="008D32BD" w:rsidRDefault="00460C31" w:rsidP="00460C31">
            <w:pPr>
              <w:pStyle w:val="Tablecells"/>
              <w:jc w:val="right"/>
              <w:rPr>
                <w:szCs w:val="20"/>
                <w:lang w:val="es-ES"/>
              </w:rPr>
            </w:pPr>
            <w:r w:rsidRPr="008D32BD">
              <w:rPr>
                <w:rFonts w:cs="Arial"/>
                <w:szCs w:val="20"/>
              </w:rPr>
              <w:t>1.49%</w:t>
            </w:r>
          </w:p>
        </w:tc>
        <w:tc>
          <w:tcPr>
            <w:tcW w:w="2268" w:type="dxa"/>
            <w:vAlign w:val="center"/>
          </w:tcPr>
          <w:p w14:paraId="47A859EA" w14:textId="6D9C9ECA" w:rsidR="00460C31" w:rsidRPr="008D32BD" w:rsidRDefault="00460C31" w:rsidP="00460C31">
            <w:pPr>
              <w:pStyle w:val="Tablecells"/>
              <w:jc w:val="right"/>
              <w:rPr>
                <w:szCs w:val="20"/>
                <w:lang w:val="es-ES"/>
              </w:rPr>
            </w:pPr>
            <w:r w:rsidRPr="008D32BD">
              <w:rPr>
                <w:rFonts w:cs="Arial"/>
                <w:szCs w:val="20"/>
              </w:rPr>
              <w:t>1.49%</w:t>
            </w:r>
          </w:p>
        </w:tc>
      </w:tr>
      <w:tr w:rsidR="00460C31" w:rsidRPr="008D32BD" w14:paraId="6EB6FEFE" w14:textId="77777777" w:rsidTr="000A6D46">
        <w:tc>
          <w:tcPr>
            <w:tcW w:w="4252" w:type="dxa"/>
            <w:tcBorders>
              <w:bottom w:val="single" w:sz="18" w:space="0" w:color="FFFFFF" w:themeColor="background1"/>
            </w:tcBorders>
          </w:tcPr>
          <w:p w14:paraId="34C8D3C0" w14:textId="05F315FB" w:rsidR="00460C31" w:rsidRPr="008D32BD" w:rsidRDefault="00460C31" w:rsidP="00460C31">
            <w:pPr>
              <w:pStyle w:val="Tablecells"/>
              <w:rPr>
                <w:szCs w:val="20"/>
                <w:lang w:val="es-ES"/>
              </w:rPr>
            </w:pPr>
            <w:r w:rsidRPr="008D32BD">
              <w:rPr>
                <w:szCs w:val="20"/>
                <w:lang w:val="es-ES"/>
              </w:rPr>
              <w:t xml:space="preserve">     Beta</w:t>
            </w:r>
          </w:p>
        </w:tc>
        <w:tc>
          <w:tcPr>
            <w:tcW w:w="2268" w:type="dxa"/>
            <w:tcBorders>
              <w:bottom w:val="single" w:sz="18" w:space="0" w:color="FFFFFF" w:themeColor="background1"/>
            </w:tcBorders>
            <w:vAlign w:val="center"/>
          </w:tcPr>
          <w:p w14:paraId="17702ACB" w14:textId="6A701CB3" w:rsidR="00460C31" w:rsidRPr="008D32BD" w:rsidRDefault="00460C31" w:rsidP="00460C31">
            <w:pPr>
              <w:pStyle w:val="Tablecells"/>
              <w:jc w:val="right"/>
              <w:rPr>
                <w:szCs w:val="20"/>
                <w:lang w:val="es-ES"/>
              </w:rPr>
            </w:pPr>
            <w:r w:rsidRPr="008D32BD">
              <w:rPr>
                <w:rFonts w:cs="Arial"/>
                <w:szCs w:val="20"/>
              </w:rPr>
              <w:t xml:space="preserve">0.67 </w:t>
            </w:r>
          </w:p>
        </w:tc>
        <w:tc>
          <w:tcPr>
            <w:tcW w:w="2268" w:type="dxa"/>
            <w:tcBorders>
              <w:bottom w:val="single" w:sz="18" w:space="0" w:color="FFFFFF" w:themeColor="background1"/>
            </w:tcBorders>
            <w:vAlign w:val="center"/>
          </w:tcPr>
          <w:p w14:paraId="45267082" w14:textId="6A09EE98" w:rsidR="00460C31" w:rsidRPr="008D32BD" w:rsidRDefault="00460C31" w:rsidP="00460C31">
            <w:pPr>
              <w:pStyle w:val="Tablecells"/>
              <w:jc w:val="right"/>
              <w:rPr>
                <w:szCs w:val="20"/>
                <w:lang w:val="es-ES"/>
              </w:rPr>
            </w:pPr>
            <w:r w:rsidRPr="008D32BD">
              <w:rPr>
                <w:rFonts w:cs="Arial"/>
                <w:szCs w:val="20"/>
              </w:rPr>
              <w:t xml:space="preserve">0.64 </w:t>
            </w:r>
          </w:p>
        </w:tc>
      </w:tr>
      <w:tr w:rsidR="00516384" w:rsidRPr="008D32BD" w14:paraId="599C31E6" w14:textId="77777777" w:rsidTr="00107DEA">
        <w:tc>
          <w:tcPr>
            <w:tcW w:w="4252" w:type="dxa"/>
            <w:tcBorders>
              <w:top w:val="single" w:sz="18" w:space="0" w:color="FFFFFF" w:themeColor="background1"/>
            </w:tcBorders>
          </w:tcPr>
          <w:p w14:paraId="2E2F4A5F" w14:textId="6D05339E" w:rsidR="00516384" w:rsidRPr="008D32BD" w:rsidRDefault="00516384" w:rsidP="00516384">
            <w:pPr>
              <w:pStyle w:val="Tablecells"/>
              <w:rPr>
                <w:b/>
                <w:bCs/>
                <w:szCs w:val="20"/>
                <w:lang w:val="es-ES"/>
              </w:rPr>
            </w:pPr>
            <w:r w:rsidRPr="008D32BD">
              <w:rPr>
                <w:b/>
                <w:bCs/>
                <w:szCs w:val="20"/>
                <w:lang w:val="es-ES"/>
              </w:rPr>
              <w:t>Costo de deuda</w:t>
            </w:r>
          </w:p>
        </w:tc>
        <w:tc>
          <w:tcPr>
            <w:tcW w:w="2268" w:type="dxa"/>
            <w:tcBorders>
              <w:top w:val="single" w:sz="18" w:space="0" w:color="FFFFFF" w:themeColor="background1"/>
            </w:tcBorders>
            <w:vAlign w:val="center"/>
          </w:tcPr>
          <w:p w14:paraId="6744F979" w14:textId="5FE3C432" w:rsidR="00516384" w:rsidRPr="008D32BD" w:rsidRDefault="00516384" w:rsidP="00516384">
            <w:pPr>
              <w:pStyle w:val="Tablecells"/>
              <w:jc w:val="right"/>
              <w:rPr>
                <w:b/>
                <w:bCs/>
                <w:szCs w:val="20"/>
                <w:lang w:val="es-ES"/>
              </w:rPr>
            </w:pPr>
            <w:r w:rsidRPr="008D32BD">
              <w:rPr>
                <w:rFonts w:cs="Arial"/>
                <w:b/>
                <w:bCs/>
                <w:szCs w:val="20"/>
              </w:rPr>
              <w:t>5.45%</w:t>
            </w:r>
          </w:p>
        </w:tc>
        <w:tc>
          <w:tcPr>
            <w:tcW w:w="2268" w:type="dxa"/>
            <w:tcBorders>
              <w:top w:val="single" w:sz="18" w:space="0" w:color="FFFFFF" w:themeColor="background1"/>
            </w:tcBorders>
            <w:vAlign w:val="center"/>
          </w:tcPr>
          <w:p w14:paraId="5C23846D" w14:textId="3FEA9FC9" w:rsidR="00516384" w:rsidRPr="008D32BD" w:rsidRDefault="00516384" w:rsidP="00516384">
            <w:pPr>
              <w:pStyle w:val="Tablecells"/>
              <w:jc w:val="right"/>
              <w:rPr>
                <w:b/>
                <w:bCs/>
                <w:szCs w:val="20"/>
                <w:lang w:val="es-ES"/>
              </w:rPr>
            </w:pPr>
            <w:r w:rsidRPr="008D32BD">
              <w:rPr>
                <w:rFonts w:cs="Arial"/>
                <w:b/>
                <w:bCs/>
                <w:szCs w:val="20"/>
              </w:rPr>
              <w:t>5.45%</w:t>
            </w:r>
          </w:p>
        </w:tc>
      </w:tr>
      <w:tr w:rsidR="00166DEB" w:rsidRPr="008D32BD" w14:paraId="50C949B9" w14:textId="77777777" w:rsidTr="00596D3F">
        <w:tc>
          <w:tcPr>
            <w:tcW w:w="4252" w:type="dxa"/>
          </w:tcPr>
          <w:p w14:paraId="616C8A0C" w14:textId="28F4E146" w:rsidR="00166DEB" w:rsidRPr="008D32BD" w:rsidRDefault="00166DEB" w:rsidP="00166DEB">
            <w:pPr>
              <w:pStyle w:val="Tablecells"/>
              <w:rPr>
                <w:szCs w:val="20"/>
                <w:lang w:val="es-ES"/>
              </w:rPr>
            </w:pPr>
            <w:r w:rsidRPr="008D32BD">
              <w:rPr>
                <w:szCs w:val="20"/>
                <w:lang w:val="es-ES"/>
              </w:rPr>
              <w:t xml:space="preserve">     Tasa libre de riesgo en México</w:t>
            </w:r>
          </w:p>
        </w:tc>
        <w:tc>
          <w:tcPr>
            <w:tcW w:w="2268" w:type="dxa"/>
            <w:vAlign w:val="center"/>
          </w:tcPr>
          <w:p w14:paraId="1BF8C9DA" w14:textId="630B7D0A" w:rsidR="00166DEB" w:rsidRPr="008D32BD" w:rsidRDefault="00166DEB" w:rsidP="00166DEB">
            <w:pPr>
              <w:pStyle w:val="Tablecells"/>
              <w:jc w:val="right"/>
              <w:rPr>
                <w:szCs w:val="20"/>
                <w:lang w:val="es-ES"/>
              </w:rPr>
            </w:pPr>
            <w:r w:rsidRPr="008D32BD">
              <w:rPr>
                <w:rFonts w:cs="Arial"/>
                <w:szCs w:val="20"/>
              </w:rPr>
              <w:t>3.56%</w:t>
            </w:r>
          </w:p>
        </w:tc>
        <w:tc>
          <w:tcPr>
            <w:tcW w:w="2268" w:type="dxa"/>
            <w:vAlign w:val="center"/>
          </w:tcPr>
          <w:p w14:paraId="326466D2" w14:textId="4AC8CBC3" w:rsidR="00166DEB" w:rsidRPr="008D32BD" w:rsidRDefault="00166DEB" w:rsidP="00166DEB">
            <w:pPr>
              <w:pStyle w:val="Tablecells"/>
              <w:jc w:val="right"/>
              <w:rPr>
                <w:szCs w:val="20"/>
                <w:lang w:val="es-ES"/>
              </w:rPr>
            </w:pPr>
            <w:r w:rsidRPr="008D32BD">
              <w:rPr>
                <w:rFonts w:cs="Arial"/>
                <w:szCs w:val="20"/>
              </w:rPr>
              <w:t>3.56%</w:t>
            </w:r>
          </w:p>
        </w:tc>
      </w:tr>
      <w:tr w:rsidR="00166DEB" w:rsidRPr="008D32BD" w14:paraId="6323D10C" w14:textId="77777777" w:rsidTr="00AF6D0B">
        <w:tc>
          <w:tcPr>
            <w:tcW w:w="4252" w:type="dxa"/>
          </w:tcPr>
          <w:p w14:paraId="39C47FB2" w14:textId="6DAB17AD" w:rsidR="00166DEB" w:rsidRPr="008D32BD" w:rsidRDefault="00166DEB" w:rsidP="00166DEB">
            <w:pPr>
              <w:pStyle w:val="Tablecells"/>
              <w:rPr>
                <w:szCs w:val="20"/>
                <w:lang w:val="es-ES"/>
              </w:rPr>
            </w:pPr>
            <w:r w:rsidRPr="008D32BD">
              <w:rPr>
                <w:szCs w:val="20"/>
                <w:lang w:val="es-ES"/>
              </w:rPr>
              <w:t xml:space="preserve">     Prima de riesgo de deuda</w:t>
            </w:r>
          </w:p>
        </w:tc>
        <w:tc>
          <w:tcPr>
            <w:tcW w:w="2268" w:type="dxa"/>
            <w:vAlign w:val="center"/>
          </w:tcPr>
          <w:p w14:paraId="4263A4C8" w14:textId="7CB71B8B" w:rsidR="00166DEB" w:rsidRPr="008D32BD" w:rsidRDefault="00166DEB" w:rsidP="00166DEB">
            <w:pPr>
              <w:pStyle w:val="Tablecells"/>
              <w:jc w:val="right"/>
              <w:rPr>
                <w:szCs w:val="20"/>
                <w:lang w:val="es-ES"/>
              </w:rPr>
            </w:pPr>
            <w:r w:rsidRPr="008D32BD">
              <w:rPr>
                <w:rFonts w:cs="Arial"/>
                <w:szCs w:val="20"/>
              </w:rPr>
              <w:t>1.90%</w:t>
            </w:r>
          </w:p>
        </w:tc>
        <w:tc>
          <w:tcPr>
            <w:tcW w:w="2268" w:type="dxa"/>
            <w:vAlign w:val="center"/>
          </w:tcPr>
          <w:p w14:paraId="03B573B0" w14:textId="17A89803" w:rsidR="00166DEB" w:rsidRPr="008D32BD" w:rsidRDefault="00166DEB" w:rsidP="00166DEB">
            <w:pPr>
              <w:pStyle w:val="Tablecells"/>
              <w:jc w:val="right"/>
              <w:rPr>
                <w:szCs w:val="20"/>
                <w:lang w:val="es-ES"/>
              </w:rPr>
            </w:pPr>
            <w:r w:rsidRPr="008D32BD">
              <w:rPr>
                <w:rFonts w:cs="Arial"/>
                <w:szCs w:val="20"/>
              </w:rPr>
              <w:t>1.90%</w:t>
            </w:r>
          </w:p>
        </w:tc>
      </w:tr>
      <w:tr w:rsidR="00516384" w:rsidRPr="008D32BD" w14:paraId="60134656" w14:textId="77777777" w:rsidTr="00A05C5C">
        <w:tc>
          <w:tcPr>
            <w:tcW w:w="4252" w:type="dxa"/>
            <w:tcBorders>
              <w:top w:val="single" w:sz="18" w:space="0" w:color="FFFFFF" w:themeColor="background1"/>
              <w:bottom w:val="single" w:sz="18" w:space="0" w:color="FFFFFF" w:themeColor="background1"/>
            </w:tcBorders>
          </w:tcPr>
          <w:p w14:paraId="34D61A20" w14:textId="001DDCF1" w:rsidR="00516384" w:rsidRPr="008D32BD" w:rsidRDefault="00516384" w:rsidP="00516384">
            <w:pPr>
              <w:pStyle w:val="Tablecells"/>
              <w:rPr>
                <w:szCs w:val="20"/>
                <w:lang w:val="es-ES"/>
              </w:rPr>
            </w:pPr>
            <w:r w:rsidRPr="008D32BD">
              <w:rPr>
                <w:szCs w:val="20"/>
                <w:lang w:val="es-ES"/>
              </w:rPr>
              <w:t>Apalancamiento</w:t>
            </w:r>
          </w:p>
        </w:tc>
        <w:tc>
          <w:tcPr>
            <w:tcW w:w="2268" w:type="dxa"/>
            <w:tcBorders>
              <w:top w:val="single" w:sz="18" w:space="0" w:color="FFFFFF" w:themeColor="background1"/>
              <w:bottom w:val="single" w:sz="18" w:space="0" w:color="FFFFFF" w:themeColor="background1"/>
            </w:tcBorders>
            <w:vAlign w:val="center"/>
          </w:tcPr>
          <w:p w14:paraId="14B518D1" w14:textId="00F1A09F" w:rsidR="00516384" w:rsidRPr="008D32BD" w:rsidRDefault="00516384" w:rsidP="00516384">
            <w:pPr>
              <w:pStyle w:val="Tablecells"/>
              <w:jc w:val="right"/>
              <w:rPr>
                <w:szCs w:val="20"/>
                <w:lang w:val="es-ES"/>
              </w:rPr>
            </w:pPr>
            <w:r w:rsidRPr="008D32BD">
              <w:rPr>
                <w:rFonts w:cs="Arial"/>
                <w:szCs w:val="20"/>
              </w:rPr>
              <w:t>41.44%</w:t>
            </w:r>
          </w:p>
        </w:tc>
        <w:tc>
          <w:tcPr>
            <w:tcW w:w="2268" w:type="dxa"/>
            <w:tcBorders>
              <w:top w:val="single" w:sz="18" w:space="0" w:color="FFFFFF" w:themeColor="background1"/>
              <w:bottom w:val="single" w:sz="18" w:space="0" w:color="FFFFFF" w:themeColor="background1"/>
            </w:tcBorders>
            <w:vAlign w:val="center"/>
          </w:tcPr>
          <w:p w14:paraId="0285BF94" w14:textId="50ABA151" w:rsidR="00516384" w:rsidRPr="008D32BD" w:rsidRDefault="00516384" w:rsidP="00516384">
            <w:pPr>
              <w:pStyle w:val="Tablecells"/>
              <w:jc w:val="right"/>
              <w:rPr>
                <w:szCs w:val="20"/>
                <w:lang w:val="es-ES"/>
              </w:rPr>
            </w:pPr>
            <w:r w:rsidRPr="008D32BD">
              <w:rPr>
                <w:rFonts w:cs="Arial"/>
                <w:szCs w:val="20"/>
              </w:rPr>
              <w:t>41.84%</w:t>
            </w:r>
          </w:p>
        </w:tc>
      </w:tr>
      <w:tr w:rsidR="00516384" w:rsidRPr="008D32BD" w14:paraId="6BE0D99E" w14:textId="77777777" w:rsidTr="005D7C8C">
        <w:tc>
          <w:tcPr>
            <w:tcW w:w="4252" w:type="dxa"/>
          </w:tcPr>
          <w:p w14:paraId="652102D2" w14:textId="05B7065D" w:rsidR="00516384" w:rsidRPr="008D32BD" w:rsidRDefault="00516384" w:rsidP="00516384">
            <w:pPr>
              <w:pStyle w:val="Tablecells"/>
              <w:rPr>
                <w:szCs w:val="20"/>
                <w:lang w:val="es-ES"/>
              </w:rPr>
            </w:pPr>
            <w:r w:rsidRPr="008D32BD">
              <w:rPr>
                <w:szCs w:val="20"/>
                <w:lang w:val="es-ES"/>
              </w:rPr>
              <w:t>Tasa de impuesto de sociedades</w:t>
            </w:r>
          </w:p>
        </w:tc>
        <w:tc>
          <w:tcPr>
            <w:tcW w:w="2268" w:type="dxa"/>
            <w:vAlign w:val="center"/>
          </w:tcPr>
          <w:p w14:paraId="3E761CB0" w14:textId="5AC469D9" w:rsidR="00516384" w:rsidRPr="008D32BD" w:rsidRDefault="00516384" w:rsidP="00516384">
            <w:pPr>
              <w:pStyle w:val="Tablecells"/>
              <w:jc w:val="right"/>
              <w:rPr>
                <w:szCs w:val="20"/>
                <w:lang w:val="es-ES"/>
              </w:rPr>
            </w:pPr>
            <w:r w:rsidRPr="008D32BD">
              <w:rPr>
                <w:rFonts w:cs="Arial"/>
                <w:szCs w:val="20"/>
              </w:rPr>
              <w:t>30.00%</w:t>
            </w:r>
          </w:p>
        </w:tc>
        <w:tc>
          <w:tcPr>
            <w:tcW w:w="2268" w:type="dxa"/>
            <w:vAlign w:val="center"/>
          </w:tcPr>
          <w:p w14:paraId="54376314" w14:textId="3C1D89AA" w:rsidR="00516384" w:rsidRPr="008D32BD" w:rsidRDefault="00516384" w:rsidP="00516384">
            <w:pPr>
              <w:pStyle w:val="Tablecells"/>
              <w:jc w:val="right"/>
              <w:rPr>
                <w:szCs w:val="20"/>
                <w:lang w:val="es-ES"/>
              </w:rPr>
            </w:pPr>
            <w:r w:rsidRPr="008D32BD">
              <w:rPr>
                <w:rFonts w:cs="Arial"/>
                <w:szCs w:val="20"/>
              </w:rPr>
              <w:t>30.00%</w:t>
            </w:r>
          </w:p>
        </w:tc>
      </w:tr>
      <w:tr w:rsidR="00516384" w:rsidRPr="008D32BD" w14:paraId="764C8F7B" w14:textId="77777777" w:rsidTr="00217AE4">
        <w:tc>
          <w:tcPr>
            <w:tcW w:w="4252" w:type="dxa"/>
            <w:tcBorders>
              <w:top w:val="single" w:sz="18" w:space="0" w:color="FFFFFF" w:themeColor="background1"/>
            </w:tcBorders>
          </w:tcPr>
          <w:p w14:paraId="61C67D9D" w14:textId="2905B4CE" w:rsidR="00516384" w:rsidRPr="008D32BD" w:rsidRDefault="00516384" w:rsidP="00516384">
            <w:pPr>
              <w:pStyle w:val="Tablecells"/>
              <w:rPr>
                <w:b/>
                <w:bCs/>
                <w:szCs w:val="20"/>
                <w:lang w:val="es-ES"/>
              </w:rPr>
            </w:pPr>
            <w:r w:rsidRPr="008D32BD">
              <w:rPr>
                <w:b/>
                <w:bCs/>
                <w:szCs w:val="20"/>
                <w:lang w:val="es-ES"/>
              </w:rPr>
              <w:t>CCPP antes de impuestos – nominal en USD</w:t>
            </w:r>
          </w:p>
        </w:tc>
        <w:tc>
          <w:tcPr>
            <w:tcW w:w="2268" w:type="dxa"/>
            <w:tcBorders>
              <w:top w:val="single" w:sz="18" w:space="0" w:color="FFFFFF" w:themeColor="background1"/>
            </w:tcBorders>
            <w:vAlign w:val="center"/>
          </w:tcPr>
          <w:p w14:paraId="16CDCCCD" w14:textId="3E08C1D9" w:rsidR="00516384" w:rsidRPr="008D32BD" w:rsidRDefault="00516384" w:rsidP="00516384">
            <w:pPr>
              <w:pStyle w:val="Tablecells"/>
              <w:jc w:val="right"/>
              <w:rPr>
                <w:szCs w:val="20"/>
                <w:lang w:val="es-ES"/>
              </w:rPr>
            </w:pPr>
            <w:r w:rsidRPr="008D32BD">
              <w:rPr>
                <w:rFonts w:cs="Arial"/>
                <w:b/>
                <w:bCs/>
                <w:szCs w:val="20"/>
              </w:rPr>
              <w:t>10.07%</w:t>
            </w:r>
          </w:p>
        </w:tc>
        <w:tc>
          <w:tcPr>
            <w:tcW w:w="2268" w:type="dxa"/>
            <w:tcBorders>
              <w:top w:val="single" w:sz="18" w:space="0" w:color="FFFFFF" w:themeColor="background1"/>
            </w:tcBorders>
            <w:vAlign w:val="center"/>
          </w:tcPr>
          <w:p w14:paraId="70368300" w14:textId="71018290" w:rsidR="00516384" w:rsidRPr="008D32BD" w:rsidRDefault="00516384" w:rsidP="00516384">
            <w:pPr>
              <w:pStyle w:val="Tablecells"/>
              <w:jc w:val="right"/>
              <w:rPr>
                <w:szCs w:val="20"/>
                <w:lang w:val="es-ES"/>
              </w:rPr>
            </w:pPr>
            <w:r w:rsidRPr="008D32BD">
              <w:rPr>
                <w:rFonts w:cs="Arial"/>
                <w:b/>
                <w:bCs/>
                <w:szCs w:val="20"/>
              </w:rPr>
              <w:t>9.77%</w:t>
            </w:r>
          </w:p>
        </w:tc>
      </w:tr>
      <w:tr w:rsidR="0075388B" w:rsidRPr="008D32BD" w14:paraId="14C04A7D" w14:textId="77777777" w:rsidTr="00FF0590">
        <w:tc>
          <w:tcPr>
            <w:tcW w:w="4252" w:type="dxa"/>
          </w:tcPr>
          <w:p w14:paraId="7EDAED26" w14:textId="1105D969" w:rsidR="0075388B" w:rsidRPr="008D32BD" w:rsidRDefault="0075388B" w:rsidP="0075388B">
            <w:pPr>
              <w:pStyle w:val="Tablecells"/>
              <w:rPr>
                <w:szCs w:val="20"/>
                <w:lang w:val="es-ES"/>
              </w:rPr>
            </w:pPr>
            <w:r w:rsidRPr="008D32BD">
              <w:rPr>
                <w:szCs w:val="20"/>
                <w:lang w:val="es-ES"/>
              </w:rPr>
              <w:t>Tasa de la inflación en EEUU</w:t>
            </w:r>
          </w:p>
        </w:tc>
        <w:tc>
          <w:tcPr>
            <w:tcW w:w="2268" w:type="dxa"/>
            <w:vAlign w:val="center"/>
          </w:tcPr>
          <w:p w14:paraId="2FC8D1CA" w14:textId="1DAC01D3" w:rsidR="0075388B" w:rsidRPr="008D32BD" w:rsidRDefault="0075388B" w:rsidP="0075388B">
            <w:pPr>
              <w:pStyle w:val="Tablecells"/>
              <w:jc w:val="right"/>
              <w:rPr>
                <w:szCs w:val="20"/>
                <w:lang w:val="es-ES"/>
              </w:rPr>
            </w:pPr>
            <w:r w:rsidRPr="008D32BD">
              <w:rPr>
                <w:rFonts w:cs="Arial"/>
                <w:szCs w:val="20"/>
              </w:rPr>
              <w:t>2.15%</w:t>
            </w:r>
          </w:p>
        </w:tc>
        <w:tc>
          <w:tcPr>
            <w:tcW w:w="2268" w:type="dxa"/>
            <w:vAlign w:val="center"/>
          </w:tcPr>
          <w:p w14:paraId="462501BB" w14:textId="6ACEB532" w:rsidR="0075388B" w:rsidRPr="008D32BD" w:rsidRDefault="0075388B" w:rsidP="0075388B">
            <w:pPr>
              <w:pStyle w:val="Tablecells"/>
              <w:jc w:val="right"/>
              <w:rPr>
                <w:szCs w:val="20"/>
                <w:lang w:val="es-ES"/>
              </w:rPr>
            </w:pPr>
            <w:r w:rsidRPr="008D32BD">
              <w:rPr>
                <w:rFonts w:cs="Arial"/>
                <w:szCs w:val="20"/>
              </w:rPr>
              <w:t>2.15%</w:t>
            </w:r>
          </w:p>
        </w:tc>
      </w:tr>
      <w:tr w:rsidR="0075388B" w:rsidRPr="008D32BD" w14:paraId="5CF15963" w14:textId="77777777" w:rsidTr="004A055E">
        <w:tc>
          <w:tcPr>
            <w:tcW w:w="4252" w:type="dxa"/>
            <w:shd w:val="clear" w:color="auto" w:fill="DBE5F1" w:themeFill="accent1" w:themeFillTint="33"/>
          </w:tcPr>
          <w:p w14:paraId="5EA47865" w14:textId="33E03ABB" w:rsidR="0075388B" w:rsidRPr="008D32BD" w:rsidRDefault="0075388B" w:rsidP="0075388B">
            <w:pPr>
              <w:pStyle w:val="Tablecells"/>
              <w:rPr>
                <w:b/>
                <w:bCs/>
                <w:szCs w:val="20"/>
                <w:lang w:val="es-ES"/>
              </w:rPr>
            </w:pPr>
            <w:r w:rsidRPr="008D32BD">
              <w:rPr>
                <w:b/>
                <w:bCs/>
                <w:szCs w:val="20"/>
                <w:lang w:val="es-ES"/>
              </w:rPr>
              <w:t>CCPP antes de impuestos – real</w:t>
            </w:r>
          </w:p>
        </w:tc>
        <w:tc>
          <w:tcPr>
            <w:tcW w:w="2268" w:type="dxa"/>
            <w:shd w:val="clear" w:color="auto" w:fill="DBE5F1" w:themeFill="accent1" w:themeFillTint="33"/>
            <w:vAlign w:val="center"/>
          </w:tcPr>
          <w:p w14:paraId="66ABAEC1" w14:textId="0E9D4599" w:rsidR="0075388B" w:rsidRPr="008D32BD" w:rsidRDefault="0075388B" w:rsidP="0075388B">
            <w:pPr>
              <w:pStyle w:val="Tablecells"/>
              <w:jc w:val="right"/>
              <w:rPr>
                <w:szCs w:val="20"/>
                <w:lang w:val="es-ES"/>
              </w:rPr>
            </w:pPr>
            <w:r w:rsidRPr="008D32BD">
              <w:rPr>
                <w:rFonts w:cs="Arial"/>
                <w:b/>
                <w:bCs/>
                <w:szCs w:val="20"/>
              </w:rPr>
              <w:t>7.75%</w:t>
            </w:r>
          </w:p>
        </w:tc>
        <w:tc>
          <w:tcPr>
            <w:tcW w:w="2268" w:type="dxa"/>
            <w:shd w:val="clear" w:color="auto" w:fill="DBE5F1" w:themeFill="accent1" w:themeFillTint="33"/>
            <w:vAlign w:val="center"/>
          </w:tcPr>
          <w:p w14:paraId="635C09D0" w14:textId="4283AE3D" w:rsidR="0075388B" w:rsidRPr="008D32BD" w:rsidRDefault="0075388B" w:rsidP="0075388B">
            <w:pPr>
              <w:pStyle w:val="Tablecells"/>
              <w:jc w:val="right"/>
              <w:rPr>
                <w:szCs w:val="20"/>
                <w:lang w:val="es-ES"/>
              </w:rPr>
            </w:pPr>
            <w:r w:rsidRPr="008D32BD">
              <w:rPr>
                <w:rFonts w:cs="Arial"/>
                <w:b/>
                <w:bCs/>
                <w:szCs w:val="20"/>
              </w:rPr>
              <w:t>7.47%</w:t>
            </w:r>
          </w:p>
        </w:tc>
      </w:tr>
      <w:tr w:rsidR="0075388B" w:rsidRPr="008D32BD" w14:paraId="1C0E3901" w14:textId="77777777" w:rsidTr="004C48B1">
        <w:tc>
          <w:tcPr>
            <w:tcW w:w="4252" w:type="dxa"/>
          </w:tcPr>
          <w:p w14:paraId="5C841E79" w14:textId="26759FB0" w:rsidR="0075388B" w:rsidRPr="008D32BD" w:rsidRDefault="0075388B" w:rsidP="0075388B">
            <w:pPr>
              <w:pStyle w:val="Tablecells"/>
              <w:rPr>
                <w:szCs w:val="20"/>
                <w:lang w:val="es-ES"/>
              </w:rPr>
            </w:pPr>
            <w:r w:rsidRPr="008D32BD">
              <w:rPr>
                <w:szCs w:val="20"/>
                <w:lang w:val="es-ES"/>
              </w:rPr>
              <w:t>Tasa de la inflación en México</w:t>
            </w:r>
          </w:p>
        </w:tc>
        <w:tc>
          <w:tcPr>
            <w:tcW w:w="2268" w:type="dxa"/>
            <w:vAlign w:val="center"/>
          </w:tcPr>
          <w:p w14:paraId="5391E95D" w14:textId="76F234EE" w:rsidR="0075388B" w:rsidRPr="008D32BD" w:rsidRDefault="0075388B" w:rsidP="0075388B">
            <w:pPr>
              <w:pStyle w:val="Tablecells"/>
              <w:jc w:val="right"/>
              <w:rPr>
                <w:szCs w:val="20"/>
                <w:lang w:val="es-ES"/>
              </w:rPr>
            </w:pPr>
            <w:r w:rsidRPr="008D32BD">
              <w:rPr>
                <w:rFonts w:cs="Arial"/>
                <w:szCs w:val="20"/>
              </w:rPr>
              <w:t>3.33%</w:t>
            </w:r>
          </w:p>
        </w:tc>
        <w:tc>
          <w:tcPr>
            <w:tcW w:w="2268" w:type="dxa"/>
            <w:vAlign w:val="center"/>
          </w:tcPr>
          <w:p w14:paraId="1FB273B9" w14:textId="44E59050" w:rsidR="0075388B" w:rsidRPr="008D32BD" w:rsidRDefault="0075388B" w:rsidP="0075388B">
            <w:pPr>
              <w:pStyle w:val="Tablecells"/>
              <w:jc w:val="right"/>
              <w:rPr>
                <w:szCs w:val="20"/>
                <w:lang w:val="es-ES"/>
              </w:rPr>
            </w:pPr>
            <w:r w:rsidRPr="008D32BD">
              <w:rPr>
                <w:rFonts w:cs="Arial"/>
                <w:szCs w:val="20"/>
              </w:rPr>
              <w:t>3.33%</w:t>
            </w:r>
          </w:p>
        </w:tc>
      </w:tr>
      <w:tr w:rsidR="0075388B" w:rsidRPr="008D32BD" w14:paraId="7911F2C9" w14:textId="77777777" w:rsidTr="00A51DD2">
        <w:tc>
          <w:tcPr>
            <w:tcW w:w="4252" w:type="dxa"/>
            <w:shd w:val="clear" w:color="auto" w:fill="DBE5F1" w:themeFill="accent1" w:themeFillTint="33"/>
          </w:tcPr>
          <w:p w14:paraId="71D4EB6B" w14:textId="37AB4891" w:rsidR="0075388B" w:rsidRPr="008D32BD" w:rsidRDefault="0075388B" w:rsidP="0075388B">
            <w:pPr>
              <w:pStyle w:val="Tablecells"/>
              <w:rPr>
                <w:b/>
                <w:bCs/>
                <w:szCs w:val="20"/>
                <w:lang w:val="es-ES"/>
              </w:rPr>
            </w:pPr>
            <w:r w:rsidRPr="008D32BD">
              <w:rPr>
                <w:b/>
                <w:bCs/>
                <w:szCs w:val="20"/>
                <w:lang w:val="es-ES"/>
              </w:rPr>
              <w:t>CCPP antes de impuestos – nominal en MXN</w:t>
            </w:r>
          </w:p>
        </w:tc>
        <w:tc>
          <w:tcPr>
            <w:tcW w:w="2268" w:type="dxa"/>
            <w:shd w:val="clear" w:color="auto" w:fill="DBE5F1" w:themeFill="accent1" w:themeFillTint="33"/>
            <w:vAlign w:val="center"/>
          </w:tcPr>
          <w:p w14:paraId="10586D79" w14:textId="274F685F" w:rsidR="0075388B" w:rsidRPr="008D32BD" w:rsidRDefault="0075388B" w:rsidP="0075388B">
            <w:pPr>
              <w:pStyle w:val="Tablecells"/>
              <w:jc w:val="right"/>
              <w:rPr>
                <w:szCs w:val="20"/>
                <w:lang w:val="es-ES"/>
              </w:rPr>
            </w:pPr>
            <w:r w:rsidRPr="008D32BD">
              <w:rPr>
                <w:rFonts w:cs="Arial"/>
                <w:b/>
                <w:bCs/>
                <w:szCs w:val="20"/>
              </w:rPr>
              <w:t>11.34%</w:t>
            </w:r>
          </w:p>
        </w:tc>
        <w:tc>
          <w:tcPr>
            <w:tcW w:w="2268" w:type="dxa"/>
            <w:shd w:val="clear" w:color="auto" w:fill="DBE5F1" w:themeFill="accent1" w:themeFillTint="33"/>
            <w:vAlign w:val="center"/>
          </w:tcPr>
          <w:p w14:paraId="2B6C6957" w14:textId="2C63D07E" w:rsidR="0075388B" w:rsidRPr="008D32BD" w:rsidRDefault="0075388B" w:rsidP="0075388B">
            <w:pPr>
              <w:pStyle w:val="Tablecells"/>
              <w:jc w:val="right"/>
              <w:rPr>
                <w:szCs w:val="20"/>
                <w:lang w:val="es-ES"/>
              </w:rPr>
            </w:pPr>
            <w:r w:rsidRPr="008D32BD">
              <w:rPr>
                <w:rFonts w:cs="Arial"/>
                <w:b/>
                <w:bCs/>
                <w:szCs w:val="20"/>
              </w:rPr>
              <w:t>11.05%</w:t>
            </w:r>
          </w:p>
        </w:tc>
      </w:tr>
    </w:tbl>
    <w:p w14:paraId="7CFC9C88" w14:textId="77777777" w:rsidR="003E4659" w:rsidRPr="00A058F1" w:rsidRDefault="003E4659" w:rsidP="008D32BD">
      <w:pPr>
        <w:rPr>
          <w:lang w:val="es-ES"/>
        </w:rPr>
      </w:pPr>
    </w:p>
    <w:sectPr w:rsidR="003E4659" w:rsidRPr="00A058F1" w:rsidSect="001945F9">
      <w:headerReference w:type="default" r:id="rId25"/>
      <w:headerReference w:type="first" r:id="rId26"/>
      <w:footerReference w:type="first" r:id="rId27"/>
      <w:type w:val="continuous"/>
      <w:pgSz w:w="11907" w:h="16840"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B92F" w14:textId="77777777" w:rsidR="00927F08" w:rsidRDefault="00927F08" w:rsidP="003C6172">
      <w:pPr>
        <w:spacing w:after="0" w:line="240" w:lineRule="auto"/>
      </w:pPr>
      <w:r>
        <w:separator/>
      </w:r>
    </w:p>
  </w:endnote>
  <w:endnote w:type="continuationSeparator" w:id="0">
    <w:p w14:paraId="014288C1" w14:textId="77777777" w:rsidR="00927F08" w:rsidRDefault="00927F08" w:rsidP="003C6172">
      <w:pPr>
        <w:spacing w:after="0" w:line="240" w:lineRule="auto"/>
      </w:pPr>
      <w:r>
        <w:continuationSeparator/>
      </w:r>
    </w:p>
  </w:endnote>
  <w:endnote w:type="continuationNotice" w:id="1">
    <w:p w14:paraId="3B783268" w14:textId="77777777" w:rsidR="00927F08" w:rsidRDefault="0092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0D71" w14:textId="6AC57F75" w:rsidR="00FF193A" w:rsidRPr="00E96093" w:rsidRDefault="00FF193A" w:rsidP="00E96093">
    <w:pPr>
      <w:pStyle w:val="Piedepgina"/>
      <w:spacing w:before="720"/>
    </w:pPr>
    <w:r>
      <w:rPr>
        <w:noProof/>
        <w:lang w:eastAsia="en-GB"/>
      </w:rPr>
      <w:drawing>
        <wp:anchor distT="0" distB="0" distL="114300" distR="114300" simplePos="0" relativeHeight="251661824" behindDoc="0" locked="0" layoutInCell="1" allowOverlap="1" wp14:anchorId="064AEF8C" wp14:editId="03D48490">
          <wp:simplePos x="0" y="0"/>
          <wp:positionH relativeFrom="page">
            <wp:posOffset>5544820</wp:posOffset>
          </wp:positionH>
          <wp:positionV relativeFrom="page">
            <wp:posOffset>9879330</wp:posOffset>
          </wp:positionV>
          <wp:extent cx="1440000" cy="486000"/>
          <wp:effectExtent l="0" t="0" r="8255" b="9525"/>
          <wp:wrapNone/>
          <wp:docPr id="43" name="Picture 43"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001F1D48">
      <w:rPr>
        <w:b/>
        <w:bCs/>
        <w:noProof/>
        <w:lang w:val="es-ES"/>
      </w:rPr>
      <w:t>¡Error! Utilice la pestaña Inicio para aplicar Contents: RefNo al texto que desea que aparezca aquí.</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9B7F" w14:textId="4C7A3902" w:rsidR="00FF193A" w:rsidRPr="00E96093" w:rsidRDefault="00FF193A" w:rsidP="00E96093">
    <w:pPr>
      <w:pStyle w:val="Piedepgina"/>
      <w:spacing w:before="720"/>
    </w:pPr>
    <w:r>
      <w:rPr>
        <w:noProof/>
        <w:lang w:eastAsia="en-GB"/>
      </w:rPr>
      <w:drawing>
        <wp:anchor distT="0" distB="0" distL="114300" distR="114300" simplePos="0" relativeHeight="251662848" behindDoc="0" locked="0" layoutInCell="1" allowOverlap="1" wp14:anchorId="0AEE2C5B" wp14:editId="6E2860B1">
          <wp:simplePos x="0" y="0"/>
          <wp:positionH relativeFrom="page">
            <wp:posOffset>5544820</wp:posOffset>
          </wp:positionH>
          <wp:positionV relativeFrom="page">
            <wp:posOffset>9879330</wp:posOffset>
          </wp:positionV>
          <wp:extent cx="1440000" cy="486000"/>
          <wp:effectExtent l="0" t="0" r="8255" b="9525"/>
          <wp:wrapNone/>
          <wp:docPr id="44" name="Picture 44"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001F1D48">
      <w:rPr>
        <w:b/>
        <w:bCs/>
        <w:noProof/>
        <w:lang w:val="es-ES"/>
      </w:rPr>
      <w:t>¡Error! Utilice la pestaña Inicio para aplicar Contents: RefNo al texto que desea que aparezca aquí.</w:t>
    </w:r>
    <w:r>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FE23" w14:textId="26667269" w:rsidR="00AA4AC9" w:rsidRPr="000B63A0" w:rsidRDefault="00AA4AC9" w:rsidP="000B63A0">
    <w:pPr>
      <w:pStyle w:val="Piedepgina"/>
      <w:spacing w:before="720"/>
      <w:ind w:firstLine="1939"/>
    </w:pPr>
    <w:r>
      <w:tab/>
    </w:r>
    <w:r>
      <w:rPr>
        <w:rStyle w:val="ConfidentialFooter"/>
      </w:rPr>
      <w:fldChar w:fldCharType="begin"/>
    </w:r>
    <w:r w:rsidRPr="001F1D48">
      <w:rPr>
        <w:rStyle w:val="ConfidentialFooter"/>
        <w:lang w:val="es-MX"/>
      </w:rPr>
      <w:instrText xml:space="preserve"> DOCPROPERTY "Descriptor" \* MERGEFORMAT </w:instrText>
    </w:r>
    <w:r>
      <w:rPr>
        <w:rStyle w:val="ConfidentialFooter"/>
      </w:rPr>
      <w:fldChar w:fldCharType="separate"/>
    </w:r>
    <w:r w:rsidR="001F1D48">
      <w:rPr>
        <w:rStyle w:val="ConfidentialFooter"/>
        <w:b/>
        <w:bCs/>
        <w:lang w:val="es-ES"/>
      </w:rPr>
      <w:t>¡Error! Nombre desconocido de propiedad de documento.</w:t>
    </w:r>
    <w:r>
      <w:rPr>
        <w:rStyle w:val="ConfidentialFooter"/>
      </w:rPr>
      <w:fldChar w:fldCharType="end"/>
    </w:r>
    <w:r w:rsidRPr="001F1D48">
      <w:rPr>
        <w:lang w:val="es-MX"/>
      </w:rPr>
      <w:tab/>
    </w:r>
    <w:r>
      <w:rPr>
        <w:noProof/>
        <w:lang w:eastAsia="en-GB"/>
      </w:rPr>
      <w:drawing>
        <wp:anchor distT="0" distB="0" distL="114300" distR="114300" simplePos="0" relativeHeight="251653632" behindDoc="0" locked="0" layoutInCell="1" allowOverlap="1" wp14:anchorId="22997C66" wp14:editId="75461C02">
          <wp:simplePos x="0" y="0"/>
          <wp:positionH relativeFrom="page">
            <wp:posOffset>493395</wp:posOffset>
          </wp:positionH>
          <wp:positionV relativeFrom="page">
            <wp:posOffset>9879330</wp:posOffset>
          </wp:positionV>
          <wp:extent cx="1436400" cy="486000"/>
          <wp:effectExtent l="0" t="0" r="0" b="9525"/>
          <wp:wrapNone/>
          <wp:docPr id="1626816819" name="Picture 1626816819"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fldChar w:fldCharType="begin"/>
    </w:r>
    <w:r w:rsidRPr="001F1D48">
      <w:rPr>
        <w:noProof/>
        <w:lang w:val="es-MX"/>
      </w:rPr>
      <w:instrText xml:space="preserve"> Styleref "Title: RefNo" \* MERGEFORMAT </w:instrText>
    </w:r>
    <w:r>
      <w:rPr>
        <w:noProof/>
      </w:rPr>
      <w:fldChar w:fldCharType="separate"/>
    </w:r>
    <w:r w:rsidR="001F1D48">
      <w:rPr>
        <w:b/>
        <w:bCs/>
        <w:noProof/>
        <w:lang w:val="es-ES"/>
      </w:rPr>
      <w:t>¡Error! No hay texto con el estilo especificado en el documento.</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A6C7" w14:textId="17AFC88A" w:rsidR="00AA4AC9" w:rsidRPr="00184D2E" w:rsidRDefault="00AA4AC9" w:rsidP="00184D2E">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3F34" w14:textId="1DA2501B" w:rsidR="00AA4AC9" w:rsidRPr="00184D2E" w:rsidRDefault="00AA4AC9" w:rsidP="00184D2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6D64" w14:textId="77777777" w:rsidR="00AA4AC9" w:rsidRPr="008B7633" w:rsidRDefault="00AA4AC9" w:rsidP="008B76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1BBD" w14:textId="77777777" w:rsidR="00927F08" w:rsidRDefault="00927F08" w:rsidP="003C6172">
      <w:pPr>
        <w:spacing w:after="0" w:line="240" w:lineRule="auto"/>
      </w:pPr>
      <w:r>
        <w:separator/>
      </w:r>
    </w:p>
  </w:footnote>
  <w:footnote w:type="continuationSeparator" w:id="0">
    <w:p w14:paraId="3A8675A4" w14:textId="77777777" w:rsidR="00927F08" w:rsidRDefault="00927F08" w:rsidP="003C6172">
      <w:pPr>
        <w:spacing w:after="0" w:line="240" w:lineRule="auto"/>
      </w:pPr>
      <w:r>
        <w:continuationSeparator/>
      </w:r>
    </w:p>
  </w:footnote>
  <w:footnote w:type="continuationNotice" w:id="1">
    <w:p w14:paraId="05277AF7" w14:textId="77777777" w:rsidR="00927F08" w:rsidRDefault="00927F08">
      <w:pPr>
        <w:spacing w:after="0" w:line="240" w:lineRule="auto"/>
      </w:pPr>
    </w:p>
  </w:footnote>
  <w:footnote w:id="2">
    <w:p w14:paraId="7DE55C70" w14:textId="04A375B0" w:rsidR="00905C57" w:rsidRPr="00184D2E" w:rsidRDefault="00905C57">
      <w:pPr>
        <w:pStyle w:val="Textonotapie"/>
        <w:rPr>
          <w:lang w:val="es-MX"/>
        </w:rPr>
      </w:pPr>
      <w:r>
        <w:rPr>
          <w:rStyle w:val="Refdenotaalpie"/>
        </w:rPr>
        <w:footnoteRef/>
      </w:r>
      <w:r w:rsidRPr="00AA54E1">
        <w:rPr>
          <w:lang w:val="es-ES"/>
        </w:rPr>
        <w:t xml:space="preserve"> </w:t>
      </w:r>
      <w:r w:rsidR="00435C5E" w:rsidRPr="00AA54E1">
        <w:rPr>
          <w:lang w:val="es-ES"/>
        </w:rPr>
        <w:tab/>
      </w:r>
      <w:r w:rsidR="00C67169" w:rsidRPr="00AA54E1">
        <w:rPr>
          <w:lang w:val="es-ES"/>
        </w:rPr>
        <w:t xml:space="preserve">CNMC (2023). </w:t>
      </w:r>
      <w:r w:rsidR="00C67169" w:rsidRPr="00AA54E1">
        <w:rPr>
          <w:i/>
          <w:iCs/>
          <w:lang w:val="es-ES"/>
        </w:rPr>
        <w:t>Verificación contabilidad analítica y WACC</w:t>
      </w:r>
      <w:r w:rsidR="00C67169">
        <w:rPr>
          <w:i/>
          <w:iCs/>
          <w:lang w:val="es-ES"/>
        </w:rPr>
        <w:t xml:space="preserve">. </w:t>
      </w:r>
      <w:r w:rsidR="00C67169" w:rsidRPr="00184D2E">
        <w:rPr>
          <w:lang w:val="es-MX"/>
        </w:rPr>
        <w:t>Disponible en:</w:t>
      </w:r>
      <w:r w:rsidR="00C67169" w:rsidRPr="00184D2E">
        <w:rPr>
          <w:i/>
          <w:iCs/>
          <w:lang w:val="es-MX"/>
        </w:rPr>
        <w:t xml:space="preserve"> </w:t>
      </w:r>
      <w:r w:rsidR="00C67169" w:rsidRPr="00184D2E">
        <w:rPr>
          <w:lang w:val="es-MX"/>
        </w:rPr>
        <w:t>https://www.cnmc.es/sites/default/files/4525505.pdf</w:t>
      </w:r>
    </w:p>
  </w:footnote>
  <w:footnote w:id="3">
    <w:p w14:paraId="57743D70" w14:textId="1112372E" w:rsidR="00905C57" w:rsidRPr="00184D2E" w:rsidRDefault="00905C57">
      <w:pPr>
        <w:pStyle w:val="Textonotapie"/>
        <w:rPr>
          <w:lang w:val="es-MX"/>
        </w:rPr>
      </w:pPr>
      <w:r>
        <w:rPr>
          <w:rStyle w:val="Refdenotaalpie"/>
        </w:rPr>
        <w:footnoteRef/>
      </w:r>
      <w:r w:rsidRPr="00435C5E">
        <w:t xml:space="preserve"> </w:t>
      </w:r>
      <w:r w:rsidR="00435C5E">
        <w:tab/>
      </w:r>
      <w:r w:rsidR="00435C5E" w:rsidRPr="00E3535F">
        <w:t xml:space="preserve">Bnetza (2016). </w:t>
      </w:r>
      <w:r w:rsidR="00435C5E" w:rsidRPr="00E3535F">
        <w:rPr>
          <w:i/>
          <w:iCs/>
        </w:rPr>
        <w:t>Setting the Telecom WACC</w:t>
      </w:r>
      <w:r w:rsidR="00435C5E">
        <w:t xml:space="preserve">. </w:t>
      </w:r>
      <w:r w:rsidR="00435C5E" w:rsidRPr="00184D2E">
        <w:rPr>
          <w:lang w:val="es-MX"/>
        </w:rPr>
        <w:t>Disponible en: https://www.bundesnetzagentur.de/SharedDocs/Downloads/EN/Areas/Telecommunications/Companies/MarketRegulation/CostOfCapital/study2016.pdf?__blob=publicationFile&amp;v=2</w:t>
      </w:r>
    </w:p>
  </w:footnote>
  <w:footnote w:id="4">
    <w:p w14:paraId="4BBE6788" w14:textId="642E5242" w:rsidR="00905C57" w:rsidRPr="008E7E52" w:rsidRDefault="00905C57">
      <w:pPr>
        <w:pStyle w:val="Textonotapie"/>
        <w:rPr>
          <w:lang w:val="fr-FR"/>
        </w:rPr>
      </w:pPr>
      <w:r>
        <w:rPr>
          <w:rStyle w:val="Refdenotaalpie"/>
        </w:rPr>
        <w:footnoteRef/>
      </w:r>
      <w:r w:rsidRPr="00184D2E">
        <w:rPr>
          <w:lang w:val="es-MX"/>
        </w:rPr>
        <w:t xml:space="preserve"> </w:t>
      </w:r>
      <w:r w:rsidR="00C67169" w:rsidRPr="00184D2E">
        <w:rPr>
          <w:lang w:val="es-MX"/>
        </w:rPr>
        <w:tab/>
        <w:t xml:space="preserve">AGCOM (2019). </w:t>
      </w:r>
      <w:r w:rsidR="00C67169" w:rsidRPr="00AA54E1">
        <w:rPr>
          <w:i/>
          <w:iCs/>
          <w:lang w:val="it-IT"/>
        </w:rPr>
        <w:t>Il calcolo del costo medio ponderato del capitale (WACC)</w:t>
      </w:r>
      <w:r w:rsidR="00C67169">
        <w:rPr>
          <w:lang w:val="it-IT"/>
        </w:rPr>
        <w:t xml:space="preserve">. </w:t>
      </w:r>
      <w:r w:rsidR="00C67169" w:rsidRPr="008E7E52">
        <w:rPr>
          <w:lang w:val="fr-FR"/>
        </w:rPr>
        <w:t>Disponible en: https://www.agcom.it/documents/10179/15564025/Allegato+8-8-2019+1565257778860/c95af003-2ac2-48aa-ab9c-1734c32585a7?version=1.0</w:t>
      </w:r>
    </w:p>
  </w:footnote>
  <w:footnote w:id="5">
    <w:p w14:paraId="7E69D475" w14:textId="5371C0CF" w:rsidR="00C67169" w:rsidRPr="00AA54E1" w:rsidRDefault="00C67169">
      <w:pPr>
        <w:pStyle w:val="Textonotapie"/>
        <w:rPr>
          <w:lang w:val="fr-FR"/>
        </w:rPr>
      </w:pPr>
      <w:r>
        <w:rPr>
          <w:rStyle w:val="Refdenotaalpie"/>
        </w:rPr>
        <w:footnoteRef/>
      </w:r>
      <w:r w:rsidRPr="008E7E52">
        <w:rPr>
          <w:lang w:val="fr-FR"/>
        </w:rPr>
        <w:t xml:space="preserve"> </w:t>
      </w:r>
      <w:r w:rsidRPr="008E7E52">
        <w:rPr>
          <w:lang w:val="fr-FR"/>
        </w:rPr>
        <w:tab/>
        <w:t xml:space="preserve">BEREC (2022). </w:t>
      </w:r>
      <w:r w:rsidRPr="00AA54E1">
        <w:rPr>
          <w:i/>
          <w:iCs/>
          <w:lang w:val="fr-FR"/>
        </w:rPr>
        <w:t>WACC parameters Report 2022</w:t>
      </w:r>
      <w:r w:rsidRPr="00AA54E1">
        <w:rPr>
          <w:lang w:val="fr-FR"/>
        </w:rPr>
        <w:t xml:space="preserve">. Disponible en: </w:t>
      </w:r>
      <w:r w:rsidR="000B38D7" w:rsidRPr="000B38D7">
        <w:rPr>
          <w:lang w:val="fr-FR"/>
        </w:rPr>
        <w:t>https://www.berec.europa.eu/sites/default/files/files/document_register_store/2022/6/BoR%20%2822%29%2070%20BEREC%20Report%20on%20WACC%20parameters%202022.pdf</w:t>
      </w:r>
    </w:p>
  </w:footnote>
  <w:footnote w:id="6">
    <w:p w14:paraId="3985F5BD" w14:textId="7FFCF2BE" w:rsidR="00C0600E" w:rsidRPr="00184D2E" w:rsidRDefault="00C0600E" w:rsidP="00C0600E">
      <w:pPr>
        <w:pStyle w:val="Textonotapie"/>
        <w:rPr>
          <w:lang w:val="es-MX"/>
        </w:rPr>
      </w:pPr>
      <w:r>
        <w:rPr>
          <w:rStyle w:val="Refdenotaalpie"/>
        </w:rPr>
        <w:footnoteRef/>
      </w:r>
      <w:r w:rsidRPr="00184D2E">
        <w:rPr>
          <w:lang w:val="es-MX"/>
        </w:rPr>
        <w:t xml:space="preserve"> </w:t>
      </w:r>
      <w:r w:rsidR="004C1440" w:rsidRPr="00184D2E">
        <w:rPr>
          <w:lang w:val="es-MX"/>
        </w:rPr>
        <w:tab/>
      </w:r>
      <w:r w:rsidRPr="00184D2E">
        <w:rPr>
          <w:lang w:val="es-MX"/>
        </w:rPr>
        <w:t>Idealmente BBB/Baa3 o superior</w:t>
      </w:r>
      <w:r w:rsidR="004C1440" w:rsidRPr="00184D2E">
        <w:rPr>
          <w:lang w:val="es-MX"/>
        </w:rPr>
        <w:t>.</w:t>
      </w:r>
    </w:p>
  </w:footnote>
  <w:footnote w:id="7">
    <w:p w14:paraId="405A4EFE" w14:textId="77777777" w:rsidR="00AA4AC9" w:rsidRPr="00184D2E" w:rsidRDefault="00AA4AC9">
      <w:pPr>
        <w:pStyle w:val="Textonotapie"/>
        <w:rPr>
          <w:lang w:val="es-MX"/>
        </w:rPr>
      </w:pPr>
      <w:r>
        <w:rPr>
          <w:rStyle w:val="Refdenotaalpie"/>
        </w:rPr>
        <w:footnoteRef/>
      </w:r>
      <w:r>
        <w:t xml:space="preserve"> </w:t>
      </w:r>
      <w:r>
        <w:tab/>
        <w:t xml:space="preserve">IRG (2007), </w:t>
      </w:r>
      <w:r>
        <w:rPr>
          <w:i/>
          <w:iCs/>
        </w:rPr>
        <w:t>Regulatory accounting: Principles of Implementation and Best Practice for WACC calculation</w:t>
      </w:r>
      <w:r>
        <w:t xml:space="preserve">. </w:t>
      </w:r>
      <w:r w:rsidRPr="00184D2E">
        <w:rPr>
          <w:lang w:val="es-MX"/>
        </w:rPr>
        <w:t>Disponible en: https://berec.europa.eu/doc/publications/consult_principles_best_implem/erg_07_04_pibs_on_wacc_public_cons_summary_mar2007_final.pdf</w:t>
      </w:r>
    </w:p>
  </w:footnote>
  <w:footnote w:id="8">
    <w:p w14:paraId="249487F0" w14:textId="6D9002F7" w:rsidR="001608F9" w:rsidRPr="00A26498" w:rsidRDefault="001608F9">
      <w:pPr>
        <w:pStyle w:val="Textonotapie"/>
        <w:rPr>
          <w:lang w:val="es-ES"/>
        </w:rPr>
      </w:pPr>
      <w:r>
        <w:rPr>
          <w:rStyle w:val="Refdenotaalpie"/>
        </w:rPr>
        <w:footnoteRef/>
      </w:r>
      <w:r w:rsidRPr="00A26498">
        <w:rPr>
          <w:lang w:val="es-ES"/>
        </w:rPr>
        <w:t xml:space="preserve"> </w:t>
      </w:r>
      <w:r w:rsidRPr="00A26498">
        <w:rPr>
          <w:lang w:val="es-ES"/>
        </w:rPr>
        <w:tab/>
        <w:t xml:space="preserve">El BEREC en </w:t>
      </w:r>
      <w:r w:rsidR="00C267C6" w:rsidRPr="00C267C6">
        <w:rPr>
          <w:lang w:val="es-ES"/>
        </w:rPr>
        <w:t>Europa</w:t>
      </w:r>
      <w:r w:rsidRPr="00A26498">
        <w:rPr>
          <w:lang w:val="es-ES"/>
        </w:rPr>
        <w:t xml:space="preserve"> recomienda este periodo de madurez por encima de otras alternativas, y es la opción seguida, en general, por los reguladores en Europa.</w:t>
      </w:r>
      <w:r w:rsidR="000B38D7">
        <w:rPr>
          <w:lang w:val="es-ES"/>
        </w:rPr>
        <w:t xml:space="preserve"> Ver referencias anteriores con los informes del BEREC a este respecto</w:t>
      </w:r>
    </w:p>
  </w:footnote>
  <w:footnote w:id="9">
    <w:p w14:paraId="18AD0DC9" w14:textId="0F6F2568" w:rsidR="00597F89" w:rsidRPr="00F21D85" w:rsidRDefault="00597F89">
      <w:pPr>
        <w:pStyle w:val="Textonotapie"/>
      </w:pPr>
      <w:r>
        <w:rPr>
          <w:rStyle w:val="Refdenotaalpie"/>
        </w:rPr>
        <w:footnoteRef/>
      </w:r>
      <w:r w:rsidRPr="00A26498">
        <w:rPr>
          <w:lang w:val="es-ES"/>
        </w:rPr>
        <w:t xml:space="preserve"> </w:t>
      </w:r>
      <w:r w:rsidRPr="00A26498">
        <w:rPr>
          <w:lang w:val="es-ES"/>
        </w:rPr>
        <w:tab/>
        <w:t xml:space="preserve">Tomando un activo no-circulante total de </w:t>
      </w:r>
      <w:r w:rsidR="000B38D7">
        <w:rPr>
          <w:lang w:val="es-ES"/>
        </w:rPr>
        <w:t>64 510 millones</w:t>
      </w:r>
      <w:r w:rsidR="000B38D7" w:rsidRPr="00A26498" w:rsidDel="000B38D7">
        <w:rPr>
          <w:lang w:val="es-ES"/>
        </w:rPr>
        <w:t xml:space="preserve"> </w:t>
      </w:r>
      <w:r w:rsidR="00B426A4" w:rsidRPr="00A26498">
        <w:rPr>
          <w:lang w:val="es-ES"/>
        </w:rPr>
        <w:t>de pesos mexicanos y una amortización y depreciación total</w:t>
      </w:r>
      <w:r w:rsidR="00A863E3">
        <w:rPr>
          <w:lang w:val="es-ES"/>
        </w:rPr>
        <w:t xml:space="preserve"> de </w:t>
      </w:r>
      <w:r w:rsidR="000B38D7">
        <w:rPr>
          <w:lang w:val="es-ES"/>
        </w:rPr>
        <w:t xml:space="preserve">7880 </w:t>
      </w:r>
      <w:r w:rsidR="00A863E3">
        <w:rPr>
          <w:lang w:val="es-ES"/>
        </w:rPr>
        <w:t xml:space="preserve">millones de pesos mexicanos. </w:t>
      </w:r>
      <w:r w:rsidR="00A863E3" w:rsidRPr="00A26498">
        <w:t>Disponible en: Tradingview.com</w:t>
      </w:r>
    </w:p>
  </w:footnote>
  <w:footnote w:id="10">
    <w:p w14:paraId="6395346C" w14:textId="009F3D90" w:rsidR="00AA4AC9" w:rsidRPr="008E7E52" w:rsidRDefault="00AA4AC9">
      <w:pPr>
        <w:pStyle w:val="Textonotapie"/>
        <w:rPr>
          <w:lang w:val="fr-FR"/>
        </w:rPr>
      </w:pPr>
      <w:r>
        <w:rPr>
          <w:rStyle w:val="Refdenotaalpie"/>
        </w:rPr>
        <w:footnoteRef/>
      </w:r>
      <w:r>
        <w:t xml:space="preserve"> </w:t>
      </w:r>
      <w:r w:rsidR="00597F89">
        <w:tab/>
      </w:r>
      <w:r>
        <w:t xml:space="preserve">CTFC (2018), </w:t>
      </w:r>
      <w:r w:rsidRPr="00F107F6">
        <w:rPr>
          <w:i/>
          <w:iCs/>
        </w:rPr>
        <w:t>The Liquidity Hierarchy in the U.S. Treasury Market:</w:t>
      </w:r>
      <w:r>
        <w:rPr>
          <w:i/>
          <w:iCs/>
        </w:rPr>
        <w:t xml:space="preserve"> </w:t>
      </w:r>
      <w:r w:rsidRPr="00F107F6">
        <w:rPr>
          <w:i/>
          <w:iCs/>
        </w:rPr>
        <w:t>Summary Statistics from CBOT Futures and TRACE Bond Data</w:t>
      </w:r>
      <w:r>
        <w:t xml:space="preserve">. </w:t>
      </w:r>
      <w:r w:rsidRPr="008E7E52">
        <w:rPr>
          <w:lang w:val="fr-FR"/>
        </w:rPr>
        <w:t>Disponible en: https://www.cftc.gov/sites/default/files/2018-11/Liquidity%20Hierarchy%20in%20Tsy%20Mkt%20v4_ada.pdf</w:t>
      </w:r>
    </w:p>
  </w:footnote>
  <w:footnote w:id="11">
    <w:p w14:paraId="16E22A67" w14:textId="3516BF4C" w:rsidR="000B38D7" w:rsidRPr="00AA54E1" w:rsidRDefault="000B38D7">
      <w:pPr>
        <w:pStyle w:val="Textonotapie"/>
        <w:rPr>
          <w:lang w:val="es-ES"/>
        </w:rPr>
      </w:pPr>
      <w:r>
        <w:rPr>
          <w:rStyle w:val="Refdenotaalpie"/>
        </w:rPr>
        <w:footnoteRef/>
      </w:r>
      <w:r w:rsidRPr="008E7E52">
        <w:rPr>
          <w:lang w:val="fr-FR"/>
        </w:rPr>
        <w:t xml:space="preserve"> </w:t>
      </w:r>
      <w:r w:rsidRPr="008E7E52">
        <w:rPr>
          <w:lang w:val="fr-FR"/>
        </w:rPr>
        <w:tab/>
        <w:t xml:space="preserve">Credit Suisse (2023). </w:t>
      </w:r>
      <w:r w:rsidRPr="008E7E52">
        <w:t xml:space="preserve">Credit Suisse Global Investment Returns Yearbook 2023. </w:t>
      </w:r>
      <w:r w:rsidRPr="00AA54E1">
        <w:rPr>
          <w:lang w:val="es-ES"/>
        </w:rPr>
        <w:t>Disponible en: https://www.credit-suisse.com/about-us-news/en/articles/news-and-expertise/global-investment-returns-yearbook-2023-202302.html</w:t>
      </w:r>
    </w:p>
  </w:footnote>
  <w:footnote w:id="12">
    <w:p w14:paraId="38D22388" w14:textId="77777777" w:rsidR="0021682D" w:rsidRPr="000F1B14" w:rsidRDefault="0021682D" w:rsidP="0021682D">
      <w:pPr>
        <w:pStyle w:val="Textonotapie"/>
        <w:rPr>
          <w:lang w:val="es-MX"/>
        </w:rPr>
      </w:pPr>
      <w:r w:rsidRPr="000F1B14">
        <w:rPr>
          <w:rStyle w:val="Refdenotaalpie"/>
        </w:rPr>
        <w:footnoteRef/>
      </w:r>
      <w:r w:rsidRPr="000F1B14">
        <w:rPr>
          <w:lang w:val="es-MX"/>
        </w:rPr>
        <w:t xml:space="preserve"> </w:t>
      </w:r>
      <w:r w:rsidRPr="000F1B14">
        <w:rPr>
          <w:lang w:val="es-MX"/>
        </w:rPr>
        <w:tab/>
        <w:t>La experiencia ha demostrado que el uso del CCPP real es más transparente para construir modelos ascendentes de costos. Cualquier método utilizado necesitará un factor de inflación ya sea en la tendencia de los precios o en el CCPP.</w:t>
      </w:r>
    </w:p>
  </w:footnote>
  <w:footnote w:id="13">
    <w:p w14:paraId="1421796E" w14:textId="5AB6914B" w:rsidR="00FF6CC0" w:rsidRPr="00AA54E1" w:rsidRDefault="00FF6CC0">
      <w:pPr>
        <w:pStyle w:val="Textonotapie"/>
        <w:rPr>
          <w:lang w:val="es-ES"/>
        </w:rPr>
      </w:pPr>
      <w:r>
        <w:rPr>
          <w:rStyle w:val="Refdenotaalpie"/>
        </w:rPr>
        <w:footnoteRef/>
      </w:r>
      <w:r w:rsidRPr="00AA54E1">
        <w:rPr>
          <w:lang w:val="es-ES"/>
        </w:rPr>
        <w:t xml:space="preserve"> </w:t>
      </w:r>
      <w:r w:rsidRPr="00AA54E1">
        <w:rPr>
          <w:lang w:val="es-ES"/>
        </w:rPr>
        <w:tab/>
        <w:t>La ecuación de Fisher expresa la relación entre</w:t>
      </w:r>
      <w:r>
        <w:rPr>
          <w:lang w:val="es-ES"/>
        </w:rPr>
        <w:t xml:space="preserve"> el la tasa de interés real y la tasa de interés nominal</w:t>
      </w:r>
    </w:p>
  </w:footnote>
  <w:footnote w:id="14">
    <w:p w14:paraId="6ED0D9BD" w14:textId="77777777" w:rsidR="0054342E" w:rsidRPr="00184D2E" w:rsidRDefault="0054342E" w:rsidP="0054342E">
      <w:pPr>
        <w:pStyle w:val="Textonotapie"/>
        <w:rPr>
          <w:lang w:val="es-MX"/>
        </w:rPr>
      </w:pPr>
      <w:r>
        <w:rPr>
          <w:rStyle w:val="Refdenotaalpie"/>
        </w:rPr>
        <w:footnoteRef/>
      </w:r>
      <w:r w:rsidRPr="0080329F">
        <w:rPr>
          <w:lang w:val="it-IT"/>
        </w:rPr>
        <w:t xml:space="preserve"> </w:t>
      </w:r>
      <w:r w:rsidRPr="0080329F">
        <w:rPr>
          <w:lang w:val="it-IT"/>
        </w:rPr>
        <w:tab/>
        <w:t xml:space="preserve">Franco Modigliani y Merton H. Miller (1958). </w:t>
      </w:r>
      <w:r w:rsidRPr="00AA54E1">
        <w:rPr>
          <w:i/>
          <w:iCs/>
        </w:rPr>
        <w:t>The cost of capital, corporation finance and the theory of investment</w:t>
      </w:r>
      <w:r>
        <w:t>.</w:t>
      </w:r>
      <w:r w:rsidRPr="00AA54E1">
        <w:t xml:space="preserve"> </w:t>
      </w:r>
      <w:r w:rsidRPr="00184D2E">
        <w:rPr>
          <w:lang w:val="es-MX"/>
        </w:rPr>
        <w:t>Disponible en:</w:t>
      </w:r>
    </w:p>
    <w:p w14:paraId="5D3E17C0" w14:textId="77777777" w:rsidR="0054342E" w:rsidRPr="00184D2E" w:rsidRDefault="0054342E" w:rsidP="0054342E">
      <w:pPr>
        <w:pStyle w:val="Textonotapie"/>
        <w:rPr>
          <w:lang w:val="es-MX"/>
        </w:rPr>
      </w:pPr>
      <w:r w:rsidRPr="00184D2E">
        <w:rPr>
          <w:lang w:val="es-MX"/>
        </w:rPr>
        <w:tab/>
        <w:t>https://gvpesquisa.fgv.br/sites/gvpesquisa.fgv.br/files/arquivos/terra_-_the_cost_of_capital_corporation_finance.pdf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EDA9" w14:textId="7B74B281" w:rsidR="00FF193A" w:rsidRDefault="00FF193A">
    <w:pPr>
      <w:pStyle w:val="Encabezado"/>
    </w:pPr>
    <w:r>
      <w:rPr>
        <w:noProof/>
        <w:lang w:val="en-US"/>
      </w:rPr>
      <w:fldChar w:fldCharType="begin"/>
    </w:r>
    <w:r>
      <w:rPr>
        <w:noProof/>
        <w:lang w:val="en-US"/>
      </w:rPr>
      <w:instrText xml:space="preserve"> STYLEREF "Contents: title" \* MERGEFORMAT </w:instrText>
    </w:r>
    <w:r>
      <w:rPr>
        <w:noProof/>
        <w:lang w:val="en-US"/>
      </w:rPr>
      <w:fldChar w:fldCharType="separate"/>
    </w:r>
    <w:r w:rsidR="001F1D48">
      <w:rPr>
        <w:b/>
        <w:bCs/>
        <w:noProof/>
        <w:lang w:val="es-ES"/>
      </w:rPr>
      <w:t>¡Error! Utilice la pestaña Inicio para aplicar Contents: title al texto que desea que aparezca aquí.</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C75B" w14:textId="1DE4E744" w:rsidR="00FF193A" w:rsidRDefault="00FF193A">
    <w:pPr>
      <w:pStyle w:val="Encabezado"/>
    </w:pPr>
    <w:r>
      <w:tab/>
    </w:r>
    <w:r>
      <w:rPr>
        <w:noProof/>
        <w:lang w:val="en-US"/>
      </w:rPr>
      <w:fldChar w:fldCharType="begin"/>
    </w:r>
    <w:r>
      <w:rPr>
        <w:noProof/>
        <w:lang w:val="en-US"/>
      </w:rPr>
      <w:instrText xml:space="preserve"> STYLEREF "Contents: title" \* MERGEFORMAT </w:instrText>
    </w:r>
    <w:r>
      <w:rPr>
        <w:noProof/>
        <w:lang w:val="en-US"/>
      </w:rPr>
      <w:fldChar w:fldCharType="separate"/>
    </w:r>
    <w:r w:rsidR="001F1D48">
      <w:rPr>
        <w:b/>
        <w:bCs/>
        <w:noProof/>
        <w:lang w:val="es-ES"/>
      </w:rPr>
      <w:t>¡Error! Utilice la pestaña Inicio para aplicar Contents: title al texto que desea que aparezca aquí.</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B045" w14:textId="3DBC7270" w:rsidR="00FF193A" w:rsidRDefault="00FF193A" w:rsidP="00146977">
    <w:pPr>
      <w:pStyle w:val="Encabezado"/>
      <w:tabs>
        <w:tab w:val="clear" w:pos="9214"/>
      </w:tabs>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0966" w14:textId="34A1386E" w:rsidR="00AA4AC9" w:rsidRPr="001C651F" w:rsidRDefault="00AA4AC9">
    <w:pPr>
      <w:pStyle w:val="Encabezado"/>
      <w:rPr>
        <w:lang w:val="es-ES"/>
      </w:rPr>
    </w:pPr>
    <w:r>
      <w:rPr>
        <w:noProof/>
      </w:rPr>
      <w:fldChar w:fldCharType="begin"/>
    </w:r>
    <w:r w:rsidRPr="001C651F">
      <w:rPr>
        <w:noProof/>
        <w:lang w:val="es-ES"/>
      </w:rPr>
      <w:instrText xml:space="preserve"> STYLEREF “Title: Main” </w:instrText>
    </w:r>
    <w:r>
      <w:rPr>
        <w:noProof/>
      </w:rPr>
      <w:fldChar w:fldCharType="separate"/>
    </w:r>
    <w:r w:rsidR="001F1D48">
      <w:rPr>
        <w:noProof/>
        <w:lang w:val="es-ES"/>
      </w:rPr>
      <w:t>Metodología para el cálculo del costo de capital promedio ponderado (CCPP)</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D330" w14:textId="7047642D" w:rsidR="00AA4AC9" w:rsidRPr="0080329F" w:rsidRDefault="00AA4AC9">
    <w:pPr>
      <w:pStyle w:val="Encabezado"/>
      <w:rPr>
        <w:lang w:val="es-ES"/>
      </w:rPr>
    </w:pPr>
    <w:r>
      <w:rPr>
        <w:noProof/>
      </w:rPr>
      <w:fldChar w:fldCharType="begin"/>
    </w:r>
    <w:r w:rsidRPr="000F1B14">
      <w:rPr>
        <w:noProof/>
        <w:lang w:val="es-ES"/>
      </w:rPr>
      <w:instrText xml:space="preserve"> STYLEREF “Title: Main” </w:instrText>
    </w:r>
    <w:r>
      <w:rPr>
        <w:noProof/>
      </w:rPr>
      <w:fldChar w:fldCharType="separate"/>
    </w:r>
    <w:r w:rsidR="001F1D48">
      <w:rPr>
        <w:noProof/>
        <w:lang w:val="es-ES"/>
      </w:rPr>
      <w:t>Metodología para el cálculo del costo de capital promedio ponderado (CCPP)</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C43E" w14:textId="6D50C291" w:rsidR="00AA4AC9" w:rsidRDefault="00AA4AC9">
    <w:pPr>
      <w:pStyle w:val="Encabezado"/>
    </w:pPr>
    <w:r>
      <w:rPr>
        <w:noProof/>
      </w:rPr>
      <w:fldChar w:fldCharType="begin"/>
    </w:r>
    <w:r>
      <w:rPr>
        <w:noProof/>
      </w:rPr>
      <w:instrText xml:space="preserve"> STYLEREF “Title: Main” </w:instrText>
    </w:r>
    <w:r>
      <w:rPr>
        <w:noProof/>
      </w:rPr>
      <w:fldChar w:fldCharType="separate"/>
    </w:r>
    <w:r w:rsidR="001F1D48">
      <w:rPr>
        <w:noProof/>
      </w:rPr>
      <w:t>Metodología para el cálculo del costo de capital promedio ponderado (CCPP)</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1D46" w14:textId="53BBB0C7" w:rsidR="009A51BA" w:rsidRPr="00AA54E1" w:rsidRDefault="009A51BA">
    <w:pPr>
      <w:pStyle w:val="Encabezado"/>
      <w:rPr>
        <w:lang w:val="es-ES"/>
      </w:rPr>
    </w:pPr>
    <w:r>
      <w:rPr>
        <w:noProof/>
      </w:rPr>
      <w:fldChar w:fldCharType="begin"/>
    </w:r>
    <w:r w:rsidRPr="00AA54E1">
      <w:rPr>
        <w:noProof/>
        <w:lang w:val="es-ES"/>
      </w:rPr>
      <w:instrText xml:space="preserve"> STYLEREF “Title: Main” </w:instrText>
    </w:r>
    <w:r>
      <w:rPr>
        <w:noProof/>
      </w:rPr>
      <w:fldChar w:fldCharType="separate"/>
    </w:r>
    <w:r w:rsidR="001F1D48">
      <w:rPr>
        <w:noProof/>
        <w:lang w:val="es-ES"/>
      </w:rPr>
      <w:t>Metodología para el cálculo del costo de capital promedio ponderado (CCPP)</w:t>
    </w:r>
    <w:r>
      <w:rPr>
        <w:noProof/>
      </w:rPr>
      <w:fldChar w:fldCharType="end"/>
    </w:r>
    <w:r w:rsidRPr="00AA54E1">
      <w:rPr>
        <w:lang w:val="es-ES"/>
      </w:rPr>
      <w:t xml:space="preserve">  |  </w:t>
    </w:r>
    <w:r>
      <w:rPr>
        <w:rStyle w:val="Nmerodepgina"/>
      </w:rPr>
      <w:fldChar w:fldCharType="begin"/>
    </w:r>
    <w:r w:rsidRPr="00AA54E1">
      <w:rPr>
        <w:rStyle w:val="Nmerodepgina"/>
        <w:lang w:val="es-ES"/>
      </w:rPr>
      <w:instrText xml:space="preserve"> PAGE </w:instrText>
    </w:r>
    <w:r>
      <w:rPr>
        <w:rStyle w:val="Nmerodepgina"/>
      </w:rPr>
      <w:fldChar w:fldCharType="separate"/>
    </w:r>
    <w:r w:rsidRPr="00AA54E1">
      <w:rPr>
        <w:rStyle w:val="Nmerodepgina"/>
        <w:noProof/>
        <w:lang w:val="es-ES"/>
      </w:rPr>
      <w:t>2</w:t>
    </w:r>
    <w:r>
      <w:rPr>
        <w:rStyle w:val="Nmerodepgin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1672" w14:textId="77777777" w:rsidR="00AA4AC9" w:rsidRPr="008B7633" w:rsidRDefault="00AA4AC9" w:rsidP="008B76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A80A0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B1CC527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03B0B0E"/>
    <w:multiLevelType w:val="hybridMultilevel"/>
    <w:tmpl w:val="8264CA00"/>
    <w:lvl w:ilvl="0" w:tplc="17240298">
      <w:start w:val="1"/>
      <w:numFmt w:val="bullet"/>
      <w:lvlText w:val=""/>
      <w:lvlJc w:val="left"/>
      <w:pPr>
        <w:ind w:left="720" w:hanging="360"/>
      </w:pPr>
      <w:rPr>
        <w:rFonts w:ascii="Symbol" w:hAnsi="Symbol" w:hint="default"/>
        <w:sz w:val="20"/>
      </w:rPr>
    </w:lvl>
    <w:lvl w:ilvl="1" w:tplc="31D2ADA6">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453214B"/>
    <w:multiLevelType w:val="hybridMultilevel"/>
    <w:tmpl w:val="C50CFD72"/>
    <w:lvl w:ilvl="0" w:tplc="17240298">
      <w:start w:val="1"/>
      <w:numFmt w:val="bullet"/>
      <w:lvlText w:val=""/>
      <w:lvlJc w:val="left"/>
      <w:pPr>
        <w:ind w:left="720" w:hanging="360"/>
      </w:pPr>
      <w:rPr>
        <w:rFonts w:ascii="Symbol" w:hAnsi="Symbol" w:hint="default"/>
        <w:sz w:val="20"/>
      </w:rPr>
    </w:lvl>
    <w:lvl w:ilvl="1" w:tplc="31D2ADA6">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E7309"/>
    <w:multiLevelType w:val="hybridMultilevel"/>
    <w:tmpl w:val="E6F86730"/>
    <w:lvl w:ilvl="0" w:tplc="F1A27734">
      <w:start w:val="1"/>
      <w:numFmt w:val="bullet"/>
      <w:lvlText w:val=""/>
      <w:lvlJc w:val="left"/>
      <w:pPr>
        <w:ind w:left="720" w:hanging="360"/>
      </w:pPr>
      <w:rPr>
        <w:rFonts w:ascii="Symbol" w:hAnsi="Symbol"/>
      </w:rPr>
    </w:lvl>
    <w:lvl w:ilvl="1" w:tplc="97925A74">
      <w:start w:val="1"/>
      <w:numFmt w:val="bullet"/>
      <w:lvlText w:val=""/>
      <w:lvlJc w:val="left"/>
      <w:pPr>
        <w:ind w:left="720" w:hanging="360"/>
      </w:pPr>
      <w:rPr>
        <w:rFonts w:ascii="Symbol" w:hAnsi="Symbol"/>
      </w:rPr>
    </w:lvl>
    <w:lvl w:ilvl="2" w:tplc="A26693DC">
      <w:start w:val="1"/>
      <w:numFmt w:val="bullet"/>
      <w:lvlText w:val=""/>
      <w:lvlJc w:val="left"/>
      <w:pPr>
        <w:ind w:left="720" w:hanging="360"/>
      </w:pPr>
      <w:rPr>
        <w:rFonts w:ascii="Symbol" w:hAnsi="Symbol"/>
      </w:rPr>
    </w:lvl>
    <w:lvl w:ilvl="3" w:tplc="DAEADBD2">
      <w:start w:val="1"/>
      <w:numFmt w:val="bullet"/>
      <w:lvlText w:val=""/>
      <w:lvlJc w:val="left"/>
      <w:pPr>
        <w:ind w:left="720" w:hanging="360"/>
      </w:pPr>
      <w:rPr>
        <w:rFonts w:ascii="Symbol" w:hAnsi="Symbol"/>
      </w:rPr>
    </w:lvl>
    <w:lvl w:ilvl="4" w:tplc="94B432AA">
      <w:start w:val="1"/>
      <w:numFmt w:val="bullet"/>
      <w:lvlText w:val=""/>
      <w:lvlJc w:val="left"/>
      <w:pPr>
        <w:ind w:left="720" w:hanging="360"/>
      </w:pPr>
      <w:rPr>
        <w:rFonts w:ascii="Symbol" w:hAnsi="Symbol"/>
      </w:rPr>
    </w:lvl>
    <w:lvl w:ilvl="5" w:tplc="FDC8AA04">
      <w:start w:val="1"/>
      <w:numFmt w:val="bullet"/>
      <w:lvlText w:val=""/>
      <w:lvlJc w:val="left"/>
      <w:pPr>
        <w:ind w:left="720" w:hanging="360"/>
      </w:pPr>
      <w:rPr>
        <w:rFonts w:ascii="Symbol" w:hAnsi="Symbol"/>
      </w:rPr>
    </w:lvl>
    <w:lvl w:ilvl="6" w:tplc="F6E8B658">
      <w:start w:val="1"/>
      <w:numFmt w:val="bullet"/>
      <w:lvlText w:val=""/>
      <w:lvlJc w:val="left"/>
      <w:pPr>
        <w:ind w:left="720" w:hanging="360"/>
      </w:pPr>
      <w:rPr>
        <w:rFonts w:ascii="Symbol" w:hAnsi="Symbol"/>
      </w:rPr>
    </w:lvl>
    <w:lvl w:ilvl="7" w:tplc="CA06C0E8">
      <w:start w:val="1"/>
      <w:numFmt w:val="bullet"/>
      <w:lvlText w:val=""/>
      <w:lvlJc w:val="left"/>
      <w:pPr>
        <w:ind w:left="720" w:hanging="360"/>
      </w:pPr>
      <w:rPr>
        <w:rFonts w:ascii="Symbol" w:hAnsi="Symbol"/>
      </w:rPr>
    </w:lvl>
    <w:lvl w:ilvl="8" w:tplc="0B16B1C0">
      <w:start w:val="1"/>
      <w:numFmt w:val="bullet"/>
      <w:lvlText w:val=""/>
      <w:lvlJc w:val="left"/>
      <w:pPr>
        <w:ind w:left="720" w:hanging="360"/>
      </w:pPr>
      <w:rPr>
        <w:rFonts w:ascii="Symbol" w:hAnsi="Symbol"/>
      </w:rPr>
    </w:lvl>
  </w:abstractNum>
  <w:abstractNum w:abstractNumId="6" w15:restartNumberingAfterBreak="0">
    <w:nsid w:val="0DB6421E"/>
    <w:multiLevelType w:val="hybridMultilevel"/>
    <w:tmpl w:val="2E827ED8"/>
    <w:lvl w:ilvl="0" w:tplc="422E6672">
      <w:start w:val="1"/>
      <w:numFmt w:val="bullet"/>
      <w:pStyle w:val="Listaconvietas2"/>
      <w:lvlText w:val="–"/>
      <w:lvlJc w:val="left"/>
      <w:pPr>
        <w:ind w:left="717" w:hanging="360"/>
      </w:pPr>
      <w:rPr>
        <w:rFonts w:ascii="Times New Roman" w:hAnsi="Times New Roman" w:hint="default"/>
        <w:b w:val="0"/>
        <w:i w:val="0"/>
        <w:color w:val="auto"/>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DE5317A"/>
    <w:multiLevelType w:val="hybridMultilevel"/>
    <w:tmpl w:val="C450DE7E"/>
    <w:lvl w:ilvl="0" w:tplc="439AC790">
      <w:start w:val="1"/>
      <w:numFmt w:val="bullet"/>
      <w:lvlText w:val=""/>
      <w:lvlJc w:val="left"/>
      <w:pPr>
        <w:ind w:left="720" w:hanging="360"/>
      </w:pPr>
      <w:rPr>
        <w:rFonts w:ascii="Symbol" w:hAnsi="Symbol"/>
      </w:rPr>
    </w:lvl>
    <w:lvl w:ilvl="1" w:tplc="760ACFBE">
      <w:start w:val="1"/>
      <w:numFmt w:val="bullet"/>
      <w:lvlText w:val=""/>
      <w:lvlJc w:val="left"/>
      <w:pPr>
        <w:ind w:left="720" w:hanging="360"/>
      </w:pPr>
      <w:rPr>
        <w:rFonts w:ascii="Symbol" w:hAnsi="Symbol"/>
      </w:rPr>
    </w:lvl>
    <w:lvl w:ilvl="2" w:tplc="4428FEB0">
      <w:start w:val="1"/>
      <w:numFmt w:val="bullet"/>
      <w:lvlText w:val=""/>
      <w:lvlJc w:val="left"/>
      <w:pPr>
        <w:ind w:left="720" w:hanging="360"/>
      </w:pPr>
      <w:rPr>
        <w:rFonts w:ascii="Symbol" w:hAnsi="Symbol"/>
      </w:rPr>
    </w:lvl>
    <w:lvl w:ilvl="3" w:tplc="3848A908">
      <w:start w:val="1"/>
      <w:numFmt w:val="bullet"/>
      <w:lvlText w:val=""/>
      <w:lvlJc w:val="left"/>
      <w:pPr>
        <w:ind w:left="720" w:hanging="360"/>
      </w:pPr>
      <w:rPr>
        <w:rFonts w:ascii="Symbol" w:hAnsi="Symbol"/>
      </w:rPr>
    </w:lvl>
    <w:lvl w:ilvl="4" w:tplc="4858A4B8">
      <w:start w:val="1"/>
      <w:numFmt w:val="bullet"/>
      <w:lvlText w:val=""/>
      <w:lvlJc w:val="left"/>
      <w:pPr>
        <w:ind w:left="720" w:hanging="360"/>
      </w:pPr>
      <w:rPr>
        <w:rFonts w:ascii="Symbol" w:hAnsi="Symbol"/>
      </w:rPr>
    </w:lvl>
    <w:lvl w:ilvl="5" w:tplc="9F82AA6A">
      <w:start w:val="1"/>
      <w:numFmt w:val="bullet"/>
      <w:lvlText w:val=""/>
      <w:lvlJc w:val="left"/>
      <w:pPr>
        <w:ind w:left="720" w:hanging="360"/>
      </w:pPr>
      <w:rPr>
        <w:rFonts w:ascii="Symbol" w:hAnsi="Symbol"/>
      </w:rPr>
    </w:lvl>
    <w:lvl w:ilvl="6" w:tplc="174C02AE">
      <w:start w:val="1"/>
      <w:numFmt w:val="bullet"/>
      <w:lvlText w:val=""/>
      <w:lvlJc w:val="left"/>
      <w:pPr>
        <w:ind w:left="720" w:hanging="360"/>
      </w:pPr>
      <w:rPr>
        <w:rFonts w:ascii="Symbol" w:hAnsi="Symbol"/>
      </w:rPr>
    </w:lvl>
    <w:lvl w:ilvl="7" w:tplc="21621140">
      <w:start w:val="1"/>
      <w:numFmt w:val="bullet"/>
      <w:lvlText w:val=""/>
      <w:lvlJc w:val="left"/>
      <w:pPr>
        <w:ind w:left="720" w:hanging="360"/>
      </w:pPr>
      <w:rPr>
        <w:rFonts w:ascii="Symbol" w:hAnsi="Symbol"/>
      </w:rPr>
    </w:lvl>
    <w:lvl w:ilvl="8" w:tplc="2736AC00">
      <w:start w:val="1"/>
      <w:numFmt w:val="bullet"/>
      <w:lvlText w:val=""/>
      <w:lvlJc w:val="left"/>
      <w:pPr>
        <w:ind w:left="720" w:hanging="360"/>
      </w:pPr>
      <w:rPr>
        <w:rFonts w:ascii="Symbol" w:hAnsi="Symbol"/>
      </w:rPr>
    </w:lvl>
  </w:abstractNum>
  <w:abstractNum w:abstractNumId="8" w15:restartNumberingAfterBreak="0">
    <w:nsid w:val="0EA80204"/>
    <w:multiLevelType w:val="hybridMultilevel"/>
    <w:tmpl w:val="2294D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362D84"/>
    <w:multiLevelType w:val="hybridMultilevel"/>
    <w:tmpl w:val="173219C6"/>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722699AE"/>
    <w:lvl w:ilvl="0">
      <w:start w:val="1"/>
      <w:numFmt w:val="upperLetter"/>
      <w:pStyle w:val="Annex1"/>
      <w:lvlText w:val="Annex %1"/>
      <w:lvlJc w:val="left"/>
      <w:pPr>
        <w:tabs>
          <w:tab w:val="num" w:pos="3760"/>
        </w:tabs>
        <w:ind w:left="2626" w:hanging="499"/>
      </w:pPr>
      <w:rPr>
        <w:rFonts w:ascii="Times New Roman" w:hAnsi="Times New Roman" w:hint="default"/>
        <w:b w:val="0"/>
        <w:i w:val="0"/>
        <w:sz w:val="36"/>
      </w:rPr>
    </w:lvl>
    <w:lvl w:ilvl="1">
      <w:start w:val="1"/>
      <w:numFmt w:val="decimal"/>
      <w:pStyle w:val="Annex2"/>
      <w:lvlText w:val="%1.%2"/>
      <w:lvlJc w:val="left"/>
      <w:pPr>
        <w:tabs>
          <w:tab w:val="num" w:pos="3760"/>
        </w:tabs>
        <w:ind w:left="2626" w:hanging="499"/>
      </w:pPr>
      <w:rPr>
        <w:rFonts w:ascii="Times New Roman Bold" w:hAnsi="Times New Roman Bold" w:hint="default"/>
        <w:b/>
        <w:i w:val="0"/>
        <w:sz w:val="24"/>
      </w:rPr>
    </w:lvl>
    <w:lvl w:ilvl="2">
      <w:start w:val="1"/>
      <w:numFmt w:val="decimal"/>
      <w:pStyle w:val="Annex3"/>
      <w:suff w:val="space"/>
      <w:lvlText w:val="%1.%2.%3"/>
      <w:lvlJc w:val="left"/>
      <w:pPr>
        <w:ind w:left="2626" w:hanging="499"/>
      </w:pPr>
      <w:rPr>
        <w:rFonts w:hint="default"/>
      </w:rPr>
    </w:lvl>
    <w:lvl w:ilvl="3">
      <w:start w:val="1"/>
      <w:numFmt w:val="none"/>
      <w:pStyle w:val="Annex4"/>
      <w:suff w:val="nothing"/>
      <w:lvlText w:val=""/>
      <w:lvlJc w:val="left"/>
      <w:pPr>
        <w:ind w:left="2626" w:firstLine="0"/>
      </w:pPr>
      <w:rPr>
        <w:rFonts w:hint="default"/>
      </w:rPr>
    </w:lvl>
    <w:lvl w:ilvl="4">
      <w:start w:val="1"/>
      <w:numFmt w:val="lowerLetter"/>
      <w:lvlText w:val="(%5)"/>
      <w:lvlJc w:val="left"/>
      <w:pPr>
        <w:tabs>
          <w:tab w:val="num" w:pos="3760"/>
        </w:tabs>
        <w:ind w:left="2626" w:hanging="499"/>
      </w:pPr>
      <w:rPr>
        <w:rFonts w:hint="default"/>
      </w:rPr>
    </w:lvl>
    <w:lvl w:ilvl="5">
      <w:start w:val="1"/>
      <w:numFmt w:val="lowerRoman"/>
      <w:lvlText w:val="(%6)"/>
      <w:lvlJc w:val="left"/>
      <w:pPr>
        <w:tabs>
          <w:tab w:val="num" w:pos="3760"/>
        </w:tabs>
        <w:ind w:left="2626" w:hanging="499"/>
      </w:pPr>
      <w:rPr>
        <w:rFonts w:hint="default"/>
      </w:rPr>
    </w:lvl>
    <w:lvl w:ilvl="6">
      <w:start w:val="1"/>
      <w:numFmt w:val="decimal"/>
      <w:lvlText w:val="%7."/>
      <w:lvlJc w:val="left"/>
      <w:pPr>
        <w:tabs>
          <w:tab w:val="num" w:pos="3760"/>
        </w:tabs>
        <w:ind w:left="2626" w:hanging="499"/>
      </w:pPr>
      <w:rPr>
        <w:rFonts w:hint="default"/>
      </w:rPr>
    </w:lvl>
    <w:lvl w:ilvl="7">
      <w:start w:val="1"/>
      <w:numFmt w:val="lowerLetter"/>
      <w:lvlText w:val="%8."/>
      <w:lvlJc w:val="left"/>
      <w:pPr>
        <w:tabs>
          <w:tab w:val="num" w:pos="3760"/>
        </w:tabs>
        <w:ind w:left="2626" w:hanging="499"/>
      </w:pPr>
      <w:rPr>
        <w:rFonts w:hint="default"/>
      </w:rPr>
    </w:lvl>
    <w:lvl w:ilvl="8">
      <w:start w:val="1"/>
      <w:numFmt w:val="lowerRoman"/>
      <w:lvlText w:val="%9."/>
      <w:lvlJc w:val="left"/>
      <w:pPr>
        <w:tabs>
          <w:tab w:val="num" w:pos="3760"/>
        </w:tabs>
        <w:ind w:left="2626" w:hanging="499"/>
      </w:pPr>
      <w:rPr>
        <w:rFonts w:hint="default"/>
      </w:rPr>
    </w:lvl>
  </w:abstractNum>
  <w:abstractNum w:abstractNumId="11" w15:restartNumberingAfterBreak="0">
    <w:nsid w:val="1D822D5E"/>
    <w:multiLevelType w:val="hybridMultilevel"/>
    <w:tmpl w:val="3C7007EE"/>
    <w:lvl w:ilvl="0" w:tplc="AF90A5D0">
      <w:start w:val="1"/>
      <w:numFmt w:val="bullet"/>
      <w:lvlText w:val=""/>
      <w:lvlJc w:val="left"/>
      <w:pPr>
        <w:ind w:left="720" w:hanging="360"/>
      </w:pPr>
      <w:rPr>
        <w:rFonts w:ascii="Symbol" w:hAnsi="Symbol"/>
      </w:rPr>
    </w:lvl>
    <w:lvl w:ilvl="1" w:tplc="A2E6E842">
      <w:start w:val="1"/>
      <w:numFmt w:val="bullet"/>
      <w:lvlText w:val=""/>
      <w:lvlJc w:val="left"/>
      <w:pPr>
        <w:ind w:left="720" w:hanging="360"/>
      </w:pPr>
      <w:rPr>
        <w:rFonts w:ascii="Symbol" w:hAnsi="Symbol"/>
      </w:rPr>
    </w:lvl>
    <w:lvl w:ilvl="2" w:tplc="C916EFB0">
      <w:start w:val="1"/>
      <w:numFmt w:val="bullet"/>
      <w:lvlText w:val=""/>
      <w:lvlJc w:val="left"/>
      <w:pPr>
        <w:ind w:left="720" w:hanging="360"/>
      </w:pPr>
      <w:rPr>
        <w:rFonts w:ascii="Symbol" w:hAnsi="Symbol"/>
      </w:rPr>
    </w:lvl>
    <w:lvl w:ilvl="3" w:tplc="E6A28A78">
      <w:start w:val="1"/>
      <w:numFmt w:val="bullet"/>
      <w:lvlText w:val=""/>
      <w:lvlJc w:val="left"/>
      <w:pPr>
        <w:ind w:left="720" w:hanging="360"/>
      </w:pPr>
      <w:rPr>
        <w:rFonts w:ascii="Symbol" w:hAnsi="Symbol"/>
      </w:rPr>
    </w:lvl>
    <w:lvl w:ilvl="4" w:tplc="8EB4F2C2">
      <w:start w:val="1"/>
      <w:numFmt w:val="bullet"/>
      <w:lvlText w:val=""/>
      <w:lvlJc w:val="left"/>
      <w:pPr>
        <w:ind w:left="720" w:hanging="360"/>
      </w:pPr>
      <w:rPr>
        <w:rFonts w:ascii="Symbol" w:hAnsi="Symbol"/>
      </w:rPr>
    </w:lvl>
    <w:lvl w:ilvl="5" w:tplc="B14C5782">
      <w:start w:val="1"/>
      <w:numFmt w:val="bullet"/>
      <w:lvlText w:val=""/>
      <w:lvlJc w:val="left"/>
      <w:pPr>
        <w:ind w:left="720" w:hanging="360"/>
      </w:pPr>
      <w:rPr>
        <w:rFonts w:ascii="Symbol" w:hAnsi="Symbol"/>
      </w:rPr>
    </w:lvl>
    <w:lvl w:ilvl="6" w:tplc="809EC4A0">
      <w:start w:val="1"/>
      <w:numFmt w:val="bullet"/>
      <w:lvlText w:val=""/>
      <w:lvlJc w:val="left"/>
      <w:pPr>
        <w:ind w:left="720" w:hanging="360"/>
      </w:pPr>
      <w:rPr>
        <w:rFonts w:ascii="Symbol" w:hAnsi="Symbol"/>
      </w:rPr>
    </w:lvl>
    <w:lvl w:ilvl="7" w:tplc="E7E27836">
      <w:start w:val="1"/>
      <w:numFmt w:val="bullet"/>
      <w:lvlText w:val=""/>
      <w:lvlJc w:val="left"/>
      <w:pPr>
        <w:ind w:left="720" w:hanging="360"/>
      </w:pPr>
      <w:rPr>
        <w:rFonts w:ascii="Symbol" w:hAnsi="Symbol"/>
      </w:rPr>
    </w:lvl>
    <w:lvl w:ilvl="8" w:tplc="0F5824A8">
      <w:start w:val="1"/>
      <w:numFmt w:val="bullet"/>
      <w:lvlText w:val=""/>
      <w:lvlJc w:val="left"/>
      <w:pPr>
        <w:ind w:left="720" w:hanging="360"/>
      </w:pPr>
      <w:rPr>
        <w:rFonts w:ascii="Symbol" w:hAnsi="Symbol"/>
      </w:rPr>
    </w:lvl>
  </w:abstractNum>
  <w:abstractNum w:abstractNumId="12" w15:restartNumberingAfterBreak="0">
    <w:nsid w:val="212F4F9C"/>
    <w:multiLevelType w:val="hybridMultilevel"/>
    <w:tmpl w:val="B7C20C32"/>
    <w:lvl w:ilvl="0" w:tplc="31D2ADA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C2518D"/>
    <w:multiLevelType w:val="hybridMultilevel"/>
    <w:tmpl w:val="B0E267BC"/>
    <w:lvl w:ilvl="0" w:tplc="223249B6">
      <w:start w:val="1"/>
      <w:numFmt w:val="bullet"/>
      <w:lvlText w:val=""/>
      <w:lvlJc w:val="left"/>
      <w:pPr>
        <w:ind w:left="720" w:hanging="360"/>
      </w:pPr>
      <w:rPr>
        <w:rFonts w:ascii="Symbol" w:hAnsi="Symbol"/>
      </w:rPr>
    </w:lvl>
    <w:lvl w:ilvl="1" w:tplc="5D1420BE">
      <w:start w:val="1"/>
      <w:numFmt w:val="bullet"/>
      <w:lvlText w:val=""/>
      <w:lvlJc w:val="left"/>
      <w:pPr>
        <w:ind w:left="720" w:hanging="360"/>
      </w:pPr>
      <w:rPr>
        <w:rFonts w:ascii="Symbol" w:hAnsi="Symbol"/>
      </w:rPr>
    </w:lvl>
    <w:lvl w:ilvl="2" w:tplc="5F5CB1F2">
      <w:start w:val="1"/>
      <w:numFmt w:val="bullet"/>
      <w:lvlText w:val=""/>
      <w:lvlJc w:val="left"/>
      <w:pPr>
        <w:ind w:left="720" w:hanging="360"/>
      </w:pPr>
      <w:rPr>
        <w:rFonts w:ascii="Symbol" w:hAnsi="Symbol"/>
      </w:rPr>
    </w:lvl>
    <w:lvl w:ilvl="3" w:tplc="2AF45B10">
      <w:start w:val="1"/>
      <w:numFmt w:val="bullet"/>
      <w:lvlText w:val=""/>
      <w:lvlJc w:val="left"/>
      <w:pPr>
        <w:ind w:left="720" w:hanging="360"/>
      </w:pPr>
      <w:rPr>
        <w:rFonts w:ascii="Symbol" w:hAnsi="Symbol"/>
      </w:rPr>
    </w:lvl>
    <w:lvl w:ilvl="4" w:tplc="F41691CE">
      <w:start w:val="1"/>
      <w:numFmt w:val="bullet"/>
      <w:lvlText w:val=""/>
      <w:lvlJc w:val="left"/>
      <w:pPr>
        <w:ind w:left="720" w:hanging="360"/>
      </w:pPr>
      <w:rPr>
        <w:rFonts w:ascii="Symbol" w:hAnsi="Symbol"/>
      </w:rPr>
    </w:lvl>
    <w:lvl w:ilvl="5" w:tplc="2CC62406">
      <w:start w:val="1"/>
      <w:numFmt w:val="bullet"/>
      <w:lvlText w:val=""/>
      <w:lvlJc w:val="left"/>
      <w:pPr>
        <w:ind w:left="720" w:hanging="360"/>
      </w:pPr>
      <w:rPr>
        <w:rFonts w:ascii="Symbol" w:hAnsi="Symbol"/>
      </w:rPr>
    </w:lvl>
    <w:lvl w:ilvl="6" w:tplc="5AA84296">
      <w:start w:val="1"/>
      <w:numFmt w:val="bullet"/>
      <w:lvlText w:val=""/>
      <w:lvlJc w:val="left"/>
      <w:pPr>
        <w:ind w:left="720" w:hanging="360"/>
      </w:pPr>
      <w:rPr>
        <w:rFonts w:ascii="Symbol" w:hAnsi="Symbol"/>
      </w:rPr>
    </w:lvl>
    <w:lvl w:ilvl="7" w:tplc="FA80C47C">
      <w:start w:val="1"/>
      <w:numFmt w:val="bullet"/>
      <w:lvlText w:val=""/>
      <w:lvlJc w:val="left"/>
      <w:pPr>
        <w:ind w:left="720" w:hanging="360"/>
      </w:pPr>
      <w:rPr>
        <w:rFonts w:ascii="Symbol" w:hAnsi="Symbol"/>
      </w:rPr>
    </w:lvl>
    <w:lvl w:ilvl="8" w:tplc="475622C2">
      <w:start w:val="1"/>
      <w:numFmt w:val="bullet"/>
      <w:lvlText w:val=""/>
      <w:lvlJc w:val="left"/>
      <w:pPr>
        <w:ind w:left="720" w:hanging="360"/>
      </w:pPr>
      <w:rPr>
        <w:rFonts w:ascii="Symbol" w:hAnsi="Symbol"/>
      </w:rPr>
    </w:lvl>
  </w:abstractNum>
  <w:abstractNum w:abstractNumId="14" w15:restartNumberingAfterBreak="0">
    <w:nsid w:val="293458C0"/>
    <w:multiLevelType w:val="hybridMultilevel"/>
    <w:tmpl w:val="5048679C"/>
    <w:lvl w:ilvl="0" w:tplc="402E92D6">
      <w:start w:val="1"/>
      <w:numFmt w:val="bullet"/>
      <w:pStyle w:val="CV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735F4"/>
    <w:multiLevelType w:val="multilevel"/>
    <w:tmpl w:val="89E461CC"/>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Times New Roman Bold" w:hAnsi="Times New Roman Bold"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6" w15:restartNumberingAfterBreak="0">
    <w:nsid w:val="2E424F1F"/>
    <w:multiLevelType w:val="hybridMultilevel"/>
    <w:tmpl w:val="688423E6"/>
    <w:lvl w:ilvl="0" w:tplc="17240298">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37F97"/>
    <w:multiLevelType w:val="hybridMultilevel"/>
    <w:tmpl w:val="B0E0208C"/>
    <w:lvl w:ilvl="0" w:tplc="4EA8D2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B0694"/>
    <w:multiLevelType w:val="hybridMultilevel"/>
    <w:tmpl w:val="199CE64A"/>
    <w:lvl w:ilvl="0" w:tplc="6498A2D0">
      <w:start w:val="1"/>
      <w:numFmt w:val="bullet"/>
      <w:lvlText w:val=""/>
      <w:lvlJc w:val="left"/>
      <w:pPr>
        <w:ind w:left="720" w:hanging="360"/>
      </w:pPr>
      <w:rPr>
        <w:rFonts w:ascii="Symbol" w:hAnsi="Symbol"/>
      </w:rPr>
    </w:lvl>
    <w:lvl w:ilvl="1" w:tplc="865033BE">
      <w:start w:val="1"/>
      <w:numFmt w:val="bullet"/>
      <w:lvlText w:val=""/>
      <w:lvlJc w:val="left"/>
      <w:pPr>
        <w:ind w:left="720" w:hanging="360"/>
      </w:pPr>
      <w:rPr>
        <w:rFonts w:ascii="Symbol" w:hAnsi="Symbol"/>
      </w:rPr>
    </w:lvl>
    <w:lvl w:ilvl="2" w:tplc="5C187372">
      <w:start w:val="1"/>
      <w:numFmt w:val="bullet"/>
      <w:lvlText w:val=""/>
      <w:lvlJc w:val="left"/>
      <w:pPr>
        <w:ind w:left="720" w:hanging="360"/>
      </w:pPr>
      <w:rPr>
        <w:rFonts w:ascii="Symbol" w:hAnsi="Symbol"/>
      </w:rPr>
    </w:lvl>
    <w:lvl w:ilvl="3" w:tplc="7C2291E8">
      <w:start w:val="1"/>
      <w:numFmt w:val="bullet"/>
      <w:lvlText w:val=""/>
      <w:lvlJc w:val="left"/>
      <w:pPr>
        <w:ind w:left="720" w:hanging="360"/>
      </w:pPr>
      <w:rPr>
        <w:rFonts w:ascii="Symbol" w:hAnsi="Symbol"/>
      </w:rPr>
    </w:lvl>
    <w:lvl w:ilvl="4" w:tplc="E1A88E62">
      <w:start w:val="1"/>
      <w:numFmt w:val="bullet"/>
      <w:lvlText w:val=""/>
      <w:lvlJc w:val="left"/>
      <w:pPr>
        <w:ind w:left="720" w:hanging="360"/>
      </w:pPr>
      <w:rPr>
        <w:rFonts w:ascii="Symbol" w:hAnsi="Symbol"/>
      </w:rPr>
    </w:lvl>
    <w:lvl w:ilvl="5" w:tplc="B9BCE1F2">
      <w:start w:val="1"/>
      <w:numFmt w:val="bullet"/>
      <w:lvlText w:val=""/>
      <w:lvlJc w:val="left"/>
      <w:pPr>
        <w:ind w:left="720" w:hanging="360"/>
      </w:pPr>
      <w:rPr>
        <w:rFonts w:ascii="Symbol" w:hAnsi="Symbol"/>
      </w:rPr>
    </w:lvl>
    <w:lvl w:ilvl="6" w:tplc="86423BC2">
      <w:start w:val="1"/>
      <w:numFmt w:val="bullet"/>
      <w:lvlText w:val=""/>
      <w:lvlJc w:val="left"/>
      <w:pPr>
        <w:ind w:left="720" w:hanging="360"/>
      </w:pPr>
      <w:rPr>
        <w:rFonts w:ascii="Symbol" w:hAnsi="Symbol"/>
      </w:rPr>
    </w:lvl>
    <w:lvl w:ilvl="7" w:tplc="DD303344">
      <w:start w:val="1"/>
      <w:numFmt w:val="bullet"/>
      <w:lvlText w:val=""/>
      <w:lvlJc w:val="left"/>
      <w:pPr>
        <w:ind w:left="720" w:hanging="360"/>
      </w:pPr>
      <w:rPr>
        <w:rFonts w:ascii="Symbol" w:hAnsi="Symbol"/>
      </w:rPr>
    </w:lvl>
    <w:lvl w:ilvl="8" w:tplc="429E33DA">
      <w:start w:val="1"/>
      <w:numFmt w:val="bullet"/>
      <w:lvlText w:val=""/>
      <w:lvlJc w:val="left"/>
      <w:pPr>
        <w:ind w:left="720" w:hanging="360"/>
      </w:pPr>
      <w:rPr>
        <w:rFonts w:ascii="Symbol" w:hAnsi="Symbol"/>
      </w:rPr>
    </w:lvl>
  </w:abstractNum>
  <w:abstractNum w:abstractNumId="19" w15:restartNumberingAfterBreak="0">
    <w:nsid w:val="3DC327F8"/>
    <w:multiLevelType w:val="hybridMultilevel"/>
    <w:tmpl w:val="F91E8C08"/>
    <w:lvl w:ilvl="0" w:tplc="AA3AE64E">
      <w:start w:val="1"/>
      <w:numFmt w:val="bullet"/>
      <w:lvlText w:val=""/>
      <w:lvlJc w:val="left"/>
      <w:pPr>
        <w:ind w:left="720" w:hanging="360"/>
      </w:pPr>
      <w:rPr>
        <w:rFonts w:ascii="Symbol" w:hAnsi="Symbol"/>
      </w:rPr>
    </w:lvl>
    <w:lvl w:ilvl="1" w:tplc="C08EA62E">
      <w:start w:val="1"/>
      <w:numFmt w:val="bullet"/>
      <w:lvlText w:val=""/>
      <w:lvlJc w:val="left"/>
      <w:pPr>
        <w:ind w:left="720" w:hanging="360"/>
      </w:pPr>
      <w:rPr>
        <w:rFonts w:ascii="Symbol" w:hAnsi="Symbol"/>
      </w:rPr>
    </w:lvl>
    <w:lvl w:ilvl="2" w:tplc="D3748DFE">
      <w:start w:val="1"/>
      <w:numFmt w:val="bullet"/>
      <w:lvlText w:val=""/>
      <w:lvlJc w:val="left"/>
      <w:pPr>
        <w:ind w:left="720" w:hanging="360"/>
      </w:pPr>
      <w:rPr>
        <w:rFonts w:ascii="Symbol" w:hAnsi="Symbol"/>
      </w:rPr>
    </w:lvl>
    <w:lvl w:ilvl="3" w:tplc="AFB8BB42">
      <w:start w:val="1"/>
      <w:numFmt w:val="bullet"/>
      <w:lvlText w:val=""/>
      <w:lvlJc w:val="left"/>
      <w:pPr>
        <w:ind w:left="720" w:hanging="360"/>
      </w:pPr>
      <w:rPr>
        <w:rFonts w:ascii="Symbol" w:hAnsi="Symbol"/>
      </w:rPr>
    </w:lvl>
    <w:lvl w:ilvl="4" w:tplc="734ED9F4">
      <w:start w:val="1"/>
      <w:numFmt w:val="bullet"/>
      <w:lvlText w:val=""/>
      <w:lvlJc w:val="left"/>
      <w:pPr>
        <w:ind w:left="720" w:hanging="360"/>
      </w:pPr>
      <w:rPr>
        <w:rFonts w:ascii="Symbol" w:hAnsi="Symbol"/>
      </w:rPr>
    </w:lvl>
    <w:lvl w:ilvl="5" w:tplc="0576F086">
      <w:start w:val="1"/>
      <w:numFmt w:val="bullet"/>
      <w:lvlText w:val=""/>
      <w:lvlJc w:val="left"/>
      <w:pPr>
        <w:ind w:left="720" w:hanging="360"/>
      </w:pPr>
      <w:rPr>
        <w:rFonts w:ascii="Symbol" w:hAnsi="Symbol"/>
      </w:rPr>
    </w:lvl>
    <w:lvl w:ilvl="6" w:tplc="C7A48B80">
      <w:start w:val="1"/>
      <w:numFmt w:val="bullet"/>
      <w:lvlText w:val=""/>
      <w:lvlJc w:val="left"/>
      <w:pPr>
        <w:ind w:left="720" w:hanging="360"/>
      </w:pPr>
      <w:rPr>
        <w:rFonts w:ascii="Symbol" w:hAnsi="Symbol"/>
      </w:rPr>
    </w:lvl>
    <w:lvl w:ilvl="7" w:tplc="485688FE">
      <w:start w:val="1"/>
      <w:numFmt w:val="bullet"/>
      <w:lvlText w:val=""/>
      <w:lvlJc w:val="left"/>
      <w:pPr>
        <w:ind w:left="720" w:hanging="360"/>
      </w:pPr>
      <w:rPr>
        <w:rFonts w:ascii="Symbol" w:hAnsi="Symbol"/>
      </w:rPr>
    </w:lvl>
    <w:lvl w:ilvl="8" w:tplc="F2D67C3C">
      <w:start w:val="1"/>
      <w:numFmt w:val="bullet"/>
      <w:lvlText w:val=""/>
      <w:lvlJc w:val="left"/>
      <w:pPr>
        <w:ind w:left="720" w:hanging="360"/>
      </w:pPr>
      <w:rPr>
        <w:rFonts w:ascii="Symbol" w:hAnsi="Symbol"/>
      </w:r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BC16DB6"/>
    <w:multiLevelType w:val="hybridMultilevel"/>
    <w:tmpl w:val="6AB878D4"/>
    <w:lvl w:ilvl="0" w:tplc="F8AC9F44">
      <w:start w:val="1"/>
      <w:numFmt w:val="bullet"/>
      <w:lvlText w:val=""/>
      <w:lvlJc w:val="left"/>
      <w:pPr>
        <w:ind w:left="720" w:hanging="360"/>
      </w:pPr>
      <w:rPr>
        <w:rFonts w:ascii="Symbol" w:hAnsi="Symbol"/>
      </w:rPr>
    </w:lvl>
    <w:lvl w:ilvl="1" w:tplc="82687732">
      <w:start w:val="1"/>
      <w:numFmt w:val="bullet"/>
      <w:lvlText w:val=""/>
      <w:lvlJc w:val="left"/>
      <w:pPr>
        <w:ind w:left="720" w:hanging="360"/>
      </w:pPr>
      <w:rPr>
        <w:rFonts w:ascii="Symbol" w:hAnsi="Symbol"/>
      </w:rPr>
    </w:lvl>
    <w:lvl w:ilvl="2" w:tplc="3FE24AB0">
      <w:start w:val="1"/>
      <w:numFmt w:val="bullet"/>
      <w:lvlText w:val=""/>
      <w:lvlJc w:val="left"/>
      <w:pPr>
        <w:ind w:left="720" w:hanging="360"/>
      </w:pPr>
      <w:rPr>
        <w:rFonts w:ascii="Symbol" w:hAnsi="Symbol"/>
      </w:rPr>
    </w:lvl>
    <w:lvl w:ilvl="3" w:tplc="99BAE3BE">
      <w:start w:val="1"/>
      <w:numFmt w:val="bullet"/>
      <w:lvlText w:val=""/>
      <w:lvlJc w:val="left"/>
      <w:pPr>
        <w:ind w:left="720" w:hanging="360"/>
      </w:pPr>
      <w:rPr>
        <w:rFonts w:ascii="Symbol" w:hAnsi="Symbol"/>
      </w:rPr>
    </w:lvl>
    <w:lvl w:ilvl="4" w:tplc="B30ED66E">
      <w:start w:val="1"/>
      <w:numFmt w:val="bullet"/>
      <w:lvlText w:val=""/>
      <w:lvlJc w:val="left"/>
      <w:pPr>
        <w:ind w:left="720" w:hanging="360"/>
      </w:pPr>
      <w:rPr>
        <w:rFonts w:ascii="Symbol" w:hAnsi="Symbol"/>
      </w:rPr>
    </w:lvl>
    <w:lvl w:ilvl="5" w:tplc="CFDA86F8">
      <w:start w:val="1"/>
      <w:numFmt w:val="bullet"/>
      <w:lvlText w:val=""/>
      <w:lvlJc w:val="left"/>
      <w:pPr>
        <w:ind w:left="720" w:hanging="360"/>
      </w:pPr>
      <w:rPr>
        <w:rFonts w:ascii="Symbol" w:hAnsi="Symbol"/>
      </w:rPr>
    </w:lvl>
    <w:lvl w:ilvl="6" w:tplc="7FB4978C">
      <w:start w:val="1"/>
      <w:numFmt w:val="bullet"/>
      <w:lvlText w:val=""/>
      <w:lvlJc w:val="left"/>
      <w:pPr>
        <w:ind w:left="720" w:hanging="360"/>
      </w:pPr>
      <w:rPr>
        <w:rFonts w:ascii="Symbol" w:hAnsi="Symbol"/>
      </w:rPr>
    </w:lvl>
    <w:lvl w:ilvl="7" w:tplc="418AD476">
      <w:start w:val="1"/>
      <w:numFmt w:val="bullet"/>
      <w:lvlText w:val=""/>
      <w:lvlJc w:val="left"/>
      <w:pPr>
        <w:ind w:left="720" w:hanging="360"/>
      </w:pPr>
      <w:rPr>
        <w:rFonts w:ascii="Symbol" w:hAnsi="Symbol"/>
      </w:rPr>
    </w:lvl>
    <w:lvl w:ilvl="8" w:tplc="4812592A">
      <w:start w:val="1"/>
      <w:numFmt w:val="bullet"/>
      <w:lvlText w:val=""/>
      <w:lvlJc w:val="left"/>
      <w:pPr>
        <w:ind w:left="720" w:hanging="360"/>
      </w:pPr>
      <w:rPr>
        <w:rFonts w:ascii="Symbol" w:hAnsi="Symbol"/>
      </w:rPr>
    </w:lvl>
  </w:abstractNum>
  <w:abstractNum w:abstractNumId="23" w15:restartNumberingAfterBreak="0">
    <w:nsid w:val="5CF74542"/>
    <w:multiLevelType w:val="hybridMultilevel"/>
    <w:tmpl w:val="909E9C8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F1E2D"/>
    <w:multiLevelType w:val="hybridMultilevel"/>
    <w:tmpl w:val="AB44B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D82D65"/>
    <w:multiLevelType w:val="hybridMultilevel"/>
    <w:tmpl w:val="8402B5A4"/>
    <w:lvl w:ilvl="0" w:tplc="D7A0BEA4">
      <w:start w:val="1"/>
      <w:numFmt w:val="bullet"/>
      <w:pStyle w:val="CV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E4E95"/>
    <w:multiLevelType w:val="hybridMultilevel"/>
    <w:tmpl w:val="94A02C84"/>
    <w:lvl w:ilvl="0" w:tplc="9F087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262E1"/>
    <w:multiLevelType w:val="hybridMultilevel"/>
    <w:tmpl w:val="598A7CC4"/>
    <w:lvl w:ilvl="0" w:tplc="7F9C0692">
      <w:start w:val="1"/>
      <w:numFmt w:val="bullet"/>
      <w:lvlText w:val=""/>
      <w:lvlJc w:val="left"/>
      <w:pPr>
        <w:ind w:left="644" w:hanging="360"/>
      </w:pPr>
      <w:rPr>
        <w:rFonts w:ascii="Symbol" w:hAnsi="Symbol" w:hint="default"/>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lang w:val="es-E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06297"/>
    <w:multiLevelType w:val="hybridMultilevel"/>
    <w:tmpl w:val="2B6A0E46"/>
    <w:lvl w:ilvl="0" w:tplc="DB4EF1DC">
      <w:start w:val="1"/>
      <w:numFmt w:val="bullet"/>
      <w:lvlText w:val=""/>
      <w:lvlJc w:val="left"/>
      <w:pPr>
        <w:ind w:left="720" w:hanging="360"/>
      </w:pPr>
      <w:rPr>
        <w:rFonts w:ascii="Symbol" w:hAnsi="Symbol"/>
      </w:rPr>
    </w:lvl>
    <w:lvl w:ilvl="1" w:tplc="1520F036">
      <w:start w:val="1"/>
      <w:numFmt w:val="bullet"/>
      <w:lvlText w:val=""/>
      <w:lvlJc w:val="left"/>
      <w:pPr>
        <w:ind w:left="720" w:hanging="360"/>
      </w:pPr>
      <w:rPr>
        <w:rFonts w:ascii="Symbol" w:hAnsi="Symbol"/>
      </w:rPr>
    </w:lvl>
    <w:lvl w:ilvl="2" w:tplc="EE2E1044">
      <w:start w:val="1"/>
      <w:numFmt w:val="bullet"/>
      <w:lvlText w:val=""/>
      <w:lvlJc w:val="left"/>
      <w:pPr>
        <w:ind w:left="720" w:hanging="360"/>
      </w:pPr>
      <w:rPr>
        <w:rFonts w:ascii="Symbol" w:hAnsi="Symbol"/>
      </w:rPr>
    </w:lvl>
    <w:lvl w:ilvl="3" w:tplc="6A1AEFBE">
      <w:start w:val="1"/>
      <w:numFmt w:val="bullet"/>
      <w:lvlText w:val=""/>
      <w:lvlJc w:val="left"/>
      <w:pPr>
        <w:ind w:left="720" w:hanging="360"/>
      </w:pPr>
      <w:rPr>
        <w:rFonts w:ascii="Symbol" w:hAnsi="Symbol"/>
      </w:rPr>
    </w:lvl>
    <w:lvl w:ilvl="4" w:tplc="123CFB36">
      <w:start w:val="1"/>
      <w:numFmt w:val="bullet"/>
      <w:lvlText w:val=""/>
      <w:lvlJc w:val="left"/>
      <w:pPr>
        <w:ind w:left="720" w:hanging="360"/>
      </w:pPr>
      <w:rPr>
        <w:rFonts w:ascii="Symbol" w:hAnsi="Symbol"/>
      </w:rPr>
    </w:lvl>
    <w:lvl w:ilvl="5" w:tplc="DE782872">
      <w:start w:val="1"/>
      <w:numFmt w:val="bullet"/>
      <w:lvlText w:val=""/>
      <w:lvlJc w:val="left"/>
      <w:pPr>
        <w:ind w:left="720" w:hanging="360"/>
      </w:pPr>
      <w:rPr>
        <w:rFonts w:ascii="Symbol" w:hAnsi="Symbol"/>
      </w:rPr>
    </w:lvl>
    <w:lvl w:ilvl="6" w:tplc="219A9160">
      <w:start w:val="1"/>
      <w:numFmt w:val="bullet"/>
      <w:lvlText w:val=""/>
      <w:lvlJc w:val="left"/>
      <w:pPr>
        <w:ind w:left="720" w:hanging="360"/>
      </w:pPr>
      <w:rPr>
        <w:rFonts w:ascii="Symbol" w:hAnsi="Symbol"/>
      </w:rPr>
    </w:lvl>
    <w:lvl w:ilvl="7" w:tplc="9BB60022">
      <w:start w:val="1"/>
      <w:numFmt w:val="bullet"/>
      <w:lvlText w:val=""/>
      <w:lvlJc w:val="left"/>
      <w:pPr>
        <w:ind w:left="720" w:hanging="360"/>
      </w:pPr>
      <w:rPr>
        <w:rFonts w:ascii="Symbol" w:hAnsi="Symbol"/>
      </w:rPr>
    </w:lvl>
    <w:lvl w:ilvl="8" w:tplc="7C78A060">
      <w:start w:val="1"/>
      <w:numFmt w:val="bullet"/>
      <w:lvlText w:val=""/>
      <w:lvlJc w:val="left"/>
      <w:pPr>
        <w:ind w:left="720" w:hanging="360"/>
      </w:pPr>
      <w:rPr>
        <w:rFonts w:ascii="Symbol" w:hAnsi="Symbol"/>
      </w:rPr>
    </w:lvl>
  </w:abstractNum>
  <w:abstractNum w:abstractNumId="30" w15:restartNumberingAfterBreak="0">
    <w:nsid w:val="7B0413A6"/>
    <w:multiLevelType w:val="hybridMultilevel"/>
    <w:tmpl w:val="EA9E44D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1" w15:restartNumberingAfterBreak="0">
    <w:nsid w:val="7DD07B1C"/>
    <w:multiLevelType w:val="hybridMultilevel"/>
    <w:tmpl w:val="748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23"/>
  </w:num>
  <w:num w:numId="4">
    <w:abstractNumId w:val="15"/>
  </w:num>
  <w:num w:numId="5">
    <w:abstractNumId w:val="6"/>
  </w:num>
  <w:num w:numId="6">
    <w:abstractNumId w:val="1"/>
  </w:num>
  <w:num w:numId="7">
    <w:abstractNumId w:val="0"/>
  </w:num>
  <w:num w:numId="8">
    <w:abstractNumId w:val="21"/>
  </w:num>
  <w:num w:numId="9">
    <w:abstractNumId w:val="9"/>
  </w:num>
  <w:num w:numId="10">
    <w:abstractNumId w:val="3"/>
  </w:num>
  <w:num w:numId="11">
    <w:abstractNumId w:val="28"/>
  </w:num>
  <w:num w:numId="12">
    <w:abstractNumId w:val="30"/>
  </w:num>
  <w:num w:numId="13">
    <w:abstractNumId w:val="27"/>
  </w:num>
  <w:num w:numId="1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1"/>
  </w:num>
  <w:num w:numId="17">
    <w:abstractNumId w:val="14"/>
  </w:num>
  <w:num w:numId="18">
    <w:abstractNumId w:val="25"/>
  </w:num>
  <w:num w:numId="19">
    <w:abstractNumId w:val="12"/>
  </w:num>
  <w:num w:numId="20">
    <w:abstractNumId w:val="16"/>
  </w:num>
  <w:num w:numId="21">
    <w:abstractNumId w:val="2"/>
  </w:num>
  <w:num w:numId="22">
    <w:abstractNumId w:val="4"/>
  </w:num>
  <w:num w:numId="23">
    <w:abstractNumId w:val="7"/>
  </w:num>
  <w:num w:numId="24">
    <w:abstractNumId w:val="22"/>
  </w:num>
  <w:num w:numId="25">
    <w:abstractNumId w:val="18"/>
  </w:num>
  <w:num w:numId="26">
    <w:abstractNumId w:val="13"/>
  </w:num>
  <w:num w:numId="27">
    <w:abstractNumId w:val="19"/>
  </w:num>
  <w:num w:numId="28">
    <w:abstractNumId w:val="11"/>
  </w:num>
  <w:num w:numId="29">
    <w:abstractNumId w:val="29"/>
  </w:num>
  <w:num w:numId="30">
    <w:abstractNumId w:val="5"/>
  </w:num>
  <w:num w:numId="31">
    <w:abstractNumId w:val="8"/>
  </w:num>
  <w:num w:numId="32">
    <w:abstractNumId w:val="24"/>
  </w:num>
  <w:num w:numId="3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6F"/>
    <w:rsid w:val="0000142F"/>
    <w:rsid w:val="00001B6D"/>
    <w:rsid w:val="000029D3"/>
    <w:rsid w:val="0000409D"/>
    <w:rsid w:val="000076C0"/>
    <w:rsid w:val="00007C07"/>
    <w:rsid w:val="00010346"/>
    <w:rsid w:val="000106A2"/>
    <w:rsid w:val="00011749"/>
    <w:rsid w:val="00011D7B"/>
    <w:rsid w:val="00014859"/>
    <w:rsid w:val="0001492A"/>
    <w:rsid w:val="00015479"/>
    <w:rsid w:val="00015B7D"/>
    <w:rsid w:val="00020719"/>
    <w:rsid w:val="00021198"/>
    <w:rsid w:val="0002406C"/>
    <w:rsid w:val="00024204"/>
    <w:rsid w:val="00024B61"/>
    <w:rsid w:val="000254AF"/>
    <w:rsid w:val="00025B39"/>
    <w:rsid w:val="00027010"/>
    <w:rsid w:val="00027E00"/>
    <w:rsid w:val="00027EC8"/>
    <w:rsid w:val="0003191B"/>
    <w:rsid w:val="000342BA"/>
    <w:rsid w:val="0004170C"/>
    <w:rsid w:val="00041941"/>
    <w:rsid w:val="000425D2"/>
    <w:rsid w:val="000431F6"/>
    <w:rsid w:val="000434A9"/>
    <w:rsid w:val="00043ECB"/>
    <w:rsid w:val="00044909"/>
    <w:rsid w:val="00047748"/>
    <w:rsid w:val="00050103"/>
    <w:rsid w:val="00050C46"/>
    <w:rsid w:val="00052AAC"/>
    <w:rsid w:val="0005315C"/>
    <w:rsid w:val="00053AEB"/>
    <w:rsid w:val="000545AE"/>
    <w:rsid w:val="00055839"/>
    <w:rsid w:val="00055EBF"/>
    <w:rsid w:val="00057AED"/>
    <w:rsid w:val="00057C28"/>
    <w:rsid w:val="00057E2E"/>
    <w:rsid w:val="00060B41"/>
    <w:rsid w:val="00062436"/>
    <w:rsid w:val="00062BF9"/>
    <w:rsid w:val="000659F2"/>
    <w:rsid w:val="00065D80"/>
    <w:rsid w:val="00066589"/>
    <w:rsid w:val="00067399"/>
    <w:rsid w:val="000673C7"/>
    <w:rsid w:val="000678A5"/>
    <w:rsid w:val="00067C74"/>
    <w:rsid w:val="000714B7"/>
    <w:rsid w:val="000721ED"/>
    <w:rsid w:val="00073EFB"/>
    <w:rsid w:val="00075C6C"/>
    <w:rsid w:val="0007629A"/>
    <w:rsid w:val="00080450"/>
    <w:rsid w:val="000805F7"/>
    <w:rsid w:val="00080F31"/>
    <w:rsid w:val="00081C6B"/>
    <w:rsid w:val="0008211E"/>
    <w:rsid w:val="00083F3F"/>
    <w:rsid w:val="000842E0"/>
    <w:rsid w:val="00085B89"/>
    <w:rsid w:val="00086640"/>
    <w:rsid w:val="00087E7D"/>
    <w:rsid w:val="000906A4"/>
    <w:rsid w:val="000918F5"/>
    <w:rsid w:val="00093D6F"/>
    <w:rsid w:val="00094236"/>
    <w:rsid w:val="000A0A0C"/>
    <w:rsid w:val="000A0B66"/>
    <w:rsid w:val="000A27D3"/>
    <w:rsid w:val="000A2F16"/>
    <w:rsid w:val="000A5591"/>
    <w:rsid w:val="000A6FF4"/>
    <w:rsid w:val="000A7003"/>
    <w:rsid w:val="000A71F8"/>
    <w:rsid w:val="000A7C0A"/>
    <w:rsid w:val="000A7C80"/>
    <w:rsid w:val="000A7CFF"/>
    <w:rsid w:val="000B01A6"/>
    <w:rsid w:val="000B1457"/>
    <w:rsid w:val="000B1502"/>
    <w:rsid w:val="000B26C1"/>
    <w:rsid w:val="000B38D7"/>
    <w:rsid w:val="000B63A0"/>
    <w:rsid w:val="000B7041"/>
    <w:rsid w:val="000C10A4"/>
    <w:rsid w:val="000C1904"/>
    <w:rsid w:val="000C199F"/>
    <w:rsid w:val="000C21E9"/>
    <w:rsid w:val="000C2899"/>
    <w:rsid w:val="000C49E3"/>
    <w:rsid w:val="000C534B"/>
    <w:rsid w:val="000C5DD1"/>
    <w:rsid w:val="000C6C0D"/>
    <w:rsid w:val="000C72ED"/>
    <w:rsid w:val="000C7ED4"/>
    <w:rsid w:val="000D0E9B"/>
    <w:rsid w:val="000D0ED5"/>
    <w:rsid w:val="000D1115"/>
    <w:rsid w:val="000D1C97"/>
    <w:rsid w:val="000D1DCA"/>
    <w:rsid w:val="000D1E6D"/>
    <w:rsid w:val="000D2BB3"/>
    <w:rsid w:val="000D305D"/>
    <w:rsid w:val="000D46CB"/>
    <w:rsid w:val="000D49A9"/>
    <w:rsid w:val="000D576B"/>
    <w:rsid w:val="000D6B03"/>
    <w:rsid w:val="000D6D70"/>
    <w:rsid w:val="000D70B8"/>
    <w:rsid w:val="000D7895"/>
    <w:rsid w:val="000E0D1A"/>
    <w:rsid w:val="000E304A"/>
    <w:rsid w:val="000F080B"/>
    <w:rsid w:val="000F0FED"/>
    <w:rsid w:val="000F130A"/>
    <w:rsid w:val="000F1A5E"/>
    <w:rsid w:val="000F1B14"/>
    <w:rsid w:val="000F3C89"/>
    <w:rsid w:val="000F4214"/>
    <w:rsid w:val="000F5029"/>
    <w:rsid w:val="0010084E"/>
    <w:rsid w:val="00104910"/>
    <w:rsid w:val="00105AFF"/>
    <w:rsid w:val="001133FF"/>
    <w:rsid w:val="00113DBA"/>
    <w:rsid w:val="00115406"/>
    <w:rsid w:val="00115C61"/>
    <w:rsid w:val="00121636"/>
    <w:rsid w:val="00122BCB"/>
    <w:rsid w:val="00123DD5"/>
    <w:rsid w:val="001243A2"/>
    <w:rsid w:val="00124A9D"/>
    <w:rsid w:val="00124DB3"/>
    <w:rsid w:val="00125235"/>
    <w:rsid w:val="00127169"/>
    <w:rsid w:val="001278E3"/>
    <w:rsid w:val="00127B2D"/>
    <w:rsid w:val="00130254"/>
    <w:rsid w:val="001316E6"/>
    <w:rsid w:val="00132FE2"/>
    <w:rsid w:val="0013464F"/>
    <w:rsid w:val="00135144"/>
    <w:rsid w:val="00135E8F"/>
    <w:rsid w:val="001366EA"/>
    <w:rsid w:val="0013763A"/>
    <w:rsid w:val="0014119E"/>
    <w:rsid w:val="00141DCB"/>
    <w:rsid w:val="00141FE4"/>
    <w:rsid w:val="00142C72"/>
    <w:rsid w:val="001452FC"/>
    <w:rsid w:val="00147B25"/>
    <w:rsid w:val="00151356"/>
    <w:rsid w:val="00151724"/>
    <w:rsid w:val="00152DA3"/>
    <w:rsid w:val="00152E9E"/>
    <w:rsid w:val="00154C73"/>
    <w:rsid w:val="001575E3"/>
    <w:rsid w:val="00157D64"/>
    <w:rsid w:val="001600B0"/>
    <w:rsid w:val="001608BB"/>
    <w:rsid w:val="001608F9"/>
    <w:rsid w:val="001625F9"/>
    <w:rsid w:val="0016271B"/>
    <w:rsid w:val="00163FC5"/>
    <w:rsid w:val="001640E0"/>
    <w:rsid w:val="00164322"/>
    <w:rsid w:val="00164496"/>
    <w:rsid w:val="00164817"/>
    <w:rsid w:val="001655EC"/>
    <w:rsid w:val="001660DA"/>
    <w:rsid w:val="0016630E"/>
    <w:rsid w:val="00166DEB"/>
    <w:rsid w:val="00171C99"/>
    <w:rsid w:val="00174C20"/>
    <w:rsid w:val="00174DBC"/>
    <w:rsid w:val="00176B31"/>
    <w:rsid w:val="001773D4"/>
    <w:rsid w:val="001778D8"/>
    <w:rsid w:val="00177AB4"/>
    <w:rsid w:val="001820C8"/>
    <w:rsid w:val="0018247D"/>
    <w:rsid w:val="00183A36"/>
    <w:rsid w:val="001841E5"/>
    <w:rsid w:val="00184D2E"/>
    <w:rsid w:val="00184D62"/>
    <w:rsid w:val="00184D82"/>
    <w:rsid w:val="00185101"/>
    <w:rsid w:val="00185528"/>
    <w:rsid w:val="00187614"/>
    <w:rsid w:val="00187F4F"/>
    <w:rsid w:val="00190A7F"/>
    <w:rsid w:val="00190C26"/>
    <w:rsid w:val="001913E6"/>
    <w:rsid w:val="00191D85"/>
    <w:rsid w:val="001926E3"/>
    <w:rsid w:val="00193324"/>
    <w:rsid w:val="001945F9"/>
    <w:rsid w:val="00194BA2"/>
    <w:rsid w:val="00195A70"/>
    <w:rsid w:val="00195B65"/>
    <w:rsid w:val="00196695"/>
    <w:rsid w:val="0019749D"/>
    <w:rsid w:val="001A0DCE"/>
    <w:rsid w:val="001A2BF2"/>
    <w:rsid w:val="001A4DEE"/>
    <w:rsid w:val="001A5353"/>
    <w:rsid w:val="001A7EAF"/>
    <w:rsid w:val="001B3362"/>
    <w:rsid w:val="001B43FD"/>
    <w:rsid w:val="001B4C6D"/>
    <w:rsid w:val="001B57A1"/>
    <w:rsid w:val="001B6F12"/>
    <w:rsid w:val="001C0565"/>
    <w:rsid w:val="001C095C"/>
    <w:rsid w:val="001C3A9B"/>
    <w:rsid w:val="001C3BD7"/>
    <w:rsid w:val="001C438C"/>
    <w:rsid w:val="001C45D2"/>
    <w:rsid w:val="001C63F2"/>
    <w:rsid w:val="001C651F"/>
    <w:rsid w:val="001D026B"/>
    <w:rsid w:val="001D15C4"/>
    <w:rsid w:val="001D19E2"/>
    <w:rsid w:val="001D3DF1"/>
    <w:rsid w:val="001D4EBF"/>
    <w:rsid w:val="001D6560"/>
    <w:rsid w:val="001D68CF"/>
    <w:rsid w:val="001D693E"/>
    <w:rsid w:val="001D7489"/>
    <w:rsid w:val="001E0B06"/>
    <w:rsid w:val="001E161C"/>
    <w:rsid w:val="001E1967"/>
    <w:rsid w:val="001E35C0"/>
    <w:rsid w:val="001E3ABF"/>
    <w:rsid w:val="001E4098"/>
    <w:rsid w:val="001E5685"/>
    <w:rsid w:val="001E6DAC"/>
    <w:rsid w:val="001E6F8C"/>
    <w:rsid w:val="001F0487"/>
    <w:rsid w:val="001F104B"/>
    <w:rsid w:val="001F122E"/>
    <w:rsid w:val="001F1D48"/>
    <w:rsid w:val="001F207D"/>
    <w:rsid w:val="001F25A6"/>
    <w:rsid w:val="001F3036"/>
    <w:rsid w:val="001F361C"/>
    <w:rsid w:val="001F529D"/>
    <w:rsid w:val="001F72F7"/>
    <w:rsid w:val="00200606"/>
    <w:rsid w:val="00200643"/>
    <w:rsid w:val="0020216F"/>
    <w:rsid w:val="00203955"/>
    <w:rsid w:val="00204D57"/>
    <w:rsid w:val="00204D99"/>
    <w:rsid w:val="002061B5"/>
    <w:rsid w:val="00206B35"/>
    <w:rsid w:val="00206EEB"/>
    <w:rsid w:val="00211819"/>
    <w:rsid w:val="00212D00"/>
    <w:rsid w:val="00213D21"/>
    <w:rsid w:val="00214C16"/>
    <w:rsid w:val="0021543F"/>
    <w:rsid w:val="00215BC0"/>
    <w:rsid w:val="00216810"/>
    <w:rsid w:val="0021682D"/>
    <w:rsid w:val="002204C9"/>
    <w:rsid w:val="00221687"/>
    <w:rsid w:val="002222A7"/>
    <w:rsid w:val="00224955"/>
    <w:rsid w:val="00224B9B"/>
    <w:rsid w:val="00225269"/>
    <w:rsid w:val="002300DF"/>
    <w:rsid w:val="00230E5C"/>
    <w:rsid w:val="00231350"/>
    <w:rsid w:val="00231CE6"/>
    <w:rsid w:val="00234732"/>
    <w:rsid w:val="00235134"/>
    <w:rsid w:val="00237E4C"/>
    <w:rsid w:val="002405F8"/>
    <w:rsid w:val="00240D8C"/>
    <w:rsid w:val="002412B9"/>
    <w:rsid w:val="00242CDF"/>
    <w:rsid w:val="0024434E"/>
    <w:rsid w:val="002448A6"/>
    <w:rsid w:val="00245939"/>
    <w:rsid w:val="00245F1D"/>
    <w:rsid w:val="002469B3"/>
    <w:rsid w:val="00247FEF"/>
    <w:rsid w:val="002502BB"/>
    <w:rsid w:val="00250CFF"/>
    <w:rsid w:val="0025181D"/>
    <w:rsid w:val="00252350"/>
    <w:rsid w:val="002527C6"/>
    <w:rsid w:val="00254F1B"/>
    <w:rsid w:val="002550B8"/>
    <w:rsid w:val="002550EA"/>
    <w:rsid w:val="002569F1"/>
    <w:rsid w:val="00256C84"/>
    <w:rsid w:val="00263597"/>
    <w:rsid w:val="0026385F"/>
    <w:rsid w:val="0026545D"/>
    <w:rsid w:val="00271084"/>
    <w:rsid w:val="00271C2D"/>
    <w:rsid w:val="00272615"/>
    <w:rsid w:val="00272640"/>
    <w:rsid w:val="002750D4"/>
    <w:rsid w:val="00275B1B"/>
    <w:rsid w:val="00276ECA"/>
    <w:rsid w:val="00276EEC"/>
    <w:rsid w:val="00277A64"/>
    <w:rsid w:val="00277EB9"/>
    <w:rsid w:val="002803BF"/>
    <w:rsid w:val="002827DA"/>
    <w:rsid w:val="00282B1C"/>
    <w:rsid w:val="002833BD"/>
    <w:rsid w:val="00283FC7"/>
    <w:rsid w:val="00284084"/>
    <w:rsid w:val="002845E2"/>
    <w:rsid w:val="00285D47"/>
    <w:rsid w:val="00286CDF"/>
    <w:rsid w:val="00290ABE"/>
    <w:rsid w:val="002916F9"/>
    <w:rsid w:val="00291AC8"/>
    <w:rsid w:val="002926F4"/>
    <w:rsid w:val="00292C8A"/>
    <w:rsid w:val="002A268F"/>
    <w:rsid w:val="002A5348"/>
    <w:rsid w:val="002A5BE0"/>
    <w:rsid w:val="002A5C9E"/>
    <w:rsid w:val="002A6411"/>
    <w:rsid w:val="002A641E"/>
    <w:rsid w:val="002B03F3"/>
    <w:rsid w:val="002B10C6"/>
    <w:rsid w:val="002B2998"/>
    <w:rsid w:val="002B32E8"/>
    <w:rsid w:val="002B3FBD"/>
    <w:rsid w:val="002B41E5"/>
    <w:rsid w:val="002B64E1"/>
    <w:rsid w:val="002B693E"/>
    <w:rsid w:val="002C0736"/>
    <w:rsid w:val="002C09A5"/>
    <w:rsid w:val="002C1A88"/>
    <w:rsid w:val="002C2016"/>
    <w:rsid w:val="002C2C19"/>
    <w:rsid w:val="002C34A3"/>
    <w:rsid w:val="002C3CF5"/>
    <w:rsid w:val="002C42CF"/>
    <w:rsid w:val="002C5CDF"/>
    <w:rsid w:val="002C6664"/>
    <w:rsid w:val="002C790F"/>
    <w:rsid w:val="002D0034"/>
    <w:rsid w:val="002D03EB"/>
    <w:rsid w:val="002D21CB"/>
    <w:rsid w:val="002D34D9"/>
    <w:rsid w:val="002D3C27"/>
    <w:rsid w:val="002D4543"/>
    <w:rsid w:val="002D5837"/>
    <w:rsid w:val="002D62C8"/>
    <w:rsid w:val="002D656F"/>
    <w:rsid w:val="002D6B30"/>
    <w:rsid w:val="002D7F6F"/>
    <w:rsid w:val="002E172C"/>
    <w:rsid w:val="002E1ED8"/>
    <w:rsid w:val="002E2D78"/>
    <w:rsid w:val="002E4635"/>
    <w:rsid w:val="002F1B8A"/>
    <w:rsid w:val="002F3598"/>
    <w:rsid w:val="002F5A79"/>
    <w:rsid w:val="002F68F7"/>
    <w:rsid w:val="002F7267"/>
    <w:rsid w:val="002F7C19"/>
    <w:rsid w:val="00300F3F"/>
    <w:rsid w:val="00301934"/>
    <w:rsid w:val="0030290D"/>
    <w:rsid w:val="00303C5D"/>
    <w:rsid w:val="00303CFE"/>
    <w:rsid w:val="00305A6C"/>
    <w:rsid w:val="003072BE"/>
    <w:rsid w:val="003110D4"/>
    <w:rsid w:val="003113CB"/>
    <w:rsid w:val="00311EFE"/>
    <w:rsid w:val="00314ACB"/>
    <w:rsid w:val="00315A09"/>
    <w:rsid w:val="00320F3B"/>
    <w:rsid w:val="003219B0"/>
    <w:rsid w:val="00321ECA"/>
    <w:rsid w:val="003226EB"/>
    <w:rsid w:val="00323DD2"/>
    <w:rsid w:val="00332442"/>
    <w:rsid w:val="0033482D"/>
    <w:rsid w:val="00337756"/>
    <w:rsid w:val="003430C3"/>
    <w:rsid w:val="003457B4"/>
    <w:rsid w:val="003459E1"/>
    <w:rsid w:val="00347359"/>
    <w:rsid w:val="00347681"/>
    <w:rsid w:val="003478A4"/>
    <w:rsid w:val="00350945"/>
    <w:rsid w:val="00351505"/>
    <w:rsid w:val="00353F19"/>
    <w:rsid w:val="00354D9D"/>
    <w:rsid w:val="00354FC0"/>
    <w:rsid w:val="003557F5"/>
    <w:rsid w:val="00360061"/>
    <w:rsid w:val="003601FE"/>
    <w:rsid w:val="003604EB"/>
    <w:rsid w:val="00360E9D"/>
    <w:rsid w:val="00360FFB"/>
    <w:rsid w:val="00361347"/>
    <w:rsid w:val="003628EE"/>
    <w:rsid w:val="003629CF"/>
    <w:rsid w:val="00363518"/>
    <w:rsid w:val="00364091"/>
    <w:rsid w:val="00364FD0"/>
    <w:rsid w:val="003666CC"/>
    <w:rsid w:val="00372E2A"/>
    <w:rsid w:val="00373B2F"/>
    <w:rsid w:val="003758EF"/>
    <w:rsid w:val="0037600C"/>
    <w:rsid w:val="00380D2A"/>
    <w:rsid w:val="00380D7B"/>
    <w:rsid w:val="003834B3"/>
    <w:rsid w:val="0038439A"/>
    <w:rsid w:val="00386888"/>
    <w:rsid w:val="00386F93"/>
    <w:rsid w:val="003904EC"/>
    <w:rsid w:val="003911CD"/>
    <w:rsid w:val="00391583"/>
    <w:rsid w:val="00392BDC"/>
    <w:rsid w:val="00392DB0"/>
    <w:rsid w:val="00393228"/>
    <w:rsid w:val="003934A0"/>
    <w:rsid w:val="003943C7"/>
    <w:rsid w:val="0039547F"/>
    <w:rsid w:val="00395CCF"/>
    <w:rsid w:val="003964BC"/>
    <w:rsid w:val="003972FC"/>
    <w:rsid w:val="00397846"/>
    <w:rsid w:val="003A02AE"/>
    <w:rsid w:val="003A0886"/>
    <w:rsid w:val="003A0E7A"/>
    <w:rsid w:val="003A3411"/>
    <w:rsid w:val="003A542D"/>
    <w:rsid w:val="003A5526"/>
    <w:rsid w:val="003A5C28"/>
    <w:rsid w:val="003A60F0"/>
    <w:rsid w:val="003A7464"/>
    <w:rsid w:val="003A7D6B"/>
    <w:rsid w:val="003B0CD0"/>
    <w:rsid w:val="003B1962"/>
    <w:rsid w:val="003B3353"/>
    <w:rsid w:val="003B7C86"/>
    <w:rsid w:val="003C1F76"/>
    <w:rsid w:val="003C1FA2"/>
    <w:rsid w:val="003C2DFB"/>
    <w:rsid w:val="003C3625"/>
    <w:rsid w:val="003C3BD1"/>
    <w:rsid w:val="003C403D"/>
    <w:rsid w:val="003C4721"/>
    <w:rsid w:val="003C497D"/>
    <w:rsid w:val="003C5427"/>
    <w:rsid w:val="003C6172"/>
    <w:rsid w:val="003C6EBE"/>
    <w:rsid w:val="003C76FD"/>
    <w:rsid w:val="003C7852"/>
    <w:rsid w:val="003D0C80"/>
    <w:rsid w:val="003D16E3"/>
    <w:rsid w:val="003D3604"/>
    <w:rsid w:val="003D3D00"/>
    <w:rsid w:val="003E161E"/>
    <w:rsid w:val="003E2A35"/>
    <w:rsid w:val="003E3F62"/>
    <w:rsid w:val="003E42E1"/>
    <w:rsid w:val="003E4659"/>
    <w:rsid w:val="003E5685"/>
    <w:rsid w:val="003E7E69"/>
    <w:rsid w:val="003E7FA1"/>
    <w:rsid w:val="003F000A"/>
    <w:rsid w:val="003F0974"/>
    <w:rsid w:val="003F13DB"/>
    <w:rsid w:val="003F156B"/>
    <w:rsid w:val="003F3B14"/>
    <w:rsid w:val="003F3D1F"/>
    <w:rsid w:val="003F4108"/>
    <w:rsid w:val="003F67E2"/>
    <w:rsid w:val="003F7646"/>
    <w:rsid w:val="004006D6"/>
    <w:rsid w:val="00400A1F"/>
    <w:rsid w:val="0040168E"/>
    <w:rsid w:val="00404B61"/>
    <w:rsid w:val="0040520D"/>
    <w:rsid w:val="00407125"/>
    <w:rsid w:val="004104E7"/>
    <w:rsid w:val="0041133A"/>
    <w:rsid w:val="00414199"/>
    <w:rsid w:val="00417CB6"/>
    <w:rsid w:val="004202BC"/>
    <w:rsid w:val="00420851"/>
    <w:rsid w:val="00421A8F"/>
    <w:rsid w:val="004222B6"/>
    <w:rsid w:val="004257A5"/>
    <w:rsid w:val="00425E3A"/>
    <w:rsid w:val="00426B20"/>
    <w:rsid w:val="00426F14"/>
    <w:rsid w:val="00430440"/>
    <w:rsid w:val="0043362F"/>
    <w:rsid w:val="00433EA8"/>
    <w:rsid w:val="00435732"/>
    <w:rsid w:val="00435C5E"/>
    <w:rsid w:val="004372B5"/>
    <w:rsid w:val="00440D8F"/>
    <w:rsid w:val="004412B4"/>
    <w:rsid w:val="0044292E"/>
    <w:rsid w:val="00442E11"/>
    <w:rsid w:val="00442F0E"/>
    <w:rsid w:val="00442F3E"/>
    <w:rsid w:val="00443263"/>
    <w:rsid w:val="00444D49"/>
    <w:rsid w:val="00444DA5"/>
    <w:rsid w:val="0044541D"/>
    <w:rsid w:val="004457CC"/>
    <w:rsid w:val="00446CC0"/>
    <w:rsid w:val="00450B1F"/>
    <w:rsid w:val="004520FE"/>
    <w:rsid w:val="004551F5"/>
    <w:rsid w:val="00455777"/>
    <w:rsid w:val="0045757B"/>
    <w:rsid w:val="00460C31"/>
    <w:rsid w:val="0046219B"/>
    <w:rsid w:val="00463169"/>
    <w:rsid w:val="00464460"/>
    <w:rsid w:val="0046490D"/>
    <w:rsid w:val="00464B28"/>
    <w:rsid w:val="00465564"/>
    <w:rsid w:val="004657A9"/>
    <w:rsid w:val="00465C4A"/>
    <w:rsid w:val="004670F0"/>
    <w:rsid w:val="004701D7"/>
    <w:rsid w:val="0047150D"/>
    <w:rsid w:val="00471EDD"/>
    <w:rsid w:val="0047214B"/>
    <w:rsid w:val="004727D7"/>
    <w:rsid w:val="00472AFF"/>
    <w:rsid w:val="00474A51"/>
    <w:rsid w:val="00474DDD"/>
    <w:rsid w:val="00474F83"/>
    <w:rsid w:val="00476302"/>
    <w:rsid w:val="00476FE9"/>
    <w:rsid w:val="00481C1F"/>
    <w:rsid w:val="0048274D"/>
    <w:rsid w:val="00483C45"/>
    <w:rsid w:val="004854FB"/>
    <w:rsid w:val="00486181"/>
    <w:rsid w:val="00486EB6"/>
    <w:rsid w:val="004902E7"/>
    <w:rsid w:val="004903E4"/>
    <w:rsid w:val="0049101B"/>
    <w:rsid w:val="00491F91"/>
    <w:rsid w:val="00493340"/>
    <w:rsid w:val="0049359C"/>
    <w:rsid w:val="00493B77"/>
    <w:rsid w:val="00495BBE"/>
    <w:rsid w:val="004A1806"/>
    <w:rsid w:val="004A233B"/>
    <w:rsid w:val="004A33DE"/>
    <w:rsid w:val="004A536D"/>
    <w:rsid w:val="004A53C9"/>
    <w:rsid w:val="004A5A0C"/>
    <w:rsid w:val="004B1190"/>
    <w:rsid w:val="004B2BF9"/>
    <w:rsid w:val="004B2F49"/>
    <w:rsid w:val="004B32E0"/>
    <w:rsid w:val="004B33DB"/>
    <w:rsid w:val="004B3D54"/>
    <w:rsid w:val="004B3DD0"/>
    <w:rsid w:val="004B56A8"/>
    <w:rsid w:val="004B6182"/>
    <w:rsid w:val="004B6512"/>
    <w:rsid w:val="004B68E7"/>
    <w:rsid w:val="004B7477"/>
    <w:rsid w:val="004B7AEF"/>
    <w:rsid w:val="004B7E06"/>
    <w:rsid w:val="004C1440"/>
    <w:rsid w:val="004C19D7"/>
    <w:rsid w:val="004C2E90"/>
    <w:rsid w:val="004C3A7F"/>
    <w:rsid w:val="004C475A"/>
    <w:rsid w:val="004C4804"/>
    <w:rsid w:val="004C6761"/>
    <w:rsid w:val="004C7F63"/>
    <w:rsid w:val="004D03EF"/>
    <w:rsid w:val="004D050C"/>
    <w:rsid w:val="004D2F2D"/>
    <w:rsid w:val="004D3BF8"/>
    <w:rsid w:val="004D582F"/>
    <w:rsid w:val="004D7B0D"/>
    <w:rsid w:val="004E11BC"/>
    <w:rsid w:val="004E2ADF"/>
    <w:rsid w:val="004E3222"/>
    <w:rsid w:val="004E3775"/>
    <w:rsid w:val="004E6412"/>
    <w:rsid w:val="004F009F"/>
    <w:rsid w:val="004F24E7"/>
    <w:rsid w:val="004F2656"/>
    <w:rsid w:val="004F3AD3"/>
    <w:rsid w:val="004F3B5A"/>
    <w:rsid w:val="004F4539"/>
    <w:rsid w:val="004F487A"/>
    <w:rsid w:val="004F56DE"/>
    <w:rsid w:val="004F5CA6"/>
    <w:rsid w:val="004F5FFD"/>
    <w:rsid w:val="004F7112"/>
    <w:rsid w:val="004F7AAA"/>
    <w:rsid w:val="005007AA"/>
    <w:rsid w:val="00500E9B"/>
    <w:rsid w:val="00501388"/>
    <w:rsid w:val="00502222"/>
    <w:rsid w:val="00503C2B"/>
    <w:rsid w:val="00503C36"/>
    <w:rsid w:val="00505728"/>
    <w:rsid w:val="0050700B"/>
    <w:rsid w:val="00507A0B"/>
    <w:rsid w:val="00507B85"/>
    <w:rsid w:val="0051002F"/>
    <w:rsid w:val="0051006B"/>
    <w:rsid w:val="005103D5"/>
    <w:rsid w:val="00516384"/>
    <w:rsid w:val="00517230"/>
    <w:rsid w:val="00517391"/>
    <w:rsid w:val="00517C07"/>
    <w:rsid w:val="00520B0C"/>
    <w:rsid w:val="00521FE0"/>
    <w:rsid w:val="00523849"/>
    <w:rsid w:val="00527737"/>
    <w:rsid w:val="0053181C"/>
    <w:rsid w:val="00532072"/>
    <w:rsid w:val="00532B69"/>
    <w:rsid w:val="00534E90"/>
    <w:rsid w:val="005417A2"/>
    <w:rsid w:val="0054342E"/>
    <w:rsid w:val="00544312"/>
    <w:rsid w:val="00545528"/>
    <w:rsid w:val="00545842"/>
    <w:rsid w:val="00546275"/>
    <w:rsid w:val="005500C6"/>
    <w:rsid w:val="0055136D"/>
    <w:rsid w:val="00551A4D"/>
    <w:rsid w:val="00552279"/>
    <w:rsid w:val="00553D90"/>
    <w:rsid w:val="00553F06"/>
    <w:rsid w:val="005541AE"/>
    <w:rsid w:val="005543B2"/>
    <w:rsid w:val="005557D8"/>
    <w:rsid w:val="00555CA7"/>
    <w:rsid w:val="00555CE1"/>
    <w:rsid w:val="00556B83"/>
    <w:rsid w:val="00556D88"/>
    <w:rsid w:val="00557A94"/>
    <w:rsid w:val="00557EC6"/>
    <w:rsid w:val="005610B7"/>
    <w:rsid w:val="00562734"/>
    <w:rsid w:val="00564E45"/>
    <w:rsid w:val="005659EC"/>
    <w:rsid w:val="005662FB"/>
    <w:rsid w:val="005672E5"/>
    <w:rsid w:val="00567A85"/>
    <w:rsid w:val="005712DB"/>
    <w:rsid w:val="00571DAB"/>
    <w:rsid w:val="00573B53"/>
    <w:rsid w:val="00574132"/>
    <w:rsid w:val="00576FE2"/>
    <w:rsid w:val="005774A1"/>
    <w:rsid w:val="00577DD3"/>
    <w:rsid w:val="0058057E"/>
    <w:rsid w:val="005819D6"/>
    <w:rsid w:val="005823FD"/>
    <w:rsid w:val="005833A4"/>
    <w:rsid w:val="00584543"/>
    <w:rsid w:val="00585CA7"/>
    <w:rsid w:val="00590FB1"/>
    <w:rsid w:val="005918EB"/>
    <w:rsid w:val="00592C0C"/>
    <w:rsid w:val="00593649"/>
    <w:rsid w:val="005937CC"/>
    <w:rsid w:val="00593941"/>
    <w:rsid w:val="00594507"/>
    <w:rsid w:val="0059543A"/>
    <w:rsid w:val="00596292"/>
    <w:rsid w:val="00596D36"/>
    <w:rsid w:val="00597582"/>
    <w:rsid w:val="00597F89"/>
    <w:rsid w:val="005A07AB"/>
    <w:rsid w:val="005A229D"/>
    <w:rsid w:val="005A3291"/>
    <w:rsid w:val="005A3B6C"/>
    <w:rsid w:val="005A4032"/>
    <w:rsid w:val="005A42D4"/>
    <w:rsid w:val="005A488E"/>
    <w:rsid w:val="005A53DC"/>
    <w:rsid w:val="005A572A"/>
    <w:rsid w:val="005A5952"/>
    <w:rsid w:val="005A62AC"/>
    <w:rsid w:val="005A69A6"/>
    <w:rsid w:val="005B2DA8"/>
    <w:rsid w:val="005B470A"/>
    <w:rsid w:val="005B5936"/>
    <w:rsid w:val="005B5F47"/>
    <w:rsid w:val="005B6429"/>
    <w:rsid w:val="005B7900"/>
    <w:rsid w:val="005B7AF0"/>
    <w:rsid w:val="005C3131"/>
    <w:rsid w:val="005C437D"/>
    <w:rsid w:val="005C4B61"/>
    <w:rsid w:val="005C628A"/>
    <w:rsid w:val="005D30BB"/>
    <w:rsid w:val="005D3FF4"/>
    <w:rsid w:val="005D490D"/>
    <w:rsid w:val="005D4BF7"/>
    <w:rsid w:val="005D4DE7"/>
    <w:rsid w:val="005D5C00"/>
    <w:rsid w:val="005D7635"/>
    <w:rsid w:val="005D7EC9"/>
    <w:rsid w:val="005E0AAA"/>
    <w:rsid w:val="005E1411"/>
    <w:rsid w:val="005E2608"/>
    <w:rsid w:val="005E29F0"/>
    <w:rsid w:val="005F0813"/>
    <w:rsid w:val="005F10E4"/>
    <w:rsid w:val="005F1C2A"/>
    <w:rsid w:val="005F3F43"/>
    <w:rsid w:val="005F4744"/>
    <w:rsid w:val="005F7432"/>
    <w:rsid w:val="006041E3"/>
    <w:rsid w:val="006041F7"/>
    <w:rsid w:val="0060434D"/>
    <w:rsid w:val="00604A7D"/>
    <w:rsid w:val="0060640D"/>
    <w:rsid w:val="006113FD"/>
    <w:rsid w:val="00611E03"/>
    <w:rsid w:val="00612057"/>
    <w:rsid w:val="006127C7"/>
    <w:rsid w:val="0061358E"/>
    <w:rsid w:val="006142D8"/>
    <w:rsid w:val="006145F8"/>
    <w:rsid w:val="006153A3"/>
    <w:rsid w:val="00617875"/>
    <w:rsid w:val="006216FA"/>
    <w:rsid w:val="00623B44"/>
    <w:rsid w:val="00625D84"/>
    <w:rsid w:val="00626345"/>
    <w:rsid w:val="00626FF8"/>
    <w:rsid w:val="00630882"/>
    <w:rsid w:val="006320A6"/>
    <w:rsid w:val="0063287B"/>
    <w:rsid w:val="00633978"/>
    <w:rsid w:val="00633BF0"/>
    <w:rsid w:val="006343B5"/>
    <w:rsid w:val="00634B44"/>
    <w:rsid w:val="0063543E"/>
    <w:rsid w:val="00635939"/>
    <w:rsid w:val="00635CC1"/>
    <w:rsid w:val="006365D4"/>
    <w:rsid w:val="00636809"/>
    <w:rsid w:val="00636B83"/>
    <w:rsid w:val="00637167"/>
    <w:rsid w:val="00637B9E"/>
    <w:rsid w:val="00640144"/>
    <w:rsid w:val="00640498"/>
    <w:rsid w:val="00641611"/>
    <w:rsid w:val="00641CB9"/>
    <w:rsid w:val="00643362"/>
    <w:rsid w:val="00643995"/>
    <w:rsid w:val="0064433B"/>
    <w:rsid w:val="00644EDF"/>
    <w:rsid w:val="006450DE"/>
    <w:rsid w:val="00647B4E"/>
    <w:rsid w:val="00650E68"/>
    <w:rsid w:val="0065115E"/>
    <w:rsid w:val="00651230"/>
    <w:rsid w:val="00652720"/>
    <w:rsid w:val="006558BB"/>
    <w:rsid w:val="006609D1"/>
    <w:rsid w:val="0066170E"/>
    <w:rsid w:val="00663DCB"/>
    <w:rsid w:val="006645CC"/>
    <w:rsid w:val="00664690"/>
    <w:rsid w:val="00664BE9"/>
    <w:rsid w:val="00666CBC"/>
    <w:rsid w:val="00666F3D"/>
    <w:rsid w:val="0067149E"/>
    <w:rsid w:val="00671E0A"/>
    <w:rsid w:val="0067253A"/>
    <w:rsid w:val="006769FA"/>
    <w:rsid w:val="00676E0B"/>
    <w:rsid w:val="00677216"/>
    <w:rsid w:val="00677EC5"/>
    <w:rsid w:val="0068046A"/>
    <w:rsid w:val="00680BC9"/>
    <w:rsid w:val="0068150A"/>
    <w:rsid w:val="00682B77"/>
    <w:rsid w:val="006834F1"/>
    <w:rsid w:val="006840BF"/>
    <w:rsid w:val="00684396"/>
    <w:rsid w:val="0068568F"/>
    <w:rsid w:val="00685F22"/>
    <w:rsid w:val="00686F50"/>
    <w:rsid w:val="00693433"/>
    <w:rsid w:val="0069421D"/>
    <w:rsid w:val="00694C74"/>
    <w:rsid w:val="0069500B"/>
    <w:rsid w:val="00695098"/>
    <w:rsid w:val="006954A6"/>
    <w:rsid w:val="00695B53"/>
    <w:rsid w:val="00696966"/>
    <w:rsid w:val="00696A50"/>
    <w:rsid w:val="00696B9E"/>
    <w:rsid w:val="00696FB4"/>
    <w:rsid w:val="00697402"/>
    <w:rsid w:val="006A0BA8"/>
    <w:rsid w:val="006A1C1E"/>
    <w:rsid w:val="006A1FBC"/>
    <w:rsid w:val="006A316F"/>
    <w:rsid w:val="006A3334"/>
    <w:rsid w:val="006A57F4"/>
    <w:rsid w:val="006A7750"/>
    <w:rsid w:val="006B0A8F"/>
    <w:rsid w:val="006B143B"/>
    <w:rsid w:val="006B7921"/>
    <w:rsid w:val="006B7A81"/>
    <w:rsid w:val="006C0955"/>
    <w:rsid w:val="006C1BAD"/>
    <w:rsid w:val="006C2520"/>
    <w:rsid w:val="006C36CE"/>
    <w:rsid w:val="006C4D61"/>
    <w:rsid w:val="006C741B"/>
    <w:rsid w:val="006D151C"/>
    <w:rsid w:val="006D3884"/>
    <w:rsid w:val="006D3CF7"/>
    <w:rsid w:val="006D4AFC"/>
    <w:rsid w:val="006D4C89"/>
    <w:rsid w:val="006D726A"/>
    <w:rsid w:val="006D775D"/>
    <w:rsid w:val="006E0416"/>
    <w:rsid w:val="006E0849"/>
    <w:rsid w:val="006E1E47"/>
    <w:rsid w:val="006E2906"/>
    <w:rsid w:val="006E36D5"/>
    <w:rsid w:val="006E3D33"/>
    <w:rsid w:val="006E55A1"/>
    <w:rsid w:val="006E5DFC"/>
    <w:rsid w:val="006E5E37"/>
    <w:rsid w:val="006F0B65"/>
    <w:rsid w:val="006F157F"/>
    <w:rsid w:val="006F27D5"/>
    <w:rsid w:val="006F2D4C"/>
    <w:rsid w:val="006F2D75"/>
    <w:rsid w:val="006F33E0"/>
    <w:rsid w:val="00702615"/>
    <w:rsid w:val="00703124"/>
    <w:rsid w:val="00703750"/>
    <w:rsid w:val="00703A50"/>
    <w:rsid w:val="00704827"/>
    <w:rsid w:val="007060D0"/>
    <w:rsid w:val="00706196"/>
    <w:rsid w:val="00711347"/>
    <w:rsid w:val="007113FD"/>
    <w:rsid w:val="00711A35"/>
    <w:rsid w:val="00711B1B"/>
    <w:rsid w:val="0071213D"/>
    <w:rsid w:val="00712EB8"/>
    <w:rsid w:val="00713D12"/>
    <w:rsid w:val="00720A7F"/>
    <w:rsid w:val="007213D9"/>
    <w:rsid w:val="007218E2"/>
    <w:rsid w:val="007236F8"/>
    <w:rsid w:val="00723A6B"/>
    <w:rsid w:val="00723D29"/>
    <w:rsid w:val="00724D42"/>
    <w:rsid w:val="00725779"/>
    <w:rsid w:val="00730BF0"/>
    <w:rsid w:val="0073137C"/>
    <w:rsid w:val="00731613"/>
    <w:rsid w:val="007317C4"/>
    <w:rsid w:val="00731BDA"/>
    <w:rsid w:val="00735FE3"/>
    <w:rsid w:val="00736379"/>
    <w:rsid w:val="007401D6"/>
    <w:rsid w:val="0074067D"/>
    <w:rsid w:val="0074101A"/>
    <w:rsid w:val="007420F5"/>
    <w:rsid w:val="00743DCD"/>
    <w:rsid w:val="00743FDD"/>
    <w:rsid w:val="0074492C"/>
    <w:rsid w:val="00746CEE"/>
    <w:rsid w:val="00746E9C"/>
    <w:rsid w:val="0074738E"/>
    <w:rsid w:val="00747D0E"/>
    <w:rsid w:val="00752327"/>
    <w:rsid w:val="00752BC6"/>
    <w:rsid w:val="0075388B"/>
    <w:rsid w:val="00753FA0"/>
    <w:rsid w:val="0075521D"/>
    <w:rsid w:val="00756031"/>
    <w:rsid w:val="00757DFD"/>
    <w:rsid w:val="007617E8"/>
    <w:rsid w:val="0076581D"/>
    <w:rsid w:val="00767AE0"/>
    <w:rsid w:val="00767FA7"/>
    <w:rsid w:val="00771537"/>
    <w:rsid w:val="00771662"/>
    <w:rsid w:val="00771950"/>
    <w:rsid w:val="007739D8"/>
    <w:rsid w:val="00774CEA"/>
    <w:rsid w:val="00776457"/>
    <w:rsid w:val="0077646C"/>
    <w:rsid w:val="00776B0B"/>
    <w:rsid w:val="0077719F"/>
    <w:rsid w:val="00780B21"/>
    <w:rsid w:val="007818F7"/>
    <w:rsid w:val="007866E1"/>
    <w:rsid w:val="0078727B"/>
    <w:rsid w:val="007872E0"/>
    <w:rsid w:val="0078770A"/>
    <w:rsid w:val="00787D24"/>
    <w:rsid w:val="007925C4"/>
    <w:rsid w:val="00795074"/>
    <w:rsid w:val="007956DD"/>
    <w:rsid w:val="00797568"/>
    <w:rsid w:val="007A2BB9"/>
    <w:rsid w:val="007A3178"/>
    <w:rsid w:val="007A5C2C"/>
    <w:rsid w:val="007A6863"/>
    <w:rsid w:val="007B17C2"/>
    <w:rsid w:val="007B577D"/>
    <w:rsid w:val="007B6537"/>
    <w:rsid w:val="007B65AF"/>
    <w:rsid w:val="007C1A10"/>
    <w:rsid w:val="007C2997"/>
    <w:rsid w:val="007C3D8E"/>
    <w:rsid w:val="007C43A3"/>
    <w:rsid w:val="007C45F2"/>
    <w:rsid w:val="007C5872"/>
    <w:rsid w:val="007C63D1"/>
    <w:rsid w:val="007C6FB3"/>
    <w:rsid w:val="007D2293"/>
    <w:rsid w:val="007D24D6"/>
    <w:rsid w:val="007D382C"/>
    <w:rsid w:val="007D4B58"/>
    <w:rsid w:val="007D4D40"/>
    <w:rsid w:val="007D4DC4"/>
    <w:rsid w:val="007D5AE2"/>
    <w:rsid w:val="007D6DE5"/>
    <w:rsid w:val="007D740F"/>
    <w:rsid w:val="007E1403"/>
    <w:rsid w:val="007E1720"/>
    <w:rsid w:val="007E1AF4"/>
    <w:rsid w:val="007E20FC"/>
    <w:rsid w:val="007E2D07"/>
    <w:rsid w:val="007E3D8F"/>
    <w:rsid w:val="007E5B8F"/>
    <w:rsid w:val="007E79E1"/>
    <w:rsid w:val="007E7D35"/>
    <w:rsid w:val="007F073D"/>
    <w:rsid w:val="007F1147"/>
    <w:rsid w:val="007F1D42"/>
    <w:rsid w:val="007F2341"/>
    <w:rsid w:val="007F2ACC"/>
    <w:rsid w:val="007F36A7"/>
    <w:rsid w:val="00800040"/>
    <w:rsid w:val="00801B72"/>
    <w:rsid w:val="00803224"/>
    <w:rsid w:val="0080329F"/>
    <w:rsid w:val="0080489E"/>
    <w:rsid w:val="00805EF5"/>
    <w:rsid w:val="00806812"/>
    <w:rsid w:val="00807260"/>
    <w:rsid w:val="00810911"/>
    <w:rsid w:val="00810A83"/>
    <w:rsid w:val="00810D65"/>
    <w:rsid w:val="00811702"/>
    <w:rsid w:val="00811F2C"/>
    <w:rsid w:val="008136AD"/>
    <w:rsid w:val="00813A0B"/>
    <w:rsid w:val="00814DE4"/>
    <w:rsid w:val="00815D0C"/>
    <w:rsid w:val="00816F47"/>
    <w:rsid w:val="00817421"/>
    <w:rsid w:val="00821895"/>
    <w:rsid w:val="008220A0"/>
    <w:rsid w:val="008231FC"/>
    <w:rsid w:val="00823242"/>
    <w:rsid w:val="008234B0"/>
    <w:rsid w:val="00825266"/>
    <w:rsid w:val="00827DDF"/>
    <w:rsid w:val="00830B7D"/>
    <w:rsid w:val="00831A80"/>
    <w:rsid w:val="00831B30"/>
    <w:rsid w:val="00831CC6"/>
    <w:rsid w:val="00832442"/>
    <w:rsid w:val="00834473"/>
    <w:rsid w:val="00835F5C"/>
    <w:rsid w:val="008373CA"/>
    <w:rsid w:val="00837D10"/>
    <w:rsid w:val="008421DE"/>
    <w:rsid w:val="008431E6"/>
    <w:rsid w:val="00843239"/>
    <w:rsid w:val="00843F59"/>
    <w:rsid w:val="00851B28"/>
    <w:rsid w:val="00853C3C"/>
    <w:rsid w:val="008540E2"/>
    <w:rsid w:val="0085428C"/>
    <w:rsid w:val="008549F1"/>
    <w:rsid w:val="00854EAA"/>
    <w:rsid w:val="00855883"/>
    <w:rsid w:val="00855B04"/>
    <w:rsid w:val="00857001"/>
    <w:rsid w:val="0086457E"/>
    <w:rsid w:val="00867A6C"/>
    <w:rsid w:val="00867D7F"/>
    <w:rsid w:val="008736BA"/>
    <w:rsid w:val="008745EF"/>
    <w:rsid w:val="0087739F"/>
    <w:rsid w:val="008804E1"/>
    <w:rsid w:val="00880975"/>
    <w:rsid w:val="008827FF"/>
    <w:rsid w:val="0089092B"/>
    <w:rsid w:val="008913E8"/>
    <w:rsid w:val="0089300E"/>
    <w:rsid w:val="0089701B"/>
    <w:rsid w:val="00897D2A"/>
    <w:rsid w:val="008A0261"/>
    <w:rsid w:val="008A13CD"/>
    <w:rsid w:val="008A17FC"/>
    <w:rsid w:val="008A1B16"/>
    <w:rsid w:val="008A3F9C"/>
    <w:rsid w:val="008A515A"/>
    <w:rsid w:val="008A7ED0"/>
    <w:rsid w:val="008B204E"/>
    <w:rsid w:val="008B3F33"/>
    <w:rsid w:val="008B4734"/>
    <w:rsid w:val="008B4E17"/>
    <w:rsid w:val="008B52F6"/>
    <w:rsid w:val="008B72AD"/>
    <w:rsid w:val="008B7633"/>
    <w:rsid w:val="008B7CF1"/>
    <w:rsid w:val="008C0DEB"/>
    <w:rsid w:val="008C1B48"/>
    <w:rsid w:val="008C20C5"/>
    <w:rsid w:val="008C2B6F"/>
    <w:rsid w:val="008C4D7B"/>
    <w:rsid w:val="008C5B91"/>
    <w:rsid w:val="008C75F8"/>
    <w:rsid w:val="008D195D"/>
    <w:rsid w:val="008D1E5E"/>
    <w:rsid w:val="008D1FB7"/>
    <w:rsid w:val="008D2002"/>
    <w:rsid w:val="008D2891"/>
    <w:rsid w:val="008D2AB3"/>
    <w:rsid w:val="008D32BD"/>
    <w:rsid w:val="008D3F8A"/>
    <w:rsid w:val="008D4635"/>
    <w:rsid w:val="008D6805"/>
    <w:rsid w:val="008D6D89"/>
    <w:rsid w:val="008D7C92"/>
    <w:rsid w:val="008E01F0"/>
    <w:rsid w:val="008E2786"/>
    <w:rsid w:val="008E30EC"/>
    <w:rsid w:val="008E3FEB"/>
    <w:rsid w:val="008E554D"/>
    <w:rsid w:val="008E582E"/>
    <w:rsid w:val="008E5C25"/>
    <w:rsid w:val="008E67F1"/>
    <w:rsid w:val="008E7758"/>
    <w:rsid w:val="008E78BE"/>
    <w:rsid w:val="008E7E52"/>
    <w:rsid w:val="008F3749"/>
    <w:rsid w:val="008F4B64"/>
    <w:rsid w:val="008F50EC"/>
    <w:rsid w:val="008F512F"/>
    <w:rsid w:val="008F6594"/>
    <w:rsid w:val="008F734C"/>
    <w:rsid w:val="008F7A40"/>
    <w:rsid w:val="009005D4"/>
    <w:rsid w:val="00900AD7"/>
    <w:rsid w:val="00901135"/>
    <w:rsid w:val="0090147D"/>
    <w:rsid w:val="00901633"/>
    <w:rsid w:val="0090193B"/>
    <w:rsid w:val="009024EE"/>
    <w:rsid w:val="0090440F"/>
    <w:rsid w:val="00905C57"/>
    <w:rsid w:val="00905EEC"/>
    <w:rsid w:val="00906E27"/>
    <w:rsid w:val="0091339C"/>
    <w:rsid w:val="009143E6"/>
    <w:rsid w:val="00914F78"/>
    <w:rsid w:val="00915EB6"/>
    <w:rsid w:val="009165BE"/>
    <w:rsid w:val="009170D1"/>
    <w:rsid w:val="009172FD"/>
    <w:rsid w:val="00920694"/>
    <w:rsid w:val="0092074E"/>
    <w:rsid w:val="009208E7"/>
    <w:rsid w:val="00920B4E"/>
    <w:rsid w:val="00921579"/>
    <w:rsid w:val="00922156"/>
    <w:rsid w:val="00922FF1"/>
    <w:rsid w:val="00923ACD"/>
    <w:rsid w:val="00923D6A"/>
    <w:rsid w:val="00924E99"/>
    <w:rsid w:val="00925704"/>
    <w:rsid w:val="0092612C"/>
    <w:rsid w:val="00926F8C"/>
    <w:rsid w:val="0092736A"/>
    <w:rsid w:val="00927F08"/>
    <w:rsid w:val="009329F1"/>
    <w:rsid w:val="0093474E"/>
    <w:rsid w:val="009347E6"/>
    <w:rsid w:val="00936B9E"/>
    <w:rsid w:val="009402B7"/>
    <w:rsid w:val="00943154"/>
    <w:rsid w:val="009468A0"/>
    <w:rsid w:val="00947793"/>
    <w:rsid w:val="009508DC"/>
    <w:rsid w:val="00950D37"/>
    <w:rsid w:val="00950D46"/>
    <w:rsid w:val="009511A0"/>
    <w:rsid w:val="009512CD"/>
    <w:rsid w:val="009522E9"/>
    <w:rsid w:val="00953F9E"/>
    <w:rsid w:val="00955304"/>
    <w:rsid w:val="009553AA"/>
    <w:rsid w:val="00956305"/>
    <w:rsid w:val="00956319"/>
    <w:rsid w:val="009573D2"/>
    <w:rsid w:val="00957515"/>
    <w:rsid w:val="00957F22"/>
    <w:rsid w:val="00960B1C"/>
    <w:rsid w:val="00962025"/>
    <w:rsid w:val="00964163"/>
    <w:rsid w:val="00964614"/>
    <w:rsid w:val="00966A1F"/>
    <w:rsid w:val="009671CC"/>
    <w:rsid w:val="00967CD3"/>
    <w:rsid w:val="00967EDA"/>
    <w:rsid w:val="009706F6"/>
    <w:rsid w:val="00970AC5"/>
    <w:rsid w:val="009711EF"/>
    <w:rsid w:val="00974D36"/>
    <w:rsid w:val="00975004"/>
    <w:rsid w:val="009751DD"/>
    <w:rsid w:val="00977A5D"/>
    <w:rsid w:val="00977B12"/>
    <w:rsid w:val="00982643"/>
    <w:rsid w:val="00985537"/>
    <w:rsid w:val="00985E04"/>
    <w:rsid w:val="00986CE3"/>
    <w:rsid w:val="009900A7"/>
    <w:rsid w:val="009900D0"/>
    <w:rsid w:val="00990B64"/>
    <w:rsid w:val="0099152F"/>
    <w:rsid w:val="00991D70"/>
    <w:rsid w:val="009932F7"/>
    <w:rsid w:val="00993B40"/>
    <w:rsid w:val="00994C95"/>
    <w:rsid w:val="0099720E"/>
    <w:rsid w:val="00997737"/>
    <w:rsid w:val="009A06E1"/>
    <w:rsid w:val="009A07A9"/>
    <w:rsid w:val="009A36FB"/>
    <w:rsid w:val="009A51BA"/>
    <w:rsid w:val="009A7546"/>
    <w:rsid w:val="009B0700"/>
    <w:rsid w:val="009B5C20"/>
    <w:rsid w:val="009B64C5"/>
    <w:rsid w:val="009B6E56"/>
    <w:rsid w:val="009B7156"/>
    <w:rsid w:val="009C039D"/>
    <w:rsid w:val="009C171A"/>
    <w:rsid w:val="009C20C7"/>
    <w:rsid w:val="009C273B"/>
    <w:rsid w:val="009C37B0"/>
    <w:rsid w:val="009C39CF"/>
    <w:rsid w:val="009C5FEF"/>
    <w:rsid w:val="009C7602"/>
    <w:rsid w:val="009D06BB"/>
    <w:rsid w:val="009D0EB5"/>
    <w:rsid w:val="009D1EBD"/>
    <w:rsid w:val="009D3159"/>
    <w:rsid w:val="009D336D"/>
    <w:rsid w:val="009D72B0"/>
    <w:rsid w:val="009D739C"/>
    <w:rsid w:val="009D7537"/>
    <w:rsid w:val="009E0450"/>
    <w:rsid w:val="009E0B30"/>
    <w:rsid w:val="009E202B"/>
    <w:rsid w:val="009E2050"/>
    <w:rsid w:val="009E281D"/>
    <w:rsid w:val="009E2CF4"/>
    <w:rsid w:val="009E3CE3"/>
    <w:rsid w:val="009E5CB4"/>
    <w:rsid w:val="009E7A9D"/>
    <w:rsid w:val="009F02B2"/>
    <w:rsid w:val="009F0B3E"/>
    <w:rsid w:val="009F1782"/>
    <w:rsid w:val="009F1BE7"/>
    <w:rsid w:val="009F1C30"/>
    <w:rsid w:val="009F2C9A"/>
    <w:rsid w:val="009F4DFD"/>
    <w:rsid w:val="009F53E1"/>
    <w:rsid w:val="009F6CB9"/>
    <w:rsid w:val="00A0042D"/>
    <w:rsid w:val="00A00FEB"/>
    <w:rsid w:val="00A0488F"/>
    <w:rsid w:val="00A04B4F"/>
    <w:rsid w:val="00A058F1"/>
    <w:rsid w:val="00A07140"/>
    <w:rsid w:val="00A1012B"/>
    <w:rsid w:val="00A10A1F"/>
    <w:rsid w:val="00A120FF"/>
    <w:rsid w:val="00A13997"/>
    <w:rsid w:val="00A13B56"/>
    <w:rsid w:val="00A141B9"/>
    <w:rsid w:val="00A149C3"/>
    <w:rsid w:val="00A14C11"/>
    <w:rsid w:val="00A14C61"/>
    <w:rsid w:val="00A15173"/>
    <w:rsid w:val="00A21DC7"/>
    <w:rsid w:val="00A23123"/>
    <w:rsid w:val="00A2357A"/>
    <w:rsid w:val="00A2369A"/>
    <w:rsid w:val="00A255AB"/>
    <w:rsid w:val="00A25747"/>
    <w:rsid w:val="00A26498"/>
    <w:rsid w:val="00A27C54"/>
    <w:rsid w:val="00A30479"/>
    <w:rsid w:val="00A315A6"/>
    <w:rsid w:val="00A31817"/>
    <w:rsid w:val="00A31832"/>
    <w:rsid w:val="00A32BB5"/>
    <w:rsid w:val="00A36C82"/>
    <w:rsid w:val="00A42F01"/>
    <w:rsid w:val="00A4314C"/>
    <w:rsid w:val="00A43BF9"/>
    <w:rsid w:val="00A45839"/>
    <w:rsid w:val="00A45B3F"/>
    <w:rsid w:val="00A463CC"/>
    <w:rsid w:val="00A46E67"/>
    <w:rsid w:val="00A47197"/>
    <w:rsid w:val="00A47688"/>
    <w:rsid w:val="00A50053"/>
    <w:rsid w:val="00A5136A"/>
    <w:rsid w:val="00A52751"/>
    <w:rsid w:val="00A52BDB"/>
    <w:rsid w:val="00A53C52"/>
    <w:rsid w:val="00A54BD7"/>
    <w:rsid w:val="00A55766"/>
    <w:rsid w:val="00A55CFE"/>
    <w:rsid w:val="00A5641D"/>
    <w:rsid w:val="00A56456"/>
    <w:rsid w:val="00A5672E"/>
    <w:rsid w:val="00A56A65"/>
    <w:rsid w:val="00A611DE"/>
    <w:rsid w:val="00A62479"/>
    <w:rsid w:val="00A63242"/>
    <w:rsid w:val="00A64249"/>
    <w:rsid w:val="00A64423"/>
    <w:rsid w:val="00A65236"/>
    <w:rsid w:val="00A65C70"/>
    <w:rsid w:val="00A662E6"/>
    <w:rsid w:val="00A6738E"/>
    <w:rsid w:val="00A705E9"/>
    <w:rsid w:val="00A71E35"/>
    <w:rsid w:val="00A73836"/>
    <w:rsid w:val="00A73C65"/>
    <w:rsid w:val="00A73D9A"/>
    <w:rsid w:val="00A74644"/>
    <w:rsid w:val="00A76A9F"/>
    <w:rsid w:val="00A76BBC"/>
    <w:rsid w:val="00A77A60"/>
    <w:rsid w:val="00A80CE0"/>
    <w:rsid w:val="00A8146B"/>
    <w:rsid w:val="00A84E3A"/>
    <w:rsid w:val="00A8544E"/>
    <w:rsid w:val="00A8579E"/>
    <w:rsid w:val="00A858E0"/>
    <w:rsid w:val="00A863E3"/>
    <w:rsid w:val="00A919A2"/>
    <w:rsid w:val="00A9251D"/>
    <w:rsid w:val="00A93543"/>
    <w:rsid w:val="00A93641"/>
    <w:rsid w:val="00A93A41"/>
    <w:rsid w:val="00A93FD1"/>
    <w:rsid w:val="00A94C17"/>
    <w:rsid w:val="00A95A0A"/>
    <w:rsid w:val="00A9693F"/>
    <w:rsid w:val="00A97576"/>
    <w:rsid w:val="00AA02E1"/>
    <w:rsid w:val="00AA061D"/>
    <w:rsid w:val="00AA4AC9"/>
    <w:rsid w:val="00AA4DDD"/>
    <w:rsid w:val="00AA54E1"/>
    <w:rsid w:val="00AA58E1"/>
    <w:rsid w:val="00AA5EA8"/>
    <w:rsid w:val="00AA713E"/>
    <w:rsid w:val="00AB0475"/>
    <w:rsid w:val="00AB1948"/>
    <w:rsid w:val="00AB21D1"/>
    <w:rsid w:val="00AB251F"/>
    <w:rsid w:val="00AB4751"/>
    <w:rsid w:val="00AB4996"/>
    <w:rsid w:val="00AB5816"/>
    <w:rsid w:val="00AC21A3"/>
    <w:rsid w:val="00AC345C"/>
    <w:rsid w:val="00AC38CE"/>
    <w:rsid w:val="00AC406B"/>
    <w:rsid w:val="00AC5186"/>
    <w:rsid w:val="00AC5576"/>
    <w:rsid w:val="00AC58A3"/>
    <w:rsid w:val="00AC5A9C"/>
    <w:rsid w:val="00AC667D"/>
    <w:rsid w:val="00AC6CAA"/>
    <w:rsid w:val="00AC6F4F"/>
    <w:rsid w:val="00AC7053"/>
    <w:rsid w:val="00AD06B7"/>
    <w:rsid w:val="00AD0C3F"/>
    <w:rsid w:val="00AD327A"/>
    <w:rsid w:val="00AD4FB6"/>
    <w:rsid w:val="00AD53EE"/>
    <w:rsid w:val="00AD6217"/>
    <w:rsid w:val="00AD6A2C"/>
    <w:rsid w:val="00AD7E0E"/>
    <w:rsid w:val="00AE0A03"/>
    <w:rsid w:val="00AE0E95"/>
    <w:rsid w:val="00AE0F00"/>
    <w:rsid w:val="00AE1814"/>
    <w:rsid w:val="00AE3C63"/>
    <w:rsid w:val="00AE4E07"/>
    <w:rsid w:val="00AE5E87"/>
    <w:rsid w:val="00AF0774"/>
    <w:rsid w:val="00AF1692"/>
    <w:rsid w:val="00AF1EA6"/>
    <w:rsid w:val="00AF3B8F"/>
    <w:rsid w:val="00AF3E29"/>
    <w:rsid w:val="00AF50B3"/>
    <w:rsid w:val="00AF67E1"/>
    <w:rsid w:val="00AF683C"/>
    <w:rsid w:val="00AF75F9"/>
    <w:rsid w:val="00AF7B00"/>
    <w:rsid w:val="00B001F8"/>
    <w:rsid w:val="00B00F8C"/>
    <w:rsid w:val="00B029F2"/>
    <w:rsid w:val="00B03AEA"/>
    <w:rsid w:val="00B05C88"/>
    <w:rsid w:val="00B07286"/>
    <w:rsid w:val="00B10641"/>
    <w:rsid w:val="00B109CB"/>
    <w:rsid w:val="00B124D2"/>
    <w:rsid w:val="00B129A9"/>
    <w:rsid w:val="00B13144"/>
    <w:rsid w:val="00B13207"/>
    <w:rsid w:val="00B154B3"/>
    <w:rsid w:val="00B163C4"/>
    <w:rsid w:val="00B1704E"/>
    <w:rsid w:val="00B173E1"/>
    <w:rsid w:val="00B20575"/>
    <w:rsid w:val="00B20D23"/>
    <w:rsid w:val="00B210FB"/>
    <w:rsid w:val="00B23670"/>
    <w:rsid w:val="00B24696"/>
    <w:rsid w:val="00B25007"/>
    <w:rsid w:val="00B30A71"/>
    <w:rsid w:val="00B31B60"/>
    <w:rsid w:val="00B34C7E"/>
    <w:rsid w:val="00B35AF9"/>
    <w:rsid w:val="00B35E5B"/>
    <w:rsid w:val="00B36885"/>
    <w:rsid w:val="00B40B9E"/>
    <w:rsid w:val="00B426A4"/>
    <w:rsid w:val="00B43D0A"/>
    <w:rsid w:val="00B44239"/>
    <w:rsid w:val="00B4430B"/>
    <w:rsid w:val="00B454CE"/>
    <w:rsid w:val="00B46287"/>
    <w:rsid w:val="00B51F95"/>
    <w:rsid w:val="00B5283F"/>
    <w:rsid w:val="00B547AD"/>
    <w:rsid w:val="00B54A0F"/>
    <w:rsid w:val="00B54FA2"/>
    <w:rsid w:val="00B55250"/>
    <w:rsid w:val="00B558FF"/>
    <w:rsid w:val="00B559FE"/>
    <w:rsid w:val="00B561EC"/>
    <w:rsid w:val="00B569E4"/>
    <w:rsid w:val="00B62457"/>
    <w:rsid w:val="00B62DE1"/>
    <w:rsid w:val="00B63BFD"/>
    <w:rsid w:val="00B649C6"/>
    <w:rsid w:val="00B6714A"/>
    <w:rsid w:val="00B71ABC"/>
    <w:rsid w:val="00B71D53"/>
    <w:rsid w:val="00B724C3"/>
    <w:rsid w:val="00B74945"/>
    <w:rsid w:val="00B75638"/>
    <w:rsid w:val="00B76B13"/>
    <w:rsid w:val="00B76D87"/>
    <w:rsid w:val="00B7797A"/>
    <w:rsid w:val="00B77C58"/>
    <w:rsid w:val="00B80E08"/>
    <w:rsid w:val="00B83B99"/>
    <w:rsid w:val="00B83BCC"/>
    <w:rsid w:val="00B83EEE"/>
    <w:rsid w:val="00B84762"/>
    <w:rsid w:val="00B85FAA"/>
    <w:rsid w:val="00B866E7"/>
    <w:rsid w:val="00B87F3B"/>
    <w:rsid w:val="00B913C1"/>
    <w:rsid w:val="00BA38FC"/>
    <w:rsid w:val="00BA40CE"/>
    <w:rsid w:val="00BA5B55"/>
    <w:rsid w:val="00BA653D"/>
    <w:rsid w:val="00BA7C51"/>
    <w:rsid w:val="00BB363E"/>
    <w:rsid w:val="00BB4F75"/>
    <w:rsid w:val="00BB553F"/>
    <w:rsid w:val="00BB5E1D"/>
    <w:rsid w:val="00BB7124"/>
    <w:rsid w:val="00BB72A1"/>
    <w:rsid w:val="00BC14DD"/>
    <w:rsid w:val="00BC3445"/>
    <w:rsid w:val="00BC52BF"/>
    <w:rsid w:val="00BC5A49"/>
    <w:rsid w:val="00BC6142"/>
    <w:rsid w:val="00BD15E4"/>
    <w:rsid w:val="00BD1C6C"/>
    <w:rsid w:val="00BD1F64"/>
    <w:rsid w:val="00BD39A2"/>
    <w:rsid w:val="00BD3BD1"/>
    <w:rsid w:val="00BD6671"/>
    <w:rsid w:val="00BD71F7"/>
    <w:rsid w:val="00BE0BFF"/>
    <w:rsid w:val="00BE0E73"/>
    <w:rsid w:val="00BE1126"/>
    <w:rsid w:val="00BE4026"/>
    <w:rsid w:val="00BE4F56"/>
    <w:rsid w:val="00BE506D"/>
    <w:rsid w:val="00BE5133"/>
    <w:rsid w:val="00BE5943"/>
    <w:rsid w:val="00BE6505"/>
    <w:rsid w:val="00BE6F49"/>
    <w:rsid w:val="00BE721B"/>
    <w:rsid w:val="00BF0050"/>
    <w:rsid w:val="00BF065C"/>
    <w:rsid w:val="00BF1D5B"/>
    <w:rsid w:val="00BF3731"/>
    <w:rsid w:val="00BF3845"/>
    <w:rsid w:val="00BF4B25"/>
    <w:rsid w:val="00BF53E1"/>
    <w:rsid w:val="00BF59B5"/>
    <w:rsid w:val="00BF6A1C"/>
    <w:rsid w:val="00C00859"/>
    <w:rsid w:val="00C00953"/>
    <w:rsid w:val="00C00AC0"/>
    <w:rsid w:val="00C01A24"/>
    <w:rsid w:val="00C02463"/>
    <w:rsid w:val="00C02CDC"/>
    <w:rsid w:val="00C036A6"/>
    <w:rsid w:val="00C05708"/>
    <w:rsid w:val="00C0600E"/>
    <w:rsid w:val="00C06ECA"/>
    <w:rsid w:val="00C110BC"/>
    <w:rsid w:val="00C13F2C"/>
    <w:rsid w:val="00C14ABC"/>
    <w:rsid w:val="00C157FF"/>
    <w:rsid w:val="00C15B46"/>
    <w:rsid w:val="00C164D3"/>
    <w:rsid w:val="00C21F9B"/>
    <w:rsid w:val="00C2222A"/>
    <w:rsid w:val="00C24C54"/>
    <w:rsid w:val="00C26674"/>
    <w:rsid w:val="00C267C6"/>
    <w:rsid w:val="00C26C0A"/>
    <w:rsid w:val="00C271EC"/>
    <w:rsid w:val="00C27304"/>
    <w:rsid w:val="00C279EB"/>
    <w:rsid w:val="00C300AA"/>
    <w:rsid w:val="00C30485"/>
    <w:rsid w:val="00C30843"/>
    <w:rsid w:val="00C30F28"/>
    <w:rsid w:val="00C355FA"/>
    <w:rsid w:val="00C409CF"/>
    <w:rsid w:val="00C40D4A"/>
    <w:rsid w:val="00C41CF2"/>
    <w:rsid w:val="00C4470A"/>
    <w:rsid w:val="00C45014"/>
    <w:rsid w:val="00C45082"/>
    <w:rsid w:val="00C45CCA"/>
    <w:rsid w:val="00C45D26"/>
    <w:rsid w:val="00C46801"/>
    <w:rsid w:val="00C4699B"/>
    <w:rsid w:val="00C46A11"/>
    <w:rsid w:val="00C47316"/>
    <w:rsid w:val="00C500D9"/>
    <w:rsid w:val="00C51920"/>
    <w:rsid w:val="00C52B83"/>
    <w:rsid w:val="00C52E7E"/>
    <w:rsid w:val="00C53DBB"/>
    <w:rsid w:val="00C54694"/>
    <w:rsid w:val="00C556AB"/>
    <w:rsid w:val="00C5584A"/>
    <w:rsid w:val="00C56744"/>
    <w:rsid w:val="00C56D6B"/>
    <w:rsid w:val="00C57384"/>
    <w:rsid w:val="00C573C5"/>
    <w:rsid w:val="00C57A0F"/>
    <w:rsid w:val="00C6097A"/>
    <w:rsid w:val="00C624B0"/>
    <w:rsid w:val="00C62FD8"/>
    <w:rsid w:val="00C64560"/>
    <w:rsid w:val="00C645FB"/>
    <w:rsid w:val="00C6493E"/>
    <w:rsid w:val="00C64CB7"/>
    <w:rsid w:val="00C65455"/>
    <w:rsid w:val="00C655D4"/>
    <w:rsid w:val="00C67169"/>
    <w:rsid w:val="00C70357"/>
    <w:rsid w:val="00C73D3C"/>
    <w:rsid w:val="00C7401A"/>
    <w:rsid w:val="00C75789"/>
    <w:rsid w:val="00C7732A"/>
    <w:rsid w:val="00C779DB"/>
    <w:rsid w:val="00C77FC2"/>
    <w:rsid w:val="00C82D5E"/>
    <w:rsid w:val="00C8313E"/>
    <w:rsid w:val="00C83566"/>
    <w:rsid w:val="00C83708"/>
    <w:rsid w:val="00C859F9"/>
    <w:rsid w:val="00C8722C"/>
    <w:rsid w:val="00C879A8"/>
    <w:rsid w:val="00C87A0E"/>
    <w:rsid w:val="00C911BF"/>
    <w:rsid w:val="00C9151A"/>
    <w:rsid w:val="00C94353"/>
    <w:rsid w:val="00C94530"/>
    <w:rsid w:val="00C97510"/>
    <w:rsid w:val="00C97F2D"/>
    <w:rsid w:val="00CA3796"/>
    <w:rsid w:val="00CA5DB6"/>
    <w:rsid w:val="00CA70DF"/>
    <w:rsid w:val="00CB1688"/>
    <w:rsid w:val="00CB1E1D"/>
    <w:rsid w:val="00CB1FFB"/>
    <w:rsid w:val="00CB323E"/>
    <w:rsid w:val="00CB4307"/>
    <w:rsid w:val="00CB5C77"/>
    <w:rsid w:val="00CB7626"/>
    <w:rsid w:val="00CB7A75"/>
    <w:rsid w:val="00CB7E94"/>
    <w:rsid w:val="00CC1AFB"/>
    <w:rsid w:val="00CC1DC1"/>
    <w:rsid w:val="00CC2310"/>
    <w:rsid w:val="00CC3C33"/>
    <w:rsid w:val="00CC44D2"/>
    <w:rsid w:val="00CC579B"/>
    <w:rsid w:val="00CC6C7B"/>
    <w:rsid w:val="00CC7919"/>
    <w:rsid w:val="00CC7ED1"/>
    <w:rsid w:val="00CD09B7"/>
    <w:rsid w:val="00CD1492"/>
    <w:rsid w:val="00CD2F00"/>
    <w:rsid w:val="00CD3B73"/>
    <w:rsid w:val="00CD43DB"/>
    <w:rsid w:val="00CD469A"/>
    <w:rsid w:val="00CD680D"/>
    <w:rsid w:val="00CD6E91"/>
    <w:rsid w:val="00CD7757"/>
    <w:rsid w:val="00CD785C"/>
    <w:rsid w:val="00CD7DDB"/>
    <w:rsid w:val="00CE54BB"/>
    <w:rsid w:val="00CE769B"/>
    <w:rsid w:val="00CF0D79"/>
    <w:rsid w:val="00CF271D"/>
    <w:rsid w:val="00CF2D01"/>
    <w:rsid w:val="00CF42C4"/>
    <w:rsid w:val="00CF56EB"/>
    <w:rsid w:val="00CF6B78"/>
    <w:rsid w:val="00CF6D8B"/>
    <w:rsid w:val="00CF77BE"/>
    <w:rsid w:val="00CF7E9D"/>
    <w:rsid w:val="00D0316D"/>
    <w:rsid w:val="00D05F54"/>
    <w:rsid w:val="00D06F7B"/>
    <w:rsid w:val="00D07F6D"/>
    <w:rsid w:val="00D1240A"/>
    <w:rsid w:val="00D137F7"/>
    <w:rsid w:val="00D13C01"/>
    <w:rsid w:val="00D14B4E"/>
    <w:rsid w:val="00D17E6E"/>
    <w:rsid w:val="00D20317"/>
    <w:rsid w:val="00D210AF"/>
    <w:rsid w:val="00D23349"/>
    <w:rsid w:val="00D23536"/>
    <w:rsid w:val="00D26E08"/>
    <w:rsid w:val="00D30957"/>
    <w:rsid w:val="00D30D16"/>
    <w:rsid w:val="00D32A91"/>
    <w:rsid w:val="00D33DBB"/>
    <w:rsid w:val="00D34F31"/>
    <w:rsid w:val="00D353D7"/>
    <w:rsid w:val="00D36EE5"/>
    <w:rsid w:val="00D41832"/>
    <w:rsid w:val="00D42DA0"/>
    <w:rsid w:val="00D42DCF"/>
    <w:rsid w:val="00D43B9A"/>
    <w:rsid w:val="00D46C07"/>
    <w:rsid w:val="00D474B2"/>
    <w:rsid w:val="00D530EB"/>
    <w:rsid w:val="00D537DB"/>
    <w:rsid w:val="00D53A48"/>
    <w:rsid w:val="00D54F89"/>
    <w:rsid w:val="00D55DA0"/>
    <w:rsid w:val="00D62005"/>
    <w:rsid w:val="00D64356"/>
    <w:rsid w:val="00D647A1"/>
    <w:rsid w:val="00D7046C"/>
    <w:rsid w:val="00D721F3"/>
    <w:rsid w:val="00D722E0"/>
    <w:rsid w:val="00D72687"/>
    <w:rsid w:val="00D72F59"/>
    <w:rsid w:val="00D7380E"/>
    <w:rsid w:val="00D73B5D"/>
    <w:rsid w:val="00D74D08"/>
    <w:rsid w:val="00D74DD2"/>
    <w:rsid w:val="00D77753"/>
    <w:rsid w:val="00D77C8F"/>
    <w:rsid w:val="00D81A71"/>
    <w:rsid w:val="00D829AD"/>
    <w:rsid w:val="00D8338C"/>
    <w:rsid w:val="00D84960"/>
    <w:rsid w:val="00D8675C"/>
    <w:rsid w:val="00D86DBF"/>
    <w:rsid w:val="00D87303"/>
    <w:rsid w:val="00D906E7"/>
    <w:rsid w:val="00D9178D"/>
    <w:rsid w:val="00D9580B"/>
    <w:rsid w:val="00D96A1C"/>
    <w:rsid w:val="00DA23DD"/>
    <w:rsid w:val="00DA2677"/>
    <w:rsid w:val="00DA3928"/>
    <w:rsid w:val="00DA3FC0"/>
    <w:rsid w:val="00DA6C53"/>
    <w:rsid w:val="00DA790E"/>
    <w:rsid w:val="00DB2804"/>
    <w:rsid w:val="00DB3463"/>
    <w:rsid w:val="00DB4001"/>
    <w:rsid w:val="00DB669D"/>
    <w:rsid w:val="00DB7550"/>
    <w:rsid w:val="00DB794B"/>
    <w:rsid w:val="00DC012E"/>
    <w:rsid w:val="00DC2EF4"/>
    <w:rsid w:val="00DC4C5D"/>
    <w:rsid w:val="00DC7327"/>
    <w:rsid w:val="00DD0C4E"/>
    <w:rsid w:val="00DD0F0F"/>
    <w:rsid w:val="00DD5BC5"/>
    <w:rsid w:val="00DD6BC4"/>
    <w:rsid w:val="00DE04A5"/>
    <w:rsid w:val="00DE0830"/>
    <w:rsid w:val="00DE2322"/>
    <w:rsid w:val="00DE301F"/>
    <w:rsid w:val="00DE4607"/>
    <w:rsid w:val="00DE4845"/>
    <w:rsid w:val="00DF18DD"/>
    <w:rsid w:val="00DF19CB"/>
    <w:rsid w:val="00DF2C83"/>
    <w:rsid w:val="00DF3B6A"/>
    <w:rsid w:val="00DF3B88"/>
    <w:rsid w:val="00DF41CC"/>
    <w:rsid w:val="00DF44ED"/>
    <w:rsid w:val="00DF4516"/>
    <w:rsid w:val="00DF62A5"/>
    <w:rsid w:val="00DF6413"/>
    <w:rsid w:val="00DF779C"/>
    <w:rsid w:val="00E0064D"/>
    <w:rsid w:val="00E01FEC"/>
    <w:rsid w:val="00E033AB"/>
    <w:rsid w:val="00E034FF"/>
    <w:rsid w:val="00E0364A"/>
    <w:rsid w:val="00E066E6"/>
    <w:rsid w:val="00E06EDE"/>
    <w:rsid w:val="00E07D96"/>
    <w:rsid w:val="00E11A39"/>
    <w:rsid w:val="00E11B0C"/>
    <w:rsid w:val="00E11BFD"/>
    <w:rsid w:val="00E12BAB"/>
    <w:rsid w:val="00E13CB2"/>
    <w:rsid w:val="00E140E7"/>
    <w:rsid w:val="00E148B2"/>
    <w:rsid w:val="00E1617F"/>
    <w:rsid w:val="00E16331"/>
    <w:rsid w:val="00E218D2"/>
    <w:rsid w:val="00E219CF"/>
    <w:rsid w:val="00E22658"/>
    <w:rsid w:val="00E22666"/>
    <w:rsid w:val="00E235A1"/>
    <w:rsid w:val="00E23B85"/>
    <w:rsid w:val="00E2409D"/>
    <w:rsid w:val="00E243B6"/>
    <w:rsid w:val="00E24D63"/>
    <w:rsid w:val="00E24F59"/>
    <w:rsid w:val="00E2552D"/>
    <w:rsid w:val="00E25679"/>
    <w:rsid w:val="00E25D4F"/>
    <w:rsid w:val="00E2622C"/>
    <w:rsid w:val="00E27380"/>
    <w:rsid w:val="00E27EAC"/>
    <w:rsid w:val="00E31DA9"/>
    <w:rsid w:val="00E33369"/>
    <w:rsid w:val="00E34517"/>
    <w:rsid w:val="00E357C3"/>
    <w:rsid w:val="00E37CAB"/>
    <w:rsid w:val="00E40703"/>
    <w:rsid w:val="00E40B89"/>
    <w:rsid w:val="00E40F6F"/>
    <w:rsid w:val="00E40FCB"/>
    <w:rsid w:val="00E41382"/>
    <w:rsid w:val="00E41583"/>
    <w:rsid w:val="00E42796"/>
    <w:rsid w:val="00E43A41"/>
    <w:rsid w:val="00E43DB9"/>
    <w:rsid w:val="00E47365"/>
    <w:rsid w:val="00E50182"/>
    <w:rsid w:val="00E51015"/>
    <w:rsid w:val="00E51516"/>
    <w:rsid w:val="00E51E8A"/>
    <w:rsid w:val="00E52509"/>
    <w:rsid w:val="00E53AB3"/>
    <w:rsid w:val="00E53EF8"/>
    <w:rsid w:val="00E56CB6"/>
    <w:rsid w:val="00E57ECF"/>
    <w:rsid w:val="00E62693"/>
    <w:rsid w:val="00E65EC1"/>
    <w:rsid w:val="00E665BB"/>
    <w:rsid w:val="00E6780A"/>
    <w:rsid w:val="00E7008A"/>
    <w:rsid w:val="00E700FF"/>
    <w:rsid w:val="00E70207"/>
    <w:rsid w:val="00E70879"/>
    <w:rsid w:val="00E76193"/>
    <w:rsid w:val="00E761DB"/>
    <w:rsid w:val="00E77238"/>
    <w:rsid w:val="00E80039"/>
    <w:rsid w:val="00E829F5"/>
    <w:rsid w:val="00E82E8B"/>
    <w:rsid w:val="00E84690"/>
    <w:rsid w:val="00E856D4"/>
    <w:rsid w:val="00E8619C"/>
    <w:rsid w:val="00E87B23"/>
    <w:rsid w:val="00E91648"/>
    <w:rsid w:val="00E92294"/>
    <w:rsid w:val="00E9254B"/>
    <w:rsid w:val="00E92B51"/>
    <w:rsid w:val="00E94B0A"/>
    <w:rsid w:val="00E95144"/>
    <w:rsid w:val="00E9554B"/>
    <w:rsid w:val="00E95D00"/>
    <w:rsid w:val="00E96796"/>
    <w:rsid w:val="00E96943"/>
    <w:rsid w:val="00E97127"/>
    <w:rsid w:val="00E971C8"/>
    <w:rsid w:val="00EA0F89"/>
    <w:rsid w:val="00EA2CEA"/>
    <w:rsid w:val="00EA4478"/>
    <w:rsid w:val="00EA5088"/>
    <w:rsid w:val="00EA6EC4"/>
    <w:rsid w:val="00EA7777"/>
    <w:rsid w:val="00EA7B6F"/>
    <w:rsid w:val="00EB2242"/>
    <w:rsid w:val="00EB31F6"/>
    <w:rsid w:val="00EB431A"/>
    <w:rsid w:val="00EB4B00"/>
    <w:rsid w:val="00EB7198"/>
    <w:rsid w:val="00EB7C25"/>
    <w:rsid w:val="00EC0464"/>
    <w:rsid w:val="00EC168E"/>
    <w:rsid w:val="00EC184B"/>
    <w:rsid w:val="00EC5D5F"/>
    <w:rsid w:val="00ED0294"/>
    <w:rsid w:val="00ED0941"/>
    <w:rsid w:val="00ED17A3"/>
    <w:rsid w:val="00ED2AD1"/>
    <w:rsid w:val="00ED3841"/>
    <w:rsid w:val="00ED4479"/>
    <w:rsid w:val="00ED7846"/>
    <w:rsid w:val="00ED78DD"/>
    <w:rsid w:val="00EE0D4B"/>
    <w:rsid w:val="00EE1D5E"/>
    <w:rsid w:val="00EE5589"/>
    <w:rsid w:val="00EE74BA"/>
    <w:rsid w:val="00EE7F30"/>
    <w:rsid w:val="00EF116B"/>
    <w:rsid w:val="00EF2367"/>
    <w:rsid w:val="00EF2645"/>
    <w:rsid w:val="00EF429B"/>
    <w:rsid w:val="00EF4D11"/>
    <w:rsid w:val="00EF605D"/>
    <w:rsid w:val="00EF6672"/>
    <w:rsid w:val="00EF7A72"/>
    <w:rsid w:val="00EF7B0D"/>
    <w:rsid w:val="00EF7FAC"/>
    <w:rsid w:val="00F0172A"/>
    <w:rsid w:val="00F03BE1"/>
    <w:rsid w:val="00F03CBC"/>
    <w:rsid w:val="00F125CB"/>
    <w:rsid w:val="00F12EFE"/>
    <w:rsid w:val="00F14DE0"/>
    <w:rsid w:val="00F1570E"/>
    <w:rsid w:val="00F208E6"/>
    <w:rsid w:val="00F21C7C"/>
    <w:rsid w:val="00F21D85"/>
    <w:rsid w:val="00F2257F"/>
    <w:rsid w:val="00F23133"/>
    <w:rsid w:val="00F26A7A"/>
    <w:rsid w:val="00F27794"/>
    <w:rsid w:val="00F3282B"/>
    <w:rsid w:val="00F32EAD"/>
    <w:rsid w:val="00F35BE0"/>
    <w:rsid w:val="00F35C97"/>
    <w:rsid w:val="00F366FF"/>
    <w:rsid w:val="00F37713"/>
    <w:rsid w:val="00F43CC2"/>
    <w:rsid w:val="00F446FD"/>
    <w:rsid w:val="00F44CE5"/>
    <w:rsid w:val="00F45CB6"/>
    <w:rsid w:val="00F45DD2"/>
    <w:rsid w:val="00F506A6"/>
    <w:rsid w:val="00F533D2"/>
    <w:rsid w:val="00F535E2"/>
    <w:rsid w:val="00F548F9"/>
    <w:rsid w:val="00F562B9"/>
    <w:rsid w:val="00F56D7D"/>
    <w:rsid w:val="00F5772A"/>
    <w:rsid w:val="00F635CF"/>
    <w:rsid w:val="00F652FD"/>
    <w:rsid w:val="00F655C4"/>
    <w:rsid w:val="00F66910"/>
    <w:rsid w:val="00F66B50"/>
    <w:rsid w:val="00F66C32"/>
    <w:rsid w:val="00F671BF"/>
    <w:rsid w:val="00F67EE9"/>
    <w:rsid w:val="00F704F1"/>
    <w:rsid w:val="00F714EF"/>
    <w:rsid w:val="00F71D4D"/>
    <w:rsid w:val="00F73E27"/>
    <w:rsid w:val="00F74247"/>
    <w:rsid w:val="00F76425"/>
    <w:rsid w:val="00F766C1"/>
    <w:rsid w:val="00F81A03"/>
    <w:rsid w:val="00F84840"/>
    <w:rsid w:val="00F8518F"/>
    <w:rsid w:val="00F85485"/>
    <w:rsid w:val="00F86253"/>
    <w:rsid w:val="00F86B41"/>
    <w:rsid w:val="00F86D60"/>
    <w:rsid w:val="00F87AD5"/>
    <w:rsid w:val="00F909F9"/>
    <w:rsid w:val="00F90D8C"/>
    <w:rsid w:val="00F9139D"/>
    <w:rsid w:val="00F91A02"/>
    <w:rsid w:val="00F925FC"/>
    <w:rsid w:val="00F962E2"/>
    <w:rsid w:val="00F96862"/>
    <w:rsid w:val="00F972CA"/>
    <w:rsid w:val="00F978A8"/>
    <w:rsid w:val="00F978E1"/>
    <w:rsid w:val="00F97A0E"/>
    <w:rsid w:val="00FA0415"/>
    <w:rsid w:val="00FA176D"/>
    <w:rsid w:val="00FA1A30"/>
    <w:rsid w:val="00FA4AF6"/>
    <w:rsid w:val="00FA6C77"/>
    <w:rsid w:val="00FB094D"/>
    <w:rsid w:val="00FB1761"/>
    <w:rsid w:val="00FB1ADA"/>
    <w:rsid w:val="00FB321F"/>
    <w:rsid w:val="00FB43F3"/>
    <w:rsid w:val="00FB6F92"/>
    <w:rsid w:val="00FB73D7"/>
    <w:rsid w:val="00FB7741"/>
    <w:rsid w:val="00FB7E34"/>
    <w:rsid w:val="00FC1368"/>
    <w:rsid w:val="00FC3FA3"/>
    <w:rsid w:val="00FC61F5"/>
    <w:rsid w:val="00FD22C3"/>
    <w:rsid w:val="00FD2BF5"/>
    <w:rsid w:val="00FD361A"/>
    <w:rsid w:val="00FD456D"/>
    <w:rsid w:val="00FD49A9"/>
    <w:rsid w:val="00FD4B57"/>
    <w:rsid w:val="00FD56A8"/>
    <w:rsid w:val="00FD5DB7"/>
    <w:rsid w:val="00FE0CAD"/>
    <w:rsid w:val="00FE2788"/>
    <w:rsid w:val="00FE4CD8"/>
    <w:rsid w:val="00FE4D53"/>
    <w:rsid w:val="00FE5BAC"/>
    <w:rsid w:val="00FE7317"/>
    <w:rsid w:val="00FE7B84"/>
    <w:rsid w:val="00FF068E"/>
    <w:rsid w:val="00FF0877"/>
    <w:rsid w:val="00FF193A"/>
    <w:rsid w:val="00FF4781"/>
    <w:rsid w:val="00FF5185"/>
    <w:rsid w:val="00FF5F78"/>
    <w:rsid w:val="00FF6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9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0AF"/>
    <w:pPr>
      <w:spacing w:after="240" w:line="320" w:lineRule="atLeast"/>
      <w:jc w:val="both"/>
    </w:pPr>
    <w:rPr>
      <w:rFonts w:ascii="Times New Roman" w:hAnsi="Times New Roman"/>
    </w:rPr>
  </w:style>
  <w:style w:type="paragraph" w:styleId="Ttulo1">
    <w:name w:val="heading 1"/>
    <w:aliases w:val="h1"/>
    <w:next w:val="Normal"/>
    <w:link w:val="Ttulo1Car"/>
    <w:uiPriority w:val="9"/>
    <w:qFormat/>
    <w:rsid w:val="005A488E"/>
    <w:pPr>
      <w:keepNext/>
      <w:keepLines/>
      <w:pageBreakBefore/>
      <w:numPr>
        <w:numId w:val="4"/>
      </w:numPr>
      <w:spacing w:after="600" w:line="560" w:lineRule="exact"/>
      <w:outlineLvl w:val="0"/>
    </w:pPr>
    <w:rPr>
      <w:rFonts w:ascii="Times New Roman" w:eastAsiaTheme="majorEastAsia" w:hAnsi="Times New Roman" w:cstheme="majorBidi"/>
      <w:bCs/>
      <w:sz w:val="36"/>
      <w:szCs w:val="28"/>
    </w:rPr>
  </w:style>
  <w:style w:type="paragraph" w:styleId="Ttulo2">
    <w:name w:val="heading 2"/>
    <w:aliases w:val="h2"/>
    <w:basedOn w:val="Normal"/>
    <w:next w:val="Normal"/>
    <w:link w:val="Ttulo2Car"/>
    <w:uiPriority w:val="9"/>
    <w:unhideWhenUsed/>
    <w:qFormat/>
    <w:rsid w:val="005A488E"/>
    <w:pPr>
      <w:keepNext/>
      <w:keepLines/>
      <w:numPr>
        <w:ilvl w:val="1"/>
        <w:numId w:val="4"/>
      </w:numPr>
      <w:spacing w:before="360"/>
      <w:outlineLvl w:val="1"/>
    </w:pPr>
    <w:rPr>
      <w:rFonts w:eastAsiaTheme="majorEastAsia" w:cstheme="majorBidi"/>
      <w:b/>
      <w:bCs/>
      <w:sz w:val="24"/>
      <w:szCs w:val="26"/>
    </w:rPr>
  </w:style>
  <w:style w:type="paragraph" w:styleId="Ttulo3">
    <w:name w:val="heading 3"/>
    <w:aliases w:val="h3"/>
    <w:basedOn w:val="Normal"/>
    <w:next w:val="Normal"/>
    <w:link w:val="Ttulo3Car"/>
    <w:uiPriority w:val="9"/>
    <w:unhideWhenUsed/>
    <w:qFormat/>
    <w:rsid w:val="005A488E"/>
    <w:pPr>
      <w:keepNext/>
      <w:keepLines/>
      <w:numPr>
        <w:ilvl w:val="2"/>
        <w:numId w:val="4"/>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5A488E"/>
    <w:pPr>
      <w:keepNext/>
      <w:keepLines/>
      <w:numPr>
        <w:ilvl w:val="3"/>
        <w:numId w:val="4"/>
      </w:numPr>
      <w:spacing w:before="360"/>
      <w:outlineLvl w:val="3"/>
    </w:pPr>
    <w:rPr>
      <w:rFonts w:eastAsiaTheme="majorEastAsia" w:cstheme="majorBidi"/>
      <w:bCs/>
      <w:i/>
      <w:iCs/>
    </w:rPr>
  </w:style>
  <w:style w:type="paragraph" w:styleId="Ttulo5">
    <w:name w:val="heading 5"/>
    <w:basedOn w:val="Normal"/>
    <w:next w:val="Normal"/>
    <w:link w:val="Ttulo5Car"/>
    <w:uiPriority w:val="9"/>
    <w:unhideWhenUsed/>
    <w:qFormat/>
    <w:rsid w:val="003557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link w:val="Listaconvietas2Car"/>
    <w:uiPriority w:val="99"/>
    <w:unhideWhenUsed/>
    <w:qFormat/>
    <w:rsid w:val="005A488E"/>
    <w:pPr>
      <w:keepLines/>
      <w:numPr>
        <w:numId w:val="5"/>
      </w:numPr>
    </w:pPr>
  </w:style>
  <w:style w:type="paragraph" w:styleId="Encabezado">
    <w:name w:val="header"/>
    <w:link w:val="EncabezadoCar"/>
    <w:uiPriority w:val="99"/>
    <w:unhideWhenUsed/>
    <w:rsid w:val="005A488E"/>
    <w:pPr>
      <w:tabs>
        <w:tab w:val="right" w:pos="9214"/>
      </w:tabs>
      <w:spacing w:after="0" w:line="260" w:lineRule="atLeast"/>
      <w:ind w:left="-499" w:right="-499"/>
      <w:jc w:val="right"/>
    </w:pPr>
    <w:rPr>
      <w:rFonts w:ascii="Franklin Gothic Book" w:hAnsi="Franklin Gothic Book"/>
      <w:sz w:val="18"/>
    </w:rPr>
  </w:style>
  <w:style w:type="character" w:customStyle="1" w:styleId="EncabezadoCar">
    <w:name w:val="Encabezado Car"/>
    <w:basedOn w:val="Fuentedeprrafopredeter"/>
    <w:link w:val="Encabezado"/>
    <w:uiPriority w:val="99"/>
    <w:rsid w:val="005A488E"/>
    <w:rPr>
      <w:rFonts w:ascii="Franklin Gothic Book" w:hAnsi="Franklin Gothic Book"/>
      <w:sz w:val="18"/>
    </w:rPr>
  </w:style>
  <w:style w:type="paragraph" w:customStyle="1" w:styleId="Border">
    <w:name w:val="Border"/>
    <w:next w:val="Normal"/>
    <w:qFormat/>
    <w:rsid w:val="005A488E"/>
    <w:pPr>
      <w:spacing w:after="360" w:line="320" w:lineRule="atLeast"/>
      <w:jc w:val="center"/>
    </w:pPr>
    <w:rPr>
      <w:rFonts w:ascii="Times New Roman" w:hAnsi="Times New Roman"/>
    </w:rPr>
  </w:style>
  <w:style w:type="paragraph" w:styleId="Descripcin">
    <w:name w:val="caption"/>
    <w:aliases w:val="Resp caption"/>
    <w:next w:val="Border"/>
    <w:uiPriority w:val="35"/>
    <w:qFormat/>
    <w:rsid w:val="005A488E"/>
    <w:pPr>
      <w:keepNext/>
      <w:pBdr>
        <w:bottom w:val="single" w:sz="6" w:space="3" w:color="A6A6A6" w:themeColor="background1" w:themeShade="A6"/>
      </w:pBdr>
      <w:tabs>
        <w:tab w:val="left" w:pos="2041"/>
      </w:tabs>
      <w:spacing w:after="160" w:line="320" w:lineRule="atLeast"/>
    </w:pPr>
    <w:rPr>
      <w:rFonts w:ascii="Franklin Gothic Book" w:hAnsi="Franklin Gothic Book" w:cs="Arial"/>
      <w:bCs/>
      <w:i/>
      <w:sz w:val="20"/>
      <w:szCs w:val="18"/>
    </w:rPr>
  </w:style>
  <w:style w:type="paragraph" w:customStyle="1" w:styleId="Captionsmall">
    <w:name w:val="Caption: small"/>
    <w:basedOn w:val="Descripcin"/>
    <w:next w:val="Normal"/>
    <w:qFormat/>
    <w:rsid w:val="005A488E"/>
    <w:pPr>
      <w:pBdr>
        <w:bottom w:val="none" w:sz="0" w:space="0" w:color="auto"/>
      </w:pBdr>
      <w:spacing w:after="0"/>
      <w:ind w:left="113" w:right="113"/>
    </w:pPr>
  </w:style>
  <w:style w:type="paragraph" w:customStyle="1" w:styleId="Bordersmall">
    <w:name w:val="Border: small"/>
    <w:basedOn w:val="Border"/>
    <w:qFormat/>
    <w:rsid w:val="005A488E"/>
    <w:pPr>
      <w:spacing w:after="0"/>
    </w:pPr>
  </w:style>
  <w:style w:type="paragraph" w:customStyle="1" w:styleId="Emphasised">
    <w:name w:val="Emphasised"/>
    <w:basedOn w:val="Normal"/>
    <w:qFormat/>
    <w:rsid w:val="005A488E"/>
    <w:pPr>
      <w:keepLines/>
      <w:shd w:val="clear" w:color="auto" w:fill="B8CCE4" w:themeFill="accent1" w:themeFillTint="66"/>
      <w:spacing w:line="320" w:lineRule="exact"/>
    </w:pPr>
  </w:style>
  <w:style w:type="character" w:customStyle="1" w:styleId="HeaderChar">
    <w:name w:val="Header Char"/>
    <w:basedOn w:val="Fuentedeprrafopredeter"/>
    <w:uiPriority w:val="99"/>
    <w:semiHidden/>
    <w:rsid w:val="005A488E"/>
    <w:rPr>
      <w:rFonts w:ascii="Arial" w:hAnsi="Arial"/>
      <w:sz w:val="16"/>
    </w:rPr>
  </w:style>
  <w:style w:type="character" w:customStyle="1" w:styleId="Listaconvietas2Car">
    <w:name w:val="Lista con viñetas 2 Car"/>
    <w:basedOn w:val="Fuentedeprrafopredeter"/>
    <w:link w:val="Listaconvietas2"/>
    <w:uiPriority w:val="99"/>
    <w:rsid w:val="005A488E"/>
    <w:rPr>
      <w:rFonts w:ascii="Times New Roman" w:hAnsi="Times New Roman"/>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link w:val="TextonotapieCar"/>
    <w:uiPriority w:val="99"/>
    <w:unhideWhenUsed/>
    <w:rsid w:val="005A488E"/>
    <w:pPr>
      <w:spacing w:after="100" w:line="240" w:lineRule="auto"/>
      <w:ind w:left="499" w:hanging="499"/>
    </w:pPr>
    <w:rPr>
      <w:rFonts w:ascii="Franklin Gothic Book" w:hAnsi="Franklin Gothic Book"/>
      <w:sz w:val="18"/>
      <w:szCs w:val="20"/>
    </w:rPr>
  </w:style>
  <w:style w:type="character" w:customStyle="1" w:styleId="FooterChar">
    <w:name w:val="Footer Char"/>
    <w:basedOn w:val="Fuentedeprrafopredeter"/>
    <w:uiPriority w:val="99"/>
    <w:rsid w:val="005A488E"/>
    <w:rPr>
      <w:rFonts w:ascii="Arial" w:hAnsi="Arial"/>
      <w:sz w:val="16"/>
    </w:rPr>
  </w:style>
  <w:style w:type="character" w:styleId="Hipervnculo">
    <w:name w:val="Hyperlink"/>
    <w:basedOn w:val="Fuentedeprrafopredeter"/>
    <w:uiPriority w:val="99"/>
    <w:unhideWhenUsed/>
    <w:rsid w:val="005A488E"/>
    <w:rPr>
      <w:color w:val="auto"/>
      <w:u w:val="none"/>
    </w:rPr>
  </w:style>
  <w:style w:type="character" w:styleId="Hipervnculovisitado">
    <w:name w:val="FollowedHyperlink"/>
    <w:basedOn w:val="Fuentedeprrafopredeter"/>
    <w:uiPriority w:val="99"/>
    <w:semiHidden/>
    <w:unhideWhenUsed/>
    <w:rsid w:val="005A488E"/>
    <w:rPr>
      <w:color w:val="800080" w:themeColor="followedHyperlink"/>
      <w:u w:val="single"/>
    </w:rPr>
  </w:style>
  <w:style w:type="paragraph" w:styleId="Listaconvietas">
    <w:name w:val="List Bullet"/>
    <w:basedOn w:val="Normal"/>
    <w:uiPriority w:val="99"/>
    <w:unhideWhenUsed/>
    <w:qFormat/>
    <w:rsid w:val="005A488E"/>
    <w:pPr>
      <w:numPr>
        <w:numId w:val="6"/>
      </w:numPr>
    </w:pPr>
  </w:style>
  <w:style w:type="paragraph" w:customStyle="1" w:styleId="ListBulletCompact">
    <w:name w:val="List Bullet Compact"/>
    <w:basedOn w:val="Listaconvietas"/>
    <w:qFormat/>
    <w:rsid w:val="005A488E"/>
    <w:pPr>
      <w:ind w:left="357" w:hanging="357"/>
      <w:contextualSpacing/>
    </w:pPr>
  </w:style>
  <w:style w:type="paragraph" w:customStyle="1" w:styleId="ListBullet2Compact">
    <w:name w:val="List Bullet 2 Compact"/>
    <w:basedOn w:val="Listaconvietas2"/>
    <w:qFormat/>
    <w:rsid w:val="005A488E"/>
    <w:pPr>
      <w:numPr>
        <w:numId w:val="8"/>
      </w:numPr>
      <w:contextualSpacing/>
    </w:pPr>
  </w:style>
  <w:style w:type="paragraph" w:styleId="Listaconnmeros">
    <w:name w:val="List Number"/>
    <w:basedOn w:val="Normal"/>
    <w:uiPriority w:val="99"/>
    <w:unhideWhenUsed/>
    <w:rsid w:val="005A488E"/>
    <w:pPr>
      <w:numPr>
        <w:numId w:val="7"/>
      </w:numPr>
      <w:contextualSpacing/>
    </w:pPr>
  </w:style>
  <w:style w:type="paragraph" w:customStyle="1" w:styleId="Annex1">
    <w:name w:val="Annex 1"/>
    <w:next w:val="Normal"/>
    <w:qFormat/>
    <w:rsid w:val="005A488E"/>
    <w:pPr>
      <w:keepNext/>
      <w:pageBreakBefore/>
      <w:numPr>
        <w:numId w:val="2"/>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5A488E"/>
    <w:pPr>
      <w:spacing w:after="120"/>
      <w:ind w:left="283"/>
    </w:pPr>
  </w:style>
  <w:style w:type="character" w:customStyle="1" w:styleId="SangradetextonormalCar">
    <w:name w:val="Sangría de texto normal Car"/>
    <w:basedOn w:val="Fuentedeprrafopredeter"/>
    <w:link w:val="Sangradetextonormal"/>
    <w:uiPriority w:val="99"/>
    <w:semiHidden/>
    <w:rsid w:val="005A488E"/>
    <w:rPr>
      <w:rFonts w:ascii="Times New Roman" w:hAnsi="Times New Roman"/>
    </w:rPr>
  </w:style>
  <w:style w:type="character" w:customStyle="1" w:styleId="Ttulo1Car">
    <w:name w:val="Título 1 Car"/>
    <w:aliases w:val="h1 Car"/>
    <w:basedOn w:val="Fuentedeprrafopredeter"/>
    <w:link w:val="Ttulo1"/>
    <w:uiPriority w:val="9"/>
    <w:rsid w:val="005A488E"/>
    <w:rPr>
      <w:rFonts w:ascii="Times New Roman" w:eastAsiaTheme="majorEastAsia" w:hAnsi="Times New Roman" w:cstheme="majorBidi"/>
      <w:bCs/>
      <w:sz w:val="36"/>
      <w:szCs w:val="28"/>
    </w:rPr>
  </w:style>
  <w:style w:type="character" w:customStyle="1" w:styleId="Ttulo2Car">
    <w:name w:val="Título 2 Car"/>
    <w:aliases w:val="h2 Car"/>
    <w:basedOn w:val="Fuentedeprrafopredeter"/>
    <w:link w:val="Ttulo2"/>
    <w:uiPriority w:val="9"/>
    <w:rsid w:val="005A488E"/>
    <w:rPr>
      <w:rFonts w:ascii="Times New Roman" w:eastAsiaTheme="majorEastAsia" w:hAnsi="Times New Roman" w:cstheme="majorBidi"/>
      <w:b/>
      <w:bCs/>
      <w:sz w:val="24"/>
      <w:szCs w:val="26"/>
    </w:rPr>
  </w:style>
  <w:style w:type="character" w:customStyle="1" w:styleId="Ttulo3Car">
    <w:name w:val="Título 3 Car"/>
    <w:aliases w:val="h3 Car"/>
    <w:basedOn w:val="Fuentedeprrafopredeter"/>
    <w:link w:val="Ttulo3"/>
    <w:uiPriority w:val="9"/>
    <w:rsid w:val="005A488E"/>
    <w:rPr>
      <w:rFonts w:ascii="Times New Roman" w:eastAsiaTheme="majorEastAsia" w:hAnsi="Times New Roman" w:cstheme="majorBidi"/>
      <w:b/>
      <w:bCs/>
    </w:rPr>
  </w:style>
  <w:style w:type="numbering" w:styleId="1ai">
    <w:name w:val="Outline List 1"/>
    <w:basedOn w:val="Sinlista"/>
    <w:uiPriority w:val="99"/>
    <w:semiHidden/>
    <w:unhideWhenUsed/>
    <w:rsid w:val="005A488E"/>
    <w:pPr>
      <w:numPr>
        <w:numId w:val="1"/>
      </w:numPr>
    </w:p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5A488E"/>
    <w:rPr>
      <w:rFonts w:ascii="Franklin Gothic Book" w:hAnsi="Franklin Gothic Book"/>
      <w:sz w:val="18"/>
      <w:szCs w:val="20"/>
    </w:rPr>
  </w:style>
  <w:style w:type="character" w:styleId="Refdenotaalpie">
    <w:name w:val="footnote reference"/>
    <w:aliases w:val="(NECG) Footnote Reference,o,fr,Style 3,Appel note de bas de p,Style 12,Style 124,Ref,de nota al pie,Ref. de nota al pie 2"/>
    <w:basedOn w:val="Fuentedeprrafopredeter"/>
    <w:uiPriority w:val="99"/>
    <w:unhideWhenUsed/>
    <w:rsid w:val="005A488E"/>
    <w:rPr>
      <w:rFonts w:ascii="Franklin Gothic Book" w:hAnsi="Franklin Gothic Book"/>
      <w:b w:val="0"/>
      <w:i w:val="0"/>
      <w:sz w:val="22"/>
      <w:vertAlign w:val="superscript"/>
    </w:rPr>
  </w:style>
  <w:style w:type="paragraph" w:styleId="Piedepgina">
    <w:name w:val="footer"/>
    <w:link w:val="PiedepginaCar"/>
    <w:uiPriority w:val="99"/>
    <w:unhideWhenUsed/>
    <w:rsid w:val="005A488E"/>
    <w:pPr>
      <w:tabs>
        <w:tab w:val="center" w:pos="4394"/>
        <w:tab w:val="right" w:pos="9214"/>
      </w:tabs>
      <w:spacing w:after="0" w:line="260" w:lineRule="atLeast"/>
      <w:ind w:left="-499" w:right="-499"/>
    </w:pPr>
    <w:rPr>
      <w:rFonts w:ascii="Franklin Gothic Book" w:hAnsi="Franklin Gothic Book"/>
      <w:sz w:val="18"/>
    </w:rPr>
  </w:style>
  <w:style w:type="character" w:customStyle="1" w:styleId="PiedepginaCar">
    <w:name w:val="Pie de página Car"/>
    <w:basedOn w:val="Fuentedeprrafopredeter"/>
    <w:link w:val="Piedepgina"/>
    <w:uiPriority w:val="99"/>
    <w:rsid w:val="005A488E"/>
    <w:rPr>
      <w:rFonts w:ascii="Franklin Gothic Book" w:hAnsi="Franklin Gothic Book"/>
      <w:sz w:val="18"/>
    </w:rPr>
  </w:style>
  <w:style w:type="character" w:styleId="Nmerodepgina">
    <w:name w:val="page number"/>
    <w:basedOn w:val="Fuentedeprrafopredeter"/>
    <w:uiPriority w:val="99"/>
    <w:unhideWhenUsed/>
    <w:rsid w:val="005A488E"/>
  </w:style>
  <w:style w:type="paragraph" w:customStyle="1" w:styleId="I1">
    <w:name w:val="I1"/>
    <w:basedOn w:val="Listaconvietas"/>
    <w:link w:val="I1Char1"/>
    <w:rsid w:val="005A488E"/>
  </w:style>
  <w:style w:type="paragraph" w:customStyle="1" w:styleId="II">
    <w:name w:val="II"/>
    <w:basedOn w:val="Listaconvietas2"/>
    <w:link w:val="IIChar"/>
    <w:qFormat/>
    <w:rsid w:val="005A488E"/>
  </w:style>
  <w:style w:type="character" w:customStyle="1" w:styleId="IIChar">
    <w:name w:val="II Char"/>
    <w:basedOn w:val="Listaconvietas2Car"/>
    <w:link w:val="II"/>
    <w:rsid w:val="005A488E"/>
    <w:rPr>
      <w:rFonts w:ascii="Times New Roman" w:hAnsi="Times New Roman"/>
    </w:rPr>
  </w:style>
  <w:style w:type="paragraph" w:customStyle="1" w:styleId="LL">
    <w:name w:val="LL"/>
    <w:basedOn w:val="ListBullet2Compact"/>
    <w:rsid w:val="005A488E"/>
    <w:pPr>
      <w:ind w:left="714" w:hanging="357"/>
    </w:pPr>
  </w:style>
  <w:style w:type="paragraph" w:customStyle="1" w:styleId="SBSheader">
    <w:name w:val="SBS: header"/>
    <w:basedOn w:val="Normal"/>
    <w:qFormat/>
    <w:rsid w:val="005A488E"/>
    <w:pPr>
      <w:jc w:val="left"/>
    </w:pPr>
    <w:rPr>
      <w:i/>
    </w:rPr>
  </w:style>
  <w:style w:type="paragraph" w:customStyle="1" w:styleId="Tablecells">
    <w:name w:val="Table: cells"/>
    <w:qFormat/>
    <w:rsid w:val="005A488E"/>
    <w:pPr>
      <w:spacing w:before="40" w:after="40" w:line="240" w:lineRule="exact"/>
      <w:ind w:right="113"/>
    </w:pPr>
    <w:rPr>
      <w:rFonts w:ascii="Franklin Gothic Book" w:hAnsi="Franklin Gothic Book"/>
      <w:sz w:val="20"/>
    </w:rPr>
  </w:style>
  <w:style w:type="paragraph" w:customStyle="1" w:styleId="Tableheading">
    <w:name w:val="Table: heading"/>
    <w:basedOn w:val="Tablecells"/>
    <w:next w:val="Tablecells"/>
    <w:qFormat/>
    <w:rsid w:val="005A488E"/>
    <w:pPr>
      <w:keepNext/>
    </w:pPr>
    <w:rPr>
      <w:b/>
      <w:color w:val="FFFFFF"/>
    </w:rPr>
  </w:style>
  <w:style w:type="paragraph" w:customStyle="1" w:styleId="Tablenote">
    <w:name w:val="Table: note"/>
    <w:basedOn w:val="Tablecells"/>
    <w:qFormat/>
    <w:rsid w:val="005A488E"/>
    <w:pPr>
      <w:pBdr>
        <w:bottom w:val="single" w:sz="4" w:space="9" w:color="auto"/>
      </w:pBdr>
      <w:tabs>
        <w:tab w:val="left" w:pos="567"/>
      </w:tabs>
      <w:spacing w:before="100" w:after="0"/>
      <w:ind w:left="567" w:right="0" w:hanging="567"/>
    </w:pPr>
  </w:style>
  <w:style w:type="paragraph" w:customStyle="1" w:styleId="Tablebullet">
    <w:name w:val="Table: bullet"/>
    <w:basedOn w:val="Tablecells"/>
    <w:qFormat/>
    <w:rsid w:val="005A488E"/>
    <w:pPr>
      <w:numPr>
        <w:numId w:val="9"/>
      </w:numPr>
      <w:tabs>
        <w:tab w:val="num" w:pos="360"/>
      </w:tabs>
      <w:ind w:left="360"/>
    </w:pPr>
  </w:style>
  <w:style w:type="paragraph" w:styleId="TDC2">
    <w:name w:val="toc 2"/>
    <w:basedOn w:val="TDC1"/>
    <w:next w:val="Normal"/>
    <w:autoRedefine/>
    <w:uiPriority w:val="39"/>
    <w:unhideWhenUsed/>
    <w:rsid w:val="00553F06"/>
    <w:pPr>
      <w:keepNext w:val="0"/>
      <w:spacing w:before="0"/>
    </w:pPr>
    <w:rPr>
      <w:b w:val="0"/>
      <w:noProof/>
    </w:rPr>
  </w:style>
  <w:style w:type="paragraph" w:styleId="Textocomentario">
    <w:name w:val="annotation text"/>
    <w:basedOn w:val="Normal"/>
    <w:link w:val="TextocomentarioCar"/>
    <w:uiPriority w:val="99"/>
    <w:unhideWhenUsed/>
    <w:rsid w:val="005A488E"/>
    <w:pPr>
      <w:spacing w:line="240" w:lineRule="auto"/>
    </w:pPr>
    <w:rPr>
      <w:sz w:val="20"/>
      <w:szCs w:val="20"/>
    </w:rPr>
  </w:style>
  <w:style w:type="character" w:customStyle="1" w:styleId="TextocomentarioCar">
    <w:name w:val="Texto comentario Car"/>
    <w:basedOn w:val="Fuentedeprrafopredeter"/>
    <w:link w:val="Textocomentario"/>
    <w:uiPriority w:val="99"/>
    <w:rsid w:val="005A488E"/>
    <w:rPr>
      <w:rFonts w:ascii="Times New Roman" w:hAnsi="Times New Roman"/>
      <w:sz w:val="20"/>
      <w:szCs w:val="20"/>
    </w:rPr>
  </w:style>
  <w:style w:type="character" w:customStyle="1" w:styleId="ConfidentialFooter">
    <w:name w:val="ConfidentialFooter"/>
    <w:basedOn w:val="Fuentedeprrafopredeter"/>
    <w:uiPriority w:val="1"/>
    <w:rsid w:val="005A488E"/>
    <w:rPr>
      <w:color w:val="FFFFFF"/>
      <w:sz w:val="2"/>
    </w:rPr>
  </w:style>
  <w:style w:type="paragraph" w:customStyle="1" w:styleId="ConfidentialFront">
    <w:name w:val="ConfidentialFront"/>
    <w:basedOn w:val="Normal"/>
    <w:qFormat/>
    <w:rsid w:val="005A488E"/>
    <w:pPr>
      <w:spacing w:before="960"/>
      <w:ind w:left="5103" w:right="-397"/>
    </w:pPr>
    <w:rPr>
      <w:rFonts w:ascii="Arial" w:hAnsi="Arial"/>
      <w:color w:val="FFFFFF"/>
      <w:sz w:val="2"/>
    </w:rPr>
  </w:style>
  <w:style w:type="paragraph" w:customStyle="1" w:styleId="H5">
    <w:name w:val="H5"/>
    <w:basedOn w:val="Normal"/>
    <w:next w:val="Normal"/>
    <w:link w:val="H5Char"/>
    <w:qFormat/>
    <w:rsid w:val="005A488E"/>
    <w:pPr>
      <w:keepNext/>
      <w:numPr>
        <w:numId w:val="3"/>
      </w:numPr>
      <w:spacing w:after="200"/>
    </w:pPr>
    <w:rPr>
      <w:i/>
    </w:rPr>
  </w:style>
  <w:style w:type="character" w:customStyle="1" w:styleId="H5Char">
    <w:name w:val="H5 Char"/>
    <w:basedOn w:val="Fuentedeprrafopredeter"/>
    <w:link w:val="H5"/>
    <w:rsid w:val="005A488E"/>
    <w:rPr>
      <w:rFonts w:ascii="Times New Roman" w:hAnsi="Times New Roman"/>
      <w:i/>
    </w:rPr>
  </w:style>
  <w:style w:type="paragraph" w:styleId="TDC1">
    <w:name w:val="toc 1"/>
    <w:basedOn w:val="Normal"/>
    <w:next w:val="Normal"/>
    <w:autoRedefine/>
    <w:uiPriority w:val="39"/>
    <w:unhideWhenUsed/>
    <w:rsid w:val="00AA54E1"/>
    <w:pPr>
      <w:keepNext/>
      <w:tabs>
        <w:tab w:val="left" w:pos="635"/>
        <w:tab w:val="left" w:pos="960"/>
        <w:tab w:val="right" w:pos="8789"/>
      </w:tabs>
      <w:spacing w:before="240" w:after="0"/>
    </w:pPr>
    <w:rPr>
      <w:b/>
    </w:rPr>
  </w:style>
  <w:style w:type="paragraph" w:styleId="TDC3">
    <w:name w:val="toc 3"/>
    <w:basedOn w:val="TDC2"/>
    <w:next w:val="Normal"/>
    <w:autoRedefine/>
    <w:uiPriority w:val="39"/>
    <w:unhideWhenUsed/>
    <w:rsid w:val="005A488E"/>
    <w:rPr>
      <w:sz w:val="20"/>
    </w:rPr>
  </w:style>
  <w:style w:type="paragraph" w:styleId="TDC4">
    <w:name w:val="toc 4"/>
    <w:basedOn w:val="TDC3"/>
    <w:next w:val="Normal"/>
    <w:autoRedefine/>
    <w:uiPriority w:val="39"/>
    <w:unhideWhenUsed/>
    <w:rsid w:val="005A488E"/>
  </w:style>
  <w:style w:type="character" w:customStyle="1" w:styleId="Ttulo4Car">
    <w:name w:val="Título 4 Car"/>
    <w:basedOn w:val="Fuentedeprrafopredeter"/>
    <w:link w:val="Ttulo4"/>
    <w:uiPriority w:val="9"/>
    <w:rsid w:val="005A488E"/>
    <w:rPr>
      <w:rFonts w:ascii="Times New Roman" w:eastAsiaTheme="majorEastAsia" w:hAnsi="Times New Roman" w:cstheme="majorBidi"/>
      <w:bCs/>
      <w:i/>
      <w:iCs/>
    </w:rPr>
  </w:style>
  <w:style w:type="paragraph" w:customStyle="1" w:styleId="Annex2">
    <w:name w:val="Annex 2"/>
    <w:next w:val="Normal"/>
    <w:qFormat/>
    <w:rsid w:val="005A488E"/>
    <w:pPr>
      <w:keepNext/>
      <w:numPr>
        <w:ilvl w:val="1"/>
        <w:numId w:val="2"/>
      </w:numPr>
      <w:spacing w:before="360" w:line="320" w:lineRule="atLeast"/>
    </w:pPr>
    <w:rPr>
      <w:rFonts w:ascii="Times New Roman" w:hAnsi="Times New Roman"/>
      <w:b/>
      <w:sz w:val="24"/>
    </w:rPr>
  </w:style>
  <w:style w:type="paragraph" w:customStyle="1" w:styleId="Annex3">
    <w:name w:val="Annex 3"/>
    <w:next w:val="Normal"/>
    <w:qFormat/>
    <w:rsid w:val="005A488E"/>
    <w:pPr>
      <w:keepNext/>
      <w:numPr>
        <w:ilvl w:val="2"/>
        <w:numId w:val="2"/>
      </w:numPr>
      <w:spacing w:before="360" w:after="240" w:line="320" w:lineRule="atLeast"/>
    </w:pPr>
    <w:rPr>
      <w:rFonts w:ascii="Times New Roman" w:hAnsi="Times New Roman"/>
      <w:b/>
    </w:rPr>
  </w:style>
  <w:style w:type="paragraph" w:customStyle="1" w:styleId="Annex4">
    <w:name w:val="Annex 4"/>
    <w:next w:val="Normal"/>
    <w:qFormat/>
    <w:rsid w:val="005A488E"/>
    <w:pPr>
      <w:keepNext/>
      <w:numPr>
        <w:ilvl w:val="3"/>
        <w:numId w:val="2"/>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5A488E"/>
    <w:pPr>
      <w:spacing w:before="3200" w:after="240" w:line="510" w:lineRule="exact"/>
      <w:ind w:left="3119"/>
    </w:pPr>
    <w:rPr>
      <w:rFonts w:ascii="Franklin Gothic Book" w:eastAsiaTheme="majorEastAsia" w:hAnsi="Franklin Gothic Book" w:cstheme="majorBidi"/>
      <w:bCs/>
      <w:color w:val="000000" w:themeColor="text1"/>
      <w:spacing w:val="8"/>
      <w:sz w:val="24"/>
      <w:szCs w:val="28"/>
    </w:rPr>
  </w:style>
  <w:style w:type="paragraph" w:customStyle="1" w:styleId="Titlemain">
    <w:name w:val="Title: main"/>
    <w:next w:val="Titleauthor"/>
    <w:qFormat/>
    <w:rsid w:val="005A488E"/>
    <w:pPr>
      <w:spacing w:after="880" w:line="600" w:lineRule="exact"/>
      <w:ind w:left="3119"/>
    </w:pPr>
    <w:rPr>
      <w:rFonts w:ascii="Franklin Gothic Book" w:eastAsiaTheme="majorEastAsia" w:hAnsi="Franklin Gothic Book" w:cstheme="majorBidi"/>
      <w:bCs/>
      <w:color w:val="000000" w:themeColor="text1"/>
      <w:sz w:val="48"/>
      <w:szCs w:val="28"/>
    </w:rPr>
  </w:style>
  <w:style w:type="paragraph" w:customStyle="1" w:styleId="Titleauthor">
    <w:name w:val="Title: author"/>
    <w:basedOn w:val="Titletype"/>
    <w:next w:val="Titledate"/>
    <w:qFormat/>
    <w:rsid w:val="005A488E"/>
    <w:pPr>
      <w:spacing w:before="0" w:after="40" w:line="360" w:lineRule="auto"/>
    </w:pPr>
  </w:style>
  <w:style w:type="paragraph" w:customStyle="1" w:styleId="Titledate">
    <w:name w:val="Title: date"/>
    <w:basedOn w:val="Titlemain"/>
    <w:next w:val="TitleRefNo"/>
    <w:qFormat/>
    <w:rsid w:val="005A488E"/>
    <w:pPr>
      <w:spacing w:after="40" w:line="360" w:lineRule="auto"/>
    </w:pPr>
    <w:rPr>
      <w:i/>
      <w:sz w:val="24"/>
    </w:rPr>
  </w:style>
  <w:style w:type="paragraph" w:customStyle="1" w:styleId="TitleRefNo">
    <w:name w:val="Title: RefNo"/>
    <w:basedOn w:val="Titledate"/>
    <w:next w:val="Normal"/>
    <w:qFormat/>
    <w:rsid w:val="005A488E"/>
  </w:style>
  <w:style w:type="paragraph" w:customStyle="1" w:styleId="B1">
    <w:name w:val="B1"/>
    <w:basedOn w:val="Emphasised"/>
    <w:qFormat/>
    <w:rsid w:val="005A488E"/>
  </w:style>
  <w:style w:type="paragraph" w:customStyle="1" w:styleId="Contentsheading">
    <w:name w:val="Contents: heading"/>
    <w:basedOn w:val="Normal"/>
    <w:next w:val="TDC1"/>
    <w:qFormat/>
    <w:rsid w:val="005A488E"/>
    <w:pPr>
      <w:spacing w:after="560" w:line="720" w:lineRule="exact"/>
    </w:pPr>
    <w:rPr>
      <w:sz w:val="40"/>
    </w:rPr>
  </w:style>
  <w:style w:type="paragraph" w:customStyle="1" w:styleId="Contentssubsection">
    <w:name w:val="Contents: subsection"/>
    <w:basedOn w:val="Normal"/>
    <w:next w:val="TDC1"/>
    <w:qFormat/>
    <w:rsid w:val="005A488E"/>
    <w:pPr>
      <w:spacing w:before="360" w:after="0"/>
    </w:pPr>
    <w:rPr>
      <w:b/>
      <w:sz w:val="26"/>
    </w:rPr>
  </w:style>
  <w:style w:type="paragraph" w:customStyle="1" w:styleId="cvhead">
    <w:name w:val="cvhead"/>
    <w:basedOn w:val="Normal"/>
    <w:next w:val="Normal"/>
    <w:qFormat/>
    <w:rsid w:val="0069421D"/>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5A488E"/>
    <w:pPr>
      <w:spacing w:after="0"/>
    </w:pPr>
  </w:style>
  <w:style w:type="paragraph" w:customStyle="1" w:styleId="Titleaddress">
    <w:name w:val="Title: address"/>
    <w:basedOn w:val="01"/>
    <w:qFormat/>
    <w:rsid w:val="005A488E"/>
    <w:pPr>
      <w:ind w:left="567"/>
    </w:pPr>
  </w:style>
  <w:style w:type="paragraph" w:customStyle="1" w:styleId="L1">
    <w:name w:val="L1"/>
    <w:basedOn w:val="ListBulletCompact"/>
    <w:link w:val="L1Char"/>
    <w:qFormat/>
    <w:rsid w:val="005A488E"/>
  </w:style>
  <w:style w:type="paragraph" w:customStyle="1" w:styleId="Titleversion">
    <w:name w:val="Title: version"/>
    <w:basedOn w:val="Normal"/>
    <w:rsid w:val="00C52B83"/>
    <w:pPr>
      <w:jc w:val="center"/>
    </w:pPr>
    <w:rPr>
      <w:rFonts w:eastAsia="Times New Roman" w:cs="Times New Roman"/>
      <w:szCs w:val="20"/>
    </w:rPr>
  </w:style>
  <w:style w:type="paragraph" w:customStyle="1" w:styleId="01-reference">
    <w:name w:val="01-reference"/>
    <w:basedOn w:val="TitleRefNo"/>
    <w:rsid w:val="00C52B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Pr>
      <w:rFonts w:ascii="Times New Roman" w:eastAsia="Times New Roman" w:hAnsi="Times New Roman" w:cs="Times New Roman"/>
      <w:bCs w:val="0"/>
      <w:i w:val="0"/>
      <w:sz w:val="30"/>
      <w:szCs w:val="20"/>
      <w:lang w:val="es-ES"/>
    </w:rPr>
  </w:style>
  <w:style w:type="table" w:styleId="Sombreadomedio2-nfasis1">
    <w:name w:val="Medium Shading 2 Accent 1"/>
    <w:basedOn w:val="Tablanormal"/>
    <w:uiPriority w:val="64"/>
    <w:unhideWhenUsed/>
    <w:rsid w:val="005A488E"/>
    <w:pPr>
      <w:spacing w:after="0" w:line="240" w:lineRule="auto"/>
    </w:pPr>
    <w:rPr>
      <w:rFonts w:ascii="Franklin Gothic Book" w:hAnsi="Franklin Gothic Book"/>
      <w:sz w:val="20"/>
    </w:rPr>
    <w:tblPr>
      <w:tblStyleRowBandSize w:val="1"/>
      <w:tblStyleColBandSize w:val="1"/>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Horz">
      <w:tbl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D9D9D9"/>
      </w:tcPr>
    </w:tblStylePr>
    <w:tblStylePr w:type="band2Horz">
      <w:tbl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TableCaption">
    <w:name w:val="Table Caption"/>
    <w:basedOn w:val="Descripcin"/>
    <w:qFormat/>
    <w:rsid w:val="005A488E"/>
    <w:pPr>
      <w:pBdr>
        <w:bottom w:val="none" w:sz="0" w:space="0" w:color="auto"/>
      </w:pBdr>
    </w:pPr>
  </w:style>
  <w:style w:type="paragraph" w:styleId="Textodeglobo">
    <w:name w:val="Balloon Text"/>
    <w:basedOn w:val="Normal"/>
    <w:link w:val="TextodegloboCar"/>
    <w:uiPriority w:val="99"/>
    <w:semiHidden/>
    <w:unhideWhenUsed/>
    <w:rsid w:val="005A48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88E"/>
    <w:rPr>
      <w:rFonts w:ascii="Segoe UI" w:hAnsi="Segoe UI" w:cs="Segoe UI"/>
      <w:sz w:val="18"/>
      <w:szCs w:val="18"/>
    </w:rPr>
  </w:style>
  <w:style w:type="character" w:styleId="nfasis">
    <w:name w:val="Emphasis"/>
    <w:basedOn w:val="Fuentedeprrafopredeter"/>
    <w:uiPriority w:val="20"/>
    <w:qFormat/>
    <w:rsid w:val="005A488E"/>
    <w:rPr>
      <w:i/>
      <w:iCs/>
    </w:rPr>
  </w:style>
  <w:style w:type="paragraph" w:styleId="Prrafodelista">
    <w:name w:val="List Paragraph"/>
    <w:basedOn w:val="Normal"/>
    <w:uiPriority w:val="34"/>
    <w:qFormat/>
    <w:rsid w:val="005A488E"/>
    <w:pPr>
      <w:ind w:left="720"/>
      <w:contextualSpacing/>
    </w:pPr>
  </w:style>
  <w:style w:type="paragraph" w:styleId="Cita">
    <w:name w:val="Quote"/>
    <w:basedOn w:val="Normal"/>
    <w:link w:val="CitaCar"/>
    <w:uiPriority w:val="29"/>
    <w:qFormat/>
    <w:rsid w:val="005A488E"/>
    <w:pPr>
      <w:ind w:left="284" w:right="284"/>
    </w:pPr>
    <w:rPr>
      <w:i/>
      <w:iCs/>
      <w:color w:val="000000" w:themeColor="text1"/>
    </w:rPr>
  </w:style>
  <w:style w:type="character" w:customStyle="1" w:styleId="CitaCar">
    <w:name w:val="Cita Car"/>
    <w:basedOn w:val="Fuentedeprrafopredeter"/>
    <w:link w:val="Cita"/>
    <w:uiPriority w:val="29"/>
    <w:rsid w:val="005A488E"/>
    <w:rPr>
      <w:rFonts w:ascii="Times New Roman" w:hAnsi="Times New Roman"/>
      <w:i/>
      <w:iCs/>
      <w:color w:val="000000" w:themeColor="text1"/>
    </w:rPr>
  </w:style>
  <w:style w:type="table" w:styleId="Tablaconcuadrcula">
    <w:name w:val="Table Grid"/>
    <w:basedOn w:val="Tablanormal"/>
    <w:uiPriority w:val="59"/>
    <w:unhideWhenUsed/>
    <w:rsid w:val="005A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iller">
    <w:name w:val="Title: filler"/>
    <w:basedOn w:val="Titlemain"/>
    <w:qFormat/>
    <w:rsid w:val="005A488E"/>
    <w:pPr>
      <w:spacing w:after="0" w:line="259" w:lineRule="auto"/>
    </w:pPr>
  </w:style>
  <w:style w:type="character" w:customStyle="1" w:styleId="L1Char">
    <w:name w:val="L1 Char"/>
    <w:link w:val="L1"/>
    <w:rsid w:val="00F76425"/>
    <w:rPr>
      <w:rFonts w:ascii="Times New Roman" w:hAnsi="Times New Roman"/>
    </w:rPr>
  </w:style>
  <w:style w:type="character" w:customStyle="1" w:styleId="I1Char1">
    <w:name w:val="I1 Char1"/>
    <w:link w:val="I1"/>
    <w:rsid w:val="00F76425"/>
    <w:rPr>
      <w:rFonts w:ascii="Times New Roman" w:hAnsi="Times New Roman"/>
    </w:rPr>
  </w:style>
  <w:style w:type="character" w:styleId="Refdecomentario">
    <w:name w:val="annotation reference"/>
    <w:basedOn w:val="Fuentedeprrafopredeter"/>
    <w:uiPriority w:val="99"/>
    <w:semiHidden/>
    <w:unhideWhenUsed/>
    <w:rsid w:val="00F76425"/>
    <w:rPr>
      <w:sz w:val="16"/>
      <w:szCs w:val="16"/>
    </w:rPr>
  </w:style>
  <w:style w:type="paragraph" w:styleId="NormalWeb">
    <w:name w:val="Normal (Web)"/>
    <w:basedOn w:val="Normal"/>
    <w:uiPriority w:val="99"/>
    <w:unhideWhenUsed/>
    <w:rsid w:val="00F76425"/>
    <w:pPr>
      <w:spacing w:before="100" w:beforeAutospacing="1" w:after="100" w:afterAutospacing="1" w:line="240" w:lineRule="auto"/>
      <w:jc w:val="left"/>
    </w:pPr>
    <w:rPr>
      <w:rFonts w:eastAsia="Times New Roman" w:cs="Times New Roman"/>
      <w:sz w:val="24"/>
      <w:szCs w:val="24"/>
      <w:lang w:eastAsia="es-ES"/>
    </w:rPr>
  </w:style>
  <w:style w:type="character" w:customStyle="1" w:styleId="apple-converted-space">
    <w:name w:val="apple-converted-space"/>
    <w:rsid w:val="00F76425"/>
  </w:style>
  <w:style w:type="character" w:customStyle="1" w:styleId="apple-style-span">
    <w:name w:val="apple-style-span"/>
    <w:rsid w:val="00F76425"/>
  </w:style>
  <w:style w:type="paragraph" w:styleId="Asuntodelcomentario">
    <w:name w:val="annotation subject"/>
    <w:basedOn w:val="Textocomentario"/>
    <w:next w:val="Textocomentario"/>
    <w:link w:val="AsuntodelcomentarioCar"/>
    <w:uiPriority w:val="99"/>
    <w:semiHidden/>
    <w:unhideWhenUsed/>
    <w:rsid w:val="00F76425"/>
    <w:rPr>
      <w:b/>
      <w:bCs/>
    </w:rPr>
  </w:style>
  <w:style w:type="character" w:customStyle="1" w:styleId="AsuntodelcomentarioCar">
    <w:name w:val="Asunto del comentario Car"/>
    <w:basedOn w:val="TextocomentarioCar"/>
    <w:link w:val="Asuntodelcomentario"/>
    <w:uiPriority w:val="99"/>
    <w:semiHidden/>
    <w:rsid w:val="00F76425"/>
    <w:rPr>
      <w:rFonts w:ascii="Times New Roman" w:hAnsi="Times New Roman"/>
      <w:b/>
      <w:bCs/>
      <w:sz w:val="20"/>
      <w:szCs w:val="20"/>
    </w:rPr>
  </w:style>
  <w:style w:type="paragraph" w:customStyle="1" w:styleId="Default">
    <w:name w:val="Default"/>
    <w:rsid w:val="00F76425"/>
    <w:pPr>
      <w:autoSpaceDE w:val="0"/>
      <w:autoSpaceDN w:val="0"/>
      <w:adjustRightInd w:val="0"/>
      <w:spacing w:after="0" w:line="240" w:lineRule="auto"/>
    </w:pPr>
    <w:rPr>
      <w:rFonts w:ascii="Arial" w:hAnsi="Arial" w:cs="Arial"/>
      <w:color w:val="000000"/>
      <w:sz w:val="24"/>
      <w:szCs w:val="24"/>
      <w:lang w:val="es-ES"/>
    </w:rPr>
  </w:style>
  <w:style w:type="paragraph" w:styleId="Revisin">
    <w:name w:val="Revision"/>
    <w:hidden/>
    <w:uiPriority w:val="99"/>
    <w:semiHidden/>
    <w:rsid w:val="00F76425"/>
    <w:pPr>
      <w:spacing w:after="0" w:line="240" w:lineRule="auto"/>
    </w:pPr>
    <w:rPr>
      <w:rFonts w:ascii="Times New Roman" w:hAnsi="Times New Roman"/>
      <w:lang w:val="es-ES"/>
    </w:rPr>
  </w:style>
  <w:style w:type="paragraph" w:styleId="Textonotaalfinal">
    <w:name w:val="endnote text"/>
    <w:basedOn w:val="Normal"/>
    <w:link w:val="TextonotaalfinalCar"/>
    <w:uiPriority w:val="99"/>
    <w:semiHidden/>
    <w:unhideWhenUsed/>
    <w:rsid w:val="00F764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6425"/>
    <w:rPr>
      <w:rFonts w:ascii="Times New Roman" w:hAnsi="Times New Roman"/>
      <w:sz w:val="20"/>
      <w:szCs w:val="20"/>
    </w:rPr>
  </w:style>
  <w:style w:type="character" w:styleId="Refdenotaalfinal">
    <w:name w:val="endnote reference"/>
    <w:basedOn w:val="Fuentedeprrafopredeter"/>
    <w:uiPriority w:val="99"/>
    <w:semiHidden/>
    <w:unhideWhenUsed/>
    <w:rsid w:val="00F76425"/>
    <w:rPr>
      <w:vertAlign w:val="superscript"/>
    </w:rPr>
  </w:style>
  <w:style w:type="paragraph" w:customStyle="1" w:styleId="CVboxbullet">
    <w:name w:val="CV_box_bullet"/>
    <w:qFormat/>
    <w:rsid w:val="00F76425"/>
    <w:pPr>
      <w:widowControl w:val="0"/>
      <w:numPr>
        <w:numId w:val="17"/>
      </w:numPr>
      <w:spacing w:before="80" w:after="80" w:line="240" w:lineRule="auto"/>
      <w:ind w:left="170" w:hanging="170"/>
    </w:pPr>
    <w:rPr>
      <w:rFonts w:ascii="Calibri" w:eastAsia="Times New Roman" w:hAnsi="Calibri" w:cs="Calibri"/>
      <w:bCs/>
      <w:color w:val="000000" w:themeColor="text1"/>
      <w:kern w:val="28"/>
      <w:sz w:val="17"/>
      <w:szCs w:val="17"/>
      <w:lang w:eastAsia="en-GB"/>
      <w14:cntxtAlts/>
    </w:rPr>
  </w:style>
  <w:style w:type="paragraph" w:customStyle="1" w:styleId="CVboxheading">
    <w:name w:val="CV_box_heading"/>
    <w:qFormat/>
    <w:rsid w:val="00F76425"/>
    <w:pPr>
      <w:widowControl w:val="0"/>
      <w:spacing w:before="80" w:after="80" w:line="240" w:lineRule="auto"/>
    </w:pPr>
    <w:rPr>
      <w:rFonts w:ascii="Calibri" w:eastAsia="Times New Roman" w:hAnsi="Calibri" w:cs="Calibri"/>
      <w:b/>
      <w:bCs/>
      <w:color w:val="000000" w:themeColor="text1"/>
      <w:kern w:val="28"/>
      <w:sz w:val="17"/>
      <w:szCs w:val="17"/>
      <w:lang w:eastAsia="en-GB"/>
      <w14:cntxtAlts/>
    </w:rPr>
  </w:style>
  <w:style w:type="paragraph" w:customStyle="1" w:styleId="CVboxpara">
    <w:name w:val="CV_box_para"/>
    <w:qFormat/>
    <w:rsid w:val="00F76425"/>
    <w:pPr>
      <w:widowControl w:val="0"/>
      <w:spacing w:before="80" w:after="80" w:line="240" w:lineRule="auto"/>
    </w:pPr>
    <w:rPr>
      <w:rFonts w:ascii="Calibri" w:eastAsia="Times New Roman" w:hAnsi="Calibri" w:cs="Calibri"/>
      <w:bCs/>
      <w:color w:val="000000" w:themeColor="text1"/>
      <w:kern w:val="28"/>
      <w:sz w:val="17"/>
      <w:szCs w:val="17"/>
      <w:lang w:eastAsia="en-GB"/>
      <w14:cntxtAlts/>
    </w:rPr>
  </w:style>
  <w:style w:type="paragraph" w:customStyle="1" w:styleId="CVbullet">
    <w:name w:val="CV_bullet"/>
    <w:qFormat/>
    <w:rsid w:val="00F76425"/>
    <w:pPr>
      <w:numPr>
        <w:numId w:val="18"/>
      </w:numPr>
      <w:spacing w:after="40" w:line="240" w:lineRule="auto"/>
      <w:ind w:left="227" w:hanging="227"/>
    </w:pPr>
    <w:rPr>
      <w:rFonts w:ascii="Calibri" w:eastAsia="Times New Roman" w:hAnsi="Calibri" w:cs="Calibri"/>
      <w:color w:val="000000"/>
      <w:kern w:val="28"/>
      <w:sz w:val="18"/>
      <w:szCs w:val="18"/>
      <w:lang w:eastAsia="en-GB"/>
      <w14:ligatures w14:val="standard"/>
      <w14:cntxtAlts/>
    </w:rPr>
  </w:style>
  <w:style w:type="paragraph" w:customStyle="1" w:styleId="CVfirstpara">
    <w:name w:val="CV_firstpara"/>
    <w:qFormat/>
    <w:rsid w:val="00F76425"/>
    <w:pPr>
      <w:spacing w:after="80" w:line="240" w:lineRule="auto"/>
    </w:pPr>
    <w:rPr>
      <w:rFonts w:eastAsia="Times New Roman" w:cstheme="minorHAnsi"/>
      <w:color w:val="221F72"/>
      <w:kern w:val="28"/>
      <w:sz w:val="18"/>
      <w:szCs w:val="18"/>
      <w:lang w:eastAsia="en-GB"/>
      <w14:cntxtAlts/>
    </w:rPr>
  </w:style>
  <w:style w:type="paragraph" w:customStyle="1" w:styleId="CVheading">
    <w:name w:val="CV_heading"/>
    <w:qFormat/>
    <w:rsid w:val="00F76425"/>
    <w:pPr>
      <w:keepNext/>
      <w:widowControl w:val="0"/>
      <w:spacing w:before="160" w:after="80" w:line="240" w:lineRule="auto"/>
    </w:pPr>
    <w:rPr>
      <w:rFonts w:ascii="Calibri" w:eastAsia="Times New Roman" w:hAnsi="Calibri" w:cs="Calibri"/>
      <w:b/>
      <w:bCs/>
      <w:color w:val="221F72"/>
      <w:kern w:val="28"/>
      <w:sz w:val="18"/>
      <w:szCs w:val="18"/>
      <w:lang w:eastAsia="en-GB"/>
      <w14:cntxtAlts/>
    </w:rPr>
  </w:style>
  <w:style w:type="paragraph" w:customStyle="1" w:styleId="CVname">
    <w:name w:val="CV_name"/>
    <w:qFormat/>
    <w:rsid w:val="00F76425"/>
    <w:pPr>
      <w:widowControl w:val="0"/>
      <w:spacing w:after="0" w:line="520" w:lineRule="exact"/>
    </w:pPr>
    <w:rPr>
      <w:rFonts w:cstheme="minorHAnsi"/>
      <w:color w:val="FFFFFF"/>
      <w:sz w:val="52"/>
      <w:szCs w:val="52"/>
    </w:rPr>
  </w:style>
  <w:style w:type="paragraph" w:customStyle="1" w:styleId="CVnormal">
    <w:name w:val="CV_normal"/>
    <w:qFormat/>
    <w:rsid w:val="00F76425"/>
    <w:pPr>
      <w:spacing w:after="80" w:line="240" w:lineRule="auto"/>
    </w:pPr>
    <w:rPr>
      <w:rFonts w:ascii="Calibri" w:eastAsia="Times New Roman" w:hAnsi="Calibri" w:cs="Calibri"/>
      <w:color w:val="000000"/>
      <w:kern w:val="28"/>
      <w:sz w:val="18"/>
      <w:szCs w:val="18"/>
      <w:lang w:eastAsia="en-GB"/>
      <w14:ligatures w14:val="standard"/>
      <w14:cntxtAlts/>
    </w:rPr>
  </w:style>
  <w:style w:type="paragraph" w:customStyle="1" w:styleId="CVrole">
    <w:name w:val="CV_role"/>
    <w:basedOn w:val="Normal"/>
    <w:link w:val="CVroleChar"/>
    <w:qFormat/>
    <w:rsid w:val="00F76425"/>
    <w:pPr>
      <w:widowControl w:val="0"/>
      <w:spacing w:after="0" w:line="260" w:lineRule="exact"/>
      <w:jc w:val="left"/>
    </w:pPr>
    <w:rPr>
      <w:rFonts w:asciiTheme="minorHAnsi" w:eastAsia="Times New Roman" w:hAnsiTheme="minorHAnsi" w:cstheme="minorHAnsi"/>
      <w:color w:val="6FD9FF"/>
      <w:kern w:val="28"/>
      <w:sz w:val="24"/>
      <w:szCs w:val="24"/>
      <w:lang w:eastAsia="en-GB"/>
      <w14:cntxtAlts/>
    </w:rPr>
  </w:style>
  <w:style w:type="character" w:customStyle="1" w:styleId="CVroleChar">
    <w:name w:val="CV_role Char"/>
    <w:basedOn w:val="Fuentedeprrafopredeter"/>
    <w:link w:val="CVrole"/>
    <w:rsid w:val="00F76425"/>
    <w:rPr>
      <w:rFonts w:eastAsia="Times New Roman" w:cstheme="minorHAnsi"/>
      <w:color w:val="6FD9FF"/>
      <w:kern w:val="28"/>
      <w:sz w:val="24"/>
      <w:szCs w:val="24"/>
      <w:lang w:eastAsia="en-GB"/>
      <w14:cntxtAlts/>
    </w:rPr>
  </w:style>
  <w:style w:type="paragraph" w:customStyle="1" w:styleId="CVtitle">
    <w:name w:val="CV_title"/>
    <w:qFormat/>
    <w:rsid w:val="00F76425"/>
    <w:pPr>
      <w:widowControl w:val="0"/>
      <w:spacing w:after="0" w:line="240" w:lineRule="auto"/>
    </w:pPr>
    <w:rPr>
      <w:rFonts w:cstheme="minorHAnsi"/>
      <w:color w:val="FFFFFF"/>
      <w:sz w:val="30"/>
      <w:szCs w:val="30"/>
    </w:rPr>
  </w:style>
  <w:style w:type="character" w:styleId="Mencinsinresolver">
    <w:name w:val="Unresolved Mention"/>
    <w:basedOn w:val="Fuentedeprrafopredeter"/>
    <w:uiPriority w:val="99"/>
    <w:semiHidden/>
    <w:unhideWhenUsed/>
    <w:rsid w:val="009F0B3E"/>
    <w:rPr>
      <w:color w:val="605E5C"/>
      <w:shd w:val="clear" w:color="auto" w:fill="E1DFDD"/>
    </w:rPr>
  </w:style>
  <w:style w:type="character" w:customStyle="1" w:styleId="Ttulo5Car">
    <w:name w:val="Título 5 Car"/>
    <w:basedOn w:val="Fuentedeprrafopredeter"/>
    <w:link w:val="Ttulo5"/>
    <w:uiPriority w:val="9"/>
    <w:rsid w:val="003557F5"/>
    <w:rPr>
      <w:rFonts w:asciiTheme="majorHAnsi" w:eastAsiaTheme="majorEastAsia" w:hAnsiTheme="majorHAnsi" w:cstheme="majorBidi"/>
      <w:color w:val="365F91" w:themeColor="accent1" w:themeShade="BF"/>
    </w:rPr>
  </w:style>
  <w:style w:type="character" w:styleId="Textodelmarcadordeposicin">
    <w:name w:val="Placeholder Text"/>
    <w:basedOn w:val="Fuentedeprrafopredeter"/>
    <w:uiPriority w:val="99"/>
    <w:semiHidden/>
    <w:rsid w:val="009671CC"/>
    <w:rPr>
      <w:color w:val="808080"/>
    </w:rPr>
  </w:style>
  <w:style w:type="character" w:customStyle="1" w:styleId="cf01">
    <w:name w:val="cf01"/>
    <w:basedOn w:val="Fuentedeprrafopredeter"/>
    <w:rsid w:val="00AA54E1"/>
    <w:rPr>
      <w:rFonts w:ascii="Segoe UI" w:hAnsi="Segoe UI" w:cs="Segoe UI" w:hint="default"/>
      <w:sz w:val="18"/>
      <w:szCs w:val="18"/>
    </w:rPr>
  </w:style>
  <w:style w:type="paragraph" w:customStyle="1" w:styleId="pf0">
    <w:name w:val="pf0"/>
    <w:basedOn w:val="Normal"/>
    <w:rsid w:val="00C26674"/>
    <w:pPr>
      <w:spacing w:before="100" w:beforeAutospacing="1" w:after="100" w:afterAutospacing="1" w:line="240" w:lineRule="auto"/>
      <w:jc w:val="left"/>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4280">
      <w:bodyDiv w:val="1"/>
      <w:marLeft w:val="0"/>
      <w:marRight w:val="0"/>
      <w:marTop w:val="0"/>
      <w:marBottom w:val="0"/>
      <w:divBdr>
        <w:top w:val="none" w:sz="0" w:space="0" w:color="auto"/>
        <w:left w:val="none" w:sz="0" w:space="0" w:color="auto"/>
        <w:bottom w:val="none" w:sz="0" w:space="0" w:color="auto"/>
        <w:right w:val="none" w:sz="0" w:space="0" w:color="auto"/>
      </w:divBdr>
    </w:div>
    <w:div w:id="93286870">
      <w:bodyDiv w:val="1"/>
      <w:marLeft w:val="0"/>
      <w:marRight w:val="0"/>
      <w:marTop w:val="0"/>
      <w:marBottom w:val="0"/>
      <w:divBdr>
        <w:top w:val="none" w:sz="0" w:space="0" w:color="auto"/>
        <w:left w:val="none" w:sz="0" w:space="0" w:color="auto"/>
        <w:bottom w:val="none" w:sz="0" w:space="0" w:color="auto"/>
        <w:right w:val="none" w:sz="0" w:space="0" w:color="auto"/>
      </w:divBdr>
    </w:div>
    <w:div w:id="295372830">
      <w:bodyDiv w:val="1"/>
      <w:marLeft w:val="0"/>
      <w:marRight w:val="0"/>
      <w:marTop w:val="0"/>
      <w:marBottom w:val="0"/>
      <w:divBdr>
        <w:top w:val="none" w:sz="0" w:space="0" w:color="auto"/>
        <w:left w:val="none" w:sz="0" w:space="0" w:color="auto"/>
        <w:bottom w:val="none" w:sz="0" w:space="0" w:color="auto"/>
        <w:right w:val="none" w:sz="0" w:space="0" w:color="auto"/>
      </w:divBdr>
    </w:div>
    <w:div w:id="303463303">
      <w:bodyDiv w:val="1"/>
      <w:marLeft w:val="0"/>
      <w:marRight w:val="0"/>
      <w:marTop w:val="0"/>
      <w:marBottom w:val="0"/>
      <w:divBdr>
        <w:top w:val="none" w:sz="0" w:space="0" w:color="auto"/>
        <w:left w:val="none" w:sz="0" w:space="0" w:color="auto"/>
        <w:bottom w:val="none" w:sz="0" w:space="0" w:color="auto"/>
        <w:right w:val="none" w:sz="0" w:space="0" w:color="auto"/>
      </w:divBdr>
      <w:divsChild>
        <w:div w:id="740373074">
          <w:marLeft w:val="274"/>
          <w:marRight w:val="0"/>
          <w:marTop w:val="0"/>
          <w:marBottom w:val="160"/>
          <w:divBdr>
            <w:top w:val="none" w:sz="0" w:space="0" w:color="auto"/>
            <w:left w:val="none" w:sz="0" w:space="0" w:color="auto"/>
            <w:bottom w:val="none" w:sz="0" w:space="0" w:color="auto"/>
            <w:right w:val="none" w:sz="0" w:space="0" w:color="auto"/>
          </w:divBdr>
        </w:div>
      </w:divsChild>
    </w:div>
    <w:div w:id="321350751">
      <w:bodyDiv w:val="1"/>
      <w:marLeft w:val="0"/>
      <w:marRight w:val="0"/>
      <w:marTop w:val="0"/>
      <w:marBottom w:val="0"/>
      <w:divBdr>
        <w:top w:val="none" w:sz="0" w:space="0" w:color="auto"/>
        <w:left w:val="none" w:sz="0" w:space="0" w:color="auto"/>
        <w:bottom w:val="none" w:sz="0" w:space="0" w:color="auto"/>
        <w:right w:val="none" w:sz="0" w:space="0" w:color="auto"/>
      </w:divBdr>
    </w:div>
    <w:div w:id="459227273">
      <w:bodyDiv w:val="1"/>
      <w:marLeft w:val="0"/>
      <w:marRight w:val="0"/>
      <w:marTop w:val="0"/>
      <w:marBottom w:val="0"/>
      <w:divBdr>
        <w:top w:val="none" w:sz="0" w:space="0" w:color="auto"/>
        <w:left w:val="none" w:sz="0" w:space="0" w:color="auto"/>
        <w:bottom w:val="none" w:sz="0" w:space="0" w:color="auto"/>
        <w:right w:val="none" w:sz="0" w:space="0" w:color="auto"/>
      </w:divBdr>
    </w:div>
    <w:div w:id="476410566">
      <w:bodyDiv w:val="1"/>
      <w:marLeft w:val="0"/>
      <w:marRight w:val="0"/>
      <w:marTop w:val="0"/>
      <w:marBottom w:val="0"/>
      <w:divBdr>
        <w:top w:val="none" w:sz="0" w:space="0" w:color="auto"/>
        <w:left w:val="none" w:sz="0" w:space="0" w:color="auto"/>
        <w:bottom w:val="none" w:sz="0" w:space="0" w:color="auto"/>
        <w:right w:val="none" w:sz="0" w:space="0" w:color="auto"/>
      </w:divBdr>
    </w:div>
    <w:div w:id="520627174">
      <w:bodyDiv w:val="1"/>
      <w:marLeft w:val="0"/>
      <w:marRight w:val="0"/>
      <w:marTop w:val="0"/>
      <w:marBottom w:val="0"/>
      <w:divBdr>
        <w:top w:val="none" w:sz="0" w:space="0" w:color="auto"/>
        <w:left w:val="none" w:sz="0" w:space="0" w:color="auto"/>
        <w:bottom w:val="none" w:sz="0" w:space="0" w:color="auto"/>
        <w:right w:val="none" w:sz="0" w:space="0" w:color="auto"/>
      </w:divBdr>
    </w:div>
    <w:div w:id="624699456">
      <w:bodyDiv w:val="1"/>
      <w:marLeft w:val="0"/>
      <w:marRight w:val="0"/>
      <w:marTop w:val="0"/>
      <w:marBottom w:val="0"/>
      <w:divBdr>
        <w:top w:val="none" w:sz="0" w:space="0" w:color="auto"/>
        <w:left w:val="none" w:sz="0" w:space="0" w:color="auto"/>
        <w:bottom w:val="none" w:sz="0" w:space="0" w:color="auto"/>
        <w:right w:val="none" w:sz="0" w:space="0" w:color="auto"/>
      </w:divBdr>
    </w:div>
    <w:div w:id="755982782">
      <w:bodyDiv w:val="1"/>
      <w:marLeft w:val="0"/>
      <w:marRight w:val="0"/>
      <w:marTop w:val="0"/>
      <w:marBottom w:val="0"/>
      <w:divBdr>
        <w:top w:val="none" w:sz="0" w:space="0" w:color="auto"/>
        <w:left w:val="none" w:sz="0" w:space="0" w:color="auto"/>
        <w:bottom w:val="none" w:sz="0" w:space="0" w:color="auto"/>
        <w:right w:val="none" w:sz="0" w:space="0" w:color="auto"/>
      </w:divBdr>
    </w:div>
    <w:div w:id="811604929">
      <w:bodyDiv w:val="1"/>
      <w:marLeft w:val="0"/>
      <w:marRight w:val="0"/>
      <w:marTop w:val="0"/>
      <w:marBottom w:val="0"/>
      <w:divBdr>
        <w:top w:val="none" w:sz="0" w:space="0" w:color="auto"/>
        <w:left w:val="none" w:sz="0" w:space="0" w:color="auto"/>
        <w:bottom w:val="none" w:sz="0" w:space="0" w:color="auto"/>
        <w:right w:val="none" w:sz="0" w:space="0" w:color="auto"/>
      </w:divBdr>
    </w:div>
    <w:div w:id="814446337">
      <w:bodyDiv w:val="1"/>
      <w:marLeft w:val="0"/>
      <w:marRight w:val="0"/>
      <w:marTop w:val="0"/>
      <w:marBottom w:val="0"/>
      <w:divBdr>
        <w:top w:val="none" w:sz="0" w:space="0" w:color="auto"/>
        <w:left w:val="none" w:sz="0" w:space="0" w:color="auto"/>
        <w:bottom w:val="none" w:sz="0" w:space="0" w:color="auto"/>
        <w:right w:val="none" w:sz="0" w:space="0" w:color="auto"/>
      </w:divBdr>
    </w:div>
    <w:div w:id="864247136">
      <w:bodyDiv w:val="1"/>
      <w:marLeft w:val="0"/>
      <w:marRight w:val="0"/>
      <w:marTop w:val="0"/>
      <w:marBottom w:val="0"/>
      <w:divBdr>
        <w:top w:val="none" w:sz="0" w:space="0" w:color="auto"/>
        <w:left w:val="none" w:sz="0" w:space="0" w:color="auto"/>
        <w:bottom w:val="none" w:sz="0" w:space="0" w:color="auto"/>
        <w:right w:val="none" w:sz="0" w:space="0" w:color="auto"/>
      </w:divBdr>
    </w:div>
    <w:div w:id="1149135156">
      <w:bodyDiv w:val="1"/>
      <w:marLeft w:val="0"/>
      <w:marRight w:val="0"/>
      <w:marTop w:val="0"/>
      <w:marBottom w:val="0"/>
      <w:divBdr>
        <w:top w:val="none" w:sz="0" w:space="0" w:color="auto"/>
        <w:left w:val="none" w:sz="0" w:space="0" w:color="auto"/>
        <w:bottom w:val="none" w:sz="0" w:space="0" w:color="auto"/>
        <w:right w:val="none" w:sz="0" w:space="0" w:color="auto"/>
      </w:divBdr>
    </w:div>
    <w:div w:id="1232733004">
      <w:bodyDiv w:val="1"/>
      <w:marLeft w:val="0"/>
      <w:marRight w:val="0"/>
      <w:marTop w:val="0"/>
      <w:marBottom w:val="0"/>
      <w:divBdr>
        <w:top w:val="none" w:sz="0" w:space="0" w:color="auto"/>
        <w:left w:val="none" w:sz="0" w:space="0" w:color="auto"/>
        <w:bottom w:val="none" w:sz="0" w:space="0" w:color="auto"/>
        <w:right w:val="none" w:sz="0" w:space="0" w:color="auto"/>
      </w:divBdr>
    </w:div>
    <w:div w:id="1277983415">
      <w:bodyDiv w:val="1"/>
      <w:marLeft w:val="0"/>
      <w:marRight w:val="0"/>
      <w:marTop w:val="0"/>
      <w:marBottom w:val="0"/>
      <w:divBdr>
        <w:top w:val="none" w:sz="0" w:space="0" w:color="auto"/>
        <w:left w:val="none" w:sz="0" w:space="0" w:color="auto"/>
        <w:bottom w:val="none" w:sz="0" w:space="0" w:color="auto"/>
        <w:right w:val="none" w:sz="0" w:space="0" w:color="auto"/>
      </w:divBdr>
    </w:div>
    <w:div w:id="1286305334">
      <w:bodyDiv w:val="1"/>
      <w:marLeft w:val="0"/>
      <w:marRight w:val="0"/>
      <w:marTop w:val="0"/>
      <w:marBottom w:val="0"/>
      <w:divBdr>
        <w:top w:val="none" w:sz="0" w:space="0" w:color="auto"/>
        <w:left w:val="none" w:sz="0" w:space="0" w:color="auto"/>
        <w:bottom w:val="none" w:sz="0" w:space="0" w:color="auto"/>
        <w:right w:val="none" w:sz="0" w:space="0" w:color="auto"/>
      </w:divBdr>
    </w:div>
    <w:div w:id="1387609176">
      <w:bodyDiv w:val="1"/>
      <w:marLeft w:val="0"/>
      <w:marRight w:val="0"/>
      <w:marTop w:val="0"/>
      <w:marBottom w:val="0"/>
      <w:divBdr>
        <w:top w:val="none" w:sz="0" w:space="0" w:color="auto"/>
        <w:left w:val="none" w:sz="0" w:space="0" w:color="auto"/>
        <w:bottom w:val="none" w:sz="0" w:space="0" w:color="auto"/>
        <w:right w:val="none" w:sz="0" w:space="0" w:color="auto"/>
      </w:divBdr>
    </w:div>
    <w:div w:id="1596281239">
      <w:bodyDiv w:val="1"/>
      <w:marLeft w:val="0"/>
      <w:marRight w:val="0"/>
      <w:marTop w:val="0"/>
      <w:marBottom w:val="0"/>
      <w:divBdr>
        <w:top w:val="none" w:sz="0" w:space="0" w:color="auto"/>
        <w:left w:val="none" w:sz="0" w:space="0" w:color="auto"/>
        <w:bottom w:val="none" w:sz="0" w:space="0" w:color="auto"/>
        <w:right w:val="none" w:sz="0" w:space="0" w:color="auto"/>
      </w:divBdr>
    </w:div>
    <w:div w:id="1894728661">
      <w:bodyDiv w:val="1"/>
      <w:marLeft w:val="0"/>
      <w:marRight w:val="0"/>
      <w:marTop w:val="0"/>
      <w:marBottom w:val="0"/>
      <w:divBdr>
        <w:top w:val="none" w:sz="0" w:space="0" w:color="auto"/>
        <w:left w:val="none" w:sz="0" w:space="0" w:color="auto"/>
        <w:bottom w:val="none" w:sz="0" w:space="0" w:color="auto"/>
        <w:right w:val="none" w:sz="0" w:space="0" w:color="auto"/>
      </w:divBdr>
    </w:div>
    <w:div w:id="1911577258">
      <w:bodyDiv w:val="1"/>
      <w:marLeft w:val="0"/>
      <w:marRight w:val="0"/>
      <w:marTop w:val="0"/>
      <w:marBottom w:val="0"/>
      <w:divBdr>
        <w:top w:val="none" w:sz="0" w:space="0" w:color="auto"/>
        <w:left w:val="none" w:sz="0" w:space="0" w:color="auto"/>
        <w:bottom w:val="none" w:sz="0" w:space="0" w:color="auto"/>
        <w:right w:val="none" w:sz="0" w:space="0" w:color="auto"/>
      </w:divBdr>
    </w:div>
    <w:div w:id="1923680285">
      <w:bodyDiv w:val="1"/>
      <w:marLeft w:val="0"/>
      <w:marRight w:val="0"/>
      <w:marTop w:val="0"/>
      <w:marBottom w:val="0"/>
      <w:divBdr>
        <w:top w:val="none" w:sz="0" w:space="0" w:color="auto"/>
        <w:left w:val="none" w:sz="0" w:space="0" w:color="auto"/>
        <w:bottom w:val="none" w:sz="0" w:space="0" w:color="auto"/>
        <w:right w:val="none" w:sz="0" w:space="0" w:color="auto"/>
      </w:divBdr>
    </w:div>
    <w:div w:id="192768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EDE95E298F54D9DAB2ABC9A3506BB" ma:contentTypeVersion="9" ma:contentTypeDescription="Create a new document." ma:contentTypeScope="" ma:versionID="245b771c2af1b37590181858fe94aba8">
  <xsd:schema xmlns:xsd="http://www.w3.org/2001/XMLSchema" xmlns:xs="http://www.w3.org/2001/XMLSchema" xmlns:p="http://schemas.microsoft.com/office/2006/metadata/properties" xmlns:ns2="10899f49-b7fc-4373-a171-473b88efa2ff" xmlns:ns3="1a7b0eec-2cb3-42c8-9e5d-56ae38d63078" targetNamespace="http://schemas.microsoft.com/office/2006/metadata/properties" ma:root="true" ma:fieldsID="fb242a514be210fcd47c8e6fec13e14b" ns2:_="" ns3:_="">
    <xsd:import namespace="10899f49-b7fc-4373-a171-473b88efa2ff"/>
    <xsd:import namespace="1a7b0eec-2cb3-42c8-9e5d-56ae38d63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99f49-b7fc-4373-a171-473b88efa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b0eec-2cb3-42c8-9e5d-56ae38d63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DE5A-E5DE-4218-BFFA-F97B0898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99f49-b7fc-4373-a171-473b88efa2ff"/>
    <ds:schemaRef ds:uri="1a7b0eec-2cb3-42c8-9e5d-56ae38d63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062FA-8B03-4528-A512-DCDAD270176C}">
  <ds:schemaRefs>
    <ds:schemaRef ds:uri="http://schemas.openxmlformats.org/officeDocument/2006/bibliography"/>
  </ds:schemaRefs>
</ds:datastoreItem>
</file>

<file path=docMetadata/LabelInfo.xml><?xml version="1.0" encoding="utf-8"?>
<clbl:labelList xmlns:clbl="http://schemas.microsoft.com/office/2020/mipLabelMetadata">
  <clbl:label id="{f2d06fff-1cf9-44fc-a24c-977797e9de2e}" enabled="1" method="Standard" siteId="{090837fc-2949-4d3c-b475-8fe9817d6f79}"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7951</Words>
  <Characters>42064</Characters>
  <Application>Microsoft Office Word</Application>
  <DocSecurity>0</DocSecurity>
  <Lines>808</Lines>
  <Paragraphs>333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2023-05-31T15:54:00Z</dcterms:created>
  <dcterms:modified xsi:type="dcterms:W3CDTF">2023-06-06T17:59:00Z</dcterms:modified>
</cp:coreProperties>
</file>