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564C8" w14:textId="72317950" w:rsidR="005A488E" w:rsidRPr="00434F6E" w:rsidRDefault="00A60E76" w:rsidP="00434F6E">
      <w:pPr>
        <w:pStyle w:val="Titletype"/>
        <w:tabs>
          <w:tab w:val="left" w:pos="5700"/>
        </w:tabs>
        <w:rPr>
          <w:color w:val="auto"/>
          <w:lang w:val="es-ES"/>
        </w:rPr>
      </w:pPr>
      <w:r w:rsidRPr="00434F6E">
        <w:rPr>
          <w:noProof/>
          <w:color w:val="auto"/>
          <w:lang w:val="es-ES"/>
        </w:rPr>
        <mc:AlternateContent>
          <mc:Choice Requires="wps">
            <w:drawing>
              <wp:anchor distT="0" distB="0" distL="114300" distR="114300" simplePos="0" relativeHeight="251658241" behindDoc="1" locked="0" layoutInCell="1" allowOverlap="1" wp14:anchorId="168E277B" wp14:editId="0055BFCF">
                <wp:simplePos x="0" y="0"/>
                <wp:positionH relativeFrom="page">
                  <wp:posOffset>525145</wp:posOffset>
                </wp:positionH>
                <wp:positionV relativeFrom="page">
                  <wp:posOffset>4347210</wp:posOffset>
                </wp:positionV>
                <wp:extent cx="5558155" cy="3527425"/>
                <wp:effectExtent l="0" t="0" r="0" b="0"/>
                <wp:wrapNone/>
                <wp:docPr id="35" name="Rectangle 35"/>
                <wp:cNvGraphicFramePr/>
                <a:graphic xmlns:a="http://schemas.openxmlformats.org/drawingml/2006/main">
                  <a:graphicData uri="http://schemas.microsoft.com/office/word/2010/wordprocessingShape">
                    <wps:wsp>
                      <wps:cNvSpPr/>
                      <wps:spPr>
                        <a:xfrm>
                          <a:off x="0" y="0"/>
                          <a:ext cx="5558155" cy="3527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833C8F3" id="Rectangle 35" o:spid="_x0000_s1026" style="position:absolute;margin-left:41.35pt;margin-top:342.3pt;width:437.65pt;height:277.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" filled="f" stroked="f" strokeweight="2pt">
                <w10:wrap anchorx="page" anchory="page"/>
              </v:rect>
            </w:pict>
          </mc:Fallback>
        </mc:AlternateContent>
      </w:r>
      <w:r w:rsidR="0067461A" w:rsidRPr="00434F6E">
        <w:rPr>
          <w:color w:val="auto"/>
          <w:lang w:val="es-ES"/>
        </w:rPr>
        <w:t>Instituto Federal de Telecomunicaciones (IFT)</w:t>
      </w:r>
      <w:r w:rsidR="00434F6E" w:rsidRPr="00434F6E">
        <w:rPr>
          <w:color w:val="auto"/>
          <w:lang w:val="es-ES"/>
        </w:rPr>
        <w:tab/>
      </w:r>
    </w:p>
    <w:p w14:paraId="2FF84418" w14:textId="0B86626A" w:rsidR="005A488E" w:rsidRPr="00765877" w:rsidRDefault="0067461A" w:rsidP="00765877">
      <w:pPr>
        <w:pStyle w:val="Titlemain"/>
        <w:spacing w:line="259" w:lineRule="auto"/>
        <w:jc w:val="both"/>
        <w:rPr>
          <w:color w:val="auto"/>
          <w:sz w:val="32"/>
          <w:szCs w:val="32"/>
          <w:lang w:val="es-ES"/>
        </w:rPr>
      </w:pPr>
      <w:r w:rsidRPr="00765877">
        <w:rPr>
          <w:color w:val="auto"/>
          <w:sz w:val="32"/>
          <w:szCs w:val="32"/>
          <w:lang w:val="es-ES"/>
        </w:rPr>
        <w:t xml:space="preserve">Marco metodológico </w:t>
      </w:r>
      <w:r w:rsidR="00765877" w:rsidRPr="00765877">
        <w:rPr>
          <w:color w:val="auto"/>
          <w:sz w:val="32"/>
          <w:szCs w:val="32"/>
          <w:lang w:val="es-ES"/>
        </w:rPr>
        <w:t>del</w:t>
      </w:r>
      <w:r w:rsidR="00765877" w:rsidRPr="00765877">
        <w:rPr>
          <w:color w:val="auto"/>
          <w:sz w:val="32"/>
          <w:szCs w:val="32"/>
          <w:lang w:val="es-MX"/>
        </w:rPr>
        <w:t xml:space="preserve"> Modelo de Costos para la determinación de tarifas de los Servicios de ITX, Enlaces Dedicados, Usuario Visitante, así como el Servicio de Concentración y Distribución 2024-2026</w:t>
      </w:r>
    </w:p>
    <w:p w14:paraId="2EB9C75D" w14:textId="77777777" w:rsidR="005A488E" w:rsidRPr="0067461A" w:rsidRDefault="005A488E" w:rsidP="005A488E">
      <w:pPr>
        <w:pStyle w:val="ConfidentialFront"/>
      </w:pPr>
    </w:p>
    <w:p w14:paraId="2821FD79" w14:textId="77777777" w:rsidR="005A488E" w:rsidRPr="0067461A" w:rsidRDefault="005A488E" w:rsidP="005A488E">
      <w:pPr>
        <w:pStyle w:val="01"/>
        <w:sectPr w:rsidR="005A488E" w:rsidRPr="0067461A">
          <w:headerReference w:type="even" r:id="rId8"/>
          <w:headerReference w:type="default" r:id="rId9"/>
          <w:footerReference w:type="even" r:id="rId10"/>
          <w:footerReference w:type="default" r:id="rId11"/>
          <w:headerReference w:type="first" r:id="rId12"/>
          <w:pgSz w:w="11906" w:h="16838" w:code="9"/>
          <w:pgMar w:top="1440" w:right="1440" w:bottom="1440" w:left="1440" w:header="567" w:footer="567" w:gutter="0"/>
          <w:pgNumType w:start="1"/>
          <w:cols w:space="720"/>
          <w:titlePg/>
          <w:docGrid w:linePitch="299"/>
        </w:sectPr>
      </w:pPr>
    </w:p>
    <w:p w14:paraId="3B05D7C2" w14:textId="77777777" w:rsidR="0086457E" w:rsidRPr="0067461A" w:rsidRDefault="00200606" w:rsidP="0086457E">
      <w:pPr>
        <w:pStyle w:val="Contentsheading"/>
      </w:pPr>
      <w:r w:rsidRPr="0067461A">
        <w:lastRenderedPageBreak/>
        <w:t>Índice</w:t>
      </w:r>
    </w:p>
    <w:p w14:paraId="60B2A704" w14:textId="20F50506" w:rsidR="00B35091" w:rsidRDefault="00BD64BC">
      <w:pPr>
        <w:pStyle w:val="TDC1"/>
        <w:rPr>
          <w:rFonts w:asciiTheme="minorHAnsi" w:eastAsiaTheme="minorEastAsia" w:hAnsiTheme="minorHAnsi"/>
          <w:b w:val="0"/>
          <w:noProof/>
          <w:kern w:val="2"/>
          <w:lang w:val="en-GB" w:eastAsia="en-GB"/>
          <w14:ligatures w14:val="standardContextual"/>
        </w:rPr>
      </w:pPr>
      <w:r w:rsidRPr="0067461A">
        <w:fldChar w:fldCharType="begin"/>
      </w:r>
      <w:r w:rsidRPr="0067461A">
        <w:instrText xml:space="preserve"> TOC \h \z \t "Heading 1,1,Heading 2,2" </w:instrText>
      </w:r>
      <w:r w:rsidRPr="0067461A">
        <w:fldChar w:fldCharType="separate"/>
      </w:r>
      <w:hyperlink w:anchor="_Toc135921294" w:history="1">
        <w:r w:rsidR="00B35091" w:rsidRPr="00676202">
          <w:rPr>
            <w:rStyle w:val="Hipervnculo"/>
            <w:noProof/>
          </w:rPr>
          <w:t>1</w:t>
        </w:r>
        <w:r w:rsidR="00B35091">
          <w:rPr>
            <w:rFonts w:asciiTheme="minorHAnsi" w:eastAsiaTheme="minorEastAsia" w:hAnsiTheme="minorHAnsi"/>
            <w:b w:val="0"/>
            <w:noProof/>
            <w:kern w:val="2"/>
            <w:lang w:val="en-GB" w:eastAsia="en-GB"/>
            <w14:ligatures w14:val="standardContextual"/>
          </w:rPr>
          <w:tab/>
        </w:r>
        <w:r w:rsidR="00B35091" w:rsidRPr="00676202">
          <w:rPr>
            <w:rStyle w:val="Hipervnculo"/>
            <w:noProof/>
            <w:snapToGrid w:val="0"/>
          </w:rPr>
          <w:t>Introducción</w:t>
        </w:r>
        <w:r w:rsidR="00B35091">
          <w:rPr>
            <w:noProof/>
            <w:webHidden/>
          </w:rPr>
          <w:tab/>
        </w:r>
        <w:r w:rsidR="00B35091">
          <w:rPr>
            <w:noProof/>
            <w:webHidden/>
          </w:rPr>
          <w:fldChar w:fldCharType="begin"/>
        </w:r>
        <w:r w:rsidR="00B35091">
          <w:rPr>
            <w:noProof/>
            <w:webHidden/>
          </w:rPr>
          <w:instrText xml:space="preserve"> PAGEREF _Toc135921294 \h </w:instrText>
        </w:r>
        <w:r w:rsidR="00B35091">
          <w:rPr>
            <w:noProof/>
            <w:webHidden/>
          </w:rPr>
        </w:r>
        <w:r w:rsidR="00B35091">
          <w:rPr>
            <w:noProof/>
            <w:webHidden/>
          </w:rPr>
          <w:fldChar w:fldCharType="separate"/>
        </w:r>
        <w:r w:rsidR="00475202">
          <w:rPr>
            <w:noProof/>
            <w:webHidden/>
          </w:rPr>
          <w:t>1</w:t>
        </w:r>
        <w:r w:rsidR="00B35091">
          <w:rPr>
            <w:noProof/>
            <w:webHidden/>
          </w:rPr>
          <w:fldChar w:fldCharType="end"/>
        </w:r>
      </w:hyperlink>
    </w:p>
    <w:p w14:paraId="40BE3B5D" w14:textId="3AD49E88" w:rsidR="00B35091" w:rsidRDefault="00475202">
      <w:pPr>
        <w:pStyle w:val="TDC2"/>
        <w:rPr>
          <w:rFonts w:asciiTheme="minorHAnsi" w:eastAsiaTheme="minorEastAsia" w:hAnsiTheme="minorHAnsi"/>
          <w:kern w:val="2"/>
          <w:lang w:val="en-GB" w:eastAsia="en-GB"/>
          <w14:ligatures w14:val="standardContextual"/>
        </w:rPr>
      </w:pPr>
      <w:hyperlink w:anchor="_Toc135921295" w:history="1">
        <w:r w:rsidR="00B35091" w:rsidRPr="00676202">
          <w:rPr>
            <w:rStyle w:val="Hipervnculo"/>
            <w:rFonts w:ascii="Times New Roman Bold" w:hAnsi="Times New Roman Bold"/>
          </w:rPr>
          <w:t>1.1</w:t>
        </w:r>
        <w:r w:rsidR="00B35091">
          <w:rPr>
            <w:rFonts w:asciiTheme="minorHAnsi" w:eastAsiaTheme="minorEastAsia" w:hAnsiTheme="minorHAnsi"/>
            <w:kern w:val="2"/>
            <w:lang w:val="en-GB" w:eastAsia="en-GB"/>
            <w14:ligatures w14:val="standardContextual"/>
          </w:rPr>
          <w:tab/>
        </w:r>
        <w:r w:rsidR="00B35091" w:rsidRPr="00676202">
          <w:rPr>
            <w:rStyle w:val="Hipervnculo"/>
          </w:rPr>
          <w:t>Alcance del informe</w:t>
        </w:r>
        <w:r w:rsidR="00B35091">
          <w:rPr>
            <w:webHidden/>
          </w:rPr>
          <w:tab/>
        </w:r>
        <w:r w:rsidR="00B35091">
          <w:rPr>
            <w:webHidden/>
          </w:rPr>
          <w:fldChar w:fldCharType="begin"/>
        </w:r>
        <w:r w:rsidR="00B35091">
          <w:rPr>
            <w:webHidden/>
          </w:rPr>
          <w:instrText xml:space="preserve"> PAGEREF _Toc135921295 \h </w:instrText>
        </w:r>
        <w:r w:rsidR="00B35091">
          <w:rPr>
            <w:webHidden/>
          </w:rPr>
        </w:r>
        <w:r w:rsidR="00B35091">
          <w:rPr>
            <w:webHidden/>
          </w:rPr>
          <w:fldChar w:fldCharType="separate"/>
        </w:r>
        <w:r>
          <w:rPr>
            <w:webHidden/>
          </w:rPr>
          <w:t>1</w:t>
        </w:r>
        <w:r w:rsidR="00B35091">
          <w:rPr>
            <w:webHidden/>
          </w:rPr>
          <w:fldChar w:fldCharType="end"/>
        </w:r>
      </w:hyperlink>
    </w:p>
    <w:p w14:paraId="5CF842BD" w14:textId="6F7E0B32" w:rsidR="00B35091" w:rsidRDefault="00475202">
      <w:pPr>
        <w:pStyle w:val="TDC2"/>
        <w:rPr>
          <w:rFonts w:asciiTheme="minorHAnsi" w:eastAsiaTheme="minorEastAsia" w:hAnsiTheme="minorHAnsi"/>
          <w:kern w:val="2"/>
          <w:lang w:val="en-GB" w:eastAsia="en-GB"/>
          <w14:ligatures w14:val="standardContextual"/>
        </w:rPr>
      </w:pPr>
      <w:hyperlink w:anchor="_Toc135921296" w:history="1">
        <w:r w:rsidR="00B35091" w:rsidRPr="00676202">
          <w:rPr>
            <w:rStyle w:val="Hipervnculo"/>
            <w:rFonts w:ascii="Times New Roman Bold" w:hAnsi="Times New Roman Bold"/>
          </w:rPr>
          <w:t>1.2</w:t>
        </w:r>
        <w:r w:rsidR="00B35091">
          <w:rPr>
            <w:rFonts w:asciiTheme="minorHAnsi" w:eastAsiaTheme="minorEastAsia" w:hAnsiTheme="minorHAnsi"/>
            <w:kern w:val="2"/>
            <w:lang w:val="en-GB" w:eastAsia="en-GB"/>
            <w14:ligatures w14:val="standardContextual"/>
          </w:rPr>
          <w:tab/>
        </w:r>
        <w:r w:rsidR="00B35091" w:rsidRPr="00676202">
          <w:rPr>
            <w:rStyle w:val="Hipervnculo"/>
          </w:rPr>
          <w:t>Encuadre regulatorio</w:t>
        </w:r>
        <w:r w:rsidR="00B35091">
          <w:rPr>
            <w:webHidden/>
          </w:rPr>
          <w:tab/>
        </w:r>
        <w:r w:rsidR="00B35091">
          <w:rPr>
            <w:webHidden/>
          </w:rPr>
          <w:fldChar w:fldCharType="begin"/>
        </w:r>
        <w:r w:rsidR="00B35091">
          <w:rPr>
            <w:webHidden/>
          </w:rPr>
          <w:instrText xml:space="preserve"> PAGEREF _Toc135921296 \h </w:instrText>
        </w:r>
        <w:r w:rsidR="00B35091">
          <w:rPr>
            <w:webHidden/>
          </w:rPr>
        </w:r>
        <w:r w:rsidR="00B35091">
          <w:rPr>
            <w:webHidden/>
          </w:rPr>
          <w:fldChar w:fldCharType="separate"/>
        </w:r>
        <w:r>
          <w:rPr>
            <w:webHidden/>
          </w:rPr>
          <w:t>3</w:t>
        </w:r>
        <w:r w:rsidR="00B35091">
          <w:rPr>
            <w:webHidden/>
          </w:rPr>
          <w:fldChar w:fldCharType="end"/>
        </w:r>
      </w:hyperlink>
    </w:p>
    <w:p w14:paraId="3B253257" w14:textId="475C67A8" w:rsidR="00B35091" w:rsidRDefault="00475202">
      <w:pPr>
        <w:pStyle w:val="TDC2"/>
        <w:rPr>
          <w:rFonts w:asciiTheme="minorHAnsi" w:eastAsiaTheme="minorEastAsia" w:hAnsiTheme="minorHAnsi"/>
          <w:kern w:val="2"/>
          <w:lang w:val="en-GB" w:eastAsia="en-GB"/>
          <w14:ligatures w14:val="standardContextual"/>
        </w:rPr>
      </w:pPr>
      <w:hyperlink w:anchor="_Toc135921297" w:history="1">
        <w:r w:rsidR="00B35091" w:rsidRPr="00676202">
          <w:rPr>
            <w:rStyle w:val="Hipervnculo"/>
            <w:rFonts w:ascii="Times New Roman Bold" w:hAnsi="Times New Roman Bold"/>
          </w:rPr>
          <w:t>1.3</w:t>
        </w:r>
        <w:r w:rsidR="00B35091">
          <w:rPr>
            <w:rFonts w:asciiTheme="minorHAnsi" w:eastAsiaTheme="minorEastAsia" w:hAnsiTheme="minorHAnsi"/>
            <w:kern w:val="2"/>
            <w:lang w:val="en-GB" w:eastAsia="en-GB"/>
            <w14:ligatures w14:val="standardContextual"/>
          </w:rPr>
          <w:tab/>
        </w:r>
        <w:r w:rsidR="00B35091" w:rsidRPr="00676202">
          <w:rPr>
            <w:rStyle w:val="Hipervnculo"/>
          </w:rPr>
          <w:t>Estructura del informe</w:t>
        </w:r>
        <w:r w:rsidR="00B35091">
          <w:rPr>
            <w:webHidden/>
          </w:rPr>
          <w:tab/>
        </w:r>
        <w:r w:rsidR="00B35091">
          <w:rPr>
            <w:webHidden/>
          </w:rPr>
          <w:fldChar w:fldCharType="begin"/>
        </w:r>
        <w:r w:rsidR="00B35091">
          <w:rPr>
            <w:webHidden/>
          </w:rPr>
          <w:instrText xml:space="preserve"> PAGEREF _Toc135921297 \h </w:instrText>
        </w:r>
        <w:r w:rsidR="00B35091">
          <w:rPr>
            <w:webHidden/>
          </w:rPr>
        </w:r>
        <w:r w:rsidR="00B35091">
          <w:rPr>
            <w:webHidden/>
          </w:rPr>
          <w:fldChar w:fldCharType="separate"/>
        </w:r>
        <w:r>
          <w:rPr>
            <w:webHidden/>
          </w:rPr>
          <w:t>6</w:t>
        </w:r>
        <w:r w:rsidR="00B35091">
          <w:rPr>
            <w:webHidden/>
          </w:rPr>
          <w:fldChar w:fldCharType="end"/>
        </w:r>
      </w:hyperlink>
    </w:p>
    <w:p w14:paraId="1D08F9BE" w14:textId="35EA64A4" w:rsidR="00B35091" w:rsidRDefault="00475202">
      <w:pPr>
        <w:pStyle w:val="TDC1"/>
        <w:rPr>
          <w:rFonts w:asciiTheme="minorHAnsi" w:eastAsiaTheme="minorEastAsia" w:hAnsiTheme="minorHAnsi"/>
          <w:b w:val="0"/>
          <w:noProof/>
          <w:kern w:val="2"/>
          <w:lang w:val="en-GB" w:eastAsia="en-GB"/>
          <w14:ligatures w14:val="standardContextual"/>
        </w:rPr>
      </w:pPr>
      <w:hyperlink w:anchor="_Toc135921298" w:history="1">
        <w:r w:rsidR="00B35091" w:rsidRPr="00676202">
          <w:rPr>
            <w:rStyle w:val="Hipervnculo"/>
            <w:noProof/>
          </w:rPr>
          <w:t>2</w:t>
        </w:r>
        <w:r w:rsidR="00B35091">
          <w:rPr>
            <w:rFonts w:asciiTheme="minorHAnsi" w:eastAsiaTheme="minorEastAsia" w:hAnsiTheme="minorHAnsi"/>
            <w:b w:val="0"/>
            <w:noProof/>
            <w:kern w:val="2"/>
            <w:lang w:val="en-GB" w:eastAsia="en-GB"/>
            <w14:ligatures w14:val="standardContextual"/>
          </w:rPr>
          <w:tab/>
        </w:r>
        <w:r w:rsidR="00B35091" w:rsidRPr="00676202">
          <w:rPr>
            <w:rStyle w:val="Hipervnculo"/>
            <w:noProof/>
          </w:rPr>
          <w:t>Principios metodológicos para la elaboración del modelo de costos</w:t>
        </w:r>
        <w:r w:rsidR="00B35091">
          <w:rPr>
            <w:noProof/>
            <w:webHidden/>
          </w:rPr>
          <w:tab/>
        </w:r>
        <w:r w:rsidR="00B35091">
          <w:rPr>
            <w:noProof/>
            <w:webHidden/>
          </w:rPr>
          <w:fldChar w:fldCharType="begin"/>
        </w:r>
        <w:r w:rsidR="00B35091">
          <w:rPr>
            <w:noProof/>
            <w:webHidden/>
          </w:rPr>
          <w:instrText xml:space="preserve"> PAGEREF _Toc135921298 \h </w:instrText>
        </w:r>
        <w:r w:rsidR="00B35091">
          <w:rPr>
            <w:noProof/>
            <w:webHidden/>
          </w:rPr>
        </w:r>
        <w:r w:rsidR="00B35091">
          <w:rPr>
            <w:noProof/>
            <w:webHidden/>
          </w:rPr>
          <w:fldChar w:fldCharType="separate"/>
        </w:r>
        <w:r>
          <w:rPr>
            <w:noProof/>
            <w:webHidden/>
          </w:rPr>
          <w:t>7</w:t>
        </w:r>
        <w:r w:rsidR="00B35091">
          <w:rPr>
            <w:noProof/>
            <w:webHidden/>
          </w:rPr>
          <w:fldChar w:fldCharType="end"/>
        </w:r>
      </w:hyperlink>
    </w:p>
    <w:p w14:paraId="7C61A218" w14:textId="0197E4DE" w:rsidR="00B35091" w:rsidRDefault="00475202">
      <w:pPr>
        <w:pStyle w:val="TDC2"/>
        <w:rPr>
          <w:rFonts w:asciiTheme="minorHAnsi" w:eastAsiaTheme="minorEastAsia" w:hAnsiTheme="minorHAnsi"/>
          <w:kern w:val="2"/>
          <w:lang w:val="en-GB" w:eastAsia="en-GB"/>
          <w14:ligatures w14:val="standardContextual"/>
        </w:rPr>
      </w:pPr>
      <w:hyperlink w:anchor="_Toc135921299" w:history="1">
        <w:r w:rsidR="00B35091" w:rsidRPr="00676202">
          <w:rPr>
            <w:rStyle w:val="Hipervnculo"/>
            <w:rFonts w:ascii="Times New Roman Bold" w:hAnsi="Times New Roman Bold"/>
          </w:rPr>
          <w:t>2.1</w:t>
        </w:r>
        <w:r w:rsidR="00B35091">
          <w:rPr>
            <w:rFonts w:asciiTheme="minorHAnsi" w:eastAsiaTheme="minorEastAsia" w:hAnsiTheme="minorHAnsi"/>
            <w:kern w:val="2"/>
            <w:lang w:val="en-GB" w:eastAsia="en-GB"/>
            <w14:ligatures w14:val="standardContextual"/>
          </w:rPr>
          <w:tab/>
        </w:r>
        <w:r w:rsidR="00B35091" w:rsidRPr="00676202">
          <w:rPr>
            <w:rStyle w:val="Hipervnculo"/>
          </w:rPr>
          <w:t>Costeo a largo plazo</w:t>
        </w:r>
        <w:r w:rsidR="00B35091">
          <w:rPr>
            <w:webHidden/>
          </w:rPr>
          <w:tab/>
        </w:r>
        <w:r w:rsidR="00B35091">
          <w:rPr>
            <w:webHidden/>
          </w:rPr>
          <w:fldChar w:fldCharType="begin"/>
        </w:r>
        <w:r w:rsidR="00B35091">
          <w:rPr>
            <w:webHidden/>
          </w:rPr>
          <w:instrText xml:space="preserve"> PAGEREF _Toc135921299 \h </w:instrText>
        </w:r>
        <w:r w:rsidR="00B35091">
          <w:rPr>
            <w:webHidden/>
          </w:rPr>
        </w:r>
        <w:r w:rsidR="00B35091">
          <w:rPr>
            <w:webHidden/>
          </w:rPr>
          <w:fldChar w:fldCharType="separate"/>
        </w:r>
        <w:r>
          <w:rPr>
            <w:webHidden/>
          </w:rPr>
          <w:t>7</w:t>
        </w:r>
        <w:r w:rsidR="00B35091">
          <w:rPr>
            <w:webHidden/>
          </w:rPr>
          <w:fldChar w:fldCharType="end"/>
        </w:r>
      </w:hyperlink>
    </w:p>
    <w:p w14:paraId="48947C23" w14:textId="4D7B35AD" w:rsidR="00B35091" w:rsidRDefault="00475202">
      <w:pPr>
        <w:pStyle w:val="TDC2"/>
        <w:rPr>
          <w:rFonts w:asciiTheme="minorHAnsi" w:eastAsiaTheme="minorEastAsia" w:hAnsiTheme="minorHAnsi"/>
          <w:kern w:val="2"/>
          <w:lang w:val="en-GB" w:eastAsia="en-GB"/>
          <w14:ligatures w14:val="standardContextual"/>
        </w:rPr>
      </w:pPr>
      <w:hyperlink w:anchor="_Toc135921300" w:history="1">
        <w:r w:rsidR="00B35091" w:rsidRPr="00676202">
          <w:rPr>
            <w:rStyle w:val="Hipervnculo"/>
            <w:rFonts w:ascii="Times New Roman Bold" w:hAnsi="Times New Roman Bold"/>
          </w:rPr>
          <w:t>2.2</w:t>
        </w:r>
        <w:r w:rsidR="00B35091">
          <w:rPr>
            <w:rFonts w:asciiTheme="minorHAnsi" w:eastAsiaTheme="minorEastAsia" w:hAnsiTheme="minorHAnsi"/>
            <w:kern w:val="2"/>
            <w:lang w:val="en-GB" w:eastAsia="en-GB"/>
            <w14:ligatures w14:val="standardContextual"/>
          </w:rPr>
          <w:tab/>
        </w:r>
        <w:r w:rsidR="00B35091" w:rsidRPr="00676202">
          <w:rPr>
            <w:rStyle w:val="Hipervnculo"/>
          </w:rPr>
          <w:t>Costeo incremental</w:t>
        </w:r>
        <w:r w:rsidR="00B35091">
          <w:rPr>
            <w:webHidden/>
          </w:rPr>
          <w:tab/>
        </w:r>
        <w:r w:rsidR="00B35091">
          <w:rPr>
            <w:webHidden/>
          </w:rPr>
          <w:fldChar w:fldCharType="begin"/>
        </w:r>
        <w:r w:rsidR="00B35091">
          <w:rPr>
            <w:webHidden/>
          </w:rPr>
          <w:instrText xml:space="preserve"> PAGEREF _Toc135921300 \h </w:instrText>
        </w:r>
        <w:r w:rsidR="00B35091">
          <w:rPr>
            <w:webHidden/>
          </w:rPr>
        </w:r>
        <w:r w:rsidR="00B35091">
          <w:rPr>
            <w:webHidden/>
          </w:rPr>
          <w:fldChar w:fldCharType="separate"/>
        </w:r>
        <w:r>
          <w:rPr>
            <w:webHidden/>
          </w:rPr>
          <w:t>7</w:t>
        </w:r>
        <w:r w:rsidR="00B35091">
          <w:rPr>
            <w:webHidden/>
          </w:rPr>
          <w:fldChar w:fldCharType="end"/>
        </w:r>
      </w:hyperlink>
    </w:p>
    <w:p w14:paraId="036B29A7" w14:textId="1219CA1E" w:rsidR="00B35091" w:rsidRDefault="00475202">
      <w:pPr>
        <w:pStyle w:val="TDC2"/>
        <w:rPr>
          <w:rFonts w:asciiTheme="minorHAnsi" w:eastAsiaTheme="minorEastAsia" w:hAnsiTheme="minorHAnsi"/>
          <w:kern w:val="2"/>
          <w:lang w:val="en-GB" w:eastAsia="en-GB"/>
          <w14:ligatures w14:val="standardContextual"/>
        </w:rPr>
      </w:pPr>
      <w:hyperlink w:anchor="_Toc135921301" w:history="1">
        <w:r w:rsidR="00B35091" w:rsidRPr="00676202">
          <w:rPr>
            <w:rStyle w:val="Hipervnculo"/>
            <w:rFonts w:ascii="Times New Roman Bold" w:hAnsi="Times New Roman Bold"/>
          </w:rPr>
          <w:t>2.3</w:t>
        </w:r>
        <w:r w:rsidR="00B35091">
          <w:rPr>
            <w:rFonts w:asciiTheme="minorHAnsi" w:eastAsiaTheme="minorEastAsia" w:hAnsiTheme="minorHAnsi"/>
            <w:kern w:val="2"/>
            <w:lang w:val="en-GB" w:eastAsia="en-GB"/>
            <w14:ligatures w14:val="standardContextual"/>
          </w:rPr>
          <w:tab/>
        </w:r>
        <w:r w:rsidR="00B35091" w:rsidRPr="00676202">
          <w:rPr>
            <w:rStyle w:val="Hipervnculo"/>
          </w:rPr>
          <w:t>Competitividad y disputabilidad</w:t>
        </w:r>
        <w:r w:rsidR="00B35091">
          <w:rPr>
            <w:webHidden/>
          </w:rPr>
          <w:tab/>
        </w:r>
        <w:r w:rsidR="00B35091">
          <w:rPr>
            <w:webHidden/>
          </w:rPr>
          <w:fldChar w:fldCharType="begin"/>
        </w:r>
        <w:r w:rsidR="00B35091">
          <w:rPr>
            <w:webHidden/>
          </w:rPr>
          <w:instrText xml:space="preserve"> PAGEREF _Toc135921301 \h </w:instrText>
        </w:r>
        <w:r w:rsidR="00B35091">
          <w:rPr>
            <w:webHidden/>
          </w:rPr>
        </w:r>
        <w:r w:rsidR="00B35091">
          <w:rPr>
            <w:webHidden/>
          </w:rPr>
          <w:fldChar w:fldCharType="separate"/>
        </w:r>
        <w:r>
          <w:rPr>
            <w:webHidden/>
          </w:rPr>
          <w:t>9</w:t>
        </w:r>
        <w:r w:rsidR="00B35091">
          <w:rPr>
            <w:webHidden/>
          </w:rPr>
          <w:fldChar w:fldCharType="end"/>
        </w:r>
      </w:hyperlink>
    </w:p>
    <w:p w14:paraId="4129A477" w14:textId="77C2AF08" w:rsidR="00B35091" w:rsidRDefault="00475202">
      <w:pPr>
        <w:pStyle w:val="TDC2"/>
        <w:rPr>
          <w:rFonts w:asciiTheme="minorHAnsi" w:eastAsiaTheme="minorEastAsia" w:hAnsiTheme="minorHAnsi"/>
          <w:kern w:val="2"/>
          <w:lang w:val="en-GB" w:eastAsia="en-GB"/>
          <w14:ligatures w14:val="standardContextual"/>
        </w:rPr>
      </w:pPr>
      <w:hyperlink w:anchor="_Toc135921302" w:history="1">
        <w:r w:rsidR="00B35091" w:rsidRPr="00676202">
          <w:rPr>
            <w:rStyle w:val="Hipervnculo"/>
            <w:rFonts w:ascii="Times New Roman Bold" w:hAnsi="Times New Roman Bold"/>
          </w:rPr>
          <w:t>2.4</w:t>
        </w:r>
        <w:r w:rsidR="00B35091">
          <w:rPr>
            <w:rFonts w:asciiTheme="minorHAnsi" w:eastAsiaTheme="minorEastAsia" w:hAnsiTheme="minorHAnsi"/>
            <w:kern w:val="2"/>
            <w:lang w:val="en-GB" w:eastAsia="en-GB"/>
            <w14:ligatures w14:val="standardContextual"/>
          </w:rPr>
          <w:tab/>
        </w:r>
        <w:r w:rsidR="00B35091" w:rsidRPr="00676202">
          <w:rPr>
            <w:rStyle w:val="Hipervnculo"/>
          </w:rPr>
          <w:t>Costos incurridos de manera eficiente</w:t>
        </w:r>
        <w:r w:rsidR="00B35091">
          <w:rPr>
            <w:webHidden/>
          </w:rPr>
          <w:tab/>
        </w:r>
        <w:r w:rsidR="00B35091">
          <w:rPr>
            <w:webHidden/>
          </w:rPr>
          <w:fldChar w:fldCharType="begin"/>
        </w:r>
        <w:r w:rsidR="00B35091">
          <w:rPr>
            <w:webHidden/>
          </w:rPr>
          <w:instrText xml:space="preserve"> PAGEREF _Toc135921302 \h </w:instrText>
        </w:r>
        <w:r w:rsidR="00B35091">
          <w:rPr>
            <w:webHidden/>
          </w:rPr>
        </w:r>
        <w:r w:rsidR="00B35091">
          <w:rPr>
            <w:webHidden/>
          </w:rPr>
          <w:fldChar w:fldCharType="separate"/>
        </w:r>
        <w:r>
          <w:rPr>
            <w:webHidden/>
          </w:rPr>
          <w:t>9</w:t>
        </w:r>
        <w:r w:rsidR="00B35091">
          <w:rPr>
            <w:webHidden/>
          </w:rPr>
          <w:fldChar w:fldCharType="end"/>
        </w:r>
      </w:hyperlink>
    </w:p>
    <w:p w14:paraId="759736EE" w14:textId="5C02C9A4" w:rsidR="00B35091" w:rsidRDefault="00475202">
      <w:pPr>
        <w:pStyle w:val="TDC2"/>
        <w:rPr>
          <w:rFonts w:asciiTheme="minorHAnsi" w:eastAsiaTheme="minorEastAsia" w:hAnsiTheme="minorHAnsi"/>
          <w:kern w:val="2"/>
          <w:lang w:val="en-GB" w:eastAsia="en-GB"/>
          <w14:ligatures w14:val="standardContextual"/>
        </w:rPr>
      </w:pPr>
      <w:hyperlink w:anchor="_Toc135921303" w:history="1">
        <w:r w:rsidR="00B35091" w:rsidRPr="00676202">
          <w:rPr>
            <w:rStyle w:val="Hipervnculo"/>
            <w:rFonts w:ascii="Times New Roman Bold" w:hAnsi="Times New Roman Bold"/>
          </w:rPr>
          <w:t>2.5</w:t>
        </w:r>
        <w:r w:rsidR="00B35091">
          <w:rPr>
            <w:rFonts w:asciiTheme="minorHAnsi" w:eastAsiaTheme="minorEastAsia" w:hAnsiTheme="minorHAnsi"/>
            <w:kern w:val="2"/>
            <w:lang w:val="en-GB" w:eastAsia="en-GB"/>
            <w14:ligatures w14:val="standardContextual"/>
          </w:rPr>
          <w:tab/>
        </w:r>
        <w:r w:rsidR="00B35091" w:rsidRPr="00676202">
          <w:rPr>
            <w:rStyle w:val="Hipervnculo"/>
          </w:rPr>
          <w:t>Costos del servicio utilizando tecnologías modernas</w:t>
        </w:r>
        <w:r w:rsidR="00B35091">
          <w:rPr>
            <w:webHidden/>
          </w:rPr>
          <w:tab/>
        </w:r>
        <w:r w:rsidR="00B35091">
          <w:rPr>
            <w:webHidden/>
          </w:rPr>
          <w:fldChar w:fldCharType="begin"/>
        </w:r>
        <w:r w:rsidR="00B35091">
          <w:rPr>
            <w:webHidden/>
          </w:rPr>
          <w:instrText xml:space="preserve"> PAGEREF _Toc135921303 \h </w:instrText>
        </w:r>
        <w:r w:rsidR="00B35091">
          <w:rPr>
            <w:webHidden/>
          </w:rPr>
        </w:r>
        <w:r w:rsidR="00B35091">
          <w:rPr>
            <w:webHidden/>
          </w:rPr>
          <w:fldChar w:fldCharType="separate"/>
        </w:r>
        <w:r>
          <w:rPr>
            <w:webHidden/>
          </w:rPr>
          <w:t>10</w:t>
        </w:r>
        <w:r w:rsidR="00B35091">
          <w:rPr>
            <w:webHidden/>
          </w:rPr>
          <w:fldChar w:fldCharType="end"/>
        </w:r>
      </w:hyperlink>
    </w:p>
    <w:p w14:paraId="45233029" w14:textId="4A1C342D" w:rsidR="00B35091" w:rsidRDefault="00475202">
      <w:pPr>
        <w:pStyle w:val="TDC2"/>
        <w:rPr>
          <w:rFonts w:asciiTheme="minorHAnsi" w:eastAsiaTheme="minorEastAsia" w:hAnsiTheme="minorHAnsi"/>
          <w:kern w:val="2"/>
          <w:lang w:val="en-GB" w:eastAsia="en-GB"/>
          <w14:ligatures w14:val="standardContextual"/>
        </w:rPr>
      </w:pPr>
      <w:hyperlink w:anchor="_Toc135921304" w:history="1">
        <w:r w:rsidR="00B35091" w:rsidRPr="00676202">
          <w:rPr>
            <w:rStyle w:val="Hipervnculo"/>
            <w:rFonts w:ascii="Times New Roman Bold" w:hAnsi="Times New Roman Bold"/>
          </w:rPr>
          <w:t>2.6</w:t>
        </w:r>
        <w:r w:rsidR="00B35091">
          <w:rPr>
            <w:rFonts w:asciiTheme="minorHAnsi" w:eastAsiaTheme="minorEastAsia" w:hAnsiTheme="minorHAnsi"/>
            <w:kern w:val="2"/>
            <w:lang w:val="en-GB" w:eastAsia="en-GB"/>
            <w14:ligatures w14:val="standardContextual"/>
          </w:rPr>
          <w:tab/>
        </w:r>
        <w:r w:rsidR="00B35091" w:rsidRPr="00676202">
          <w:rPr>
            <w:rStyle w:val="Hipervnculo"/>
          </w:rPr>
          <w:t>Costos a futuro</w:t>
        </w:r>
        <w:r w:rsidR="00B35091">
          <w:rPr>
            <w:webHidden/>
          </w:rPr>
          <w:tab/>
        </w:r>
        <w:r w:rsidR="00B35091">
          <w:rPr>
            <w:webHidden/>
          </w:rPr>
          <w:fldChar w:fldCharType="begin"/>
        </w:r>
        <w:r w:rsidR="00B35091">
          <w:rPr>
            <w:webHidden/>
          </w:rPr>
          <w:instrText xml:space="preserve"> PAGEREF _Toc135921304 \h </w:instrText>
        </w:r>
        <w:r w:rsidR="00B35091">
          <w:rPr>
            <w:webHidden/>
          </w:rPr>
        </w:r>
        <w:r w:rsidR="00B35091">
          <w:rPr>
            <w:webHidden/>
          </w:rPr>
          <w:fldChar w:fldCharType="separate"/>
        </w:r>
        <w:r>
          <w:rPr>
            <w:webHidden/>
          </w:rPr>
          <w:t>11</w:t>
        </w:r>
        <w:r w:rsidR="00B35091">
          <w:rPr>
            <w:webHidden/>
          </w:rPr>
          <w:fldChar w:fldCharType="end"/>
        </w:r>
      </w:hyperlink>
    </w:p>
    <w:p w14:paraId="71FB7DB7" w14:textId="262EA76D" w:rsidR="00B35091" w:rsidRDefault="00475202">
      <w:pPr>
        <w:pStyle w:val="TDC1"/>
        <w:rPr>
          <w:rFonts w:asciiTheme="minorHAnsi" w:eastAsiaTheme="minorEastAsia" w:hAnsiTheme="minorHAnsi"/>
          <w:b w:val="0"/>
          <w:noProof/>
          <w:kern w:val="2"/>
          <w:lang w:val="en-GB" w:eastAsia="en-GB"/>
          <w14:ligatures w14:val="standardContextual"/>
        </w:rPr>
      </w:pPr>
      <w:hyperlink w:anchor="_Toc135921305" w:history="1">
        <w:r w:rsidR="00B35091" w:rsidRPr="00676202">
          <w:rPr>
            <w:rStyle w:val="Hipervnculo"/>
            <w:noProof/>
          </w:rPr>
          <w:t>3</w:t>
        </w:r>
        <w:r w:rsidR="00B35091">
          <w:rPr>
            <w:rFonts w:asciiTheme="minorHAnsi" w:eastAsiaTheme="minorEastAsia" w:hAnsiTheme="minorHAnsi"/>
            <w:b w:val="0"/>
            <w:noProof/>
            <w:kern w:val="2"/>
            <w:lang w:val="en-GB" w:eastAsia="en-GB"/>
            <w14:ligatures w14:val="standardContextual"/>
          </w:rPr>
          <w:tab/>
        </w:r>
        <w:r w:rsidR="00B35091" w:rsidRPr="00676202">
          <w:rPr>
            <w:rStyle w:val="Hipervnculo"/>
            <w:noProof/>
          </w:rPr>
          <w:t>Aspectos específicos del operador modelado</w:t>
        </w:r>
        <w:r w:rsidR="00B35091">
          <w:rPr>
            <w:noProof/>
            <w:webHidden/>
          </w:rPr>
          <w:tab/>
        </w:r>
        <w:r w:rsidR="00B35091">
          <w:rPr>
            <w:noProof/>
            <w:webHidden/>
          </w:rPr>
          <w:fldChar w:fldCharType="begin"/>
        </w:r>
        <w:r w:rsidR="00B35091">
          <w:rPr>
            <w:noProof/>
            <w:webHidden/>
          </w:rPr>
          <w:instrText xml:space="preserve"> PAGEREF _Toc135921305 \h </w:instrText>
        </w:r>
        <w:r w:rsidR="00B35091">
          <w:rPr>
            <w:noProof/>
            <w:webHidden/>
          </w:rPr>
        </w:r>
        <w:r w:rsidR="00B35091">
          <w:rPr>
            <w:noProof/>
            <w:webHidden/>
          </w:rPr>
          <w:fldChar w:fldCharType="separate"/>
        </w:r>
        <w:r>
          <w:rPr>
            <w:noProof/>
            <w:webHidden/>
          </w:rPr>
          <w:t>12</w:t>
        </w:r>
        <w:r w:rsidR="00B35091">
          <w:rPr>
            <w:noProof/>
            <w:webHidden/>
          </w:rPr>
          <w:fldChar w:fldCharType="end"/>
        </w:r>
      </w:hyperlink>
    </w:p>
    <w:p w14:paraId="5812DA1A" w14:textId="49EC426B" w:rsidR="00B35091" w:rsidRDefault="00475202">
      <w:pPr>
        <w:pStyle w:val="TDC2"/>
        <w:rPr>
          <w:rFonts w:asciiTheme="minorHAnsi" w:eastAsiaTheme="minorEastAsia" w:hAnsiTheme="minorHAnsi"/>
          <w:kern w:val="2"/>
          <w:lang w:val="en-GB" w:eastAsia="en-GB"/>
          <w14:ligatures w14:val="standardContextual"/>
        </w:rPr>
      </w:pPr>
      <w:hyperlink w:anchor="_Toc135921306" w:history="1">
        <w:r w:rsidR="00B35091" w:rsidRPr="00676202">
          <w:rPr>
            <w:rStyle w:val="Hipervnculo"/>
            <w:rFonts w:ascii="Times New Roman Bold" w:hAnsi="Times New Roman Bold"/>
          </w:rPr>
          <w:t>3.1</w:t>
        </w:r>
        <w:r w:rsidR="00B35091">
          <w:rPr>
            <w:rFonts w:asciiTheme="minorHAnsi" w:eastAsiaTheme="minorEastAsia" w:hAnsiTheme="minorHAnsi"/>
            <w:kern w:val="2"/>
            <w:lang w:val="en-GB" w:eastAsia="en-GB"/>
            <w14:ligatures w14:val="standardContextual"/>
          </w:rPr>
          <w:tab/>
        </w:r>
        <w:r w:rsidR="00B35091" w:rsidRPr="00676202">
          <w:rPr>
            <w:rStyle w:val="Hipervnculo"/>
          </w:rPr>
          <w:t>Tipo de operador</w:t>
        </w:r>
        <w:r w:rsidR="00B35091">
          <w:rPr>
            <w:webHidden/>
          </w:rPr>
          <w:tab/>
        </w:r>
        <w:r w:rsidR="00B35091">
          <w:rPr>
            <w:webHidden/>
          </w:rPr>
          <w:fldChar w:fldCharType="begin"/>
        </w:r>
        <w:r w:rsidR="00B35091">
          <w:rPr>
            <w:webHidden/>
          </w:rPr>
          <w:instrText xml:space="preserve"> PAGEREF _Toc135921306 \h </w:instrText>
        </w:r>
        <w:r w:rsidR="00B35091">
          <w:rPr>
            <w:webHidden/>
          </w:rPr>
        </w:r>
        <w:r w:rsidR="00B35091">
          <w:rPr>
            <w:webHidden/>
          </w:rPr>
          <w:fldChar w:fldCharType="separate"/>
        </w:r>
        <w:r>
          <w:rPr>
            <w:webHidden/>
          </w:rPr>
          <w:t>12</w:t>
        </w:r>
        <w:r w:rsidR="00B35091">
          <w:rPr>
            <w:webHidden/>
          </w:rPr>
          <w:fldChar w:fldCharType="end"/>
        </w:r>
      </w:hyperlink>
    </w:p>
    <w:p w14:paraId="664604C4" w14:textId="72CB0B07" w:rsidR="00B35091" w:rsidRDefault="00475202">
      <w:pPr>
        <w:pStyle w:val="TDC2"/>
        <w:rPr>
          <w:rFonts w:asciiTheme="minorHAnsi" w:eastAsiaTheme="minorEastAsia" w:hAnsiTheme="minorHAnsi"/>
          <w:kern w:val="2"/>
          <w:lang w:val="en-GB" w:eastAsia="en-GB"/>
          <w14:ligatures w14:val="standardContextual"/>
        </w:rPr>
      </w:pPr>
      <w:hyperlink w:anchor="_Toc135921307" w:history="1">
        <w:r w:rsidR="00B35091" w:rsidRPr="00676202">
          <w:rPr>
            <w:rStyle w:val="Hipervnculo"/>
            <w:rFonts w:ascii="Times New Roman Bold" w:hAnsi="Times New Roman Bold"/>
          </w:rPr>
          <w:t>3.2</w:t>
        </w:r>
        <w:r w:rsidR="00B35091">
          <w:rPr>
            <w:rFonts w:asciiTheme="minorHAnsi" w:eastAsiaTheme="minorEastAsia" w:hAnsiTheme="minorHAnsi"/>
            <w:kern w:val="2"/>
            <w:lang w:val="en-GB" w:eastAsia="en-GB"/>
            <w14:ligatures w14:val="standardContextual"/>
          </w:rPr>
          <w:tab/>
        </w:r>
        <w:r w:rsidR="00B35091" w:rsidRPr="00676202">
          <w:rPr>
            <w:rStyle w:val="Hipervnculo"/>
          </w:rPr>
          <w:t>Tamaño de los operadores modelados</w:t>
        </w:r>
        <w:r w:rsidR="00B35091">
          <w:rPr>
            <w:webHidden/>
          </w:rPr>
          <w:tab/>
        </w:r>
        <w:r w:rsidR="00B35091">
          <w:rPr>
            <w:webHidden/>
          </w:rPr>
          <w:fldChar w:fldCharType="begin"/>
        </w:r>
        <w:r w:rsidR="00B35091">
          <w:rPr>
            <w:webHidden/>
          </w:rPr>
          <w:instrText xml:space="preserve"> PAGEREF _Toc135921307 \h </w:instrText>
        </w:r>
        <w:r w:rsidR="00B35091">
          <w:rPr>
            <w:webHidden/>
          </w:rPr>
        </w:r>
        <w:r w:rsidR="00B35091">
          <w:rPr>
            <w:webHidden/>
          </w:rPr>
          <w:fldChar w:fldCharType="separate"/>
        </w:r>
        <w:r>
          <w:rPr>
            <w:webHidden/>
          </w:rPr>
          <w:t>16</w:t>
        </w:r>
        <w:r w:rsidR="00B35091">
          <w:rPr>
            <w:webHidden/>
          </w:rPr>
          <w:fldChar w:fldCharType="end"/>
        </w:r>
      </w:hyperlink>
    </w:p>
    <w:p w14:paraId="2731AD92" w14:textId="429C2FE0" w:rsidR="00B35091" w:rsidRDefault="00475202">
      <w:pPr>
        <w:pStyle w:val="TDC2"/>
        <w:rPr>
          <w:rFonts w:asciiTheme="minorHAnsi" w:eastAsiaTheme="minorEastAsia" w:hAnsiTheme="minorHAnsi"/>
          <w:kern w:val="2"/>
          <w:lang w:val="en-GB" w:eastAsia="en-GB"/>
          <w14:ligatures w14:val="standardContextual"/>
        </w:rPr>
      </w:pPr>
      <w:hyperlink w:anchor="_Toc135921308" w:history="1">
        <w:r w:rsidR="00B35091" w:rsidRPr="00676202">
          <w:rPr>
            <w:rStyle w:val="Hipervnculo"/>
            <w:rFonts w:ascii="Times New Roman Bold" w:hAnsi="Times New Roman Bold"/>
          </w:rPr>
          <w:t>3.3</w:t>
        </w:r>
        <w:r w:rsidR="00B35091">
          <w:rPr>
            <w:rFonts w:asciiTheme="minorHAnsi" w:eastAsiaTheme="minorEastAsia" w:hAnsiTheme="minorHAnsi"/>
            <w:kern w:val="2"/>
            <w:lang w:val="en-GB" w:eastAsia="en-GB"/>
            <w14:ligatures w14:val="standardContextual"/>
          </w:rPr>
          <w:tab/>
        </w:r>
        <w:r w:rsidR="00B35091" w:rsidRPr="00676202">
          <w:rPr>
            <w:rStyle w:val="Hipervnculo"/>
          </w:rPr>
          <w:t>Configuración de la red de los operadores modelados</w:t>
        </w:r>
        <w:r w:rsidR="00B35091">
          <w:rPr>
            <w:webHidden/>
          </w:rPr>
          <w:tab/>
        </w:r>
        <w:r w:rsidR="00B35091">
          <w:rPr>
            <w:webHidden/>
          </w:rPr>
          <w:fldChar w:fldCharType="begin"/>
        </w:r>
        <w:r w:rsidR="00B35091">
          <w:rPr>
            <w:webHidden/>
          </w:rPr>
          <w:instrText xml:space="preserve"> PAGEREF _Toc135921308 \h </w:instrText>
        </w:r>
        <w:r w:rsidR="00B35091">
          <w:rPr>
            <w:webHidden/>
          </w:rPr>
        </w:r>
        <w:r w:rsidR="00B35091">
          <w:rPr>
            <w:webHidden/>
          </w:rPr>
          <w:fldChar w:fldCharType="separate"/>
        </w:r>
        <w:r>
          <w:rPr>
            <w:webHidden/>
          </w:rPr>
          <w:t>18</w:t>
        </w:r>
        <w:r w:rsidR="00B35091">
          <w:rPr>
            <w:webHidden/>
          </w:rPr>
          <w:fldChar w:fldCharType="end"/>
        </w:r>
      </w:hyperlink>
    </w:p>
    <w:p w14:paraId="37DC6FC3" w14:textId="0AE89880" w:rsidR="00B35091" w:rsidRDefault="00475202">
      <w:pPr>
        <w:pStyle w:val="TDC1"/>
        <w:rPr>
          <w:rFonts w:asciiTheme="minorHAnsi" w:eastAsiaTheme="minorEastAsia" w:hAnsiTheme="minorHAnsi"/>
          <w:b w:val="0"/>
          <w:noProof/>
          <w:kern w:val="2"/>
          <w:lang w:val="en-GB" w:eastAsia="en-GB"/>
          <w14:ligatures w14:val="standardContextual"/>
        </w:rPr>
      </w:pPr>
      <w:hyperlink w:anchor="_Toc135921309" w:history="1">
        <w:r w:rsidR="00B35091" w:rsidRPr="00676202">
          <w:rPr>
            <w:rStyle w:val="Hipervnculo"/>
            <w:noProof/>
          </w:rPr>
          <w:t>4</w:t>
        </w:r>
        <w:r w:rsidR="00B35091">
          <w:rPr>
            <w:rFonts w:asciiTheme="minorHAnsi" w:eastAsiaTheme="minorEastAsia" w:hAnsiTheme="minorHAnsi"/>
            <w:b w:val="0"/>
            <w:noProof/>
            <w:kern w:val="2"/>
            <w:lang w:val="en-GB" w:eastAsia="en-GB"/>
            <w14:ligatures w14:val="standardContextual"/>
          </w:rPr>
          <w:tab/>
        </w:r>
        <w:r w:rsidR="00B35091" w:rsidRPr="00676202">
          <w:rPr>
            <w:rStyle w:val="Hipervnculo"/>
            <w:noProof/>
          </w:rPr>
          <w:t>Aspectos relacionados con las tecnologías modeladas</w:t>
        </w:r>
        <w:r w:rsidR="00B35091">
          <w:rPr>
            <w:noProof/>
            <w:webHidden/>
          </w:rPr>
          <w:tab/>
        </w:r>
        <w:r w:rsidR="00B35091">
          <w:rPr>
            <w:noProof/>
            <w:webHidden/>
          </w:rPr>
          <w:fldChar w:fldCharType="begin"/>
        </w:r>
        <w:r w:rsidR="00B35091">
          <w:rPr>
            <w:noProof/>
            <w:webHidden/>
          </w:rPr>
          <w:instrText xml:space="preserve"> PAGEREF _Toc135921309 \h </w:instrText>
        </w:r>
        <w:r w:rsidR="00B35091">
          <w:rPr>
            <w:noProof/>
            <w:webHidden/>
          </w:rPr>
        </w:r>
        <w:r w:rsidR="00B35091">
          <w:rPr>
            <w:noProof/>
            <w:webHidden/>
          </w:rPr>
          <w:fldChar w:fldCharType="separate"/>
        </w:r>
        <w:r>
          <w:rPr>
            <w:noProof/>
            <w:webHidden/>
          </w:rPr>
          <w:t>22</w:t>
        </w:r>
        <w:r w:rsidR="00B35091">
          <w:rPr>
            <w:noProof/>
            <w:webHidden/>
          </w:rPr>
          <w:fldChar w:fldCharType="end"/>
        </w:r>
      </w:hyperlink>
    </w:p>
    <w:p w14:paraId="1EB86EBF" w14:textId="6409C636" w:rsidR="00B35091" w:rsidRDefault="00475202">
      <w:pPr>
        <w:pStyle w:val="TDC2"/>
        <w:rPr>
          <w:rFonts w:asciiTheme="minorHAnsi" w:eastAsiaTheme="minorEastAsia" w:hAnsiTheme="minorHAnsi"/>
          <w:kern w:val="2"/>
          <w:lang w:val="en-GB" w:eastAsia="en-GB"/>
          <w14:ligatures w14:val="standardContextual"/>
        </w:rPr>
      </w:pPr>
      <w:hyperlink w:anchor="_Toc135921310" w:history="1">
        <w:r w:rsidR="00B35091" w:rsidRPr="00676202">
          <w:rPr>
            <w:rStyle w:val="Hipervnculo"/>
            <w:rFonts w:ascii="Times New Roman Bold" w:hAnsi="Times New Roman Bold"/>
          </w:rPr>
          <w:t>4.1</w:t>
        </w:r>
        <w:r w:rsidR="00B35091">
          <w:rPr>
            <w:rFonts w:asciiTheme="minorHAnsi" w:eastAsiaTheme="minorEastAsia" w:hAnsiTheme="minorHAnsi"/>
            <w:kern w:val="2"/>
            <w:lang w:val="en-GB" w:eastAsia="en-GB"/>
            <w14:ligatures w14:val="standardContextual"/>
          </w:rPr>
          <w:tab/>
        </w:r>
        <w:r w:rsidR="00B35091" w:rsidRPr="00676202">
          <w:rPr>
            <w:rStyle w:val="Hipervnculo"/>
          </w:rPr>
          <w:t>Arquitectura moderna de red</w:t>
        </w:r>
        <w:r w:rsidR="00B35091">
          <w:rPr>
            <w:webHidden/>
          </w:rPr>
          <w:tab/>
        </w:r>
        <w:r w:rsidR="00B35091">
          <w:rPr>
            <w:webHidden/>
          </w:rPr>
          <w:fldChar w:fldCharType="begin"/>
        </w:r>
        <w:r w:rsidR="00B35091">
          <w:rPr>
            <w:webHidden/>
          </w:rPr>
          <w:instrText xml:space="preserve"> PAGEREF _Toc135921310 \h </w:instrText>
        </w:r>
        <w:r w:rsidR="00B35091">
          <w:rPr>
            <w:webHidden/>
          </w:rPr>
        </w:r>
        <w:r w:rsidR="00B35091">
          <w:rPr>
            <w:webHidden/>
          </w:rPr>
          <w:fldChar w:fldCharType="separate"/>
        </w:r>
        <w:r>
          <w:rPr>
            <w:webHidden/>
          </w:rPr>
          <w:t>22</w:t>
        </w:r>
        <w:r w:rsidR="00B35091">
          <w:rPr>
            <w:webHidden/>
          </w:rPr>
          <w:fldChar w:fldCharType="end"/>
        </w:r>
      </w:hyperlink>
    </w:p>
    <w:p w14:paraId="247D663D" w14:textId="0E1A71FC" w:rsidR="00B35091" w:rsidRDefault="00475202">
      <w:pPr>
        <w:pStyle w:val="TDC2"/>
        <w:rPr>
          <w:rFonts w:asciiTheme="minorHAnsi" w:eastAsiaTheme="minorEastAsia" w:hAnsiTheme="minorHAnsi"/>
          <w:kern w:val="2"/>
          <w:lang w:val="en-GB" w:eastAsia="en-GB"/>
          <w14:ligatures w14:val="standardContextual"/>
        </w:rPr>
      </w:pPr>
      <w:hyperlink w:anchor="_Toc135921311" w:history="1">
        <w:r w:rsidR="00B35091" w:rsidRPr="00676202">
          <w:rPr>
            <w:rStyle w:val="Hipervnculo"/>
            <w:rFonts w:ascii="Times New Roman Bold" w:hAnsi="Times New Roman Bold"/>
          </w:rPr>
          <w:t>4.2</w:t>
        </w:r>
        <w:r w:rsidR="00B35091">
          <w:rPr>
            <w:rFonts w:asciiTheme="minorHAnsi" w:eastAsiaTheme="minorEastAsia" w:hAnsiTheme="minorHAnsi"/>
            <w:kern w:val="2"/>
            <w:lang w:val="en-GB" w:eastAsia="en-GB"/>
            <w14:ligatures w14:val="standardContextual"/>
          </w:rPr>
          <w:tab/>
        </w:r>
        <w:r w:rsidR="00B35091" w:rsidRPr="00676202">
          <w:rPr>
            <w:rStyle w:val="Hipervnculo"/>
          </w:rPr>
          <w:t>Demarcación de las capas de red</w:t>
        </w:r>
        <w:r w:rsidR="00B35091">
          <w:rPr>
            <w:webHidden/>
          </w:rPr>
          <w:tab/>
        </w:r>
        <w:r w:rsidR="00B35091">
          <w:rPr>
            <w:webHidden/>
          </w:rPr>
          <w:fldChar w:fldCharType="begin"/>
        </w:r>
        <w:r w:rsidR="00B35091">
          <w:rPr>
            <w:webHidden/>
          </w:rPr>
          <w:instrText xml:space="preserve"> PAGEREF _Toc135921311 \h </w:instrText>
        </w:r>
        <w:r w:rsidR="00B35091">
          <w:rPr>
            <w:webHidden/>
          </w:rPr>
        </w:r>
        <w:r w:rsidR="00B35091">
          <w:rPr>
            <w:webHidden/>
          </w:rPr>
          <w:fldChar w:fldCharType="separate"/>
        </w:r>
        <w:r>
          <w:rPr>
            <w:webHidden/>
          </w:rPr>
          <w:t>32</w:t>
        </w:r>
        <w:r w:rsidR="00B35091">
          <w:rPr>
            <w:webHidden/>
          </w:rPr>
          <w:fldChar w:fldCharType="end"/>
        </w:r>
      </w:hyperlink>
    </w:p>
    <w:p w14:paraId="79C7E542" w14:textId="61DDA49C" w:rsidR="00B35091" w:rsidRDefault="00475202">
      <w:pPr>
        <w:pStyle w:val="TDC2"/>
        <w:rPr>
          <w:rFonts w:asciiTheme="minorHAnsi" w:eastAsiaTheme="minorEastAsia" w:hAnsiTheme="minorHAnsi"/>
          <w:kern w:val="2"/>
          <w:lang w:val="en-GB" w:eastAsia="en-GB"/>
          <w14:ligatures w14:val="standardContextual"/>
        </w:rPr>
      </w:pPr>
      <w:hyperlink w:anchor="_Toc135921312" w:history="1">
        <w:r w:rsidR="00B35091" w:rsidRPr="00676202">
          <w:rPr>
            <w:rStyle w:val="Hipervnculo"/>
            <w:rFonts w:ascii="Times New Roman Bold" w:hAnsi="Times New Roman Bold"/>
          </w:rPr>
          <w:t>4.3</w:t>
        </w:r>
        <w:r w:rsidR="00B35091">
          <w:rPr>
            <w:rFonts w:asciiTheme="minorHAnsi" w:eastAsiaTheme="minorEastAsia" w:hAnsiTheme="minorHAnsi"/>
            <w:kern w:val="2"/>
            <w:lang w:val="en-GB" w:eastAsia="en-GB"/>
            <w14:ligatures w14:val="standardContextual"/>
          </w:rPr>
          <w:tab/>
        </w:r>
        <w:r w:rsidR="00B35091" w:rsidRPr="00676202">
          <w:rPr>
            <w:rStyle w:val="Hipervnculo"/>
          </w:rPr>
          <w:t>Nodos de la red</w:t>
        </w:r>
        <w:r w:rsidR="00B35091">
          <w:rPr>
            <w:webHidden/>
          </w:rPr>
          <w:tab/>
        </w:r>
        <w:r w:rsidR="00B35091">
          <w:rPr>
            <w:webHidden/>
          </w:rPr>
          <w:fldChar w:fldCharType="begin"/>
        </w:r>
        <w:r w:rsidR="00B35091">
          <w:rPr>
            <w:webHidden/>
          </w:rPr>
          <w:instrText xml:space="preserve"> PAGEREF _Toc135921312 \h </w:instrText>
        </w:r>
        <w:r w:rsidR="00B35091">
          <w:rPr>
            <w:webHidden/>
          </w:rPr>
        </w:r>
        <w:r w:rsidR="00B35091">
          <w:rPr>
            <w:webHidden/>
          </w:rPr>
          <w:fldChar w:fldCharType="separate"/>
        </w:r>
        <w:r>
          <w:rPr>
            <w:webHidden/>
          </w:rPr>
          <w:t>32</w:t>
        </w:r>
        <w:r w:rsidR="00B35091">
          <w:rPr>
            <w:webHidden/>
          </w:rPr>
          <w:fldChar w:fldCharType="end"/>
        </w:r>
      </w:hyperlink>
    </w:p>
    <w:p w14:paraId="04B3108A" w14:textId="2CD70B13" w:rsidR="00B35091" w:rsidRDefault="00475202">
      <w:pPr>
        <w:pStyle w:val="TDC1"/>
        <w:rPr>
          <w:rFonts w:asciiTheme="minorHAnsi" w:eastAsiaTheme="minorEastAsia" w:hAnsiTheme="minorHAnsi"/>
          <w:b w:val="0"/>
          <w:noProof/>
          <w:kern w:val="2"/>
          <w:lang w:val="en-GB" w:eastAsia="en-GB"/>
          <w14:ligatures w14:val="standardContextual"/>
        </w:rPr>
      </w:pPr>
      <w:hyperlink w:anchor="_Toc135921313" w:history="1">
        <w:r w:rsidR="00B35091" w:rsidRPr="00676202">
          <w:rPr>
            <w:rStyle w:val="Hipervnculo"/>
            <w:noProof/>
          </w:rPr>
          <w:t>5</w:t>
        </w:r>
        <w:r w:rsidR="00B35091">
          <w:rPr>
            <w:rFonts w:asciiTheme="minorHAnsi" w:eastAsiaTheme="minorEastAsia" w:hAnsiTheme="minorHAnsi"/>
            <w:b w:val="0"/>
            <w:noProof/>
            <w:kern w:val="2"/>
            <w:lang w:val="en-GB" w:eastAsia="en-GB"/>
            <w14:ligatures w14:val="standardContextual"/>
          </w:rPr>
          <w:tab/>
        </w:r>
        <w:r w:rsidR="00B35091" w:rsidRPr="00676202">
          <w:rPr>
            <w:rStyle w:val="Hipervnculo"/>
            <w:noProof/>
          </w:rPr>
          <w:t>Aspectos relacionados con los servicios</w:t>
        </w:r>
        <w:r w:rsidR="00B35091">
          <w:rPr>
            <w:noProof/>
            <w:webHidden/>
          </w:rPr>
          <w:tab/>
        </w:r>
        <w:r w:rsidR="00B35091">
          <w:rPr>
            <w:noProof/>
            <w:webHidden/>
          </w:rPr>
          <w:fldChar w:fldCharType="begin"/>
        </w:r>
        <w:r w:rsidR="00B35091">
          <w:rPr>
            <w:noProof/>
            <w:webHidden/>
          </w:rPr>
          <w:instrText xml:space="preserve"> PAGEREF _Toc135921313 \h </w:instrText>
        </w:r>
        <w:r w:rsidR="00B35091">
          <w:rPr>
            <w:noProof/>
            <w:webHidden/>
          </w:rPr>
        </w:r>
        <w:r w:rsidR="00B35091">
          <w:rPr>
            <w:noProof/>
            <w:webHidden/>
          </w:rPr>
          <w:fldChar w:fldCharType="separate"/>
        </w:r>
        <w:r>
          <w:rPr>
            <w:noProof/>
            <w:webHidden/>
          </w:rPr>
          <w:t>36</w:t>
        </w:r>
        <w:r w:rsidR="00B35091">
          <w:rPr>
            <w:noProof/>
            <w:webHidden/>
          </w:rPr>
          <w:fldChar w:fldCharType="end"/>
        </w:r>
      </w:hyperlink>
    </w:p>
    <w:p w14:paraId="648E1F79" w14:textId="6E543951" w:rsidR="00B35091" w:rsidRDefault="00475202">
      <w:pPr>
        <w:pStyle w:val="TDC2"/>
        <w:rPr>
          <w:rFonts w:asciiTheme="minorHAnsi" w:eastAsiaTheme="minorEastAsia" w:hAnsiTheme="minorHAnsi"/>
          <w:kern w:val="2"/>
          <w:lang w:val="en-GB" w:eastAsia="en-GB"/>
          <w14:ligatures w14:val="standardContextual"/>
        </w:rPr>
      </w:pPr>
      <w:hyperlink w:anchor="_Toc135921314" w:history="1">
        <w:r w:rsidR="00B35091" w:rsidRPr="00676202">
          <w:rPr>
            <w:rStyle w:val="Hipervnculo"/>
            <w:rFonts w:ascii="Times New Roman Bold" w:hAnsi="Times New Roman Bold"/>
          </w:rPr>
          <w:t>5.1</w:t>
        </w:r>
        <w:r w:rsidR="00B35091">
          <w:rPr>
            <w:rFonts w:asciiTheme="minorHAnsi" w:eastAsiaTheme="minorEastAsia" w:hAnsiTheme="minorHAnsi"/>
            <w:kern w:val="2"/>
            <w:lang w:val="en-GB" w:eastAsia="en-GB"/>
            <w14:ligatures w14:val="standardContextual"/>
          </w:rPr>
          <w:tab/>
        </w:r>
        <w:r w:rsidR="00B35091" w:rsidRPr="00676202">
          <w:rPr>
            <w:rStyle w:val="Hipervnculo"/>
          </w:rPr>
          <w:t>Servicios a modelar</w:t>
        </w:r>
        <w:r w:rsidR="00B35091">
          <w:rPr>
            <w:webHidden/>
          </w:rPr>
          <w:tab/>
        </w:r>
        <w:r w:rsidR="00B35091">
          <w:rPr>
            <w:webHidden/>
          </w:rPr>
          <w:fldChar w:fldCharType="begin"/>
        </w:r>
        <w:r w:rsidR="00B35091">
          <w:rPr>
            <w:webHidden/>
          </w:rPr>
          <w:instrText xml:space="preserve"> PAGEREF _Toc135921314 \h </w:instrText>
        </w:r>
        <w:r w:rsidR="00B35091">
          <w:rPr>
            <w:webHidden/>
          </w:rPr>
        </w:r>
        <w:r w:rsidR="00B35091">
          <w:rPr>
            <w:webHidden/>
          </w:rPr>
          <w:fldChar w:fldCharType="separate"/>
        </w:r>
        <w:r>
          <w:rPr>
            <w:webHidden/>
          </w:rPr>
          <w:t>36</w:t>
        </w:r>
        <w:r w:rsidR="00B35091">
          <w:rPr>
            <w:webHidden/>
          </w:rPr>
          <w:fldChar w:fldCharType="end"/>
        </w:r>
      </w:hyperlink>
    </w:p>
    <w:p w14:paraId="3B5A5EA4" w14:textId="0335AFAC" w:rsidR="00B35091" w:rsidRDefault="00475202">
      <w:pPr>
        <w:pStyle w:val="TDC2"/>
        <w:rPr>
          <w:rFonts w:asciiTheme="minorHAnsi" w:eastAsiaTheme="minorEastAsia" w:hAnsiTheme="minorHAnsi"/>
          <w:kern w:val="2"/>
          <w:lang w:val="en-GB" w:eastAsia="en-GB"/>
          <w14:ligatures w14:val="standardContextual"/>
        </w:rPr>
      </w:pPr>
      <w:hyperlink w:anchor="_Toc135921315" w:history="1">
        <w:r w:rsidR="00B35091" w:rsidRPr="00676202">
          <w:rPr>
            <w:rStyle w:val="Hipervnculo"/>
            <w:rFonts w:ascii="Times New Roman Bold" w:hAnsi="Times New Roman Bold"/>
          </w:rPr>
          <w:t>5.2</w:t>
        </w:r>
        <w:r w:rsidR="00B35091">
          <w:rPr>
            <w:rFonts w:asciiTheme="minorHAnsi" w:eastAsiaTheme="minorEastAsia" w:hAnsiTheme="minorHAnsi"/>
            <w:kern w:val="2"/>
            <w:lang w:val="en-GB" w:eastAsia="en-GB"/>
            <w14:ligatures w14:val="standardContextual"/>
          </w:rPr>
          <w:tab/>
        </w:r>
        <w:r w:rsidR="00B35091" w:rsidRPr="00676202">
          <w:rPr>
            <w:rStyle w:val="Hipervnculo"/>
          </w:rPr>
          <w:t>Volúmenes de tráfico</w:t>
        </w:r>
        <w:r w:rsidR="00B35091">
          <w:rPr>
            <w:webHidden/>
          </w:rPr>
          <w:tab/>
        </w:r>
        <w:r w:rsidR="00B35091">
          <w:rPr>
            <w:webHidden/>
          </w:rPr>
          <w:fldChar w:fldCharType="begin"/>
        </w:r>
        <w:r w:rsidR="00B35091">
          <w:rPr>
            <w:webHidden/>
          </w:rPr>
          <w:instrText xml:space="preserve"> PAGEREF _Toc135921315 \h </w:instrText>
        </w:r>
        <w:r w:rsidR="00B35091">
          <w:rPr>
            <w:webHidden/>
          </w:rPr>
        </w:r>
        <w:r w:rsidR="00B35091">
          <w:rPr>
            <w:webHidden/>
          </w:rPr>
          <w:fldChar w:fldCharType="separate"/>
        </w:r>
        <w:r>
          <w:rPr>
            <w:webHidden/>
          </w:rPr>
          <w:t>41</w:t>
        </w:r>
        <w:r w:rsidR="00B35091">
          <w:rPr>
            <w:webHidden/>
          </w:rPr>
          <w:fldChar w:fldCharType="end"/>
        </w:r>
      </w:hyperlink>
    </w:p>
    <w:p w14:paraId="14ED92D2" w14:textId="64A6801F" w:rsidR="00B35091" w:rsidRDefault="00475202">
      <w:pPr>
        <w:pStyle w:val="TDC1"/>
        <w:rPr>
          <w:rFonts w:asciiTheme="minorHAnsi" w:eastAsiaTheme="minorEastAsia" w:hAnsiTheme="minorHAnsi"/>
          <w:b w:val="0"/>
          <w:noProof/>
          <w:kern w:val="2"/>
          <w:lang w:val="en-GB" w:eastAsia="en-GB"/>
          <w14:ligatures w14:val="standardContextual"/>
        </w:rPr>
      </w:pPr>
      <w:hyperlink w:anchor="_Toc135921316" w:history="1">
        <w:r w:rsidR="00B35091" w:rsidRPr="00676202">
          <w:rPr>
            <w:rStyle w:val="Hipervnculo"/>
            <w:noProof/>
            <w:spacing w:val="-4"/>
          </w:rPr>
          <w:t>6</w:t>
        </w:r>
        <w:r w:rsidR="00B35091">
          <w:rPr>
            <w:rFonts w:asciiTheme="minorHAnsi" w:eastAsiaTheme="minorEastAsia" w:hAnsiTheme="minorHAnsi"/>
            <w:b w:val="0"/>
            <w:noProof/>
            <w:kern w:val="2"/>
            <w:lang w:val="en-GB" w:eastAsia="en-GB"/>
            <w14:ligatures w14:val="standardContextual"/>
          </w:rPr>
          <w:tab/>
        </w:r>
        <w:r w:rsidR="00B35091" w:rsidRPr="00676202">
          <w:rPr>
            <w:rStyle w:val="Hipervnculo"/>
            <w:noProof/>
            <w:spacing w:val="-4"/>
          </w:rPr>
          <w:t>Aspectos relacionados con la implementación del modelo</w:t>
        </w:r>
        <w:r w:rsidR="00B35091">
          <w:rPr>
            <w:noProof/>
            <w:webHidden/>
          </w:rPr>
          <w:tab/>
        </w:r>
        <w:r w:rsidR="00B35091">
          <w:rPr>
            <w:noProof/>
            <w:webHidden/>
          </w:rPr>
          <w:fldChar w:fldCharType="begin"/>
        </w:r>
        <w:r w:rsidR="00B35091">
          <w:rPr>
            <w:noProof/>
            <w:webHidden/>
          </w:rPr>
          <w:instrText xml:space="preserve"> PAGEREF _Toc135921316 \h </w:instrText>
        </w:r>
        <w:r w:rsidR="00B35091">
          <w:rPr>
            <w:noProof/>
            <w:webHidden/>
          </w:rPr>
        </w:r>
        <w:r w:rsidR="00B35091">
          <w:rPr>
            <w:noProof/>
            <w:webHidden/>
          </w:rPr>
          <w:fldChar w:fldCharType="separate"/>
        </w:r>
        <w:r>
          <w:rPr>
            <w:noProof/>
            <w:webHidden/>
          </w:rPr>
          <w:t>43</w:t>
        </w:r>
        <w:r w:rsidR="00B35091">
          <w:rPr>
            <w:noProof/>
            <w:webHidden/>
          </w:rPr>
          <w:fldChar w:fldCharType="end"/>
        </w:r>
      </w:hyperlink>
    </w:p>
    <w:p w14:paraId="79264293" w14:textId="7D1013A6" w:rsidR="00B35091" w:rsidRDefault="00475202">
      <w:pPr>
        <w:pStyle w:val="TDC2"/>
        <w:rPr>
          <w:rFonts w:asciiTheme="minorHAnsi" w:eastAsiaTheme="minorEastAsia" w:hAnsiTheme="minorHAnsi"/>
          <w:kern w:val="2"/>
          <w:lang w:val="en-GB" w:eastAsia="en-GB"/>
          <w14:ligatures w14:val="standardContextual"/>
        </w:rPr>
      </w:pPr>
      <w:hyperlink w:anchor="_Toc135921317" w:history="1">
        <w:r w:rsidR="00B35091" w:rsidRPr="00676202">
          <w:rPr>
            <w:rStyle w:val="Hipervnculo"/>
            <w:rFonts w:ascii="Times New Roman Bold" w:hAnsi="Times New Roman Bold"/>
          </w:rPr>
          <w:t>6.1</w:t>
        </w:r>
        <w:r w:rsidR="00B35091">
          <w:rPr>
            <w:rFonts w:asciiTheme="minorHAnsi" w:eastAsiaTheme="minorEastAsia" w:hAnsiTheme="minorHAnsi"/>
            <w:kern w:val="2"/>
            <w:lang w:val="en-GB" w:eastAsia="en-GB"/>
            <w14:ligatures w14:val="standardContextual"/>
          </w:rPr>
          <w:tab/>
        </w:r>
        <w:r w:rsidR="00B35091" w:rsidRPr="00676202">
          <w:rPr>
            <w:rStyle w:val="Hipervnculo"/>
          </w:rPr>
          <w:t>Costos mayoristas o minoristas</w:t>
        </w:r>
        <w:r w:rsidR="00B35091">
          <w:rPr>
            <w:webHidden/>
          </w:rPr>
          <w:tab/>
        </w:r>
        <w:r w:rsidR="00B35091">
          <w:rPr>
            <w:webHidden/>
          </w:rPr>
          <w:fldChar w:fldCharType="begin"/>
        </w:r>
        <w:r w:rsidR="00B35091">
          <w:rPr>
            <w:webHidden/>
          </w:rPr>
          <w:instrText xml:space="preserve"> PAGEREF _Toc135921317 \h </w:instrText>
        </w:r>
        <w:r w:rsidR="00B35091">
          <w:rPr>
            <w:webHidden/>
          </w:rPr>
        </w:r>
        <w:r w:rsidR="00B35091">
          <w:rPr>
            <w:webHidden/>
          </w:rPr>
          <w:fldChar w:fldCharType="separate"/>
        </w:r>
        <w:r>
          <w:rPr>
            <w:webHidden/>
          </w:rPr>
          <w:t>43</w:t>
        </w:r>
        <w:r w:rsidR="00B35091">
          <w:rPr>
            <w:webHidden/>
          </w:rPr>
          <w:fldChar w:fldCharType="end"/>
        </w:r>
      </w:hyperlink>
    </w:p>
    <w:p w14:paraId="4BD4FBC3" w14:textId="51953152" w:rsidR="00B35091" w:rsidRDefault="00475202">
      <w:pPr>
        <w:pStyle w:val="TDC2"/>
        <w:rPr>
          <w:rFonts w:asciiTheme="minorHAnsi" w:eastAsiaTheme="minorEastAsia" w:hAnsiTheme="minorHAnsi"/>
          <w:kern w:val="2"/>
          <w:lang w:val="en-GB" w:eastAsia="en-GB"/>
          <w14:ligatures w14:val="standardContextual"/>
        </w:rPr>
      </w:pPr>
      <w:hyperlink w:anchor="_Toc135921318" w:history="1">
        <w:r w:rsidR="00B35091" w:rsidRPr="00676202">
          <w:rPr>
            <w:rStyle w:val="Hipervnculo"/>
            <w:rFonts w:ascii="Times New Roman Bold" w:hAnsi="Times New Roman Bold"/>
          </w:rPr>
          <w:t>6.2</w:t>
        </w:r>
        <w:r w:rsidR="00B35091">
          <w:rPr>
            <w:rFonts w:asciiTheme="minorHAnsi" w:eastAsiaTheme="minorEastAsia" w:hAnsiTheme="minorHAnsi"/>
            <w:kern w:val="2"/>
            <w:lang w:val="en-GB" w:eastAsia="en-GB"/>
            <w14:ligatures w14:val="standardContextual"/>
          </w:rPr>
          <w:tab/>
        </w:r>
        <w:r w:rsidR="00B35091" w:rsidRPr="00676202">
          <w:rPr>
            <w:rStyle w:val="Hipervnculo"/>
          </w:rPr>
          <w:t>Método de depreciación</w:t>
        </w:r>
        <w:r w:rsidR="00B35091">
          <w:rPr>
            <w:webHidden/>
          </w:rPr>
          <w:tab/>
        </w:r>
        <w:r w:rsidR="00B35091">
          <w:rPr>
            <w:webHidden/>
          </w:rPr>
          <w:fldChar w:fldCharType="begin"/>
        </w:r>
        <w:r w:rsidR="00B35091">
          <w:rPr>
            <w:webHidden/>
          </w:rPr>
          <w:instrText xml:space="preserve"> PAGEREF _Toc135921318 \h </w:instrText>
        </w:r>
        <w:r w:rsidR="00B35091">
          <w:rPr>
            <w:webHidden/>
          </w:rPr>
        </w:r>
        <w:r w:rsidR="00B35091">
          <w:rPr>
            <w:webHidden/>
          </w:rPr>
          <w:fldChar w:fldCharType="separate"/>
        </w:r>
        <w:r>
          <w:rPr>
            <w:webHidden/>
          </w:rPr>
          <w:t>44</w:t>
        </w:r>
        <w:r w:rsidR="00B35091">
          <w:rPr>
            <w:webHidden/>
          </w:rPr>
          <w:fldChar w:fldCharType="end"/>
        </w:r>
      </w:hyperlink>
    </w:p>
    <w:p w14:paraId="44CB3325" w14:textId="72169328" w:rsidR="00B35091" w:rsidRDefault="00475202">
      <w:pPr>
        <w:pStyle w:val="TDC2"/>
        <w:rPr>
          <w:rFonts w:asciiTheme="minorHAnsi" w:eastAsiaTheme="minorEastAsia" w:hAnsiTheme="minorHAnsi"/>
          <w:kern w:val="2"/>
          <w:lang w:val="en-GB" w:eastAsia="en-GB"/>
          <w14:ligatures w14:val="standardContextual"/>
        </w:rPr>
      </w:pPr>
      <w:hyperlink w:anchor="_Toc135921319" w:history="1">
        <w:r w:rsidR="00B35091" w:rsidRPr="00676202">
          <w:rPr>
            <w:rStyle w:val="Hipervnculo"/>
            <w:rFonts w:ascii="Times New Roman Bold" w:hAnsi="Times New Roman Bold"/>
          </w:rPr>
          <w:t>6.3</w:t>
        </w:r>
        <w:r w:rsidR="00B35091">
          <w:rPr>
            <w:rFonts w:asciiTheme="minorHAnsi" w:eastAsiaTheme="minorEastAsia" w:hAnsiTheme="minorHAnsi"/>
            <w:kern w:val="2"/>
            <w:lang w:val="en-GB" w:eastAsia="en-GB"/>
            <w14:ligatures w14:val="standardContextual"/>
          </w:rPr>
          <w:tab/>
        </w:r>
        <w:r w:rsidR="00B35091" w:rsidRPr="00676202">
          <w:rPr>
            <w:rStyle w:val="Hipervnculo"/>
          </w:rPr>
          <w:t>Determinación de costos incrementales y costos comunes</w:t>
        </w:r>
        <w:r w:rsidR="00B35091">
          <w:rPr>
            <w:webHidden/>
          </w:rPr>
          <w:tab/>
        </w:r>
        <w:r w:rsidR="00B35091">
          <w:rPr>
            <w:webHidden/>
          </w:rPr>
          <w:fldChar w:fldCharType="begin"/>
        </w:r>
        <w:r w:rsidR="00B35091">
          <w:rPr>
            <w:webHidden/>
          </w:rPr>
          <w:instrText xml:space="preserve"> PAGEREF _Toc135921319 \h </w:instrText>
        </w:r>
        <w:r w:rsidR="00B35091">
          <w:rPr>
            <w:webHidden/>
          </w:rPr>
        </w:r>
        <w:r w:rsidR="00B35091">
          <w:rPr>
            <w:webHidden/>
          </w:rPr>
          <w:fldChar w:fldCharType="separate"/>
        </w:r>
        <w:r>
          <w:rPr>
            <w:webHidden/>
          </w:rPr>
          <w:t>47</w:t>
        </w:r>
        <w:r w:rsidR="00B35091">
          <w:rPr>
            <w:webHidden/>
          </w:rPr>
          <w:fldChar w:fldCharType="end"/>
        </w:r>
      </w:hyperlink>
    </w:p>
    <w:p w14:paraId="4275DAF9" w14:textId="2B4C0E58" w:rsidR="00B35091" w:rsidRDefault="00475202">
      <w:pPr>
        <w:pStyle w:val="TDC2"/>
        <w:rPr>
          <w:rFonts w:asciiTheme="minorHAnsi" w:eastAsiaTheme="minorEastAsia" w:hAnsiTheme="minorHAnsi"/>
          <w:kern w:val="2"/>
          <w:lang w:val="en-GB" w:eastAsia="en-GB"/>
          <w14:ligatures w14:val="standardContextual"/>
        </w:rPr>
      </w:pPr>
      <w:hyperlink w:anchor="_Toc135921320" w:history="1">
        <w:r w:rsidR="00B35091" w:rsidRPr="00676202">
          <w:rPr>
            <w:rStyle w:val="Hipervnculo"/>
            <w:rFonts w:ascii="Times New Roman Bold" w:hAnsi="Times New Roman Bold"/>
          </w:rPr>
          <w:t>6.4</w:t>
        </w:r>
        <w:r w:rsidR="00B35091">
          <w:rPr>
            <w:rFonts w:asciiTheme="minorHAnsi" w:eastAsiaTheme="minorEastAsia" w:hAnsiTheme="minorHAnsi"/>
            <w:kern w:val="2"/>
            <w:lang w:val="en-GB" w:eastAsia="en-GB"/>
            <w14:ligatures w14:val="standardContextual"/>
          </w:rPr>
          <w:tab/>
        </w:r>
        <w:r w:rsidR="00B35091" w:rsidRPr="00676202">
          <w:rPr>
            <w:rStyle w:val="Hipervnculo"/>
          </w:rPr>
          <w:t>Aspectos específicos de la implementación de servicios regulados</w:t>
        </w:r>
        <w:r w:rsidR="00B35091">
          <w:rPr>
            <w:webHidden/>
          </w:rPr>
          <w:tab/>
        </w:r>
        <w:r w:rsidR="00B35091">
          <w:rPr>
            <w:webHidden/>
          </w:rPr>
          <w:fldChar w:fldCharType="begin"/>
        </w:r>
        <w:r w:rsidR="00B35091">
          <w:rPr>
            <w:webHidden/>
          </w:rPr>
          <w:instrText xml:space="preserve"> PAGEREF _Toc135921320 \h </w:instrText>
        </w:r>
        <w:r w:rsidR="00B35091">
          <w:rPr>
            <w:webHidden/>
          </w:rPr>
        </w:r>
        <w:r w:rsidR="00B35091">
          <w:rPr>
            <w:webHidden/>
          </w:rPr>
          <w:fldChar w:fldCharType="separate"/>
        </w:r>
        <w:r>
          <w:rPr>
            <w:webHidden/>
          </w:rPr>
          <w:t>53</w:t>
        </w:r>
        <w:r w:rsidR="00B35091">
          <w:rPr>
            <w:webHidden/>
          </w:rPr>
          <w:fldChar w:fldCharType="end"/>
        </w:r>
      </w:hyperlink>
    </w:p>
    <w:p w14:paraId="73048DBD" w14:textId="77777777" w:rsidR="00B35091" w:rsidRDefault="00BD64BC">
      <w:pPr>
        <w:pStyle w:val="TDC2"/>
        <w:tabs>
          <w:tab w:val="left" w:pos="1100"/>
        </w:tabs>
      </w:pPr>
      <w:r w:rsidRPr="0067461A">
        <w:fldChar w:fldCharType="end"/>
      </w:r>
      <w:r w:rsidRPr="0067461A">
        <w:fldChar w:fldCharType="begin"/>
      </w:r>
      <w:r w:rsidRPr="0067461A">
        <w:instrText xml:space="preserve"> TOC \n \h \z \t "Annex 1,2" </w:instrText>
      </w:r>
      <w:r w:rsidRPr="0067461A">
        <w:fldChar w:fldCharType="separate"/>
      </w:r>
    </w:p>
    <w:p w14:paraId="10BE7CF4" w14:textId="6993F38C" w:rsidR="00B35091" w:rsidRDefault="00475202">
      <w:pPr>
        <w:pStyle w:val="TDC2"/>
        <w:tabs>
          <w:tab w:val="left" w:pos="1100"/>
        </w:tabs>
        <w:rPr>
          <w:rFonts w:asciiTheme="minorHAnsi" w:eastAsiaTheme="minorEastAsia" w:hAnsiTheme="minorHAnsi"/>
          <w:kern w:val="2"/>
          <w:lang w:val="en-GB" w:eastAsia="en-GB"/>
          <w14:ligatures w14:val="standardContextual"/>
        </w:rPr>
      </w:pPr>
      <w:hyperlink w:anchor="_Toc135921322" w:history="1">
        <w:r w:rsidR="00B35091" w:rsidRPr="006A737B">
          <w:rPr>
            <w:rStyle w:val="Hipervnculo"/>
          </w:rPr>
          <w:t>Anexo A</w:t>
        </w:r>
        <w:r w:rsidR="00B35091">
          <w:rPr>
            <w:rFonts w:asciiTheme="minorHAnsi" w:eastAsiaTheme="minorEastAsia" w:hAnsiTheme="minorHAnsi"/>
            <w:kern w:val="2"/>
            <w:lang w:val="en-GB" w:eastAsia="en-GB"/>
            <w14:ligatures w14:val="standardContextual"/>
          </w:rPr>
          <w:tab/>
        </w:r>
        <w:r w:rsidR="00B35091" w:rsidRPr="006A737B">
          <w:rPr>
            <w:rStyle w:val="Hipervnculo"/>
          </w:rPr>
          <w:t>Aplicación de la depreciación económica</w:t>
        </w:r>
      </w:hyperlink>
    </w:p>
    <w:p w14:paraId="7F306529" w14:textId="31390A0C" w:rsidR="00DF3B88" w:rsidRPr="0067461A" w:rsidRDefault="00BD64BC" w:rsidP="00BD64BC">
      <w:pPr>
        <w:pStyle w:val="TDC1"/>
        <w:tabs>
          <w:tab w:val="left" w:pos="960"/>
        </w:tabs>
      </w:pPr>
      <w:r w:rsidRPr="0067461A">
        <w:fldChar w:fldCharType="end"/>
      </w:r>
    </w:p>
    <w:p w14:paraId="7EA5C768" w14:textId="77777777" w:rsidR="000A0B66" w:rsidRPr="0067461A" w:rsidRDefault="000A0B66" w:rsidP="000A0B66"/>
    <w:p w14:paraId="38DFE82D" w14:textId="77777777" w:rsidR="000A0B66" w:rsidRPr="0067461A" w:rsidRDefault="000A0B66">
      <w:pPr>
        <w:spacing w:after="200" w:line="0" w:lineRule="auto"/>
        <w:jc w:val="left"/>
      </w:pPr>
      <w:r w:rsidRPr="0067461A">
        <w:br w:type="page"/>
      </w:r>
    </w:p>
    <w:p w14:paraId="6C45EF0E" w14:textId="77777777" w:rsidR="007C6FB3" w:rsidRPr="0067461A" w:rsidRDefault="007C6FB3" w:rsidP="007C6FB3">
      <w:pPr>
        <w:sectPr w:rsidR="007C6FB3" w:rsidRPr="0067461A" w:rsidSect="00D42DA0">
          <w:headerReference w:type="even" r:id="rId13"/>
          <w:headerReference w:type="default" r:id="rId14"/>
          <w:footerReference w:type="even" r:id="rId15"/>
          <w:footerReference w:type="default" r:id="rId16"/>
          <w:headerReference w:type="first" r:id="rId17"/>
          <w:footerReference w:type="first" r:id="rId18"/>
          <w:pgSz w:w="11907" w:h="16840" w:code="9"/>
          <w:pgMar w:top="1418" w:right="1588" w:bottom="1418" w:left="1588" w:header="567" w:footer="567" w:gutter="0"/>
          <w:pgNumType w:fmt="lowerRoman" w:start="1"/>
          <w:cols w:space="720"/>
          <w:titlePg/>
          <w:docGrid w:linePitch="299"/>
        </w:sectPr>
      </w:pPr>
      <w:bookmarkStart w:id="0" w:name="SectionReportContents"/>
    </w:p>
    <w:p w14:paraId="56851A03" w14:textId="77777777" w:rsidR="0067461A" w:rsidRPr="0067461A" w:rsidRDefault="0067461A" w:rsidP="0067461A">
      <w:pPr>
        <w:pStyle w:val="Ttulo1"/>
        <w:rPr>
          <w:lang w:val="es-ES"/>
        </w:rPr>
      </w:pPr>
      <w:bookmarkStart w:id="1" w:name="_Toc197938434"/>
      <w:bookmarkStart w:id="2" w:name="_Toc132915493"/>
      <w:bookmarkStart w:id="3" w:name="_Ref135385896"/>
      <w:bookmarkStart w:id="4" w:name="_Ref135385902"/>
      <w:bookmarkStart w:id="5" w:name="_Toc135921294"/>
      <w:bookmarkStart w:id="6" w:name="SectionReportBody"/>
      <w:bookmarkEnd w:id="0"/>
      <w:r w:rsidRPr="0067461A">
        <w:rPr>
          <w:snapToGrid w:val="0"/>
          <w:lang w:val="es-ES"/>
        </w:rPr>
        <w:lastRenderedPageBreak/>
        <w:t>Introducción</w:t>
      </w:r>
      <w:bookmarkEnd w:id="1"/>
      <w:bookmarkEnd w:id="2"/>
      <w:bookmarkEnd w:id="3"/>
      <w:bookmarkEnd w:id="4"/>
      <w:bookmarkEnd w:id="5"/>
    </w:p>
    <w:p w14:paraId="4B43BC02" w14:textId="50F9D7A6" w:rsidR="0067461A" w:rsidRPr="0067461A" w:rsidRDefault="0067461A" w:rsidP="0067461A">
      <w:r w:rsidRPr="0067461A">
        <w:t>El Instituto Federal de Telecomunicaciones (IFT) ha</w:t>
      </w:r>
      <w:r w:rsidR="00B068E4" w:rsidRPr="004626E5">
        <w:t xml:space="preserve"> </w:t>
      </w:r>
      <w:r w:rsidR="00B068E4">
        <w:t xml:space="preserve">llevado a cabo el proceso para el </w:t>
      </w:r>
      <w:r w:rsidR="00B068E4" w:rsidRPr="004626E5">
        <w:t>desarrollo del</w:t>
      </w:r>
      <w:r w:rsidRPr="0067461A">
        <w:t xml:space="preserve"> modelo de costos integral cuyo objetivo es dar soporte en la fijación de las tarifas para diversos servicios mayoristas provistos por los operadores de telecomunicaciones en México para el periodo 2024–26:</w:t>
      </w:r>
    </w:p>
    <w:p w14:paraId="009072A5" w14:textId="77777777" w:rsidR="0067461A" w:rsidRPr="0067461A" w:rsidRDefault="0067461A" w:rsidP="0067461A">
      <w:pPr>
        <w:pStyle w:val="ListBulletCompact"/>
      </w:pPr>
      <w:r w:rsidRPr="0067461A">
        <w:t>Terminación de voz, SMS y tránsito en redes fijas y móviles</w:t>
      </w:r>
    </w:p>
    <w:p w14:paraId="408AD638" w14:textId="77777777" w:rsidR="0067461A" w:rsidRPr="0067461A" w:rsidRDefault="0067461A" w:rsidP="0067461A">
      <w:pPr>
        <w:pStyle w:val="ListBulletCompact"/>
      </w:pPr>
      <w:r w:rsidRPr="0067461A">
        <w:t>Servicios de usuario visitante</w:t>
      </w:r>
    </w:p>
    <w:p w14:paraId="2948F79D" w14:textId="30D1BA2B" w:rsidR="0067461A" w:rsidRPr="0067461A" w:rsidRDefault="0067461A" w:rsidP="0067461A">
      <w:pPr>
        <w:pStyle w:val="ListBulletCompact"/>
      </w:pPr>
      <w:r w:rsidRPr="0067461A">
        <w:t>Servicio de concentración y distribuc</w:t>
      </w:r>
      <w:r w:rsidR="004B7062">
        <w:t>ión (SCyD)</w:t>
      </w:r>
      <w:r w:rsidRPr="0067461A">
        <w:t xml:space="preserve"> asociado al servicio de acceso indirecto al bucle (SAIB)</w:t>
      </w:r>
    </w:p>
    <w:p w14:paraId="6F501C19" w14:textId="77777777" w:rsidR="0067461A" w:rsidRPr="0067461A" w:rsidRDefault="0067461A" w:rsidP="0067461A">
      <w:pPr>
        <w:pStyle w:val="ListBulletCompact"/>
      </w:pPr>
      <w:r w:rsidRPr="0067461A">
        <w:t>Servicios de enlaces dedicados</w:t>
      </w:r>
    </w:p>
    <w:p w14:paraId="6F52D1A8" w14:textId="62C31793" w:rsidR="0067461A" w:rsidRPr="0067461A" w:rsidRDefault="0067461A" w:rsidP="0067461A">
      <w:r w:rsidRPr="0067461A">
        <w:t>Para ello, se ha desarrollado un modelo integral de cálculo ascendente (</w:t>
      </w:r>
      <w:r w:rsidRPr="0067461A">
        <w:rPr>
          <w:i/>
        </w:rPr>
        <w:t>bottom-up</w:t>
      </w:r>
      <w:r w:rsidRPr="0067461A">
        <w:t xml:space="preserve">) de costos incrementales de largo plazo (CILP) para redes fijas y móviles, así como los módulos adicionales para el estudio de servicios específicos. </w:t>
      </w:r>
    </w:p>
    <w:p w14:paraId="57420D7F" w14:textId="02E2F6C3" w:rsidR="0067461A" w:rsidRPr="0067461A" w:rsidRDefault="0067461A" w:rsidP="0067461A">
      <w:r w:rsidRPr="0067461A">
        <w:t xml:space="preserve">Este informe presenta el marco metodológico propuesto el desarrollo del modelo de costos previo a su salida a consulta pública. </w:t>
      </w:r>
      <w:bookmarkStart w:id="7" w:name="_GoBack"/>
      <w:bookmarkEnd w:id="7"/>
    </w:p>
    <w:p w14:paraId="1C0C9788" w14:textId="77777777" w:rsidR="0067461A" w:rsidRPr="0067461A" w:rsidDel="00427316" w:rsidRDefault="0067461A" w:rsidP="0067461A">
      <w:pPr>
        <w:pStyle w:val="Ttulo2"/>
      </w:pPr>
      <w:bookmarkStart w:id="8" w:name="_Toc527663488"/>
      <w:bookmarkStart w:id="9" w:name="_Toc132915494"/>
      <w:bookmarkStart w:id="10" w:name="_Toc135921295"/>
      <w:r w:rsidRPr="0067461A" w:rsidDel="00427316">
        <w:t>Alcance del informe</w:t>
      </w:r>
      <w:bookmarkEnd w:id="8"/>
      <w:bookmarkEnd w:id="9"/>
      <w:bookmarkEnd w:id="10"/>
    </w:p>
    <w:p w14:paraId="2A1E0071" w14:textId="09AEFC7F" w:rsidR="0067461A" w:rsidRPr="0067461A" w:rsidDel="00427316" w:rsidRDefault="0067461A" w:rsidP="0067461A">
      <w:r w:rsidRPr="0067461A" w:rsidDel="00427316">
        <w:t xml:space="preserve">Como se muestra en la </w:t>
      </w:r>
      <w:r w:rsidRPr="0067461A">
        <w:fldChar w:fldCharType="begin"/>
      </w:r>
      <w:r w:rsidRPr="0067461A">
        <w:instrText xml:space="preserve"> REF _Ref132981991 \h </w:instrText>
      </w:r>
      <w:r w:rsidRPr="0067461A">
        <w:fldChar w:fldCharType="separate"/>
      </w:r>
      <w:r w:rsidR="00475202" w:rsidRPr="0067461A" w:rsidDel="00427316">
        <w:t>Figura </w:t>
      </w:r>
      <w:r w:rsidR="00475202">
        <w:rPr>
          <w:noProof/>
        </w:rPr>
        <w:t>1</w:t>
      </w:r>
      <w:r w:rsidR="00475202" w:rsidRPr="0067461A" w:rsidDel="00427316">
        <w:t>.</w:t>
      </w:r>
      <w:r w:rsidR="00475202">
        <w:rPr>
          <w:noProof/>
        </w:rPr>
        <w:t>1</w:t>
      </w:r>
      <w:r w:rsidRPr="0067461A">
        <w:fldChar w:fldCharType="end"/>
      </w:r>
      <w:r w:rsidRPr="0067461A" w:rsidDel="00427316">
        <w:t>, los principios conceptuales de relevancia para el desarrollo de</w:t>
      </w:r>
      <w:r w:rsidRPr="0067461A">
        <w:t xml:space="preserve">l modelo </w:t>
      </w:r>
      <w:r w:rsidRPr="0067461A" w:rsidDel="00427316">
        <w:t xml:space="preserve">de costos que </w:t>
      </w:r>
      <w:r w:rsidRPr="0067461A">
        <w:t>se aborda</w:t>
      </w:r>
      <w:r w:rsidRPr="0067461A" w:rsidDel="00427316">
        <w:t xml:space="preserve"> en el presente documento se clasifican en función de cuatro dimensiones clave: operador, tecnología, servicios e implementación. </w:t>
      </w:r>
    </w:p>
    <w:tbl>
      <w:tblPr>
        <w:tblW w:w="8915" w:type="dxa"/>
        <w:tblInd w:w="-170" w:type="dxa"/>
        <w:tblLayout w:type="fixed"/>
        <w:tblCellMar>
          <w:left w:w="0" w:type="dxa"/>
          <w:right w:w="0" w:type="dxa"/>
        </w:tblCellMar>
        <w:tblLook w:val="0000" w:firstRow="0" w:lastRow="0" w:firstColumn="0" w:lastColumn="0" w:noHBand="0" w:noVBand="0"/>
      </w:tblPr>
      <w:tblGrid>
        <w:gridCol w:w="28"/>
        <w:gridCol w:w="2013"/>
        <w:gridCol w:w="4705"/>
        <w:gridCol w:w="2154"/>
        <w:gridCol w:w="15"/>
      </w:tblGrid>
      <w:tr w:rsidR="0067461A" w:rsidRPr="0067461A" w:rsidDel="00427316" w14:paraId="3452B7D4" w14:textId="77777777">
        <w:trPr>
          <w:gridBefore w:val="1"/>
          <w:gridAfter w:val="1"/>
          <w:wBefore w:w="28" w:type="dxa"/>
          <w:wAfter w:w="15" w:type="dxa"/>
        </w:trPr>
        <w:tc>
          <w:tcPr>
            <w:tcW w:w="6718" w:type="dxa"/>
            <w:gridSpan w:val="2"/>
            <w:tcBorders>
              <w:right w:val="single" w:sz="4" w:space="0" w:color="auto"/>
            </w:tcBorders>
            <w:shd w:val="clear" w:color="auto" w:fill="auto"/>
          </w:tcPr>
          <w:p w14:paraId="5C03C631" w14:textId="77777777" w:rsidR="0067461A" w:rsidRPr="0067461A" w:rsidDel="00427316" w:rsidRDefault="0067461A">
            <w:pPr>
              <w:pStyle w:val="Bordersmall"/>
              <w:rPr>
                <w:lang w:val="es-ES"/>
              </w:rPr>
            </w:pPr>
            <w:r w:rsidRPr="0067461A" w:rsidDel="00427316">
              <w:rPr>
                <w:noProof/>
                <w:lang w:val="es-ES"/>
              </w:rPr>
              <w:drawing>
                <wp:inline distT="0" distB="0" distL="0" distR="0" wp14:anchorId="5FD3FCFC" wp14:editId="629D3C31">
                  <wp:extent cx="3380105" cy="1649095"/>
                  <wp:effectExtent l="0" t="0" r="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0105" cy="1649095"/>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17D72929" w14:textId="17DE8822" w:rsidR="0067461A" w:rsidRPr="0067461A" w:rsidDel="00427316" w:rsidRDefault="0067461A">
            <w:pPr>
              <w:pStyle w:val="Captionsmall"/>
              <w:rPr>
                <w:lang w:val="es-ES"/>
              </w:rPr>
            </w:pPr>
            <w:bookmarkStart w:id="11" w:name="_Ref132981991"/>
            <w:r w:rsidRPr="0067461A" w:rsidDel="00427316">
              <w:rPr>
                <w:lang w:val="es-ES"/>
              </w:rPr>
              <w:t>Fi</w:t>
            </w:r>
            <w:r w:rsidRPr="0067461A" w:rsidDel="00427316">
              <w:rPr>
                <w:lang w:val="es-ES"/>
              </w:rPr>
              <w:fldChar w:fldCharType="begin"/>
            </w:r>
            <w:r w:rsidRPr="0067461A" w:rsidDel="00427316">
              <w:rPr>
                <w:lang w:val="es-ES"/>
              </w:rPr>
              <w:instrText xml:space="preserve">  </w:instrText>
            </w:r>
            <w:r w:rsidRPr="0067461A" w:rsidDel="00427316">
              <w:rPr>
                <w:lang w:val="es-ES"/>
              </w:rPr>
              <w:fldChar w:fldCharType="end"/>
            </w:r>
            <w:r w:rsidRPr="0067461A" w:rsidDel="00427316">
              <w:rPr>
                <w:lang w:val="es-ES"/>
              </w:rPr>
              <w:t>gura </w:t>
            </w:r>
            <w:r w:rsidRPr="0067461A" w:rsidDel="00427316">
              <w:rPr>
                <w:lang w:val="es-ES"/>
              </w:rPr>
              <w:fldChar w:fldCharType="begin"/>
            </w:r>
            <w:r w:rsidRPr="0067461A" w:rsidDel="00427316">
              <w:rPr>
                <w:lang w:val="es-ES"/>
              </w:rPr>
              <w:instrText xml:space="preserve"> STYLEREF 1 \s \* MERGEFORMAT </w:instrText>
            </w:r>
            <w:r w:rsidRPr="0067461A" w:rsidDel="00427316">
              <w:rPr>
                <w:lang w:val="es-ES"/>
              </w:rPr>
              <w:fldChar w:fldCharType="separate"/>
            </w:r>
            <w:r w:rsidR="00475202">
              <w:rPr>
                <w:noProof/>
                <w:lang w:val="es-ES"/>
              </w:rPr>
              <w:t>1</w:t>
            </w:r>
            <w:r w:rsidRPr="0067461A" w:rsidDel="00427316">
              <w:rPr>
                <w:lang w:val="es-ES"/>
              </w:rPr>
              <w:fldChar w:fldCharType="end"/>
            </w:r>
            <w:r w:rsidRPr="0067461A" w:rsidDel="00427316">
              <w:rPr>
                <w:lang w:val="es-ES"/>
              </w:rPr>
              <w:t>.</w:t>
            </w:r>
            <w:r w:rsidRPr="0067461A" w:rsidDel="00427316">
              <w:rPr>
                <w:lang w:val="es-ES"/>
              </w:rPr>
              <w:fldChar w:fldCharType="begin"/>
            </w:r>
            <w:r w:rsidRPr="0067461A" w:rsidDel="00427316">
              <w:rPr>
                <w:lang w:val="es-ES"/>
              </w:rPr>
              <w:instrText xml:space="preserve"> SEQ Ilustración \* ARABIC \s 1 \* MERGEFORMAT </w:instrText>
            </w:r>
            <w:r w:rsidRPr="0067461A" w:rsidDel="00427316">
              <w:rPr>
                <w:lang w:val="es-ES"/>
              </w:rPr>
              <w:fldChar w:fldCharType="separate"/>
            </w:r>
            <w:r w:rsidR="00475202">
              <w:rPr>
                <w:noProof/>
                <w:lang w:val="es-ES"/>
              </w:rPr>
              <w:t>1</w:t>
            </w:r>
            <w:r w:rsidRPr="0067461A" w:rsidDel="00427316">
              <w:rPr>
                <w:lang w:val="es-ES"/>
              </w:rPr>
              <w:fldChar w:fldCharType="end"/>
            </w:r>
            <w:bookmarkEnd w:id="11"/>
            <w:r w:rsidRPr="0067461A" w:rsidDel="00427316">
              <w:rPr>
                <w:lang w:val="es-ES"/>
              </w:rPr>
              <w:t>: Marco para la clasificación de los principios conceptuales [Fuente: Analysys Mason]</w:t>
            </w:r>
          </w:p>
        </w:tc>
      </w:tr>
      <w:tr w:rsidR="0067461A" w:rsidRPr="0067461A" w:rsidDel="00427316" w14:paraId="04202B19" w14:textId="77777777">
        <w:tblPrEx>
          <w:tblCellMar>
            <w:left w:w="170" w:type="dxa"/>
            <w:right w:w="170" w:type="dxa"/>
          </w:tblCellMar>
        </w:tblPrEx>
        <w:tc>
          <w:tcPr>
            <w:tcW w:w="2041" w:type="dxa"/>
            <w:gridSpan w:val="2"/>
          </w:tcPr>
          <w:p w14:paraId="646300C0" w14:textId="77777777" w:rsidR="0067461A" w:rsidRPr="0067461A" w:rsidDel="00427316" w:rsidRDefault="0067461A">
            <w:pPr>
              <w:pStyle w:val="SBSheader"/>
              <w:jc w:val="both"/>
            </w:pPr>
            <w:r w:rsidRPr="0067461A" w:rsidDel="00427316">
              <w:t>Operador</w:t>
            </w:r>
          </w:p>
        </w:tc>
        <w:tc>
          <w:tcPr>
            <w:tcW w:w="6874" w:type="dxa"/>
            <w:gridSpan w:val="3"/>
          </w:tcPr>
          <w:p w14:paraId="4520C38E" w14:textId="77777777" w:rsidR="0067461A" w:rsidRPr="0067461A" w:rsidDel="00427316" w:rsidRDefault="0067461A">
            <w:r w:rsidRPr="0067461A" w:rsidDel="00427316">
              <w:t>Las características del operador que se va a modelar determinan en gran medida el enfoque conceptual que se debe adoptar, pues todas ellas tienen importantes implicaciones de costos</w:t>
            </w:r>
            <w:r w:rsidRPr="0067461A" w:rsidDel="00427316">
              <w:rPr>
                <w:color w:val="0000FF"/>
              </w:rPr>
              <w:t>:</w:t>
            </w:r>
          </w:p>
          <w:p w14:paraId="14FAF774" w14:textId="1126C53A" w:rsidR="0067461A" w:rsidRPr="0067461A" w:rsidDel="00427316" w:rsidRDefault="0067461A">
            <w:pPr>
              <w:pStyle w:val="Listaconvietas"/>
            </w:pPr>
            <w:r w:rsidRPr="0067461A" w:rsidDel="00427316">
              <w:t xml:space="preserve">¿Qué </w:t>
            </w:r>
            <w:r w:rsidRPr="0067461A" w:rsidDel="00427316">
              <w:rPr>
                <w:b/>
              </w:rPr>
              <w:t>implementación estructural</w:t>
            </w:r>
            <w:r w:rsidRPr="0067461A" w:rsidDel="00427316">
              <w:t xml:space="preserve"> se debe aplicar en el modelo? En general, esta pregunta tiene por objetivo decidir si </w:t>
            </w:r>
            <w:r w:rsidRPr="0067461A">
              <w:t>el modelo</w:t>
            </w:r>
            <w:r w:rsidRPr="0067461A" w:rsidDel="00427316">
              <w:t xml:space="preserve"> se construye de manera descendente (</w:t>
            </w:r>
            <w:r w:rsidRPr="0067461A" w:rsidDel="00427316">
              <w:rPr>
                <w:i/>
              </w:rPr>
              <w:t>top-down</w:t>
            </w:r>
            <w:r w:rsidRPr="0067461A" w:rsidDel="00427316">
              <w:t xml:space="preserve">) a partir de las cuentas del operador, o si se desarrolla un modelo de diseño de red más </w:t>
            </w:r>
            <w:r w:rsidRPr="0067461A" w:rsidDel="00427316">
              <w:lastRenderedPageBreak/>
              <w:t>transparente basado en una metodología ascendente (</w:t>
            </w:r>
            <w:r w:rsidRPr="0067461A" w:rsidDel="00427316">
              <w:rPr>
                <w:i/>
              </w:rPr>
              <w:t>bottom-up</w:t>
            </w:r>
            <w:r w:rsidRPr="0067461A" w:rsidDel="00427316">
              <w:t xml:space="preserve">). Este punto no se abordará más adelante en este documento dado que el IFT ha tomado ya la decisión de que </w:t>
            </w:r>
            <w:r w:rsidRPr="0067461A">
              <w:t>el modelo de costos</w:t>
            </w:r>
            <w:r w:rsidRPr="0067461A" w:rsidDel="00427316">
              <w:t xml:space="preserve">, se elaborará de manera ascendente, con una reconciliación con datos reales de los operadores. </w:t>
            </w:r>
          </w:p>
          <w:p w14:paraId="7AF3E0F3" w14:textId="77777777" w:rsidR="0067461A" w:rsidRPr="0067461A" w:rsidDel="00427316" w:rsidRDefault="0067461A">
            <w:pPr>
              <w:pStyle w:val="Listaconvietas"/>
            </w:pPr>
            <w:r w:rsidRPr="0067461A" w:rsidDel="00427316">
              <w:t xml:space="preserve">¿Qué </w:t>
            </w:r>
            <w:r w:rsidRPr="0067461A" w:rsidDel="00427316">
              <w:rPr>
                <w:b/>
              </w:rPr>
              <w:t>tipo</w:t>
            </w:r>
            <w:r w:rsidRPr="0067461A" w:rsidDel="00427316">
              <w:t xml:space="preserve"> de operador se debe modelar: un operador real, un operador medio, un operador hipotético existente o un nuevo entrante hipotético?</w:t>
            </w:r>
          </w:p>
          <w:p w14:paraId="7909B2E0" w14:textId="77777777" w:rsidR="0067461A" w:rsidRPr="0067461A" w:rsidDel="00427316" w:rsidRDefault="0067461A">
            <w:pPr>
              <w:pStyle w:val="Listaconvietas"/>
            </w:pPr>
            <w:r w:rsidRPr="0067461A" w:rsidDel="00427316">
              <w:t xml:space="preserve">¿Qué nivel de </w:t>
            </w:r>
            <w:r w:rsidRPr="0067461A" w:rsidDel="00427316">
              <w:rPr>
                <w:b/>
              </w:rPr>
              <w:t>cobertura</w:t>
            </w:r>
            <w:r w:rsidRPr="0067461A" w:rsidDel="00427316">
              <w:t xml:space="preserve"> ofrece el operador que se va a modelar</w:t>
            </w:r>
            <w:r w:rsidRPr="0067461A">
              <w:t>?</w:t>
            </w:r>
            <w:r w:rsidRPr="0067461A" w:rsidDel="00427316">
              <w:t xml:space="preserve">: </w:t>
            </w:r>
            <w:r w:rsidRPr="0067461A">
              <w:t>¿</w:t>
            </w:r>
            <w:r w:rsidRPr="0067461A" w:rsidDel="00427316">
              <w:t>tiene la obligación de ofrecer un servicio nacional, o algún tipo de cobertura regional específica?</w:t>
            </w:r>
          </w:p>
        </w:tc>
      </w:tr>
      <w:tr w:rsidR="0067461A" w:rsidRPr="0067461A" w:rsidDel="00427316" w14:paraId="3C4E04D8" w14:textId="77777777">
        <w:tblPrEx>
          <w:tblCellMar>
            <w:left w:w="170" w:type="dxa"/>
            <w:right w:w="170" w:type="dxa"/>
          </w:tblCellMar>
        </w:tblPrEx>
        <w:tc>
          <w:tcPr>
            <w:tcW w:w="2041" w:type="dxa"/>
            <w:gridSpan w:val="2"/>
          </w:tcPr>
          <w:p w14:paraId="61220AF6" w14:textId="77777777" w:rsidR="0067461A" w:rsidRPr="0067461A" w:rsidDel="00427316" w:rsidRDefault="0067461A">
            <w:pPr>
              <w:pStyle w:val="SBSheader"/>
              <w:jc w:val="both"/>
            </w:pPr>
            <w:r w:rsidRPr="0067461A" w:rsidDel="00427316">
              <w:lastRenderedPageBreak/>
              <w:t>Tecnología</w:t>
            </w:r>
          </w:p>
        </w:tc>
        <w:tc>
          <w:tcPr>
            <w:tcW w:w="6874" w:type="dxa"/>
            <w:gridSpan w:val="3"/>
          </w:tcPr>
          <w:p w14:paraId="720B7800" w14:textId="77777777" w:rsidR="0067461A" w:rsidRPr="0067461A" w:rsidDel="00427316" w:rsidRDefault="0067461A">
            <w:r w:rsidRPr="0067461A" w:rsidDel="00427316">
              <w:t>El tipo de red que se modelará depende de las siguientes decisiones conceptuales:</w:t>
            </w:r>
          </w:p>
          <w:p w14:paraId="3D0782C6" w14:textId="77777777" w:rsidR="0067461A" w:rsidRPr="0067461A" w:rsidDel="00427316" w:rsidRDefault="0067461A">
            <w:pPr>
              <w:pStyle w:val="Listaconvietas"/>
            </w:pPr>
            <w:r w:rsidRPr="0067461A" w:rsidDel="00427316">
              <w:t xml:space="preserve">¿Qué </w:t>
            </w:r>
            <w:r w:rsidRPr="0067461A" w:rsidDel="00427316">
              <w:rPr>
                <w:b/>
              </w:rPr>
              <w:t>tecnología y arquitectura de red</w:t>
            </w:r>
            <w:r w:rsidRPr="0067461A" w:rsidDel="00427316">
              <w:t xml:space="preserve"> se deben implementar en las redes modeladas? Esta dimensión abarca una amplia gama de decisiones tecnológicas que tienen por objeto definir un estándar eficiente para la prestación de los servicios arriba mencionados.</w:t>
            </w:r>
          </w:p>
          <w:p w14:paraId="6430B99F" w14:textId="1768E969" w:rsidR="0067461A" w:rsidRPr="0067461A" w:rsidDel="00427316" w:rsidRDefault="0067461A">
            <w:pPr>
              <w:pStyle w:val="I1"/>
            </w:pPr>
            <w:r w:rsidRPr="0067461A" w:rsidDel="00427316">
              <w:t xml:space="preserve">¿Cuál es la forma adecuada de definir los </w:t>
            </w:r>
            <w:r w:rsidRPr="0067461A" w:rsidDel="00427316">
              <w:rPr>
                <w:b/>
              </w:rPr>
              <w:t>nodos de red</w:t>
            </w:r>
            <w:r w:rsidRPr="0067461A" w:rsidDel="00427316">
              <w:t xml:space="preserve"> y el nivel de coubicación en estos nodos? Durante la construcción de un modelo de red que sigue una metodología ascendente y que utiliza tecnología moderna es necesario determinar qué funcionalidades deben estar presentes en las diferentes capas de los nodos de red. Existen dos opciones: un enfoque </w:t>
            </w:r>
            <w:r w:rsidRPr="0067461A" w:rsidDel="00427316">
              <w:rPr>
                <w:i/>
              </w:rPr>
              <w:t>scorched node</w:t>
            </w:r>
            <w:r w:rsidRPr="0067461A" w:rsidDel="00427316">
              <w:t xml:space="preserve"> o un enfoque </w:t>
            </w:r>
            <w:r w:rsidRPr="0067461A" w:rsidDel="00427316">
              <w:rPr>
                <w:i/>
              </w:rPr>
              <w:t>scorched earth</w:t>
            </w:r>
            <w:r w:rsidRPr="0067461A" w:rsidDel="00427316">
              <w:t xml:space="preserve">, </w:t>
            </w:r>
            <w:r w:rsidRPr="0067461A">
              <w:t xml:space="preserve">las cuales </w:t>
            </w:r>
            <w:r w:rsidRPr="0067461A" w:rsidDel="00427316">
              <w:t>se pueden considerar tanto en redes fijas como móviles.</w:t>
            </w:r>
          </w:p>
        </w:tc>
      </w:tr>
      <w:tr w:rsidR="0067461A" w:rsidRPr="0067461A" w:rsidDel="00427316" w14:paraId="4B3CFBE6" w14:textId="77777777">
        <w:tblPrEx>
          <w:tblCellMar>
            <w:left w:w="170" w:type="dxa"/>
            <w:right w:w="170" w:type="dxa"/>
          </w:tblCellMar>
        </w:tblPrEx>
        <w:tc>
          <w:tcPr>
            <w:tcW w:w="2041" w:type="dxa"/>
            <w:gridSpan w:val="2"/>
          </w:tcPr>
          <w:p w14:paraId="181CA485" w14:textId="77777777" w:rsidR="0067461A" w:rsidRPr="0067461A" w:rsidDel="00427316" w:rsidRDefault="0067461A">
            <w:pPr>
              <w:pStyle w:val="SBSheader"/>
              <w:jc w:val="both"/>
            </w:pPr>
            <w:r w:rsidRPr="0067461A" w:rsidDel="00427316">
              <w:t>Servicio</w:t>
            </w:r>
          </w:p>
        </w:tc>
        <w:tc>
          <w:tcPr>
            <w:tcW w:w="6874" w:type="dxa"/>
            <w:gridSpan w:val="3"/>
          </w:tcPr>
          <w:p w14:paraId="1DE031D3" w14:textId="77777777" w:rsidR="0067461A" w:rsidRPr="0067461A" w:rsidDel="00427316" w:rsidRDefault="0067461A">
            <w:r w:rsidRPr="0067461A" w:rsidDel="00427316">
              <w:t>Dentro de esta dimensión se define el alcance de los servicios que se modelarán:</w:t>
            </w:r>
          </w:p>
          <w:p w14:paraId="3CE42546" w14:textId="77777777" w:rsidR="0067461A" w:rsidRPr="0067461A" w:rsidDel="00427316" w:rsidRDefault="0067461A" w:rsidP="0067461A">
            <w:pPr>
              <w:pStyle w:val="L1"/>
              <w:numPr>
                <w:ilvl w:val="0"/>
                <w:numId w:val="20"/>
              </w:numPr>
              <w:spacing w:after="0"/>
              <w:contextualSpacing w:val="0"/>
            </w:pPr>
            <w:r w:rsidRPr="0067461A" w:rsidDel="00427316">
              <w:t xml:space="preserve">¿Qué </w:t>
            </w:r>
            <w:r w:rsidRPr="0067461A" w:rsidDel="00427316">
              <w:rPr>
                <w:b/>
              </w:rPr>
              <w:t>conjunto de servicios</w:t>
            </w:r>
            <w:r w:rsidRPr="0067461A" w:rsidDel="00427316">
              <w:t xml:space="preserve"> soporta el operador modelado?</w:t>
            </w:r>
          </w:p>
          <w:p w14:paraId="1776BC0F" w14:textId="77777777" w:rsidR="0067461A" w:rsidRPr="0067461A" w:rsidDel="00427316" w:rsidRDefault="0067461A" w:rsidP="0067461A">
            <w:pPr>
              <w:pStyle w:val="L1"/>
              <w:numPr>
                <w:ilvl w:val="0"/>
                <w:numId w:val="20"/>
              </w:numPr>
              <w:spacing w:after="0"/>
              <w:contextualSpacing w:val="0"/>
            </w:pPr>
            <w:r w:rsidRPr="0067461A" w:rsidDel="00427316">
              <w:t xml:space="preserve">¿Cómo deben determinarse los </w:t>
            </w:r>
            <w:r w:rsidRPr="0067461A" w:rsidDel="00427316">
              <w:rPr>
                <w:b/>
              </w:rPr>
              <w:t>volúmenes de tráfico</w:t>
            </w:r>
            <w:r w:rsidRPr="0067461A" w:rsidDel="00427316">
              <w:t>?</w:t>
            </w:r>
          </w:p>
          <w:p w14:paraId="411945D2" w14:textId="77777777" w:rsidR="0067461A" w:rsidRPr="0067461A" w:rsidDel="00427316" w:rsidRDefault="0067461A" w:rsidP="0067461A">
            <w:pPr>
              <w:pStyle w:val="L1"/>
              <w:numPr>
                <w:ilvl w:val="0"/>
                <w:numId w:val="20"/>
              </w:numPr>
              <w:spacing w:after="0"/>
              <w:contextualSpacing w:val="0"/>
            </w:pPr>
            <w:r w:rsidRPr="0067461A" w:rsidDel="00427316">
              <w:t xml:space="preserve">¿De qué manera se definen los servicios complementarios de </w:t>
            </w:r>
            <w:r w:rsidRPr="0067461A" w:rsidDel="00427316">
              <w:rPr>
                <w:b/>
              </w:rPr>
              <w:t>coubicación e interconexión</w:t>
            </w:r>
            <w:r w:rsidRPr="0067461A" w:rsidDel="00427316">
              <w:t>?</w:t>
            </w:r>
          </w:p>
          <w:p w14:paraId="01984FE0" w14:textId="77777777" w:rsidR="0067461A" w:rsidRPr="0067461A" w:rsidDel="00427316" w:rsidRDefault="0067461A" w:rsidP="0067461A">
            <w:pPr>
              <w:pStyle w:val="I1"/>
              <w:numPr>
                <w:ilvl w:val="0"/>
                <w:numId w:val="21"/>
              </w:numPr>
              <w:tabs>
                <w:tab w:val="clear" w:pos="360"/>
              </w:tabs>
              <w:ind w:left="357" w:hanging="357"/>
            </w:pPr>
            <w:r w:rsidRPr="0067461A" w:rsidDel="00427316">
              <w:t xml:space="preserve">¿Están los costos calculados a nivel </w:t>
            </w:r>
            <w:r w:rsidRPr="0067461A" w:rsidDel="00427316">
              <w:rPr>
                <w:b/>
              </w:rPr>
              <w:t>mayorista</w:t>
            </w:r>
            <w:r w:rsidRPr="0067461A" w:rsidDel="00427316">
              <w:t xml:space="preserve"> o </w:t>
            </w:r>
            <w:r w:rsidRPr="0067461A" w:rsidDel="00427316">
              <w:rPr>
                <w:b/>
              </w:rPr>
              <w:t>minorista</w:t>
            </w:r>
            <w:r w:rsidRPr="0067461A" w:rsidDel="00427316">
              <w:t>?</w:t>
            </w:r>
          </w:p>
        </w:tc>
      </w:tr>
      <w:tr w:rsidR="0067461A" w:rsidRPr="0067461A" w:rsidDel="00427316" w14:paraId="76EB9C54" w14:textId="77777777">
        <w:tblPrEx>
          <w:tblCellMar>
            <w:left w:w="170" w:type="dxa"/>
            <w:right w:w="170" w:type="dxa"/>
          </w:tblCellMar>
        </w:tblPrEx>
        <w:tc>
          <w:tcPr>
            <w:tcW w:w="2041" w:type="dxa"/>
            <w:gridSpan w:val="2"/>
          </w:tcPr>
          <w:p w14:paraId="7D9870E2" w14:textId="77777777" w:rsidR="0067461A" w:rsidRPr="0067461A" w:rsidDel="00427316" w:rsidRDefault="0067461A">
            <w:pPr>
              <w:pStyle w:val="SBSheader"/>
              <w:jc w:val="both"/>
            </w:pPr>
            <w:r w:rsidRPr="0067461A" w:rsidDel="00427316">
              <w:t>Implementación</w:t>
            </w:r>
          </w:p>
        </w:tc>
        <w:tc>
          <w:tcPr>
            <w:tcW w:w="6874" w:type="dxa"/>
            <w:gridSpan w:val="3"/>
          </w:tcPr>
          <w:p w14:paraId="5C2F7A99" w14:textId="77777777" w:rsidR="0067461A" w:rsidRPr="0067461A" w:rsidDel="00427316" w:rsidRDefault="0067461A">
            <w:r w:rsidRPr="0067461A" w:rsidDel="00427316">
              <w:t>Es necesario definir ciertos principios de implementación para llegar a un modelo de costos final, incluyendo:</w:t>
            </w:r>
          </w:p>
          <w:p w14:paraId="247F1A06" w14:textId="77777777" w:rsidR="0067461A" w:rsidRPr="0067461A" w:rsidDel="00427316" w:rsidRDefault="0067461A" w:rsidP="0067461A">
            <w:pPr>
              <w:pStyle w:val="L1"/>
              <w:numPr>
                <w:ilvl w:val="0"/>
                <w:numId w:val="20"/>
              </w:numPr>
              <w:spacing w:after="0"/>
              <w:contextualSpacing w:val="0"/>
            </w:pPr>
            <w:r w:rsidRPr="0067461A" w:rsidDel="00427316">
              <w:t xml:space="preserve">¿Qué </w:t>
            </w:r>
            <w:r w:rsidRPr="0067461A" w:rsidDel="00427316">
              <w:rPr>
                <w:b/>
              </w:rPr>
              <w:t>incrementos</w:t>
            </w:r>
            <w:r w:rsidRPr="0067461A" w:rsidDel="00427316">
              <w:t xml:space="preserve"> deben ser costeados?</w:t>
            </w:r>
          </w:p>
          <w:p w14:paraId="3B1614DF" w14:textId="77777777" w:rsidR="0067461A" w:rsidRPr="0067461A" w:rsidDel="00427316" w:rsidRDefault="0067461A" w:rsidP="0067461A">
            <w:pPr>
              <w:pStyle w:val="L1"/>
              <w:numPr>
                <w:ilvl w:val="0"/>
                <w:numId w:val="20"/>
              </w:numPr>
              <w:spacing w:after="0"/>
              <w:contextualSpacing w:val="0"/>
            </w:pPr>
            <w:r w:rsidRPr="0067461A" w:rsidDel="00427316">
              <w:t xml:space="preserve">¿Qué método de </w:t>
            </w:r>
            <w:r w:rsidRPr="0067461A" w:rsidDel="00427316">
              <w:rPr>
                <w:b/>
              </w:rPr>
              <w:t>depreciación</w:t>
            </w:r>
            <w:r w:rsidRPr="0067461A" w:rsidDel="00427316">
              <w:t xml:space="preserve"> se debe aplicar a los gastos anuales?</w:t>
            </w:r>
          </w:p>
          <w:p w14:paraId="592B8DCB" w14:textId="77777777" w:rsidR="0067461A" w:rsidRPr="0067461A" w:rsidDel="00427316" w:rsidRDefault="0067461A" w:rsidP="0067461A">
            <w:pPr>
              <w:pStyle w:val="I1"/>
              <w:numPr>
                <w:ilvl w:val="0"/>
                <w:numId w:val="21"/>
              </w:numPr>
              <w:tabs>
                <w:tab w:val="clear" w:pos="360"/>
              </w:tabs>
              <w:ind w:left="357" w:hanging="357"/>
            </w:pPr>
            <w:r w:rsidRPr="0067461A" w:rsidDel="00427316">
              <w:lastRenderedPageBreak/>
              <w:t xml:space="preserve">¿Qué </w:t>
            </w:r>
            <w:r w:rsidRPr="0067461A" w:rsidDel="00427316">
              <w:rPr>
                <w:b/>
              </w:rPr>
              <w:t>mecanismo de margen adicional</w:t>
            </w:r>
            <w:r w:rsidRPr="0067461A" w:rsidDel="00427316">
              <w:t xml:space="preserve"> debe ser aplicado a los costos que son comunes a los incrementos?</w:t>
            </w:r>
          </w:p>
        </w:tc>
      </w:tr>
    </w:tbl>
    <w:p w14:paraId="47D93ED2" w14:textId="77777777" w:rsidR="0067461A" w:rsidRPr="0067461A" w:rsidRDefault="0067461A" w:rsidP="0067461A">
      <w:pPr>
        <w:pStyle w:val="Ttulo2"/>
      </w:pPr>
      <w:bookmarkStart w:id="12" w:name="_Toc527663489"/>
      <w:bookmarkStart w:id="13" w:name="_Toc132915495"/>
      <w:bookmarkStart w:id="14" w:name="_Ref135385919"/>
      <w:bookmarkStart w:id="15" w:name="_Toc135921296"/>
      <w:r w:rsidRPr="0067461A">
        <w:lastRenderedPageBreak/>
        <w:t>Encuadre regulatorio</w:t>
      </w:r>
      <w:bookmarkEnd w:id="12"/>
      <w:bookmarkEnd w:id="13"/>
      <w:bookmarkEnd w:id="14"/>
      <w:bookmarkEnd w:id="15"/>
    </w:p>
    <w:p w14:paraId="744BE550" w14:textId="77777777" w:rsidR="0067461A" w:rsidRPr="0067461A" w:rsidRDefault="0067461A" w:rsidP="0067461A">
      <w:r w:rsidRPr="0067461A">
        <w:t>La definición de los distintos aspectos metodológicos que guíen el desarrollo del modelo de costos tendrá su base en los distintos principios regulatorios expuestos por el IFT para los distintos servicios objeto del modelo.</w:t>
      </w:r>
    </w:p>
    <w:p w14:paraId="1EA924E7" w14:textId="1B4CE820" w:rsidR="0067461A" w:rsidRPr="0067461A" w:rsidRDefault="0067461A" w:rsidP="0067461A">
      <w:r w:rsidRPr="0067461A">
        <w:t xml:space="preserve">A este respecto, podemos identificar distintos documentos que tienen un impacto relevante sobre </w:t>
      </w:r>
      <w:r w:rsidR="003671F8">
        <w:t xml:space="preserve">los </w:t>
      </w:r>
      <w:r w:rsidR="000F2FD8">
        <w:t>servicios objetivo de este modelo</w:t>
      </w:r>
      <w:r w:rsidRPr="0067461A">
        <w:t>.</w:t>
      </w:r>
    </w:p>
    <w:p w14:paraId="59F968B0" w14:textId="77777777" w:rsidR="0067461A" w:rsidRPr="0067461A" w:rsidRDefault="0067461A" w:rsidP="00920B9F">
      <w:pPr>
        <w:pStyle w:val="Ttulo3"/>
      </w:pPr>
      <w:r w:rsidRPr="0067461A">
        <w:t>Principios para el cálculo de los costos de servicios de interconexión</w:t>
      </w:r>
    </w:p>
    <w:p w14:paraId="50321FAC" w14:textId="2523BCE1" w:rsidR="0067461A" w:rsidRPr="0067461A" w:rsidRDefault="0067461A" w:rsidP="0067461A">
      <w:r w:rsidRPr="0067461A">
        <w:t>De conformidad con los principios regulatorios establecidos en</w:t>
      </w:r>
      <w:r w:rsidR="000C76F0">
        <w:t xml:space="preserve"> “</w:t>
      </w:r>
      <w:r w:rsidR="000C76F0" w:rsidRPr="000C76F0">
        <w:rPr>
          <w:i/>
          <w:iCs/>
        </w:rPr>
        <w:t>Acuerdo mediante el cual el Pleno del Instituto Federal de Telecomunicaciones emite la metodología para el cálculo de costos de interconexión de conformidad con la Ley Federal de Telecomunicaciones y Radiodifusión</w:t>
      </w:r>
      <w:r w:rsidR="000C76F0">
        <w:rPr>
          <w:i/>
          <w:iCs/>
        </w:rPr>
        <w:t>.”</w:t>
      </w:r>
      <w:r w:rsidRPr="0067461A">
        <w:t xml:space="preserve"> </w:t>
      </w:r>
      <w:r w:rsidR="000C76F0">
        <w:t>(</w:t>
      </w:r>
      <w:r w:rsidR="002B6F97">
        <w:t>Metodología de Costos</w:t>
      </w:r>
      <w:r w:rsidR="000C76F0">
        <w:t>)</w:t>
      </w:r>
      <w:r w:rsidRPr="0067461A">
        <w:t xml:space="preserve"> para el cálculo de los costos de interconexión,</w:t>
      </w:r>
      <w:r w:rsidRPr="0067461A">
        <w:rPr>
          <w:rStyle w:val="Refdenotaalpie"/>
        </w:rPr>
        <w:footnoteReference w:id="2"/>
      </w:r>
      <w:r w:rsidRPr="0067461A">
        <w:t xml:space="preserve"> para el cálculo de los costos asociados a los servicios de interconexión, el modelo de costos deben adherirse, entre otros, a los siguientes principios:</w:t>
      </w:r>
    </w:p>
    <w:p w14:paraId="2DF5ED5D" w14:textId="04F2660C" w:rsidR="0067461A" w:rsidRPr="0067461A" w:rsidRDefault="0067461A" w:rsidP="0067461A">
      <w:pPr>
        <w:pStyle w:val="ListBulletCompact"/>
      </w:pPr>
      <w:r w:rsidRPr="0067461A">
        <w:t xml:space="preserve">se empleará la metodología de Costos Incrementales de Largo Plazo Puros (CILPP) para los servicios de tránsito e interconexión para la conducción de tráfico </w:t>
      </w:r>
    </w:p>
    <w:p w14:paraId="4E9FE77E" w14:textId="77777777" w:rsidR="0067461A" w:rsidRPr="0067461A" w:rsidRDefault="0067461A" w:rsidP="0067461A">
      <w:pPr>
        <w:pStyle w:val="ListBulletCompact"/>
        <w:spacing w:after="0"/>
        <w:ind w:left="360" w:hanging="360"/>
        <w:contextualSpacing w:val="0"/>
      </w:pPr>
      <w:r w:rsidRPr="0067461A">
        <w:t>se utilizará un enfoque ascendente (</w:t>
      </w:r>
      <w:r w:rsidRPr="0067461A">
        <w:rPr>
          <w:i/>
        </w:rPr>
        <w:t>bottom-up</w:t>
      </w:r>
      <w:r w:rsidRPr="0067461A">
        <w:t>)</w:t>
      </w:r>
    </w:p>
    <w:p w14:paraId="6780BD63" w14:textId="77777777" w:rsidR="0067461A" w:rsidRPr="0067461A" w:rsidRDefault="0067461A" w:rsidP="0067461A">
      <w:pPr>
        <w:pStyle w:val="ListBulletCompact"/>
        <w:spacing w:after="0"/>
        <w:ind w:left="360" w:hanging="360"/>
        <w:contextualSpacing w:val="0"/>
      </w:pPr>
      <w:r w:rsidRPr="0067461A">
        <w:t>se utilizará un margen equi-proporcional para la recuperación de los costos comunes relevantes</w:t>
      </w:r>
    </w:p>
    <w:p w14:paraId="50EE7F64" w14:textId="62419F97" w:rsidR="0067461A" w:rsidRPr="0067461A" w:rsidRDefault="0067461A" w:rsidP="0067461A">
      <w:pPr>
        <w:pStyle w:val="ListBulletCompact"/>
        <w:spacing w:after="0"/>
        <w:ind w:left="360" w:hanging="360"/>
        <w:contextualSpacing w:val="0"/>
      </w:pPr>
      <w:r w:rsidRPr="0067461A">
        <w:t>se excluirán los costos comunes y compartidos de los servicios de conducción de tráfico considerados, ya que se está utilizando una metodología CILPP</w:t>
      </w:r>
    </w:p>
    <w:p w14:paraId="689A05E7" w14:textId="77777777" w:rsidR="0067461A" w:rsidRPr="0067461A" w:rsidRDefault="0067461A" w:rsidP="0067461A">
      <w:pPr>
        <w:pStyle w:val="ListBulletCompact"/>
        <w:spacing w:after="0"/>
        <w:ind w:left="360" w:hanging="360"/>
        <w:contextualSpacing w:val="0"/>
      </w:pPr>
      <w:r w:rsidRPr="0067461A">
        <w:t xml:space="preserve">se empleará un enfoque </w:t>
      </w:r>
      <w:r w:rsidRPr="0067461A">
        <w:rPr>
          <w:i/>
        </w:rPr>
        <w:t xml:space="preserve">scorched </w:t>
      </w:r>
      <w:r w:rsidRPr="0067461A">
        <w:rPr>
          <w:iCs/>
        </w:rPr>
        <w:t xml:space="preserve">earth, cuyos resultados se </w:t>
      </w:r>
      <w:r w:rsidRPr="0067461A">
        <w:t>calibrarán con los elementos de red presentes en las redes actuales</w:t>
      </w:r>
    </w:p>
    <w:p w14:paraId="77E1624E" w14:textId="77777777" w:rsidR="0067461A" w:rsidRPr="0067461A" w:rsidRDefault="0067461A" w:rsidP="0067461A">
      <w:pPr>
        <w:pStyle w:val="ListBulletCompact"/>
        <w:spacing w:after="0"/>
        <w:ind w:left="360" w:hanging="360"/>
        <w:contextualSpacing w:val="0"/>
      </w:pPr>
      <w:r w:rsidRPr="0067461A">
        <w:t>se utilizará la depreciación económica para calcular la amortización de los activos</w:t>
      </w:r>
    </w:p>
    <w:p w14:paraId="1C85400D" w14:textId="77777777" w:rsidR="0067461A" w:rsidRPr="0067461A" w:rsidRDefault="0067461A" w:rsidP="0067461A">
      <w:pPr>
        <w:pStyle w:val="ListBulletCompact"/>
        <w:spacing w:after="0"/>
        <w:ind w:left="360" w:hanging="360"/>
        <w:contextualSpacing w:val="0"/>
      </w:pPr>
      <w:r w:rsidRPr="0067461A">
        <w:t>se usará la metodología de las tecnologías eficientes disponibles en el periodo modelado para calcular el costo de los equipos utilizados en la actualidad</w:t>
      </w:r>
    </w:p>
    <w:p w14:paraId="3EF6F3FC" w14:textId="77777777" w:rsidR="0067461A" w:rsidRPr="0067461A" w:rsidRDefault="0067461A" w:rsidP="0067461A">
      <w:pPr>
        <w:pStyle w:val="ListBulletCompact"/>
        <w:spacing w:after="0"/>
        <w:ind w:left="360" w:hanging="360"/>
        <w:contextualSpacing w:val="0"/>
      </w:pPr>
      <w:r w:rsidRPr="0067461A">
        <w:t xml:space="preserve">se tendrá en cuenta la escala de un concesionario eficiente cuya escala de operación sea representativa de los operadores, distintos al AEP, que ofrecen servicios de telecomunicaciones en México </w:t>
      </w:r>
    </w:p>
    <w:p w14:paraId="22FAEC68" w14:textId="77777777" w:rsidR="0067461A" w:rsidRPr="0067461A" w:rsidRDefault="0067461A" w:rsidP="0067461A">
      <w:pPr>
        <w:pStyle w:val="ListBulletCompact"/>
        <w:spacing w:after="0"/>
        <w:ind w:left="360" w:hanging="360"/>
        <w:contextualSpacing w:val="0"/>
      </w:pPr>
      <w:r w:rsidRPr="0067461A">
        <w:t>se empleará la metodología del CCPP para calcular el costo de capital</w:t>
      </w:r>
    </w:p>
    <w:p w14:paraId="0F4C0DCD" w14:textId="77777777" w:rsidR="0067461A" w:rsidRPr="0067461A" w:rsidRDefault="0067461A" w:rsidP="0067461A">
      <w:pPr>
        <w:pStyle w:val="ListBulletCompact"/>
        <w:spacing w:after="0"/>
        <w:ind w:left="360" w:hanging="360"/>
        <w:contextualSpacing w:val="0"/>
      </w:pPr>
      <w:r w:rsidRPr="0067461A">
        <w:t>se empleará un modelo de valuación de activos financieros (CAPM, por sus siglas en inglés) para el cálculo del costo de capital accionario</w:t>
      </w:r>
    </w:p>
    <w:p w14:paraId="73BA37E7" w14:textId="77777777" w:rsidR="0067461A" w:rsidRPr="0067461A" w:rsidRDefault="0067461A" w:rsidP="0067461A">
      <w:pPr>
        <w:pStyle w:val="Listaconvietas"/>
      </w:pPr>
      <w:r w:rsidRPr="0067461A">
        <w:lastRenderedPageBreak/>
        <w:t>se excluirán los costos no asociados a la prestación de servicios de interconexión (p.ej. externalidades).</w:t>
      </w:r>
    </w:p>
    <w:p w14:paraId="49FF8F3B" w14:textId="77777777" w:rsidR="0067461A" w:rsidRPr="0067461A" w:rsidRDefault="0067461A" w:rsidP="0067461A">
      <w:r w:rsidRPr="0067461A">
        <w:t>Adicionalmente, para aquellos servicios que solo esté obligado a prestar el AEP se deben considerar las características de un AEP eficiente, entendida dicha eficiencia como la utilización de tecnologías modernas, eficientes y que carezcan de herencias históricas potencialmente ineficientes.</w:t>
      </w:r>
    </w:p>
    <w:p w14:paraId="6C269D14" w14:textId="754C70D5" w:rsidR="0067461A" w:rsidRPr="0067461A" w:rsidRDefault="0067461A" w:rsidP="0067461A">
      <w:r w:rsidRPr="0067461A">
        <w:t>Los principios presentados en este informe son compatibles con los ya determinados por el IFT. Por lo tanto, este informe se centra en los puntos adicionales a los principios presentados por el IFT que se deberán tomar en consideración para el modelo de costos y las implicaciones correspondientes.</w:t>
      </w:r>
    </w:p>
    <w:p w14:paraId="2064EF85" w14:textId="77777777" w:rsidR="0067461A" w:rsidRPr="0067461A" w:rsidRDefault="0067461A" w:rsidP="0067461A">
      <w:pPr>
        <w:pStyle w:val="Ttulo3"/>
      </w:pPr>
      <w:r w:rsidRPr="0067461A">
        <w:t>Principios para el cálculo de los costos de usuario visitante</w:t>
      </w:r>
    </w:p>
    <w:p w14:paraId="5B45807B" w14:textId="1071CA26" w:rsidR="0067461A" w:rsidRPr="0067461A" w:rsidRDefault="0067461A" w:rsidP="0067461A">
      <w:r w:rsidRPr="0067461A">
        <w:t xml:space="preserve">En la segunda revisión </w:t>
      </w:r>
      <w:r w:rsidR="00D64671" w:rsidRPr="0067461A">
        <w:t xml:space="preserve">bienal </w:t>
      </w:r>
      <w:r w:rsidRPr="0067461A">
        <w:t xml:space="preserve">de las medidas </w:t>
      </w:r>
      <w:r w:rsidR="00D64671">
        <w:t>de preponderancia</w:t>
      </w:r>
      <w:r w:rsidRPr="0067461A">
        <w:t xml:space="preserve">, se </w:t>
      </w:r>
      <w:r w:rsidR="00861FC6">
        <w:t>incluye</w:t>
      </w:r>
      <w:r w:rsidRPr="0067461A">
        <w:t xml:space="preserve"> la obligación de la provisión de servicios de usuario visitante al agente económico preponderante en los servicios de telecomunicaciones móviles. Como parte de las obligaciones, el AEP debe publicar de una oferta de referencia que describa los términos y condiciones del Servicio Mayorista de Usuario Visitante, incluyendo las tarifas aplicables al servicio. </w:t>
      </w:r>
    </w:p>
    <w:p w14:paraId="145ECD3F" w14:textId="77777777" w:rsidR="0067461A" w:rsidRPr="0067461A" w:rsidRDefault="0067461A" w:rsidP="0067461A">
      <w:r w:rsidRPr="0067461A">
        <w:t>No obstante, independientemente de tarifas incluidas en la oferta de referencia, el AEP y el CS podrán negociar entre sí nuevas tarifas. En caso de que las partes no alcancen un acuerdo en un periodo de 60 (sesenta) días naturales, las mismas podrán solicitar la intervención del IFT. En este caso, las medidas estipulan que el IFT determinará las tarifas con base en una metodología de costos incrementales promedio de largo plazo, que al efecto emita.</w:t>
      </w:r>
    </w:p>
    <w:p w14:paraId="13F4A635" w14:textId="77777777" w:rsidR="0067461A" w:rsidRPr="0067461A" w:rsidRDefault="0067461A" w:rsidP="0067461A">
      <w:r w:rsidRPr="0067461A">
        <w:t>La metodología detallada para el costeo de este servicio se presenta a lo largo de este documento.</w:t>
      </w:r>
    </w:p>
    <w:p w14:paraId="2B98FB33" w14:textId="5F76D42E" w:rsidR="0067461A" w:rsidRPr="0067461A" w:rsidRDefault="0067461A" w:rsidP="0067461A">
      <w:pPr>
        <w:pStyle w:val="Ttulo3"/>
      </w:pPr>
      <w:r w:rsidRPr="0067461A">
        <w:t>Principios para el cálculo de los costos del servicio de concentración y distribución asociado al servicio de acceso indirecto al bucle</w:t>
      </w:r>
    </w:p>
    <w:p w14:paraId="26E992FE" w14:textId="7DB56B90" w:rsidR="0067461A" w:rsidRPr="0067461A" w:rsidRDefault="00526CFC" w:rsidP="0067461A">
      <w:r w:rsidRPr="0067461A">
        <w:t xml:space="preserve">En la segunda revisión bienal de las medidas </w:t>
      </w:r>
      <w:r>
        <w:t>de preponderancia</w:t>
      </w:r>
      <w:r w:rsidR="0067461A" w:rsidRPr="0067461A">
        <w:t xml:space="preserve">, se </w:t>
      </w:r>
      <w:r w:rsidR="000802A9">
        <w:t>presenta</w:t>
      </w:r>
      <w:r w:rsidR="0067461A" w:rsidRPr="0067461A">
        <w:t xml:space="preserve"> la obligación de la provisión del </w:t>
      </w:r>
      <w:r w:rsidR="004B7062">
        <w:t>SAIB</w:t>
      </w:r>
      <w:r w:rsidR="0067461A" w:rsidRPr="0067461A">
        <w:t xml:space="preserve"> al agente económico preponderante en los servicios de telecomunicaciones fijas. </w:t>
      </w:r>
    </w:p>
    <w:p w14:paraId="69B8EE57" w14:textId="77777777" w:rsidR="0067461A" w:rsidRPr="0067461A" w:rsidRDefault="0067461A" w:rsidP="0067461A">
      <w:r w:rsidRPr="0067461A">
        <w:t>En concreto, las medidas que permiten la desagregación efectiva de la red local del AEP en telecomunicaciones, en su medida Trigésimo Novena, exponen que las tarifas aplicables al Servicio de Acceso Indirecto al Bucle Local se determinarán a partir de un modelo de costos basado en una metodología de costos incrementales promedio de largo plazo, que al efecto emita el Instituto.</w:t>
      </w:r>
    </w:p>
    <w:p w14:paraId="769C7829" w14:textId="77777777" w:rsidR="0067461A" w:rsidRPr="0067461A" w:rsidRDefault="0067461A" w:rsidP="0067461A">
      <w:r w:rsidRPr="0067461A">
        <w:t>La metodología detallada para el costeo de este servicio se presenta a lo largo de este documento.</w:t>
      </w:r>
    </w:p>
    <w:p w14:paraId="6BBAC70F" w14:textId="77777777" w:rsidR="0067461A" w:rsidRPr="0067461A" w:rsidRDefault="0067461A" w:rsidP="0067461A">
      <w:pPr>
        <w:pStyle w:val="Ttulo3"/>
      </w:pPr>
      <w:r w:rsidRPr="0067461A">
        <w:t>Principios para el cálculo de los costos del servicio de enlaces dedicados</w:t>
      </w:r>
    </w:p>
    <w:p w14:paraId="7773888D" w14:textId="2095F551" w:rsidR="0067461A" w:rsidRPr="0067461A" w:rsidRDefault="000C17B8" w:rsidP="0067461A">
      <w:r w:rsidRPr="0067461A">
        <w:t xml:space="preserve">En la segunda revisión bienal de las medidas </w:t>
      </w:r>
      <w:r>
        <w:t>de preponderancia</w:t>
      </w:r>
      <w:r w:rsidR="0067461A" w:rsidRPr="0067461A">
        <w:t xml:space="preserve">, se </w:t>
      </w:r>
      <w:r w:rsidR="008F6CB6">
        <w:t>presenta</w:t>
      </w:r>
      <w:r w:rsidR="0067461A" w:rsidRPr="0067461A">
        <w:t xml:space="preserve"> la obligación de la provisión de servicios de enlaces dedicados al agente económico preponderante en los servicios de telecomunicaciones fijas. En concreto, las medidas exponen que el AEP deberá proveer el servicio </w:t>
      </w:r>
      <w:r w:rsidR="0067461A" w:rsidRPr="0067461A">
        <w:lastRenderedPageBreak/>
        <w:t xml:space="preserve">en las velocidades Nx64 Kbps (N=1, 2, 3, 4, 6, 8, 10, 12, 16), E1, así como Ethernet en sus distintas capacidades, y cualquier otro que defina el </w:t>
      </w:r>
      <w:r w:rsidR="001A196B">
        <w:t>IFT</w:t>
      </w:r>
      <w:r w:rsidR="0067461A" w:rsidRPr="0067461A">
        <w:t xml:space="preserve"> en la Oferta de Referencia.</w:t>
      </w:r>
    </w:p>
    <w:p w14:paraId="264A7E0A" w14:textId="77777777" w:rsidR="0067461A" w:rsidRPr="0067461A" w:rsidRDefault="0067461A" w:rsidP="0067461A">
      <w:r w:rsidRPr="0067461A">
        <w:t>Adicionalmente, en la medida Trigésima Séptima, se expone que las tarifas aplicables al Servicio Mayorista de Enlaces Dedicados se determinarán a partir de un modelo de costos basado en una metodología de costos incrementales totales promedio de largo plazo, que al efecto emita el Instituto.</w:t>
      </w:r>
    </w:p>
    <w:p w14:paraId="12D20001" w14:textId="77777777" w:rsidR="0067461A" w:rsidRPr="0067461A" w:rsidRDefault="0067461A" w:rsidP="0067461A">
      <w:r w:rsidRPr="0067461A">
        <w:t>La metodología detallada para el costeo de este servicio se presenta a lo largo de este documento.</w:t>
      </w:r>
    </w:p>
    <w:p w14:paraId="1D56ECF3" w14:textId="77777777" w:rsidR="0067461A" w:rsidRPr="0067461A" w:rsidRDefault="0067461A" w:rsidP="0067461A"/>
    <w:p w14:paraId="2ACCDDCD" w14:textId="77777777" w:rsidR="0067461A" w:rsidRPr="0067461A" w:rsidRDefault="0067461A" w:rsidP="0067461A">
      <w:pPr>
        <w:pStyle w:val="Ttulo2"/>
        <w:pageBreakBefore/>
      </w:pPr>
      <w:bookmarkStart w:id="16" w:name="_Toc527663490"/>
      <w:bookmarkStart w:id="17" w:name="_Toc132915496"/>
      <w:bookmarkStart w:id="18" w:name="_Toc135921297"/>
      <w:r w:rsidRPr="0067461A">
        <w:lastRenderedPageBreak/>
        <w:t>Estructura del informe</w:t>
      </w:r>
      <w:bookmarkEnd w:id="16"/>
      <w:bookmarkEnd w:id="17"/>
      <w:bookmarkEnd w:id="18"/>
    </w:p>
    <w:p w14:paraId="1065CBCE" w14:textId="77777777" w:rsidR="0067461A" w:rsidRPr="0067461A" w:rsidRDefault="0067461A" w:rsidP="0067461A">
      <w:r w:rsidRPr="0067461A">
        <w:t>El presente documento se estructura como sigue:</w:t>
      </w:r>
    </w:p>
    <w:p w14:paraId="2C485882" w14:textId="79B7C563" w:rsidR="0067461A" w:rsidRPr="0067461A" w:rsidRDefault="0067461A" w:rsidP="0067461A">
      <w:pPr>
        <w:pStyle w:val="ListBulletCompact"/>
        <w:spacing w:after="0"/>
        <w:ind w:left="360" w:hanging="360"/>
        <w:contextualSpacing w:val="0"/>
        <w:rPr>
          <w:bCs/>
        </w:rPr>
      </w:pPr>
      <w:r w:rsidRPr="0067461A">
        <w:rPr>
          <w:bCs/>
        </w:rPr>
        <w:t>la Sección </w:t>
      </w:r>
      <w:r w:rsidRPr="0067461A">
        <w:rPr>
          <w:bCs/>
        </w:rPr>
        <w:fldChar w:fldCharType="begin"/>
      </w:r>
      <w:r w:rsidRPr="0067461A">
        <w:rPr>
          <w:bCs/>
        </w:rPr>
        <w:instrText xml:space="preserve"> REF _Ref321211115 \r \h  \* MERGEFORMAT </w:instrText>
      </w:r>
      <w:r w:rsidRPr="0067461A">
        <w:rPr>
          <w:bCs/>
        </w:rPr>
      </w:r>
      <w:r w:rsidRPr="0067461A">
        <w:rPr>
          <w:bCs/>
        </w:rPr>
        <w:fldChar w:fldCharType="separate"/>
      </w:r>
      <w:r w:rsidR="00475202">
        <w:rPr>
          <w:bCs/>
        </w:rPr>
        <w:t>2</w:t>
      </w:r>
      <w:r w:rsidRPr="0067461A">
        <w:rPr>
          <w:bCs/>
        </w:rPr>
        <w:fldChar w:fldCharType="end"/>
      </w:r>
      <w:r w:rsidRPr="0067461A">
        <w:rPr>
          <w:bCs/>
        </w:rPr>
        <w:t xml:space="preserve"> describe los principios metodológicos para la elaboración del modelo de costos</w:t>
      </w:r>
    </w:p>
    <w:p w14:paraId="6E782F51" w14:textId="4B253708" w:rsidR="0067461A" w:rsidRPr="0067461A" w:rsidRDefault="0067461A" w:rsidP="0067461A">
      <w:pPr>
        <w:pStyle w:val="ListBulletCompact"/>
        <w:spacing w:after="0"/>
        <w:ind w:left="360" w:hanging="360"/>
        <w:contextualSpacing w:val="0"/>
        <w:rPr>
          <w:bCs/>
        </w:rPr>
      </w:pPr>
      <w:r w:rsidRPr="0067461A">
        <w:rPr>
          <w:bCs/>
        </w:rPr>
        <w:t>la Sección </w:t>
      </w:r>
      <w:r w:rsidRPr="0067461A">
        <w:rPr>
          <w:bCs/>
        </w:rPr>
        <w:fldChar w:fldCharType="begin"/>
      </w:r>
      <w:r w:rsidRPr="0067461A">
        <w:rPr>
          <w:bCs/>
        </w:rPr>
        <w:instrText xml:space="preserve"> REF _Ref321211120 \r \h  \* MERGEFORMAT </w:instrText>
      </w:r>
      <w:r w:rsidRPr="0067461A">
        <w:rPr>
          <w:bCs/>
        </w:rPr>
      </w:r>
      <w:r w:rsidRPr="0067461A">
        <w:rPr>
          <w:bCs/>
        </w:rPr>
        <w:fldChar w:fldCharType="separate"/>
      </w:r>
      <w:r w:rsidR="00475202">
        <w:rPr>
          <w:bCs/>
        </w:rPr>
        <w:t>3</w:t>
      </w:r>
      <w:r w:rsidRPr="0067461A">
        <w:rPr>
          <w:bCs/>
        </w:rPr>
        <w:fldChar w:fldCharType="end"/>
      </w:r>
      <w:r w:rsidRPr="0067461A">
        <w:rPr>
          <w:bCs/>
        </w:rPr>
        <w:t xml:space="preserve"> describe los aspectos específicos relacionados con el tipo de operador modelado para los distintos servicios</w:t>
      </w:r>
    </w:p>
    <w:p w14:paraId="13BC2A31" w14:textId="06DF2793" w:rsidR="0067461A" w:rsidRPr="0067461A" w:rsidRDefault="0067461A" w:rsidP="0067461A">
      <w:pPr>
        <w:pStyle w:val="ListBulletCompact"/>
        <w:spacing w:after="0"/>
        <w:ind w:left="360" w:hanging="360"/>
        <w:contextualSpacing w:val="0"/>
        <w:rPr>
          <w:bCs/>
          <w:spacing w:val="-4"/>
        </w:rPr>
      </w:pPr>
      <w:r w:rsidRPr="0067461A">
        <w:rPr>
          <w:bCs/>
          <w:spacing w:val="-4"/>
        </w:rPr>
        <w:t>la Sección </w:t>
      </w:r>
      <w:r w:rsidRPr="0067461A">
        <w:rPr>
          <w:bCs/>
          <w:spacing w:val="-4"/>
        </w:rPr>
        <w:fldChar w:fldCharType="begin"/>
      </w:r>
      <w:r w:rsidRPr="0067461A">
        <w:rPr>
          <w:bCs/>
          <w:spacing w:val="-4"/>
        </w:rPr>
        <w:instrText xml:space="preserve"> REF _Ref46910813 \r \h </w:instrText>
      </w:r>
      <w:r w:rsidRPr="0067461A">
        <w:rPr>
          <w:bCs/>
          <w:spacing w:val="-4"/>
        </w:rPr>
      </w:r>
      <w:r w:rsidRPr="0067461A">
        <w:rPr>
          <w:bCs/>
          <w:spacing w:val="-4"/>
        </w:rPr>
        <w:fldChar w:fldCharType="separate"/>
      </w:r>
      <w:r w:rsidR="00475202">
        <w:rPr>
          <w:bCs/>
          <w:spacing w:val="-4"/>
        </w:rPr>
        <w:t>4</w:t>
      </w:r>
      <w:r w:rsidRPr="0067461A">
        <w:rPr>
          <w:bCs/>
          <w:spacing w:val="-4"/>
        </w:rPr>
        <w:fldChar w:fldCharType="end"/>
      </w:r>
      <w:r w:rsidRPr="0067461A">
        <w:rPr>
          <w:bCs/>
          <w:spacing w:val="-4"/>
        </w:rPr>
        <w:t xml:space="preserve"> presenta los aspectos conceptuales relacionados con el tipo de tecnología modelada </w:t>
      </w:r>
    </w:p>
    <w:p w14:paraId="34AB65B4" w14:textId="59D39827" w:rsidR="0067461A" w:rsidRPr="0067461A" w:rsidRDefault="0067461A" w:rsidP="0067461A">
      <w:pPr>
        <w:pStyle w:val="ListBulletCompact"/>
        <w:spacing w:after="0"/>
        <w:ind w:left="360" w:hanging="360"/>
        <w:contextualSpacing w:val="0"/>
        <w:rPr>
          <w:bCs/>
        </w:rPr>
      </w:pPr>
      <w:r w:rsidRPr="0067461A">
        <w:rPr>
          <w:bCs/>
        </w:rPr>
        <w:t>la Sección </w:t>
      </w:r>
      <w:r w:rsidRPr="0067461A">
        <w:rPr>
          <w:bCs/>
        </w:rPr>
        <w:fldChar w:fldCharType="begin"/>
      </w:r>
      <w:r w:rsidRPr="0067461A">
        <w:rPr>
          <w:bCs/>
        </w:rPr>
        <w:instrText xml:space="preserve"> REF _Ref526871616 \r \h </w:instrText>
      </w:r>
      <w:r w:rsidRPr="0067461A">
        <w:rPr>
          <w:bCs/>
        </w:rPr>
      </w:r>
      <w:r w:rsidRPr="0067461A">
        <w:rPr>
          <w:bCs/>
        </w:rPr>
        <w:fldChar w:fldCharType="separate"/>
      </w:r>
      <w:r w:rsidR="00475202">
        <w:rPr>
          <w:bCs/>
        </w:rPr>
        <w:t>5</w:t>
      </w:r>
      <w:r w:rsidRPr="0067461A">
        <w:rPr>
          <w:bCs/>
        </w:rPr>
        <w:fldChar w:fldCharType="end"/>
      </w:r>
      <w:r w:rsidRPr="0067461A">
        <w:rPr>
          <w:bCs/>
        </w:rPr>
        <w:t xml:space="preserve"> examina los aspectos conceptuales relacionados con los servicios modelados</w:t>
      </w:r>
    </w:p>
    <w:p w14:paraId="2E69844E" w14:textId="619D725B" w:rsidR="0067461A" w:rsidRPr="0067461A" w:rsidRDefault="0067461A" w:rsidP="0067461A">
      <w:pPr>
        <w:pStyle w:val="Listaconvietas"/>
        <w:rPr>
          <w:spacing w:val="-4"/>
        </w:rPr>
      </w:pPr>
      <w:r w:rsidRPr="0067461A">
        <w:rPr>
          <w:bCs/>
          <w:spacing w:val="-4"/>
        </w:rPr>
        <w:t>la Sección </w:t>
      </w:r>
      <w:r w:rsidR="008F6CB6">
        <w:rPr>
          <w:bCs/>
          <w:spacing w:val="-4"/>
        </w:rPr>
        <w:fldChar w:fldCharType="begin"/>
      </w:r>
      <w:r w:rsidR="008F6CB6">
        <w:rPr>
          <w:bCs/>
          <w:spacing w:val="-4"/>
        </w:rPr>
        <w:instrText xml:space="preserve"> REF _Ref135918467 \r \h </w:instrText>
      </w:r>
      <w:r w:rsidR="008F6CB6">
        <w:rPr>
          <w:bCs/>
          <w:spacing w:val="-4"/>
        </w:rPr>
      </w:r>
      <w:r w:rsidR="008F6CB6">
        <w:rPr>
          <w:bCs/>
          <w:spacing w:val="-4"/>
        </w:rPr>
        <w:fldChar w:fldCharType="separate"/>
      </w:r>
      <w:r w:rsidR="00475202">
        <w:rPr>
          <w:bCs/>
          <w:spacing w:val="-4"/>
        </w:rPr>
        <w:t>6</w:t>
      </w:r>
      <w:r w:rsidR="008F6CB6">
        <w:rPr>
          <w:bCs/>
          <w:spacing w:val="-4"/>
        </w:rPr>
        <w:fldChar w:fldCharType="end"/>
      </w:r>
      <w:r w:rsidRPr="0067461A">
        <w:rPr>
          <w:bCs/>
          <w:spacing w:val="-4"/>
        </w:rPr>
        <w:t xml:space="preserve"> define los</w:t>
      </w:r>
      <w:r w:rsidRPr="0067461A">
        <w:rPr>
          <w:spacing w:val="-4"/>
        </w:rPr>
        <w:t xml:space="preserve"> aspectos conceptuales relacionados con la implementación del modelo.</w:t>
      </w:r>
    </w:p>
    <w:p w14:paraId="21057CFA" w14:textId="77777777" w:rsidR="0067461A" w:rsidRPr="0067461A" w:rsidRDefault="0067461A" w:rsidP="0067461A">
      <w:r w:rsidRPr="0067461A">
        <w:t>El informe incluye un anexo que describe el proceso de aplicación de la depreciación económica.</w:t>
      </w:r>
    </w:p>
    <w:p w14:paraId="6A985816" w14:textId="19ADCA8E" w:rsidR="0067461A" w:rsidRPr="0067461A" w:rsidRDefault="0067461A" w:rsidP="0067461A">
      <w:pPr>
        <w:pStyle w:val="Ttulo1"/>
        <w:rPr>
          <w:lang w:val="es-ES"/>
        </w:rPr>
      </w:pPr>
      <w:bookmarkStart w:id="19" w:name="_Ref321211115"/>
      <w:bookmarkStart w:id="20" w:name="_Toc527663491"/>
      <w:bookmarkStart w:id="21" w:name="_Toc132915497"/>
      <w:bookmarkStart w:id="22" w:name="_Toc135921298"/>
      <w:r w:rsidRPr="0067461A">
        <w:rPr>
          <w:lang w:val="es-ES"/>
        </w:rPr>
        <w:lastRenderedPageBreak/>
        <w:t>Principios metodológicos para la elaboración del modelo de costos</w:t>
      </w:r>
      <w:bookmarkEnd w:id="19"/>
      <w:bookmarkEnd w:id="20"/>
      <w:bookmarkEnd w:id="21"/>
      <w:bookmarkEnd w:id="22"/>
    </w:p>
    <w:p w14:paraId="2C2DD73C" w14:textId="2761A6D7" w:rsidR="0067461A" w:rsidRPr="0067461A" w:rsidRDefault="0067461A" w:rsidP="00E75F99">
      <w:r w:rsidRPr="0067461A">
        <w:t xml:space="preserve">Esta sección presenta los principales aspectos conceptuales que han de tenerse en cuenta a la hora de construir un modelo para calcular los costos de los servicios de telecomunicaciones provistos sobre redes fijas y móviles. Está estructurada como sigue: </w:t>
      </w:r>
    </w:p>
    <w:p w14:paraId="75A6F687" w14:textId="5648E5D3" w:rsidR="0067461A" w:rsidRPr="0067461A" w:rsidRDefault="0067461A" w:rsidP="0067461A">
      <w:pPr>
        <w:pStyle w:val="ListBulletCompact"/>
        <w:spacing w:after="0"/>
        <w:ind w:left="360" w:hanging="360"/>
        <w:contextualSpacing w:val="0"/>
      </w:pPr>
      <w:r w:rsidRPr="0067461A">
        <w:t>costeo a largo plazo (Sección </w:t>
      </w:r>
      <w:r w:rsidRPr="0067461A">
        <w:fldChar w:fldCharType="begin"/>
      </w:r>
      <w:r w:rsidRPr="0067461A">
        <w:instrText xml:space="preserve"> REF _Ref321211161 \r \h </w:instrText>
      </w:r>
      <w:r w:rsidRPr="0067461A">
        <w:fldChar w:fldCharType="separate"/>
      </w:r>
      <w:r w:rsidR="00475202">
        <w:t>2.1</w:t>
      </w:r>
      <w:r w:rsidRPr="0067461A">
        <w:fldChar w:fldCharType="end"/>
      </w:r>
      <w:r w:rsidRPr="0067461A">
        <w:t>)</w:t>
      </w:r>
    </w:p>
    <w:p w14:paraId="214CA22A" w14:textId="7F1F1B8C" w:rsidR="0067461A" w:rsidRDefault="0067461A" w:rsidP="0067461A">
      <w:pPr>
        <w:pStyle w:val="ListBulletCompact"/>
        <w:spacing w:after="0"/>
        <w:ind w:left="360" w:hanging="360"/>
        <w:contextualSpacing w:val="0"/>
      </w:pPr>
      <w:r w:rsidRPr="0067461A">
        <w:t>costeo incremental (Sección </w:t>
      </w:r>
      <w:r w:rsidRPr="0067461A">
        <w:fldChar w:fldCharType="begin"/>
      </w:r>
      <w:r w:rsidRPr="0067461A">
        <w:instrText xml:space="preserve"> REF _Ref321211164 \r \h </w:instrText>
      </w:r>
      <w:r w:rsidRPr="0067461A">
        <w:fldChar w:fldCharType="separate"/>
      </w:r>
      <w:r w:rsidR="00475202">
        <w:t>2.2</w:t>
      </w:r>
      <w:r w:rsidRPr="0067461A">
        <w:fldChar w:fldCharType="end"/>
      </w:r>
      <w:r w:rsidRPr="0067461A">
        <w:t>)</w:t>
      </w:r>
    </w:p>
    <w:p w14:paraId="40CEB61C" w14:textId="2C2F0DA2" w:rsidR="00E75F99" w:rsidRPr="0067461A" w:rsidRDefault="00E75F99" w:rsidP="0067461A">
      <w:pPr>
        <w:pStyle w:val="ListBulletCompact"/>
        <w:spacing w:after="0"/>
        <w:ind w:left="360" w:hanging="360"/>
        <w:contextualSpacing w:val="0"/>
      </w:pPr>
      <w:r w:rsidRPr="0067461A">
        <w:t>competitividad y disputabilidad (Sección </w:t>
      </w:r>
      <w:r>
        <w:t>2.3</w:t>
      </w:r>
      <w:r w:rsidRPr="0067461A">
        <w:t>)</w:t>
      </w:r>
    </w:p>
    <w:p w14:paraId="13F5E852" w14:textId="6A867644" w:rsidR="0067461A" w:rsidRPr="0067461A" w:rsidRDefault="0067461A" w:rsidP="0067461A">
      <w:pPr>
        <w:pStyle w:val="ListBulletCompact"/>
        <w:spacing w:after="0"/>
        <w:ind w:left="360" w:hanging="360"/>
        <w:contextualSpacing w:val="0"/>
      </w:pPr>
      <w:r w:rsidRPr="0067461A">
        <w:t>costos incurridos de manera eficiente (Sección </w:t>
      </w:r>
      <w:r w:rsidRPr="0067461A">
        <w:fldChar w:fldCharType="begin"/>
      </w:r>
      <w:r w:rsidRPr="0067461A">
        <w:instrText xml:space="preserve"> REF _Ref321211169 \r \h </w:instrText>
      </w:r>
      <w:r w:rsidRPr="0067461A">
        <w:fldChar w:fldCharType="separate"/>
      </w:r>
      <w:r w:rsidR="00475202">
        <w:t>2.4</w:t>
      </w:r>
      <w:r w:rsidRPr="0067461A">
        <w:fldChar w:fldCharType="end"/>
      </w:r>
      <w:r w:rsidRPr="0067461A">
        <w:t>)</w:t>
      </w:r>
    </w:p>
    <w:p w14:paraId="5BDE5B11" w14:textId="56868ACA" w:rsidR="0067461A" w:rsidRPr="0067461A" w:rsidRDefault="0067461A" w:rsidP="0067461A">
      <w:pPr>
        <w:pStyle w:val="ListBulletCompact"/>
        <w:spacing w:after="0"/>
        <w:ind w:left="360" w:hanging="360"/>
        <w:contextualSpacing w:val="0"/>
      </w:pPr>
      <w:r w:rsidRPr="0067461A">
        <w:t>costos del servicio utilizando tecnologías modernas (Sección </w:t>
      </w:r>
      <w:r w:rsidRPr="0067461A">
        <w:fldChar w:fldCharType="begin"/>
      </w:r>
      <w:r w:rsidRPr="0067461A">
        <w:instrText xml:space="preserve"> REF _Ref47946744 \n \h </w:instrText>
      </w:r>
      <w:r w:rsidRPr="0067461A">
        <w:fldChar w:fldCharType="separate"/>
      </w:r>
      <w:r w:rsidR="00475202">
        <w:t>2.5</w:t>
      </w:r>
      <w:r w:rsidRPr="0067461A">
        <w:fldChar w:fldCharType="end"/>
      </w:r>
      <w:r w:rsidRPr="0067461A">
        <w:t>)</w:t>
      </w:r>
    </w:p>
    <w:p w14:paraId="7C588DBD" w14:textId="19FD97F5" w:rsidR="0067461A" w:rsidRPr="0067461A" w:rsidRDefault="0067461A" w:rsidP="0067461A">
      <w:pPr>
        <w:pStyle w:val="Listaconvietas"/>
      </w:pPr>
      <w:r w:rsidRPr="0067461A">
        <w:t>costos a futuro (Sección </w:t>
      </w:r>
      <w:r w:rsidRPr="0067461A">
        <w:fldChar w:fldCharType="begin"/>
      </w:r>
      <w:r w:rsidRPr="0067461A">
        <w:instrText xml:space="preserve"> REF _Ref47946764 \n \h </w:instrText>
      </w:r>
      <w:r w:rsidRPr="0067461A">
        <w:fldChar w:fldCharType="separate"/>
      </w:r>
      <w:r w:rsidR="00475202">
        <w:t>2.6</w:t>
      </w:r>
      <w:r w:rsidRPr="0067461A">
        <w:fldChar w:fldCharType="end"/>
      </w:r>
      <w:r w:rsidRPr="0067461A">
        <w:t>).</w:t>
      </w:r>
    </w:p>
    <w:p w14:paraId="4D602CAB" w14:textId="77777777" w:rsidR="0067461A" w:rsidRPr="0067461A" w:rsidRDefault="0067461A" w:rsidP="0067461A">
      <w:pPr>
        <w:pStyle w:val="Ttulo2"/>
      </w:pPr>
      <w:bookmarkStart w:id="23" w:name="_Ref321211161"/>
      <w:bookmarkStart w:id="24" w:name="_Toc135921299"/>
      <w:bookmarkStart w:id="25" w:name="_Ref321211156"/>
      <w:bookmarkStart w:id="26" w:name="_Toc527663492"/>
      <w:bookmarkStart w:id="27" w:name="_Toc132915498"/>
      <w:r w:rsidRPr="0067461A">
        <w:t>Costeo a largo plazo</w:t>
      </w:r>
      <w:bookmarkEnd w:id="23"/>
      <w:bookmarkEnd w:id="24"/>
    </w:p>
    <w:p w14:paraId="7D9E7E6C" w14:textId="77777777" w:rsidR="0067461A" w:rsidRPr="0067461A" w:rsidRDefault="0067461A" w:rsidP="0067461A">
      <w:r w:rsidRPr="0067461A">
        <w:t>Los costos incurridos por un operador son consecuencia de la existencia de demanda de sus servicios o de cambios en la estructura de esta. Los costos a largo plazo incluyen la totalidad de los costos incurridos por un operador para satisfacer la demanda de sus servicios, por lo que también incluyen el precio de reposición de los activos que intervienen en la prestación de los distintos servicios. Como tal, la duración del ‘largo plazo’ puede ser considerada al menos tan larga como la duración del activo de la red fija o móvil con mayor vida útil.</w:t>
      </w:r>
    </w:p>
    <w:p w14:paraId="4465016D" w14:textId="77777777" w:rsidR="0067461A" w:rsidRPr="0067461A" w:rsidRDefault="0067461A" w:rsidP="0067461A">
      <w:r w:rsidRPr="0067461A">
        <w:t>La consideración de los costos de largo plazo es percibida como una representación fiable de los costos incurridos por un operador ya que todos los elementos necesarios para satisfacer la demanda de servicios estarían incluidos y serían promediados a lo largo de la duración del servicio. Por otro lado, los costos a corto plazo son incurridos en el momento de proveer el servicio, y suelen variar significativamente. Por ejemplo, cuando un operador lanza un nuevo servicio, el aumento en la demanda puede llevar a que el operador tenga que incrementar la capacidad de su red para poder hacer frente al aumento de la demanda y, por tanto, sus costos unitarios serán mayores en el corto plazo, pero estos disminuirán a medida que la capacidad disponible se utilice de manera más eficiente debido al aumento y consiguiente estabilización de la demanda.</w:t>
      </w:r>
    </w:p>
    <w:p w14:paraId="71F486BD" w14:textId="77777777" w:rsidR="0067461A" w:rsidRPr="0067461A" w:rsidRDefault="0067461A" w:rsidP="0067461A">
      <w:r w:rsidRPr="0067461A">
        <w:t>Finalmente, cabe destacar que el encuadre regulatorio sobre el que se soporta el desarrollo de este modelo hace necesario que el modelo efectué un costeo a largo plazo de los servicios. Por este motivo, el modelo de costos a desarrollar llevará a cabo un costeo de los servicios a largo plazo</w:t>
      </w:r>
    </w:p>
    <w:p w14:paraId="152E1146" w14:textId="77777777" w:rsidR="0067461A" w:rsidRPr="0067461A" w:rsidRDefault="0067461A" w:rsidP="0067461A">
      <w:pPr>
        <w:pStyle w:val="Ttulo2"/>
      </w:pPr>
      <w:bookmarkStart w:id="28" w:name="_Toc135391531"/>
      <w:bookmarkStart w:id="29" w:name="_Toc135392275"/>
      <w:bookmarkStart w:id="30" w:name="_Toc135405185"/>
      <w:bookmarkStart w:id="31" w:name="_Toc135405325"/>
      <w:bookmarkStart w:id="32" w:name="_Ref321211164"/>
      <w:bookmarkStart w:id="33" w:name="_Toc135921300"/>
      <w:bookmarkEnd w:id="28"/>
      <w:bookmarkEnd w:id="29"/>
      <w:bookmarkEnd w:id="30"/>
      <w:bookmarkEnd w:id="31"/>
      <w:r w:rsidRPr="0067461A">
        <w:t>Costeo incremental</w:t>
      </w:r>
      <w:bookmarkEnd w:id="32"/>
      <w:bookmarkEnd w:id="33"/>
    </w:p>
    <w:p w14:paraId="23596A1F" w14:textId="77777777" w:rsidR="0067461A" w:rsidRPr="0067461A" w:rsidRDefault="0067461A" w:rsidP="0067461A">
      <w:r w:rsidRPr="0067461A">
        <w:t xml:space="preserve">Dado que un operador ofrece distintos productos o servicios, el costo incremental es la variación en el costo total, determinado por el aumento en la oferta (prestación) de un servicio particular, bajo el </w:t>
      </w:r>
      <w:r w:rsidRPr="0067461A">
        <w:lastRenderedPageBreak/>
        <w:t>supuesto de que todas las demás actividades productivas permanecen sin cambios. En otras palabras, el costo incremental puede definirse como el costo total que evitaría un operador si cesara la provisión de ese servicio. Este costo, se denomina de forma general costo incremental a largo plazo (CILP).</w:t>
      </w:r>
    </w:p>
    <w:p w14:paraId="6040FC35" w14:textId="588739C4" w:rsidR="0067461A" w:rsidRPr="0067461A" w:rsidRDefault="0067461A" w:rsidP="0067461A">
      <w:r w:rsidRPr="0067461A">
        <w:t xml:space="preserve">Existe bastante flexibilidad a la hora de definir el incremento, o incrementos, que se utilizará(n) en </w:t>
      </w:r>
      <w:r w:rsidR="00492202">
        <w:t xml:space="preserve">los </w:t>
      </w:r>
      <w:r w:rsidRPr="0067461A">
        <w:t>modelo</w:t>
      </w:r>
      <w:r w:rsidR="00492202">
        <w:t>s de costos</w:t>
      </w:r>
      <w:r w:rsidRPr="0067461A">
        <w:t xml:space="preserve"> y, por tanto, debe elegirse la definición adecuada. Entre las definiciones de incremento </w:t>
      </w:r>
      <w:r w:rsidR="0072162D">
        <w:t>existen</w:t>
      </w:r>
      <w:r w:rsidRPr="0067461A">
        <w:t>:</w:t>
      </w:r>
    </w:p>
    <w:p w14:paraId="3818622F" w14:textId="77777777" w:rsidR="0067461A" w:rsidRPr="0067461A" w:rsidRDefault="0067461A" w:rsidP="0067461A">
      <w:pPr>
        <w:pStyle w:val="ListBulletCompact"/>
        <w:spacing w:after="0"/>
        <w:ind w:left="360" w:hanging="360"/>
        <w:contextualSpacing w:val="0"/>
      </w:pPr>
      <w:r w:rsidRPr="0067461A">
        <w:t>la unidad marginal de demanda de servicio</w:t>
      </w:r>
    </w:p>
    <w:p w14:paraId="1A7B7241" w14:textId="77777777" w:rsidR="0067461A" w:rsidRPr="0067461A" w:rsidRDefault="0067461A" w:rsidP="0067461A">
      <w:pPr>
        <w:pStyle w:val="ListBulletCompact"/>
        <w:spacing w:after="0"/>
        <w:ind w:left="360" w:hanging="360"/>
        <w:contextualSpacing w:val="0"/>
      </w:pPr>
      <w:r w:rsidRPr="0067461A">
        <w:t>la demanda total de demanda de servicio</w:t>
      </w:r>
    </w:p>
    <w:p w14:paraId="0CDADE8A" w14:textId="77777777" w:rsidR="0067461A" w:rsidRPr="0067461A" w:rsidRDefault="0067461A" w:rsidP="0067461A">
      <w:pPr>
        <w:pStyle w:val="ListBulletCompact"/>
        <w:spacing w:after="0"/>
        <w:ind w:left="360" w:hanging="360"/>
        <w:contextualSpacing w:val="0"/>
      </w:pPr>
      <w:r w:rsidRPr="0067461A">
        <w:t>la demanda total para un grupo de servicios</w:t>
      </w:r>
    </w:p>
    <w:p w14:paraId="43980D14" w14:textId="77777777" w:rsidR="0067461A" w:rsidRPr="0067461A" w:rsidRDefault="0067461A" w:rsidP="0067461A">
      <w:pPr>
        <w:pStyle w:val="ListBulletCompact"/>
      </w:pPr>
      <w:r w:rsidRPr="0067461A">
        <w:t>la demanda total para todos los servicios agregados.</w:t>
      </w:r>
    </w:p>
    <w:p w14:paraId="3B3A93E7" w14:textId="6542DA78" w:rsidR="0067461A" w:rsidRPr="0067461A" w:rsidRDefault="0067461A" w:rsidP="0067461A">
      <w:pPr>
        <w:spacing w:after="120" w:line="300" w:lineRule="atLeast"/>
      </w:pPr>
      <w:r w:rsidRPr="0067461A">
        <w:t xml:space="preserve">En la </w:t>
      </w:r>
      <w:r w:rsidRPr="0067461A">
        <w:fldChar w:fldCharType="begin"/>
      </w:r>
      <w:r w:rsidRPr="0067461A">
        <w:instrText xml:space="preserve"> REF _Ref321211672 \h </w:instrText>
      </w:r>
      <w:r w:rsidRPr="0067461A">
        <w:fldChar w:fldCharType="separate"/>
      </w:r>
      <w:r w:rsidR="00475202" w:rsidRPr="0067461A">
        <w:t xml:space="preserve">Figura </w:t>
      </w:r>
      <w:r w:rsidR="00475202">
        <w:rPr>
          <w:noProof/>
        </w:rPr>
        <w:t>2</w:t>
      </w:r>
      <w:r w:rsidR="00475202" w:rsidRPr="0067461A">
        <w:t>.</w:t>
      </w:r>
      <w:r w:rsidR="00475202">
        <w:rPr>
          <w:noProof/>
        </w:rPr>
        <w:t>1</w:t>
      </w:r>
      <w:r w:rsidRPr="0067461A">
        <w:fldChar w:fldCharType="end"/>
      </w:r>
      <w:r w:rsidRPr="0067461A">
        <w:t xml:space="preserve"> se ilustra cómo interactúan las posibles definiciones de incrementos con los diferentes costos incurridos en un negocio que presta cinco servicios.</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67461A" w:rsidRPr="0067461A" w14:paraId="3FDFB2FF" w14:textId="77777777">
        <w:tc>
          <w:tcPr>
            <w:tcW w:w="6576" w:type="dxa"/>
            <w:tcBorders>
              <w:right w:val="single" w:sz="4" w:space="0" w:color="auto"/>
            </w:tcBorders>
            <w:shd w:val="clear" w:color="auto" w:fill="auto"/>
          </w:tcPr>
          <w:p w14:paraId="5148E460" w14:textId="77777777" w:rsidR="0067461A" w:rsidRPr="0067461A" w:rsidRDefault="0067461A">
            <w:pPr>
              <w:pStyle w:val="Bordersmall"/>
              <w:rPr>
                <w:lang w:val="es-ES"/>
              </w:rPr>
            </w:pPr>
            <w:r w:rsidRPr="0067461A">
              <w:rPr>
                <w:noProof/>
                <w:lang w:val="es-ES" w:eastAsia="es-ES"/>
              </w:rPr>
              <w:drawing>
                <wp:inline distT="0" distB="0" distL="0" distR="0" wp14:anchorId="451B0C2D" wp14:editId="39AEF529">
                  <wp:extent cx="3331945" cy="3381307"/>
                  <wp:effectExtent l="0" t="0" r="1905" b="0"/>
                  <wp:docPr id="138363903" name="Picture 138363903" descr="Definiciones de posibles incrementos, Fuente: Analysys Mason, 2016" title="Figura dos punto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333809" cy="3383199"/>
                          </a:xfrm>
                          <a:prstGeom prst="rect">
                            <a:avLst/>
                          </a:prstGeom>
                        </pic:spPr>
                      </pic:pic>
                    </a:graphicData>
                  </a:graphic>
                </wp:inline>
              </w:drawing>
            </w:r>
          </w:p>
        </w:tc>
        <w:tc>
          <w:tcPr>
            <w:tcW w:w="2154" w:type="dxa"/>
            <w:tcBorders>
              <w:left w:val="single" w:sz="4" w:space="0" w:color="auto"/>
            </w:tcBorders>
            <w:shd w:val="clear" w:color="auto" w:fill="auto"/>
          </w:tcPr>
          <w:p w14:paraId="746E2072" w14:textId="3637D285" w:rsidR="0067461A" w:rsidRPr="0067461A" w:rsidRDefault="0067461A">
            <w:pPr>
              <w:pStyle w:val="Captionsmall"/>
              <w:rPr>
                <w:lang w:val="es-ES"/>
              </w:rPr>
            </w:pPr>
            <w:bookmarkStart w:id="34" w:name="_Ref321211672"/>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2</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1</w:t>
            </w:r>
            <w:r w:rsidRPr="0067461A">
              <w:rPr>
                <w:lang w:val="es-ES"/>
              </w:rPr>
              <w:fldChar w:fldCharType="end"/>
            </w:r>
            <w:bookmarkEnd w:id="34"/>
            <w:r w:rsidRPr="0067461A">
              <w:rPr>
                <w:lang w:val="es-ES"/>
              </w:rPr>
              <w:t>: Definiciones de posibles incrementos [Fuente: Analysys Mason, 202</w:t>
            </w:r>
            <w:r w:rsidR="008528C5">
              <w:rPr>
                <w:lang w:val="es-ES"/>
              </w:rPr>
              <w:t>3</w:t>
            </w:r>
            <w:r w:rsidRPr="0067461A">
              <w:rPr>
                <w:lang w:val="es-ES"/>
              </w:rPr>
              <w:t>]</w:t>
            </w:r>
          </w:p>
        </w:tc>
      </w:tr>
    </w:tbl>
    <w:p w14:paraId="03E2A49A" w14:textId="77777777" w:rsidR="0067461A" w:rsidRPr="0067461A" w:rsidRDefault="0067461A" w:rsidP="0067461A">
      <w:r w:rsidRPr="0067461A">
        <w:br/>
        <w:t>En este sentido, si bien existen distintos estándares de costos a emplear sobre una base de costos incrementales, existen dos principales variantes empleados en la práctica internacional para modelo de costos de redes de telecomunicaciones:</w:t>
      </w:r>
    </w:p>
    <w:p w14:paraId="28D151C2" w14:textId="77777777" w:rsidR="0067461A" w:rsidRPr="0067461A" w:rsidRDefault="0067461A" w:rsidP="0067461A">
      <w:pPr>
        <w:pStyle w:val="ListBulletCompact"/>
      </w:pPr>
      <w:r w:rsidRPr="0067461A">
        <w:t>Costos incrementales a largo plazo puros (CILPP): Los cuales proporcionan una visión del costo total que una concesionaria podría evitar en el largo plazo si dejara de proveer un servicio concreto, pero continuara proveyendo el resto de los servicios</w:t>
      </w:r>
    </w:p>
    <w:p w14:paraId="013A4098" w14:textId="400EC894" w:rsidR="0067461A" w:rsidRPr="0067461A" w:rsidRDefault="0067461A" w:rsidP="0067461A">
      <w:pPr>
        <w:pStyle w:val="ListBulletCompact"/>
      </w:pPr>
      <w:r w:rsidRPr="0067461A">
        <w:t xml:space="preserve">Costos incrementales promedio a largo plazo (CIPLP): Los cuales estiman el costo total que una concesionaria podría evitar en el largo plazo si dejara de proveer un servicio (o grupo de servicios) concreto, pero continuara proveyendo el resto de los servicios, </w:t>
      </w:r>
      <w:r w:rsidR="00CF0216">
        <w:t xml:space="preserve">a este estándar </w:t>
      </w:r>
      <w:r w:rsidRPr="0067461A">
        <w:t>además</w:t>
      </w:r>
      <w:r w:rsidR="00CF0216">
        <w:t xml:space="preserve"> </w:t>
      </w:r>
      <w:r w:rsidR="00CF0216">
        <w:lastRenderedPageBreak/>
        <w:t xml:space="preserve">se le puede </w:t>
      </w:r>
      <w:r w:rsidRPr="0067461A">
        <w:t>permitir recuperar parte de los costos comunes por medio de asignaciones de costos</w:t>
      </w:r>
      <w:r w:rsidR="009D02AB">
        <w:t xml:space="preserve"> en cuyo caso el IFT </w:t>
      </w:r>
      <w:r w:rsidR="00EF67D9">
        <w:t>lo ha denominado costo incremental total promedio de largo plazo (CITPLP)</w:t>
      </w:r>
      <w:r w:rsidRPr="0067461A">
        <w:t>. El estándar CITPLP representa solo un caso específico del estándar CIPLP, siendo totalmente compatibles entre sí.</w:t>
      </w:r>
    </w:p>
    <w:p w14:paraId="32CCB4C7" w14:textId="592131EF" w:rsidR="0067461A" w:rsidRPr="0067461A" w:rsidRDefault="0067461A" w:rsidP="0067461A">
      <w:r w:rsidRPr="0067461A">
        <w:t>Tal y como se presenta en la sección</w:t>
      </w:r>
      <w:r w:rsidR="00EE51FF">
        <w:t xml:space="preserve"> </w:t>
      </w:r>
      <w:r w:rsidR="00EE51FF">
        <w:rPr>
          <w:highlight w:val="yellow"/>
        </w:rPr>
        <w:fldChar w:fldCharType="begin"/>
      </w:r>
      <w:r w:rsidR="00EE51FF">
        <w:instrText xml:space="preserve"> REF _Ref135385919 \r \h </w:instrText>
      </w:r>
      <w:r w:rsidR="00EE51FF">
        <w:rPr>
          <w:highlight w:val="yellow"/>
        </w:rPr>
      </w:r>
      <w:r w:rsidR="00EE51FF">
        <w:rPr>
          <w:highlight w:val="yellow"/>
        </w:rPr>
        <w:fldChar w:fldCharType="separate"/>
      </w:r>
      <w:r w:rsidR="00475202">
        <w:t>1.2</w:t>
      </w:r>
      <w:r w:rsidR="00EE51FF">
        <w:rPr>
          <w:highlight w:val="yellow"/>
        </w:rPr>
        <w:fldChar w:fldCharType="end"/>
      </w:r>
      <w:r w:rsidRPr="0067461A">
        <w:t>, el encuadre regulatorio existente para los servicios a modelar hace necesario el desarrollo de un modelo compatible con los estándares CIPLP y CILPP. En la Sección </w:t>
      </w:r>
      <w:r w:rsidRPr="0067461A">
        <w:fldChar w:fldCharType="begin"/>
      </w:r>
      <w:r w:rsidRPr="0067461A">
        <w:instrText xml:space="preserve"> REF _Ref321212513 \n \h  \* MERGEFORMAT </w:instrText>
      </w:r>
      <w:r w:rsidRPr="0067461A">
        <w:fldChar w:fldCharType="separate"/>
      </w:r>
      <w:r w:rsidR="00475202">
        <w:t>6.2</w:t>
      </w:r>
      <w:r w:rsidRPr="0067461A">
        <w:fldChar w:fldCharType="end"/>
      </w:r>
      <w:r w:rsidRPr="0067461A">
        <w:t xml:space="preserve"> se aborda en mayor detalle la definición de los incrementos propuestos para el modelo de costos.</w:t>
      </w:r>
    </w:p>
    <w:p w14:paraId="723FFA8D" w14:textId="77777777" w:rsidR="0067461A" w:rsidRPr="0067461A" w:rsidRDefault="0067461A" w:rsidP="0067461A">
      <w:pPr>
        <w:pStyle w:val="Ttulo2"/>
      </w:pPr>
      <w:bookmarkStart w:id="35" w:name="_Toc135921301"/>
      <w:r w:rsidRPr="0067461A">
        <w:t xml:space="preserve">Competitividad y </w:t>
      </w:r>
      <w:bookmarkEnd w:id="25"/>
      <w:r w:rsidRPr="0067461A">
        <w:t>disputabilidad</w:t>
      </w:r>
      <w:bookmarkEnd w:id="26"/>
      <w:bookmarkEnd w:id="27"/>
      <w:bookmarkEnd w:id="35"/>
    </w:p>
    <w:p w14:paraId="1B7BEAC6" w14:textId="740C4A69" w:rsidR="0067461A" w:rsidRPr="0067461A" w:rsidRDefault="0067461A" w:rsidP="0067461A">
      <w:r w:rsidRPr="0067461A">
        <w:t>Los costos incrementales a largo plazo reflejan el costo adicional que un concesionario incurre en el largo plazo por la prestación de un servicio en un mercado competitivo y disputable. Un entorno de competencia efectiva asegura que los operadores obtengan una rentabilidad razonable sobre el capital invertido en el largo plazo, es decir, durante un periodo discreto de tiempo.</w:t>
      </w:r>
    </w:p>
    <w:p w14:paraId="7BEA6D3E" w14:textId="77777777" w:rsidR="0067461A" w:rsidRPr="0067461A" w:rsidRDefault="0067461A" w:rsidP="0067461A">
      <w:r w:rsidRPr="0067461A">
        <w:t>La disputabilidad asegura que los precios de los servicios existentes reflejen los costos de proveer dichos servicios en un mercado al que pueden acceder nuevos competidores utilizando tecnologías modernas. Con estos criterios se logra que los operadores no puedan recobrar los costos contraídos de manera ineficiente y que se requiera una evolución a largo plazo en la recuperación de costos de un operador (ya que un nuevo entrante no tendría las restricciones asociadas con la recuperación de costos históricos).</w:t>
      </w:r>
    </w:p>
    <w:p w14:paraId="3D2F4102" w14:textId="77777777" w:rsidR="0067461A" w:rsidRPr="0067461A" w:rsidRDefault="0067461A" w:rsidP="0067461A">
      <w:pPr>
        <w:pStyle w:val="Ttulo2"/>
      </w:pPr>
      <w:bookmarkStart w:id="36" w:name="_Ref321211169"/>
      <w:bookmarkStart w:id="37" w:name="_Toc527663495"/>
      <w:bookmarkStart w:id="38" w:name="_Toc132915501"/>
      <w:bookmarkStart w:id="39" w:name="_Toc135921302"/>
      <w:r w:rsidRPr="0067461A">
        <w:t>Costos incurridos de manera eficiente</w:t>
      </w:r>
      <w:bookmarkEnd w:id="36"/>
      <w:bookmarkEnd w:id="37"/>
      <w:bookmarkEnd w:id="38"/>
      <w:bookmarkEnd w:id="39"/>
    </w:p>
    <w:p w14:paraId="58DDC942" w14:textId="77777777" w:rsidR="0067461A" w:rsidRPr="0067461A" w:rsidRDefault="0067461A" w:rsidP="0067461A">
      <w:r w:rsidRPr="0067461A">
        <w:t>Para lograr establecer los incentivos operacionales y de inversión adecuados para los operadores regulados, es necesario que se permitan contabilizar solo los costos incurridos de manera eficiente para determinar los precios regulados. La aplicación de este principio específicamente para un modelo de costos depende de varios aspectos:</w:t>
      </w:r>
    </w:p>
    <w:p w14:paraId="4F7ED985" w14:textId="77777777" w:rsidR="0067461A" w:rsidRPr="0067461A" w:rsidRDefault="0067461A" w:rsidP="0067461A">
      <w:pPr>
        <w:pStyle w:val="ListBulletCompact"/>
        <w:spacing w:after="0"/>
        <w:ind w:left="360" w:hanging="360"/>
        <w:contextualSpacing w:val="0"/>
      </w:pPr>
      <w:r w:rsidRPr="0067461A">
        <w:t xml:space="preserve">detalle y comparación de la información proporcionada por cada uno de los operadores </w:t>
      </w:r>
    </w:p>
    <w:p w14:paraId="506B9669" w14:textId="77777777" w:rsidR="0067461A" w:rsidRPr="0067461A" w:rsidRDefault="0067461A" w:rsidP="0067461A">
      <w:pPr>
        <w:pStyle w:val="ListBulletCompact"/>
        <w:spacing w:after="0"/>
        <w:ind w:left="360" w:hanging="360"/>
        <w:contextualSpacing w:val="0"/>
      </w:pPr>
      <w:r w:rsidRPr="0067461A">
        <w:t>detalle de las labores de modelado realizadas</w:t>
      </w:r>
    </w:p>
    <w:p w14:paraId="4A7624D8" w14:textId="77777777" w:rsidR="0067461A" w:rsidRPr="0067461A" w:rsidRDefault="0067461A" w:rsidP="0067461A">
      <w:pPr>
        <w:pStyle w:val="ListBulletCompact"/>
        <w:spacing w:after="0"/>
        <w:ind w:left="360" w:hanging="360"/>
        <w:contextualSpacing w:val="0"/>
      </w:pPr>
      <w:r w:rsidRPr="0067461A">
        <w:t>la capacidad para poder aislar gastos ineficientes</w:t>
      </w:r>
    </w:p>
    <w:p w14:paraId="31703F1F" w14:textId="77777777" w:rsidR="0067461A" w:rsidRPr="0067461A" w:rsidRDefault="0067461A" w:rsidP="0067461A">
      <w:pPr>
        <w:pStyle w:val="Listaconvietas"/>
      </w:pPr>
      <w:r w:rsidRPr="0067461A">
        <w:t>lo estricto de la comparativa (</w:t>
      </w:r>
      <w:r w:rsidRPr="0067461A">
        <w:rPr>
          <w:iCs/>
        </w:rPr>
        <w:t>benchmark</w:t>
      </w:r>
      <w:r w:rsidRPr="0067461A">
        <w:t>) de eficiencia que se aplique.</w:t>
      </w:r>
      <w:r w:rsidRPr="0067461A">
        <w:rPr>
          <w:rStyle w:val="Refdenotaalpie"/>
        </w:rPr>
        <w:footnoteReference w:id="3"/>
      </w:r>
    </w:p>
    <w:p w14:paraId="3A325B22" w14:textId="77777777" w:rsidR="0067461A" w:rsidRPr="0067461A" w:rsidRDefault="0067461A" w:rsidP="0067461A">
      <w:r w:rsidRPr="0067461A">
        <w:t xml:space="preserve">El mercado mexicano ofrece una oferta competitiva de infraestructura y servicios de telecomunicaciones. Por consiguiente, la expectativa de ineficiencias en las redes es limitada. Aun así, es necesario realizar una evaluación robusta de los costos eficientemente incurridos tanto para el mercado fijo como el móvil. </w:t>
      </w:r>
    </w:p>
    <w:p w14:paraId="38DEFD25" w14:textId="77777777" w:rsidR="0067461A" w:rsidRPr="0067461A" w:rsidRDefault="0067461A" w:rsidP="0067461A">
      <w:r w:rsidRPr="0067461A">
        <w:lastRenderedPageBreak/>
        <w:t>La eficiencia también puede ser considerada como una dimensión de tamaño. Para un despliegue de red específico, un operador puede estar operando por debajo de un nivel eficiente debido a su tamaño, con lo que parecería que el costo unitario de sus servicios es alto en comparación con el de operadores más grandes o que tengan un despliegue de red mejor ajustado a su tamaño.</w:t>
      </w:r>
    </w:p>
    <w:p w14:paraId="5DA24D74" w14:textId="77777777" w:rsidR="0067461A" w:rsidRPr="0067461A" w:rsidRDefault="0067461A" w:rsidP="0067461A">
      <w:pPr>
        <w:pStyle w:val="Ttulo2"/>
      </w:pPr>
      <w:bookmarkStart w:id="40" w:name="_Ref47946744"/>
      <w:bookmarkStart w:id="41" w:name="_Toc132915502"/>
      <w:bookmarkStart w:id="42" w:name="_Toc135921303"/>
      <w:bookmarkStart w:id="43" w:name="_Ref321211180"/>
      <w:bookmarkStart w:id="44" w:name="_Toc527663497"/>
      <w:r w:rsidRPr="0067461A">
        <w:t>Costos del servicio utilizando tecnologías modernas</w:t>
      </w:r>
      <w:bookmarkEnd w:id="40"/>
      <w:bookmarkEnd w:id="41"/>
      <w:bookmarkEnd w:id="42"/>
    </w:p>
    <w:p w14:paraId="36825340" w14:textId="168F828D" w:rsidR="0067461A" w:rsidRPr="0067461A" w:rsidRDefault="0067461A" w:rsidP="0067461A">
      <w:r w:rsidRPr="0067461A">
        <w:t>En un mercado disputable, un nuevo entrante que compita para ofrecer un servicio desplegaría tecnología moderna –ya que esta sería la mejor opción para tener una red eficiente–. Esto implica cuatro aspectos de ‘modernidad’: la tecnología de red (p.ej. TDM, IP, 2G, 3G, LTE, 5G), la capacidad del equipo, el precio de dicha capacidad y los costos de operación y mantenimiento. Por consiguiente, un modelo de costos incrementales debe capturar dichos aspectos:</w:t>
      </w:r>
    </w:p>
    <w:p w14:paraId="40C09E9C" w14:textId="77777777" w:rsidR="0067461A" w:rsidRPr="0067461A" w:rsidRDefault="0067461A" w:rsidP="0067461A">
      <w:pPr>
        <w:pStyle w:val="Listaconvietas"/>
      </w:pPr>
      <w:r w:rsidRPr="0067461A">
        <w:rPr>
          <w:b/>
          <w:bCs/>
        </w:rPr>
        <w:t>La tecnología seleccionada tiene que ser eficiente</w:t>
      </w:r>
      <w:r w:rsidRPr="0067461A">
        <w:t>. La tecnología 2G está aún siendo utilizada por ciertos usuarios móviles del agente económico preponderante (AEP) en México si bien es cierto que otros operadores como AT&amp;T ya han apagado su red 2G.</w:t>
      </w:r>
      <w:r w:rsidRPr="0067461A">
        <w:rPr>
          <w:rStyle w:val="Refdenotaalpie"/>
        </w:rPr>
        <w:footnoteReference w:id="4"/>
      </w:r>
    </w:p>
    <w:p w14:paraId="389190C7" w14:textId="77777777" w:rsidR="0067461A" w:rsidRPr="0067461A" w:rsidRDefault="0067461A" w:rsidP="0067461A">
      <w:pPr>
        <w:pStyle w:val="Listaconvietas"/>
      </w:pPr>
      <w:r w:rsidRPr="0067461A">
        <w:rPr>
          <w:b/>
          <w:bCs/>
        </w:rPr>
        <w:t>La capacidad del equipo tiene que reflejar estándares actualizados</w:t>
      </w:r>
      <w:r w:rsidRPr="0067461A">
        <w:t>. En el caso de la infraestructura de redes móviles, algunos elementos de red, por su funcionalidad, requieren capacidad constante. Otros elementos de red tendrán capacidad incremental (p.ej. la capacidad de un MSC aumenta con nuevos procesadores, pero disminuye con nuevas aplicaciones –algunas de las cuales serán implementadas para servicios de datos–). Los conmutadores también aumentan su capacidad con el tiempo; los conmutadores de nueva generación podrían ser optimizados para mejorar su capacidad (a modo de ejemplo, en redes 3G el MSS solo realiza el control a nivel de llamada y señalización, mientras que el MGW es el que conmuta el tráfico de voz).</w:t>
      </w:r>
    </w:p>
    <w:p w14:paraId="436BEE6C" w14:textId="77777777" w:rsidR="0067461A" w:rsidRPr="0067461A" w:rsidRDefault="0067461A" w:rsidP="0067461A">
      <w:pPr>
        <w:pStyle w:val="Listaconvietas"/>
      </w:pPr>
      <w:r w:rsidRPr="0067461A">
        <w:rPr>
          <w:b/>
          <w:bCs/>
        </w:rPr>
        <w:t>El precio actual de los equipos representa el precio de un activo moderno a lo largo del tiempo</w:t>
      </w:r>
      <w:r w:rsidRPr="0067461A">
        <w:t>. Este precio debe ser representativo del que se obtendría en México si se realizara un proceso de licitación competitivo.</w:t>
      </w:r>
    </w:p>
    <w:p w14:paraId="1EA66DB1" w14:textId="77777777" w:rsidR="0067461A" w:rsidRPr="0067461A" w:rsidRDefault="0067461A" w:rsidP="0067461A">
      <w:pPr>
        <w:pStyle w:val="Listaconvietas"/>
      </w:pPr>
      <w:r w:rsidRPr="0067461A">
        <w:rPr>
          <w:b/>
          <w:bCs/>
        </w:rPr>
        <w:t xml:space="preserve">Los costos de operación y mantenimiento deben corresponder a los de un equipo moderno y representar todos los costos relevantes </w:t>
      </w:r>
      <w:r w:rsidRPr="0067461A">
        <w:t xml:space="preserve">de instalaciones, hardware y software </w:t>
      </w:r>
      <w:r w:rsidRPr="0067461A">
        <w:rPr>
          <w:b/>
          <w:bCs/>
        </w:rPr>
        <w:t>de una red moderna</w:t>
      </w:r>
      <w:r w:rsidRPr="0067461A">
        <w:t xml:space="preserve">. </w:t>
      </w:r>
    </w:p>
    <w:p w14:paraId="71CAEB93" w14:textId="77777777" w:rsidR="0067461A" w:rsidRPr="0067461A" w:rsidRDefault="0067461A" w:rsidP="0067461A">
      <w:pPr>
        <w:rPr>
          <w:spacing w:val="-4"/>
        </w:rPr>
      </w:pPr>
      <w:r w:rsidRPr="0067461A">
        <w:rPr>
          <w:spacing w:val="-4"/>
        </w:rPr>
        <w:t>La definición de un equipo moderno es bastante compleja. Los operadores fijos en todo el mundo se encuentran en diferentes etapas de despliegue de redes de nueva generación basadas en IP. Igualmente, los operadores móviles se encuentran en diferentes etapas de despliegue de redes 5G, e incluso redes 4G.</w:t>
      </w:r>
    </w:p>
    <w:p w14:paraId="06555532" w14:textId="6D946FD4" w:rsidR="0067461A" w:rsidRPr="0067461A" w:rsidRDefault="0067461A" w:rsidP="00920B9F">
      <w:pPr>
        <w:rPr>
          <w:spacing w:val="-4"/>
        </w:rPr>
      </w:pPr>
      <w:r w:rsidRPr="0067461A">
        <w:rPr>
          <w:spacing w:val="-4"/>
        </w:rPr>
        <w:t xml:space="preserve">Como referencia de comparativa internacional, la Comisión Europea, en su Recomendación sobre el tratamiento normativo de las tarifas de terminación de la telefonía fija y móvil en la Unión Europea (‘la </w:t>
      </w:r>
      <w:r w:rsidRPr="0067461A">
        <w:rPr>
          <w:spacing w:val="-4"/>
        </w:rPr>
        <w:lastRenderedPageBreak/>
        <w:t>Recomendación de la CE de 2009’),</w:t>
      </w:r>
      <w:r w:rsidRPr="0067461A">
        <w:rPr>
          <w:rStyle w:val="Refdenotaalpie"/>
          <w:rFonts w:cs="Arial"/>
          <w:color w:val="000000" w:themeColor="text1"/>
          <w:spacing w:val="-4"/>
        </w:rPr>
        <w:footnoteReference w:id="5"/>
      </w:r>
      <w:r w:rsidRPr="0067461A">
        <w:rPr>
          <w:spacing w:val="-4"/>
        </w:rPr>
        <w:t xml:space="preserve"> establece que los modelos de costos deben basarse en las opciones tecnológicas eficientes disponibles dentro del marco temporal considerado por el modelo, en la medida en que puedan determinarse. Este ejemplo puede ser útil para el IFT a modo comparativo, lo que, junto con la situación del mercado de las telecomunicaciones mexicano, permitirá determinar cuáles son las tecnologías eficientes disponibles a incluir en el modelo de costos.</w:t>
      </w:r>
    </w:p>
    <w:p w14:paraId="12B20D79" w14:textId="77777777" w:rsidR="0067461A" w:rsidRPr="0067461A" w:rsidRDefault="0067461A" w:rsidP="0067461A">
      <w:pPr>
        <w:pStyle w:val="Ttulo2"/>
      </w:pPr>
      <w:bookmarkStart w:id="45" w:name="_Ref47946764"/>
      <w:bookmarkStart w:id="46" w:name="_Toc132915503"/>
      <w:bookmarkStart w:id="47" w:name="_Toc135921304"/>
      <w:r w:rsidRPr="0067461A">
        <w:t>Costos a futuro</w:t>
      </w:r>
      <w:bookmarkEnd w:id="43"/>
      <w:bookmarkEnd w:id="44"/>
      <w:bookmarkEnd w:id="45"/>
      <w:bookmarkEnd w:id="46"/>
      <w:bookmarkEnd w:id="47"/>
    </w:p>
    <w:p w14:paraId="53BB982C" w14:textId="77777777" w:rsidR="0067461A" w:rsidRPr="0067461A" w:rsidRDefault="0067461A" w:rsidP="0067461A">
      <w:pPr>
        <w:spacing w:after="120"/>
      </w:pPr>
      <w:r w:rsidRPr="0067461A">
        <w:t>Los costos a futuro determinan el nivel de recuperación de la inversión de un operador ahora y en periodos futuros de acuerdo con:</w:t>
      </w:r>
    </w:p>
    <w:p w14:paraId="5EC9B92F" w14:textId="77777777" w:rsidR="0067461A" w:rsidRPr="0067461A" w:rsidRDefault="0067461A" w:rsidP="0067461A">
      <w:pPr>
        <w:pStyle w:val="ListBulletCompact"/>
        <w:spacing w:after="0"/>
        <w:ind w:left="360" w:hanging="360"/>
        <w:contextualSpacing w:val="0"/>
      </w:pPr>
      <w:r w:rsidRPr="0067461A">
        <w:t>niveles de gasto actuales (modernos)</w:t>
      </w:r>
    </w:p>
    <w:p w14:paraId="7BD21ACF" w14:textId="77777777" w:rsidR="0067461A" w:rsidRPr="0067461A" w:rsidRDefault="0067461A" w:rsidP="0067461A">
      <w:pPr>
        <w:pStyle w:val="ListBulletCompact"/>
        <w:spacing w:after="0"/>
        <w:ind w:left="360" w:hanging="360"/>
        <w:contextualSpacing w:val="0"/>
      </w:pPr>
      <w:r w:rsidRPr="0067461A">
        <w:t>pronósticos de cambio en el volumen de la demanda</w:t>
      </w:r>
    </w:p>
    <w:p w14:paraId="465B7621" w14:textId="77777777" w:rsidR="0067461A" w:rsidRPr="0067461A" w:rsidRDefault="0067461A" w:rsidP="0067461A">
      <w:pPr>
        <w:pStyle w:val="ListBulletCompact"/>
        <w:spacing w:after="0"/>
        <w:ind w:left="360" w:hanging="360"/>
        <w:contextualSpacing w:val="0"/>
      </w:pPr>
      <w:r w:rsidRPr="0067461A">
        <w:t>pronósticos de cambio en el precio de los equipos</w:t>
      </w:r>
    </w:p>
    <w:p w14:paraId="3DCF9E70" w14:textId="77777777" w:rsidR="0067461A" w:rsidRPr="0067461A" w:rsidRDefault="0067461A" w:rsidP="0067461A">
      <w:pPr>
        <w:pStyle w:val="ListBulletCompact"/>
        <w:spacing w:after="120"/>
      </w:pPr>
      <w:r w:rsidRPr="0067461A">
        <w:t>pronósticos de cambio en la tecnología moderna (si procede).</w:t>
      </w:r>
    </w:p>
    <w:p w14:paraId="60FE0F58" w14:textId="424F0F48" w:rsidR="0067461A" w:rsidRPr="0067461A" w:rsidRDefault="0067461A" w:rsidP="0067461A">
      <w:r w:rsidRPr="0067461A">
        <w:t>Los costos a futuro no deben tener en cuenta los costos históricos que un operador ya ha recuperado. El cálculo de la depreciación en un modelo de costos incrementales implica el seguimiento del principio de un modelo a futuro: algunos, pero no todos, los métodos de depreciación proyectan la recuperación de costos a futuro. Las metodologías de depreciación, que se basan en gastos históricos o retrospectivos, pueden o no ser consistentes con un cálculo a futuro –dependiendo de si los periodos históricos son consistentes con un costeo a futuro durante toda la duración considerada. Los métodos de depreciación se tratan en mayor de</w:t>
      </w:r>
      <w:r w:rsidRPr="0067461A">
        <w:fldChar w:fldCharType="begin"/>
      </w:r>
      <w:r w:rsidRPr="0067461A">
        <w:instrText xml:space="preserve"> </w:instrText>
      </w:r>
      <w:r w:rsidRPr="0067461A">
        <w:fldChar w:fldCharType="begin"/>
      </w:r>
      <w:r w:rsidRPr="0067461A">
        <w:instrText xml:space="preserve">  </w:instrText>
      </w:r>
      <w:r w:rsidRPr="0067461A">
        <w:fldChar w:fldCharType="end"/>
      </w:r>
      <w:r w:rsidRPr="0067461A">
        <w:instrText xml:space="preserve"> </w:instrText>
      </w:r>
      <w:r w:rsidRPr="0067461A">
        <w:fldChar w:fldCharType="end"/>
      </w:r>
      <w:r w:rsidRPr="0067461A">
        <w:t>talle en la Sección</w:t>
      </w:r>
      <w:r w:rsidR="00803275">
        <w:t xml:space="preserve"> </w:t>
      </w:r>
      <w:r w:rsidR="00803275">
        <w:fldChar w:fldCharType="begin"/>
      </w:r>
      <w:r w:rsidR="00803275">
        <w:instrText xml:space="preserve"> REF _Ref135918684 \r \h </w:instrText>
      </w:r>
      <w:r w:rsidR="00803275">
        <w:fldChar w:fldCharType="separate"/>
      </w:r>
      <w:r w:rsidR="00475202">
        <w:t>6.2</w:t>
      </w:r>
      <w:r w:rsidR="00803275">
        <w:fldChar w:fldCharType="end"/>
      </w:r>
      <w:r w:rsidRPr="0067461A">
        <w:t>.</w:t>
      </w:r>
    </w:p>
    <w:p w14:paraId="0D9F88F3" w14:textId="6D5ABDEE" w:rsidR="0067461A" w:rsidRPr="0067461A" w:rsidRDefault="0067461A" w:rsidP="0067461A">
      <w:pPr>
        <w:pStyle w:val="Ttulo1"/>
        <w:spacing w:after="400"/>
        <w:rPr>
          <w:lang w:val="es-ES"/>
        </w:rPr>
      </w:pPr>
      <w:bookmarkStart w:id="48" w:name="_Ref321211120"/>
      <w:bookmarkStart w:id="49" w:name="_Toc527663498"/>
      <w:bookmarkStart w:id="50" w:name="_Toc132915504"/>
      <w:bookmarkStart w:id="51" w:name="_Toc135921305"/>
      <w:r w:rsidRPr="0067461A">
        <w:rPr>
          <w:lang w:val="es-ES"/>
        </w:rPr>
        <w:lastRenderedPageBreak/>
        <w:t>Aspectos específicos del operador</w:t>
      </w:r>
      <w:bookmarkEnd w:id="48"/>
      <w:bookmarkEnd w:id="49"/>
      <w:bookmarkEnd w:id="50"/>
      <w:r w:rsidRPr="0067461A">
        <w:rPr>
          <w:lang w:val="es-ES"/>
        </w:rPr>
        <w:t xml:space="preserve"> modelado</w:t>
      </w:r>
      <w:bookmarkEnd w:id="51"/>
    </w:p>
    <w:p w14:paraId="3C558DEC" w14:textId="77777777" w:rsidR="0067461A" w:rsidRPr="0067461A" w:rsidRDefault="0067461A" w:rsidP="0067461A">
      <w:r w:rsidRPr="0067461A">
        <w:t>Esta sección describe los aspectos conceptuales relacionados con el tipo de operador que debe modelarse para el costeo de los distintos servicios. Está estructurada como sigue:</w:t>
      </w:r>
    </w:p>
    <w:p w14:paraId="393260B0" w14:textId="12BF7638" w:rsidR="0067461A" w:rsidRPr="0067461A" w:rsidRDefault="0067461A" w:rsidP="0067461A">
      <w:pPr>
        <w:pStyle w:val="ListBulletCompact"/>
      </w:pPr>
      <w:r w:rsidRPr="0067461A">
        <w:t xml:space="preserve">tipo de operador (Sección </w:t>
      </w:r>
      <w:r w:rsidRPr="0067461A">
        <w:fldChar w:fldCharType="begin"/>
      </w:r>
      <w:r w:rsidRPr="0067461A">
        <w:instrText xml:space="preserve"> REF _Ref47946819 \n \h </w:instrText>
      </w:r>
      <w:r w:rsidRPr="0067461A">
        <w:fldChar w:fldCharType="separate"/>
      </w:r>
      <w:r w:rsidR="00475202">
        <w:t>3.1</w:t>
      </w:r>
      <w:r w:rsidRPr="0067461A">
        <w:fldChar w:fldCharType="end"/>
      </w:r>
      <w:r w:rsidRPr="0067461A">
        <w:t>)</w:t>
      </w:r>
    </w:p>
    <w:p w14:paraId="5CB4247D" w14:textId="77777777" w:rsidR="0067461A" w:rsidRPr="0067461A" w:rsidRDefault="0067461A" w:rsidP="0067461A">
      <w:pPr>
        <w:pStyle w:val="ListBulletCompact"/>
      </w:pPr>
      <w:r w:rsidRPr="0067461A">
        <w:t>configuración de la red de un operador eficiente (Sección 3.2)</w:t>
      </w:r>
    </w:p>
    <w:p w14:paraId="05E8C67A" w14:textId="77777777" w:rsidR="0067461A" w:rsidRPr="0067461A" w:rsidRDefault="0067461A" w:rsidP="0067461A">
      <w:pPr>
        <w:pStyle w:val="ListBulletCompact"/>
      </w:pPr>
      <w:r w:rsidRPr="0067461A">
        <w:t>tamaño de un operador eficiente (Sección 3.3).</w:t>
      </w:r>
    </w:p>
    <w:p w14:paraId="4E12DB7C" w14:textId="77777777" w:rsidR="0067461A" w:rsidRPr="0067461A" w:rsidRDefault="0067461A" w:rsidP="0067461A">
      <w:pPr>
        <w:pStyle w:val="Ttulo2"/>
      </w:pPr>
      <w:bookmarkStart w:id="52" w:name="_Ref47946819"/>
      <w:bookmarkStart w:id="53" w:name="_Toc132915505"/>
      <w:bookmarkStart w:id="54" w:name="_Toc135921306"/>
      <w:bookmarkStart w:id="55" w:name="_Ref321211774"/>
      <w:bookmarkStart w:id="56" w:name="_Toc527663500"/>
      <w:r w:rsidRPr="0067461A">
        <w:t>Tipo de operador</w:t>
      </w:r>
      <w:bookmarkEnd w:id="52"/>
      <w:bookmarkEnd w:id="53"/>
      <w:bookmarkEnd w:id="54"/>
      <w:r w:rsidRPr="0067461A">
        <w:t xml:space="preserve"> </w:t>
      </w:r>
    </w:p>
    <w:p w14:paraId="3DF4B8EE" w14:textId="3DE7283A" w:rsidR="0067461A" w:rsidRPr="0067461A" w:rsidRDefault="0067461A" w:rsidP="0067461A">
      <w:r w:rsidRPr="0067461A">
        <w:t>El tipo de operador que debe modelarse es el principal aspecto conceptual que determinará la estructura y los parámetros del modelo. En los modelos de costos incrementales, existen típicamente las siguientes opciones para definir el operador:</w:t>
      </w:r>
    </w:p>
    <w:p w14:paraId="706755DA" w14:textId="77777777" w:rsidR="0067461A" w:rsidRPr="0067461A" w:rsidRDefault="0067461A" w:rsidP="0067461A">
      <w:pPr>
        <w:pStyle w:val="Listaconvietas"/>
        <w:rPr>
          <w:spacing w:val="-4"/>
        </w:rPr>
      </w:pPr>
      <w:r w:rsidRPr="0067461A">
        <w:rPr>
          <w:b/>
          <w:spacing w:val="-4"/>
        </w:rPr>
        <w:t xml:space="preserve">Operadores existentes </w:t>
      </w:r>
      <w:r w:rsidRPr="0067461A">
        <w:rPr>
          <w:bCs/>
          <w:spacing w:val="-4"/>
        </w:rPr>
        <w:t>–</w:t>
      </w:r>
      <w:r w:rsidRPr="0067461A">
        <w:rPr>
          <w:b/>
          <w:spacing w:val="-4"/>
        </w:rPr>
        <w:t xml:space="preserve"> </w:t>
      </w:r>
      <w:r w:rsidRPr="0067461A">
        <w:rPr>
          <w:spacing w:val="-4"/>
        </w:rPr>
        <w:t>se calculan los costos de todos los operadores existentes en el mercado.</w:t>
      </w:r>
    </w:p>
    <w:p w14:paraId="475592C4" w14:textId="77777777" w:rsidR="0067461A" w:rsidRPr="0067461A" w:rsidRDefault="0067461A" w:rsidP="0067461A">
      <w:pPr>
        <w:pStyle w:val="Listaconvietas"/>
      </w:pPr>
      <w:r w:rsidRPr="0067461A">
        <w:rPr>
          <w:b/>
        </w:rPr>
        <w:t xml:space="preserve">Operador promedio </w:t>
      </w:r>
      <w:r w:rsidRPr="0067461A">
        <w:rPr>
          <w:bCs/>
        </w:rPr>
        <w:t>–</w:t>
      </w:r>
      <w:r w:rsidRPr="0067461A">
        <w:rPr>
          <w:b/>
        </w:rPr>
        <w:t xml:space="preserve"> </w:t>
      </w:r>
      <w:r w:rsidRPr="0067461A">
        <w:t>se promedian los costos de todos los operadores existentes para cada uno de los mercados (fijo y móvil) para definir un operador ‘típico’.</w:t>
      </w:r>
    </w:p>
    <w:p w14:paraId="38EC4BBC" w14:textId="77777777" w:rsidR="0067461A" w:rsidRPr="0067461A" w:rsidRDefault="0067461A" w:rsidP="0067461A">
      <w:pPr>
        <w:pStyle w:val="Listaconvietas"/>
        <w:rPr>
          <w:b/>
          <w:bCs/>
        </w:rPr>
      </w:pPr>
      <w:r w:rsidRPr="0067461A">
        <w:rPr>
          <w:b/>
        </w:rPr>
        <w:t xml:space="preserve">Operador hipotético existente </w:t>
      </w:r>
      <w:r w:rsidRPr="0067461A">
        <w:rPr>
          <w:bCs/>
        </w:rPr>
        <w:t xml:space="preserve">– </w:t>
      </w:r>
      <w:r w:rsidRPr="0067461A">
        <w:t>se define un operador con características similares a, o derivadas de, los operadores existentes en el mercado, pero se ajustan ciertos aspectos hipotéticos como puede ser la fecha de entrada al mercado y la participación de mercado.</w:t>
      </w:r>
    </w:p>
    <w:p w14:paraId="5C223FAA" w14:textId="77777777" w:rsidR="0067461A" w:rsidRPr="0067461A" w:rsidRDefault="0067461A" w:rsidP="0067461A">
      <w:pPr>
        <w:pStyle w:val="Listaconvietas"/>
        <w:rPr>
          <w:b/>
        </w:rPr>
      </w:pPr>
      <w:r w:rsidRPr="0067461A">
        <w:rPr>
          <w:b/>
        </w:rPr>
        <w:t xml:space="preserve">Nuevo entrante hipotético </w:t>
      </w:r>
      <w:r w:rsidRPr="0067461A">
        <w:rPr>
          <w:bCs/>
        </w:rPr>
        <w:t>–</w:t>
      </w:r>
      <w:r w:rsidRPr="0067461A">
        <w:rPr>
          <w:b/>
        </w:rPr>
        <w:t xml:space="preserve"> </w:t>
      </w:r>
      <w:r w:rsidRPr="0067461A">
        <w:t>se define un nuevo operador que entra al mercado en el año 2021 o 2022 con una arquitectura de red moderna y que alcanza la cuota de mercado eficiente del operador representativo.</w:t>
      </w:r>
    </w:p>
    <w:p w14:paraId="28F14AD4" w14:textId="77777777" w:rsidR="0067461A" w:rsidRPr="0067461A" w:rsidRDefault="0067461A" w:rsidP="0067461A">
      <w:r w:rsidRPr="0067461A">
        <w:t>Se sugiere excluir la opción de utilizar los operadores existentes porque:</w:t>
      </w:r>
    </w:p>
    <w:p w14:paraId="4BD07A56" w14:textId="77777777" w:rsidR="0067461A" w:rsidRPr="0067461A" w:rsidRDefault="0067461A" w:rsidP="0067461A">
      <w:pPr>
        <w:pStyle w:val="ListBulletCompact"/>
      </w:pPr>
      <w:r w:rsidRPr="0067461A">
        <w:t>reduce la transparencia en términos de costos y precios</w:t>
      </w:r>
    </w:p>
    <w:p w14:paraId="17F20E7C" w14:textId="1FA96957" w:rsidR="0067461A" w:rsidRPr="0067461A" w:rsidRDefault="0067461A" w:rsidP="0067461A">
      <w:pPr>
        <w:pStyle w:val="ListBulletCompact"/>
        <w:rPr>
          <w:spacing w:val="-4"/>
        </w:rPr>
      </w:pPr>
      <w:r w:rsidRPr="0067461A">
        <w:rPr>
          <w:spacing w:val="-4"/>
        </w:rPr>
        <w:t>incrementa el riesgo y la complejidad de asegurar que se apliquen principios idénticos/consistentes al existir múltiples operadores fijos y móviles</w:t>
      </w:r>
    </w:p>
    <w:p w14:paraId="3C226B56" w14:textId="77777777" w:rsidR="0067461A" w:rsidRPr="0067461A" w:rsidRDefault="0067461A" w:rsidP="0067461A">
      <w:pPr>
        <w:pStyle w:val="ListBulletCompact"/>
      </w:pPr>
      <w:r w:rsidRPr="0067461A">
        <w:t>aumenta la dificultad de garantizar el cumplimiento con el principio de eficiencia, ya que los costos históricos pueden reflejar decisiones ineficientes tomadas en el pasado.</w:t>
      </w:r>
    </w:p>
    <w:p w14:paraId="0F7C963D" w14:textId="413AF902" w:rsidR="0067461A" w:rsidRPr="0067461A" w:rsidRDefault="0067461A" w:rsidP="0067461A">
      <w:r w:rsidRPr="0067461A">
        <w:t>Por tanto, solo se consideran tres opciones reales para el tipo de operador sobre el que se basarán el modelo. Las características de estas opciones se encuentran detalladas a continuación.</w:t>
      </w:r>
    </w:p>
    <w:p w14:paraId="399C6D64" w14:textId="0C3AEEB1" w:rsidR="0067461A" w:rsidRPr="0067461A" w:rsidRDefault="0067461A" w:rsidP="0067461A">
      <w:pPr>
        <w:pStyle w:val="TableCaption"/>
        <w:rPr>
          <w:lang w:val="es-ES"/>
        </w:rPr>
      </w:pPr>
      <w:bookmarkStart w:id="57" w:name="_Ref47946970"/>
      <w:bookmarkStart w:id="58" w:name="_Ref47946949"/>
      <w:r w:rsidRPr="0067461A">
        <w:rPr>
          <w:lang w:val="es-ES"/>
        </w:rPr>
        <w:lastRenderedPageBreak/>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3</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1</w:t>
      </w:r>
      <w:r w:rsidRPr="0067461A">
        <w:rPr>
          <w:lang w:val="es-ES"/>
        </w:rPr>
        <w:fldChar w:fldCharType="end"/>
      </w:r>
      <w:bookmarkEnd w:id="57"/>
      <w:r w:rsidRPr="0067461A">
        <w:rPr>
          <w:lang w:val="es-ES"/>
        </w:rPr>
        <w:t>: Opciones del operador que deberá modelarse [Fuente: Analysys Mason, 2023]</w:t>
      </w:r>
      <w:bookmarkEnd w:id="58"/>
    </w:p>
    <w:tbl>
      <w:tblPr>
        <w:tblStyle w:val="Sombreadomedio2-nfasis1"/>
        <w:tblW w:w="8721" w:type="dxa"/>
        <w:tblBorders>
          <w:top w:val="single" w:sz="4" w:space="0" w:color="FFFFFF"/>
          <w:insideH w:val="single" w:sz="4" w:space="0" w:color="FFFFFF"/>
          <w:insideV w:val="single" w:sz="4" w:space="0" w:color="FFFFFF"/>
        </w:tblBorders>
        <w:tblLook w:val="0620" w:firstRow="1" w:lastRow="0" w:firstColumn="0" w:lastColumn="0" w:noHBand="1" w:noVBand="1"/>
      </w:tblPr>
      <w:tblGrid>
        <w:gridCol w:w="2112"/>
        <w:gridCol w:w="2209"/>
        <w:gridCol w:w="2209"/>
        <w:gridCol w:w="2191"/>
      </w:tblGrid>
      <w:tr w:rsidR="0067461A" w:rsidRPr="0067461A" w14:paraId="4065CA40" w14:textId="77777777">
        <w:trPr>
          <w:cnfStyle w:val="100000000000" w:firstRow="1" w:lastRow="0" w:firstColumn="0" w:lastColumn="0" w:oddVBand="0" w:evenVBand="0" w:oddHBand="0" w:evenHBand="0" w:firstRowFirstColumn="0" w:firstRowLastColumn="0" w:lastRowFirstColumn="0" w:lastRowLastColumn="0"/>
          <w:cantSplit/>
          <w:tblHeader/>
        </w:trPr>
        <w:tc>
          <w:tcPr>
            <w:tcW w:w="0" w:type="dxa"/>
            <w:tcBorders>
              <w:bottom w:val="single" w:sz="18" w:space="0" w:color="FFFFFF"/>
            </w:tcBorders>
            <w:shd w:val="solid" w:color="0F51B1" w:fill="0F51B1"/>
          </w:tcPr>
          <w:p w14:paraId="411D56E4" w14:textId="77777777" w:rsidR="0067461A" w:rsidRPr="0067461A" w:rsidRDefault="0067461A">
            <w:pPr>
              <w:pStyle w:val="Tableheading"/>
              <w:rPr>
                <w:b/>
                <w:color w:val="FFFFFF" w:themeColor="background1"/>
                <w:lang w:val="es-ES"/>
              </w:rPr>
            </w:pPr>
            <w:r w:rsidRPr="0067461A">
              <w:rPr>
                <w:b/>
                <w:color w:val="FFFFFF" w:themeColor="background1"/>
                <w:lang w:val="es-ES"/>
              </w:rPr>
              <w:t xml:space="preserve">Característica </w:t>
            </w:r>
          </w:p>
        </w:tc>
        <w:tc>
          <w:tcPr>
            <w:tcW w:w="0" w:type="dxa"/>
            <w:tcBorders>
              <w:bottom w:val="single" w:sz="18" w:space="0" w:color="FFFFFF"/>
            </w:tcBorders>
          </w:tcPr>
          <w:p w14:paraId="1D9B4032" w14:textId="77777777" w:rsidR="0067461A" w:rsidRPr="0067461A" w:rsidRDefault="0067461A">
            <w:pPr>
              <w:pStyle w:val="Tableheading"/>
              <w:rPr>
                <w:b/>
                <w:color w:val="FFFFFF" w:themeColor="background1"/>
                <w:lang w:val="es-ES"/>
              </w:rPr>
            </w:pPr>
            <w:r w:rsidRPr="0067461A">
              <w:rPr>
                <w:b/>
                <w:bCs w:val="0"/>
                <w:color w:val="FFFFFF" w:themeColor="background1"/>
                <w:lang w:val="es-ES"/>
              </w:rPr>
              <w:t xml:space="preserve">Opción 1: Operador promedio </w:t>
            </w:r>
          </w:p>
        </w:tc>
        <w:tc>
          <w:tcPr>
            <w:tcW w:w="0" w:type="dxa"/>
            <w:tcBorders>
              <w:bottom w:val="single" w:sz="18" w:space="0" w:color="FFFFFF"/>
            </w:tcBorders>
            <w:shd w:val="solid" w:color="0F51B1" w:fill="0F51B1"/>
          </w:tcPr>
          <w:p w14:paraId="67FA900F" w14:textId="77777777" w:rsidR="0067461A" w:rsidRPr="0067461A" w:rsidRDefault="0067461A">
            <w:pPr>
              <w:pStyle w:val="Tableheading"/>
              <w:rPr>
                <w:b/>
                <w:color w:val="FFFFFF" w:themeColor="background1"/>
                <w:lang w:val="es-ES"/>
              </w:rPr>
            </w:pPr>
            <w:r w:rsidRPr="0067461A">
              <w:rPr>
                <w:b/>
                <w:bCs w:val="0"/>
                <w:color w:val="FFFFFF" w:themeColor="background1"/>
                <w:lang w:val="es-ES"/>
              </w:rPr>
              <w:t xml:space="preserve">Opción 2: Operador hipotético existente </w:t>
            </w:r>
          </w:p>
        </w:tc>
        <w:tc>
          <w:tcPr>
            <w:tcW w:w="0" w:type="dxa"/>
            <w:tcBorders>
              <w:bottom w:val="single" w:sz="18" w:space="0" w:color="FFFFFF"/>
            </w:tcBorders>
            <w:shd w:val="solid" w:color="0F51B1" w:fill="0F51B1"/>
          </w:tcPr>
          <w:p w14:paraId="12757DBF" w14:textId="77777777" w:rsidR="0067461A" w:rsidRPr="0067461A" w:rsidRDefault="0067461A">
            <w:pPr>
              <w:pStyle w:val="Tableheading"/>
              <w:rPr>
                <w:b/>
                <w:color w:val="FFFFFF" w:themeColor="background1"/>
                <w:lang w:val="es-ES"/>
              </w:rPr>
            </w:pPr>
            <w:r w:rsidRPr="0067461A">
              <w:rPr>
                <w:b/>
                <w:bCs w:val="0"/>
                <w:color w:val="FFFFFF" w:themeColor="background1"/>
                <w:lang w:val="es-ES"/>
              </w:rPr>
              <w:t xml:space="preserve">Opción 3: Nuevo entrante hipotético </w:t>
            </w:r>
          </w:p>
        </w:tc>
      </w:tr>
      <w:tr w:rsidR="0067461A" w:rsidRPr="0067461A" w14:paraId="4B695AA3" w14:textId="77777777">
        <w:trPr>
          <w:cantSplit/>
        </w:trPr>
        <w:tc>
          <w:tcPr>
            <w:tcW w:w="0" w:type="dxa"/>
            <w:tcBorders>
              <w:top w:val="single" w:sz="18" w:space="0" w:color="FFFFFF"/>
            </w:tcBorders>
          </w:tcPr>
          <w:p w14:paraId="1C0CC621" w14:textId="77777777" w:rsidR="0067461A" w:rsidRPr="0067461A" w:rsidRDefault="0067461A">
            <w:pPr>
              <w:pStyle w:val="Tablecells"/>
              <w:rPr>
                <w:lang w:val="es-ES"/>
              </w:rPr>
            </w:pPr>
            <w:r w:rsidRPr="0067461A">
              <w:rPr>
                <w:lang w:val="es-ES"/>
              </w:rPr>
              <w:t>Fecha de lanzamiento</w:t>
            </w:r>
          </w:p>
        </w:tc>
        <w:tc>
          <w:tcPr>
            <w:tcW w:w="0" w:type="dxa"/>
            <w:tcBorders>
              <w:top w:val="single" w:sz="18" w:space="0" w:color="FFFFFF"/>
            </w:tcBorders>
          </w:tcPr>
          <w:p w14:paraId="3119A167" w14:textId="77777777" w:rsidR="0067461A" w:rsidRPr="0067461A" w:rsidRDefault="0067461A">
            <w:pPr>
              <w:pStyle w:val="Tablecells"/>
              <w:rPr>
                <w:lang w:val="es-ES"/>
              </w:rPr>
            </w:pPr>
            <w:r w:rsidRPr="0067461A">
              <w:rPr>
                <w:lang w:val="es-ES"/>
              </w:rPr>
              <w:t>Diferente para todos los operadores, por lo que utilizar un promedio no es representativo</w:t>
            </w:r>
          </w:p>
        </w:tc>
        <w:tc>
          <w:tcPr>
            <w:tcW w:w="0" w:type="dxa"/>
            <w:tcBorders>
              <w:top w:val="single" w:sz="18" w:space="0" w:color="FFFFFF"/>
            </w:tcBorders>
          </w:tcPr>
          <w:p w14:paraId="3F51B5D9" w14:textId="0E6FA9BB" w:rsidR="0067461A" w:rsidRPr="0067461A" w:rsidRDefault="0067461A">
            <w:pPr>
              <w:pStyle w:val="Tablecells"/>
              <w:ind w:right="0"/>
              <w:rPr>
                <w:lang w:val="es-ES"/>
              </w:rPr>
            </w:pPr>
            <w:r w:rsidRPr="0067461A">
              <w:rPr>
                <w:lang w:val="es-ES"/>
              </w:rPr>
              <w:t>Puede ser establecida de forma consistente tomando en consideración hitos clave en el despliegue de las redes reales</w:t>
            </w:r>
          </w:p>
        </w:tc>
        <w:tc>
          <w:tcPr>
            <w:tcW w:w="0" w:type="dxa"/>
            <w:tcBorders>
              <w:top w:val="single" w:sz="18" w:space="0" w:color="FFFFFF"/>
            </w:tcBorders>
          </w:tcPr>
          <w:p w14:paraId="3CBA1FF9" w14:textId="77777777" w:rsidR="0067461A" w:rsidRPr="0067461A" w:rsidRDefault="0067461A">
            <w:pPr>
              <w:pStyle w:val="Tablecells"/>
              <w:rPr>
                <w:lang w:val="es-ES"/>
              </w:rPr>
            </w:pPr>
            <w:r w:rsidRPr="0067461A">
              <w:rPr>
                <w:lang w:val="es-ES"/>
              </w:rPr>
              <w:t xml:space="preserve">Por definición, utilizar el año 2022 como año de entrada sería consistente para operadores fijos y móviles </w:t>
            </w:r>
          </w:p>
        </w:tc>
      </w:tr>
      <w:tr w:rsidR="0067461A" w:rsidRPr="0067461A" w14:paraId="446AE0A9" w14:textId="77777777">
        <w:trPr>
          <w:cantSplit/>
        </w:trPr>
        <w:tc>
          <w:tcPr>
            <w:tcW w:w="0" w:type="dxa"/>
          </w:tcPr>
          <w:p w14:paraId="23C70E7C" w14:textId="77777777" w:rsidR="0067461A" w:rsidRPr="0067461A" w:rsidRDefault="0067461A">
            <w:pPr>
              <w:pStyle w:val="Tablecells"/>
              <w:rPr>
                <w:lang w:val="es-ES"/>
              </w:rPr>
            </w:pPr>
            <w:r w:rsidRPr="0067461A">
              <w:rPr>
                <w:lang w:val="es-ES"/>
              </w:rPr>
              <w:t>Tecnología</w:t>
            </w:r>
          </w:p>
        </w:tc>
        <w:tc>
          <w:tcPr>
            <w:tcW w:w="0" w:type="dxa"/>
          </w:tcPr>
          <w:p w14:paraId="26837AC6" w14:textId="77777777" w:rsidR="0067461A" w:rsidRPr="0067461A" w:rsidRDefault="0067461A">
            <w:pPr>
              <w:pStyle w:val="Tablecells"/>
              <w:spacing w:before="0" w:after="0"/>
              <w:rPr>
                <w:lang w:val="es-ES"/>
              </w:rPr>
            </w:pPr>
            <w:r w:rsidRPr="0067461A">
              <w:rPr>
                <w:lang w:val="es-ES"/>
              </w:rPr>
              <w:t>Grandes diferencias tecnologías entre el operador histórico, los operadores alternativos y los operadores de cable, por lo que un promedio no sería representativo</w:t>
            </w:r>
          </w:p>
        </w:tc>
        <w:tc>
          <w:tcPr>
            <w:tcW w:w="0" w:type="dxa"/>
          </w:tcPr>
          <w:p w14:paraId="1D09BB99" w14:textId="77777777" w:rsidR="0067461A" w:rsidRPr="0067461A" w:rsidRDefault="0067461A">
            <w:pPr>
              <w:pStyle w:val="Tablecells"/>
              <w:ind w:right="0"/>
              <w:rPr>
                <w:spacing w:val="-4"/>
                <w:lang w:val="es-ES"/>
              </w:rPr>
            </w:pPr>
            <w:r w:rsidRPr="0067461A">
              <w:rPr>
                <w:lang w:val="es-ES"/>
              </w:rPr>
              <w:t>La tecnología utilizada por un operador hipotético puede definirse de forma específica, tomando en consideración componentes relevantes de las redes existentes</w:t>
            </w:r>
          </w:p>
        </w:tc>
        <w:tc>
          <w:tcPr>
            <w:tcW w:w="0" w:type="dxa"/>
          </w:tcPr>
          <w:p w14:paraId="196EA2DE" w14:textId="77777777" w:rsidR="0067461A" w:rsidRPr="0067461A" w:rsidRDefault="0067461A">
            <w:pPr>
              <w:pStyle w:val="Tablecells"/>
              <w:rPr>
                <w:lang w:val="es-ES"/>
              </w:rPr>
            </w:pPr>
            <w:r w:rsidRPr="0067461A">
              <w:rPr>
                <w:lang w:val="es-ES"/>
              </w:rPr>
              <w:t>Por definición, un nuevo entrante utilizaría la tecnología moderna existente</w:t>
            </w:r>
          </w:p>
        </w:tc>
      </w:tr>
      <w:tr w:rsidR="0067461A" w:rsidRPr="0067461A" w14:paraId="75CEB07A" w14:textId="77777777">
        <w:trPr>
          <w:cantSplit/>
        </w:trPr>
        <w:tc>
          <w:tcPr>
            <w:tcW w:w="0" w:type="dxa"/>
          </w:tcPr>
          <w:p w14:paraId="53398E35" w14:textId="77777777" w:rsidR="0067461A" w:rsidRPr="0067461A" w:rsidRDefault="0067461A">
            <w:pPr>
              <w:pStyle w:val="Tablecells"/>
              <w:rPr>
                <w:lang w:val="es-ES"/>
              </w:rPr>
            </w:pPr>
            <w:r w:rsidRPr="0067461A">
              <w:rPr>
                <w:lang w:val="es-ES"/>
              </w:rPr>
              <w:t xml:space="preserve">Evolución y migración a tecnología moderna </w:t>
            </w:r>
          </w:p>
        </w:tc>
        <w:tc>
          <w:tcPr>
            <w:tcW w:w="0" w:type="dxa"/>
          </w:tcPr>
          <w:p w14:paraId="621166C9" w14:textId="77777777" w:rsidR="0067461A" w:rsidRPr="0067461A" w:rsidRDefault="0067461A">
            <w:pPr>
              <w:pStyle w:val="Tablecells"/>
              <w:rPr>
                <w:lang w:val="es-ES"/>
              </w:rPr>
            </w:pPr>
            <w:r w:rsidRPr="0067461A">
              <w:rPr>
                <w:color w:val="000000" w:themeColor="text1"/>
                <w:lang w:val="es-ES"/>
              </w:rPr>
              <w:t>Los principales operadores fijos han evolucionado de manera distinta, por lo que resulta complicado definir una evolución promedio; l</w:t>
            </w:r>
            <w:r w:rsidRPr="0067461A">
              <w:rPr>
                <w:lang w:val="es-ES"/>
              </w:rPr>
              <w:t>os operadores móviles evolucionan de distinto modo</w:t>
            </w:r>
          </w:p>
        </w:tc>
        <w:tc>
          <w:tcPr>
            <w:tcW w:w="0" w:type="dxa"/>
          </w:tcPr>
          <w:p w14:paraId="50A11D90" w14:textId="77777777" w:rsidR="0067461A" w:rsidRPr="0067461A" w:rsidRDefault="0067461A">
            <w:pPr>
              <w:pStyle w:val="Tablecells"/>
              <w:ind w:right="-59"/>
              <w:rPr>
                <w:lang w:val="es-ES"/>
              </w:rPr>
            </w:pPr>
            <w:r w:rsidRPr="0067461A">
              <w:rPr>
                <w:lang w:val="es-ES"/>
              </w:rPr>
              <w:t>La evolución y migración de un operador hipotético puede definirse de forma específica, teniendo en cuenta las redes existentes. Los despliegues de red anteriores pueden ser ignorados si se espera una migración a una tecnología de nueva generación en el corto/medio plazo (algo que ya se está dando en las redes actuales)</w:t>
            </w:r>
          </w:p>
        </w:tc>
        <w:tc>
          <w:tcPr>
            <w:tcW w:w="0" w:type="dxa"/>
          </w:tcPr>
          <w:p w14:paraId="4FF7F068" w14:textId="77777777" w:rsidR="0067461A" w:rsidRPr="0067461A" w:rsidRDefault="0067461A">
            <w:pPr>
              <w:pStyle w:val="Tablecells"/>
              <w:rPr>
                <w:lang w:val="es-ES"/>
              </w:rPr>
            </w:pPr>
            <w:r w:rsidRPr="0067461A">
              <w:rPr>
                <w:lang w:val="es-ES"/>
              </w:rPr>
              <w:t>Por definición, un nuevo entrante hipotético comenzaría a operar con tecnología moderna, por lo que la evolución y migración no son relevantes. Sin embargo, la velocidad de despliegue y captación de usuarios serían datos clave para el modelo</w:t>
            </w:r>
          </w:p>
        </w:tc>
      </w:tr>
      <w:tr w:rsidR="0067461A" w:rsidRPr="0067461A" w14:paraId="2D235D2C" w14:textId="77777777">
        <w:trPr>
          <w:cantSplit/>
        </w:trPr>
        <w:tc>
          <w:tcPr>
            <w:tcW w:w="0" w:type="dxa"/>
          </w:tcPr>
          <w:p w14:paraId="15552B57" w14:textId="77777777" w:rsidR="0067461A" w:rsidRPr="0067461A" w:rsidRDefault="0067461A">
            <w:pPr>
              <w:pStyle w:val="Tablecells"/>
              <w:rPr>
                <w:lang w:val="es-ES"/>
              </w:rPr>
            </w:pPr>
            <w:r w:rsidRPr="0067461A">
              <w:rPr>
                <w:lang w:val="es-ES"/>
              </w:rPr>
              <w:t>Eficiencia</w:t>
            </w:r>
          </w:p>
        </w:tc>
        <w:tc>
          <w:tcPr>
            <w:tcW w:w="0" w:type="dxa"/>
          </w:tcPr>
          <w:p w14:paraId="7F6C552F" w14:textId="77777777" w:rsidR="0067461A" w:rsidRPr="0067461A" w:rsidRDefault="0067461A">
            <w:pPr>
              <w:pStyle w:val="Tablecells"/>
              <w:spacing w:before="0" w:after="0"/>
              <w:rPr>
                <w:color w:val="000000" w:themeColor="text1"/>
                <w:lang w:val="es-ES"/>
              </w:rPr>
            </w:pPr>
            <w:r w:rsidRPr="0067461A">
              <w:rPr>
                <w:lang w:val="es-ES"/>
              </w:rPr>
              <w:t>Se podrían incluir costos ineficientes con un promedio</w:t>
            </w:r>
          </w:p>
        </w:tc>
        <w:tc>
          <w:tcPr>
            <w:tcW w:w="0" w:type="dxa"/>
          </w:tcPr>
          <w:p w14:paraId="7A0CEF32" w14:textId="77777777" w:rsidR="0067461A" w:rsidRPr="0067461A" w:rsidRDefault="0067461A">
            <w:pPr>
              <w:pStyle w:val="Tablecells"/>
              <w:rPr>
                <w:lang w:val="es-ES"/>
              </w:rPr>
            </w:pPr>
            <w:r w:rsidRPr="0067461A">
              <w:rPr>
                <w:lang w:val="es-ES"/>
              </w:rPr>
              <w:t>Los aspectos de eficiencia pueden ser definidos</w:t>
            </w:r>
          </w:p>
        </w:tc>
        <w:tc>
          <w:tcPr>
            <w:tcW w:w="0" w:type="dxa"/>
          </w:tcPr>
          <w:p w14:paraId="5D414C92" w14:textId="77777777" w:rsidR="0067461A" w:rsidRPr="0067461A" w:rsidRDefault="0067461A">
            <w:pPr>
              <w:pStyle w:val="Tablecells"/>
              <w:ind w:right="0"/>
              <w:rPr>
                <w:lang w:val="es-ES"/>
              </w:rPr>
            </w:pPr>
            <w:r w:rsidRPr="0067461A">
              <w:rPr>
                <w:lang w:val="es-ES"/>
              </w:rPr>
              <w:t>Las opciones eficientes se pueden seleccionar para el modelo</w:t>
            </w:r>
          </w:p>
        </w:tc>
      </w:tr>
      <w:tr w:rsidR="0067461A" w:rsidRPr="0067461A" w14:paraId="0A5C9373" w14:textId="77777777">
        <w:trPr>
          <w:cantSplit/>
        </w:trPr>
        <w:tc>
          <w:tcPr>
            <w:tcW w:w="0" w:type="dxa"/>
          </w:tcPr>
          <w:p w14:paraId="40BA3C8C" w14:textId="77777777" w:rsidR="0067461A" w:rsidRPr="0067461A" w:rsidRDefault="0067461A">
            <w:pPr>
              <w:pStyle w:val="Tablecells"/>
              <w:rPr>
                <w:lang w:val="es-ES"/>
              </w:rPr>
            </w:pPr>
            <w:r w:rsidRPr="0067461A">
              <w:rPr>
                <w:lang w:val="es-ES"/>
              </w:rPr>
              <w:t>Transparencia con respecto al uso de un modelo ascendente (</w:t>
            </w:r>
            <w:r w:rsidRPr="0067461A">
              <w:rPr>
                <w:i/>
                <w:iCs/>
                <w:lang w:val="es-ES"/>
              </w:rPr>
              <w:t>bottom-up</w:t>
            </w:r>
            <w:r w:rsidRPr="0067461A">
              <w:rPr>
                <w:lang w:val="es-ES"/>
              </w:rPr>
              <w:t>)</w:t>
            </w:r>
          </w:p>
        </w:tc>
        <w:tc>
          <w:tcPr>
            <w:tcW w:w="0" w:type="dxa"/>
          </w:tcPr>
          <w:p w14:paraId="43B19F5A" w14:textId="77777777" w:rsidR="0067461A" w:rsidRPr="0067461A" w:rsidRDefault="0067461A">
            <w:pPr>
              <w:pStyle w:val="Tablecells"/>
              <w:spacing w:before="0" w:after="0"/>
              <w:rPr>
                <w:lang w:val="es-ES"/>
              </w:rPr>
            </w:pPr>
            <w:r w:rsidRPr="0067461A">
              <w:rPr>
                <w:lang w:val="es-ES"/>
              </w:rPr>
              <w:t>Puede ser difícil en el caso de las redes fijas ya que el operador promedio sería muy abstracto en comparación con los operadores existentes; en el mercado móvil, e</w:t>
            </w:r>
            <w:r w:rsidRPr="0067461A">
              <w:rPr>
                <w:spacing w:val="-4"/>
                <w:lang w:val="es-ES"/>
              </w:rPr>
              <w:t>l operador promedio compartiría más características con los operadores existentes</w:t>
            </w:r>
          </w:p>
        </w:tc>
        <w:tc>
          <w:tcPr>
            <w:tcW w:w="0" w:type="dxa"/>
          </w:tcPr>
          <w:p w14:paraId="103B0708" w14:textId="77777777" w:rsidR="0067461A" w:rsidRPr="0067461A" w:rsidRDefault="0067461A">
            <w:pPr>
              <w:pStyle w:val="Tablecells"/>
              <w:ind w:right="0"/>
              <w:rPr>
                <w:lang w:val="es-ES"/>
              </w:rPr>
            </w:pPr>
            <w:r w:rsidRPr="0067461A">
              <w:rPr>
                <w:lang w:val="es-ES"/>
              </w:rPr>
              <w:t>La transparencia aumenta cuando el diseño del operador fijo es único y explícito, y no el promedio de operaciones diversas. Debido a las semejanzas entre los operadores móviles, este enfoque sería transparente y un buen reflejo de la realidad</w:t>
            </w:r>
          </w:p>
        </w:tc>
        <w:tc>
          <w:tcPr>
            <w:tcW w:w="0" w:type="dxa"/>
          </w:tcPr>
          <w:p w14:paraId="43896E63" w14:textId="77777777" w:rsidR="0067461A" w:rsidRPr="0067461A" w:rsidRDefault="0067461A">
            <w:pPr>
              <w:pStyle w:val="Tablecells"/>
              <w:rPr>
                <w:lang w:val="es-ES"/>
              </w:rPr>
            </w:pPr>
            <w:r w:rsidRPr="0067461A">
              <w:rPr>
                <w:lang w:val="es-ES"/>
              </w:rPr>
              <w:t>En principio, un nuevo entrante hipotético tendría un diseño transparente, sin embargo, esto implica que se necesiten datos de los operadores reales para los parámetros hipotéticos</w:t>
            </w:r>
          </w:p>
        </w:tc>
      </w:tr>
      <w:tr w:rsidR="0067461A" w:rsidRPr="0067461A" w14:paraId="350AB4A3" w14:textId="77777777">
        <w:trPr>
          <w:cantSplit/>
        </w:trPr>
        <w:tc>
          <w:tcPr>
            <w:tcW w:w="0" w:type="dxa"/>
          </w:tcPr>
          <w:p w14:paraId="1C916132" w14:textId="77777777" w:rsidR="0067461A" w:rsidRPr="0067461A" w:rsidRDefault="0067461A">
            <w:pPr>
              <w:pStyle w:val="Tablecells"/>
              <w:rPr>
                <w:lang w:val="es-ES"/>
              </w:rPr>
            </w:pPr>
            <w:r w:rsidRPr="0067461A">
              <w:rPr>
                <w:lang w:val="es-ES"/>
              </w:rPr>
              <w:lastRenderedPageBreak/>
              <w:t>Reconciliación práctica con contabilidad descendente (</w:t>
            </w:r>
            <w:r w:rsidRPr="0067461A">
              <w:rPr>
                <w:i/>
                <w:lang w:val="es-ES"/>
              </w:rPr>
              <w:t>top-down</w:t>
            </w:r>
            <w:r w:rsidRPr="0067461A">
              <w:rPr>
                <w:lang w:val="es-ES"/>
              </w:rPr>
              <w:t>)</w:t>
            </w:r>
          </w:p>
        </w:tc>
        <w:tc>
          <w:tcPr>
            <w:tcW w:w="0" w:type="dxa"/>
          </w:tcPr>
          <w:p w14:paraId="104A7A68" w14:textId="77777777" w:rsidR="0067461A" w:rsidRPr="0067461A" w:rsidRDefault="0067461A">
            <w:pPr>
              <w:pStyle w:val="Tablecells"/>
              <w:spacing w:before="0" w:after="0"/>
              <w:rPr>
                <w:lang w:val="es-ES"/>
              </w:rPr>
            </w:pPr>
            <w:r w:rsidRPr="0067461A">
              <w:rPr>
                <w:lang w:val="es-ES"/>
              </w:rPr>
              <w:t>No es posible comparar directamente los costos de un operador promedio con los costos reales de los operadores; solo es posible realizar comparaciones indirectas (p.ej. total de gastos y asignaciones sobre costos)</w:t>
            </w:r>
          </w:p>
        </w:tc>
        <w:tc>
          <w:tcPr>
            <w:tcW w:w="0" w:type="dxa"/>
          </w:tcPr>
          <w:p w14:paraId="1446A6F3" w14:textId="77777777" w:rsidR="0067461A" w:rsidRPr="0067461A" w:rsidRDefault="0067461A">
            <w:pPr>
              <w:pStyle w:val="Tablecells"/>
              <w:rPr>
                <w:lang w:val="es-ES"/>
              </w:rPr>
            </w:pPr>
            <w:r w:rsidRPr="0067461A">
              <w:rPr>
                <w:lang w:val="es-ES"/>
              </w:rPr>
              <w:t>No es posible comparar directamente los costos de un operador hipotético con los costos reales de los operadores; solo es posible realizar comparaciones indirectas (p.ej. total de gastos y asignaciones sobre costos)</w:t>
            </w:r>
          </w:p>
        </w:tc>
        <w:tc>
          <w:tcPr>
            <w:tcW w:w="0" w:type="dxa"/>
          </w:tcPr>
          <w:p w14:paraId="757F7078" w14:textId="77777777" w:rsidR="0067461A" w:rsidRPr="0067461A" w:rsidRDefault="0067461A">
            <w:pPr>
              <w:pStyle w:val="Tablecells"/>
              <w:rPr>
                <w:lang w:val="es-ES"/>
              </w:rPr>
            </w:pPr>
            <w:r w:rsidRPr="0067461A">
              <w:rPr>
                <w:lang w:val="es-ES"/>
              </w:rPr>
              <w:t>No es posible comparar directa o indirectamente los costos de un nuevo entrante con los costos reales de los operadores sin realizar ajustes adicionales ya que no existen estados de resultados futuros</w:t>
            </w:r>
          </w:p>
        </w:tc>
      </w:tr>
    </w:tbl>
    <w:p w14:paraId="76C0B398" w14:textId="77777777" w:rsidR="0067461A" w:rsidRPr="0067461A" w:rsidRDefault="0067461A" w:rsidP="0067461A"/>
    <w:p w14:paraId="59B6BB03" w14:textId="77777777" w:rsidR="0067461A" w:rsidRPr="0067461A" w:rsidRDefault="0067461A" w:rsidP="0067461A">
      <w:r w:rsidRPr="0067461A">
        <w:t>Existen cuatro aspectos clave que juegan un papel importante a la hora de decidir qué tipo de operador se debe utilizar en el modelo:</w:t>
      </w:r>
    </w:p>
    <w:tbl>
      <w:tblPr>
        <w:tblW w:w="9160" w:type="dxa"/>
        <w:tblInd w:w="-142" w:type="dxa"/>
        <w:tblLayout w:type="fixed"/>
        <w:tblLook w:val="0000" w:firstRow="0" w:lastRow="0" w:firstColumn="0" w:lastColumn="0" w:noHBand="0" w:noVBand="0"/>
      </w:tblPr>
      <w:tblGrid>
        <w:gridCol w:w="85"/>
        <w:gridCol w:w="2042"/>
        <w:gridCol w:w="6972"/>
        <w:gridCol w:w="61"/>
      </w:tblGrid>
      <w:tr w:rsidR="0067461A" w:rsidRPr="0067461A" w14:paraId="44D27F31" w14:textId="77777777">
        <w:trPr>
          <w:gridBefore w:val="1"/>
          <w:wBefore w:w="85" w:type="dxa"/>
        </w:trPr>
        <w:tc>
          <w:tcPr>
            <w:tcW w:w="2042" w:type="dxa"/>
          </w:tcPr>
          <w:p w14:paraId="52315867" w14:textId="77777777" w:rsidR="0067461A" w:rsidRPr="0067461A" w:rsidRDefault="0067461A">
            <w:pPr>
              <w:pStyle w:val="SBSheader"/>
              <w:spacing w:after="200" w:line="300" w:lineRule="atLeast"/>
            </w:pPr>
            <w:r w:rsidRPr="0067461A">
              <w:t>¿Es una buena opción para establecer regulación basada en costos?</w:t>
            </w:r>
          </w:p>
        </w:tc>
        <w:tc>
          <w:tcPr>
            <w:tcW w:w="7033" w:type="dxa"/>
            <w:gridSpan w:val="2"/>
          </w:tcPr>
          <w:p w14:paraId="4A1939FD" w14:textId="6CCF22E7" w:rsidR="0067461A" w:rsidRPr="0067461A" w:rsidRDefault="0067461A">
            <w:r w:rsidRPr="0067461A">
              <w:t>Las tres opciones expuestas anteriormente pueden ser consideradas razonables para determinar los precios de servicios mayoristas. Sin embargo, en el caso de la Opción 1 (operador promedio), deben excluirse los costos que son producto de ineficiencias por parte de los operadores.</w:t>
            </w:r>
          </w:p>
        </w:tc>
      </w:tr>
      <w:tr w:rsidR="0067461A" w:rsidRPr="0067461A" w14:paraId="3E8288CA" w14:textId="77777777">
        <w:trPr>
          <w:gridBefore w:val="1"/>
          <w:wBefore w:w="85" w:type="dxa"/>
        </w:trPr>
        <w:tc>
          <w:tcPr>
            <w:tcW w:w="2042" w:type="dxa"/>
          </w:tcPr>
          <w:p w14:paraId="5A66644C" w14:textId="77777777" w:rsidR="0067461A" w:rsidRPr="0067461A" w:rsidRDefault="0067461A">
            <w:pPr>
              <w:pStyle w:val="SBSheader"/>
              <w:rPr>
                <w:spacing w:val="-4"/>
              </w:rPr>
            </w:pPr>
            <w:r w:rsidRPr="0067461A">
              <w:rPr>
                <w:spacing w:val="-4"/>
              </w:rPr>
              <w:t xml:space="preserve">¿Qué modificaciones y ajustes son necesarios para adaptar información real al modelo? </w:t>
            </w:r>
          </w:p>
        </w:tc>
        <w:tc>
          <w:tcPr>
            <w:tcW w:w="7033" w:type="dxa"/>
            <w:gridSpan w:val="2"/>
          </w:tcPr>
          <w:p w14:paraId="2522AE39" w14:textId="6A315CCB" w:rsidR="0067461A" w:rsidRPr="0067461A" w:rsidRDefault="0067461A">
            <w:r w:rsidRPr="0067461A">
              <w:t xml:space="preserve">La </w:t>
            </w:r>
            <w:r w:rsidRPr="0067461A">
              <w:fldChar w:fldCharType="begin"/>
            </w:r>
            <w:r w:rsidRPr="0067461A">
              <w:instrText xml:space="preserve"> REF _Ref47946970 </w:instrText>
            </w:r>
            <w:r w:rsidRPr="0067461A">
              <w:fldChar w:fldCharType="separate"/>
            </w:r>
            <w:r w:rsidR="00475202" w:rsidRPr="0067461A">
              <w:t xml:space="preserve">Figura </w:t>
            </w:r>
            <w:r w:rsidR="00475202">
              <w:rPr>
                <w:noProof/>
              </w:rPr>
              <w:t>3</w:t>
            </w:r>
            <w:r w:rsidR="00475202" w:rsidRPr="0067461A">
              <w:t>.</w:t>
            </w:r>
            <w:r w:rsidR="00475202">
              <w:rPr>
                <w:noProof/>
              </w:rPr>
              <w:t>1</w:t>
            </w:r>
            <w:r w:rsidRPr="0067461A">
              <w:fldChar w:fldCharType="end"/>
            </w:r>
            <w:r w:rsidRPr="0067461A">
              <w:t xml:space="preserve"> anterior resume las adaptaciones que se requerirán según el enfoque conceptual del modelo. A modo de ejemplo, una de las principales adaptaciones tendría que ser la fecha de entrada al mercado</w:t>
            </w:r>
            <w:r w:rsidRPr="0067461A">
              <w:rPr>
                <w:color w:val="000000" w:themeColor="text1"/>
              </w:rPr>
              <w:t xml:space="preserve">. </w:t>
            </w:r>
            <w:r w:rsidRPr="0067461A">
              <w:t>Los operadores mexicanos muestran una amplia diversidad de fechas en términos de los niveles de tecnología desplegada en sus redes.</w:t>
            </w:r>
          </w:p>
        </w:tc>
      </w:tr>
      <w:tr w:rsidR="0067461A" w:rsidRPr="0067461A" w14:paraId="7B356047" w14:textId="77777777">
        <w:trPr>
          <w:gridAfter w:val="1"/>
          <w:wAfter w:w="61" w:type="dxa"/>
        </w:trPr>
        <w:tc>
          <w:tcPr>
            <w:tcW w:w="2127" w:type="dxa"/>
            <w:gridSpan w:val="2"/>
          </w:tcPr>
          <w:p w14:paraId="30C67D2F" w14:textId="77777777" w:rsidR="0067461A" w:rsidRPr="0067461A" w:rsidRDefault="0067461A">
            <w:pPr>
              <w:pStyle w:val="SBSheader"/>
              <w:spacing w:after="200"/>
            </w:pPr>
            <w:r w:rsidRPr="0067461A">
              <w:t>¿Hay lineamientos que deban seguirse?</w:t>
            </w:r>
          </w:p>
        </w:tc>
        <w:tc>
          <w:tcPr>
            <w:tcW w:w="6972" w:type="dxa"/>
          </w:tcPr>
          <w:p w14:paraId="49BD38B5" w14:textId="35E1DAB1" w:rsidR="0067461A" w:rsidRPr="0067461A" w:rsidRDefault="002B6F97">
            <w:r>
              <w:t>La Metodología de Costos</w:t>
            </w:r>
            <w:r w:rsidR="0067461A" w:rsidRPr="0067461A">
              <w:t xml:space="preserve"> recoge la metodología que debe seguirse para el cálculo de los costos de interconexión establece que el operador debe ser eficiente, pero no especifica todas las demás características que debe reunir ese operador. Esta postura es compatible con la que tomó la Comisión Europea en su Recomendación 2009/396/CE</w:t>
            </w:r>
            <w:r w:rsidR="0067461A" w:rsidRPr="0067461A">
              <w:rPr>
                <w:rStyle w:val="Refdenotaalpie"/>
                <w:rFonts w:ascii="Times New Roman" w:hAnsi="Times New Roman"/>
                <w:vertAlign w:val="baseline"/>
              </w:rPr>
              <w:t xml:space="preserve"> </w:t>
            </w:r>
            <w:r w:rsidR="0067461A" w:rsidRPr="0067461A">
              <w:t>sobre el tratamiento normativo de las tarifas de terminación de la telefonía fija y móvil en la Unión Europea.</w:t>
            </w:r>
            <w:r w:rsidR="0067461A" w:rsidRPr="0067461A">
              <w:rPr>
                <w:rStyle w:val="Refdenotaalpie"/>
                <w:rFonts w:cs="Arial"/>
              </w:rPr>
              <w:footnoteReference w:id="6"/>
            </w:r>
            <w:r w:rsidR="0067461A" w:rsidRPr="0067461A">
              <w:t xml:space="preserve"> Por otro lado, en las medidas resultado de la Segunda Resolución Bienal, que gobiernan el costeo de servicios de usuario visitante, acceso indirecto al bucle y enlaces dedicados no se especifica si la metodología de costos debe seguir algún criterio adicional específico, si bien es conveniente explicar que estos servicios solo aplicarían sobre el AEP de telecomunicaciones. De esta </w:t>
            </w:r>
            <w:r w:rsidR="0067461A" w:rsidRPr="0067461A">
              <w:lastRenderedPageBreak/>
              <w:t xml:space="preserve">manera, para el caso de México, las tres opciones presentadas en la </w:t>
            </w:r>
            <w:r w:rsidR="0067461A" w:rsidRPr="0067461A">
              <w:fldChar w:fldCharType="begin"/>
            </w:r>
            <w:r w:rsidR="0067461A" w:rsidRPr="0067461A">
              <w:instrText xml:space="preserve"> REF _Ref47946970 </w:instrText>
            </w:r>
            <w:r w:rsidR="0067461A" w:rsidRPr="0067461A">
              <w:fldChar w:fldCharType="separate"/>
            </w:r>
            <w:r w:rsidR="00475202" w:rsidRPr="0067461A">
              <w:t xml:space="preserve">Figura </w:t>
            </w:r>
            <w:r w:rsidR="00475202">
              <w:rPr>
                <w:noProof/>
              </w:rPr>
              <w:t>3</w:t>
            </w:r>
            <w:r w:rsidR="00475202" w:rsidRPr="0067461A">
              <w:t>.</w:t>
            </w:r>
            <w:r w:rsidR="00475202">
              <w:rPr>
                <w:noProof/>
              </w:rPr>
              <w:t>1</w:t>
            </w:r>
            <w:r w:rsidR="0067461A" w:rsidRPr="0067461A">
              <w:fldChar w:fldCharType="end"/>
            </w:r>
            <w:r w:rsidR="0067461A" w:rsidRPr="0067461A">
              <w:t xml:space="preserve"> satisfacen el requerimiento y cumplen con los lineamientos establecidos.</w:t>
            </w:r>
          </w:p>
        </w:tc>
      </w:tr>
      <w:tr w:rsidR="0067461A" w:rsidRPr="0067461A" w14:paraId="5961CBE5" w14:textId="77777777">
        <w:trPr>
          <w:gridAfter w:val="1"/>
          <w:wAfter w:w="61" w:type="dxa"/>
        </w:trPr>
        <w:tc>
          <w:tcPr>
            <w:tcW w:w="2127" w:type="dxa"/>
            <w:gridSpan w:val="2"/>
          </w:tcPr>
          <w:p w14:paraId="49BB6C8B" w14:textId="77777777" w:rsidR="0067461A" w:rsidRPr="0067461A" w:rsidRDefault="0067461A">
            <w:pPr>
              <w:pStyle w:val="SBSheader"/>
            </w:pPr>
            <w:r w:rsidRPr="0067461A">
              <w:lastRenderedPageBreak/>
              <w:t xml:space="preserve">Flexibilidad </w:t>
            </w:r>
          </w:p>
        </w:tc>
        <w:tc>
          <w:tcPr>
            <w:tcW w:w="6972" w:type="dxa"/>
          </w:tcPr>
          <w:p w14:paraId="363FE7F0" w14:textId="77777777" w:rsidR="0067461A" w:rsidRPr="0067461A" w:rsidRDefault="0067461A">
            <w:r w:rsidRPr="0067461A">
              <w:t>Un modelo construido de acuerdo con la Opción 3 (nuevo entrante hipotético) estaría diseñado para comenzar sus cálculos de costos en el 2021 o 2022, y excluiría migraciones tecnológicas anteriores.</w:t>
            </w:r>
          </w:p>
          <w:p w14:paraId="4CB1BB0D" w14:textId="77777777" w:rsidR="0067461A" w:rsidRPr="0067461A" w:rsidRDefault="0067461A">
            <w:r w:rsidRPr="0067461A">
              <w:t>Un modelo construido de acuerdo con la Opción 2 (operador hipotético existente) también podría ser usado para calcular los costos de un nuevo entrante hipotético (Opción 3) modificando los parámetros de lanzamiento tecnológico, despliegue de red y perfiles de cuota de mercado y tráfico.</w:t>
            </w:r>
          </w:p>
        </w:tc>
      </w:tr>
    </w:tbl>
    <w:p w14:paraId="17D7F8CB" w14:textId="77777777" w:rsidR="0067461A" w:rsidRPr="0067461A" w:rsidRDefault="0067461A" w:rsidP="0067461A">
      <w:r w:rsidRPr="0067461A">
        <w:t>Por otro lado, es importante destacar que el modelo de costos debe ser capaz de estimar costos de servicios provistos sobre redes fijas y móviles. Por este motivo, es importante la definición de operadores hipotéticos diferenciados para cada tipo de red. La definición de los operadores hipotéticos de redes fijas y móviles debe realizarse de manera consistente, a fin de asegurar la neutralidad en el costeo de los servicios.</w:t>
      </w:r>
    </w:p>
    <w:p w14:paraId="53704D1A" w14:textId="6E6AFE96" w:rsidR="0067461A" w:rsidRPr="0067461A" w:rsidRDefault="0067461A" w:rsidP="0067461A">
      <w:r w:rsidRPr="0067461A">
        <w:t xml:space="preserve">Finalmente, el contexto regulatorio sobre el que se construye el modelo lleva a la necesidad de una revisión pormenorizada de los operadores a modelar. En este caso, </w:t>
      </w:r>
      <w:r w:rsidR="000C76F0">
        <w:t>Metodología de Costos</w:t>
      </w:r>
      <w:r w:rsidRPr="0067461A">
        <w:t xml:space="preserve"> expone que tarifas de interconexión aplicables deben reflejar las asimetrías naturales de las redes a ser interconectadas. Por este motivo, para estimar los costos de los servicios de interconexión (tanto de redes fijas, como de redes móviles) se hace necesario la definición de operadores que reflejen las características del AEP y, por separado de los concesionarios alternativos (CA) que también proveen servicios en México y están obligados a ofertar servicios de interconexión. De esta forma se podrá modelar de manera adecuada las asimetrías existentes entre las redes de estos operadores. Bajo este contexto </w:t>
      </w:r>
      <w:r w:rsidR="006F30EF">
        <w:t>e</w:t>
      </w:r>
      <w:r w:rsidRPr="0067461A">
        <w:t>n total se hace necesario la definición de cuatro operadores diferentes para el modelo de costos:</w:t>
      </w:r>
    </w:p>
    <w:p w14:paraId="164AB19E" w14:textId="77777777" w:rsidR="0067461A" w:rsidRPr="0067461A" w:rsidRDefault="0067461A" w:rsidP="0067461A">
      <w:pPr>
        <w:pStyle w:val="ListBulletCompact"/>
      </w:pPr>
      <w:r w:rsidRPr="0067461A">
        <w:t>Un operador hipotético de redes fijas basado en el AEP de redes fijas</w:t>
      </w:r>
    </w:p>
    <w:p w14:paraId="4A8CC5B3" w14:textId="77777777" w:rsidR="0067461A" w:rsidRPr="0067461A" w:rsidRDefault="0067461A" w:rsidP="0067461A">
      <w:pPr>
        <w:pStyle w:val="ListBulletCompact"/>
      </w:pPr>
      <w:r w:rsidRPr="0067461A">
        <w:t>Un concesionario alternativo hipotético de redes fijas</w:t>
      </w:r>
    </w:p>
    <w:p w14:paraId="158952ED" w14:textId="77777777" w:rsidR="0067461A" w:rsidRPr="0067461A" w:rsidRDefault="0067461A" w:rsidP="0067461A">
      <w:pPr>
        <w:pStyle w:val="ListBulletCompact"/>
      </w:pPr>
      <w:r w:rsidRPr="0067461A">
        <w:t>Un operador hipotético de redes móviles basado en el AEP de redes móviles</w:t>
      </w:r>
    </w:p>
    <w:p w14:paraId="503EFAFB" w14:textId="26B96343" w:rsidR="0067461A" w:rsidRPr="0067461A" w:rsidRDefault="0067461A" w:rsidP="0067461A">
      <w:pPr>
        <w:pStyle w:val="ListBulletCompact"/>
      </w:pPr>
      <w:r w:rsidRPr="0067461A">
        <w:t xml:space="preserve">Un concesionario alternativo hipotético de redes </w:t>
      </w:r>
      <w:r w:rsidR="002F667D">
        <w:t>móviles</w:t>
      </w:r>
    </w:p>
    <w:p w14:paraId="1B2F4175" w14:textId="30EDA71C" w:rsidR="0067461A" w:rsidRPr="0067461A" w:rsidRDefault="0067461A" w:rsidP="0067461A">
      <w:r w:rsidRPr="0067461A">
        <w:t xml:space="preserve">En el caso de los servicios mayoristas que no son de interconexión pero que deben ser costeados en el modelo (estos son, los servicios de usuario visitante, enlaces dedicados y </w:t>
      </w:r>
      <w:r w:rsidR="009E2214">
        <w:t>SCyD asociado al SAIB</w:t>
      </w:r>
      <w:r w:rsidRPr="0067461A">
        <w:t>), se hará uso de los resultados asociados a los operadores hipotéticos basados en el AEP que proporcione dichos servicios.</w:t>
      </w:r>
    </w:p>
    <w:p w14:paraId="7EEEE9E9" w14:textId="169911F3" w:rsidR="0067461A" w:rsidRPr="0067461A" w:rsidRDefault="0067461A" w:rsidP="0067461A">
      <w:pPr>
        <w:pStyle w:val="ListBulletCompact"/>
      </w:pPr>
      <w:r w:rsidRPr="0067461A">
        <w:t>Usuario visitante: operador hipotético de redes móviles basado en el AEP de redes móviles</w:t>
      </w:r>
    </w:p>
    <w:p w14:paraId="2E9089A1" w14:textId="77777777" w:rsidR="0067461A" w:rsidRPr="0067461A" w:rsidRDefault="0067461A" w:rsidP="0067461A">
      <w:pPr>
        <w:pStyle w:val="ListBulletCompact"/>
      </w:pPr>
      <w:r w:rsidRPr="0067461A">
        <w:t>Enlaces dedicados: operador hipotético de redes fijas basado en el AEP de redes fijas</w:t>
      </w:r>
    </w:p>
    <w:p w14:paraId="79FCB43C" w14:textId="3D596D35" w:rsidR="0067461A" w:rsidRPr="0067461A" w:rsidRDefault="00F42FCC" w:rsidP="0067461A">
      <w:pPr>
        <w:pStyle w:val="ListBulletCompact"/>
      </w:pPr>
      <w:r>
        <w:t>Servicio de concentración y distribución asociado al SAIB</w:t>
      </w:r>
      <w:r w:rsidR="0067461A" w:rsidRPr="0067461A">
        <w:t>: operador hipotético de redes fijas basado en el AEP de redes fijas</w:t>
      </w:r>
    </w:p>
    <w:p w14:paraId="6E9B5E53" w14:textId="027905AB" w:rsidR="0067461A" w:rsidRPr="0067461A" w:rsidRDefault="001829FF" w:rsidP="0067461A">
      <w:r>
        <w:lastRenderedPageBreak/>
        <w:t xml:space="preserve">Por otra parte, </w:t>
      </w:r>
      <w:r w:rsidR="005F4B1A">
        <w:t xml:space="preserve">es importante definir los años de operación del operador hipotético. En este sentido, </w:t>
      </w:r>
      <w:r>
        <w:t>el modelo contemplará una serie temporal de 50 años</w:t>
      </w:r>
      <w:r w:rsidR="00D83872">
        <w:t xml:space="preserve">, por consistencia con la elección del método de depreciación económica (ver la sección </w:t>
      </w:r>
      <w:r w:rsidR="00D83872">
        <w:fldChar w:fldCharType="begin"/>
      </w:r>
      <w:r w:rsidR="00D83872">
        <w:instrText xml:space="preserve"> REF _Ref135920904 \r \h </w:instrText>
      </w:r>
      <w:r w:rsidR="00D83872">
        <w:fldChar w:fldCharType="separate"/>
      </w:r>
      <w:r w:rsidR="00475202">
        <w:t>6.2</w:t>
      </w:r>
      <w:r w:rsidR="00D83872">
        <w:fldChar w:fldCharType="end"/>
      </w:r>
      <w:r w:rsidR="00D83872">
        <w:t>)</w:t>
      </w:r>
      <w:r>
        <w:t xml:space="preserve">. Más específicamente, </w:t>
      </w:r>
      <w:r w:rsidR="00DF06CB">
        <w:t>el modelo asumirá</w:t>
      </w:r>
      <w:r>
        <w:t xml:space="preserve"> que el operador comie</w:t>
      </w:r>
      <w:r w:rsidR="00DF06CB">
        <w:t>nza el</w:t>
      </w:r>
      <w:r>
        <w:t xml:space="preserve"> despliegue de la red en 2010, </w:t>
      </w:r>
      <w:r w:rsidR="005F4B1A">
        <w:t>permitiéndole empezar</w:t>
      </w:r>
      <w:r>
        <w:t xml:space="preserve"> a comercializar servicios en 2012 y operando la red hasta el </w:t>
      </w:r>
      <w:r w:rsidR="00D83872">
        <w:t xml:space="preserve">modelado </w:t>
      </w:r>
      <w:r>
        <w:t>año 2059.</w:t>
      </w:r>
      <w:r w:rsidR="005F4B1A">
        <w:t xml:space="preserve"> Está serie temporal aplicará a cada uno de los operadores modelados.</w:t>
      </w:r>
    </w:p>
    <w:tbl>
      <w:tblPr>
        <w:tblStyle w:val="Tablaconcuadrcula"/>
        <w:tblW w:w="0" w:type="auto"/>
        <w:tblLook w:val="04A0" w:firstRow="1" w:lastRow="0" w:firstColumn="1" w:lastColumn="0" w:noHBand="0" w:noVBand="1"/>
      </w:tblPr>
      <w:tblGrid>
        <w:gridCol w:w="8721"/>
      </w:tblGrid>
      <w:tr w:rsidR="0067461A" w:rsidRPr="0067461A" w14:paraId="11DF8456"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97E9228" w14:textId="32581A0F" w:rsidR="0067461A" w:rsidRPr="0067461A" w:rsidRDefault="0067461A">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1</w:t>
            </w:r>
            <w:r w:rsidRPr="0067461A">
              <w:rPr>
                <w:b/>
              </w:rPr>
              <w:fldChar w:fldCharType="end"/>
            </w:r>
            <w:r w:rsidRPr="0067461A">
              <w:t>: El modelo de costos se basará en la Opción 2 (operador hipotético existente). Los operadores serán hipotéticos porque exist</w:t>
            </w:r>
            <w:r w:rsidR="004B7062">
              <w:t>en diferencias significativas</w:t>
            </w:r>
            <w:r w:rsidRPr="0067461A">
              <w:t xml:space="preserve"> entre los operadores que están actualmente presentes en el mercado mexicano (en cuanto a tecnología, cobertura y fecha de lanzamiento, entre otros aspectos), con lo que la definición de un operador promedio no sería adecuada. Al mismo tiempo, la utilización de un operador hipotético existente permite tener en cuenta las características reales de las redes de los operadores mexicanos.</w:t>
            </w:r>
          </w:p>
          <w:p w14:paraId="67B9FA0C" w14:textId="77777777" w:rsidR="0067461A" w:rsidRPr="0067461A" w:rsidRDefault="0067461A">
            <w:r w:rsidRPr="0067461A">
              <w:t>Los operadores modelados serán:</w:t>
            </w:r>
          </w:p>
          <w:p w14:paraId="64BA7F51" w14:textId="77777777" w:rsidR="0067461A" w:rsidRPr="0067461A" w:rsidRDefault="0067461A">
            <w:pPr>
              <w:pStyle w:val="Listaconvietas"/>
            </w:pPr>
            <w:r w:rsidRPr="0067461A">
              <w:t>Un operador hipotético de redes fijas basado en el AEP de redes fijas,</w:t>
            </w:r>
          </w:p>
          <w:p w14:paraId="61B321E9" w14:textId="77777777" w:rsidR="0067461A" w:rsidRPr="0067461A" w:rsidRDefault="0067461A">
            <w:pPr>
              <w:pStyle w:val="Listaconvietas"/>
            </w:pPr>
            <w:r w:rsidRPr="0067461A">
              <w:t>Un concesionario alternativo hipotético de redes fijas</w:t>
            </w:r>
          </w:p>
          <w:p w14:paraId="3028DF88" w14:textId="77777777" w:rsidR="0067461A" w:rsidRPr="0067461A" w:rsidRDefault="0067461A">
            <w:pPr>
              <w:pStyle w:val="Listaconvietas"/>
            </w:pPr>
            <w:r w:rsidRPr="0067461A">
              <w:t>Un operador hipotético de redes móviles basado en el AEP de redes móviles</w:t>
            </w:r>
          </w:p>
          <w:p w14:paraId="407CE164" w14:textId="7F64C551" w:rsidR="0067461A" w:rsidRPr="0067461A" w:rsidRDefault="0067461A">
            <w:pPr>
              <w:pStyle w:val="Listaconvietas"/>
              <w:jc w:val="left"/>
            </w:pPr>
            <w:r w:rsidRPr="0067461A">
              <w:t xml:space="preserve">Un concesionario alternativo hipotético de redes </w:t>
            </w:r>
            <w:r w:rsidR="002F667D">
              <w:t>móviles</w:t>
            </w:r>
          </w:p>
        </w:tc>
      </w:tr>
    </w:tbl>
    <w:p w14:paraId="46E483E6" w14:textId="77777777" w:rsidR="0067461A" w:rsidRPr="0067461A" w:rsidRDefault="0067461A" w:rsidP="0067461A">
      <w:pPr>
        <w:pStyle w:val="Ttulo2"/>
      </w:pPr>
      <w:bookmarkStart w:id="59" w:name="_Toc135921307"/>
      <w:bookmarkStart w:id="60" w:name="_Ref46993310"/>
      <w:bookmarkStart w:id="61" w:name="_Ref46993322"/>
      <w:bookmarkStart w:id="62" w:name="_Toc132915506"/>
      <w:r w:rsidRPr="0067461A">
        <w:t>Tamaño de los operadores modelados</w:t>
      </w:r>
      <w:bookmarkEnd w:id="59"/>
    </w:p>
    <w:p w14:paraId="47A4F249" w14:textId="77777777" w:rsidR="0067461A" w:rsidRPr="0067461A" w:rsidRDefault="0067461A" w:rsidP="0067461A">
      <w:r w:rsidRPr="0067461A">
        <w:t>De manera adicional a la definición de la aproximación de los operadores a modelar, es importante determinar las características concretas de los mismos. En este caso, dado que los operadores modelados se tratan de operadores hipotéticos basados en las características reales de los operadores en México, esta decisión toma una mayor importancia.</w:t>
      </w:r>
    </w:p>
    <w:p w14:paraId="1DEFAB4B" w14:textId="77777777" w:rsidR="0067461A" w:rsidRPr="0067461A" w:rsidRDefault="0067461A" w:rsidP="0067461A">
      <w:r w:rsidRPr="0067461A">
        <w:t>Uno de los principales parámetros para definir a un operador hipotético es la de determinar su tamaño potencial. Con este fin, normalmente se define la cuota de mercado que se supone razonable para este operador y, adicionalmente, la evolución de la cuota de mercado del operador en el tiempo.</w:t>
      </w:r>
    </w:p>
    <w:p w14:paraId="0E8B2EBF" w14:textId="77777777" w:rsidR="0067461A" w:rsidRPr="0067461A" w:rsidRDefault="0067461A" w:rsidP="0067461A">
      <w:r w:rsidRPr="0067461A">
        <w:t>Los parámetros seleccionados para definir la cuota de mercado de un operador en el tiempo tienen un impacto sobre el nivel de los costos económicos calculados por el modelo. Estos costos pueden cambiar si las economías de escala en el corto plazo (despliegue de red en los primeros años) y en el largo plazo (costo del espectro) son explotados en su totalidad. Cuanto más rápido crezca un operador,</w:t>
      </w:r>
      <w:r w:rsidRPr="0067461A">
        <w:rPr>
          <w:rStyle w:val="Refdenotaalpie"/>
        </w:rPr>
        <w:footnoteReference w:id="7"/>
      </w:r>
      <w:r w:rsidRPr="0067461A">
        <w:t xml:space="preserve"> menor será el costo unitario eventual.</w:t>
      </w:r>
    </w:p>
    <w:p w14:paraId="0C8D0857" w14:textId="3EBDAC3E" w:rsidR="0067461A" w:rsidRPr="00326BE8" w:rsidRDefault="004B7062" w:rsidP="0067461A">
      <w:pPr>
        <w:rPr>
          <w:spacing w:val="-2"/>
        </w:rPr>
      </w:pPr>
      <w:r>
        <w:lastRenderedPageBreak/>
        <w:t>Se sugiere que</w:t>
      </w:r>
      <w:r w:rsidR="0067461A" w:rsidRPr="0067461A">
        <w:t xml:space="preserve"> la cuota del operador hipotético representativo del AEP debe estar alineada con la </w:t>
      </w:r>
      <w:r w:rsidR="0067461A" w:rsidRPr="00326BE8">
        <w:t xml:space="preserve">experimentada en el mercado, tanto para redes móviles como para redes fijas, para poder dotarlo de unas economías de escala proporcionales a la realidad. Por este motivo, el operador hipotético representativo del AEP de redes móviles se modelará para </w:t>
      </w:r>
      <w:r w:rsidR="0067461A" w:rsidRPr="00326BE8">
        <w:rPr>
          <w:spacing w:val="-2"/>
        </w:rPr>
        <w:t xml:space="preserve">alinearse con el tamaño real observado para Telcel y el </w:t>
      </w:r>
      <w:r w:rsidR="0067461A" w:rsidRPr="00326BE8">
        <w:t xml:space="preserve">operador hipotético representativo del </w:t>
      </w:r>
      <w:r w:rsidR="0067461A" w:rsidRPr="00326BE8">
        <w:rPr>
          <w:spacing w:val="-2"/>
        </w:rPr>
        <w:t>AEP de redes fijas se adaptará para alinearse con el tamaño de Telmex-Telnor. En el caso concreto del modelo fijo, se analizará cuidadosamente la provisión de servicios entre empresas del AEP (en concreto, con Red Nacional Ultima Milla), a fin de asegurar una contabilización adecuada de los tráficos reales existentes en la red del AEP.</w:t>
      </w:r>
    </w:p>
    <w:p w14:paraId="1985B8DD" w14:textId="57738E26" w:rsidR="0067461A" w:rsidRPr="00326BE8" w:rsidRDefault="0067461A" w:rsidP="0067461A">
      <w:r w:rsidRPr="00326BE8">
        <w:rPr>
          <w:spacing w:val="-2"/>
        </w:rPr>
        <w:t>Esta modelización del operador</w:t>
      </w:r>
      <w:r w:rsidRPr="00326BE8">
        <w:t xml:space="preserve"> hipotético representativo del </w:t>
      </w:r>
      <w:r w:rsidRPr="00326BE8">
        <w:rPr>
          <w:spacing w:val="-2"/>
        </w:rPr>
        <w:t>AEP será relevante tanto para la estimación de los costos de los servicios de interconexión sobre redes fijas y redes móviles, como para los servicios de usuario visitante, enlaces dedicados y</w:t>
      </w:r>
      <w:r w:rsidR="004B7062">
        <w:rPr>
          <w:spacing w:val="-2"/>
        </w:rPr>
        <w:t xml:space="preserve"> el</w:t>
      </w:r>
      <w:r w:rsidRPr="00326BE8">
        <w:rPr>
          <w:spacing w:val="-2"/>
        </w:rPr>
        <w:t xml:space="preserve"> </w:t>
      </w:r>
      <w:r w:rsidR="004B7062">
        <w:rPr>
          <w:spacing w:val="-2"/>
        </w:rPr>
        <w:t>SCyD asociado al SAIB</w:t>
      </w:r>
      <w:r w:rsidRPr="00326BE8">
        <w:rPr>
          <w:spacing w:val="-2"/>
        </w:rPr>
        <w:t>.</w:t>
      </w:r>
    </w:p>
    <w:p w14:paraId="3A11C629" w14:textId="788F1126" w:rsidR="0067461A" w:rsidRPr="0067461A" w:rsidRDefault="0067461A" w:rsidP="0067461A">
      <w:r w:rsidRPr="00326BE8">
        <w:t xml:space="preserve">Por otro lado, para determinar el tamaño asociado a los operadores hipotéticos alternativos de redes móviles y fijas, es crítico comprender la escala de las principales redes competidoras en el mercado. En líneas generales, el tamaño de la red del operador hipotético alternativo deberá guiarse por el tamaño promedio de los principales concesionarios alternativos al AEP en el mercado, descartando aquellos con una cuota de mercado </w:t>
      </w:r>
      <w:r w:rsidR="00F56FBD" w:rsidRPr="00326BE8">
        <w:t xml:space="preserve">(en términos de conexiones) </w:t>
      </w:r>
      <w:r w:rsidRPr="00326BE8">
        <w:t>menor al 10%. El objetivo de descartar los operadores de menor escala es asegurar la representatividad</w:t>
      </w:r>
      <w:r w:rsidRPr="0067461A">
        <w:t xml:space="preserve"> de los resultados del modelo.</w:t>
      </w:r>
    </w:p>
    <w:p w14:paraId="56EBDE7F" w14:textId="72EFA4A4" w:rsidR="0067461A" w:rsidRPr="0067461A" w:rsidRDefault="0067461A" w:rsidP="0067461A">
      <w:r w:rsidRPr="0067461A">
        <w:rPr>
          <w:spacing w:val="-2"/>
        </w:rPr>
        <w:t xml:space="preserve">Con respecto al mercado móvil, en la actualidad, en México existen dos principales redes alternativas a la del AEP: AT&amp;T y Altán. Se hace notar que </w:t>
      </w:r>
      <w:r w:rsidRPr="0067461A">
        <w:t xml:space="preserve">Telefónica ha decidido devolver el espectro que tiene disponible y ofrecer sus servicios a través de la red de AT&amp;T, no a través de su propia infraestructura, con lo cual </w:t>
      </w:r>
      <w:r w:rsidR="004B7062">
        <w:t>es razonable</w:t>
      </w:r>
      <w:r w:rsidRPr="0067461A">
        <w:t xml:space="preserve"> no considerarse como una opción para modelar la red del operador hipotético alternativo. Con respecto a Altán, además de disponer de un espectro limitado, su cuota de mercado </w:t>
      </w:r>
      <w:r w:rsidR="00A21499">
        <w:t xml:space="preserve">a día de hoy </w:t>
      </w:r>
      <w:r w:rsidRPr="0067461A">
        <w:t>no supera el 5% de las líneas totales, por lo que</w:t>
      </w:r>
      <w:r w:rsidR="004B7062">
        <w:t xml:space="preserve"> podría</w:t>
      </w:r>
      <w:r w:rsidRPr="0067461A">
        <w:t xml:space="preserve"> carec</w:t>
      </w:r>
      <w:r w:rsidR="004B7062">
        <w:t>er</w:t>
      </w:r>
      <w:r w:rsidRPr="0067461A">
        <w:t xml:space="preserve"> de una escala lo suficientemente relevante para influenciar el tamaño del operador hipotético alternativo. Por este motivo, se considera que solamente existe una red alternativa de un tamaño relevante para emplear en la definición del operador hipotético alternativo para el modelo móvil.</w:t>
      </w:r>
    </w:p>
    <w:p w14:paraId="31C3928B" w14:textId="4D27BBF4" w:rsidR="0067461A" w:rsidRPr="0067461A" w:rsidRDefault="0067461A" w:rsidP="0067461A">
      <w:r w:rsidRPr="0067461A">
        <w:t>En el mercado fijo se observa que, si bien no existe un concesionario alternativo al AEP con una red de tamaño nacional, existen varios con presencia dispersa</w:t>
      </w:r>
      <w:r w:rsidR="00824B25">
        <w:t>, pero relevante,</w:t>
      </w:r>
      <w:r w:rsidRPr="0067461A">
        <w:t xml:space="preserve"> en las distintas entidades federativas. </w:t>
      </w:r>
      <w:r w:rsidR="004B7062">
        <w:t>U</w:t>
      </w:r>
      <w:r w:rsidRPr="0067461A">
        <w:t>na aproximación razonable de definir el operador hipotético alternativo de redes fijas es la de estimar la cuota de mercado de los principales operadores en cada una de las entidades federativas, obteniendo el tamaño a nivel nacional como el promedio ponderado de las cuotas de mercado de los concesionarios alternativos al AEP en las distintas entidades federativas. Siguiendo una metodología alineada con la empleada en el modelo móvil, se considera razonable descartar aquellos operadores de menor tamaño en cada una de las entidades federativas (esto es, aquellos que no alcancen una cuota a nivel de Entidad Federativa superior al 10%).</w:t>
      </w:r>
    </w:p>
    <w:p w14:paraId="36D9A142" w14:textId="50522609" w:rsidR="0067461A" w:rsidRPr="0067461A" w:rsidRDefault="0067461A" w:rsidP="0067461A">
      <w:r w:rsidRPr="0067461A">
        <w:t xml:space="preserve">Una última cuestión en lo que respecta al </w:t>
      </w:r>
      <w:r w:rsidRPr="0067461A">
        <w:rPr>
          <w:i/>
        </w:rPr>
        <w:t>tamaño eficiente</w:t>
      </w:r>
      <w:r w:rsidRPr="0067461A">
        <w:t xml:space="preserve"> del operador que debe modelarse es el tiempo que requerirá para llegar a este estado estable. La velocidad con la que esto se logrará estará </w:t>
      </w:r>
      <w:r w:rsidRPr="0067461A">
        <w:lastRenderedPageBreak/>
        <w:t xml:space="preserve">determinada (por separado) por la velocidad del despliegue de red y el aumento de tráfico sobre la tecnología moderna dentro del mercado fijo y móvil relevante. </w:t>
      </w:r>
    </w:p>
    <w:tbl>
      <w:tblPr>
        <w:tblStyle w:val="Tablaconcuadrcula"/>
        <w:tblW w:w="0" w:type="auto"/>
        <w:tblLook w:val="04A0" w:firstRow="1" w:lastRow="0" w:firstColumn="1" w:lastColumn="0" w:noHBand="0" w:noVBand="1"/>
      </w:tblPr>
      <w:tblGrid>
        <w:gridCol w:w="8721"/>
      </w:tblGrid>
      <w:tr w:rsidR="0067461A" w:rsidRPr="0067461A" w14:paraId="249598F2"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60C34BF" w14:textId="45F7F51D" w:rsidR="0067461A" w:rsidRPr="0067461A" w:rsidRDefault="0067461A">
            <w:pPr>
              <w:spacing w:after="120"/>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2</w:t>
            </w:r>
            <w:r w:rsidRPr="0067461A">
              <w:rPr>
                <w:b/>
              </w:rPr>
              <w:fldChar w:fldCharType="end"/>
            </w:r>
            <w:r w:rsidRPr="0067461A">
              <w:t>: En el largo plazo, los volúmenes de los operadores hipotéticos existentes modelados serán equivalentes a:</w:t>
            </w:r>
          </w:p>
          <w:p w14:paraId="2D506013" w14:textId="77777777" w:rsidR="0067461A" w:rsidRPr="0067461A" w:rsidRDefault="0067461A">
            <w:pPr>
              <w:pStyle w:val="Listaconvietas"/>
            </w:pPr>
            <w:r w:rsidRPr="0067461A">
              <w:t>Operador hipotético de redes fijas representativo del AEP: Escala basada en la cuota de mercado de Telmex-Telnor</w:t>
            </w:r>
          </w:p>
          <w:p w14:paraId="7F8286D3" w14:textId="77777777" w:rsidR="0067461A" w:rsidRPr="0067461A" w:rsidRDefault="0067461A">
            <w:pPr>
              <w:pStyle w:val="Listaconvietas"/>
              <w:spacing w:after="120"/>
              <w:rPr>
                <w:color w:val="000000" w:themeColor="text1"/>
              </w:rPr>
            </w:pPr>
            <w:r w:rsidRPr="0067461A">
              <w:t xml:space="preserve">Concesionario alternativo hipotético de redes fijas: Escala basada en </w:t>
            </w:r>
            <w:r w:rsidRPr="0067461A">
              <w:rPr>
                <w:color w:val="000000" w:themeColor="text1"/>
              </w:rPr>
              <w:t xml:space="preserve">la cuota de mercado de los </w:t>
            </w:r>
            <w:r w:rsidRPr="0067461A">
              <w:t>concesionarios alternativos al AEP</w:t>
            </w:r>
            <w:r w:rsidRPr="0067461A">
              <w:rPr>
                <w:color w:val="000000" w:themeColor="text1"/>
              </w:rPr>
              <w:t xml:space="preserve"> con red de acceso fija propia a nivel nacional, excluyendo aquellos con una cuota de mercado menor al 10% </w:t>
            </w:r>
            <w:r w:rsidRPr="0067461A">
              <w:t>a nivel de entidad federativa</w:t>
            </w:r>
          </w:p>
          <w:p w14:paraId="4D7B4942" w14:textId="77777777" w:rsidR="0067461A" w:rsidRPr="0067461A" w:rsidRDefault="0067461A">
            <w:pPr>
              <w:pStyle w:val="Listaconvietas"/>
            </w:pPr>
            <w:r w:rsidRPr="0067461A">
              <w:t>Operador hipotético de redes móviles representativo del AEP: Escala basada en la cuota de mercado de Telcel</w:t>
            </w:r>
          </w:p>
          <w:p w14:paraId="0DB64584" w14:textId="77777777" w:rsidR="0067461A" w:rsidRPr="00920B9F" w:rsidRDefault="0067461A" w:rsidP="00920B9F">
            <w:pPr>
              <w:pStyle w:val="Listaconvietas"/>
              <w:spacing w:after="120"/>
              <w:rPr>
                <w:color w:val="000000" w:themeColor="text1"/>
              </w:rPr>
            </w:pPr>
            <w:r w:rsidRPr="0067461A">
              <w:t xml:space="preserve">Concesionario alternativo hipotético de redes móviles: Escala basada en </w:t>
            </w:r>
            <w:r w:rsidRPr="0067461A">
              <w:rPr>
                <w:color w:val="000000" w:themeColor="text1"/>
              </w:rPr>
              <w:t xml:space="preserve">la cuota de mercado de los </w:t>
            </w:r>
            <w:r w:rsidRPr="0067461A">
              <w:t>concesionarios alternativos al AEP</w:t>
            </w:r>
            <w:r w:rsidRPr="0067461A">
              <w:rPr>
                <w:color w:val="000000" w:themeColor="text1"/>
              </w:rPr>
              <w:t xml:space="preserve"> con red de acceso móvil propia a nivel nacional, excluyendo aquellos con una cuota de mercado menor al 10%</w:t>
            </w:r>
          </w:p>
        </w:tc>
      </w:tr>
    </w:tbl>
    <w:p w14:paraId="1A19340A" w14:textId="77777777" w:rsidR="0067461A" w:rsidRPr="0067461A" w:rsidRDefault="0067461A" w:rsidP="0067461A"/>
    <w:tbl>
      <w:tblPr>
        <w:tblStyle w:val="Tablaconcuadrcula"/>
        <w:tblW w:w="0" w:type="auto"/>
        <w:tblLook w:val="04A0" w:firstRow="1" w:lastRow="0" w:firstColumn="1" w:lastColumn="0" w:noHBand="0" w:noVBand="1"/>
      </w:tblPr>
      <w:tblGrid>
        <w:gridCol w:w="8721"/>
      </w:tblGrid>
      <w:tr w:rsidR="0067461A" w:rsidRPr="0067461A" w14:paraId="70413B9C"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3EE18FB" w14:textId="105DE021" w:rsidR="0067461A" w:rsidRPr="0067461A" w:rsidRDefault="0067461A">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3</w:t>
            </w:r>
            <w:r w:rsidRPr="0067461A">
              <w:rPr>
                <w:b/>
              </w:rPr>
              <w:fldChar w:fldCharType="end"/>
            </w:r>
            <w:r w:rsidRPr="0067461A">
              <w:t>: El crecimiento de la cuota de mercado del operador modelado está relacionado con el despliegue de su red y el aumento del tráfico utilizando la tecnología moderna.</w:t>
            </w:r>
          </w:p>
        </w:tc>
      </w:tr>
    </w:tbl>
    <w:p w14:paraId="1198B521" w14:textId="77777777" w:rsidR="0067461A" w:rsidRPr="0067461A" w:rsidRDefault="0067461A" w:rsidP="0067461A"/>
    <w:tbl>
      <w:tblPr>
        <w:tblStyle w:val="Tablaconcuadrcula"/>
        <w:tblW w:w="0" w:type="auto"/>
        <w:tblLook w:val="04A0" w:firstRow="1" w:lastRow="0" w:firstColumn="1" w:lastColumn="0" w:noHBand="0" w:noVBand="1"/>
      </w:tblPr>
      <w:tblGrid>
        <w:gridCol w:w="8721"/>
      </w:tblGrid>
      <w:tr w:rsidR="0067461A" w:rsidRPr="0067461A" w14:paraId="283C3886"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A69645E" w14:textId="1CA82CE6" w:rsidR="0067461A" w:rsidRPr="0067461A" w:rsidRDefault="0067461A">
            <w:pPr>
              <w:spacing w:after="120"/>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4</w:t>
            </w:r>
            <w:r w:rsidRPr="0067461A">
              <w:rPr>
                <w:b/>
              </w:rPr>
              <w:fldChar w:fldCharType="end"/>
            </w:r>
            <w:r w:rsidRPr="0067461A">
              <w:rPr>
                <w:b/>
                <w:bCs/>
              </w:rPr>
              <w:t xml:space="preserve">: </w:t>
            </w:r>
            <w:r w:rsidRPr="0067461A">
              <w:rPr>
                <w:bCs/>
              </w:rPr>
              <w:t>La cuota de mercado del operador modelado incluye los usuarios de proveedores de servicios alternativos (p.ej. proveedores de servicios provistos a través de internet) u operadores virtuales, ya que los volúmenes asociados a estos servicios contribuyen a las economías de escala logradas por el operador modelado.</w:t>
            </w:r>
          </w:p>
        </w:tc>
      </w:tr>
    </w:tbl>
    <w:p w14:paraId="2951465F" w14:textId="77777777" w:rsidR="0067461A" w:rsidRPr="0067461A" w:rsidRDefault="0067461A" w:rsidP="0067461A"/>
    <w:p w14:paraId="2E056E40" w14:textId="57F2A0FF" w:rsidR="0067461A" w:rsidRPr="0067461A" w:rsidRDefault="0067461A" w:rsidP="0067461A">
      <w:pPr>
        <w:pStyle w:val="Ttulo2"/>
      </w:pPr>
      <w:bookmarkStart w:id="63" w:name="_Toc135921308"/>
      <w:r w:rsidRPr="0067461A">
        <w:t xml:space="preserve">Configuración de la red de </w:t>
      </w:r>
      <w:bookmarkEnd w:id="55"/>
      <w:bookmarkEnd w:id="56"/>
      <w:bookmarkEnd w:id="60"/>
      <w:bookmarkEnd w:id="61"/>
      <w:bookmarkEnd w:id="62"/>
      <w:r w:rsidRPr="0067461A">
        <w:t>los operadores modelados</w:t>
      </w:r>
      <w:bookmarkEnd w:id="63"/>
    </w:p>
    <w:p w14:paraId="21634885" w14:textId="1217381F" w:rsidR="0067461A" w:rsidRPr="0067461A" w:rsidRDefault="0067461A" w:rsidP="0067461A">
      <w:r w:rsidRPr="0067461A">
        <w:t>De manera adicional al tamaño de los operadores modelados, otro de los aspectos clave a definir es la configuración de red de estos. En este sentido, la cobertura que ofrece un operador es un aspecto central del despliegue de una red. Para definir cuál es el nivel adecuado de cobertura es necesario contestar las siguientes preguntas:</w:t>
      </w:r>
    </w:p>
    <w:p w14:paraId="78E1E3CA" w14:textId="77777777" w:rsidR="0067461A" w:rsidRPr="0067461A" w:rsidRDefault="0067461A" w:rsidP="0067461A">
      <w:pPr>
        <w:pStyle w:val="ListBulletCompact"/>
      </w:pPr>
      <w:r w:rsidRPr="0067461A">
        <w:t>¿Cuál es el nivel de cobertura aplicable al mercado actual?</w:t>
      </w:r>
    </w:p>
    <w:p w14:paraId="0CECB58C" w14:textId="77777777" w:rsidR="0067461A" w:rsidRPr="0067461A" w:rsidRDefault="0067461A" w:rsidP="0067461A">
      <w:pPr>
        <w:pStyle w:val="ListBulletCompact"/>
      </w:pPr>
      <w:r w:rsidRPr="0067461A">
        <w:t>¿Es distinto el nivel de cobertura del futuro del actual?</w:t>
      </w:r>
    </w:p>
    <w:p w14:paraId="6FFD6465" w14:textId="77777777" w:rsidR="0067461A" w:rsidRPr="0067461A" w:rsidRDefault="0067461A" w:rsidP="0067461A">
      <w:pPr>
        <w:pStyle w:val="ListBulletCompact"/>
      </w:pPr>
      <w:r w:rsidRPr="0067461A">
        <w:t>¿Cuántos años dura el despliegue de red?</w:t>
      </w:r>
    </w:p>
    <w:p w14:paraId="67015ACB" w14:textId="77777777" w:rsidR="0067461A" w:rsidRPr="0067461A" w:rsidRDefault="0067461A" w:rsidP="0067461A">
      <w:pPr>
        <w:pStyle w:val="ListBulletCompact"/>
      </w:pPr>
      <w:r w:rsidRPr="0067461A">
        <w:lastRenderedPageBreak/>
        <w:t>¿Qué calidad</w:t>
      </w:r>
      <w:r w:rsidRPr="0067461A">
        <w:rPr>
          <w:rStyle w:val="Refdenotaalpie"/>
        </w:rPr>
        <w:footnoteReference w:id="8"/>
      </w:r>
      <w:r w:rsidRPr="0067461A">
        <w:t xml:space="preserve"> de cobertura debe proporcionarse en cada momento temporal?</w:t>
      </w:r>
    </w:p>
    <w:p w14:paraId="3A05115C" w14:textId="77777777" w:rsidR="0067461A" w:rsidRPr="0067461A" w:rsidRDefault="0067461A" w:rsidP="0067461A">
      <w:r w:rsidRPr="0067461A">
        <w:t>La cobertura que ofrece un operador (fijo o móvil) es un dato de entrada fundamental para el modelo de costos. Un enfoque consistente implicará que los operadores hipotéticos fijos y móviles tendrán características comparables de cobertura.</w:t>
      </w:r>
    </w:p>
    <w:p w14:paraId="6F77DAAC" w14:textId="77777777" w:rsidR="0067461A" w:rsidRPr="0067461A" w:rsidRDefault="0067461A" w:rsidP="0067461A">
      <w:r w:rsidRPr="0067461A">
        <w:t>Las definiciones de parámetros de cobertura tienen dos implicaciones importantes para el cálculo de costos:</w:t>
      </w:r>
    </w:p>
    <w:tbl>
      <w:tblPr>
        <w:tblW w:w="9101" w:type="dxa"/>
        <w:tblInd w:w="-142" w:type="dxa"/>
        <w:tblLayout w:type="fixed"/>
        <w:tblCellMar>
          <w:left w:w="170" w:type="dxa"/>
          <w:right w:w="170" w:type="dxa"/>
        </w:tblCellMar>
        <w:tblLook w:val="0000" w:firstRow="0" w:lastRow="0" w:firstColumn="0" w:lastColumn="0" w:noHBand="0" w:noVBand="0"/>
      </w:tblPr>
      <w:tblGrid>
        <w:gridCol w:w="2183"/>
        <w:gridCol w:w="6918"/>
      </w:tblGrid>
      <w:tr w:rsidR="0067461A" w:rsidRPr="0067461A" w14:paraId="33E410F7" w14:textId="77777777">
        <w:trPr>
          <w:trHeight w:val="1978"/>
        </w:trPr>
        <w:tc>
          <w:tcPr>
            <w:tcW w:w="2183" w:type="dxa"/>
          </w:tcPr>
          <w:p w14:paraId="640CFA09" w14:textId="77777777" w:rsidR="0067461A" w:rsidRPr="0067461A" w:rsidRDefault="0067461A">
            <w:pPr>
              <w:pStyle w:val="SBSheader"/>
            </w:pPr>
            <w:r w:rsidRPr="0067461A">
              <w:t xml:space="preserve">Nivel de costos unitarios debido al valor presente de los gastos </w:t>
            </w:r>
          </w:p>
        </w:tc>
        <w:tc>
          <w:tcPr>
            <w:tcW w:w="6918" w:type="dxa"/>
          </w:tcPr>
          <w:p w14:paraId="60E1075B" w14:textId="1CAD8BEE" w:rsidR="0067461A" w:rsidRPr="0067461A" w:rsidRDefault="0067461A">
            <w:r w:rsidRPr="0067461A">
              <w:t xml:space="preserve">La velocidad, extensión y calidad de la cobertura lograda en el tiempo determina el valor presente (PV) asociado con inversiones de red y costos operativos. La medida en que se incurre en estos costos antes de materializarse la demanda representa el tamaño del ‘sobrecosto’. Cuanto mayor sea el sobrecosto, más altos serán los eventuales costos unitarios del tráfico. El concepto de sobrecosto se muestra gráficamente en la </w:t>
            </w:r>
            <w:r w:rsidRPr="0067461A">
              <w:fldChar w:fldCharType="begin"/>
            </w:r>
            <w:r w:rsidRPr="0067461A">
              <w:instrText xml:space="preserve"> REF _Ref321211905 \h </w:instrText>
            </w:r>
            <w:r w:rsidRPr="0067461A">
              <w:fldChar w:fldCharType="separate"/>
            </w:r>
            <w:r w:rsidR="00475202" w:rsidRPr="0067461A">
              <w:t xml:space="preserve">Figura </w:t>
            </w:r>
            <w:r w:rsidR="00475202">
              <w:rPr>
                <w:noProof/>
              </w:rPr>
              <w:t>3</w:t>
            </w:r>
            <w:r w:rsidR="00475202" w:rsidRPr="0067461A">
              <w:t>.</w:t>
            </w:r>
            <w:r w:rsidR="00475202">
              <w:rPr>
                <w:noProof/>
              </w:rPr>
              <w:t>2</w:t>
            </w:r>
            <w:r w:rsidRPr="0067461A">
              <w:fldChar w:fldCharType="end"/>
            </w:r>
            <w:r w:rsidRPr="0067461A">
              <w:t>.</w:t>
            </w:r>
          </w:p>
        </w:tc>
      </w:tr>
    </w:tbl>
    <w:p w14:paraId="4F6BA494" w14:textId="77777777" w:rsidR="0067461A" w:rsidRPr="0067461A" w:rsidRDefault="0067461A" w:rsidP="0067461A"/>
    <w:tbl>
      <w:tblPr>
        <w:tblW w:w="8730" w:type="dxa"/>
        <w:tblLayout w:type="fixed"/>
        <w:tblCellMar>
          <w:left w:w="0" w:type="dxa"/>
          <w:right w:w="0" w:type="dxa"/>
        </w:tblCellMar>
        <w:tblLook w:val="0000" w:firstRow="0" w:lastRow="0" w:firstColumn="0" w:lastColumn="0" w:noHBand="0" w:noVBand="0"/>
      </w:tblPr>
      <w:tblGrid>
        <w:gridCol w:w="6576"/>
        <w:gridCol w:w="2154"/>
      </w:tblGrid>
      <w:tr w:rsidR="0067461A" w:rsidRPr="0067461A" w14:paraId="5E721731" w14:textId="77777777">
        <w:tc>
          <w:tcPr>
            <w:tcW w:w="6576" w:type="dxa"/>
            <w:tcBorders>
              <w:right w:val="single" w:sz="4" w:space="0" w:color="auto"/>
            </w:tcBorders>
            <w:shd w:val="clear" w:color="auto" w:fill="auto"/>
          </w:tcPr>
          <w:p w14:paraId="6F959B3A" w14:textId="77777777" w:rsidR="0067461A" w:rsidRPr="0067461A" w:rsidRDefault="0067461A">
            <w:pPr>
              <w:pStyle w:val="Bordersmall"/>
              <w:rPr>
                <w:lang w:val="es-ES"/>
              </w:rPr>
            </w:pPr>
            <w:r w:rsidRPr="0067461A">
              <w:rPr>
                <w:noProof/>
                <w:lang w:val="es-ES" w:eastAsia="es-ES"/>
              </w:rPr>
              <w:drawing>
                <wp:inline distT="0" distB="0" distL="0" distR="0" wp14:anchorId="53CD932C" wp14:editId="1093E9AF">
                  <wp:extent cx="3787140" cy="2545715"/>
                  <wp:effectExtent l="0" t="0" r="0" b="0"/>
                  <wp:docPr id="26" name="Picture 26" descr="Sobrecosto, Fuente: Analysys Mason, 2016" title="Figura tres punto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87140" cy="2545715"/>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5970FBA0" w14:textId="6E2BF4C9" w:rsidR="0067461A" w:rsidRPr="0067461A" w:rsidRDefault="0067461A">
            <w:pPr>
              <w:pStyle w:val="Captionsmall"/>
              <w:rPr>
                <w:lang w:val="es-ES"/>
              </w:rPr>
            </w:pPr>
            <w:bookmarkStart w:id="64" w:name="_Ref321211905"/>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3</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2</w:t>
            </w:r>
            <w:r w:rsidRPr="0067461A">
              <w:rPr>
                <w:lang w:val="es-ES"/>
              </w:rPr>
              <w:fldChar w:fldCharType="end"/>
            </w:r>
            <w:bookmarkEnd w:id="64"/>
            <w:r w:rsidRPr="0067461A">
              <w:rPr>
                <w:lang w:val="es-ES"/>
              </w:rPr>
              <w:t xml:space="preserve">: Ilustración del sobrecosto [Fuente: Analysys Mason, 2023] </w:t>
            </w:r>
          </w:p>
        </w:tc>
      </w:tr>
    </w:tbl>
    <w:p w14:paraId="59F0AC7C" w14:textId="77777777" w:rsidR="0067461A" w:rsidRPr="0067461A" w:rsidRDefault="0067461A" w:rsidP="0067461A"/>
    <w:tbl>
      <w:tblPr>
        <w:tblW w:w="8959" w:type="dxa"/>
        <w:tblLayout w:type="fixed"/>
        <w:tblCellMar>
          <w:left w:w="170" w:type="dxa"/>
          <w:right w:w="170" w:type="dxa"/>
        </w:tblCellMar>
        <w:tblLook w:val="0000" w:firstRow="0" w:lastRow="0" w:firstColumn="0" w:lastColumn="0" w:noHBand="0" w:noVBand="0"/>
      </w:tblPr>
      <w:tblGrid>
        <w:gridCol w:w="2041"/>
        <w:gridCol w:w="6918"/>
      </w:tblGrid>
      <w:tr w:rsidR="0067461A" w:rsidRPr="0067461A" w14:paraId="1A9D40FC" w14:textId="77777777">
        <w:tc>
          <w:tcPr>
            <w:tcW w:w="2041" w:type="dxa"/>
          </w:tcPr>
          <w:p w14:paraId="0115EA4A" w14:textId="77777777" w:rsidR="0067461A" w:rsidRPr="0067461A" w:rsidRDefault="0067461A">
            <w:pPr>
              <w:pStyle w:val="SBSheader"/>
              <w:spacing w:before="360"/>
            </w:pPr>
            <w:r w:rsidRPr="0067461A">
              <w:t>Identificación de elementos de red que varían en respuesta al tráfico</w:t>
            </w:r>
          </w:p>
        </w:tc>
        <w:tc>
          <w:tcPr>
            <w:tcW w:w="6918" w:type="dxa"/>
          </w:tcPr>
          <w:p w14:paraId="40C9D92C" w14:textId="6A181668" w:rsidR="0067461A" w:rsidRPr="0067461A" w:rsidRDefault="0067461A">
            <w:pPr>
              <w:spacing w:before="360"/>
            </w:pPr>
            <w:r w:rsidRPr="0067461A">
              <w:t>Los elementos de las redes de servicios móviles podrán (o no) variar en función de los volúmenes de tráfico transportados, dependiendo de si la red de cobertura definida tiene suficiente capacidad de tráfico para la carga ofrecida. Esto tiene implicaciones particulares durante la aplicación de un incremento pequeño de tráfico de terminación mayorista.</w:t>
            </w:r>
          </w:p>
        </w:tc>
      </w:tr>
    </w:tbl>
    <w:p w14:paraId="1DD2B3E1" w14:textId="2D0BB392" w:rsidR="0067461A" w:rsidRPr="0067461A" w:rsidRDefault="0067461A" w:rsidP="0067461A">
      <w:pPr>
        <w:rPr>
          <w:highlight w:val="yellow"/>
        </w:rPr>
      </w:pPr>
      <w:r w:rsidRPr="0067461A">
        <w:t xml:space="preserve">La cobertura de servicios móviles en el interior de edificios es ahora considerable, por lo que los consumidores y las empresas exigen a sus proveedores buena cobertura de señal interior. Debido a </w:t>
      </w:r>
      <w:r w:rsidRPr="0067461A">
        <w:lastRenderedPageBreak/>
        <w:t>las pérdidas de penetración en edificios y los efectos de frecuencia, una buena cobertura exterior no se traduce directamente en una buena cobertura interior, por lo que para que la cobertura móvil interior sea profunda a menudo exige inversiones en sitios adicionales como son:</w:t>
      </w:r>
    </w:p>
    <w:p w14:paraId="374B7849" w14:textId="77777777" w:rsidR="0067461A" w:rsidRPr="0067461A" w:rsidRDefault="0067461A" w:rsidP="0067461A">
      <w:pPr>
        <w:pStyle w:val="ListBulletCompact"/>
        <w:spacing w:after="0"/>
        <w:ind w:left="360" w:hanging="360"/>
        <w:contextualSpacing w:val="0"/>
      </w:pPr>
      <w:r w:rsidRPr="0067461A">
        <w:t xml:space="preserve">despliegue de emplazamientos macro exteriores para transmitir señales a través de las paredes de los edificios </w:t>
      </w:r>
    </w:p>
    <w:p w14:paraId="65524F2D" w14:textId="2C8AE8BD" w:rsidR="0067461A" w:rsidRPr="0067461A" w:rsidRDefault="0067461A" w:rsidP="0067461A">
      <w:pPr>
        <w:pStyle w:val="Listaconvietas"/>
        <w:rPr>
          <w:color w:val="000000" w:themeColor="text1"/>
        </w:rPr>
      </w:pPr>
      <w:r w:rsidRPr="0067461A">
        <w:rPr>
          <w:color w:val="000000" w:themeColor="text1"/>
        </w:rPr>
        <w:t>instalación de micro- y pico-celdas interiores dedicadas que típicamente se enrutan de vuelta al punto de acceso móvil a través de un enlace fijo al edificio. Las pico-celdas pueden clasificarse como de acceso público (p.ej. en centros comerciales) o de acceso privado (p.ej. en soluciones interiores para empresas).</w:t>
      </w:r>
    </w:p>
    <w:p w14:paraId="21B45634" w14:textId="7311F9FD" w:rsidR="0067461A" w:rsidRPr="0067461A" w:rsidRDefault="0067461A" w:rsidP="0067461A">
      <w:pPr>
        <w:rPr>
          <w:color w:val="000000" w:themeColor="text1"/>
          <w:highlight w:val="yellow"/>
        </w:rPr>
      </w:pPr>
      <w:r w:rsidRPr="0067461A">
        <w:rPr>
          <w:color w:val="000000" w:themeColor="text1"/>
        </w:rPr>
        <w:t>Estas soluciones inalámbricas dan servicio al tráfico que de otra forma podría (en algunas circunstancias)</w:t>
      </w:r>
      <w:r w:rsidRPr="0067461A">
        <w:rPr>
          <w:rStyle w:val="Refdenotaalpie"/>
          <w:color w:val="000000" w:themeColor="text1"/>
          <w:spacing w:val="-4"/>
        </w:rPr>
        <w:footnoteReference w:id="9"/>
      </w:r>
      <w:r w:rsidRPr="0067461A">
        <w:rPr>
          <w:color w:val="000000" w:themeColor="text1"/>
        </w:rPr>
        <w:t xml:space="preserve"> transportarse al edificio, mediante un método de acceso fijo dedicado o una tecnología de muy alta capacidad (o, en otras palabras, con un costo marginal muy bajo). Así, se encuentra una sustitución entre ambas formas de tecnología interior. Por definición, prácticamente todo el tráfico fijo se generará en interiores.</w:t>
      </w:r>
      <w:r w:rsidRPr="0067461A">
        <w:rPr>
          <w:rStyle w:val="Refdenotaalpie"/>
          <w:color w:val="000000" w:themeColor="text1"/>
          <w:spacing w:val="-4"/>
        </w:rPr>
        <w:footnoteReference w:id="10"/>
      </w:r>
      <w:r w:rsidRPr="0067461A">
        <w:rPr>
          <w:color w:val="000000" w:themeColor="text1"/>
        </w:rPr>
        <w:t xml:space="preserve"> Sin embargo, se estima que alrededor de un 70% del tráfico móvil podría producirse también en el interior de edificios.</w:t>
      </w:r>
      <w:r w:rsidRPr="0067461A">
        <w:rPr>
          <w:rStyle w:val="Refdenotaalpie"/>
          <w:color w:val="000000" w:themeColor="text1"/>
          <w:spacing w:val="-4"/>
        </w:rPr>
        <w:footnoteReference w:id="11"/>
      </w:r>
    </w:p>
    <w:p w14:paraId="1E5BCF1A" w14:textId="77777777" w:rsidR="0067461A" w:rsidRPr="0067461A" w:rsidRDefault="0067461A" w:rsidP="0067461A">
      <w:r w:rsidRPr="0067461A">
        <w:t>Debido a las expectativas actuales que tienen los usuarios finales, y para que el modelo refleje la práctica de despliegue y los volúmenes de tráfico de la actualidad, recomendamos incluir el nivel de cobertura interior actual en el modelo. La consistencia entre el modelo fijo y el modelo móvil sugeriría que se asumiera una cobertura cuasi-nacional para el operador fijo. Aunque se podría definir un límite para el despliegue de la red fija determinado por las zonas rurales donde los costos de terminación fija fueran mayores que los de una solución inalámbrica, esto implicaría usar una medida subjetiva. Por lo tanto, utilizar la cobertura fija actual del operador de alcance nacional (Telmex) permitiría definir de una forma más pragmática la huella del operador fijo. Adicionalmente, esta aproximación asegura la consistencia con la definición del operador modelado por el IFT en el modelo integral de la red de acceso fijo. En el caso concreto de los operadores hipotéticos de redes fijas, es pertinente comentar que, si bien no se modelará la red de acceso (esto es, la conectividad desde la central local hasta el usuario final), sí se modelarán los nodos de acceso del operador hipotético, con lo cual es importante definir el parámetro de cobertura de manera acorde, asegurando la eficiencia en el despliegue.</w:t>
      </w:r>
    </w:p>
    <w:p w14:paraId="4324D37D" w14:textId="77777777" w:rsidR="0067461A" w:rsidRPr="0067461A" w:rsidRDefault="0067461A" w:rsidP="0067461A">
      <w:r w:rsidRPr="0067461A">
        <w:t xml:space="preserve">Si una cobertura de ámbito inferior al nacional fuese a redundar en diferencias de costos considerables y exógenas, podría argumentarse a favor de modelar la cobertura de menor ámbito. </w:t>
      </w:r>
      <w:r w:rsidRPr="0067461A">
        <w:lastRenderedPageBreak/>
        <w:t>Sin embargo, los operadores móviles operan a nivel nacional; así mismo, los operadores regionales de cable no están limitados por factores exógenos para ampliar su cobertura ya que pueden expandir sus redes o fusionarse con otros operadores. Por lo tanto, no es probable que se reflejen costos distintos a nivel regional por economías de escala geográficas menores a los costos de un operador eficiente nacional.</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721"/>
      </w:tblGrid>
      <w:tr w:rsidR="0067461A" w:rsidRPr="0067461A" w14:paraId="25C58C57" w14:textId="77777777">
        <w:tc>
          <w:tcPr>
            <w:tcW w:w="8721" w:type="dxa"/>
            <w:shd w:val="clear" w:color="auto" w:fill="F2F2F2" w:themeFill="background1" w:themeFillShade="F2"/>
          </w:tcPr>
          <w:p w14:paraId="76D24157" w14:textId="02AC0D1F" w:rsidR="0067461A" w:rsidRPr="0067461A" w:rsidRDefault="0067461A">
            <w:pPr>
              <w:spacing w:after="120"/>
              <w:rPr>
                <w:bCs/>
              </w:rPr>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5</w:t>
            </w:r>
            <w:r w:rsidRPr="0067461A">
              <w:rPr>
                <w:b/>
              </w:rPr>
              <w:fldChar w:fldCharType="end"/>
            </w:r>
            <w:r w:rsidRPr="0067461A">
              <w:rPr>
                <w:b/>
              </w:rPr>
              <w:t>:</w:t>
            </w:r>
            <w:r w:rsidRPr="0067461A">
              <w:rPr>
                <w:bCs/>
              </w:rPr>
              <w:t xml:space="preserve"> Se modelarán niveles de cobertura geográfica comparables con los ofrecidos por los operadores mexicanos. </w:t>
            </w:r>
          </w:p>
          <w:p w14:paraId="7B21AC20" w14:textId="77777777" w:rsidR="0067461A" w:rsidRPr="0067461A" w:rsidRDefault="0067461A">
            <w:pPr>
              <w:pStyle w:val="Listaconvietas"/>
            </w:pPr>
            <w:r w:rsidRPr="0067461A">
              <w:t>Operador hipotético de redes fijas representativo del AEP: cobertura similar a la provista por el AEP de redes fijas</w:t>
            </w:r>
          </w:p>
          <w:p w14:paraId="55D53BD6" w14:textId="77777777" w:rsidR="0067461A" w:rsidRPr="0067461A" w:rsidRDefault="0067461A">
            <w:pPr>
              <w:pStyle w:val="Listaconvietas"/>
              <w:spacing w:after="120"/>
              <w:rPr>
                <w:color w:val="000000" w:themeColor="text1"/>
              </w:rPr>
            </w:pPr>
            <w:r w:rsidRPr="0067461A">
              <w:t>Concesionario alternativo hipotético de redes fijas: cobertura comparable a la provista por el AEP de redes fijas</w:t>
            </w:r>
          </w:p>
          <w:p w14:paraId="70657674" w14:textId="77777777" w:rsidR="0067461A" w:rsidRPr="0067461A" w:rsidRDefault="0067461A">
            <w:pPr>
              <w:pStyle w:val="Listaconvietas"/>
            </w:pPr>
            <w:r w:rsidRPr="0067461A">
              <w:t>Operador hipotético de redes móviles representativo del AEP: cobertura similar a la provista por Telcel</w:t>
            </w:r>
          </w:p>
          <w:p w14:paraId="7F7E27B0" w14:textId="4D9B7F93" w:rsidR="0067461A" w:rsidRPr="00920B9F" w:rsidRDefault="0067461A" w:rsidP="00920B9F">
            <w:pPr>
              <w:pStyle w:val="Listaconvietas"/>
              <w:spacing w:after="120"/>
              <w:rPr>
                <w:color w:val="000000" w:themeColor="text1"/>
              </w:rPr>
            </w:pPr>
            <w:r w:rsidRPr="0067461A">
              <w:t xml:space="preserve">Concesionario alternativo hipotético de redes móviles: cobertura basada en </w:t>
            </w:r>
            <w:r w:rsidRPr="0067461A">
              <w:rPr>
                <w:color w:val="000000" w:themeColor="text1"/>
              </w:rPr>
              <w:t xml:space="preserve">provista por los </w:t>
            </w:r>
            <w:r w:rsidRPr="0067461A">
              <w:t>concesionarios alternativos al AEP</w:t>
            </w:r>
            <w:r w:rsidRPr="0067461A">
              <w:rPr>
                <w:color w:val="000000" w:themeColor="text1"/>
              </w:rPr>
              <w:t xml:space="preserve"> con red de acceso móvil de escala nacional</w:t>
            </w:r>
          </w:p>
        </w:tc>
      </w:tr>
    </w:tbl>
    <w:p w14:paraId="26A5B3C2" w14:textId="77777777" w:rsidR="0067461A" w:rsidRPr="0067461A" w:rsidRDefault="0067461A" w:rsidP="0067461A"/>
    <w:p w14:paraId="29B5357E" w14:textId="77777777" w:rsidR="0067461A" w:rsidRPr="0067461A" w:rsidRDefault="0067461A" w:rsidP="0067461A">
      <w:pPr>
        <w:pStyle w:val="Ttulo1"/>
        <w:rPr>
          <w:lang w:val="es-ES"/>
        </w:rPr>
      </w:pPr>
      <w:bookmarkStart w:id="65" w:name="_Toc135391542"/>
      <w:bookmarkStart w:id="66" w:name="_Toc135392286"/>
      <w:bookmarkStart w:id="67" w:name="_Toc135405196"/>
      <w:bookmarkStart w:id="68" w:name="_Toc135405336"/>
      <w:bookmarkStart w:id="69" w:name="_Toc135391543"/>
      <w:bookmarkStart w:id="70" w:name="_Toc135392287"/>
      <w:bookmarkStart w:id="71" w:name="_Toc135405197"/>
      <w:bookmarkStart w:id="72" w:name="_Toc135405337"/>
      <w:bookmarkStart w:id="73" w:name="_Toc135391544"/>
      <w:bookmarkStart w:id="74" w:name="_Toc135392288"/>
      <w:bookmarkStart w:id="75" w:name="_Toc135405198"/>
      <w:bookmarkStart w:id="76" w:name="_Toc135405338"/>
      <w:bookmarkStart w:id="77" w:name="_Toc135391545"/>
      <w:bookmarkStart w:id="78" w:name="_Toc135392289"/>
      <w:bookmarkStart w:id="79" w:name="_Toc135405199"/>
      <w:bookmarkStart w:id="80" w:name="_Toc135405339"/>
      <w:bookmarkStart w:id="81" w:name="_Toc135391546"/>
      <w:bookmarkStart w:id="82" w:name="_Toc135392290"/>
      <w:bookmarkStart w:id="83" w:name="_Toc135405200"/>
      <w:bookmarkStart w:id="84" w:name="_Toc135405340"/>
      <w:bookmarkStart w:id="85" w:name="_Toc135391547"/>
      <w:bookmarkStart w:id="86" w:name="_Toc135392291"/>
      <w:bookmarkStart w:id="87" w:name="_Toc135405201"/>
      <w:bookmarkStart w:id="88" w:name="_Toc135405341"/>
      <w:bookmarkStart w:id="89" w:name="_Toc135391548"/>
      <w:bookmarkStart w:id="90" w:name="_Toc135392292"/>
      <w:bookmarkStart w:id="91" w:name="_Toc135405202"/>
      <w:bookmarkStart w:id="92" w:name="_Toc135405342"/>
      <w:bookmarkStart w:id="93" w:name="_Toc135391549"/>
      <w:bookmarkStart w:id="94" w:name="_Toc135392293"/>
      <w:bookmarkStart w:id="95" w:name="_Toc135405203"/>
      <w:bookmarkStart w:id="96" w:name="_Toc135405343"/>
      <w:bookmarkStart w:id="97" w:name="_Toc135391558"/>
      <w:bookmarkStart w:id="98" w:name="_Toc135392302"/>
      <w:bookmarkStart w:id="99" w:name="_Toc135405212"/>
      <w:bookmarkStart w:id="100" w:name="_Toc135405352"/>
      <w:bookmarkStart w:id="101" w:name="_Toc135391561"/>
      <w:bookmarkStart w:id="102" w:name="_Toc135392305"/>
      <w:bookmarkStart w:id="103" w:name="_Toc135405215"/>
      <w:bookmarkStart w:id="104" w:name="_Toc135405355"/>
      <w:bookmarkStart w:id="105" w:name="_Toc135391564"/>
      <w:bookmarkStart w:id="106" w:name="_Toc135392308"/>
      <w:bookmarkStart w:id="107" w:name="_Toc135405218"/>
      <w:bookmarkStart w:id="108" w:name="_Toc135405358"/>
      <w:bookmarkStart w:id="109" w:name="_Ref321211127"/>
      <w:bookmarkStart w:id="110" w:name="_Toc527663502"/>
      <w:bookmarkStart w:id="111" w:name="_Ref46910813"/>
      <w:bookmarkStart w:id="112" w:name="_Toc132915508"/>
      <w:bookmarkStart w:id="113" w:name="_Toc13592130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67461A">
        <w:rPr>
          <w:lang w:val="es-ES"/>
        </w:rPr>
        <w:lastRenderedPageBreak/>
        <w:t>Aspectos relacionados con las tecnología</w:t>
      </w:r>
      <w:bookmarkEnd w:id="109"/>
      <w:bookmarkEnd w:id="110"/>
      <w:bookmarkEnd w:id="111"/>
      <w:bookmarkEnd w:id="112"/>
      <w:r w:rsidRPr="0067461A">
        <w:rPr>
          <w:lang w:val="es-ES"/>
        </w:rPr>
        <w:t>s modeladas</w:t>
      </w:r>
      <w:bookmarkEnd w:id="113"/>
    </w:p>
    <w:p w14:paraId="27D1F14D" w14:textId="3EEE291E" w:rsidR="0067461A" w:rsidRPr="0067461A" w:rsidRDefault="0067461A" w:rsidP="0067461A">
      <w:r w:rsidRPr="0067461A">
        <w:t>Esta sección presenta los aspectos conceptuales relacionados con el tipo de tecnología a incluir en el modelo. Está estructurada como sigue</w:t>
      </w:r>
    </w:p>
    <w:p w14:paraId="3C22D83C" w14:textId="5549706E" w:rsidR="0067461A" w:rsidRPr="0067461A" w:rsidRDefault="0067461A" w:rsidP="0067461A">
      <w:pPr>
        <w:pStyle w:val="ListBulletCompact"/>
        <w:spacing w:after="0"/>
        <w:ind w:left="360" w:hanging="360"/>
        <w:contextualSpacing w:val="0"/>
      </w:pPr>
      <w:r w:rsidRPr="0067461A">
        <w:t xml:space="preserve">arquitectura moderna de red (Sección </w:t>
      </w:r>
      <w:r w:rsidRPr="0067461A">
        <w:fldChar w:fldCharType="begin"/>
      </w:r>
      <w:r w:rsidRPr="0067461A">
        <w:instrText xml:space="preserve"> REF _Ref321211960 \r \h </w:instrText>
      </w:r>
      <w:r w:rsidRPr="0067461A">
        <w:fldChar w:fldCharType="separate"/>
      </w:r>
      <w:r w:rsidR="00475202">
        <w:t>4.1</w:t>
      </w:r>
      <w:r w:rsidRPr="0067461A">
        <w:fldChar w:fldCharType="end"/>
      </w:r>
      <w:r w:rsidRPr="0067461A">
        <w:t>)</w:t>
      </w:r>
    </w:p>
    <w:p w14:paraId="1FCE57A8" w14:textId="77777777" w:rsidR="0067461A" w:rsidRPr="0067461A" w:rsidRDefault="0067461A" w:rsidP="0067461A">
      <w:pPr>
        <w:pStyle w:val="ListBulletCompact"/>
        <w:spacing w:after="0"/>
        <w:ind w:left="360" w:hanging="360"/>
        <w:contextualSpacing w:val="0"/>
      </w:pPr>
      <w:r w:rsidRPr="0067461A">
        <w:t>demarcación de las capas de red (Sección 4.2)</w:t>
      </w:r>
    </w:p>
    <w:p w14:paraId="4A05840C" w14:textId="77777777" w:rsidR="0067461A" w:rsidRPr="0067461A" w:rsidRDefault="0067461A" w:rsidP="0067461A">
      <w:pPr>
        <w:pStyle w:val="Listaconvietas"/>
      </w:pPr>
      <w:r w:rsidRPr="0067461A">
        <w:t>nodos de la red (Sección 4.3).</w:t>
      </w:r>
    </w:p>
    <w:p w14:paraId="50A7AD28" w14:textId="77777777" w:rsidR="0067461A" w:rsidRPr="0067461A" w:rsidRDefault="0067461A" w:rsidP="0067461A">
      <w:pPr>
        <w:pStyle w:val="Ttulo2"/>
      </w:pPr>
      <w:bookmarkStart w:id="114" w:name="_Ref321211960"/>
      <w:bookmarkStart w:id="115" w:name="_Toc527663503"/>
      <w:bookmarkStart w:id="116" w:name="_Toc132915509"/>
      <w:bookmarkStart w:id="117" w:name="_Toc135921310"/>
      <w:r w:rsidRPr="0067461A">
        <w:t>Arquitectura moderna de red</w:t>
      </w:r>
      <w:bookmarkEnd w:id="114"/>
      <w:bookmarkEnd w:id="115"/>
      <w:bookmarkEnd w:id="116"/>
      <w:bookmarkEnd w:id="117"/>
    </w:p>
    <w:p w14:paraId="4BAAA77B" w14:textId="7D82B229" w:rsidR="0067461A" w:rsidRPr="0067461A" w:rsidRDefault="0067461A" w:rsidP="0067461A">
      <w:r w:rsidRPr="0067461A">
        <w:t>El desarrollo de un modelo de costos incrementales ascendentes para redes fijas y móviles exigirá un diseño de arquitectura de red basado en una elección específica de tecnología moderna eficiente. Desde la perspectiva de la provisión de servicios mayoristas regulados, en estos modelos deben reflejarse tecnologías modernas equivalentes: esto es, tecnologías disponibles y probadas con el costo más bajo previsto a lo largo de su vida útil. Consideramos las opciones de arquitectura de red por separado para redes móviles y fijas.</w:t>
      </w:r>
    </w:p>
    <w:p w14:paraId="6CE7EC41" w14:textId="19F9DBFD" w:rsidR="0067461A" w:rsidRPr="0067461A" w:rsidRDefault="0067461A" w:rsidP="0067461A">
      <w:pPr>
        <w:pStyle w:val="Ttulo3"/>
      </w:pPr>
      <w:bookmarkStart w:id="118" w:name="_Ref321211965"/>
      <w:r w:rsidRPr="0067461A">
        <w:t>Red de servicios móviles</w:t>
      </w:r>
    </w:p>
    <w:p w14:paraId="185F59E6" w14:textId="21792D96" w:rsidR="0067461A" w:rsidRPr="0067461A" w:rsidRDefault="0067461A" w:rsidP="0067461A">
      <w:r w:rsidRPr="0067461A">
        <w:t>Las redes móviles se han caracterizado por generaciones sucesivas de tecnología, donde los dos pasos más significativos han sido la transición del sistema analógico al digital 2G (GSM), la expansión continua para incluir elementos de red y servicios relacionados con UMTS (3G), seguido por la evolución a la tecnología LTE (4G) con miras, fundamentalmente, a incrementar la capacidad y velocidad de transmisión de datos móviles y más recientemente despliegues de la tecnología 5G. La arquitectura de redes móviles se divide en tres partes: una capa de radio, una red de conmutación y una red de transmisión. Consideramos las opciones de arquitectura de red en el resto de este apartado.</w:t>
      </w:r>
    </w:p>
    <w:p w14:paraId="1D088FC5" w14:textId="77777777" w:rsidR="0067461A" w:rsidRPr="0067461A" w:rsidRDefault="0067461A" w:rsidP="0067461A">
      <w:pPr>
        <w:pStyle w:val="Ttulo4"/>
      </w:pPr>
      <w:r w:rsidRPr="0067461A">
        <w:t xml:space="preserve">Capa de radio </w:t>
      </w:r>
    </w:p>
    <w:p w14:paraId="6C80296B" w14:textId="77777777" w:rsidR="0067461A" w:rsidRPr="0067461A" w:rsidRDefault="0067461A" w:rsidP="0067461A">
      <w:r w:rsidRPr="0067461A">
        <w:t>El modelo considera cuatro generaciones de estándares de tecnología móvil, bien secuencialmente o de forma combinada: GSM (2G), UMTS (3G), LTE (4G) y 5G. Si bien las primeras redes desplegadas en México empleaban también tecnologías como CDMA o CDMA-2000, estas ya no están operativas y, por tanto, no son relevantes para este modelo CILP ascendente.</w:t>
      </w:r>
    </w:p>
    <w:p w14:paraId="0BC1D833" w14:textId="77777777" w:rsidR="0067461A" w:rsidRPr="0067461A" w:rsidRDefault="0067461A" w:rsidP="0067461A">
      <w:r w:rsidRPr="0067461A">
        <w:t>La situación actual en México para las distintas tecnologías de acceso radio es la siguiente:</w:t>
      </w:r>
    </w:p>
    <w:p w14:paraId="268FC66A" w14:textId="77777777" w:rsidR="0067461A" w:rsidRPr="0067461A" w:rsidRDefault="0067461A" w:rsidP="0067461A">
      <w:pPr>
        <w:pStyle w:val="ListBulletCompact"/>
      </w:pPr>
      <w:r w:rsidRPr="0067461A">
        <w:lastRenderedPageBreak/>
        <w:t>2G: Tanto Telefónica como AT&amp;T han apagado recientemente sus redes de la tecnología 2G por lo que Telcel es el único operador que mantiene la red 2G</w:t>
      </w:r>
      <w:r w:rsidRPr="0067461A">
        <w:rPr>
          <w:rStyle w:val="Refdenotaalpie"/>
        </w:rPr>
        <w:footnoteReference w:id="12"/>
      </w:r>
      <w:r w:rsidRPr="0067461A">
        <w:t>, principalmente para tráfico de voz</w:t>
      </w:r>
    </w:p>
    <w:p w14:paraId="74BB9896" w14:textId="77777777" w:rsidR="0067461A" w:rsidRPr="0067461A" w:rsidRDefault="0067461A" w:rsidP="0067461A">
      <w:pPr>
        <w:pStyle w:val="ListBulletCompact"/>
      </w:pPr>
      <w:r w:rsidRPr="0067461A">
        <w:t>3G: Tanto Telcel como AT&amp;T operan redes 3G, la cual es relevante tanto para servicios de voz como para servicios de datos</w:t>
      </w:r>
    </w:p>
    <w:p w14:paraId="5BD9A8A7" w14:textId="77777777" w:rsidR="0067461A" w:rsidRPr="0067461A" w:rsidRDefault="0067461A" w:rsidP="0067461A">
      <w:pPr>
        <w:pStyle w:val="ListBulletCompact"/>
      </w:pPr>
      <w:r w:rsidRPr="0067461A">
        <w:t>4G: Telcel, AT&amp;T y Altán operan redes 4G, siendo esta la principal red de transporte para servicios de datos. Adicionalmente, los distintos operadores</w:t>
      </w:r>
      <w:r w:rsidRPr="0067461A">
        <w:rPr>
          <w:rStyle w:val="Refdenotaalpie"/>
        </w:rPr>
        <w:footnoteReference w:id="13"/>
      </w:r>
      <w:r w:rsidRPr="0067461A">
        <w:t xml:space="preserve"> comenzaron a prestar servicios de voz basados en esta tecnología a sus clientes en 2017 y 2018</w:t>
      </w:r>
    </w:p>
    <w:p w14:paraId="4827F9BE" w14:textId="40D6A191" w:rsidR="0067461A" w:rsidRPr="0067461A" w:rsidRDefault="0067461A" w:rsidP="0067461A">
      <w:pPr>
        <w:pStyle w:val="ListBulletCompact"/>
      </w:pPr>
      <w:r w:rsidRPr="0067461A">
        <w:t xml:space="preserve">5G: Tanto Telcel como AT&amp;T han lanzado comercialmente el servicio en los últimos meses, en la banda de </w:t>
      </w:r>
      <w:r w:rsidR="000C3965" w:rsidRPr="0067461A">
        <w:t>2</w:t>
      </w:r>
      <w:r w:rsidR="000C3965">
        <w:t>5</w:t>
      </w:r>
      <w:r w:rsidR="000C3965" w:rsidRPr="0067461A">
        <w:t xml:space="preserve">00MHz </w:t>
      </w:r>
      <w:r w:rsidRPr="0067461A">
        <w:t>en el caso de AT&amp;T, y en la banda de 3500MHz en el caso de Telcel (tras la autorización por parte del IFT para la provisión de servicios 5G en esta banda).</w:t>
      </w:r>
    </w:p>
    <w:p w14:paraId="40A4B727" w14:textId="05011BDC" w:rsidR="0067461A" w:rsidRPr="0067461A" w:rsidRDefault="0067461A" w:rsidP="0067461A">
      <w:r w:rsidRPr="0067461A">
        <w:t>Con esta situación, creemos que el modelo móvil deberá considerar las tecnologías 2G, 3G, 4G y 5G, incorporando esta última de manera acorde a los planes de despliegue de los operadores. Con respecto a la tecnología 2G, se considera oportuno modelar el apagado en el año 2022, en línea con lo acontecido con las redes de varios operadores en México. El espectro utilizado para los servicios 2G se cederá en gran medida a las capas de capacidad de las tecnologías 3G y 4G. Por otra parte, parece razonable considerar la tecnología VoLTE para el trasporte de voz, pues se empezó a utilizar en 2017 y 2018 y hoy en día ya absorbe un porcentaje de tráfico elevado.</w:t>
      </w:r>
    </w:p>
    <w:p w14:paraId="0A1337CD" w14:textId="169674C8" w:rsidR="0067461A" w:rsidRPr="0067461A" w:rsidRDefault="0067461A" w:rsidP="0067461A">
      <w:r w:rsidRPr="0067461A">
        <w:t xml:space="preserve">Con respecto a los nodos de acceso en las redes móviles, la mayoría de los concesionarios han realizado inversiones en los últimos años para modernizar la red y desplegar infraestructura de nodos multiservicio, (más conocido por su nombre en inglés, Single-RAN </w:t>
      </w:r>
      <w:r w:rsidR="00CD2C67">
        <w:t>–</w:t>
      </w:r>
      <w:r w:rsidRPr="0067461A">
        <w:t xml:space="preserve"> </w:t>
      </w:r>
      <w:r w:rsidRPr="0067461A">
        <w:rPr>
          <w:i/>
          <w:iCs/>
        </w:rPr>
        <w:t>single radio access network)</w:t>
      </w:r>
      <w:r w:rsidRPr="0067461A">
        <w:t>, el equivalente moderno de las estaciones base o BTS, NodeB y eNodeB. En 2018, Telcel completó la modernización de todos sus nodos de acceso, lo cual supone ahorros significativos para futuros despliegues además de permitir un despliegue más acelerado que con los equipos tradicionales. Por ello, el modelo móvil considerará la infraestructura Single-RAN desde el primer año de modelado, ajustando la tendencia de costos en los años del modelo en los que el Single-RAN aún no estaba disponible para capturar los costos de despliegue a lo largo del tiempo de manera realista. Cabe destacar que esta modelización solo se llevará a cabo en caso de existir información precisa respecto a los costos de los equipos Single-RAN por parte de los operadores.</w:t>
      </w:r>
    </w:p>
    <w:tbl>
      <w:tblPr>
        <w:tblStyle w:val="Tablaconcuadrcula"/>
        <w:tblW w:w="0" w:type="auto"/>
        <w:tblInd w:w="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361"/>
      </w:tblGrid>
      <w:tr w:rsidR="0067461A" w:rsidRPr="0067461A" w14:paraId="0D36EDB4" w14:textId="77777777">
        <w:tc>
          <w:tcPr>
            <w:tcW w:w="8361" w:type="dxa"/>
            <w:shd w:val="clear" w:color="auto" w:fill="F2F2F2" w:themeFill="background1" w:themeFillShade="F2"/>
          </w:tcPr>
          <w:p w14:paraId="1E5064C7" w14:textId="34BEEF50" w:rsidR="0067461A" w:rsidRPr="0067461A" w:rsidRDefault="0067461A">
            <w:pPr>
              <w:pStyle w:val="Listaconvietas"/>
              <w:numPr>
                <w:ilvl w:val="0"/>
                <w:numId w:val="0"/>
              </w:numPr>
              <w:spacing w:after="120"/>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6</w:t>
            </w:r>
            <w:r w:rsidRPr="0067461A">
              <w:rPr>
                <w:b/>
              </w:rPr>
              <w:fldChar w:fldCharType="end"/>
            </w:r>
            <w:r w:rsidRPr="0067461A">
              <w:rPr>
                <w:spacing w:val="-6"/>
              </w:rPr>
              <w:t xml:space="preserve">: En el modelo móvil se modelarán </w:t>
            </w:r>
            <w:r w:rsidRPr="0067461A">
              <w:t xml:space="preserve">las tecnologías de radio 2G, 3G, 4G y 5G. Se considerará el apagado de la red 2G en el año 2022, </w:t>
            </w:r>
            <w:r w:rsidR="00B14EA6">
              <w:t>para los diferentes operadores modelados</w:t>
            </w:r>
            <w:r w:rsidRPr="0067461A">
              <w:t>. Se considerará que el despliegue de redes 5G comenzará en el año 2022, para comenzar la provisión comercial del servicio en el año 2023. En caso de existir la información relevante, se considerará la infraestructura Single-RAN en el modelado de los nodos de acceso, acorde con la práctica actual del mercado.</w:t>
            </w:r>
          </w:p>
        </w:tc>
      </w:tr>
    </w:tbl>
    <w:p w14:paraId="0F49C9D7" w14:textId="77777777" w:rsidR="0067461A" w:rsidRPr="0067461A" w:rsidRDefault="0067461A" w:rsidP="0067461A">
      <w:pPr>
        <w:pStyle w:val="Ttulo4"/>
      </w:pPr>
      <w:r w:rsidRPr="0067461A">
        <w:lastRenderedPageBreak/>
        <w:t>Espectro radioeléctrico</w:t>
      </w:r>
    </w:p>
    <w:p w14:paraId="1CD10078" w14:textId="77777777" w:rsidR="0067461A" w:rsidRPr="0067461A" w:rsidRDefault="0067461A" w:rsidP="0067461A">
      <w:r w:rsidRPr="0067461A">
        <w:t xml:space="preserve">Para lograr altos niveles de cobertura, el costo de desplegar una red móvil estará fuertemente influenciado por la banda de frecuencia en la que se realice el despliegue. En efecto, una red de cobertura con base en una banda de espectro alta –como 3500MHz– resultará en un costo mayor que su equivalente en una banda de espectro baja –850MHz–. Esto se debe al menor radio de cobertura de las estaciones base que utilizan frecuencias en bandas de espectro como 3500MHz o 1700–2100MHz, que requieren una malla de estaciones base más estrecha y que tienen una menor penetración en edificios de las señales de 850MHz. No obstante, en muchos casos, la elección de la banda de cobertura para cada tecnología responde no solo a criterios técno-económicos, si no a factores condicionantes adicionales. </w:t>
      </w:r>
    </w:p>
    <w:p w14:paraId="190BBA63" w14:textId="0973D063" w:rsidR="0067461A" w:rsidRPr="0067461A" w:rsidRDefault="0067461A" w:rsidP="0067461A">
      <w:r w:rsidRPr="0067461A">
        <w:t>De esta manera, en México los operadores desplegaron su red de cobertura GSM inicialmente en bandas de frecuencia inferiores a 1GHz –la banda de 850MHz– para dar cobertura en aquellas regiones en las que disponían del espectro (Movistar e Iusacell, actualmente AT&amp;T, habrían desplegado su red de cobertura utilizando la banda de 1900MHz en las regiones donde no disponían de espectro en bandas inferiores a 1GHz). Cuando se comenzaron a desplegar las redes UMTS en 2007/08, los operadores siguieron un esquema de despliegue de una red de capacidad en frecuencias altas (1900MHz). Actualmente, se viene utilizando para la red 4G</w:t>
      </w:r>
      <w:r w:rsidRPr="0067461A">
        <w:rPr>
          <w:rStyle w:val="Refdenotaalpie"/>
        </w:rPr>
        <w:footnoteReference w:id="14"/>
      </w:r>
      <w:r w:rsidRPr="0067461A">
        <w:t xml:space="preserve"> espectro en la banda AWS (1700–2100MHz) adquirido por los operadores en la subasta de espectro que tuvo lugar en 2010 y posteriormente en 2016, así como en la banda </w:t>
      </w:r>
      <w:r w:rsidR="000C3965" w:rsidRPr="0067461A">
        <w:t>2</w:t>
      </w:r>
      <w:r w:rsidR="000C3965">
        <w:t>5</w:t>
      </w:r>
      <w:r w:rsidR="000C3965" w:rsidRPr="0067461A">
        <w:t xml:space="preserve">00MHz </w:t>
      </w:r>
      <w:r w:rsidRPr="0067461A">
        <w:t xml:space="preserve">subastada en 2018. Con respecto a las redes 5G, tanto Telcel como AT&amp;T han lanzado comercialmente el servicio en los últimos meses, en la banda de 3500MHz (tras la autorización para la provisión de servicios 5G en esta banda por parte del IFT) y </w:t>
      </w:r>
      <w:r w:rsidR="000C3965" w:rsidRPr="0067461A">
        <w:t>2</w:t>
      </w:r>
      <w:r w:rsidR="000C3965">
        <w:t>5</w:t>
      </w:r>
      <w:r w:rsidR="000C3965" w:rsidRPr="0067461A">
        <w:t xml:space="preserve">00MHz </w:t>
      </w:r>
      <w:r w:rsidRPr="0067461A">
        <w:t>respectivamente.</w:t>
      </w:r>
    </w:p>
    <w:tbl>
      <w:tblPr>
        <w:tblStyle w:val="Tablaconcuadrcula"/>
        <w:tblW w:w="0" w:type="auto"/>
        <w:tblInd w:w="3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361"/>
      </w:tblGrid>
      <w:tr w:rsidR="0067461A" w:rsidRPr="0067461A" w14:paraId="2437C180" w14:textId="77777777">
        <w:tc>
          <w:tcPr>
            <w:tcW w:w="8361" w:type="dxa"/>
            <w:shd w:val="clear" w:color="auto" w:fill="F2F2F2" w:themeFill="background1" w:themeFillShade="F2"/>
          </w:tcPr>
          <w:p w14:paraId="71FA23AE" w14:textId="5C4252E6" w:rsidR="0067461A" w:rsidRPr="0067461A" w:rsidRDefault="0067461A">
            <w:pPr>
              <w:pStyle w:val="Listaconvietas"/>
              <w:numPr>
                <w:ilvl w:val="0"/>
                <w:numId w:val="0"/>
              </w:numPr>
              <w:spacing w:after="120"/>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7</w:t>
            </w:r>
            <w:r w:rsidRPr="0067461A">
              <w:rPr>
                <w:b/>
              </w:rPr>
              <w:fldChar w:fldCharType="end"/>
            </w:r>
            <w:r w:rsidRPr="0067461A">
              <w:rPr>
                <w:spacing w:val="-6"/>
              </w:rPr>
              <w:t xml:space="preserve">: </w:t>
            </w:r>
            <w:r w:rsidRPr="0067461A">
              <w:t>Las bandas de cobertura de los distintos operadores se basará en las bandas empleadas por los operadores para cada una de las tecnologías</w:t>
            </w:r>
          </w:p>
        </w:tc>
      </w:tr>
    </w:tbl>
    <w:p w14:paraId="0A070593" w14:textId="77777777" w:rsidR="0067461A" w:rsidRPr="0067461A" w:rsidRDefault="0067461A" w:rsidP="0067461A"/>
    <w:p w14:paraId="4A6D831C" w14:textId="77777777" w:rsidR="0067461A" w:rsidRPr="0067461A" w:rsidRDefault="0067461A" w:rsidP="0067461A">
      <w:r w:rsidRPr="0067461A">
        <w:t xml:space="preserve">Por otro lado, los operadores deben complementar el despliegue de cobertura con capacidad adicional para satisfacer las necesidades de los usuarios. En México, por ejemplo, los operadores complementaron el despliegue de cobertura GSM con un despliegue posterior de estaciones base en la banda de 1900MHz para aportar capacidad adicional a la red.  </w:t>
      </w:r>
    </w:p>
    <w:p w14:paraId="664BB78A" w14:textId="77777777" w:rsidR="0067461A" w:rsidRPr="0067461A" w:rsidRDefault="0067461A" w:rsidP="0067461A">
      <w:r w:rsidRPr="0067461A">
        <w:t xml:space="preserve">Existen marcadas diferencias entre los operadores mexicanos en cuanto a sus tenencias de espectro, tanto en lo que respecta a la cantidad total de espectro que poseen como a nivel regional. En este sentido, creemos que es relevante asegurar consistencia en el espectro definido para los operadores hipotéticos y el tamaño del operador determinado. En el caso concreto del CS hipotético, se deberá asegurar la razonabilidad del espectro asociado, a fin de asegurar que se cumplen con unos criterios de modularidad mínima para cada una de las tecnologías (por ejemplo, en el caso de la tecnología </w:t>
      </w:r>
      <w:r w:rsidRPr="0067461A">
        <w:lastRenderedPageBreak/>
        <w:t>4G, es menos eficiente el despliegue de portadoras de tamaño menor a 2x5 MHz en una banda concreta).</w:t>
      </w:r>
    </w:p>
    <w:tbl>
      <w:tblPr>
        <w:tblStyle w:val="Tablaconcuadrcula"/>
        <w:tblW w:w="0" w:type="auto"/>
        <w:tblLook w:val="04A0" w:firstRow="1" w:lastRow="0" w:firstColumn="1" w:lastColumn="0" w:noHBand="0" w:noVBand="1"/>
      </w:tblPr>
      <w:tblGrid>
        <w:gridCol w:w="8721"/>
      </w:tblGrid>
      <w:tr w:rsidR="0067461A" w:rsidRPr="0067461A" w14:paraId="2D082772"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1CD1855" w14:textId="7CB714DD" w:rsidR="0067461A" w:rsidRPr="0067461A" w:rsidRDefault="0067461A">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8</w:t>
            </w:r>
            <w:r w:rsidRPr="0067461A">
              <w:rPr>
                <w:b/>
              </w:rPr>
              <w:fldChar w:fldCharType="end"/>
            </w:r>
            <w:r w:rsidRPr="0067461A">
              <w:t>: Se considera una asignación de espectro en línea con las tenencias de los operadores en México.</w:t>
            </w:r>
          </w:p>
          <w:p w14:paraId="342B1746" w14:textId="3B0E2D4C" w:rsidR="0067461A" w:rsidRPr="0067461A" w:rsidRDefault="0067461A">
            <w:pPr>
              <w:pStyle w:val="ListBulletCompact"/>
            </w:pPr>
            <w:r w:rsidRPr="0067461A">
              <w:t>Operador hipotético de redes fijas representativo del AEP: Tenencias de espectro de Telcel</w:t>
            </w:r>
          </w:p>
          <w:p w14:paraId="74289A37" w14:textId="29EC9374" w:rsidR="0067461A" w:rsidRPr="0067461A" w:rsidRDefault="0067461A">
            <w:pPr>
              <w:pStyle w:val="ListBulletCompact"/>
            </w:pPr>
            <w:r w:rsidRPr="0067461A">
              <w:t>Concesionario alternativo hipotético de redes móviles: Tenencia de espectro promedio de operadores alternativos considerados como relevantes (en línea con la definición del tamaño del operador modelado), asegurando la eficiencia en la modularidad del espectro asignado</w:t>
            </w:r>
          </w:p>
          <w:p w14:paraId="54B13341" w14:textId="77777777" w:rsidR="0067461A" w:rsidRPr="0067461A" w:rsidRDefault="0067461A">
            <w:r w:rsidRPr="0067461A">
              <w:t>El espectro será asignado a tecnologías de acceso en línea con los planes de los operadores</w:t>
            </w:r>
          </w:p>
        </w:tc>
      </w:tr>
    </w:tbl>
    <w:p w14:paraId="2CDE0A4B" w14:textId="77777777" w:rsidR="0067461A" w:rsidRPr="0067461A" w:rsidRDefault="0067461A" w:rsidP="0067461A"/>
    <w:tbl>
      <w:tblPr>
        <w:tblStyle w:val="Tablaconcuadrcula"/>
        <w:tblW w:w="0" w:type="auto"/>
        <w:tblLook w:val="04A0" w:firstRow="1" w:lastRow="0" w:firstColumn="1" w:lastColumn="0" w:noHBand="0" w:noVBand="1"/>
      </w:tblPr>
      <w:tblGrid>
        <w:gridCol w:w="8721"/>
      </w:tblGrid>
      <w:tr w:rsidR="0067461A" w:rsidRPr="0067461A" w14:paraId="24820C33"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D3DBCD4" w14:textId="2EA7A004" w:rsidR="0067461A" w:rsidRPr="0067461A" w:rsidRDefault="0067461A">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9</w:t>
            </w:r>
            <w:r w:rsidRPr="0067461A">
              <w:rPr>
                <w:b/>
              </w:rPr>
              <w:fldChar w:fldCharType="end"/>
            </w:r>
            <w:r w:rsidRPr="0067461A">
              <w:t>: No se asignará o considerará en el periodo de modelado el espectro que pudiera ser asignado por el IFT en adjudicaciones de espectro futuras (por ejemplo, IFT-12)</w:t>
            </w:r>
          </w:p>
        </w:tc>
      </w:tr>
    </w:tbl>
    <w:p w14:paraId="2C1ACBAF" w14:textId="77777777" w:rsidR="0067461A" w:rsidRPr="0067461A" w:rsidRDefault="0067461A" w:rsidP="0067461A"/>
    <w:p w14:paraId="1B04B32C" w14:textId="77777777" w:rsidR="0067461A" w:rsidRPr="0067461A" w:rsidRDefault="0067461A" w:rsidP="0067461A">
      <w:r w:rsidRPr="0067461A">
        <w:t>Los pagos asociados a las diferentes bandas de frecuencia se basarán en los pagos efectuados por los operadores históricos en el momento de la adquisición de la frecuencia o durante la última renovación de la concesión de espectro. Este enfoque es consistente con la utilización del precio de mercado del espectro.</w:t>
      </w:r>
    </w:p>
    <w:p w14:paraId="1E5A541C" w14:textId="77777777" w:rsidR="0067461A" w:rsidRPr="0067461A" w:rsidRDefault="0067461A" w:rsidP="0067461A">
      <w:r w:rsidRPr="0067461A">
        <w:t>La inversión inicial (capex) en espectro en la banda de 850MHz se calcula con base en el precio promedio pagado en la prórroga de la concesión otorgada en mayo de 2010 por región por MHz, multiplicándolo por la cantidad de espectro que tendrá el operador hipotético.</w:t>
      </w:r>
    </w:p>
    <w:p w14:paraId="0A5987B3" w14:textId="77777777" w:rsidR="0067461A" w:rsidRPr="0067461A" w:rsidRDefault="0067461A" w:rsidP="0067461A">
      <w:pPr>
        <w:spacing w:before="240"/>
      </w:pPr>
      <w:r w:rsidRPr="0067461A">
        <w:t>De forma similar, la inversión inicial (capex) en espectro en las bandas de 1900MHz (PCS), 1700/2100MHz (AWS), 2.5GHz y 3.5GHz se calcula a partir de los precios pagados por el espectro en la prórroga de la concesión otorgada en 2019 y las subastas realizadas en los años 2016, 2018 y 2020.</w:t>
      </w:r>
    </w:p>
    <w:p w14:paraId="27B7831E" w14:textId="77777777" w:rsidR="0067461A" w:rsidRPr="0067461A" w:rsidRDefault="0067461A" w:rsidP="0067461A">
      <w:r w:rsidRPr="0067461A">
        <w:t>Respecto a la banda de 700MHz, no se asume ninguna inversión inicial (capex) ya que su licitación no llevaba asociada una contraprestación por el otorgamiento de la concesión, pero sí un monto anual (opex) en concepto de pago de derechos.</w:t>
      </w:r>
    </w:p>
    <w:tbl>
      <w:tblPr>
        <w:tblStyle w:val="Tablaconcuadrcula"/>
        <w:tblW w:w="0" w:type="auto"/>
        <w:tblLook w:val="04A0" w:firstRow="1" w:lastRow="0" w:firstColumn="1" w:lastColumn="0" w:noHBand="0" w:noVBand="1"/>
      </w:tblPr>
      <w:tblGrid>
        <w:gridCol w:w="8721"/>
      </w:tblGrid>
      <w:tr w:rsidR="0067461A" w:rsidRPr="0067461A" w14:paraId="16FB9927"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462DEC5E" w14:textId="3692B861" w:rsidR="0067461A" w:rsidRPr="0067461A" w:rsidRDefault="0067461A">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10</w:t>
            </w:r>
            <w:r w:rsidRPr="0067461A">
              <w:rPr>
                <w:b/>
              </w:rPr>
              <w:fldChar w:fldCharType="end"/>
            </w:r>
            <w:r w:rsidRPr="0067461A">
              <w:t>: El costo del espectro se modelará de la siguiente manera:</w:t>
            </w:r>
          </w:p>
          <w:p w14:paraId="6AD19D26" w14:textId="77777777" w:rsidR="0067461A" w:rsidRPr="0067461A" w:rsidRDefault="0067461A">
            <w:pPr>
              <w:pStyle w:val="Listaconvietas"/>
            </w:pPr>
            <w:r w:rsidRPr="0067461A">
              <w:t>La inversión inicial (capex) en espectro en la banda de 850MHz se calculará con base en el precio promedio pagado en la prórroga de la concesión otorgada en mayo de 2010 y, más recientemente, en 2021 por región por MHz, multiplicándolo por la cantidad de espectro que tendrá el operador hipotético.</w:t>
            </w:r>
          </w:p>
          <w:p w14:paraId="0686B431" w14:textId="77777777" w:rsidR="0067461A" w:rsidRPr="0067461A" w:rsidRDefault="0067461A">
            <w:pPr>
              <w:pStyle w:val="Listaconvietas"/>
            </w:pPr>
            <w:r w:rsidRPr="0067461A">
              <w:lastRenderedPageBreak/>
              <w:t>La inversión inicial (capex) correspondiente al espectro en la banda PCS se calculará promediando el pago de la reciente prórroga de la concesión concedida en 2019.</w:t>
            </w:r>
          </w:p>
          <w:p w14:paraId="78BB792A" w14:textId="77777777" w:rsidR="0067461A" w:rsidRPr="0067461A" w:rsidRDefault="0067461A">
            <w:pPr>
              <w:pStyle w:val="Listaconvietas"/>
            </w:pPr>
            <w:r w:rsidRPr="0067461A">
              <w:t>De forma similar, la inversión inicial (capex) en espectro en la banda AWS se calculará para la cantidad de espectro que posea el operador hipotético a partir del precio pagado en la subasta realizada en 2016.</w:t>
            </w:r>
          </w:p>
          <w:p w14:paraId="4B243765" w14:textId="77777777" w:rsidR="0067461A" w:rsidRPr="0067461A" w:rsidRDefault="0067461A">
            <w:pPr>
              <w:pStyle w:val="Listaconvietas"/>
            </w:pPr>
            <w:r w:rsidRPr="0067461A">
              <w:t>La inversión inicial (capex) aplicable a la banda de 2500MHz se calculará con base en el precio promedio pagado en la subasta de 2018.</w:t>
            </w:r>
          </w:p>
          <w:p w14:paraId="476DF056" w14:textId="77777777" w:rsidR="0067461A" w:rsidRPr="0067461A" w:rsidRDefault="0067461A">
            <w:pPr>
              <w:pStyle w:val="Listaconvietas"/>
            </w:pPr>
            <w:r w:rsidRPr="0067461A">
              <w:t>La inversión inicial (capex) aplicable a la banda de 3500MHz se calculará con base en el precio promedio pagado en la subasta de 2020.</w:t>
            </w:r>
          </w:p>
          <w:p w14:paraId="5FA9FA7E" w14:textId="77777777" w:rsidR="0067461A" w:rsidRPr="0067461A" w:rsidRDefault="0067461A">
            <w:pPr>
              <w:pStyle w:val="Listaconvietas"/>
            </w:pPr>
            <w:r w:rsidRPr="0067461A">
              <w:rPr>
                <w:spacing w:val="-4"/>
              </w:rPr>
              <w:t>Los costos asociados a la banda de 700MHz se calcularán sin necesidad de promediarlos, directamente con base en los pagos realizados por Altán, que es el único operador con espectro en esta banda, y figurarán como gastos operativos (opex), ya que los pagos son anuales en concepto de contraprestación por los derechos de uso y explotación del espectro.</w:t>
            </w:r>
          </w:p>
        </w:tc>
      </w:tr>
    </w:tbl>
    <w:p w14:paraId="4D2F3DCA" w14:textId="77777777" w:rsidR="0067461A" w:rsidRPr="0067461A" w:rsidRDefault="0067461A" w:rsidP="0067461A">
      <w:pPr>
        <w:pStyle w:val="Ttulo4"/>
      </w:pPr>
      <w:r w:rsidRPr="0067461A">
        <w:lastRenderedPageBreak/>
        <w:t>Red de conmutación</w:t>
      </w:r>
    </w:p>
    <w:p w14:paraId="2862594F" w14:textId="77777777" w:rsidR="0067461A" w:rsidRPr="0067461A" w:rsidRDefault="0067461A" w:rsidP="0067461A">
      <w:pPr>
        <w:rPr>
          <w:spacing w:val="-4"/>
        </w:rPr>
      </w:pPr>
      <w:r w:rsidRPr="0067461A">
        <w:t xml:space="preserve">La red de conmutación móvil que debe modelarse está estrechamente ligada al tipo de operador que se decida modelar: o bien un operador nuevo y moderno, o bien un operador existente. </w:t>
      </w:r>
      <w:r w:rsidRPr="0067461A">
        <w:rPr>
          <w:spacing w:val="-4"/>
        </w:rPr>
        <w:t>Entendemos que en México los operadores cuentan actualmente con una arquitectura de conmutación IP combinada, que será la que se incluya en el modelo</w:t>
      </w:r>
    </w:p>
    <w:tbl>
      <w:tblPr>
        <w:tblStyle w:val="Tablaconcuadrcula"/>
        <w:tblW w:w="0" w:type="auto"/>
        <w:tblLook w:val="04A0" w:firstRow="1" w:lastRow="0" w:firstColumn="1" w:lastColumn="0" w:noHBand="0" w:noVBand="1"/>
      </w:tblPr>
      <w:tblGrid>
        <w:gridCol w:w="8721"/>
      </w:tblGrid>
      <w:tr w:rsidR="0067461A" w:rsidRPr="0067461A" w14:paraId="508EA5B3"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008E6E4" w14:textId="597329EC" w:rsidR="0067461A" w:rsidRPr="0067461A" w:rsidRDefault="0067461A">
            <w:pPr>
              <w:spacing w:after="120"/>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11</w:t>
            </w:r>
            <w:r w:rsidRPr="0067461A">
              <w:rPr>
                <w:b/>
              </w:rPr>
              <w:fldChar w:fldCharType="end"/>
            </w:r>
            <w:r w:rsidRPr="0067461A">
              <w:t xml:space="preserve">: Se modelará una arquitectura de conmutación IP combinada para la red de conmutación. </w:t>
            </w:r>
          </w:p>
        </w:tc>
      </w:tr>
    </w:tbl>
    <w:p w14:paraId="0B779AF3" w14:textId="77777777" w:rsidR="0067461A" w:rsidRPr="0067461A" w:rsidRDefault="0067461A" w:rsidP="0067461A">
      <w:pPr>
        <w:pStyle w:val="Ttulo4"/>
      </w:pPr>
      <w:r w:rsidRPr="0067461A">
        <w:t>Red de transmisión</w:t>
      </w:r>
    </w:p>
    <w:p w14:paraId="0680045E" w14:textId="73E1909F" w:rsidR="0067461A" w:rsidRPr="0067461A" w:rsidRDefault="0067461A" w:rsidP="0067461A">
      <w:pPr>
        <w:rPr>
          <w:color w:val="000000"/>
        </w:rPr>
      </w:pPr>
      <w:r w:rsidRPr="0067461A">
        <w:rPr>
          <w:color w:val="000000"/>
        </w:rPr>
        <w:t>Existen varios tipos de conectividad entre nodos de redes de móviles:</w:t>
      </w:r>
    </w:p>
    <w:p w14:paraId="78344471" w14:textId="77777777" w:rsidR="0067461A" w:rsidRPr="0067461A" w:rsidRDefault="0067461A" w:rsidP="0067461A">
      <w:pPr>
        <w:pStyle w:val="L1"/>
        <w:spacing w:after="0"/>
        <w:ind w:left="360" w:hanging="360"/>
        <w:contextualSpacing w:val="0"/>
      </w:pPr>
      <w:r w:rsidRPr="0067461A">
        <w:t>acceso de última milla</w:t>
      </w:r>
    </w:p>
    <w:p w14:paraId="08328908" w14:textId="77777777" w:rsidR="0067461A" w:rsidRPr="0067461A" w:rsidRDefault="0067461A" w:rsidP="0067461A">
      <w:pPr>
        <w:pStyle w:val="ListBulletCompact"/>
        <w:spacing w:after="0"/>
        <w:ind w:left="360" w:hanging="360"/>
        <w:contextualSpacing w:val="0"/>
      </w:pPr>
      <w:r w:rsidRPr="0067461A">
        <w:t>desde el concentrador al BSC, RNC o punto de agregación LTE (LTE-AP)</w:t>
      </w:r>
    </w:p>
    <w:p w14:paraId="15BFB3A1" w14:textId="77777777" w:rsidR="0067461A" w:rsidRPr="0067461A" w:rsidRDefault="0067461A" w:rsidP="0067461A">
      <w:pPr>
        <w:pStyle w:val="ListBulletCompact"/>
        <w:spacing w:after="0"/>
        <w:ind w:left="360" w:hanging="360"/>
        <w:contextualSpacing w:val="0"/>
      </w:pPr>
      <w:r w:rsidRPr="0067461A">
        <w:t>desde el BSC, RNC o LTE-AP a los principales emplazamientos de conmutación (que contengan MSC, MGW o SGW) si no están coubicados</w:t>
      </w:r>
    </w:p>
    <w:p w14:paraId="765AD20B" w14:textId="77777777" w:rsidR="0067461A" w:rsidRPr="0067461A" w:rsidRDefault="0067461A" w:rsidP="0067461A">
      <w:pPr>
        <w:pStyle w:val="Listaconvietas"/>
      </w:pPr>
      <w:r w:rsidRPr="0067461A">
        <w:t>entre los principales emplazamientos de conmutación (entre MSC, MGW o SGW).</w:t>
      </w:r>
    </w:p>
    <w:p w14:paraId="1538F6CC" w14:textId="77777777" w:rsidR="0067461A" w:rsidRPr="0067461A" w:rsidRDefault="0067461A" w:rsidP="0067461A">
      <w:r w:rsidRPr="0067461A">
        <w:t>En la actualidad, las soluciones típicamente adoptadas para la provisión de transmisión incluyen los siguientes tres elementos, todos ellos disponibles con enlaces Ethernet (velocidades de 10, 30, 100, 300 y 1000Mbit/s):</w:t>
      </w:r>
    </w:p>
    <w:p w14:paraId="45609AE5" w14:textId="77777777" w:rsidR="0067461A" w:rsidRPr="0067461A" w:rsidRDefault="0067461A" w:rsidP="0067461A">
      <w:pPr>
        <w:pStyle w:val="ListBulletCompact"/>
        <w:spacing w:after="0"/>
        <w:ind w:left="360" w:hanging="360"/>
        <w:contextualSpacing w:val="0"/>
      </w:pPr>
      <w:r w:rsidRPr="0067461A">
        <w:t xml:space="preserve">enlaces dedicados </w:t>
      </w:r>
    </w:p>
    <w:p w14:paraId="2623122B" w14:textId="77777777" w:rsidR="0067461A" w:rsidRPr="0067461A" w:rsidRDefault="0067461A" w:rsidP="0067461A">
      <w:pPr>
        <w:pStyle w:val="ListBulletCompact"/>
        <w:spacing w:after="0"/>
        <w:ind w:left="360" w:hanging="360"/>
        <w:contextualSpacing w:val="0"/>
      </w:pPr>
      <w:r w:rsidRPr="0067461A">
        <w:t xml:space="preserve">enlaces por microondas autoprovistos </w:t>
      </w:r>
    </w:p>
    <w:p w14:paraId="2A7CC055" w14:textId="77777777" w:rsidR="0067461A" w:rsidRPr="0067461A" w:rsidRDefault="0067461A" w:rsidP="0067461A">
      <w:pPr>
        <w:pStyle w:val="I1"/>
      </w:pPr>
      <w:r w:rsidRPr="0067461A">
        <w:lastRenderedPageBreak/>
        <w:t>red de fibra alquilada (fibra oscura alquilada/IRU).</w:t>
      </w:r>
      <w:r w:rsidRPr="0067461A">
        <w:rPr>
          <w:rStyle w:val="Refdenotaalpie"/>
        </w:rPr>
        <w:footnoteReference w:id="15"/>
      </w:r>
    </w:p>
    <w:p w14:paraId="0EEB4603" w14:textId="77777777" w:rsidR="0067461A" w:rsidRPr="0067461A" w:rsidRDefault="0067461A" w:rsidP="0067461A">
      <w:r w:rsidRPr="0067461A">
        <w:t>El tipo de transmisión elegida para la red móvil variará en función del operador, y esta esta puede haber cambiado con el tiempo. Entendemos que, a día de hoy, un nuevo entrante tendería a adoptar una red de transmisión basada en tecnología Ethernet escalable y resistente para el futuro (</w:t>
      </w:r>
      <w:r w:rsidRPr="0067461A">
        <w:rPr>
          <w:i/>
        </w:rPr>
        <w:t>future-proof</w:t>
      </w:r>
      <w:r w:rsidRPr="0067461A">
        <w:t>) (aunque el suministro e implementación de esta red dependa de las preferencias específicas del nuevo entrante).</w:t>
      </w:r>
    </w:p>
    <w:tbl>
      <w:tblPr>
        <w:tblStyle w:val="Tablaconcuadrcula"/>
        <w:tblW w:w="0" w:type="auto"/>
        <w:tblLook w:val="04A0" w:firstRow="1" w:lastRow="0" w:firstColumn="1" w:lastColumn="0" w:noHBand="0" w:noVBand="1"/>
      </w:tblPr>
      <w:tblGrid>
        <w:gridCol w:w="8721"/>
      </w:tblGrid>
      <w:tr w:rsidR="0067461A" w:rsidRPr="0067461A" w14:paraId="07933DBA"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2E99F5A" w14:textId="0551471B" w:rsidR="0067461A" w:rsidRPr="0067461A" w:rsidRDefault="0067461A">
            <w:pPr>
              <w:pStyle w:val="ListBulletCompact"/>
              <w:numPr>
                <w:ilvl w:val="0"/>
                <w:numId w:val="0"/>
              </w:numPr>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12</w:t>
            </w:r>
            <w:r w:rsidRPr="0067461A">
              <w:rPr>
                <w:b/>
              </w:rPr>
              <w:fldChar w:fldCharType="end"/>
            </w:r>
            <w:r w:rsidRPr="0067461A">
              <w:t>: Los operadores modelados disponen de una red de transmisión IP basada principalmente en enlaces de microondas, fibra y enlaces dedicados. La combinación de tecnologías a emplear será definida con base en la práctica real de los operadores en México</w:t>
            </w:r>
          </w:p>
        </w:tc>
      </w:tr>
    </w:tbl>
    <w:p w14:paraId="36B3D021" w14:textId="77777777" w:rsidR="0067461A" w:rsidRPr="0067461A" w:rsidRDefault="0067461A" w:rsidP="0067461A">
      <w:pPr>
        <w:pStyle w:val="Ttulo3"/>
      </w:pPr>
      <w:r w:rsidRPr="0067461A">
        <w:t>Red de telecomunicaciones fija</w:t>
      </w:r>
      <w:bookmarkEnd w:id="118"/>
    </w:p>
    <w:p w14:paraId="2B444760" w14:textId="77777777" w:rsidR="0067461A" w:rsidRPr="0067461A" w:rsidRDefault="0067461A" w:rsidP="0067461A">
      <w:r w:rsidRPr="0067461A">
        <w:t>Al igual que con las redes móviles, las redes fijas suelen estar compuestas por dos capas de activos: una capa de acceso y una capa troncal (</w:t>
      </w:r>
      <w:r w:rsidRPr="0067461A">
        <w:rPr>
          <w:i/>
        </w:rPr>
        <w:t>core</w:t>
      </w:r>
      <w:r w:rsidRPr="0067461A">
        <w:t xml:space="preserve">) (que incorpora la red de transmisión), aunque la demarcación exacta entre ambas capas depende de la tecnología utilizada y debe ser cuidadosamente definida. </w:t>
      </w:r>
    </w:p>
    <w:p w14:paraId="7572E8FE" w14:textId="77777777" w:rsidR="0067461A" w:rsidRPr="0067461A" w:rsidRDefault="0067461A" w:rsidP="0067461A">
      <w:pPr>
        <w:pStyle w:val="Ttulo4"/>
      </w:pPr>
      <w:r w:rsidRPr="0067461A">
        <w:t>Red de acceso</w:t>
      </w:r>
    </w:p>
    <w:p w14:paraId="54613E2D" w14:textId="51C4A0B2" w:rsidR="0067461A" w:rsidRPr="0067461A" w:rsidRDefault="0067461A" w:rsidP="0067461A">
      <w:pPr>
        <w:rPr>
          <w:spacing w:val="-2"/>
        </w:rPr>
      </w:pPr>
      <w:r w:rsidRPr="0067461A">
        <w:rPr>
          <w:spacing w:val="-2"/>
        </w:rPr>
        <w:t>La capa de acceso conecta los suscriptores a la red, permitiéndoles así utilizar los servicios provistos sobre redes fijas, tanto de telefonía como de datos. La capa de acceso puede estar basada en una arquitectura de cobre, fibra o cable coaxial:</w:t>
      </w:r>
    </w:p>
    <w:p w14:paraId="319B1F63" w14:textId="7F55A719" w:rsidR="0067461A" w:rsidRPr="0067461A" w:rsidRDefault="0067461A" w:rsidP="0067461A">
      <w:pPr>
        <w:pStyle w:val="Listaconvietas"/>
      </w:pPr>
      <w:r w:rsidRPr="0067461A">
        <w:t>una arquitectura tradicional de par de cobre, con cables desplegados hasta la central pasando por los nodos de agregación (</w:t>
      </w:r>
      <w:r w:rsidRPr="0067461A">
        <w:rPr>
          <w:i/>
        </w:rPr>
        <w:t>street cabinets</w:t>
      </w:r>
      <w:r w:rsidRPr="0067461A">
        <w:t>)</w:t>
      </w:r>
    </w:p>
    <w:p w14:paraId="270FE70B" w14:textId="77777777" w:rsidR="0067461A" w:rsidRPr="0067461A" w:rsidRDefault="0067461A" w:rsidP="0067461A">
      <w:pPr>
        <w:pStyle w:val="Listaconvietas"/>
      </w:pPr>
      <w:r w:rsidRPr="0067461A">
        <w:t>una arquitectura de cable o híbrida de cable y fibra (HFC, por sus siglas en inglés), con cable coaxial desplegado hasta una jerarquía de nodos de agregación de fibra y nodos metropolitanos</w:t>
      </w:r>
    </w:p>
    <w:p w14:paraId="281F4ED0" w14:textId="3D73D46F" w:rsidR="0067461A" w:rsidRDefault="0067461A" w:rsidP="0067461A">
      <w:pPr>
        <w:pStyle w:val="ListBulletCompact"/>
      </w:pPr>
      <w:r w:rsidRPr="0067461A">
        <w:t>una arquitectura de nueva generación (NGA) que utiliza cable de fibra, ya sea con una conexión sólo-fibra desde la central local hasta el usuario final (FTTH) o bien mediante el despliegue de fibra entre la central local y puntos intermedios (</w:t>
      </w:r>
      <w:r w:rsidRPr="00166B14">
        <w:rPr>
          <w:i/>
          <w:iCs/>
        </w:rPr>
        <w:t>cabinets</w:t>
      </w:r>
      <w:r w:rsidRPr="0067461A">
        <w:t>) de la red, desde la cual salen pares de cobre hasta el usuario final.</w:t>
      </w:r>
    </w:p>
    <w:p w14:paraId="1BEA1A03" w14:textId="77777777" w:rsidR="00304569" w:rsidRDefault="00304569" w:rsidP="00304569">
      <w:pPr>
        <w:pStyle w:val="ListBulletCompact"/>
        <w:numPr>
          <w:ilvl w:val="0"/>
          <w:numId w:val="0"/>
        </w:numPr>
        <w:ind w:left="357" w:hanging="357"/>
      </w:pPr>
    </w:p>
    <w:p w14:paraId="0E1ABDFC" w14:textId="77777777" w:rsidR="00304569" w:rsidRDefault="00304569" w:rsidP="00304569">
      <w:pPr>
        <w:pStyle w:val="ListBulletCompact"/>
        <w:numPr>
          <w:ilvl w:val="0"/>
          <w:numId w:val="0"/>
        </w:numPr>
        <w:ind w:left="357" w:hanging="357"/>
      </w:pPr>
    </w:p>
    <w:p w14:paraId="1B5736D0" w14:textId="77777777" w:rsidR="00304569" w:rsidRDefault="00304569" w:rsidP="00304569">
      <w:pPr>
        <w:pStyle w:val="ListBulletCompact"/>
        <w:numPr>
          <w:ilvl w:val="0"/>
          <w:numId w:val="0"/>
        </w:numPr>
        <w:ind w:left="357" w:hanging="357"/>
      </w:pPr>
    </w:p>
    <w:p w14:paraId="51FB4C8B" w14:textId="77777777" w:rsidR="00304569" w:rsidRDefault="00304569" w:rsidP="00304569">
      <w:pPr>
        <w:pStyle w:val="ListBulletCompact"/>
        <w:numPr>
          <w:ilvl w:val="0"/>
          <w:numId w:val="0"/>
        </w:numPr>
        <w:ind w:left="357" w:hanging="357"/>
      </w:pPr>
    </w:p>
    <w:p w14:paraId="5C8779C1" w14:textId="77777777" w:rsidR="00304569" w:rsidRPr="0067461A" w:rsidRDefault="00304569" w:rsidP="00304569">
      <w:pPr>
        <w:pStyle w:val="ListBulletCompact"/>
        <w:numPr>
          <w:ilvl w:val="0"/>
          <w:numId w:val="0"/>
        </w:numPr>
        <w:ind w:left="357" w:hanging="357"/>
      </w:pPr>
    </w:p>
    <w:p w14:paraId="541F55C8" w14:textId="56449CA6" w:rsidR="0067461A" w:rsidRPr="001F3481" w:rsidRDefault="0067461A" w:rsidP="001F3481">
      <w:pPr>
        <w:pStyle w:val="Descripcin"/>
        <w:rPr>
          <w:lang w:val="es-ES"/>
        </w:rPr>
      </w:pPr>
      <w:r w:rsidRPr="001F3481">
        <w:rPr>
          <w:lang w:val="es-ES"/>
        </w:rPr>
        <w:lastRenderedPageBreak/>
        <w:t xml:space="preserve">Figura </w:t>
      </w:r>
      <w:r w:rsidRPr="0067461A">
        <w:fldChar w:fldCharType="begin"/>
      </w:r>
      <w:r w:rsidRPr="001F3481">
        <w:rPr>
          <w:lang w:val="es-ES"/>
        </w:rPr>
        <w:instrText xml:space="preserve"> STYLEREF 1 \s \* MERGEFORMAT </w:instrText>
      </w:r>
      <w:r w:rsidRPr="0067461A">
        <w:fldChar w:fldCharType="separate"/>
      </w:r>
      <w:r w:rsidR="00475202">
        <w:rPr>
          <w:noProof/>
          <w:lang w:val="es-ES"/>
        </w:rPr>
        <w:t>4</w:t>
      </w:r>
      <w:r w:rsidRPr="0067461A">
        <w:fldChar w:fldCharType="end"/>
      </w:r>
      <w:r w:rsidRPr="001F3481">
        <w:rPr>
          <w:lang w:val="es-ES"/>
        </w:rPr>
        <w:t>.</w:t>
      </w:r>
      <w:r w:rsidRPr="0067461A">
        <w:fldChar w:fldCharType="begin"/>
      </w:r>
      <w:r w:rsidRPr="001F3481">
        <w:rPr>
          <w:lang w:val="es-ES"/>
        </w:rPr>
        <w:instrText xml:space="preserve"> SEQ Ilustración \* ARABIC \s 1 \* MERGEFORMAT </w:instrText>
      </w:r>
      <w:r w:rsidRPr="0067461A">
        <w:fldChar w:fldCharType="separate"/>
      </w:r>
      <w:r w:rsidR="00475202">
        <w:rPr>
          <w:noProof/>
          <w:lang w:val="es-ES"/>
        </w:rPr>
        <w:t>1</w:t>
      </w:r>
      <w:r w:rsidRPr="0067461A">
        <w:fldChar w:fldCharType="end"/>
      </w:r>
      <w:r w:rsidRPr="001F3481">
        <w:rPr>
          <w:lang w:val="es-ES"/>
        </w:rPr>
        <w:t>: Arquitecturas de la red de acceso [</w:t>
      </w:r>
      <w:r w:rsidR="00F4066A">
        <w:rPr>
          <w:lang w:val="es-ES"/>
        </w:rPr>
        <w:t>Fuente: Analysys Mason, 2023</w:t>
      </w:r>
      <w:r w:rsidRPr="001F3481">
        <w:rPr>
          <w:lang w:val="es-ES"/>
        </w:rPr>
        <w:t>]</w:t>
      </w:r>
    </w:p>
    <w:p w14:paraId="4EC3A34A" w14:textId="2E6E4D87" w:rsidR="000720B0" w:rsidRDefault="00DB2CAF" w:rsidP="00DB2CAF">
      <w:pPr>
        <w:jc w:val="center"/>
        <w:rPr>
          <w:noProof/>
        </w:rPr>
      </w:pPr>
      <w:r w:rsidRPr="00DB2CAF">
        <w:rPr>
          <w:noProof/>
        </w:rPr>
        <w:t xml:space="preserve"> </w:t>
      </w:r>
      <w:r w:rsidRPr="00DB2CAF">
        <w:rPr>
          <w:noProof/>
        </w:rPr>
        <w:drawing>
          <wp:inline distT="0" distB="0" distL="0" distR="0" wp14:anchorId="07769910" wp14:editId="1AB60BBB">
            <wp:extent cx="3726815" cy="3985260"/>
            <wp:effectExtent l="0" t="0" r="0" b="0"/>
            <wp:docPr id="723699388" name="Picture 72369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26815" cy="3985260"/>
                    </a:xfrm>
                    <a:prstGeom prst="rect">
                      <a:avLst/>
                    </a:prstGeom>
                    <a:noFill/>
                    <a:ln>
                      <a:noFill/>
                    </a:ln>
                  </pic:spPr>
                </pic:pic>
              </a:graphicData>
            </a:graphic>
          </wp:inline>
        </w:drawing>
      </w:r>
    </w:p>
    <w:p w14:paraId="10617939" w14:textId="45E9FEBF" w:rsidR="0067461A" w:rsidRPr="0067461A" w:rsidRDefault="0067461A" w:rsidP="0067461A">
      <w:r w:rsidRPr="0067461A">
        <w:t>El IFT modela los costos de los servicios de acceso en el modelo integral de acceso fijo. Por este motivo, el modelo alcance de este documento no incluirá los elementos de la red de acceso. La red modelada, considera como punto de demarcación el nodo de acceso multiservicio (MSAN). El MSAN no se incluye en el modelo para asegurar la consistencia con el modelo de desagregación del IFT. En todo caso, se asumirá que el tráfico generado empleará el protocolo Ethernet para su conexión a las capas superiores de la red.</w:t>
      </w:r>
    </w:p>
    <w:p w14:paraId="067439C8" w14:textId="77777777" w:rsidR="0067461A" w:rsidRPr="0067461A" w:rsidRDefault="0067461A" w:rsidP="0067461A">
      <w:pPr>
        <w:pStyle w:val="Ttulo4"/>
      </w:pPr>
      <w:r w:rsidRPr="0067461A">
        <w:t>Red troncal (</w:t>
      </w:r>
      <w:r w:rsidRPr="0067461A">
        <w:rPr>
          <w:i w:val="0"/>
          <w:iCs w:val="0"/>
        </w:rPr>
        <w:t>core</w:t>
      </w:r>
      <w:r w:rsidRPr="0067461A">
        <w:t>) y NGN</w:t>
      </w:r>
    </w:p>
    <w:p w14:paraId="33D9585E" w14:textId="77777777" w:rsidR="0067461A" w:rsidRPr="0067461A" w:rsidRDefault="0067461A" w:rsidP="0067461A">
      <w:r w:rsidRPr="0067461A">
        <w:t>Al igual que en la red de acceso, en las redes troncales de los operadores existen arquitecturas tradicionales (PSTN) y de nueva generación (NGN, por sus siglas en inglés). Para evitar confusión, es importante diferenciar estas dos partes de la red:</w:t>
      </w:r>
    </w:p>
    <w:p w14:paraId="341FD628" w14:textId="77777777" w:rsidR="0067461A" w:rsidRPr="0067461A" w:rsidRDefault="0067461A" w:rsidP="0067461A">
      <w:pPr>
        <w:pStyle w:val="I1"/>
      </w:pPr>
      <w:r w:rsidRPr="0067461A">
        <w:rPr>
          <w:b/>
        </w:rPr>
        <w:t>red de acceso</w:t>
      </w:r>
      <w:r w:rsidRPr="0067461A">
        <w:t xml:space="preserve"> – conecta los usuarios finales a los nodos de acceso del operador por medio de infraestructura fija, móvil o inalámbrica.</w:t>
      </w:r>
    </w:p>
    <w:p w14:paraId="4467855D" w14:textId="77777777" w:rsidR="0067461A" w:rsidRPr="0067461A" w:rsidRDefault="0067461A" w:rsidP="00920B9F">
      <w:pPr>
        <w:pStyle w:val="I1"/>
      </w:pPr>
      <w:r w:rsidRPr="0067461A">
        <w:rPr>
          <w:b/>
        </w:rPr>
        <w:t>red troncal</w:t>
      </w:r>
      <w:r w:rsidRPr="0067461A">
        <w:t xml:space="preserve"> – conecta los nodos de acceso del operador entre sí, a través de una serie de capas jerarquizadas que transportan el tráfico entre nodos y a otras redes.</w:t>
      </w:r>
    </w:p>
    <w:p w14:paraId="5274098A" w14:textId="77777777" w:rsidR="0067461A" w:rsidRPr="0067461A" w:rsidRDefault="0067461A" w:rsidP="00920B9F">
      <w:r w:rsidRPr="0067461A">
        <w:t xml:space="preserve">Las redes históricas PSTN se basan en la tecnología de conmutación de circuitos. Dicha tecnología asigna un camino físico dedicado a cada llamada de voz y reserva una cantidad asociada de ancho de banda dedicado (habitualmente un canal de voz PSTN tiene un ancho de banda de 64kbit/s) en </w:t>
      </w:r>
      <w:r w:rsidRPr="0067461A">
        <w:lastRenderedPageBreak/>
        <w:t>toda la red. Este ancho de banda es dedicado para la llamada durante la duración de la misma, independientemente de si se está transmitiendo señal de audio entre los participantes.</w:t>
      </w:r>
    </w:p>
    <w:p w14:paraId="489EDB48" w14:textId="77777777" w:rsidR="0067461A" w:rsidRPr="0067461A" w:rsidRDefault="0067461A" w:rsidP="0067461A">
      <w:r w:rsidRPr="0067461A">
        <w:t xml:space="preserve">Por el contrario, las NGN se basan en tecnologías de conmutación de paquetes, gracias a las cuales la voz se envía en ‘paquetes’ de datos digitalizados utilizando VoIP. Sin especificidades de red especiales, como por ejemplo mecanismos para garantizar la calidad del servicio, cada paquete de voz compite en igualdad de condiciones con los paquetes de otros servicios (voz u otro tipo de datos en una NGN) por los recursos de red disponibles, como por ejemplo el ancho de banda. Este principio aplica sobre una parte relevante del tráfico de datos cursado por los operadores (denominado, </w:t>
      </w:r>
      <w:r w:rsidRPr="00920B9F">
        <w:rPr>
          <w:i/>
          <w:iCs/>
        </w:rPr>
        <w:t>best effort</w:t>
      </w:r>
      <w:r w:rsidRPr="0067461A">
        <w:t>). Por otra parte, para servicio de voz, así como para otros servicios de aplicaciones críticas o con calidad de servicio garantizada (por ejemplo, enlaces dedicados) existen mecanismos para garantizar la calidad de servicio. Estas técnicas permiten priorizar los paquetes que llevan tráfico voz u otro tráfico de naturaleza crítica sobre otros tipos de paquetes de datos, ayudando a asegurar que los paquetes de voz circulan por la red sin problemas y según las características de (por ejemplo, tiempo, retardo o jitter)</w:t>
      </w:r>
      <w:r w:rsidRPr="0067461A">
        <w:rPr>
          <w:rStyle w:val="Refdenotaalpie"/>
        </w:rPr>
        <w:footnoteReference w:id="16"/>
      </w:r>
    </w:p>
    <w:p w14:paraId="2927527F" w14:textId="0CBB4E18" w:rsidR="0067461A" w:rsidRPr="0067461A" w:rsidRDefault="0067461A" w:rsidP="0067461A">
      <w:pPr>
        <w:pStyle w:val="Descripcin"/>
        <w:spacing w:before="240"/>
        <w:rPr>
          <w:lang w:val="es-ES"/>
        </w:rPr>
      </w:pPr>
      <w:bookmarkStart w:id="119" w:name="_Ref135931358"/>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4</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2</w:t>
      </w:r>
      <w:r w:rsidRPr="0067461A">
        <w:rPr>
          <w:lang w:val="es-ES"/>
        </w:rPr>
        <w:fldChar w:fldCharType="end"/>
      </w:r>
      <w:bookmarkEnd w:id="119"/>
      <w:r w:rsidRPr="0067461A">
        <w:rPr>
          <w:lang w:val="es-ES"/>
        </w:rPr>
        <w:t>: Comparación entre redes de conmutación de circuitos y de conmutación de paquetes [Fuente: Analysys Mason, 2023]</w:t>
      </w:r>
    </w:p>
    <w:p w14:paraId="64949B31" w14:textId="77777777" w:rsidR="0067461A" w:rsidRPr="0067461A" w:rsidRDefault="0067461A" w:rsidP="0067461A">
      <w:pPr>
        <w:pStyle w:val="Border"/>
        <w:rPr>
          <w:lang w:val="es-ES"/>
        </w:rPr>
      </w:pPr>
      <w:r w:rsidRPr="0067461A">
        <w:rPr>
          <w:noProof/>
          <w:lang w:val="es-ES" w:eastAsia="es-ES"/>
        </w:rPr>
        <w:drawing>
          <wp:inline distT="0" distB="0" distL="0" distR="0" wp14:anchorId="03410F6B" wp14:editId="71F921A2">
            <wp:extent cx="5543550" cy="3453177"/>
            <wp:effectExtent l="0" t="0" r="0" b="0"/>
            <wp:docPr id="124323279" name="Picture 124323279" descr="Comparación entre redes de conmutación de circuitos y de conmutación de paquetes, Fuente: Analysys Mason, 2016" title="Figura cuatro punto o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43550" cy="3453177"/>
                    </a:xfrm>
                    <a:prstGeom prst="rect">
                      <a:avLst/>
                    </a:prstGeom>
                    <a:noFill/>
                    <a:ln>
                      <a:noFill/>
                    </a:ln>
                  </pic:spPr>
                </pic:pic>
              </a:graphicData>
            </a:graphic>
          </wp:inline>
        </w:drawing>
      </w:r>
    </w:p>
    <w:p w14:paraId="34128476" w14:textId="3BAD04FB" w:rsidR="0067461A" w:rsidRPr="0067461A" w:rsidRDefault="0067461A" w:rsidP="0067461A">
      <w:r w:rsidRPr="0067461A">
        <w:t>Como se puede ver en la</w:t>
      </w:r>
      <w:r w:rsidR="00937C5D">
        <w:t xml:space="preserve"> </w:t>
      </w:r>
      <w:r w:rsidR="00FB01BD">
        <w:fldChar w:fldCharType="begin"/>
      </w:r>
      <w:r w:rsidR="00FB01BD">
        <w:instrText xml:space="preserve"> REF _Ref135931358 \h </w:instrText>
      </w:r>
      <w:r w:rsidR="00FB01BD">
        <w:fldChar w:fldCharType="separate"/>
      </w:r>
      <w:r w:rsidR="00475202" w:rsidRPr="0067461A">
        <w:t xml:space="preserve">Figura </w:t>
      </w:r>
      <w:r w:rsidR="00475202">
        <w:rPr>
          <w:noProof/>
        </w:rPr>
        <w:t>4</w:t>
      </w:r>
      <w:r w:rsidR="00475202" w:rsidRPr="0067461A">
        <w:t>.</w:t>
      </w:r>
      <w:r w:rsidR="00475202">
        <w:rPr>
          <w:noProof/>
        </w:rPr>
        <w:t>2</w:t>
      </w:r>
      <w:r w:rsidR="00FB01BD">
        <w:fldChar w:fldCharType="end"/>
      </w:r>
      <w:r w:rsidRPr="0067461A">
        <w:t xml:space="preserve">, en una PSTN los conmutadores realizan la conmutación de las llamadas de voz y gestionan la señalización; en una NGN, los </w:t>
      </w:r>
      <w:r w:rsidRPr="0067461A">
        <w:rPr>
          <w:i/>
          <w:iCs/>
        </w:rPr>
        <w:t>call servers</w:t>
      </w:r>
      <w:r w:rsidRPr="0067461A">
        <w:t xml:space="preserve"> son los que gestionan la señalización, y los enrutadores (o </w:t>
      </w:r>
      <w:r w:rsidRPr="0067461A">
        <w:rPr>
          <w:i/>
          <w:iCs/>
        </w:rPr>
        <w:t>media gateways</w:t>
      </w:r>
      <w:r w:rsidRPr="0067461A">
        <w:t xml:space="preserve"> especializadas) enrutan y gestionan el tráfico de </w:t>
      </w:r>
      <w:r w:rsidRPr="0067461A">
        <w:lastRenderedPageBreak/>
        <w:t>paquetes de voz. Adicionalmente, y como se puede comprobar en la</w:t>
      </w:r>
      <w:r w:rsidR="00587E36">
        <w:t xml:space="preserve"> </w:t>
      </w:r>
      <w:r w:rsidR="00587E36">
        <w:fldChar w:fldCharType="begin"/>
      </w:r>
      <w:r w:rsidR="00587E36">
        <w:instrText xml:space="preserve"> REF _Ref135931618 \h </w:instrText>
      </w:r>
      <w:r w:rsidR="00587E36">
        <w:fldChar w:fldCharType="separate"/>
      </w:r>
      <w:r w:rsidR="00475202" w:rsidRPr="0067461A">
        <w:t xml:space="preserve">Figura </w:t>
      </w:r>
      <w:r w:rsidR="00475202">
        <w:rPr>
          <w:noProof/>
        </w:rPr>
        <w:t>4</w:t>
      </w:r>
      <w:r w:rsidR="00475202" w:rsidRPr="0067461A">
        <w:t>.</w:t>
      </w:r>
      <w:r w:rsidR="00475202">
        <w:rPr>
          <w:noProof/>
        </w:rPr>
        <w:t>3</w:t>
      </w:r>
      <w:r w:rsidR="00587E36">
        <w:fldChar w:fldCharType="end"/>
      </w:r>
      <w:r w:rsidRPr="0067461A">
        <w:t xml:space="preserve">, las capas separadas de la red de conmutadores locales y de tránsito se reemplazan por </w:t>
      </w:r>
      <w:r w:rsidRPr="0067461A">
        <w:rPr>
          <w:i/>
          <w:iCs/>
        </w:rPr>
        <w:t>call servers</w:t>
      </w:r>
      <w:r w:rsidRPr="0067461A">
        <w:t xml:space="preserve"> en una estructura que consta de una sola capa. Típicamente, una PSTN formada por 100 conmutadores locales y 10 conmutadores de tránsito podría ser remplaza por un menor número de </w:t>
      </w:r>
      <w:r w:rsidRPr="0067461A">
        <w:rPr>
          <w:i/>
          <w:iCs/>
        </w:rPr>
        <w:t>call servers</w:t>
      </w:r>
      <w:r w:rsidRPr="0067461A">
        <w:t xml:space="preserve"> (menos de 5) en una NGN. Adicionalmente, las redes NGN disponen de una serie de enrutadores IP que gestionan la transmisión de los paquetes IP (que pueden incluir servicios de voz o datos) y pueden utilizar, en las capas de transporte y física, tecnologías como Ethernet y SDH (tanto tradicional como de próxima generación) sobre fibra (utilizando tecnologías xWDM) dependiendo de la relación costo–beneficio y de la escala de la red. La aplicación de estos principios implica importantes ahorros en inversiones y gastos operativos para los operadores.</w:t>
      </w:r>
    </w:p>
    <w:p w14:paraId="45707EA8" w14:textId="00102984" w:rsidR="0067461A" w:rsidRPr="0067461A" w:rsidRDefault="0067461A" w:rsidP="0067461A">
      <w:pPr>
        <w:pStyle w:val="Descripcin"/>
        <w:spacing w:before="240" w:line="280" w:lineRule="exact"/>
        <w:rPr>
          <w:lang w:val="es-ES"/>
        </w:rPr>
      </w:pPr>
      <w:bookmarkStart w:id="120" w:name="_Ref135931618"/>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4</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3</w:t>
      </w:r>
      <w:r w:rsidRPr="0067461A">
        <w:rPr>
          <w:lang w:val="es-ES"/>
        </w:rPr>
        <w:fldChar w:fldCharType="end"/>
      </w:r>
      <w:bookmarkEnd w:id="120"/>
      <w:r w:rsidRPr="0067461A">
        <w:rPr>
          <w:lang w:val="es-ES"/>
        </w:rPr>
        <w:t>: Comparación de la red PSTN tradicional y los servicios de voz sobre una NGN [</w:t>
      </w:r>
      <w:r w:rsidR="00F4066A">
        <w:rPr>
          <w:lang w:val="es-ES"/>
        </w:rPr>
        <w:t>Fuente: Analysys Mason, 2023</w:t>
      </w:r>
      <w:r w:rsidRPr="0067461A">
        <w:rPr>
          <w:lang w:val="es-ES"/>
        </w:rPr>
        <w:t>]</w:t>
      </w:r>
    </w:p>
    <w:p w14:paraId="07B7BA11" w14:textId="77777777" w:rsidR="0067461A" w:rsidRPr="0067461A" w:rsidRDefault="0067461A" w:rsidP="0067461A">
      <w:pPr>
        <w:pStyle w:val="Border"/>
        <w:rPr>
          <w:lang w:val="es-ES"/>
        </w:rPr>
      </w:pPr>
      <w:r w:rsidRPr="0067461A">
        <w:rPr>
          <w:noProof/>
          <w:lang w:val="es-ES" w:eastAsia="es-ES"/>
        </w:rPr>
        <w:drawing>
          <wp:inline distT="0" distB="0" distL="0" distR="0" wp14:anchorId="7D8C32AB" wp14:editId="0680D3C5">
            <wp:extent cx="5543550" cy="2825762"/>
            <wp:effectExtent l="0" t="0" r="0" b="0"/>
            <wp:docPr id="1435728376" name="Picture 1435728376" descr="Comparación de la red PSTN tradicional y los servicios de voz sobre una NGN, Fuente: Analysys Mason, 2016" title="Figura cuatro punto nu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43550" cy="2825762"/>
                    </a:xfrm>
                    <a:prstGeom prst="rect">
                      <a:avLst/>
                    </a:prstGeom>
                    <a:noFill/>
                    <a:ln>
                      <a:noFill/>
                    </a:ln>
                  </pic:spPr>
                </pic:pic>
              </a:graphicData>
            </a:graphic>
          </wp:inline>
        </w:drawing>
      </w:r>
    </w:p>
    <w:p w14:paraId="2E69D925" w14:textId="77777777" w:rsidR="0067461A" w:rsidRPr="0067461A" w:rsidRDefault="0067461A" w:rsidP="0067461A">
      <w:r w:rsidRPr="0067461A">
        <w:t>La interconexión con las redes de otros operadores en una NGN se implementa a través de pasarelas frontera (</w:t>
      </w:r>
      <w:r w:rsidRPr="0067461A">
        <w:rPr>
          <w:i/>
        </w:rPr>
        <w:t>border gateways</w:t>
      </w:r>
      <w:r w:rsidRPr="0067461A">
        <w:t>), también conocidos como Session Border Controllers (SBC) que controlan el acceso a la red. Adicionalmente un operador deberá desplegar equipamiento adicional en su red de núcleo para encaminar el tráfico de datos a internet (por ejemplo, BRAS y servidores DNS), así como plataformas adicionales para proporcionar servicios de valor añadido (por ejemplo, IPTV).</w:t>
      </w:r>
    </w:p>
    <w:p w14:paraId="39BDD341" w14:textId="4B8B2624" w:rsidR="0067461A" w:rsidRPr="0067461A" w:rsidRDefault="0067461A" w:rsidP="00920B9F">
      <w:pPr>
        <w:rPr>
          <w:snapToGrid w:val="0"/>
        </w:rPr>
      </w:pPr>
      <w:r w:rsidRPr="0067461A">
        <w:t>En el caso del modelo de costos, tal y como se ha presentado en las secciones anteriores, se debe considerar el uso de una tecnología eficiente. En este sentido, existen diversas opciones para desplegar una red NGN, donde algunas alternativas son meramente actualizaciones de la red PSTN. A día de hoy, la opción común desplegada por los operadores es la presentada anteriormente, basadas en</w:t>
      </w:r>
      <w:r w:rsidRPr="00920B9F">
        <w:rPr>
          <w:bCs/>
        </w:rPr>
        <w:t xml:space="preserve"> </w:t>
      </w:r>
      <w:r w:rsidRPr="0067461A">
        <w:rPr>
          <w:bCs/>
        </w:rPr>
        <w:t>enrutadores</w:t>
      </w:r>
      <w:r w:rsidRPr="00920B9F">
        <w:rPr>
          <w:bCs/>
        </w:rPr>
        <w:t xml:space="preserve"> IP/Ethernet</w:t>
      </w:r>
      <w:r w:rsidRPr="0067461A">
        <w:rPr>
          <w:b/>
        </w:rPr>
        <w:t xml:space="preserve"> </w:t>
      </w:r>
      <w:r w:rsidRPr="0067461A">
        <w:t>NGN, que dirigen el tráfico de voz y datos entre los nodos de la red. Esta aproximación será la incluida en el modelo de costos.</w:t>
      </w:r>
    </w:p>
    <w:p w14:paraId="3B9DDF4F" w14:textId="77777777" w:rsidR="0067461A" w:rsidRPr="0067461A" w:rsidRDefault="0067461A" w:rsidP="0067461A">
      <w:pPr>
        <w:pStyle w:val="Ttulo4"/>
      </w:pPr>
      <w:r w:rsidRPr="0067461A">
        <w:lastRenderedPageBreak/>
        <w:t>Red de transmisión</w:t>
      </w:r>
    </w:p>
    <w:p w14:paraId="328CBC88" w14:textId="77777777" w:rsidR="0067461A" w:rsidRPr="0067461A" w:rsidRDefault="0067461A" w:rsidP="0067461A">
      <w:r w:rsidRPr="0067461A">
        <w:t xml:space="preserve">La tecnología moderna eficiente que la mayoría de los operadores están operando es IP/MPLS sobre Ethernet nativo y sobre tecnología DWDM. La utilización de esta tecnología se considera como mejor práctica internacional y es una de las principales tecnologías desplegadas por operadores con red troncal NGN-IP a nivel mundial. </w:t>
      </w:r>
    </w:p>
    <w:tbl>
      <w:tblPr>
        <w:tblStyle w:val="Tablaconcuadrcula"/>
        <w:tblW w:w="0" w:type="auto"/>
        <w:tblLook w:val="04A0" w:firstRow="1" w:lastRow="0" w:firstColumn="1" w:lastColumn="0" w:noHBand="0" w:noVBand="1"/>
      </w:tblPr>
      <w:tblGrid>
        <w:gridCol w:w="8721"/>
      </w:tblGrid>
      <w:tr w:rsidR="0067461A" w:rsidRPr="0067461A" w14:paraId="3DD2091B"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C297749" w14:textId="69CBFA04" w:rsidR="0067461A" w:rsidRPr="0067461A" w:rsidRDefault="0067461A">
            <w:pPr>
              <w:spacing w:after="120"/>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13</w:t>
            </w:r>
            <w:r w:rsidRPr="0067461A">
              <w:rPr>
                <w:b/>
              </w:rPr>
              <w:fldChar w:fldCharType="end"/>
            </w:r>
            <w:r w:rsidRPr="0067461A">
              <w:t>: Se modelará un operador hipotético con una red de transmisión IP/MPLS sobre Ethernet nativo.</w:t>
            </w:r>
          </w:p>
        </w:tc>
      </w:tr>
    </w:tbl>
    <w:p w14:paraId="3DB425A1" w14:textId="77777777" w:rsidR="0067461A" w:rsidRPr="0067461A" w:rsidRDefault="0067461A" w:rsidP="0067461A">
      <w:pPr>
        <w:pStyle w:val="Ttulo4"/>
        <w:rPr>
          <w:snapToGrid w:val="0"/>
        </w:rPr>
      </w:pPr>
      <w:bookmarkStart w:id="121" w:name="_Ref321211971"/>
      <w:bookmarkStart w:id="122" w:name="_Toc527663504"/>
      <w:r w:rsidRPr="0067461A">
        <w:rPr>
          <w:snapToGrid w:val="0"/>
        </w:rPr>
        <w:t>Situación en México</w:t>
      </w:r>
    </w:p>
    <w:p w14:paraId="43145CA4" w14:textId="5E185456" w:rsidR="0067461A" w:rsidRPr="0067461A" w:rsidRDefault="0067461A" w:rsidP="0067461A">
      <w:r w:rsidRPr="0067461A">
        <w:t>Los informes anuales remitidos por Telmex a la Bolsa Mexicana de Valores ponen de manifiesto que Telmex comenzó a desplegar una NGN en 2003.</w:t>
      </w:r>
      <w:r w:rsidRPr="0067461A">
        <w:rPr>
          <w:rStyle w:val="Refdenotaalpie"/>
          <w:spacing w:val="-4"/>
        </w:rPr>
        <w:footnoteReference w:id="17"/>
      </w:r>
      <w:r w:rsidRPr="0067461A">
        <w:t xml:space="preserve"> Según información facilitada por el AEP al IFT, entendemos que una gran parte la red troncal del AEP estaría ya basada en una NGN completamente IP. El AEP estaría siguiendo la tendencia internacional de operadores comparables como BT (Reino Unido), Telefónica (España), KPN (Holanda) o Belgacom (Bélgica), entre otros, cuyas redes troncales poseen mayoritariamente una arquitectura NGN completamente IP. En México esta red es propiedad de UNINET que es la que configura y provisiona los servicios. Es cierto que la mayor parte de estos operadores todavía mantienen en paralelo una red de transmisión histórica (o legada) para la provisión de servicios existentes (como enlaces dedicados, etc.), y es posible que aún tarden unos años en apagar completamente su red histórica. Sin embargo, los operadores alternativos que han iniciado sus despliegues más recientemente han optado por desplegar una NGN basada completamente en IP.</w:t>
      </w:r>
    </w:p>
    <w:p w14:paraId="7F32E088" w14:textId="77777777" w:rsidR="0067461A" w:rsidRPr="0067461A" w:rsidRDefault="0067461A" w:rsidP="0067461A">
      <w:r w:rsidRPr="0067461A">
        <w:t>En cualquier caso, un operador que hubiera lanzado operaciones en los últimos cuatro o cinco años o entrara en el mercado a día de hoy (y que por la utilización de la tecnología moderna establecería un nivel de precios eficiente en un mercado disputable) no desplegaría una red telefónica conmutada en la red troncal, sino una red multiservicio NGN basada completamente en</w:t>
      </w:r>
      <w:r w:rsidRPr="0067461A">
        <w:rPr>
          <w:spacing w:val="-4"/>
        </w:rPr>
        <w:t xml:space="preserve"> IP</w:t>
      </w:r>
      <w:r w:rsidRPr="0067461A">
        <w:t xml:space="preserve">. El modelado de una NGN estaría en línea con las prácticas establecidas por organismos internacionales como la Comisión Europea, </w:t>
      </w:r>
      <w:r w:rsidRPr="0067461A">
        <w:rPr>
          <w:rStyle w:val="Refdenotaalpie"/>
        </w:rPr>
        <w:footnoteReference w:id="18"/>
      </w:r>
      <w:r w:rsidRPr="0067461A">
        <w:t xml:space="preserve"> cuyas recomendaciones han sido aplicadas en diversos modelos realizados para reguladores de la Unión Europea (UE). La parte troncal de la red estaría, por tanto, basada en una NGN, mientras la opción más apropiad para el despliegue estaría basado en una arquitectura IP BAP.</w:t>
      </w:r>
    </w:p>
    <w:tbl>
      <w:tblPr>
        <w:tblStyle w:val="Tablaconcuadrcula"/>
        <w:tblW w:w="0" w:type="auto"/>
        <w:tblLook w:val="04A0" w:firstRow="1" w:lastRow="0" w:firstColumn="1" w:lastColumn="0" w:noHBand="0" w:noVBand="1"/>
      </w:tblPr>
      <w:tblGrid>
        <w:gridCol w:w="8721"/>
      </w:tblGrid>
      <w:tr w:rsidR="0067461A" w:rsidRPr="0067461A" w14:paraId="793B8C92"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DDCC341" w14:textId="024F1C43" w:rsidR="0067461A" w:rsidRPr="0067461A" w:rsidRDefault="0067461A">
            <w:pPr>
              <w:spacing w:after="120"/>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14</w:t>
            </w:r>
            <w:r w:rsidRPr="0067461A">
              <w:rPr>
                <w:b/>
              </w:rPr>
              <w:fldChar w:fldCharType="end"/>
            </w:r>
            <w:r w:rsidRPr="0067461A">
              <w:t>: La red troncal del operador hipotético se basará en una arquitectura NGN IP BAP. Los servicios de voz están habilitados por aplicaciones que utilizarán subsistemas multimedia IP (IMS).</w:t>
            </w:r>
          </w:p>
        </w:tc>
      </w:tr>
    </w:tbl>
    <w:p w14:paraId="7C8CB5D2" w14:textId="77777777" w:rsidR="0067461A" w:rsidRPr="0067461A" w:rsidRDefault="0067461A" w:rsidP="0067461A">
      <w:pPr>
        <w:pStyle w:val="Ttulo2"/>
      </w:pPr>
      <w:bookmarkStart w:id="123" w:name="_Toc132915510"/>
      <w:bookmarkStart w:id="124" w:name="_Toc135921311"/>
      <w:r w:rsidRPr="0067461A">
        <w:lastRenderedPageBreak/>
        <w:t>Demarcación de las capas de red</w:t>
      </w:r>
      <w:bookmarkEnd w:id="121"/>
      <w:bookmarkEnd w:id="122"/>
      <w:bookmarkEnd w:id="123"/>
      <w:bookmarkEnd w:id="124"/>
    </w:p>
    <w:p w14:paraId="3D283200" w14:textId="77777777" w:rsidR="0067461A" w:rsidRPr="0067461A" w:rsidRDefault="0067461A" w:rsidP="0067461A">
      <w:r w:rsidRPr="0067461A">
        <w:t>En Europa, la Recomendación de la Comisión Europea sobre el tratamiento regulatorio de las tarifas de terminación fija y móvil en la Unión Europea (UE) establece lo siguiente: «El punto de demarcación por defecto entre los costos relacionados con el tráfico y los no relacionados con el tráfico es normalmente el punto en el que se produce la primera concentración de tráfico».</w:t>
      </w:r>
    </w:p>
    <w:p w14:paraId="4A12F574" w14:textId="77777777" w:rsidR="0067461A" w:rsidRPr="0067461A" w:rsidRDefault="0067461A" w:rsidP="0067461A">
      <w:r w:rsidRPr="0067461A">
        <w:t>En los modelos de costos fijos, los costos históricos relacionados con la red de acceso se recuperan a través de las cuotas de suscripción. En el caso del presente modelo, no se tendrán en cuenta los costos asociados con la red de acceso, por lo que es imprescindible definir de forma consistente y con exactitud el punto de demarcación entre la red de acceso y el resto de la infraestructura, tanto para las redes fijas como móviles.</w:t>
      </w:r>
    </w:p>
    <w:p w14:paraId="545F399B" w14:textId="77777777" w:rsidR="0067461A" w:rsidRPr="0067461A" w:rsidRDefault="0067461A" w:rsidP="0067461A">
      <w:r w:rsidRPr="0067461A">
        <w:t xml:space="preserve">Las redes fijas y móviles utilizan una estructura lógica en árbol, ya que no sería factible tener rutas dedicadas para todas las combinaciones posibles entre usuarios finales. Como resultado, el tráfico se concentra a medida que atraviesa la red. Los activos relacionados con la prestación de acceso al usuario final son los que se dedican a la conexión del usuario final a la red de telecomunicaciones, lo que le permite utilizar los servicios disponibles. </w:t>
      </w:r>
    </w:p>
    <w:p w14:paraId="6431E0AC" w14:textId="128A7353" w:rsidR="0067461A" w:rsidRDefault="0067461A" w:rsidP="0067461A">
      <w:r w:rsidRPr="0067461A">
        <w:t xml:space="preserve">Esta capa transmite el tráfico y no tiene la capacidad de </w:t>
      </w:r>
      <w:r w:rsidRPr="0067461A">
        <w:rPr>
          <w:i/>
        </w:rPr>
        <w:t>concentrarlo en función de la carga de tráfico</w:t>
      </w:r>
      <w:r w:rsidRPr="0067461A">
        <w:t>. La capa de red de acceso termina en el primer activo que tiene esta capacidad específica. Los activos utilizados para la prestación de acceso solo se utilizan con el fin de conectar los usuarios finales a la red y, por tanto, su número es proporcional al número de usuarios que utilizan la red. El resto de los activos varían según el volumen de tráfico cursado en la red.</w:t>
      </w:r>
      <w:r w:rsidR="00C87DCF">
        <w:t xml:space="preserve"> </w:t>
      </w:r>
      <w:r w:rsidR="00AE5DA5">
        <w:t>De esta forma, los puntos de demarcación para cada una de las redes serían los siguientes:</w:t>
      </w:r>
    </w:p>
    <w:p w14:paraId="4502CD75" w14:textId="77777777" w:rsidR="00C87DCF" w:rsidRPr="0067461A" w:rsidRDefault="00C87DCF" w:rsidP="00C87DCF">
      <w:pPr>
        <w:pStyle w:val="ListBulletCompact"/>
      </w:pPr>
      <w:r w:rsidRPr="0067461A">
        <w:t xml:space="preserve">para un </w:t>
      </w:r>
      <w:r w:rsidRPr="0067461A">
        <w:rPr>
          <w:b/>
        </w:rPr>
        <w:t>usuario de red fija</w:t>
      </w:r>
      <w:r w:rsidRPr="0067461A">
        <w:t xml:space="preserve">, </w:t>
      </w:r>
      <w:r>
        <w:t>en el</w:t>
      </w:r>
      <w:r w:rsidRPr="0067461A">
        <w:t xml:space="preserve"> MSAN</w:t>
      </w:r>
    </w:p>
    <w:p w14:paraId="30BCA2C2" w14:textId="5E4C4978" w:rsidR="00C87DCF" w:rsidRPr="0067461A" w:rsidRDefault="00C87DCF" w:rsidP="00920B9F">
      <w:pPr>
        <w:pStyle w:val="ListBulletCompact"/>
      </w:pPr>
      <w:r w:rsidRPr="0067461A">
        <w:t xml:space="preserve">para un </w:t>
      </w:r>
      <w:r w:rsidRPr="0067461A">
        <w:rPr>
          <w:b/>
        </w:rPr>
        <w:t>usuario de red móvil</w:t>
      </w:r>
      <w:r w:rsidRPr="0067461A">
        <w:t>, en la tarjeta SIM, ya que el costo de la interfaz radio depende exclusivamente del tráfico generado por los abonados y no del número de abonados.</w:t>
      </w:r>
    </w:p>
    <w:tbl>
      <w:tblPr>
        <w:tblStyle w:val="Tablaconcuadrcula"/>
        <w:tblW w:w="0" w:type="auto"/>
        <w:tblLook w:val="04A0" w:firstRow="1" w:lastRow="0" w:firstColumn="1" w:lastColumn="0" w:noHBand="0" w:noVBand="1"/>
      </w:tblPr>
      <w:tblGrid>
        <w:gridCol w:w="8721"/>
      </w:tblGrid>
      <w:tr w:rsidR="0067461A" w:rsidRPr="0067461A" w14:paraId="56246B61"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68851FDE" w14:textId="7912C29E" w:rsidR="0067461A" w:rsidRPr="0067461A" w:rsidRDefault="0067461A">
            <w:pPr>
              <w:spacing w:after="120"/>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15</w:t>
            </w:r>
            <w:r w:rsidRPr="0067461A">
              <w:rPr>
                <w:b/>
              </w:rPr>
              <w:fldChar w:fldCharType="end"/>
            </w:r>
            <w:r w:rsidRPr="0067461A">
              <w:t xml:space="preserve">: </w:t>
            </w:r>
            <w:r w:rsidRPr="0067461A">
              <w:rPr>
                <w:color w:val="000000"/>
              </w:rPr>
              <w:t>El punto de demarcación entre la red de acceso y las otras capas de la red del operador hipotético es el primer punto donde ocurre una concentración de tráfico, de manera que los recursos se asignan en función de la carga de tráfico cursado en la red.</w:t>
            </w:r>
          </w:p>
        </w:tc>
      </w:tr>
    </w:tbl>
    <w:p w14:paraId="4E383903" w14:textId="77777777" w:rsidR="0067461A" w:rsidRPr="0067461A" w:rsidRDefault="0067461A" w:rsidP="0067461A">
      <w:pPr>
        <w:rPr>
          <w:color w:val="000000"/>
        </w:rPr>
      </w:pPr>
    </w:p>
    <w:p w14:paraId="2DCAD2EB" w14:textId="77777777" w:rsidR="0067461A" w:rsidRPr="0067461A" w:rsidRDefault="0067461A" w:rsidP="0067461A">
      <w:pPr>
        <w:pStyle w:val="Ttulo2"/>
      </w:pPr>
      <w:bookmarkStart w:id="125" w:name="_Toc132915511"/>
      <w:bookmarkStart w:id="126" w:name="_Toc135921312"/>
      <w:bookmarkStart w:id="127" w:name="_Ref321211131"/>
      <w:bookmarkStart w:id="128" w:name="_Ref321211713"/>
      <w:bookmarkStart w:id="129" w:name="_Ref321211749"/>
      <w:bookmarkStart w:id="130" w:name="_Ref329160462"/>
      <w:r w:rsidRPr="0067461A">
        <w:t>Nodos de la red</w:t>
      </w:r>
      <w:bookmarkEnd w:id="125"/>
      <w:bookmarkEnd w:id="126"/>
    </w:p>
    <w:p w14:paraId="590A4F5F" w14:textId="77777777" w:rsidR="0067461A" w:rsidRPr="0067461A" w:rsidRDefault="0067461A" w:rsidP="0067461A">
      <w:r w:rsidRPr="0067461A">
        <w:t>Las redes fijas y móviles pueden considerarse como una serie de nodos (con diferentes funciones) y de enlaces entre ellos. Al desarrollar los algoritmos de despliegue de estos nodos, es necesario considerar si el algoritmo refleja con exactitud el número real de nodos desplegados. Sería posible que el modelo no tuviera en cuenta el número real de nodos de los operadores en el caso en que los operadores de red no sean considerados como eficientes o con un diseño moderno.</w:t>
      </w:r>
    </w:p>
    <w:p w14:paraId="7B93CCB8" w14:textId="77777777" w:rsidR="0067461A" w:rsidRPr="0067461A" w:rsidRDefault="0067461A" w:rsidP="0067461A">
      <w:r w:rsidRPr="0067461A">
        <w:lastRenderedPageBreak/>
        <w:t xml:space="preserve">La especificación del grado de eficiencia de la red es un tema importante en el cálculo de costos. Al modelar una red eficiente utilizando un enfoque ascendente, hay varias opciones disponibles en cuanto al nivel de detalle utilizado en redes reales. Cuanto mayor sea el nivel de granularidad/detalle utilizado directamente en los cálculos, menor será el nivel de </w:t>
      </w:r>
      <w:r w:rsidRPr="0067461A">
        <w:rPr>
          <w:i/>
        </w:rPr>
        <w:t xml:space="preserve">scorching </w:t>
      </w:r>
      <w:r w:rsidRPr="0067461A">
        <w:t>utilizado. A continuación, listamos las opciones consideradas más habituales en modelos similares realizados en otros países:</w:t>
      </w:r>
    </w:p>
    <w:tbl>
      <w:tblPr>
        <w:tblW w:w="8957" w:type="dxa"/>
        <w:tblInd w:w="5" w:type="dxa"/>
        <w:tblLayout w:type="fixed"/>
        <w:tblCellMar>
          <w:left w:w="113" w:type="dxa"/>
          <w:right w:w="113" w:type="dxa"/>
        </w:tblCellMar>
        <w:tblLook w:val="0000" w:firstRow="0" w:lastRow="0" w:firstColumn="0" w:lastColumn="0" w:noHBand="0" w:noVBand="0"/>
      </w:tblPr>
      <w:tblGrid>
        <w:gridCol w:w="1984"/>
        <w:gridCol w:w="6973"/>
      </w:tblGrid>
      <w:tr w:rsidR="0067461A" w:rsidRPr="0067461A" w14:paraId="76F9736D" w14:textId="77777777">
        <w:tc>
          <w:tcPr>
            <w:tcW w:w="1984" w:type="dxa"/>
            <w:shd w:val="clear" w:color="auto" w:fill="auto"/>
          </w:tcPr>
          <w:p w14:paraId="7021AD8B" w14:textId="77777777" w:rsidR="0067461A" w:rsidRPr="0067461A" w:rsidRDefault="0067461A">
            <w:pPr>
              <w:pStyle w:val="SBSheader"/>
            </w:pPr>
            <w:r w:rsidRPr="0067461A">
              <w:t>Red real</w:t>
            </w:r>
          </w:p>
        </w:tc>
        <w:tc>
          <w:tcPr>
            <w:tcW w:w="6973" w:type="dxa"/>
            <w:shd w:val="clear" w:color="auto" w:fill="auto"/>
          </w:tcPr>
          <w:p w14:paraId="570BB3B1" w14:textId="77777777" w:rsidR="0067461A" w:rsidRPr="0067461A" w:rsidRDefault="0067461A">
            <w:r w:rsidRPr="0067461A">
              <w:t>Este enfoque implementa el despliegue exacto de un operador real sin necesidad de ningún ajuste en el número, ubicación o funcionamiento de los nodos en la red del operador.</w:t>
            </w:r>
          </w:p>
        </w:tc>
      </w:tr>
      <w:tr w:rsidR="0067461A" w:rsidRPr="0067461A" w14:paraId="0C87CB63" w14:textId="77777777">
        <w:tc>
          <w:tcPr>
            <w:tcW w:w="1984" w:type="dxa"/>
            <w:shd w:val="clear" w:color="auto" w:fill="auto"/>
          </w:tcPr>
          <w:p w14:paraId="5ACE0C8A" w14:textId="77777777" w:rsidR="0067461A" w:rsidRPr="0067461A" w:rsidRDefault="0067461A">
            <w:pPr>
              <w:pStyle w:val="SBSheader"/>
            </w:pPr>
            <w:r w:rsidRPr="0067461A">
              <w:t>Enfoque scorched-node</w:t>
            </w:r>
          </w:p>
        </w:tc>
        <w:tc>
          <w:tcPr>
            <w:tcW w:w="6973" w:type="dxa"/>
            <w:shd w:val="clear" w:color="auto" w:fill="auto"/>
          </w:tcPr>
          <w:p w14:paraId="2DC3F25C" w14:textId="77777777" w:rsidR="0067461A" w:rsidRPr="0067461A" w:rsidRDefault="0067461A">
            <w:r w:rsidRPr="0067461A">
              <w:t>Este enfoque asume que la localización de los nodos de la red ya está determinada, y que el operador puede escoger la mejor tecnología para configurar la red alrededor de esos nodos para satisfacer la demanda de red de un operador eficiente. Por ejemplo, esto podría significar el remplazo de equipos legado con los equipos actuales más modernos.</w:t>
            </w:r>
          </w:p>
          <w:p w14:paraId="5135804C" w14:textId="77777777" w:rsidR="0067461A" w:rsidRPr="0067461A" w:rsidRDefault="0067461A">
            <w:r w:rsidRPr="0067461A">
              <w:t xml:space="preserve">El enfoque </w:t>
            </w:r>
            <w:r w:rsidRPr="0067461A">
              <w:rPr>
                <w:i/>
              </w:rPr>
              <w:t>scorched node</w:t>
            </w:r>
            <w:r w:rsidRPr="0067461A">
              <w:t>, por tanto, determina el costo eficiente de una red que proporciona los mismos servicios que la red de telecomunicaciones del operador histórico, tomando como dato de entrada al modelo la ubicación actual y la función de los nodos de la red del operador histórico.</w:t>
            </w:r>
          </w:p>
        </w:tc>
      </w:tr>
      <w:tr w:rsidR="0067461A" w:rsidRPr="0067461A" w14:paraId="379D6911" w14:textId="77777777">
        <w:tc>
          <w:tcPr>
            <w:tcW w:w="1984" w:type="dxa"/>
            <w:shd w:val="clear" w:color="auto" w:fill="auto"/>
          </w:tcPr>
          <w:p w14:paraId="50925E65" w14:textId="77777777" w:rsidR="0067461A" w:rsidRPr="0067461A" w:rsidRDefault="0067461A">
            <w:pPr>
              <w:pStyle w:val="SBSheader"/>
            </w:pPr>
            <w:r w:rsidRPr="0067461A">
              <w:t>Enfoque scorched-node modificado</w:t>
            </w:r>
          </w:p>
        </w:tc>
        <w:tc>
          <w:tcPr>
            <w:tcW w:w="6973" w:type="dxa"/>
            <w:shd w:val="clear" w:color="auto" w:fill="auto"/>
          </w:tcPr>
          <w:p w14:paraId="1A3C22D5" w14:textId="77777777" w:rsidR="0067461A" w:rsidRPr="0067461A" w:rsidRDefault="0067461A">
            <w:r w:rsidRPr="0067461A">
              <w:t xml:space="preserve">El enfoque </w:t>
            </w:r>
            <w:r w:rsidRPr="0067461A">
              <w:rPr>
                <w:i/>
              </w:rPr>
              <w:t>scorched node</w:t>
            </w:r>
            <w:r w:rsidRPr="0067461A">
              <w:t xml:space="preserve"> puede ser modificado razonablemente para replicar una topología de red más eficiente que la existente. Por consiguiente, este enfoque parte de la topología existente y elimina las ineficiencias. En particular, el uso de este principio puede significar:</w:t>
            </w:r>
          </w:p>
          <w:p w14:paraId="10110C90" w14:textId="77777777" w:rsidR="0067461A" w:rsidRPr="0067461A" w:rsidRDefault="0067461A" w:rsidP="0067461A">
            <w:pPr>
              <w:pStyle w:val="Listaconvietas"/>
              <w:numPr>
                <w:ilvl w:val="0"/>
                <w:numId w:val="21"/>
              </w:numPr>
            </w:pPr>
            <w:r w:rsidRPr="0067461A">
              <w:t>Una simplificación de la jerarquía de conmutación (p.ej., reduciendo el número de nodos en la red de conmutación, o sustituyendo una serie de pequeños conmutadores con un conmutador más moderno y eficiente).</w:t>
            </w:r>
          </w:p>
          <w:p w14:paraId="791BB937" w14:textId="77777777" w:rsidR="0067461A" w:rsidRPr="0067461A" w:rsidRDefault="0067461A" w:rsidP="0067461A">
            <w:pPr>
              <w:pStyle w:val="I1"/>
              <w:numPr>
                <w:ilvl w:val="0"/>
                <w:numId w:val="21"/>
              </w:numPr>
            </w:pPr>
            <w:r w:rsidRPr="0067461A">
              <w:t xml:space="preserve">Cambiar la función de un nodo (p.ej., reduciendo una pequeña central al equivalente de un multiplexador remoto, o actualizar una pico-celda a una macro-celda, o eliminar un RNC en emplazamientos de </w:t>
            </w:r>
            <w:r w:rsidRPr="0067461A">
              <w:rPr>
                <w:i/>
              </w:rPr>
              <w:t>hub</w:t>
            </w:r>
            <w:r w:rsidRPr="0067461A">
              <w:t xml:space="preserve"> y utilizar RNC coubicados con MGW).</w:t>
            </w:r>
          </w:p>
        </w:tc>
      </w:tr>
      <w:tr w:rsidR="0067461A" w:rsidRPr="0067461A" w14:paraId="47C5AE54" w14:textId="77777777">
        <w:tc>
          <w:tcPr>
            <w:tcW w:w="1984" w:type="dxa"/>
            <w:shd w:val="clear" w:color="auto" w:fill="auto"/>
          </w:tcPr>
          <w:p w14:paraId="2CD49535" w14:textId="77777777" w:rsidR="0067461A" w:rsidRPr="0067461A" w:rsidRDefault="0067461A">
            <w:pPr>
              <w:pStyle w:val="SBSheader"/>
            </w:pPr>
            <w:r w:rsidRPr="0067461A">
              <w:t>Enfoque scorched-earth</w:t>
            </w:r>
          </w:p>
        </w:tc>
        <w:tc>
          <w:tcPr>
            <w:tcW w:w="6973" w:type="dxa"/>
            <w:shd w:val="clear" w:color="auto" w:fill="auto"/>
          </w:tcPr>
          <w:p w14:paraId="726CD889" w14:textId="77777777" w:rsidR="0067461A" w:rsidRPr="0067461A" w:rsidRDefault="0067461A">
            <w:r w:rsidRPr="0067461A">
              <w:t xml:space="preserve">El enfoque </w:t>
            </w:r>
            <w:r w:rsidRPr="0067461A">
              <w:rPr>
                <w:i/>
                <w:iCs/>
              </w:rPr>
              <w:t>scorched earth</w:t>
            </w:r>
            <w:r w:rsidRPr="0067461A">
              <w:t xml:space="preserve"> determina el costo eficiente de una red que proporciona los mismos servicios que las redes existentes, sin poner ninguna restricción en su configuración, como puede ser la ubicación de los nodos en la red. Este enfoque modela la red que un nuevo entrante desplegaría con base en la distribución geográfica de sus clientes y a los pronósticos de la demanda de los diferentes servicios ofrecidos, si no tuviese una red previamente desplegada.</w:t>
            </w:r>
          </w:p>
          <w:p w14:paraId="54BBE825" w14:textId="77777777" w:rsidR="0067461A" w:rsidRPr="0067461A" w:rsidRDefault="0067461A">
            <w:r w:rsidRPr="0067461A">
              <w:t xml:space="preserve">Este enfoque aportaría la estimación más reducida de los costos, ya que elimina todas las ineficiencias ligadas a la evolución histórica de una red, y </w:t>
            </w:r>
            <w:r w:rsidRPr="0067461A">
              <w:lastRenderedPageBreak/>
              <w:t>supone que la red puede ser rediseñada sin problemas para responder a los criterios y demanda actuales.</w:t>
            </w:r>
          </w:p>
        </w:tc>
      </w:tr>
    </w:tbl>
    <w:p w14:paraId="05BDB305" w14:textId="7AC9126C" w:rsidR="0067461A" w:rsidRPr="0067461A" w:rsidRDefault="0067461A" w:rsidP="0067461A">
      <w:pPr>
        <w:spacing w:before="240"/>
      </w:pPr>
      <w:r w:rsidRPr="0067461A">
        <w:lastRenderedPageBreak/>
        <w:t xml:space="preserve">En </w:t>
      </w:r>
      <w:r w:rsidR="000C76F0">
        <w:t>la Metodología de Costos</w:t>
      </w:r>
      <w:r w:rsidRPr="0067461A">
        <w:rPr>
          <w:szCs w:val="16"/>
        </w:rPr>
        <w:t>, e</w:t>
      </w:r>
      <w:r w:rsidRPr="0067461A">
        <w:t xml:space="preserve">l IFT indica su preferencia por el enfoque </w:t>
      </w:r>
      <w:r w:rsidRPr="0067461A">
        <w:rPr>
          <w:i/>
        </w:rPr>
        <w:t xml:space="preserve">scorched earth </w:t>
      </w:r>
      <w:r w:rsidRPr="0067461A">
        <w:t xml:space="preserve">calibrado con los datos de la red de los operadores existentes. Si bien para el resto de los servicios regulados provistos a través de redes fijas (enlaces dedicados y acceso indirecto al bucle) y móviles (usuario visitante), la Segunda Resolución Bienal de Telecomunicaciones no estipula preferencia por ninguna aproximación concreta, se considera apropiado mantener consistencia con la aproximación determinada en </w:t>
      </w:r>
      <w:r w:rsidR="000C76F0">
        <w:t>la Metodología de Costos</w:t>
      </w:r>
      <w:r w:rsidRPr="0067461A">
        <w:t>, de la misma manera que existe consistencia en la definición de los operadores modelados.</w:t>
      </w:r>
    </w:p>
    <w:p w14:paraId="59898CE0" w14:textId="76794FD0" w:rsidR="0067461A" w:rsidRPr="0067461A" w:rsidRDefault="0067461A" w:rsidP="0067461A">
      <w:pPr>
        <w:spacing w:before="240"/>
      </w:pPr>
      <w:r w:rsidRPr="0067461A">
        <w:t xml:space="preserve">En el caso de las redes fijas, las ineficiencias se producirán a través de todos los niveles de nodos en los que se concentra el tráfico. Un ejemplo de la aplicación del enfoque </w:t>
      </w:r>
      <w:r w:rsidRPr="0067461A">
        <w:rPr>
          <w:i/>
        </w:rPr>
        <w:t>scorched earth</w:t>
      </w:r>
      <w:r w:rsidRPr="0067461A">
        <w:t xml:space="preserve"> calibrado para el operador fijo es el siguiente:</w:t>
      </w:r>
    </w:p>
    <w:p w14:paraId="0CEE40D9" w14:textId="77777777" w:rsidR="0067461A" w:rsidRPr="0067461A" w:rsidRDefault="0067461A" w:rsidP="0067461A">
      <w:pPr>
        <w:pStyle w:val="ListBulletCompact"/>
        <w:spacing w:after="0"/>
        <w:ind w:left="360" w:hanging="360"/>
        <w:contextualSpacing w:val="0"/>
      </w:pPr>
      <w:r w:rsidRPr="0067461A">
        <w:t>la red troncal del operador se modela teniendo en cuenta la localización de la población y la densidad de tráfico esperada</w:t>
      </w:r>
    </w:p>
    <w:p w14:paraId="2B3A85A6" w14:textId="77777777" w:rsidR="0067461A" w:rsidRPr="0067461A" w:rsidRDefault="0067461A" w:rsidP="0067461A">
      <w:pPr>
        <w:pStyle w:val="ListBulletCompact"/>
        <w:spacing w:after="0"/>
        <w:ind w:left="360" w:hanging="360"/>
        <w:contextualSpacing w:val="0"/>
      </w:pPr>
      <w:r w:rsidRPr="0067461A">
        <w:t>se utilizan estimaciones teóricas de capacidad de los nodos y se establece la jerarquía de la red basada en algoritmos de diseño de modelos ingenieriles</w:t>
      </w:r>
    </w:p>
    <w:p w14:paraId="7F25E959" w14:textId="77777777" w:rsidR="0067461A" w:rsidRPr="0067461A" w:rsidRDefault="0067461A" w:rsidP="0067461A">
      <w:pPr>
        <w:pStyle w:val="ListBulletCompact"/>
        <w:spacing w:after="0"/>
        <w:ind w:left="360" w:hanging="360"/>
        <w:contextualSpacing w:val="0"/>
      </w:pPr>
      <w:r w:rsidRPr="0067461A">
        <w:t>se implementan ajustes a los resultados de los algoritmos ingenieriles para tener en cuenta, por ejemplo, los niveles de utilización efectiva, etc.</w:t>
      </w:r>
    </w:p>
    <w:p w14:paraId="6C75F670" w14:textId="77777777" w:rsidR="0067461A" w:rsidRPr="0067461A" w:rsidRDefault="0067461A" w:rsidP="0067461A">
      <w:pPr>
        <w:pStyle w:val="Listaconvietas"/>
      </w:pPr>
      <w:r w:rsidRPr="0067461A">
        <w:t>para la calibración con datos de las redes de los operadores se estima que en una NGN el número de puntos de interconexión calculado teóricamente sea mucho menor que el actual.</w:t>
      </w:r>
    </w:p>
    <w:p w14:paraId="047C1150" w14:textId="77777777" w:rsidR="0067461A" w:rsidRPr="0067461A" w:rsidRDefault="0067461A" w:rsidP="0067461A">
      <w:pPr>
        <w:rPr>
          <w:spacing w:val="-4"/>
        </w:rPr>
      </w:pPr>
      <w:r w:rsidRPr="0067461A">
        <w:rPr>
          <w:spacing w:val="-4"/>
        </w:rPr>
        <w:t>A continuación, se presenta un esquema con la metodología utilizada para la calibración del modelo fijo.</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67461A" w:rsidRPr="0067461A" w14:paraId="61544D8C" w14:textId="77777777">
        <w:tc>
          <w:tcPr>
            <w:tcW w:w="6576" w:type="dxa"/>
            <w:tcBorders>
              <w:right w:val="single" w:sz="4" w:space="0" w:color="auto"/>
            </w:tcBorders>
            <w:shd w:val="clear" w:color="auto" w:fill="auto"/>
          </w:tcPr>
          <w:p w14:paraId="26B0EFD3" w14:textId="77777777" w:rsidR="0067461A" w:rsidRPr="0067461A" w:rsidRDefault="0067461A">
            <w:pPr>
              <w:pStyle w:val="Bordersmall"/>
              <w:rPr>
                <w:lang w:val="es-ES"/>
              </w:rPr>
            </w:pPr>
            <w:r w:rsidRPr="0067461A">
              <w:rPr>
                <w:noProof/>
                <w:lang w:val="es-ES"/>
              </w:rPr>
              <w:drawing>
                <wp:inline distT="0" distB="0" distL="0" distR="0" wp14:anchorId="11E061B4" wp14:editId="6810F793">
                  <wp:extent cx="3898900" cy="3409950"/>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8900" cy="3409950"/>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6CED293F" w14:textId="00EBB06F" w:rsidR="0067461A" w:rsidRPr="0067461A" w:rsidRDefault="0067461A">
            <w:pPr>
              <w:pStyle w:val="Captionsmall"/>
              <w:rPr>
                <w:lang w:val="es-ES"/>
              </w:rPr>
            </w:pPr>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4</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4</w:t>
            </w:r>
            <w:r w:rsidRPr="0067461A">
              <w:rPr>
                <w:lang w:val="es-ES"/>
              </w:rPr>
              <w:fldChar w:fldCharType="end"/>
            </w:r>
            <w:r w:rsidRPr="0067461A">
              <w:rPr>
                <w:lang w:val="es-ES"/>
              </w:rPr>
              <w:t>: Esquema de modelado scorched earth calibrado para el operador fijo [</w:t>
            </w:r>
            <w:r w:rsidR="00F4066A">
              <w:rPr>
                <w:lang w:val="es-ES"/>
              </w:rPr>
              <w:t>Fuente: Analysys Mason, 2023</w:t>
            </w:r>
            <w:r w:rsidRPr="0067461A">
              <w:rPr>
                <w:lang w:val="es-ES"/>
              </w:rPr>
              <w:t>]</w:t>
            </w:r>
          </w:p>
        </w:tc>
      </w:tr>
    </w:tbl>
    <w:p w14:paraId="7A2FD0D8" w14:textId="77777777" w:rsidR="0067461A" w:rsidRPr="0067461A" w:rsidRDefault="0067461A" w:rsidP="0067461A"/>
    <w:p w14:paraId="176BD845" w14:textId="0E71B3A5" w:rsidR="0067461A" w:rsidRPr="0067461A" w:rsidRDefault="0067461A" w:rsidP="0067461A">
      <w:r w:rsidRPr="0067461A">
        <w:lastRenderedPageBreak/>
        <w:t xml:space="preserve">En el caso de redes móviles, las ineficiencias se producirán a lo largo de todos los elementos de red, incluida la capa de radio (NodoB, eNodoB). Un ejemplo de la manera en que aplicamos el concepto </w:t>
      </w:r>
      <w:r w:rsidRPr="0067461A">
        <w:rPr>
          <w:i/>
        </w:rPr>
        <w:t>scorched earth</w:t>
      </w:r>
      <w:r w:rsidRPr="0067461A">
        <w:t xml:space="preserve"> calibrado para el operador móvil es la siguiente:</w:t>
      </w:r>
    </w:p>
    <w:p w14:paraId="1F5494D4" w14:textId="77777777" w:rsidR="0067461A" w:rsidRPr="0067461A" w:rsidRDefault="0067461A" w:rsidP="0067461A">
      <w:pPr>
        <w:pStyle w:val="ListBulletCompact"/>
        <w:spacing w:after="0"/>
        <w:ind w:left="360" w:hanging="360"/>
        <w:contextualSpacing w:val="0"/>
      </w:pPr>
      <w:r w:rsidRPr="0067461A">
        <w:t>las redes de cobertura del operador se modelan teniendo en cuenta la ubicación de la población y de las principales vías de comunicación del país</w:t>
      </w:r>
    </w:p>
    <w:p w14:paraId="0ADE409E" w14:textId="77777777" w:rsidR="0067461A" w:rsidRPr="0067461A" w:rsidRDefault="0067461A" w:rsidP="0067461A">
      <w:pPr>
        <w:pStyle w:val="ListBulletCompact"/>
        <w:spacing w:after="0"/>
        <w:ind w:left="360" w:hanging="360"/>
        <w:contextualSpacing w:val="0"/>
      </w:pPr>
      <w:r w:rsidRPr="0067461A">
        <w:t>el país y su población se dividen en varios geotipos: urbano, suburbano y rural, y adicionalmente carreteras e interior/micro</w:t>
      </w:r>
    </w:p>
    <w:p w14:paraId="0B619856" w14:textId="77777777" w:rsidR="0067461A" w:rsidRPr="0067461A" w:rsidRDefault="0067461A" w:rsidP="0067461A">
      <w:pPr>
        <w:pStyle w:val="ListBulletCompact"/>
        <w:spacing w:after="0"/>
        <w:ind w:left="360" w:hanging="360"/>
        <w:contextualSpacing w:val="0"/>
      </w:pPr>
      <w:r w:rsidRPr="0067461A">
        <w:t>se utilizan radios de células teóricos para cada banda de frecuencia y geotipo</w:t>
      </w:r>
    </w:p>
    <w:p w14:paraId="3A1DD1CA" w14:textId="77777777" w:rsidR="0067461A" w:rsidRPr="0067461A" w:rsidRDefault="0067461A" w:rsidP="0067461A">
      <w:pPr>
        <w:pStyle w:val="ListBulletCompact"/>
        <w:spacing w:after="0"/>
        <w:ind w:left="360" w:hanging="360"/>
        <w:contextualSpacing w:val="0"/>
      </w:pPr>
      <w:r w:rsidRPr="0067461A">
        <w:t xml:space="preserve">se adaptan dichos radios teóricos para tener en cuenta factores como, por ejemplo, </w:t>
      </w:r>
      <w:r w:rsidRPr="0067461A">
        <w:rPr>
          <w:i/>
          <w:iCs/>
        </w:rPr>
        <w:t>cell breathing</w:t>
      </w:r>
      <w:r w:rsidRPr="0067461A">
        <w:t xml:space="preserve"> y ajuste por posicionamiento imperfecto</w:t>
      </w:r>
    </w:p>
    <w:p w14:paraId="25061537" w14:textId="77777777" w:rsidR="0067461A" w:rsidRPr="0067461A" w:rsidRDefault="0067461A" w:rsidP="0067461A">
      <w:pPr>
        <w:pStyle w:val="Listaconvietas"/>
      </w:pPr>
      <w:r w:rsidRPr="0067461A">
        <w:t>se comparan los resultados con los datos reales bajo supuestos eficientes y se refinan los datos de entrada.</w:t>
      </w:r>
    </w:p>
    <w:p w14:paraId="7568A8DB" w14:textId="75F97F4C" w:rsidR="0067461A" w:rsidRPr="0067461A" w:rsidRDefault="0067461A" w:rsidP="0067461A">
      <w:pPr>
        <w:rPr>
          <w:spacing w:val="-4"/>
        </w:rPr>
      </w:pPr>
      <w:r w:rsidRPr="0067461A">
        <w:rPr>
          <w:spacing w:val="-4"/>
        </w:rPr>
        <w:t xml:space="preserve">La </w:t>
      </w:r>
      <w:r w:rsidRPr="0067461A">
        <w:rPr>
          <w:spacing w:val="-4"/>
        </w:rPr>
        <w:fldChar w:fldCharType="begin"/>
      </w:r>
      <w:r w:rsidRPr="0067461A">
        <w:rPr>
          <w:spacing w:val="-4"/>
        </w:rPr>
        <w:instrText xml:space="preserve"> REF _Ref47947805 </w:instrText>
      </w:r>
      <w:r w:rsidRPr="0067461A">
        <w:rPr>
          <w:spacing w:val="-4"/>
        </w:rPr>
        <w:fldChar w:fldCharType="separate"/>
      </w:r>
      <w:r w:rsidR="00475202" w:rsidRPr="0067461A">
        <w:t xml:space="preserve">Figura </w:t>
      </w:r>
      <w:r w:rsidR="00475202">
        <w:rPr>
          <w:noProof/>
        </w:rPr>
        <w:t>4</w:t>
      </w:r>
      <w:r w:rsidR="00475202" w:rsidRPr="0067461A">
        <w:t>.</w:t>
      </w:r>
      <w:r w:rsidR="00475202">
        <w:rPr>
          <w:noProof/>
        </w:rPr>
        <w:t>5</w:t>
      </w:r>
      <w:r w:rsidRPr="0067461A">
        <w:rPr>
          <w:spacing w:val="-4"/>
        </w:rPr>
        <w:fldChar w:fldCharType="end"/>
      </w:r>
      <w:r w:rsidRPr="0067461A">
        <w:rPr>
          <w:spacing w:val="-4"/>
        </w:rPr>
        <w:t xml:space="preserve"> muestra un esquema con la metodología utilizada para la calibración del modelo móvil.</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67461A" w:rsidRPr="0067461A" w14:paraId="60370C62" w14:textId="77777777">
        <w:tc>
          <w:tcPr>
            <w:tcW w:w="6576" w:type="dxa"/>
            <w:tcBorders>
              <w:right w:val="single" w:sz="4" w:space="0" w:color="auto"/>
            </w:tcBorders>
            <w:shd w:val="clear" w:color="auto" w:fill="auto"/>
          </w:tcPr>
          <w:p w14:paraId="4B22DD82" w14:textId="77777777" w:rsidR="0067461A" w:rsidRPr="0067461A" w:rsidRDefault="0067461A">
            <w:pPr>
              <w:pStyle w:val="Bordersmall"/>
              <w:rPr>
                <w:lang w:val="es-ES"/>
              </w:rPr>
            </w:pPr>
            <w:r w:rsidRPr="0067461A">
              <w:rPr>
                <w:noProof/>
                <w:lang w:val="es-ES"/>
              </w:rPr>
              <w:drawing>
                <wp:inline distT="0" distB="0" distL="0" distR="0" wp14:anchorId="6DF6C3A7" wp14:editId="2EBCC42C">
                  <wp:extent cx="3886200" cy="34480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86200" cy="3448050"/>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13989920" w14:textId="67896A68" w:rsidR="0067461A" w:rsidRPr="0067461A" w:rsidRDefault="0067461A">
            <w:pPr>
              <w:pStyle w:val="Captionsmall"/>
              <w:rPr>
                <w:lang w:val="es-ES"/>
              </w:rPr>
            </w:pPr>
            <w:bookmarkStart w:id="131" w:name="_Ref47947805"/>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4</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5</w:t>
            </w:r>
            <w:r w:rsidRPr="0067461A">
              <w:rPr>
                <w:lang w:val="es-ES"/>
              </w:rPr>
              <w:fldChar w:fldCharType="end"/>
            </w:r>
            <w:bookmarkEnd w:id="131"/>
            <w:r w:rsidRPr="0067461A">
              <w:rPr>
                <w:lang w:val="es-ES"/>
              </w:rPr>
              <w:t>: Esquema de modelado scorched earth calibrado para el operador móvil [</w:t>
            </w:r>
            <w:r w:rsidR="00F4066A">
              <w:rPr>
                <w:lang w:val="es-ES"/>
              </w:rPr>
              <w:t>Fuente: Analysys Mason, 2023</w:t>
            </w:r>
            <w:r w:rsidRPr="0067461A">
              <w:rPr>
                <w:lang w:val="es-ES"/>
              </w:rPr>
              <w:t>]</w:t>
            </w:r>
          </w:p>
        </w:tc>
      </w:tr>
    </w:tbl>
    <w:p w14:paraId="3AE2E870" w14:textId="77777777" w:rsidR="0067461A" w:rsidRPr="0067461A" w:rsidRDefault="0067461A" w:rsidP="0067461A"/>
    <w:p w14:paraId="2DFBEC8D" w14:textId="77777777" w:rsidR="0067461A" w:rsidRPr="0067461A" w:rsidRDefault="0067461A" w:rsidP="0067461A">
      <w:bookmarkStart w:id="132" w:name="_Hlk46908272"/>
      <w:r w:rsidRPr="0067461A">
        <w:t>En este enfoque, el número total de nodos no variaría (es decir, resulta calibrado con la información de la red actual de los operadores móviles), pero permite revisar su función o capacidad, lo que implica que el número de nodos por subtipo puede cambiar.</w:t>
      </w:r>
    </w:p>
    <w:tbl>
      <w:tblPr>
        <w:tblStyle w:val="Tablaconcuadrcula"/>
        <w:tblW w:w="0" w:type="auto"/>
        <w:tblLook w:val="04A0" w:firstRow="1" w:lastRow="0" w:firstColumn="1" w:lastColumn="0" w:noHBand="0" w:noVBand="1"/>
      </w:tblPr>
      <w:tblGrid>
        <w:gridCol w:w="8721"/>
      </w:tblGrid>
      <w:tr w:rsidR="0067461A" w:rsidRPr="0067461A" w14:paraId="2BEB86EB"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4AEAB39" w14:textId="18B3FF24" w:rsidR="0067461A" w:rsidRPr="0067461A" w:rsidRDefault="0067461A">
            <w:pPr>
              <w:spacing w:after="120"/>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16</w:t>
            </w:r>
            <w:r w:rsidRPr="0067461A">
              <w:rPr>
                <w:b/>
              </w:rPr>
              <w:fldChar w:fldCharType="end"/>
            </w:r>
            <w:r w:rsidRPr="0067461A">
              <w:rPr>
                <w:b/>
                <w:bCs/>
              </w:rPr>
              <w:t xml:space="preserve">: </w:t>
            </w:r>
            <w:r w:rsidRPr="0067461A">
              <w:t xml:space="preserve">Las redes fijas y móviles se modelarán siguiendo un enfoque </w:t>
            </w:r>
            <w:r w:rsidRPr="0067461A">
              <w:rPr>
                <w:i/>
              </w:rPr>
              <w:t>scorched earth</w:t>
            </w:r>
            <w:r w:rsidRPr="0067461A">
              <w:t>, el cual se calibrará con los datos de red proporcionados por los operadores.</w:t>
            </w:r>
          </w:p>
        </w:tc>
      </w:tr>
    </w:tbl>
    <w:p w14:paraId="05A3BDB7" w14:textId="77777777" w:rsidR="0067461A" w:rsidRPr="0067461A" w:rsidRDefault="0067461A" w:rsidP="0067461A">
      <w:pPr>
        <w:pStyle w:val="Ttulo1"/>
        <w:rPr>
          <w:lang w:val="es-ES"/>
        </w:rPr>
      </w:pPr>
      <w:bookmarkStart w:id="133" w:name="_Ref526871616"/>
      <w:bookmarkStart w:id="134" w:name="_Toc527663506"/>
      <w:bookmarkStart w:id="135" w:name="_Toc132915512"/>
      <w:bookmarkStart w:id="136" w:name="_Toc135921313"/>
      <w:bookmarkEnd w:id="132"/>
      <w:r w:rsidRPr="0067461A">
        <w:rPr>
          <w:lang w:val="es-ES"/>
        </w:rPr>
        <w:lastRenderedPageBreak/>
        <w:t>Aspectos relacionados con los servicios</w:t>
      </w:r>
      <w:bookmarkEnd w:id="127"/>
      <w:bookmarkEnd w:id="128"/>
      <w:bookmarkEnd w:id="129"/>
      <w:bookmarkEnd w:id="130"/>
      <w:bookmarkEnd w:id="133"/>
      <w:bookmarkEnd w:id="134"/>
      <w:bookmarkEnd w:id="135"/>
      <w:bookmarkEnd w:id="136"/>
    </w:p>
    <w:p w14:paraId="75B1CEDF" w14:textId="647554D8" w:rsidR="0067461A" w:rsidRPr="0067461A" w:rsidRDefault="0067461A" w:rsidP="0067461A">
      <w:pPr>
        <w:rPr>
          <w:rStyle w:val="apple-style-span"/>
          <w:color w:val="000000"/>
        </w:rPr>
      </w:pPr>
      <w:r w:rsidRPr="0067461A">
        <w:rPr>
          <w:rStyle w:val="apple-style-span"/>
          <w:color w:val="000000"/>
        </w:rPr>
        <w:t>El objetivo fundamental del modelo es el de calcular el costo de diversos servicios mayoristas provistos a través de redes móviles. En concreto:</w:t>
      </w:r>
    </w:p>
    <w:p w14:paraId="415A4676" w14:textId="77777777" w:rsidR="0067461A" w:rsidRPr="0067461A" w:rsidRDefault="0067461A" w:rsidP="0067461A">
      <w:pPr>
        <w:pStyle w:val="ListBulletCompact"/>
      </w:pPr>
      <w:r w:rsidRPr="0067461A">
        <w:t>Servicios de terminación de voz, SMS y tránsito en redes fijas y móviles</w:t>
      </w:r>
    </w:p>
    <w:p w14:paraId="3F4DE3AD" w14:textId="77777777" w:rsidR="0067461A" w:rsidRPr="0067461A" w:rsidRDefault="0067461A" w:rsidP="0067461A">
      <w:pPr>
        <w:pStyle w:val="ListBulletCompact"/>
      </w:pPr>
      <w:r w:rsidRPr="0067461A">
        <w:t>Servicios de usuario visitante</w:t>
      </w:r>
    </w:p>
    <w:p w14:paraId="2A243047" w14:textId="77777777" w:rsidR="0067461A" w:rsidRPr="0067461A" w:rsidRDefault="0067461A" w:rsidP="0067461A">
      <w:pPr>
        <w:pStyle w:val="ListBulletCompact"/>
      </w:pPr>
      <w:r w:rsidRPr="0067461A">
        <w:t>Servicio de concentración y distribución asociado al servicio de acceso indirecto al bucle (SAIB)</w:t>
      </w:r>
    </w:p>
    <w:p w14:paraId="495CD1C2" w14:textId="77777777" w:rsidR="0067461A" w:rsidRPr="0067461A" w:rsidRDefault="0067461A" w:rsidP="0067461A">
      <w:pPr>
        <w:pStyle w:val="ListBulletCompact"/>
      </w:pPr>
      <w:r w:rsidRPr="0067461A">
        <w:t>Servicios de enlaces dedicados</w:t>
      </w:r>
    </w:p>
    <w:p w14:paraId="08E7E1A3" w14:textId="2B5701DF" w:rsidR="0067461A" w:rsidRPr="0067461A" w:rsidRDefault="0067461A" w:rsidP="0067461A">
      <w:pPr>
        <w:rPr>
          <w:rStyle w:val="apple-style-span"/>
          <w:color w:val="000000"/>
        </w:rPr>
      </w:pPr>
      <w:r w:rsidRPr="0067461A">
        <w:rPr>
          <w:rStyle w:val="apple-style-span"/>
          <w:color w:val="000000"/>
        </w:rPr>
        <w:t>Sin embargo, las redes fijas y móviles transportan una amplia gama de servicios adicionales a estos. Estos servicios adicionales deben ser considerados en el costeo de los servicios para asegurar un cómputo adecuado de las economías de escala en la red.</w:t>
      </w:r>
      <w:r w:rsidRPr="0067461A">
        <w:rPr>
          <w:rStyle w:val="apple-style-span"/>
        </w:rPr>
        <w:t xml:space="preserve"> Adicionalmente, la medida en la que el operador modelado puede ofrecer servicios en las zonas donde tiene cobertura determina las economías de alcance del operador</w:t>
      </w:r>
      <w:r w:rsidRPr="0067461A">
        <w:rPr>
          <w:rStyle w:val="apple-style-span"/>
          <w:color w:val="000000"/>
        </w:rPr>
        <w:t>, y en consecuencia este aspecto debe ser considerado en los modelos</w:t>
      </w:r>
      <w:r w:rsidRPr="0067461A">
        <w:rPr>
          <w:rStyle w:val="apple-style-span"/>
        </w:rPr>
        <w:t>.</w:t>
      </w:r>
      <w:r w:rsidRPr="0067461A">
        <w:rPr>
          <w:rStyle w:val="apple-style-span"/>
          <w:color w:val="000000"/>
        </w:rPr>
        <w:t xml:space="preserve"> Por tanto, esta sección </w:t>
      </w:r>
      <w:r w:rsidRPr="0067461A">
        <w:t>examina los aspectos conceptuales relacionados con los servicios que se examinarán en los modelos y está estructurada como sigue:</w:t>
      </w:r>
    </w:p>
    <w:p w14:paraId="42C7DBBE" w14:textId="2A200528" w:rsidR="0067461A" w:rsidRPr="0067461A" w:rsidRDefault="0067461A" w:rsidP="0067461A">
      <w:pPr>
        <w:pStyle w:val="L1"/>
        <w:numPr>
          <w:ilvl w:val="0"/>
          <w:numId w:val="20"/>
        </w:numPr>
        <w:spacing w:after="0"/>
        <w:contextualSpacing w:val="0"/>
      </w:pPr>
      <w:r w:rsidRPr="0067461A">
        <w:t xml:space="preserve">servicios a modelar (Sección </w:t>
      </w:r>
      <w:r w:rsidRPr="0067461A">
        <w:fldChar w:fldCharType="begin"/>
      </w:r>
      <w:r w:rsidRPr="0067461A">
        <w:instrText xml:space="preserve"> REF _Ref321212352 \r \h </w:instrText>
      </w:r>
      <w:r w:rsidRPr="0067461A">
        <w:fldChar w:fldCharType="separate"/>
      </w:r>
      <w:r w:rsidR="00475202">
        <w:t>5.1</w:t>
      </w:r>
      <w:r w:rsidRPr="0067461A">
        <w:fldChar w:fldCharType="end"/>
      </w:r>
      <w:r w:rsidRPr="0067461A">
        <w:t>)</w:t>
      </w:r>
    </w:p>
    <w:p w14:paraId="0845E457" w14:textId="77777777" w:rsidR="0067461A" w:rsidRPr="0067461A" w:rsidRDefault="0067461A" w:rsidP="0067461A">
      <w:pPr>
        <w:pStyle w:val="L1"/>
        <w:numPr>
          <w:ilvl w:val="0"/>
          <w:numId w:val="20"/>
        </w:numPr>
        <w:spacing w:after="0"/>
        <w:contextualSpacing w:val="0"/>
      </w:pPr>
      <w:r w:rsidRPr="0067461A">
        <w:t>volúmenes de tráfico (Sección 5.2)</w:t>
      </w:r>
    </w:p>
    <w:p w14:paraId="7C5588B0" w14:textId="77777777" w:rsidR="0067461A" w:rsidRPr="0067461A" w:rsidRDefault="0067461A" w:rsidP="0067461A">
      <w:pPr>
        <w:pStyle w:val="L1"/>
        <w:numPr>
          <w:ilvl w:val="0"/>
          <w:numId w:val="20"/>
        </w:numPr>
        <w:ind w:left="357" w:hanging="357"/>
        <w:contextualSpacing w:val="0"/>
      </w:pPr>
      <w:r w:rsidRPr="0067461A">
        <w:t>costos mayoristas y minoristas (Sección 5.3).</w:t>
      </w:r>
    </w:p>
    <w:p w14:paraId="7869B2C8" w14:textId="77777777" w:rsidR="0067461A" w:rsidRPr="0067461A" w:rsidRDefault="0067461A" w:rsidP="0067461A">
      <w:pPr>
        <w:pStyle w:val="Ttulo2"/>
      </w:pPr>
      <w:bookmarkStart w:id="137" w:name="_Ref321212352"/>
      <w:bookmarkStart w:id="138" w:name="_Toc527663507"/>
      <w:bookmarkStart w:id="139" w:name="_Toc132915513"/>
      <w:bookmarkStart w:id="140" w:name="_Toc135921314"/>
      <w:r w:rsidRPr="0067461A">
        <w:t>Servicios a modelar</w:t>
      </w:r>
      <w:bookmarkEnd w:id="137"/>
      <w:bookmarkEnd w:id="138"/>
      <w:bookmarkEnd w:id="139"/>
      <w:bookmarkEnd w:id="140"/>
    </w:p>
    <w:p w14:paraId="09FCA3C3" w14:textId="77777777" w:rsidR="0067461A" w:rsidRPr="0067461A" w:rsidRDefault="0067461A" w:rsidP="0067461A">
      <w:pPr>
        <w:rPr>
          <w:rStyle w:val="apple-style-span"/>
        </w:rPr>
      </w:pPr>
      <w:r w:rsidRPr="0067461A">
        <w:rPr>
          <w:rStyle w:val="apple-style-span"/>
        </w:rPr>
        <w:t>Las economías de alcance derivadas de la prestación de servicios de voz y datos a través de una única infraestructura resultarán en un costo unitario menor de los servicios de voz y datos. Esto es especialmente cierto para redes basadas en una arquitectura de nueva generación, donde los servicios de voz y datos pueden ser transportados a través de una plataforma única.</w:t>
      </w:r>
    </w:p>
    <w:p w14:paraId="3C23221E" w14:textId="77777777" w:rsidR="0067461A" w:rsidRPr="0067461A" w:rsidRDefault="0067461A" w:rsidP="0067461A">
      <w:pPr>
        <w:rPr>
          <w:rStyle w:val="apple-style-span"/>
        </w:rPr>
      </w:pPr>
      <w:r w:rsidRPr="0067461A">
        <w:rPr>
          <w:rStyle w:val="apple-style-span"/>
        </w:rPr>
        <w:t>Por consiguiente, se debe incluir una lista completa de los servicios de voz y datos en el modelo, y se deberá asignar una proporción de los costos de red a estos servicios. Esto implica también que tanto los usuarios finales como los servicios mayoristas de voz tendrán que ser modelados para que la plataforma de voz esté correctamente dimensionada y los costos sean totalmente recuperados a través de los volúmenes de tráfico correspondientes.</w:t>
      </w:r>
    </w:p>
    <w:p w14:paraId="2AE0AE2B" w14:textId="77777777" w:rsidR="0067461A" w:rsidRPr="0067461A" w:rsidRDefault="0067461A" w:rsidP="0067461A">
      <w:pPr>
        <w:rPr>
          <w:rStyle w:val="apple-style-span"/>
        </w:rPr>
      </w:pPr>
      <w:r w:rsidRPr="0067461A">
        <w:rPr>
          <w:rStyle w:val="apple-style-span"/>
        </w:rPr>
        <w:t>La inclusión de los servicios de voz y datos en el modelo aumenta la complejidad de los cálculos y de los datos necesarios para sustentarlos. Sin embargo, la exclusión de los costos relacionados con servicios que no son de voz (y el desarrollo de un modelo de costos de voz independiente) puede ser también un proceso complejo.</w:t>
      </w:r>
      <w:r w:rsidRPr="0067461A">
        <w:rPr>
          <w:rStyle w:val="Refdenotaalpie"/>
        </w:rPr>
        <w:footnoteReference w:id="19"/>
      </w:r>
    </w:p>
    <w:p w14:paraId="08867639" w14:textId="77777777" w:rsidR="0067461A" w:rsidRPr="0067461A" w:rsidRDefault="0067461A" w:rsidP="0067461A">
      <w:pPr>
        <w:rPr>
          <w:rStyle w:val="apple-style-span"/>
        </w:rPr>
      </w:pPr>
      <w:r w:rsidRPr="0067461A">
        <w:rPr>
          <w:rStyle w:val="apple-style-span"/>
        </w:rPr>
        <w:lastRenderedPageBreak/>
        <w:t>Algunos de los servicios que no son de voz son servicios bien conocidos (principalmente servicios como los SMS en redes móviles, o el acceso a internet de banda ancha fija). Sin embargo, otros servicios que no son de voz, como la banda ancha móvil, pueden dar lugar a incertidumbre sobre sus previsiones de evolución cuando se incluyen en los precios regulados del tráfico de voz. Será necesario entender las implicaciones de la incertidumbre asociada con las previsiones de los servicios que no son de voz para los costos de tráfico de voz, para lo que se podrán desarrollar una serie de escenarios con diferentes parámetros de evolución que nos permitieran comprender mejor las implicaciones correspondientes.</w:t>
      </w:r>
    </w:p>
    <w:tbl>
      <w:tblPr>
        <w:tblStyle w:val="Tablaconcuadrcula"/>
        <w:tblW w:w="0" w:type="auto"/>
        <w:tblLook w:val="04A0" w:firstRow="1" w:lastRow="0" w:firstColumn="1" w:lastColumn="0" w:noHBand="0" w:noVBand="1"/>
      </w:tblPr>
      <w:tblGrid>
        <w:gridCol w:w="8721"/>
      </w:tblGrid>
      <w:tr w:rsidR="0067461A" w:rsidRPr="0067461A" w14:paraId="113D4349"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97230F1" w14:textId="63032538" w:rsidR="0067461A" w:rsidRPr="0067461A" w:rsidRDefault="0067461A">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17</w:t>
            </w:r>
            <w:r w:rsidRPr="0067461A">
              <w:rPr>
                <w:b/>
              </w:rPr>
              <w:fldChar w:fldCharType="end"/>
            </w:r>
            <w:r w:rsidRPr="0067461A">
              <w:rPr>
                <w:b/>
                <w:bCs/>
              </w:rPr>
              <w:t xml:space="preserve">: </w:t>
            </w:r>
            <w:r w:rsidRPr="0067461A">
              <w:t>Los operadores modelados proporcionarán todos los servicios relevantes para cada tipo de red:</w:t>
            </w:r>
          </w:p>
          <w:p w14:paraId="1CCC44ED" w14:textId="77777777" w:rsidR="0067461A" w:rsidRPr="0067461A" w:rsidRDefault="0067461A">
            <w:pPr>
              <w:pStyle w:val="ListBulletCompact"/>
            </w:pPr>
            <w:r w:rsidRPr="0067461A">
              <w:t>redes móviles: servicios de voz, banda ancha móvil, SMS, tanto para usuarios propios como para usuarios visitantes (roaming nacional e internacional)</w:t>
            </w:r>
          </w:p>
          <w:p w14:paraId="2853AE28" w14:textId="7D3E840E" w:rsidR="0091507F" w:rsidRPr="0067461A" w:rsidRDefault="0067461A" w:rsidP="00920B9F">
            <w:pPr>
              <w:pStyle w:val="ListBulletCompact"/>
            </w:pPr>
            <w:r w:rsidRPr="0067461A">
              <w:t>redes fijas: servicios de voz (originación y terminación de voz, VoIP, tránsito e interconexión) que tengan volúmenes de tráfico relevantes, banda ancha (minorista y mayorista) y enlaces dedicados</w:t>
            </w:r>
          </w:p>
          <w:p w14:paraId="4BBC48AF" w14:textId="70DFD812" w:rsidR="0067461A" w:rsidRPr="0067461A" w:rsidRDefault="0091507F" w:rsidP="00920B9F">
            <w:pPr>
              <w:pStyle w:val="ListBulletCompact"/>
              <w:numPr>
                <w:ilvl w:val="0"/>
                <w:numId w:val="0"/>
              </w:numPr>
            </w:pPr>
            <w:r>
              <w:t>En el caso de los operadores modelados a partir de los concesionarios alternativos, no se incluirá tráfico para aquellos servicios mayoristas regulados que no tengan la obligación de proporcionar.</w:t>
            </w:r>
          </w:p>
        </w:tc>
      </w:tr>
    </w:tbl>
    <w:p w14:paraId="764AF599" w14:textId="77777777" w:rsidR="0067461A" w:rsidRPr="0067461A" w:rsidRDefault="0067461A" w:rsidP="0067461A">
      <w:pPr>
        <w:pStyle w:val="Ttulo3"/>
      </w:pPr>
      <w:r w:rsidRPr="0067461A">
        <w:t>Servicios que se ofrecen a través de redes móviles</w:t>
      </w:r>
    </w:p>
    <w:p w14:paraId="1673C32B" w14:textId="04AAA2C9" w:rsidR="000D1801" w:rsidRDefault="000D1801" w:rsidP="0067461A">
      <w:pPr>
        <w:rPr>
          <w:rStyle w:val="apple-converted-space"/>
          <w:color w:val="000000"/>
        </w:rPr>
      </w:pPr>
      <w:r>
        <w:rPr>
          <w:rStyle w:val="apple-converted-space"/>
          <w:color w:val="000000"/>
        </w:rPr>
        <w:t>Los servicios provistos a través de redes móviles pueden desagregarse en tres tipos principales: servicios de voz, servicios de SMS y servicios de datos. A continuación se presentan los distintos servicios móviles modelados.</w:t>
      </w:r>
    </w:p>
    <w:p w14:paraId="34BCE39F" w14:textId="79C5DD97" w:rsidR="0067461A" w:rsidRPr="0067461A" w:rsidRDefault="0067461A" w:rsidP="0067461A">
      <w:pPr>
        <w:rPr>
          <w:rStyle w:val="apple-style-span"/>
          <w:color w:val="000000"/>
        </w:rPr>
      </w:pPr>
      <w:r w:rsidRPr="0067461A">
        <w:rPr>
          <w:rStyle w:val="apple-converted-space"/>
          <w:color w:val="000000"/>
        </w:rPr>
        <w:t>La</w:t>
      </w:r>
      <w:r w:rsidR="00A2495B">
        <w:rPr>
          <w:rStyle w:val="apple-converted-space"/>
          <w:color w:val="000000"/>
        </w:rPr>
        <w:t xml:space="preserve"> </w:t>
      </w:r>
      <w:r w:rsidR="00C90F15">
        <w:rPr>
          <w:rStyle w:val="apple-converted-space"/>
          <w:color w:val="000000"/>
        </w:rPr>
        <w:fldChar w:fldCharType="begin"/>
      </w:r>
      <w:r w:rsidR="00C90F15">
        <w:rPr>
          <w:rStyle w:val="apple-converted-space"/>
          <w:color w:val="000000"/>
        </w:rPr>
        <w:instrText xml:space="preserve"> REF _Ref321212475 \h </w:instrText>
      </w:r>
      <w:r w:rsidR="00C90F15">
        <w:rPr>
          <w:rStyle w:val="apple-converted-space"/>
          <w:color w:val="000000"/>
        </w:rPr>
      </w:r>
      <w:r w:rsidR="00C90F15">
        <w:rPr>
          <w:rStyle w:val="apple-converted-space"/>
          <w:color w:val="000000"/>
        </w:rPr>
        <w:fldChar w:fldCharType="separate"/>
      </w:r>
      <w:r w:rsidR="00475202" w:rsidRPr="0067461A">
        <w:t xml:space="preserve">Figura </w:t>
      </w:r>
      <w:r w:rsidR="00475202">
        <w:rPr>
          <w:noProof/>
        </w:rPr>
        <w:t>5</w:t>
      </w:r>
      <w:r w:rsidR="00475202" w:rsidRPr="0067461A">
        <w:t>.</w:t>
      </w:r>
      <w:r w:rsidR="00475202">
        <w:rPr>
          <w:noProof/>
        </w:rPr>
        <w:t>1</w:t>
      </w:r>
      <w:r w:rsidR="00C90F15">
        <w:rPr>
          <w:rStyle w:val="apple-converted-space"/>
          <w:color w:val="000000"/>
        </w:rPr>
        <w:fldChar w:fldCharType="end"/>
      </w:r>
      <w:r w:rsidR="00A2495B">
        <w:rPr>
          <w:rStyle w:val="apple-converted-space"/>
          <w:color w:val="000000"/>
        </w:rPr>
        <w:t xml:space="preserve"> </w:t>
      </w:r>
      <w:r w:rsidRPr="0067461A">
        <w:rPr>
          <w:rStyle w:val="apple-converted-space"/>
          <w:color w:val="000000"/>
        </w:rPr>
        <w:t xml:space="preserve">presenta </w:t>
      </w:r>
      <w:r w:rsidRPr="0067461A">
        <w:rPr>
          <w:rStyle w:val="apple-style-span"/>
          <w:color w:val="000000"/>
        </w:rPr>
        <w:t>una serie de servicios de voz móviles que</w:t>
      </w:r>
      <w:r w:rsidRPr="0067461A">
        <w:t xml:space="preserve"> </w:t>
      </w:r>
      <w:r w:rsidRPr="0067461A">
        <w:rPr>
          <w:rStyle w:val="apple-style-span"/>
          <w:color w:val="000000"/>
        </w:rPr>
        <w:t>aportan tráfico a la red troncal.</w:t>
      </w:r>
    </w:p>
    <w:p w14:paraId="4D751A1C" w14:textId="27B53891" w:rsidR="0067461A" w:rsidRPr="0067461A" w:rsidRDefault="0067461A" w:rsidP="0067461A">
      <w:pPr>
        <w:pStyle w:val="TableCaption"/>
        <w:rPr>
          <w:lang w:val="es-ES"/>
        </w:rPr>
      </w:pPr>
      <w:bookmarkStart w:id="141" w:name="_Ref321212475"/>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5</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1</w:t>
      </w:r>
      <w:r w:rsidRPr="0067461A">
        <w:rPr>
          <w:lang w:val="es-ES"/>
        </w:rPr>
        <w:fldChar w:fldCharType="end"/>
      </w:r>
      <w:bookmarkEnd w:id="141"/>
      <w:r w:rsidRPr="0067461A">
        <w:rPr>
          <w:lang w:val="es-ES"/>
        </w:rPr>
        <w:t xml:space="preserve">: Servicios </w:t>
      </w:r>
      <w:r w:rsidR="00EE39DC">
        <w:rPr>
          <w:lang w:val="es-ES"/>
        </w:rPr>
        <w:t xml:space="preserve">de voz </w:t>
      </w:r>
      <w:r w:rsidRPr="0067461A">
        <w:rPr>
          <w:lang w:val="es-ES"/>
        </w:rPr>
        <w:t>que se ofrecen a través de redes móviles [Fuente: Analysys Mason, 2023]</w:t>
      </w:r>
    </w:p>
    <w:tbl>
      <w:tblPr>
        <w:tblStyle w:val="Sombreadomedio2-nfasis1"/>
        <w:tblW w:w="8720" w:type="dxa"/>
        <w:tblBorders>
          <w:top w:val="single" w:sz="4" w:space="0" w:color="FFFFFF"/>
          <w:insideH w:val="single" w:sz="4" w:space="0" w:color="FFFFFF"/>
          <w:insideV w:val="single" w:sz="4" w:space="0" w:color="FFFFFF"/>
        </w:tblBorders>
        <w:tblLook w:val="0620" w:firstRow="1" w:lastRow="0" w:firstColumn="0" w:lastColumn="0" w:noHBand="1" w:noVBand="1"/>
      </w:tblPr>
      <w:tblGrid>
        <w:gridCol w:w="2410"/>
        <w:gridCol w:w="6310"/>
      </w:tblGrid>
      <w:tr w:rsidR="0067461A" w:rsidRPr="0067461A" w14:paraId="73416638" w14:textId="77777777" w:rsidTr="00920B9F">
        <w:trPr>
          <w:cnfStyle w:val="100000000000" w:firstRow="1" w:lastRow="0" w:firstColumn="0" w:lastColumn="0" w:oddVBand="0" w:evenVBand="0" w:oddHBand="0" w:evenHBand="0" w:firstRowFirstColumn="0" w:firstRowLastColumn="0" w:lastRowFirstColumn="0" w:lastRowLastColumn="0"/>
          <w:tblHeader/>
        </w:trPr>
        <w:tc>
          <w:tcPr>
            <w:tcW w:w="2410" w:type="dxa"/>
            <w:tcBorders>
              <w:bottom w:val="single" w:sz="18" w:space="0" w:color="FFFFFF"/>
            </w:tcBorders>
            <w:shd w:val="solid" w:color="0F51B1" w:fill="0F51B1"/>
          </w:tcPr>
          <w:p w14:paraId="20778BBA" w14:textId="77777777" w:rsidR="0067461A" w:rsidRPr="0067461A" w:rsidRDefault="0067461A">
            <w:pPr>
              <w:pStyle w:val="Tableheading"/>
              <w:rPr>
                <w:b/>
                <w:bCs w:val="0"/>
                <w:color w:val="FFFFFF" w:themeColor="background1"/>
                <w:lang w:val="es-ES"/>
              </w:rPr>
            </w:pPr>
            <w:r w:rsidRPr="0067461A">
              <w:rPr>
                <w:b/>
                <w:bCs w:val="0"/>
                <w:color w:val="FFFFFF" w:themeColor="background1"/>
                <w:lang w:val="es-ES"/>
              </w:rPr>
              <w:t>Servicio</w:t>
            </w:r>
          </w:p>
        </w:tc>
        <w:tc>
          <w:tcPr>
            <w:tcW w:w="6310" w:type="dxa"/>
            <w:tcBorders>
              <w:bottom w:val="single" w:sz="18" w:space="0" w:color="FFFFFF"/>
            </w:tcBorders>
            <w:shd w:val="solid" w:color="0F51B1" w:fill="0F51B1"/>
          </w:tcPr>
          <w:p w14:paraId="25381319" w14:textId="77777777" w:rsidR="0067461A" w:rsidRPr="0067461A" w:rsidRDefault="0067461A">
            <w:pPr>
              <w:pStyle w:val="Tableheading"/>
              <w:rPr>
                <w:b/>
                <w:bCs w:val="0"/>
                <w:color w:val="FFFFFF" w:themeColor="background1"/>
                <w:lang w:val="es-ES"/>
              </w:rPr>
            </w:pPr>
            <w:r w:rsidRPr="0067461A">
              <w:rPr>
                <w:b/>
                <w:bCs w:val="0"/>
                <w:color w:val="FFFFFF" w:themeColor="background1"/>
                <w:lang w:val="es-ES"/>
              </w:rPr>
              <w:t>Descripción del servicio</w:t>
            </w:r>
          </w:p>
        </w:tc>
      </w:tr>
      <w:tr w:rsidR="0067461A" w:rsidRPr="0067461A" w14:paraId="56AC8588" w14:textId="77777777" w:rsidTr="00920B9F">
        <w:tc>
          <w:tcPr>
            <w:tcW w:w="2410" w:type="dxa"/>
            <w:tcBorders>
              <w:top w:val="single" w:sz="18" w:space="0" w:color="FFFFFF"/>
            </w:tcBorders>
          </w:tcPr>
          <w:p w14:paraId="2EFB5EC4" w14:textId="77777777" w:rsidR="0067461A" w:rsidRPr="0067461A" w:rsidRDefault="0067461A">
            <w:pPr>
              <w:pStyle w:val="Tablecells"/>
              <w:rPr>
                <w:lang w:val="es-ES"/>
              </w:rPr>
            </w:pPr>
            <w:r w:rsidRPr="0067461A">
              <w:rPr>
                <w:rFonts w:cs="Arial"/>
                <w:lang w:val="es-ES"/>
              </w:rPr>
              <w:t xml:space="preserve">Llamadas móviles </w:t>
            </w:r>
            <w:r w:rsidRPr="0067461A">
              <w:rPr>
                <w:rFonts w:cs="Arial"/>
                <w:lang w:val="es-ES"/>
              </w:rPr>
              <w:br/>
            </w:r>
            <w:r w:rsidRPr="0067461A">
              <w:rPr>
                <w:rFonts w:cs="Arial"/>
                <w:i/>
                <w:lang w:val="es-ES"/>
              </w:rPr>
              <w:t>on-net por tecnología</w:t>
            </w:r>
          </w:p>
        </w:tc>
        <w:tc>
          <w:tcPr>
            <w:tcW w:w="6310" w:type="dxa"/>
            <w:tcBorders>
              <w:top w:val="single" w:sz="18" w:space="0" w:color="FFFFFF"/>
            </w:tcBorders>
          </w:tcPr>
          <w:p w14:paraId="7C6F58BF" w14:textId="77777777" w:rsidR="0067461A" w:rsidRPr="0067461A" w:rsidRDefault="0067461A">
            <w:pPr>
              <w:pStyle w:val="Tablecells"/>
              <w:rPr>
                <w:lang w:val="es-ES"/>
              </w:rPr>
            </w:pPr>
            <w:r w:rsidRPr="0067461A">
              <w:rPr>
                <w:lang w:val="es-ES"/>
              </w:rPr>
              <w:t>Llamadas de voz entre dos suscriptores (minoristas o de operadores móviles virtuales, OMV)) del operador móvil modelado</w:t>
            </w:r>
          </w:p>
        </w:tc>
      </w:tr>
      <w:tr w:rsidR="0067461A" w:rsidRPr="0067461A" w14:paraId="25247C77" w14:textId="77777777" w:rsidTr="00920B9F">
        <w:tc>
          <w:tcPr>
            <w:tcW w:w="2410" w:type="dxa"/>
          </w:tcPr>
          <w:p w14:paraId="338B8CD9" w14:textId="77777777" w:rsidR="0067461A" w:rsidRPr="0067461A" w:rsidRDefault="0067461A">
            <w:pPr>
              <w:pStyle w:val="Tablecells"/>
              <w:rPr>
                <w:lang w:val="es-ES"/>
              </w:rPr>
            </w:pPr>
            <w:r w:rsidRPr="0067461A">
              <w:rPr>
                <w:rFonts w:cs="Arial"/>
                <w:lang w:val="es-ES"/>
              </w:rPr>
              <w:t>Llamadas salientes nacionales por tecnología</w:t>
            </w:r>
          </w:p>
        </w:tc>
        <w:tc>
          <w:tcPr>
            <w:tcW w:w="6310" w:type="dxa"/>
          </w:tcPr>
          <w:p w14:paraId="0BA71D87" w14:textId="77777777" w:rsidR="0067461A" w:rsidRPr="0067461A" w:rsidRDefault="0067461A">
            <w:pPr>
              <w:pStyle w:val="Tablecells"/>
              <w:rPr>
                <w:lang w:val="es-ES"/>
              </w:rPr>
            </w:pPr>
            <w:r w:rsidRPr="0067461A">
              <w:rPr>
                <w:spacing w:val="-4"/>
                <w:lang w:val="es-ES"/>
              </w:rPr>
              <w:t xml:space="preserve">Llamadas de voz de un suscriptor (minorista u OMV) del operador móvil modelado a un destino fijo (incluyendo números no geográficos, etc.) o </w:t>
            </w:r>
            <w:r w:rsidRPr="0067461A">
              <w:rPr>
                <w:lang w:val="es-ES"/>
              </w:rPr>
              <w:t>a otro operador móvil doméstico</w:t>
            </w:r>
          </w:p>
        </w:tc>
      </w:tr>
      <w:tr w:rsidR="0067461A" w:rsidRPr="0067461A" w14:paraId="258F2695" w14:textId="77777777" w:rsidTr="00920B9F">
        <w:tc>
          <w:tcPr>
            <w:tcW w:w="2410" w:type="dxa"/>
          </w:tcPr>
          <w:p w14:paraId="03C7B275" w14:textId="77777777" w:rsidR="0067461A" w:rsidRPr="0067461A" w:rsidRDefault="0067461A">
            <w:pPr>
              <w:pStyle w:val="Tablecells"/>
              <w:rPr>
                <w:rFonts w:cs="Arial"/>
                <w:lang w:val="es-ES"/>
              </w:rPr>
            </w:pPr>
            <w:r w:rsidRPr="0067461A">
              <w:rPr>
                <w:rFonts w:cs="Arial"/>
                <w:lang w:val="es-ES"/>
              </w:rPr>
              <w:t>Llamadas móviles salientes a internacional por tecnología</w:t>
            </w:r>
          </w:p>
        </w:tc>
        <w:tc>
          <w:tcPr>
            <w:tcW w:w="6310" w:type="dxa"/>
          </w:tcPr>
          <w:p w14:paraId="1F15E216" w14:textId="77777777" w:rsidR="0067461A" w:rsidRPr="0067461A" w:rsidRDefault="0067461A">
            <w:pPr>
              <w:pStyle w:val="Tablecells"/>
              <w:rPr>
                <w:spacing w:val="-4"/>
                <w:lang w:val="es-ES"/>
              </w:rPr>
            </w:pPr>
            <w:r w:rsidRPr="0067461A">
              <w:rPr>
                <w:lang w:val="es-ES"/>
              </w:rPr>
              <w:t>Llamadas de voz de un suscriptor (minorista u OMV) del operador móvil modelado a un destino internacional</w:t>
            </w:r>
          </w:p>
        </w:tc>
      </w:tr>
      <w:tr w:rsidR="0067461A" w:rsidRPr="0067461A" w14:paraId="3CF14E6E" w14:textId="77777777" w:rsidTr="00920B9F">
        <w:tc>
          <w:tcPr>
            <w:tcW w:w="2410" w:type="dxa"/>
          </w:tcPr>
          <w:p w14:paraId="7FC7EBA1" w14:textId="77777777" w:rsidR="0067461A" w:rsidRPr="0067461A" w:rsidRDefault="0067461A">
            <w:pPr>
              <w:pStyle w:val="Tablecells"/>
              <w:rPr>
                <w:rFonts w:cs="Arial"/>
                <w:lang w:val="es-ES"/>
              </w:rPr>
            </w:pPr>
            <w:r w:rsidRPr="0067461A">
              <w:rPr>
                <w:rFonts w:cs="Arial"/>
                <w:lang w:val="es-ES"/>
              </w:rPr>
              <w:t>Llamadas entrantes nacionales por tecnología</w:t>
            </w:r>
          </w:p>
        </w:tc>
        <w:tc>
          <w:tcPr>
            <w:tcW w:w="6310" w:type="dxa"/>
          </w:tcPr>
          <w:p w14:paraId="33A786F6" w14:textId="77777777" w:rsidR="0067461A" w:rsidRPr="0067461A" w:rsidRDefault="0067461A">
            <w:pPr>
              <w:pStyle w:val="Tablecells"/>
              <w:rPr>
                <w:lang w:val="es-ES"/>
              </w:rPr>
            </w:pPr>
            <w:r w:rsidRPr="0067461A">
              <w:rPr>
                <w:lang w:val="es-ES"/>
              </w:rPr>
              <w:t xml:space="preserve">Llamadas de voz recibidas desde otro operador fijo o móvil, y terminadas en la red de un suscriptor </w:t>
            </w:r>
            <w:r w:rsidRPr="0067461A">
              <w:rPr>
                <w:rFonts w:cs="Arial"/>
                <w:lang w:val="es-ES"/>
              </w:rPr>
              <w:t>(minorista u OMV) del operador móvil modelado</w:t>
            </w:r>
          </w:p>
        </w:tc>
      </w:tr>
      <w:tr w:rsidR="0067461A" w:rsidRPr="0067461A" w14:paraId="1A055FFF" w14:textId="77777777" w:rsidTr="00920B9F">
        <w:tc>
          <w:tcPr>
            <w:tcW w:w="2410" w:type="dxa"/>
          </w:tcPr>
          <w:p w14:paraId="105A9B3E" w14:textId="77777777" w:rsidR="0067461A" w:rsidRPr="0067461A" w:rsidRDefault="0067461A">
            <w:pPr>
              <w:pStyle w:val="Tablecells"/>
              <w:ind w:right="0"/>
              <w:rPr>
                <w:rFonts w:cs="Arial"/>
                <w:spacing w:val="-4"/>
                <w:lang w:val="es-ES"/>
              </w:rPr>
            </w:pPr>
            <w:r w:rsidRPr="0067461A">
              <w:rPr>
                <w:rFonts w:cs="Arial"/>
                <w:spacing w:val="-4"/>
                <w:lang w:val="es-ES"/>
              </w:rPr>
              <w:lastRenderedPageBreak/>
              <w:t>Llamadas entrantes de operadores internacionales por tecnología</w:t>
            </w:r>
          </w:p>
        </w:tc>
        <w:tc>
          <w:tcPr>
            <w:tcW w:w="6310" w:type="dxa"/>
          </w:tcPr>
          <w:p w14:paraId="7F0265B9" w14:textId="77777777" w:rsidR="0067461A" w:rsidRPr="0067461A" w:rsidRDefault="0067461A">
            <w:pPr>
              <w:pStyle w:val="Tablecells"/>
              <w:rPr>
                <w:lang w:val="es-ES"/>
              </w:rPr>
            </w:pPr>
            <w:r w:rsidRPr="0067461A">
              <w:rPr>
                <w:lang w:val="es-ES"/>
              </w:rPr>
              <w:t xml:space="preserve">Llamadas de voz recibidas desde otro operador internacional y terminadas en la red de un suscriptor </w:t>
            </w:r>
            <w:r w:rsidRPr="0067461A">
              <w:rPr>
                <w:rFonts w:cs="Arial"/>
                <w:lang w:val="es-ES"/>
              </w:rPr>
              <w:t>(minorista u OMV) del operador móvil modelado</w:t>
            </w:r>
          </w:p>
        </w:tc>
      </w:tr>
      <w:tr w:rsidR="0067461A" w:rsidRPr="0067461A" w14:paraId="6985CB77" w14:textId="77777777" w:rsidTr="00920B9F">
        <w:tc>
          <w:tcPr>
            <w:tcW w:w="2410" w:type="dxa"/>
          </w:tcPr>
          <w:p w14:paraId="5B4081CB" w14:textId="77777777" w:rsidR="0067461A" w:rsidRPr="0067461A" w:rsidRDefault="0067461A">
            <w:pPr>
              <w:pStyle w:val="Tablecells"/>
              <w:rPr>
                <w:rFonts w:cs="Arial"/>
                <w:lang w:val="es-ES"/>
              </w:rPr>
            </w:pPr>
            <w:r w:rsidRPr="0067461A">
              <w:rPr>
                <w:rFonts w:cs="Arial"/>
                <w:lang w:val="es-ES"/>
              </w:rPr>
              <w:t>Originación de voz roaming por tecnología</w:t>
            </w:r>
          </w:p>
        </w:tc>
        <w:tc>
          <w:tcPr>
            <w:tcW w:w="6310" w:type="dxa"/>
          </w:tcPr>
          <w:p w14:paraId="54C01F83" w14:textId="77777777" w:rsidR="0067461A" w:rsidRPr="0067461A" w:rsidRDefault="0067461A">
            <w:pPr>
              <w:pStyle w:val="Tablecells"/>
              <w:ind w:right="0"/>
              <w:rPr>
                <w:lang w:val="es-ES"/>
              </w:rPr>
            </w:pPr>
            <w:r w:rsidRPr="0067461A">
              <w:rPr>
                <w:lang w:val="es-ES"/>
              </w:rPr>
              <w:t xml:space="preserve">Llamadas de voz de un usuario visitante (nacional o internacional) en la red del operador móvil modelado </w:t>
            </w:r>
            <w:r w:rsidRPr="0067461A">
              <w:rPr>
                <w:spacing w:val="-4"/>
                <w:lang w:val="es-ES"/>
              </w:rPr>
              <w:t>a un destino móvil, fijo o internacional</w:t>
            </w:r>
          </w:p>
        </w:tc>
      </w:tr>
      <w:tr w:rsidR="0067461A" w:rsidRPr="0067461A" w14:paraId="3D186708" w14:textId="77777777" w:rsidTr="00920B9F">
        <w:tc>
          <w:tcPr>
            <w:tcW w:w="2410" w:type="dxa"/>
          </w:tcPr>
          <w:p w14:paraId="4CDB7D21" w14:textId="77777777" w:rsidR="0067461A" w:rsidRPr="0067461A" w:rsidRDefault="0067461A">
            <w:pPr>
              <w:pStyle w:val="Tablecells"/>
              <w:rPr>
                <w:rFonts w:cs="Arial"/>
                <w:lang w:val="es-ES"/>
              </w:rPr>
            </w:pPr>
            <w:r w:rsidRPr="0067461A">
              <w:rPr>
                <w:rFonts w:cs="Arial"/>
                <w:lang w:val="es-ES"/>
              </w:rPr>
              <w:t>Terminación voz roaming in por tecnología</w:t>
            </w:r>
          </w:p>
        </w:tc>
        <w:tc>
          <w:tcPr>
            <w:tcW w:w="6310" w:type="dxa"/>
          </w:tcPr>
          <w:p w14:paraId="1B5C4038" w14:textId="77777777" w:rsidR="0067461A" w:rsidRPr="0067461A" w:rsidRDefault="0067461A">
            <w:pPr>
              <w:pStyle w:val="Tablecells"/>
              <w:rPr>
                <w:lang w:val="es-ES"/>
              </w:rPr>
            </w:pPr>
            <w:r w:rsidRPr="0067461A">
              <w:rPr>
                <w:lang w:val="es-ES"/>
              </w:rPr>
              <w:t xml:space="preserve">Llamadas de voz recibidas desde otro operador móvil, </w:t>
            </w:r>
            <w:r w:rsidRPr="0067461A">
              <w:rPr>
                <w:spacing w:val="-4"/>
                <w:lang w:val="es-ES"/>
              </w:rPr>
              <w:t xml:space="preserve">fijo o internacional </w:t>
            </w:r>
            <w:r w:rsidRPr="0067461A">
              <w:rPr>
                <w:lang w:val="es-ES"/>
              </w:rPr>
              <w:t>y terminadas en la red de un usuario visitante (nacional o internacional)</w:t>
            </w:r>
            <w:r w:rsidRPr="0067461A">
              <w:rPr>
                <w:rFonts w:cs="Arial"/>
                <w:lang w:val="es-ES"/>
              </w:rPr>
              <w:t xml:space="preserve"> del operador móvil modelado</w:t>
            </w:r>
          </w:p>
        </w:tc>
      </w:tr>
      <w:tr w:rsidR="0067461A" w:rsidRPr="0067461A" w14:paraId="0BBEC154" w14:textId="77777777" w:rsidTr="00920B9F">
        <w:tc>
          <w:tcPr>
            <w:tcW w:w="2410" w:type="dxa"/>
          </w:tcPr>
          <w:p w14:paraId="4DAC83FA" w14:textId="77777777" w:rsidR="0067461A" w:rsidRPr="0067461A" w:rsidRDefault="0067461A">
            <w:pPr>
              <w:pStyle w:val="Tablecells"/>
              <w:rPr>
                <w:rFonts w:cs="Arial"/>
                <w:lang w:val="es-ES"/>
              </w:rPr>
            </w:pPr>
            <w:r w:rsidRPr="0067461A">
              <w:rPr>
                <w:lang w:val="es-ES"/>
              </w:rPr>
              <w:t>Llamadas en tránsito local</w:t>
            </w:r>
          </w:p>
        </w:tc>
        <w:tc>
          <w:tcPr>
            <w:tcW w:w="6310" w:type="dxa"/>
          </w:tcPr>
          <w:p w14:paraId="6E4FF033" w14:textId="77777777" w:rsidR="0067461A" w:rsidRPr="0067461A" w:rsidRDefault="0067461A">
            <w:pPr>
              <w:pStyle w:val="Tablecells"/>
              <w:rPr>
                <w:lang w:val="es-ES"/>
              </w:rPr>
            </w:pPr>
            <w:r w:rsidRPr="0067461A">
              <w:rPr>
                <w:rFonts w:cs="Arial"/>
                <w:lang w:val="es-ES"/>
              </w:rPr>
              <w:t>Llamadas de voz recibidas de otro operador internacional, móvil o fijo y terminadas en la red de otro operador internacional, móvil o fijo, sin tránsito en otro MSC del operador móvil modelado; este servicio solo es prestado por el operador con la escala y el alcance del AEP</w:t>
            </w:r>
          </w:p>
        </w:tc>
      </w:tr>
      <w:tr w:rsidR="0067461A" w:rsidRPr="0067461A" w14:paraId="6B0556BC" w14:textId="77777777" w:rsidTr="00920B9F">
        <w:tc>
          <w:tcPr>
            <w:tcW w:w="2410" w:type="dxa"/>
          </w:tcPr>
          <w:p w14:paraId="300B5D1A" w14:textId="77777777" w:rsidR="0067461A" w:rsidRPr="0067461A" w:rsidRDefault="0067461A">
            <w:pPr>
              <w:pStyle w:val="Tablecells"/>
              <w:rPr>
                <w:lang w:val="es-ES"/>
              </w:rPr>
            </w:pPr>
            <w:r w:rsidRPr="0067461A">
              <w:rPr>
                <w:lang w:val="es-ES"/>
              </w:rPr>
              <w:t>Llamadas en tránsito de larga distancia</w:t>
            </w:r>
          </w:p>
        </w:tc>
        <w:tc>
          <w:tcPr>
            <w:tcW w:w="6310" w:type="dxa"/>
          </w:tcPr>
          <w:p w14:paraId="3EFF8104" w14:textId="77777777" w:rsidR="0067461A" w:rsidRPr="0067461A" w:rsidRDefault="0067461A">
            <w:pPr>
              <w:pStyle w:val="Tablecells"/>
              <w:rPr>
                <w:rFonts w:cs="Arial"/>
                <w:lang w:val="es-ES"/>
              </w:rPr>
            </w:pPr>
            <w:r w:rsidRPr="0067461A">
              <w:rPr>
                <w:rFonts w:cs="Arial"/>
                <w:lang w:val="es-ES"/>
              </w:rPr>
              <w:t>Llamadas de voz recibidas de otro operador internacional, móvil o fijo y terminadas en la red de otro operador internacional, móvil o fijo, tras transitar en otro MSC del operador móvil modelado; este servicio solo es prestado por el operador con la escala y el alcance del AEP, consideradas exclusivamente a nivel de enrutamiento</w:t>
            </w:r>
          </w:p>
        </w:tc>
      </w:tr>
    </w:tbl>
    <w:p w14:paraId="2EFA403D" w14:textId="77777777" w:rsidR="0067461A" w:rsidRPr="0067461A" w:rsidRDefault="0067461A" w:rsidP="0067461A"/>
    <w:p w14:paraId="1F16B3D9" w14:textId="723491CC" w:rsidR="0063160D" w:rsidRDefault="00D218D2" w:rsidP="0067461A">
      <w:r>
        <w:t xml:space="preserve">La </w:t>
      </w:r>
      <w:r w:rsidR="006C2EF9">
        <w:fldChar w:fldCharType="begin"/>
      </w:r>
      <w:r w:rsidR="006C2EF9">
        <w:instrText xml:space="preserve"> REF _Ref135392019 \h </w:instrText>
      </w:r>
      <w:r w:rsidR="006C2EF9">
        <w:fldChar w:fldCharType="separate"/>
      </w:r>
      <w:r w:rsidR="00475202" w:rsidRPr="0067461A">
        <w:t xml:space="preserve">Figura </w:t>
      </w:r>
      <w:r w:rsidR="00475202">
        <w:rPr>
          <w:noProof/>
        </w:rPr>
        <w:t>5</w:t>
      </w:r>
      <w:r w:rsidR="00475202" w:rsidRPr="0067461A">
        <w:t>.</w:t>
      </w:r>
      <w:r w:rsidR="00475202">
        <w:rPr>
          <w:noProof/>
        </w:rPr>
        <w:t>2</w:t>
      </w:r>
      <w:r w:rsidR="006C2EF9">
        <w:fldChar w:fldCharType="end"/>
      </w:r>
      <w:r w:rsidR="006C2EF9">
        <w:t xml:space="preserve"> </w:t>
      </w:r>
      <w:r w:rsidR="00A2495B">
        <w:t>p</w:t>
      </w:r>
      <w:r w:rsidR="006C2EF9">
        <w:t>resenta los servicios de SMS que se ofrecen a través de las redes móviles.</w:t>
      </w:r>
    </w:p>
    <w:p w14:paraId="7DD19D5A" w14:textId="18DE1E2D" w:rsidR="00F81128" w:rsidRPr="0067461A" w:rsidRDefault="00F81128" w:rsidP="00F81128">
      <w:pPr>
        <w:pStyle w:val="TableCaption"/>
        <w:rPr>
          <w:rStyle w:val="apple-style-span"/>
          <w:color w:val="000000"/>
          <w:lang w:val="es-ES"/>
        </w:rPr>
      </w:pPr>
      <w:bookmarkStart w:id="142" w:name="_Ref135392019"/>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5</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2</w:t>
      </w:r>
      <w:r w:rsidRPr="0067461A">
        <w:rPr>
          <w:lang w:val="es-ES"/>
        </w:rPr>
        <w:fldChar w:fldCharType="end"/>
      </w:r>
      <w:bookmarkEnd w:id="142"/>
      <w:r w:rsidRPr="0067461A">
        <w:rPr>
          <w:lang w:val="es-ES"/>
        </w:rPr>
        <w:t xml:space="preserve">: Servicios </w:t>
      </w:r>
      <w:r w:rsidR="008C73A0">
        <w:rPr>
          <w:lang w:val="es-ES"/>
        </w:rPr>
        <w:t xml:space="preserve">SMS </w:t>
      </w:r>
      <w:r w:rsidRPr="0067461A">
        <w:rPr>
          <w:lang w:val="es-ES"/>
        </w:rPr>
        <w:t xml:space="preserve">que se ofrecen a través de redes </w:t>
      </w:r>
      <w:r w:rsidR="008C73A0">
        <w:rPr>
          <w:lang w:val="es-ES"/>
        </w:rPr>
        <w:t>móviles</w:t>
      </w:r>
      <w:r w:rsidRPr="0067461A">
        <w:rPr>
          <w:lang w:val="es-ES"/>
        </w:rPr>
        <w:t xml:space="preserve"> [Fuente: Analysys Mason, 2023]</w:t>
      </w:r>
    </w:p>
    <w:tbl>
      <w:tblPr>
        <w:tblStyle w:val="Sombreadomedio2-nfasis1"/>
        <w:tblW w:w="8703" w:type="dxa"/>
        <w:tblBorders>
          <w:top w:val="single" w:sz="4" w:space="0" w:color="FFFFFF"/>
          <w:insideH w:val="single" w:sz="4" w:space="0" w:color="FFFFFF"/>
          <w:insideV w:val="single" w:sz="4" w:space="0" w:color="FFFFFF"/>
        </w:tblBorders>
        <w:tblLook w:val="0620" w:firstRow="1" w:lastRow="0" w:firstColumn="0" w:lastColumn="0" w:noHBand="1" w:noVBand="1"/>
      </w:tblPr>
      <w:tblGrid>
        <w:gridCol w:w="2410"/>
        <w:gridCol w:w="6293"/>
      </w:tblGrid>
      <w:tr w:rsidR="00F81128" w:rsidRPr="0067461A" w14:paraId="0DD9D7C1" w14:textId="77777777">
        <w:trPr>
          <w:cnfStyle w:val="100000000000" w:firstRow="1" w:lastRow="0" w:firstColumn="0" w:lastColumn="0" w:oddVBand="0" w:evenVBand="0" w:oddHBand="0" w:evenHBand="0" w:firstRowFirstColumn="0" w:firstRowLastColumn="0" w:lastRowFirstColumn="0" w:lastRowLastColumn="0"/>
          <w:tblHeader/>
        </w:trPr>
        <w:tc>
          <w:tcPr>
            <w:tcW w:w="2410" w:type="dxa"/>
            <w:tcBorders>
              <w:bottom w:val="single" w:sz="18" w:space="0" w:color="FFFFFF"/>
            </w:tcBorders>
            <w:shd w:val="solid" w:color="0F51B1" w:fill="0F51B1"/>
          </w:tcPr>
          <w:p w14:paraId="6D8E8658" w14:textId="77777777" w:rsidR="00F81128" w:rsidRPr="0067461A" w:rsidRDefault="00F81128">
            <w:pPr>
              <w:pStyle w:val="Tableheading"/>
              <w:rPr>
                <w:rStyle w:val="apple-style-span"/>
                <w:color w:val="FFFFFF" w:themeColor="background1"/>
              </w:rPr>
            </w:pPr>
            <w:r w:rsidRPr="0067461A">
              <w:rPr>
                <w:color w:val="FFFFFF" w:themeColor="background1"/>
              </w:rPr>
              <w:t>Servicio</w:t>
            </w:r>
          </w:p>
        </w:tc>
        <w:tc>
          <w:tcPr>
            <w:tcW w:w="6293" w:type="dxa"/>
            <w:tcBorders>
              <w:bottom w:val="single" w:sz="18" w:space="0" w:color="FFFFFF"/>
            </w:tcBorders>
            <w:shd w:val="solid" w:color="0F51B1" w:fill="0F51B1"/>
          </w:tcPr>
          <w:p w14:paraId="0FC4D987" w14:textId="77777777" w:rsidR="00F81128" w:rsidRPr="0067461A" w:rsidRDefault="00F81128">
            <w:pPr>
              <w:pStyle w:val="Tableheading"/>
              <w:rPr>
                <w:rStyle w:val="apple-style-span"/>
                <w:color w:val="FFFFFF" w:themeColor="background1"/>
              </w:rPr>
            </w:pPr>
            <w:r w:rsidRPr="0067461A">
              <w:rPr>
                <w:color w:val="FFFFFF" w:themeColor="background1"/>
              </w:rPr>
              <w:t>Descripción del servicio</w:t>
            </w:r>
          </w:p>
        </w:tc>
      </w:tr>
      <w:tr w:rsidR="00DF68C0" w:rsidRPr="0067461A" w14:paraId="19498C06" w14:textId="77777777">
        <w:tc>
          <w:tcPr>
            <w:tcW w:w="2410" w:type="dxa"/>
          </w:tcPr>
          <w:p w14:paraId="7936B411" w14:textId="46FCD47F" w:rsidR="00DF68C0" w:rsidRPr="00920B9F" w:rsidRDefault="00DF68C0" w:rsidP="00DF68C0">
            <w:pPr>
              <w:pStyle w:val="Tablecells"/>
              <w:rPr>
                <w:rStyle w:val="apple-style-span"/>
                <w:color w:val="000000"/>
                <w:lang w:val="es-ES"/>
              </w:rPr>
            </w:pPr>
            <w:r w:rsidRPr="00920B9F">
              <w:rPr>
                <w:rFonts w:cs="Arial"/>
                <w:lang w:val="es-ES"/>
              </w:rPr>
              <w:t>Roaming SMS saliente por tecnología</w:t>
            </w:r>
          </w:p>
        </w:tc>
        <w:tc>
          <w:tcPr>
            <w:tcW w:w="6293" w:type="dxa"/>
          </w:tcPr>
          <w:p w14:paraId="42A6EFC7" w14:textId="43F6C530" w:rsidR="00DF68C0" w:rsidRPr="00920B9F" w:rsidRDefault="00DF68C0" w:rsidP="00DF68C0">
            <w:pPr>
              <w:pStyle w:val="Tablecells"/>
              <w:rPr>
                <w:rStyle w:val="apple-style-span"/>
                <w:color w:val="000000"/>
                <w:lang w:val="es-ES"/>
              </w:rPr>
            </w:pPr>
            <w:r w:rsidRPr="00920B9F">
              <w:rPr>
                <w:lang w:val="es-ES"/>
              </w:rPr>
              <w:t>SMS de un usuario visitante (nacional o internacional)</w:t>
            </w:r>
            <w:r w:rsidRPr="00920B9F">
              <w:rPr>
                <w:rFonts w:cs="Arial"/>
                <w:lang w:val="es-ES"/>
              </w:rPr>
              <w:t xml:space="preserve"> </w:t>
            </w:r>
            <w:r w:rsidRPr="00920B9F">
              <w:rPr>
                <w:lang w:val="es-ES"/>
              </w:rPr>
              <w:t xml:space="preserve">en la red del operador móvil modelado </w:t>
            </w:r>
            <w:r w:rsidRPr="00920B9F">
              <w:rPr>
                <w:spacing w:val="-4"/>
                <w:lang w:val="es-ES"/>
              </w:rPr>
              <w:t>a un destino móvil, fijo o internacional</w:t>
            </w:r>
          </w:p>
        </w:tc>
      </w:tr>
      <w:tr w:rsidR="00DF68C0" w:rsidRPr="0067461A" w14:paraId="583B2A24" w14:textId="77777777">
        <w:tc>
          <w:tcPr>
            <w:tcW w:w="2410" w:type="dxa"/>
          </w:tcPr>
          <w:p w14:paraId="358D76C8" w14:textId="72EB192F" w:rsidR="00DF68C0" w:rsidRPr="00CE3783" w:rsidRDefault="00DF68C0" w:rsidP="00DF68C0">
            <w:pPr>
              <w:pStyle w:val="Tablecells"/>
              <w:rPr>
                <w:lang w:val="es-MX"/>
              </w:rPr>
            </w:pPr>
            <w:r w:rsidRPr="00CE3783">
              <w:rPr>
                <w:rFonts w:cs="Arial"/>
                <w:lang w:val="es-MX"/>
              </w:rPr>
              <w:t>Roaming SMS entrante por tecnología</w:t>
            </w:r>
          </w:p>
        </w:tc>
        <w:tc>
          <w:tcPr>
            <w:tcW w:w="6293" w:type="dxa"/>
          </w:tcPr>
          <w:p w14:paraId="0F129DC4" w14:textId="5EB98DC7" w:rsidR="00DF68C0" w:rsidRPr="00920B9F" w:rsidRDefault="00DF68C0" w:rsidP="00DF68C0">
            <w:pPr>
              <w:pStyle w:val="Tablecells"/>
              <w:ind w:right="0"/>
              <w:rPr>
                <w:lang w:val="es-ES"/>
              </w:rPr>
            </w:pPr>
            <w:r w:rsidRPr="00920B9F">
              <w:rPr>
                <w:lang w:val="es-ES"/>
              </w:rPr>
              <w:t xml:space="preserve">SMS recibidos desde otro operador móvil, </w:t>
            </w:r>
            <w:r w:rsidRPr="00920B9F">
              <w:rPr>
                <w:spacing w:val="-4"/>
                <w:lang w:val="es-ES"/>
              </w:rPr>
              <w:t xml:space="preserve">fijo o internacional </w:t>
            </w:r>
            <w:r w:rsidRPr="00920B9F">
              <w:rPr>
                <w:lang w:val="es-ES"/>
              </w:rPr>
              <w:t>y terminados en la red de un usuario visitante (nacional o internacional)</w:t>
            </w:r>
            <w:r w:rsidRPr="00920B9F">
              <w:rPr>
                <w:rFonts w:cs="Arial"/>
                <w:lang w:val="es-ES"/>
              </w:rPr>
              <w:t xml:space="preserve"> del operador móvil modelado</w:t>
            </w:r>
          </w:p>
        </w:tc>
      </w:tr>
      <w:tr w:rsidR="00DF68C0" w:rsidRPr="0067461A" w14:paraId="645BB00A" w14:textId="77777777">
        <w:tc>
          <w:tcPr>
            <w:tcW w:w="2410" w:type="dxa"/>
          </w:tcPr>
          <w:p w14:paraId="7A8E4688" w14:textId="0DA79020" w:rsidR="00DF68C0" w:rsidRPr="0067461A" w:rsidRDefault="00DF68C0" w:rsidP="00DF68C0">
            <w:pPr>
              <w:pStyle w:val="Tablecells"/>
              <w:rPr>
                <w:rFonts w:cs="Arial"/>
              </w:rPr>
            </w:pPr>
            <w:r w:rsidRPr="0067461A">
              <w:t xml:space="preserve">SMS on-net </w:t>
            </w:r>
            <w:r w:rsidRPr="0067461A">
              <w:rPr>
                <w:rFonts w:cs="Arial"/>
              </w:rPr>
              <w:t>por tecnología</w:t>
            </w:r>
          </w:p>
        </w:tc>
        <w:tc>
          <w:tcPr>
            <w:tcW w:w="6293" w:type="dxa"/>
          </w:tcPr>
          <w:p w14:paraId="3F34B6F5" w14:textId="7050DE15" w:rsidR="00DF68C0" w:rsidRPr="00CE3783" w:rsidRDefault="00DF68C0" w:rsidP="00DF68C0">
            <w:pPr>
              <w:pStyle w:val="Tablecells"/>
              <w:ind w:right="0"/>
              <w:rPr>
                <w:lang w:val="es-MX"/>
              </w:rPr>
            </w:pPr>
            <w:r w:rsidRPr="00CE3783">
              <w:rPr>
                <w:rStyle w:val="apple-style-span"/>
                <w:rFonts w:cs="Arial"/>
                <w:color w:val="000000"/>
                <w:lang w:val="es-MX"/>
              </w:rPr>
              <w:t xml:space="preserve">SMS entre dos suscriptores </w:t>
            </w:r>
            <w:r w:rsidRPr="00CE3783">
              <w:rPr>
                <w:rFonts w:cs="Arial"/>
                <w:lang w:val="es-MX"/>
              </w:rPr>
              <w:t xml:space="preserve">(minoristas u OMV o </w:t>
            </w:r>
            <w:r w:rsidRPr="00CE3783">
              <w:rPr>
                <w:rFonts w:cs="Arial"/>
                <w:i/>
                <w:lang w:val="es-MX"/>
              </w:rPr>
              <w:t>inbound roamer</w:t>
            </w:r>
            <w:r w:rsidRPr="00CE3783">
              <w:rPr>
                <w:rFonts w:cs="Arial"/>
                <w:lang w:val="es-MX"/>
              </w:rPr>
              <w:t xml:space="preserve">) </w:t>
            </w:r>
            <w:r w:rsidRPr="00CE3783">
              <w:rPr>
                <w:rStyle w:val="apple-style-span"/>
                <w:rFonts w:cs="Arial"/>
                <w:color w:val="000000"/>
                <w:lang w:val="es-MX"/>
              </w:rPr>
              <w:t>del operador móvil modelado</w:t>
            </w:r>
          </w:p>
        </w:tc>
      </w:tr>
      <w:tr w:rsidR="00DF68C0" w:rsidRPr="0067461A" w14:paraId="6C94505B" w14:textId="77777777">
        <w:tc>
          <w:tcPr>
            <w:tcW w:w="2410" w:type="dxa"/>
          </w:tcPr>
          <w:p w14:paraId="63B9A4AC" w14:textId="6964D040" w:rsidR="00DF68C0" w:rsidRPr="00920B9F" w:rsidRDefault="00DF68C0" w:rsidP="00DF68C0">
            <w:pPr>
              <w:pStyle w:val="Tablecells"/>
              <w:rPr>
                <w:rFonts w:cs="Arial"/>
                <w:lang w:val="es-ES"/>
              </w:rPr>
            </w:pPr>
            <w:r w:rsidRPr="00920B9F">
              <w:rPr>
                <w:lang w:val="es-ES"/>
              </w:rPr>
              <w:t xml:space="preserve">SMS salientes a otras redes </w:t>
            </w:r>
            <w:r w:rsidRPr="00920B9F">
              <w:rPr>
                <w:rFonts w:cs="Arial"/>
                <w:lang w:val="es-ES"/>
              </w:rPr>
              <w:t>por tecnología</w:t>
            </w:r>
          </w:p>
        </w:tc>
        <w:tc>
          <w:tcPr>
            <w:tcW w:w="6293" w:type="dxa"/>
          </w:tcPr>
          <w:p w14:paraId="63EF40C2" w14:textId="5B961492" w:rsidR="00DF68C0" w:rsidRPr="00920B9F" w:rsidRDefault="00DF68C0" w:rsidP="00DF68C0">
            <w:pPr>
              <w:pStyle w:val="Tablecells"/>
              <w:ind w:right="0"/>
              <w:rPr>
                <w:lang w:val="es-ES"/>
              </w:rPr>
            </w:pPr>
            <w:r w:rsidRPr="00920B9F">
              <w:rPr>
                <w:rStyle w:val="apple-style-span"/>
                <w:rFonts w:cs="Arial"/>
                <w:color w:val="000000"/>
                <w:lang w:val="es-ES"/>
              </w:rPr>
              <w:t xml:space="preserve">SMS de un suscriptor </w:t>
            </w:r>
            <w:r w:rsidRPr="00920B9F">
              <w:rPr>
                <w:rFonts w:cs="Arial"/>
                <w:lang w:val="es-ES"/>
              </w:rPr>
              <w:t xml:space="preserve">(minorista u OMV o </w:t>
            </w:r>
            <w:r w:rsidRPr="00920B9F">
              <w:rPr>
                <w:rFonts w:cs="Arial"/>
                <w:i/>
                <w:lang w:val="es-ES"/>
              </w:rPr>
              <w:t>inbound roamer</w:t>
            </w:r>
            <w:r w:rsidRPr="00920B9F">
              <w:rPr>
                <w:rFonts w:cs="Arial"/>
                <w:lang w:val="es-ES"/>
              </w:rPr>
              <w:t xml:space="preserve">) </w:t>
            </w:r>
            <w:r w:rsidRPr="00920B9F">
              <w:rPr>
                <w:rStyle w:val="apple-style-span"/>
                <w:rFonts w:cs="Arial"/>
                <w:color w:val="000000"/>
                <w:lang w:val="es-ES"/>
              </w:rPr>
              <w:t>del operador móvil modelado a otro operador de red</w:t>
            </w:r>
          </w:p>
        </w:tc>
      </w:tr>
      <w:tr w:rsidR="00DF68C0" w:rsidRPr="0067461A" w14:paraId="3AB4FAE9" w14:textId="77777777">
        <w:tc>
          <w:tcPr>
            <w:tcW w:w="2410" w:type="dxa"/>
          </w:tcPr>
          <w:p w14:paraId="322799FB" w14:textId="279FFF68" w:rsidR="00DF68C0" w:rsidRPr="00920B9F" w:rsidRDefault="00DF68C0" w:rsidP="00DF68C0">
            <w:pPr>
              <w:pStyle w:val="Tablecells"/>
              <w:rPr>
                <w:rFonts w:cs="Arial"/>
                <w:lang w:val="es-ES"/>
              </w:rPr>
            </w:pPr>
            <w:r w:rsidRPr="00920B9F">
              <w:rPr>
                <w:lang w:val="es-ES"/>
              </w:rPr>
              <w:t xml:space="preserve">SMS entrantes de otras redes </w:t>
            </w:r>
            <w:r w:rsidRPr="00920B9F">
              <w:rPr>
                <w:rFonts w:cs="Arial"/>
                <w:lang w:val="es-ES"/>
              </w:rPr>
              <w:t>por tecnología</w:t>
            </w:r>
          </w:p>
        </w:tc>
        <w:tc>
          <w:tcPr>
            <w:tcW w:w="6293" w:type="dxa"/>
          </w:tcPr>
          <w:p w14:paraId="344AF565" w14:textId="4015EE81" w:rsidR="00DF68C0" w:rsidRPr="00920B9F" w:rsidRDefault="00DF68C0" w:rsidP="00DF68C0">
            <w:pPr>
              <w:pStyle w:val="Tablecells"/>
              <w:ind w:right="0"/>
              <w:rPr>
                <w:lang w:val="es-ES"/>
              </w:rPr>
            </w:pPr>
            <w:r w:rsidRPr="00920B9F">
              <w:rPr>
                <w:rStyle w:val="apple-style-span"/>
                <w:rFonts w:cs="Arial"/>
                <w:color w:val="000000"/>
                <w:lang w:val="es-ES"/>
              </w:rPr>
              <w:t xml:space="preserve">SMS recibidos de otro operador y terminados en un abonado </w:t>
            </w:r>
            <w:r w:rsidRPr="00920B9F">
              <w:rPr>
                <w:rFonts w:cs="Arial"/>
                <w:lang w:val="es-ES"/>
              </w:rPr>
              <w:t xml:space="preserve">(minorista u OMV o </w:t>
            </w:r>
            <w:r w:rsidRPr="00920B9F">
              <w:rPr>
                <w:rFonts w:cs="Arial"/>
                <w:i/>
                <w:lang w:val="es-ES"/>
              </w:rPr>
              <w:t>inbound roamer</w:t>
            </w:r>
            <w:r w:rsidRPr="00920B9F">
              <w:rPr>
                <w:rFonts w:cs="Arial"/>
                <w:lang w:val="es-ES"/>
              </w:rPr>
              <w:t xml:space="preserve">) </w:t>
            </w:r>
            <w:r w:rsidRPr="00920B9F">
              <w:rPr>
                <w:rStyle w:val="apple-style-span"/>
                <w:rFonts w:cs="Arial"/>
                <w:color w:val="000000"/>
                <w:lang w:val="es-ES"/>
              </w:rPr>
              <w:t>del operador móvil modelado</w:t>
            </w:r>
          </w:p>
        </w:tc>
      </w:tr>
    </w:tbl>
    <w:p w14:paraId="24631F04" w14:textId="4279C5D8" w:rsidR="0063160D" w:rsidRDefault="0063160D" w:rsidP="0067461A"/>
    <w:p w14:paraId="0CAB61EF" w14:textId="348D6A39" w:rsidR="006C2EF9" w:rsidRPr="00DD0623" w:rsidRDefault="006C2EF9" w:rsidP="0067461A">
      <w:r>
        <w:t xml:space="preserve">La </w:t>
      </w:r>
      <w:r>
        <w:fldChar w:fldCharType="begin"/>
      </w:r>
      <w:r>
        <w:instrText xml:space="preserve"> REF _Ref135392066 \h </w:instrText>
      </w:r>
      <w:r>
        <w:fldChar w:fldCharType="separate"/>
      </w:r>
      <w:r w:rsidR="00475202" w:rsidRPr="0067461A">
        <w:t xml:space="preserve">Figura </w:t>
      </w:r>
      <w:r w:rsidR="00475202">
        <w:rPr>
          <w:noProof/>
        </w:rPr>
        <w:t>5</w:t>
      </w:r>
      <w:r w:rsidR="00475202" w:rsidRPr="0067461A">
        <w:t>.</w:t>
      </w:r>
      <w:r w:rsidR="00475202">
        <w:rPr>
          <w:noProof/>
        </w:rPr>
        <w:t>3</w:t>
      </w:r>
      <w:r>
        <w:fldChar w:fldCharType="end"/>
      </w:r>
      <w:r w:rsidR="001E6C53">
        <w:t xml:space="preserve"> </w:t>
      </w:r>
      <w:r w:rsidR="00C90F15">
        <w:t>p</w:t>
      </w:r>
      <w:r w:rsidR="001E6C53">
        <w:t>resenta l</w:t>
      </w:r>
      <w:r w:rsidR="00205C6A">
        <w:t>o</w:t>
      </w:r>
      <w:r w:rsidR="001E6C53">
        <w:t>s servicios de datos que se ofrecen a través de las redes móviles</w:t>
      </w:r>
    </w:p>
    <w:p w14:paraId="376C4511" w14:textId="3F313847" w:rsidR="00DF68C0" w:rsidRPr="0067461A" w:rsidRDefault="00DF68C0" w:rsidP="00DF68C0">
      <w:pPr>
        <w:pStyle w:val="TableCaption"/>
        <w:rPr>
          <w:rStyle w:val="apple-style-span"/>
          <w:color w:val="000000"/>
          <w:lang w:val="es-ES"/>
        </w:rPr>
      </w:pPr>
      <w:bookmarkStart w:id="143" w:name="_Ref135392066"/>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5</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3</w:t>
      </w:r>
      <w:r w:rsidRPr="0067461A">
        <w:rPr>
          <w:lang w:val="es-ES"/>
        </w:rPr>
        <w:fldChar w:fldCharType="end"/>
      </w:r>
      <w:bookmarkEnd w:id="143"/>
      <w:r w:rsidRPr="0067461A">
        <w:rPr>
          <w:lang w:val="es-ES"/>
        </w:rPr>
        <w:t>: Servicios</w:t>
      </w:r>
      <w:r w:rsidR="001E6C53">
        <w:rPr>
          <w:lang w:val="es-ES"/>
        </w:rPr>
        <w:t xml:space="preserve"> de datos</w:t>
      </w:r>
      <w:r w:rsidRPr="0067461A">
        <w:rPr>
          <w:lang w:val="es-ES"/>
        </w:rPr>
        <w:t xml:space="preserve"> que se ofrecen a través de redes </w:t>
      </w:r>
      <w:r w:rsidR="001E6C53">
        <w:rPr>
          <w:lang w:val="es-ES"/>
        </w:rPr>
        <w:t>móviles</w:t>
      </w:r>
      <w:r w:rsidRPr="0067461A">
        <w:rPr>
          <w:lang w:val="es-ES"/>
        </w:rPr>
        <w:t xml:space="preserve"> [Fuente: Analysys Mason, 2023]</w:t>
      </w:r>
    </w:p>
    <w:tbl>
      <w:tblPr>
        <w:tblStyle w:val="Sombreadomedio2-nfasis1"/>
        <w:tblW w:w="8703" w:type="dxa"/>
        <w:tblBorders>
          <w:top w:val="single" w:sz="4" w:space="0" w:color="FFFFFF"/>
          <w:insideH w:val="single" w:sz="4" w:space="0" w:color="FFFFFF"/>
          <w:insideV w:val="single" w:sz="4" w:space="0" w:color="FFFFFF"/>
        </w:tblBorders>
        <w:tblLook w:val="0620" w:firstRow="1" w:lastRow="0" w:firstColumn="0" w:lastColumn="0" w:noHBand="1" w:noVBand="1"/>
      </w:tblPr>
      <w:tblGrid>
        <w:gridCol w:w="2410"/>
        <w:gridCol w:w="6293"/>
      </w:tblGrid>
      <w:tr w:rsidR="00DF68C0" w:rsidRPr="0067461A" w14:paraId="28C7810A" w14:textId="77777777">
        <w:trPr>
          <w:cnfStyle w:val="100000000000" w:firstRow="1" w:lastRow="0" w:firstColumn="0" w:lastColumn="0" w:oddVBand="0" w:evenVBand="0" w:oddHBand="0" w:evenHBand="0" w:firstRowFirstColumn="0" w:firstRowLastColumn="0" w:lastRowFirstColumn="0" w:lastRowLastColumn="0"/>
          <w:tblHeader/>
        </w:trPr>
        <w:tc>
          <w:tcPr>
            <w:tcW w:w="2410" w:type="dxa"/>
            <w:tcBorders>
              <w:bottom w:val="single" w:sz="18" w:space="0" w:color="FFFFFF"/>
            </w:tcBorders>
            <w:shd w:val="solid" w:color="0F51B1" w:fill="0F51B1"/>
          </w:tcPr>
          <w:p w14:paraId="4FA2652E" w14:textId="77777777" w:rsidR="00DF68C0" w:rsidRPr="0067461A" w:rsidRDefault="00DF68C0">
            <w:pPr>
              <w:pStyle w:val="Tableheading"/>
              <w:rPr>
                <w:rStyle w:val="apple-style-span"/>
                <w:color w:val="FFFFFF" w:themeColor="background1"/>
              </w:rPr>
            </w:pPr>
            <w:r w:rsidRPr="0067461A">
              <w:rPr>
                <w:color w:val="FFFFFF" w:themeColor="background1"/>
              </w:rPr>
              <w:t>Servicio</w:t>
            </w:r>
          </w:p>
        </w:tc>
        <w:tc>
          <w:tcPr>
            <w:tcW w:w="6293" w:type="dxa"/>
            <w:tcBorders>
              <w:bottom w:val="single" w:sz="18" w:space="0" w:color="FFFFFF"/>
            </w:tcBorders>
            <w:shd w:val="solid" w:color="0F51B1" w:fill="0F51B1"/>
          </w:tcPr>
          <w:p w14:paraId="241084E8" w14:textId="77777777" w:rsidR="00DF68C0" w:rsidRPr="0067461A" w:rsidRDefault="00DF68C0">
            <w:pPr>
              <w:pStyle w:val="Tableheading"/>
              <w:rPr>
                <w:rStyle w:val="apple-style-span"/>
                <w:color w:val="FFFFFF" w:themeColor="background1"/>
              </w:rPr>
            </w:pPr>
            <w:r w:rsidRPr="0067461A">
              <w:rPr>
                <w:color w:val="FFFFFF" w:themeColor="background1"/>
              </w:rPr>
              <w:t>Descripción del servicio</w:t>
            </w:r>
          </w:p>
        </w:tc>
      </w:tr>
      <w:tr w:rsidR="008C73A0" w:rsidRPr="0067461A" w14:paraId="7FD0DFF9" w14:textId="77777777">
        <w:tc>
          <w:tcPr>
            <w:tcW w:w="2410" w:type="dxa"/>
          </w:tcPr>
          <w:p w14:paraId="08AE1E6C" w14:textId="0795AF1E" w:rsidR="008C73A0" w:rsidRPr="0067461A" w:rsidRDefault="008C73A0" w:rsidP="008C73A0">
            <w:pPr>
              <w:pStyle w:val="Tablecells"/>
              <w:rPr>
                <w:rStyle w:val="apple-style-span"/>
                <w:color w:val="000000"/>
              </w:rPr>
            </w:pPr>
            <w:r w:rsidRPr="002B35BA">
              <w:t>Servicio de datos R99</w:t>
            </w:r>
          </w:p>
        </w:tc>
        <w:tc>
          <w:tcPr>
            <w:tcW w:w="6293" w:type="dxa"/>
          </w:tcPr>
          <w:p w14:paraId="1AD1DB25" w14:textId="57829BAD" w:rsidR="008C73A0" w:rsidRPr="00920B9F" w:rsidRDefault="008C73A0" w:rsidP="008C73A0">
            <w:pPr>
              <w:pStyle w:val="Tablecells"/>
              <w:rPr>
                <w:rStyle w:val="apple-style-span"/>
                <w:color w:val="000000"/>
                <w:lang w:val="es-ES"/>
              </w:rPr>
            </w:pPr>
            <w:r w:rsidRPr="00920B9F">
              <w:rPr>
                <w:lang w:val="es-ES"/>
              </w:rPr>
              <w:t>Megabytes de servicio de datos (excluyendo las cabeceras de los paquetes IP) transferidos desde y hacia un suscriptor (minorista u OMV o inbound roamer) a través de la red de datos de baja velocidad 3G (portadoras Release 99)</w:t>
            </w:r>
          </w:p>
        </w:tc>
      </w:tr>
      <w:tr w:rsidR="008C73A0" w:rsidRPr="0067461A" w14:paraId="4DAC39ED" w14:textId="77777777">
        <w:tc>
          <w:tcPr>
            <w:tcW w:w="2410" w:type="dxa"/>
          </w:tcPr>
          <w:p w14:paraId="0B2D42E1" w14:textId="35FE1333" w:rsidR="008C73A0" w:rsidRPr="0067461A" w:rsidRDefault="008C73A0" w:rsidP="008C73A0">
            <w:pPr>
              <w:pStyle w:val="Tablecells"/>
            </w:pPr>
            <w:r w:rsidRPr="002B35BA">
              <w:lastRenderedPageBreak/>
              <w:t>Servicio de datos HSDPA</w:t>
            </w:r>
          </w:p>
        </w:tc>
        <w:tc>
          <w:tcPr>
            <w:tcW w:w="6293" w:type="dxa"/>
          </w:tcPr>
          <w:p w14:paraId="626B691C" w14:textId="1F475E25" w:rsidR="008C73A0" w:rsidRPr="00920B9F" w:rsidRDefault="008C73A0" w:rsidP="008C73A0">
            <w:pPr>
              <w:pStyle w:val="Tablecells"/>
              <w:ind w:right="0"/>
              <w:rPr>
                <w:lang w:val="es-ES"/>
              </w:rPr>
            </w:pPr>
            <w:r w:rsidRPr="00920B9F">
              <w:rPr>
                <w:lang w:val="es-ES"/>
              </w:rPr>
              <w:t>Megabytes de servicio de datos (excluyendo las cabeceras de los paquetes IP) transferidos hacia un suscriptor (minorista u OMV o inbound roamer) a través de la red HSPA</w:t>
            </w:r>
          </w:p>
        </w:tc>
      </w:tr>
      <w:tr w:rsidR="008C73A0" w:rsidRPr="0067461A" w14:paraId="72C6D0C9" w14:textId="77777777">
        <w:tc>
          <w:tcPr>
            <w:tcW w:w="2410" w:type="dxa"/>
          </w:tcPr>
          <w:p w14:paraId="6337225F" w14:textId="69750AA8" w:rsidR="008C73A0" w:rsidRPr="0067461A" w:rsidRDefault="008C73A0" w:rsidP="008C73A0">
            <w:pPr>
              <w:pStyle w:val="Tablecells"/>
              <w:rPr>
                <w:rFonts w:cs="Arial"/>
              </w:rPr>
            </w:pPr>
            <w:r w:rsidRPr="002B35BA">
              <w:t>Servicio de datos HSUPA</w:t>
            </w:r>
          </w:p>
        </w:tc>
        <w:tc>
          <w:tcPr>
            <w:tcW w:w="6293" w:type="dxa"/>
          </w:tcPr>
          <w:p w14:paraId="552E7838" w14:textId="3C449BD8" w:rsidR="008C73A0" w:rsidRPr="00920B9F" w:rsidRDefault="008C73A0" w:rsidP="008C73A0">
            <w:pPr>
              <w:pStyle w:val="Tablecells"/>
              <w:ind w:right="0"/>
              <w:rPr>
                <w:lang w:val="es-ES"/>
              </w:rPr>
            </w:pPr>
            <w:r w:rsidRPr="00920B9F">
              <w:rPr>
                <w:lang w:val="es-ES"/>
              </w:rPr>
              <w:t>Megabytes de servicio de datos (excluyendo las cabeceras de los paquetes IP) transferidos desde un suscriptor (minorista u OMV o inbound roamer) a través de la red HSPA</w:t>
            </w:r>
          </w:p>
        </w:tc>
      </w:tr>
      <w:tr w:rsidR="008C73A0" w:rsidRPr="0067461A" w14:paraId="3AB053A9" w14:textId="77777777">
        <w:tc>
          <w:tcPr>
            <w:tcW w:w="2410" w:type="dxa"/>
          </w:tcPr>
          <w:p w14:paraId="5044A40F" w14:textId="3DDB7D7B" w:rsidR="008C73A0" w:rsidRPr="0067461A" w:rsidRDefault="008C73A0" w:rsidP="008C73A0">
            <w:pPr>
              <w:pStyle w:val="Tablecells"/>
              <w:rPr>
                <w:rFonts w:cs="Arial"/>
              </w:rPr>
            </w:pPr>
            <w:r w:rsidRPr="002B35BA">
              <w:t>Servicio de datos LTE</w:t>
            </w:r>
          </w:p>
        </w:tc>
        <w:tc>
          <w:tcPr>
            <w:tcW w:w="6293" w:type="dxa"/>
          </w:tcPr>
          <w:p w14:paraId="7456A2CC" w14:textId="0EFA9A60" w:rsidR="008C73A0" w:rsidRPr="00920B9F" w:rsidRDefault="008C73A0" w:rsidP="008C73A0">
            <w:pPr>
              <w:pStyle w:val="Tablecells"/>
              <w:ind w:right="0"/>
              <w:rPr>
                <w:lang w:val="es-ES"/>
              </w:rPr>
            </w:pPr>
            <w:r w:rsidRPr="00920B9F">
              <w:rPr>
                <w:lang w:val="es-ES"/>
              </w:rPr>
              <w:t>Megabytes de servicio de datos (excluyendo las cabeceras de los paquetes IP) transferidos desde y hacia un suscriptor (minorista u OMV o inbound roamer) a través de la red LTE</w:t>
            </w:r>
          </w:p>
        </w:tc>
      </w:tr>
      <w:tr w:rsidR="008C73A0" w:rsidRPr="0067461A" w14:paraId="75A79A3B" w14:textId="77777777">
        <w:tc>
          <w:tcPr>
            <w:tcW w:w="2410" w:type="dxa"/>
          </w:tcPr>
          <w:p w14:paraId="1986556F" w14:textId="2F9FF2CD" w:rsidR="008C73A0" w:rsidRPr="0067461A" w:rsidRDefault="008C73A0" w:rsidP="008C73A0">
            <w:pPr>
              <w:pStyle w:val="Tablecells"/>
              <w:rPr>
                <w:rFonts w:cs="Arial"/>
              </w:rPr>
            </w:pPr>
            <w:r w:rsidRPr="002B35BA">
              <w:t>Servicio de datos 5G</w:t>
            </w:r>
          </w:p>
        </w:tc>
        <w:tc>
          <w:tcPr>
            <w:tcW w:w="6293" w:type="dxa"/>
          </w:tcPr>
          <w:p w14:paraId="51885166" w14:textId="5AECE9BD" w:rsidR="008C73A0" w:rsidRPr="00920B9F" w:rsidRDefault="008C73A0" w:rsidP="008C73A0">
            <w:pPr>
              <w:pStyle w:val="Tablecells"/>
              <w:ind w:right="0"/>
              <w:rPr>
                <w:lang w:val="es-ES"/>
              </w:rPr>
            </w:pPr>
            <w:r w:rsidRPr="00920B9F">
              <w:rPr>
                <w:lang w:val="es-ES"/>
              </w:rPr>
              <w:t>Megabytes de servicio de datos (excluyendo las cabeceras de los paquetes IP) transferidos desde y hacia un suscriptor (minorista u OMV o inbound roamer) a través de la red 5G</w:t>
            </w:r>
          </w:p>
        </w:tc>
      </w:tr>
      <w:tr w:rsidR="00D218D2" w:rsidRPr="0067461A" w14:paraId="41814DD1" w14:textId="77777777">
        <w:tc>
          <w:tcPr>
            <w:tcW w:w="2410" w:type="dxa"/>
          </w:tcPr>
          <w:p w14:paraId="4FD3961B" w14:textId="33934B34" w:rsidR="00D218D2" w:rsidRPr="002B35BA" w:rsidRDefault="00D218D2" w:rsidP="00D218D2">
            <w:pPr>
              <w:pStyle w:val="Tablecells"/>
            </w:pPr>
            <w:r w:rsidRPr="0067461A">
              <w:rPr>
                <w:rFonts w:cs="Arial"/>
              </w:rPr>
              <w:t>Roaming datos por tecnología</w:t>
            </w:r>
          </w:p>
        </w:tc>
        <w:tc>
          <w:tcPr>
            <w:tcW w:w="6293" w:type="dxa"/>
          </w:tcPr>
          <w:p w14:paraId="03327363" w14:textId="34B8CBE7" w:rsidR="00D218D2" w:rsidRPr="00920B9F" w:rsidRDefault="00D218D2" w:rsidP="00D218D2">
            <w:pPr>
              <w:pStyle w:val="Tablecells"/>
              <w:ind w:right="0"/>
              <w:rPr>
                <w:lang w:val="es-ES"/>
              </w:rPr>
            </w:pPr>
            <w:r w:rsidRPr="00920B9F">
              <w:rPr>
                <w:rStyle w:val="apple-style-span"/>
                <w:rFonts w:cs="Arial"/>
                <w:color w:val="000000"/>
                <w:lang w:val="es-ES"/>
              </w:rPr>
              <w:t xml:space="preserve">Megabytes de servicio de datos (excluyendo las cabeceras de los paquetes IP) transferidos desde y hacia un suscriptor (minorista u OMV o </w:t>
            </w:r>
            <w:r w:rsidRPr="00920B9F">
              <w:rPr>
                <w:rStyle w:val="apple-style-span"/>
                <w:rFonts w:cs="Arial"/>
                <w:i/>
                <w:color w:val="000000"/>
                <w:lang w:val="es-ES"/>
              </w:rPr>
              <w:t>inbound roamer</w:t>
            </w:r>
            <w:r w:rsidRPr="00920B9F">
              <w:rPr>
                <w:rStyle w:val="apple-style-span"/>
                <w:rFonts w:cs="Arial"/>
                <w:color w:val="000000"/>
                <w:lang w:val="es-ES"/>
              </w:rPr>
              <w:t xml:space="preserve">) de un </w:t>
            </w:r>
            <w:r w:rsidRPr="00920B9F">
              <w:rPr>
                <w:lang w:val="es-ES"/>
              </w:rPr>
              <w:t>usuario visitante (nacional o internacional)</w:t>
            </w:r>
            <w:r w:rsidRPr="00920B9F">
              <w:rPr>
                <w:rStyle w:val="apple-style-span"/>
                <w:rFonts w:cs="Arial"/>
                <w:color w:val="000000"/>
                <w:lang w:val="es-ES"/>
              </w:rPr>
              <w:t xml:space="preserve"> a través de la red del operador móvil modelado</w:t>
            </w:r>
          </w:p>
        </w:tc>
      </w:tr>
    </w:tbl>
    <w:p w14:paraId="5D32727E" w14:textId="77777777" w:rsidR="0063160D" w:rsidRDefault="0063160D" w:rsidP="0067461A"/>
    <w:tbl>
      <w:tblPr>
        <w:tblStyle w:val="Tablaconcuadrcula"/>
        <w:tblW w:w="0" w:type="auto"/>
        <w:tblLook w:val="04A0" w:firstRow="1" w:lastRow="0" w:firstColumn="1" w:lastColumn="0" w:noHBand="0" w:noVBand="1"/>
      </w:tblPr>
      <w:tblGrid>
        <w:gridCol w:w="8721"/>
      </w:tblGrid>
      <w:tr w:rsidR="000D1801" w:rsidRPr="0067461A" w14:paraId="7D728D3A" w14:textId="77777777" w:rsidTr="0071399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A06CA21" w14:textId="0B762469" w:rsidR="000D1801" w:rsidRDefault="000D1801" w:rsidP="00713997">
            <w:pPr>
              <w:spacing w:after="120"/>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18</w:t>
            </w:r>
            <w:r w:rsidRPr="0067461A">
              <w:rPr>
                <w:b/>
              </w:rPr>
              <w:fldChar w:fldCharType="end"/>
            </w:r>
            <w:r w:rsidRPr="0067461A">
              <w:rPr>
                <w:b/>
                <w:bCs/>
              </w:rPr>
              <w:t xml:space="preserve">: </w:t>
            </w:r>
            <w:r w:rsidRPr="0067461A">
              <w:t xml:space="preserve">Se agregarán los servicios de tráfico móvil para las diferentes clases de suscriptores </w:t>
            </w:r>
          </w:p>
          <w:p w14:paraId="51852F40" w14:textId="77777777" w:rsidR="000D1801" w:rsidRPr="0067461A" w:rsidRDefault="000D1801" w:rsidP="00713997">
            <w:pPr>
              <w:pStyle w:val="01"/>
            </w:pPr>
            <w:r w:rsidRPr="0067461A">
              <w:t xml:space="preserve">(p.ej., venta minorista, </w:t>
            </w:r>
            <w:r w:rsidRPr="0067461A">
              <w:rPr>
                <w:i/>
              </w:rPr>
              <w:t>inbound roamer</w:t>
            </w:r>
            <w:r w:rsidRPr="0067461A">
              <w:t>) para identificar los costos subyacentes del tráfico de red en el modelo móvil.</w:t>
            </w:r>
          </w:p>
        </w:tc>
      </w:tr>
    </w:tbl>
    <w:p w14:paraId="442427D0" w14:textId="77777777" w:rsidR="0067461A" w:rsidRPr="0067461A" w:rsidRDefault="0067461A" w:rsidP="0067461A">
      <w:pPr>
        <w:pStyle w:val="Ttulo3"/>
      </w:pPr>
      <w:r w:rsidRPr="0067461A">
        <w:t>Servicios que se ofrecen a través de redes fijas</w:t>
      </w:r>
    </w:p>
    <w:p w14:paraId="51BA28E1" w14:textId="715F54E3" w:rsidR="000D1801" w:rsidRDefault="000D1801" w:rsidP="0067461A">
      <w:pPr>
        <w:rPr>
          <w:rStyle w:val="apple-converted-space"/>
          <w:color w:val="000000"/>
        </w:rPr>
      </w:pPr>
      <w:r>
        <w:rPr>
          <w:rStyle w:val="apple-converted-space"/>
          <w:color w:val="000000"/>
        </w:rPr>
        <w:t>De manera similar al caso de las redes móviles, los servicios de redes fijas pueden desagregarse en tres tipos: servicios de voz, servicios de datos y acceso a internet, y otros servicios. A continuación se listan los distintos servicios fijos modelados.</w:t>
      </w:r>
    </w:p>
    <w:p w14:paraId="3A182889" w14:textId="24703EC8" w:rsidR="0067461A" w:rsidRPr="0067461A" w:rsidRDefault="0067461A" w:rsidP="0067461A">
      <w:pPr>
        <w:rPr>
          <w:rStyle w:val="apple-style-span"/>
          <w:color w:val="000000"/>
        </w:rPr>
      </w:pPr>
      <w:r w:rsidRPr="0067461A">
        <w:rPr>
          <w:rStyle w:val="apple-converted-space"/>
          <w:color w:val="000000"/>
        </w:rPr>
        <w:t xml:space="preserve">La </w:t>
      </w:r>
      <w:r w:rsidR="0063445C">
        <w:rPr>
          <w:rStyle w:val="apple-converted-space"/>
          <w:color w:val="000000"/>
        </w:rPr>
        <w:fldChar w:fldCharType="begin"/>
      </w:r>
      <w:r w:rsidR="0063445C">
        <w:rPr>
          <w:rStyle w:val="apple-converted-space"/>
          <w:color w:val="000000"/>
        </w:rPr>
        <w:instrText xml:space="preserve"> REF _Ref321212402 \h </w:instrText>
      </w:r>
      <w:r w:rsidR="0063445C">
        <w:rPr>
          <w:rStyle w:val="apple-converted-space"/>
          <w:color w:val="000000"/>
        </w:rPr>
      </w:r>
      <w:r w:rsidR="0063445C">
        <w:rPr>
          <w:rStyle w:val="apple-converted-space"/>
          <w:color w:val="000000"/>
        </w:rPr>
        <w:fldChar w:fldCharType="separate"/>
      </w:r>
      <w:r w:rsidR="00475202" w:rsidRPr="0067461A">
        <w:t xml:space="preserve">Figura </w:t>
      </w:r>
      <w:r w:rsidR="00475202">
        <w:rPr>
          <w:noProof/>
        </w:rPr>
        <w:t>5</w:t>
      </w:r>
      <w:r w:rsidR="00475202" w:rsidRPr="0067461A">
        <w:t>.</w:t>
      </w:r>
      <w:r w:rsidR="00475202">
        <w:rPr>
          <w:noProof/>
        </w:rPr>
        <w:t>4</w:t>
      </w:r>
      <w:r w:rsidR="0063445C">
        <w:rPr>
          <w:rStyle w:val="apple-converted-space"/>
          <w:color w:val="000000"/>
        </w:rPr>
        <w:fldChar w:fldCharType="end"/>
      </w:r>
      <w:r w:rsidRPr="0067461A">
        <w:rPr>
          <w:rStyle w:val="apple-converted-space"/>
          <w:color w:val="000000"/>
        </w:rPr>
        <w:t xml:space="preserve">presenta </w:t>
      </w:r>
      <w:r w:rsidRPr="0067461A">
        <w:rPr>
          <w:rStyle w:val="apple-style-span"/>
          <w:color w:val="000000"/>
        </w:rPr>
        <w:t>una serie de servicios de voz que generan tráfico en la red fija.</w:t>
      </w:r>
    </w:p>
    <w:p w14:paraId="4BD7DEAB" w14:textId="3495C703" w:rsidR="0067461A" w:rsidRPr="0067461A" w:rsidRDefault="0067461A" w:rsidP="0067461A">
      <w:pPr>
        <w:pStyle w:val="TableCaption"/>
        <w:rPr>
          <w:rStyle w:val="apple-style-span"/>
          <w:color w:val="000000"/>
          <w:lang w:val="es-ES"/>
        </w:rPr>
      </w:pPr>
      <w:bookmarkStart w:id="144" w:name="_Ref321212402"/>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5</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4</w:t>
      </w:r>
      <w:r w:rsidRPr="0067461A">
        <w:rPr>
          <w:lang w:val="es-ES"/>
        </w:rPr>
        <w:fldChar w:fldCharType="end"/>
      </w:r>
      <w:bookmarkEnd w:id="144"/>
      <w:r w:rsidRPr="0067461A">
        <w:rPr>
          <w:lang w:val="es-ES"/>
        </w:rPr>
        <w:t xml:space="preserve">: Servicios </w:t>
      </w:r>
      <w:r w:rsidR="0063445C">
        <w:rPr>
          <w:lang w:val="es-ES"/>
        </w:rPr>
        <w:t xml:space="preserve">de voz </w:t>
      </w:r>
      <w:r w:rsidRPr="0067461A">
        <w:rPr>
          <w:lang w:val="es-ES"/>
        </w:rPr>
        <w:t>que se ofrecen a través de redes fijas [Fuente: Analysys Mason, 2023]</w:t>
      </w:r>
    </w:p>
    <w:tbl>
      <w:tblPr>
        <w:tblStyle w:val="Sombreadomedio2-nfasis1"/>
        <w:tblW w:w="8703" w:type="dxa"/>
        <w:tblBorders>
          <w:top w:val="single" w:sz="4" w:space="0" w:color="FFFFFF"/>
          <w:insideH w:val="single" w:sz="4" w:space="0" w:color="FFFFFF"/>
          <w:insideV w:val="single" w:sz="4" w:space="0" w:color="FFFFFF"/>
        </w:tblBorders>
        <w:tblLook w:val="0620" w:firstRow="1" w:lastRow="0" w:firstColumn="0" w:lastColumn="0" w:noHBand="1" w:noVBand="1"/>
      </w:tblPr>
      <w:tblGrid>
        <w:gridCol w:w="2410"/>
        <w:gridCol w:w="6293"/>
      </w:tblGrid>
      <w:tr w:rsidR="0067461A" w:rsidRPr="0067461A" w14:paraId="79F4EE0A" w14:textId="77777777">
        <w:trPr>
          <w:cnfStyle w:val="100000000000" w:firstRow="1" w:lastRow="0" w:firstColumn="0" w:lastColumn="0" w:oddVBand="0" w:evenVBand="0" w:oddHBand="0" w:evenHBand="0" w:firstRowFirstColumn="0" w:firstRowLastColumn="0" w:lastRowFirstColumn="0" w:lastRowLastColumn="0"/>
          <w:tblHeader/>
        </w:trPr>
        <w:tc>
          <w:tcPr>
            <w:tcW w:w="2410" w:type="dxa"/>
            <w:tcBorders>
              <w:bottom w:val="single" w:sz="18" w:space="0" w:color="FFFFFF"/>
            </w:tcBorders>
            <w:shd w:val="solid" w:color="0F51B1" w:fill="0F51B1"/>
          </w:tcPr>
          <w:p w14:paraId="33862A3A" w14:textId="77777777" w:rsidR="0067461A" w:rsidRPr="0067461A" w:rsidRDefault="0067461A">
            <w:pPr>
              <w:pStyle w:val="Tableheading"/>
              <w:rPr>
                <w:rStyle w:val="apple-style-span"/>
                <w:b/>
                <w:bCs w:val="0"/>
                <w:color w:val="FFFFFF" w:themeColor="background1"/>
                <w:lang w:val="es-ES"/>
              </w:rPr>
            </w:pPr>
            <w:r w:rsidRPr="0067461A">
              <w:rPr>
                <w:b/>
                <w:bCs w:val="0"/>
                <w:color w:val="FFFFFF" w:themeColor="background1"/>
                <w:lang w:val="es-ES"/>
              </w:rPr>
              <w:t>Servicio</w:t>
            </w:r>
          </w:p>
        </w:tc>
        <w:tc>
          <w:tcPr>
            <w:tcW w:w="6293" w:type="dxa"/>
            <w:tcBorders>
              <w:bottom w:val="single" w:sz="18" w:space="0" w:color="FFFFFF"/>
            </w:tcBorders>
            <w:shd w:val="solid" w:color="0F51B1" w:fill="0F51B1"/>
          </w:tcPr>
          <w:p w14:paraId="3D0EC052" w14:textId="77777777" w:rsidR="0067461A" w:rsidRPr="0067461A" w:rsidRDefault="0067461A">
            <w:pPr>
              <w:pStyle w:val="Tableheading"/>
              <w:rPr>
                <w:rStyle w:val="apple-style-span"/>
                <w:b/>
                <w:bCs w:val="0"/>
                <w:color w:val="FFFFFF" w:themeColor="background1"/>
                <w:lang w:val="es-ES"/>
              </w:rPr>
            </w:pPr>
            <w:r w:rsidRPr="0067461A">
              <w:rPr>
                <w:b/>
                <w:bCs w:val="0"/>
                <w:color w:val="FFFFFF" w:themeColor="background1"/>
                <w:lang w:val="es-ES"/>
              </w:rPr>
              <w:t>Descripción del servicio</w:t>
            </w:r>
          </w:p>
        </w:tc>
      </w:tr>
      <w:tr w:rsidR="0067461A" w:rsidRPr="0067461A" w14:paraId="7DF0E1CC" w14:textId="77777777">
        <w:tc>
          <w:tcPr>
            <w:tcW w:w="2410" w:type="dxa"/>
          </w:tcPr>
          <w:p w14:paraId="445CF72F" w14:textId="77777777" w:rsidR="0067461A" w:rsidRPr="0067461A" w:rsidRDefault="0067461A">
            <w:pPr>
              <w:pStyle w:val="Tablecells"/>
              <w:rPr>
                <w:rStyle w:val="apple-style-span"/>
                <w:color w:val="000000"/>
                <w:lang w:val="es-ES"/>
              </w:rPr>
            </w:pPr>
            <w:r w:rsidRPr="0067461A">
              <w:rPr>
                <w:lang w:val="es-ES"/>
              </w:rPr>
              <w:t xml:space="preserve">Llamadas salientes on-net </w:t>
            </w:r>
          </w:p>
        </w:tc>
        <w:tc>
          <w:tcPr>
            <w:tcW w:w="6293" w:type="dxa"/>
          </w:tcPr>
          <w:p w14:paraId="3D83A229" w14:textId="77777777" w:rsidR="0067461A" w:rsidRPr="0067461A" w:rsidRDefault="0067461A">
            <w:pPr>
              <w:pStyle w:val="Tablecells"/>
              <w:rPr>
                <w:rStyle w:val="apple-style-span"/>
                <w:color w:val="000000"/>
                <w:lang w:val="es-ES"/>
              </w:rPr>
            </w:pPr>
            <w:r w:rsidRPr="0067461A">
              <w:rPr>
                <w:rFonts w:cs="Arial"/>
                <w:lang w:val="es-ES"/>
              </w:rPr>
              <w:t xml:space="preserve">Llamadas de voz entre dos suscriptores minoristas del operador fijo modelado </w:t>
            </w:r>
          </w:p>
        </w:tc>
      </w:tr>
      <w:tr w:rsidR="0067461A" w:rsidRPr="0067461A" w14:paraId="773D1FAD" w14:textId="77777777">
        <w:tc>
          <w:tcPr>
            <w:tcW w:w="2410" w:type="dxa"/>
          </w:tcPr>
          <w:p w14:paraId="1D134653" w14:textId="77777777" w:rsidR="0067461A" w:rsidRPr="0067461A" w:rsidRDefault="0067461A">
            <w:pPr>
              <w:pStyle w:val="Tablecells"/>
              <w:rPr>
                <w:lang w:val="es-ES"/>
              </w:rPr>
            </w:pPr>
            <w:r w:rsidRPr="0067461A">
              <w:rPr>
                <w:lang w:val="es-ES"/>
              </w:rPr>
              <w:t>Llamadas salientes a otros operadores fijos</w:t>
            </w:r>
          </w:p>
        </w:tc>
        <w:tc>
          <w:tcPr>
            <w:tcW w:w="6293" w:type="dxa"/>
          </w:tcPr>
          <w:p w14:paraId="077D9155" w14:textId="77777777" w:rsidR="0067461A" w:rsidRPr="0067461A" w:rsidRDefault="0067461A">
            <w:pPr>
              <w:pStyle w:val="Tablecells"/>
              <w:ind w:right="0"/>
              <w:rPr>
                <w:lang w:val="es-ES"/>
              </w:rPr>
            </w:pPr>
            <w:r w:rsidRPr="0067461A">
              <w:rPr>
                <w:lang w:val="es-ES"/>
              </w:rPr>
              <w:t xml:space="preserve">Llamadas de voz de un suscriptor minorista del operador fijo modelado a un operador fijo doméstico </w:t>
            </w:r>
          </w:p>
        </w:tc>
      </w:tr>
      <w:tr w:rsidR="0067461A" w:rsidRPr="0067461A" w14:paraId="458F7C9C" w14:textId="77777777">
        <w:tc>
          <w:tcPr>
            <w:tcW w:w="2410" w:type="dxa"/>
          </w:tcPr>
          <w:p w14:paraId="7EF519B8" w14:textId="77777777" w:rsidR="0067461A" w:rsidRPr="0067461A" w:rsidRDefault="0067461A">
            <w:pPr>
              <w:pStyle w:val="Tablecells"/>
              <w:rPr>
                <w:lang w:val="es-ES"/>
              </w:rPr>
            </w:pPr>
            <w:r w:rsidRPr="0067461A">
              <w:rPr>
                <w:lang w:val="es-ES"/>
              </w:rPr>
              <w:t>Llamadas salientes a móvil</w:t>
            </w:r>
          </w:p>
        </w:tc>
        <w:tc>
          <w:tcPr>
            <w:tcW w:w="6293" w:type="dxa"/>
          </w:tcPr>
          <w:p w14:paraId="1BE89B03" w14:textId="77777777" w:rsidR="0067461A" w:rsidRPr="0067461A" w:rsidRDefault="0067461A">
            <w:pPr>
              <w:pStyle w:val="Tablecells"/>
              <w:rPr>
                <w:lang w:val="es-ES"/>
              </w:rPr>
            </w:pPr>
            <w:r w:rsidRPr="0067461A">
              <w:rPr>
                <w:lang w:val="es-ES"/>
              </w:rPr>
              <w:t>Llamadas de voz de un suscriptor minorista del operador fijo modelado a un operador móvil doméstico</w:t>
            </w:r>
          </w:p>
        </w:tc>
      </w:tr>
      <w:tr w:rsidR="0067461A" w:rsidRPr="0067461A" w14:paraId="2E5C427E" w14:textId="77777777">
        <w:tc>
          <w:tcPr>
            <w:tcW w:w="2410" w:type="dxa"/>
          </w:tcPr>
          <w:p w14:paraId="2CAC4131" w14:textId="77777777" w:rsidR="0067461A" w:rsidRPr="0067461A" w:rsidRDefault="0067461A">
            <w:pPr>
              <w:pStyle w:val="Tablecells"/>
              <w:rPr>
                <w:lang w:val="es-ES"/>
              </w:rPr>
            </w:pPr>
            <w:r w:rsidRPr="0067461A">
              <w:rPr>
                <w:lang w:val="es-ES"/>
              </w:rPr>
              <w:t>Llamadas salientes a internacional</w:t>
            </w:r>
          </w:p>
        </w:tc>
        <w:tc>
          <w:tcPr>
            <w:tcW w:w="6293" w:type="dxa"/>
          </w:tcPr>
          <w:p w14:paraId="674DCA71" w14:textId="77777777" w:rsidR="0067461A" w:rsidRPr="0067461A" w:rsidRDefault="0067461A">
            <w:pPr>
              <w:pStyle w:val="Tablecells"/>
              <w:rPr>
                <w:lang w:val="es-ES"/>
              </w:rPr>
            </w:pPr>
            <w:r w:rsidRPr="0067461A">
              <w:rPr>
                <w:lang w:val="es-ES"/>
              </w:rPr>
              <w:t>Llamadas de voz de un suscriptor minorista del operador fijo modelado a un destino internacional</w:t>
            </w:r>
          </w:p>
        </w:tc>
      </w:tr>
      <w:tr w:rsidR="0067461A" w:rsidRPr="0067461A" w14:paraId="584EE1EC" w14:textId="77777777">
        <w:tc>
          <w:tcPr>
            <w:tcW w:w="2410" w:type="dxa"/>
          </w:tcPr>
          <w:p w14:paraId="246FB5C4" w14:textId="77777777" w:rsidR="0067461A" w:rsidRPr="0067461A" w:rsidRDefault="0067461A">
            <w:pPr>
              <w:pStyle w:val="Tablecells"/>
              <w:rPr>
                <w:lang w:val="es-ES"/>
              </w:rPr>
            </w:pPr>
            <w:r w:rsidRPr="0067461A">
              <w:rPr>
                <w:lang w:val="es-ES"/>
              </w:rPr>
              <w:t xml:space="preserve">Llamadas salientes a números no geográficos </w:t>
            </w:r>
          </w:p>
        </w:tc>
        <w:tc>
          <w:tcPr>
            <w:tcW w:w="6293" w:type="dxa"/>
          </w:tcPr>
          <w:p w14:paraId="6C9CD972" w14:textId="77777777" w:rsidR="0067461A" w:rsidRPr="0067461A" w:rsidRDefault="0067461A">
            <w:pPr>
              <w:pStyle w:val="Tablecells"/>
              <w:rPr>
                <w:lang w:val="es-ES"/>
              </w:rPr>
            </w:pPr>
            <w:r w:rsidRPr="0067461A">
              <w:rPr>
                <w:rFonts w:cs="Arial"/>
                <w:lang w:val="es-ES"/>
              </w:rPr>
              <w:t>Llamadas de voz de un suscriptor minorista del operador fijo modelado a números no geográficos, incluidos números comerciales de pago, consultas del directorio y servicios de emergencia</w:t>
            </w:r>
          </w:p>
        </w:tc>
      </w:tr>
      <w:tr w:rsidR="0067461A" w:rsidRPr="0067461A" w14:paraId="6EEF530E" w14:textId="77777777">
        <w:tc>
          <w:tcPr>
            <w:tcW w:w="2410" w:type="dxa"/>
          </w:tcPr>
          <w:p w14:paraId="653E1025" w14:textId="77777777" w:rsidR="0067461A" w:rsidRPr="0067461A" w:rsidRDefault="0067461A">
            <w:pPr>
              <w:pStyle w:val="Tablecells"/>
              <w:rPr>
                <w:lang w:val="es-ES"/>
              </w:rPr>
            </w:pPr>
            <w:r w:rsidRPr="0067461A">
              <w:rPr>
                <w:lang w:val="es-ES"/>
              </w:rPr>
              <w:t>Llamadas entrantes de otros operadores fijos</w:t>
            </w:r>
          </w:p>
        </w:tc>
        <w:tc>
          <w:tcPr>
            <w:tcW w:w="6293" w:type="dxa"/>
          </w:tcPr>
          <w:p w14:paraId="18FE4D7C" w14:textId="77777777" w:rsidR="0067461A" w:rsidRPr="0067461A" w:rsidRDefault="0067461A">
            <w:pPr>
              <w:pStyle w:val="Tablecells"/>
              <w:rPr>
                <w:rFonts w:cs="Arial"/>
                <w:lang w:val="es-ES"/>
              </w:rPr>
            </w:pPr>
            <w:r w:rsidRPr="0067461A">
              <w:rPr>
                <w:rFonts w:cs="Arial"/>
                <w:lang w:val="es-ES"/>
              </w:rPr>
              <w:t xml:space="preserve">Llamadas de voz recibidas de otro operador fijo y terminadas en la red de un suscriptor minorista del operador fijo modelado, tras transitar </w:t>
            </w:r>
            <w:r w:rsidRPr="0067461A">
              <w:rPr>
                <w:rFonts w:cs="Arial"/>
                <w:lang w:val="es-ES"/>
              </w:rPr>
              <w:lastRenderedPageBreak/>
              <w:t>en otro conmutador troncal del operador fijo modelado, consideradas exclusivamente a nivel de enrutamiento</w:t>
            </w:r>
          </w:p>
        </w:tc>
      </w:tr>
      <w:tr w:rsidR="0067461A" w:rsidRPr="0067461A" w14:paraId="393D82BE" w14:textId="77777777">
        <w:tc>
          <w:tcPr>
            <w:tcW w:w="2410" w:type="dxa"/>
          </w:tcPr>
          <w:p w14:paraId="6E522516" w14:textId="77777777" w:rsidR="0067461A" w:rsidRPr="0067461A" w:rsidRDefault="0067461A">
            <w:pPr>
              <w:pStyle w:val="Tablecells"/>
              <w:rPr>
                <w:lang w:val="es-ES"/>
              </w:rPr>
            </w:pPr>
            <w:r w:rsidRPr="0067461A">
              <w:rPr>
                <w:lang w:val="es-ES"/>
              </w:rPr>
              <w:lastRenderedPageBreak/>
              <w:t>Llamadas entrantes de móvil</w:t>
            </w:r>
          </w:p>
        </w:tc>
        <w:tc>
          <w:tcPr>
            <w:tcW w:w="6293" w:type="dxa"/>
          </w:tcPr>
          <w:p w14:paraId="6065B780" w14:textId="77777777" w:rsidR="0067461A" w:rsidRPr="0067461A" w:rsidRDefault="0067461A">
            <w:pPr>
              <w:pStyle w:val="Tablecells"/>
              <w:rPr>
                <w:rFonts w:cs="Arial"/>
                <w:lang w:val="es-ES"/>
              </w:rPr>
            </w:pPr>
            <w:r w:rsidRPr="0067461A">
              <w:rPr>
                <w:rFonts w:cs="Arial"/>
                <w:lang w:val="es-ES"/>
              </w:rPr>
              <w:t>Llamadas de voz recibidas de otro operador móvil y terminadas en la red de un suscriptor minorista del operador fijo modelado, tras transitar en otro conmutador troncal del operador fijo modelado</w:t>
            </w:r>
          </w:p>
        </w:tc>
      </w:tr>
      <w:tr w:rsidR="0067461A" w:rsidRPr="0067461A" w14:paraId="3D4F42AD" w14:textId="77777777">
        <w:tc>
          <w:tcPr>
            <w:tcW w:w="2410" w:type="dxa"/>
          </w:tcPr>
          <w:p w14:paraId="07CD7351" w14:textId="77777777" w:rsidR="0067461A" w:rsidRPr="0067461A" w:rsidRDefault="0067461A">
            <w:pPr>
              <w:pStyle w:val="Tablecells"/>
              <w:rPr>
                <w:lang w:val="es-ES"/>
              </w:rPr>
            </w:pPr>
            <w:r w:rsidRPr="0067461A">
              <w:rPr>
                <w:lang w:val="es-ES"/>
              </w:rPr>
              <w:t>Llamadas entrantes de internacional</w:t>
            </w:r>
          </w:p>
        </w:tc>
        <w:tc>
          <w:tcPr>
            <w:tcW w:w="6293" w:type="dxa"/>
          </w:tcPr>
          <w:p w14:paraId="6FCD980E" w14:textId="77777777" w:rsidR="0067461A" w:rsidRPr="0067461A" w:rsidRDefault="0067461A">
            <w:pPr>
              <w:pStyle w:val="Tablecells"/>
              <w:ind w:right="0"/>
              <w:rPr>
                <w:rFonts w:cs="Arial"/>
                <w:lang w:val="es-ES"/>
              </w:rPr>
            </w:pPr>
            <w:r w:rsidRPr="0067461A">
              <w:rPr>
                <w:rFonts w:cs="Arial"/>
                <w:lang w:val="es-ES"/>
              </w:rPr>
              <w:t>Llamadas de voz recibidas de otro operador internacional y terminadas en la red de un suscriptor minorista del operador fijo modelado, tras transitar en otro conmutador troncal del operador fijo modelado</w:t>
            </w:r>
          </w:p>
        </w:tc>
      </w:tr>
      <w:tr w:rsidR="0067461A" w:rsidRPr="0067461A" w14:paraId="75188A81" w14:textId="77777777">
        <w:tc>
          <w:tcPr>
            <w:tcW w:w="2410" w:type="dxa"/>
          </w:tcPr>
          <w:p w14:paraId="24BDCEC6" w14:textId="77777777" w:rsidR="0067461A" w:rsidRPr="0067461A" w:rsidRDefault="0067461A">
            <w:pPr>
              <w:pStyle w:val="Tablecells"/>
              <w:rPr>
                <w:lang w:val="es-ES"/>
              </w:rPr>
            </w:pPr>
            <w:r w:rsidRPr="0067461A">
              <w:rPr>
                <w:lang w:val="es-ES"/>
              </w:rPr>
              <w:t>Llamadas entrantes de números no geográficos</w:t>
            </w:r>
          </w:p>
        </w:tc>
        <w:tc>
          <w:tcPr>
            <w:tcW w:w="6293" w:type="dxa"/>
          </w:tcPr>
          <w:p w14:paraId="20B2594C" w14:textId="77777777" w:rsidR="0067461A" w:rsidRPr="0067461A" w:rsidRDefault="0067461A">
            <w:pPr>
              <w:pStyle w:val="Tablecells"/>
              <w:rPr>
                <w:rFonts w:cs="Arial"/>
                <w:lang w:val="es-ES"/>
              </w:rPr>
            </w:pPr>
            <w:r w:rsidRPr="0067461A">
              <w:rPr>
                <w:rFonts w:cs="Arial"/>
                <w:lang w:val="es-ES"/>
              </w:rPr>
              <w:t>Llamadas de voz recibidas de un suscriptor minorista de otro operador a números no geográficos, incluidos números comerciales de pago, consultas del directorio y servicios de emergencia</w:t>
            </w:r>
          </w:p>
        </w:tc>
      </w:tr>
      <w:tr w:rsidR="0067461A" w:rsidRPr="0067461A" w14:paraId="0D41BA5B" w14:textId="77777777">
        <w:tc>
          <w:tcPr>
            <w:tcW w:w="2410" w:type="dxa"/>
          </w:tcPr>
          <w:p w14:paraId="49866528" w14:textId="77777777" w:rsidR="0067461A" w:rsidRPr="0067461A" w:rsidRDefault="0067461A">
            <w:pPr>
              <w:pStyle w:val="Tablecells"/>
              <w:rPr>
                <w:lang w:val="es-ES"/>
              </w:rPr>
            </w:pPr>
            <w:r w:rsidRPr="0067461A">
              <w:rPr>
                <w:lang w:val="es-ES"/>
              </w:rPr>
              <w:t xml:space="preserve">Llamadas en tránsito </w:t>
            </w:r>
          </w:p>
        </w:tc>
        <w:tc>
          <w:tcPr>
            <w:tcW w:w="6293" w:type="dxa"/>
          </w:tcPr>
          <w:p w14:paraId="43E397C2" w14:textId="77777777" w:rsidR="0067461A" w:rsidRPr="0067461A" w:rsidRDefault="0067461A">
            <w:pPr>
              <w:pStyle w:val="Tablecells"/>
              <w:rPr>
                <w:rFonts w:cs="Arial"/>
                <w:lang w:val="es-ES"/>
              </w:rPr>
            </w:pPr>
            <w:r w:rsidRPr="0067461A">
              <w:rPr>
                <w:rFonts w:cs="Arial"/>
                <w:lang w:val="es-ES"/>
              </w:rPr>
              <w:t>Llamadas de voz recibidas de otro operador internacional, móvil o fijo y terminadas en la red de otro operador internacional, móvil o fijo, tras transitar en otro conmutador troncal del operador fijo modelado, consideradas exclusivamente a nivel de enrutamiento</w:t>
            </w:r>
          </w:p>
        </w:tc>
      </w:tr>
      <w:tr w:rsidR="0067461A" w:rsidRPr="0067461A" w14:paraId="555E351A" w14:textId="77777777">
        <w:tc>
          <w:tcPr>
            <w:tcW w:w="2410" w:type="dxa"/>
          </w:tcPr>
          <w:p w14:paraId="2D96F679" w14:textId="77777777" w:rsidR="0067461A" w:rsidRPr="0067461A" w:rsidRDefault="0067461A">
            <w:pPr>
              <w:pStyle w:val="Tablecells"/>
              <w:rPr>
                <w:lang w:val="es-ES"/>
              </w:rPr>
            </w:pPr>
            <w:r w:rsidRPr="0067461A">
              <w:rPr>
                <w:lang w:val="es-ES"/>
              </w:rPr>
              <w:t>SMS salientes</w:t>
            </w:r>
          </w:p>
        </w:tc>
        <w:tc>
          <w:tcPr>
            <w:tcW w:w="6293" w:type="dxa"/>
          </w:tcPr>
          <w:p w14:paraId="137A4964" w14:textId="77777777" w:rsidR="0067461A" w:rsidRPr="0067461A" w:rsidRDefault="0067461A">
            <w:pPr>
              <w:pStyle w:val="Tablecells"/>
              <w:rPr>
                <w:rFonts w:cs="Arial"/>
                <w:lang w:val="es-ES"/>
              </w:rPr>
            </w:pPr>
            <w:r w:rsidRPr="0067461A">
              <w:rPr>
                <w:rStyle w:val="apple-style-span"/>
                <w:rFonts w:cs="Arial"/>
                <w:color w:val="000000"/>
                <w:lang w:val="es-ES"/>
              </w:rPr>
              <w:t>SMS de un suscriptor del operador fijo modelado a otro operador</w:t>
            </w:r>
          </w:p>
        </w:tc>
      </w:tr>
      <w:tr w:rsidR="0067461A" w:rsidRPr="0067461A" w14:paraId="5540746F" w14:textId="77777777">
        <w:tc>
          <w:tcPr>
            <w:tcW w:w="2410" w:type="dxa"/>
          </w:tcPr>
          <w:p w14:paraId="1A2813FE" w14:textId="77777777" w:rsidR="0067461A" w:rsidRPr="0067461A" w:rsidRDefault="0067461A">
            <w:pPr>
              <w:pStyle w:val="Tablecells"/>
              <w:rPr>
                <w:lang w:val="es-ES"/>
              </w:rPr>
            </w:pPr>
            <w:r w:rsidRPr="0067461A">
              <w:rPr>
                <w:lang w:val="es-ES"/>
              </w:rPr>
              <w:t>SMS entrantes</w:t>
            </w:r>
          </w:p>
        </w:tc>
        <w:tc>
          <w:tcPr>
            <w:tcW w:w="6293" w:type="dxa"/>
          </w:tcPr>
          <w:p w14:paraId="0E93C02F" w14:textId="77777777" w:rsidR="0067461A" w:rsidRPr="0067461A" w:rsidRDefault="0067461A">
            <w:pPr>
              <w:pStyle w:val="Tablecells"/>
              <w:rPr>
                <w:rStyle w:val="apple-style-span"/>
                <w:rFonts w:cs="Arial"/>
                <w:color w:val="000000"/>
                <w:lang w:val="es-ES"/>
              </w:rPr>
            </w:pPr>
            <w:r w:rsidRPr="0067461A">
              <w:rPr>
                <w:rStyle w:val="apple-style-span"/>
                <w:rFonts w:cs="Arial"/>
                <w:color w:val="000000"/>
                <w:lang w:val="es-ES"/>
              </w:rPr>
              <w:t>SMS recibido de otro operador y terminado en la red de un suscriptor del operador fijo modelado</w:t>
            </w:r>
          </w:p>
        </w:tc>
      </w:tr>
    </w:tbl>
    <w:p w14:paraId="24BFAA5B" w14:textId="77777777" w:rsidR="0067461A" w:rsidRPr="0067461A" w:rsidRDefault="0067461A" w:rsidP="0067461A">
      <w:pPr>
        <w:pStyle w:val="Tablenote"/>
        <w:pBdr>
          <w:bottom w:val="single" w:sz="4" w:space="6" w:color="auto"/>
        </w:pBdr>
        <w:tabs>
          <w:tab w:val="clear" w:pos="567"/>
        </w:tabs>
        <w:ind w:left="0" w:firstLine="0"/>
        <w:rPr>
          <w:rStyle w:val="apple-style-span"/>
          <w:color w:val="000000"/>
          <w:lang w:val="es-ES"/>
        </w:rPr>
      </w:pPr>
      <w:r w:rsidRPr="0067461A">
        <w:rPr>
          <w:lang w:val="es-ES"/>
        </w:rPr>
        <w:t>Nota: Las llamadas salientes mayoristas corresponden al servicio de originación, mientras que las llamadas entrantes mayoristas corresponden al servicio de terminación</w:t>
      </w:r>
    </w:p>
    <w:p w14:paraId="67F72B57" w14:textId="77777777" w:rsidR="0067461A" w:rsidRPr="0067461A" w:rsidRDefault="0067461A" w:rsidP="0067461A">
      <w:r w:rsidRPr="0067461A">
        <w:br/>
        <w:t>Estos servicios se han incluido con el fin de estimar de manera precisa los costos totales y su distribución entre los distintos servicios que hacen uso de la red (esto no implica que resulte en una regulación de sus precios).</w:t>
      </w:r>
    </w:p>
    <w:tbl>
      <w:tblPr>
        <w:tblStyle w:val="Tablaconcuadrcula"/>
        <w:tblW w:w="0" w:type="auto"/>
        <w:tblLook w:val="04A0" w:firstRow="1" w:lastRow="0" w:firstColumn="1" w:lastColumn="0" w:noHBand="0" w:noVBand="1"/>
      </w:tblPr>
      <w:tblGrid>
        <w:gridCol w:w="8721"/>
      </w:tblGrid>
      <w:tr w:rsidR="0067461A" w:rsidRPr="0067461A" w14:paraId="7E34C7FE"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04690FC" w14:textId="7DC0CB59" w:rsidR="0067461A" w:rsidRPr="0067461A" w:rsidRDefault="0067461A">
            <w:pPr>
              <w:spacing w:after="120"/>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19</w:t>
            </w:r>
            <w:r w:rsidRPr="0067461A">
              <w:rPr>
                <w:b/>
              </w:rPr>
              <w:fldChar w:fldCharType="end"/>
            </w:r>
            <w:r w:rsidRPr="0067461A">
              <w:rPr>
                <w:b/>
                <w:bCs/>
              </w:rPr>
              <w:t xml:space="preserve">: </w:t>
            </w:r>
            <w:r w:rsidRPr="0067461A">
              <w:t>El tráfico generado por las líneas ISDN se incluirá en los servicios fijos de voz, es decir, no hay servicios específicos de voz ISDN.</w:t>
            </w:r>
          </w:p>
        </w:tc>
      </w:tr>
    </w:tbl>
    <w:p w14:paraId="49E9612C" w14:textId="0C094093" w:rsidR="0067461A" w:rsidRPr="0067461A" w:rsidRDefault="0067461A" w:rsidP="0067461A">
      <w:pPr>
        <w:rPr>
          <w:rStyle w:val="apple-style-span"/>
          <w:color w:val="000000"/>
        </w:rPr>
      </w:pPr>
      <w:r w:rsidRPr="0067461A">
        <w:rPr>
          <w:rStyle w:val="apple-style-span"/>
          <w:color w:val="000000"/>
        </w:rPr>
        <w:br/>
        <w:t xml:space="preserve">La </w:t>
      </w:r>
      <w:r w:rsidRPr="0067461A">
        <w:rPr>
          <w:rStyle w:val="apple-style-span"/>
          <w:color w:val="000000"/>
        </w:rPr>
        <w:fldChar w:fldCharType="begin"/>
      </w:r>
      <w:r w:rsidRPr="0067461A">
        <w:rPr>
          <w:rStyle w:val="apple-style-span"/>
          <w:color w:val="000000"/>
        </w:rPr>
        <w:instrText xml:space="preserve"> REF _Ref321212433 \h </w:instrText>
      </w:r>
      <w:r w:rsidRPr="0067461A">
        <w:rPr>
          <w:rStyle w:val="apple-style-span"/>
          <w:color w:val="000000"/>
        </w:rPr>
      </w:r>
      <w:r w:rsidRPr="0067461A">
        <w:rPr>
          <w:rStyle w:val="apple-style-span"/>
          <w:color w:val="000000"/>
        </w:rPr>
        <w:fldChar w:fldCharType="separate"/>
      </w:r>
      <w:r w:rsidR="00475202" w:rsidRPr="0067461A">
        <w:t xml:space="preserve">Figura </w:t>
      </w:r>
      <w:r w:rsidR="00475202">
        <w:rPr>
          <w:noProof/>
        </w:rPr>
        <w:t>5</w:t>
      </w:r>
      <w:r w:rsidR="00475202" w:rsidRPr="0067461A">
        <w:t>.</w:t>
      </w:r>
      <w:r w:rsidR="00475202">
        <w:rPr>
          <w:noProof/>
        </w:rPr>
        <w:t>5</w:t>
      </w:r>
      <w:r w:rsidRPr="0067461A">
        <w:rPr>
          <w:rStyle w:val="apple-style-span"/>
          <w:color w:val="000000"/>
        </w:rPr>
        <w:fldChar w:fldCharType="end"/>
      </w:r>
      <w:r w:rsidRPr="0067461A">
        <w:rPr>
          <w:rStyle w:val="apple-style-span"/>
          <w:color w:val="000000"/>
        </w:rPr>
        <w:t xml:space="preserve"> incluye la lista de servicios relacionados con el acceso a internet que se incluirán en el modelo.</w:t>
      </w:r>
      <w:r w:rsidRPr="0067461A">
        <w:rPr>
          <w:rStyle w:val="apple-style-span"/>
        </w:rPr>
        <w:t xml:space="preserve"> Se han incluido estos servicios para </w:t>
      </w:r>
      <w:r w:rsidRPr="0067461A">
        <w:rPr>
          <w:rStyle w:val="apple-style-span"/>
          <w:color w:val="000000"/>
        </w:rPr>
        <w:t xml:space="preserve">capturar los requerimientos de backhaul de retorno de la central local a la red troncal. </w:t>
      </w:r>
    </w:p>
    <w:p w14:paraId="19419F3E" w14:textId="44BB510E" w:rsidR="0067461A" w:rsidRPr="0067461A" w:rsidRDefault="0067461A" w:rsidP="0067461A">
      <w:pPr>
        <w:pStyle w:val="TableCaption"/>
        <w:rPr>
          <w:lang w:val="es-ES"/>
        </w:rPr>
      </w:pPr>
      <w:bookmarkStart w:id="145" w:name="_Ref321212433"/>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5</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5</w:t>
      </w:r>
      <w:r w:rsidRPr="0067461A">
        <w:rPr>
          <w:lang w:val="es-ES"/>
        </w:rPr>
        <w:fldChar w:fldCharType="end"/>
      </w:r>
      <w:bookmarkEnd w:id="145"/>
      <w:r w:rsidRPr="0067461A">
        <w:rPr>
          <w:lang w:val="es-ES"/>
        </w:rPr>
        <w:t>: Servicios de acceso a internet [Fuente: Analysys Mason, 2023]</w:t>
      </w:r>
    </w:p>
    <w:tbl>
      <w:tblPr>
        <w:tblStyle w:val="Sombreadomedio2-nfasis1"/>
        <w:tblW w:w="8720" w:type="dxa"/>
        <w:tblBorders>
          <w:top w:val="single" w:sz="4" w:space="0" w:color="FFFFFF"/>
          <w:insideH w:val="single" w:sz="4" w:space="0" w:color="FFFFFF"/>
          <w:insideV w:val="single" w:sz="4" w:space="0" w:color="FFFFFF"/>
        </w:tblBorders>
        <w:tblLook w:val="0620" w:firstRow="1" w:lastRow="0" w:firstColumn="0" w:lastColumn="0" w:noHBand="1" w:noVBand="1"/>
      </w:tblPr>
      <w:tblGrid>
        <w:gridCol w:w="2410"/>
        <w:gridCol w:w="6310"/>
      </w:tblGrid>
      <w:tr w:rsidR="0067461A" w:rsidRPr="0067461A" w14:paraId="72F2538B" w14:textId="77777777">
        <w:trPr>
          <w:cnfStyle w:val="100000000000" w:firstRow="1" w:lastRow="0" w:firstColumn="0" w:lastColumn="0" w:oddVBand="0" w:evenVBand="0" w:oddHBand="0" w:evenHBand="0" w:firstRowFirstColumn="0" w:firstRowLastColumn="0" w:lastRowFirstColumn="0" w:lastRowLastColumn="0"/>
          <w:tblHeader/>
        </w:trPr>
        <w:tc>
          <w:tcPr>
            <w:tcW w:w="2410" w:type="dxa"/>
            <w:tcBorders>
              <w:bottom w:val="single" w:sz="18" w:space="0" w:color="FFFFFF"/>
            </w:tcBorders>
            <w:shd w:val="solid" w:color="0F51B1" w:fill="0F51B1"/>
          </w:tcPr>
          <w:p w14:paraId="0586C13A" w14:textId="77777777" w:rsidR="0067461A" w:rsidRPr="0067461A" w:rsidRDefault="0067461A">
            <w:pPr>
              <w:pStyle w:val="Tableheading"/>
              <w:rPr>
                <w:b/>
                <w:bCs w:val="0"/>
                <w:color w:val="FFFFFF" w:themeColor="background1"/>
                <w:lang w:val="es-ES"/>
              </w:rPr>
            </w:pPr>
            <w:r w:rsidRPr="0067461A">
              <w:rPr>
                <w:b/>
                <w:bCs w:val="0"/>
                <w:color w:val="FFFFFF" w:themeColor="background1"/>
                <w:lang w:val="es-ES"/>
              </w:rPr>
              <w:t>Servicio</w:t>
            </w:r>
          </w:p>
        </w:tc>
        <w:tc>
          <w:tcPr>
            <w:tcW w:w="6310" w:type="dxa"/>
            <w:tcBorders>
              <w:bottom w:val="single" w:sz="18" w:space="0" w:color="FFFFFF"/>
            </w:tcBorders>
            <w:shd w:val="solid" w:color="0F51B1" w:fill="0F51B1"/>
          </w:tcPr>
          <w:p w14:paraId="1DAF8E49" w14:textId="77777777" w:rsidR="0067461A" w:rsidRPr="0067461A" w:rsidRDefault="0067461A">
            <w:pPr>
              <w:pStyle w:val="Tableheading"/>
              <w:rPr>
                <w:b/>
                <w:bCs w:val="0"/>
                <w:color w:val="FFFFFF" w:themeColor="background1"/>
                <w:lang w:val="es-ES"/>
              </w:rPr>
            </w:pPr>
            <w:r w:rsidRPr="0067461A">
              <w:rPr>
                <w:b/>
                <w:bCs w:val="0"/>
                <w:color w:val="FFFFFF" w:themeColor="background1"/>
                <w:lang w:val="es-ES"/>
              </w:rPr>
              <w:t>Descripción del servicio</w:t>
            </w:r>
          </w:p>
        </w:tc>
      </w:tr>
      <w:tr w:rsidR="0067461A" w:rsidRPr="0067461A" w14:paraId="780E4A97" w14:textId="77777777">
        <w:tc>
          <w:tcPr>
            <w:tcW w:w="2410" w:type="dxa"/>
            <w:tcBorders>
              <w:top w:val="single" w:sz="18" w:space="0" w:color="FFFFFF"/>
            </w:tcBorders>
          </w:tcPr>
          <w:p w14:paraId="557BF135" w14:textId="77777777" w:rsidR="0067461A" w:rsidRPr="0067461A" w:rsidRDefault="0067461A">
            <w:pPr>
              <w:pStyle w:val="Tablecells"/>
              <w:rPr>
                <w:lang w:val="es-ES"/>
              </w:rPr>
            </w:pPr>
            <w:r w:rsidRPr="0067461A">
              <w:rPr>
                <w:rFonts w:cs="Arial"/>
                <w:lang w:val="es-ES"/>
              </w:rPr>
              <w:t>Banda ancha propia (líneas)</w:t>
            </w:r>
          </w:p>
        </w:tc>
        <w:tc>
          <w:tcPr>
            <w:tcW w:w="6310" w:type="dxa"/>
            <w:tcBorders>
              <w:top w:val="single" w:sz="18" w:space="0" w:color="FFFFFF"/>
            </w:tcBorders>
          </w:tcPr>
          <w:p w14:paraId="0EE165E2" w14:textId="752AEF84" w:rsidR="0067461A" w:rsidRPr="0067461A" w:rsidRDefault="0067461A">
            <w:pPr>
              <w:pStyle w:val="Tablecells"/>
              <w:rPr>
                <w:lang w:val="es-ES"/>
              </w:rPr>
            </w:pPr>
            <w:r w:rsidRPr="0067461A">
              <w:rPr>
                <w:rFonts w:cs="Arial"/>
                <w:lang w:val="es-ES"/>
              </w:rPr>
              <w:t>Provisión de una línea de acceso para el servicio de internet comercializado por el departamento minorista del operador modelado</w:t>
            </w:r>
          </w:p>
        </w:tc>
      </w:tr>
      <w:tr w:rsidR="0067461A" w:rsidRPr="0067461A" w14:paraId="035C8E10" w14:textId="77777777">
        <w:tc>
          <w:tcPr>
            <w:tcW w:w="2410" w:type="dxa"/>
          </w:tcPr>
          <w:p w14:paraId="57508B99" w14:textId="77777777" w:rsidR="0067461A" w:rsidRPr="0067461A" w:rsidRDefault="0067461A">
            <w:pPr>
              <w:pStyle w:val="Tablecells"/>
              <w:rPr>
                <w:lang w:val="es-ES"/>
              </w:rPr>
            </w:pPr>
            <w:r w:rsidRPr="0067461A">
              <w:rPr>
                <w:rFonts w:cs="Arial"/>
                <w:lang w:val="es-ES"/>
              </w:rPr>
              <w:t xml:space="preserve">Banda ancha propia </w:t>
            </w:r>
            <w:r w:rsidRPr="0067461A">
              <w:rPr>
                <w:lang w:val="es-ES"/>
              </w:rPr>
              <w:t>(contenido)</w:t>
            </w:r>
          </w:p>
        </w:tc>
        <w:tc>
          <w:tcPr>
            <w:tcW w:w="6310" w:type="dxa"/>
          </w:tcPr>
          <w:p w14:paraId="48085974" w14:textId="0B337FBC" w:rsidR="0067461A" w:rsidRPr="0067461A" w:rsidRDefault="0067461A">
            <w:pPr>
              <w:pStyle w:val="Tablecells"/>
              <w:rPr>
                <w:lang w:val="es-ES"/>
              </w:rPr>
            </w:pPr>
            <w:r w:rsidRPr="0067461A">
              <w:rPr>
                <w:rFonts w:cs="Arial"/>
                <w:lang w:val="es-ES"/>
              </w:rPr>
              <w:t>Ancho de banda en una línea para el servicio de internet comercializado por el departamento minorista del operador modelado, independiente de la tecnología de acceso</w:t>
            </w:r>
          </w:p>
        </w:tc>
      </w:tr>
      <w:tr w:rsidR="0067461A" w:rsidRPr="0067461A" w14:paraId="7A80F097" w14:textId="77777777">
        <w:tc>
          <w:tcPr>
            <w:tcW w:w="2410" w:type="dxa"/>
          </w:tcPr>
          <w:p w14:paraId="10C2A3E7" w14:textId="77777777" w:rsidR="0067461A" w:rsidRPr="0067461A" w:rsidRDefault="0067461A">
            <w:pPr>
              <w:pStyle w:val="Tablecells"/>
              <w:rPr>
                <w:lang w:val="es-ES"/>
              </w:rPr>
            </w:pPr>
            <w:r w:rsidRPr="0067461A">
              <w:rPr>
                <w:rFonts w:cs="Arial"/>
                <w:lang w:val="es-ES"/>
              </w:rPr>
              <w:t xml:space="preserve">Banda ancha ajena </w:t>
            </w:r>
            <w:r w:rsidRPr="0067461A">
              <w:rPr>
                <w:lang w:val="es-ES"/>
              </w:rPr>
              <w:t>(líneas)</w:t>
            </w:r>
          </w:p>
        </w:tc>
        <w:tc>
          <w:tcPr>
            <w:tcW w:w="6310" w:type="dxa"/>
          </w:tcPr>
          <w:p w14:paraId="16168F37" w14:textId="51B80E9C" w:rsidR="0067461A" w:rsidRPr="0067461A" w:rsidRDefault="0067461A">
            <w:pPr>
              <w:pStyle w:val="Tablecells"/>
              <w:rPr>
                <w:lang w:val="es-ES"/>
              </w:rPr>
            </w:pPr>
            <w:r w:rsidRPr="0067461A">
              <w:rPr>
                <w:rFonts w:cs="Arial"/>
                <w:lang w:val="es-ES"/>
              </w:rPr>
              <w:t>Provisión de una línea de acceso para el servicio de internet comercializado por el departamento mayorista del operador modelado</w:t>
            </w:r>
          </w:p>
        </w:tc>
      </w:tr>
      <w:tr w:rsidR="0067461A" w:rsidRPr="0067461A" w14:paraId="4BE6DABC" w14:textId="77777777">
        <w:tc>
          <w:tcPr>
            <w:tcW w:w="2410" w:type="dxa"/>
          </w:tcPr>
          <w:p w14:paraId="3F9AD93A" w14:textId="588A430F" w:rsidR="0067461A" w:rsidRPr="0067461A" w:rsidRDefault="0067461A">
            <w:pPr>
              <w:pStyle w:val="Tablecells"/>
              <w:rPr>
                <w:lang w:val="es-ES"/>
              </w:rPr>
            </w:pPr>
            <w:r w:rsidRPr="0067461A">
              <w:rPr>
                <w:lang w:val="es-ES"/>
              </w:rPr>
              <w:t>S</w:t>
            </w:r>
            <w:r w:rsidRPr="00920B9F">
              <w:rPr>
                <w:lang w:val="es-ES"/>
              </w:rPr>
              <w:t>ervicio de concentración y distribución</w:t>
            </w:r>
            <w:r w:rsidRPr="0067461A">
              <w:rPr>
                <w:lang w:val="es-ES"/>
              </w:rPr>
              <w:t xml:space="preserve"> por nivel de agregación de tráfico </w:t>
            </w:r>
            <w:r w:rsidRPr="0067461A">
              <w:rPr>
                <w:lang w:val="es-ES"/>
              </w:rPr>
              <w:lastRenderedPageBreak/>
              <w:t>(nacional, regional, local)</w:t>
            </w:r>
            <w:r w:rsidRPr="0067461A">
              <w:rPr>
                <w:rStyle w:val="Refdenotaalpie"/>
                <w:lang w:val="es-ES"/>
              </w:rPr>
              <w:footnoteReference w:id="20"/>
            </w:r>
            <w:r w:rsidRPr="0067461A">
              <w:rPr>
                <w:lang w:val="es-ES"/>
              </w:rPr>
              <w:t xml:space="preserve">, </w:t>
            </w:r>
          </w:p>
        </w:tc>
        <w:tc>
          <w:tcPr>
            <w:tcW w:w="6310" w:type="dxa"/>
          </w:tcPr>
          <w:p w14:paraId="62F4CA3F" w14:textId="4B3B7981" w:rsidR="0067461A" w:rsidRPr="00920B9F" w:rsidRDefault="0067461A">
            <w:pPr>
              <w:pStyle w:val="Tablecells"/>
              <w:rPr>
                <w:rFonts w:cs="Arial"/>
                <w:lang w:val="es-ES"/>
              </w:rPr>
            </w:pPr>
            <w:r w:rsidRPr="0067461A">
              <w:rPr>
                <w:rFonts w:cs="Arial"/>
                <w:lang w:val="es-ES"/>
              </w:rPr>
              <w:lastRenderedPageBreak/>
              <w:t>Ancho de banda en una línea para el servicio de internet comercializado por el departamento mayorista del operador modelado, independiente de la tecnología de acceso</w:t>
            </w:r>
            <w:r w:rsidR="00666080">
              <w:rPr>
                <w:rFonts w:cs="Arial"/>
                <w:lang w:val="es-ES"/>
              </w:rPr>
              <w:t>.</w:t>
            </w:r>
          </w:p>
          <w:p w14:paraId="328C5007" w14:textId="206D1B1A" w:rsidR="00666080" w:rsidRPr="0067461A" w:rsidRDefault="00666080">
            <w:pPr>
              <w:pStyle w:val="Tablecells"/>
              <w:rPr>
                <w:rFonts w:cs="Arial"/>
                <w:lang w:val="es-ES"/>
              </w:rPr>
            </w:pPr>
            <w:r w:rsidRPr="00920B9F">
              <w:rPr>
                <w:rFonts w:cs="Arial"/>
                <w:lang w:val="es-ES"/>
              </w:rPr>
              <w:lastRenderedPageBreak/>
              <w:t>El modulo del servicios de concentración y distribución proporcionara la desagregación del costo del servicio para las distintas variant</w:t>
            </w:r>
            <w:r w:rsidR="005A04B4" w:rsidRPr="00920B9F">
              <w:rPr>
                <w:rFonts w:cs="Arial"/>
                <w:lang w:val="es-ES"/>
              </w:rPr>
              <w:t>e</w:t>
            </w:r>
            <w:r w:rsidRPr="00920B9F">
              <w:rPr>
                <w:rFonts w:cs="Arial"/>
                <w:lang w:val="es-ES"/>
              </w:rPr>
              <w:t>s</w:t>
            </w:r>
            <w:r w:rsidR="005A04B4" w:rsidRPr="00920B9F">
              <w:rPr>
                <w:rFonts w:cs="Arial"/>
                <w:lang w:val="es-ES"/>
              </w:rPr>
              <w:t xml:space="preserve"> existentes</w:t>
            </w:r>
            <w:r w:rsidRPr="00920B9F">
              <w:rPr>
                <w:rFonts w:cs="Arial"/>
                <w:lang w:val="es-ES"/>
              </w:rPr>
              <w:t xml:space="preserve"> </w:t>
            </w:r>
          </w:p>
        </w:tc>
      </w:tr>
    </w:tbl>
    <w:p w14:paraId="72622EFE" w14:textId="48554040" w:rsidR="0067461A" w:rsidRPr="0067461A" w:rsidRDefault="0067461A" w:rsidP="0067461A">
      <w:r w:rsidRPr="0067461A">
        <w:lastRenderedPageBreak/>
        <w:t xml:space="preserve">Existe además una lista de ‘otros’ servicios que se incluirán también en el modelo de servicios de telefonía fija, como se detalla en la </w:t>
      </w:r>
      <w:r w:rsidR="0063445C">
        <w:fldChar w:fldCharType="begin"/>
      </w:r>
      <w:r w:rsidR="0063445C">
        <w:instrText xml:space="preserve"> REF _Ref321212462 \h </w:instrText>
      </w:r>
      <w:r w:rsidR="0063445C">
        <w:fldChar w:fldCharType="separate"/>
      </w:r>
      <w:r w:rsidR="00475202" w:rsidRPr="0067461A">
        <w:t xml:space="preserve">Figura </w:t>
      </w:r>
      <w:r w:rsidR="00475202">
        <w:rPr>
          <w:noProof/>
        </w:rPr>
        <w:t>5</w:t>
      </w:r>
      <w:r w:rsidR="00475202" w:rsidRPr="0067461A">
        <w:t>.</w:t>
      </w:r>
      <w:r w:rsidR="00475202">
        <w:rPr>
          <w:noProof/>
        </w:rPr>
        <w:t>6</w:t>
      </w:r>
      <w:r w:rsidR="0063445C">
        <w:fldChar w:fldCharType="end"/>
      </w:r>
      <w:r w:rsidRPr="0067461A">
        <w:t>.</w:t>
      </w:r>
    </w:p>
    <w:p w14:paraId="3BB1B82A" w14:textId="755C6D5F" w:rsidR="0067461A" w:rsidRPr="0067461A" w:rsidRDefault="0067461A" w:rsidP="0067461A">
      <w:pPr>
        <w:pStyle w:val="TableCaption"/>
        <w:rPr>
          <w:lang w:val="es-ES"/>
        </w:rPr>
      </w:pPr>
      <w:bookmarkStart w:id="146" w:name="_Ref321212462"/>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5</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6</w:t>
      </w:r>
      <w:r w:rsidRPr="0067461A">
        <w:rPr>
          <w:lang w:val="es-ES"/>
        </w:rPr>
        <w:fldChar w:fldCharType="end"/>
      </w:r>
      <w:bookmarkEnd w:id="146"/>
      <w:r w:rsidRPr="0067461A">
        <w:rPr>
          <w:lang w:val="es-ES"/>
        </w:rPr>
        <w:t>: Otros servicios fijos [Fuente: Analysys Mason, 2023]</w:t>
      </w:r>
    </w:p>
    <w:tbl>
      <w:tblPr>
        <w:tblStyle w:val="Sombreadomedio2-nfasis1"/>
        <w:tblW w:w="8720" w:type="dxa"/>
        <w:tblBorders>
          <w:top w:val="single" w:sz="4" w:space="0" w:color="FFFFFF"/>
          <w:insideH w:val="single" w:sz="4" w:space="0" w:color="FFFFFF"/>
          <w:insideV w:val="single" w:sz="4" w:space="0" w:color="FFFFFF"/>
        </w:tblBorders>
        <w:tblLook w:val="0620" w:firstRow="1" w:lastRow="0" w:firstColumn="0" w:lastColumn="0" w:noHBand="1" w:noVBand="1"/>
      </w:tblPr>
      <w:tblGrid>
        <w:gridCol w:w="2410"/>
        <w:gridCol w:w="6310"/>
      </w:tblGrid>
      <w:tr w:rsidR="0067461A" w:rsidRPr="0067461A" w14:paraId="3C539541" w14:textId="77777777">
        <w:trPr>
          <w:cnfStyle w:val="100000000000" w:firstRow="1" w:lastRow="0" w:firstColumn="0" w:lastColumn="0" w:oddVBand="0" w:evenVBand="0" w:oddHBand="0" w:evenHBand="0" w:firstRowFirstColumn="0" w:firstRowLastColumn="0" w:lastRowFirstColumn="0" w:lastRowLastColumn="0"/>
          <w:tblHeader/>
        </w:trPr>
        <w:tc>
          <w:tcPr>
            <w:tcW w:w="2410" w:type="dxa"/>
            <w:tcBorders>
              <w:bottom w:val="single" w:sz="18" w:space="0" w:color="FFFFFF"/>
            </w:tcBorders>
            <w:shd w:val="solid" w:color="0F51B1" w:fill="0F51B1"/>
          </w:tcPr>
          <w:p w14:paraId="2BF300B2" w14:textId="77777777" w:rsidR="0067461A" w:rsidRPr="0067461A" w:rsidRDefault="0067461A">
            <w:pPr>
              <w:pStyle w:val="Tableheading"/>
              <w:rPr>
                <w:b/>
                <w:bCs w:val="0"/>
                <w:color w:val="FFFFFF" w:themeColor="background1"/>
                <w:lang w:val="es-ES"/>
              </w:rPr>
            </w:pPr>
            <w:r w:rsidRPr="0067461A">
              <w:rPr>
                <w:b/>
                <w:bCs w:val="0"/>
                <w:color w:val="FFFFFF" w:themeColor="background1"/>
                <w:lang w:val="es-ES"/>
              </w:rPr>
              <w:t>Servicio</w:t>
            </w:r>
          </w:p>
        </w:tc>
        <w:tc>
          <w:tcPr>
            <w:tcW w:w="6310" w:type="dxa"/>
            <w:tcBorders>
              <w:bottom w:val="single" w:sz="18" w:space="0" w:color="FFFFFF"/>
            </w:tcBorders>
            <w:shd w:val="solid" w:color="0F51B1" w:fill="0F51B1"/>
          </w:tcPr>
          <w:p w14:paraId="246E738C" w14:textId="77777777" w:rsidR="0067461A" w:rsidRPr="0067461A" w:rsidRDefault="0067461A">
            <w:pPr>
              <w:pStyle w:val="Tableheading"/>
              <w:rPr>
                <w:b/>
                <w:bCs w:val="0"/>
                <w:color w:val="FFFFFF" w:themeColor="background1"/>
                <w:lang w:val="es-ES"/>
              </w:rPr>
            </w:pPr>
            <w:r w:rsidRPr="0067461A">
              <w:rPr>
                <w:b/>
                <w:bCs w:val="0"/>
                <w:color w:val="FFFFFF" w:themeColor="background1"/>
                <w:lang w:val="es-ES"/>
              </w:rPr>
              <w:t>Descripción del servicio</w:t>
            </w:r>
          </w:p>
        </w:tc>
      </w:tr>
      <w:tr w:rsidR="0067461A" w:rsidRPr="0067461A" w14:paraId="72592CBB" w14:textId="77777777">
        <w:tc>
          <w:tcPr>
            <w:tcW w:w="2410" w:type="dxa"/>
            <w:tcBorders>
              <w:top w:val="single" w:sz="18" w:space="0" w:color="FFFFFF"/>
            </w:tcBorders>
          </w:tcPr>
          <w:p w14:paraId="6D91BED2" w14:textId="77777777" w:rsidR="0067461A" w:rsidRPr="0067461A" w:rsidRDefault="0067461A">
            <w:pPr>
              <w:pStyle w:val="Tablecells"/>
              <w:rPr>
                <w:lang w:val="es-ES"/>
              </w:rPr>
            </w:pPr>
            <w:r w:rsidRPr="0067461A">
              <w:rPr>
                <w:rFonts w:cs="Arial"/>
                <w:lang w:val="es-ES"/>
              </w:rPr>
              <w:t>Enlaces dedicados</w:t>
            </w:r>
          </w:p>
        </w:tc>
        <w:tc>
          <w:tcPr>
            <w:tcW w:w="6310" w:type="dxa"/>
            <w:tcBorders>
              <w:top w:val="single" w:sz="18" w:space="0" w:color="FFFFFF"/>
            </w:tcBorders>
          </w:tcPr>
          <w:p w14:paraId="0B5260D3" w14:textId="4A7EDB4E" w:rsidR="0067461A" w:rsidRPr="0067461A" w:rsidRDefault="0067461A">
            <w:pPr>
              <w:pStyle w:val="Tablecells"/>
              <w:rPr>
                <w:lang w:val="es-ES"/>
              </w:rPr>
            </w:pPr>
            <w:r w:rsidRPr="0067461A">
              <w:rPr>
                <w:rFonts w:cs="Arial"/>
                <w:lang w:val="es-ES"/>
              </w:rPr>
              <w:t>Incluye servicios de líneas alquiladas, ya sea para aprovisionar a clientes minoristas u otros operadores</w:t>
            </w:r>
            <w:r w:rsidR="005A04B4">
              <w:rPr>
                <w:rFonts w:cs="Arial"/>
                <w:lang w:val="es-ES"/>
              </w:rPr>
              <w:t>, tantopara enlaces dedicados locales como para enlaces dedicados entre localidades y de larga distancia internacional</w:t>
            </w:r>
          </w:p>
        </w:tc>
      </w:tr>
      <w:tr w:rsidR="0067461A" w:rsidRPr="0067461A" w14:paraId="30D72F63" w14:textId="77777777">
        <w:tc>
          <w:tcPr>
            <w:tcW w:w="2410" w:type="dxa"/>
          </w:tcPr>
          <w:p w14:paraId="6215F6F8" w14:textId="77777777" w:rsidR="0067461A" w:rsidRPr="0067461A" w:rsidRDefault="0067461A">
            <w:pPr>
              <w:pStyle w:val="Tablecells"/>
              <w:rPr>
                <w:lang w:val="es-ES"/>
              </w:rPr>
            </w:pPr>
            <w:r w:rsidRPr="0067461A">
              <w:rPr>
                <w:rFonts w:cs="Arial"/>
                <w:lang w:val="es-ES"/>
              </w:rPr>
              <w:t>Televisión</w:t>
            </w:r>
          </w:p>
        </w:tc>
        <w:tc>
          <w:tcPr>
            <w:tcW w:w="6310" w:type="dxa"/>
          </w:tcPr>
          <w:p w14:paraId="7FB07DCD" w14:textId="77777777" w:rsidR="0067461A" w:rsidRPr="0067461A" w:rsidRDefault="0067461A">
            <w:pPr>
              <w:pStyle w:val="Tablecells"/>
              <w:ind w:right="-37"/>
              <w:rPr>
                <w:spacing w:val="-4"/>
                <w:lang w:val="es-ES"/>
              </w:rPr>
            </w:pPr>
            <w:r w:rsidRPr="0067461A">
              <w:rPr>
                <w:rFonts w:cs="Arial"/>
                <w:spacing w:val="-4"/>
                <w:lang w:val="es-ES"/>
              </w:rPr>
              <w:t>Provisión del servicio de televisión, ya sea lineal o de vídeo bajo demanda, comercializado por el departamento minorista del operador modelado</w:t>
            </w:r>
          </w:p>
        </w:tc>
      </w:tr>
    </w:tbl>
    <w:p w14:paraId="4A41C401" w14:textId="704B9F38" w:rsidR="0067461A" w:rsidRPr="0067461A" w:rsidRDefault="0067461A" w:rsidP="0067461A">
      <w:pPr>
        <w:spacing w:before="240"/>
        <w:rPr>
          <w:rStyle w:val="apple-style-span"/>
          <w:color w:val="000000"/>
        </w:rPr>
      </w:pPr>
    </w:p>
    <w:p w14:paraId="09D90B99" w14:textId="77777777" w:rsidR="0067461A" w:rsidRPr="0067461A" w:rsidRDefault="0067461A" w:rsidP="0067461A">
      <w:pPr>
        <w:pStyle w:val="Ttulo2"/>
      </w:pPr>
      <w:bookmarkStart w:id="147" w:name="_Toc135391572"/>
      <w:bookmarkStart w:id="148" w:name="_Toc135392316"/>
      <w:bookmarkStart w:id="149" w:name="_Toc135391573"/>
      <w:bookmarkStart w:id="150" w:name="_Toc135392317"/>
      <w:bookmarkStart w:id="151" w:name="_Toc135391574"/>
      <w:bookmarkStart w:id="152" w:name="_Toc135392318"/>
      <w:bookmarkStart w:id="153" w:name="_Toc135391575"/>
      <w:bookmarkStart w:id="154" w:name="_Toc135392319"/>
      <w:bookmarkStart w:id="155" w:name="_Toc135391578"/>
      <w:bookmarkStart w:id="156" w:name="_Toc135392322"/>
      <w:bookmarkStart w:id="157" w:name="_Toc135921315"/>
      <w:bookmarkStart w:id="158" w:name="_Ref321211137"/>
      <w:bookmarkStart w:id="159" w:name="_Toc527663510"/>
      <w:bookmarkStart w:id="160" w:name="_Toc126589292"/>
      <w:bookmarkStart w:id="161" w:name="_Toc132915516"/>
      <w:bookmarkEnd w:id="147"/>
      <w:bookmarkEnd w:id="148"/>
      <w:bookmarkEnd w:id="149"/>
      <w:bookmarkEnd w:id="150"/>
      <w:bookmarkEnd w:id="151"/>
      <w:bookmarkEnd w:id="152"/>
      <w:bookmarkEnd w:id="153"/>
      <w:bookmarkEnd w:id="154"/>
      <w:bookmarkEnd w:id="155"/>
      <w:bookmarkEnd w:id="156"/>
      <w:r w:rsidRPr="0067461A">
        <w:t>Volúmenes de tráfico</w:t>
      </w:r>
      <w:bookmarkEnd w:id="157"/>
    </w:p>
    <w:p w14:paraId="669E9E68" w14:textId="77777777" w:rsidR="0067461A" w:rsidRPr="0067461A" w:rsidRDefault="0067461A" w:rsidP="0067461A">
      <w:pPr>
        <w:rPr>
          <w:spacing w:val="-2"/>
        </w:rPr>
      </w:pPr>
      <w:r w:rsidRPr="0067461A">
        <w:rPr>
          <w:rStyle w:val="apple-style-span"/>
          <w:color w:val="000000"/>
          <w:spacing w:val="-2"/>
        </w:rPr>
        <w:t>Es necesario definir el volumen y el perfil</w:t>
      </w:r>
      <w:r w:rsidRPr="0067461A">
        <w:rPr>
          <w:rStyle w:val="Refdenotaalpie"/>
          <w:spacing w:val="-2"/>
        </w:rPr>
        <w:footnoteReference w:id="21"/>
      </w:r>
      <w:r w:rsidRPr="0067461A">
        <w:rPr>
          <w:rStyle w:val="apple-style-span"/>
          <w:color w:val="000000"/>
          <w:spacing w:val="-2"/>
        </w:rPr>
        <w:t xml:space="preserve"> del tráfico cursado en la red del operador modelado.</w:t>
      </w:r>
      <w:r w:rsidRPr="0067461A">
        <w:rPr>
          <w:rStyle w:val="apple-style-span"/>
          <w:spacing w:val="-2"/>
        </w:rPr>
        <w:t xml:space="preserve"> </w:t>
      </w:r>
      <w:r w:rsidRPr="0067461A">
        <w:rPr>
          <w:rStyle w:val="apple-style-span"/>
          <w:color w:val="000000"/>
          <w:spacing w:val="-2"/>
        </w:rPr>
        <w:t>Dado que la definición del operador incorpora la definición de una cuota de mercado, se propone definir el volumen de tráfico y su perfil para un abonado promedio.</w:t>
      </w:r>
      <w:r w:rsidRPr="0067461A">
        <w:rPr>
          <w:rStyle w:val="apple-style-span"/>
          <w:spacing w:val="-2"/>
        </w:rPr>
        <w:t xml:space="preserve"> </w:t>
      </w:r>
      <w:r w:rsidRPr="0067461A">
        <w:rPr>
          <w:rStyle w:val="apple-style-span"/>
          <w:color w:val="000000"/>
          <w:spacing w:val="-2"/>
        </w:rPr>
        <w:t>Este perfil de tráfico deberá tener en cuenta el equilibrio de tráfico entre los diferentes servicios que compiten en el mercado.</w:t>
      </w:r>
      <w:r w:rsidRPr="0067461A">
        <w:rPr>
          <w:rStyle w:val="apple-style-span"/>
          <w:spacing w:val="-2"/>
        </w:rPr>
        <w:t xml:space="preserve"> Se requerirá, por tanto, </w:t>
      </w:r>
      <w:r w:rsidRPr="0067461A">
        <w:rPr>
          <w:rStyle w:val="apple-style-span"/>
          <w:color w:val="000000"/>
          <w:spacing w:val="-2"/>
        </w:rPr>
        <w:t>un enfoque integral para la estimación de la evolución del tráfico de voz y datos.</w:t>
      </w:r>
      <w:r w:rsidRPr="0067461A">
        <w:rPr>
          <w:rStyle w:val="apple-style-span"/>
          <w:spacing w:val="-2"/>
        </w:rPr>
        <w:t xml:space="preserve"> </w:t>
      </w:r>
      <w:r w:rsidRPr="0067461A">
        <w:rPr>
          <w:rStyle w:val="apple-style-span"/>
          <w:color w:val="000000"/>
          <w:spacing w:val="-2"/>
        </w:rPr>
        <w:t>En consecuencia, las estimaciones para los distintos operadores hipotéticos deberían basarse en un módulo común de predicción de tráfico</w:t>
      </w:r>
      <w:r w:rsidRPr="0067461A">
        <w:rPr>
          <w:spacing w:val="-2"/>
        </w:rPr>
        <w:t>.</w:t>
      </w:r>
    </w:p>
    <w:p w14:paraId="6E2FF3F7" w14:textId="77777777" w:rsidR="0067461A" w:rsidRPr="0067461A" w:rsidRDefault="0067461A" w:rsidP="0067461A">
      <w:r w:rsidRPr="0067461A">
        <w:t>El volumen de tráfico asociado a los abonados del operador modelado es el principal inductor de los costos asociados con la red troncal, y la medida que permitirá explotar las economías de escala.</w:t>
      </w:r>
    </w:p>
    <w:p w14:paraId="40AF320F" w14:textId="77777777" w:rsidR="0067461A" w:rsidRPr="0067461A" w:rsidRDefault="0067461A" w:rsidP="0067461A">
      <w:r w:rsidRPr="0067461A">
        <w:t>En un mercado hipotético competitivo, la base de suscriptores de cada operador tendrá el mismo perfil de uso. Por lo tanto, el perfil de tráfico del operador modelado debería ser definido como la media del mercado, manteniendo la consistencia con la escala de dicho operador.</w:t>
      </w:r>
      <w:r w:rsidRPr="0067461A">
        <w:rPr>
          <w:rStyle w:val="Refdenotaalpie"/>
          <w:spacing w:val="-4"/>
        </w:rPr>
        <w:footnoteReference w:id="22"/>
      </w:r>
    </w:p>
    <w:tbl>
      <w:tblPr>
        <w:tblStyle w:val="Tablaconcuadrcula"/>
        <w:tblW w:w="0" w:type="auto"/>
        <w:tblLook w:val="04A0" w:firstRow="1" w:lastRow="0" w:firstColumn="1" w:lastColumn="0" w:noHBand="0" w:noVBand="1"/>
      </w:tblPr>
      <w:tblGrid>
        <w:gridCol w:w="8721"/>
      </w:tblGrid>
      <w:tr w:rsidR="0067461A" w:rsidRPr="0067461A" w14:paraId="19CB61B3"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C202F82" w14:textId="7BA8BFC2" w:rsidR="0067461A" w:rsidRPr="0067461A" w:rsidRDefault="0067461A">
            <w:pPr>
              <w:spacing w:after="120"/>
            </w:pPr>
            <w:r w:rsidRPr="0067461A">
              <w:rPr>
                <w:b/>
              </w:rPr>
              <w:lastRenderedPageBreak/>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20</w:t>
            </w:r>
            <w:r w:rsidRPr="0067461A">
              <w:rPr>
                <w:b/>
              </w:rPr>
              <w:fldChar w:fldCharType="end"/>
            </w:r>
            <w:r w:rsidRPr="0067461A">
              <w:rPr>
                <w:b/>
                <w:bCs/>
              </w:rPr>
              <w:t xml:space="preserve">: </w:t>
            </w:r>
            <w:r w:rsidRPr="0067461A">
              <w:t xml:space="preserve">La previsión del perfil de tráfico de los operadores hipotéticos </w:t>
            </w:r>
            <w:r w:rsidRPr="0067461A">
              <w:rPr>
                <w:color w:val="000000" w:themeColor="text1"/>
              </w:rPr>
              <w:t xml:space="preserve">definidos </w:t>
            </w:r>
            <w:r w:rsidRPr="0067461A">
              <w:t>se basará en el perfil de la media del mercado, es decir, la base de suscriptores de cada operador tendrá el mismo perfil de uso.</w:t>
            </w:r>
          </w:p>
        </w:tc>
      </w:tr>
    </w:tbl>
    <w:p w14:paraId="2A6FD0D8" w14:textId="77777777" w:rsidR="0067461A" w:rsidRPr="0067461A" w:rsidRDefault="0067461A" w:rsidP="0067461A"/>
    <w:p w14:paraId="1EABA684" w14:textId="056A6C1A" w:rsidR="0067461A" w:rsidRPr="0067461A" w:rsidRDefault="0067461A" w:rsidP="0067461A">
      <w:pPr>
        <w:pStyle w:val="Ttulo1"/>
        <w:rPr>
          <w:spacing w:val="-4"/>
          <w:lang w:val="es-ES"/>
        </w:rPr>
      </w:pPr>
      <w:bookmarkStart w:id="162" w:name="_Ref135918467"/>
      <w:bookmarkStart w:id="163" w:name="_Toc135921316"/>
      <w:r w:rsidRPr="0067461A">
        <w:rPr>
          <w:spacing w:val="-4"/>
          <w:lang w:val="es-ES"/>
        </w:rPr>
        <w:lastRenderedPageBreak/>
        <w:t>Aspectos relacionados con la implementación del</w:t>
      </w:r>
      <w:bookmarkEnd w:id="158"/>
      <w:bookmarkEnd w:id="159"/>
      <w:bookmarkEnd w:id="160"/>
      <w:bookmarkEnd w:id="161"/>
      <w:r w:rsidRPr="0067461A">
        <w:rPr>
          <w:spacing w:val="-4"/>
          <w:lang w:val="es-ES"/>
        </w:rPr>
        <w:t xml:space="preserve"> modelo</w:t>
      </w:r>
      <w:bookmarkEnd w:id="162"/>
      <w:bookmarkEnd w:id="163"/>
    </w:p>
    <w:p w14:paraId="2E6B5063" w14:textId="5EC1D7D7" w:rsidR="00286B0C" w:rsidRPr="0067461A" w:rsidRDefault="0067461A" w:rsidP="0067461A">
      <w:r w:rsidRPr="0067461A">
        <w:t>En esta sección se abordan los aspectos conceptuales relacionados con la implementación del modelo. Está estructura</w:t>
      </w:r>
      <w:r w:rsidR="00B118B3">
        <w:t>da</w:t>
      </w:r>
      <w:r w:rsidRPr="0067461A">
        <w:t xml:space="preserve"> como sigue:</w:t>
      </w:r>
    </w:p>
    <w:p w14:paraId="579BC2AE" w14:textId="61E21C6E" w:rsidR="00ED3CE3" w:rsidRPr="0067461A" w:rsidRDefault="00ED3CE3" w:rsidP="00ED3CE3">
      <w:pPr>
        <w:pStyle w:val="L1"/>
        <w:numPr>
          <w:ilvl w:val="0"/>
          <w:numId w:val="20"/>
        </w:numPr>
        <w:spacing w:after="0"/>
        <w:contextualSpacing w:val="0"/>
      </w:pPr>
      <w:r>
        <w:t>costos mayoristas o minoristas (</w:t>
      </w:r>
      <w:r w:rsidR="0014782F">
        <w:t xml:space="preserve">Sección </w:t>
      </w:r>
      <w:r>
        <w:fldChar w:fldCharType="begin"/>
      </w:r>
      <w:r>
        <w:instrText xml:space="preserve"> REF _Ref135392709 \r \h </w:instrText>
      </w:r>
      <w:r>
        <w:fldChar w:fldCharType="separate"/>
      </w:r>
      <w:r w:rsidR="00475202">
        <w:t>6.1</w:t>
      </w:r>
      <w:r>
        <w:fldChar w:fldCharType="end"/>
      </w:r>
      <w:r w:rsidR="0014782F">
        <w:t>)</w:t>
      </w:r>
    </w:p>
    <w:p w14:paraId="60E3DEE8" w14:textId="014891BD" w:rsidR="00286B0C" w:rsidRPr="0067461A" w:rsidRDefault="00286B0C" w:rsidP="00ED3CE3">
      <w:pPr>
        <w:pStyle w:val="L1"/>
        <w:numPr>
          <w:ilvl w:val="0"/>
          <w:numId w:val="20"/>
        </w:numPr>
        <w:spacing w:after="0"/>
        <w:contextualSpacing w:val="0"/>
      </w:pPr>
      <w:r w:rsidRPr="0067461A">
        <w:t>método de depreciación de los costos de los activos (Sección </w:t>
      </w:r>
      <w:r w:rsidRPr="0067461A">
        <w:fldChar w:fldCharType="begin"/>
      </w:r>
      <w:r w:rsidRPr="0067461A">
        <w:instrText xml:space="preserve"> REF _Ref47004857 \r \h </w:instrText>
      </w:r>
      <w:r w:rsidRPr="0067461A">
        <w:fldChar w:fldCharType="separate"/>
      </w:r>
      <w:r w:rsidR="00475202">
        <w:t>6.2</w:t>
      </w:r>
      <w:r w:rsidRPr="0067461A">
        <w:fldChar w:fldCharType="end"/>
      </w:r>
      <w:r w:rsidRPr="0067461A">
        <w:t xml:space="preserve">) </w:t>
      </w:r>
    </w:p>
    <w:p w14:paraId="21B191B3" w14:textId="51B95059" w:rsidR="0067461A" w:rsidRPr="0067461A" w:rsidRDefault="0067461A" w:rsidP="0067461A">
      <w:pPr>
        <w:pStyle w:val="L1"/>
        <w:numPr>
          <w:ilvl w:val="0"/>
          <w:numId w:val="20"/>
        </w:numPr>
        <w:spacing w:after="0"/>
        <w:contextualSpacing w:val="0"/>
      </w:pPr>
      <w:r w:rsidRPr="0067461A">
        <w:t>selección del incremento de servicio (Sección</w:t>
      </w:r>
      <w:r w:rsidR="00645DCF">
        <w:t xml:space="preserve"> </w:t>
      </w:r>
      <w:r w:rsidR="00F63208">
        <w:fldChar w:fldCharType="begin"/>
      </w:r>
      <w:r w:rsidR="00F63208">
        <w:instrText xml:space="preserve"> REF _Ref135394196 \n \h </w:instrText>
      </w:r>
      <w:r w:rsidR="00F63208">
        <w:fldChar w:fldCharType="separate"/>
      </w:r>
      <w:r w:rsidR="00475202">
        <w:t>6.3</w:t>
      </w:r>
      <w:r w:rsidR="00F63208">
        <w:fldChar w:fldCharType="end"/>
      </w:r>
      <w:r w:rsidRPr="0067461A">
        <w:t xml:space="preserve">) </w:t>
      </w:r>
    </w:p>
    <w:p w14:paraId="120B6B36" w14:textId="0163685E" w:rsidR="0067461A" w:rsidRDefault="0067461A" w:rsidP="0067461A">
      <w:pPr>
        <w:pStyle w:val="L1"/>
        <w:numPr>
          <w:ilvl w:val="0"/>
          <w:numId w:val="20"/>
        </w:numPr>
        <w:spacing w:after="0"/>
        <w:contextualSpacing w:val="0"/>
      </w:pPr>
      <w:r w:rsidRPr="0067461A">
        <w:t xml:space="preserve">aplicación de un </w:t>
      </w:r>
      <w:r w:rsidRPr="0067461A">
        <w:rPr>
          <w:i/>
        </w:rPr>
        <w:t>mark-up</w:t>
      </w:r>
      <w:r w:rsidRPr="0067461A">
        <w:t xml:space="preserve"> (Sección</w:t>
      </w:r>
      <w:r w:rsidR="00F63208">
        <w:t xml:space="preserve"> </w:t>
      </w:r>
      <w:r w:rsidR="00F63208">
        <w:fldChar w:fldCharType="begin"/>
      </w:r>
      <w:r w:rsidR="00F63208">
        <w:instrText xml:space="preserve"> REF _Ref135394134 \n \h </w:instrText>
      </w:r>
      <w:r w:rsidR="00F63208">
        <w:fldChar w:fldCharType="separate"/>
      </w:r>
      <w:r w:rsidR="00475202">
        <w:t>6.4</w:t>
      </w:r>
      <w:r w:rsidR="00F63208">
        <w:fldChar w:fldCharType="end"/>
      </w:r>
      <w:r w:rsidRPr="0067461A">
        <w:t>).</w:t>
      </w:r>
      <w:r w:rsidR="00F560F2">
        <w:t xml:space="preserve"> </w:t>
      </w:r>
    </w:p>
    <w:p w14:paraId="60A74BA9" w14:textId="77777777" w:rsidR="00286B0C" w:rsidRDefault="00286B0C" w:rsidP="00286B0C">
      <w:pPr>
        <w:pStyle w:val="L1"/>
        <w:numPr>
          <w:ilvl w:val="0"/>
          <w:numId w:val="0"/>
        </w:numPr>
        <w:spacing w:after="0"/>
        <w:ind w:left="357" w:hanging="357"/>
        <w:contextualSpacing w:val="0"/>
      </w:pPr>
    </w:p>
    <w:p w14:paraId="0D52663C" w14:textId="77777777" w:rsidR="00286B0C" w:rsidRPr="0067461A" w:rsidRDefault="00286B0C" w:rsidP="00286B0C">
      <w:pPr>
        <w:pStyle w:val="Ttulo2"/>
      </w:pPr>
      <w:bookmarkStart w:id="164" w:name="_Ref135392709"/>
      <w:bookmarkStart w:id="165" w:name="_Toc135921317"/>
      <w:r w:rsidRPr="0067461A">
        <w:t>Costos mayoristas o minoristas</w:t>
      </w:r>
      <w:bookmarkEnd w:id="164"/>
      <w:bookmarkEnd w:id="165"/>
    </w:p>
    <w:p w14:paraId="2D28B60F" w14:textId="70A4A8FB" w:rsidR="00286B0C" w:rsidRPr="0067461A" w:rsidRDefault="00286B0C" w:rsidP="00286B0C">
      <w:r w:rsidRPr="0067461A">
        <w:t xml:space="preserve">Este aspecto se describe en la </w:t>
      </w:r>
      <w:r w:rsidR="000C5CA6">
        <w:fldChar w:fldCharType="begin"/>
      </w:r>
      <w:r w:rsidR="000C5CA6">
        <w:instrText xml:space="preserve"> REF _Ref135394659 \h </w:instrText>
      </w:r>
      <w:r w:rsidR="000C5CA6">
        <w:fldChar w:fldCharType="separate"/>
      </w:r>
      <w:r w:rsidR="00475202" w:rsidRPr="0067461A">
        <w:t xml:space="preserve">Figura </w:t>
      </w:r>
      <w:r w:rsidR="00475202">
        <w:rPr>
          <w:noProof/>
        </w:rPr>
        <w:t>6</w:t>
      </w:r>
      <w:r w:rsidR="00475202" w:rsidRPr="0067461A">
        <w:t>.</w:t>
      </w:r>
      <w:r w:rsidR="00475202">
        <w:rPr>
          <w:noProof/>
        </w:rPr>
        <w:t>1</w:t>
      </w:r>
      <w:r w:rsidR="000C5CA6">
        <w:fldChar w:fldCharType="end"/>
      </w:r>
      <w:r w:rsidR="000C5CA6">
        <w:t xml:space="preserve"> </w:t>
      </w:r>
      <w:r w:rsidR="006B77CB">
        <w:t xml:space="preserve">, </w:t>
      </w:r>
      <w:r w:rsidR="000C5CA6">
        <w:t>a</w:t>
      </w:r>
      <w:r w:rsidRPr="0067461A">
        <w:t xml:space="preserve"> continuación.</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286B0C" w:rsidRPr="0067461A" w14:paraId="666F1F06" w14:textId="77777777">
        <w:tc>
          <w:tcPr>
            <w:tcW w:w="6576" w:type="dxa"/>
            <w:tcBorders>
              <w:right w:val="single" w:sz="4" w:space="0" w:color="auto"/>
            </w:tcBorders>
            <w:shd w:val="clear" w:color="auto" w:fill="auto"/>
          </w:tcPr>
          <w:p w14:paraId="0DDD2203" w14:textId="77777777" w:rsidR="00286B0C" w:rsidRPr="0067461A" w:rsidRDefault="00286B0C">
            <w:pPr>
              <w:pStyle w:val="Bordersmall"/>
              <w:rPr>
                <w:lang w:val="es-ES"/>
              </w:rPr>
            </w:pPr>
            <w:r w:rsidRPr="0067461A">
              <w:rPr>
                <w:noProof/>
                <w:lang w:val="es-ES"/>
              </w:rPr>
              <w:drawing>
                <wp:inline distT="0" distB="0" distL="0" distR="0" wp14:anchorId="7E299AB8" wp14:editId="1D217B28">
                  <wp:extent cx="3105150" cy="1860550"/>
                  <wp:effectExtent l="0" t="0" r="0" b="0"/>
                  <wp:docPr id="649972802" name="Picture 64997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5150" cy="1860550"/>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776E8848" w14:textId="4442DDBB" w:rsidR="00286B0C" w:rsidRPr="0067461A" w:rsidRDefault="00286B0C">
            <w:pPr>
              <w:pStyle w:val="Captionsmall"/>
              <w:rPr>
                <w:lang w:val="es-ES"/>
              </w:rPr>
            </w:pPr>
            <w:bookmarkStart w:id="166" w:name="_Ref135394659"/>
            <w:bookmarkStart w:id="167" w:name="_Ref135394652"/>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6</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1</w:t>
            </w:r>
            <w:r w:rsidRPr="0067461A">
              <w:rPr>
                <w:lang w:val="es-ES"/>
              </w:rPr>
              <w:fldChar w:fldCharType="end"/>
            </w:r>
            <w:bookmarkEnd w:id="166"/>
            <w:r w:rsidRPr="0067461A">
              <w:rPr>
                <w:lang w:val="es-ES"/>
              </w:rPr>
              <w:t>: Costos mayoristas o minoristas [Fuente: Analysys Mason]</w:t>
            </w:r>
            <w:bookmarkEnd w:id="167"/>
          </w:p>
        </w:tc>
      </w:tr>
    </w:tbl>
    <w:p w14:paraId="50062689" w14:textId="77777777" w:rsidR="00286B0C" w:rsidRPr="0067461A" w:rsidRDefault="00286B0C" w:rsidP="00286B0C"/>
    <w:p w14:paraId="17012B31" w14:textId="77777777" w:rsidR="00286B0C" w:rsidRPr="0067461A" w:rsidRDefault="00286B0C" w:rsidP="00286B0C">
      <w:r w:rsidRPr="0067461A">
        <w:t xml:space="preserve">En el modelo separado verticalmente, los servicios de red (tales como el tráfico) son presupuestados por separado de las actividades minoristas (como las subvenciones de los terminales o el marketing). Los gastos generales se añaden como un </w:t>
      </w:r>
      <w:r w:rsidRPr="0067461A">
        <w:rPr>
          <w:i/>
        </w:rPr>
        <w:t>mark-up</w:t>
      </w:r>
      <w:r w:rsidRPr="0067461A">
        <w:t xml:space="preserve"> a los costos de la red y las actividades minoristas, y se considera para el costo mayorista de suministro de terminación de voz únicamente los costos de la red más la proporción de los gastos generales.</w:t>
      </w:r>
    </w:p>
    <w:p w14:paraId="22E2ACFA" w14:textId="77777777" w:rsidR="00286B0C" w:rsidRPr="0067461A" w:rsidRDefault="00286B0C" w:rsidP="00286B0C">
      <w:pPr>
        <w:rPr>
          <w:spacing w:val="-2"/>
        </w:rPr>
      </w:pPr>
      <w:r w:rsidRPr="0067461A">
        <w:rPr>
          <w:rStyle w:val="apple-style-span"/>
          <w:color w:val="000000"/>
        </w:rPr>
        <w:t xml:space="preserve">En el modelo de integración vertical, los costos minoristas se consideran como parte integral de los servicios de red y se incluyen en los costos del servicio a través de un </w:t>
      </w:r>
      <w:r w:rsidRPr="0067461A">
        <w:rPr>
          <w:rStyle w:val="apple-style-span"/>
          <w:i/>
          <w:color w:val="000000"/>
        </w:rPr>
        <w:t>mark-up</w:t>
      </w:r>
      <w:r w:rsidRPr="0067461A">
        <w:rPr>
          <w:rStyle w:val="apple-style-span"/>
          <w:color w:val="000000"/>
        </w:rPr>
        <w:t>, junto con los gastos generales.</w:t>
      </w:r>
      <w:r w:rsidRPr="0067461A">
        <w:rPr>
          <w:rStyle w:val="apple-converted-space"/>
          <w:color w:val="000000"/>
          <w:sz w:val="27"/>
          <w:szCs w:val="27"/>
        </w:rPr>
        <w:t xml:space="preserve"> </w:t>
      </w:r>
      <w:r w:rsidRPr="0067461A">
        <w:rPr>
          <w:rStyle w:val="apple-style-span"/>
          <w:color w:val="000000"/>
        </w:rPr>
        <w:t>En consecuencia, no existe el concepto de acceso ‘mayorista’ a la terminación de llamadas móviles en el modelo de integración vertical, ya que todos los costos minoristas se incluyen en el cálculo de los costos de los servicios.</w:t>
      </w:r>
    </w:p>
    <w:p w14:paraId="6D12B2CF" w14:textId="7E9661A0" w:rsidR="00286B0C" w:rsidRPr="0067461A" w:rsidRDefault="00286B0C" w:rsidP="00286B0C">
      <w:pPr>
        <w:rPr>
          <w:rStyle w:val="apple-style-span"/>
          <w:color w:val="000000"/>
        </w:rPr>
      </w:pPr>
      <w:r w:rsidRPr="0067461A">
        <w:rPr>
          <w:rStyle w:val="apple-style-span"/>
          <w:color w:val="000000"/>
        </w:rPr>
        <w:t xml:space="preserve">De conformidad con la </w:t>
      </w:r>
      <w:r w:rsidR="000C76F0">
        <w:rPr>
          <w:rStyle w:val="apple-style-span"/>
          <w:color w:val="000000"/>
        </w:rPr>
        <w:t>M</w:t>
      </w:r>
      <w:r w:rsidRPr="0067461A">
        <w:rPr>
          <w:rStyle w:val="apple-style-span"/>
          <w:color w:val="000000"/>
        </w:rPr>
        <w:t xml:space="preserve">etodología de </w:t>
      </w:r>
      <w:r w:rsidR="000C76F0">
        <w:rPr>
          <w:rStyle w:val="apple-style-span"/>
          <w:color w:val="000000"/>
        </w:rPr>
        <w:t>C</w:t>
      </w:r>
      <w:r w:rsidRPr="0067461A">
        <w:rPr>
          <w:rStyle w:val="apple-style-span"/>
          <w:color w:val="000000"/>
        </w:rPr>
        <w:t>ostos, el IFT tiene la intención de considerar solo aquellos costos que son relevantes para la prestación de los servicios mayoristas de un negocio verticalmente separado</w:t>
      </w:r>
      <w:r w:rsidRPr="0067461A" w:rsidDel="00C671A9">
        <w:rPr>
          <w:rStyle w:val="apple-style-span"/>
          <w:color w:val="000000"/>
        </w:rPr>
        <w:t xml:space="preserve"> </w:t>
      </w:r>
      <w:r w:rsidRPr="0067461A">
        <w:rPr>
          <w:rStyle w:val="apple-style-span"/>
          <w:color w:val="000000"/>
        </w:rPr>
        <w:t>que se pretenden regular con el desarrollo del modelo.</w:t>
      </w:r>
      <w:r w:rsidRPr="0067461A">
        <w:rPr>
          <w:rStyle w:val="apple-style-span"/>
        </w:rPr>
        <w:t xml:space="preserve"> </w:t>
      </w:r>
      <w:r w:rsidRPr="0067461A">
        <w:rPr>
          <w:rStyle w:val="apple-style-span"/>
          <w:color w:val="000000"/>
        </w:rPr>
        <w:t xml:space="preserve">Sin embargo, los costos comunes a las actividades de red y minoristas pueden ser recuperados a través de los servicios de red mayoristas </w:t>
      </w:r>
      <w:r w:rsidRPr="0067461A">
        <w:rPr>
          <w:rStyle w:val="apple-style-span"/>
          <w:color w:val="000000"/>
        </w:rPr>
        <w:lastRenderedPageBreak/>
        <w:t xml:space="preserve">y los servicios minoristas en el caso de un modelo CIPLP (tratados como un </w:t>
      </w:r>
      <w:r w:rsidRPr="0067461A">
        <w:rPr>
          <w:rStyle w:val="apple-style-span"/>
          <w:i/>
          <w:color w:val="000000"/>
        </w:rPr>
        <w:t>mark-up</w:t>
      </w:r>
      <w:r w:rsidRPr="0067461A">
        <w:rPr>
          <w:rStyle w:val="apple-style-span"/>
          <w:color w:val="000000"/>
        </w:rPr>
        <w:t xml:space="preserve"> del resultado del CIPLP) pero no en el caso de un modelo CILP puro.</w:t>
      </w:r>
      <w:r w:rsidRPr="0067461A">
        <w:rPr>
          <w:rStyle w:val="apple-style-span"/>
        </w:rPr>
        <w:t xml:space="preserve"> </w:t>
      </w:r>
    </w:p>
    <w:p w14:paraId="01628DB0" w14:textId="77777777" w:rsidR="00286B0C" w:rsidRPr="0067461A" w:rsidRDefault="00286B0C" w:rsidP="00286B0C">
      <w:pPr>
        <w:rPr>
          <w:rStyle w:val="apple-style-span"/>
          <w:color w:val="000000"/>
        </w:rPr>
      </w:pPr>
      <w:r w:rsidRPr="0067461A">
        <w:rPr>
          <w:rStyle w:val="apple-style-span"/>
          <w:color w:val="000000"/>
        </w:rPr>
        <w:t>Un enfoque de separación vertical resulta en la exclusión de los costos de terminación.</w:t>
      </w:r>
      <w:r w:rsidRPr="0067461A">
        <w:rPr>
          <w:rStyle w:val="apple-style-span"/>
        </w:rPr>
        <w:t xml:space="preserve"> </w:t>
      </w:r>
      <w:r w:rsidRPr="0067461A">
        <w:rPr>
          <w:rStyle w:val="apple-style-span"/>
          <w:color w:val="000000"/>
        </w:rPr>
        <w:t>Sin embargo, trae consigo la necesidad de determinar el tamaño relativo de los costos económicos de las actividades minoristas con el fin de determinar la magnitud de los costos generales (</w:t>
      </w:r>
      <w:r w:rsidRPr="0067461A">
        <w:rPr>
          <w:rStyle w:val="apple-style-span"/>
          <w:i/>
          <w:color w:val="000000"/>
        </w:rPr>
        <w:t>business overheads</w:t>
      </w:r>
      <w:r w:rsidRPr="0067461A">
        <w:rPr>
          <w:rStyle w:val="apple-style-span"/>
          <w:color w:val="000000"/>
        </w:rPr>
        <w:t>, en inglés) que se deben añadir a los costos de red incrementales.</w:t>
      </w:r>
    </w:p>
    <w:tbl>
      <w:tblPr>
        <w:tblStyle w:val="Tablaconcuadrcula"/>
        <w:tblW w:w="0" w:type="auto"/>
        <w:tblLook w:val="04A0" w:firstRow="1" w:lastRow="0" w:firstColumn="1" w:lastColumn="0" w:noHBand="0" w:noVBand="1"/>
      </w:tblPr>
      <w:tblGrid>
        <w:gridCol w:w="8721"/>
      </w:tblGrid>
      <w:tr w:rsidR="00286B0C" w:rsidRPr="0067461A" w14:paraId="50E50CD1"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3CE24E5D" w14:textId="74B77979" w:rsidR="00286B0C" w:rsidRPr="0067461A" w:rsidRDefault="00286B0C">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21</w:t>
            </w:r>
            <w:r w:rsidRPr="0067461A">
              <w:rPr>
                <w:b/>
              </w:rPr>
              <w:fldChar w:fldCharType="end"/>
            </w:r>
            <w:r w:rsidRPr="0067461A">
              <w:rPr>
                <w:b/>
                <w:bCs/>
              </w:rPr>
              <w:t xml:space="preserve">: </w:t>
            </w:r>
            <w:r w:rsidRPr="0067461A">
              <w:t>El modelo calculará los costos de red, incluyendo los costos generales en el caso de los servicios sujetos a una metodología CIPLP. La proporción de gastos generales comunes que corresponde a la red se recupera como un costo operativo, que se revisa anualmente con la inflación y se distribuye entre todos los servicios en el caso de un modelo CIPLP, pero se excluyen de los gastos distribuibles al servicio de terminación en un modelo CILP puro. EL modelo excluye los costos de naturaleza minorista.</w:t>
            </w:r>
          </w:p>
        </w:tc>
      </w:tr>
    </w:tbl>
    <w:p w14:paraId="77720EFE" w14:textId="77777777" w:rsidR="00286B0C" w:rsidRPr="0067461A" w:rsidRDefault="00286B0C" w:rsidP="00920B9F">
      <w:pPr>
        <w:pStyle w:val="L1"/>
        <w:numPr>
          <w:ilvl w:val="0"/>
          <w:numId w:val="0"/>
        </w:numPr>
        <w:spacing w:after="0"/>
        <w:ind w:left="357" w:hanging="357"/>
        <w:contextualSpacing w:val="0"/>
      </w:pPr>
    </w:p>
    <w:p w14:paraId="5B1CAC31" w14:textId="77777777" w:rsidR="0067461A" w:rsidRPr="0067461A" w:rsidRDefault="0067461A" w:rsidP="0067461A">
      <w:pPr>
        <w:pStyle w:val="Ttulo2"/>
      </w:pPr>
      <w:bookmarkStart w:id="168" w:name="_Ref135918684"/>
      <w:bookmarkStart w:id="169" w:name="_Ref135920904"/>
      <w:bookmarkStart w:id="170" w:name="_Toc135921318"/>
      <w:bookmarkStart w:id="171" w:name="_Ref47004857"/>
      <w:bookmarkStart w:id="172" w:name="_Ref321212513"/>
      <w:bookmarkStart w:id="173" w:name="_Toc527663511"/>
      <w:bookmarkStart w:id="174" w:name="_Toc126589293"/>
      <w:bookmarkStart w:id="175" w:name="_Toc132915517"/>
      <w:r w:rsidRPr="0067461A">
        <w:t>Método de depreciación</w:t>
      </w:r>
      <w:bookmarkEnd w:id="168"/>
      <w:bookmarkEnd w:id="169"/>
      <w:bookmarkEnd w:id="170"/>
    </w:p>
    <w:p w14:paraId="7606A8C4" w14:textId="77777777" w:rsidR="0067461A" w:rsidRPr="0067461A" w:rsidRDefault="0067461A" w:rsidP="0067461A">
      <w:r w:rsidRPr="0067461A">
        <w:t>El modelo calculará los costos de inversión y operacionales relevantes para los distintos activos de la red. Estos costos tendrán que ser recuperados a través del tiempo para asegurar que los operadores obtengan un retorno sobre su inversión. Para ello, se debe elegir un método de depreciación adecuado. Existen cuatro opciones:</w:t>
      </w:r>
    </w:p>
    <w:p w14:paraId="788566A7" w14:textId="77777777" w:rsidR="0067461A" w:rsidRPr="0067461A" w:rsidRDefault="0067461A" w:rsidP="0067461A">
      <w:pPr>
        <w:pStyle w:val="ListBulletCompact"/>
        <w:spacing w:after="0"/>
        <w:ind w:left="360" w:hanging="360"/>
        <w:contextualSpacing w:val="0"/>
      </w:pPr>
      <w:r w:rsidRPr="0067461A">
        <w:t>depreciación de costos contables históricos (HCA)</w:t>
      </w:r>
    </w:p>
    <w:p w14:paraId="30C013D3" w14:textId="77777777" w:rsidR="0067461A" w:rsidRPr="0067461A" w:rsidRDefault="0067461A" w:rsidP="0067461A">
      <w:pPr>
        <w:pStyle w:val="ListBulletCompact"/>
        <w:spacing w:after="0"/>
        <w:ind w:left="360" w:hanging="360"/>
        <w:contextualSpacing w:val="0"/>
      </w:pPr>
      <w:r w:rsidRPr="0067461A">
        <w:t>depreciación de costos contables corrientes (CCA)</w:t>
      </w:r>
    </w:p>
    <w:p w14:paraId="53C54291" w14:textId="77777777" w:rsidR="0067461A" w:rsidRPr="0067461A" w:rsidRDefault="0067461A" w:rsidP="0067461A">
      <w:pPr>
        <w:pStyle w:val="ListBulletCompact"/>
        <w:spacing w:after="0"/>
        <w:ind w:left="360" w:hanging="360"/>
        <w:contextualSpacing w:val="0"/>
      </w:pPr>
      <w:r w:rsidRPr="0067461A">
        <w:t>anualidad inclinada (</w:t>
      </w:r>
      <w:r w:rsidRPr="0067461A">
        <w:rPr>
          <w:i/>
        </w:rPr>
        <w:t>tilted annuity</w:t>
      </w:r>
      <w:r w:rsidRPr="0067461A">
        <w:t>)</w:t>
      </w:r>
    </w:p>
    <w:p w14:paraId="5197A85D" w14:textId="77777777" w:rsidR="0067461A" w:rsidRPr="0067461A" w:rsidRDefault="0067461A" w:rsidP="0067461A">
      <w:pPr>
        <w:pStyle w:val="ListBulletCompact"/>
      </w:pPr>
      <w:r w:rsidRPr="0067461A">
        <w:t>depreciación económica.</w:t>
      </w:r>
    </w:p>
    <w:p w14:paraId="4222E302" w14:textId="45348F9F" w:rsidR="0067461A" w:rsidRPr="0067461A" w:rsidRDefault="0067461A" w:rsidP="0067461A">
      <w:r w:rsidRPr="00FC25CF">
        <w:t xml:space="preserve">La </w:t>
      </w:r>
      <w:r w:rsidR="00FC25CF">
        <w:fldChar w:fldCharType="begin"/>
      </w:r>
      <w:r w:rsidR="00FC25CF" w:rsidRPr="00FC25CF">
        <w:instrText xml:space="preserve"> REF _Ref135931805 \h </w:instrText>
      </w:r>
      <w:r w:rsidR="00FC25CF">
        <w:fldChar w:fldCharType="separate"/>
      </w:r>
      <w:r w:rsidR="00475202" w:rsidRPr="0067461A">
        <w:t xml:space="preserve">Figura </w:t>
      </w:r>
      <w:r w:rsidR="00475202">
        <w:rPr>
          <w:noProof/>
        </w:rPr>
        <w:t>6</w:t>
      </w:r>
      <w:r w:rsidR="00475202" w:rsidRPr="0067461A">
        <w:t>.</w:t>
      </w:r>
      <w:r w:rsidR="00475202">
        <w:rPr>
          <w:noProof/>
        </w:rPr>
        <w:t>2</w:t>
      </w:r>
      <w:r w:rsidR="00FC25CF">
        <w:fldChar w:fldCharType="end"/>
      </w:r>
      <w:r w:rsidR="00FC25CF">
        <w:t xml:space="preserve"> </w:t>
      </w:r>
      <w:r w:rsidRPr="0067461A">
        <w:t>muestra que solamente el método de la depreciación económica considera todos los factores relevantes potenciales de depreciación.</w:t>
      </w:r>
    </w:p>
    <w:p w14:paraId="4F6B9ACB" w14:textId="5BE00321" w:rsidR="0067461A" w:rsidRPr="0067461A" w:rsidRDefault="0067461A" w:rsidP="0067461A">
      <w:pPr>
        <w:pStyle w:val="TableCaption"/>
        <w:rPr>
          <w:lang w:val="es-ES"/>
        </w:rPr>
      </w:pPr>
      <w:bookmarkStart w:id="176" w:name="_Ref135931805"/>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6</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2</w:t>
      </w:r>
      <w:r w:rsidRPr="0067461A">
        <w:rPr>
          <w:lang w:val="es-ES"/>
        </w:rPr>
        <w:fldChar w:fldCharType="end"/>
      </w:r>
      <w:bookmarkEnd w:id="176"/>
      <w:r w:rsidRPr="0067461A">
        <w:rPr>
          <w:lang w:val="es-ES"/>
        </w:rPr>
        <w:t>: Factores considerados por los métodos de depreciación [Fuente: Analysys Mason]</w:t>
      </w:r>
    </w:p>
    <w:tbl>
      <w:tblPr>
        <w:tblStyle w:val="Sombreadomedio2-nfasis1"/>
        <w:tblW w:w="8720" w:type="dxa"/>
        <w:tblBorders>
          <w:top w:val="single" w:sz="4" w:space="0" w:color="FFFFFF"/>
          <w:insideH w:val="single" w:sz="4" w:space="0" w:color="FFFFFF"/>
          <w:insideV w:val="single" w:sz="4" w:space="0" w:color="FFFFFF"/>
        </w:tblBorders>
        <w:tblLook w:val="0620" w:firstRow="1" w:lastRow="0" w:firstColumn="0" w:lastColumn="0" w:noHBand="1" w:noVBand="1"/>
      </w:tblPr>
      <w:tblGrid>
        <w:gridCol w:w="2903"/>
        <w:gridCol w:w="1454"/>
        <w:gridCol w:w="1454"/>
        <w:gridCol w:w="1454"/>
        <w:gridCol w:w="1455"/>
      </w:tblGrid>
      <w:tr w:rsidR="0067461A" w:rsidRPr="0067461A" w14:paraId="7BB075B0" w14:textId="77777777">
        <w:trPr>
          <w:cnfStyle w:val="100000000000" w:firstRow="1" w:lastRow="0" w:firstColumn="0" w:lastColumn="0" w:oddVBand="0" w:evenVBand="0" w:oddHBand="0" w:evenHBand="0" w:firstRowFirstColumn="0" w:firstRowLastColumn="0" w:lastRowFirstColumn="0" w:lastRowLastColumn="0"/>
          <w:tblHeader/>
        </w:trPr>
        <w:tc>
          <w:tcPr>
            <w:tcW w:w="2903" w:type="dxa"/>
            <w:tcBorders>
              <w:bottom w:val="single" w:sz="18" w:space="0" w:color="FFFFFF"/>
            </w:tcBorders>
            <w:shd w:val="solid" w:color="0F51B1" w:fill="0F51B1"/>
          </w:tcPr>
          <w:p w14:paraId="6E1E3A21" w14:textId="77777777" w:rsidR="0067461A" w:rsidRPr="0067461A" w:rsidRDefault="0067461A">
            <w:pPr>
              <w:pStyle w:val="Tableheading"/>
              <w:rPr>
                <w:b/>
                <w:bCs w:val="0"/>
                <w:iCs/>
                <w:color w:val="FFFFFF" w:themeColor="background1"/>
                <w:lang w:val="es-ES"/>
              </w:rPr>
            </w:pPr>
          </w:p>
        </w:tc>
        <w:tc>
          <w:tcPr>
            <w:tcW w:w="1454" w:type="dxa"/>
            <w:tcBorders>
              <w:bottom w:val="single" w:sz="18" w:space="0" w:color="FFFFFF"/>
            </w:tcBorders>
            <w:shd w:val="solid" w:color="0F51B1" w:fill="0F51B1"/>
          </w:tcPr>
          <w:p w14:paraId="18A902C5" w14:textId="77777777" w:rsidR="0067461A" w:rsidRPr="0067461A" w:rsidRDefault="0067461A">
            <w:pPr>
              <w:pStyle w:val="Tableheading"/>
              <w:rPr>
                <w:b/>
                <w:bCs w:val="0"/>
                <w:iCs/>
                <w:color w:val="FFFFFF" w:themeColor="background1"/>
                <w:lang w:val="es-ES"/>
              </w:rPr>
            </w:pPr>
            <w:r w:rsidRPr="0067461A">
              <w:rPr>
                <w:b/>
                <w:bCs w:val="0"/>
                <w:iCs/>
                <w:color w:val="FFFFFF" w:themeColor="background1"/>
                <w:lang w:val="es-ES"/>
              </w:rPr>
              <w:t>HCA</w:t>
            </w:r>
          </w:p>
        </w:tc>
        <w:tc>
          <w:tcPr>
            <w:tcW w:w="1454" w:type="dxa"/>
            <w:tcBorders>
              <w:bottom w:val="single" w:sz="18" w:space="0" w:color="FFFFFF"/>
            </w:tcBorders>
            <w:shd w:val="solid" w:color="0F51B1" w:fill="0F51B1"/>
          </w:tcPr>
          <w:p w14:paraId="26DBFFEF" w14:textId="77777777" w:rsidR="0067461A" w:rsidRPr="0067461A" w:rsidRDefault="0067461A">
            <w:pPr>
              <w:pStyle w:val="Tableheading"/>
              <w:rPr>
                <w:b/>
                <w:bCs w:val="0"/>
                <w:iCs/>
                <w:color w:val="FFFFFF" w:themeColor="background1"/>
                <w:lang w:val="es-ES"/>
              </w:rPr>
            </w:pPr>
            <w:r w:rsidRPr="0067461A">
              <w:rPr>
                <w:b/>
                <w:bCs w:val="0"/>
                <w:iCs/>
                <w:color w:val="FFFFFF" w:themeColor="background1"/>
                <w:lang w:val="es-ES"/>
              </w:rPr>
              <w:t>CCA</w:t>
            </w:r>
          </w:p>
        </w:tc>
        <w:tc>
          <w:tcPr>
            <w:tcW w:w="1454" w:type="dxa"/>
            <w:tcBorders>
              <w:bottom w:val="single" w:sz="18" w:space="0" w:color="FFFFFF"/>
            </w:tcBorders>
            <w:shd w:val="solid" w:color="0F51B1" w:fill="0F51B1"/>
          </w:tcPr>
          <w:p w14:paraId="60F6286C" w14:textId="77777777" w:rsidR="0067461A" w:rsidRPr="0067461A" w:rsidRDefault="0067461A">
            <w:pPr>
              <w:pStyle w:val="Tableheading"/>
              <w:rPr>
                <w:b/>
                <w:bCs w:val="0"/>
                <w:iCs/>
                <w:color w:val="FFFFFF" w:themeColor="background1"/>
                <w:lang w:val="es-ES"/>
              </w:rPr>
            </w:pPr>
            <w:r w:rsidRPr="0067461A">
              <w:rPr>
                <w:b/>
                <w:bCs w:val="0"/>
                <w:iCs/>
                <w:color w:val="FFFFFF" w:themeColor="background1"/>
                <w:lang w:val="es-ES"/>
              </w:rPr>
              <w:t>Anualidad</w:t>
            </w:r>
          </w:p>
        </w:tc>
        <w:tc>
          <w:tcPr>
            <w:tcW w:w="1455" w:type="dxa"/>
            <w:tcBorders>
              <w:bottom w:val="single" w:sz="18" w:space="0" w:color="FFFFFF"/>
            </w:tcBorders>
            <w:shd w:val="solid" w:color="0F51B1" w:fill="0F51B1"/>
          </w:tcPr>
          <w:p w14:paraId="5E79A4B4" w14:textId="77777777" w:rsidR="0067461A" w:rsidRPr="0067461A" w:rsidRDefault="0067461A">
            <w:pPr>
              <w:pStyle w:val="Tableheading"/>
              <w:rPr>
                <w:b/>
                <w:bCs w:val="0"/>
                <w:iCs/>
                <w:color w:val="FFFFFF" w:themeColor="background1"/>
                <w:lang w:val="es-ES"/>
              </w:rPr>
            </w:pPr>
            <w:r w:rsidRPr="0067461A">
              <w:rPr>
                <w:b/>
                <w:bCs w:val="0"/>
                <w:iCs/>
                <w:color w:val="FFFFFF" w:themeColor="background1"/>
                <w:lang w:val="es-ES"/>
              </w:rPr>
              <w:t>Económica</w:t>
            </w:r>
          </w:p>
        </w:tc>
      </w:tr>
      <w:tr w:rsidR="0067461A" w:rsidRPr="0067461A" w14:paraId="676695F7" w14:textId="77777777">
        <w:tc>
          <w:tcPr>
            <w:tcW w:w="2903" w:type="dxa"/>
            <w:tcBorders>
              <w:top w:val="single" w:sz="18" w:space="0" w:color="FFFFFF"/>
            </w:tcBorders>
          </w:tcPr>
          <w:p w14:paraId="3B9FDB25" w14:textId="77777777" w:rsidR="0067461A" w:rsidRPr="0067461A" w:rsidRDefault="0067461A">
            <w:pPr>
              <w:pStyle w:val="Tablecells"/>
              <w:rPr>
                <w:lang w:val="es-ES"/>
              </w:rPr>
            </w:pPr>
            <w:r w:rsidRPr="0067461A">
              <w:rPr>
                <w:lang w:val="es-ES"/>
              </w:rPr>
              <w:t>Costo del activo equivalente moderno (MEA) a día de hoy</w:t>
            </w:r>
          </w:p>
        </w:tc>
        <w:tc>
          <w:tcPr>
            <w:tcW w:w="1454" w:type="dxa"/>
            <w:tcBorders>
              <w:top w:val="single" w:sz="18" w:space="0" w:color="FFFFFF"/>
            </w:tcBorders>
            <w:vAlign w:val="center"/>
          </w:tcPr>
          <w:p w14:paraId="7EA6FE2B" w14:textId="77777777" w:rsidR="0067461A" w:rsidRPr="0067461A" w:rsidRDefault="0067461A">
            <w:pPr>
              <w:pStyle w:val="Tablecells"/>
              <w:rPr>
                <w:lang w:val="es-ES"/>
              </w:rPr>
            </w:pPr>
          </w:p>
        </w:tc>
        <w:tc>
          <w:tcPr>
            <w:tcW w:w="1454" w:type="dxa"/>
            <w:tcBorders>
              <w:top w:val="single" w:sz="18" w:space="0" w:color="FFFFFF"/>
            </w:tcBorders>
            <w:vAlign w:val="center"/>
          </w:tcPr>
          <w:p w14:paraId="6771AEC1" w14:textId="77777777" w:rsidR="0067461A" w:rsidRPr="0067461A" w:rsidRDefault="0067461A">
            <w:pPr>
              <w:pStyle w:val="Tablecells"/>
              <w:rPr>
                <w:lang w:val="es-ES"/>
              </w:rPr>
            </w:pPr>
            <w:r w:rsidRPr="0067461A">
              <w:rPr>
                <w:sz w:val="24"/>
                <w:lang w:val="es-ES"/>
              </w:rPr>
              <w:sym w:font="Wingdings" w:char="F0FC"/>
            </w:r>
          </w:p>
        </w:tc>
        <w:tc>
          <w:tcPr>
            <w:tcW w:w="1454" w:type="dxa"/>
            <w:tcBorders>
              <w:top w:val="single" w:sz="18" w:space="0" w:color="FFFFFF"/>
            </w:tcBorders>
            <w:vAlign w:val="center"/>
          </w:tcPr>
          <w:p w14:paraId="0F4A1B20" w14:textId="77777777" w:rsidR="0067461A" w:rsidRPr="0067461A" w:rsidRDefault="0067461A">
            <w:pPr>
              <w:pStyle w:val="Tablecells"/>
              <w:rPr>
                <w:lang w:val="es-ES"/>
              </w:rPr>
            </w:pPr>
            <w:r w:rsidRPr="0067461A">
              <w:rPr>
                <w:sz w:val="24"/>
                <w:lang w:val="es-ES"/>
              </w:rPr>
              <w:sym w:font="Wingdings" w:char="F0FC"/>
            </w:r>
          </w:p>
        </w:tc>
        <w:tc>
          <w:tcPr>
            <w:tcW w:w="1455" w:type="dxa"/>
            <w:tcBorders>
              <w:top w:val="single" w:sz="18" w:space="0" w:color="FFFFFF"/>
            </w:tcBorders>
            <w:vAlign w:val="center"/>
          </w:tcPr>
          <w:p w14:paraId="28FF5B84" w14:textId="77777777" w:rsidR="0067461A" w:rsidRPr="0067461A" w:rsidRDefault="0067461A">
            <w:pPr>
              <w:pStyle w:val="Tablecells"/>
              <w:rPr>
                <w:lang w:val="es-ES"/>
              </w:rPr>
            </w:pPr>
            <w:r w:rsidRPr="0067461A">
              <w:rPr>
                <w:sz w:val="24"/>
                <w:lang w:val="es-ES"/>
              </w:rPr>
              <w:sym w:font="Wingdings" w:char="F0FC"/>
            </w:r>
          </w:p>
        </w:tc>
      </w:tr>
      <w:tr w:rsidR="0067461A" w:rsidRPr="0067461A" w14:paraId="0F7E588F" w14:textId="77777777">
        <w:tc>
          <w:tcPr>
            <w:tcW w:w="2903" w:type="dxa"/>
          </w:tcPr>
          <w:p w14:paraId="65941BB7" w14:textId="77777777" w:rsidR="0067461A" w:rsidRPr="0067461A" w:rsidRDefault="0067461A">
            <w:pPr>
              <w:pStyle w:val="Tablecells"/>
              <w:rPr>
                <w:lang w:val="es-ES"/>
              </w:rPr>
            </w:pPr>
            <w:r w:rsidRPr="0067461A">
              <w:rPr>
                <w:lang w:val="es-ES"/>
              </w:rPr>
              <w:t>Pronóstico de costo del MEA</w:t>
            </w:r>
          </w:p>
        </w:tc>
        <w:tc>
          <w:tcPr>
            <w:tcW w:w="1454" w:type="dxa"/>
            <w:vAlign w:val="center"/>
          </w:tcPr>
          <w:p w14:paraId="7DF82666" w14:textId="77777777" w:rsidR="0067461A" w:rsidRPr="0067461A" w:rsidRDefault="0067461A">
            <w:pPr>
              <w:pStyle w:val="Tablecells"/>
              <w:rPr>
                <w:lang w:val="es-ES"/>
              </w:rPr>
            </w:pPr>
          </w:p>
        </w:tc>
        <w:tc>
          <w:tcPr>
            <w:tcW w:w="1454" w:type="dxa"/>
            <w:vAlign w:val="center"/>
          </w:tcPr>
          <w:p w14:paraId="33E61EFA" w14:textId="77777777" w:rsidR="0067461A" w:rsidRPr="0067461A" w:rsidRDefault="0067461A">
            <w:pPr>
              <w:pStyle w:val="Tablecells"/>
              <w:rPr>
                <w:lang w:val="es-ES"/>
              </w:rPr>
            </w:pPr>
          </w:p>
        </w:tc>
        <w:tc>
          <w:tcPr>
            <w:tcW w:w="1454" w:type="dxa"/>
            <w:vAlign w:val="center"/>
          </w:tcPr>
          <w:p w14:paraId="1E3F237B" w14:textId="77777777" w:rsidR="0067461A" w:rsidRPr="0067461A" w:rsidRDefault="0067461A">
            <w:pPr>
              <w:pStyle w:val="Tablecells"/>
              <w:rPr>
                <w:lang w:val="es-ES"/>
              </w:rPr>
            </w:pPr>
            <w:r w:rsidRPr="0067461A">
              <w:rPr>
                <w:sz w:val="24"/>
                <w:lang w:val="es-ES"/>
              </w:rPr>
              <w:sym w:font="Wingdings" w:char="F0FC"/>
            </w:r>
          </w:p>
        </w:tc>
        <w:tc>
          <w:tcPr>
            <w:tcW w:w="1455" w:type="dxa"/>
            <w:vAlign w:val="center"/>
          </w:tcPr>
          <w:p w14:paraId="7740E42C" w14:textId="77777777" w:rsidR="0067461A" w:rsidRPr="0067461A" w:rsidRDefault="0067461A">
            <w:pPr>
              <w:pStyle w:val="Tablecells"/>
              <w:rPr>
                <w:lang w:val="es-ES"/>
              </w:rPr>
            </w:pPr>
            <w:r w:rsidRPr="0067461A">
              <w:rPr>
                <w:sz w:val="24"/>
                <w:lang w:val="es-ES"/>
              </w:rPr>
              <w:sym w:font="Wingdings" w:char="F0FC"/>
            </w:r>
          </w:p>
        </w:tc>
      </w:tr>
      <w:tr w:rsidR="0067461A" w:rsidRPr="0067461A" w14:paraId="2D2C3373" w14:textId="77777777">
        <w:tc>
          <w:tcPr>
            <w:tcW w:w="2903" w:type="dxa"/>
          </w:tcPr>
          <w:p w14:paraId="7D182110" w14:textId="77777777" w:rsidR="0067461A" w:rsidRPr="0067461A" w:rsidRDefault="0067461A">
            <w:pPr>
              <w:pStyle w:val="Tablecells"/>
              <w:rPr>
                <w:lang w:val="es-ES"/>
              </w:rPr>
            </w:pPr>
            <w:r w:rsidRPr="0067461A">
              <w:rPr>
                <w:lang w:val="es-ES"/>
              </w:rPr>
              <w:t>Producción de la red a través del tiempo</w:t>
            </w:r>
          </w:p>
        </w:tc>
        <w:tc>
          <w:tcPr>
            <w:tcW w:w="1454" w:type="dxa"/>
            <w:vAlign w:val="center"/>
          </w:tcPr>
          <w:p w14:paraId="21B96F15" w14:textId="77777777" w:rsidR="0067461A" w:rsidRPr="0067461A" w:rsidRDefault="0067461A">
            <w:pPr>
              <w:pStyle w:val="Tablecells"/>
              <w:rPr>
                <w:lang w:val="es-ES"/>
              </w:rPr>
            </w:pPr>
          </w:p>
        </w:tc>
        <w:tc>
          <w:tcPr>
            <w:tcW w:w="1454" w:type="dxa"/>
            <w:vAlign w:val="center"/>
          </w:tcPr>
          <w:p w14:paraId="61E72D4D" w14:textId="77777777" w:rsidR="0067461A" w:rsidRPr="0067461A" w:rsidRDefault="0067461A">
            <w:pPr>
              <w:pStyle w:val="Tablecells"/>
              <w:rPr>
                <w:lang w:val="es-ES"/>
              </w:rPr>
            </w:pPr>
          </w:p>
        </w:tc>
        <w:tc>
          <w:tcPr>
            <w:tcW w:w="1454" w:type="dxa"/>
            <w:vAlign w:val="center"/>
          </w:tcPr>
          <w:p w14:paraId="7CC1D768" w14:textId="77777777" w:rsidR="0067461A" w:rsidRPr="0067461A" w:rsidRDefault="0067461A">
            <w:pPr>
              <w:pStyle w:val="Tablecells"/>
              <w:ind w:right="-77"/>
              <w:rPr>
                <w:lang w:val="es-ES"/>
              </w:rPr>
            </w:pPr>
            <w:r w:rsidRPr="0067461A">
              <w:rPr>
                <w:rStyle w:val="Refdenotaalpie"/>
                <w:lang w:val="es-ES"/>
              </w:rPr>
              <w:footnoteReference w:id="23"/>
            </w:r>
            <w:r w:rsidRPr="0067461A">
              <w:rPr>
                <w:lang w:val="es-ES"/>
              </w:rPr>
              <w:t xml:space="preserve"> </w:t>
            </w:r>
          </w:p>
        </w:tc>
        <w:tc>
          <w:tcPr>
            <w:tcW w:w="1455" w:type="dxa"/>
            <w:vAlign w:val="center"/>
          </w:tcPr>
          <w:p w14:paraId="3371BB53" w14:textId="77777777" w:rsidR="0067461A" w:rsidRPr="0067461A" w:rsidRDefault="0067461A">
            <w:pPr>
              <w:pStyle w:val="Tablecells"/>
              <w:rPr>
                <w:lang w:val="es-ES"/>
              </w:rPr>
            </w:pPr>
            <w:r w:rsidRPr="0067461A">
              <w:rPr>
                <w:sz w:val="24"/>
                <w:lang w:val="es-ES"/>
              </w:rPr>
              <w:sym w:font="Wingdings" w:char="F0FC"/>
            </w:r>
          </w:p>
        </w:tc>
      </w:tr>
      <w:tr w:rsidR="0067461A" w:rsidRPr="0067461A" w14:paraId="73696D9E" w14:textId="77777777">
        <w:tc>
          <w:tcPr>
            <w:tcW w:w="2903" w:type="dxa"/>
          </w:tcPr>
          <w:p w14:paraId="13BE8385" w14:textId="77777777" w:rsidR="0067461A" w:rsidRPr="0067461A" w:rsidRDefault="0067461A">
            <w:pPr>
              <w:pStyle w:val="Tablecells"/>
              <w:rPr>
                <w:lang w:val="es-ES"/>
              </w:rPr>
            </w:pPr>
            <w:r w:rsidRPr="0067461A">
              <w:rPr>
                <w:lang w:val="es-ES"/>
              </w:rPr>
              <w:t>Vida financiera de los activos</w:t>
            </w:r>
          </w:p>
        </w:tc>
        <w:tc>
          <w:tcPr>
            <w:tcW w:w="1454" w:type="dxa"/>
            <w:vAlign w:val="center"/>
          </w:tcPr>
          <w:p w14:paraId="0EC83666" w14:textId="77777777" w:rsidR="0067461A" w:rsidRPr="0067461A" w:rsidRDefault="0067461A">
            <w:pPr>
              <w:pStyle w:val="Tablecells"/>
              <w:rPr>
                <w:lang w:val="es-ES"/>
              </w:rPr>
            </w:pPr>
            <w:r w:rsidRPr="0067461A">
              <w:rPr>
                <w:sz w:val="24"/>
                <w:lang w:val="es-ES"/>
              </w:rPr>
              <w:sym w:font="Wingdings" w:char="F0FC"/>
            </w:r>
          </w:p>
        </w:tc>
        <w:tc>
          <w:tcPr>
            <w:tcW w:w="1454" w:type="dxa"/>
            <w:vAlign w:val="center"/>
          </w:tcPr>
          <w:p w14:paraId="31DB998F" w14:textId="77777777" w:rsidR="0067461A" w:rsidRPr="0067461A" w:rsidRDefault="0067461A">
            <w:pPr>
              <w:pStyle w:val="Tablecells"/>
              <w:rPr>
                <w:lang w:val="es-ES"/>
              </w:rPr>
            </w:pPr>
            <w:r w:rsidRPr="0067461A">
              <w:rPr>
                <w:sz w:val="24"/>
                <w:lang w:val="es-ES"/>
              </w:rPr>
              <w:sym w:font="Wingdings" w:char="F0FC"/>
            </w:r>
          </w:p>
        </w:tc>
        <w:tc>
          <w:tcPr>
            <w:tcW w:w="1454" w:type="dxa"/>
            <w:vAlign w:val="center"/>
          </w:tcPr>
          <w:p w14:paraId="509EC6C2" w14:textId="77777777" w:rsidR="0067461A" w:rsidRPr="0067461A" w:rsidRDefault="0067461A">
            <w:pPr>
              <w:pStyle w:val="Tablecells"/>
              <w:rPr>
                <w:rStyle w:val="Refdenotaalpie"/>
                <w:lang w:val="es-ES"/>
              </w:rPr>
            </w:pPr>
            <w:r w:rsidRPr="0067461A">
              <w:rPr>
                <w:sz w:val="24"/>
                <w:lang w:val="es-ES"/>
              </w:rPr>
              <w:sym w:font="Wingdings" w:char="F0FC"/>
            </w:r>
          </w:p>
        </w:tc>
        <w:tc>
          <w:tcPr>
            <w:tcW w:w="1455" w:type="dxa"/>
            <w:vAlign w:val="center"/>
          </w:tcPr>
          <w:p w14:paraId="763BE913" w14:textId="77777777" w:rsidR="0067461A" w:rsidRPr="0067461A" w:rsidRDefault="0067461A">
            <w:pPr>
              <w:pStyle w:val="Tablecells"/>
              <w:rPr>
                <w:sz w:val="24"/>
                <w:lang w:val="es-ES"/>
              </w:rPr>
            </w:pPr>
            <w:r w:rsidRPr="0067461A">
              <w:rPr>
                <w:sz w:val="24"/>
                <w:lang w:val="es-ES"/>
              </w:rPr>
              <w:sym w:font="Wingdings" w:char="F0FC"/>
            </w:r>
            <w:r w:rsidRPr="0067461A">
              <w:rPr>
                <w:rStyle w:val="Refdenotaalpie"/>
                <w:lang w:val="es-ES"/>
              </w:rPr>
              <w:footnoteReference w:id="24"/>
            </w:r>
          </w:p>
        </w:tc>
      </w:tr>
      <w:tr w:rsidR="0067461A" w:rsidRPr="0067461A" w14:paraId="38CF412E" w14:textId="77777777">
        <w:tc>
          <w:tcPr>
            <w:tcW w:w="2903" w:type="dxa"/>
          </w:tcPr>
          <w:p w14:paraId="2E9F4002" w14:textId="77777777" w:rsidR="0067461A" w:rsidRPr="0067461A" w:rsidRDefault="0067461A">
            <w:pPr>
              <w:pStyle w:val="Tablecells"/>
              <w:rPr>
                <w:lang w:val="es-ES"/>
              </w:rPr>
            </w:pPr>
            <w:r w:rsidRPr="0067461A">
              <w:rPr>
                <w:lang w:val="es-ES"/>
              </w:rPr>
              <w:lastRenderedPageBreak/>
              <w:t>Vida económica de los activos</w:t>
            </w:r>
          </w:p>
        </w:tc>
        <w:tc>
          <w:tcPr>
            <w:tcW w:w="1454" w:type="dxa"/>
            <w:vAlign w:val="center"/>
          </w:tcPr>
          <w:p w14:paraId="2E675F13" w14:textId="77777777" w:rsidR="0067461A" w:rsidRPr="0067461A" w:rsidRDefault="0067461A">
            <w:pPr>
              <w:pStyle w:val="Tablecells"/>
              <w:rPr>
                <w:lang w:val="es-ES"/>
              </w:rPr>
            </w:pPr>
          </w:p>
        </w:tc>
        <w:tc>
          <w:tcPr>
            <w:tcW w:w="1454" w:type="dxa"/>
            <w:vAlign w:val="center"/>
          </w:tcPr>
          <w:p w14:paraId="4EB72748" w14:textId="77777777" w:rsidR="0067461A" w:rsidRPr="0067461A" w:rsidRDefault="0067461A">
            <w:pPr>
              <w:pStyle w:val="Tablecells"/>
              <w:rPr>
                <w:lang w:val="es-ES"/>
              </w:rPr>
            </w:pPr>
          </w:p>
        </w:tc>
        <w:tc>
          <w:tcPr>
            <w:tcW w:w="1454" w:type="dxa"/>
            <w:vAlign w:val="center"/>
          </w:tcPr>
          <w:p w14:paraId="636AC4A7" w14:textId="77777777" w:rsidR="0067461A" w:rsidRPr="0067461A" w:rsidRDefault="0067461A">
            <w:pPr>
              <w:pStyle w:val="Tablecells"/>
              <w:rPr>
                <w:sz w:val="24"/>
                <w:lang w:val="es-ES"/>
              </w:rPr>
            </w:pPr>
            <w:r w:rsidRPr="0067461A">
              <w:rPr>
                <w:sz w:val="24"/>
                <w:lang w:val="es-ES"/>
              </w:rPr>
              <w:sym w:font="Wingdings" w:char="F0FC"/>
            </w:r>
          </w:p>
        </w:tc>
        <w:tc>
          <w:tcPr>
            <w:tcW w:w="1455" w:type="dxa"/>
            <w:vAlign w:val="center"/>
          </w:tcPr>
          <w:p w14:paraId="12073029" w14:textId="77777777" w:rsidR="0067461A" w:rsidRPr="0067461A" w:rsidRDefault="0067461A">
            <w:pPr>
              <w:pStyle w:val="Tablecells"/>
              <w:rPr>
                <w:sz w:val="24"/>
                <w:lang w:val="es-ES"/>
              </w:rPr>
            </w:pPr>
            <w:r w:rsidRPr="0067461A">
              <w:rPr>
                <w:sz w:val="24"/>
                <w:lang w:val="es-ES"/>
              </w:rPr>
              <w:sym w:font="Wingdings" w:char="F0FC"/>
            </w:r>
          </w:p>
        </w:tc>
      </w:tr>
    </w:tbl>
    <w:p w14:paraId="0204429A" w14:textId="77777777" w:rsidR="0067461A" w:rsidRPr="0067461A" w:rsidRDefault="0067461A" w:rsidP="0067461A"/>
    <w:p w14:paraId="787BCCF5" w14:textId="77777777" w:rsidR="0067461A" w:rsidRPr="0067461A" w:rsidRDefault="0067461A" w:rsidP="0067461A">
      <w:r w:rsidRPr="0067461A">
        <w:t xml:space="preserve">La producción de la red a través del tiempo es un factor clave en la elección del método de depreciación. En lo que respecta a las redes móviles, en general los volúmenes de tráfico de internet móvil han experimentado un crecimiento significativo en los últimos años, mientras que los volúmenes de voz móvil han crecido a un ritmo comparativamente más lento. </w:t>
      </w:r>
    </w:p>
    <w:p w14:paraId="4072C9FE" w14:textId="77777777" w:rsidR="0067461A" w:rsidRPr="0067461A" w:rsidRDefault="0067461A" w:rsidP="0067461A">
      <w:r w:rsidRPr="0067461A">
        <w:t>La situación en las redes fijas es aún más complicada. Durante muchos años el tráfico cursado había estado dominado por los servicios de voz y era bastante estable. En los últimos años, sin embargo, esto ha cambiado notablemente:</w:t>
      </w:r>
    </w:p>
    <w:p w14:paraId="0EBBF0EA" w14:textId="77777777" w:rsidR="0067461A" w:rsidRPr="0067461A" w:rsidRDefault="0067461A" w:rsidP="0067461A">
      <w:pPr>
        <w:pStyle w:val="ListBulletCompact"/>
        <w:spacing w:after="0"/>
        <w:ind w:left="360" w:hanging="360"/>
        <w:contextualSpacing w:val="0"/>
        <w:rPr>
          <w:spacing w:val="-4"/>
        </w:rPr>
      </w:pPr>
      <w:r w:rsidRPr="0067461A">
        <w:rPr>
          <w:spacing w:val="-4"/>
        </w:rPr>
        <w:t>los volúmenes de tráfico de voz han decrecido y el internet conmutado prácticamente ya no existe</w:t>
      </w:r>
    </w:p>
    <w:p w14:paraId="5B15FA1A" w14:textId="77777777" w:rsidR="0067461A" w:rsidRPr="0067461A" w:rsidRDefault="0067461A" w:rsidP="0067461A">
      <w:pPr>
        <w:pStyle w:val="ListBulletCompact"/>
      </w:pPr>
      <w:r w:rsidRPr="0067461A">
        <w:t>los volúmenes de tráfico de banda ancha y de otros servicios de datos, como los enlaces dedicados, han aumentado considerablemente.</w:t>
      </w:r>
    </w:p>
    <w:p w14:paraId="7528A104" w14:textId="77777777" w:rsidR="0067461A" w:rsidRPr="0067461A" w:rsidRDefault="0067461A" w:rsidP="0067461A">
      <w:pPr>
        <w:spacing w:after="280"/>
      </w:pPr>
      <w:r w:rsidRPr="0067461A">
        <w:t>Por lo tanto, el uso de anualidades inclinadas también diferiría de la depreciación económica en el costeo fijo. De esta manera, se considera que el uso de la depreciación económica es apropiado para tanto en el caso de redes fijas como redes móviles.</w:t>
      </w:r>
    </w:p>
    <w:p w14:paraId="32B61409" w14:textId="115FA7C1" w:rsidR="0067461A" w:rsidRPr="0067461A" w:rsidRDefault="0067461A" w:rsidP="0067461A">
      <w:pPr>
        <w:spacing w:after="280"/>
      </w:pPr>
      <w:r w:rsidRPr="0067461A">
        <w:t xml:space="preserve">Por otro lado, en </w:t>
      </w:r>
      <w:r w:rsidR="000C76F0">
        <w:t>la Metodología de Costos</w:t>
      </w:r>
      <w:r w:rsidRPr="0067461A">
        <w:t>, se recomienda la utilización de la depreciación económica para el costeo de estos servicios. Esta aproximación se encuentra en línea con la Recomendación de 2009 de la Comisión Europea para estos servicios.</w:t>
      </w:r>
    </w:p>
    <w:p w14:paraId="0E2B613C" w14:textId="77777777" w:rsidR="0067461A" w:rsidRPr="0067461A" w:rsidRDefault="0067461A" w:rsidP="0067461A">
      <w:pPr>
        <w:spacing w:after="280"/>
      </w:pPr>
      <w:r w:rsidRPr="0067461A">
        <w:t>Mientras tanto, para el resto de servicios incluidos en el modelo, el IFT no determina preferencia por ninguna aproximación para la depreciación de los costos fijos. A este respecto, y en línea con el resto de consideraciones aplicadas sobre el modelo de costos, se considera apropiado mantener el mismo tipo de depreciación para los distintos servicios modelados (interconexión, usuario visitante, acceso indirecto al bucle y enlaces dedicados) para aquellos activos que comunes para varios servicios, a fin de asegurar consistencia.</w:t>
      </w:r>
    </w:p>
    <w:p w14:paraId="313DE49C" w14:textId="6468BB56" w:rsidR="0067461A" w:rsidRPr="0067461A" w:rsidRDefault="0067461A" w:rsidP="0067461A">
      <w:pPr>
        <w:spacing w:after="280"/>
      </w:pPr>
      <w:r w:rsidRPr="0067461A">
        <w:t>En el caso de activos específicos para servicios mayoristas que no se empleen para en la provisión de servicios de interconexión, podría considerarse el uso de otra metodología de costos. En este caso, la alternativa común en la práctica internacional es el uso del método de anualidad inclinada (</w:t>
      </w:r>
      <w:r w:rsidRPr="0067461A">
        <w:rPr>
          <w:i/>
          <w:iCs/>
        </w:rPr>
        <w:t>tilted annuity</w:t>
      </w:r>
      <w:r w:rsidRPr="0067461A">
        <w:t>). Esta metodología se empleará, por ejemplo, para la depreciación de los equipos específicos para enlaces dedicados, desplegados en la ubicación del cliente y en central, los cuales no se comparten con la provisión de servicios de interconexión.</w:t>
      </w:r>
    </w:p>
    <w:tbl>
      <w:tblPr>
        <w:tblStyle w:val="Tablaconcuadrcula"/>
        <w:tblW w:w="0" w:type="auto"/>
        <w:tblLook w:val="04A0" w:firstRow="1" w:lastRow="0" w:firstColumn="1" w:lastColumn="0" w:noHBand="0" w:noVBand="1"/>
      </w:tblPr>
      <w:tblGrid>
        <w:gridCol w:w="8721"/>
      </w:tblGrid>
      <w:tr w:rsidR="0067461A" w:rsidRPr="0067461A" w14:paraId="4B1CF3F0"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2E77F5C9" w14:textId="64D57F9A" w:rsidR="0067461A" w:rsidRPr="0067461A" w:rsidRDefault="0067461A">
            <w:pPr>
              <w:spacing w:after="120"/>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22</w:t>
            </w:r>
            <w:r w:rsidRPr="0067461A">
              <w:rPr>
                <w:b/>
              </w:rPr>
              <w:fldChar w:fldCharType="end"/>
            </w:r>
            <w:r w:rsidRPr="0067461A">
              <w:rPr>
                <w:b/>
                <w:bCs/>
              </w:rPr>
              <w:t xml:space="preserve">: </w:t>
            </w:r>
            <w:r w:rsidRPr="0067461A">
              <w:rPr>
                <w:spacing w:val="-4"/>
              </w:rPr>
              <w:t>Se utiliza</w:t>
            </w:r>
            <w:r w:rsidRPr="0067461A">
              <w:t>rá</w:t>
            </w:r>
            <w:r w:rsidRPr="0067461A">
              <w:rPr>
                <w:spacing w:val="-4"/>
              </w:rPr>
              <w:t xml:space="preserve"> la depreciación económica para la depreciación de los activos de redes fijas y redes móviles. En el caso de elementos que no sean comunes a la provisión de servicios de interconexión, se podrá hacer uso también del método de anualidad inclinada.</w:t>
            </w:r>
          </w:p>
        </w:tc>
      </w:tr>
    </w:tbl>
    <w:p w14:paraId="30C728D0" w14:textId="77777777" w:rsidR="0067461A" w:rsidRPr="0067461A" w:rsidRDefault="0067461A" w:rsidP="0067461A">
      <w:pPr>
        <w:pStyle w:val="Ttulo3"/>
        <w:numPr>
          <w:ilvl w:val="2"/>
          <w:numId w:val="24"/>
        </w:numPr>
        <w:tabs>
          <w:tab w:val="num" w:pos="926"/>
        </w:tabs>
        <w:ind w:left="926" w:hanging="360"/>
      </w:pPr>
      <w:r w:rsidRPr="0067461A">
        <w:lastRenderedPageBreak/>
        <w:t>Implicaciones del uso de la depreciación económica para el modelo de costos</w:t>
      </w:r>
    </w:p>
    <w:p w14:paraId="6375793E" w14:textId="77777777" w:rsidR="0067461A" w:rsidRPr="0067461A" w:rsidRDefault="0067461A" w:rsidP="0067461A">
      <w:r w:rsidRPr="0067461A">
        <w:t>La depreciación económica es un método que permite determinar cuál es la recuperación de costos económicamente racional y, por tanto, debe:</w:t>
      </w:r>
    </w:p>
    <w:p w14:paraId="2CB93CE1" w14:textId="77777777" w:rsidR="0067461A" w:rsidRPr="0067461A" w:rsidRDefault="0067461A" w:rsidP="0067461A">
      <w:pPr>
        <w:pStyle w:val="ListBulletCompact"/>
        <w:spacing w:after="0"/>
        <w:ind w:left="360" w:hanging="360"/>
        <w:contextualSpacing w:val="0"/>
      </w:pPr>
      <w:r w:rsidRPr="0067461A">
        <w:t>reflejar los costos subyacentes de producción, es decir, las tendencias en los precios del MEA</w:t>
      </w:r>
    </w:p>
    <w:p w14:paraId="59615928" w14:textId="77777777" w:rsidR="0067461A" w:rsidRPr="0067461A" w:rsidRDefault="0067461A" w:rsidP="0067461A">
      <w:pPr>
        <w:pStyle w:val="Listaconvietas"/>
      </w:pPr>
      <w:r w:rsidRPr="0067461A">
        <w:t>reflejar la producción de los elementos de la red en el largo plazo.</w:t>
      </w:r>
    </w:p>
    <w:p w14:paraId="06A63012" w14:textId="77777777" w:rsidR="0067461A" w:rsidRPr="0067461A" w:rsidRDefault="0067461A" w:rsidP="0067461A">
      <w:r w:rsidRPr="0067461A">
        <w:t>El primer factor relaciona la recuperación de costos a la de un nuevo entrante en el mercado (si el mercado es disputable) que podría ofrecer servicios con base en los costos actuales de producción.</w:t>
      </w:r>
    </w:p>
    <w:p w14:paraId="308EE287" w14:textId="77777777" w:rsidR="0067461A" w:rsidRPr="0067461A" w:rsidRDefault="0067461A" w:rsidP="0067461A">
      <w:r w:rsidRPr="0067461A">
        <w:t xml:space="preserve">El segundo factor relaciona la recuperación de costos con la vida útil de la red –en tanto que las inversiones y otros gastos se van realizando a través del tiempo con la finalidad de poder recuperarlos mediante la demanda que se genera a lo largo de la vida de la operación–. En un mercado competitivo, estos retornos generan una utilidad normal en el largo plazo (por consiguiente, no extraordinaria). Todos los operadores deben realizar cuantiosas inversiones iniciales, y solo recuperan estos costos a través del tiempo. Estos dos factores no se reflejan en la depreciación histórica, que simplemente considera cuándo fue adquirido un activo y en qué periodo se depreciará. </w:t>
      </w:r>
    </w:p>
    <w:p w14:paraId="74953386" w14:textId="4FECB943" w:rsidR="0067461A" w:rsidRPr="0067461A" w:rsidRDefault="0067461A" w:rsidP="0067461A">
      <w:r w:rsidRPr="0067461A">
        <w:t>La depreciación económica que debe usarse en los modelos de costos está basada en el principio que establece que «</w:t>
      </w:r>
      <w:r w:rsidRPr="0067461A">
        <w:rPr>
          <w:iCs/>
        </w:rPr>
        <w:t>todos los costos incurridos (eficientemente) deben ser completamente recuperados en forma económicamente racional».</w:t>
      </w:r>
      <w:r w:rsidRPr="0067461A">
        <w:t xml:space="preserve"> La recuperación total de estos costos se garantiza al comprobar que el </w:t>
      </w:r>
      <w:r w:rsidR="00864100">
        <w:t>valor presente</w:t>
      </w:r>
      <w:r w:rsidRPr="0067461A">
        <w:t xml:space="preserve"> de los gastos sea igual al valor presente de los costos económicos recuperados, es decir, que el </w:t>
      </w:r>
      <w:r w:rsidR="00864100">
        <w:t>valor neto actualizado</w:t>
      </w:r>
      <w:r w:rsidRPr="0067461A">
        <w:t xml:space="preserve"> de los costos recuperados menos los gastos sea cero.</w:t>
      </w:r>
    </w:p>
    <w:p w14:paraId="1AE69DC2" w14:textId="77777777" w:rsidR="0067461A" w:rsidRPr="0067461A" w:rsidRDefault="0067461A" w:rsidP="0067461A">
      <w:pPr>
        <w:pStyle w:val="Ttulo3"/>
      </w:pPr>
      <w:bookmarkStart w:id="177" w:name="_Ref135387944"/>
      <w:r w:rsidRPr="0067461A">
        <w:t>Serie de tiempo</w:t>
      </w:r>
      <w:bookmarkEnd w:id="177"/>
    </w:p>
    <w:p w14:paraId="1C3EDB8B" w14:textId="77777777" w:rsidR="0067461A" w:rsidRPr="0067461A" w:rsidRDefault="0067461A" w:rsidP="0067461A">
      <w:pPr>
        <w:rPr>
          <w:rFonts w:eastAsia="MS Mincho"/>
        </w:rPr>
      </w:pPr>
      <w:r w:rsidRPr="0067461A">
        <w:rPr>
          <w:rFonts w:eastAsia="MS Mincho"/>
        </w:rPr>
        <w:t>La serie de tiempo, o el número de años para el que se calcularán los volúmenes de demanda y activos, es un insumo muy importante, especialmente en el caso de la depreciación económica. Una serie de tiempo larga:</w:t>
      </w:r>
    </w:p>
    <w:p w14:paraId="32792296" w14:textId="77777777" w:rsidR="0067461A" w:rsidRPr="0067461A" w:rsidRDefault="0067461A" w:rsidP="0067461A">
      <w:pPr>
        <w:pStyle w:val="ListBulletCompact"/>
        <w:spacing w:after="0"/>
        <w:ind w:left="360" w:hanging="360"/>
        <w:contextualSpacing w:val="0"/>
      </w:pPr>
      <w:r w:rsidRPr="0067461A">
        <w:t>permite considerar todos los costos en el tiempo, lo que aporta una mayor claridad dentro del modelo en relación con las implicaciones de adoptar la depreciación económica</w:t>
      </w:r>
    </w:p>
    <w:p w14:paraId="6C30AC15" w14:textId="77777777" w:rsidR="0067461A" w:rsidRPr="0067461A" w:rsidRDefault="0067461A" w:rsidP="0067461A">
      <w:pPr>
        <w:pStyle w:val="ListBulletCompact"/>
        <w:spacing w:after="0"/>
        <w:ind w:left="360" w:hanging="360"/>
        <w:contextualSpacing w:val="0"/>
      </w:pPr>
      <w:r w:rsidRPr="0067461A">
        <w:t xml:space="preserve">puede ser utilizado para estimar grandes pérdidas/ganancias resultantes de cambios en el costeo, permitiendo mayor transparencia sobre la recuperación de todos los costos incurridos por proveer los servicios </w:t>
      </w:r>
    </w:p>
    <w:p w14:paraId="2246886F" w14:textId="77777777" w:rsidR="0067461A" w:rsidRPr="0067461A" w:rsidRDefault="0067461A" w:rsidP="0067461A">
      <w:pPr>
        <w:pStyle w:val="ListBulletCompact"/>
        <w:spacing w:after="0"/>
        <w:ind w:left="360" w:hanging="360"/>
        <w:contextualSpacing w:val="0"/>
      </w:pPr>
      <w:r w:rsidRPr="0067461A">
        <w:t>genera una gran cantidad de información para entender cómo varían los costos del operador modelado a través del tiempo en respuesta a cambios en la demanda o la evolución de la red</w:t>
      </w:r>
    </w:p>
    <w:p w14:paraId="06ECC5E5" w14:textId="77777777" w:rsidR="0067461A" w:rsidRPr="0067461A" w:rsidRDefault="0067461A" w:rsidP="0067461A">
      <w:pPr>
        <w:pStyle w:val="Listaconvietas"/>
      </w:pPr>
      <w:r w:rsidRPr="0067461A">
        <w:t>puede incluir otras formas de depreciación con un esfuerzo mínimo.</w:t>
      </w:r>
    </w:p>
    <w:p w14:paraId="4470A52D" w14:textId="77777777" w:rsidR="0067461A" w:rsidRPr="0067461A" w:rsidRDefault="0067461A" w:rsidP="0067461A">
      <w:r w:rsidRPr="0067461A">
        <w:t>La serie de tiempo debería ser igual a la vida del operador, permitiéndole recuperar todos los costos incurridos a lo largo de la vida del negocio. Sin embargo, resulta difícil identificar cómo de largo será el ciclo de vida de un negocio, por lo que se propone el modelo utilice una serie de tiempo que sea al menos tan larga como la vida de los activos más longevos.</w:t>
      </w:r>
    </w:p>
    <w:p w14:paraId="307D9806" w14:textId="77777777" w:rsidR="0067461A" w:rsidRPr="0067461A" w:rsidRDefault="0067461A" w:rsidP="0067461A">
      <w:pPr>
        <w:rPr>
          <w:rFonts w:eastAsia="MS Mincho"/>
        </w:rPr>
      </w:pPr>
      <w:r w:rsidRPr="0067461A">
        <w:rPr>
          <w:rFonts w:eastAsia="MS Mincho"/>
        </w:rPr>
        <w:lastRenderedPageBreak/>
        <w:t>Para un operador móvil, algunos activos pueden tener una vida útil de entre 25 y 40 años, por lo que se llegan a utilizar series de tiempo de hasta 50 años. Para las redes fijas, sin embargo, algunos activos, como los ductos, pueden alcanzar el final de su vida útil más allá de los 40 años. Como consecuencia de ello, puede ser necesario desarrollar un modelo capaz de calcular los costos de activos con vidas de al menos 50 años.</w:t>
      </w:r>
    </w:p>
    <w:p w14:paraId="5D3DEE80" w14:textId="77777777" w:rsidR="0067461A" w:rsidRPr="0067461A" w:rsidRDefault="0067461A" w:rsidP="0067461A">
      <w:pPr>
        <w:pStyle w:val="Ttulo4"/>
        <w:rPr>
          <w:rFonts w:eastAsia="MS Mincho"/>
        </w:rPr>
      </w:pPr>
      <w:r w:rsidRPr="0067461A">
        <w:rPr>
          <w:rFonts w:eastAsia="MS Mincho"/>
        </w:rPr>
        <w:t>Implementación de la previsión de tráfico durante la serie de tiempo definida</w:t>
      </w:r>
    </w:p>
    <w:p w14:paraId="2BF399EA" w14:textId="77777777" w:rsidR="0067461A" w:rsidRPr="0067461A" w:rsidRDefault="0067461A" w:rsidP="0067461A">
      <w:r w:rsidRPr="0067461A">
        <w:t xml:space="preserve">Dado que no sería realista efectuar una previsión detallada y precisa para el periodo total del modelo, el modelo pretende efectuar una previsión para un periodo razonable de tiempo que cubra un periodo similar al periodo regulatorio (de cuatro a diez años). </w:t>
      </w:r>
    </w:p>
    <w:p w14:paraId="3B6471B0" w14:textId="77777777" w:rsidR="0067461A" w:rsidRPr="0067461A" w:rsidRDefault="0067461A" w:rsidP="0067461A">
      <w:r w:rsidRPr="0067461A">
        <w:t>El modelo se limita a modelar tecnologías existentes y no prevé introducir tecnologías que puedan aparecer en el futuro y no estén desplegadas actualmente en México.</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67461A" w:rsidRPr="0067461A" w14:paraId="1F890C85" w14:textId="77777777">
        <w:tc>
          <w:tcPr>
            <w:tcW w:w="6576" w:type="dxa"/>
            <w:tcBorders>
              <w:right w:val="single" w:sz="4" w:space="0" w:color="auto"/>
            </w:tcBorders>
            <w:shd w:val="clear" w:color="auto" w:fill="auto"/>
          </w:tcPr>
          <w:p w14:paraId="176A31F3" w14:textId="77777777" w:rsidR="0067461A" w:rsidRPr="0067461A" w:rsidRDefault="0067461A">
            <w:pPr>
              <w:pStyle w:val="Bordersmall"/>
              <w:rPr>
                <w:lang w:val="es-ES"/>
              </w:rPr>
            </w:pPr>
            <w:r w:rsidRPr="0067461A">
              <w:rPr>
                <w:lang w:val="es-ES"/>
              </w:rPr>
              <w:t xml:space="preserve"> </w:t>
            </w:r>
            <w:r w:rsidRPr="0067461A">
              <w:rPr>
                <w:noProof/>
                <w:lang w:val="es-ES"/>
              </w:rPr>
              <w:drawing>
                <wp:inline distT="0" distB="0" distL="0" distR="0" wp14:anchorId="34C15368" wp14:editId="77A99B30">
                  <wp:extent cx="4171950" cy="2063750"/>
                  <wp:effectExtent l="0" t="0" r="0" b="0"/>
                  <wp:docPr id="1461379020" name="Picture 1461379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71950" cy="2063750"/>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600AF5EA" w14:textId="79FB14B0" w:rsidR="0067461A" w:rsidRPr="0067461A" w:rsidRDefault="0067461A">
            <w:pPr>
              <w:pStyle w:val="Captionsmall"/>
              <w:rPr>
                <w:lang w:val="es-ES"/>
              </w:rPr>
            </w:pPr>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6</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3</w:t>
            </w:r>
            <w:r w:rsidRPr="0067461A">
              <w:rPr>
                <w:lang w:val="es-ES"/>
              </w:rPr>
              <w:fldChar w:fldCharType="end"/>
            </w:r>
            <w:r w:rsidRPr="0067461A">
              <w:rPr>
                <w:lang w:val="es-ES"/>
              </w:rPr>
              <w:t>: Ejemplo de la evolución del mercado para el modelo móvil [</w:t>
            </w:r>
            <w:r w:rsidR="00F4066A">
              <w:rPr>
                <w:lang w:val="es-ES"/>
              </w:rPr>
              <w:t>Fuente: Analysys Mason, 2023</w:t>
            </w:r>
            <w:r w:rsidRPr="0067461A">
              <w:rPr>
                <w:lang w:val="es-ES"/>
              </w:rPr>
              <w:t>]</w:t>
            </w:r>
          </w:p>
        </w:tc>
      </w:tr>
    </w:tbl>
    <w:p w14:paraId="67B1FD1E" w14:textId="77777777" w:rsidR="0067461A" w:rsidRPr="0067461A" w:rsidRDefault="0067461A" w:rsidP="0067461A">
      <w:pPr>
        <w:pStyle w:val="Ttulo4"/>
      </w:pPr>
      <w:r w:rsidRPr="0067461A">
        <w:t>Impacto sobre la vida útil de las concesiones móviles</w:t>
      </w:r>
    </w:p>
    <w:p w14:paraId="32484795" w14:textId="77777777" w:rsidR="0067461A" w:rsidRPr="0067461A" w:rsidRDefault="0067461A" w:rsidP="0067461A">
      <w:r w:rsidRPr="0067461A">
        <w:t>Para alinear la duración de las concesiones móviles con la serie de tiempo elegida para el modelo –equivalente a 50 años– se asume que cada concesión es válida durante un periodo de 20 años y después renovable cada 15 años.</w:t>
      </w:r>
    </w:p>
    <w:tbl>
      <w:tblPr>
        <w:tblStyle w:val="Tablaconcuadrcula"/>
        <w:tblW w:w="0" w:type="auto"/>
        <w:tblLook w:val="04A0" w:firstRow="1" w:lastRow="0" w:firstColumn="1" w:lastColumn="0" w:noHBand="0" w:noVBand="1"/>
      </w:tblPr>
      <w:tblGrid>
        <w:gridCol w:w="8721"/>
      </w:tblGrid>
      <w:tr w:rsidR="0067461A" w:rsidRPr="0067461A" w14:paraId="7F8FF6BD"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9EEF73F" w14:textId="75CC6859" w:rsidR="0067461A" w:rsidRPr="0067461A" w:rsidRDefault="0067461A">
            <w:pPr>
              <w:spacing w:after="120"/>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23</w:t>
            </w:r>
            <w:r w:rsidRPr="0067461A">
              <w:rPr>
                <w:b/>
              </w:rPr>
              <w:fldChar w:fldCharType="end"/>
            </w:r>
            <w:r w:rsidRPr="0067461A">
              <w:rPr>
                <w:b/>
                <w:bCs/>
              </w:rPr>
              <w:t xml:space="preserve">: </w:t>
            </w:r>
            <w:r w:rsidRPr="0067461A">
              <w:t>El horizonte temporal será al menos tan amplio como el periodo más largo de vida útil de los activos, por lo que se sugiere que el modelo se construya incorporando un horizonte temporal de 50 años.</w:t>
            </w:r>
          </w:p>
        </w:tc>
      </w:tr>
    </w:tbl>
    <w:p w14:paraId="0CA9B40B" w14:textId="66B761C8" w:rsidR="00645DCF" w:rsidRPr="0067461A" w:rsidRDefault="00645DCF" w:rsidP="00645DCF">
      <w:pPr>
        <w:pStyle w:val="Ttulo2"/>
      </w:pPr>
      <w:bookmarkStart w:id="178" w:name="_Toc135391583"/>
      <w:bookmarkStart w:id="179" w:name="_Toc135392327"/>
      <w:bookmarkStart w:id="180" w:name="_Toc135405229"/>
      <w:bookmarkStart w:id="181" w:name="_Toc135405369"/>
      <w:bookmarkStart w:id="182" w:name="_Toc135391584"/>
      <w:bookmarkStart w:id="183" w:name="_Toc135392328"/>
      <w:bookmarkStart w:id="184" w:name="_Toc135405230"/>
      <w:bookmarkStart w:id="185" w:name="_Toc135405370"/>
      <w:bookmarkStart w:id="186" w:name="_Toc135391585"/>
      <w:bookmarkStart w:id="187" w:name="_Toc135392329"/>
      <w:bookmarkStart w:id="188" w:name="_Toc135405231"/>
      <w:bookmarkStart w:id="189" w:name="_Toc135405371"/>
      <w:bookmarkStart w:id="190" w:name="_Toc135391586"/>
      <w:bookmarkStart w:id="191" w:name="_Toc135392330"/>
      <w:bookmarkStart w:id="192" w:name="_Toc135405232"/>
      <w:bookmarkStart w:id="193" w:name="_Toc135405372"/>
      <w:bookmarkStart w:id="194" w:name="_Toc135391587"/>
      <w:bookmarkStart w:id="195" w:name="_Toc135392331"/>
      <w:bookmarkStart w:id="196" w:name="_Toc135405233"/>
      <w:bookmarkStart w:id="197" w:name="_Toc135405373"/>
      <w:bookmarkStart w:id="198" w:name="_Toc135391588"/>
      <w:bookmarkStart w:id="199" w:name="_Toc135392332"/>
      <w:bookmarkStart w:id="200" w:name="_Toc135405234"/>
      <w:bookmarkStart w:id="201" w:name="_Toc135405374"/>
      <w:bookmarkStart w:id="202" w:name="_Toc135391589"/>
      <w:bookmarkStart w:id="203" w:name="_Toc135392333"/>
      <w:bookmarkStart w:id="204" w:name="_Toc135405235"/>
      <w:bookmarkStart w:id="205" w:name="_Toc135405375"/>
      <w:bookmarkStart w:id="206" w:name="_Toc135391590"/>
      <w:bookmarkStart w:id="207" w:name="_Toc135392334"/>
      <w:bookmarkStart w:id="208" w:name="_Toc135405236"/>
      <w:bookmarkStart w:id="209" w:name="_Toc135405376"/>
      <w:bookmarkStart w:id="210" w:name="_Toc135391591"/>
      <w:bookmarkStart w:id="211" w:name="_Toc135392335"/>
      <w:bookmarkStart w:id="212" w:name="_Toc135405237"/>
      <w:bookmarkStart w:id="213" w:name="_Toc135405377"/>
      <w:bookmarkStart w:id="214" w:name="_Toc135391592"/>
      <w:bookmarkStart w:id="215" w:name="_Toc135392336"/>
      <w:bookmarkStart w:id="216" w:name="_Toc135405238"/>
      <w:bookmarkStart w:id="217" w:name="_Toc135405378"/>
      <w:bookmarkStart w:id="218" w:name="_Toc135391628"/>
      <w:bookmarkStart w:id="219" w:name="_Toc135392372"/>
      <w:bookmarkStart w:id="220" w:name="_Toc135405274"/>
      <w:bookmarkStart w:id="221" w:name="_Toc135405414"/>
      <w:bookmarkStart w:id="222" w:name="_Toc135391629"/>
      <w:bookmarkStart w:id="223" w:name="_Toc135392373"/>
      <w:bookmarkStart w:id="224" w:name="_Toc135405275"/>
      <w:bookmarkStart w:id="225" w:name="_Toc135405415"/>
      <w:bookmarkStart w:id="226" w:name="_Toc135391630"/>
      <w:bookmarkStart w:id="227" w:name="_Toc135392374"/>
      <w:bookmarkStart w:id="228" w:name="_Toc135405276"/>
      <w:bookmarkStart w:id="229" w:name="_Toc135405416"/>
      <w:bookmarkStart w:id="230" w:name="_Toc135391631"/>
      <w:bookmarkStart w:id="231" w:name="_Toc135392375"/>
      <w:bookmarkStart w:id="232" w:name="_Toc135405277"/>
      <w:bookmarkStart w:id="233" w:name="_Toc135405417"/>
      <w:bookmarkStart w:id="234" w:name="_Toc135391632"/>
      <w:bookmarkStart w:id="235" w:name="_Toc135392376"/>
      <w:bookmarkStart w:id="236" w:name="_Toc135405278"/>
      <w:bookmarkStart w:id="237" w:name="_Toc135405418"/>
      <w:bookmarkStart w:id="238" w:name="_Toc135391633"/>
      <w:bookmarkStart w:id="239" w:name="_Toc135392377"/>
      <w:bookmarkStart w:id="240" w:name="_Toc135405279"/>
      <w:bookmarkStart w:id="241" w:name="_Toc135405419"/>
      <w:bookmarkStart w:id="242" w:name="_Toc135391636"/>
      <w:bookmarkStart w:id="243" w:name="_Toc135392380"/>
      <w:bookmarkStart w:id="244" w:name="_Toc135405282"/>
      <w:bookmarkStart w:id="245" w:name="_Toc135405422"/>
      <w:bookmarkStart w:id="246" w:name="_Toc135391637"/>
      <w:bookmarkStart w:id="247" w:name="_Toc135392381"/>
      <w:bookmarkStart w:id="248" w:name="_Toc135405283"/>
      <w:bookmarkStart w:id="249" w:name="_Toc135405423"/>
      <w:bookmarkStart w:id="250" w:name="_Toc135391638"/>
      <w:bookmarkStart w:id="251" w:name="_Toc135392382"/>
      <w:bookmarkStart w:id="252" w:name="_Toc135405284"/>
      <w:bookmarkStart w:id="253" w:name="_Toc135405424"/>
      <w:bookmarkStart w:id="254" w:name="_Toc135391639"/>
      <w:bookmarkStart w:id="255" w:name="_Toc135392383"/>
      <w:bookmarkStart w:id="256" w:name="_Toc135405285"/>
      <w:bookmarkStart w:id="257" w:name="_Toc135405425"/>
      <w:bookmarkStart w:id="258" w:name="_Toc135391640"/>
      <w:bookmarkStart w:id="259" w:name="_Toc135392384"/>
      <w:bookmarkStart w:id="260" w:name="_Toc135405286"/>
      <w:bookmarkStart w:id="261" w:name="_Toc135405426"/>
      <w:bookmarkStart w:id="262" w:name="_Toc135391641"/>
      <w:bookmarkStart w:id="263" w:name="_Toc135392385"/>
      <w:bookmarkStart w:id="264" w:name="_Toc135405287"/>
      <w:bookmarkStart w:id="265" w:name="_Toc135405427"/>
      <w:bookmarkStart w:id="266" w:name="_Toc135391642"/>
      <w:bookmarkStart w:id="267" w:name="_Toc135392386"/>
      <w:bookmarkStart w:id="268" w:name="_Toc135405288"/>
      <w:bookmarkStart w:id="269" w:name="_Toc135405428"/>
      <w:bookmarkStart w:id="270" w:name="_Toc135391643"/>
      <w:bookmarkStart w:id="271" w:name="_Toc135392387"/>
      <w:bookmarkStart w:id="272" w:name="_Toc135405289"/>
      <w:bookmarkStart w:id="273" w:name="_Toc135405429"/>
      <w:bookmarkStart w:id="274" w:name="_Toc135391644"/>
      <w:bookmarkStart w:id="275" w:name="_Toc135392388"/>
      <w:bookmarkStart w:id="276" w:name="_Toc135405290"/>
      <w:bookmarkStart w:id="277" w:name="_Toc135405430"/>
      <w:bookmarkStart w:id="278" w:name="_Toc135391645"/>
      <w:bookmarkStart w:id="279" w:name="_Toc135392389"/>
      <w:bookmarkStart w:id="280" w:name="_Toc135405291"/>
      <w:bookmarkStart w:id="281" w:name="_Toc135405431"/>
      <w:bookmarkStart w:id="282" w:name="_Toc135391646"/>
      <w:bookmarkStart w:id="283" w:name="_Toc135392390"/>
      <w:bookmarkStart w:id="284" w:name="_Toc135405292"/>
      <w:bookmarkStart w:id="285" w:name="_Toc135405432"/>
      <w:bookmarkStart w:id="286" w:name="_Toc135391647"/>
      <w:bookmarkStart w:id="287" w:name="_Toc135392391"/>
      <w:bookmarkStart w:id="288" w:name="_Toc135405293"/>
      <w:bookmarkStart w:id="289" w:name="_Toc135405433"/>
      <w:bookmarkStart w:id="290" w:name="_Toc135391648"/>
      <w:bookmarkStart w:id="291" w:name="_Toc135392392"/>
      <w:bookmarkStart w:id="292" w:name="_Toc135405294"/>
      <w:bookmarkStart w:id="293" w:name="_Toc135405434"/>
      <w:bookmarkStart w:id="294" w:name="_Toc135391649"/>
      <w:bookmarkStart w:id="295" w:name="_Toc135392393"/>
      <w:bookmarkStart w:id="296" w:name="_Toc135405295"/>
      <w:bookmarkStart w:id="297" w:name="_Toc135405435"/>
      <w:bookmarkStart w:id="298" w:name="_Toc135391650"/>
      <w:bookmarkStart w:id="299" w:name="_Toc135392394"/>
      <w:bookmarkStart w:id="300" w:name="_Toc135405296"/>
      <w:bookmarkStart w:id="301" w:name="_Toc135405436"/>
      <w:bookmarkStart w:id="302" w:name="_Toc135391651"/>
      <w:bookmarkStart w:id="303" w:name="_Toc135392395"/>
      <w:bookmarkStart w:id="304" w:name="_Toc135405297"/>
      <w:bookmarkStart w:id="305" w:name="_Toc135405437"/>
      <w:bookmarkStart w:id="306" w:name="_Toc135391652"/>
      <w:bookmarkStart w:id="307" w:name="_Toc135392396"/>
      <w:bookmarkStart w:id="308" w:name="_Toc135405298"/>
      <w:bookmarkStart w:id="309" w:name="_Toc135405438"/>
      <w:bookmarkStart w:id="310" w:name="_Toc135391653"/>
      <w:bookmarkStart w:id="311" w:name="_Toc135392397"/>
      <w:bookmarkStart w:id="312" w:name="_Toc135405299"/>
      <w:bookmarkStart w:id="313" w:name="_Toc135405439"/>
      <w:bookmarkStart w:id="314" w:name="_Toc135391657"/>
      <w:bookmarkStart w:id="315" w:name="_Toc135392401"/>
      <w:bookmarkStart w:id="316" w:name="_Toc135405303"/>
      <w:bookmarkStart w:id="317" w:name="_Toc135405443"/>
      <w:bookmarkStart w:id="318" w:name="_Toc135391658"/>
      <w:bookmarkStart w:id="319" w:name="_Toc135392402"/>
      <w:bookmarkStart w:id="320" w:name="_Toc135405304"/>
      <w:bookmarkStart w:id="321" w:name="_Toc135405444"/>
      <w:bookmarkStart w:id="322" w:name="_Toc135391661"/>
      <w:bookmarkStart w:id="323" w:name="_Toc135392405"/>
      <w:bookmarkStart w:id="324" w:name="_Toc135405307"/>
      <w:bookmarkStart w:id="325" w:name="_Toc135405447"/>
      <w:bookmarkStart w:id="326" w:name="_Ref135394196"/>
      <w:bookmarkStart w:id="327" w:name="_Toc135921319"/>
      <w:bookmarkEnd w:id="171"/>
      <w:bookmarkEnd w:id="172"/>
      <w:bookmarkEnd w:id="173"/>
      <w:bookmarkEnd w:id="174"/>
      <w:bookmarkEnd w:id="175"/>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t>Determinación de costos incrementales y costos comunes</w:t>
      </w:r>
      <w:bookmarkEnd w:id="326"/>
      <w:bookmarkEnd w:id="327"/>
    </w:p>
    <w:p w14:paraId="358EFE8E" w14:textId="77777777" w:rsidR="0067461A" w:rsidRPr="0067461A" w:rsidRDefault="0067461A" w:rsidP="0067461A">
      <w:pPr>
        <w:rPr>
          <w:spacing w:val="-4"/>
        </w:rPr>
      </w:pPr>
      <w:r w:rsidRPr="0067461A">
        <w:rPr>
          <w:spacing w:val="-4"/>
        </w:rPr>
        <w:t>En el caso de México, tal y como se presenta en las secciones iniciales del documento, el modelo de costos deberá ser capaz de estimar costos con base a dos estándares de costos principales:</w:t>
      </w:r>
    </w:p>
    <w:p w14:paraId="49C8513F" w14:textId="77777777" w:rsidR="0067461A" w:rsidRPr="0067461A" w:rsidRDefault="0067461A" w:rsidP="0067461A">
      <w:pPr>
        <w:pStyle w:val="ListBulletCompact"/>
      </w:pPr>
      <w:r w:rsidRPr="0067461A">
        <w:t>Costos incrementales a largo plazo puros (CILP puro), para los servicios de interconexión en redes fijas y redes móviles</w:t>
      </w:r>
    </w:p>
    <w:p w14:paraId="24E1B88D" w14:textId="77777777" w:rsidR="0067461A" w:rsidRPr="0067461A" w:rsidRDefault="0067461A" w:rsidP="0067461A">
      <w:pPr>
        <w:pStyle w:val="ListBulletCompact"/>
      </w:pPr>
      <w:r w:rsidRPr="0067461A">
        <w:lastRenderedPageBreak/>
        <w:t>Costos incrementales promedio a largo plazo (CIPLP), para el resto de los servicios mayoristas regulados incluidos en el modelo (usuario visitante, acceso indirecto al bucle y usuario visitante).</w:t>
      </w:r>
    </w:p>
    <w:p w14:paraId="0271CAD3" w14:textId="155C929B" w:rsidR="0067461A" w:rsidRPr="0067461A" w:rsidRDefault="0067461A" w:rsidP="0067461A">
      <w:r w:rsidRPr="0067461A">
        <w:t>Para poder estimar los costos de servicios bajo cualquiera de estos estándares es necesario realizar una estimación precisa de los costos incrementales (y comunes, en el caso del estándar CIPLP</w:t>
      </w:r>
      <w:r w:rsidR="002B6F97">
        <w:t xml:space="preserve"> en su versión CITPLP</w:t>
      </w:r>
      <w:r w:rsidRPr="0067461A">
        <w:t>) asociados a cada servicio. Este costo incremental es el costo que incurre un operador para satisfacer el incremento en la demanda de uno de sus servicios, bajo el supuesto de que la demanda de los otros servicios que ofrece el operador no sufre cambios. Para esta estimación de costos, los servicios pueden agruparse dentro de un mismo incremento, con definiciones diferentes para los estándares CIPLP y CILP puro. A continuación, se ilustran las diferencias principales entre los distintos enfoques de costos incrementales.</w:t>
      </w:r>
    </w:p>
    <w:p w14:paraId="30B49478" w14:textId="3A55DFD8" w:rsidR="0067461A" w:rsidRPr="00920B9F" w:rsidRDefault="0067461A" w:rsidP="00920B9F">
      <w:pPr>
        <w:pStyle w:val="Descripcin"/>
        <w:rPr>
          <w:lang w:val="es-ES"/>
        </w:rPr>
      </w:pPr>
      <w:r w:rsidRPr="0067461A">
        <w:rPr>
          <w:lang w:val="es-ES"/>
        </w:rPr>
        <w:t xml:space="preserve">Figura </w:t>
      </w:r>
      <w:r w:rsidRPr="0067461A">
        <w:rPr>
          <w:bCs w:val="0"/>
        </w:rPr>
        <w:fldChar w:fldCharType="begin"/>
      </w:r>
      <w:r w:rsidRPr="0067461A">
        <w:rPr>
          <w:lang w:val="es-ES"/>
        </w:rPr>
        <w:instrText xml:space="preserve"> STYLEREF 1 \s \* MERGEFORMAT </w:instrText>
      </w:r>
      <w:r w:rsidRPr="0067461A">
        <w:rPr>
          <w:bCs w:val="0"/>
        </w:rPr>
        <w:fldChar w:fldCharType="separate"/>
      </w:r>
      <w:r w:rsidR="00475202">
        <w:rPr>
          <w:noProof/>
          <w:lang w:val="es-ES"/>
        </w:rPr>
        <w:t>6</w:t>
      </w:r>
      <w:r w:rsidRPr="0067461A">
        <w:rPr>
          <w:bCs w:val="0"/>
        </w:rPr>
        <w:fldChar w:fldCharType="end"/>
      </w:r>
      <w:r w:rsidRPr="0067461A">
        <w:rPr>
          <w:lang w:val="es-ES"/>
        </w:rPr>
        <w:t>.</w:t>
      </w:r>
      <w:r w:rsidRPr="0067461A">
        <w:rPr>
          <w:bCs w:val="0"/>
        </w:rPr>
        <w:fldChar w:fldCharType="begin"/>
      </w:r>
      <w:r w:rsidRPr="0067461A">
        <w:rPr>
          <w:lang w:val="es-ES"/>
        </w:rPr>
        <w:instrText xml:space="preserve"> SEQ Ilustración \* ARABIC \s 1 \* MERGEFORMAT </w:instrText>
      </w:r>
      <w:r w:rsidRPr="0067461A">
        <w:rPr>
          <w:bCs w:val="0"/>
        </w:rPr>
        <w:fldChar w:fldCharType="separate"/>
      </w:r>
      <w:r w:rsidR="00475202">
        <w:rPr>
          <w:noProof/>
          <w:lang w:val="es-ES"/>
        </w:rPr>
        <w:t>4</w:t>
      </w:r>
      <w:r w:rsidRPr="0067461A">
        <w:rPr>
          <w:bCs w:val="0"/>
        </w:rPr>
        <w:fldChar w:fldCharType="end"/>
      </w:r>
      <w:r w:rsidRPr="0067461A">
        <w:rPr>
          <w:lang w:val="es-ES"/>
        </w:rPr>
        <w:t>: Enfoques para definir el incremento [Fuente: Analysys Mason]</w:t>
      </w:r>
    </w:p>
    <w:p w14:paraId="4C651321" w14:textId="064D5FDC" w:rsidR="000C2C4A" w:rsidRPr="000C2C4A" w:rsidRDefault="000C2C4A" w:rsidP="00920B9F">
      <w:r w:rsidRPr="000C2C4A">
        <w:rPr>
          <w:noProof/>
        </w:rPr>
        <w:drawing>
          <wp:inline distT="0" distB="0" distL="0" distR="0" wp14:anchorId="61633C8F" wp14:editId="7E773AB5">
            <wp:extent cx="5544185" cy="1933575"/>
            <wp:effectExtent l="0" t="0" r="0" b="9525"/>
            <wp:docPr id="1984463072" name="Picture 1984463072" descr="A picture containing diagram, text, lin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63072" name="Picture 1" descr="A picture containing diagram, text, line, screenshot&#10;&#10;Description automatically generated"/>
                    <pic:cNvPicPr/>
                  </pic:nvPicPr>
                  <pic:blipFill>
                    <a:blip r:embed="rId29"/>
                    <a:stretch>
                      <a:fillRect/>
                    </a:stretch>
                  </pic:blipFill>
                  <pic:spPr>
                    <a:xfrm>
                      <a:off x="0" y="0"/>
                      <a:ext cx="5544185" cy="1933575"/>
                    </a:xfrm>
                    <a:prstGeom prst="rect">
                      <a:avLst/>
                    </a:prstGeom>
                  </pic:spPr>
                </pic:pic>
              </a:graphicData>
            </a:graphic>
          </wp:inline>
        </w:drawing>
      </w:r>
    </w:p>
    <w:p w14:paraId="1AB07B9D" w14:textId="77777777" w:rsidR="0067461A" w:rsidRPr="0067461A" w:rsidRDefault="0067461A" w:rsidP="0067461A">
      <w:r w:rsidRPr="0067461A">
        <w:t>Las secciones a continuación describen la implementación propuesta para los distintos estándares de costos en el modelo.</w:t>
      </w:r>
    </w:p>
    <w:tbl>
      <w:tblPr>
        <w:tblStyle w:val="Tablaconcuadrcula"/>
        <w:tblW w:w="0" w:type="auto"/>
        <w:tblLook w:val="04A0" w:firstRow="1" w:lastRow="0" w:firstColumn="1" w:lastColumn="0" w:noHBand="0" w:noVBand="1"/>
      </w:tblPr>
      <w:tblGrid>
        <w:gridCol w:w="8721"/>
      </w:tblGrid>
      <w:tr w:rsidR="0067461A" w:rsidRPr="0067461A" w14:paraId="5F1C578A"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7F82FC77" w14:textId="64A29CEF" w:rsidR="0067461A" w:rsidRPr="0067461A" w:rsidRDefault="0067461A">
            <w:pPr>
              <w:spacing w:after="120"/>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24</w:t>
            </w:r>
            <w:r w:rsidRPr="0067461A">
              <w:rPr>
                <w:b/>
              </w:rPr>
              <w:fldChar w:fldCharType="end"/>
            </w:r>
            <w:r w:rsidRPr="0067461A">
              <w:rPr>
                <w:b/>
                <w:bCs/>
              </w:rPr>
              <w:t xml:space="preserve">: </w:t>
            </w:r>
            <w:r w:rsidRPr="0067461A">
              <w:t>En línea con los requisitos establecidos por el IFT, el modelo calculará los costos de servicios de interconexión utilizando un modelo CILP puro, y un modelo CIPLP para los costos de otros servicios regulados</w:t>
            </w:r>
            <w:r w:rsidR="000C76F0">
              <w:t xml:space="preserve"> </w:t>
            </w:r>
            <w:r w:rsidR="000C76F0" w:rsidRPr="0067461A">
              <w:t>(usuario visitante, acceso indirecto al bucle y enlaces dedicados).</w:t>
            </w:r>
            <w:r w:rsidR="000C76F0">
              <w:t>, asimismo el IFT determina usar la variante CITPLP al incluir costos comunes en el costeo.</w:t>
            </w:r>
          </w:p>
        </w:tc>
      </w:tr>
    </w:tbl>
    <w:p w14:paraId="5D574224" w14:textId="77777777" w:rsidR="0067461A" w:rsidRPr="0067461A" w:rsidRDefault="0067461A" w:rsidP="0067461A"/>
    <w:p w14:paraId="77914654" w14:textId="77777777" w:rsidR="0067461A" w:rsidRPr="0067461A" w:rsidRDefault="0067461A" w:rsidP="00920B9F">
      <w:pPr>
        <w:pStyle w:val="Ttulo4"/>
      </w:pPr>
      <w:r w:rsidRPr="0067461A">
        <w:t>Enfoque CILP puro</w:t>
      </w:r>
    </w:p>
    <w:p w14:paraId="1B43E9E5" w14:textId="77777777" w:rsidR="0067461A" w:rsidRPr="0067461A" w:rsidRDefault="0067461A" w:rsidP="0067461A">
      <w:r w:rsidRPr="0067461A">
        <w:t>El CILP puro calcula los costos de un servicio con base en la diferencia entre los costos totales a largo plazo de un operador que provee el abanico total de servicios y los costos totales a largo plazo de un operador que ofrece todos los servicios salvo el servicio que se está costeando, tal y como se muestra en la siguiente figura.</w:t>
      </w:r>
    </w:p>
    <w:p w14:paraId="1770C6E4" w14:textId="77777777" w:rsidR="0067461A" w:rsidRPr="0067461A" w:rsidRDefault="0067461A" w:rsidP="0067461A">
      <w:r w:rsidRPr="0067461A">
        <w:t>La aproximación CILP puro es consistente con la recomendación de la Comisión Europea de 7 de mayo de 2009 sobre el tratamiento normativo de las tarifas de terminación de la telefonía fija y móvil en la UE (‘la Recomendación de la CE de 2009’.)</w:t>
      </w:r>
    </w:p>
    <w:p w14:paraId="5C8AE45B" w14:textId="5B8CE944" w:rsidR="0067461A" w:rsidRPr="0067461A" w:rsidRDefault="0067461A" w:rsidP="0067461A">
      <w:r w:rsidRPr="0067461A">
        <w:lastRenderedPageBreak/>
        <w:t xml:space="preserve">En nuestra interpretación de la Recomendación de la CE de 2009, el costo incremental del </w:t>
      </w:r>
      <w:r w:rsidRPr="0067461A">
        <w:rPr>
          <w:bCs/>
        </w:rPr>
        <w:t>volumen de terminación mayorista</w:t>
      </w:r>
      <w:r w:rsidRPr="0067461A">
        <w:t xml:space="preserve"> se evalúa ‘al margen’ de la función de costo. Al construir un modelo de costos ascendente que contenga algoritmos de diseño de red, es posible usar el modelo para calcular el costo incremental: ejecutándolo </w:t>
      </w:r>
      <w:r w:rsidRPr="0067461A">
        <w:rPr>
          <w:i/>
          <w:iCs/>
        </w:rPr>
        <w:t xml:space="preserve">con </w:t>
      </w:r>
      <w:r w:rsidRPr="0067461A">
        <w:t>y</w:t>
      </w:r>
      <w:r w:rsidRPr="0067461A">
        <w:rPr>
          <w:i/>
          <w:iCs/>
        </w:rPr>
        <w:t xml:space="preserve"> sin</w:t>
      </w:r>
      <w:r w:rsidRPr="0067461A">
        <w:t xml:space="preserve"> el incremento de que se trate (véase la </w:t>
      </w:r>
      <w:r w:rsidR="00FF049C">
        <w:fldChar w:fldCharType="begin"/>
      </w:r>
      <w:r w:rsidR="00FF049C">
        <w:instrText xml:space="preserve"> REF _Ref135931865 \h </w:instrText>
      </w:r>
      <w:r w:rsidR="00FF049C">
        <w:fldChar w:fldCharType="separate"/>
      </w:r>
      <w:r w:rsidR="00475202" w:rsidRPr="0067461A">
        <w:t>Figura </w:t>
      </w:r>
      <w:r w:rsidR="00475202">
        <w:rPr>
          <w:noProof/>
        </w:rPr>
        <w:t>6</w:t>
      </w:r>
      <w:r w:rsidR="00475202" w:rsidRPr="0067461A">
        <w:t>.</w:t>
      </w:r>
      <w:r w:rsidR="00475202">
        <w:rPr>
          <w:noProof/>
        </w:rPr>
        <w:t>5</w:t>
      </w:r>
      <w:r w:rsidR="00FF049C">
        <w:fldChar w:fldCharType="end"/>
      </w:r>
      <w:r w:rsidR="003A230B">
        <w:t>)</w:t>
      </w:r>
      <w:r w:rsidR="00F73582">
        <w:t>.</w:t>
      </w:r>
      <w:r w:rsidR="00435D39">
        <w:t xml:space="preserve"> </w:t>
      </w:r>
      <w:r w:rsidRPr="0067461A">
        <w:t>Los costos unitarios de terminación de voz son entonces determinados como el cociente entre este costo y el volumen total de servicio.</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67461A" w:rsidRPr="0067461A" w14:paraId="437ABA36" w14:textId="77777777">
        <w:tc>
          <w:tcPr>
            <w:tcW w:w="6576" w:type="dxa"/>
            <w:tcBorders>
              <w:right w:val="single" w:sz="4" w:space="0" w:color="auto"/>
            </w:tcBorders>
            <w:shd w:val="clear" w:color="auto" w:fill="auto"/>
          </w:tcPr>
          <w:p w14:paraId="5767547E" w14:textId="77777777" w:rsidR="0067461A" w:rsidRPr="0067461A" w:rsidRDefault="0067461A">
            <w:pPr>
              <w:pStyle w:val="Bordersmall"/>
              <w:rPr>
                <w:lang w:val="es-ES"/>
              </w:rPr>
            </w:pPr>
            <w:r w:rsidRPr="0067461A">
              <w:rPr>
                <w:noProof/>
                <w:lang w:val="es-ES"/>
              </w:rPr>
              <w:drawing>
                <wp:inline distT="0" distB="0" distL="0" distR="0" wp14:anchorId="32B56BB3" wp14:editId="74F18E90">
                  <wp:extent cx="3479165" cy="2677795"/>
                  <wp:effectExtent l="0" t="0" r="0" b="0"/>
                  <wp:docPr id="1518236523" name="Picture 1518236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79165" cy="2677795"/>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32215305" w14:textId="60CA2A77" w:rsidR="0067461A" w:rsidRPr="0067461A" w:rsidRDefault="0067461A">
            <w:pPr>
              <w:pStyle w:val="Captionsmall"/>
              <w:rPr>
                <w:lang w:val="es-ES"/>
              </w:rPr>
            </w:pPr>
            <w:bookmarkStart w:id="328" w:name="_Ref135931865"/>
            <w:r w:rsidRPr="0067461A">
              <w:rPr>
                <w:lang w:val="es-ES"/>
              </w:rPr>
              <w:t>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6</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5</w:t>
            </w:r>
            <w:r w:rsidRPr="0067461A">
              <w:rPr>
                <w:lang w:val="es-ES"/>
              </w:rPr>
              <w:fldChar w:fldCharType="end"/>
            </w:r>
            <w:bookmarkEnd w:id="328"/>
            <w:r w:rsidRPr="0067461A">
              <w:rPr>
                <w:lang w:val="es-ES"/>
              </w:rPr>
              <w:t>: Cálculo del costo incremental del tráfico de terminación [Fuente: Analysys Mason]</w:t>
            </w:r>
          </w:p>
        </w:tc>
      </w:tr>
    </w:tbl>
    <w:p w14:paraId="564689D3" w14:textId="77777777" w:rsidR="0067461A" w:rsidRPr="0067461A" w:rsidRDefault="0067461A" w:rsidP="0067461A"/>
    <w:p w14:paraId="6B22462E" w14:textId="6C958B23" w:rsidR="0067461A" w:rsidRPr="0067461A" w:rsidRDefault="0067461A" w:rsidP="0067461A">
      <w:pPr>
        <w:spacing w:before="240"/>
      </w:pPr>
      <w:r w:rsidRPr="0067461A">
        <w:t xml:space="preserve">El cálculo de los resultados obtenidos tras aplicar la metodología CILP puro se basa en los siguientes pasos (ver </w:t>
      </w:r>
      <w:r w:rsidR="00F73582">
        <w:t xml:space="preserve">la </w:t>
      </w:r>
      <w:r w:rsidR="00895AEB">
        <w:fldChar w:fldCharType="begin"/>
      </w:r>
      <w:r w:rsidR="00895AEB">
        <w:instrText xml:space="preserve"> REF _Ref135931986 \h </w:instrText>
      </w:r>
      <w:r w:rsidR="00895AEB">
        <w:fldChar w:fldCharType="separate"/>
      </w:r>
      <w:r w:rsidR="00475202" w:rsidRPr="0067461A">
        <w:t xml:space="preserve">Figura </w:t>
      </w:r>
      <w:r w:rsidR="00475202">
        <w:rPr>
          <w:noProof/>
        </w:rPr>
        <w:t>6</w:t>
      </w:r>
      <w:r w:rsidR="00475202" w:rsidRPr="0067461A">
        <w:t>.</w:t>
      </w:r>
      <w:r w:rsidR="00475202">
        <w:rPr>
          <w:noProof/>
        </w:rPr>
        <w:t>6</w:t>
      </w:r>
      <w:r w:rsidR="00895AEB">
        <w:fldChar w:fldCharType="end"/>
      </w:r>
      <w:r w:rsidRPr="0067461A">
        <w:t>):</w:t>
      </w:r>
    </w:p>
    <w:p w14:paraId="1CEB4D72" w14:textId="77777777" w:rsidR="0067461A" w:rsidRPr="0067461A" w:rsidRDefault="0067461A" w:rsidP="0067461A">
      <w:pPr>
        <w:pStyle w:val="ListBulletCompact"/>
      </w:pPr>
      <w:r w:rsidRPr="0067461A">
        <w:t xml:space="preserve">cálculo de los costos de la red completa del operador, </w:t>
      </w:r>
      <w:r w:rsidRPr="0067461A">
        <w:rPr>
          <w:i/>
        </w:rPr>
        <w:t>sin</w:t>
      </w:r>
      <w:r w:rsidRPr="0067461A">
        <w:t xml:space="preserve"> el incremento del servicio considerado (tráfico de originación, o terminación de otras redes o tránsito)</w:t>
      </w:r>
    </w:p>
    <w:p w14:paraId="0A06D646" w14:textId="77777777" w:rsidR="0067461A" w:rsidRPr="0067461A" w:rsidRDefault="0067461A" w:rsidP="0067461A">
      <w:pPr>
        <w:pStyle w:val="ListBulletCompact"/>
        <w:spacing w:after="0"/>
        <w:ind w:left="360" w:hanging="360"/>
        <w:contextualSpacing w:val="0"/>
      </w:pPr>
      <w:r w:rsidRPr="0067461A">
        <w:t xml:space="preserve">cálculo de los costos de la red completa del operador, </w:t>
      </w:r>
      <w:r w:rsidRPr="0067461A">
        <w:rPr>
          <w:i/>
        </w:rPr>
        <w:t xml:space="preserve">con </w:t>
      </w:r>
      <w:r w:rsidRPr="0067461A">
        <w:t>el incremento del servicio considerado (tráfico de originación, terminación de otras redes o tránsito)</w:t>
      </w:r>
    </w:p>
    <w:p w14:paraId="4356F653" w14:textId="77777777" w:rsidR="0067461A" w:rsidRPr="0067461A" w:rsidRDefault="0067461A" w:rsidP="0067461A">
      <w:pPr>
        <w:pStyle w:val="ListBulletCompact"/>
        <w:spacing w:after="0"/>
        <w:ind w:left="360" w:hanging="360"/>
        <w:contextualSpacing w:val="0"/>
      </w:pPr>
      <w:r w:rsidRPr="0067461A">
        <w:t>obtención de la diferencia en costos entre los dos cálculos obtenidos y la anualización de esta diferencia con base en la metodología de depreciación económica</w:t>
      </w:r>
    </w:p>
    <w:p w14:paraId="7A349F26" w14:textId="77777777" w:rsidR="0067461A" w:rsidRPr="0067461A" w:rsidRDefault="0067461A" w:rsidP="0067461A">
      <w:pPr>
        <w:pStyle w:val="Listaconvietas"/>
      </w:pPr>
      <w:r w:rsidRPr="0067461A">
        <w:t>división del costo anualizado total por el número de minutos incrementales del servicio considerado (originación, tráfico de originación, terminación de otras redes o tránsito) para la obtención del costo del minuto incremental.</w:t>
      </w:r>
    </w:p>
    <w:p w14:paraId="4FCA5C35" w14:textId="2111E93B" w:rsidR="0067461A" w:rsidRPr="0067461A" w:rsidRDefault="0067461A" w:rsidP="0067461A">
      <w:pPr>
        <w:pStyle w:val="Descripcin"/>
        <w:rPr>
          <w:lang w:val="es-ES"/>
        </w:rPr>
      </w:pPr>
      <w:bookmarkStart w:id="329" w:name="_Ref135931986"/>
      <w:r w:rsidRPr="0067461A">
        <w:rPr>
          <w:lang w:val="es-ES"/>
        </w:rPr>
        <w:lastRenderedPageBreak/>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6</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6</w:t>
      </w:r>
      <w:r w:rsidRPr="0067461A">
        <w:rPr>
          <w:lang w:val="es-ES"/>
        </w:rPr>
        <w:fldChar w:fldCharType="end"/>
      </w:r>
      <w:bookmarkEnd w:id="329"/>
      <w:r w:rsidRPr="0067461A">
        <w:rPr>
          <w:lang w:val="es-ES"/>
        </w:rPr>
        <w:t>: Etapas necesarias para el cálculo del CILP puro [Fuente: Analysys Mason]</w:t>
      </w:r>
    </w:p>
    <w:p w14:paraId="21402A35" w14:textId="77777777" w:rsidR="0067461A" w:rsidRPr="0067461A" w:rsidRDefault="0067461A" w:rsidP="0067461A">
      <w:pPr>
        <w:pStyle w:val="Border"/>
        <w:jc w:val="both"/>
        <w:rPr>
          <w:lang w:val="es-ES"/>
        </w:rPr>
      </w:pPr>
      <w:r w:rsidRPr="0067461A">
        <w:rPr>
          <w:noProof/>
          <w:lang w:val="es-ES"/>
        </w:rPr>
        <w:drawing>
          <wp:inline distT="0" distB="0" distL="0" distR="0" wp14:anchorId="71F710A9" wp14:editId="2E472865">
            <wp:extent cx="5426710" cy="3562350"/>
            <wp:effectExtent l="0" t="0" r="0" b="0"/>
            <wp:docPr id="1122167550" name="Picture 1122167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26710" cy="3562350"/>
                    </a:xfrm>
                    <a:prstGeom prst="rect">
                      <a:avLst/>
                    </a:prstGeom>
                    <a:noFill/>
                    <a:ln>
                      <a:noFill/>
                    </a:ln>
                  </pic:spPr>
                </pic:pic>
              </a:graphicData>
            </a:graphic>
          </wp:inline>
        </w:drawing>
      </w:r>
    </w:p>
    <w:p w14:paraId="359FFBA3" w14:textId="77777777" w:rsidR="0067461A" w:rsidRPr="0067461A" w:rsidRDefault="0067461A" w:rsidP="00920B9F">
      <w:pPr>
        <w:pStyle w:val="Ttulo4"/>
      </w:pPr>
      <w:r w:rsidRPr="0067461A">
        <w:t xml:space="preserve">Enfoque CIPLP </w:t>
      </w:r>
    </w:p>
    <w:p w14:paraId="55856186" w14:textId="77777777" w:rsidR="0067461A" w:rsidRPr="0067461A" w:rsidRDefault="0067461A" w:rsidP="0067461A">
      <w:r w:rsidRPr="0067461A">
        <w:t>El enfoque de costo incremental promedio de largo plazo (CIPLP), que es más consistente con el costeo promedio aplicado actualmente en la mayoría de la regulación fija y móvil. Este puede ser descrito como un enfoque de grandes incrementos –todos los servicios que contribuyen a las economías de escala en la red se suman en un gran incremento–; los costos de servicios individuales se identifican mediante la repartición del gran costo incremental (tráfico) de acuerdo con los factores de ruteo del uso de recursos promedio. La adopción de un gran incremento –en general, alguna forma de tráfico agregado– significa que todos los servicios que son suministrados se tratan juntos y de manera equitativa. Cuando uno de estos servicios es regulado, se ve beneficiado por las economías de escala promedio y no por un mayor o menor grado en estas economías. El uso de un gran incremento también limita los costos comunes a una evaluación del mínimo despliegue de red necesario para ofrecer el servicio.</w:t>
      </w:r>
    </w:p>
    <w:p w14:paraId="4AA09C3F" w14:textId="7978B7BF" w:rsidR="0067461A" w:rsidRPr="0067461A" w:rsidRDefault="002B6F97" w:rsidP="0067461A">
      <w:r>
        <w:t xml:space="preserve">El IFT ha decidido usar la variante de los CIPLP denominada </w:t>
      </w:r>
      <w:r w:rsidR="0067461A" w:rsidRPr="0067461A">
        <w:t>CI</w:t>
      </w:r>
      <w:r>
        <w:t>T</w:t>
      </w:r>
      <w:r w:rsidR="0067461A" w:rsidRPr="0067461A">
        <w:t xml:space="preserve">PLP </w:t>
      </w:r>
      <w:r>
        <w:t>que</w:t>
      </w:r>
      <w:r w:rsidR="0067461A" w:rsidRPr="0067461A">
        <w:t xml:space="preserve"> implica la inclusión de costos comunes (p.ej. costos de la red que son comunes a todo el tráfico, como pueden ser los costos de cobertura, los costos de las concesiones y los gastos generales). El uso de un incremento grande implica que los costos comunes para los servicios de tráfico son automáticamente incluidos en el incremento.</w:t>
      </w:r>
    </w:p>
    <w:p w14:paraId="0E97050A" w14:textId="77777777" w:rsidR="0067461A" w:rsidRPr="0067461A" w:rsidRDefault="0067461A" w:rsidP="0067461A">
      <w:r w:rsidRPr="0067461A">
        <w:t xml:space="preserve">Es también necesario identificar un incremento de usuarios que capture los costos que varían con el volumen de usuarios (no en función de cambios en el volumen de tráfico). El incremento de usuarios, que capturará estos costos, debe ser definido cuidadosamente para ser consistente y transparente </w:t>
      </w:r>
      <w:r w:rsidRPr="0067461A">
        <w:lastRenderedPageBreak/>
        <w:t>para la red fija y móvil. Estos costos son definidos como los costos promedio incrementales cuando nuevos usuarios son agregados a la red:</w:t>
      </w:r>
    </w:p>
    <w:p w14:paraId="52A9168A" w14:textId="77777777" w:rsidR="0067461A" w:rsidRPr="0067461A" w:rsidRDefault="0067461A" w:rsidP="0067461A">
      <w:pPr>
        <w:pStyle w:val="ListBulletCompact"/>
        <w:spacing w:after="0"/>
        <w:ind w:left="360" w:hanging="360"/>
        <w:contextualSpacing w:val="0"/>
      </w:pPr>
      <w:r w:rsidRPr="0067461A">
        <w:t>en una red móvil, un nuevo usuario recibe una tarjeta SIM para poder enviar y recibir tráfico en el punto de concentración (el aire es la interfaz)</w:t>
      </w:r>
    </w:p>
    <w:p w14:paraId="3BD29808" w14:textId="77777777" w:rsidR="0067461A" w:rsidRPr="0067461A" w:rsidRDefault="0067461A" w:rsidP="0067461A">
      <w:pPr>
        <w:pStyle w:val="Listaconvietas"/>
      </w:pPr>
      <w:r w:rsidRPr="0067461A">
        <w:t>en una red fija, un nuevo usuario deberá ser conectado a la tarjeta del conmutador, o equivalente en una NGN, mediante cobre, cable o fibra que vaya del usuario al punto de concentración.</w:t>
      </w:r>
    </w:p>
    <w:p w14:paraId="191F33F7" w14:textId="77777777" w:rsidR="0067461A" w:rsidRPr="0067461A" w:rsidRDefault="0067461A" w:rsidP="0067461A">
      <w:r w:rsidRPr="0067461A">
        <w:t xml:space="preserve">Se propone que este ‘servicio incremental de usuario’ sea definido sencillamente como el derecho a unirse a la red de usuarios. Cualquier otro costo, incluyendo costos requeridos para establecer una red operacional pero solo con capacidad mínima, son recuperados mediante los incrementos de uso. Por consiguiente, todo el equipo para usuarios será también excluido (p.ej. teléfonos, módems, etc.). </w:t>
      </w:r>
    </w:p>
    <w:p w14:paraId="5D194207" w14:textId="77777777" w:rsidR="0067461A" w:rsidRPr="0067461A" w:rsidRDefault="0067461A" w:rsidP="0067461A">
      <w:pPr>
        <w:rPr>
          <w:spacing w:val="-4"/>
        </w:rPr>
      </w:pPr>
      <w:r w:rsidRPr="0067461A">
        <w:rPr>
          <w:spacing w:val="-4"/>
        </w:rPr>
        <w:t>En el siguiente diagrama se detallan los costos que deben incluirse en el modelo siguiendo este método.</w:t>
      </w:r>
    </w:p>
    <w:p w14:paraId="2D06E255" w14:textId="7E1BE020" w:rsidR="0067461A" w:rsidRPr="0067461A" w:rsidRDefault="0067461A" w:rsidP="0067461A">
      <w:pPr>
        <w:pStyle w:val="Descripcin"/>
        <w:rPr>
          <w:lang w:val="es-ES"/>
        </w:rPr>
      </w:pPr>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6</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7</w:t>
      </w:r>
      <w:r w:rsidRPr="0067461A">
        <w:rPr>
          <w:lang w:val="es-ES"/>
        </w:rPr>
        <w:fldChar w:fldCharType="end"/>
      </w:r>
      <w:r w:rsidRPr="0067461A">
        <w:rPr>
          <w:lang w:val="es-ES"/>
        </w:rPr>
        <w:t>: Distribución de costos usando una metodología CITPLP [</w:t>
      </w:r>
      <w:r w:rsidR="00F4066A">
        <w:rPr>
          <w:lang w:val="es-ES"/>
        </w:rPr>
        <w:t>Fuente: Analysys Mason, 2023</w:t>
      </w:r>
      <w:r w:rsidRPr="0067461A">
        <w:rPr>
          <w:lang w:val="es-ES"/>
        </w:rPr>
        <w:t>]</w:t>
      </w:r>
    </w:p>
    <w:p w14:paraId="7C259DE8" w14:textId="77777777" w:rsidR="0067461A" w:rsidRPr="0067461A" w:rsidRDefault="0067461A" w:rsidP="0067461A">
      <w:r w:rsidRPr="0067461A">
        <w:rPr>
          <w:noProof/>
        </w:rPr>
        <w:drawing>
          <wp:inline distT="0" distB="0" distL="0" distR="0" wp14:anchorId="3383F9EE" wp14:editId="6917E584">
            <wp:extent cx="5468620" cy="2773045"/>
            <wp:effectExtent l="0" t="0" r="0"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68620" cy="2773045"/>
                    </a:xfrm>
                    <a:prstGeom prst="rect">
                      <a:avLst/>
                    </a:prstGeom>
                    <a:noFill/>
                    <a:ln>
                      <a:noFill/>
                    </a:ln>
                  </pic:spPr>
                </pic:pic>
              </a:graphicData>
            </a:graphic>
          </wp:inline>
        </w:drawing>
      </w:r>
    </w:p>
    <w:p w14:paraId="4A27D4FA" w14:textId="77777777" w:rsidR="0067461A" w:rsidRPr="0067461A" w:rsidRDefault="0067461A" w:rsidP="0067461A"/>
    <w:p w14:paraId="49BC6F4E" w14:textId="044B6163" w:rsidR="0067461A" w:rsidRPr="0067461A" w:rsidRDefault="0067461A" w:rsidP="0067461A">
      <w:bookmarkStart w:id="330" w:name="_Toc126589295"/>
      <w:bookmarkStart w:id="331" w:name="_Ref321212522"/>
      <w:bookmarkStart w:id="332" w:name="_Ref452739943"/>
      <w:bookmarkStart w:id="333" w:name="_Ref472949800"/>
      <w:bookmarkStart w:id="334" w:name="_Toc527663513"/>
      <w:r w:rsidRPr="0067461A">
        <w:t>el cálculo de costos incrementales para un operador identificará algunos costos que son comunes a y/o compartidos con varios incrementos. Estos costos comunes y compartidos son requeridos para soportar uno o varios servicios, en dos o más incrementos, y no son atribuibles a incrementos en forma causal. Estos tienden a ser:</w:t>
      </w:r>
    </w:p>
    <w:p w14:paraId="5D06D5C1" w14:textId="77777777" w:rsidR="0067461A" w:rsidRPr="0067461A" w:rsidRDefault="0067461A" w:rsidP="0067461A">
      <w:pPr>
        <w:pStyle w:val="Listaconvietas"/>
      </w:pPr>
      <w:r w:rsidRPr="0067461A">
        <w:rPr>
          <w:b/>
          <w:bCs/>
        </w:rPr>
        <w:t>Costos comunes de tráfico</w:t>
      </w:r>
      <w:r w:rsidRPr="0067461A">
        <w:t xml:space="preserve"> – partes de la red desplegada que son comunes a todos los servicios de la red (p.ej. la plataforma de voz o la concesión para servicios móviles).</w:t>
      </w:r>
    </w:p>
    <w:p w14:paraId="6A4345D2" w14:textId="77777777" w:rsidR="0067461A" w:rsidRPr="0067461A" w:rsidRDefault="0067461A" w:rsidP="0067461A">
      <w:pPr>
        <w:pStyle w:val="Listaconvietas"/>
      </w:pPr>
      <w:r w:rsidRPr="0067461A">
        <w:rPr>
          <w:b/>
          <w:bCs/>
        </w:rPr>
        <w:t>Costos comunes de redes troncales (tráfico) y de acceso</w:t>
      </w:r>
      <w:r w:rsidRPr="0067461A">
        <w:t xml:space="preserve"> – como puede ser el espacio físico requerido para la instalación de un conmutador donde se define la frontera entre la red troncal y la de acceso, o un túnel compartido. Estos no son aplicables para redes móviles. </w:t>
      </w:r>
    </w:p>
    <w:p w14:paraId="31DA7B08" w14:textId="77777777" w:rsidR="0067461A" w:rsidRPr="0067461A" w:rsidRDefault="0067461A" w:rsidP="0067461A">
      <w:pPr>
        <w:pStyle w:val="Listaconvietas"/>
      </w:pPr>
      <w:r w:rsidRPr="0067461A">
        <w:rPr>
          <w:b/>
          <w:bCs/>
        </w:rPr>
        <w:lastRenderedPageBreak/>
        <w:t>La red de acceso</w:t>
      </w:r>
      <w:r w:rsidRPr="0067461A">
        <w:t xml:space="preserve"> – puede ser considerada como un prerrequisito para todos los servicios de tráfico que usen los usuarios.</w:t>
      </w:r>
    </w:p>
    <w:p w14:paraId="25AEB168" w14:textId="77777777" w:rsidR="0067461A" w:rsidRPr="0067461A" w:rsidRDefault="0067461A" w:rsidP="0067461A">
      <w:pPr>
        <w:pStyle w:val="Listaconvietas"/>
        <w:rPr>
          <w:spacing w:val="-4"/>
        </w:rPr>
      </w:pPr>
      <w:r w:rsidRPr="0067461A">
        <w:rPr>
          <w:b/>
          <w:bCs/>
          <w:spacing w:val="-4"/>
        </w:rPr>
        <w:t>Costos comunes que no son de red, o de administración, comunes a los servicios de red y a los minoristas</w:t>
      </w:r>
      <w:r w:rsidRPr="0067461A">
        <w:rPr>
          <w:spacing w:val="-4"/>
        </w:rPr>
        <w:t xml:space="preserve"> – componentes de costos comunes a todas las funciones del negocio (p.ej. el presidente). </w:t>
      </w:r>
    </w:p>
    <w:p w14:paraId="5998CF19" w14:textId="022F5E08" w:rsidR="004532E0" w:rsidRDefault="0067461A" w:rsidP="00901D5C">
      <w:r w:rsidRPr="0067461A">
        <w:t>Si todos los costos comunes están en un mismo incremento, al CILP del incremento se le agrega un margen adicional hasta llegar al costo ‘standalone’ (SAC) de proveer este incremento. Por tanto, el SAC representa el costo máximo con margen adicional para cualquier incremento –y en esa situación, el margen adicional para los otros incrementos sería cero–. En una situación donde los costos comunes son compartidos entre varios incrementos, se requiere un mecanismo de márgenes adicionales para producir los CI</w:t>
      </w:r>
      <w:r w:rsidR="002B6F97">
        <w:t>T</w:t>
      </w:r>
      <w:r w:rsidRPr="0067461A">
        <w:t>PLP relevantes. Esto se muestra en la</w:t>
      </w:r>
      <w:r w:rsidR="00E90CD9">
        <w:fldChar w:fldCharType="begin"/>
      </w:r>
      <w:r w:rsidR="00E90CD9">
        <w:instrText xml:space="preserve"> REF _Ref135395637 \h </w:instrText>
      </w:r>
      <w:r w:rsidR="00E90CD9">
        <w:fldChar w:fldCharType="separate"/>
      </w:r>
      <w:r w:rsidR="00475202" w:rsidRPr="00920B9F">
        <w:t xml:space="preserve"> </w:t>
      </w:r>
      <w:r w:rsidR="00475202" w:rsidRPr="0067461A">
        <w:t xml:space="preserve">Figura </w:t>
      </w:r>
      <w:r w:rsidR="00475202">
        <w:rPr>
          <w:noProof/>
        </w:rPr>
        <w:t>6</w:t>
      </w:r>
      <w:r w:rsidR="00475202" w:rsidRPr="0067461A">
        <w:t>.</w:t>
      </w:r>
      <w:r w:rsidR="00475202">
        <w:rPr>
          <w:noProof/>
        </w:rPr>
        <w:t>8</w:t>
      </w:r>
      <w:r w:rsidR="00E90CD9">
        <w:fldChar w:fldCharType="end"/>
      </w:r>
      <w:r w:rsidR="00CD0179">
        <w:t>.</w:t>
      </w:r>
    </w:p>
    <w:p w14:paraId="38F406D6" w14:textId="7204ECFE" w:rsidR="00BE191B" w:rsidRPr="0067461A" w:rsidRDefault="00BE191B" w:rsidP="00BE191B">
      <w:pPr>
        <w:pStyle w:val="Descripcin"/>
        <w:rPr>
          <w:lang w:val="es-ES"/>
        </w:rPr>
      </w:pPr>
      <w:bookmarkStart w:id="335" w:name="_Ref135395637"/>
      <w:r w:rsidRPr="00920B9F">
        <w:rPr>
          <w:lang w:val="es-ES"/>
        </w:rPr>
        <w:t xml:space="preserve"> </w:t>
      </w:r>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6</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8</w:t>
      </w:r>
      <w:r w:rsidRPr="0067461A">
        <w:rPr>
          <w:lang w:val="es-ES"/>
        </w:rPr>
        <w:fldChar w:fldCharType="end"/>
      </w:r>
      <w:bookmarkEnd w:id="335"/>
      <w:r w:rsidRPr="0067461A">
        <w:rPr>
          <w:lang w:val="es-ES"/>
        </w:rPr>
        <w:t xml:space="preserve">: </w:t>
      </w:r>
      <w:r w:rsidR="001C0CC4">
        <w:rPr>
          <w:lang w:val="es-ES"/>
        </w:rPr>
        <w:t xml:space="preserve">CILP, SAC y CIPLP </w:t>
      </w:r>
      <w:r w:rsidRPr="0067461A">
        <w:rPr>
          <w:lang w:val="es-ES"/>
        </w:rPr>
        <w:t>[Fuente: Analysys Mason]</w:t>
      </w:r>
    </w:p>
    <w:p w14:paraId="4784C45A" w14:textId="0E43636D" w:rsidR="001F66F3" w:rsidRPr="0067461A" w:rsidRDefault="00901D5C" w:rsidP="00920B9F">
      <w:pPr>
        <w:jc w:val="center"/>
      </w:pPr>
      <w:r w:rsidRPr="00901D5C">
        <w:rPr>
          <w:noProof/>
        </w:rPr>
        <w:drawing>
          <wp:inline distT="0" distB="0" distL="0" distR="0" wp14:anchorId="23EA62CB" wp14:editId="1F17402D">
            <wp:extent cx="2779821" cy="2415496"/>
            <wp:effectExtent l="0" t="0" r="1905" b="4445"/>
            <wp:docPr id="2012352821" name="Picture 201235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83284" cy="2418505"/>
                    </a:xfrm>
                    <a:prstGeom prst="rect">
                      <a:avLst/>
                    </a:prstGeom>
                    <a:noFill/>
                    <a:ln>
                      <a:noFill/>
                    </a:ln>
                  </pic:spPr>
                </pic:pic>
              </a:graphicData>
            </a:graphic>
          </wp:inline>
        </w:drawing>
      </w:r>
    </w:p>
    <w:p w14:paraId="377A040C" w14:textId="77777777" w:rsidR="0067461A" w:rsidRPr="0067461A" w:rsidRDefault="0067461A" w:rsidP="0067461A">
      <w:r w:rsidRPr="0067461A">
        <w:t>El mecanismo de márgenes adicionales utilizado en la mayoría de los modelos de costos es el de igual proporción de margen adicional (EPMU, por sus siglas en inglés). Mediante este método, los costos comunes se recuperan en proporción al costo incremental asignado a los distintos servicios producidos. Su aplicación es sencilla, y resulta en un tratamiento uniforme de todos los servicios del negocio y no necesita parámetros adicionales.</w:t>
      </w:r>
    </w:p>
    <w:p w14:paraId="5EFA19E6" w14:textId="002AFF79" w:rsidR="0067461A" w:rsidRPr="0067461A" w:rsidRDefault="0067461A" w:rsidP="0067461A">
      <w:r w:rsidRPr="0067461A">
        <w:t>El EPMU es el método generalmente utilizado debido a su objetividad y facilidad de implementación. Es consistente con las prácticas regulatorias a nivel mundial, por lo que IFT también ha decidido utilizarlo en el modelo de costos.</w:t>
      </w:r>
    </w:p>
    <w:tbl>
      <w:tblPr>
        <w:tblStyle w:val="Tablaconcuadrcula"/>
        <w:tblW w:w="0" w:type="auto"/>
        <w:tblLook w:val="04A0" w:firstRow="1" w:lastRow="0" w:firstColumn="1" w:lastColumn="0" w:noHBand="0" w:noVBand="1"/>
      </w:tblPr>
      <w:tblGrid>
        <w:gridCol w:w="8721"/>
      </w:tblGrid>
      <w:tr w:rsidR="0067461A" w:rsidRPr="0067461A" w14:paraId="045F55CA" w14:textId="77777777">
        <w:tc>
          <w:tcPr>
            <w:tcW w:w="872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F7E1E5A" w14:textId="4E8549E7" w:rsidR="0067461A" w:rsidRPr="0067461A" w:rsidRDefault="0067461A">
            <w:pPr>
              <w:spacing w:after="120"/>
            </w:pPr>
            <w:r w:rsidRPr="0067461A">
              <w:rPr>
                <w:b/>
              </w:rPr>
              <w:t xml:space="preserve">Concepto </w:t>
            </w:r>
            <w:r w:rsidRPr="0067461A">
              <w:rPr>
                <w:b/>
              </w:rPr>
              <w:fldChar w:fldCharType="begin"/>
            </w:r>
            <w:r w:rsidRPr="0067461A">
              <w:rPr>
                <w:b/>
              </w:rPr>
              <w:instrText xml:space="preserve"> SEQ Recommendation \* ARABIC \s 0 </w:instrText>
            </w:r>
            <w:r w:rsidRPr="0067461A">
              <w:rPr>
                <w:b/>
              </w:rPr>
              <w:fldChar w:fldCharType="separate"/>
            </w:r>
            <w:r w:rsidR="00475202">
              <w:rPr>
                <w:b/>
                <w:noProof/>
              </w:rPr>
              <w:t>25</w:t>
            </w:r>
            <w:r w:rsidRPr="0067461A">
              <w:rPr>
                <w:b/>
              </w:rPr>
              <w:fldChar w:fldCharType="end"/>
            </w:r>
            <w:r w:rsidRPr="0067461A">
              <w:rPr>
                <w:b/>
                <w:bCs/>
              </w:rPr>
              <w:t xml:space="preserve">: </w:t>
            </w:r>
            <w:r w:rsidRPr="0067461A">
              <w:rPr>
                <w:spacing w:val="-4"/>
              </w:rPr>
              <w:t xml:space="preserve">Se emplea el método EPMU para distribuir los costos comunes a cada servicio en el modelo </w:t>
            </w:r>
            <w:r w:rsidRPr="0067461A">
              <w:t>CIPLP</w:t>
            </w:r>
            <w:r w:rsidR="002B6F97">
              <w:t xml:space="preserve"> (obteniendo los CITPLP)</w:t>
            </w:r>
            <w:r w:rsidRPr="0067461A">
              <w:rPr>
                <w:spacing w:val="-4"/>
              </w:rPr>
              <w:t xml:space="preserve">, pero se excluirá el </w:t>
            </w:r>
            <w:r w:rsidRPr="0067461A">
              <w:rPr>
                <w:i/>
                <w:iCs/>
                <w:spacing w:val="-4"/>
              </w:rPr>
              <w:t>mark-up</w:t>
            </w:r>
            <w:r w:rsidRPr="0067461A">
              <w:rPr>
                <w:spacing w:val="-4"/>
              </w:rPr>
              <w:t xml:space="preserve"> del modelo </w:t>
            </w:r>
            <w:r w:rsidRPr="0067461A">
              <w:t xml:space="preserve">CILP </w:t>
            </w:r>
            <w:r w:rsidRPr="0067461A">
              <w:rPr>
                <w:spacing w:val="-4"/>
              </w:rPr>
              <w:t>puro.</w:t>
            </w:r>
          </w:p>
        </w:tc>
      </w:tr>
    </w:tbl>
    <w:p w14:paraId="7BB5069B" w14:textId="77777777" w:rsidR="0067461A" w:rsidRPr="0067461A" w:rsidRDefault="0067461A" w:rsidP="0067461A">
      <w:pPr>
        <w:pStyle w:val="Ttulo2"/>
      </w:pPr>
      <w:bookmarkStart w:id="336" w:name="_Ref135394134"/>
      <w:bookmarkStart w:id="337" w:name="_Toc135921320"/>
      <w:bookmarkEnd w:id="330"/>
      <w:bookmarkEnd w:id="331"/>
      <w:bookmarkEnd w:id="332"/>
      <w:bookmarkEnd w:id="333"/>
      <w:bookmarkEnd w:id="334"/>
      <w:r w:rsidRPr="0067461A">
        <w:lastRenderedPageBreak/>
        <w:t>Aspectos específicos de la implementación de servicios regulados</w:t>
      </w:r>
      <w:bookmarkEnd w:id="336"/>
      <w:bookmarkEnd w:id="337"/>
    </w:p>
    <w:p w14:paraId="6ACB5CE5" w14:textId="77777777" w:rsidR="0067461A" w:rsidRPr="0067461A" w:rsidRDefault="0067461A" w:rsidP="0067461A">
      <w:r w:rsidRPr="0067461A">
        <w:t>Como se presenta en las secciones introductorias del documento, el objetivo del modelo es el de estimar los costos asociados a la provisión de ciertos servicios mayoristas, en concreto:</w:t>
      </w:r>
    </w:p>
    <w:p w14:paraId="16B7AF4F" w14:textId="77777777" w:rsidR="0067461A" w:rsidRPr="0067461A" w:rsidRDefault="0067461A" w:rsidP="0067461A">
      <w:pPr>
        <w:pStyle w:val="ListBulletCompact"/>
      </w:pPr>
      <w:r w:rsidRPr="0067461A">
        <w:t>Servicios de interconexión</w:t>
      </w:r>
    </w:p>
    <w:p w14:paraId="1FCD35C1" w14:textId="77777777" w:rsidR="0067461A" w:rsidRPr="0067461A" w:rsidRDefault="0067461A" w:rsidP="0067461A">
      <w:pPr>
        <w:pStyle w:val="ListBulletCompact"/>
      </w:pPr>
      <w:r w:rsidRPr="0067461A">
        <w:t>Servicios de usuario visitante</w:t>
      </w:r>
    </w:p>
    <w:p w14:paraId="1E93EE9A" w14:textId="77777777" w:rsidR="0067461A" w:rsidRPr="0067461A" w:rsidRDefault="0067461A" w:rsidP="0067461A">
      <w:pPr>
        <w:pStyle w:val="ListBulletCompact"/>
      </w:pPr>
      <w:r w:rsidRPr="0067461A">
        <w:t>Servicio de acceso indirecto al bucle</w:t>
      </w:r>
    </w:p>
    <w:p w14:paraId="2C355A58" w14:textId="77777777" w:rsidR="0067461A" w:rsidRPr="0067461A" w:rsidRDefault="0067461A" w:rsidP="0067461A">
      <w:pPr>
        <w:pStyle w:val="ListBulletCompact"/>
      </w:pPr>
      <w:r w:rsidRPr="0067461A">
        <w:t>Servicios de enlaces dedicados</w:t>
      </w:r>
    </w:p>
    <w:p w14:paraId="15D7B7FD" w14:textId="77777777" w:rsidR="0067461A" w:rsidRPr="0067461A" w:rsidRDefault="0067461A" w:rsidP="0067461A">
      <w:r w:rsidRPr="0067461A">
        <w:t>A continuación, se clarifican algunas particularidades relevantes a la hora de costear estos servicios</w:t>
      </w:r>
    </w:p>
    <w:p w14:paraId="0FBA2C78" w14:textId="77777777" w:rsidR="0067461A" w:rsidRPr="0067461A" w:rsidRDefault="0067461A" w:rsidP="0067461A">
      <w:pPr>
        <w:pStyle w:val="Ttulo3"/>
      </w:pPr>
      <w:r w:rsidRPr="0067461A">
        <w:t>Servicios de interconexión</w:t>
      </w:r>
    </w:p>
    <w:p w14:paraId="7448BCF9" w14:textId="6B4C5D43" w:rsidR="0067461A" w:rsidRPr="0067461A" w:rsidRDefault="000C76F0" w:rsidP="0067461A">
      <w:r>
        <w:t xml:space="preserve">La Metodología de Costos </w:t>
      </w:r>
      <w:r w:rsidR="0067461A" w:rsidRPr="0067461A">
        <w:t>determina la necesidad de establecer tarifas para múltiples servicios de interconexión. Algunos de estos servicios deben presentar tarifas tanto para el operador basado en el AEP de servicios fijos o móviles según corresponda como para un concesionario alternativo hipotético. Estos servicios son los siguientes:</w:t>
      </w:r>
    </w:p>
    <w:p w14:paraId="2586A44E" w14:textId="1A9E78E1" w:rsidR="0067461A" w:rsidRPr="00804797" w:rsidRDefault="00D0784B" w:rsidP="0067461A">
      <w:pPr>
        <w:pStyle w:val="ListBulletCompact"/>
      </w:pPr>
      <w:r w:rsidRPr="00804797">
        <w:t xml:space="preserve">Terminación de </w:t>
      </w:r>
      <w:r w:rsidR="00804797" w:rsidRPr="00804797">
        <w:t xml:space="preserve">tráfico de </w:t>
      </w:r>
      <w:r w:rsidRPr="00804797">
        <w:t>voz móvil</w:t>
      </w:r>
    </w:p>
    <w:p w14:paraId="5D910978" w14:textId="5D4446EA" w:rsidR="00804797" w:rsidRPr="00804797" w:rsidRDefault="00804797" w:rsidP="00804797">
      <w:pPr>
        <w:pStyle w:val="ListBulletCompact"/>
      </w:pPr>
      <w:r w:rsidRPr="00804797">
        <w:t>Terminación de tráfico de voz fija</w:t>
      </w:r>
    </w:p>
    <w:p w14:paraId="395A03F3" w14:textId="46A54135" w:rsidR="0067461A" w:rsidRPr="00804797" w:rsidRDefault="00804797" w:rsidP="0067461A">
      <w:pPr>
        <w:pStyle w:val="ListBulletCompact"/>
      </w:pPr>
      <w:r w:rsidRPr="00804797">
        <w:t>Terminación de mensajes cortos</w:t>
      </w:r>
    </w:p>
    <w:p w14:paraId="55445383" w14:textId="123D67E1" w:rsidR="0067461A" w:rsidRPr="0067461A" w:rsidRDefault="0067461A" w:rsidP="0067461A">
      <w:r w:rsidRPr="0067461A">
        <w:t xml:space="preserve">Por otro lado, </w:t>
      </w:r>
      <w:r w:rsidR="000C76F0">
        <w:t>en la regulación se</w:t>
      </w:r>
      <w:r w:rsidRPr="0067461A">
        <w:t xml:space="preserve"> determina algunos servicios adicionales para los cuales el IFT debe establecer una tarifa, pero solo para el operador basado en el AEP de servicios fijos o móviles según corresponda. Estos servicios son:</w:t>
      </w:r>
    </w:p>
    <w:p w14:paraId="3944994A" w14:textId="3CBC65C4" w:rsidR="0067461A" w:rsidRPr="0067461A" w:rsidRDefault="00804797" w:rsidP="0067461A">
      <w:pPr>
        <w:pStyle w:val="ListBulletCompact"/>
      </w:pPr>
      <w:r>
        <w:t>Tránsito de tráfico</w:t>
      </w:r>
      <w:r w:rsidR="005359CC">
        <w:t xml:space="preserve"> móvil</w:t>
      </w:r>
    </w:p>
    <w:p w14:paraId="1E563491" w14:textId="1595447A" w:rsidR="005359CC" w:rsidRDefault="005359CC" w:rsidP="0067461A">
      <w:pPr>
        <w:pStyle w:val="ListBulletCompact"/>
      </w:pPr>
      <w:r>
        <w:t>Tránsito de tráfico fijo</w:t>
      </w:r>
    </w:p>
    <w:p w14:paraId="4126D495" w14:textId="77777777" w:rsidR="0067461A" w:rsidRPr="0067461A" w:rsidRDefault="0067461A" w:rsidP="0067461A">
      <w:r w:rsidRPr="0067461A">
        <w:t>El modelo calculará las tarifas de uno de estos servicios para cada uno de los años dentro del periodo 2024-2026, bajo el estándar de costos CILP puro.</w:t>
      </w:r>
    </w:p>
    <w:p w14:paraId="09B61F04" w14:textId="77777777" w:rsidR="0067461A" w:rsidRPr="0067461A" w:rsidRDefault="0067461A" w:rsidP="0067461A">
      <w:pPr>
        <w:pStyle w:val="Ttulo3"/>
      </w:pPr>
      <w:r w:rsidRPr="0067461A">
        <w:t>Servicios de usuario visitante</w:t>
      </w:r>
    </w:p>
    <w:p w14:paraId="2AD0897D" w14:textId="77777777" w:rsidR="0067461A" w:rsidRPr="0067461A" w:rsidRDefault="0067461A" w:rsidP="0067461A">
      <w:r w:rsidRPr="0067461A">
        <w:t>En la Segunda Resolución Bienal de Telecomunicaciones, se establece que, en caso de desacuerdo, el IFT definirá las tarifas del servicio mayorista de usuario visitante con base en una metodología de costos incrementales promedio de largo plazo (CIPLP).</w:t>
      </w:r>
    </w:p>
    <w:p w14:paraId="1D373A42" w14:textId="77777777" w:rsidR="0067461A" w:rsidRPr="0067461A" w:rsidRDefault="0067461A" w:rsidP="0067461A">
      <w:r w:rsidRPr="0067461A">
        <w:t>Observando las ofertas de referencia del AEP para el servicio mayorista de usuario visitante, se observa que se ofertan tres servicios diferenciados:</w:t>
      </w:r>
    </w:p>
    <w:p w14:paraId="6AC2B224" w14:textId="77777777" w:rsidR="0067461A" w:rsidRPr="0067461A" w:rsidRDefault="0067461A" w:rsidP="0067461A">
      <w:pPr>
        <w:pStyle w:val="ListBulletCompact"/>
      </w:pPr>
      <w:r w:rsidRPr="0067461A">
        <w:t>Voz, aplicable tanto al tráfico saliente como al tráfico entrante</w:t>
      </w:r>
    </w:p>
    <w:p w14:paraId="4A3909CF" w14:textId="77777777" w:rsidR="0067461A" w:rsidRPr="0067461A" w:rsidRDefault="0067461A" w:rsidP="0067461A">
      <w:pPr>
        <w:pStyle w:val="ListBulletCompact"/>
      </w:pPr>
      <w:r w:rsidRPr="0067461A">
        <w:t>Mensajes de texto SMS, para cada evento originado</w:t>
      </w:r>
    </w:p>
    <w:p w14:paraId="093A3846" w14:textId="77777777" w:rsidR="0067461A" w:rsidRPr="0067461A" w:rsidRDefault="0067461A" w:rsidP="0067461A">
      <w:pPr>
        <w:pStyle w:val="ListBulletCompact"/>
      </w:pPr>
      <w:r w:rsidRPr="0067461A">
        <w:t>Datos móviles</w:t>
      </w:r>
    </w:p>
    <w:p w14:paraId="198D8264" w14:textId="77777777" w:rsidR="0067461A" w:rsidRPr="0067461A" w:rsidRDefault="0067461A" w:rsidP="0067461A">
      <w:r w:rsidRPr="0067461A">
        <w:lastRenderedPageBreak/>
        <w:t>De esta manera, el modelo de costos deberá ser capaz de estimar los costos para cada uno de estos servicios, con base a la metodología CIPLP. Los servicios deberán serán modelados en línea con las especificaciones técnicas expuestas en la oferta de referencia del AEP.</w:t>
      </w:r>
    </w:p>
    <w:p w14:paraId="64CFE934" w14:textId="10FD8D5A" w:rsidR="0067461A" w:rsidRPr="0067461A" w:rsidRDefault="0067461A" w:rsidP="0067461A">
      <w:pPr>
        <w:pStyle w:val="Ttulo3"/>
      </w:pPr>
      <w:r w:rsidRPr="0067461A">
        <w:t xml:space="preserve">Servicio de </w:t>
      </w:r>
      <w:r w:rsidR="00CD2C67">
        <w:t>concentración y</w:t>
      </w:r>
      <w:r w:rsidR="00C47F0E">
        <w:t xml:space="preserve"> distribución</w:t>
      </w:r>
    </w:p>
    <w:p w14:paraId="23323F13" w14:textId="7DFDF71D" w:rsidR="00E90CD9" w:rsidRPr="0067461A" w:rsidRDefault="0067461A" w:rsidP="00024E46">
      <w:r w:rsidRPr="0067461A">
        <w:t xml:space="preserve">El </w:t>
      </w:r>
      <w:r w:rsidR="00B03480">
        <w:t>servicio de concentración y distribución asociado al SAIB,</w:t>
      </w:r>
      <w:r w:rsidRPr="0067461A">
        <w:t xml:space="preserve"> es </w:t>
      </w:r>
      <w:r w:rsidR="00C230E7" w:rsidRPr="0067461A">
        <w:t>un servicio mayorista que oferta</w:t>
      </w:r>
      <w:r w:rsidRPr="0067461A">
        <w:t xml:space="preserve"> el AEP en tres niveles de agregación (local, regional y nacional). </w:t>
      </w:r>
    </w:p>
    <w:p w14:paraId="7F4D3AFF" w14:textId="737DB2AA" w:rsidR="0067461A" w:rsidRPr="0067461A" w:rsidRDefault="0067461A" w:rsidP="0067461A">
      <w:r w:rsidRPr="0067461A">
        <w:t xml:space="preserve">Mediante el </w:t>
      </w:r>
      <w:r w:rsidR="00F80DB7">
        <w:t>SCyD</w:t>
      </w:r>
      <w:r w:rsidRPr="0067461A">
        <w:t>, el AEP proporciona a los operadores alternativos una capacidad de transmisión entre el cliente final y un punto de interconexión con la red propia del CS mediante un acceso de cobre y/o fibra óptica. El esquema tarifario aplicable a dicho servicio que ha sido autorizado por el Instituto en las Ofertas de Referencia distingue dos escenarios:</w:t>
      </w:r>
    </w:p>
    <w:p w14:paraId="50DD56ED" w14:textId="77777777" w:rsidR="0067461A" w:rsidRPr="0067461A" w:rsidRDefault="0067461A" w:rsidP="00920B9F">
      <w:pPr>
        <w:pStyle w:val="ListBulletCompact"/>
      </w:pPr>
      <w:r w:rsidRPr="0067461A">
        <w:t>Caso I: Cuando 1) los servicios se prestan a través de fibra óptica, o bien 2) se prestan a través de cobre, pero no se hace uso de las frecuencias bajas para prestar servicios de voz por el mismo medio.</w:t>
      </w:r>
    </w:p>
    <w:p w14:paraId="565CA514" w14:textId="77777777" w:rsidR="0067461A" w:rsidRPr="0067461A" w:rsidRDefault="0067461A" w:rsidP="00920B9F">
      <w:pPr>
        <w:pStyle w:val="ListBulletCompact"/>
      </w:pPr>
      <w:r w:rsidRPr="0067461A">
        <w:t>Caso II: cuando los servicios se prestan a través cobre y se hace uso de las frecuencias bajas para prestar servicios de voz (ya sea por el mismo CS, el propio EM o bien otro CS).</w:t>
      </w:r>
    </w:p>
    <w:p w14:paraId="3B35C815" w14:textId="0512D6A3" w:rsidR="0067461A" w:rsidRPr="0067461A" w:rsidRDefault="0067461A" w:rsidP="0067461A">
      <w:r w:rsidRPr="0067461A">
        <w:t xml:space="preserve">Para el esquema de las tarifas SAIB en el Caso I, se tendrá en cuenta el costo del tramo de acceso por el cual se presta el servicio, de modo que se asegure que el operador recupera efectivamente los costos asociados. Cabe destacar que la estimación de esta componente de acceso no es objeto del modelo descrito en este documento. </w:t>
      </w:r>
    </w:p>
    <w:p w14:paraId="3033E8C2" w14:textId="4DE6E418" w:rsidR="00D313AA" w:rsidRDefault="0067461A" w:rsidP="0067461A">
      <w:r w:rsidRPr="0067461A">
        <w:t xml:space="preserve">Más allá de los niveles de agregación, el </w:t>
      </w:r>
      <w:r w:rsidR="000C0468">
        <w:t xml:space="preserve">SCyD </w:t>
      </w:r>
      <w:r w:rsidRPr="0067461A">
        <w:t>se distingue adicionalmente por diversos atributos o características, como asimetría/simetría, calidad de servicio y perfil de velocidad. A continuación, se presenta la</w:t>
      </w:r>
      <w:r w:rsidR="006A3B7C">
        <w:t xml:space="preserve">s distintas variantes del </w:t>
      </w:r>
      <w:r w:rsidR="000C0468">
        <w:t>SCyD</w:t>
      </w:r>
      <w:r w:rsidR="006A3B7C">
        <w:t>:</w:t>
      </w:r>
    </w:p>
    <w:p w14:paraId="0ED82B1E" w14:textId="5F5FC961" w:rsidR="0084355F" w:rsidRPr="00920B9F" w:rsidRDefault="0084355F" w:rsidP="00920B9F">
      <w:pPr>
        <w:pStyle w:val="Descripcin"/>
        <w:rPr>
          <w:bCs w:val="0"/>
          <w:i w:val="0"/>
          <w:lang w:val="es-ES"/>
        </w:rPr>
      </w:pPr>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6</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9</w:t>
      </w:r>
      <w:r w:rsidRPr="0067461A">
        <w:rPr>
          <w:lang w:val="es-ES"/>
        </w:rPr>
        <w:fldChar w:fldCharType="end"/>
      </w:r>
      <w:r w:rsidRPr="0067461A">
        <w:rPr>
          <w:lang w:val="es-ES"/>
        </w:rPr>
        <w:t xml:space="preserve">: </w:t>
      </w:r>
      <w:r>
        <w:rPr>
          <w:lang w:val="es-ES"/>
        </w:rPr>
        <w:t xml:space="preserve">Variantes </w:t>
      </w:r>
      <w:r w:rsidR="006A3B7C">
        <w:rPr>
          <w:lang w:val="es-ES"/>
        </w:rPr>
        <w:t xml:space="preserve">del servicio </w:t>
      </w:r>
      <w:r>
        <w:rPr>
          <w:lang w:val="es-ES"/>
        </w:rPr>
        <w:t xml:space="preserve">SAIB </w:t>
      </w:r>
      <w:r w:rsidRPr="0067461A">
        <w:rPr>
          <w:lang w:val="es-ES"/>
        </w:rPr>
        <w:t>[Fuente: Analysys Mason]</w:t>
      </w:r>
    </w:p>
    <w:tbl>
      <w:tblPr>
        <w:tblStyle w:val="Sombreadomedio2-nfasis1"/>
        <w:tblW w:w="8721" w:type="dxa"/>
        <w:tblBorders>
          <w:top w:val="single" w:sz="4" w:space="0" w:color="FFFFFF"/>
          <w:insideH w:val="single" w:sz="4" w:space="0" w:color="FFFFFF"/>
          <w:insideV w:val="single" w:sz="4" w:space="0" w:color="FFFFFF"/>
        </w:tblBorders>
        <w:tblLook w:val="0620" w:firstRow="1" w:lastRow="0" w:firstColumn="0" w:lastColumn="0" w:noHBand="1" w:noVBand="1"/>
      </w:tblPr>
      <w:tblGrid>
        <w:gridCol w:w="2180"/>
        <w:gridCol w:w="2180"/>
        <w:gridCol w:w="2180"/>
        <w:gridCol w:w="2181"/>
      </w:tblGrid>
      <w:tr w:rsidR="0084355F" w:rsidRPr="00E67202" w14:paraId="111190F7" w14:textId="77777777">
        <w:trPr>
          <w:cnfStyle w:val="100000000000" w:firstRow="1" w:lastRow="0" w:firstColumn="0" w:lastColumn="0" w:oddVBand="0" w:evenVBand="0" w:oddHBand="0" w:evenHBand="0" w:firstRowFirstColumn="0" w:firstRowLastColumn="0" w:lastRowFirstColumn="0" w:lastRowLastColumn="0"/>
          <w:tblHeader/>
        </w:trPr>
        <w:tc>
          <w:tcPr>
            <w:tcW w:w="2180" w:type="dxa"/>
            <w:tcBorders>
              <w:bottom w:val="single" w:sz="18" w:space="0" w:color="FFFFFF"/>
            </w:tcBorders>
            <w:shd w:val="solid" w:color="0F51B1" w:fill="0F51B1"/>
          </w:tcPr>
          <w:p w14:paraId="748F1393" w14:textId="77777777" w:rsidR="0084355F" w:rsidRPr="00920B9F" w:rsidRDefault="0084355F">
            <w:pPr>
              <w:pStyle w:val="Tableheading"/>
              <w:rPr>
                <w:lang w:val="es-ES"/>
              </w:rPr>
            </w:pPr>
            <w:r w:rsidRPr="00920B9F">
              <w:rPr>
                <w:lang w:val="es-ES"/>
              </w:rPr>
              <w:t>Simetría</w:t>
            </w:r>
          </w:p>
        </w:tc>
        <w:tc>
          <w:tcPr>
            <w:tcW w:w="2180" w:type="dxa"/>
            <w:tcBorders>
              <w:bottom w:val="single" w:sz="18" w:space="0" w:color="FFFFFF"/>
            </w:tcBorders>
            <w:shd w:val="solid" w:color="0F51B1" w:fill="0F51B1"/>
          </w:tcPr>
          <w:p w14:paraId="2FEED881" w14:textId="77777777" w:rsidR="0084355F" w:rsidRPr="00920B9F" w:rsidRDefault="0084355F">
            <w:pPr>
              <w:pStyle w:val="Tableheading"/>
              <w:rPr>
                <w:lang w:val="es-ES"/>
              </w:rPr>
            </w:pPr>
            <w:r w:rsidRPr="00920B9F">
              <w:rPr>
                <w:lang w:val="es-ES"/>
              </w:rPr>
              <w:t>Agregación</w:t>
            </w:r>
          </w:p>
        </w:tc>
        <w:tc>
          <w:tcPr>
            <w:tcW w:w="2180" w:type="dxa"/>
            <w:tcBorders>
              <w:bottom w:val="single" w:sz="18" w:space="0" w:color="FFFFFF"/>
            </w:tcBorders>
            <w:shd w:val="solid" w:color="0F51B1" w:fill="0F51B1"/>
          </w:tcPr>
          <w:p w14:paraId="78F48821" w14:textId="77777777" w:rsidR="0084355F" w:rsidRPr="00920B9F" w:rsidRDefault="0084355F">
            <w:pPr>
              <w:pStyle w:val="Tableheading"/>
              <w:rPr>
                <w:lang w:val="es-ES"/>
              </w:rPr>
            </w:pPr>
            <w:r w:rsidRPr="00920B9F">
              <w:rPr>
                <w:lang w:val="es-ES"/>
              </w:rPr>
              <w:t>Calidad</w:t>
            </w:r>
          </w:p>
        </w:tc>
        <w:tc>
          <w:tcPr>
            <w:tcW w:w="2181" w:type="dxa"/>
            <w:tcBorders>
              <w:bottom w:val="single" w:sz="18" w:space="0" w:color="FFFFFF"/>
            </w:tcBorders>
            <w:shd w:val="solid" w:color="0F51B1" w:fill="0F51B1"/>
          </w:tcPr>
          <w:p w14:paraId="58174DD4" w14:textId="77777777" w:rsidR="0084355F" w:rsidRPr="00920B9F" w:rsidRDefault="0084355F">
            <w:pPr>
              <w:pStyle w:val="Tableheading"/>
              <w:rPr>
                <w:lang w:val="es-ES"/>
              </w:rPr>
            </w:pPr>
            <w:r w:rsidRPr="00920B9F">
              <w:rPr>
                <w:lang w:val="es-ES"/>
              </w:rPr>
              <w:t>Velocidad</w:t>
            </w:r>
          </w:p>
        </w:tc>
      </w:tr>
      <w:tr w:rsidR="0084355F" w:rsidRPr="00E67202" w14:paraId="6344535B" w14:textId="77777777">
        <w:tc>
          <w:tcPr>
            <w:tcW w:w="2180" w:type="dxa"/>
            <w:tcBorders>
              <w:top w:val="single" w:sz="18" w:space="0" w:color="FFFFFF"/>
            </w:tcBorders>
          </w:tcPr>
          <w:p w14:paraId="2AB1D0BF" w14:textId="77777777" w:rsidR="0084355F" w:rsidRDefault="0084355F" w:rsidP="00920B9F">
            <w:pPr>
              <w:pStyle w:val="ListBulletCompact"/>
            </w:pPr>
            <w:r>
              <w:t>Asimétrico</w:t>
            </w:r>
          </w:p>
          <w:p w14:paraId="69F30A20" w14:textId="55DBBDFA" w:rsidR="00D10D47" w:rsidRDefault="00D10D47" w:rsidP="00920B9F">
            <w:pPr>
              <w:pStyle w:val="ListBulletCompact"/>
            </w:pPr>
            <w:r>
              <w:t>Simétrico</w:t>
            </w:r>
          </w:p>
        </w:tc>
        <w:tc>
          <w:tcPr>
            <w:tcW w:w="2180" w:type="dxa"/>
            <w:tcBorders>
              <w:top w:val="single" w:sz="18" w:space="0" w:color="FFFFFF"/>
            </w:tcBorders>
          </w:tcPr>
          <w:p w14:paraId="5B3C106B" w14:textId="77777777" w:rsidR="0084355F" w:rsidRDefault="0084355F" w:rsidP="00920B9F">
            <w:pPr>
              <w:pStyle w:val="ListBulletCompact"/>
            </w:pPr>
            <w:r>
              <w:t>Local</w:t>
            </w:r>
          </w:p>
          <w:p w14:paraId="2B1C50A9" w14:textId="77777777" w:rsidR="00D10D47" w:rsidRDefault="00D10D47" w:rsidP="00920B9F">
            <w:pPr>
              <w:pStyle w:val="ListBulletCompact"/>
            </w:pPr>
            <w:r>
              <w:t>Regional</w:t>
            </w:r>
          </w:p>
          <w:p w14:paraId="2BD868E2" w14:textId="4109E7A3" w:rsidR="00D10D47" w:rsidRDefault="00D10D47" w:rsidP="00920B9F">
            <w:pPr>
              <w:pStyle w:val="ListBulletCompact"/>
            </w:pPr>
            <w:r>
              <w:t>Nacional</w:t>
            </w:r>
          </w:p>
        </w:tc>
        <w:tc>
          <w:tcPr>
            <w:tcW w:w="2180" w:type="dxa"/>
            <w:tcBorders>
              <w:top w:val="single" w:sz="18" w:space="0" w:color="FFFFFF"/>
            </w:tcBorders>
          </w:tcPr>
          <w:p w14:paraId="3FC9098B" w14:textId="77777777" w:rsidR="0084355F" w:rsidRDefault="0084355F" w:rsidP="00920B9F">
            <w:pPr>
              <w:pStyle w:val="ListBulletCompact"/>
            </w:pPr>
            <w:r>
              <w:t>Best effort</w:t>
            </w:r>
          </w:p>
          <w:p w14:paraId="50AF8891" w14:textId="26B19429" w:rsidR="00D10D47" w:rsidRDefault="00D10D47" w:rsidP="00920B9F">
            <w:pPr>
              <w:pStyle w:val="ListBulletCompact"/>
            </w:pPr>
            <w:r>
              <w:t>Datos</w:t>
            </w:r>
            <w:r w:rsidR="00C230E7">
              <w:t xml:space="preserve"> generales</w:t>
            </w:r>
          </w:p>
          <w:p w14:paraId="45EEC309" w14:textId="77777777" w:rsidR="00D10D47" w:rsidRDefault="00D10D47" w:rsidP="00920B9F">
            <w:pPr>
              <w:pStyle w:val="ListBulletCompact"/>
            </w:pPr>
            <w:r>
              <w:t>Doble</w:t>
            </w:r>
          </w:p>
          <w:p w14:paraId="12CFF553" w14:textId="77777777" w:rsidR="00D10D47" w:rsidRDefault="00D10D47" w:rsidP="00D10D47">
            <w:pPr>
              <w:pStyle w:val="ListBulletCompact"/>
            </w:pPr>
            <w:r>
              <w:t>Triple</w:t>
            </w:r>
          </w:p>
          <w:p w14:paraId="283C783A" w14:textId="5828DCA5" w:rsidR="00DC570D" w:rsidRDefault="00DC570D" w:rsidP="00920B9F">
            <w:pPr>
              <w:pStyle w:val="ListBulletCompact"/>
              <w:numPr>
                <w:ilvl w:val="0"/>
                <w:numId w:val="0"/>
              </w:numPr>
              <w:ind w:left="357"/>
            </w:pPr>
          </w:p>
        </w:tc>
        <w:tc>
          <w:tcPr>
            <w:tcW w:w="2181" w:type="dxa"/>
            <w:tcBorders>
              <w:top w:val="single" w:sz="18" w:space="0" w:color="FFFFFF"/>
            </w:tcBorders>
          </w:tcPr>
          <w:p w14:paraId="32DCFF8B" w14:textId="77777777" w:rsidR="0084355F" w:rsidRPr="00D10D47" w:rsidRDefault="0084355F" w:rsidP="00920B9F">
            <w:pPr>
              <w:pStyle w:val="ListBulletCompact"/>
            </w:pPr>
            <w:r w:rsidRPr="00D10D47">
              <w:t>22 opciones entre 3Mbps y 1000 Mbps</w:t>
            </w:r>
          </w:p>
        </w:tc>
      </w:tr>
    </w:tbl>
    <w:p w14:paraId="58E59F35" w14:textId="77777777" w:rsidR="006A3B7C" w:rsidRDefault="006A3B7C" w:rsidP="0067461A"/>
    <w:p w14:paraId="2082768D" w14:textId="1638D09E" w:rsidR="00073346" w:rsidRPr="008408DE" w:rsidRDefault="008408DE" w:rsidP="0067461A">
      <w:r w:rsidRPr="00920B9F">
        <w:t>Por ejemplo,</w:t>
      </w:r>
      <w:r w:rsidR="006A3B7C">
        <w:t xml:space="preserve"> una </w:t>
      </w:r>
      <w:r w:rsidR="00230347">
        <w:t>variante</w:t>
      </w:r>
      <w:r w:rsidR="006A3B7C">
        <w:t xml:space="preserve"> del servicio podría ser la contratación de una línea de SAIB a nivel local, con calidad </w:t>
      </w:r>
      <w:r w:rsidR="006A3B7C" w:rsidRPr="00920B9F">
        <w:rPr>
          <w:i/>
          <w:iCs/>
        </w:rPr>
        <w:t>best effort</w:t>
      </w:r>
      <w:r w:rsidR="006A3B7C">
        <w:t xml:space="preserve"> y 10Mbps</w:t>
      </w:r>
      <w:r w:rsidR="00230347">
        <w:t xml:space="preserve"> en formato</w:t>
      </w:r>
      <w:r w:rsidR="006A3B7C">
        <w:t xml:space="preserve"> asimétrico</w:t>
      </w:r>
      <w:r w:rsidR="00C522A1">
        <w:t>.</w:t>
      </w:r>
    </w:p>
    <w:p w14:paraId="417874C7" w14:textId="77777777" w:rsidR="0067461A" w:rsidRPr="0067461A" w:rsidRDefault="0067461A" w:rsidP="0067461A">
      <w:r w:rsidRPr="0067461A">
        <w:t xml:space="preserve">Para la componente de transporte, será necesario establecer una metodología para la diferenciación de los costos asociados a las distintas variantes del servicio. Esta aproximación metodológica deberá asegurar la causalidad de la diferenciación de las distintas variantes. La aproximación que asegura </w:t>
      </w:r>
      <w:r w:rsidRPr="0067461A">
        <w:lastRenderedPageBreak/>
        <w:t>el mayor nivel de causalidad es el de tomar la capacidad real ocupada por cada variante del servicio a la hora pico.</w:t>
      </w:r>
    </w:p>
    <w:p w14:paraId="4524D587" w14:textId="77777777" w:rsidR="0067461A" w:rsidRPr="0067461A" w:rsidRDefault="0067461A" w:rsidP="0067461A">
      <w:r w:rsidRPr="0067461A">
        <w:t xml:space="preserve">Para fines ilustrativos, como ejemplo, si para un mismo servicio (ej. SCyD Local / Asimétrico / 3 Mbps), la calidad "Doble" consume 2 veces más recursos en la red de transporte que la calidad Best Effort, el costo de la componente de transporte del servicio de calidad "doble" será dos veces más alto que el mismo servicio en calidad Best Effort. </w:t>
      </w:r>
    </w:p>
    <w:p w14:paraId="312087B7" w14:textId="77777777" w:rsidR="0067461A" w:rsidRPr="0067461A" w:rsidRDefault="0067461A" w:rsidP="0067461A">
      <w:r w:rsidRPr="0067461A">
        <w:t>Para poder realizar la estimación de la capacidad asociada a cada variante, el modelo considerará los siguientes factores:</w:t>
      </w:r>
    </w:p>
    <w:p w14:paraId="480351FE" w14:textId="77777777" w:rsidR="0067461A" w:rsidRPr="0067461A" w:rsidRDefault="0067461A" w:rsidP="0067461A">
      <w:pPr>
        <w:pStyle w:val="ListBulletCompact"/>
      </w:pPr>
      <w:r w:rsidRPr="0067461A">
        <w:t>Factores diferenciadores en función de la velocidad del servicio</w:t>
      </w:r>
    </w:p>
    <w:p w14:paraId="426D674C" w14:textId="77777777" w:rsidR="0067461A" w:rsidRPr="0067461A" w:rsidRDefault="0067461A" w:rsidP="0067461A">
      <w:pPr>
        <w:pStyle w:val="ListBulletCompact"/>
      </w:pPr>
      <w:r w:rsidRPr="0067461A">
        <w:t>Factores diferenciadores de la capacidad para servicios equivalentes, pero con distinto nivel de calidad requerida</w:t>
      </w:r>
    </w:p>
    <w:p w14:paraId="7A20A945" w14:textId="77777777" w:rsidR="0067461A" w:rsidRPr="0067461A" w:rsidRDefault="0067461A" w:rsidP="0067461A">
      <w:pPr>
        <w:pStyle w:val="ListBulletCompact"/>
      </w:pPr>
      <w:r w:rsidRPr="0067461A">
        <w:t>Factores diferenciadores entre la capacidad asociada a un servicio simétrico y un servicio asimétrico</w:t>
      </w:r>
    </w:p>
    <w:p w14:paraId="520AB407" w14:textId="77777777" w:rsidR="0067461A" w:rsidRDefault="0067461A" w:rsidP="0067461A">
      <w:r w:rsidRPr="0067461A">
        <w:t>Los parámetros técnicos diferenciadores deberán guardar consistencia con la realidad observada en el tráfico de la red del AEP.</w:t>
      </w:r>
    </w:p>
    <w:p w14:paraId="185C38B2" w14:textId="02F94FEA" w:rsidR="00E20364" w:rsidRPr="0067461A" w:rsidRDefault="00E20364" w:rsidP="0067461A">
      <w:r w:rsidRPr="0067461A">
        <w:t xml:space="preserve">El modelo calculará las tarifas de </w:t>
      </w:r>
      <w:r w:rsidR="00B2496D">
        <w:t xml:space="preserve">cada </w:t>
      </w:r>
      <w:r w:rsidRPr="0067461A">
        <w:t>un</w:t>
      </w:r>
      <w:r w:rsidR="00B2496D">
        <w:t>a</w:t>
      </w:r>
      <w:r w:rsidRPr="0067461A">
        <w:t xml:space="preserve"> </w:t>
      </w:r>
      <w:r>
        <w:t>de las variantes del SCyD,</w:t>
      </w:r>
      <w:r w:rsidRPr="0067461A">
        <w:t xml:space="preserve"> para cada uno de los años dentro del periodo 2024-2026, bajo el estándar de costos CIPLP. </w:t>
      </w:r>
      <w:r>
        <w:t xml:space="preserve">El modelo presentará, a modo meramente ilustrativo, los costos totales del servicio SAIB, añadiendo la componente del acceso extraído del modelo de acceso. A este respecto, </w:t>
      </w:r>
      <w:r w:rsidRPr="0067461A">
        <w:t xml:space="preserve">ya que el modelo integral de acceso fijo solamente estima los resultados de la componente de acceso para el último año disponible (esto es, no realiza estimaciones de los costos a largo plazo), </w:t>
      </w:r>
      <w:r>
        <w:t xml:space="preserve">el modelo incorporará </w:t>
      </w:r>
      <w:r w:rsidRPr="0067461A">
        <w:t>una estimación de alto nivel de la evolución de la componente de acceso, a fin de proporcionar una guía no vinculante a la industria de la evolución previsible de las tarifas del SAIB durante el periodo regulado.</w:t>
      </w:r>
    </w:p>
    <w:p w14:paraId="7FA94309" w14:textId="77777777" w:rsidR="0067461A" w:rsidRPr="0067461A" w:rsidRDefault="0067461A" w:rsidP="0067461A">
      <w:pPr>
        <w:pStyle w:val="Ttulo3"/>
      </w:pPr>
      <w:r w:rsidRPr="0067461A">
        <w:t>Servicios de enlaces dedicados</w:t>
      </w:r>
    </w:p>
    <w:p w14:paraId="1B7DAFF3" w14:textId="77777777" w:rsidR="0067461A" w:rsidRPr="0067461A" w:rsidRDefault="0067461A" w:rsidP="0067461A">
      <w:r w:rsidRPr="0067461A">
        <w:t>Dentro de los enlaces dedicados provistos por el AEP, podemos diferenciar tres principales grupos:</w:t>
      </w:r>
    </w:p>
    <w:p w14:paraId="3FD3C489" w14:textId="77777777" w:rsidR="0067461A" w:rsidRPr="0067461A" w:rsidRDefault="0067461A" w:rsidP="0067461A">
      <w:pPr>
        <w:pStyle w:val="ListBulletCompact"/>
      </w:pPr>
      <w:r w:rsidRPr="0067461A">
        <w:t>Enlaces dedicados locales</w:t>
      </w:r>
    </w:p>
    <w:p w14:paraId="3A278BA5" w14:textId="77777777" w:rsidR="0067461A" w:rsidRPr="0067461A" w:rsidRDefault="0067461A" w:rsidP="0067461A">
      <w:pPr>
        <w:pStyle w:val="ListBulletCompact"/>
      </w:pPr>
      <w:r w:rsidRPr="0067461A">
        <w:t xml:space="preserve">Enlaces dedicados entre localidades </w:t>
      </w:r>
    </w:p>
    <w:p w14:paraId="1A25048C" w14:textId="77777777" w:rsidR="0067461A" w:rsidRPr="0067461A" w:rsidRDefault="0067461A" w:rsidP="0067461A">
      <w:pPr>
        <w:pStyle w:val="ListBulletCompact"/>
      </w:pPr>
      <w:r w:rsidRPr="0067461A">
        <w:t>Enlaces de larga distancia internacionales</w:t>
      </w:r>
    </w:p>
    <w:p w14:paraId="4EC35CAE" w14:textId="6D39B29F" w:rsidR="0067461A" w:rsidRPr="0067461A" w:rsidRDefault="0067461A" w:rsidP="00920B9F">
      <w:r w:rsidRPr="0067461A">
        <w:t>A continuación, se describe la metodología propuesta para cada uno de estos servicios</w:t>
      </w:r>
      <w:r w:rsidR="00E20364">
        <w:t>.</w:t>
      </w:r>
    </w:p>
    <w:p w14:paraId="37C752FB" w14:textId="77777777" w:rsidR="0067461A" w:rsidRPr="0067461A" w:rsidRDefault="0067461A" w:rsidP="0067461A">
      <w:pPr>
        <w:pStyle w:val="Ttulo4"/>
      </w:pPr>
      <w:r w:rsidRPr="0067461A">
        <w:t>Enlaces dedicados locales</w:t>
      </w:r>
    </w:p>
    <w:p w14:paraId="2624186D" w14:textId="5BE6B937" w:rsidR="0067461A" w:rsidRPr="00B2496D" w:rsidRDefault="0067461A" w:rsidP="00920B9F">
      <w:r w:rsidRPr="0067461A">
        <w:t>Los enlaces dedicados locales son aquellos que proporcionan conectividad entre dos puntos dentro de una misma localidad. Estos enlaces pueden pasar por más de una central local del AEP, siempre y cuando las mismas se encuentren dentro de la misma localidad.</w:t>
      </w:r>
    </w:p>
    <w:p w14:paraId="36ACB6BB" w14:textId="478B7F34" w:rsidR="0084355F" w:rsidRPr="00920B9F" w:rsidRDefault="0084355F" w:rsidP="00920B9F">
      <w:pPr>
        <w:pStyle w:val="Descripcin"/>
        <w:rPr>
          <w:lang w:val="es-ES"/>
        </w:rPr>
      </w:pPr>
      <w:r w:rsidRPr="0067461A">
        <w:rPr>
          <w:lang w:val="es-ES"/>
        </w:rPr>
        <w:lastRenderedPageBreak/>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6</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10</w:t>
      </w:r>
      <w:r w:rsidRPr="0067461A">
        <w:rPr>
          <w:lang w:val="es-ES"/>
        </w:rPr>
        <w:fldChar w:fldCharType="end"/>
      </w:r>
      <w:r w:rsidRPr="0067461A">
        <w:rPr>
          <w:lang w:val="es-ES"/>
        </w:rPr>
        <w:t xml:space="preserve">: </w:t>
      </w:r>
      <w:r>
        <w:rPr>
          <w:lang w:val="es-ES"/>
        </w:rPr>
        <w:t xml:space="preserve">Enlaces dedicados locales </w:t>
      </w:r>
      <w:r w:rsidRPr="0067461A">
        <w:rPr>
          <w:lang w:val="es-ES"/>
        </w:rPr>
        <w:t>[Fuente: Analysys Mason]</w:t>
      </w:r>
    </w:p>
    <w:p w14:paraId="50791F5E" w14:textId="64AC1A74" w:rsidR="0084355F" w:rsidRDefault="001D628E" w:rsidP="001D628E">
      <w:r w:rsidRPr="001D628E">
        <w:rPr>
          <w:noProof/>
        </w:rPr>
        <w:drawing>
          <wp:inline distT="0" distB="0" distL="0" distR="0" wp14:anchorId="1787489C" wp14:editId="2966B7F6">
            <wp:extent cx="5542915" cy="1486535"/>
            <wp:effectExtent l="0" t="0" r="635" b="0"/>
            <wp:docPr id="2118440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42915" cy="1486535"/>
                    </a:xfrm>
                    <a:prstGeom prst="rect">
                      <a:avLst/>
                    </a:prstGeom>
                    <a:noFill/>
                    <a:ln>
                      <a:noFill/>
                    </a:ln>
                  </pic:spPr>
                </pic:pic>
              </a:graphicData>
            </a:graphic>
          </wp:inline>
        </w:drawing>
      </w:r>
    </w:p>
    <w:p w14:paraId="51C9C69E" w14:textId="5FFB8DBB" w:rsidR="0067461A" w:rsidRPr="0067461A" w:rsidRDefault="0067461A" w:rsidP="0067461A">
      <w:r w:rsidRPr="0067461A">
        <w:t>El AEP debe ofertar servicios de enlaces dedicados locales para las tecnologías TDM y Ethernet, con lo cual el modelo de costos debe ser capaz de estimar los costos para ambos tipos de tecnología, y para cada una de las velocidades ofertadas por el AEP. Las tarifas a determinar por el modelo de costos, tanto en su tarifa recurrente como en la tarifa no recurrente, deberán medirse para cada tramo del enlace.</w:t>
      </w:r>
    </w:p>
    <w:p w14:paraId="44D57E01" w14:textId="77777777" w:rsidR="0067461A" w:rsidRPr="0067461A" w:rsidRDefault="0067461A" w:rsidP="0067461A">
      <w:r w:rsidRPr="0067461A">
        <w:t>Los costos asociados a la tarifa recurrente del servicio de enlaces dedicados locales pueden desagregarse en las siguientes componentes:</w:t>
      </w:r>
    </w:p>
    <w:p w14:paraId="4D4FC7B3" w14:textId="77777777" w:rsidR="0067461A" w:rsidRPr="0067461A" w:rsidRDefault="0067461A" w:rsidP="0067461A">
      <w:pPr>
        <w:pStyle w:val="ListBulletCompact"/>
      </w:pPr>
      <w:r w:rsidRPr="0067461A">
        <w:t>Cableado de acceso: costos asociados a la red de fibra o cobre necesaria para alcanzar la ubicación final del cliente desde la central local</w:t>
      </w:r>
    </w:p>
    <w:p w14:paraId="08AD07FB" w14:textId="77777777" w:rsidR="0067461A" w:rsidRPr="0067461A" w:rsidRDefault="0067461A" w:rsidP="0067461A">
      <w:pPr>
        <w:pStyle w:val="ListBulletCompact"/>
      </w:pPr>
      <w:r w:rsidRPr="0067461A">
        <w:t>Transporte: costos asociados a los enrutadores, fibra de transporte y otros equipos de la red de transporte que interconectan las centrales locales, los cuales son compartidos con otros servicios de voz y datos provistos a través de la red fija</w:t>
      </w:r>
    </w:p>
    <w:p w14:paraId="7117D583" w14:textId="77777777" w:rsidR="0067461A" w:rsidRPr="0067461A" w:rsidRDefault="0067461A" w:rsidP="0067461A">
      <w:pPr>
        <w:pStyle w:val="ListBulletCompact"/>
      </w:pPr>
      <w:r w:rsidRPr="0067461A">
        <w:t>Equipos específicos para enlaces dedicados: costos asociados a equipos específicos a instalar o bien en el emplazamiento de cliente o bien en las centrales locales, pero que son empleados exclusivamente para servicios de enlaces dedicados</w:t>
      </w:r>
    </w:p>
    <w:p w14:paraId="3A66FEAC" w14:textId="77777777" w:rsidR="0067461A" w:rsidRPr="0067461A" w:rsidRDefault="0067461A" w:rsidP="0067461A">
      <w:r w:rsidRPr="0067461A">
        <w:t>Cabe destacar que el modelo de costos presentado se basa exclusivamente en una tecnología NGN, con lo cual no incluye los costos asociados a plataformas TDM requeridas para la provisión de ciertos servicios de enlaces dedicados. Por este motivo, el modelo podrá, de manera adicional considerar un factor de reconciliación que considere los costos adicionales asociados a las plataformas TDM.</w:t>
      </w:r>
    </w:p>
    <w:p w14:paraId="1C44DE89" w14:textId="77777777" w:rsidR="0067461A" w:rsidRPr="0067461A" w:rsidRDefault="0067461A" w:rsidP="0067461A">
      <w:r w:rsidRPr="0067461A">
        <w:t>Por otro lado, con respecto a la componente de cableado de acceso, se hace notar que el modelo objeto de este documento no estima los costos del acceso. Por este motivo, la componente de acceso será extraída del modelo integral de acceso vigente aprobado por el IFT. Los costos de cableado y los costos de equipos específicos serán determinados a través de una serie de reglas de ingeniería que permitan precisar la relación entre los servicios concretos provistos y estas componentes.</w:t>
      </w:r>
    </w:p>
    <w:p w14:paraId="1919DD47" w14:textId="77777777" w:rsidR="0067461A" w:rsidRPr="0067461A" w:rsidRDefault="0067461A" w:rsidP="0067461A">
      <w:r w:rsidRPr="0067461A">
        <w:t>Por su parte, las tarifas de instalación del servicio de enlaces dedicados locales, comprenderá dos componentes diferenciadas:</w:t>
      </w:r>
    </w:p>
    <w:p w14:paraId="104AA66B" w14:textId="77777777" w:rsidR="0067461A" w:rsidRPr="0067461A" w:rsidRDefault="0067461A" w:rsidP="0067461A">
      <w:pPr>
        <w:pStyle w:val="ListBulletCompact"/>
      </w:pPr>
      <w:r w:rsidRPr="0067461A">
        <w:t>Instalación de los equipos específicos: costos asociados a la instalación de los equipos específicos asociados a los servicios de enlaces dedicados locales</w:t>
      </w:r>
    </w:p>
    <w:p w14:paraId="1ADEFE23" w14:textId="77777777" w:rsidR="0067461A" w:rsidRPr="0067461A" w:rsidRDefault="0067461A" w:rsidP="0067461A">
      <w:pPr>
        <w:pStyle w:val="ListBulletCompact"/>
      </w:pPr>
      <w:r w:rsidRPr="0067461A">
        <w:lastRenderedPageBreak/>
        <w:t>Activación del servicio: costos del personal del AEP requerido para la instalación y activación del servicio</w:t>
      </w:r>
    </w:p>
    <w:p w14:paraId="77C83F15" w14:textId="77777777" w:rsidR="0067461A" w:rsidRPr="0067461A" w:rsidRDefault="0067461A" w:rsidP="0067461A">
      <w:r w:rsidRPr="0067461A">
        <w:t>Los costos totales de las diferentes componentes de costos (tanto de la tarifa recurrente como de la tarifa no recurrente) serán atribuidos a los servicios específicos con base a un criterio causal. En caso de que no exista información precisa que permita establecer una relación unívoca entre las componentes de los costos el IFT podrá determinar un gradiente de costos que permita una asignación de los costos. Dicho gradiente se basará en los niveles de precios existentes en el mercado, a fin de asegurar consistencia en su evolución temporal.</w:t>
      </w:r>
    </w:p>
    <w:p w14:paraId="5828F593" w14:textId="77777777" w:rsidR="0067461A" w:rsidRPr="0067461A" w:rsidRDefault="0067461A" w:rsidP="0067461A">
      <w:r w:rsidRPr="0067461A">
        <w:t>De manera adicional, el modelo deberá calcular la tarifa del servicio de tramo local coubicado. Un tramo local coubicado es aquel en el que la entrega del servicio al cliente final se realiza dentro de una central local del AEP, en la cual se encuentre coubicado el CS. En el cálculo de esta tarifa se seguirán unos principios similares a los seguidos en los tramos locales no coubicados, con las siguientes excepciones:</w:t>
      </w:r>
    </w:p>
    <w:p w14:paraId="3661E670" w14:textId="77777777" w:rsidR="0067461A" w:rsidRPr="0067461A" w:rsidRDefault="0067461A" w:rsidP="0067461A">
      <w:pPr>
        <w:pStyle w:val="ListBulletCompact"/>
      </w:pPr>
      <w:r w:rsidRPr="0067461A">
        <w:t>Se excluirá la componente de cableado de acceso</w:t>
      </w:r>
    </w:p>
    <w:p w14:paraId="64D22EF3" w14:textId="77777777" w:rsidR="0067461A" w:rsidRPr="0067461A" w:rsidRDefault="0067461A" w:rsidP="0067461A">
      <w:pPr>
        <w:pStyle w:val="ListBulletCompact"/>
      </w:pPr>
      <w:r w:rsidRPr="0067461A">
        <w:t>Se excluirá la componente de transporte</w:t>
      </w:r>
    </w:p>
    <w:p w14:paraId="6E601F6E" w14:textId="77777777" w:rsidR="0067461A" w:rsidRPr="0067461A" w:rsidRDefault="0067461A" w:rsidP="00920B9F">
      <w:pPr>
        <w:pStyle w:val="ListBulletCompact"/>
      </w:pPr>
      <w:r w:rsidRPr="0067461A">
        <w:t>Se asegurará que la componente de equipos específicos no recoge los costos de equipos no relevantes para esta modalidad del servicio (por ejemplo, la instalación de los equipos en la ubicación del cliente)</w:t>
      </w:r>
    </w:p>
    <w:p w14:paraId="78A2A22A" w14:textId="77777777" w:rsidR="0067461A" w:rsidRPr="0067461A" w:rsidRDefault="0067461A" w:rsidP="0067461A">
      <w:pPr>
        <w:pStyle w:val="Ttulo4"/>
      </w:pPr>
      <w:r w:rsidRPr="0067461A">
        <w:t>Enlaces dedicados entre localidades</w:t>
      </w:r>
    </w:p>
    <w:p w14:paraId="07A4A787" w14:textId="254256D3" w:rsidR="0084355F" w:rsidRPr="00920B9F" w:rsidRDefault="0067461A" w:rsidP="0084355F">
      <w:r w:rsidRPr="0067461A">
        <w:t xml:space="preserve">Los enlaces dedicados entre localidades son aquellos que proporcionan conectividad entre dos centrales locales del AEP ubicadas en distintas localidades. Estos enlaces pueden pasar por más de una central local del AEP. Estos enlaces no incluyen el tramo local de entrega del tráfico al cliente final. </w:t>
      </w:r>
    </w:p>
    <w:p w14:paraId="65BBD628" w14:textId="006E3AD5" w:rsidR="0084355F" w:rsidRPr="00920B9F" w:rsidRDefault="0084355F" w:rsidP="00920B9F">
      <w:pPr>
        <w:pStyle w:val="Descripcin"/>
        <w:rPr>
          <w:lang w:val="es-ES"/>
        </w:rPr>
      </w:pPr>
      <w:r w:rsidRPr="0067461A">
        <w:rPr>
          <w:lang w:val="es-ES"/>
        </w:rPr>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6</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11</w:t>
      </w:r>
      <w:r w:rsidRPr="0067461A">
        <w:rPr>
          <w:lang w:val="es-ES"/>
        </w:rPr>
        <w:fldChar w:fldCharType="end"/>
      </w:r>
      <w:r w:rsidRPr="0067461A">
        <w:rPr>
          <w:lang w:val="es-ES"/>
        </w:rPr>
        <w:t xml:space="preserve">: </w:t>
      </w:r>
      <w:r>
        <w:rPr>
          <w:lang w:val="es-ES"/>
        </w:rPr>
        <w:t xml:space="preserve">Enlaces dedicados entre localidades </w:t>
      </w:r>
      <w:r w:rsidRPr="0067461A">
        <w:rPr>
          <w:lang w:val="es-ES"/>
        </w:rPr>
        <w:t>[Fuente: Analysys Mason]</w:t>
      </w:r>
    </w:p>
    <w:p w14:paraId="7213A953" w14:textId="5790E0FC" w:rsidR="0084355F" w:rsidRDefault="00415F54" w:rsidP="00415F54">
      <w:r w:rsidRPr="00415F54">
        <w:rPr>
          <w:noProof/>
        </w:rPr>
        <w:drawing>
          <wp:inline distT="0" distB="0" distL="0" distR="0" wp14:anchorId="055E054E" wp14:editId="3D1E8995">
            <wp:extent cx="5542915" cy="1230630"/>
            <wp:effectExtent l="0" t="0" r="635" b="7620"/>
            <wp:docPr id="133322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42915" cy="1230630"/>
                    </a:xfrm>
                    <a:prstGeom prst="rect">
                      <a:avLst/>
                    </a:prstGeom>
                    <a:noFill/>
                    <a:ln>
                      <a:noFill/>
                    </a:ln>
                  </pic:spPr>
                </pic:pic>
              </a:graphicData>
            </a:graphic>
          </wp:inline>
        </w:drawing>
      </w:r>
    </w:p>
    <w:p w14:paraId="179CDEEB" w14:textId="77777777" w:rsidR="0084355F" w:rsidRPr="0084355F" w:rsidRDefault="0084355F" w:rsidP="00920B9F"/>
    <w:p w14:paraId="39B0B20A" w14:textId="77777777" w:rsidR="0067461A" w:rsidRPr="0067461A" w:rsidRDefault="0067461A" w:rsidP="0067461A">
      <w:r w:rsidRPr="0067461A">
        <w:t xml:space="preserve">El AEP debe ofertar servicios de enlaces dedicados entre localidades para las tecnologías TDM y Ethernet, con lo cual el modelo de costos debe ser capaz de estimar los costos para ambos tipos de tecnología, y para cada una de las velocidades ofertadas por el AEP. </w:t>
      </w:r>
    </w:p>
    <w:p w14:paraId="4AAB02DF" w14:textId="77777777" w:rsidR="0067461A" w:rsidRPr="0067461A" w:rsidRDefault="0067461A" w:rsidP="0067461A">
      <w:r w:rsidRPr="0067461A">
        <w:lastRenderedPageBreak/>
        <w:t>La tarifa recurrente del servicio de enlaces dedicados entre localidades comprenderá exclusivamente el costo asociado al transporte entre las centrales locales. Estos costos incluyen los costos asociados a los enrutadores, fibra de transporte y otros equipos de la red de transporte que interconectan los nodos del operador, los cuales son compartidos con otros servicios de voz y datos provistos a través de la red fija. No se considera necesario la estimación de costos adicionales asociados a equipos específicos, se asume que los costos de estos equipos se recuperan a través de los servicios de enlaces dedicados locales.</w:t>
      </w:r>
    </w:p>
    <w:p w14:paraId="1D9A0BAA" w14:textId="77777777" w:rsidR="0067461A" w:rsidRPr="0067461A" w:rsidRDefault="0067461A" w:rsidP="0067461A">
      <w:r w:rsidRPr="0067461A">
        <w:t>Cabe destacar que el modelo de costos presentado se basa exclusivamente en una tecnología NGN, con lo cual no incluye los costos asociados a plataformas TDM requeridas para la provisión de ciertos servicios de enlaces dedicados. Por este motivo, el modelo podrá, de manera adicional considerar un factor de reconciliación que considere los costos adicionales asociados a las plataformas TDM.</w:t>
      </w:r>
    </w:p>
    <w:p w14:paraId="39BE4CC1" w14:textId="77777777" w:rsidR="0067461A" w:rsidRPr="0067461A" w:rsidRDefault="0067461A" w:rsidP="0067461A">
      <w:r w:rsidRPr="0067461A">
        <w:t>Las tarifas recurrentes a determinar por el modelo de costos podrán incluir una componente fija por enlace y/o una componente variable en función de la longitud del enlace necesario, medido en kilómetros.</w:t>
      </w:r>
    </w:p>
    <w:p w14:paraId="54935357" w14:textId="77777777" w:rsidR="0067461A" w:rsidRPr="0067461A" w:rsidRDefault="0067461A" w:rsidP="00920B9F">
      <w:r w:rsidRPr="0067461A">
        <w:t>Por su parte, las tarifas de instalación del servicio de enlaces dedicados locales, comprenderá exclusivamente los costos asociados a la activación del servicio (esto es, los costos del personal del AEP requerido para la instalación y activación del servicio). Esta tarifa se presentará como un precio fijo por enlace.</w:t>
      </w:r>
    </w:p>
    <w:p w14:paraId="32F11888" w14:textId="77777777" w:rsidR="0067461A" w:rsidRPr="0067461A" w:rsidRDefault="0067461A" w:rsidP="0067461A">
      <w:r w:rsidRPr="0067461A">
        <w:t>Los costos totales de las diferentes componentes de costos (tanto de la tarifa recurrente como de la tarifa no recurrente) serán atribuidos a los servicios específicos con base a un criterio causal. En caso de que no exista información precisa que permita establecer una relación unívoca entre las componentes de los costos el IFT podrá determinar un gradiente de costos que permita una asignación de los costos. Dicho gradiente se basará en los niveles de precios existentes en el mercado, a fin de asegurar consistencia en su evolución temporal.</w:t>
      </w:r>
    </w:p>
    <w:p w14:paraId="6646F0C5" w14:textId="77777777" w:rsidR="0067461A" w:rsidRPr="0067461A" w:rsidRDefault="0067461A" w:rsidP="0067461A">
      <w:pPr>
        <w:pStyle w:val="Ttulo4"/>
      </w:pPr>
      <w:r w:rsidRPr="0067461A">
        <w:t>Enlaces dedicados de larga distancia internacional</w:t>
      </w:r>
    </w:p>
    <w:p w14:paraId="4A8FADD3" w14:textId="77777777" w:rsidR="0067461A" w:rsidRPr="0067461A" w:rsidRDefault="0067461A" w:rsidP="0067461A">
      <w:r w:rsidRPr="0067461A">
        <w:t xml:space="preserve">Los enlaces dedicados de larga distancia internacional son aquellos que proporcionan conectividad entre una central local del AEP y un nodo internacional del operador. Estos enlaces pueden pasar por más de una central local del AEP. Estos enlaces no incluyen el tramo local de entrega del tráfico al cliente final. </w:t>
      </w:r>
    </w:p>
    <w:p w14:paraId="47AFDD24" w14:textId="3A087DF1" w:rsidR="0067461A" w:rsidRPr="0067461A" w:rsidRDefault="0067461A" w:rsidP="0067461A"/>
    <w:p w14:paraId="6B1965FE" w14:textId="77777777" w:rsidR="0084355F" w:rsidRPr="00920B9F" w:rsidRDefault="0084355F" w:rsidP="0084355F"/>
    <w:p w14:paraId="3F0C5F6B" w14:textId="05150952" w:rsidR="0084355F" w:rsidRPr="00920B9F" w:rsidRDefault="0084355F" w:rsidP="00920B9F">
      <w:pPr>
        <w:pStyle w:val="Descripcin"/>
        <w:rPr>
          <w:lang w:val="es-ES"/>
        </w:rPr>
      </w:pPr>
      <w:r w:rsidRPr="0067461A">
        <w:rPr>
          <w:lang w:val="es-ES"/>
        </w:rPr>
        <w:lastRenderedPageBreak/>
        <w:t xml:space="preserve">Figura </w:t>
      </w:r>
      <w:r w:rsidRPr="0067461A">
        <w:rPr>
          <w:lang w:val="es-ES"/>
        </w:rPr>
        <w:fldChar w:fldCharType="begin"/>
      </w:r>
      <w:r w:rsidRPr="0067461A">
        <w:rPr>
          <w:lang w:val="es-ES"/>
        </w:rPr>
        <w:instrText xml:space="preserve"> STYLEREF 1 \s \* MERGEFORMAT </w:instrText>
      </w:r>
      <w:r w:rsidRPr="0067461A">
        <w:rPr>
          <w:lang w:val="es-ES"/>
        </w:rPr>
        <w:fldChar w:fldCharType="separate"/>
      </w:r>
      <w:r w:rsidR="00475202">
        <w:rPr>
          <w:noProof/>
          <w:lang w:val="es-ES"/>
        </w:rPr>
        <w:t>6</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 ARABIC \s 1 \* MERGEFORMAT </w:instrText>
      </w:r>
      <w:r w:rsidRPr="0067461A">
        <w:rPr>
          <w:lang w:val="es-ES"/>
        </w:rPr>
        <w:fldChar w:fldCharType="separate"/>
      </w:r>
      <w:r w:rsidR="00475202">
        <w:rPr>
          <w:noProof/>
          <w:lang w:val="es-ES"/>
        </w:rPr>
        <w:t>12</w:t>
      </w:r>
      <w:r w:rsidRPr="0067461A">
        <w:rPr>
          <w:lang w:val="es-ES"/>
        </w:rPr>
        <w:fldChar w:fldCharType="end"/>
      </w:r>
      <w:r w:rsidRPr="0067461A">
        <w:rPr>
          <w:lang w:val="es-ES"/>
        </w:rPr>
        <w:t xml:space="preserve">: </w:t>
      </w:r>
      <w:r>
        <w:rPr>
          <w:lang w:val="es-ES"/>
        </w:rPr>
        <w:t xml:space="preserve">Enlaces dedicados de larga distancia internacional </w:t>
      </w:r>
      <w:r w:rsidRPr="0067461A">
        <w:rPr>
          <w:lang w:val="es-ES"/>
        </w:rPr>
        <w:t>[Fuente: Analysys Mason]</w:t>
      </w:r>
    </w:p>
    <w:p w14:paraId="11513D02" w14:textId="4EC8D6F7" w:rsidR="0084355F" w:rsidRPr="0084355F" w:rsidRDefault="005C61BD" w:rsidP="00920B9F">
      <w:r w:rsidRPr="005C61BD">
        <w:rPr>
          <w:noProof/>
        </w:rPr>
        <w:drawing>
          <wp:inline distT="0" distB="0" distL="0" distR="0" wp14:anchorId="236C322A" wp14:editId="1CC36C2C">
            <wp:extent cx="5544185" cy="1143635"/>
            <wp:effectExtent l="0" t="0" r="0" b="0"/>
            <wp:docPr id="16763216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44185" cy="1143635"/>
                    </a:xfrm>
                    <a:prstGeom prst="rect">
                      <a:avLst/>
                    </a:prstGeom>
                    <a:noFill/>
                    <a:ln>
                      <a:noFill/>
                    </a:ln>
                  </pic:spPr>
                </pic:pic>
              </a:graphicData>
            </a:graphic>
          </wp:inline>
        </w:drawing>
      </w:r>
    </w:p>
    <w:p w14:paraId="2650CA6B" w14:textId="77777777" w:rsidR="0067461A" w:rsidRPr="0067461A" w:rsidRDefault="0067461A" w:rsidP="0067461A">
      <w:r w:rsidRPr="0067461A">
        <w:t xml:space="preserve">El AEP debe ofertar servicios de enlaces dedicados de larga distancia internacional para las tecnologías TDM y Ethernet, con lo cual el modelo de costos debe ser capaz de estimar los costos para ambos tipos de tecnología, y para cada una de las velocidades ofertadas por el AEP. </w:t>
      </w:r>
    </w:p>
    <w:p w14:paraId="0472344E" w14:textId="77777777" w:rsidR="0067461A" w:rsidRPr="0067461A" w:rsidRDefault="0067461A" w:rsidP="0067461A">
      <w:r w:rsidRPr="0067461A">
        <w:t xml:space="preserve">De manera equivalente a los enlaces entre localidades, la tarifa recurrente del servicio de enlaces dedicados de larga distancia internacional comprende el costo asociado al transporte entre los nodos del operador. Por este motivo, se tomará como base el mismo costo por enlace que el considerado para los enlaces entre localidades equivalentes. </w:t>
      </w:r>
    </w:p>
    <w:p w14:paraId="2C4D481D" w14:textId="77777777" w:rsidR="0067461A" w:rsidRPr="0067461A" w:rsidRDefault="0067461A" w:rsidP="0067461A">
      <w:r w:rsidRPr="0067461A">
        <w:t>Adicionalmente, los enlaces TDM requieren de equipos de traducción para adaptar el tráfico a países que emplean PDH portadoras-T y SONET. Por ello, el AEP ha de disponer de equipos especiales de traducción de interfaces para poder transportar el tráfico al extranjero. Los costos de estos equipos, los cuales son exclusivos para este tipo de enlaces, se deberán incorporar en las tarifas de estos enlaces para asegurar la recuperación de los costos asociados.</w:t>
      </w:r>
    </w:p>
    <w:p w14:paraId="2BD447B8" w14:textId="77777777" w:rsidR="0067461A" w:rsidRPr="0067461A" w:rsidRDefault="0067461A" w:rsidP="0067461A">
      <w:r w:rsidRPr="0067461A">
        <w:t>Las tarifas recurrentes a determinar por el modelo de costos, podrán incluir una componente fija por enlace y/o una componente variable en función de la longitud del enlace necesario, medido en kilómetros.</w:t>
      </w:r>
    </w:p>
    <w:p w14:paraId="09D026C1" w14:textId="77777777" w:rsidR="0067461A" w:rsidRPr="0067461A" w:rsidRDefault="0067461A" w:rsidP="0067461A">
      <w:r w:rsidRPr="0067461A">
        <w:t>Por su parte, las tarifas de instalación del servicio de enlaces dedicados locales, se basará en la tarifa estimada para los enlaces entre localidades, añadiendo el coste de instalación de los equipos de traducción en el caso de enlaces TDM.</w:t>
      </w:r>
    </w:p>
    <w:p w14:paraId="116B637A" w14:textId="77777777" w:rsidR="0067461A" w:rsidRPr="0067461A" w:rsidRDefault="0067461A" w:rsidP="0067461A"/>
    <w:p w14:paraId="30A35871" w14:textId="08678090" w:rsidR="00C52B83" w:rsidRPr="0067461A" w:rsidRDefault="00C52B83" w:rsidP="0067461A">
      <w:pPr>
        <w:pStyle w:val="ListBulletCompact"/>
        <w:numPr>
          <w:ilvl w:val="0"/>
          <w:numId w:val="0"/>
        </w:numPr>
        <w:ind w:left="357" w:hanging="357"/>
      </w:pPr>
    </w:p>
    <w:p w14:paraId="4B1A648B" w14:textId="77777777" w:rsidR="0067461A" w:rsidRPr="0067461A" w:rsidRDefault="0067461A" w:rsidP="0067461A">
      <w:pPr>
        <w:pStyle w:val="ListBulletCompact"/>
        <w:numPr>
          <w:ilvl w:val="0"/>
          <w:numId w:val="0"/>
        </w:numPr>
        <w:ind w:left="357" w:hanging="357"/>
      </w:pPr>
    </w:p>
    <w:p w14:paraId="2C611228" w14:textId="77777777" w:rsidR="0067461A" w:rsidRPr="0067461A" w:rsidRDefault="0067461A" w:rsidP="0067461A">
      <w:pPr>
        <w:pStyle w:val="ListBulletCompact"/>
        <w:numPr>
          <w:ilvl w:val="0"/>
          <w:numId w:val="0"/>
        </w:numPr>
        <w:ind w:left="357" w:hanging="357"/>
      </w:pPr>
    </w:p>
    <w:p w14:paraId="67FCD653" w14:textId="77777777" w:rsidR="0067461A" w:rsidRPr="0067461A" w:rsidRDefault="0067461A" w:rsidP="0067461A">
      <w:pPr>
        <w:pStyle w:val="ListBulletCompact"/>
        <w:numPr>
          <w:ilvl w:val="0"/>
          <w:numId w:val="0"/>
        </w:numPr>
        <w:ind w:left="357" w:hanging="357"/>
      </w:pPr>
    </w:p>
    <w:p w14:paraId="0584B4D5" w14:textId="77777777" w:rsidR="00C57384" w:rsidRPr="0067461A" w:rsidRDefault="00C57384" w:rsidP="00C57384">
      <w:pPr>
        <w:sectPr w:rsidR="00C57384" w:rsidRPr="0067461A" w:rsidSect="00D42DA0">
          <w:headerReference w:type="even" r:id="rId37"/>
          <w:headerReference w:type="default" r:id="rId38"/>
          <w:headerReference w:type="first" r:id="rId39"/>
          <w:pgSz w:w="11907" w:h="16840" w:code="9"/>
          <w:pgMar w:top="1418" w:right="1588" w:bottom="1418" w:left="1588" w:header="567" w:footer="567" w:gutter="0"/>
          <w:pgNumType w:start="1"/>
          <w:cols w:space="720"/>
          <w:titlePg/>
          <w:docGrid w:linePitch="224"/>
        </w:sectPr>
      </w:pPr>
    </w:p>
    <w:p w14:paraId="024F2917" w14:textId="77777777" w:rsidR="0067461A" w:rsidRPr="0067461A" w:rsidRDefault="0067461A" w:rsidP="0067461A">
      <w:pPr>
        <w:pStyle w:val="Annex1"/>
        <w:rPr>
          <w:lang w:val="es-ES"/>
        </w:rPr>
      </w:pPr>
      <w:bookmarkStart w:id="338" w:name="_Toc135921322"/>
      <w:bookmarkEnd w:id="6"/>
      <w:r w:rsidRPr="0067461A">
        <w:rPr>
          <w:lang w:val="es-ES"/>
        </w:rPr>
        <w:lastRenderedPageBreak/>
        <w:t>Aplicación de la depreciación económica</w:t>
      </w:r>
      <w:bookmarkEnd w:id="338"/>
    </w:p>
    <w:p w14:paraId="31E8079C" w14:textId="77777777" w:rsidR="0067461A" w:rsidRPr="0067461A" w:rsidRDefault="0067461A" w:rsidP="0067461A">
      <w:r w:rsidRPr="0067461A">
        <w:t>La operación de una red de telefonía fija o móvil conlleva una serie de gastos e inversiones a lo largo del tiempo. Estos costos se contabilizan de la siguiente manera:</w:t>
      </w:r>
    </w:p>
    <w:p w14:paraId="2D78C49E" w14:textId="77777777" w:rsidR="0067461A" w:rsidRPr="0067461A" w:rsidRDefault="0067461A" w:rsidP="0067461A">
      <w:pPr>
        <w:pStyle w:val="Listaconvietas"/>
      </w:pPr>
      <w:r w:rsidRPr="0067461A">
        <w:rPr>
          <w:b/>
          <w:bCs/>
        </w:rPr>
        <w:t xml:space="preserve">Gastos operativos (opex) </w:t>
      </w:r>
      <w:r w:rsidRPr="0067461A">
        <w:t>– estos gastos se registran en la cuenta de resultados del año en que se incurren –por lo tanto, no suponen la utilización de capital (excepto el capital circulante mensual necesario)–.</w:t>
      </w:r>
    </w:p>
    <w:p w14:paraId="0D1B9CD2" w14:textId="77777777" w:rsidR="0067461A" w:rsidRPr="0067461A" w:rsidRDefault="0067461A" w:rsidP="0067461A">
      <w:pPr>
        <w:pStyle w:val="Listaconvietas"/>
      </w:pPr>
      <w:r w:rsidRPr="0067461A">
        <w:rPr>
          <w:b/>
          <w:bCs/>
        </w:rPr>
        <w:t xml:space="preserve">Gastos de capital (capex) </w:t>
      </w:r>
      <w:r w:rsidRPr="0067461A">
        <w:t>– estos gastos se registran en el libro de activos de la empresa y se amortizan con el tiempo, generando un retorno sobre la inversión debido al costo de oportunidad del capital empleado en los activos tangibles e intangibles.</w:t>
      </w:r>
    </w:p>
    <w:p w14:paraId="775BD956" w14:textId="77777777" w:rsidR="0067461A" w:rsidRPr="0067461A" w:rsidRDefault="0067461A" w:rsidP="0067461A">
      <w:r w:rsidRPr="0067461A">
        <w:t xml:space="preserve">El nivel de capex incurrido por una empresa se puede expresar de varias formas: </w:t>
      </w:r>
    </w:p>
    <w:p w14:paraId="19ADA929" w14:textId="77777777" w:rsidR="0067461A" w:rsidRPr="0067461A" w:rsidRDefault="0067461A" w:rsidP="0067461A">
      <w:pPr>
        <w:pStyle w:val="Listaconvietas"/>
      </w:pPr>
      <w:r w:rsidRPr="0067461A">
        <w:rPr>
          <w:b/>
          <w:bCs/>
        </w:rPr>
        <w:t>Capex acumulado</w:t>
      </w:r>
      <w:r w:rsidRPr="0067461A">
        <w:rPr>
          <w:bCs/>
          <w:i/>
        </w:rPr>
        <w:t xml:space="preserve"> </w:t>
      </w:r>
      <w:r w:rsidRPr="0067461A">
        <w:t>– el total de todas las inversiones de capital hechas en el negocio.</w:t>
      </w:r>
    </w:p>
    <w:p w14:paraId="363F598B" w14:textId="77777777" w:rsidR="0067461A" w:rsidRPr="0067461A" w:rsidRDefault="0067461A" w:rsidP="0067461A">
      <w:pPr>
        <w:pStyle w:val="Listaconvietas"/>
      </w:pPr>
      <w:r w:rsidRPr="0067461A">
        <w:rPr>
          <w:b/>
          <w:bCs/>
        </w:rPr>
        <w:t>Valor contable bruto</w:t>
      </w:r>
      <w:r w:rsidRPr="0067461A">
        <w:rPr>
          <w:bCs/>
          <w:i/>
        </w:rPr>
        <w:t xml:space="preserve"> </w:t>
      </w:r>
      <w:r w:rsidRPr="0067461A">
        <w:rPr>
          <w:bCs/>
          <w:iCs/>
        </w:rPr>
        <w:t>(</w:t>
      </w:r>
      <w:r w:rsidRPr="0067461A">
        <w:rPr>
          <w:bCs/>
        </w:rPr>
        <w:t>GBV, por sus siglas en inglés</w:t>
      </w:r>
      <w:r w:rsidRPr="0067461A">
        <w:rPr>
          <w:bCs/>
          <w:i/>
        </w:rPr>
        <w:t>)</w:t>
      </w:r>
      <w:r w:rsidRPr="0067461A">
        <w:rPr>
          <w:i/>
        </w:rPr>
        <w:t xml:space="preserve"> –</w:t>
      </w:r>
      <w:r w:rsidRPr="0067461A">
        <w:t xml:space="preserve"> el total de todas las inversiones de capital hechas en el negocio, menos las inversiones hechas en activos que se han amortizado completamente o que se han retirado.</w:t>
      </w:r>
    </w:p>
    <w:p w14:paraId="375B068F" w14:textId="77777777" w:rsidR="0067461A" w:rsidRPr="0067461A" w:rsidRDefault="0067461A" w:rsidP="0067461A">
      <w:pPr>
        <w:pStyle w:val="Listaconvietas"/>
      </w:pPr>
      <w:r w:rsidRPr="0067461A">
        <w:rPr>
          <w:b/>
          <w:bCs/>
        </w:rPr>
        <w:t>Valor de remplazo bruto</w:t>
      </w:r>
      <w:r w:rsidRPr="0067461A">
        <w:rPr>
          <w:bCs/>
          <w:i/>
        </w:rPr>
        <w:t xml:space="preserve"> </w:t>
      </w:r>
      <w:r w:rsidRPr="0067461A">
        <w:rPr>
          <w:bCs/>
        </w:rPr>
        <w:t>(GRC, por sus siglas en inglés)</w:t>
      </w:r>
      <w:r w:rsidRPr="0067461A">
        <w:t xml:space="preserve"> – el capex total que se requeriría para remplazar todos los activos de la red en el momento actual.</w:t>
      </w:r>
    </w:p>
    <w:p w14:paraId="3A17665B" w14:textId="77777777" w:rsidR="0067461A" w:rsidRPr="0067461A" w:rsidRDefault="0067461A" w:rsidP="0067461A">
      <w:pPr>
        <w:pStyle w:val="Listaconvietas"/>
      </w:pPr>
      <w:r w:rsidRPr="0067461A">
        <w:rPr>
          <w:b/>
          <w:bCs/>
        </w:rPr>
        <w:t>Valor contable neto</w:t>
      </w:r>
      <w:r w:rsidRPr="0067461A">
        <w:rPr>
          <w:bCs/>
        </w:rPr>
        <w:t xml:space="preserve"> (NBV, por sus siglas en inglés)</w:t>
      </w:r>
      <w:r w:rsidRPr="0067461A">
        <w:t xml:space="preserve"> – es el GBV menos la amortización acumulada de los activos.</w:t>
      </w:r>
    </w:p>
    <w:p w14:paraId="2EBE72B2" w14:textId="77777777" w:rsidR="0067461A" w:rsidRPr="0067461A" w:rsidRDefault="0067461A" w:rsidP="0067461A">
      <w:r w:rsidRPr="0067461A">
        <w:t>Los costos que se incurren en un negocio móvil o fijo necesitan ser recuperados con el tiempo, y cualquier capital empleado (es decir, los costos que no se recuperan en el año en que se incurren) debe conseguir un retorno sobre la inversión. El método por el cual se recuperan estos costos es, en términos generales, el método de depreciación.</w:t>
      </w:r>
    </w:p>
    <w:p w14:paraId="5B42F4FF" w14:textId="77777777" w:rsidR="0067461A" w:rsidRPr="0067461A" w:rsidRDefault="0067461A" w:rsidP="0067461A">
      <w:r w:rsidRPr="0067461A">
        <w:t>Teóricamente, la depreciación económica es el método apropiado para el costeo regulatorio ya que tiene en cuenta todos los factores subyacentes que influyen en el valor económico de un activo:</w:t>
      </w:r>
    </w:p>
    <w:p w14:paraId="32BDCEC7" w14:textId="77777777" w:rsidR="0067461A" w:rsidRPr="0067461A" w:rsidRDefault="0067461A" w:rsidP="0067461A">
      <w:pPr>
        <w:pStyle w:val="ListBulletCompact"/>
      </w:pPr>
      <w:r w:rsidRPr="0067461A">
        <w:t>tendencias proyectadas en los gastos operativos asociados a un activo (tendencias de opex MEA)</w:t>
      </w:r>
    </w:p>
    <w:p w14:paraId="36B2709A" w14:textId="77777777" w:rsidR="0067461A" w:rsidRPr="0067461A" w:rsidRDefault="0067461A" w:rsidP="0067461A">
      <w:pPr>
        <w:pStyle w:val="ListBulletCompact"/>
      </w:pPr>
      <w:r w:rsidRPr="0067461A">
        <w:t xml:space="preserve">tendencias proyectadas para el remplazo de un activo por su unidad moderna equivalente (tendencias de inversiones en MEA, por sus siglas en inglés) </w:t>
      </w:r>
    </w:p>
    <w:p w14:paraId="76968248" w14:textId="77777777" w:rsidR="0067461A" w:rsidRPr="0067461A" w:rsidRDefault="0067461A" w:rsidP="0067461A">
      <w:pPr>
        <w:pStyle w:val="ListBulletCompact"/>
      </w:pPr>
      <w:r w:rsidRPr="0067461A">
        <w:t>la producción que puede ser generada por el activo.</w:t>
      </w:r>
    </w:p>
    <w:p w14:paraId="07110928" w14:textId="77777777" w:rsidR="0067461A" w:rsidRPr="0067461A" w:rsidRDefault="0067461A" w:rsidP="0067461A">
      <w:r w:rsidRPr="0067461A">
        <w:t xml:space="preserve">En las redes móviles, la producción de los elementos de red ha crecido enormemente a medida que su utilización ha aumentado en los últimos diez años. Mientras que algunos activos de red (como los TRX) escalan de manera razonable con los volúmenes de tráfico, otros activos –como aquellos relacionados con la red de cobertura o el costo de una concesión– han experimentado incrementos de un orden de </w:t>
      </w:r>
      <w:r w:rsidRPr="0067461A">
        <w:lastRenderedPageBreak/>
        <w:t>magnitud en términos de producción. Como tal, la aplicación de la depreciación económica está más extendida en los modelos de costos móviles que el proxy de la anualidad inclinada (</w:t>
      </w:r>
      <w:r w:rsidRPr="0067461A">
        <w:rPr>
          <w:i/>
        </w:rPr>
        <w:t>tilted annuity</w:t>
      </w:r>
      <w:r w:rsidRPr="0067461A">
        <w:t>). El efecto de incluir un perfil de producción creciente en el cálculo de la depreciación es un mayor nivel de costos de amortización en los años en que la utilización de los activos es mayor, sujeto a la inversión y a que se recupere completamente el capital empleado.</w:t>
      </w:r>
    </w:p>
    <w:p w14:paraId="339906E5" w14:textId="77777777" w:rsidR="0067461A" w:rsidRPr="0067461A" w:rsidRDefault="0067461A" w:rsidP="0067461A">
      <w:r w:rsidRPr="0067461A">
        <w:t>La depreciación económica puede ser implementada de muchas maneras diferentes con varias fórmulas. Sin embargo, es probable que todos los métodos de depreciación económica se apoyen en un cálculo del NPV de algún tipo. El cálculo del NPV asegura que el perfil de recuperación de los costos proyectados (es decir, los ingresos) recupera todos los gastos además del costo de oportunidad del capital empleado. Como tal, es posible aplicar la depreciación económica a los gastos operativos, ya que estos gastos del negocio son como cualquier otro gasto: si se contabilizan en la cuenta de pérdidas y ganancias o a través de la depreciación de los gastos, se requiere que compensen por el retraso en la recuperación de los costos (es decir, conseguir un retorno sobre el capital empleado).</w:t>
      </w:r>
    </w:p>
    <w:p w14:paraId="10AA3DFC" w14:textId="1AC9B770" w:rsidR="0067461A" w:rsidRPr="0067461A" w:rsidRDefault="0067461A" w:rsidP="0067461A">
      <w:r w:rsidRPr="0067461A">
        <w:t>En los diferentes métodos de depreciación económica</w:t>
      </w:r>
      <w:r w:rsidRPr="0067461A">
        <w:rPr>
          <w:rStyle w:val="Refdenotaalpie"/>
        </w:rPr>
        <w:footnoteReference w:id="25"/>
      </w:r>
      <w:r w:rsidRPr="0067461A">
        <w:t xml:space="preserve"> se han aplicado varios perfiles para dar forma al perfil de recuperación de costos a lo largo del tiempo (p.ej. relacionados con las tendencias de precios, la escala de un operador individual, la disputabilidad del mercado). Sin embargo, para el modelo del IFT, proponemos adoptar una forma clara y concisa de depreciación económica que considere:</w:t>
      </w:r>
    </w:p>
    <w:p w14:paraId="6E18A843" w14:textId="77777777" w:rsidR="0067461A" w:rsidRPr="0067461A" w:rsidRDefault="0067461A" w:rsidP="0067461A">
      <w:pPr>
        <w:pStyle w:val="ListBulletCompact"/>
        <w:spacing w:after="0"/>
        <w:ind w:left="360" w:hanging="360"/>
        <w:contextualSpacing w:val="0"/>
      </w:pPr>
      <w:r w:rsidRPr="0067461A">
        <w:t>series temporales completas de gastos incurridos eficientemente</w:t>
      </w:r>
    </w:p>
    <w:p w14:paraId="42FC09A0" w14:textId="77777777" w:rsidR="0067461A" w:rsidRPr="0067461A" w:rsidRDefault="0067461A" w:rsidP="0067461A">
      <w:pPr>
        <w:pStyle w:val="ListBulletCompact"/>
        <w:spacing w:after="0"/>
        <w:ind w:left="360" w:hanging="360"/>
        <w:contextualSpacing w:val="0"/>
      </w:pPr>
      <w:r w:rsidRPr="0067461A">
        <w:t xml:space="preserve">un perfil de recuperación de costos que refleje el cambio en precios de los MEA que se utilicen en la producción </w:t>
      </w:r>
    </w:p>
    <w:p w14:paraId="5A0A1F8E" w14:textId="77777777" w:rsidR="0067461A" w:rsidRPr="0067461A" w:rsidRDefault="0067461A" w:rsidP="0067461A">
      <w:pPr>
        <w:pStyle w:val="ListBulletCompact"/>
      </w:pPr>
      <w:r w:rsidRPr="0067461A">
        <w:t>el perfil de la producción a lo largo del tiempo, que refleje el nivel de demanda que cada operador ha conseguido (y que se proyecta que consiga) a lo largo del tiempo.</w:t>
      </w:r>
    </w:p>
    <w:p w14:paraId="51698205" w14:textId="377D21DB" w:rsidR="0067461A" w:rsidRPr="0067461A" w:rsidRDefault="0067461A" w:rsidP="0067461A">
      <w:r w:rsidRPr="0067461A">
        <w:t xml:space="preserve">A modo de ejemplo, ilustramos el perfil de costos anualizados a través de la depreciación económica para la situación en la que los ingresos de los elementos de red se incrementan (tomando la forma de una curva) de 10 en el año 1 a 100 en el año 4. El perfil de la depreciación se encuentra influido por la forma de los ingresos a lo largo del tiempo y la disminución de los precios de los MEA que se pueden ver en la </w:t>
      </w:r>
      <w:r w:rsidRPr="0067461A">
        <w:fldChar w:fldCharType="begin"/>
      </w:r>
      <w:r w:rsidRPr="0067461A">
        <w:instrText xml:space="preserve"> REF _Ref321212782 \h </w:instrText>
      </w:r>
      <w:r w:rsidRPr="0067461A">
        <w:fldChar w:fldCharType="separate"/>
      </w:r>
      <w:r w:rsidR="00475202" w:rsidRPr="0067461A">
        <w:t xml:space="preserve">Figura </w:t>
      </w:r>
      <w:r w:rsidR="00475202">
        <w:rPr>
          <w:noProof/>
        </w:rPr>
        <w:t>A</w:t>
      </w:r>
      <w:r w:rsidR="00475202" w:rsidRPr="0067461A">
        <w:t>.</w:t>
      </w:r>
      <w:r w:rsidR="00475202">
        <w:rPr>
          <w:noProof/>
        </w:rPr>
        <w:t>1</w:t>
      </w:r>
      <w:r w:rsidRPr="0067461A">
        <w:fldChar w:fldCharType="end"/>
      </w:r>
      <w:r w:rsidRPr="0067461A">
        <w:t>.</w:t>
      </w:r>
    </w:p>
    <w:tbl>
      <w:tblPr>
        <w:tblW w:w="8730" w:type="dxa"/>
        <w:tblLayout w:type="fixed"/>
        <w:tblCellMar>
          <w:left w:w="0" w:type="dxa"/>
          <w:right w:w="0" w:type="dxa"/>
        </w:tblCellMar>
        <w:tblLook w:val="0000" w:firstRow="0" w:lastRow="0" w:firstColumn="0" w:lastColumn="0" w:noHBand="0" w:noVBand="0"/>
      </w:tblPr>
      <w:tblGrid>
        <w:gridCol w:w="6576"/>
        <w:gridCol w:w="2154"/>
      </w:tblGrid>
      <w:tr w:rsidR="0067461A" w:rsidRPr="0067461A" w14:paraId="3C4819D3" w14:textId="77777777">
        <w:tc>
          <w:tcPr>
            <w:tcW w:w="6576" w:type="dxa"/>
            <w:tcBorders>
              <w:right w:val="single" w:sz="4" w:space="0" w:color="auto"/>
            </w:tcBorders>
            <w:shd w:val="clear" w:color="auto" w:fill="auto"/>
          </w:tcPr>
          <w:p w14:paraId="57ADE82F" w14:textId="77777777" w:rsidR="0067461A" w:rsidRPr="0067461A" w:rsidRDefault="0067461A">
            <w:pPr>
              <w:pStyle w:val="Bordersmall"/>
              <w:rPr>
                <w:lang w:val="es-ES"/>
              </w:rPr>
            </w:pPr>
            <w:r w:rsidRPr="0067461A">
              <w:rPr>
                <w:noProof/>
                <w:lang w:val="es-ES"/>
              </w:rPr>
              <w:lastRenderedPageBreak/>
              <w:drawing>
                <wp:inline distT="0" distB="0" distL="0" distR="0" wp14:anchorId="468D35F5" wp14:editId="325BE3E7">
                  <wp:extent cx="3763645" cy="2924175"/>
                  <wp:effectExtent l="0" t="0" r="8255"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63645" cy="2924175"/>
                          </a:xfrm>
                          <a:prstGeom prst="rect">
                            <a:avLst/>
                          </a:prstGeom>
                          <a:noFill/>
                          <a:ln>
                            <a:noFill/>
                          </a:ln>
                        </pic:spPr>
                      </pic:pic>
                    </a:graphicData>
                  </a:graphic>
                </wp:inline>
              </w:drawing>
            </w:r>
          </w:p>
        </w:tc>
        <w:tc>
          <w:tcPr>
            <w:tcW w:w="2154" w:type="dxa"/>
            <w:tcBorders>
              <w:left w:val="single" w:sz="4" w:space="0" w:color="auto"/>
            </w:tcBorders>
            <w:shd w:val="clear" w:color="auto" w:fill="auto"/>
          </w:tcPr>
          <w:p w14:paraId="45B14245" w14:textId="39411B3A" w:rsidR="0067461A" w:rsidRPr="0067461A" w:rsidRDefault="0067461A">
            <w:pPr>
              <w:pStyle w:val="Captionsmall"/>
              <w:rPr>
                <w:lang w:val="es-ES"/>
              </w:rPr>
            </w:pPr>
            <w:bookmarkStart w:id="339" w:name="_Ref321212782"/>
            <w:r w:rsidRPr="0067461A">
              <w:rPr>
                <w:lang w:val="es-ES"/>
              </w:rPr>
              <w:t xml:space="preserve">Figura </w:t>
            </w:r>
            <w:r w:rsidRPr="0067461A">
              <w:rPr>
                <w:lang w:val="es-ES"/>
              </w:rPr>
              <w:fldChar w:fldCharType="begin"/>
            </w:r>
            <w:r w:rsidRPr="0067461A">
              <w:rPr>
                <w:lang w:val="es-ES"/>
              </w:rPr>
              <w:instrText xml:space="preserve"> STYLEREF "Annex 1" \s \* MERGEFORMAT </w:instrText>
            </w:r>
            <w:r w:rsidRPr="0067461A">
              <w:rPr>
                <w:lang w:val="es-ES"/>
              </w:rPr>
              <w:fldChar w:fldCharType="separate"/>
            </w:r>
            <w:r w:rsidR="00475202">
              <w:rPr>
                <w:noProof/>
                <w:lang w:val="es-ES"/>
              </w:rPr>
              <w:t>A</w:t>
            </w:r>
            <w:r w:rsidRPr="0067461A">
              <w:rPr>
                <w:lang w:val="es-ES"/>
              </w:rPr>
              <w:fldChar w:fldCharType="end"/>
            </w:r>
            <w:r w:rsidRPr="0067461A">
              <w:rPr>
                <w:lang w:val="es-ES"/>
              </w:rPr>
              <w:t>.</w:t>
            </w:r>
            <w:r w:rsidRPr="0067461A">
              <w:rPr>
                <w:lang w:val="es-ES"/>
              </w:rPr>
              <w:fldChar w:fldCharType="begin"/>
            </w:r>
            <w:r w:rsidRPr="0067461A">
              <w:rPr>
                <w:lang w:val="es-ES"/>
              </w:rPr>
              <w:instrText xml:space="preserve"> SEQ Ilustración \r 1 \* MERGEFORMAT </w:instrText>
            </w:r>
            <w:r w:rsidRPr="0067461A">
              <w:rPr>
                <w:lang w:val="es-ES"/>
              </w:rPr>
              <w:fldChar w:fldCharType="separate"/>
            </w:r>
            <w:r w:rsidR="00475202">
              <w:rPr>
                <w:noProof/>
                <w:lang w:val="es-ES"/>
              </w:rPr>
              <w:t>1</w:t>
            </w:r>
            <w:r w:rsidRPr="0067461A">
              <w:rPr>
                <w:lang w:val="es-ES"/>
              </w:rPr>
              <w:fldChar w:fldCharType="end"/>
            </w:r>
            <w:bookmarkEnd w:id="339"/>
            <w:r w:rsidRPr="0067461A">
              <w:rPr>
                <w:lang w:val="es-ES"/>
              </w:rPr>
              <w:t>: Recuperación económica de los costos [Fuente: Analysys Mason]</w:t>
            </w:r>
          </w:p>
        </w:tc>
      </w:tr>
    </w:tbl>
    <w:p w14:paraId="35137571" w14:textId="77777777" w:rsidR="0067461A" w:rsidRPr="0067461A" w:rsidRDefault="0067461A" w:rsidP="0067461A"/>
    <w:p w14:paraId="6D91E425" w14:textId="533F0844" w:rsidR="00C57384" w:rsidRPr="0067461A" w:rsidRDefault="00C57384" w:rsidP="0067461A"/>
    <w:p w14:paraId="421FEE5D" w14:textId="77777777" w:rsidR="007C6FB3" w:rsidRPr="0067461A" w:rsidRDefault="007C6FB3" w:rsidP="00C230E7"/>
    <w:sectPr w:rsidR="007C6FB3" w:rsidRPr="0067461A" w:rsidSect="00D42DA0">
      <w:headerReference w:type="first" r:id="rId41"/>
      <w:footerReference w:type="first" r:id="rId42"/>
      <w:pgSz w:w="11907" w:h="16840"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62381" w14:textId="77777777" w:rsidR="002A3504" w:rsidRDefault="002A3504" w:rsidP="003C6172">
      <w:pPr>
        <w:spacing w:after="0" w:line="240" w:lineRule="auto"/>
      </w:pPr>
      <w:r>
        <w:separator/>
      </w:r>
    </w:p>
  </w:endnote>
  <w:endnote w:type="continuationSeparator" w:id="0">
    <w:p w14:paraId="15722699" w14:textId="77777777" w:rsidR="002A3504" w:rsidRDefault="002A3504" w:rsidP="003C6172">
      <w:pPr>
        <w:spacing w:after="0" w:line="240" w:lineRule="auto"/>
      </w:pPr>
      <w:r>
        <w:continuationSeparator/>
      </w:r>
    </w:p>
  </w:endnote>
  <w:endnote w:type="continuationNotice" w:id="1">
    <w:p w14:paraId="387A59C7" w14:textId="77777777" w:rsidR="002A3504" w:rsidRDefault="002A3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35CE" w14:textId="41EBDECA" w:rsidR="005A488E" w:rsidRPr="00E96093" w:rsidRDefault="005A488E">
    <w:pPr>
      <w:pStyle w:val="Piedepgina"/>
      <w:spacing w:before="720"/>
    </w:pPr>
    <w:r>
      <w:rPr>
        <w:noProof/>
        <w:lang w:eastAsia="en-GB"/>
      </w:rPr>
      <w:drawing>
        <wp:anchor distT="0" distB="0" distL="114300" distR="114300" simplePos="0" relativeHeight="251658243" behindDoc="0" locked="0" layoutInCell="1" allowOverlap="1" wp14:anchorId="12D26122" wp14:editId="2BE4FE1D">
          <wp:simplePos x="0" y="0"/>
          <wp:positionH relativeFrom="page">
            <wp:posOffset>5544820</wp:posOffset>
          </wp:positionH>
          <wp:positionV relativeFrom="page">
            <wp:posOffset>9879330</wp:posOffset>
          </wp:positionV>
          <wp:extent cx="1440000" cy="486000"/>
          <wp:effectExtent l="0" t="0" r="8255" b="9525"/>
          <wp:wrapNone/>
          <wp:docPr id="2" name="Picture 2" descr="P:\projects\EG011\WP\EG011040\New logos (2011)\Red and blue\1049-logo-2-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EG011\WP\EG011040\New logos (2011)\Red and blue\1049-logo-2-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48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fldChar w:fldCharType="begin"/>
    </w:r>
    <w:r>
      <w:rPr>
        <w:noProof/>
        <w:lang w:val="en-US"/>
      </w:rPr>
      <w:instrText xml:space="preserve"> Styleref "Contents: RefNo" \* MERGEFORMAT </w:instrText>
    </w:r>
    <w:r>
      <w:rPr>
        <w:noProof/>
        <w:lang w:val="en-US"/>
      </w:rPr>
      <w:fldChar w:fldCharType="separate"/>
    </w:r>
    <w:r w:rsidR="00475202">
      <w:rPr>
        <w:b/>
        <w:bCs/>
        <w:noProof/>
        <w:lang w:val="es-ES"/>
      </w:rPr>
      <w:t>¡Error! Utilice la pestaña Inicio para aplicar Contents: RefNo al texto que desea que aparezca aquí.</w:t>
    </w:r>
    <w:r>
      <w:rPr>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1FFAC" w14:textId="79EB0BE1" w:rsidR="005A488E" w:rsidRPr="00E96093" w:rsidRDefault="005A488E">
    <w:pPr>
      <w:pStyle w:val="Piedepgina"/>
      <w:spacing w:before="720"/>
    </w:pPr>
    <w:r>
      <w:rPr>
        <w:noProof/>
        <w:lang w:eastAsia="en-GB"/>
      </w:rPr>
      <w:drawing>
        <wp:anchor distT="0" distB="0" distL="114300" distR="114300" simplePos="0" relativeHeight="251658244" behindDoc="0" locked="0" layoutInCell="1" allowOverlap="1" wp14:anchorId="0AF5712F" wp14:editId="0503D8F7">
          <wp:simplePos x="0" y="0"/>
          <wp:positionH relativeFrom="page">
            <wp:posOffset>5544820</wp:posOffset>
          </wp:positionH>
          <wp:positionV relativeFrom="page">
            <wp:posOffset>9879330</wp:posOffset>
          </wp:positionV>
          <wp:extent cx="1440000" cy="486000"/>
          <wp:effectExtent l="0" t="0" r="8255" b="9525"/>
          <wp:wrapNone/>
          <wp:docPr id="3" name="Picture 3" descr="P:\projects\EG011\WP\EG011040\New logos (2011)\Red and blue\1049-logo-2-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EG011\WP\EG011040\New logos (2011)\Red and blue\1049-logo-2-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48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fldChar w:fldCharType="begin"/>
    </w:r>
    <w:r>
      <w:rPr>
        <w:noProof/>
        <w:lang w:val="en-US"/>
      </w:rPr>
      <w:instrText xml:space="preserve"> Styleref "Contents: RefNo" \* MERGEFORMAT </w:instrText>
    </w:r>
    <w:r>
      <w:rPr>
        <w:noProof/>
        <w:lang w:val="en-US"/>
      </w:rPr>
      <w:fldChar w:fldCharType="separate"/>
    </w:r>
    <w:r w:rsidR="00475202">
      <w:rPr>
        <w:b/>
        <w:bCs/>
        <w:noProof/>
        <w:lang w:val="es-ES"/>
      </w:rPr>
      <w:t>¡Error! Utilice la pestaña Inicio para aplicar Contents: RefNo al texto que desea que aparezca aquí.</w:t>
    </w:r>
    <w:r>
      <w:rPr>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EA1C3" w14:textId="2DA95DCD" w:rsidR="003E3F62" w:rsidRPr="000B63A0" w:rsidRDefault="003E3F62" w:rsidP="000B63A0">
    <w:pPr>
      <w:pStyle w:val="Piedepgina"/>
      <w:spacing w:before="720"/>
      <w:ind w:firstLine="1939"/>
    </w:pPr>
    <w:r>
      <w:tab/>
    </w:r>
    <w:r>
      <w:rPr>
        <w:rStyle w:val="ConfidentialFooter"/>
      </w:rPr>
      <w:fldChar w:fldCharType="begin"/>
    </w:r>
    <w:r>
      <w:rPr>
        <w:rStyle w:val="ConfidentialFooter"/>
      </w:rPr>
      <w:instrText xml:space="preserve"> DOCPROPERTY "Descriptor" \* MERGEFORMAT </w:instrText>
    </w:r>
    <w:r>
      <w:rPr>
        <w:rStyle w:val="ConfidentialFooter"/>
      </w:rPr>
      <w:fldChar w:fldCharType="separate"/>
    </w:r>
    <w:r w:rsidR="00475202">
      <w:rPr>
        <w:rStyle w:val="ConfidentialFooter"/>
        <w:b/>
        <w:bCs/>
        <w:lang w:val="es-ES"/>
      </w:rPr>
      <w:t>¡Error! Nombre desconocido de propiedad de documento.</w:t>
    </w:r>
    <w:r>
      <w:rPr>
        <w:rStyle w:val="ConfidentialFooter"/>
      </w:rPr>
      <w:fldChar w:fldCharType="end"/>
    </w:r>
    <w:r>
      <w:tab/>
    </w:r>
    <w:r>
      <w:rPr>
        <w:noProof/>
        <w:lang w:eastAsia="en-GB"/>
      </w:rPr>
      <w:drawing>
        <wp:anchor distT="0" distB="0" distL="114300" distR="114300" simplePos="0" relativeHeight="251658242" behindDoc="0" locked="0" layoutInCell="1" allowOverlap="1" wp14:anchorId="7FA73ABE" wp14:editId="4D858202">
          <wp:simplePos x="0" y="0"/>
          <wp:positionH relativeFrom="page">
            <wp:posOffset>493395</wp:posOffset>
          </wp:positionH>
          <wp:positionV relativeFrom="page">
            <wp:posOffset>9879330</wp:posOffset>
          </wp:positionV>
          <wp:extent cx="1436400" cy="486000"/>
          <wp:effectExtent l="0" t="0" r="0" b="9525"/>
          <wp:wrapNone/>
          <wp:docPr id="745766939" name="Picture 745766939" descr="P:\projects\EG011\WP\EG011040\New logos (2011)\Red and blue\1049-logo-2-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ects\EG011\WP\EG011040\New logos (2011)\Red and blue\1049-logo-2-Colo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64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736">
      <w:rPr>
        <w:noProof/>
      </w:rPr>
      <w:fldChar w:fldCharType="begin"/>
    </w:r>
    <w:r w:rsidR="002C0736">
      <w:rPr>
        <w:noProof/>
      </w:rPr>
      <w:instrText xml:space="preserve"> Styleref "Title: RefNo" \* MERGEFORMAT </w:instrText>
    </w:r>
    <w:r w:rsidR="002C0736">
      <w:rPr>
        <w:noProof/>
      </w:rPr>
      <w:fldChar w:fldCharType="separate"/>
    </w:r>
    <w:r w:rsidR="00475202">
      <w:rPr>
        <w:b/>
        <w:bCs/>
        <w:noProof/>
        <w:lang w:val="es-ES"/>
      </w:rPr>
      <w:t>¡Error! No hay texto con el estilo especificado en el documento.</w:t>
    </w:r>
    <w:r w:rsidR="002C0736">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4E1C" w14:textId="177FB9CE" w:rsidR="003E3F62" w:rsidRPr="007739D8" w:rsidRDefault="003E3F62" w:rsidP="00CE3783">
    <w:pPr>
      <w:pStyle w:val="Piedepgina"/>
      <w:spacing w:before="720"/>
      <w:ind w:left="0"/>
      <w:rPr>
        <w:lang w:val="es-ES"/>
      </w:rPr>
    </w:pPr>
    <w:r w:rsidRPr="007739D8">
      <w:rPr>
        <w:lang w:val="es-ES"/>
      </w:rPr>
      <w:tab/>
    </w:r>
    <w:r>
      <w:rPr>
        <w:rStyle w:val="ConfidentialFooter"/>
      </w:rPr>
      <w:fldChar w:fldCharType="begin"/>
    </w:r>
    <w:r w:rsidRPr="007739D8">
      <w:rPr>
        <w:rStyle w:val="ConfidentialFooter"/>
        <w:lang w:val="es-ES"/>
      </w:rPr>
      <w:instrText xml:space="preserve"> DOCPROPERTY "Descriptor" \* MERGEFORMAT </w:instrText>
    </w:r>
    <w:r>
      <w:rPr>
        <w:rStyle w:val="ConfidentialFooter"/>
      </w:rPr>
      <w:fldChar w:fldCharType="separate"/>
    </w:r>
    <w:r w:rsidR="00475202">
      <w:rPr>
        <w:rStyle w:val="ConfidentialFooter"/>
        <w:b/>
        <w:bCs/>
        <w:lang w:val="es-ES"/>
      </w:rPr>
      <w:t>¡Error! Nombre desconocido de propiedad de documento.</w:t>
    </w:r>
    <w:r>
      <w:rPr>
        <w:rStyle w:val="ConfidentialFooter"/>
      </w:rPr>
      <w:fldChar w:fldCharType="end"/>
    </w:r>
    <w:r w:rsidRPr="007739D8">
      <w:rPr>
        <w:lang w:val="es-ES"/>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4C5D5" w14:textId="3A75D60A" w:rsidR="003E3F62" w:rsidRPr="007739D8" w:rsidRDefault="003E3F62" w:rsidP="000B63A0">
    <w:pPr>
      <w:pStyle w:val="Piedepgina"/>
      <w:spacing w:before="720"/>
      <w:rPr>
        <w:lang w:val="es-ES"/>
      </w:rPr>
    </w:pPr>
    <w:r w:rsidRPr="007739D8">
      <w:rPr>
        <w:lang w:val="es-ES"/>
      </w:rPr>
      <w:tab/>
    </w:r>
    <w:r>
      <w:rPr>
        <w:rStyle w:val="ConfidentialFooter"/>
      </w:rPr>
      <w:fldChar w:fldCharType="begin"/>
    </w:r>
    <w:r w:rsidRPr="007739D8">
      <w:rPr>
        <w:rStyle w:val="ConfidentialFooter"/>
        <w:lang w:val="es-ES"/>
      </w:rPr>
      <w:instrText xml:space="preserve"> DOCPROPERTY "Descriptor" \* MERGEFORMAT </w:instrText>
    </w:r>
    <w:r>
      <w:rPr>
        <w:rStyle w:val="ConfidentialFooter"/>
      </w:rPr>
      <w:fldChar w:fldCharType="separate"/>
    </w:r>
    <w:r w:rsidR="00475202">
      <w:rPr>
        <w:rStyle w:val="ConfidentialFooter"/>
        <w:b/>
        <w:bCs/>
        <w:lang w:val="es-ES"/>
      </w:rPr>
      <w:t>¡Error! Nombre desconocido de propiedad de documento.</w:t>
    </w:r>
    <w:r>
      <w:rPr>
        <w:rStyle w:val="ConfidentialFooter"/>
      </w:rPr>
      <w:fldChar w:fldCharType="end"/>
    </w:r>
    <w:r w:rsidRPr="007739D8">
      <w:rPr>
        <w:lang w:val="es-ES"/>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30E7" w14:textId="77777777" w:rsidR="003E3F62" w:rsidRPr="008B7633" w:rsidRDefault="003E3F62" w:rsidP="008B76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78074" w14:textId="77777777" w:rsidR="002A3504" w:rsidRDefault="002A3504" w:rsidP="003C6172">
      <w:pPr>
        <w:spacing w:after="0" w:line="240" w:lineRule="auto"/>
      </w:pPr>
      <w:r>
        <w:separator/>
      </w:r>
    </w:p>
  </w:footnote>
  <w:footnote w:type="continuationSeparator" w:id="0">
    <w:p w14:paraId="653AAF96" w14:textId="77777777" w:rsidR="002A3504" w:rsidRDefault="002A3504" w:rsidP="003C6172">
      <w:pPr>
        <w:spacing w:after="0" w:line="240" w:lineRule="auto"/>
      </w:pPr>
      <w:r>
        <w:continuationSeparator/>
      </w:r>
    </w:p>
  </w:footnote>
  <w:footnote w:type="continuationNotice" w:id="1">
    <w:p w14:paraId="19BAFF5B" w14:textId="77777777" w:rsidR="002A3504" w:rsidRDefault="002A3504">
      <w:pPr>
        <w:spacing w:after="0" w:line="240" w:lineRule="auto"/>
      </w:pPr>
    </w:p>
  </w:footnote>
  <w:footnote w:id="2">
    <w:p w14:paraId="6B6243A1" w14:textId="77777777" w:rsidR="0067461A" w:rsidRPr="0087358C" w:rsidRDefault="0067461A" w:rsidP="0067461A">
      <w:pPr>
        <w:pStyle w:val="Textonotapie"/>
        <w:rPr>
          <w:lang w:val="es-ES"/>
        </w:rPr>
      </w:pPr>
      <w:r>
        <w:rPr>
          <w:rStyle w:val="Refdenotaalpie"/>
        </w:rPr>
        <w:footnoteRef/>
      </w:r>
      <w:r w:rsidRPr="0087358C">
        <w:rPr>
          <w:lang w:val="es-ES"/>
        </w:rPr>
        <w:t xml:space="preserve"> </w:t>
      </w:r>
      <w:r>
        <w:rPr>
          <w:lang w:val="es-ES"/>
        </w:rPr>
        <w:tab/>
      </w:r>
      <w:r w:rsidRPr="001B0CE1">
        <w:rPr>
          <w:lang w:val="es-ES"/>
        </w:rPr>
        <w:t>P/IFT/EXT/161214/277</w:t>
      </w:r>
      <w:r>
        <w:rPr>
          <w:lang w:val="es-ES"/>
        </w:rPr>
        <w:t xml:space="preserve">, </w:t>
      </w:r>
      <w:r w:rsidRPr="00711347">
        <w:rPr>
          <w:i/>
          <w:iCs/>
          <w:lang w:val="es-ES"/>
        </w:rPr>
        <w:t>Acuerdo mediante el cual el Pleno del Instituto Federal de Telecomunicaciones emite la metodología para el cálculo de costos de interconexión de conformidad con la Ley Federal de Telecomunicaciones y Radiodifusión</w:t>
      </w:r>
      <w:r>
        <w:rPr>
          <w:lang w:val="es-ES"/>
        </w:rPr>
        <w:t>, publicado el 18 de diciembre de 2014.</w:t>
      </w:r>
    </w:p>
  </w:footnote>
  <w:footnote w:id="3">
    <w:p w14:paraId="33C96449" w14:textId="77777777" w:rsidR="0067461A" w:rsidRPr="00C45014" w:rsidRDefault="0067461A" w:rsidP="0067461A">
      <w:pPr>
        <w:pStyle w:val="Textonotapie"/>
        <w:rPr>
          <w:spacing w:val="-4"/>
          <w:lang w:val="es-MX"/>
        </w:rPr>
      </w:pPr>
      <w:r w:rsidRPr="00C45014">
        <w:rPr>
          <w:rStyle w:val="Refdenotaalpie"/>
          <w:spacing w:val="-4"/>
        </w:rPr>
        <w:footnoteRef/>
      </w:r>
      <w:r w:rsidRPr="00C45014">
        <w:rPr>
          <w:spacing w:val="-4"/>
          <w:lang w:val="es-MX"/>
        </w:rPr>
        <w:t xml:space="preserve"> </w:t>
      </w:r>
      <w:r w:rsidRPr="00C45014">
        <w:rPr>
          <w:spacing w:val="-4"/>
          <w:lang w:val="es-MX"/>
        </w:rPr>
        <w:tab/>
        <w:t>Por ejemplo, la más eficiente en México, o la más eficiente en Latinoamérica, o la más eficiente en el mundo.</w:t>
      </w:r>
    </w:p>
  </w:footnote>
  <w:footnote w:id="4">
    <w:p w14:paraId="50191478" w14:textId="77777777" w:rsidR="0067461A" w:rsidRPr="002E490F" w:rsidRDefault="0067461A" w:rsidP="0067461A">
      <w:pPr>
        <w:pStyle w:val="Textonotapie"/>
        <w:rPr>
          <w:lang w:val="es-ES"/>
        </w:rPr>
      </w:pPr>
      <w:r>
        <w:rPr>
          <w:rStyle w:val="Refdenotaalpie"/>
        </w:rPr>
        <w:footnoteRef/>
      </w:r>
      <w:r w:rsidRPr="002E490F">
        <w:rPr>
          <w:lang w:val="es-ES"/>
        </w:rPr>
        <w:t xml:space="preserve"> </w:t>
      </w:r>
      <w:r>
        <w:rPr>
          <w:lang w:val="es-ES"/>
        </w:rPr>
        <w:t xml:space="preserve"> </w:t>
      </w:r>
      <w:r>
        <w:rPr>
          <w:lang w:val="es-ES"/>
        </w:rPr>
        <w:tab/>
        <w:t>Telefónica completó, tal y como se esperaba la devolución de su espectro entre 2019 y 2022</w:t>
      </w:r>
    </w:p>
  </w:footnote>
  <w:footnote w:id="5">
    <w:p w14:paraId="6D33122A" w14:textId="77777777" w:rsidR="0067461A" w:rsidRPr="003D0C80" w:rsidRDefault="0067461A" w:rsidP="0067461A">
      <w:pPr>
        <w:pStyle w:val="Textonotapie"/>
        <w:rPr>
          <w:lang w:val="es-MX"/>
        </w:rPr>
      </w:pPr>
      <w:r w:rsidRPr="00FB7938">
        <w:rPr>
          <w:rStyle w:val="Refdenotaalpie"/>
          <w:spacing w:val="-4"/>
        </w:rPr>
        <w:footnoteRef/>
      </w:r>
      <w:r w:rsidRPr="00FB7938">
        <w:rPr>
          <w:spacing w:val="-4"/>
          <w:lang w:val="es-MX"/>
        </w:rPr>
        <w:t xml:space="preserve"> </w:t>
      </w:r>
      <w:r w:rsidRPr="00FB7938">
        <w:rPr>
          <w:spacing w:val="-4"/>
          <w:lang w:val="es-MX"/>
        </w:rPr>
        <w:tab/>
      </w:r>
      <w:r w:rsidRPr="003D0C80">
        <w:rPr>
          <w:lang w:val="es-MX"/>
        </w:rPr>
        <w:t xml:space="preserve">Recomendación de la Comisión de 7 de mayo de 2009 </w:t>
      </w:r>
      <w:r w:rsidRPr="003D0C80">
        <w:rPr>
          <w:i/>
          <w:lang w:val="es-MX"/>
        </w:rPr>
        <w:t xml:space="preserve">sobre el tratamiento normativo de las tarifas de terminación de la telefonía fija y móvil en la UE tratamiento normativo de las tarifas de terminación de la telefonía fija y móvil en la UE (2009/396/CE). </w:t>
      </w:r>
      <w:r w:rsidRPr="003D0C80">
        <w:rPr>
          <w:lang w:val="es-MX"/>
        </w:rPr>
        <w:t xml:space="preserve">Disponible en </w:t>
      </w:r>
      <w:r w:rsidRPr="003D0C80">
        <w:rPr>
          <w:lang w:val="es-ES"/>
        </w:rPr>
        <w:t>http://eur-lex.europa.eu/legal-content/ES/ALL/?uri=celex%3A32009H0396</w:t>
      </w:r>
    </w:p>
  </w:footnote>
  <w:footnote w:id="6">
    <w:p w14:paraId="28DD58B5" w14:textId="77777777" w:rsidR="0067461A" w:rsidRPr="003D55FC" w:rsidRDefault="0067461A" w:rsidP="0067461A">
      <w:pPr>
        <w:pStyle w:val="Textonotapie"/>
        <w:spacing w:after="0"/>
        <w:rPr>
          <w:lang w:val="es-ES_tradnl"/>
        </w:rPr>
      </w:pPr>
      <w:r>
        <w:rPr>
          <w:rStyle w:val="Refdenotaalpie"/>
        </w:rPr>
        <w:footnoteRef/>
      </w:r>
      <w:r w:rsidRPr="00CF3B34">
        <w:rPr>
          <w:lang w:val="es-MX"/>
        </w:rPr>
        <w:t xml:space="preserve"> </w:t>
      </w:r>
      <w:r w:rsidRPr="00CF3B34">
        <w:rPr>
          <w:lang w:val="es-MX"/>
        </w:rPr>
        <w:tab/>
        <w:t xml:space="preserve">Recomendación de la Comisión de 7 de mayo de 2009, </w:t>
      </w:r>
      <w:r w:rsidRPr="00CF3B34">
        <w:rPr>
          <w:i/>
          <w:lang w:val="es-MX"/>
        </w:rPr>
        <w:t xml:space="preserve">sobre el tratamiento normativo de las tarifas de terminación de la telefonía fija y móvil en la UE (2009/396/CE). </w:t>
      </w:r>
      <w:r w:rsidRPr="003D55FC">
        <w:rPr>
          <w:lang w:val="es-ES_tradnl"/>
        </w:rPr>
        <w:t>Disponible en</w:t>
      </w:r>
      <w:r w:rsidRPr="003D55FC">
        <w:rPr>
          <w:i/>
          <w:lang w:val="es-ES_tradnl"/>
        </w:rPr>
        <w:t xml:space="preserve"> </w:t>
      </w:r>
      <w:r w:rsidRPr="003D55FC">
        <w:rPr>
          <w:lang w:val="es-ES_tradnl"/>
        </w:rPr>
        <w:t>http://eur-lex.europa.eu/LexUriServ/LexUriServ.do?uri=OJ:L:2009:124:0067:0074:ES:PDF.</w:t>
      </w:r>
    </w:p>
  </w:footnote>
  <w:footnote w:id="7">
    <w:p w14:paraId="4EA0EEF8" w14:textId="77777777" w:rsidR="0067461A" w:rsidRPr="00E25ADE" w:rsidRDefault="0067461A" w:rsidP="0067461A">
      <w:pPr>
        <w:pStyle w:val="Textonotapie"/>
        <w:rPr>
          <w:spacing w:val="-4"/>
          <w:lang w:val="es-MX"/>
        </w:rPr>
      </w:pPr>
      <w:r>
        <w:rPr>
          <w:rStyle w:val="Refdenotaalpie"/>
          <w:spacing w:val="-4"/>
        </w:rPr>
        <w:footnoteRef/>
      </w:r>
      <w:r w:rsidRPr="00E25ADE">
        <w:rPr>
          <w:spacing w:val="-4"/>
          <w:lang w:val="es-MX"/>
        </w:rPr>
        <w:t xml:space="preserve"> </w:t>
      </w:r>
      <w:r w:rsidRPr="00E25ADE">
        <w:rPr>
          <w:spacing w:val="-4"/>
          <w:lang w:val="es-MX"/>
        </w:rPr>
        <w:tab/>
        <w:t xml:space="preserve">P.ej. el valor presente neto de la demanda – refleja </w:t>
      </w:r>
      <w:r>
        <w:rPr>
          <w:spacing w:val="-4"/>
          <w:lang w:val="es-MX"/>
        </w:rPr>
        <w:t>el descuento</w:t>
      </w:r>
      <w:r w:rsidRPr="00E25ADE">
        <w:rPr>
          <w:spacing w:val="-4"/>
          <w:lang w:val="es-MX"/>
        </w:rPr>
        <w:t xml:space="preserve"> </w:t>
      </w:r>
      <w:r>
        <w:rPr>
          <w:spacing w:val="-4"/>
          <w:lang w:val="es-MX"/>
        </w:rPr>
        <w:t xml:space="preserve">de la </w:t>
      </w:r>
      <w:r w:rsidRPr="00E25ADE">
        <w:rPr>
          <w:spacing w:val="-4"/>
          <w:lang w:val="es-MX"/>
        </w:rPr>
        <w:t xml:space="preserve">combinación de </w:t>
      </w:r>
      <w:r>
        <w:rPr>
          <w:spacing w:val="-4"/>
          <w:lang w:val="es-MX"/>
        </w:rPr>
        <w:t xml:space="preserve">la </w:t>
      </w:r>
      <w:r w:rsidRPr="00E25ADE">
        <w:rPr>
          <w:spacing w:val="-4"/>
          <w:lang w:val="es-MX"/>
        </w:rPr>
        <w:t xml:space="preserve">cuota de mercado eventual y </w:t>
      </w:r>
      <w:r>
        <w:rPr>
          <w:spacing w:val="-4"/>
          <w:lang w:val="es-MX"/>
        </w:rPr>
        <w:t>la velocidad de adquisición de esta.</w:t>
      </w:r>
    </w:p>
  </w:footnote>
  <w:footnote w:id="8">
    <w:p w14:paraId="0EFC8A6C" w14:textId="77777777" w:rsidR="0067461A" w:rsidRPr="00F8278B" w:rsidRDefault="0067461A" w:rsidP="0067461A">
      <w:pPr>
        <w:pStyle w:val="Textonotapie"/>
        <w:rPr>
          <w:lang w:val="es-MX"/>
        </w:rPr>
      </w:pPr>
      <w:r>
        <w:rPr>
          <w:rStyle w:val="Refdenotaalpie"/>
        </w:rPr>
        <w:footnoteRef/>
      </w:r>
      <w:r w:rsidRPr="000E290F">
        <w:rPr>
          <w:lang w:val="es-MX"/>
        </w:rPr>
        <w:t xml:space="preserve"> </w:t>
      </w:r>
      <w:r w:rsidRPr="000E290F">
        <w:rPr>
          <w:lang w:val="es-MX"/>
        </w:rPr>
        <w:tab/>
        <w:t>En el caso de una red fija, la calidad</w:t>
      </w:r>
      <w:r>
        <w:rPr>
          <w:lang w:val="es-MX"/>
        </w:rPr>
        <w:t xml:space="preserve"> está relacionada con la disponibilidad, accesos compartidos, etc. En el caso de las redes móviles, la </w:t>
      </w:r>
      <w:r w:rsidRPr="00347E43">
        <w:rPr>
          <w:color w:val="000000" w:themeColor="text1"/>
          <w:lang w:val="es-MX"/>
        </w:rPr>
        <w:t>calidad de la</w:t>
      </w:r>
      <w:r>
        <w:rPr>
          <w:lang w:val="es-MX"/>
        </w:rPr>
        <w:t xml:space="preserve"> cobertura se determina por la densidad de la señal radioeléctrica –en el interior de edificios, en lugares de difícil acceso, en lugares especiales (p.ej. aeropuertos, metro)–. </w:t>
      </w:r>
    </w:p>
  </w:footnote>
  <w:footnote w:id="9">
    <w:p w14:paraId="0956FB0C" w14:textId="77777777" w:rsidR="0067461A" w:rsidRPr="00CF3B34" w:rsidRDefault="0067461A" w:rsidP="0067461A">
      <w:pPr>
        <w:pStyle w:val="Textonotapie"/>
        <w:spacing w:after="120"/>
        <w:rPr>
          <w:lang w:val="es-MX"/>
        </w:rPr>
      </w:pPr>
      <w:r>
        <w:rPr>
          <w:rStyle w:val="Refdenotaalpie"/>
        </w:rPr>
        <w:footnoteRef/>
      </w:r>
      <w:r w:rsidRPr="00CF3B34">
        <w:rPr>
          <w:lang w:val="es-MX"/>
        </w:rPr>
        <w:t xml:space="preserve"> </w:t>
      </w:r>
      <w:r w:rsidRPr="00CF3B34">
        <w:rPr>
          <w:lang w:val="es-MX"/>
        </w:rPr>
        <w:tab/>
      </w:r>
      <w:r>
        <w:rPr>
          <w:lang w:val="es-ES_tradnl"/>
        </w:rPr>
        <w:t>Resulta muy difícil estimar este efecto.</w:t>
      </w:r>
      <w:r w:rsidRPr="00CF3B34">
        <w:rPr>
          <w:lang w:val="es-MX"/>
        </w:rPr>
        <w:t xml:space="preserve"> </w:t>
      </w:r>
      <w:r>
        <w:rPr>
          <w:lang w:val="es-ES_tradnl"/>
        </w:rPr>
        <w:t>Por ejemplo, en oficinas de empresa, la gente cambia de mesa o pasa tiempo en salas de reuniones; algunos edificios como los centros comerciales o aeropuertos no disponen de una solución de línea fija (PSTN), aunque podrían ser posibles métodos WiFi; la gente puede encontrarse en otros edificios (p.ej. segunda vivienda, casa del vecino, etc.).</w:t>
      </w:r>
    </w:p>
  </w:footnote>
  <w:footnote w:id="10">
    <w:p w14:paraId="68E9BC78" w14:textId="77777777" w:rsidR="0067461A" w:rsidRPr="00CF3B34" w:rsidRDefault="0067461A" w:rsidP="0067461A">
      <w:pPr>
        <w:pStyle w:val="Textonotapie"/>
        <w:spacing w:after="120"/>
        <w:rPr>
          <w:lang w:val="es-MX"/>
        </w:rPr>
      </w:pPr>
      <w:r>
        <w:rPr>
          <w:rStyle w:val="Refdenotaalpie"/>
        </w:rPr>
        <w:footnoteRef/>
      </w:r>
      <w:r w:rsidRPr="00CF3B34">
        <w:rPr>
          <w:lang w:val="es-MX"/>
        </w:rPr>
        <w:t xml:space="preserve"> </w:t>
      </w:r>
      <w:r w:rsidRPr="00CF3B34">
        <w:rPr>
          <w:lang w:val="es-MX"/>
        </w:rPr>
        <w:tab/>
      </w:r>
      <w:r>
        <w:rPr>
          <w:lang w:val="es-ES_tradnl"/>
        </w:rPr>
        <w:t>Las cabinas telefónicas o VoIP basado en WLAN podrían estar en el exterior o lejos de casa.</w:t>
      </w:r>
    </w:p>
  </w:footnote>
  <w:footnote w:id="11">
    <w:p w14:paraId="69F041E0" w14:textId="77777777" w:rsidR="0067461A" w:rsidRPr="00CF3B34" w:rsidRDefault="0067461A" w:rsidP="0067461A">
      <w:pPr>
        <w:pStyle w:val="Textonotapie"/>
        <w:spacing w:after="120"/>
        <w:rPr>
          <w:lang w:val="es-MX"/>
        </w:rPr>
      </w:pPr>
      <w:r>
        <w:rPr>
          <w:rStyle w:val="Refdenotaalpie"/>
        </w:rPr>
        <w:footnoteRef/>
      </w:r>
      <w:r w:rsidRPr="00CF3B34">
        <w:rPr>
          <w:lang w:val="es-MX"/>
        </w:rPr>
        <w:t xml:space="preserve"> </w:t>
      </w:r>
      <w:r w:rsidRPr="00CF3B34">
        <w:rPr>
          <w:lang w:val="es-MX"/>
        </w:rPr>
        <w:tab/>
      </w:r>
      <w:r>
        <w:rPr>
          <w:lang w:val="es-ES_tradnl"/>
        </w:rPr>
        <w:t>Fuente:</w:t>
      </w:r>
      <w:r w:rsidRPr="00CF3B34">
        <w:rPr>
          <w:lang w:val="es-MX"/>
        </w:rPr>
        <w:t xml:space="preserve"> </w:t>
      </w:r>
      <w:r>
        <w:rPr>
          <w:lang w:val="es-ES_tradnl"/>
        </w:rPr>
        <w:t>Nokia estima que alrededor del 70% del tráfico de telefonía móvil se produce en el interior de edificios (</w:t>
      </w:r>
      <w:r w:rsidRPr="00962B7E">
        <w:rPr>
          <w:lang w:val="es-ES_tradnl"/>
        </w:rPr>
        <w:t>http://networks.nokia.com/portfolio/services/network-implementation/in-building-solutions</w:t>
      </w:r>
      <w:r>
        <w:rPr>
          <w:lang w:val="es-ES_tradnl"/>
        </w:rPr>
        <w:t>); Commscope estima que cerca del 80% del tráfico móvil es originado o terminado en el interior de edificios (</w:t>
      </w:r>
      <w:r w:rsidRPr="00784EF1">
        <w:rPr>
          <w:lang w:val="es-ES_tradnl"/>
        </w:rPr>
        <w:t>http://www.commscope.com/NewsCenter/PressReleases/Building-Professionals-Believe-Indoor-Mobile-Systems--Can-Increase-Property-Value-Significantly/</w:t>
      </w:r>
      <w:r>
        <w:rPr>
          <w:lang w:val="es-ES_tradnl"/>
        </w:rPr>
        <w:t>)</w:t>
      </w:r>
    </w:p>
  </w:footnote>
  <w:footnote w:id="12">
    <w:p w14:paraId="6DF7DAAE" w14:textId="77777777" w:rsidR="0067461A" w:rsidRPr="00720A7F" w:rsidRDefault="0067461A" w:rsidP="0067461A">
      <w:pPr>
        <w:pStyle w:val="Textonotapie"/>
        <w:rPr>
          <w:lang w:val="es-ES"/>
        </w:rPr>
      </w:pPr>
      <w:r>
        <w:rPr>
          <w:rStyle w:val="Refdenotaalpie"/>
        </w:rPr>
        <w:footnoteRef/>
      </w:r>
      <w:r w:rsidRPr="00720A7F">
        <w:rPr>
          <w:lang w:val="es-ES"/>
        </w:rPr>
        <w:t xml:space="preserve"> </w:t>
      </w:r>
      <w:r>
        <w:rPr>
          <w:lang w:val="es-ES"/>
        </w:rPr>
        <w:tab/>
        <w:t>S</w:t>
      </w:r>
      <w:r w:rsidRPr="005672E5">
        <w:rPr>
          <w:lang w:val="es-ES"/>
        </w:rPr>
        <w:t>egún GSMA, en 20</w:t>
      </w:r>
      <w:r>
        <w:rPr>
          <w:lang w:val="es-ES"/>
        </w:rPr>
        <w:t>22</w:t>
      </w:r>
      <w:r w:rsidRPr="005672E5">
        <w:rPr>
          <w:lang w:val="es-ES"/>
        </w:rPr>
        <w:t xml:space="preserve"> el número de conexiones 2G suponían todavía un </w:t>
      </w:r>
      <w:r>
        <w:rPr>
          <w:lang w:val="es-ES"/>
        </w:rPr>
        <w:t>6.6</w:t>
      </w:r>
      <w:r w:rsidRPr="005672E5">
        <w:rPr>
          <w:lang w:val="es-ES"/>
        </w:rPr>
        <w:t>% del total de conexiones móviles</w:t>
      </w:r>
      <w:r>
        <w:rPr>
          <w:lang w:val="es-ES"/>
        </w:rPr>
        <w:t>.</w:t>
      </w:r>
    </w:p>
  </w:footnote>
  <w:footnote w:id="13">
    <w:p w14:paraId="588D4291" w14:textId="77777777" w:rsidR="0067461A" w:rsidRPr="00D16D79" w:rsidRDefault="0067461A" w:rsidP="0067461A">
      <w:pPr>
        <w:pStyle w:val="Textonotapie"/>
        <w:rPr>
          <w:lang w:val="es-ES"/>
        </w:rPr>
      </w:pPr>
      <w:r>
        <w:rPr>
          <w:rStyle w:val="Refdenotaalpie"/>
        </w:rPr>
        <w:footnoteRef/>
      </w:r>
      <w:r w:rsidRPr="00685C62">
        <w:rPr>
          <w:lang w:val="es-ES"/>
        </w:rPr>
        <w:t xml:space="preserve"> </w:t>
      </w:r>
      <w:r>
        <w:rPr>
          <w:lang w:val="es-ES"/>
        </w:rPr>
        <w:tab/>
        <w:t xml:space="preserve">Estrictamente hablando, en el caso del operador AT&amp;T, no se trata de VoLTE sino de una aplicación </w:t>
      </w:r>
      <w:r w:rsidRPr="003666CC">
        <w:rPr>
          <w:i/>
          <w:iCs/>
          <w:lang w:val="es-ES"/>
        </w:rPr>
        <w:t>over-the-top</w:t>
      </w:r>
      <w:r>
        <w:rPr>
          <w:lang w:val="es-ES"/>
        </w:rPr>
        <w:t xml:space="preserve"> (OTT) que proporciona servicios de voz sobre la red 4G a sus usuarios.</w:t>
      </w:r>
    </w:p>
  </w:footnote>
  <w:footnote w:id="14">
    <w:p w14:paraId="3E3F8A2B" w14:textId="77777777" w:rsidR="0067461A" w:rsidRPr="00FF7325" w:rsidRDefault="0067461A" w:rsidP="0067461A">
      <w:pPr>
        <w:pStyle w:val="Textonotapie"/>
        <w:rPr>
          <w:lang w:val="es-ES"/>
        </w:rPr>
      </w:pPr>
      <w:r>
        <w:rPr>
          <w:rStyle w:val="Refdenotaalpie"/>
        </w:rPr>
        <w:footnoteRef/>
      </w:r>
      <w:r w:rsidRPr="00FF7325">
        <w:rPr>
          <w:lang w:val="es-ES"/>
        </w:rPr>
        <w:t xml:space="preserve"> </w:t>
      </w:r>
      <w:r>
        <w:rPr>
          <w:lang w:val="es-ES"/>
        </w:rPr>
        <w:tab/>
      </w:r>
      <w:r w:rsidRPr="00FF7325">
        <w:rPr>
          <w:lang w:val="es-ES"/>
        </w:rPr>
        <w:t>Al</w:t>
      </w:r>
      <w:r>
        <w:rPr>
          <w:lang w:val="es-ES"/>
        </w:rPr>
        <w:t>tán, en su calidad de red mayorista, hace uso de la banda de 700 MHz, la cual si bien se incluye en el modelo, no es parte del espectro del AEP o del CS modelado.</w:t>
      </w:r>
    </w:p>
  </w:footnote>
  <w:footnote w:id="15">
    <w:p w14:paraId="26A47721" w14:textId="77777777" w:rsidR="0067461A" w:rsidRPr="00B61568" w:rsidRDefault="0067461A" w:rsidP="0067461A">
      <w:pPr>
        <w:pStyle w:val="Textonotapie"/>
        <w:rPr>
          <w:lang w:val="es-ES"/>
        </w:rPr>
      </w:pPr>
      <w:r>
        <w:rPr>
          <w:rStyle w:val="Refdenotaalpie"/>
        </w:rPr>
        <w:footnoteRef/>
      </w:r>
      <w:r w:rsidRPr="007858D8">
        <w:rPr>
          <w:lang w:val="es-ES_tradnl"/>
        </w:rPr>
        <w:t xml:space="preserve"> </w:t>
      </w:r>
      <w:r w:rsidRPr="007858D8">
        <w:rPr>
          <w:lang w:val="es-ES_tradnl"/>
        </w:rPr>
        <w:tab/>
      </w:r>
      <w:r>
        <w:rPr>
          <w:lang w:val="es-ES_tradnl"/>
        </w:rPr>
        <w:t xml:space="preserve">Un </w:t>
      </w:r>
      <w:r w:rsidRPr="007858D8">
        <w:rPr>
          <w:lang w:val="es-ES_tradnl"/>
        </w:rPr>
        <w:t>IRU</w:t>
      </w:r>
      <w:r>
        <w:rPr>
          <w:lang w:val="es-ES_tradnl"/>
        </w:rPr>
        <w:t xml:space="preserve">, o </w:t>
      </w:r>
      <w:r w:rsidRPr="007858D8">
        <w:rPr>
          <w:lang w:val="es-ES_tradnl"/>
        </w:rPr>
        <w:t>derecho de uso irrevocable</w:t>
      </w:r>
      <w:r>
        <w:rPr>
          <w:lang w:val="es-ES_tradnl"/>
        </w:rPr>
        <w:t xml:space="preserve">, es </w:t>
      </w:r>
      <w:r w:rsidRPr="00B61568">
        <w:rPr>
          <w:lang w:val="es-ES"/>
        </w:rPr>
        <w:t xml:space="preserve">un derecho de uso </w:t>
      </w:r>
      <w:r>
        <w:rPr>
          <w:lang w:val="es-ES"/>
        </w:rPr>
        <w:t>a largo plazo (o propiedad temporal) de una porción de la capacidad de un enlace de transmisión.</w:t>
      </w:r>
    </w:p>
  </w:footnote>
  <w:footnote w:id="16">
    <w:p w14:paraId="0E7AE8DC" w14:textId="77777777" w:rsidR="0067461A" w:rsidRPr="00FE7B84" w:rsidRDefault="0067461A" w:rsidP="0067461A">
      <w:pPr>
        <w:pStyle w:val="Textonotapie"/>
        <w:rPr>
          <w:lang w:val="es-ES"/>
        </w:rPr>
      </w:pPr>
      <w:r w:rsidRPr="00FE7B84">
        <w:rPr>
          <w:rStyle w:val="Refdenotaalpie"/>
          <w:lang w:val="es-ES"/>
        </w:rPr>
        <w:footnoteRef/>
      </w:r>
      <w:r w:rsidRPr="00FE7B84">
        <w:rPr>
          <w:lang w:val="es-ES"/>
        </w:rPr>
        <w:t xml:space="preserve"> </w:t>
      </w:r>
      <w:r w:rsidRPr="00FE7B84">
        <w:rPr>
          <w:lang w:val="es-ES"/>
        </w:rPr>
        <w:tab/>
        <w:t xml:space="preserve">Un ancho de banda abundante y suficiente para todos los servicios/llamadas también puede mejorar la calidad de la llamada en caso de que no se apliquen otros mecanismos </w:t>
      </w:r>
      <w:r>
        <w:rPr>
          <w:lang w:val="es-ES"/>
        </w:rPr>
        <w:t>para garantizar la calidad de servicio</w:t>
      </w:r>
      <w:r w:rsidRPr="00FE7B84">
        <w:rPr>
          <w:lang w:val="es-ES"/>
        </w:rPr>
        <w:t xml:space="preserve">. Sin embargo, la falta </w:t>
      </w:r>
      <w:r>
        <w:rPr>
          <w:lang w:val="es-ES"/>
        </w:rPr>
        <w:t xml:space="preserve">este tipo de </w:t>
      </w:r>
      <w:r w:rsidRPr="00FE7B84">
        <w:rPr>
          <w:lang w:val="es-ES"/>
        </w:rPr>
        <w:t xml:space="preserve">mecanismos y un ancho de banda limitado pueden llevar </w:t>
      </w:r>
      <w:r>
        <w:rPr>
          <w:lang w:val="es-ES"/>
        </w:rPr>
        <w:t xml:space="preserve">a una calidad inaceptable de </w:t>
      </w:r>
      <w:r w:rsidRPr="00FE7B84">
        <w:rPr>
          <w:lang w:val="es-ES"/>
        </w:rPr>
        <w:t>las llamadas en hora punta.</w:t>
      </w:r>
    </w:p>
  </w:footnote>
  <w:footnote w:id="17">
    <w:p w14:paraId="769DF90F" w14:textId="77777777" w:rsidR="0067461A" w:rsidRPr="00D6731F" w:rsidRDefault="0067461A" w:rsidP="0067461A">
      <w:pPr>
        <w:pStyle w:val="Textonotapie"/>
        <w:ind w:left="0" w:firstLine="0"/>
        <w:rPr>
          <w:lang w:val="es-ES"/>
        </w:rPr>
      </w:pPr>
      <w:r>
        <w:rPr>
          <w:rStyle w:val="Refdenotaalpie"/>
        </w:rPr>
        <w:footnoteRef/>
      </w:r>
      <w:r w:rsidRPr="00D6731F">
        <w:rPr>
          <w:lang w:val="es-ES"/>
        </w:rPr>
        <w:t xml:space="preserve"> </w:t>
      </w:r>
      <w:r>
        <w:rPr>
          <w:lang w:val="es-ES"/>
        </w:rPr>
        <w:tab/>
        <w:t xml:space="preserve">Reportes anuales de Telmex presentados a la Bolsa Mexicana de Valores. </w:t>
      </w:r>
    </w:p>
  </w:footnote>
  <w:footnote w:id="18">
    <w:p w14:paraId="2568ACA3" w14:textId="77777777" w:rsidR="0067461A" w:rsidRPr="00D537DB" w:rsidRDefault="0067461A" w:rsidP="0067461A">
      <w:pPr>
        <w:pStyle w:val="Textonotapie"/>
        <w:rPr>
          <w:lang w:val="es-ES"/>
        </w:rPr>
      </w:pPr>
      <w:r w:rsidRPr="00D537DB">
        <w:rPr>
          <w:rStyle w:val="Refdenotaalpie"/>
          <w:lang w:val="es-ES"/>
        </w:rPr>
        <w:footnoteRef/>
      </w:r>
      <w:r w:rsidRPr="00D537DB">
        <w:rPr>
          <w:lang w:val="es-ES"/>
        </w:rPr>
        <w:t xml:space="preserve"> </w:t>
      </w:r>
      <w:r w:rsidRPr="00D537DB">
        <w:rPr>
          <w:lang w:val="es-ES"/>
        </w:rPr>
        <w:tab/>
        <w:t>RECOMENDACIÓN DE LA COMISIÓN de 7 de mayo de 2009 sobre el tratamiento normativo de las tarifas de terminación de la telefonía fija y móvil en la UE (2009/396/CE). Disponible en: https://eur-lex.europa.eu/LexUriServ/LexUriServ.do?uri=OJ:L:2009:124:0067:0074:ES:PDF</w:t>
      </w:r>
    </w:p>
  </w:footnote>
  <w:footnote w:id="19">
    <w:p w14:paraId="3BB3AA2E" w14:textId="77777777" w:rsidR="0067461A" w:rsidRPr="00E40703" w:rsidRDefault="0067461A" w:rsidP="0067461A">
      <w:pPr>
        <w:pStyle w:val="Textonotapie"/>
        <w:rPr>
          <w:lang w:val="es-ES"/>
        </w:rPr>
      </w:pPr>
      <w:r w:rsidRPr="00E40703">
        <w:rPr>
          <w:rStyle w:val="Refdenotaalpie"/>
        </w:rPr>
        <w:footnoteRef/>
      </w:r>
      <w:r w:rsidRPr="00E40703">
        <w:rPr>
          <w:lang w:val="es-ES"/>
        </w:rPr>
        <w:t xml:space="preserve"> </w:t>
      </w:r>
      <w:r w:rsidRPr="00E40703">
        <w:rPr>
          <w:lang w:val="es-ES"/>
        </w:rPr>
        <w:tab/>
        <w:t xml:space="preserve">Por ejemplo, los costos actuales </w:t>
      </w:r>
      <w:r w:rsidRPr="00E40703">
        <w:rPr>
          <w:i/>
          <w:lang w:val="es-ES"/>
        </w:rPr>
        <w:t>top-down</w:t>
      </w:r>
      <w:r w:rsidRPr="00E40703">
        <w:rPr>
          <w:lang w:val="es-ES"/>
        </w:rPr>
        <w:t xml:space="preserve"> que representan operaciones de voz y datos necesitan ser divididos en costos independientes de voz relevantes y costos adicionales de datos. Las redes únicamente de voz no existen comúnmente en la realidad, lo que implica que la red modelada no puede ser comparada con ningún operador real.</w:t>
      </w:r>
    </w:p>
  </w:footnote>
  <w:footnote w:id="20">
    <w:p w14:paraId="76946CB1" w14:textId="77777777" w:rsidR="0067461A" w:rsidRPr="000E6444" w:rsidRDefault="0067461A" w:rsidP="0067461A">
      <w:pPr>
        <w:pStyle w:val="Textonotapie"/>
        <w:rPr>
          <w:lang w:val="es-ES"/>
        </w:rPr>
      </w:pPr>
      <w:r>
        <w:rPr>
          <w:rStyle w:val="Refdenotaalpie"/>
        </w:rPr>
        <w:footnoteRef/>
      </w:r>
      <w:r w:rsidRPr="000E6444">
        <w:rPr>
          <w:lang w:val="es-ES"/>
        </w:rPr>
        <w:t xml:space="preserve"> </w:t>
      </w:r>
      <w:r>
        <w:rPr>
          <w:lang w:val="es-ES"/>
        </w:rPr>
        <w:tab/>
        <w:t>De manera adicional, el modelo SAIB genera resultados para todos los perfiles de velocidad, calidad y simetría ofertados por el AEP.</w:t>
      </w:r>
    </w:p>
  </w:footnote>
  <w:footnote w:id="21">
    <w:p w14:paraId="51BCC07E" w14:textId="77777777" w:rsidR="0067461A" w:rsidRPr="00404740" w:rsidRDefault="0067461A" w:rsidP="0067461A">
      <w:pPr>
        <w:pStyle w:val="Textonotapie"/>
        <w:rPr>
          <w:lang w:val="es-ES"/>
        </w:rPr>
      </w:pPr>
      <w:r>
        <w:rPr>
          <w:rStyle w:val="Refdenotaalpie"/>
        </w:rPr>
        <w:footnoteRef/>
      </w:r>
      <w:r w:rsidRPr="00404740">
        <w:rPr>
          <w:lang w:val="es-ES"/>
        </w:rPr>
        <w:t xml:space="preserve"> </w:t>
      </w:r>
      <w:r w:rsidRPr="00404740">
        <w:rPr>
          <w:lang w:val="es-ES"/>
        </w:rPr>
        <w:tab/>
        <w:t>Por ‘perfil’ entendemos las proporciones de llamadas desde/a varios destinos fijos y móviles, por hora del día y usos de otros servicios</w:t>
      </w:r>
      <w:r>
        <w:rPr>
          <w:lang w:val="es-ES"/>
        </w:rPr>
        <w:t>.</w:t>
      </w:r>
    </w:p>
  </w:footnote>
  <w:footnote w:id="22">
    <w:p w14:paraId="513175EB" w14:textId="77777777" w:rsidR="0067461A" w:rsidRPr="00A84319" w:rsidRDefault="0067461A" w:rsidP="0067461A">
      <w:pPr>
        <w:pStyle w:val="Textonotapie"/>
        <w:rPr>
          <w:lang w:val="es-ES"/>
        </w:rPr>
      </w:pPr>
      <w:r>
        <w:rPr>
          <w:rStyle w:val="Refdenotaalpie"/>
        </w:rPr>
        <w:footnoteRef/>
      </w:r>
      <w:r w:rsidRPr="00A84319">
        <w:rPr>
          <w:lang w:val="es-ES"/>
        </w:rPr>
        <w:t xml:space="preserve"> </w:t>
      </w:r>
      <w:r w:rsidRPr="00A84319">
        <w:rPr>
          <w:lang w:val="es-ES"/>
        </w:rPr>
        <w:tab/>
        <w:t>P</w:t>
      </w:r>
      <w:r>
        <w:rPr>
          <w:lang w:val="es-ES"/>
        </w:rPr>
        <w:t>or ejemplo,</w:t>
      </w:r>
      <w:r w:rsidRPr="00A84319">
        <w:rPr>
          <w:lang w:val="es-ES"/>
        </w:rPr>
        <w:t xml:space="preserve"> </w:t>
      </w:r>
      <w:r>
        <w:rPr>
          <w:lang w:val="es-ES"/>
        </w:rPr>
        <w:t xml:space="preserve">se puede esperar que </w:t>
      </w:r>
      <w:r w:rsidRPr="00A84319">
        <w:rPr>
          <w:lang w:val="es-ES"/>
        </w:rPr>
        <w:t>la proporción de llamadas originadas que son on-net</w:t>
      </w:r>
      <w:r>
        <w:rPr>
          <w:lang w:val="es-ES"/>
        </w:rPr>
        <w:t>, manteniendo todos los otros factores constantes, estén relacionadas con el tamaño de la base de suscriptores del operador. Claramente, a medida que cambie con el tiempo el tamaño del operador modelado, una proporción cambiante dinámicamente del tráfico tendría que ser estimada como on-net.</w:t>
      </w:r>
    </w:p>
  </w:footnote>
  <w:footnote w:id="23">
    <w:p w14:paraId="71859188" w14:textId="77777777" w:rsidR="0067461A" w:rsidRPr="00B6693B" w:rsidRDefault="0067461A" w:rsidP="0067461A">
      <w:pPr>
        <w:pStyle w:val="Textonotapie"/>
        <w:rPr>
          <w:lang w:val="es-MX"/>
        </w:rPr>
      </w:pPr>
      <w:r>
        <w:rPr>
          <w:rStyle w:val="Refdenotaalpie"/>
        </w:rPr>
        <w:footnoteRef/>
      </w:r>
      <w:r w:rsidRPr="002E7923">
        <w:rPr>
          <w:lang w:val="es-MX"/>
        </w:rPr>
        <w:t xml:space="preserve"> </w:t>
      </w:r>
      <w:r w:rsidRPr="002E7923">
        <w:rPr>
          <w:lang w:val="es-MX"/>
        </w:rPr>
        <w:tab/>
        <w:t xml:space="preserve">Una aproximación para el cambio en producción a través del tiempo puede ser aplicada </w:t>
      </w:r>
      <w:r>
        <w:rPr>
          <w:lang w:val="es-MX"/>
        </w:rPr>
        <w:t>con la anualidad inclinada asumiendo un factor de crecimiento de la producción de x% por año.</w:t>
      </w:r>
    </w:p>
  </w:footnote>
  <w:footnote w:id="24">
    <w:p w14:paraId="2C2D1474" w14:textId="77777777" w:rsidR="0067461A" w:rsidRPr="000E3756" w:rsidRDefault="0067461A" w:rsidP="0067461A">
      <w:pPr>
        <w:pStyle w:val="Textonotapie"/>
        <w:rPr>
          <w:lang w:val="es-ES"/>
        </w:rPr>
      </w:pPr>
      <w:r>
        <w:rPr>
          <w:rStyle w:val="Refdenotaalpie"/>
        </w:rPr>
        <w:footnoteRef/>
      </w:r>
      <w:r w:rsidRPr="002E7923">
        <w:rPr>
          <w:lang w:val="es-MX"/>
        </w:rPr>
        <w:t xml:space="preserve"> </w:t>
      </w:r>
      <w:r w:rsidRPr="002E7923">
        <w:rPr>
          <w:lang w:val="es-MX"/>
        </w:rPr>
        <w:tab/>
        <w:t>La depreciación económica puede usar la vida financier</w:t>
      </w:r>
      <w:r>
        <w:rPr>
          <w:lang w:val="es-MX"/>
        </w:rPr>
        <w:t>a</w:t>
      </w:r>
      <w:r w:rsidRPr="002E7923">
        <w:rPr>
          <w:lang w:val="es-MX"/>
        </w:rPr>
        <w:t xml:space="preserve"> de los activos, aunque estrictamente debe usar</w:t>
      </w:r>
      <w:r>
        <w:rPr>
          <w:lang w:val="es-MX"/>
        </w:rPr>
        <w:t xml:space="preserve"> la vida económica (que puede ser menor, mayor o igual a la financiera)</w:t>
      </w:r>
    </w:p>
  </w:footnote>
  <w:footnote w:id="25">
    <w:p w14:paraId="424A771E" w14:textId="77777777" w:rsidR="0067461A" w:rsidRPr="003F6CB3" w:rsidRDefault="0067461A" w:rsidP="0067461A">
      <w:pPr>
        <w:pStyle w:val="Textonotapie"/>
        <w:rPr>
          <w:spacing w:val="-4"/>
          <w:lang w:val="es-ES"/>
        </w:rPr>
      </w:pPr>
      <w:r w:rsidRPr="00593660">
        <w:rPr>
          <w:rStyle w:val="Refdenotaalpie"/>
          <w:spacing w:val="-4"/>
        </w:rPr>
        <w:footnoteRef/>
      </w:r>
      <w:r w:rsidRPr="00593660">
        <w:rPr>
          <w:spacing w:val="-4"/>
          <w:lang w:val="es-ES"/>
        </w:rPr>
        <w:t xml:space="preserve"> </w:t>
      </w:r>
      <w:r w:rsidRPr="00593660">
        <w:rPr>
          <w:spacing w:val="-4"/>
          <w:lang w:val="es-ES"/>
        </w:rPr>
        <w:tab/>
        <w:t>Específicamente, los métodos implementados por Analysys Mason para los reguladores del Reino Unido, Suecia y Noruega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5C70" w14:textId="12E9191F" w:rsidR="005A488E" w:rsidRDefault="005A488E">
    <w:pPr>
      <w:pStyle w:val="Encabezado"/>
    </w:pPr>
    <w:r>
      <w:rPr>
        <w:noProof/>
        <w:lang w:val="en-US"/>
      </w:rPr>
      <w:fldChar w:fldCharType="begin"/>
    </w:r>
    <w:r>
      <w:rPr>
        <w:noProof/>
        <w:lang w:val="en-US"/>
      </w:rPr>
      <w:instrText xml:space="preserve"> STYLEREF "Contents: title" \* MERGEFORMAT </w:instrText>
    </w:r>
    <w:r>
      <w:rPr>
        <w:noProof/>
        <w:lang w:val="en-US"/>
      </w:rPr>
      <w:fldChar w:fldCharType="separate"/>
    </w:r>
    <w:r w:rsidR="00475202">
      <w:rPr>
        <w:b/>
        <w:bCs/>
        <w:noProof/>
        <w:lang w:val="es-ES"/>
      </w:rPr>
      <w:t>¡Error! Utilice la pestaña Inicio para aplicar Contents: title al texto que desea que aparezca aquí.</w:t>
    </w:r>
    <w:r>
      <w:rPr>
        <w:noProof/>
      </w:rPr>
      <w:fldChar w:fldCharType="end"/>
    </w:r>
    <w:r>
      <w:t xml:space="preserve">  |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E44C9" w14:textId="77777777" w:rsidR="003E3F62" w:rsidRPr="008B7633" w:rsidRDefault="003E3F62" w:rsidP="008B76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6835" w14:textId="3C9C130D" w:rsidR="005A488E" w:rsidRDefault="005A488E">
    <w:pPr>
      <w:pStyle w:val="Encabezado"/>
    </w:pPr>
    <w:r>
      <w:tab/>
    </w:r>
    <w:r>
      <w:rPr>
        <w:noProof/>
        <w:lang w:val="en-US"/>
      </w:rPr>
      <w:fldChar w:fldCharType="begin"/>
    </w:r>
    <w:r>
      <w:rPr>
        <w:noProof/>
        <w:lang w:val="en-US"/>
      </w:rPr>
      <w:instrText xml:space="preserve"> STYLEREF "Contents: title" \* MERGEFORMAT </w:instrText>
    </w:r>
    <w:r>
      <w:rPr>
        <w:noProof/>
        <w:lang w:val="en-US"/>
      </w:rPr>
      <w:fldChar w:fldCharType="separate"/>
    </w:r>
    <w:r w:rsidR="00475202">
      <w:rPr>
        <w:b/>
        <w:bCs/>
        <w:noProof/>
        <w:lang w:val="es-ES"/>
      </w:rPr>
      <w:t>¡Error! Utilice la pestaña Inicio para aplicar Contents: title al texto que desea que aparezca aquí.</w:t>
    </w:r>
    <w:r>
      <w:rPr>
        <w:noProof/>
      </w:rPr>
      <w:fldChar w:fldCharType="end"/>
    </w:r>
    <w:r>
      <w:t xml:space="preserve">  |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3D0FE" w14:textId="77777777" w:rsidR="005A488E" w:rsidRDefault="005A488E">
    <w:pPr>
      <w:pStyle w:val="Encabezado"/>
      <w:tabs>
        <w:tab w:val="clear" w:pos="9214"/>
      </w:tabs>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6FED9" w14:textId="6096665E" w:rsidR="003E3F62" w:rsidRPr="00920B9F" w:rsidRDefault="00960B1C">
    <w:pPr>
      <w:pStyle w:val="Encabezado"/>
      <w:rPr>
        <w:lang w:val="es-ES"/>
      </w:rPr>
    </w:pPr>
    <w:r>
      <w:rPr>
        <w:noProof/>
      </w:rPr>
      <w:fldChar w:fldCharType="begin"/>
    </w:r>
    <w:r w:rsidRPr="00920B9F">
      <w:rPr>
        <w:noProof/>
        <w:lang w:val="es-ES"/>
      </w:rPr>
      <w:instrText xml:space="preserve"> STYLEREF “Title: Main” </w:instrText>
    </w:r>
    <w:r>
      <w:rPr>
        <w:noProof/>
      </w:rPr>
      <w:fldChar w:fldCharType="separate"/>
    </w:r>
    <w:r w:rsidR="00475202">
      <w:rPr>
        <w:noProof/>
        <w:lang w:val="es-ES"/>
      </w:rPr>
      <w:t>Marco metodológico del Modelo de Costos para la determinación de tarifas de los Servicios de ITX, Enlaces Dedicados, Usuario Visitante, así como el Servicio de Concentración y Distribución 2024-2026</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16431" w14:textId="6E8BB10D" w:rsidR="003E3F62" w:rsidRPr="00095A2F" w:rsidRDefault="00410517">
    <w:pPr>
      <w:pStyle w:val="Encabezado"/>
      <w:rPr>
        <w:lang w:val="es-MX"/>
      </w:rPr>
    </w:pPr>
    <w:r>
      <w:fldChar w:fldCharType="begin"/>
    </w:r>
    <w:r w:rsidRPr="00095A2F">
      <w:rPr>
        <w:lang w:val="es-MX"/>
      </w:rPr>
      <w:instrText xml:space="preserve"> STYLEREF “Title: Main” </w:instrText>
    </w:r>
    <w:r>
      <w:fldChar w:fldCharType="separate"/>
    </w:r>
    <w:r w:rsidR="00475202">
      <w:rPr>
        <w:noProof/>
        <w:lang w:val="es-MX"/>
      </w:rPr>
      <w:t>Marco metodológico del Modelo de Costos para la determinación de tarifas de los Servicios de ITX, Enlaces Dedicados, Usuario Visitante, así como el Servicio de Concentración y Distribución 2024-2026</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60B70" w14:textId="3A6F557E" w:rsidR="003E3F62" w:rsidRDefault="00960B1C">
    <w:pPr>
      <w:pStyle w:val="Encabezado"/>
    </w:pPr>
    <w:r>
      <w:rPr>
        <w:noProof/>
      </w:rPr>
      <w:fldChar w:fldCharType="begin"/>
    </w:r>
    <w:r>
      <w:rPr>
        <w:noProof/>
      </w:rPr>
      <w:instrText xml:space="preserve"> STYLEREF “Title: Main” </w:instrText>
    </w:r>
    <w:r>
      <w:rPr>
        <w:noProof/>
      </w:rPr>
      <w:fldChar w:fldCharType="separate"/>
    </w:r>
    <w:r w:rsidR="00475202">
      <w:rPr>
        <w:noProof/>
      </w:rPr>
      <w:t>Marco metodológico del Modelo de Costos para la determinación de tarifas de los Servicios de ITX, Enlaces Dedicados, Usuario Visitante, así como el Servicio de Concentración y Distribución 2024-2026</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D4165" w14:textId="1F8454D7" w:rsidR="003E3F62" w:rsidRPr="00CE3783" w:rsidRDefault="003E3F62">
    <w:pPr>
      <w:pStyle w:val="Encabezado"/>
      <w:rPr>
        <w:lang w:val="es-MX"/>
      </w:rPr>
    </w:pPr>
    <w:r>
      <w:rPr>
        <w:rStyle w:val="Nmerodepgina"/>
      </w:rPr>
      <w:fldChar w:fldCharType="begin"/>
    </w:r>
    <w:r w:rsidRPr="00CE3783">
      <w:rPr>
        <w:rStyle w:val="Nmerodepgina"/>
        <w:lang w:val="es-MX"/>
      </w:rPr>
      <w:instrText xml:space="preserve"> PAGE </w:instrText>
    </w:r>
    <w:r>
      <w:rPr>
        <w:rStyle w:val="Nmerodepgina"/>
      </w:rPr>
      <w:fldChar w:fldCharType="separate"/>
    </w:r>
    <w:r w:rsidRPr="00CE3783">
      <w:rPr>
        <w:rStyle w:val="Nmerodepgina"/>
        <w:noProof/>
        <w:lang w:val="es-MX"/>
      </w:rPr>
      <w:t>2</w:t>
    </w:r>
    <w:r>
      <w:rPr>
        <w:rStyle w:val="Nmerodepgina"/>
      </w:rPr>
      <w:fldChar w:fldCharType="end"/>
    </w:r>
    <w:r w:rsidRPr="00CE3783">
      <w:rPr>
        <w:rStyle w:val="Nmerodepgina"/>
        <w:lang w:val="es-MX"/>
      </w:rPr>
      <w:t xml:space="preserve">  |  </w:t>
    </w:r>
    <w:r w:rsidR="00960B1C">
      <w:rPr>
        <w:noProof/>
      </w:rPr>
      <w:fldChar w:fldCharType="begin"/>
    </w:r>
    <w:r w:rsidR="00960B1C" w:rsidRPr="00CE3783">
      <w:rPr>
        <w:noProof/>
        <w:lang w:val="es-MX"/>
      </w:rPr>
      <w:instrText xml:space="preserve"> STYLEREF “Title: Main” </w:instrText>
    </w:r>
    <w:r w:rsidR="00960B1C">
      <w:rPr>
        <w:noProof/>
      </w:rPr>
      <w:fldChar w:fldCharType="separate"/>
    </w:r>
    <w:r w:rsidR="00475202">
      <w:rPr>
        <w:noProof/>
        <w:lang w:val="es-MX"/>
      </w:rPr>
      <w:t>Marco metodológico del Modelo de Costos para la determinación de tarifas de los Servicios de ITX, Enlaces Dedicados, Usuario Visitante, así como el Servicio de Concentración y Distribución 2024-2026</w:t>
    </w:r>
    <w:r w:rsidR="00960B1C">
      <w:rPr>
        <w:noProof/>
      </w:rPr>
      <w:fldChar w:fldCharType="end"/>
    </w:r>
    <w:r w:rsidRPr="00CE3783">
      <w:rPr>
        <w:lang w:val="es-MX"/>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1E412" w14:textId="55867D2C" w:rsidR="003E3F62" w:rsidRPr="00E704D8" w:rsidRDefault="00960B1C">
    <w:pPr>
      <w:pStyle w:val="Encabezado"/>
      <w:rPr>
        <w:lang w:val="es-ES"/>
      </w:rPr>
    </w:pPr>
    <w:r>
      <w:rPr>
        <w:noProof/>
      </w:rPr>
      <w:fldChar w:fldCharType="begin"/>
    </w:r>
    <w:r w:rsidRPr="00E704D8">
      <w:rPr>
        <w:noProof/>
        <w:lang w:val="es-ES"/>
      </w:rPr>
      <w:instrText xml:space="preserve"> STYLEREF “Title: Main” </w:instrText>
    </w:r>
    <w:r>
      <w:rPr>
        <w:noProof/>
      </w:rPr>
      <w:fldChar w:fldCharType="separate"/>
    </w:r>
    <w:r w:rsidR="00475202">
      <w:rPr>
        <w:noProof/>
        <w:lang w:val="es-ES"/>
      </w:rPr>
      <w:t>Marco metodológico del Modelo de Costos para la determinación de tarifas de los Servicios de ITX, Enlaces Dedicados, Usuario Visitante, así como el Servicio de Concentración y Distribución 2024-2026</w:t>
    </w:r>
    <w:r>
      <w:rPr>
        <w:noProof/>
      </w:rPr>
      <w:fldChar w:fldCharType="end"/>
    </w:r>
    <w:r w:rsidR="003E3F62" w:rsidRPr="00E704D8">
      <w:rPr>
        <w:lang w:val="es-ES"/>
      </w:rPr>
      <w:t xml:space="preserve">  |  </w:t>
    </w:r>
    <w:r w:rsidR="003E3F62">
      <w:rPr>
        <w:rStyle w:val="Nmerodepgina"/>
      </w:rPr>
      <w:fldChar w:fldCharType="begin"/>
    </w:r>
    <w:r w:rsidR="003E3F62" w:rsidRPr="00E704D8">
      <w:rPr>
        <w:rStyle w:val="Nmerodepgina"/>
        <w:lang w:val="es-ES"/>
      </w:rPr>
      <w:instrText xml:space="preserve"> PAGE </w:instrText>
    </w:r>
    <w:r w:rsidR="003E3F62">
      <w:rPr>
        <w:rStyle w:val="Nmerodepgina"/>
      </w:rPr>
      <w:fldChar w:fldCharType="separate"/>
    </w:r>
    <w:r w:rsidR="00921579" w:rsidRPr="00E704D8">
      <w:rPr>
        <w:rStyle w:val="Nmerodepgina"/>
        <w:noProof/>
        <w:lang w:val="es-ES"/>
      </w:rPr>
      <w:t>2</w:t>
    </w:r>
    <w:r w:rsidR="003E3F62">
      <w:rPr>
        <w:rStyle w:val="Nmerodepgin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318B" w14:textId="3936B29D" w:rsidR="003E3F62" w:rsidRPr="00E704D8" w:rsidRDefault="00960B1C">
    <w:pPr>
      <w:pStyle w:val="Encabezado"/>
      <w:tabs>
        <w:tab w:val="clear" w:pos="9214"/>
      </w:tabs>
      <w:ind w:left="0" w:right="-510"/>
      <w:rPr>
        <w:lang w:val="es-ES"/>
      </w:rPr>
    </w:pPr>
    <w:r>
      <w:rPr>
        <w:noProof/>
      </w:rPr>
      <w:fldChar w:fldCharType="begin"/>
    </w:r>
    <w:r w:rsidRPr="00E704D8">
      <w:rPr>
        <w:noProof/>
        <w:lang w:val="es-ES"/>
      </w:rPr>
      <w:instrText xml:space="preserve"> STYLEREF “Title: Main” </w:instrText>
    </w:r>
    <w:r>
      <w:rPr>
        <w:noProof/>
      </w:rPr>
      <w:fldChar w:fldCharType="separate"/>
    </w:r>
    <w:r w:rsidR="00475202">
      <w:rPr>
        <w:noProof/>
        <w:lang w:val="es-ES"/>
      </w:rPr>
      <w:t>Marco metodológico del Modelo de Costos para la determinación de tarifas de los Servicios de ITX, Enlaces Dedicados, Usuario Visitante, así como el Servicio de Concentración y Distribución 2024-2026</w:t>
    </w:r>
    <w:r>
      <w:rPr>
        <w:noProof/>
      </w:rPr>
      <w:fldChar w:fldCharType="end"/>
    </w:r>
    <w:r w:rsidR="003E3F62" w:rsidRPr="00E704D8">
      <w:rPr>
        <w:lang w:val="es-ES"/>
      </w:rPr>
      <w:t xml:space="preserve">  |  </w:t>
    </w:r>
    <w:r w:rsidR="003E3F62">
      <w:rPr>
        <w:rStyle w:val="Nmerodepgina"/>
      </w:rPr>
      <w:fldChar w:fldCharType="begin"/>
    </w:r>
    <w:r w:rsidR="003E3F62" w:rsidRPr="00E704D8">
      <w:rPr>
        <w:rStyle w:val="Nmerodepgina"/>
        <w:lang w:val="es-ES"/>
      </w:rPr>
      <w:instrText xml:space="preserve"> PAGE </w:instrText>
    </w:r>
    <w:r w:rsidR="003E3F62">
      <w:rPr>
        <w:rStyle w:val="Nmerodepgina"/>
      </w:rPr>
      <w:fldChar w:fldCharType="separate"/>
    </w:r>
    <w:r w:rsidR="00921579" w:rsidRPr="00E704D8">
      <w:rPr>
        <w:rStyle w:val="Nmerodepgina"/>
        <w:noProof/>
        <w:lang w:val="es-ES"/>
      </w:rPr>
      <w:t>1</w:t>
    </w:r>
    <w:r w:rsidR="003E3F62">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428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6E63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4034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24F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6C09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A298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783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8A80A08"/>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9" w15:restartNumberingAfterBreak="0">
    <w:nsid w:val="003B0B0E"/>
    <w:multiLevelType w:val="hybridMultilevel"/>
    <w:tmpl w:val="8264CA00"/>
    <w:lvl w:ilvl="0" w:tplc="17240298">
      <w:start w:val="1"/>
      <w:numFmt w:val="bullet"/>
      <w:lvlText w:val=""/>
      <w:lvlJc w:val="left"/>
      <w:pPr>
        <w:ind w:left="720" w:hanging="360"/>
      </w:pPr>
      <w:rPr>
        <w:rFonts w:ascii="Symbol" w:hAnsi="Symbol" w:hint="default"/>
        <w:sz w:val="20"/>
      </w:rPr>
    </w:lvl>
    <w:lvl w:ilvl="1" w:tplc="31D2ADA6">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0C7044E"/>
    <w:multiLevelType w:val="singleLevel"/>
    <w:tmpl w:val="17240298"/>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0453214B"/>
    <w:multiLevelType w:val="hybridMultilevel"/>
    <w:tmpl w:val="C50CFD72"/>
    <w:lvl w:ilvl="0" w:tplc="17240298">
      <w:start w:val="1"/>
      <w:numFmt w:val="bullet"/>
      <w:lvlText w:val=""/>
      <w:lvlJc w:val="left"/>
      <w:pPr>
        <w:ind w:left="720" w:hanging="360"/>
      </w:pPr>
      <w:rPr>
        <w:rFonts w:ascii="Symbol" w:hAnsi="Symbol" w:hint="default"/>
        <w:sz w:val="20"/>
      </w:rPr>
    </w:lvl>
    <w:lvl w:ilvl="1" w:tplc="31D2ADA6">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6E7309"/>
    <w:multiLevelType w:val="hybridMultilevel"/>
    <w:tmpl w:val="E6F86730"/>
    <w:lvl w:ilvl="0" w:tplc="F1A27734">
      <w:start w:val="1"/>
      <w:numFmt w:val="bullet"/>
      <w:lvlText w:val=""/>
      <w:lvlJc w:val="left"/>
      <w:pPr>
        <w:ind w:left="720" w:hanging="360"/>
      </w:pPr>
      <w:rPr>
        <w:rFonts w:ascii="Symbol" w:hAnsi="Symbol"/>
      </w:rPr>
    </w:lvl>
    <w:lvl w:ilvl="1" w:tplc="97925A74">
      <w:start w:val="1"/>
      <w:numFmt w:val="bullet"/>
      <w:lvlText w:val=""/>
      <w:lvlJc w:val="left"/>
      <w:pPr>
        <w:ind w:left="720" w:hanging="360"/>
      </w:pPr>
      <w:rPr>
        <w:rFonts w:ascii="Symbol" w:hAnsi="Symbol"/>
      </w:rPr>
    </w:lvl>
    <w:lvl w:ilvl="2" w:tplc="A26693DC">
      <w:start w:val="1"/>
      <w:numFmt w:val="bullet"/>
      <w:lvlText w:val=""/>
      <w:lvlJc w:val="left"/>
      <w:pPr>
        <w:ind w:left="720" w:hanging="360"/>
      </w:pPr>
      <w:rPr>
        <w:rFonts w:ascii="Symbol" w:hAnsi="Symbol"/>
      </w:rPr>
    </w:lvl>
    <w:lvl w:ilvl="3" w:tplc="DAEADBD2">
      <w:start w:val="1"/>
      <w:numFmt w:val="bullet"/>
      <w:lvlText w:val=""/>
      <w:lvlJc w:val="left"/>
      <w:pPr>
        <w:ind w:left="720" w:hanging="360"/>
      </w:pPr>
      <w:rPr>
        <w:rFonts w:ascii="Symbol" w:hAnsi="Symbol"/>
      </w:rPr>
    </w:lvl>
    <w:lvl w:ilvl="4" w:tplc="94B432AA">
      <w:start w:val="1"/>
      <w:numFmt w:val="bullet"/>
      <w:lvlText w:val=""/>
      <w:lvlJc w:val="left"/>
      <w:pPr>
        <w:ind w:left="720" w:hanging="360"/>
      </w:pPr>
      <w:rPr>
        <w:rFonts w:ascii="Symbol" w:hAnsi="Symbol"/>
      </w:rPr>
    </w:lvl>
    <w:lvl w:ilvl="5" w:tplc="FDC8AA04">
      <w:start w:val="1"/>
      <w:numFmt w:val="bullet"/>
      <w:lvlText w:val=""/>
      <w:lvlJc w:val="left"/>
      <w:pPr>
        <w:ind w:left="720" w:hanging="360"/>
      </w:pPr>
      <w:rPr>
        <w:rFonts w:ascii="Symbol" w:hAnsi="Symbol"/>
      </w:rPr>
    </w:lvl>
    <w:lvl w:ilvl="6" w:tplc="F6E8B658">
      <w:start w:val="1"/>
      <w:numFmt w:val="bullet"/>
      <w:lvlText w:val=""/>
      <w:lvlJc w:val="left"/>
      <w:pPr>
        <w:ind w:left="720" w:hanging="360"/>
      </w:pPr>
      <w:rPr>
        <w:rFonts w:ascii="Symbol" w:hAnsi="Symbol"/>
      </w:rPr>
    </w:lvl>
    <w:lvl w:ilvl="7" w:tplc="CA06C0E8">
      <w:start w:val="1"/>
      <w:numFmt w:val="bullet"/>
      <w:lvlText w:val=""/>
      <w:lvlJc w:val="left"/>
      <w:pPr>
        <w:ind w:left="720" w:hanging="360"/>
      </w:pPr>
      <w:rPr>
        <w:rFonts w:ascii="Symbol" w:hAnsi="Symbol"/>
      </w:rPr>
    </w:lvl>
    <w:lvl w:ilvl="8" w:tplc="0B16B1C0">
      <w:start w:val="1"/>
      <w:numFmt w:val="bullet"/>
      <w:lvlText w:val=""/>
      <w:lvlJc w:val="left"/>
      <w:pPr>
        <w:ind w:left="720" w:hanging="360"/>
      </w:pPr>
      <w:rPr>
        <w:rFonts w:ascii="Symbol" w:hAnsi="Symbol"/>
      </w:rPr>
    </w:lvl>
  </w:abstractNum>
  <w:abstractNum w:abstractNumId="13" w15:restartNumberingAfterBreak="0">
    <w:nsid w:val="0DB6421E"/>
    <w:multiLevelType w:val="hybridMultilevel"/>
    <w:tmpl w:val="2E827ED8"/>
    <w:lvl w:ilvl="0" w:tplc="422E6672">
      <w:start w:val="1"/>
      <w:numFmt w:val="bullet"/>
      <w:pStyle w:val="Listaconvietas2"/>
      <w:lvlText w:val="–"/>
      <w:lvlJc w:val="left"/>
      <w:pPr>
        <w:ind w:left="717" w:hanging="360"/>
      </w:pPr>
      <w:rPr>
        <w:rFonts w:ascii="Times New Roman" w:hAnsi="Times New Roman" w:hint="default"/>
        <w:b w:val="0"/>
        <w:i w:val="0"/>
        <w:color w:val="auto"/>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0DE5317A"/>
    <w:multiLevelType w:val="hybridMultilevel"/>
    <w:tmpl w:val="C450DE7E"/>
    <w:lvl w:ilvl="0" w:tplc="439AC790">
      <w:start w:val="1"/>
      <w:numFmt w:val="bullet"/>
      <w:lvlText w:val=""/>
      <w:lvlJc w:val="left"/>
      <w:pPr>
        <w:ind w:left="720" w:hanging="360"/>
      </w:pPr>
      <w:rPr>
        <w:rFonts w:ascii="Symbol" w:hAnsi="Symbol"/>
      </w:rPr>
    </w:lvl>
    <w:lvl w:ilvl="1" w:tplc="760ACFBE">
      <w:start w:val="1"/>
      <w:numFmt w:val="bullet"/>
      <w:lvlText w:val=""/>
      <w:lvlJc w:val="left"/>
      <w:pPr>
        <w:ind w:left="720" w:hanging="360"/>
      </w:pPr>
      <w:rPr>
        <w:rFonts w:ascii="Symbol" w:hAnsi="Symbol"/>
      </w:rPr>
    </w:lvl>
    <w:lvl w:ilvl="2" w:tplc="4428FEB0">
      <w:start w:val="1"/>
      <w:numFmt w:val="bullet"/>
      <w:lvlText w:val=""/>
      <w:lvlJc w:val="left"/>
      <w:pPr>
        <w:ind w:left="720" w:hanging="360"/>
      </w:pPr>
      <w:rPr>
        <w:rFonts w:ascii="Symbol" w:hAnsi="Symbol"/>
      </w:rPr>
    </w:lvl>
    <w:lvl w:ilvl="3" w:tplc="3848A908">
      <w:start w:val="1"/>
      <w:numFmt w:val="bullet"/>
      <w:lvlText w:val=""/>
      <w:lvlJc w:val="left"/>
      <w:pPr>
        <w:ind w:left="720" w:hanging="360"/>
      </w:pPr>
      <w:rPr>
        <w:rFonts w:ascii="Symbol" w:hAnsi="Symbol"/>
      </w:rPr>
    </w:lvl>
    <w:lvl w:ilvl="4" w:tplc="4858A4B8">
      <w:start w:val="1"/>
      <w:numFmt w:val="bullet"/>
      <w:lvlText w:val=""/>
      <w:lvlJc w:val="left"/>
      <w:pPr>
        <w:ind w:left="720" w:hanging="360"/>
      </w:pPr>
      <w:rPr>
        <w:rFonts w:ascii="Symbol" w:hAnsi="Symbol"/>
      </w:rPr>
    </w:lvl>
    <w:lvl w:ilvl="5" w:tplc="9F82AA6A">
      <w:start w:val="1"/>
      <w:numFmt w:val="bullet"/>
      <w:lvlText w:val=""/>
      <w:lvlJc w:val="left"/>
      <w:pPr>
        <w:ind w:left="720" w:hanging="360"/>
      </w:pPr>
      <w:rPr>
        <w:rFonts w:ascii="Symbol" w:hAnsi="Symbol"/>
      </w:rPr>
    </w:lvl>
    <w:lvl w:ilvl="6" w:tplc="174C02AE">
      <w:start w:val="1"/>
      <w:numFmt w:val="bullet"/>
      <w:lvlText w:val=""/>
      <w:lvlJc w:val="left"/>
      <w:pPr>
        <w:ind w:left="720" w:hanging="360"/>
      </w:pPr>
      <w:rPr>
        <w:rFonts w:ascii="Symbol" w:hAnsi="Symbol"/>
      </w:rPr>
    </w:lvl>
    <w:lvl w:ilvl="7" w:tplc="21621140">
      <w:start w:val="1"/>
      <w:numFmt w:val="bullet"/>
      <w:lvlText w:val=""/>
      <w:lvlJc w:val="left"/>
      <w:pPr>
        <w:ind w:left="720" w:hanging="360"/>
      </w:pPr>
      <w:rPr>
        <w:rFonts w:ascii="Symbol" w:hAnsi="Symbol"/>
      </w:rPr>
    </w:lvl>
    <w:lvl w:ilvl="8" w:tplc="2736AC00">
      <w:start w:val="1"/>
      <w:numFmt w:val="bullet"/>
      <w:lvlText w:val=""/>
      <w:lvlJc w:val="left"/>
      <w:pPr>
        <w:ind w:left="720" w:hanging="360"/>
      </w:pPr>
      <w:rPr>
        <w:rFonts w:ascii="Symbol" w:hAnsi="Symbol"/>
      </w:rPr>
    </w:lvl>
  </w:abstractNum>
  <w:abstractNum w:abstractNumId="15" w15:restartNumberingAfterBreak="0">
    <w:nsid w:val="0EA80204"/>
    <w:multiLevelType w:val="hybridMultilevel"/>
    <w:tmpl w:val="2294DA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A362D84"/>
    <w:multiLevelType w:val="hybridMultilevel"/>
    <w:tmpl w:val="173219C6"/>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9695B"/>
    <w:multiLevelType w:val="multilevel"/>
    <w:tmpl w:val="26980118"/>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lvlText w:val="%1.%2"/>
      <w:lvlJc w:val="left"/>
      <w:pPr>
        <w:tabs>
          <w:tab w:val="num" w:pos="1134"/>
        </w:tabs>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8" w15:restartNumberingAfterBreak="0">
    <w:nsid w:val="1D822D5E"/>
    <w:multiLevelType w:val="hybridMultilevel"/>
    <w:tmpl w:val="3C7007EE"/>
    <w:lvl w:ilvl="0" w:tplc="AF90A5D0">
      <w:start w:val="1"/>
      <w:numFmt w:val="bullet"/>
      <w:lvlText w:val=""/>
      <w:lvlJc w:val="left"/>
      <w:pPr>
        <w:ind w:left="720" w:hanging="360"/>
      </w:pPr>
      <w:rPr>
        <w:rFonts w:ascii="Symbol" w:hAnsi="Symbol"/>
      </w:rPr>
    </w:lvl>
    <w:lvl w:ilvl="1" w:tplc="A2E6E842">
      <w:start w:val="1"/>
      <w:numFmt w:val="bullet"/>
      <w:lvlText w:val=""/>
      <w:lvlJc w:val="left"/>
      <w:pPr>
        <w:ind w:left="720" w:hanging="360"/>
      </w:pPr>
      <w:rPr>
        <w:rFonts w:ascii="Symbol" w:hAnsi="Symbol"/>
      </w:rPr>
    </w:lvl>
    <w:lvl w:ilvl="2" w:tplc="C916EFB0">
      <w:start w:val="1"/>
      <w:numFmt w:val="bullet"/>
      <w:lvlText w:val=""/>
      <w:lvlJc w:val="left"/>
      <w:pPr>
        <w:ind w:left="720" w:hanging="360"/>
      </w:pPr>
      <w:rPr>
        <w:rFonts w:ascii="Symbol" w:hAnsi="Symbol"/>
      </w:rPr>
    </w:lvl>
    <w:lvl w:ilvl="3" w:tplc="E6A28A78">
      <w:start w:val="1"/>
      <w:numFmt w:val="bullet"/>
      <w:lvlText w:val=""/>
      <w:lvlJc w:val="left"/>
      <w:pPr>
        <w:ind w:left="720" w:hanging="360"/>
      </w:pPr>
      <w:rPr>
        <w:rFonts w:ascii="Symbol" w:hAnsi="Symbol"/>
      </w:rPr>
    </w:lvl>
    <w:lvl w:ilvl="4" w:tplc="8EB4F2C2">
      <w:start w:val="1"/>
      <w:numFmt w:val="bullet"/>
      <w:lvlText w:val=""/>
      <w:lvlJc w:val="left"/>
      <w:pPr>
        <w:ind w:left="720" w:hanging="360"/>
      </w:pPr>
      <w:rPr>
        <w:rFonts w:ascii="Symbol" w:hAnsi="Symbol"/>
      </w:rPr>
    </w:lvl>
    <w:lvl w:ilvl="5" w:tplc="B14C5782">
      <w:start w:val="1"/>
      <w:numFmt w:val="bullet"/>
      <w:lvlText w:val=""/>
      <w:lvlJc w:val="left"/>
      <w:pPr>
        <w:ind w:left="720" w:hanging="360"/>
      </w:pPr>
      <w:rPr>
        <w:rFonts w:ascii="Symbol" w:hAnsi="Symbol"/>
      </w:rPr>
    </w:lvl>
    <w:lvl w:ilvl="6" w:tplc="809EC4A0">
      <w:start w:val="1"/>
      <w:numFmt w:val="bullet"/>
      <w:lvlText w:val=""/>
      <w:lvlJc w:val="left"/>
      <w:pPr>
        <w:ind w:left="720" w:hanging="360"/>
      </w:pPr>
      <w:rPr>
        <w:rFonts w:ascii="Symbol" w:hAnsi="Symbol"/>
      </w:rPr>
    </w:lvl>
    <w:lvl w:ilvl="7" w:tplc="E7E27836">
      <w:start w:val="1"/>
      <w:numFmt w:val="bullet"/>
      <w:lvlText w:val=""/>
      <w:lvlJc w:val="left"/>
      <w:pPr>
        <w:ind w:left="720" w:hanging="360"/>
      </w:pPr>
      <w:rPr>
        <w:rFonts w:ascii="Symbol" w:hAnsi="Symbol"/>
      </w:rPr>
    </w:lvl>
    <w:lvl w:ilvl="8" w:tplc="0F5824A8">
      <w:start w:val="1"/>
      <w:numFmt w:val="bullet"/>
      <w:lvlText w:val=""/>
      <w:lvlJc w:val="left"/>
      <w:pPr>
        <w:ind w:left="720" w:hanging="360"/>
      </w:pPr>
      <w:rPr>
        <w:rFonts w:ascii="Symbol" w:hAnsi="Symbol"/>
      </w:rPr>
    </w:lvl>
  </w:abstractNum>
  <w:abstractNum w:abstractNumId="19" w15:restartNumberingAfterBreak="0">
    <w:nsid w:val="212F4F9C"/>
    <w:multiLevelType w:val="hybridMultilevel"/>
    <w:tmpl w:val="B7C20C32"/>
    <w:lvl w:ilvl="0" w:tplc="31D2ADA6">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1C2518D"/>
    <w:multiLevelType w:val="hybridMultilevel"/>
    <w:tmpl w:val="B0E267BC"/>
    <w:lvl w:ilvl="0" w:tplc="223249B6">
      <w:start w:val="1"/>
      <w:numFmt w:val="bullet"/>
      <w:lvlText w:val=""/>
      <w:lvlJc w:val="left"/>
      <w:pPr>
        <w:ind w:left="720" w:hanging="360"/>
      </w:pPr>
      <w:rPr>
        <w:rFonts w:ascii="Symbol" w:hAnsi="Symbol"/>
      </w:rPr>
    </w:lvl>
    <w:lvl w:ilvl="1" w:tplc="5D1420BE">
      <w:start w:val="1"/>
      <w:numFmt w:val="bullet"/>
      <w:lvlText w:val=""/>
      <w:lvlJc w:val="left"/>
      <w:pPr>
        <w:ind w:left="720" w:hanging="360"/>
      </w:pPr>
      <w:rPr>
        <w:rFonts w:ascii="Symbol" w:hAnsi="Symbol"/>
      </w:rPr>
    </w:lvl>
    <w:lvl w:ilvl="2" w:tplc="5F5CB1F2">
      <w:start w:val="1"/>
      <w:numFmt w:val="bullet"/>
      <w:lvlText w:val=""/>
      <w:lvlJc w:val="left"/>
      <w:pPr>
        <w:ind w:left="720" w:hanging="360"/>
      </w:pPr>
      <w:rPr>
        <w:rFonts w:ascii="Symbol" w:hAnsi="Symbol"/>
      </w:rPr>
    </w:lvl>
    <w:lvl w:ilvl="3" w:tplc="2AF45B10">
      <w:start w:val="1"/>
      <w:numFmt w:val="bullet"/>
      <w:lvlText w:val=""/>
      <w:lvlJc w:val="left"/>
      <w:pPr>
        <w:ind w:left="720" w:hanging="360"/>
      </w:pPr>
      <w:rPr>
        <w:rFonts w:ascii="Symbol" w:hAnsi="Symbol"/>
      </w:rPr>
    </w:lvl>
    <w:lvl w:ilvl="4" w:tplc="F41691CE">
      <w:start w:val="1"/>
      <w:numFmt w:val="bullet"/>
      <w:lvlText w:val=""/>
      <w:lvlJc w:val="left"/>
      <w:pPr>
        <w:ind w:left="720" w:hanging="360"/>
      </w:pPr>
      <w:rPr>
        <w:rFonts w:ascii="Symbol" w:hAnsi="Symbol"/>
      </w:rPr>
    </w:lvl>
    <w:lvl w:ilvl="5" w:tplc="2CC62406">
      <w:start w:val="1"/>
      <w:numFmt w:val="bullet"/>
      <w:lvlText w:val=""/>
      <w:lvlJc w:val="left"/>
      <w:pPr>
        <w:ind w:left="720" w:hanging="360"/>
      </w:pPr>
      <w:rPr>
        <w:rFonts w:ascii="Symbol" w:hAnsi="Symbol"/>
      </w:rPr>
    </w:lvl>
    <w:lvl w:ilvl="6" w:tplc="5AA84296">
      <w:start w:val="1"/>
      <w:numFmt w:val="bullet"/>
      <w:lvlText w:val=""/>
      <w:lvlJc w:val="left"/>
      <w:pPr>
        <w:ind w:left="720" w:hanging="360"/>
      </w:pPr>
      <w:rPr>
        <w:rFonts w:ascii="Symbol" w:hAnsi="Symbol"/>
      </w:rPr>
    </w:lvl>
    <w:lvl w:ilvl="7" w:tplc="FA80C47C">
      <w:start w:val="1"/>
      <w:numFmt w:val="bullet"/>
      <w:lvlText w:val=""/>
      <w:lvlJc w:val="left"/>
      <w:pPr>
        <w:ind w:left="720" w:hanging="360"/>
      </w:pPr>
      <w:rPr>
        <w:rFonts w:ascii="Symbol" w:hAnsi="Symbol"/>
      </w:rPr>
    </w:lvl>
    <w:lvl w:ilvl="8" w:tplc="475622C2">
      <w:start w:val="1"/>
      <w:numFmt w:val="bullet"/>
      <w:lvlText w:val=""/>
      <w:lvlJc w:val="left"/>
      <w:pPr>
        <w:ind w:left="720" w:hanging="360"/>
      </w:pPr>
      <w:rPr>
        <w:rFonts w:ascii="Symbol" w:hAnsi="Symbol"/>
      </w:rPr>
    </w:lvl>
  </w:abstractNum>
  <w:abstractNum w:abstractNumId="21" w15:restartNumberingAfterBreak="0">
    <w:nsid w:val="293458C0"/>
    <w:multiLevelType w:val="hybridMultilevel"/>
    <w:tmpl w:val="5048679C"/>
    <w:lvl w:ilvl="0" w:tplc="402E92D6">
      <w:start w:val="1"/>
      <w:numFmt w:val="bullet"/>
      <w:pStyle w:val="CV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3735F4"/>
    <w:multiLevelType w:val="multilevel"/>
    <w:tmpl w:val="89E461CC"/>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pStyle w:val="Ttulo2"/>
      <w:lvlText w:val="%1.%2"/>
      <w:lvlJc w:val="left"/>
      <w:pPr>
        <w:ind w:left="0" w:hanging="499"/>
      </w:pPr>
      <w:rPr>
        <w:rFonts w:ascii="Times New Roman Bold" w:hAnsi="Times New Roman Bold" w:hint="default"/>
        <w:b/>
        <w:i w:val="0"/>
        <w:sz w:val="24"/>
      </w:rPr>
    </w:lvl>
    <w:lvl w:ilvl="2">
      <w:start w:val="1"/>
      <w:numFmt w:val="decimal"/>
      <w:pStyle w:val="Ttulo3"/>
      <w:lvlText w:val="%1.%2.%3"/>
      <w:lvlJc w:val="left"/>
      <w:pPr>
        <w:ind w:left="0" w:hanging="499"/>
      </w:pPr>
      <w:rPr>
        <w:rFonts w:ascii="Times New Roman Bold" w:hAnsi="Times New Roman Bold" w:hint="default"/>
        <w:b/>
        <w:i w:val="0"/>
        <w:sz w:val="22"/>
      </w:rPr>
    </w:lvl>
    <w:lvl w:ilvl="3">
      <w:start w:val="1"/>
      <w:numFmt w:val="none"/>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3" w15:restartNumberingAfterBreak="0">
    <w:nsid w:val="2E424F1F"/>
    <w:multiLevelType w:val="hybridMultilevel"/>
    <w:tmpl w:val="688423E6"/>
    <w:lvl w:ilvl="0" w:tplc="17240298">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937F97"/>
    <w:multiLevelType w:val="hybridMultilevel"/>
    <w:tmpl w:val="B0E0208C"/>
    <w:lvl w:ilvl="0" w:tplc="4EA8D22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5B0694"/>
    <w:multiLevelType w:val="hybridMultilevel"/>
    <w:tmpl w:val="199CE64A"/>
    <w:lvl w:ilvl="0" w:tplc="6498A2D0">
      <w:start w:val="1"/>
      <w:numFmt w:val="bullet"/>
      <w:lvlText w:val=""/>
      <w:lvlJc w:val="left"/>
      <w:pPr>
        <w:ind w:left="720" w:hanging="360"/>
      </w:pPr>
      <w:rPr>
        <w:rFonts w:ascii="Symbol" w:hAnsi="Symbol"/>
      </w:rPr>
    </w:lvl>
    <w:lvl w:ilvl="1" w:tplc="865033BE">
      <w:start w:val="1"/>
      <w:numFmt w:val="bullet"/>
      <w:lvlText w:val=""/>
      <w:lvlJc w:val="left"/>
      <w:pPr>
        <w:ind w:left="720" w:hanging="360"/>
      </w:pPr>
      <w:rPr>
        <w:rFonts w:ascii="Symbol" w:hAnsi="Symbol"/>
      </w:rPr>
    </w:lvl>
    <w:lvl w:ilvl="2" w:tplc="5C187372">
      <w:start w:val="1"/>
      <w:numFmt w:val="bullet"/>
      <w:lvlText w:val=""/>
      <w:lvlJc w:val="left"/>
      <w:pPr>
        <w:ind w:left="720" w:hanging="360"/>
      </w:pPr>
      <w:rPr>
        <w:rFonts w:ascii="Symbol" w:hAnsi="Symbol"/>
      </w:rPr>
    </w:lvl>
    <w:lvl w:ilvl="3" w:tplc="7C2291E8">
      <w:start w:val="1"/>
      <w:numFmt w:val="bullet"/>
      <w:lvlText w:val=""/>
      <w:lvlJc w:val="left"/>
      <w:pPr>
        <w:ind w:left="720" w:hanging="360"/>
      </w:pPr>
      <w:rPr>
        <w:rFonts w:ascii="Symbol" w:hAnsi="Symbol"/>
      </w:rPr>
    </w:lvl>
    <w:lvl w:ilvl="4" w:tplc="E1A88E62">
      <w:start w:val="1"/>
      <w:numFmt w:val="bullet"/>
      <w:lvlText w:val=""/>
      <w:lvlJc w:val="left"/>
      <w:pPr>
        <w:ind w:left="720" w:hanging="360"/>
      </w:pPr>
      <w:rPr>
        <w:rFonts w:ascii="Symbol" w:hAnsi="Symbol"/>
      </w:rPr>
    </w:lvl>
    <w:lvl w:ilvl="5" w:tplc="B9BCE1F2">
      <w:start w:val="1"/>
      <w:numFmt w:val="bullet"/>
      <w:lvlText w:val=""/>
      <w:lvlJc w:val="left"/>
      <w:pPr>
        <w:ind w:left="720" w:hanging="360"/>
      </w:pPr>
      <w:rPr>
        <w:rFonts w:ascii="Symbol" w:hAnsi="Symbol"/>
      </w:rPr>
    </w:lvl>
    <w:lvl w:ilvl="6" w:tplc="86423BC2">
      <w:start w:val="1"/>
      <w:numFmt w:val="bullet"/>
      <w:lvlText w:val=""/>
      <w:lvlJc w:val="left"/>
      <w:pPr>
        <w:ind w:left="720" w:hanging="360"/>
      </w:pPr>
      <w:rPr>
        <w:rFonts w:ascii="Symbol" w:hAnsi="Symbol"/>
      </w:rPr>
    </w:lvl>
    <w:lvl w:ilvl="7" w:tplc="DD303344">
      <w:start w:val="1"/>
      <w:numFmt w:val="bullet"/>
      <w:lvlText w:val=""/>
      <w:lvlJc w:val="left"/>
      <w:pPr>
        <w:ind w:left="720" w:hanging="360"/>
      </w:pPr>
      <w:rPr>
        <w:rFonts w:ascii="Symbol" w:hAnsi="Symbol"/>
      </w:rPr>
    </w:lvl>
    <w:lvl w:ilvl="8" w:tplc="429E33DA">
      <w:start w:val="1"/>
      <w:numFmt w:val="bullet"/>
      <w:lvlText w:val=""/>
      <w:lvlJc w:val="left"/>
      <w:pPr>
        <w:ind w:left="720" w:hanging="360"/>
      </w:pPr>
      <w:rPr>
        <w:rFonts w:ascii="Symbol" w:hAnsi="Symbol"/>
      </w:rPr>
    </w:lvl>
  </w:abstractNum>
  <w:abstractNum w:abstractNumId="26" w15:restartNumberingAfterBreak="0">
    <w:nsid w:val="3DC327F8"/>
    <w:multiLevelType w:val="hybridMultilevel"/>
    <w:tmpl w:val="F91E8C08"/>
    <w:lvl w:ilvl="0" w:tplc="AA3AE64E">
      <w:start w:val="1"/>
      <w:numFmt w:val="bullet"/>
      <w:lvlText w:val=""/>
      <w:lvlJc w:val="left"/>
      <w:pPr>
        <w:ind w:left="720" w:hanging="360"/>
      </w:pPr>
      <w:rPr>
        <w:rFonts w:ascii="Symbol" w:hAnsi="Symbol"/>
      </w:rPr>
    </w:lvl>
    <w:lvl w:ilvl="1" w:tplc="C08EA62E">
      <w:start w:val="1"/>
      <w:numFmt w:val="bullet"/>
      <w:lvlText w:val=""/>
      <w:lvlJc w:val="left"/>
      <w:pPr>
        <w:ind w:left="720" w:hanging="360"/>
      </w:pPr>
      <w:rPr>
        <w:rFonts w:ascii="Symbol" w:hAnsi="Symbol"/>
      </w:rPr>
    </w:lvl>
    <w:lvl w:ilvl="2" w:tplc="D3748DFE">
      <w:start w:val="1"/>
      <w:numFmt w:val="bullet"/>
      <w:lvlText w:val=""/>
      <w:lvlJc w:val="left"/>
      <w:pPr>
        <w:ind w:left="720" w:hanging="360"/>
      </w:pPr>
      <w:rPr>
        <w:rFonts w:ascii="Symbol" w:hAnsi="Symbol"/>
      </w:rPr>
    </w:lvl>
    <w:lvl w:ilvl="3" w:tplc="AFB8BB42">
      <w:start w:val="1"/>
      <w:numFmt w:val="bullet"/>
      <w:lvlText w:val=""/>
      <w:lvlJc w:val="left"/>
      <w:pPr>
        <w:ind w:left="720" w:hanging="360"/>
      </w:pPr>
      <w:rPr>
        <w:rFonts w:ascii="Symbol" w:hAnsi="Symbol"/>
      </w:rPr>
    </w:lvl>
    <w:lvl w:ilvl="4" w:tplc="734ED9F4">
      <w:start w:val="1"/>
      <w:numFmt w:val="bullet"/>
      <w:lvlText w:val=""/>
      <w:lvlJc w:val="left"/>
      <w:pPr>
        <w:ind w:left="720" w:hanging="360"/>
      </w:pPr>
      <w:rPr>
        <w:rFonts w:ascii="Symbol" w:hAnsi="Symbol"/>
      </w:rPr>
    </w:lvl>
    <w:lvl w:ilvl="5" w:tplc="0576F086">
      <w:start w:val="1"/>
      <w:numFmt w:val="bullet"/>
      <w:lvlText w:val=""/>
      <w:lvlJc w:val="left"/>
      <w:pPr>
        <w:ind w:left="720" w:hanging="360"/>
      </w:pPr>
      <w:rPr>
        <w:rFonts w:ascii="Symbol" w:hAnsi="Symbol"/>
      </w:rPr>
    </w:lvl>
    <w:lvl w:ilvl="6" w:tplc="C7A48B80">
      <w:start w:val="1"/>
      <w:numFmt w:val="bullet"/>
      <w:lvlText w:val=""/>
      <w:lvlJc w:val="left"/>
      <w:pPr>
        <w:ind w:left="720" w:hanging="360"/>
      </w:pPr>
      <w:rPr>
        <w:rFonts w:ascii="Symbol" w:hAnsi="Symbol"/>
      </w:rPr>
    </w:lvl>
    <w:lvl w:ilvl="7" w:tplc="485688FE">
      <w:start w:val="1"/>
      <w:numFmt w:val="bullet"/>
      <w:lvlText w:val=""/>
      <w:lvlJc w:val="left"/>
      <w:pPr>
        <w:ind w:left="720" w:hanging="360"/>
      </w:pPr>
      <w:rPr>
        <w:rFonts w:ascii="Symbol" w:hAnsi="Symbol"/>
      </w:rPr>
    </w:lvl>
    <w:lvl w:ilvl="8" w:tplc="F2D67C3C">
      <w:start w:val="1"/>
      <w:numFmt w:val="bullet"/>
      <w:lvlText w:val=""/>
      <w:lvlJc w:val="left"/>
      <w:pPr>
        <w:ind w:left="720" w:hanging="360"/>
      </w:pPr>
      <w:rPr>
        <w:rFonts w:ascii="Symbol" w:hAnsi="Symbol"/>
      </w:rPr>
    </w:lvl>
  </w:abstractNum>
  <w:abstractNum w:abstractNumId="2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4BC16DB6"/>
    <w:multiLevelType w:val="hybridMultilevel"/>
    <w:tmpl w:val="6AB878D4"/>
    <w:lvl w:ilvl="0" w:tplc="F8AC9F44">
      <w:start w:val="1"/>
      <w:numFmt w:val="bullet"/>
      <w:lvlText w:val=""/>
      <w:lvlJc w:val="left"/>
      <w:pPr>
        <w:ind w:left="720" w:hanging="360"/>
      </w:pPr>
      <w:rPr>
        <w:rFonts w:ascii="Symbol" w:hAnsi="Symbol"/>
      </w:rPr>
    </w:lvl>
    <w:lvl w:ilvl="1" w:tplc="82687732">
      <w:start w:val="1"/>
      <w:numFmt w:val="bullet"/>
      <w:lvlText w:val=""/>
      <w:lvlJc w:val="left"/>
      <w:pPr>
        <w:ind w:left="720" w:hanging="360"/>
      </w:pPr>
      <w:rPr>
        <w:rFonts w:ascii="Symbol" w:hAnsi="Symbol"/>
      </w:rPr>
    </w:lvl>
    <w:lvl w:ilvl="2" w:tplc="3FE24AB0">
      <w:start w:val="1"/>
      <w:numFmt w:val="bullet"/>
      <w:lvlText w:val=""/>
      <w:lvlJc w:val="left"/>
      <w:pPr>
        <w:ind w:left="720" w:hanging="360"/>
      </w:pPr>
      <w:rPr>
        <w:rFonts w:ascii="Symbol" w:hAnsi="Symbol"/>
      </w:rPr>
    </w:lvl>
    <w:lvl w:ilvl="3" w:tplc="99BAE3BE">
      <w:start w:val="1"/>
      <w:numFmt w:val="bullet"/>
      <w:lvlText w:val=""/>
      <w:lvlJc w:val="left"/>
      <w:pPr>
        <w:ind w:left="720" w:hanging="360"/>
      </w:pPr>
      <w:rPr>
        <w:rFonts w:ascii="Symbol" w:hAnsi="Symbol"/>
      </w:rPr>
    </w:lvl>
    <w:lvl w:ilvl="4" w:tplc="B30ED66E">
      <w:start w:val="1"/>
      <w:numFmt w:val="bullet"/>
      <w:lvlText w:val=""/>
      <w:lvlJc w:val="left"/>
      <w:pPr>
        <w:ind w:left="720" w:hanging="360"/>
      </w:pPr>
      <w:rPr>
        <w:rFonts w:ascii="Symbol" w:hAnsi="Symbol"/>
      </w:rPr>
    </w:lvl>
    <w:lvl w:ilvl="5" w:tplc="CFDA86F8">
      <w:start w:val="1"/>
      <w:numFmt w:val="bullet"/>
      <w:lvlText w:val=""/>
      <w:lvlJc w:val="left"/>
      <w:pPr>
        <w:ind w:left="720" w:hanging="360"/>
      </w:pPr>
      <w:rPr>
        <w:rFonts w:ascii="Symbol" w:hAnsi="Symbol"/>
      </w:rPr>
    </w:lvl>
    <w:lvl w:ilvl="6" w:tplc="7FB4978C">
      <w:start w:val="1"/>
      <w:numFmt w:val="bullet"/>
      <w:lvlText w:val=""/>
      <w:lvlJc w:val="left"/>
      <w:pPr>
        <w:ind w:left="720" w:hanging="360"/>
      </w:pPr>
      <w:rPr>
        <w:rFonts w:ascii="Symbol" w:hAnsi="Symbol"/>
      </w:rPr>
    </w:lvl>
    <w:lvl w:ilvl="7" w:tplc="418AD476">
      <w:start w:val="1"/>
      <w:numFmt w:val="bullet"/>
      <w:lvlText w:val=""/>
      <w:lvlJc w:val="left"/>
      <w:pPr>
        <w:ind w:left="720" w:hanging="360"/>
      </w:pPr>
      <w:rPr>
        <w:rFonts w:ascii="Symbol" w:hAnsi="Symbol"/>
      </w:rPr>
    </w:lvl>
    <w:lvl w:ilvl="8" w:tplc="4812592A">
      <w:start w:val="1"/>
      <w:numFmt w:val="bullet"/>
      <w:lvlText w:val=""/>
      <w:lvlJc w:val="left"/>
      <w:pPr>
        <w:ind w:left="720" w:hanging="360"/>
      </w:pPr>
      <w:rPr>
        <w:rFonts w:ascii="Symbol" w:hAnsi="Symbol"/>
      </w:rPr>
    </w:lvl>
  </w:abstractNum>
  <w:abstractNum w:abstractNumId="30" w15:restartNumberingAfterBreak="0">
    <w:nsid w:val="5CF74542"/>
    <w:multiLevelType w:val="hybridMultilevel"/>
    <w:tmpl w:val="909E9C8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1F1E2D"/>
    <w:multiLevelType w:val="hybridMultilevel"/>
    <w:tmpl w:val="AB44B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D82D65"/>
    <w:multiLevelType w:val="hybridMultilevel"/>
    <w:tmpl w:val="8402B5A4"/>
    <w:lvl w:ilvl="0" w:tplc="D7A0BEA4">
      <w:start w:val="1"/>
      <w:numFmt w:val="bullet"/>
      <w:pStyle w:val="CV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8E4E95"/>
    <w:multiLevelType w:val="hybridMultilevel"/>
    <w:tmpl w:val="94A02C84"/>
    <w:lvl w:ilvl="0" w:tplc="9F0879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D262E1"/>
    <w:multiLevelType w:val="hybridMultilevel"/>
    <w:tmpl w:val="598A7CC4"/>
    <w:lvl w:ilvl="0" w:tplc="7F9C0692">
      <w:start w:val="1"/>
      <w:numFmt w:val="bullet"/>
      <w:lvlText w:val=""/>
      <w:lvlJc w:val="left"/>
      <w:pPr>
        <w:ind w:left="644" w:hanging="360"/>
      </w:pPr>
      <w:rPr>
        <w:rFonts w:ascii="Symbol" w:hAnsi="Symbol" w:hint="default"/>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72FE58BD"/>
    <w:multiLevelType w:val="hybridMultilevel"/>
    <w:tmpl w:val="3904D43A"/>
    <w:lvl w:ilvl="0" w:tplc="661491D2">
      <w:start w:val="1"/>
      <w:numFmt w:val="bullet"/>
      <w:lvlText w:val=""/>
      <w:lvlJc w:val="left"/>
      <w:pPr>
        <w:tabs>
          <w:tab w:val="num" w:pos="360"/>
        </w:tabs>
        <w:ind w:left="360" w:hanging="360"/>
      </w:pPr>
      <w:rPr>
        <w:rFonts w:ascii="Symbol" w:hAnsi="Symbol" w:hint="default"/>
        <w:color w:val="auto"/>
        <w:sz w:val="20"/>
        <w:lang w:val="es-ES"/>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06297"/>
    <w:multiLevelType w:val="hybridMultilevel"/>
    <w:tmpl w:val="2B6A0E46"/>
    <w:lvl w:ilvl="0" w:tplc="DB4EF1DC">
      <w:start w:val="1"/>
      <w:numFmt w:val="bullet"/>
      <w:lvlText w:val=""/>
      <w:lvlJc w:val="left"/>
      <w:pPr>
        <w:ind w:left="720" w:hanging="360"/>
      </w:pPr>
      <w:rPr>
        <w:rFonts w:ascii="Symbol" w:hAnsi="Symbol"/>
      </w:rPr>
    </w:lvl>
    <w:lvl w:ilvl="1" w:tplc="1520F036">
      <w:start w:val="1"/>
      <w:numFmt w:val="bullet"/>
      <w:lvlText w:val=""/>
      <w:lvlJc w:val="left"/>
      <w:pPr>
        <w:ind w:left="720" w:hanging="360"/>
      </w:pPr>
      <w:rPr>
        <w:rFonts w:ascii="Symbol" w:hAnsi="Symbol"/>
      </w:rPr>
    </w:lvl>
    <w:lvl w:ilvl="2" w:tplc="EE2E1044">
      <w:start w:val="1"/>
      <w:numFmt w:val="bullet"/>
      <w:lvlText w:val=""/>
      <w:lvlJc w:val="left"/>
      <w:pPr>
        <w:ind w:left="720" w:hanging="360"/>
      </w:pPr>
      <w:rPr>
        <w:rFonts w:ascii="Symbol" w:hAnsi="Symbol"/>
      </w:rPr>
    </w:lvl>
    <w:lvl w:ilvl="3" w:tplc="6A1AEFBE">
      <w:start w:val="1"/>
      <w:numFmt w:val="bullet"/>
      <w:lvlText w:val=""/>
      <w:lvlJc w:val="left"/>
      <w:pPr>
        <w:ind w:left="720" w:hanging="360"/>
      </w:pPr>
      <w:rPr>
        <w:rFonts w:ascii="Symbol" w:hAnsi="Symbol"/>
      </w:rPr>
    </w:lvl>
    <w:lvl w:ilvl="4" w:tplc="123CFB36">
      <w:start w:val="1"/>
      <w:numFmt w:val="bullet"/>
      <w:lvlText w:val=""/>
      <w:lvlJc w:val="left"/>
      <w:pPr>
        <w:ind w:left="720" w:hanging="360"/>
      </w:pPr>
      <w:rPr>
        <w:rFonts w:ascii="Symbol" w:hAnsi="Symbol"/>
      </w:rPr>
    </w:lvl>
    <w:lvl w:ilvl="5" w:tplc="DE782872">
      <w:start w:val="1"/>
      <w:numFmt w:val="bullet"/>
      <w:lvlText w:val=""/>
      <w:lvlJc w:val="left"/>
      <w:pPr>
        <w:ind w:left="720" w:hanging="360"/>
      </w:pPr>
      <w:rPr>
        <w:rFonts w:ascii="Symbol" w:hAnsi="Symbol"/>
      </w:rPr>
    </w:lvl>
    <w:lvl w:ilvl="6" w:tplc="219A9160">
      <w:start w:val="1"/>
      <w:numFmt w:val="bullet"/>
      <w:lvlText w:val=""/>
      <w:lvlJc w:val="left"/>
      <w:pPr>
        <w:ind w:left="720" w:hanging="360"/>
      </w:pPr>
      <w:rPr>
        <w:rFonts w:ascii="Symbol" w:hAnsi="Symbol"/>
      </w:rPr>
    </w:lvl>
    <w:lvl w:ilvl="7" w:tplc="9BB60022">
      <w:start w:val="1"/>
      <w:numFmt w:val="bullet"/>
      <w:lvlText w:val=""/>
      <w:lvlJc w:val="left"/>
      <w:pPr>
        <w:ind w:left="720" w:hanging="360"/>
      </w:pPr>
      <w:rPr>
        <w:rFonts w:ascii="Symbol" w:hAnsi="Symbol"/>
      </w:rPr>
    </w:lvl>
    <w:lvl w:ilvl="8" w:tplc="7C78A060">
      <w:start w:val="1"/>
      <w:numFmt w:val="bullet"/>
      <w:lvlText w:val=""/>
      <w:lvlJc w:val="left"/>
      <w:pPr>
        <w:ind w:left="720" w:hanging="360"/>
      </w:pPr>
      <w:rPr>
        <w:rFonts w:ascii="Symbol" w:hAnsi="Symbol"/>
      </w:rPr>
    </w:lvl>
  </w:abstractNum>
  <w:abstractNum w:abstractNumId="37" w15:restartNumberingAfterBreak="0">
    <w:nsid w:val="7B0413A6"/>
    <w:multiLevelType w:val="hybridMultilevel"/>
    <w:tmpl w:val="EA9E44D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8" w15:restartNumberingAfterBreak="0">
    <w:nsid w:val="7DD07B1C"/>
    <w:multiLevelType w:val="hybridMultilevel"/>
    <w:tmpl w:val="748ED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7"/>
  </w:num>
  <w:num w:numId="3">
    <w:abstractNumId w:val="30"/>
  </w:num>
  <w:num w:numId="4">
    <w:abstractNumId w:val="22"/>
  </w:num>
  <w:num w:numId="5">
    <w:abstractNumId w:val="13"/>
  </w:num>
  <w:num w:numId="6">
    <w:abstractNumId w:val="8"/>
  </w:num>
  <w:num w:numId="7">
    <w:abstractNumId w:val="7"/>
  </w:num>
  <w:num w:numId="8">
    <w:abstractNumId w:val="28"/>
  </w:num>
  <w:num w:numId="9">
    <w:abstractNumId w:val="16"/>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7"/>
  </w:num>
  <w:num w:numId="18">
    <w:abstractNumId w:val="17"/>
  </w:num>
  <w:num w:numId="19">
    <w:abstractNumId w:val="17"/>
  </w:num>
  <w:num w:numId="20">
    <w:abstractNumId w:val="10"/>
  </w:num>
  <w:num w:numId="21">
    <w:abstractNumId w:val="35"/>
  </w:num>
  <w:num w:numId="22">
    <w:abstractNumId w:val="37"/>
  </w:num>
  <w:num w:numId="23">
    <w:abstractNumId w:val="34"/>
  </w:num>
  <w:num w:numId="24">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8"/>
  </w:num>
  <w:num w:numId="27">
    <w:abstractNumId w:val="21"/>
  </w:num>
  <w:num w:numId="28">
    <w:abstractNumId w:val="32"/>
  </w:num>
  <w:num w:numId="29">
    <w:abstractNumId w:val="19"/>
  </w:num>
  <w:num w:numId="30">
    <w:abstractNumId w:val="23"/>
  </w:num>
  <w:num w:numId="31">
    <w:abstractNumId w:val="9"/>
  </w:num>
  <w:num w:numId="32">
    <w:abstractNumId w:val="11"/>
  </w:num>
  <w:num w:numId="33">
    <w:abstractNumId w:val="14"/>
  </w:num>
  <w:num w:numId="34">
    <w:abstractNumId w:val="29"/>
  </w:num>
  <w:num w:numId="35">
    <w:abstractNumId w:val="25"/>
  </w:num>
  <w:num w:numId="36">
    <w:abstractNumId w:val="20"/>
  </w:num>
  <w:num w:numId="37">
    <w:abstractNumId w:val="26"/>
  </w:num>
  <w:num w:numId="38">
    <w:abstractNumId w:val="18"/>
  </w:num>
  <w:num w:numId="39">
    <w:abstractNumId w:val="36"/>
  </w:num>
  <w:num w:numId="40">
    <w:abstractNumId w:val="12"/>
  </w:num>
  <w:num w:numId="41">
    <w:abstractNumId w:val="15"/>
  </w:num>
  <w:num w:numId="42">
    <w:abstractNumId w:val="31"/>
  </w:num>
  <w:num w:numId="43">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1A"/>
    <w:rsid w:val="00001B67"/>
    <w:rsid w:val="0001248B"/>
    <w:rsid w:val="00020719"/>
    <w:rsid w:val="00024E46"/>
    <w:rsid w:val="00050728"/>
    <w:rsid w:val="000545AE"/>
    <w:rsid w:val="00065491"/>
    <w:rsid w:val="00066589"/>
    <w:rsid w:val="000720B0"/>
    <w:rsid w:val="000721ED"/>
    <w:rsid w:val="00073346"/>
    <w:rsid w:val="00075C6C"/>
    <w:rsid w:val="000802A9"/>
    <w:rsid w:val="00080450"/>
    <w:rsid w:val="00082A8F"/>
    <w:rsid w:val="00095A2F"/>
    <w:rsid w:val="000A0B66"/>
    <w:rsid w:val="000A7C0A"/>
    <w:rsid w:val="000A7C80"/>
    <w:rsid w:val="000B63A0"/>
    <w:rsid w:val="000C032C"/>
    <w:rsid w:val="000C0468"/>
    <w:rsid w:val="000C17B8"/>
    <w:rsid w:val="000C21E9"/>
    <w:rsid w:val="000C2C4A"/>
    <w:rsid w:val="000C3965"/>
    <w:rsid w:val="000C3F96"/>
    <w:rsid w:val="000C49E3"/>
    <w:rsid w:val="000C5CA6"/>
    <w:rsid w:val="000C6C0D"/>
    <w:rsid w:val="000C76F0"/>
    <w:rsid w:val="000D1801"/>
    <w:rsid w:val="000D6713"/>
    <w:rsid w:val="000F2FD8"/>
    <w:rsid w:val="00103C7A"/>
    <w:rsid w:val="00110CCC"/>
    <w:rsid w:val="00114CC2"/>
    <w:rsid w:val="001278E3"/>
    <w:rsid w:val="0013763A"/>
    <w:rsid w:val="001444E2"/>
    <w:rsid w:val="0014731A"/>
    <w:rsid w:val="0014782F"/>
    <w:rsid w:val="00150C08"/>
    <w:rsid w:val="00157D64"/>
    <w:rsid w:val="00166B14"/>
    <w:rsid w:val="001820C8"/>
    <w:rsid w:val="001829FF"/>
    <w:rsid w:val="00191624"/>
    <w:rsid w:val="00193324"/>
    <w:rsid w:val="00197D34"/>
    <w:rsid w:val="001A196B"/>
    <w:rsid w:val="001A5353"/>
    <w:rsid w:val="001B3720"/>
    <w:rsid w:val="001B7C83"/>
    <w:rsid w:val="001C0CC4"/>
    <w:rsid w:val="001C11A4"/>
    <w:rsid w:val="001D32B1"/>
    <w:rsid w:val="001D628E"/>
    <w:rsid w:val="001D72DC"/>
    <w:rsid w:val="001E14E2"/>
    <w:rsid w:val="001E35C0"/>
    <w:rsid w:val="001E4098"/>
    <w:rsid w:val="001E6C53"/>
    <w:rsid w:val="001F3481"/>
    <w:rsid w:val="001F66F3"/>
    <w:rsid w:val="001F780B"/>
    <w:rsid w:val="00200606"/>
    <w:rsid w:val="00201563"/>
    <w:rsid w:val="00205C6A"/>
    <w:rsid w:val="002061B5"/>
    <w:rsid w:val="00214C16"/>
    <w:rsid w:val="002222A7"/>
    <w:rsid w:val="00225A81"/>
    <w:rsid w:val="00230347"/>
    <w:rsid w:val="00237920"/>
    <w:rsid w:val="00245939"/>
    <w:rsid w:val="00260177"/>
    <w:rsid w:val="0026545D"/>
    <w:rsid w:val="002750D4"/>
    <w:rsid w:val="00277EB9"/>
    <w:rsid w:val="00282B1C"/>
    <w:rsid w:val="00286B0C"/>
    <w:rsid w:val="002A3504"/>
    <w:rsid w:val="002A36F4"/>
    <w:rsid w:val="002A6DCC"/>
    <w:rsid w:val="002B6F97"/>
    <w:rsid w:val="002C0736"/>
    <w:rsid w:val="002C0843"/>
    <w:rsid w:val="002C2016"/>
    <w:rsid w:val="002C5CE3"/>
    <w:rsid w:val="002D4015"/>
    <w:rsid w:val="002D4098"/>
    <w:rsid w:val="002E7F14"/>
    <w:rsid w:val="002F1D63"/>
    <w:rsid w:val="002F667D"/>
    <w:rsid w:val="002F780F"/>
    <w:rsid w:val="0030143D"/>
    <w:rsid w:val="00304569"/>
    <w:rsid w:val="003110D4"/>
    <w:rsid w:val="00320F3B"/>
    <w:rsid w:val="003226EB"/>
    <w:rsid w:val="00326BE8"/>
    <w:rsid w:val="003309B2"/>
    <w:rsid w:val="00334AA8"/>
    <w:rsid w:val="00337756"/>
    <w:rsid w:val="00337C41"/>
    <w:rsid w:val="00357209"/>
    <w:rsid w:val="00357A56"/>
    <w:rsid w:val="003671F8"/>
    <w:rsid w:val="00372AFC"/>
    <w:rsid w:val="00372E2A"/>
    <w:rsid w:val="003832DA"/>
    <w:rsid w:val="0038439A"/>
    <w:rsid w:val="003934A0"/>
    <w:rsid w:val="003A0886"/>
    <w:rsid w:val="003A230B"/>
    <w:rsid w:val="003A5FCE"/>
    <w:rsid w:val="003B513C"/>
    <w:rsid w:val="003B5D13"/>
    <w:rsid w:val="003C1F76"/>
    <w:rsid w:val="003C3E57"/>
    <w:rsid w:val="003C6172"/>
    <w:rsid w:val="003D2766"/>
    <w:rsid w:val="003D7C00"/>
    <w:rsid w:val="003E1885"/>
    <w:rsid w:val="003E3F62"/>
    <w:rsid w:val="003E6682"/>
    <w:rsid w:val="00410517"/>
    <w:rsid w:val="00414199"/>
    <w:rsid w:val="00415F54"/>
    <w:rsid w:val="00417CB6"/>
    <w:rsid w:val="00434F6E"/>
    <w:rsid w:val="00435D39"/>
    <w:rsid w:val="004406B2"/>
    <w:rsid w:val="00441832"/>
    <w:rsid w:val="00442E59"/>
    <w:rsid w:val="00444DA5"/>
    <w:rsid w:val="0045175B"/>
    <w:rsid w:val="004532E0"/>
    <w:rsid w:val="00464474"/>
    <w:rsid w:val="00465D7C"/>
    <w:rsid w:val="004674E5"/>
    <w:rsid w:val="00467B62"/>
    <w:rsid w:val="004727D7"/>
    <w:rsid w:val="00475202"/>
    <w:rsid w:val="004767A4"/>
    <w:rsid w:val="00486181"/>
    <w:rsid w:val="00486496"/>
    <w:rsid w:val="00491D37"/>
    <w:rsid w:val="00491F91"/>
    <w:rsid w:val="00492202"/>
    <w:rsid w:val="004953FE"/>
    <w:rsid w:val="004958E1"/>
    <w:rsid w:val="00495BBE"/>
    <w:rsid w:val="004A233B"/>
    <w:rsid w:val="004B7062"/>
    <w:rsid w:val="004D122A"/>
    <w:rsid w:val="004E3222"/>
    <w:rsid w:val="004E7520"/>
    <w:rsid w:val="004F09AC"/>
    <w:rsid w:val="004F487A"/>
    <w:rsid w:val="004F5993"/>
    <w:rsid w:val="00507B85"/>
    <w:rsid w:val="00517391"/>
    <w:rsid w:val="0051753B"/>
    <w:rsid w:val="00526CFC"/>
    <w:rsid w:val="0053181C"/>
    <w:rsid w:val="00532963"/>
    <w:rsid w:val="005359CC"/>
    <w:rsid w:val="0053669F"/>
    <w:rsid w:val="00540885"/>
    <w:rsid w:val="00551A3A"/>
    <w:rsid w:val="005625B4"/>
    <w:rsid w:val="0056275B"/>
    <w:rsid w:val="0058057E"/>
    <w:rsid w:val="00583D6B"/>
    <w:rsid w:val="00587E36"/>
    <w:rsid w:val="005A04B4"/>
    <w:rsid w:val="005A488E"/>
    <w:rsid w:val="005B4A23"/>
    <w:rsid w:val="005C61BD"/>
    <w:rsid w:val="005E7C56"/>
    <w:rsid w:val="005F4B1A"/>
    <w:rsid w:val="00601F75"/>
    <w:rsid w:val="00625D84"/>
    <w:rsid w:val="006274BF"/>
    <w:rsid w:val="0063160D"/>
    <w:rsid w:val="0063445C"/>
    <w:rsid w:val="00636102"/>
    <w:rsid w:val="00637B9E"/>
    <w:rsid w:val="00641CB9"/>
    <w:rsid w:val="00645314"/>
    <w:rsid w:val="00645DCF"/>
    <w:rsid w:val="00647B4E"/>
    <w:rsid w:val="00652613"/>
    <w:rsid w:val="00655D7E"/>
    <w:rsid w:val="006642AD"/>
    <w:rsid w:val="00666080"/>
    <w:rsid w:val="0067149E"/>
    <w:rsid w:val="00671E0A"/>
    <w:rsid w:val="0067461A"/>
    <w:rsid w:val="00675A4F"/>
    <w:rsid w:val="00682B77"/>
    <w:rsid w:val="00685F22"/>
    <w:rsid w:val="0069421D"/>
    <w:rsid w:val="0069500B"/>
    <w:rsid w:val="00696966"/>
    <w:rsid w:val="00697FAC"/>
    <w:rsid w:val="006A1C1E"/>
    <w:rsid w:val="006A3B7C"/>
    <w:rsid w:val="006B0302"/>
    <w:rsid w:val="006B4873"/>
    <w:rsid w:val="006B77CB"/>
    <w:rsid w:val="006C2EF9"/>
    <w:rsid w:val="006C7666"/>
    <w:rsid w:val="006D5F83"/>
    <w:rsid w:val="006E7683"/>
    <w:rsid w:val="006F1E16"/>
    <w:rsid w:val="006F30EF"/>
    <w:rsid w:val="006F33E0"/>
    <w:rsid w:val="006F57E0"/>
    <w:rsid w:val="007008A5"/>
    <w:rsid w:val="00703750"/>
    <w:rsid w:val="0070474B"/>
    <w:rsid w:val="0072162D"/>
    <w:rsid w:val="007236F8"/>
    <w:rsid w:val="00736D59"/>
    <w:rsid w:val="00743DCD"/>
    <w:rsid w:val="00746CEE"/>
    <w:rsid w:val="00752327"/>
    <w:rsid w:val="007530FD"/>
    <w:rsid w:val="00753CDB"/>
    <w:rsid w:val="00754DB3"/>
    <w:rsid w:val="0076581D"/>
    <w:rsid w:val="00765877"/>
    <w:rsid w:val="00772A25"/>
    <w:rsid w:val="007739D8"/>
    <w:rsid w:val="007767AC"/>
    <w:rsid w:val="007818F7"/>
    <w:rsid w:val="007909AE"/>
    <w:rsid w:val="00796455"/>
    <w:rsid w:val="007A2BB9"/>
    <w:rsid w:val="007B1320"/>
    <w:rsid w:val="007B28CE"/>
    <w:rsid w:val="007C6FB3"/>
    <w:rsid w:val="007D382C"/>
    <w:rsid w:val="007D4D96"/>
    <w:rsid w:val="007D5EFA"/>
    <w:rsid w:val="007E1720"/>
    <w:rsid w:val="007E343B"/>
    <w:rsid w:val="007E5272"/>
    <w:rsid w:val="007E68D2"/>
    <w:rsid w:val="00803275"/>
    <w:rsid w:val="00804797"/>
    <w:rsid w:val="0080489E"/>
    <w:rsid w:val="00805D1C"/>
    <w:rsid w:val="00811702"/>
    <w:rsid w:val="008158B0"/>
    <w:rsid w:val="00824B25"/>
    <w:rsid w:val="00830B7D"/>
    <w:rsid w:val="008345B4"/>
    <w:rsid w:val="008408DE"/>
    <w:rsid w:val="0084201A"/>
    <w:rsid w:val="008430A6"/>
    <w:rsid w:val="0084355F"/>
    <w:rsid w:val="008528C5"/>
    <w:rsid w:val="00860FE8"/>
    <w:rsid w:val="00861FC6"/>
    <w:rsid w:val="00864100"/>
    <w:rsid w:val="0086457E"/>
    <w:rsid w:val="008731E6"/>
    <w:rsid w:val="00893167"/>
    <w:rsid w:val="00895AEB"/>
    <w:rsid w:val="008A003F"/>
    <w:rsid w:val="008A3A7B"/>
    <w:rsid w:val="008A43EA"/>
    <w:rsid w:val="008A515A"/>
    <w:rsid w:val="008B1529"/>
    <w:rsid w:val="008B3F33"/>
    <w:rsid w:val="008B7633"/>
    <w:rsid w:val="008C14CA"/>
    <w:rsid w:val="008C73A0"/>
    <w:rsid w:val="008C75F8"/>
    <w:rsid w:val="008D35F3"/>
    <w:rsid w:val="008D3F8A"/>
    <w:rsid w:val="008F6A95"/>
    <w:rsid w:val="008F6CB6"/>
    <w:rsid w:val="00901D5C"/>
    <w:rsid w:val="009021CF"/>
    <w:rsid w:val="00905EEC"/>
    <w:rsid w:val="009102F9"/>
    <w:rsid w:val="00912C46"/>
    <w:rsid w:val="0091507F"/>
    <w:rsid w:val="0092033A"/>
    <w:rsid w:val="00920B9F"/>
    <w:rsid w:val="00921579"/>
    <w:rsid w:val="00922156"/>
    <w:rsid w:val="009231D6"/>
    <w:rsid w:val="00930B28"/>
    <w:rsid w:val="00933263"/>
    <w:rsid w:val="00937C5D"/>
    <w:rsid w:val="009515D4"/>
    <w:rsid w:val="00960B1C"/>
    <w:rsid w:val="00966A18"/>
    <w:rsid w:val="009718A2"/>
    <w:rsid w:val="00977EE0"/>
    <w:rsid w:val="00984C26"/>
    <w:rsid w:val="00985537"/>
    <w:rsid w:val="00985748"/>
    <w:rsid w:val="00987E67"/>
    <w:rsid w:val="00996823"/>
    <w:rsid w:val="009B6E56"/>
    <w:rsid w:val="009C42D1"/>
    <w:rsid w:val="009D02AB"/>
    <w:rsid w:val="009D3565"/>
    <w:rsid w:val="009D3B8E"/>
    <w:rsid w:val="009E2214"/>
    <w:rsid w:val="009E2424"/>
    <w:rsid w:val="009E68B0"/>
    <w:rsid w:val="00A149C3"/>
    <w:rsid w:val="00A15173"/>
    <w:rsid w:val="00A20CCF"/>
    <w:rsid w:val="00A21499"/>
    <w:rsid w:val="00A21DC7"/>
    <w:rsid w:val="00A24106"/>
    <w:rsid w:val="00A2495B"/>
    <w:rsid w:val="00A43E81"/>
    <w:rsid w:val="00A53221"/>
    <w:rsid w:val="00A57B36"/>
    <w:rsid w:val="00A60E76"/>
    <w:rsid w:val="00A63A75"/>
    <w:rsid w:val="00A65C70"/>
    <w:rsid w:val="00A705E9"/>
    <w:rsid w:val="00A73836"/>
    <w:rsid w:val="00A82875"/>
    <w:rsid w:val="00A86904"/>
    <w:rsid w:val="00A94164"/>
    <w:rsid w:val="00AA02E1"/>
    <w:rsid w:val="00AC58A3"/>
    <w:rsid w:val="00AC6BCB"/>
    <w:rsid w:val="00AD06B7"/>
    <w:rsid w:val="00AD0974"/>
    <w:rsid w:val="00AD4943"/>
    <w:rsid w:val="00AD7E0E"/>
    <w:rsid w:val="00AE0F00"/>
    <w:rsid w:val="00AE5DA5"/>
    <w:rsid w:val="00AF1EA6"/>
    <w:rsid w:val="00B001F8"/>
    <w:rsid w:val="00B00616"/>
    <w:rsid w:val="00B00DC7"/>
    <w:rsid w:val="00B029F2"/>
    <w:rsid w:val="00B03480"/>
    <w:rsid w:val="00B068E4"/>
    <w:rsid w:val="00B07286"/>
    <w:rsid w:val="00B109CB"/>
    <w:rsid w:val="00B118B3"/>
    <w:rsid w:val="00B13207"/>
    <w:rsid w:val="00B14EA6"/>
    <w:rsid w:val="00B173B6"/>
    <w:rsid w:val="00B2496D"/>
    <w:rsid w:val="00B35091"/>
    <w:rsid w:val="00B4217C"/>
    <w:rsid w:val="00B5069A"/>
    <w:rsid w:val="00B61144"/>
    <w:rsid w:val="00B905E7"/>
    <w:rsid w:val="00B913C1"/>
    <w:rsid w:val="00B93DC1"/>
    <w:rsid w:val="00B95E61"/>
    <w:rsid w:val="00BC7D79"/>
    <w:rsid w:val="00BD4E7E"/>
    <w:rsid w:val="00BD64BC"/>
    <w:rsid w:val="00BE1711"/>
    <w:rsid w:val="00BE191B"/>
    <w:rsid w:val="00BE4026"/>
    <w:rsid w:val="00BE506D"/>
    <w:rsid w:val="00BF6C43"/>
    <w:rsid w:val="00BF6DA7"/>
    <w:rsid w:val="00C036A6"/>
    <w:rsid w:val="00C14ABC"/>
    <w:rsid w:val="00C164D3"/>
    <w:rsid w:val="00C21F9B"/>
    <w:rsid w:val="00C230E7"/>
    <w:rsid w:val="00C40169"/>
    <w:rsid w:val="00C45082"/>
    <w:rsid w:val="00C475C7"/>
    <w:rsid w:val="00C47F0E"/>
    <w:rsid w:val="00C5221D"/>
    <w:rsid w:val="00C522A1"/>
    <w:rsid w:val="00C52B83"/>
    <w:rsid w:val="00C556AB"/>
    <w:rsid w:val="00C57384"/>
    <w:rsid w:val="00C624B0"/>
    <w:rsid w:val="00C64CB7"/>
    <w:rsid w:val="00C83D94"/>
    <w:rsid w:val="00C87DCF"/>
    <w:rsid w:val="00C90F15"/>
    <w:rsid w:val="00C911BF"/>
    <w:rsid w:val="00CB659C"/>
    <w:rsid w:val="00CB7626"/>
    <w:rsid w:val="00CC1CD2"/>
    <w:rsid w:val="00CC2310"/>
    <w:rsid w:val="00CC579B"/>
    <w:rsid w:val="00CC58FA"/>
    <w:rsid w:val="00CD0179"/>
    <w:rsid w:val="00CD09B7"/>
    <w:rsid w:val="00CD0AE0"/>
    <w:rsid w:val="00CD2C67"/>
    <w:rsid w:val="00CD680D"/>
    <w:rsid w:val="00CE3783"/>
    <w:rsid w:val="00CE4F0A"/>
    <w:rsid w:val="00CF0216"/>
    <w:rsid w:val="00CF5D18"/>
    <w:rsid w:val="00D03687"/>
    <w:rsid w:val="00D04ED4"/>
    <w:rsid w:val="00D05F54"/>
    <w:rsid w:val="00D0784B"/>
    <w:rsid w:val="00D10D47"/>
    <w:rsid w:val="00D1392C"/>
    <w:rsid w:val="00D163B9"/>
    <w:rsid w:val="00D218D2"/>
    <w:rsid w:val="00D313AA"/>
    <w:rsid w:val="00D32BDE"/>
    <w:rsid w:val="00D34F31"/>
    <w:rsid w:val="00D409CD"/>
    <w:rsid w:val="00D42DA0"/>
    <w:rsid w:val="00D44B46"/>
    <w:rsid w:val="00D5325E"/>
    <w:rsid w:val="00D57BD2"/>
    <w:rsid w:val="00D61711"/>
    <w:rsid w:val="00D63DAC"/>
    <w:rsid w:val="00D6411B"/>
    <w:rsid w:val="00D64671"/>
    <w:rsid w:val="00D65B16"/>
    <w:rsid w:val="00D74D08"/>
    <w:rsid w:val="00D77C8F"/>
    <w:rsid w:val="00D83872"/>
    <w:rsid w:val="00D9137F"/>
    <w:rsid w:val="00DA790E"/>
    <w:rsid w:val="00DB2804"/>
    <w:rsid w:val="00DB2CAF"/>
    <w:rsid w:val="00DB4001"/>
    <w:rsid w:val="00DC03B0"/>
    <w:rsid w:val="00DC570D"/>
    <w:rsid w:val="00DD0623"/>
    <w:rsid w:val="00DD4BAE"/>
    <w:rsid w:val="00DE301F"/>
    <w:rsid w:val="00DE77A4"/>
    <w:rsid w:val="00DF06CB"/>
    <w:rsid w:val="00DF2C83"/>
    <w:rsid w:val="00DF3B88"/>
    <w:rsid w:val="00DF68C0"/>
    <w:rsid w:val="00DF72E5"/>
    <w:rsid w:val="00E033AB"/>
    <w:rsid w:val="00E111DD"/>
    <w:rsid w:val="00E1303E"/>
    <w:rsid w:val="00E1426F"/>
    <w:rsid w:val="00E20364"/>
    <w:rsid w:val="00E216EA"/>
    <w:rsid w:val="00E43A41"/>
    <w:rsid w:val="00E43DB9"/>
    <w:rsid w:val="00E5121B"/>
    <w:rsid w:val="00E53301"/>
    <w:rsid w:val="00E56CB6"/>
    <w:rsid w:val="00E67202"/>
    <w:rsid w:val="00E704D8"/>
    <w:rsid w:val="00E71E8F"/>
    <w:rsid w:val="00E75F99"/>
    <w:rsid w:val="00E90CD9"/>
    <w:rsid w:val="00E9319C"/>
    <w:rsid w:val="00E97902"/>
    <w:rsid w:val="00EA437E"/>
    <w:rsid w:val="00EA6989"/>
    <w:rsid w:val="00EA7B6F"/>
    <w:rsid w:val="00EC532F"/>
    <w:rsid w:val="00ED3CE3"/>
    <w:rsid w:val="00EE39DC"/>
    <w:rsid w:val="00EE5063"/>
    <w:rsid w:val="00EE51FF"/>
    <w:rsid w:val="00EE74BA"/>
    <w:rsid w:val="00EF1CFD"/>
    <w:rsid w:val="00EF2645"/>
    <w:rsid w:val="00EF67D9"/>
    <w:rsid w:val="00F12CC6"/>
    <w:rsid w:val="00F1570E"/>
    <w:rsid w:val="00F17D4E"/>
    <w:rsid w:val="00F2387B"/>
    <w:rsid w:val="00F366FF"/>
    <w:rsid w:val="00F4066A"/>
    <w:rsid w:val="00F40872"/>
    <w:rsid w:val="00F40A0F"/>
    <w:rsid w:val="00F42FCC"/>
    <w:rsid w:val="00F47AE2"/>
    <w:rsid w:val="00F560F2"/>
    <w:rsid w:val="00F56FBD"/>
    <w:rsid w:val="00F63208"/>
    <w:rsid w:val="00F6410B"/>
    <w:rsid w:val="00F73582"/>
    <w:rsid w:val="00F80DB7"/>
    <w:rsid w:val="00F81128"/>
    <w:rsid w:val="00F82E03"/>
    <w:rsid w:val="00F86B41"/>
    <w:rsid w:val="00F90B97"/>
    <w:rsid w:val="00F91A02"/>
    <w:rsid w:val="00FB01BD"/>
    <w:rsid w:val="00FB321F"/>
    <w:rsid w:val="00FB43F3"/>
    <w:rsid w:val="00FB6442"/>
    <w:rsid w:val="00FC1DDF"/>
    <w:rsid w:val="00FC25CF"/>
    <w:rsid w:val="00FD48DC"/>
    <w:rsid w:val="00FE5BAC"/>
    <w:rsid w:val="00FF049C"/>
    <w:rsid w:val="00FF349E"/>
    <w:rsid w:val="00FF5185"/>
    <w:rsid w:val="00FF5A02"/>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55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55F"/>
    <w:pPr>
      <w:spacing w:after="240" w:line="320" w:lineRule="atLeast"/>
      <w:jc w:val="both"/>
    </w:pPr>
    <w:rPr>
      <w:rFonts w:ascii="Times New Roman" w:hAnsi="Times New Roman"/>
      <w:lang w:val="es-ES"/>
    </w:rPr>
  </w:style>
  <w:style w:type="paragraph" w:styleId="Ttulo1">
    <w:name w:val="heading 1"/>
    <w:aliases w:val="h1"/>
    <w:next w:val="Normal"/>
    <w:link w:val="Ttulo1Car"/>
    <w:uiPriority w:val="9"/>
    <w:qFormat/>
    <w:rsid w:val="005A488E"/>
    <w:pPr>
      <w:keepNext/>
      <w:keepLines/>
      <w:pageBreakBefore/>
      <w:numPr>
        <w:numId w:val="4"/>
      </w:numPr>
      <w:spacing w:after="600" w:line="560" w:lineRule="exact"/>
      <w:outlineLvl w:val="0"/>
    </w:pPr>
    <w:rPr>
      <w:rFonts w:ascii="Times New Roman" w:eastAsiaTheme="majorEastAsia" w:hAnsi="Times New Roman" w:cstheme="majorBidi"/>
      <w:bCs/>
      <w:sz w:val="36"/>
      <w:szCs w:val="28"/>
    </w:rPr>
  </w:style>
  <w:style w:type="paragraph" w:styleId="Ttulo2">
    <w:name w:val="heading 2"/>
    <w:aliases w:val="h2"/>
    <w:basedOn w:val="Normal"/>
    <w:next w:val="Normal"/>
    <w:link w:val="Ttulo2Car"/>
    <w:uiPriority w:val="9"/>
    <w:unhideWhenUsed/>
    <w:qFormat/>
    <w:rsid w:val="005A488E"/>
    <w:pPr>
      <w:keepNext/>
      <w:keepLines/>
      <w:numPr>
        <w:ilvl w:val="1"/>
        <w:numId w:val="4"/>
      </w:numPr>
      <w:spacing w:before="360"/>
      <w:outlineLvl w:val="1"/>
    </w:pPr>
    <w:rPr>
      <w:rFonts w:eastAsiaTheme="majorEastAsia" w:cstheme="majorBidi"/>
      <w:b/>
      <w:bCs/>
      <w:sz w:val="24"/>
      <w:szCs w:val="26"/>
    </w:rPr>
  </w:style>
  <w:style w:type="paragraph" w:styleId="Ttulo3">
    <w:name w:val="heading 3"/>
    <w:aliases w:val="h3"/>
    <w:basedOn w:val="Normal"/>
    <w:next w:val="Normal"/>
    <w:link w:val="Ttulo3Car"/>
    <w:uiPriority w:val="9"/>
    <w:unhideWhenUsed/>
    <w:qFormat/>
    <w:rsid w:val="005A488E"/>
    <w:pPr>
      <w:keepNext/>
      <w:keepLines/>
      <w:numPr>
        <w:ilvl w:val="2"/>
        <w:numId w:val="4"/>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5A488E"/>
    <w:pPr>
      <w:keepNext/>
      <w:keepLines/>
      <w:numPr>
        <w:ilvl w:val="3"/>
        <w:numId w:val="4"/>
      </w:numPr>
      <w:spacing w:before="360"/>
      <w:outlineLvl w:val="3"/>
    </w:pPr>
    <w:rPr>
      <w:rFonts w:eastAsiaTheme="majorEastAsia" w:cstheme="majorBidi"/>
      <w:bCs/>
      <w:i/>
      <w:iCs/>
    </w:rPr>
  </w:style>
  <w:style w:type="paragraph" w:styleId="Ttulo5">
    <w:name w:val="heading 5"/>
    <w:basedOn w:val="Normal"/>
    <w:next w:val="Normal"/>
    <w:link w:val="Ttulo5Car"/>
    <w:uiPriority w:val="9"/>
    <w:unhideWhenUsed/>
    <w:qFormat/>
    <w:rsid w:val="0067461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link w:val="Listaconvietas2Car"/>
    <w:uiPriority w:val="99"/>
    <w:unhideWhenUsed/>
    <w:qFormat/>
    <w:rsid w:val="005A488E"/>
    <w:pPr>
      <w:keepLines/>
      <w:numPr>
        <w:numId w:val="5"/>
      </w:numPr>
    </w:pPr>
  </w:style>
  <w:style w:type="paragraph" w:styleId="Encabezado">
    <w:name w:val="header"/>
    <w:link w:val="EncabezadoCar"/>
    <w:uiPriority w:val="99"/>
    <w:unhideWhenUsed/>
    <w:rsid w:val="005A488E"/>
    <w:pPr>
      <w:tabs>
        <w:tab w:val="right" w:pos="9214"/>
      </w:tabs>
      <w:spacing w:after="0" w:line="260" w:lineRule="atLeast"/>
      <w:ind w:left="-499" w:right="-499"/>
      <w:jc w:val="right"/>
    </w:pPr>
    <w:rPr>
      <w:rFonts w:ascii="Franklin Gothic Book" w:hAnsi="Franklin Gothic Book"/>
      <w:sz w:val="18"/>
    </w:rPr>
  </w:style>
  <w:style w:type="character" w:customStyle="1" w:styleId="EncabezadoCar">
    <w:name w:val="Encabezado Car"/>
    <w:basedOn w:val="Fuentedeprrafopredeter"/>
    <w:link w:val="Encabezado"/>
    <w:uiPriority w:val="99"/>
    <w:rsid w:val="005A488E"/>
    <w:rPr>
      <w:rFonts w:ascii="Franklin Gothic Book" w:hAnsi="Franklin Gothic Book"/>
      <w:sz w:val="18"/>
    </w:rPr>
  </w:style>
  <w:style w:type="paragraph" w:customStyle="1" w:styleId="Border">
    <w:name w:val="Border"/>
    <w:next w:val="Normal"/>
    <w:qFormat/>
    <w:rsid w:val="005A488E"/>
    <w:pPr>
      <w:spacing w:after="360" w:line="320" w:lineRule="atLeast"/>
      <w:jc w:val="center"/>
    </w:pPr>
    <w:rPr>
      <w:rFonts w:ascii="Times New Roman" w:hAnsi="Times New Roman"/>
    </w:rPr>
  </w:style>
  <w:style w:type="paragraph" w:styleId="Descripcin">
    <w:name w:val="caption"/>
    <w:aliases w:val="Resp caption"/>
    <w:next w:val="Border"/>
    <w:uiPriority w:val="35"/>
    <w:qFormat/>
    <w:rsid w:val="005A488E"/>
    <w:pPr>
      <w:keepNext/>
      <w:pBdr>
        <w:bottom w:val="single" w:sz="6" w:space="3" w:color="A6A6A6" w:themeColor="background1" w:themeShade="A6"/>
      </w:pBdr>
      <w:tabs>
        <w:tab w:val="left" w:pos="2041"/>
      </w:tabs>
      <w:spacing w:after="160" w:line="320" w:lineRule="atLeast"/>
    </w:pPr>
    <w:rPr>
      <w:rFonts w:ascii="Franklin Gothic Book" w:hAnsi="Franklin Gothic Book" w:cs="Arial"/>
      <w:bCs/>
      <w:i/>
      <w:sz w:val="20"/>
      <w:szCs w:val="18"/>
    </w:rPr>
  </w:style>
  <w:style w:type="paragraph" w:customStyle="1" w:styleId="Captionsmall">
    <w:name w:val="Caption: small"/>
    <w:basedOn w:val="Descripcin"/>
    <w:next w:val="Normal"/>
    <w:qFormat/>
    <w:rsid w:val="005A488E"/>
    <w:pPr>
      <w:pBdr>
        <w:bottom w:val="none" w:sz="0" w:space="0" w:color="auto"/>
      </w:pBdr>
      <w:spacing w:after="0"/>
      <w:ind w:left="113" w:right="113"/>
    </w:pPr>
  </w:style>
  <w:style w:type="paragraph" w:customStyle="1" w:styleId="Bordersmall">
    <w:name w:val="Border: small"/>
    <w:basedOn w:val="Border"/>
    <w:qFormat/>
    <w:rsid w:val="005A488E"/>
    <w:pPr>
      <w:spacing w:after="0"/>
    </w:pPr>
  </w:style>
  <w:style w:type="paragraph" w:customStyle="1" w:styleId="Emphasised">
    <w:name w:val="Emphasised"/>
    <w:basedOn w:val="Normal"/>
    <w:qFormat/>
    <w:rsid w:val="00A24106"/>
    <w:pPr>
      <w:keepLines/>
      <w:shd w:val="clear" w:color="auto" w:fill="B8CCE4" w:themeFill="accent1" w:themeFillTint="66"/>
      <w:spacing w:line="320" w:lineRule="exact"/>
    </w:pPr>
  </w:style>
  <w:style w:type="character" w:customStyle="1" w:styleId="HeaderChar">
    <w:name w:val="Header Char"/>
    <w:basedOn w:val="Fuentedeprrafopredeter"/>
    <w:uiPriority w:val="99"/>
    <w:semiHidden/>
    <w:rsid w:val="005A488E"/>
    <w:rPr>
      <w:rFonts w:ascii="Arial" w:hAnsi="Arial"/>
      <w:sz w:val="16"/>
    </w:rPr>
  </w:style>
  <w:style w:type="character" w:customStyle="1" w:styleId="Listaconvietas2Car">
    <w:name w:val="Lista con viñetas 2 Car"/>
    <w:basedOn w:val="Fuentedeprrafopredeter"/>
    <w:link w:val="Listaconvietas2"/>
    <w:uiPriority w:val="99"/>
    <w:rsid w:val="005A488E"/>
    <w:rPr>
      <w:rFonts w:ascii="Times New Roman" w:hAnsi="Times New Roman"/>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Footnote Text3,ALTS FOOTNOTE"/>
    <w:link w:val="TextonotapieCar"/>
    <w:uiPriority w:val="99"/>
    <w:unhideWhenUsed/>
    <w:rsid w:val="005A488E"/>
    <w:pPr>
      <w:spacing w:after="100" w:line="240" w:lineRule="auto"/>
      <w:ind w:left="499" w:hanging="499"/>
    </w:pPr>
    <w:rPr>
      <w:rFonts w:ascii="Franklin Gothic Book" w:hAnsi="Franklin Gothic Book"/>
      <w:sz w:val="18"/>
      <w:szCs w:val="20"/>
    </w:rPr>
  </w:style>
  <w:style w:type="character" w:customStyle="1" w:styleId="FooterChar">
    <w:name w:val="Footer Char"/>
    <w:basedOn w:val="Fuentedeprrafopredeter"/>
    <w:uiPriority w:val="99"/>
    <w:rsid w:val="005A488E"/>
    <w:rPr>
      <w:rFonts w:ascii="Arial" w:hAnsi="Arial"/>
      <w:sz w:val="16"/>
    </w:rPr>
  </w:style>
  <w:style w:type="character" w:styleId="Hipervnculo">
    <w:name w:val="Hyperlink"/>
    <w:basedOn w:val="Fuentedeprrafopredeter"/>
    <w:uiPriority w:val="99"/>
    <w:unhideWhenUsed/>
    <w:rsid w:val="005A488E"/>
    <w:rPr>
      <w:color w:val="auto"/>
      <w:u w:val="none"/>
    </w:rPr>
  </w:style>
  <w:style w:type="character" w:styleId="Hipervnculovisitado">
    <w:name w:val="FollowedHyperlink"/>
    <w:basedOn w:val="Fuentedeprrafopredeter"/>
    <w:uiPriority w:val="99"/>
    <w:semiHidden/>
    <w:unhideWhenUsed/>
    <w:rsid w:val="005A488E"/>
    <w:rPr>
      <w:color w:val="800080" w:themeColor="followedHyperlink"/>
      <w:u w:val="single"/>
    </w:rPr>
  </w:style>
  <w:style w:type="paragraph" w:styleId="Listaconvietas">
    <w:name w:val="List Bullet"/>
    <w:basedOn w:val="Normal"/>
    <w:uiPriority w:val="99"/>
    <w:unhideWhenUsed/>
    <w:qFormat/>
    <w:rsid w:val="005A488E"/>
    <w:pPr>
      <w:numPr>
        <w:numId w:val="6"/>
      </w:numPr>
    </w:pPr>
  </w:style>
  <w:style w:type="paragraph" w:customStyle="1" w:styleId="ListBulletCompact">
    <w:name w:val="List Bullet Compact"/>
    <w:basedOn w:val="Listaconvietas"/>
    <w:qFormat/>
    <w:rsid w:val="005A488E"/>
    <w:pPr>
      <w:ind w:left="357" w:hanging="357"/>
      <w:contextualSpacing/>
    </w:pPr>
  </w:style>
  <w:style w:type="paragraph" w:customStyle="1" w:styleId="ListBullet2Compact">
    <w:name w:val="List Bullet 2 Compact"/>
    <w:basedOn w:val="Listaconvietas2"/>
    <w:qFormat/>
    <w:rsid w:val="005A488E"/>
    <w:pPr>
      <w:numPr>
        <w:numId w:val="8"/>
      </w:numPr>
      <w:contextualSpacing/>
    </w:pPr>
  </w:style>
  <w:style w:type="paragraph" w:styleId="Listaconnmeros">
    <w:name w:val="List Number"/>
    <w:basedOn w:val="Normal"/>
    <w:uiPriority w:val="99"/>
    <w:unhideWhenUsed/>
    <w:rsid w:val="005A488E"/>
    <w:pPr>
      <w:numPr>
        <w:numId w:val="7"/>
      </w:numPr>
      <w:contextualSpacing/>
    </w:pPr>
  </w:style>
  <w:style w:type="paragraph" w:customStyle="1" w:styleId="Annex1">
    <w:name w:val="Annex 1"/>
    <w:next w:val="Normal"/>
    <w:qFormat/>
    <w:rsid w:val="005A488E"/>
    <w:pPr>
      <w:keepNext/>
      <w:pageBreakBefore/>
      <w:numPr>
        <w:numId w:val="2"/>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5A488E"/>
    <w:pPr>
      <w:spacing w:after="120"/>
      <w:ind w:left="283"/>
    </w:pPr>
  </w:style>
  <w:style w:type="character" w:customStyle="1" w:styleId="SangradetextonormalCar">
    <w:name w:val="Sangría de texto normal Car"/>
    <w:basedOn w:val="Fuentedeprrafopredeter"/>
    <w:link w:val="Sangradetextonormal"/>
    <w:uiPriority w:val="99"/>
    <w:semiHidden/>
    <w:rsid w:val="005A488E"/>
    <w:rPr>
      <w:rFonts w:ascii="Times New Roman" w:hAnsi="Times New Roman"/>
    </w:rPr>
  </w:style>
  <w:style w:type="character" w:customStyle="1" w:styleId="Ttulo1Car">
    <w:name w:val="Título 1 Car"/>
    <w:aliases w:val="h1 Car"/>
    <w:basedOn w:val="Fuentedeprrafopredeter"/>
    <w:link w:val="Ttulo1"/>
    <w:uiPriority w:val="9"/>
    <w:rsid w:val="005A488E"/>
    <w:rPr>
      <w:rFonts w:ascii="Times New Roman" w:eastAsiaTheme="majorEastAsia" w:hAnsi="Times New Roman" w:cstheme="majorBidi"/>
      <w:bCs/>
      <w:sz w:val="36"/>
      <w:szCs w:val="28"/>
    </w:rPr>
  </w:style>
  <w:style w:type="character" w:customStyle="1" w:styleId="Ttulo2Car">
    <w:name w:val="Título 2 Car"/>
    <w:aliases w:val="h2 Car"/>
    <w:basedOn w:val="Fuentedeprrafopredeter"/>
    <w:link w:val="Ttulo2"/>
    <w:uiPriority w:val="9"/>
    <w:rsid w:val="005A488E"/>
    <w:rPr>
      <w:rFonts w:ascii="Times New Roman" w:eastAsiaTheme="majorEastAsia" w:hAnsi="Times New Roman" w:cstheme="majorBidi"/>
      <w:b/>
      <w:bCs/>
      <w:sz w:val="24"/>
      <w:szCs w:val="26"/>
    </w:rPr>
  </w:style>
  <w:style w:type="character" w:customStyle="1" w:styleId="Ttulo3Car">
    <w:name w:val="Título 3 Car"/>
    <w:aliases w:val="h3 Car"/>
    <w:basedOn w:val="Fuentedeprrafopredeter"/>
    <w:link w:val="Ttulo3"/>
    <w:uiPriority w:val="9"/>
    <w:rsid w:val="005A488E"/>
    <w:rPr>
      <w:rFonts w:ascii="Times New Roman" w:eastAsiaTheme="majorEastAsia" w:hAnsi="Times New Roman" w:cstheme="majorBidi"/>
      <w:b/>
      <w:bCs/>
    </w:rPr>
  </w:style>
  <w:style w:type="numbering" w:styleId="1ai">
    <w:name w:val="Outline List 1"/>
    <w:basedOn w:val="Sinlista"/>
    <w:uiPriority w:val="99"/>
    <w:semiHidden/>
    <w:unhideWhenUsed/>
    <w:rsid w:val="005A488E"/>
    <w:pPr>
      <w:numPr>
        <w:numId w:val="1"/>
      </w:numPr>
    </w:p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
    <w:basedOn w:val="Fuentedeprrafopredeter"/>
    <w:link w:val="Textonotapie"/>
    <w:uiPriority w:val="99"/>
    <w:rsid w:val="005A488E"/>
    <w:rPr>
      <w:rFonts w:ascii="Franklin Gothic Book" w:hAnsi="Franklin Gothic Book"/>
      <w:sz w:val="18"/>
      <w:szCs w:val="20"/>
    </w:rPr>
  </w:style>
  <w:style w:type="character" w:styleId="Refdenotaalpie">
    <w:name w:val="footnote reference"/>
    <w:aliases w:val="(NECG) Footnote Reference,o,fr,Style 3,Appel note de bas de p,Style 12,Style 124,Ref,de nota al pie,Ref. de nota al pie 2"/>
    <w:basedOn w:val="Fuentedeprrafopredeter"/>
    <w:uiPriority w:val="99"/>
    <w:unhideWhenUsed/>
    <w:rsid w:val="005A488E"/>
    <w:rPr>
      <w:rFonts w:ascii="Franklin Gothic Book" w:hAnsi="Franklin Gothic Book"/>
      <w:b w:val="0"/>
      <w:i w:val="0"/>
      <w:sz w:val="22"/>
      <w:vertAlign w:val="superscript"/>
    </w:rPr>
  </w:style>
  <w:style w:type="paragraph" w:styleId="Piedepgina">
    <w:name w:val="footer"/>
    <w:link w:val="PiedepginaCar"/>
    <w:uiPriority w:val="99"/>
    <w:unhideWhenUsed/>
    <w:rsid w:val="005A488E"/>
    <w:pPr>
      <w:tabs>
        <w:tab w:val="center" w:pos="4394"/>
        <w:tab w:val="right" w:pos="9214"/>
      </w:tabs>
      <w:spacing w:after="0" w:line="260" w:lineRule="atLeast"/>
      <w:ind w:left="-499" w:right="-499"/>
    </w:pPr>
    <w:rPr>
      <w:rFonts w:ascii="Franklin Gothic Book" w:hAnsi="Franklin Gothic Book"/>
      <w:sz w:val="18"/>
    </w:rPr>
  </w:style>
  <w:style w:type="character" w:customStyle="1" w:styleId="PiedepginaCar">
    <w:name w:val="Pie de página Car"/>
    <w:basedOn w:val="Fuentedeprrafopredeter"/>
    <w:link w:val="Piedepgina"/>
    <w:uiPriority w:val="99"/>
    <w:rsid w:val="005A488E"/>
    <w:rPr>
      <w:rFonts w:ascii="Franklin Gothic Book" w:hAnsi="Franklin Gothic Book"/>
      <w:sz w:val="18"/>
    </w:rPr>
  </w:style>
  <w:style w:type="character" w:styleId="Nmerodepgina">
    <w:name w:val="page number"/>
    <w:basedOn w:val="Fuentedeprrafopredeter"/>
    <w:uiPriority w:val="99"/>
    <w:unhideWhenUsed/>
    <w:rsid w:val="005A488E"/>
  </w:style>
  <w:style w:type="paragraph" w:customStyle="1" w:styleId="I1">
    <w:name w:val="I1"/>
    <w:basedOn w:val="Listaconvietas"/>
    <w:link w:val="I1Char1"/>
    <w:rsid w:val="005A488E"/>
  </w:style>
  <w:style w:type="paragraph" w:customStyle="1" w:styleId="II">
    <w:name w:val="II"/>
    <w:basedOn w:val="Listaconvietas2"/>
    <w:link w:val="IIChar"/>
    <w:qFormat/>
    <w:rsid w:val="005A488E"/>
  </w:style>
  <w:style w:type="character" w:customStyle="1" w:styleId="IIChar">
    <w:name w:val="II Char"/>
    <w:basedOn w:val="Listaconvietas2Car"/>
    <w:link w:val="II"/>
    <w:rsid w:val="005A488E"/>
    <w:rPr>
      <w:rFonts w:ascii="Times New Roman" w:hAnsi="Times New Roman"/>
    </w:rPr>
  </w:style>
  <w:style w:type="paragraph" w:customStyle="1" w:styleId="LL">
    <w:name w:val="LL"/>
    <w:basedOn w:val="ListBullet2Compact"/>
    <w:rsid w:val="005A488E"/>
    <w:pPr>
      <w:ind w:left="714" w:hanging="357"/>
    </w:pPr>
  </w:style>
  <w:style w:type="paragraph" w:customStyle="1" w:styleId="SBSheader">
    <w:name w:val="SBS: header"/>
    <w:basedOn w:val="Normal"/>
    <w:qFormat/>
    <w:rsid w:val="005A488E"/>
    <w:pPr>
      <w:jc w:val="left"/>
    </w:pPr>
    <w:rPr>
      <w:i/>
    </w:rPr>
  </w:style>
  <w:style w:type="paragraph" w:customStyle="1" w:styleId="Tablecells">
    <w:name w:val="Table: cells"/>
    <w:qFormat/>
    <w:rsid w:val="005A488E"/>
    <w:pPr>
      <w:spacing w:before="40" w:after="40" w:line="240" w:lineRule="exact"/>
      <w:ind w:right="113"/>
    </w:pPr>
    <w:rPr>
      <w:rFonts w:ascii="Franklin Gothic Book" w:hAnsi="Franklin Gothic Book"/>
      <w:sz w:val="20"/>
    </w:rPr>
  </w:style>
  <w:style w:type="paragraph" w:customStyle="1" w:styleId="Tableheading">
    <w:name w:val="Table: heading"/>
    <w:basedOn w:val="Tablecells"/>
    <w:next w:val="Tablecells"/>
    <w:qFormat/>
    <w:rsid w:val="005A488E"/>
    <w:pPr>
      <w:keepNext/>
    </w:pPr>
    <w:rPr>
      <w:b/>
      <w:color w:val="FFFFFF"/>
    </w:rPr>
  </w:style>
  <w:style w:type="paragraph" w:customStyle="1" w:styleId="Tablenote">
    <w:name w:val="Table: note"/>
    <w:basedOn w:val="Tablecells"/>
    <w:qFormat/>
    <w:rsid w:val="005A488E"/>
    <w:pPr>
      <w:pBdr>
        <w:bottom w:val="single" w:sz="4" w:space="9" w:color="auto"/>
      </w:pBdr>
      <w:tabs>
        <w:tab w:val="left" w:pos="567"/>
      </w:tabs>
      <w:spacing w:before="100" w:after="0"/>
      <w:ind w:left="567" w:right="0" w:hanging="567"/>
    </w:pPr>
  </w:style>
  <w:style w:type="paragraph" w:customStyle="1" w:styleId="Tablebullet">
    <w:name w:val="Table: bullet"/>
    <w:basedOn w:val="Tablecells"/>
    <w:qFormat/>
    <w:rsid w:val="005A488E"/>
    <w:pPr>
      <w:numPr>
        <w:numId w:val="9"/>
      </w:numPr>
    </w:pPr>
  </w:style>
  <w:style w:type="paragraph" w:styleId="TDC2">
    <w:name w:val="toc 2"/>
    <w:basedOn w:val="TDC1"/>
    <w:next w:val="Normal"/>
    <w:autoRedefine/>
    <w:uiPriority w:val="39"/>
    <w:unhideWhenUsed/>
    <w:rsid w:val="005A488E"/>
    <w:pPr>
      <w:keepNext w:val="0"/>
      <w:spacing w:before="0"/>
    </w:pPr>
    <w:rPr>
      <w:b w:val="0"/>
      <w:noProof/>
    </w:rPr>
  </w:style>
  <w:style w:type="paragraph" w:styleId="Textocomentario">
    <w:name w:val="annotation text"/>
    <w:basedOn w:val="Normal"/>
    <w:link w:val="TextocomentarioCar"/>
    <w:uiPriority w:val="99"/>
    <w:unhideWhenUsed/>
    <w:rsid w:val="005A488E"/>
    <w:pPr>
      <w:spacing w:line="240" w:lineRule="auto"/>
    </w:pPr>
    <w:rPr>
      <w:sz w:val="20"/>
      <w:szCs w:val="20"/>
    </w:rPr>
  </w:style>
  <w:style w:type="character" w:customStyle="1" w:styleId="TextocomentarioCar">
    <w:name w:val="Texto comentario Car"/>
    <w:basedOn w:val="Fuentedeprrafopredeter"/>
    <w:link w:val="Textocomentario"/>
    <w:uiPriority w:val="99"/>
    <w:rsid w:val="005A488E"/>
    <w:rPr>
      <w:rFonts w:ascii="Times New Roman" w:hAnsi="Times New Roman"/>
      <w:sz w:val="20"/>
      <w:szCs w:val="20"/>
    </w:rPr>
  </w:style>
  <w:style w:type="character" w:customStyle="1" w:styleId="ConfidentialFooter">
    <w:name w:val="ConfidentialFooter"/>
    <w:basedOn w:val="Fuentedeprrafopredeter"/>
    <w:uiPriority w:val="1"/>
    <w:rsid w:val="005A488E"/>
    <w:rPr>
      <w:color w:val="FFFFFF"/>
      <w:sz w:val="2"/>
    </w:rPr>
  </w:style>
  <w:style w:type="paragraph" w:customStyle="1" w:styleId="ConfidentialFront">
    <w:name w:val="ConfidentialFront"/>
    <w:basedOn w:val="Normal"/>
    <w:qFormat/>
    <w:rsid w:val="005A488E"/>
    <w:pPr>
      <w:spacing w:before="960"/>
      <w:ind w:left="5103" w:right="-397"/>
    </w:pPr>
    <w:rPr>
      <w:rFonts w:ascii="Arial" w:hAnsi="Arial"/>
      <w:color w:val="FFFFFF"/>
      <w:sz w:val="2"/>
    </w:rPr>
  </w:style>
  <w:style w:type="paragraph" w:customStyle="1" w:styleId="H5">
    <w:name w:val="H5"/>
    <w:basedOn w:val="Normal"/>
    <w:next w:val="Normal"/>
    <w:link w:val="H5Char"/>
    <w:qFormat/>
    <w:rsid w:val="005A488E"/>
    <w:pPr>
      <w:keepNext/>
      <w:numPr>
        <w:numId w:val="3"/>
      </w:numPr>
      <w:spacing w:after="200"/>
    </w:pPr>
    <w:rPr>
      <w:i/>
    </w:rPr>
  </w:style>
  <w:style w:type="character" w:customStyle="1" w:styleId="H5Char">
    <w:name w:val="H5 Char"/>
    <w:basedOn w:val="Fuentedeprrafopredeter"/>
    <w:link w:val="H5"/>
    <w:rsid w:val="005A488E"/>
    <w:rPr>
      <w:rFonts w:ascii="Times New Roman" w:hAnsi="Times New Roman"/>
      <w:i/>
    </w:rPr>
  </w:style>
  <w:style w:type="paragraph" w:styleId="TDC1">
    <w:name w:val="toc 1"/>
    <w:basedOn w:val="Normal"/>
    <w:next w:val="Normal"/>
    <w:autoRedefine/>
    <w:uiPriority w:val="39"/>
    <w:unhideWhenUsed/>
    <w:rsid w:val="005A488E"/>
    <w:pPr>
      <w:keepNext/>
      <w:tabs>
        <w:tab w:val="left" w:pos="635"/>
        <w:tab w:val="right" w:pos="8789"/>
      </w:tabs>
      <w:spacing w:before="240" w:after="0"/>
    </w:pPr>
    <w:rPr>
      <w:b/>
    </w:rPr>
  </w:style>
  <w:style w:type="paragraph" w:styleId="TDC3">
    <w:name w:val="toc 3"/>
    <w:basedOn w:val="TDC2"/>
    <w:next w:val="Normal"/>
    <w:autoRedefine/>
    <w:uiPriority w:val="39"/>
    <w:unhideWhenUsed/>
    <w:rsid w:val="005A488E"/>
    <w:rPr>
      <w:sz w:val="20"/>
    </w:rPr>
  </w:style>
  <w:style w:type="paragraph" w:styleId="TDC4">
    <w:name w:val="toc 4"/>
    <w:basedOn w:val="TDC3"/>
    <w:next w:val="Normal"/>
    <w:autoRedefine/>
    <w:uiPriority w:val="39"/>
    <w:unhideWhenUsed/>
    <w:rsid w:val="005A488E"/>
  </w:style>
  <w:style w:type="character" w:customStyle="1" w:styleId="Ttulo4Car">
    <w:name w:val="Título 4 Car"/>
    <w:basedOn w:val="Fuentedeprrafopredeter"/>
    <w:link w:val="Ttulo4"/>
    <w:uiPriority w:val="9"/>
    <w:rsid w:val="005A488E"/>
    <w:rPr>
      <w:rFonts w:ascii="Times New Roman" w:eastAsiaTheme="majorEastAsia" w:hAnsi="Times New Roman" w:cstheme="majorBidi"/>
      <w:bCs/>
      <w:i/>
      <w:iCs/>
    </w:rPr>
  </w:style>
  <w:style w:type="paragraph" w:customStyle="1" w:styleId="Annex2">
    <w:name w:val="Annex 2"/>
    <w:next w:val="Normal"/>
    <w:qFormat/>
    <w:rsid w:val="00CF5D18"/>
    <w:pPr>
      <w:keepNext/>
      <w:numPr>
        <w:ilvl w:val="1"/>
        <w:numId w:val="2"/>
      </w:numPr>
      <w:spacing w:before="360" w:line="320" w:lineRule="atLeast"/>
      <w:outlineLvl w:val="1"/>
    </w:pPr>
    <w:rPr>
      <w:rFonts w:ascii="Times New Roman" w:hAnsi="Times New Roman"/>
      <w:b/>
      <w:sz w:val="24"/>
    </w:rPr>
  </w:style>
  <w:style w:type="paragraph" w:customStyle="1" w:styleId="Annex3">
    <w:name w:val="Annex 3"/>
    <w:next w:val="Normal"/>
    <w:qFormat/>
    <w:rsid w:val="00CF5D18"/>
    <w:pPr>
      <w:keepNext/>
      <w:numPr>
        <w:ilvl w:val="2"/>
        <w:numId w:val="2"/>
      </w:numPr>
      <w:spacing w:before="360" w:after="240" w:line="320" w:lineRule="atLeast"/>
      <w:outlineLvl w:val="2"/>
    </w:pPr>
    <w:rPr>
      <w:rFonts w:ascii="Times New Roman" w:hAnsi="Times New Roman"/>
      <w:b/>
    </w:rPr>
  </w:style>
  <w:style w:type="paragraph" w:customStyle="1" w:styleId="Annex4">
    <w:name w:val="Annex 4"/>
    <w:next w:val="Normal"/>
    <w:qFormat/>
    <w:rsid w:val="00CF5D18"/>
    <w:pPr>
      <w:keepNext/>
      <w:numPr>
        <w:ilvl w:val="3"/>
        <w:numId w:val="2"/>
      </w:numPr>
      <w:spacing w:before="360" w:after="240" w:line="320" w:lineRule="atLeast"/>
      <w:outlineLvl w:val="3"/>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8D35F3"/>
    <w:pPr>
      <w:spacing w:before="6800" w:after="240" w:line="320" w:lineRule="atLeast"/>
    </w:pPr>
    <w:rPr>
      <w:rFonts w:ascii="Franklin Gothic Book" w:eastAsiaTheme="majorEastAsia" w:hAnsi="Franklin Gothic Book" w:cstheme="majorBidi"/>
      <w:bCs/>
      <w:color w:val="FFFFFF" w:themeColor="background1"/>
      <w:sz w:val="24"/>
      <w:szCs w:val="24"/>
    </w:rPr>
  </w:style>
  <w:style w:type="paragraph" w:customStyle="1" w:styleId="Titlemain">
    <w:name w:val="Title: main"/>
    <w:next w:val="Normal"/>
    <w:qFormat/>
    <w:rsid w:val="008D35F3"/>
    <w:pPr>
      <w:spacing w:after="280" w:line="280" w:lineRule="atLeast"/>
      <w:ind w:right="2268"/>
    </w:pPr>
    <w:rPr>
      <w:rFonts w:ascii="Franklin Gothic Book" w:eastAsiaTheme="majorEastAsia" w:hAnsi="Franklin Gothic Book" w:cstheme="majorBidi"/>
      <w:bCs/>
      <w:color w:val="FFFFFF"/>
      <w:spacing w:val="8"/>
      <w:sz w:val="48"/>
      <w:szCs w:val="34"/>
    </w:rPr>
  </w:style>
  <w:style w:type="paragraph" w:customStyle="1" w:styleId="Titleauthor">
    <w:name w:val="Title: author"/>
    <w:basedOn w:val="Normal"/>
    <w:next w:val="Titledate"/>
    <w:qFormat/>
    <w:rsid w:val="008D35F3"/>
    <w:pPr>
      <w:spacing w:after="160" w:line="259" w:lineRule="auto"/>
      <w:jc w:val="left"/>
    </w:pPr>
    <w:rPr>
      <w:rFonts w:ascii="Franklin Gothic Book" w:eastAsiaTheme="majorEastAsia" w:hAnsi="Franklin Gothic Book" w:cstheme="majorBidi"/>
      <w:bCs/>
      <w:color w:val="FFFFFF" w:themeColor="background1"/>
      <w:sz w:val="24"/>
      <w:szCs w:val="19"/>
    </w:rPr>
  </w:style>
  <w:style w:type="paragraph" w:customStyle="1" w:styleId="Titledate">
    <w:name w:val="Title: date"/>
    <w:basedOn w:val="Titlemain"/>
    <w:next w:val="TitleRefNo"/>
    <w:qFormat/>
    <w:rsid w:val="008D35F3"/>
    <w:pPr>
      <w:spacing w:after="160" w:line="259" w:lineRule="auto"/>
      <w:ind w:right="0"/>
    </w:pPr>
    <w:rPr>
      <w:i/>
      <w:color w:val="FFFFFF" w:themeColor="background1"/>
      <w:spacing w:val="0"/>
      <w:sz w:val="24"/>
      <w:szCs w:val="24"/>
    </w:rPr>
  </w:style>
  <w:style w:type="paragraph" w:customStyle="1" w:styleId="TitleRefNo">
    <w:name w:val="Title: RefNo"/>
    <w:basedOn w:val="Titledate"/>
    <w:next w:val="Normal"/>
    <w:qFormat/>
    <w:rsid w:val="008D35F3"/>
    <w:rPr>
      <w:szCs w:val="18"/>
    </w:rPr>
  </w:style>
  <w:style w:type="paragraph" w:customStyle="1" w:styleId="B1">
    <w:name w:val="B1"/>
    <w:basedOn w:val="Emphasised"/>
    <w:qFormat/>
    <w:rsid w:val="005A488E"/>
  </w:style>
  <w:style w:type="paragraph" w:customStyle="1" w:styleId="Contentsheading">
    <w:name w:val="Contents: heading"/>
    <w:basedOn w:val="Normal"/>
    <w:next w:val="TDC1"/>
    <w:qFormat/>
    <w:rsid w:val="005A488E"/>
    <w:pPr>
      <w:spacing w:after="560" w:line="720" w:lineRule="exact"/>
    </w:pPr>
    <w:rPr>
      <w:sz w:val="40"/>
    </w:rPr>
  </w:style>
  <w:style w:type="paragraph" w:customStyle="1" w:styleId="Contentssubsection">
    <w:name w:val="Contents: subsection"/>
    <w:basedOn w:val="Normal"/>
    <w:next w:val="TDC1"/>
    <w:qFormat/>
    <w:rsid w:val="005A488E"/>
    <w:pPr>
      <w:spacing w:before="360" w:after="0"/>
    </w:pPr>
    <w:rPr>
      <w:b/>
      <w:sz w:val="26"/>
    </w:rPr>
  </w:style>
  <w:style w:type="paragraph" w:customStyle="1" w:styleId="cvhead">
    <w:name w:val="cvhead"/>
    <w:basedOn w:val="Normal"/>
    <w:next w:val="Normal"/>
    <w:qFormat/>
    <w:rsid w:val="0069421D"/>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5A488E"/>
    <w:pPr>
      <w:spacing w:after="0"/>
    </w:pPr>
  </w:style>
  <w:style w:type="paragraph" w:customStyle="1" w:styleId="Titleaddress">
    <w:name w:val="Title: address"/>
    <w:basedOn w:val="01"/>
    <w:qFormat/>
    <w:rsid w:val="008D35F3"/>
    <w:pPr>
      <w:ind w:left="567"/>
    </w:pPr>
  </w:style>
  <w:style w:type="paragraph" w:customStyle="1" w:styleId="L1">
    <w:name w:val="L1"/>
    <w:basedOn w:val="ListBulletCompact"/>
    <w:link w:val="L1Char"/>
    <w:qFormat/>
    <w:rsid w:val="005A488E"/>
  </w:style>
  <w:style w:type="paragraph" w:customStyle="1" w:styleId="Titleversion">
    <w:name w:val="Title: version"/>
    <w:basedOn w:val="Normal"/>
    <w:rsid w:val="00C52B83"/>
    <w:pPr>
      <w:jc w:val="center"/>
    </w:pPr>
    <w:rPr>
      <w:rFonts w:eastAsia="Times New Roman" w:cs="Times New Roman"/>
      <w:szCs w:val="20"/>
    </w:rPr>
  </w:style>
  <w:style w:type="paragraph" w:customStyle="1" w:styleId="01-reference">
    <w:name w:val="01-reference"/>
    <w:basedOn w:val="TitleRefNo"/>
    <w:rsid w:val="00C52B83"/>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pPr>
    <w:rPr>
      <w:rFonts w:ascii="Times New Roman" w:eastAsia="Times New Roman" w:hAnsi="Times New Roman" w:cs="Times New Roman"/>
      <w:bCs w:val="0"/>
      <w:i w:val="0"/>
      <w:sz w:val="30"/>
      <w:szCs w:val="20"/>
      <w:lang w:val="es-ES"/>
    </w:rPr>
  </w:style>
  <w:style w:type="table" w:styleId="Sombreadomedio2-nfasis1">
    <w:name w:val="Medium Shading 2 Accent 1"/>
    <w:basedOn w:val="Tablanormal"/>
    <w:uiPriority w:val="64"/>
    <w:unhideWhenUsed/>
    <w:rsid w:val="005A488E"/>
    <w:pPr>
      <w:spacing w:after="0" w:line="240" w:lineRule="auto"/>
    </w:pPr>
    <w:rPr>
      <w:rFonts w:ascii="Franklin Gothic Book" w:hAnsi="Franklin Gothic Book"/>
      <w:sz w:val="20"/>
    </w:rPr>
    <w:tblPr>
      <w:tblStyleRowBandSize w:val="1"/>
      <w:tblStyleColBandSize w:val="1"/>
    </w:tblPr>
    <w:tcPr>
      <w:shd w:val="clear" w:color="auto" w:fill="D9D9D9" w:themeFill="background1" w:themeFillShade="D9"/>
    </w:tcPr>
    <w:tblStylePr w:type="firstRow">
      <w:pPr>
        <w:spacing w:before="0" w:after="0" w:line="240" w:lineRule="auto"/>
      </w:pPr>
      <w:rPr>
        <w:b/>
        <w:bCs/>
        <w:color w:val="FFFFFF" w:themeColor="background1"/>
      </w:rPr>
      <w:tblPr/>
      <w:tcPr>
        <w:tcBorders>
          <w:top w:val="nil"/>
          <w:left w:val="nil"/>
          <w:bottom w:val="single" w:sz="18" w:space="0" w:color="FFFFFF" w:themeColor="background1"/>
          <w:right w:val="nil"/>
          <w:insideH w:val="nil"/>
          <w:insideV w:val="single" w:sz="8" w:space="0" w:color="FFFFFF" w:themeColor="background1"/>
          <w:tl2br w:val="nil"/>
          <w:tr2bl w:val="nil"/>
        </w:tcBorders>
        <w:shd w:val="clear" w:color="auto" w:fill="0F51B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Horz">
      <w:tblPr/>
      <w:tcPr>
        <w:tcBorders>
          <w:top w:val="nil"/>
          <w:left w:val="nil"/>
          <w:bottom w:val="single" w:sz="8" w:space="0" w:color="FFFFFF" w:themeColor="background1"/>
          <w:right w:val="nil"/>
          <w:insideH w:val="nil"/>
          <w:insideV w:val="single" w:sz="8" w:space="0" w:color="FFFFFF" w:themeColor="background1"/>
          <w:tl2br w:val="nil"/>
          <w:tr2bl w:val="nil"/>
        </w:tcBorders>
        <w:shd w:val="clear" w:color="auto" w:fill="D9D9D9"/>
      </w:tcPr>
    </w:tblStylePr>
    <w:tblStylePr w:type="band2Horz">
      <w:tblPr/>
      <w:tcPr>
        <w:tcBorders>
          <w:top w:val="nil"/>
          <w:left w:val="nil"/>
          <w:bottom w:val="single" w:sz="8" w:space="0" w:color="FFFFFF" w:themeColor="background1"/>
          <w:right w:val="nil"/>
          <w:insideH w:val="nil"/>
          <w:insideV w:val="single" w:sz="8" w:space="0" w:color="FFFFFF" w:themeColor="background1"/>
          <w:tl2br w:val="nil"/>
          <w:tr2bl w:val="nil"/>
        </w:tcBorders>
        <w:shd w:val="clear" w:color="auto" w:fill="D9D9D9"/>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customStyle="1" w:styleId="TableCaption">
    <w:name w:val="Table Caption"/>
    <w:basedOn w:val="Descripcin"/>
    <w:qFormat/>
    <w:rsid w:val="005A488E"/>
    <w:pPr>
      <w:pBdr>
        <w:bottom w:val="none" w:sz="0" w:space="0" w:color="auto"/>
      </w:pBdr>
    </w:pPr>
  </w:style>
  <w:style w:type="paragraph" w:styleId="Textodeglobo">
    <w:name w:val="Balloon Text"/>
    <w:basedOn w:val="Normal"/>
    <w:link w:val="TextodegloboCar"/>
    <w:uiPriority w:val="99"/>
    <w:semiHidden/>
    <w:unhideWhenUsed/>
    <w:rsid w:val="005A48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88E"/>
    <w:rPr>
      <w:rFonts w:ascii="Segoe UI" w:hAnsi="Segoe UI" w:cs="Segoe UI"/>
      <w:sz w:val="18"/>
      <w:szCs w:val="18"/>
    </w:rPr>
  </w:style>
  <w:style w:type="character" w:styleId="nfasis">
    <w:name w:val="Emphasis"/>
    <w:basedOn w:val="Fuentedeprrafopredeter"/>
    <w:uiPriority w:val="20"/>
    <w:qFormat/>
    <w:rsid w:val="005A488E"/>
    <w:rPr>
      <w:i/>
      <w:iCs/>
    </w:rPr>
  </w:style>
  <w:style w:type="paragraph" w:styleId="Prrafodelista">
    <w:name w:val="List Paragraph"/>
    <w:basedOn w:val="Normal"/>
    <w:uiPriority w:val="34"/>
    <w:qFormat/>
    <w:rsid w:val="005A488E"/>
    <w:pPr>
      <w:ind w:left="720"/>
      <w:contextualSpacing/>
    </w:pPr>
  </w:style>
  <w:style w:type="paragraph" w:styleId="Cita">
    <w:name w:val="Quote"/>
    <w:basedOn w:val="Normal"/>
    <w:link w:val="CitaCar"/>
    <w:uiPriority w:val="29"/>
    <w:qFormat/>
    <w:rsid w:val="005A488E"/>
    <w:pPr>
      <w:ind w:left="284" w:right="284"/>
    </w:pPr>
    <w:rPr>
      <w:i/>
      <w:iCs/>
      <w:color w:val="000000" w:themeColor="text1"/>
    </w:rPr>
  </w:style>
  <w:style w:type="character" w:customStyle="1" w:styleId="CitaCar">
    <w:name w:val="Cita Car"/>
    <w:basedOn w:val="Fuentedeprrafopredeter"/>
    <w:link w:val="Cita"/>
    <w:uiPriority w:val="29"/>
    <w:rsid w:val="005A488E"/>
    <w:rPr>
      <w:rFonts w:ascii="Times New Roman" w:hAnsi="Times New Roman"/>
      <w:i/>
      <w:iCs/>
      <w:color w:val="000000" w:themeColor="text1"/>
    </w:rPr>
  </w:style>
  <w:style w:type="table" w:styleId="Tablaconcuadrcula">
    <w:name w:val="Table Grid"/>
    <w:basedOn w:val="Tablanormal"/>
    <w:uiPriority w:val="59"/>
    <w:unhideWhenUsed/>
    <w:rsid w:val="005A4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filler">
    <w:name w:val="Title: filler"/>
    <w:basedOn w:val="Titlemain"/>
    <w:qFormat/>
    <w:rsid w:val="002A36F4"/>
    <w:pPr>
      <w:spacing w:after="0" w:line="259" w:lineRule="auto"/>
    </w:pPr>
    <w:rPr>
      <w:sz w:val="36"/>
    </w:rPr>
  </w:style>
  <w:style w:type="character" w:customStyle="1" w:styleId="Ttulo5Car">
    <w:name w:val="Título 5 Car"/>
    <w:basedOn w:val="Fuentedeprrafopredeter"/>
    <w:link w:val="Ttulo5"/>
    <w:uiPriority w:val="9"/>
    <w:rsid w:val="0067461A"/>
    <w:rPr>
      <w:rFonts w:asciiTheme="majorHAnsi" w:eastAsiaTheme="majorEastAsia" w:hAnsiTheme="majorHAnsi" w:cstheme="majorBidi"/>
      <w:color w:val="365F91" w:themeColor="accent1" w:themeShade="BF"/>
    </w:rPr>
  </w:style>
  <w:style w:type="character" w:customStyle="1" w:styleId="L1Char">
    <w:name w:val="L1 Char"/>
    <w:link w:val="L1"/>
    <w:rsid w:val="0067461A"/>
    <w:rPr>
      <w:rFonts w:ascii="Times New Roman" w:hAnsi="Times New Roman"/>
    </w:rPr>
  </w:style>
  <w:style w:type="character" w:customStyle="1" w:styleId="I1Char1">
    <w:name w:val="I1 Char1"/>
    <w:link w:val="I1"/>
    <w:rsid w:val="0067461A"/>
    <w:rPr>
      <w:rFonts w:ascii="Times New Roman" w:hAnsi="Times New Roman"/>
    </w:rPr>
  </w:style>
  <w:style w:type="character" w:styleId="Refdecomentario">
    <w:name w:val="annotation reference"/>
    <w:basedOn w:val="Fuentedeprrafopredeter"/>
    <w:uiPriority w:val="99"/>
    <w:semiHidden/>
    <w:unhideWhenUsed/>
    <w:rsid w:val="0067461A"/>
    <w:rPr>
      <w:sz w:val="16"/>
      <w:szCs w:val="16"/>
    </w:rPr>
  </w:style>
  <w:style w:type="paragraph" w:styleId="NormalWeb">
    <w:name w:val="Normal (Web)"/>
    <w:basedOn w:val="Normal"/>
    <w:uiPriority w:val="99"/>
    <w:unhideWhenUsed/>
    <w:rsid w:val="0067461A"/>
    <w:pPr>
      <w:spacing w:before="100" w:beforeAutospacing="1" w:after="100" w:afterAutospacing="1" w:line="240" w:lineRule="auto"/>
      <w:jc w:val="left"/>
    </w:pPr>
    <w:rPr>
      <w:rFonts w:eastAsia="Times New Roman" w:cs="Times New Roman"/>
      <w:sz w:val="24"/>
      <w:szCs w:val="24"/>
      <w:lang w:eastAsia="es-ES"/>
    </w:rPr>
  </w:style>
  <w:style w:type="character" w:customStyle="1" w:styleId="apple-converted-space">
    <w:name w:val="apple-converted-space"/>
    <w:rsid w:val="0067461A"/>
  </w:style>
  <w:style w:type="character" w:customStyle="1" w:styleId="apple-style-span">
    <w:name w:val="apple-style-span"/>
    <w:rsid w:val="0067461A"/>
  </w:style>
  <w:style w:type="paragraph" w:styleId="Asuntodelcomentario">
    <w:name w:val="annotation subject"/>
    <w:basedOn w:val="Textocomentario"/>
    <w:next w:val="Textocomentario"/>
    <w:link w:val="AsuntodelcomentarioCar"/>
    <w:uiPriority w:val="99"/>
    <w:semiHidden/>
    <w:unhideWhenUsed/>
    <w:rsid w:val="0067461A"/>
    <w:rPr>
      <w:b/>
      <w:bCs/>
    </w:rPr>
  </w:style>
  <w:style w:type="character" w:customStyle="1" w:styleId="AsuntodelcomentarioCar">
    <w:name w:val="Asunto del comentario Car"/>
    <w:basedOn w:val="TextocomentarioCar"/>
    <w:link w:val="Asuntodelcomentario"/>
    <w:uiPriority w:val="99"/>
    <w:semiHidden/>
    <w:rsid w:val="0067461A"/>
    <w:rPr>
      <w:rFonts w:ascii="Times New Roman" w:hAnsi="Times New Roman"/>
      <w:b/>
      <w:bCs/>
      <w:sz w:val="20"/>
      <w:szCs w:val="20"/>
    </w:rPr>
  </w:style>
  <w:style w:type="paragraph" w:customStyle="1" w:styleId="Default">
    <w:name w:val="Default"/>
    <w:rsid w:val="0067461A"/>
    <w:pPr>
      <w:autoSpaceDE w:val="0"/>
      <w:autoSpaceDN w:val="0"/>
      <w:adjustRightInd w:val="0"/>
      <w:spacing w:after="0" w:line="240" w:lineRule="auto"/>
    </w:pPr>
    <w:rPr>
      <w:rFonts w:ascii="Arial" w:hAnsi="Arial" w:cs="Arial"/>
      <w:color w:val="000000"/>
      <w:sz w:val="24"/>
      <w:szCs w:val="24"/>
      <w:lang w:val="es-ES"/>
    </w:rPr>
  </w:style>
  <w:style w:type="paragraph" w:styleId="Revisin">
    <w:name w:val="Revision"/>
    <w:hidden/>
    <w:uiPriority w:val="99"/>
    <w:semiHidden/>
    <w:rsid w:val="0067461A"/>
    <w:pPr>
      <w:spacing w:after="0" w:line="240" w:lineRule="auto"/>
    </w:pPr>
    <w:rPr>
      <w:rFonts w:ascii="Times New Roman" w:hAnsi="Times New Roman"/>
      <w:lang w:val="es-ES"/>
    </w:rPr>
  </w:style>
  <w:style w:type="paragraph" w:styleId="Textonotaalfinal">
    <w:name w:val="endnote text"/>
    <w:basedOn w:val="Normal"/>
    <w:link w:val="TextonotaalfinalCar"/>
    <w:uiPriority w:val="99"/>
    <w:semiHidden/>
    <w:unhideWhenUsed/>
    <w:rsid w:val="0067461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7461A"/>
    <w:rPr>
      <w:rFonts w:ascii="Times New Roman" w:hAnsi="Times New Roman"/>
      <w:sz w:val="20"/>
      <w:szCs w:val="20"/>
    </w:rPr>
  </w:style>
  <w:style w:type="character" w:styleId="Refdenotaalfinal">
    <w:name w:val="endnote reference"/>
    <w:basedOn w:val="Fuentedeprrafopredeter"/>
    <w:uiPriority w:val="99"/>
    <w:semiHidden/>
    <w:unhideWhenUsed/>
    <w:rsid w:val="0067461A"/>
    <w:rPr>
      <w:vertAlign w:val="superscript"/>
    </w:rPr>
  </w:style>
  <w:style w:type="paragraph" w:customStyle="1" w:styleId="CVboxbullet">
    <w:name w:val="CV_box_bullet"/>
    <w:qFormat/>
    <w:rsid w:val="0067461A"/>
    <w:pPr>
      <w:widowControl w:val="0"/>
      <w:numPr>
        <w:numId w:val="27"/>
      </w:numPr>
      <w:spacing w:before="80" w:after="80" w:line="240" w:lineRule="auto"/>
      <w:ind w:left="170" w:hanging="170"/>
    </w:pPr>
    <w:rPr>
      <w:rFonts w:ascii="Calibri" w:eastAsia="Times New Roman" w:hAnsi="Calibri" w:cs="Calibri"/>
      <w:bCs/>
      <w:color w:val="000000" w:themeColor="text1"/>
      <w:kern w:val="28"/>
      <w:sz w:val="17"/>
      <w:szCs w:val="17"/>
      <w:lang w:eastAsia="en-GB"/>
      <w14:cntxtAlts/>
    </w:rPr>
  </w:style>
  <w:style w:type="paragraph" w:customStyle="1" w:styleId="CVboxheading">
    <w:name w:val="CV_box_heading"/>
    <w:qFormat/>
    <w:rsid w:val="0067461A"/>
    <w:pPr>
      <w:widowControl w:val="0"/>
      <w:spacing w:before="80" w:after="80" w:line="240" w:lineRule="auto"/>
    </w:pPr>
    <w:rPr>
      <w:rFonts w:ascii="Calibri" w:eastAsia="Times New Roman" w:hAnsi="Calibri" w:cs="Calibri"/>
      <w:b/>
      <w:bCs/>
      <w:color w:val="000000" w:themeColor="text1"/>
      <w:kern w:val="28"/>
      <w:sz w:val="17"/>
      <w:szCs w:val="17"/>
      <w:lang w:eastAsia="en-GB"/>
      <w14:cntxtAlts/>
    </w:rPr>
  </w:style>
  <w:style w:type="paragraph" w:customStyle="1" w:styleId="CVboxpara">
    <w:name w:val="CV_box_para"/>
    <w:qFormat/>
    <w:rsid w:val="0067461A"/>
    <w:pPr>
      <w:widowControl w:val="0"/>
      <w:spacing w:before="80" w:after="80" w:line="240" w:lineRule="auto"/>
    </w:pPr>
    <w:rPr>
      <w:rFonts w:ascii="Calibri" w:eastAsia="Times New Roman" w:hAnsi="Calibri" w:cs="Calibri"/>
      <w:bCs/>
      <w:color w:val="000000" w:themeColor="text1"/>
      <w:kern w:val="28"/>
      <w:sz w:val="17"/>
      <w:szCs w:val="17"/>
      <w:lang w:eastAsia="en-GB"/>
      <w14:cntxtAlts/>
    </w:rPr>
  </w:style>
  <w:style w:type="paragraph" w:customStyle="1" w:styleId="CVbullet">
    <w:name w:val="CV_bullet"/>
    <w:qFormat/>
    <w:rsid w:val="0067461A"/>
    <w:pPr>
      <w:numPr>
        <w:numId w:val="28"/>
      </w:numPr>
      <w:spacing w:after="40" w:line="240" w:lineRule="auto"/>
      <w:ind w:left="227" w:hanging="227"/>
    </w:pPr>
    <w:rPr>
      <w:rFonts w:ascii="Calibri" w:eastAsia="Times New Roman" w:hAnsi="Calibri" w:cs="Calibri"/>
      <w:color w:val="000000"/>
      <w:kern w:val="28"/>
      <w:sz w:val="18"/>
      <w:szCs w:val="18"/>
      <w:lang w:eastAsia="en-GB"/>
      <w14:ligatures w14:val="standard"/>
      <w14:cntxtAlts/>
    </w:rPr>
  </w:style>
  <w:style w:type="paragraph" w:customStyle="1" w:styleId="CVfirstpara">
    <w:name w:val="CV_firstpara"/>
    <w:qFormat/>
    <w:rsid w:val="0067461A"/>
    <w:pPr>
      <w:spacing w:after="80" w:line="240" w:lineRule="auto"/>
    </w:pPr>
    <w:rPr>
      <w:rFonts w:eastAsia="Times New Roman" w:cstheme="minorHAnsi"/>
      <w:color w:val="221F72"/>
      <w:kern w:val="28"/>
      <w:sz w:val="18"/>
      <w:szCs w:val="18"/>
      <w:lang w:eastAsia="en-GB"/>
      <w14:cntxtAlts/>
    </w:rPr>
  </w:style>
  <w:style w:type="paragraph" w:customStyle="1" w:styleId="CVheading">
    <w:name w:val="CV_heading"/>
    <w:qFormat/>
    <w:rsid w:val="0067461A"/>
    <w:pPr>
      <w:keepNext/>
      <w:widowControl w:val="0"/>
      <w:spacing w:before="160" w:after="80" w:line="240" w:lineRule="auto"/>
    </w:pPr>
    <w:rPr>
      <w:rFonts w:ascii="Calibri" w:eastAsia="Times New Roman" w:hAnsi="Calibri" w:cs="Calibri"/>
      <w:b/>
      <w:bCs/>
      <w:color w:val="221F72"/>
      <w:kern w:val="28"/>
      <w:sz w:val="18"/>
      <w:szCs w:val="18"/>
      <w:lang w:eastAsia="en-GB"/>
      <w14:cntxtAlts/>
    </w:rPr>
  </w:style>
  <w:style w:type="paragraph" w:customStyle="1" w:styleId="CVname">
    <w:name w:val="CV_name"/>
    <w:qFormat/>
    <w:rsid w:val="0067461A"/>
    <w:pPr>
      <w:widowControl w:val="0"/>
      <w:spacing w:after="0" w:line="520" w:lineRule="exact"/>
    </w:pPr>
    <w:rPr>
      <w:rFonts w:cstheme="minorHAnsi"/>
      <w:color w:val="FFFFFF"/>
      <w:sz w:val="52"/>
      <w:szCs w:val="52"/>
    </w:rPr>
  </w:style>
  <w:style w:type="paragraph" w:customStyle="1" w:styleId="CVnormal">
    <w:name w:val="CV_normal"/>
    <w:qFormat/>
    <w:rsid w:val="0067461A"/>
    <w:pPr>
      <w:spacing w:after="80" w:line="240" w:lineRule="auto"/>
    </w:pPr>
    <w:rPr>
      <w:rFonts w:ascii="Calibri" w:eastAsia="Times New Roman" w:hAnsi="Calibri" w:cs="Calibri"/>
      <w:color w:val="000000"/>
      <w:kern w:val="28"/>
      <w:sz w:val="18"/>
      <w:szCs w:val="18"/>
      <w:lang w:eastAsia="en-GB"/>
      <w14:ligatures w14:val="standard"/>
      <w14:cntxtAlts/>
    </w:rPr>
  </w:style>
  <w:style w:type="paragraph" w:customStyle="1" w:styleId="CVrole">
    <w:name w:val="CV_role"/>
    <w:basedOn w:val="Normal"/>
    <w:link w:val="CVroleChar"/>
    <w:qFormat/>
    <w:rsid w:val="0067461A"/>
    <w:pPr>
      <w:widowControl w:val="0"/>
      <w:spacing w:after="0" w:line="260" w:lineRule="exact"/>
      <w:jc w:val="left"/>
    </w:pPr>
    <w:rPr>
      <w:rFonts w:asciiTheme="minorHAnsi" w:eastAsia="Times New Roman" w:hAnsiTheme="minorHAnsi" w:cstheme="minorHAnsi"/>
      <w:color w:val="6FD9FF"/>
      <w:kern w:val="28"/>
      <w:sz w:val="24"/>
      <w:szCs w:val="24"/>
      <w:lang w:eastAsia="en-GB"/>
      <w14:cntxtAlts/>
    </w:rPr>
  </w:style>
  <w:style w:type="character" w:customStyle="1" w:styleId="CVroleChar">
    <w:name w:val="CV_role Char"/>
    <w:basedOn w:val="Fuentedeprrafopredeter"/>
    <w:link w:val="CVrole"/>
    <w:rsid w:val="0067461A"/>
    <w:rPr>
      <w:rFonts w:eastAsia="Times New Roman" w:cstheme="minorHAnsi"/>
      <w:color w:val="6FD9FF"/>
      <w:kern w:val="28"/>
      <w:sz w:val="24"/>
      <w:szCs w:val="24"/>
      <w:lang w:eastAsia="en-GB"/>
      <w14:cntxtAlts/>
    </w:rPr>
  </w:style>
  <w:style w:type="paragraph" w:customStyle="1" w:styleId="CVtitle">
    <w:name w:val="CV_title"/>
    <w:qFormat/>
    <w:rsid w:val="0067461A"/>
    <w:pPr>
      <w:widowControl w:val="0"/>
      <w:spacing w:after="0" w:line="240" w:lineRule="auto"/>
    </w:pPr>
    <w:rPr>
      <w:rFonts w:cstheme="minorHAnsi"/>
      <w:color w:val="FFFFFF"/>
      <w:sz w:val="30"/>
      <w:szCs w:val="30"/>
    </w:rPr>
  </w:style>
  <w:style w:type="character" w:styleId="Mencinsinresolver">
    <w:name w:val="Unresolved Mention"/>
    <w:basedOn w:val="Fuentedeprrafopredeter"/>
    <w:uiPriority w:val="99"/>
    <w:semiHidden/>
    <w:unhideWhenUsed/>
    <w:rsid w:val="00674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image" Target="media/image10.wmf"/><Relationship Id="rId39" Type="http://schemas.openxmlformats.org/officeDocument/2006/relationships/header" Target="header9.xml"/><Relationship Id="rId21" Type="http://schemas.openxmlformats.org/officeDocument/2006/relationships/image" Target="media/image5.wmf"/><Relationship Id="rId34" Type="http://schemas.openxmlformats.org/officeDocument/2006/relationships/image" Target="media/image18.wmf"/><Relationship Id="rId42"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header" Target="header7.xml"/><Relationship Id="rId40" Type="http://schemas.openxmlformats.org/officeDocument/2006/relationships/image" Target="media/image21.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20.wmf"/><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9AAC-30CD-4399-B2E6-30E7ECF9731C}">
  <ds:schemaRefs>
    <ds:schemaRef ds:uri="http://schemas.openxmlformats.org/officeDocument/2006/bibliography"/>
  </ds:schemaRefs>
</ds:datastoreItem>
</file>

<file path=docMetadata/LabelInfo.xml><?xml version="1.0" encoding="utf-8"?>
<clbl:labelList xmlns:clbl="http://schemas.microsoft.com/office/2020/mipLabelMetadata">
  <clbl:label id="{f2d06fff-1cf9-44fc-a24c-977797e9de2e}" enabled="1" method="Standard" siteId="{090837fc-2949-4d3c-b475-8fe9817d6f79}" removed="0"/>
</clbl:labelList>
</file>

<file path=docProps/app.xml><?xml version="1.0" encoding="utf-8"?>
<Properties xmlns="http://schemas.openxmlformats.org/officeDocument/2006/extended-properties" xmlns:vt="http://schemas.openxmlformats.org/officeDocument/2006/docPropsVTypes">
  <Template>Normal</Template>
  <TotalTime>0</TotalTime>
  <Pages>64</Pages>
  <Words>21538</Words>
  <Characters>118461</Characters>
  <Application>Microsoft Office Word</Application>
  <DocSecurity>0</DocSecurity>
  <Lines>987</Lines>
  <Paragraphs>279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139720</CharactersWithSpaces>
  <SharedDoc>false</SharedDoc>
  <HLinks>
    <vt:vector size="168" baseType="variant">
      <vt:variant>
        <vt:i4>1048624</vt:i4>
      </vt:variant>
      <vt:variant>
        <vt:i4>167</vt:i4>
      </vt:variant>
      <vt:variant>
        <vt:i4>0</vt:i4>
      </vt:variant>
      <vt:variant>
        <vt:i4>5</vt:i4>
      </vt:variant>
      <vt:variant>
        <vt:lpwstr/>
      </vt:variant>
      <vt:variant>
        <vt:lpwstr>_Toc135405450</vt:lpwstr>
      </vt:variant>
      <vt:variant>
        <vt:i4>1114160</vt:i4>
      </vt:variant>
      <vt:variant>
        <vt:i4>158</vt:i4>
      </vt:variant>
      <vt:variant>
        <vt:i4>0</vt:i4>
      </vt:variant>
      <vt:variant>
        <vt:i4>5</vt:i4>
      </vt:variant>
      <vt:variant>
        <vt:lpwstr/>
      </vt:variant>
      <vt:variant>
        <vt:lpwstr>_Toc135405449</vt:lpwstr>
      </vt:variant>
      <vt:variant>
        <vt:i4>1114160</vt:i4>
      </vt:variant>
      <vt:variant>
        <vt:i4>152</vt:i4>
      </vt:variant>
      <vt:variant>
        <vt:i4>0</vt:i4>
      </vt:variant>
      <vt:variant>
        <vt:i4>5</vt:i4>
      </vt:variant>
      <vt:variant>
        <vt:lpwstr/>
      </vt:variant>
      <vt:variant>
        <vt:lpwstr>_Toc135405448</vt:lpwstr>
      </vt:variant>
      <vt:variant>
        <vt:i4>1245239</vt:i4>
      </vt:variant>
      <vt:variant>
        <vt:i4>146</vt:i4>
      </vt:variant>
      <vt:variant>
        <vt:i4>0</vt:i4>
      </vt:variant>
      <vt:variant>
        <vt:i4>5</vt:i4>
      </vt:variant>
      <vt:variant>
        <vt:lpwstr/>
      </vt:variant>
      <vt:variant>
        <vt:lpwstr>_Toc135405368</vt:lpwstr>
      </vt:variant>
      <vt:variant>
        <vt:i4>1245239</vt:i4>
      </vt:variant>
      <vt:variant>
        <vt:i4>140</vt:i4>
      </vt:variant>
      <vt:variant>
        <vt:i4>0</vt:i4>
      </vt:variant>
      <vt:variant>
        <vt:i4>5</vt:i4>
      </vt:variant>
      <vt:variant>
        <vt:lpwstr/>
      </vt:variant>
      <vt:variant>
        <vt:lpwstr>_Toc135405367</vt:lpwstr>
      </vt:variant>
      <vt:variant>
        <vt:i4>1245239</vt:i4>
      </vt:variant>
      <vt:variant>
        <vt:i4>134</vt:i4>
      </vt:variant>
      <vt:variant>
        <vt:i4>0</vt:i4>
      </vt:variant>
      <vt:variant>
        <vt:i4>5</vt:i4>
      </vt:variant>
      <vt:variant>
        <vt:lpwstr/>
      </vt:variant>
      <vt:variant>
        <vt:lpwstr>_Toc135405366</vt:lpwstr>
      </vt:variant>
      <vt:variant>
        <vt:i4>1245239</vt:i4>
      </vt:variant>
      <vt:variant>
        <vt:i4>128</vt:i4>
      </vt:variant>
      <vt:variant>
        <vt:i4>0</vt:i4>
      </vt:variant>
      <vt:variant>
        <vt:i4>5</vt:i4>
      </vt:variant>
      <vt:variant>
        <vt:lpwstr/>
      </vt:variant>
      <vt:variant>
        <vt:lpwstr>_Toc135405365</vt:lpwstr>
      </vt:variant>
      <vt:variant>
        <vt:i4>1245239</vt:i4>
      </vt:variant>
      <vt:variant>
        <vt:i4>122</vt:i4>
      </vt:variant>
      <vt:variant>
        <vt:i4>0</vt:i4>
      </vt:variant>
      <vt:variant>
        <vt:i4>5</vt:i4>
      </vt:variant>
      <vt:variant>
        <vt:lpwstr/>
      </vt:variant>
      <vt:variant>
        <vt:lpwstr>_Toc135405364</vt:lpwstr>
      </vt:variant>
      <vt:variant>
        <vt:i4>1245239</vt:i4>
      </vt:variant>
      <vt:variant>
        <vt:i4>116</vt:i4>
      </vt:variant>
      <vt:variant>
        <vt:i4>0</vt:i4>
      </vt:variant>
      <vt:variant>
        <vt:i4>5</vt:i4>
      </vt:variant>
      <vt:variant>
        <vt:lpwstr/>
      </vt:variant>
      <vt:variant>
        <vt:lpwstr>_Toc135405363</vt:lpwstr>
      </vt:variant>
      <vt:variant>
        <vt:i4>1245239</vt:i4>
      </vt:variant>
      <vt:variant>
        <vt:i4>110</vt:i4>
      </vt:variant>
      <vt:variant>
        <vt:i4>0</vt:i4>
      </vt:variant>
      <vt:variant>
        <vt:i4>5</vt:i4>
      </vt:variant>
      <vt:variant>
        <vt:lpwstr/>
      </vt:variant>
      <vt:variant>
        <vt:lpwstr>_Toc135405362</vt:lpwstr>
      </vt:variant>
      <vt:variant>
        <vt:i4>1245239</vt:i4>
      </vt:variant>
      <vt:variant>
        <vt:i4>104</vt:i4>
      </vt:variant>
      <vt:variant>
        <vt:i4>0</vt:i4>
      </vt:variant>
      <vt:variant>
        <vt:i4>5</vt:i4>
      </vt:variant>
      <vt:variant>
        <vt:lpwstr/>
      </vt:variant>
      <vt:variant>
        <vt:lpwstr>_Toc135405361</vt:lpwstr>
      </vt:variant>
      <vt:variant>
        <vt:i4>1245239</vt:i4>
      </vt:variant>
      <vt:variant>
        <vt:i4>98</vt:i4>
      </vt:variant>
      <vt:variant>
        <vt:i4>0</vt:i4>
      </vt:variant>
      <vt:variant>
        <vt:i4>5</vt:i4>
      </vt:variant>
      <vt:variant>
        <vt:lpwstr/>
      </vt:variant>
      <vt:variant>
        <vt:lpwstr>_Toc135405360</vt:lpwstr>
      </vt:variant>
      <vt:variant>
        <vt:i4>1048631</vt:i4>
      </vt:variant>
      <vt:variant>
        <vt:i4>92</vt:i4>
      </vt:variant>
      <vt:variant>
        <vt:i4>0</vt:i4>
      </vt:variant>
      <vt:variant>
        <vt:i4>5</vt:i4>
      </vt:variant>
      <vt:variant>
        <vt:lpwstr/>
      </vt:variant>
      <vt:variant>
        <vt:lpwstr>_Toc135405359</vt:lpwstr>
      </vt:variant>
      <vt:variant>
        <vt:i4>1441847</vt:i4>
      </vt:variant>
      <vt:variant>
        <vt:i4>86</vt:i4>
      </vt:variant>
      <vt:variant>
        <vt:i4>0</vt:i4>
      </vt:variant>
      <vt:variant>
        <vt:i4>5</vt:i4>
      </vt:variant>
      <vt:variant>
        <vt:lpwstr/>
      </vt:variant>
      <vt:variant>
        <vt:lpwstr>_Toc135405335</vt:lpwstr>
      </vt:variant>
      <vt:variant>
        <vt:i4>1441847</vt:i4>
      </vt:variant>
      <vt:variant>
        <vt:i4>80</vt:i4>
      </vt:variant>
      <vt:variant>
        <vt:i4>0</vt:i4>
      </vt:variant>
      <vt:variant>
        <vt:i4>5</vt:i4>
      </vt:variant>
      <vt:variant>
        <vt:lpwstr/>
      </vt:variant>
      <vt:variant>
        <vt:lpwstr>_Toc135405334</vt:lpwstr>
      </vt:variant>
      <vt:variant>
        <vt:i4>1441847</vt:i4>
      </vt:variant>
      <vt:variant>
        <vt:i4>74</vt:i4>
      </vt:variant>
      <vt:variant>
        <vt:i4>0</vt:i4>
      </vt:variant>
      <vt:variant>
        <vt:i4>5</vt:i4>
      </vt:variant>
      <vt:variant>
        <vt:lpwstr/>
      </vt:variant>
      <vt:variant>
        <vt:lpwstr>_Toc135405333</vt:lpwstr>
      </vt:variant>
      <vt:variant>
        <vt:i4>1441847</vt:i4>
      </vt:variant>
      <vt:variant>
        <vt:i4>68</vt:i4>
      </vt:variant>
      <vt:variant>
        <vt:i4>0</vt:i4>
      </vt:variant>
      <vt:variant>
        <vt:i4>5</vt:i4>
      </vt:variant>
      <vt:variant>
        <vt:lpwstr/>
      </vt:variant>
      <vt:variant>
        <vt:lpwstr>_Toc135405332</vt:lpwstr>
      </vt:variant>
      <vt:variant>
        <vt:i4>1441847</vt:i4>
      </vt:variant>
      <vt:variant>
        <vt:i4>62</vt:i4>
      </vt:variant>
      <vt:variant>
        <vt:i4>0</vt:i4>
      </vt:variant>
      <vt:variant>
        <vt:i4>5</vt:i4>
      </vt:variant>
      <vt:variant>
        <vt:lpwstr/>
      </vt:variant>
      <vt:variant>
        <vt:lpwstr>_Toc135405331</vt:lpwstr>
      </vt:variant>
      <vt:variant>
        <vt:i4>1441847</vt:i4>
      </vt:variant>
      <vt:variant>
        <vt:i4>56</vt:i4>
      </vt:variant>
      <vt:variant>
        <vt:i4>0</vt:i4>
      </vt:variant>
      <vt:variant>
        <vt:i4>5</vt:i4>
      </vt:variant>
      <vt:variant>
        <vt:lpwstr/>
      </vt:variant>
      <vt:variant>
        <vt:lpwstr>_Toc135405330</vt:lpwstr>
      </vt:variant>
      <vt:variant>
        <vt:i4>1507383</vt:i4>
      </vt:variant>
      <vt:variant>
        <vt:i4>50</vt:i4>
      </vt:variant>
      <vt:variant>
        <vt:i4>0</vt:i4>
      </vt:variant>
      <vt:variant>
        <vt:i4>5</vt:i4>
      </vt:variant>
      <vt:variant>
        <vt:lpwstr/>
      </vt:variant>
      <vt:variant>
        <vt:lpwstr>_Toc135405329</vt:lpwstr>
      </vt:variant>
      <vt:variant>
        <vt:i4>1507383</vt:i4>
      </vt:variant>
      <vt:variant>
        <vt:i4>44</vt:i4>
      </vt:variant>
      <vt:variant>
        <vt:i4>0</vt:i4>
      </vt:variant>
      <vt:variant>
        <vt:i4>5</vt:i4>
      </vt:variant>
      <vt:variant>
        <vt:lpwstr/>
      </vt:variant>
      <vt:variant>
        <vt:lpwstr>_Toc135405327</vt:lpwstr>
      </vt:variant>
      <vt:variant>
        <vt:i4>1507383</vt:i4>
      </vt:variant>
      <vt:variant>
        <vt:i4>38</vt:i4>
      </vt:variant>
      <vt:variant>
        <vt:i4>0</vt:i4>
      </vt:variant>
      <vt:variant>
        <vt:i4>5</vt:i4>
      </vt:variant>
      <vt:variant>
        <vt:lpwstr/>
      </vt:variant>
      <vt:variant>
        <vt:lpwstr>_Toc135405326</vt:lpwstr>
      </vt:variant>
      <vt:variant>
        <vt:i4>1507383</vt:i4>
      </vt:variant>
      <vt:variant>
        <vt:i4>32</vt:i4>
      </vt:variant>
      <vt:variant>
        <vt:i4>0</vt:i4>
      </vt:variant>
      <vt:variant>
        <vt:i4>5</vt:i4>
      </vt:variant>
      <vt:variant>
        <vt:lpwstr/>
      </vt:variant>
      <vt:variant>
        <vt:lpwstr>_Toc135405324</vt:lpwstr>
      </vt:variant>
      <vt:variant>
        <vt:i4>1310775</vt:i4>
      </vt:variant>
      <vt:variant>
        <vt:i4>26</vt:i4>
      </vt:variant>
      <vt:variant>
        <vt:i4>0</vt:i4>
      </vt:variant>
      <vt:variant>
        <vt:i4>5</vt:i4>
      </vt:variant>
      <vt:variant>
        <vt:lpwstr/>
      </vt:variant>
      <vt:variant>
        <vt:lpwstr>_Toc135405315</vt:lpwstr>
      </vt:variant>
      <vt:variant>
        <vt:i4>1310775</vt:i4>
      </vt:variant>
      <vt:variant>
        <vt:i4>20</vt:i4>
      </vt:variant>
      <vt:variant>
        <vt:i4>0</vt:i4>
      </vt:variant>
      <vt:variant>
        <vt:i4>5</vt:i4>
      </vt:variant>
      <vt:variant>
        <vt:lpwstr/>
      </vt:variant>
      <vt:variant>
        <vt:lpwstr>_Toc135405314</vt:lpwstr>
      </vt:variant>
      <vt:variant>
        <vt:i4>1310775</vt:i4>
      </vt:variant>
      <vt:variant>
        <vt:i4>14</vt:i4>
      </vt:variant>
      <vt:variant>
        <vt:i4>0</vt:i4>
      </vt:variant>
      <vt:variant>
        <vt:i4>5</vt:i4>
      </vt:variant>
      <vt:variant>
        <vt:lpwstr/>
      </vt:variant>
      <vt:variant>
        <vt:lpwstr>_Toc135405313</vt:lpwstr>
      </vt:variant>
      <vt:variant>
        <vt:i4>1310775</vt:i4>
      </vt:variant>
      <vt:variant>
        <vt:i4>8</vt:i4>
      </vt:variant>
      <vt:variant>
        <vt:i4>0</vt:i4>
      </vt:variant>
      <vt:variant>
        <vt:i4>5</vt:i4>
      </vt:variant>
      <vt:variant>
        <vt:lpwstr/>
      </vt:variant>
      <vt:variant>
        <vt:lpwstr>_Toc135405312</vt:lpwstr>
      </vt:variant>
      <vt:variant>
        <vt:i4>1310775</vt:i4>
      </vt:variant>
      <vt:variant>
        <vt:i4>2</vt:i4>
      </vt:variant>
      <vt:variant>
        <vt:i4>0</vt:i4>
      </vt:variant>
      <vt:variant>
        <vt:i4>5</vt:i4>
      </vt:variant>
      <vt:variant>
        <vt:lpwstr/>
      </vt:variant>
      <vt:variant>
        <vt:lpwstr>_Toc135405311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2023-05-31T15:54:00Z</dcterms:created>
  <dcterms:modified xsi:type="dcterms:W3CDTF">2023-06-06T17:54:00Z</dcterms:modified>
</cp:coreProperties>
</file>