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185A4" w14:textId="553DE6ED" w:rsidR="005A488E" w:rsidRPr="006F64CB" w:rsidRDefault="00A60E76" w:rsidP="006F64CB">
      <w:pPr>
        <w:pStyle w:val="Titletype"/>
        <w:tabs>
          <w:tab w:val="left" w:pos="5910"/>
        </w:tabs>
        <w:rPr>
          <w:color w:val="auto"/>
          <w:lang w:val="es-ES"/>
        </w:rPr>
      </w:pPr>
      <w:r w:rsidRPr="006F64CB">
        <w:rPr>
          <w:noProof/>
          <w:color w:val="auto"/>
        </w:rPr>
        <mc:AlternateContent>
          <mc:Choice Requires="wps">
            <w:drawing>
              <wp:anchor distT="0" distB="0" distL="114300" distR="114300" simplePos="0" relativeHeight="251658241" behindDoc="1" locked="0" layoutInCell="1" allowOverlap="1" wp14:anchorId="0C2C3108" wp14:editId="5334CA51">
                <wp:simplePos x="0" y="0"/>
                <wp:positionH relativeFrom="page">
                  <wp:posOffset>525145</wp:posOffset>
                </wp:positionH>
                <wp:positionV relativeFrom="page">
                  <wp:posOffset>4347210</wp:posOffset>
                </wp:positionV>
                <wp:extent cx="5558155" cy="3527425"/>
                <wp:effectExtent l="0" t="0" r="0" b="0"/>
                <wp:wrapNone/>
                <wp:docPr id="35" name="Rectangle 35"/>
                <wp:cNvGraphicFramePr/>
                <a:graphic xmlns:a="http://schemas.openxmlformats.org/drawingml/2006/main">
                  <a:graphicData uri="http://schemas.microsoft.com/office/word/2010/wordprocessingShape">
                    <wps:wsp>
                      <wps:cNvSpPr/>
                      <wps:spPr>
                        <a:xfrm>
                          <a:off x="0" y="0"/>
                          <a:ext cx="5558155" cy="3527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8C2971" id="Rectangle 35" o:spid="_x0000_s1026" style="position:absolute;margin-left:41.35pt;margin-top:342.3pt;width:437.65pt;height:277.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" filled="f" stroked="f" strokeweight="2pt">
                <w10:wrap anchorx="page" anchory="page"/>
              </v:rect>
            </w:pict>
          </mc:Fallback>
        </mc:AlternateContent>
      </w:r>
      <w:r w:rsidR="00436C5D" w:rsidRPr="006F64CB">
        <w:rPr>
          <w:color w:val="auto"/>
          <w:lang w:val="es-ES"/>
        </w:rPr>
        <w:t xml:space="preserve">Instituto Federal de Telecomunicaciones </w:t>
      </w:r>
      <w:r w:rsidR="00811283" w:rsidRPr="006F64CB">
        <w:rPr>
          <w:color w:val="auto"/>
          <w:lang w:val="es-ES"/>
        </w:rPr>
        <w:t>(IFT)</w:t>
      </w:r>
      <w:r w:rsidR="006F64CB" w:rsidRPr="006F64CB">
        <w:rPr>
          <w:color w:val="auto"/>
          <w:lang w:val="es-ES"/>
        </w:rPr>
        <w:tab/>
      </w:r>
    </w:p>
    <w:p w14:paraId="12213434" w14:textId="35094021" w:rsidR="005A488E" w:rsidRPr="009E4091" w:rsidRDefault="00811283" w:rsidP="009E4091">
      <w:pPr>
        <w:pStyle w:val="Titlemain"/>
        <w:spacing w:line="259" w:lineRule="auto"/>
        <w:jc w:val="both"/>
        <w:rPr>
          <w:sz w:val="32"/>
          <w:szCs w:val="32"/>
          <w:lang w:val="es-ES"/>
        </w:rPr>
      </w:pPr>
      <w:r w:rsidRPr="009E4091">
        <w:rPr>
          <w:color w:val="auto"/>
          <w:sz w:val="32"/>
          <w:szCs w:val="32"/>
          <w:lang w:val="es-ES"/>
        </w:rPr>
        <w:t xml:space="preserve">Documentación </w:t>
      </w:r>
      <w:r w:rsidR="000A3DAA" w:rsidRPr="009E4091">
        <w:rPr>
          <w:color w:val="auto"/>
          <w:sz w:val="32"/>
          <w:szCs w:val="32"/>
          <w:lang w:val="es-ES"/>
        </w:rPr>
        <w:t>de</w:t>
      </w:r>
      <w:r w:rsidR="00FA40A3" w:rsidRPr="009E4091">
        <w:rPr>
          <w:color w:val="auto"/>
          <w:sz w:val="32"/>
          <w:szCs w:val="32"/>
          <w:lang w:val="es-ES"/>
        </w:rPr>
        <w:t>l</w:t>
      </w:r>
      <w:r w:rsidR="009E4091" w:rsidRPr="009E4091">
        <w:rPr>
          <w:color w:val="auto"/>
          <w:sz w:val="32"/>
          <w:szCs w:val="32"/>
          <w:lang w:val="es-MX"/>
        </w:rPr>
        <w:t xml:space="preserve"> Modelo de Costos para la determinación de tarifas de los Servicios de </w:t>
      </w:r>
      <w:r w:rsidR="009E4091">
        <w:rPr>
          <w:color w:val="auto"/>
          <w:sz w:val="32"/>
          <w:szCs w:val="32"/>
          <w:lang w:val="es-MX"/>
        </w:rPr>
        <w:t>ITX</w:t>
      </w:r>
      <w:r w:rsidR="009E4091" w:rsidRPr="009E4091">
        <w:rPr>
          <w:color w:val="auto"/>
          <w:sz w:val="32"/>
          <w:szCs w:val="32"/>
          <w:lang w:val="es-MX"/>
        </w:rPr>
        <w:t>, Enlaces Dedicados, Usuario Visitante, así como el Servicio de Concentración y Distribución 2024-2026.</w:t>
      </w:r>
    </w:p>
    <w:p w14:paraId="1EDC601F" w14:textId="77777777" w:rsidR="005A488E" w:rsidRPr="0033706D" w:rsidRDefault="005A488E" w:rsidP="005A488E">
      <w:pPr>
        <w:pStyle w:val="01"/>
        <w:rPr>
          <w:lang w:val="es-ES"/>
        </w:rPr>
        <w:sectPr w:rsidR="005A488E" w:rsidRPr="0033706D">
          <w:headerReference w:type="even" r:id="rId8"/>
          <w:headerReference w:type="default" r:id="rId9"/>
          <w:footerReference w:type="even" r:id="rId10"/>
          <w:footerReference w:type="default" r:id="rId11"/>
          <w:headerReference w:type="first" r:id="rId12"/>
          <w:pgSz w:w="11906" w:h="16838" w:code="9"/>
          <w:pgMar w:top="1440" w:right="1440" w:bottom="1440" w:left="1440" w:header="567" w:footer="567" w:gutter="0"/>
          <w:pgNumType w:start="1"/>
          <w:cols w:space="720"/>
          <w:titlePg/>
          <w:docGrid w:linePitch="299"/>
        </w:sectPr>
      </w:pPr>
    </w:p>
    <w:p w14:paraId="076045B4" w14:textId="77777777" w:rsidR="0086457E" w:rsidRPr="00FA40A3" w:rsidRDefault="00200606" w:rsidP="0086457E">
      <w:pPr>
        <w:pStyle w:val="Contentsheading"/>
        <w:rPr>
          <w:lang w:val="es-ES"/>
        </w:rPr>
      </w:pPr>
      <w:r w:rsidRPr="00FA40A3">
        <w:rPr>
          <w:lang w:val="es-ES"/>
        </w:rPr>
        <w:lastRenderedPageBreak/>
        <w:t>Índice</w:t>
      </w:r>
    </w:p>
    <w:p w14:paraId="3174EEF9" w14:textId="6FA6718A" w:rsidR="00AA267D" w:rsidRDefault="00BD64BC">
      <w:pPr>
        <w:pStyle w:val="TDC1"/>
        <w:rPr>
          <w:rFonts w:asciiTheme="minorHAnsi" w:eastAsiaTheme="minorEastAsia" w:hAnsiTheme="minorHAnsi"/>
          <w:b w:val="0"/>
          <w:noProof/>
          <w:kern w:val="2"/>
          <w:lang w:eastAsia="en-GB"/>
          <w14:ligatures w14:val="standardContextual"/>
        </w:rPr>
      </w:pPr>
      <w:r>
        <w:fldChar w:fldCharType="begin"/>
      </w:r>
      <w:r>
        <w:instrText xml:space="preserve"> TOC \h \z \t "Heading 1,1,Heading 2,2" </w:instrText>
      </w:r>
      <w:r>
        <w:fldChar w:fldCharType="separate"/>
      </w:r>
      <w:hyperlink w:anchor="_Toc136032672" w:history="1">
        <w:r w:rsidR="00AA267D" w:rsidRPr="00A31CAE">
          <w:rPr>
            <w:rStyle w:val="Hipervnculo"/>
            <w:noProof/>
            <w:lang w:val="es-ES_tradnl"/>
          </w:rPr>
          <w:t>1</w:t>
        </w:r>
        <w:r w:rsidR="00AA267D">
          <w:rPr>
            <w:rFonts w:asciiTheme="minorHAnsi" w:eastAsiaTheme="minorEastAsia" w:hAnsiTheme="minorHAnsi"/>
            <w:b w:val="0"/>
            <w:noProof/>
            <w:kern w:val="2"/>
            <w:lang w:eastAsia="en-GB"/>
            <w14:ligatures w14:val="standardContextual"/>
          </w:rPr>
          <w:tab/>
        </w:r>
        <w:r w:rsidR="00AA267D" w:rsidRPr="00A31CAE">
          <w:rPr>
            <w:rStyle w:val="Hipervnculo"/>
            <w:noProof/>
            <w:snapToGrid w:val="0"/>
            <w:lang w:val="es-ES_tradnl"/>
          </w:rPr>
          <w:t>Introducción</w:t>
        </w:r>
        <w:r w:rsidR="00AA267D">
          <w:rPr>
            <w:noProof/>
            <w:webHidden/>
          </w:rPr>
          <w:tab/>
        </w:r>
        <w:r w:rsidR="00AA267D">
          <w:rPr>
            <w:noProof/>
            <w:webHidden/>
          </w:rPr>
          <w:fldChar w:fldCharType="begin"/>
        </w:r>
        <w:r w:rsidR="00AA267D">
          <w:rPr>
            <w:noProof/>
            <w:webHidden/>
          </w:rPr>
          <w:instrText xml:space="preserve"> PAGEREF _Toc136032672 \h </w:instrText>
        </w:r>
        <w:r w:rsidR="00AA267D">
          <w:rPr>
            <w:noProof/>
            <w:webHidden/>
          </w:rPr>
        </w:r>
        <w:r w:rsidR="00AA267D">
          <w:rPr>
            <w:noProof/>
            <w:webHidden/>
          </w:rPr>
          <w:fldChar w:fldCharType="separate"/>
        </w:r>
        <w:r w:rsidR="00020F8B">
          <w:rPr>
            <w:noProof/>
            <w:webHidden/>
          </w:rPr>
          <w:t>1</w:t>
        </w:r>
        <w:r w:rsidR="00AA267D">
          <w:rPr>
            <w:noProof/>
            <w:webHidden/>
          </w:rPr>
          <w:fldChar w:fldCharType="end"/>
        </w:r>
      </w:hyperlink>
    </w:p>
    <w:p w14:paraId="6E0081DF" w14:textId="584999F0" w:rsidR="00AA267D" w:rsidRDefault="00C47812">
      <w:pPr>
        <w:pStyle w:val="TDC1"/>
        <w:rPr>
          <w:rFonts w:asciiTheme="minorHAnsi" w:eastAsiaTheme="minorEastAsia" w:hAnsiTheme="minorHAnsi"/>
          <w:b w:val="0"/>
          <w:noProof/>
          <w:kern w:val="2"/>
          <w:lang w:eastAsia="en-GB"/>
          <w14:ligatures w14:val="standardContextual"/>
        </w:rPr>
      </w:pPr>
      <w:hyperlink w:anchor="_Toc136032673" w:history="1">
        <w:r w:rsidR="00AA267D" w:rsidRPr="00A31CAE">
          <w:rPr>
            <w:rStyle w:val="Hipervnculo"/>
            <w:noProof/>
            <w:snapToGrid w:val="0"/>
            <w:lang w:val="es-ES_tradnl"/>
          </w:rPr>
          <w:t>2</w:t>
        </w:r>
        <w:r w:rsidR="00AA267D">
          <w:rPr>
            <w:rFonts w:asciiTheme="minorHAnsi" w:eastAsiaTheme="minorEastAsia" w:hAnsiTheme="minorHAnsi"/>
            <w:b w:val="0"/>
            <w:noProof/>
            <w:kern w:val="2"/>
            <w:lang w:eastAsia="en-GB"/>
            <w14:ligatures w14:val="standardContextual"/>
          </w:rPr>
          <w:tab/>
        </w:r>
        <w:r w:rsidR="00AA267D" w:rsidRPr="00A31CAE">
          <w:rPr>
            <w:rStyle w:val="Hipervnculo"/>
            <w:noProof/>
            <w:snapToGrid w:val="0"/>
            <w:lang w:val="es-ES_tradnl"/>
          </w:rPr>
          <w:t>Arquitectura general del modelo</w:t>
        </w:r>
        <w:r w:rsidR="00AA267D">
          <w:rPr>
            <w:noProof/>
            <w:webHidden/>
          </w:rPr>
          <w:tab/>
        </w:r>
        <w:r w:rsidR="00AA267D">
          <w:rPr>
            <w:noProof/>
            <w:webHidden/>
          </w:rPr>
          <w:fldChar w:fldCharType="begin"/>
        </w:r>
        <w:r w:rsidR="00AA267D">
          <w:rPr>
            <w:noProof/>
            <w:webHidden/>
          </w:rPr>
          <w:instrText xml:space="preserve"> PAGEREF _Toc136032673 \h </w:instrText>
        </w:r>
        <w:r w:rsidR="00AA267D">
          <w:rPr>
            <w:noProof/>
            <w:webHidden/>
          </w:rPr>
        </w:r>
        <w:r w:rsidR="00AA267D">
          <w:rPr>
            <w:noProof/>
            <w:webHidden/>
          </w:rPr>
          <w:fldChar w:fldCharType="separate"/>
        </w:r>
        <w:r w:rsidR="00020F8B">
          <w:rPr>
            <w:noProof/>
            <w:webHidden/>
          </w:rPr>
          <w:t>2</w:t>
        </w:r>
        <w:r w:rsidR="00AA267D">
          <w:rPr>
            <w:noProof/>
            <w:webHidden/>
          </w:rPr>
          <w:fldChar w:fldCharType="end"/>
        </w:r>
      </w:hyperlink>
    </w:p>
    <w:p w14:paraId="248349CA" w14:textId="0A6E2222" w:rsidR="00AA267D" w:rsidRDefault="00C47812">
      <w:pPr>
        <w:pStyle w:val="TDC1"/>
        <w:rPr>
          <w:rFonts w:asciiTheme="minorHAnsi" w:eastAsiaTheme="minorEastAsia" w:hAnsiTheme="minorHAnsi"/>
          <w:b w:val="0"/>
          <w:noProof/>
          <w:kern w:val="2"/>
          <w:lang w:eastAsia="en-GB"/>
          <w14:ligatures w14:val="standardContextual"/>
        </w:rPr>
      </w:pPr>
      <w:hyperlink w:anchor="_Toc136032674" w:history="1">
        <w:r w:rsidR="00AA267D" w:rsidRPr="00A31CAE">
          <w:rPr>
            <w:rStyle w:val="Hipervnculo"/>
            <w:noProof/>
            <w:snapToGrid w:val="0"/>
            <w:lang w:val="es-ES_tradnl"/>
          </w:rPr>
          <w:t>3</w:t>
        </w:r>
        <w:r w:rsidR="00AA267D">
          <w:rPr>
            <w:rFonts w:asciiTheme="minorHAnsi" w:eastAsiaTheme="minorEastAsia" w:hAnsiTheme="minorHAnsi"/>
            <w:b w:val="0"/>
            <w:noProof/>
            <w:kern w:val="2"/>
            <w:lang w:eastAsia="en-GB"/>
            <w14:ligatures w14:val="standardContextual"/>
          </w:rPr>
          <w:tab/>
        </w:r>
        <w:r w:rsidR="00AA267D" w:rsidRPr="00A31CAE">
          <w:rPr>
            <w:rStyle w:val="Hipervnculo"/>
            <w:noProof/>
            <w:snapToGrid w:val="0"/>
            <w:lang w:val="es-ES_tradnl"/>
          </w:rPr>
          <w:t>Insumos clave del modelo</w:t>
        </w:r>
        <w:r w:rsidR="00AA267D">
          <w:rPr>
            <w:noProof/>
            <w:webHidden/>
          </w:rPr>
          <w:tab/>
        </w:r>
        <w:r w:rsidR="00AA267D">
          <w:rPr>
            <w:noProof/>
            <w:webHidden/>
          </w:rPr>
          <w:fldChar w:fldCharType="begin"/>
        </w:r>
        <w:r w:rsidR="00AA267D">
          <w:rPr>
            <w:noProof/>
            <w:webHidden/>
          </w:rPr>
          <w:instrText xml:space="preserve"> PAGEREF _Toc136032674 \h </w:instrText>
        </w:r>
        <w:r w:rsidR="00AA267D">
          <w:rPr>
            <w:noProof/>
            <w:webHidden/>
          </w:rPr>
        </w:r>
        <w:r w:rsidR="00AA267D">
          <w:rPr>
            <w:noProof/>
            <w:webHidden/>
          </w:rPr>
          <w:fldChar w:fldCharType="separate"/>
        </w:r>
        <w:r w:rsidR="00020F8B">
          <w:rPr>
            <w:noProof/>
            <w:webHidden/>
          </w:rPr>
          <w:t>9</w:t>
        </w:r>
        <w:r w:rsidR="00AA267D">
          <w:rPr>
            <w:noProof/>
            <w:webHidden/>
          </w:rPr>
          <w:fldChar w:fldCharType="end"/>
        </w:r>
      </w:hyperlink>
    </w:p>
    <w:p w14:paraId="5BB294EF" w14:textId="7019218D" w:rsidR="00AA267D" w:rsidRDefault="00C47812">
      <w:pPr>
        <w:pStyle w:val="TDC2"/>
        <w:rPr>
          <w:rFonts w:asciiTheme="minorHAnsi" w:eastAsiaTheme="minorEastAsia" w:hAnsiTheme="minorHAnsi"/>
          <w:kern w:val="2"/>
          <w:lang w:eastAsia="en-GB"/>
          <w14:ligatures w14:val="standardContextual"/>
        </w:rPr>
      </w:pPr>
      <w:hyperlink w:anchor="_Toc136032675" w:history="1">
        <w:r w:rsidR="00AA267D" w:rsidRPr="00A31CAE">
          <w:rPr>
            <w:rStyle w:val="Hipervnculo"/>
            <w:rFonts w:ascii="Times New Roman Bold" w:hAnsi="Times New Roman Bold"/>
            <w:lang w:val="es-ES_tradnl"/>
          </w:rPr>
          <w:t>3.1</w:t>
        </w:r>
        <w:r w:rsidR="00AA267D">
          <w:rPr>
            <w:rFonts w:asciiTheme="minorHAnsi" w:eastAsiaTheme="minorEastAsia" w:hAnsiTheme="minorHAnsi"/>
            <w:kern w:val="2"/>
            <w:lang w:eastAsia="en-GB"/>
            <w14:ligatures w14:val="standardContextual"/>
          </w:rPr>
          <w:tab/>
        </w:r>
        <w:r w:rsidR="00AA267D" w:rsidRPr="00A31CAE">
          <w:rPr>
            <w:rStyle w:val="Hipervnculo"/>
            <w:lang w:val="es-ES_tradnl"/>
          </w:rPr>
          <w:t>Demanda</w:t>
        </w:r>
        <w:r w:rsidR="00AA267D">
          <w:rPr>
            <w:webHidden/>
          </w:rPr>
          <w:tab/>
        </w:r>
        <w:r w:rsidR="00AA267D">
          <w:rPr>
            <w:webHidden/>
          </w:rPr>
          <w:fldChar w:fldCharType="begin"/>
        </w:r>
        <w:r w:rsidR="00AA267D">
          <w:rPr>
            <w:webHidden/>
          </w:rPr>
          <w:instrText xml:space="preserve"> PAGEREF _Toc136032675 \h </w:instrText>
        </w:r>
        <w:r w:rsidR="00AA267D">
          <w:rPr>
            <w:webHidden/>
          </w:rPr>
        </w:r>
        <w:r w:rsidR="00AA267D">
          <w:rPr>
            <w:webHidden/>
          </w:rPr>
          <w:fldChar w:fldCharType="separate"/>
        </w:r>
        <w:r w:rsidR="00020F8B">
          <w:rPr>
            <w:webHidden/>
          </w:rPr>
          <w:t>9</w:t>
        </w:r>
        <w:r w:rsidR="00AA267D">
          <w:rPr>
            <w:webHidden/>
          </w:rPr>
          <w:fldChar w:fldCharType="end"/>
        </w:r>
      </w:hyperlink>
    </w:p>
    <w:p w14:paraId="6D088AC2" w14:textId="3478F043" w:rsidR="00AA267D" w:rsidRDefault="00C47812">
      <w:pPr>
        <w:pStyle w:val="TDC2"/>
        <w:rPr>
          <w:rFonts w:asciiTheme="minorHAnsi" w:eastAsiaTheme="minorEastAsia" w:hAnsiTheme="minorHAnsi"/>
          <w:kern w:val="2"/>
          <w:lang w:eastAsia="en-GB"/>
          <w14:ligatures w14:val="standardContextual"/>
        </w:rPr>
      </w:pPr>
      <w:hyperlink w:anchor="_Toc136032676" w:history="1">
        <w:r w:rsidR="00AA267D" w:rsidRPr="00A31CAE">
          <w:rPr>
            <w:rStyle w:val="Hipervnculo"/>
            <w:rFonts w:ascii="Times New Roman Bold" w:hAnsi="Times New Roman Bold"/>
            <w:lang w:val="es-ES_tradnl"/>
          </w:rPr>
          <w:t>3.2</w:t>
        </w:r>
        <w:r w:rsidR="00AA267D">
          <w:rPr>
            <w:rFonts w:asciiTheme="minorHAnsi" w:eastAsiaTheme="minorEastAsia" w:hAnsiTheme="minorHAnsi"/>
            <w:kern w:val="2"/>
            <w:lang w:eastAsia="en-GB"/>
            <w14:ligatures w14:val="standardContextual"/>
          </w:rPr>
          <w:tab/>
        </w:r>
        <w:r w:rsidR="00AA267D" w:rsidRPr="00A31CAE">
          <w:rPr>
            <w:rStyle w:val="Hipervnculo"/>
            <w:lang w:val="es-ES_tradnl"/>
          </w:rPr>
          <w:t>Caracterización geográfica</w:t>
        </w:r>
        <w:r w:rsidR="00AA267D">
          <w:rPr>
            <w:webHidden/>
          </w:rPr>
          <w:tab/>
        </w:r>
        <w:r w:rsidR="00AA267D">
          <w:rPr>
            <w:webHidden/>
          </w:rPr>
          <w:fldChar w:fldCharType="begin"/>
        </w:r>
        <w:r w:rsidR="00AA267D">
          <w:rPr>
            <w:webHidden/>
          </w:rPr>
          <w:instrText xml:space="preserve"> PAGEREF _Toc136032676 \h </w:instrText>
        </w:r>
        <w:r w:rsidR="00AA267D">
          <w:rPr>
            <w:webHidden/>
          </w:rPr>
        </w:r>
        <w:r w:rsidR="00AA267D">
          <w:rPr>
            <w:webHidden/>
          </w:rPr>
          <w:fldChar w:fldCharType="separate"/>
        </w:r>
        <w:r w:rsidR="00020F8B">
          <w:rPr>
            <w:webHidden/>
          </w:rPr>
          <w:t>21</w:t>
        </w:r>
        <w:r w:rsidR="00AA267D">
          <w:rPr>
            <w:webHidden/>
          </w:rPr>
          <w:fldChar w:fldCharType="end"/>
        </w:r>
      </w:hyperlink>
    </w:p>
    <w:p w14:paraId="7BC030EE" w14:textId="6560CEDF" w:rsidR="00AA267D" w:rsidRDefault="00C47812">
      <w:pPr>
        <w:pStyle w:val="TDC2"/>
        <w:rPr>
          <w:rFonts w:asciiTheme="minorHAnsi" w:eastAsiaTheme="minorEastAsia" w:hAnsiTheme="minorHAnsi"/>
          <w:kern w:val="2"/>
          <w:lang w:eastAsia="en-GB"/>
          <w14:ligatures w14:val="standardContextual"/>
        </w:rPr>
      </w:pPr>
      <w:hyperlink w:anchor="_Toc136032677" w:history="1">
        <w:r w:rsidR="00AA267D" w:rsidRPr="00A31CAE">
          <w:rPr>
            <w:rStyle w:val="Hipervnculo"/>
            <w:rFonts w:ascii="Times New Roman Bold" w:hAnsi="Times New Roman Bold"/>
            <w:lang w:val="es-ES_tradnl"/>
          </w:rPr>
          <w:t>3.3</w:t>
        </w:r>
        <w:r w:rsidR="00AA267D">
          <w:rPr>
            <w:rFonts w:asciiTheme="minorHAnsi" w:eastAsiaTheme="minorEastAsia" w:hAnsiTheme="minorHAnsi"/>
            <w:kern w:val="2"/>
            <w:lang w:eastAsia="en-GB"/>
            <w14:ligatures w14:val="standardContextual"/>
          </w:rPr>
          <w:tab/>
        </w:r>
        <w:r w:rsidR="00AA267D" w:rsidRPr="00A31CAE">
          <w:rPr>
            <w:rStyle w:val="Hipervnculo"/>
            <w:lang w:val="es-ES_tradnl"/>
          </w:rPr>
          <w:t>Parametrización de elementos de red</w:t>
        </w:r>
        <w:r w:rsidR="00AA267D">
          <w:rPr>
            <w:webHidden/>
          </w:rPr>
          <w:tab/>
        </w:r>
        <w:r w:rsidR="00AA267D">
          <w:rPr>
            <w:webHidden/>
          </w:rPr>
          <w:fldChar w:fldCharType="begin"/>
        </w:r>
        <w:r w:rsidR="00AA267D">
          <w:rPr>
            <w:webHidden/>
          </w:rPr>
          <w:instrText xml:space="preserve"> PAGEREF _Toc136032677 \h </w:instrText>
        </w:r>
        <w:r w:rsidR="00AA267D">
          <w:rPr>
            <w:webHidden/>
          </w:rPr>
        </w:r>
        <w:r w:rsidR="00AA267D">
          <w:rPr>
            <w:webHidden/>
          </w:rPr>
          <w:fldChar w:fldCharType="separate"/>
        </w:r>
        <w:r w:rsidR="00020F8B">
          <w:rPr>
            <w:webHidden/>
          </w:rPr>
          <w:t>30</w:t>
        </w:r>
        <w:r w:rsidR="00AA267D">
          <w:rPr>
            <w:webHidden/>
          </w:rPr>
          <w:fldChar w:fldCharType="end"/>
        </w:r>
      </w:hyperlink>
    </w:p>
    <w:p w14:paraId="17220F6D" w14:textId="1EA1728C" w:rsidR="00AA267D" w:rsidRDefault="00C47812">
      <w:pPr>
        <w:pStyle w:val="TDC2"/>
        <w:rPr>
          <w:rFonts w:asciiTheme="minorHAnsi" w:eastAsiaTheme="minorEastAsia" w:hAnsiTheme="minorHAnsi"/>
          <w:kern w:val="2"/>
          <w:lang w:eastAsia="en-GB"/>
          <w14:ligatures w14:val="standardContextual"/>
        </w:rPr>
      </w:pPr>
      <w:hyperlink w:anchor="_Toc136032678" w:history="1">
        <w:r w:rsidR="00AA267D" w:rsidRPr="00A31CAE">
          <w:rPr>
            <w:rStyle w:val="Hipervnculo"/>
            <w:rFonts w:ascii="Times New Roman Bold" w:hAnsi="Times New Roman Bold"/>
            <w:lang w:val="es-ES_tradnl"/>
          </w:rPr>
          <w:t>3.4</w:t>
        </w:r>
        <w:r w:rsidR="00AA267D">
          <w:rPr>
            <w:rFonts w:asciiTheme="minorHAnsi" w:eastAsiaTheme="minorEastAsia" w:hAnsiTheme="minorHAnsi"/>
            <w:kern w:val="2"/>
            <w:lang w:eastAsia="en-GB"/>
            <w14:ligatures w14:val="standardContextual"/>
          </w:rPr>
          <w:tab/>
        </w:r>
        <w:r w:rsidR="00AA267D" w:rsidRPr="00A31CAE">
          <w:rPr>
            <w:rStyle w:val="Hipervnculo"/>
            <w:lang w:val="es-ES_tradnl"/>
          </w:rPr>
          <w:t>Otros insumos relevantes</w:t>
        </w:r>
        <w:r w:rsidR="00AA267D">
          <w:rPr>
            <w:webHidden/>
          </w:rPr>
          <w:tab/>
        </w:r>
        <w:r w:rsidR="00AA267D">
          <w:rPr>
            <w:webHidden/>
          </w:rPr>
          <w:fldChar w:fldCharType="begin"/>
        </w:r>
        <w:r w:rsidR="00AA267D">
          <w:rPr>
            <w:webHidden/>
          </w:rPr>
          <w:instrText xml:space="preserve"> PAGEREF _Toc136032678 \h </w:instrText>
        </w:r>
        <w:r w:rsidR="00AA267D">
          <w:rPr>
            <w:webHidden/>
          </w:rPr>
        </w:r>
        <w:r w:rsidR="00AA267D">
          <w:rPr>
            <w:webHidden/>
          </w:rPr>
          <w:fldChar w:fldCharType="separate"/>
        </w:r>
        <w:r w:rsidR="00020F8B">
          <w:rPr>
            <w:webHidden/>
          </w:rPr>
          <w:t>36</w:t>
        </w:r>
        <w:r w:rsidR="00AA267D">
          <w:rPr>
            <w:webHidden/>
          </w:rPr>
          <w:fldChar w:fldCharType="end"/>
        </w:r>
      </w:hyperlink>
    </w:p>
    <w:p w14:paraId="10B690E8" w14:textId="44BFAE44" w:rsidR="00AA267D" w:rsidRDefault="00C47812">
      <w:pPr>
        <w:pStyle w:val="TDC1"/>
        <w:rPr>
          <w:rFonts w:asciiTheme="minorHAnsi" w:eastAsiaTheme="minorEastAsia" w:hAnsiTheme="minorHAnsi"/>
          <w:b w:val="0"/>
          <w:noProof/>
          <w:kern w:val="2"/>
          <w:lang w:eastAsia="en-GB"/>
          <w14:ligatures w14:val="standardContextual"/>
        </w:rPr>
      </w:pPr>
      <w:hyperlink w:anchor="_Toc136032679" w:history="1">
        <w:r w:rsidR="00AA267D" w:rsidRPr="00A31CAE">
          <w:rPr>
            <w:rStyle w:val="Hipervnculo"/>
            <w:noProof/>
            <w:snapToGrid w:val="0"/>
            <w:lang w:val="es-ES_tradnl"/>
          </w:rPr>
          <w:t>4</w:t>
        </w:r>
        <w:r w:rsidR="00AA267D">
          <w:rPr>
            <w:rFonts w:asciiTheme="minorHAnsi" w:eastAsiaTheme="minorEastAsia" w:hAnsiTheme="minorHAnsi"/>
            <w:b w:val="0"/>
            <w:noProof/>
            <w:kern w:val="2"/>
            <w:lang w:eastAsia="en-GB"/>
            <w14:ligatures w14:val="standardContextual"/>
          </w:rPr>
          <w:tab/>
        </w:r>
        <w:r w:rsidR="00AA267D" w:rsidRPr="00A31CAE">
          <w:rPr>
            <w:rStyle w:val="Hipervnculo"/>
            <w:noProof/>
            <w:snapToGrid w:val="0"/>
            <w:lang w:val="es-ES_tradnl"/>
          </w:rPr>
          <w:t>Dimensionado de las redes modeladas</w:t>
        </w:r>
        <w:r w:rsidR="00AA267D">
          <w:rPr>
            <w:noProof/>
            <w:webHidden/>
          </w:rPr>
          <w:tab/>
        </w:r>
        <w:r w:rsidR="00AA267D">
          <w:rPr>
            <w:noProof/>
            <w:webHidden/>
          </w:rPr>
          <w:fldChar w:fldCharType="begin"/>
        </w:r>
        <w:r w:rsidR="00AA267D">
          <w:rPr>
            <w:noProof/>
            <w:webHidden/>
          </w:rPr>
          <w:instrText xml:space="preserve"> PAGEREF _Toc136032679 \h </w:instrText>
        </w:r>
        <w:r w:rsidR="00AA267D">
          <w:rPr>
            <w:noProof/>
            <w:webHidden/>
          </w:rPr>
        </w:r>
        <w:r w:rsidR="00AA267D">
          <w:rPr>
            <w:noProof/>
            <w:webHidden/>
          </w:rPr>
          <w:fldChar w:fldCharType="separate"/>
        </w:r>
        <w:r w:rsidR="00020F8B">
          <w:rPr>
            <w:noProof/>
            <w:webHidden/>
          </w:rPr>
          <w:t>40</w:t>
        </w:r>
        <w:r w:rsidR="00AA267D">
          <w:rPr>
            <w:noProof/>
            <w:webHidden/>
          </w:rPr>
          <w:fldChar w:fldCharType="end"/>
        </w:r>
      </w:hyperlink>
    </w:p>
    <w:p w14:paraId="46E1D29F" w14:textId="2B3D2556" w:rsidR="00AA267D" w:rsidRDefault="00C47812">
      <w:pPr>
        <w:pStyle w:val="TDC2"/>
        <w:rPr>
          <w:rFonts w:asciiTheme="minorHAnsi" w:eastAsiaTheme="minorEastAsia" w:hAnsiTheme="minorHAnsi"/>
          <w:kern w:val="2"/>
          <w:lang w:eastAsia="en-GB"/>
          <w14:ligatures w14:val="standardContextual"/>
        </w:rPr>
      </w:pPr>
      <w:hyperlink w:anchor="_Toc136032680" w:history="1">
        <w:r w:rsidR="00AA267D" w:rsidRPr="00A31CAE">
          <w:rPr>
            <w:rStyle w:val="Hipervnculo"/>
            <w:rFonts w:ascii="Times New Roman Bold" w:hAnsi="Times New Roman Bold"/>
            <w:lang w:val="es-ES"/>
          </w:rPr>
          <w:t>4.1</w:t>
        </w:r>
        <w:r w:rsidR="00AA267D">
          <w:rPr>
            <w:rFonts w:asciiTheme="minorHAnsi" w:eastAsiaTheme="minorEastAsia" w:hAnsiTheme="minorHAnsi"/>
            <w:kern w:val="2"/>
            <w:lang w:eastAsia="en-GB"/>
            <w14:ligatures w14:val="standardContextual"/>
          </w:rPr>
          <w:tab/>
        </w:r>
        <w:r w:rsidR="00AA267D" w:rsidRPr="00A31CAE">
          <w:rPr>
            <w:rStyle w:val="Hipervnculo"/>
            <w:lang w:val="es-ES"/>
          </w:rPr>
          <w:t>Dimensionado de la red fija</w:t>
        </w:r>
        <w:r w:rsidR="00AA267D">
          <w:rPr>
            <w:webHidden/>
          </w:rPr>
          <w:tab/>
        </w:r>
        <w:r w:rsidR="00AA267D">
          <w:rPr>
            <w:webHidden/>
          </w:rPr>
          <w:fldChar w:fldCharType="begin"/>
        </w:r>
        <w:r w:rsidR="00AA267D">
          <w:rPr>
            <w:webHidden/>
          </w:rPr>
          <w:instrText xml:space="preserve"> PAGEREF _Toc136032680 \h </w:instrText>
        </w:r>
        <w:r w:rsidR="00AA267D">
          <w:rPr>
            <w:webHidden/>
          </w:rPr>
        </w:r>
        <w:r w:rsidR="00AA267D">
          <w:rPr>
            <w:webHidden/>
          </w:rPr>
          <w:fldChar w:fldCharType="separate"/>
        </w:r>
        <w:r w:rsidR="00020F8B">
          <w:rPr>
            <w:webHidden/>
          </w:rPr>
          <w:t>40</w:t>
        </w:r>
        <w:r w:rsidR="00AA267D">
          <w:rPr>
            <w:webHidden/>
          </w:rPr>
          <w:fldChar w:fldCharType="end"/>
        </w:r>
      </w:hyperlink>
    </w:p>
    <w:p w14:paraId="6059FC65" w14:textId="77159572" w:rsidR="00AA267D" w:rsidRDefault="00C47812">
      <w:pPr>
        <w:pStyle w:val="TDC2"/>
        <w:rPr>
          <w:rFonts w:asciiTheme="minorHAnsi" w:eastAsiaTheme="minorEastAsia" w:hAnsiTheme="minorHAnsi"/>
          <w:kern w:val="2"/>
          <w:lang w:eastAsia="en-GB"/>
          <w14:ligatures w14:val="standardContextual"/>
        </w:rPr>
      </w:pPr>
      <w:hyperlink w:anchor="_Toc136032681" w:history="1">
        <w:r w:rsidR="00AA267D" w:rsidRPr="00A31CAE">
          <w:rPr>
            <w:rStyle w:val="Hipervnculo"/>
            <w:rFonts w:ascii="Times New Roman Bold" w:hAnsi="Times New Roman Bold"/>
            <w:lang w:val="es-ES"/>
          </w:rPr>
          <w:t>4.2</w:t>
        </w:r>
        <w:r w:rsidR="00AA267D">
          <w:rPr>
            <w:rFonts w:asciiTheme="minorHAnsi" w:eastAsiaTheme="minorEastAsia" w:hAnsiTheme="minorHAnsi"/>
            <w:kern w:val="2"/>
            <w:lang w:eastAsia="en-GB"/>
            <w14:ligatures w14:val="standardContextual"/>
          </w:rPr>
          <w:tab/>
        </w:r>
        <w:r w:rsidR="00AA267D" w:rsidRPr="00A31CAE">
          <w:rPr>
            <w:rStyle w:val="Hipervnculo"/>
            <w:lang w:val="es-ES"/>
          </w:rPr>
          <w:t>Diseño de la red móvil</w:t>
        </w:r>
        <w:r w:rsidR="00AA267D">
          <w:rPr>
            <w:webHidden/>
          </w:rPr>
          <w:tab/>
        </w:r>
        <w:r w:rsidR="00AA267D">
          <w:rPr>
            <w:webHidden/>
          </w:rPr>
          <w:fldChar w:fldCharType="begin"/>
        </w:r>
        <w:r w:rsidR="00AA267D">
          <w:rPr>
            <w:webHidden/>
          </w:rPr>
          <w:instrText xml:space="preserve"> PAGEREF _Toc136032681 \h </w:instrText>
        </w:r>
        <w:r w:rsidR="00AA267D">
          <w:rPr>
            <w:webHidden/>
          </w:rPr>
        </w:r>
        <w:r w:rsidR="00AA267D">
          <w:rPr>
            <w:webHidden/>
          </w:rPr>
          <w:fldChar w:fldCharType="separate"/>
        </w:r>
        <w:r w:rsidR="00020F8B">
          <w:rPr>
            <w:webHidden/>
          </w:rPr>
          <w:t>43</w:t>
        </w:r>
        <w:r w:rsidR="00AA267D">
          <w:rPr>
            <w:webHidden/>
          </w:rPr>
          <w:fldChar w:fldCharType="end"/>
        </w:r>
      </w:hyperlink>
    </w:p>
    <w:p w14:paraId="77349856" w14:textId="04BBCD64" w:rsidR="00AA267D" w:rsidRDefault="00C47812">
      <w:pPr>
        <w:pStyle w:val="TDC1"/>
        <w:rPr>
          <w:rFonts w:asciiTheme="minorHAnsi" w:eastAsiaTheme="minorEastAsia" w:hAnsiTheme="minorHAnsi"/>
          <w:b w:val="0"/>
          <w:noProof/>
          <w:kern w:val="2"/>
          <w:lang w:eastAsia="en-GB"/>
          <w14:ligatures w14:val="standardContextual"/>
        </w:rPr>
      </w:pPr>
      <w:hyperlink w:anchor="_Toc136032682" w:history="1">
        <w:r w:rsidR="00AA267D" w:rsidRPr="00A31CAE">
          <w:rPr>
            <w:rStyle w:val="Hipervnculo"/>
            <w:noProof/>
            <w:snapToGrid w:val="0"/>
            <w:lang w:val="es-ES"/>
          </w:rPr>
          <w:t>5</w:t>
        </w:r>
        <w:r w:rsidR="00AA267D">
          <w:rPr>
            <w:rFonts w:asciiTheme="minorHAnsi" w:eastAsiaTheme="minorEastAsia" w:hAnsiTheme="minorHAnsi"/>
            <w:b w:val="0"/>
            <w:noProof/>
            <w:kern w:val="2"/>
            <w:lang w:eastAsia="en-GB"/>
            <w14:ligatures w14:val="standardContextual"/>
          </w:rPr>
          <w:tab/>
        </w:r>
        <w:r w:rsidR="00AA267D" w:rsidRPr="00A31CAE">
          <w:rPr>
            <w:rStyle w:val="Hipervnculo"/>
            <w:noProof/>
            <w:snapToGrid w:val="0"/>
            <w:lang w:val="es-ES"/>
          </w:rPr>
          <w:t>Cálculos de los costos de red</w:t>
        </w:r>
        <w:r w:rsidR="00AA267D">
          <w:rPr>
            <w:noProof/>
            <w:webHidden/>
          </w:rPr>
          <w:tab/>
        </w:r>
        <w:r w:rsidR="00AA267D">
          <w:rPr>
            <w:noProof/>
            <w:webHidden/>
          </w:rPr>
          <w:fldChar w:fldCharType="begin"/>
        </w:r>
        <w:r w:rsidR="00AA267D">
          <w:rPr>
            <w:noProof/>
            <w:webHidden/>
          </w:rPr>
          <w:instrText xml:space="preserve"> PAGEREF _Toc136032682 \h </w:instrText>
        </w:r>
        <w:r w:rsidR="00AA267D">
          <w:rPr>
            <w:noProof/>
            <w:webHidden/>
          </w:rPr>
        </w:r>
        <w:r w:rsidR="00AA267D">
          <w:rPr>
            <w:noProof/>
            <w:webHidden/>
          </w:rPr>
          <w:fldChar w:fldCharType="separate"/>
        </w:r>
        <w:r w:rsidR="00020F8B">
          <w:rPr>
            <w:noProof/>
            <w:webHidden/>
          </w:rPr>
          <w:t>47</w:t>
        </w:r>
        <w:r w:rsidR="00AA267D">
          <w:rPr>
            <w:noProof/>
            <w:webHidden/>
          </w:rPr>
          <w:fldChar w:fldCharType="end"/>
        </w:r>
      </w:hyperlink>
    </w:p>
    <w:p w14:paraId="37C51FCB" w14:textId="5FBC671F" w:rsidR="00AA267D" w:rsidRDefault="00C47812">
      <w:pPr>
        <w:pStyle w:val="TDC2"/>
        <w:rPr>
          <w:rFonts w:asciiTheme="minorHAnsi" w:eastAsiaTheme="minorEastAsia" w:hAnsiTheme="minorHAnsi"/>
          <w:kern w:val="2"/>
          <w:lang w:eastAsia="en-GB"/>
          <w14:ligatures w14:val="standardContextual"/>
        </w:rPr>
      </w:pPr>
      <w:hyperlink w:anchor="_Toc136032683" w:history="1">
        <w:r w:rsidR="00AA267D" w:rsidRPr="00A31CAE">
          <w:rPr>
            <w:rStyle w:val="Hipervnculo"/>
            <w:rFonts w:ascii="Times New Roman Bold" w:hAnsi="Times New Roman Bold"/>
            <w:lang w:val="es-ES"/>
          </w:rPr>
          <w:t>5.1</w:t>
        </w:r>
        <w:r w:rsidR="00AA267D">
          <w:rPr>
            <w:rFonts w:asciiTheme="minorHAnsi" w:eastAsiaTheme="minorEastAsia" w:hAnsiTheme="minorHAnsi"/>
            <w:kern w:val="2"/>
            <w:lang w:eastAsia="en-GB"/>
            <w14:ligatures w14:val="standardContextual"/>
          </w:rPr>
          <w:tab/>
        </w:r>
        <w:r w:rsidR="00AA267D" w:rsidRPr="00A31CAE">
          <w:rPr>
            <w:rStyle w:val="Hipervnculo"/>
            <w:lang w:val="es-ES"/>
          </w:rPr>
          <w:t>Cálculos de costos de red fija y móvil</w:t>
        </w:r>
        <w:r w:rsidR="00AA267D">
          <w:rPr>
            <w:webHidden/>
          </w:rPr>
          <w:tab/>
        </w:r>
        <w:r w:rsidR="00AA267D">
          <w:rPr>
            <w:webHidden/>
          </w:rPr>
          <w:fldChar w:fldCharType="begin"/>
        </w:r>
        <w:r w:rsidR="00AA267D">
          <w:rPr>
            <w:webHidden/>
          </w:rPr>
          <w:instrText xml:space="preserve"> PAGEREF _Toc136032683 \h </w:instrText>
        </w:r>
        <w:r w:rsidR="00AA267D">
          <w:rPr>
            <w:webHidden/>
          </w:rPr>
        </w:r>
        <w:r w:rsidR="00AA267D">
          <w:rPr>
            <w:webHidden/>
          </w:rPr>
          <w:fldChar w:fldCharType="separate"/>
        </w:r>
        <w:r w:rsidR="00020F8B">
          <w:rPr>
            <w:webHidden/>
          </w:rPr>
          <w:t>47</w:t>
        </w:r>
        <w:r w:rsidR="00AA267D">
          <w:rPr>
            <w:webHidden/>
          </w:rPr>
          <w:fldChar w:fldCharType="end"/>
        </w:r>
      </w:hyperlink>
    </w:p>
    <w:p w14:paraId="20616EAA" w14:textId="25F890B6" w:rsidR="00AA267D" w:rsidRDefault="00C47812">
      <w:pPr>
        <w:pStyle w:val="TDC1"/>
        <w:rPr>
          <w:rFonts w:asciiTheme="minorHAnsi" w:eastAsiaTheme="minorEastAsia" w:hAnsiTheme="minorHAnsi"/>
          <w:b w:val="0"/>
          <w:noProof/>
          <w:kern w:val="2"/>
          <w:lang w:eastAsia="en-GB"/>
          <w14:ligatures w14:val="standardContextual"/>
        </w:rPr>
      </w:pPr>
      <w:hyperlink w:anchor="_Toc136032684" w:history="1">
        <w:r w:rsidR="00AA267D" w:rsidRPr="00A31CAE">
          <w:rPr>
            <w:rStyle w:val="Hipervnculo"/>
            <w:noProof/>
            <w:snapToGrid w:val="0"/>
            <w:lang w:val="es-ES_tradnl"/>
          </w:rPr>
          <w:t>6</w:t>
        </w:r>
        <w:r w:rsidR="00AA267D">
          <w:rPr>
            <w:rFonts w:asciiTheme="minorHAnsi" w:eastAsiaTheme="minorEastAsia" w:hAnsiTheme="minorHAnsi"/>
            <w:b w:val="0"/>
            <w:noProof/>
            <w:kern w:val="2"/>
            <w:lang w:eastAsia="en-GB"/>
            <w14:ligatures w14:val="standardContextual"/>
          </w:rPr>
          <w:tab/>
        </w:r>
        <w:r w:rsidR="00AA267D" w:rsidRPr="00A31CAE">
          <w:rPr>
            <w:rStyle w:val="Hipervnculo"/>
            <w:noProof/>
            <w:snapToGrid w:val="0"/>
            <w:lang w:val="es-ES_tradnl"/>
          </w:rPr>
          <w:t>Costos de los servicios</w:t>
        </w:r>
        <w:r w:rsidR="00AA267D">
          <w:rPr>
            <w:noProof/>
            <w:webHidden/>
          </w:rPr>
          <w:tab/>
        </w:r>
        <w:r w:rsidR="00AA267D">
          <w:rPr>
            <w:noProof/>
            <w:webHidden/>
          </w:rPr>
          <w:fldChar w:fldCharType="begin"/>
        </w:r>
        <w:r w:rsidR="00AA267D">
          <w:rPr>
            <w:noProof/>
            <w:webHidden/>
          </w:rPr>
          <w:instrText xml:space="preserve"> PAGEREF _Toc136032684 \h </w:instrText>
        </w:r>
        <w:r w:rsidR="00AA267D">
          <w:rPr>
            <w:noProof/>
            <w:webHidden/>
          </w:rPr>
        </w:r>
        <w:r w:rsidR="00AA267D">
          <w:rPr>
            <w:noProof/>
            <w:webHidden/>
          </w:rPr>
          <w:fldChar w:fldCharType="separate"/>
        </w:r>
        <w:r w:rsidR="00020F8B">
          <w:rPr>
            <w:noProof/>
            <w:webHidden/>
          </w:rPr>
          <w:t>48</w:t>
        </w:r>
        <w:r w:rsidR="00AA267D">
          <w:rPr>
            <w:noProof/>
            <w:webHidden/>
          </w:rPr>
          <w:fldChar w:fldCharType="end"/>
        </w:r>
      </w:hyperlink>
    </w:p>
    <w:p w14:paraId="54DF20E9" w14:textId="2FE07B4A" w:rsidR="00AA267D" w:rsidRDefault="00C47812">
      <w:pPr>
        <w:pStyle w:val="TDC2"/>
        <w:rPr>
          <w:rFonts w:asciiTheme="minorHAnsi" w:eastAsiaTheme="minorEastAsia" w:hAnsiTheme="minorHAnsi"/>
          <w:kern w:val="2"/>
          <w:lang w:eastAsia="en-GB"/>
          <w14:ligatures w14:val="standardContextual"/>
        </w:rPr>
      </w:pPr>
      <w:hyperlink w:anchor="_Toc136032685" w:history="1">
        <w:r w:rsidR="00AA267D" w:rsidRPr="00A31CAE">
          <w:rPr>
            <w:rStyle w:val="Hipervnculo"/>
            <w:rFonts w:ascii="Times New Roman Bold" w:hAnsi="Times New Roman Bold"/>
            <w:lang w:val="es-ES"/>
          </w:rPr>
          <w:t>6.1</w:t>
        </w:r>
        <w:r w:rsidR="00AA267D">
          <w:rPr>
            <w:rFonts w:asciiTheme="minorHAnsi" w:eastAsiaTheme="minorEastAsia" w:hAnsiTheme="minorHAnsi"/>
            <w:kern w:val="2"/>
            <w:lang w:eastAsia="en-GB"/>
            <w14:ligatures w14:val="standardContextual"/>
          </w:rPr>
          <w:tab/>
        </w:r>
        <w:r w:rsidR="00AA267D" w:rsidRPr="00A31CAE">
          <w:rPr>
            <w:rStyle w:val="Hipervnculo"/>
            <w:lang w:val="es-ES"/>
          </w:rPr>
          <w:t>Servicios de red móvil</w:t>
        </w:r>
        <w:r w:rsidR="00AA267D">
          <w:rPr>
            <w:webHidden/>
          </w:rPr>
          <w:tab/>
        </w:r>
        <w:r w:rsidR="00AA267D">
          <w:rPr>
            <w:webHidden/>
          </w:rPr>
          <w:fldChar w:fldCharType="begin"/>
        </w:r>
        <w:r w:rsidR="00AA267D">
          <w:rPr>
            <w:webHidden/>
          </w:rPr>
          <w:instrText xml:space="preserve"> PAGEREF _Toc136032685 \h </w:instrText>
        </w:r>
        <w:r w:rsidR="00AA267D">
          <w:rPr>
            <w:webHidden/>
          </w:rPr>
        </w:r>
        <w:r w:rsidR="00AA267D">
          <w:rPr>
            <w:webHidden/>
          </w:rPr>
          <w:fldChar w:fldCharType="separate"/>
        </w:r>
        <w:r w:rsidR="00020F8B">
          <w:rPr>
            <w:webHidden/>
          </w:rPr>
          <w:t>48</w:t>
        </w:r>
        <w:r w:rsidR="00AA267D">
          <w:rPr>
            <w:webHidden/>
          </w:rPr>
          <w:fldChar w:fldCharType="end"/>
        </w:r>
      </w:hyperlink>
    </w:p>
    <w:p w14:paraId="0EFE6A7B" w14:textId="159EC3FF" w:rsidR="00AA267D" w:rsidRDefault="00C47812">
      <w:pPr>
        <w:pStyle w:val="TDC2"/>
        <w:rPr>
          <w:rFonts w:asciiTheme="minorHAnsi" w:eastAsiaTheme="minorEastAsia" w:hAnsiTheme="minorHAnsi"/>
          <w:kern w:val="2"/>
          <w:lang w:eastAsia="en-GB"/>
          <w14:ligatures w14:val="standardContextual"/>
        </w:rPr>
      </w:pPr>
      <w:hyperlink w:anchor="_Toc136032686" w:history="1">
        <w:r w:rsidR="00AA267D" w:rsidRPr="00A31CAE">
          <w:rPr>
            <w:rStyle w:val="Hipervnculo"/>
            <w:rFonts w:ascii="Times New Roman Bold" w:hAnsi="Times New Roman Bold"/>
            <w:lang w:val="es-ES_tradnl"/>
          </w:rPr>
          <w:t>6.2</w:t>
        </w:r>
        <w:r w:rsidR="00AA267D">
          <w:rPr>
            <w:rFonts w:asciiTheme="minorHAnsi" w:eastAsiaTheme="minorEastAsia" w:hAnsiTheme="minorHAnsi"/>
            <w:kern w:val="2"/>
            <w:lang w:eastAsia="en-GB"/>
            <w14:ligatures w14:val="standardContextual"/>
          </w:rPr>
          <w:tab/>
        </w:r>
        <w:r w:rsidR="00AA267D" w:rsidRPr="00A31CAE">
          <w:rPr>
            <w:rStyle w:val="Hipervnculo"/>
            <w:lang w:val="es-ES_tradnl"/>
          </w:rPr>
          <w:t>Servicios de red fija</w:t>
        </w:r>
        <w:r w:rsidR="00AA267D">
          <w:rPr>
            <w:webHidden/>
          </w:rPr>
          <w:tab/>
        </w:r>
        <w:r w:rsidR="00AA267D">
          <w:rPr>
            <w:webHidden/>
          </w:rPr>
          <w:fldChar w:fldCharType="begin"/>
        </w:r>
        <w:r w:rsidR="00AA267D">
          <w:rPr>
            <w:webHidden/>
          </w:rPr>
          <w:instrText xml:space="preserve"> PAGEREF _Toc136032686 \h </w:instrText>
        </w:r>
        <w:r w:rsidR="00AA267D">
          <w:rPr>
            <w:webHidden/>
          </w:rPr>
        </w:r>
        <w:r w:rsidR="00AA267D">
          <w:rPr>
            <w:webHidden/>
          </w:rPr>
          <w:fldChar w:fldCharType="separate"/>
        </w:r>
        <w:r w:rsidR="00020F8B">
          <w:rPr>
            <w:webHidden/>
          </w:rPr>
          <w:t>49</w:t>
        </w:r>
        <w:r w:rsidR="00AA267D">
          <w:rPr>
            <w:webHidden/>
          </w:rPr>
          <w:fldChar w:fldCharType="end"/>
        </w:r>
      </w:hyperlink>
    </w:p>
    <w:p w14:paraId="023CE1F1" w14:textId="400E11DC" w:rsidR="00C77CA6" w:rsidRPr="003E3F62" w:rsidRDefault="00BD64BC" w:rsidP="00C77CA6">
      <w:pPr>
        <w:pStyle w:val="TDC1"/>
      </w:pPr>
      <w:r>
        <w:fldChar w:fldCharType="end"/>
      </w:r>
    </w:p>
    <w:p w14:paraId="5589146B" w14:textId="1CFBF969" w:rsidR="00DF3B88" w:rsidRPr="003E3F62" w:rsidRDefault="00DF3B88" w:rsidP="004F7800">
      <w:pPr>
        <w:pStyle w:val="TDC1"/>
      </w:pPr>
    </w:p>
    <w:p w14:paraId="06E11FE5" w14:textId="77777777" w:rsidR="000A0B66" w:rsidRPr="003E3F62" w:rsidRDefault="000A0B66" w:rsidP="000A0B66"/>
    <w:p w14:paraId="05915190" w14:textId="77777777" w:rsidR="000A0B66" w:rsidRPr="003E3F62" w:rsidRDefault="000A0B66">
      <w:pPr>
        <w:spacing w:after="200" w:line="0" w:lineRule="auto"/>
        <w:jc w:val="left"/>
      </w:pPr>
      <w:r w:rsidRPr="003E3F62">
        <w:br w:type="page"/>
      </w:r>
    </w:p>
    <w:p w14:paraId="410C409C" w14:textId="77777777" w:rsidR="007C6FB3" w:rsidRPr="001D75A0" w:rsidRDefault="007C6FB3" w:rsidP="007C6FB3">
      <w:pPr>
        <w:rPr>
          <w:lang w:val="es-ES"/>
        </w:rPr>
        <w:sectPr w:rsidR="007C6FB3" w:rsidRPr="001D75A0" w:rsidSect="00D42DA0">
          <w:headerReference w:type="even" r:id="rId13"/>
          <w:headerReference w:type="default" r:id="rId14"/>
          <w:footerReference w:type="even" r:id="rId15"/>
          <w:footerReference w:type="default" r:id="rId16"/>
          <w:headerReference w:type="first" r:id="rId17"/>
          <w:footerReference w:type="first" r:id="rId18"/>
          <w:pgSz w:w="11907" w:h="16840" w:code="9"/>
          <w:pgMar w:top="1418" w:right="1588" w:bottom="1418" w:left="1588" w:header="567" w:footer="567" w:gutter="0"/>
          <w:pgNumType w:fmt="lowerRoman" w:start="1"/>
          <w:cols w:space="720"/>
          <w:titlePg/>
          <w:docGrid w:linePitch="299"/>
        </w:sectPr>
      </w:pPr>
      <w:bookmarkStart w:id="0" w:name="SectionReportContents"/>
    </w:p>
    <w:p w14:paraId="07D24447" w14:textId="60ECBF30" w:rsidR="00C57384" w:rsidRPr="00200606" w:rsidRDefault="00C52B83" w:rsidP="00C57384">
      <w:pPr>
        <w:pStyle w:val="Ttulo1"/>
        <w:rPr>
          <w:lang w:val="es-ES_tradnl"/>
        </w:rPr>
      </w:pPr>
      <w:bookmarkStart w:id="1" w:name="_Toc197938434"/>
      <w:bookmarkStart w:id="2" w:name="_Ref135836765"/>
      <w:bookmarkStart w:id="3" w:name="_Ref135836789"/>
      <w:bookmarkStart w:id="4" w:name="_Ref135836964"/>
      <w:bookmarkStart w:id="5" w:name="_Ref135837003"/>
      <w:bookmarkStart w:id="6" w:name="_Ref135837459"/>
      <w:bookmarkStart w:id="7" w:name="_Toc136032672"/>
      <w:bookmarkEnd w:id="0"/>
      <w:r w:rsidRPr="00200606">
        <w:rPr>
          <w:snapToGrid w:val="0"/>
          <w:lang w:val="es-ES_tradnl"/>
        </w:rPr>
        <w:lastRenderedPageBreak/>
        <w:t>Introducción</w:t>
      </w:r>
      <w:bookmarkEnd w:id="1"/>
      <w:bookmarkEnd w:id="2"/>
      <w:bookmarkEnd w:id="3"/>
      <w:bookmarkEnd w:id="4"/>
      <w:bookmarkEnd w:id="5"/>
      <w:bookmarkEnd w:id="6"/>
      <w:bookmarkEnd w:id="7"/>
    </w:p>
    <w:p w14:paraId="1DFC8227" w14:textId="6823BAE6" w:rsidR="004626E5" w:rsidRPr="004626E5" w:rsidRDefault="004626E5" w:rsidP="004626E5">
      <w:pPr>
        <w:rPr>
          <w:lang w:val="es-ES"/>
        </w:rPr>
      </w:pPr>
      <w:bookmarkStart w:id="8" w:name="SectionReportBody"/>
      <w:r w:rsidRPr="004626E5">
        <w:rPr>
          <w:lang w:val="es-ES"/>
        </w:rPr>
        <w:t xml:space="preserve">El Instituto Federal de Telecomunicaciones (IFT) ha </w:t>
      </w:r>
      <w:r w:rsidR="00A33EE9">
        <w:rPr>
          <w:lang w:val="es-ES"/>
        </w:rPr>
        <w:t xml:space="preserve">llevado a cabo el proceso para el </w:t>
      </w:r>
      <w:r w:rsidRPr="004626E5">
        <w:rPr>
          <w:lang w:val="es-ES"/>
        </w:rPr>
        <w:t>desarrollo del modelo de costos integral cuyo objetivo es dar soporte en la fijación de las tarifas para diversos servicios mayoristas provistos por los operadores de telecomunicaciones en México para el periodo 2024–26:</w:t>
      </w:r>
    </w:p>
    <w:p w14:paraId="7B19DE71" w14:textId="77777777" w:rsidR="004626E5" w:rsidRPr="004626E5" w:rsidRDefault="004626E5" w:rsidP="004626E5">
      <w:pPr>
        <w:pStyle w:val="ListBulletCompact"/>
        <w:rPr>
          <w:lang w:val="es-ES"/>
        </w:rPr>
      </w:pPr>
      <w:r w:rsidRPr="004626E5">
        <w:rPr>
          <w:lang w:val="es-ES"/>
        </w:rPr>
        <w:t>Terminación de voz, SMS y tránsito en redes fijas y móviles</w:t>
      </w:r>
    </w:p>
    <w:p w14:paraId="2A7791CF" w14:textId="77777777" w:rsidR="004626E5" w:rsidRPr="00D723ED" w:rsidRDefault="004626E5" w:rsidP="004626E5">
      <w:pPr>
        <w:pStyle w:val="ListBulletCompact"/>
        <w:rPr>
          <w:lang w:val="es-ES"/>
        </w:rPr>
      </w:pPr>
      <w:r w:rsidRPr="00D723ED">
        <w:rPr>
          <w:lang w:val="es-ES"/>
        </w:rPr>
        <w:t>Servicios de usuario visitante</w:t>
      </w:r>
    </w:p>
    <w:p w14:paraId="4821764F" w14:textId="2B38834A" w:rsidR="004626E5" w:rsidRPr="004626E5" w:rsidRDefault="004626E5" w:rsidP="004626E5">
      <w:pPr>
        <w:pStyle w:val="ListBulletCompact"/>
        <w:rPr>
          <w:lang w:val="es-ES"/>
        </w:rPr>
      </w:pPr>
      <w:bookmarkStart w:id="9" w:name="_Hlk136275581"/>
      <w:r w:rsidRPr="004626E5">
        <w:rPr>
          <w:lang w:val="es-ES"/>
        </w:rPr>
        <w:t>Servicio de concentración y distribución</w:t>
      </w:r>
      <w:r w:rsidR="00EE6F92">
        <w:rPr>
          <w:lang w:val="es-ES"/>
        </w:rPr>
        <w:t xml:space="preserve"> (SCyD)</w:t>
      </w:r>
      <w:r w:rsidRPr="004626E5">
        <w:rPr>
          <w:lang w:val="es-ES"/>
        </w:rPr>
        <w:t xml:space="preserve"> asociado al servicio de acceso indirecto al bucle (SAIB)</w:t>
      </w:r>
    </w:p>
    <w:bookmarkEnd w:id="9"/>
    <w:p w14:paraId="46C492CF" w14:textId="77777777" w:rsidR="004626E5" w:rsidRPr="00D723ED" w:rsidRDefault="004626E5" w:rsidP="004626E5">
      <w:pPr>
        <w:pStyle w:val="ListBulletCompact"/>
        <w:rPr>
          <w:lang w:val="es-ES"/>
        </w:rPr>
      </w:pPr>
      <w:r w:rsidRPr="00D723ED">
        <w:rPr>
          <w:lang w:val="es-ES"/>
        </w:rPr>
        <w:t>Servicios de enlaces dedicados</w:t>
      </w:r>
    </w:p>
    <w:p w14:paraId="7E40EE6E" w14:textId="77777777" w:rsidR="004626E5" w:rsidRPr="004626E5" w:rsidRDefault="004626E5" w:rsidP="004626E5">
      <w:pPr>
        <w:rPr>
          <w:lang w:val="es-ES"/>
        </w:rPr>
      </w:pPr>
      <w:r w:rsidRPr="004626E5">
        <w:rPr>
          <w:lang w:val="es-ES"/>
        </w:rPr>
        <w:t>Para ello, se ha desarrollado un modelo integral de cálculo ascendente (</w:t>
      </w:r>
      <w:r w:rsidRPr="004626E5">
        <w:rPr>
          <w:i/>
          <w:lang w:val="es-ES"/>
        </w:rPr>
        <w:t>bottom-up</w:t>
      </w:r>
      <w:r w:rsidRPr="004626E5">
        <w:rPr>
          <w:lang w:val="es-ES"/>
        </w:rPr>
        <w:t xml:space="preserve">) de costos incrementales de largo plazo (CILP) para redes fijas y móviles, así como los módulos adicionales para el estudio de servicios específicos. </w:t>
      </w:r>
    </w:p>
    <w:p w14:paraId="54BEACFB" w14:textId="38F0F1AF" w:rsidR="00C52B83" w:rsidRPr="0033706D" w:rsidRDefault="004626E5" w:rsidP="00C52B83">
      <w:pPr>
        <w:rPr>
          <w:lang w:val="es-ES"/>
        </w:rPr>
      </w:pPr>
      <w:r>
        <w:rPr>
          <w:lang w:val="es-ES"/>
        </w:rPr>
        <w:t>El objetivo de este documento es de</w:t>
      </w:r>
      <w:r w:rsidR="00A23DBE">
        <w:rPr>
          <w:lang w:val="es-ES"/>
        </w:rPr>
        <w:t>scribir los principales insumos y cálculos</w:t>
      </w:r>
      <w:r w:rsidR="0000633C">
        <w:rPr>
          <w:lang w:val="es-ES"/>
        </w:rPr>
        <w:t xml:space="preserve"> que componen el modelo de costos. Con este fin, e</w:t>
      </w:r>
      <w:r w:rsidR="00C52B83" w:rsidRPr="0033706D">
        <w:rPr>
          <w:lang w:val="es-ES"/>
        </w:rPr>
        <w:t>l presente informe está estructurado como sigue:</w:t>
      </w:r>
    </w:p>
    <w:p w14:paraId="1C4B0407" w14:textId="2B9C3869" w:rsidR="00C52B83" w:rsidRDefault="00C52B83" w:rsidP="0000633C">
      <w:pPr>
        <w:pStyle w:val="ListBulletCompact"/>
        <w:rPr>
          <w:lang w:val="es-ES"/>
        </w:rPr>
      </w:pPr>
      <w:r w:rsidRPr="0033706D">
        <w:rPr>
          <w:lang w:val="es-ES"/>
        </w:rPr>
        <w:t xml:space="preserve">Sección </w:t>
      </w:r>
      <w:r w:rsidR="00BC60D6">
        <w:rPr>
          <w:lang w:val="es-ES"/>
        </w:rPr>
        <w:fldChar w:fldCharType="begin"/>
      </w:r>
      <w:r w:rsidR="00BC60D6">
        <w:rPr>
          <w:lang w:val="es-ES"/>
        </w:rPr>
        <w:instrText xml:space="preserve"> REF _Ref135837003 \n \h </w:instrText>
      </w:r>
      <w:r w:rsidR="00BC60D6">
        <w:rPr>
          <w:lang w:val="es-ES"/>
        </w:rPr>
      </w:r>
      <w:r w:rsidR="00BC60D6">
        <w:rPr>
          <w:lang w:val="es-ES"/>
        </w:rPr>
        <w:fldChar w:fldCharType="separate"/>
      </w:r>
      <w:r w:rsidR="00020F8B">
        <w:rPr>
          <w:lang w:val="es-ES"/>
        </w:rPr>
        <w:t>1</w:t>
      </w:r>
      <w:r w:rsidR="00BC60D6">
        <w:rPr>
          <w:lang w:val="es-ES"/>
        </w:rPr>
        <w:fldChar w:fldCharType="end"/>
      </w:r>
      <w:r w:rsidR="0033706D" w:rsidRPr="0033706D">
        <w:rPr>
          <w:lang w:val="es-ES"/>
        </w:rPr>
        <w:t>.</w:t>
      </w:r>
      <w:r w:rsidRPr="0033706D">
        <w:rPr>
          <w:lang w:val="es-ES"/>
        </w:rPr>
        <w:t xml:space="preserve"> </w:t>
      </w:r>
      <w:r w:rsidR="00352E24">
        <w:rPr>
          <w:lang w:val="es-ES"/>
        </w:rPr>
        <w:fldChar w:fldCharType="begin"/>
      </w:r>
      <w:r w:rsidR="00352E24">
        <w:rPr>
          <w:lang w:val="es-ES"/>
        </w:rPr>
        <w:instrText xml:space="preserve"> REF _Ref135837459 </w:instrText>
      </w:r>
      <w:r w:rsidR="00352E24">
        <w:rPr>
          <w:lang w:val="es-ES"/>
        </w:rPr>
        <w:fldChar w:fldCharType="separate"/>
      </w:r>
      <w:r w:rsidR="00020F8B" w:rsidRPr="00200606">
        <w:rPr>
          <w:snapToGrid w:val="0"/>
          <w:lang w:val="es-ES_tradnl"/>
        </w:rPr>
        <w:t>Introducción</w:t>
      </w:r>
      <w:r w:rsidR="00352E24">
        <w:rPr>
          <w:lang w:val="es-ES"/>
        </w:rPr>
        <w:fldChar w:fldCharType="end"/>
      </w:r>
    </w:p>
    <w:p w14:paraId="1C1269A0" w14:textId="487E7AB8" w:rsidR="00BC60D6" w:rsidRDefault="00BC60D6" w:rsidP="0000633C">
      <w:pPr>
        <w:pStyle w:val="ListBulletCompact"/>
        <w:rPr>
          <w:lang w:val="es-ES"/>
        </w:rPr>
      </w:pPr>
      <w:r w:rsidRPr="0033706D">
        <w:rPr>
          <w:lang w:val="es-ES"/>
        </w:rPr>
        <w:t>Sección</w:t>
      </w:r>
      <w:r w:rsidR="00856B0F">
        <w:rPr>
          <w:lang w:val="es-ES"/>
        </w:rPr>
        <w:t xml:space="preserve"> </w:t>
      </w:r>
      <w:r w:rsidR="008A159B">
        <w:rPr>
          <w:lang w:val="es-ES"/>
        </w:rPr>
        <w:fldChar w:fldCharType="begin"/>
      </w:r>
      <w:r w:rsidR="008A159B">
        <w:rPr>
          <w:lang w:val="es-ES"/>
        </w:rPr>
        <w:instrText xml:space="preserve"> REF _Ref135837140 \n \h </w:instrText>
      </w:r>
      <w:r w:rsidR="008A159B">
        <w:rPr>
          <w:lang w:val="es-ES"/>
        </w:rPr>
      </w:r>
      <w:r w:rsidR="008A159B">
        <w:rPr>
          <w:lang w:val="es-ES"/>
        </w:rPr>
        <w:fldChar w:fldCharType="separate"/>
      </w:r>
      <w:r w:rsidR="00020F8B">
        <w:rPr>
          <w:lang w:val="es-ES"/>
        </w:rPr>
        <w:t>2</w:t>
      </w:r>
      <w:r w:rsidR="008A159B">
        <w:rPr>
          <w:lang w:val="es-ES"/>
        </w:rPr>
        <w:fldChar w:fldCharType="end"/>
      </w:r>
      <w:r w:rsidRPr="0033706D">
        <w:rPr>
          <w:lang w:val="es-ES"/>
        </w:rPr>
        <w:t xml:space="preserve">. </w:t>
      </w:r>
      <w:r w:rsidR="00352E24">
        <w:rPr>
          <w:lang w:val="es-ES"/>
        </w:rPr>
        <w:fldChar w:fldCharType="begin"/>
      </w:r>
      <w:r w:rsidR="00352E24">
        <w:rPr>
          <w:lang w:val="es-ES"/>
        </w:rPr>
        <w:instrText xml:space="preserve"> REF _Ref135837469 </w:instrText>
      </w:r>
      <w:r w:rsidR="00352E24">
        <w:rPr>
          <w:lang w:val="es-ES"/>
        </w:rPr>
        <w:fldChar w:fldCharType="separate"/>
      </w:r>
      <w:r w:rsidR="00020F8B">
        <w:rPr>
          <w:snapToGrid w:val="0"/>
          <w:lang w:val="es-ES_tradnl"/>
        </w:rPr>
        <w:t>Arquitectura general del modelo</w:t>
      </w:r>
      <w:r w:rsidR="00352E24">
        <w:rPr>
          <w:lang w:val="es-ES"/>
        </w:rPr>
        <w:fldChar w:fldCharType="end"/>
      </w:r>
    </w:p>
    <w:p w14:paraId="0C16C126" w14:textId="7A1ED4E4" w:rsidR="00BC60D6" w:rsidRDefault="00BC60D6" w:rsidP="0000633C">
      <w:pPr>
        <w:pStyle w:val="ListBulletCompact"/>
        <w:rPr>
          <w:lang w:val="es-ES"/>
        </w:rPr>
      </w:pPr>
      <w:r w:rsidRPr="0033706D">
        <w:rPr>
          <w:lang w:val="es-ES"/>
        </w:rPr>
        <w:t>Sección</w:t>
      </w:r>
      <w:r w:rsidR="008A159B">
        <w:rPr>
          <w:lang w:val="es-ES"/>
        </w:rPr>
        <w:t xml:space="preserve"> </w:t>
      </w:r>
      <w:r w:rsidR="008A159B">
        <w:rPr>
          <w:lang w:val="es-ES"/>
        </w:rPr>
        <w:fldChar w:fldCharType="begin"/>
      </w:r>
      <w:r w:rsidR="008A159B">
        <w:rPr>
          <w:lang w:val="es-ES"/>
        </w:rPr>
        <w:instrText xml:space="preserve"> REF _Ref135837167 \n \h </w:instrText>
      </w:r>
      <w:r w:rsidR="008A159B">
        <w:rPr>
          <w:lang w:val="es-ES"/>
        </w:rPr>
      </w:r>
      <w:r w:rsidR="008A159B">
        <w:rPr>
          <w:lang w:val="es-ES"/>
        </w:rPr>
        <w:fldChar w:fldCharType="separate"/>
      </w:r>
      <w:r w:rsidR="00020F8B">
        <w:rPr>
          <w:lang w:val="es-ES"/>
        </w:rPr>
        <w:t>3</w:t>
      </w:r>
      <w:r w:rsidR="008A159B">
        <w:rPr>
          <w:lang w:val="es-ES"/>
        </w:rPr>
        <w:fldChar w:fldCharType="end"/>
      </w:r>
      <w:r w:rsidRPr="0033706D">
        <w:rPr>
          <w:lang w:val="es-ES"/>
        </w:rPr>
        <w:t xml:space="preserve">. </w:t>
      </w:r>
      <w:r w:rsidR="00352E24">
        <w:rPr>
          <w:lang w:val="es-ES"/>
        </w:rPr>
        <w:fldChar w:fldCharType="begin"/>
      </w:r>
      <w:r w:rsidR="00352E24">
        <w:rPr>
          <w:lang w:val="es-ES"/>
        </w:rPr>
        <w:instrText xml:space="preserve"> REF _Ref135837478 </w:instrText>
      </w:r>
      <w:r w:rsidR="00352E24">
        <w:rPr>
          <w:lang w:val="es-ES"/>
        </w:rPr>
        <w:fldChar w:fldCharType="separate"/>
      </w:r>
      <w:r w:rsidR="00020F8B">
        <w:rPr>
          <w:snapToGrid w:val="0"/>
          <w:lang w:val="es-ES_tradnl"/>
        </w:rPr>
        <w:t>Insumos clave del modelo</w:t>
      </w:r>
      <w:r w:rsidR="00352E24">
        <w:rPr>
          <w:lang w:val="es-ES"/>
        </w:rPr>
        <w:fldChar w:fldCharType="end"/>
      </w:r>
    </w:p>
    <w:p w14:paraId="6DAA0FCB" w14:textId="50B150B4" w:rsidR="00BC60D6" w:rsidRDefault="00BC60D6" w:rsidP="0000633C">
      <w:pPr>
        <w:pStyle w:val="ListBulletCompact"/>
        <w:rPr>
          <w:lang w:val="es-ES"/>
        </w:rPr>
      </w:pPr>
      <w:r w:rsidRPr="0033706D">
        <w:rPr>
          <w:lang w:val="es-ES"/>
        </w:rPr>
        <w:t>Sección</w:t>
      </w:r>
      <w:r w:rsidR="008A159B">
        <w:rPr>
          <w:lang w:val="es-ES"/>
        </w:rPr>
        <w:t xml:space="preserve"> </w:t>
      </w:r>
      <w:r w:rsidR="00412D75">
        <w:rPr>
          <w:lang w:val="es-ES"/>
        </w:rPr>
        <w:fldChar w:fldCharType="begin"/>
      </w:r>
      <w:r w:rsidR="00412D75">
        <w:rPr>
          <w:lang w:val="es-ES"/>
        </w:rPr>
        <w:instrText xml:space="preserve"> REF _Ref135837200 \n \h </w:instrText>
      </w:r>
      <w:r w:rsidR="00412D75">
        <w:rPr>
          <w:lang w:val="es-ES"/>
        </w:rPr>
      </w:r>
      <w:r w:rsidR="00412D75">
        <w:rPr>
          <w:lang w:val="es-ES"/>
        </w:rPr>
        <w:fldChar w:fldCharType="separate"/>
      </w:r>
      <w:r w:rsidR="00020F8B">
        <w:rPr>
          <w:lang w:val="es-ES"/>
        </w:rPr>
        <w:t>4</w:t>
      </w:r>
      <w:r w:rsidR="00412D75">
        <w:rPr>
          <w:lang w:val="es-ES"/>
        </w:rPr>
        <w:fldChar w:fldCharType="end"/>
      </w:r>
      <w:r w:rsidRPr="0033706D">
        <w:rPr>
          <w:lang w:val="es-ES"/>
        </w:rPr>
        <w:t xml:space="preserve">. </w:t>
      </w:r>
      <w:r w:rsidR="00352E24">
        <w:rPr>
          <w:lang w:val="es-ES"/>
        </w:rPr>
        <w:fldChar w:fldCharType="begin"/>
      </w:r>
      <w:r w:rsidR="00352E24">
        <w:rPr>
          <w:lang w:val="es-ES"/>
        </w:rPr>
        <w:instrText xml:space="preserve"> REF _Ref135837200 </w:instrText>
      </w:r>
      <w:r w:rsidR="00352E24">
        <w:rPr>
          <w:lang w:val="es-ES"/>
        </w:rPr>
        <w:fldChar w:fldCharType="separate"/>
      </w:r>
      <w:r w:rsidR="00020F8B">
        <w:rPr>
          <w:snapToGrid w:val="0"/>
          <w:lang w:val="es-ES_tradnl"/>
        </w:rPr>
        <w:t xml:space="preserve">Dimensionado </w:t>
      </w:r>
      <w:r w:rsidR="00352E24">
        <w:rPr>
          <w:lang w:val="es-ES"/>
        </w:rPr>
        <w:fldChar w:fldCharType="end"/>
      </w:r>
    </w:p>
    <w:p w14:paraId="04817C87" w14:textId="48EC57DC" w:rsidR="00BC60D6" w:rsidRPr="00856B0F" w:rsidRDefault="00BC60D6" w:rsidP="0000633C">
      <w:pPr>
        <w:pStyle w:val="ListBulletCompact"/>
        <w:rPr>
          <w:lang w:val="es-ES"/>
        </w:rPr>
      </w:pPr>
      <w:r w:rsidRPr="0033706D">
        <w:rPr>
          <w:lang w:val="es-ES"/>
        </w:rPr>
        <w:t>Sección</w:t>
      </w:r>
      <w:r w:rsidR="00412D75">
        <w:rPr>
          <w:lang w:val="es-ES"/>
        </w:rPr>
        <w:t xml:space="preserve"> </w:t>
      </w:r>
      <w:r w:rsidR="002A5E04">
        <w:rPr>
          <w:lang w:val="es-ES"/>
        </w:rPr>
        <w:fldChar w:fldCharType="begin"/>
      </w:r>
      <w:r w:rsidR="002A5E04">
        <w:rPr>
          <w:lang w:val="es-ES"/>
        </w:rPr>
        <w:instrText xml:space="preserve"> REF _Ref135837243 \n \h </w:instrText>
      </w:r>
      <w:r w:rsidR="002A5E04">
        <w:rPr>
          <w:lang w:val="es-ES"/>
        </w:rPr>
      </w:r>
      <w:r w:rsidR="002A5E04">
        <w:rPr>
          <w:lang w:val="es-ES"/>
        </w:rPr>
        <w:fldChar w:fldCharType="separate"/>
      </w:r>
      <w:r w:rsidR="00020F8B">
        <w:rPr>
          <w:lang w:val="es-ES"/>
        </w:rPr>
        <w:t>5</w:t>
      </w:r>
      <w:r w:rsidR="002A5E04">
        <w:rPr>
          <w:lang w:val="es-ES"/>
        </w:rPr>
        <w:fldChar w:fldCharType="end"/>
      </w:r>
      <w:r w:rsidRPr="0033706D">
        <w:rPr>
          <w:lang w:val="es-ES"/>
        </w:rPr>
        <w:t xml:space="preserve">. </w:t>
      </w:r>
      <w:r w:rsidR="00352E24">
        <w:rPr>
          <w:lang w:val="es-ES"/>
        </w:rPr>
        <w:fldChar w:fldCharType="begin"/>
      </w:r>
      <w:r w:rsidR="00352E24">
        <w:rPr>
          <w:lang w:val="es-ES"/>
        </w:rPr>
        <w:instrText xml:space="preserve"> REF _Ref135837243 </w:instrText>
      </w:r>
      <w:r w:rsidR="00352E24">
        <w:rPr>
          <w:lang w:val="es-ES"/>
        </w:rPr>
        <w:fldChar w:fldCharType="separate"/>
      </w:r>
      <w:r w:rsidR="00020F8B" w:rsidRPr="0033706D">
        <w:rPr>
          <w:snapToGrid w:val="0"/>
          <w:lang w:val="es-ES"/>
        </w:rPr>
        <w:t>Cálculos de los costos de red</w:t>
      </w:r>
      <w:r w:rsidR="00352E24">
        <w:rPr>
          <w:lang w:val="es-ES"/>
        </w:rPr>
        <w:fldChar w:fldCharType="end"/>
      </w:r>
    </w:p>
    <w:p w14:paraId="416AD2B7" w14:textId="30034CFE" w:rsidR="00BC60D6" w:rsidRDefault="00BC60D6" w:rsidP="0000633C">
      <w:pPr>
        <w:pStyle w:val="ListBulletCompact"/>
        <w:rPr>
          <w:lang w:val="es-ES"/>
        </w:rPr>
      </w:pPr>
      <w:r w:rsidRPr="0033706D">
        <w:rPr>
          <w:lang w:val="es-ES"/>
        </w:rPr>
        <w:t>Sección</w:t>
      </w:r>
      <w:r w:rsidR="002A5E04">
        <w:rPr>
          <w:lang w:val="es-ES"/>
        </w:rPr>
        <w:t xml:space="preserve"> </w:t>
      </w:r>
      <w:r w:rsidR="00BA3577">
        <w:rPr>
          <w:lang w:val="es-ES"/>
        </w:rPr>
        <w:fldChar w:fldCharType="begin"/>
      </w:r>
      <w:r w:rsidR="00BA3577">
        <w:rPr>
          <w:lang w:val="es-ES"/>
        </w:rPr>
        <w:instrText xml:space="preserve"> REF _Ref135837314 \n \h </w:instrText>
      </w:r>
      <w:r w:rsidR="00BA3577">
        <w:rPr>
          <w:lang w:val="es-ES"/>
        </w:rPr>
      </w:r>
      <w:r w:rsidR="00BA3577">
        <w:rPr>
          <w:lang w:val="es-ES"/>
        </w:rPr>
        <w:fldChar w:fldCharType="separate"/>
      </w:r>
      <w:r w:rsidR="00020F8B">
        <w:rPr>
          <w:lang w:val="es-ES"/>
        </w:rPr>
        <w:t>6</w:t>
      </w:r>
      <w:r w:rsidR="00BA3577">
        <w:rPr>
          <w:lang w:val="es-ES"/>
        </w:rPr>
        <w:fldChar w:fldCharType="end"/>
      </w:r>
      <w:r w:rsidRPr="0033706D">
        <w:rPr>
          <w:lang w:val="es-ES"/>
        </w:rPr>
        <w:t xml:space="preserve">. </w:t>
      </w:r>
      <w:r w:rsidR="00352E24">
        <w:rPr>
          <w:lang w:val="es-ES"/>
        </w:rPr>
        <w:fldChar w:fldCharType="begin"/>
      </w:r>
      <w:r w:rsidR="00352E24">
        <w:rPr>
          <w:lang w:val="es-ES"/>
        </w:rPr>
        <w:instrText xml:space="preserve"> REF _Ref135837510 </w:instrText>
      </w:r>
      <w:r w:rsidR="00352E24">
        <w:rPr>
          <w:lang w:val="es-ES"/>
        </w:rPr>
        <w:fldChar w:fldCharType="separate"/>
      </w:r>
      <w:r w:rsidR="00020F8B">
        <w:rPr>
          <w:snapToGrid w:val="0"/>
          <w:lang w:val="es-ES_tradnl"/>
        </w:rPr>
        <w:t>Costos de los servicios</w:t>
      </w:r>
      <w:r w:rsidR="00352E24">
        <w:rPr>
          <w:lang w:val="es-ES"/>
        </w:rPr>
        <w:fldChar w:fldCharType="end"/>
      </w:r>
    </w:p>
    <w:p w14:paraId="07699A07" w14:textId="62B214FB" w:rsidR="0033706D" w:rsidRDefault="0033706D" w:rsidP="0033706D">
      <w:pPr>
        <w:pStyle w:val="Ttulo1"/>
        <w:rPr>
          <w:snapToGrid w:val="0"/>
          <w:lang w:val="es-ES_tradnl"/>
        </w:rPr>
      </w:pPr>
      <w:bookmarkStart w:id="10" w:name="_Ref135391060"/>
      <w:bookmarkStart w:id="11" w:name="_Ref135836821"/>
      <w:bookmarkStart w:id="12" w:name="_Ref135836825"/>
      <w:bookmarkStart w:id="13" w:name="_Ref135836829"/>
      <w:bookmarkStart w:id="14" w:name="_Ref135836832"/>
      <w:bookmarkStart w:id="15" w:name="_Ref135836834"/>
      <w:bookmarkStart w:id="16" w:name="_Ref135836836"/>
      <w:bookmarkStart w:id="17" w:name="_Ref135837140"/>
      <w:bookmarkStart w:id="18" w:name="_Ref135837469"/>
      <w:bookmarkStart w:id="19" w:name="_Toc136032673"/>
      <w:r>
        <w:rPr>
          <w:snapToGrid w:val="0"/>
          <w:lang w:val="es-ES_tradnl"/>
        </w:rPr>
        <w:lastRenderedPageBreak/>
        <w:t>Arquitectura general del modelo</w:t>
      </w:r>
      <w:bookmarkEnd w:id="10"/>
      <w:bookmarkEnd w:id="11"/>
      <w:bookmarkEnd w:id="12"/>
      <w:bookmarkEnd w:id="13"/>
      <w:bookmarkEnd w:id="14"/>
      <w:bookmarkEnd w:id="15"/>
      <w:bookmarkEnd w:id="16"/>
      <w:bookmarkEnd w:id="17"/>
      <w:bookmarkEnd w:id="18"/>
      <w:bookmarkEnd w:id="19"/>
    </w:p>
    <w:p w14:paraId="46C33E63" w14:textId="3F96F96B" w:rsidR="00CB34A5" w:rsidRDefault="00CB34A5" w:rsidP="0033706D">
      <w:pPr>
        <w:rPr>
          <w:lang w:val="es-ES_tradnl"/>
        </w:rPr>
      </w:pPr>
      <w:r>
        <w:rPr>
          <w:lang w:val="es-ES_tradnl"/>
        </w:rPr>
        <w:t>El objetivo del modelo de costos es el de estimar los costos asociados a la provisión de diversos servicios mayoristas regulados, a saber:</w:t>
      </w:r>
    </w:p>
    <w:p w14:paraId="07B849C7" w14:textId="146A6555" w:rsidR="00CB34A5" w:rsidRDefault="00CB34A5" w:rsidP="00CB34A5">
      <w:pPr>
        <w:pStyle w:val="ListBulletCompact"/>
        <w:rPr>
          <w:lang w:val="es-ES_tradnl"/>
        </w:rPr>
      </w:pPr>
      <w:r>
        <w:rPr>
          <w:lang w:val="es-ES_tradnl"/>
        </w:rPr>
        <w:t>Servicios de interconexión</w:t>
      </w:r>
      <w:r w:rsidR="00903887">
        <w:rPr>
          <w:lang w:val="es-ES_tradnl"/>
        </w:rPr>
        <w:t xml:space="preserve"> móvil</w:t>
      </w:r>
    </w:p>
    <w:p w14:paraId="30DB5B27" w14:textId="43B71DCD" w:rsidR="00CB34A5" w:rsidRDefault="00CB34A5" w:rsidP="00CB34A5">
      <w:pPr>
        <w:pStyle w:val="ListBulletCompact"/>
        <w:rPr>
          <w:lang w:val="es-ES_tradnl"/>
        </w:rPr>
      </w:pPr>
      <w:r>
        <w:rPr>
          <w:lang w:val="es-ES_tradnl"/>
        </w:rPr>
        <w:t>Servicios de usuario visitante</w:t>
      </w:r>
    </w:p>
    <w:p w14:paraId="37542D26" w14:textId="623FD783" w:rsidR="00903887" w:rsidRDefault="00903887" w:rsidP="00903887">
      <w:pPr>
        <w:pStyle w:val="ListBulletCompact"/>
        <w:rPr>
          <w:lang w:val="es-ES_tradnl"/>
        </w:rPr>
      </w:pPr>
      <w:r>
        <w:rPr>
          <w:lang w:val="es-ES_tradnl"/>
        </w:rPr>
        <w:t>Servicios de interconexión fija</w:t>
      </w:r>
    </w:p>
    <w:p w14:paraId="174AF13D" w14:textId="1C6E2F7E" w:rsidR="00CB34A5" w:rsidRDefault="00CB34A5" w:rsidP="00CB34A5">
      <w:pPr>
        <w:pStyle w:val="ListBulletCompact"/>
        <w:rPr>
          <w:lang w:val="es-ES_tradnl"/>
        </w:rPr>
      </w:pPr>
      <w:r>
        <w:rPr>
          <w:lang w:val="es-ES_tradnl"/>
        </w:rPr>
        <w:t xml:space="preserve">Servicio de </w:t>
      </w:r>
      <w:r w:rsidR="00175588">
        <w:rPr>
          <w:lang w:val="es-ES_tradnl"/>
        </w:rPr>
        <w:t>concentración y distribución asociado al SAIB</w:t>
      </w:r>
    </w:p>
    <w:p w14:paraId="0557F273" w14:textId="2A8B020B" w:rsidR="00CB34A5" w:rsidRDefault="00CB34A5" w:rsidP="00CB34A5">
      <w:pPr>
        <w:pStyle w:val="ListBulletCompact"/>
        <w:rPr>
          <w:lang w:val="es-ES_tradnl"/>
        </w:rPr>
      </w:pPr>
      <w:r>
        <w:rPr>
          <w:lang w:val="es-ES_tradnl"/>
        </w:rPr>
        <w:t>Servicios de enlaces dedicados</w:t>
      </w:r>
    </w:p>
    <w:p w14:paraId="0589945A" w14:textId="32ED1A24" w:rsidR="00CB34A5" w:rsidRDefault="00CB34A5" w:rsidP="00CB34A5">
      <w:pPr>
        <w:rPr>
          <w:lang w:val="es-ES_tradnl"/>
        </w:rPr>
      </w:pPr>
      <w:r>
        <w:rPr>
          <w:lang w:val="es-ES_tradnl"/>
        </w:rPr>
        <w:t xml:space="preserve">Cada uno de esos servicios, </w:t>
      </w:r>
      <w:r w:rsidR="0079277F">
        <w:rPr>
          <w:lang w:val="es-ES_tradnl"/>
        </w:rPr>
        <w:t xml:space="preserve">tiene una serie de consideraciones y particularidades que </w:t>
      </w:r>
      <w:r w:rsidR="00760C24">
        <w:rPr>
          <w:lang w:val="es-ES_tradnl"/>
        </w:rPr>
        <w:t>dificulta</w:t>
      </w:r>
      <w:r w:rsidR="0079277F">
        <w:rPr>
          <w:lang w:val="es-ES_tradnl"/>
        </w:rPr>
        <w:t xml:space="preserve"> </w:t>
      </w:r>
      <w:r w:rsidR="00381E7C">
        <w:rPr>
          <w:lang w:val="es-ES_tradnl"/>
        </w:rPr>
        <w:t>la estimación de los costos mediante un único</w:t>
      </w:r>
      <w:r w:rsidR="00A574BA">
        <w:rPr>
          <w:lang w:val="es-ES_tradnl"/>
        </w:rPr>
        <w:t xml:space="preserve"> módulo de cálculo. Por ejemplo, los servicios de </w:t>
      </w:r>
      <w:r w:rsidR="007E2E1D">
        <w:rPr>
          <w:lang w:val="es-ES_tradnl"/>
        </w:rPr>
        <w:t>usuario</w:t>
      </w:r>
      <w:r w:rsidR="00A574BA">
        <w:rPr>
          <w:lang w:val="es-ES_tradnl"/>
        </w:rPr>
        <w:t xml:space="preserve"> visitante hacen</w:t>
      </w:r>
      <w:r w:rsidR="00FB20D6">
        <w:rPr>
          <w:lang w:val="es-ES_tradnl"/>
        </w:rPr>
        <w:t xml:space="preserve"> uso de una red móvil, con las </w:t>
      </w:r>
      <w:r w:rsidR="007E2E1D">
        <w:rPr>
          <w:lang w:val="es-ES_tradnl"/>
        </w:rPr>
        <w:t>particularidades</w:t>
      </w:r>
      <w:r w:rsidR="00FB20D6">
        <w:rPr>
          <w:lang w:val="es-ES_tradnl"/>
        </w:rPr>
        <w:t xml:space="preserve"> del operador modelado para redes </w:t>
      </w:r>
      <w:r w:rsidR="00BA0C4D">
        <w:rPr>
          <w:lang w:val="es-ES_tradnl"/>
        </w:rPr>
        <w:t>móviles</w:t>
      </w:r>
      <w:r w:rsidR="00FB20D6">
        <w:rPr>
          <w:lang w:val="es-ES_tradnl"/>
        </w:rPr>
        <w:t xml:space="preserve"> expuestas en el documento de</w:t>
      </w:r>
      <w:r w:rsidR="00130FA4">
        <w:rPr>
          <w:lang w:val="es-ES_tradnl"/>
        </w:rPr>
        <w:t xml:space="preserve"> </w:t>
      </w:r>
      <w:r w:rsidR="007E2E1D">
        <w:rPr>
          <w:lang w:val="es-ES_tradnl"/>
        </w:rPr>
        <w:t>metodología de costos</w:t>
      </w:r>
      <w:r w:rsidR="00FB20D6">
        <w:rPr>
          <w:lang w:val="es-ES_tradnl"/>
        </w:rPr>
        <w:t>, mientras que los servicios de enlaces dedicados hacen uso de una red fija</w:t>
      </w:r>
      <w:r w:rsidR="00471887">
        <w:rPr>
          <w:lang w:val="es-ES_tradnl"/>
        </w:rPr>
        <w:t xml:space="preserve">, modelados para un operador hipotético basado en el AEP de redes fijas. Por este motivo, se hace necesario un modelo </w:t>
      </w:r>
      <w:r w:rsidR="00DF6E90">
        <w:rPr>
          <w:lang w:val="es-ES_tradnl"/>
        </w:rPr>
        <w:t xml:space="preserve">integral </w:t>
      </w:r>
      <w:r w:rsidR="00471887">
        <w:rPr>
          <w:lang w:val="es-ES_tradnl"/>
        </w:rPr>
        <w:t>que sea capaz de</w:t>
      </w:r>
      <w:r w:rsidR="00A855BF">
        <w:rPr>
          <w:lang w:val="es-ES_tradnl"/>
        </w:rPr>
        <w:t xml:space="preserve"> desagregar cada uno de los cálculos</w:t>
      </w:r>
      <w:r w:rsidR="00B33327">
        <w:rPr>
          <w:lang w:val="es-ES_tradnl"/>
        </w:rPr>
        <w:t xml:space="preserve"> relevantes para asegurar su precisión y consistencia metodológica. Con este fin, se ha desarrollado un modelo que incorpora diferentes módulos diferenciados:</w:t>
      </w:r>
    </w:p>
    <w:p w14:paraId="178B48FC" w14:textId="2D5F926D" w:rsidR="00DB3479" w:rsidRPr="004E1A8D" w:rsidRDefault="00DB3479" w:rsidP="00A95662">
      <w:pPr>
        <w:pStyle w:val="Descripcin"/>
        <w:rPr>
          <w:lang w:val="es-ES"/>
        </w:rPr>
      </w:pPr>
      <w:r w:rsidRPr="004E1A8D">
        <w:rPr>
          <w:lang w:val="es-ES"/>
        </w:rPr>
        <w:t>Figur</w:t>
      </w:r>
      <w:r w:rsidR="004A45FA" w:rsidRPr="004E1A8D">
        <w:rPr>
          <w:lang w:val="es-ES"/>
        </w:rPr>
        <w:t>a</w:t>
      </w:r>
      <w:r w:rsidRPr="004E1A8D">
        <w:rPr>
          <w:lang w:val="es-ES"/>
        </w:rPr>
        <w:t xml:space="preserve"> </w:t>
      </w:r>
      <w:r>
        <w:rPr>
          <w:lang w:val="es-ES_tradnl"/>
        </w:rPr>
        <w:fldChar w:fldCharType="begin"/>
      </w:r>
      <w:r w:rsidRPr="004E1A8D">
        <w:rPr>
          <w:lang w:val="es-ES"/>
        </w:rPr>
        <w:instrText xml:space="preserve"> STYLEREF 1 \s \* MERGEFORMAT </w:instrText>
      </w:r>
      <w:r>
        <w:rPr>
          <w:lang w:val="es-ES_tradnl"/>
        </w:rPr>
        <w:fldChar w:fldCharType="separate"/>
      </w:r>
      <w:r w:rsidR="00020F8B">
        <w:rPr>
          <w:noProof/>
          <w:lang w:val="es-ES"/>
        </w:rPr>
        <w:t>2</w:t>
      </w:r>
      <w:r>
        <w:rPr>
          <w:lang w:val="es-ES_tradnl"/>
        </w:rPr>
        <w:fldChar w:fldCharType="end"/>
      </w:r>
      <w:r w:rsidRPr="004E1A8D">
        <w:rPr>
          <w:lang w:val="es-ES"/>
        </w:rPr>
        <w:t>.</w:t>
      </w:r>
      <w:r>
        <w:rPr>
          <w:lang w:val="es-ES_tradnl"/>
        </w:rPr>
        <w:fldChar w:fldCharType="begin"/>
      </w:r>
      <w:r w:rsidRPr="004E1A8D">
        <w:rPr>
          <w:lang w:val="es-ES"/>
        </w:rPr>
        <w:instrText xml:space="preserve"> </w:instrText>
      </w:r>
      <w:r w:rsidR="00A95662" w:rsidRPr="004E1A8D">
        <w:rPr>
          <w:lang w:val="es-ES"/>
        </w:rPr>
        <w:instrText>SEQ Ilustración</w:instrText>
      </w:r>
      <w:r w:rsidRPr="004E1A8D">
        <w:rPr>
          <w:lang w:val="es-ES"/>
        </w:rPr>
        <w:instrText xml:space="preserve"> \* ARABIC \s 1 \* MERGEFORMAT </w:instrText>
      </w:r>
      <w:r>
        <w:rPr>
          <w:lang w:val="es-ES_tradnl"/>
        </w:rPr>
        <w:fldChar w:fldCharType="separate"/>
      </w:r>
      <w:r w:rsidR="00020F8B">
        <w:rPr>
          <w:noProof/>
          <w:lang w:val="es-ES"/>
        </w:rPr>
        <w:t>1</w:t>
      </w:r>
      <w:r>
        <w:rPr>
          <w:lang w:val="es-ES_tradnl"/>
        </w:rPr>
        <w:fldChar w:fldCharType="end"/>
      </w:r>
      <w:r w:rsidRPr="004E1A8D">
        <w:rPr>
          <w:lang w:val="es-ES"/>
        </w:rPr>
        <w:t xml:space="preserve">: </w:t>
      </w:r>
      <w:r w:rsidR="004E1A8D" w:rsidRPr="004E1A8D">
        <w:rPr>
          <w:lang w:val="es-ES"/>
        </w:rPr>
        <w:t>Esquema conceptual de los modelos y módulos regulatorios [Fuente: Analysys Mason, 2023]</w:t>
      </w:r>
    </w:p>
    <w:p w14:paraId="362D3FB3" w14:textId="3192B884" w:rsidR="00B33327" w:rsidRPr="00112818" w:rsidRDefault="00B557ED" w:rsidP="00B557ED">
      <w:pPr>
        <w:rPr>
          <w:lang w:val="es-ES"/>
        </w:rPr>
      </w:pPr>
      <w:r w:rsidRPr="00B557ED">
        <w:rPr>
          <w:noProof/>
        </w:rPr>
        <w:drawing>
          <wp:inline distT="0" distB="0" distL="0" distR="0" wp14:anchorId="30583A2D" wp14:editId="437318FF">
            <wp:extent cx="5114290" cy="3551555"/>
            <wp:effectExtent l="0" t="0" r="0" b="0"/>
            <wp:docPr id="1981938466" name="Picture 19819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4290" cy="3551555"/>
                    </a:xfrm>
                    <a:prstGeom prst="rect">
                      <a:avLst/>
                    </a:prstGeom>
                    <a:noFill/>
                    <a:ln>
                      <a:noFill/>
                    </a:ln>
                  </pic:spPr>
                </pic:pic>
              </a:graphicData>
            </a:graphic>
          </wp:inline>
        </w:drawing>
      </w:r>
    </w:p>
    <w:p w14:paraId="1E2621A7" w14:textId="344BBD77" w:rsidR="00CE1386" w:rsidRDefault="00CE1386" w:rsidP="00903887">
      <w:pPr>
        <w:rPr>
          <w:lang w:val="es-ES_tradnl"/>
        </w:rPr>
      </w:pPr>
      <w:r>
        <w:rPr>
          <w:lang w:val="es-ES_tradnl"/>
        </w:rPr>
        <w:t>A continuación, se describe la arquitectura seguida para la construcción de cada uno de los módulos de cálculo que componen el modelo.</w:t>
      </w:r>
    </w:p>
    <w:p w14:paraId="37F3BB2B" w14:textId="0E98CB96" w:rsidR="00CE1386" w:rsidRDefault="00CE1386" w:rsidP="00CE1386">
      <w:pPr>
        <w:pStyle w:val="Ttulo3"/>
        <w:rPr>
          <w:lang w:val="es-ES_tradnl"/>
        </w:rPr>
      </w:pPr>
      <w:r>
        <w:rPr>
          <w:lang w:val="es-ES_tradnl"/>
        </w:rPr>
        <w:lastRenderedPageBreak/>
        <w:t>Módulo de mercado</w:t>
      </w:r>
    </w:p>
    <w:p w14:paraId="2FB11AE6" w14:textId="64FC59E5" w:rsidR="005A6A21" w:rsidRDefault="005A6A21" w:rsidP="005A6A21">
      <w:pPr>
        <w:rPr>
          <w:lang w:val="es-ES"/>
        </w:rPr>
      </w:pPr>
      <w:r w:rsidRPr="00E321C5">
        <w:rPr>
          <w:lang w:val="es-ES"/>
        </w:rPr>
        <w:t xml:space="preserve">El </w:t>
      </w:r>
      <w:r>
        <w:rPr>
          <w:lang w:val="es-ES"/>
        </w:rPr>
        <w:t>módulo</w:t>
      </w:r>
      <w:r w:rsidRPr="00E321C5">
        <w:rPr>
          <w:lang w:val="es-ES"/>
        </w:rPr>
        <w:t xml:space="preserve"> de mercado tiene la función de arrojar proyecciones sobre la evolución del tráfico de los diferentes servicios ofrecidos por los operadores fijo</w:t>
      </w:r>
      <w:r>
        <w:rPr>
          <w:lang w:val="es-ES"/>
        </w:rPr>
        <w:t>s</w:t>
      </w:r>
      <w:r w:rsidRPr="00E321C5">
        <w:rPr>
          <w:lang w:val="es-ES"/>
        </w:rPr>
        <w:t xml:space="preserve"> y móvil</w:t>
      </w:r>
      <w:r>
        <w:rPr>
          <w:lang w:val="es-ES"/>
        </w:rPr>
        <w:t xml:space="preserve">es. </w:t>
      </w:r>
      <w:r w:rsidRPr="002B09EB">
        <w:rPr>
          <w:lang w:val="es-ES"/>
        </w:rPr>
        <w:t>Estas proyecciones son utilizadas para alimentar los</w:t>
      </w:r>
      <w:r>
        <w:rPr>
          <w:lang w:val="es-ES"/>
        </w:rPr>
        <w:t xml:space="preserve"> distintos</w:t>
      </w:r>
      <w:r w:rsidRPr="002B09EB">
        <w:rPr>
          <w:lang w:val="es-ES"/>
        </w:rPr>
        <w:t xml:space="preserve"> </w:t>
      </w:r>
      <w:r>
        <w:rPr>
          <w:lang w:val="es-ES"/>
        </w:rPr>
        <w:t>módulos de cálculo</w:t>
      </w:r>
      <w:r w:rsidRPr="002B09EB">
        <w:rPr>
          <w:lang w:val="es-ES"/>
        </w:rPr>
        <w:t>,</w:t>
      </w:r>
      <w:r>
        <w:rPr>
          <w:lang w:val="es-ES"/>
        </w:rPr>
        <w:t xml:space="preserve"> con el fin de poder estimar el despliegue de red necesario</w:t>
      </w:r>
      <w:r w:rsidRPr="002B09EB">
        <w:rPr>
          <w:lang w:val="es-ES"/>
        </w:rPr>
        <w:t xml:space="preserve"> </w:t>
      </w:r>
      <w:r>
        <w:rPr>
          <w:lang w:val="es-ES"/>
        </w:rPr>
        <w:t>por parte de los operadores</w:t>
      </w:r>
      <w:r w:rsidRPr="002B09EB">
        <w:rPr>
          <w:lang w:val="es-ES"/>
        </w:rPr>
        <w:t xml:space="preserve"> </w:t>
      </w:r>
      <w:r>
        <w:rPr>
          <w:lang w:val="es-ES"/>
        </w:rPr>
        <w:t xml:space="preserve">modelados. La aproximación seguida en el modelo de mercado para la estimación de la demanda de los operadores modelados se presenta </w:t>
      </w:r>
      <w:r w:rsidR="0019403C">
        <w:rPr>
          <w:lang w:val="es-ES"/>
        </w:rPr>
        <w:t>a continuación:</w:t>
      </w:r>
    </w:p>
    <w:p w14:paraId="21C4D8D1" w14:textId="467E78F2" w:rsidR="00093688" w:rsidRPr="00C77CA6" w:rsidRDefault="00093688" w:rsidP="00BF02F9">
      <w:pPr>
        <w:pStyle w:val="Descripcin"/>
        <w:rPr>
          <w:lang w:val="es-MX"/>
        </w:rPr>
      </w:pPr>
      <w:bookmarkStart w:id="20" w:name="_Ref135837969"/>
      <w:r w:rsidRPr="00C77CA6">
        <w:rPr>
          <w:lang w:val="es-MX"/>
        </w:rPr>
        <w:t>Figur</w:t>
      </w:r>
      <w:r w:rsidR="00BF02F9" w:rsidRPr="00C77CA6">
        <w:rPr>
          <w:lang w:val="es-MX"/>
        </w:rPr>
        <w:t>a</w:t>
      </w:r>
      <w:r w:rsidRPr="00C77CA6">
        <w:rPr>
          <w:lang w:val="es-MX"/>
        </w:rPr>
        <w:t xml:space="preserve"> </w:t>
      </w:r>
      <w:r>
        <w:rPr>
          <w:lang w:val="es-ES"/>
        </w:rPr>
        <w:fldChar w:fldCharType="begin"/>
      </w:r>
      <w:r w:rsidRPr="00C77CA6">
        <w:rPr>
          <w:lang w:val="es-MX"/>
        </w:rPr>
        <w:instrText xml:space="preserve"> STYLEREF 1 \s \* MERGEFORMAT </w:instrText>
      </w:r>
      <w:r>
        <w:rPr>
          <w:lang w:val="es-ES"/>
        </w:rPr>
        <w:fldChar w:fldCharType="separate"/>
      </w:r>
      <w:r w:rsidR="00020F8B">
        <w:rPr>
          <w:noProof/>
          <w:lang w:val="es-MX"/>
        </w:rPr>
        <w:t>2</w:t>
      </w:r>
      <w:r>
        <w:rPr>
          <w:lang w:val="es-ES"/>
        </w:rPr>
        <w:fldChar w:fldCharType="end"/>
      </w:r>
      <w:r w:rsidRPr="00C77CA6">
        <w:rPr>
          <w:lang w:val="es-MX"/>
        </w:rPr>
        <w:t>.</w:t>
      </w:r>
      <w:r>
        <w:rPr>
          <w:lang w:val="es-ES"/>
        </w:rPr>
        <w:fldChar w:fldCharType="begin"/>
      </w:r>
      <w:r w:rsidRPr="00C77CA6">
        <w:rPr>
          <w:lang w:val="es-MX"/>
        </w:rPr>
        <w:instrText xml:space="preserve"> SEQ </w:instrText>
      </w:r>
      <w:r w:rsidR="00D63C23" w:rsidRPr="00C77CA6">
        <w:rPr>
          <w:lang w:val="es-MX"/>
        </w:rPr>
        <w:instrText>Ilustración</w:instrText>
      </w:r>
      <w:r w:rsidRPr="00C77CA6">
        <w:rPr>
          <w:lang w:val="es-MX"/>
        </w:rPr>
        <w:instrText xml:space="preserve"> \* ARABIC \s 1 \* MERGEFORMAT </w:instrText>
      </w:r>
      <w:r>
        <w:rPr>
          <w:lang w:val="es-ES"/>
        </w:rPr>
        <w:fldChar w:fldCharType="separate"/>
      </w:r>
      <w:r w:rsidR="00020F8B">
        <w:rPr>
          <w:noProof/>
          <w:lang w:val="es-MX"/>
        </w:rPr>
        <w:t>2</w:t>
      </w:r>
      <w:r>
        <w:rPr>
          <w:lang w:val="es-ES"/>
        </w:rPr>
        <w:fldChar w:fldCharType="end"/>
      </w:r>
      <w:bookmarkEnd w:id="20"/>
      <w:r w:rsidRPr="00C77CA6">
        <w:rPr>
          <w:lang w:val="es-MX"/>
        </w:rPr>
        <w:t xml:space="preserve">: </w:t>
      </w:r>
      <w:r w:rsidR="00BF02F9" w:rsidRPr="00C77CA6">
        <w:rPr>
          <w:lang w:val="es-MX"/>
        </w:rPr>
        <w:t>Estructura de módulo de mercado [Fuente: Analysys Mason, 2023]</w:t>
      </w:r>
    </w:p>
    <w:p w14:paraId="19584DF4" w14:textId="7BFF7592" w:rsidR="005A6A21" w:rsidRPr="00B9622F" w:rsidRDefault="001E2735" w:rsidP="001E2735">
      <w:pPr>
        <w:pStyle w:val="Border"/>
        <w:rPr>
          <w:lang w:val="es-ES"/>
        </w:rPr>
      </w:pPr>
      <w:r w:rsidRPr="001E2735">
        <w:rPr>
          <w:noProof/>
        </w:rPr>
        <w:drawing>
          <wp:inline distT="0" distB="0" distL="0" distR="0" wp14:anchorId="5952D452" wp14:editId="5AD15259">
            <wp:extent cx="5544185" cy="3597910"/>
            <wp:effectExtent l="0" t="0" r="0" b="2540"/>
            <wp:docPr id="1196208700" name="Picture 119620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4185" cy="3597910"/>
                    </a:xfrm>
                    <a:prstGeom prst="rect">
                      <a:avLst/>
                    </a:prstGeom>
                    <a:noFill/>
                    <a:ln>
                      <a:noFill/>
                    </a:ln>
                  </pic:spPr>
                </pic:pic>
              </a:graphicData>
            </a:graphic>
          </wp:inline>
        </w:drawing>
      </w:r>
    </w:p>
    <w:p w14:paraId="64DF2939" w14:textId="2EBCBF95" w:rsidR="00CE1386" w:rsidRPr="00230973" w:rsidRDefault="00F237F1" w:rsidP="00CE1386">
      <w:pPr>
        <w:pStyle w:val="Ttulo3"/>
        <w:rPr>
          <w:lang w:val="es-ES_tradnl"/>
        </w:rPr>
      </w:pPr>
      <w:r>
        <w:rPr>
          <w:lang w:val="es-ES_tradnl"/>
        </w:rPr>
        <w:t>Mó</w:t>
      </w:r>
      <w:r w:rsidR="00CE1386">
        <w:rPr>
          <w:lang w:val="es-ES_tradnl"/>
        </w:rPr>
        <w:t>d</w:t>
      </w:r>
      <w:r>
        <w:rPr>
          <w:lang w:val="es-ES_tradnl"/>
        </w:rPr>
        <w:t>u</w:t>
      </w:r>
      <w:r w:rsidR="00CE1386">
        <w:rPr>
          <w:lang w:val="es-ES_tradnl"/>
        </w:rPr>
        <w:t>lo de red móvil</w:t>
      </w:r>
    </w:p>
    <w:p w14:paraId="603D4D4A" w14:textId="5B831E06" w:rsidR="00CE1386" w:rsidRDefault="003A41DB" w:rsidP="00CE1386">
      <w:pPr>
        <w:rPr>
          <w:lang w:val="es-ES_tradnl"/>
        </w:rPr>
      </w:pPr>
      <w:r>
        <w:rPr>
          <w:lang w:val="es-ES_tradnl"/>
        </w:rPr>
        <w:t>E</w:t>
      </w:r>
      <w:r w:rsidR="00CE1386">
        <w:rPr>
          <w:lang w:val="es-ES_tradnl"/>
        </w:rPr>
        <w:t>l m</w:t>
      </w:r>
      <w:r w:rsidR="007604A5">
        <w:rPr>
          <w:lang w:val="es-ES_tradnl"/>
        </w:rPr>
        <w:t>ó</w:t>
      </w:r>
      <w:r w:rsidR="00CE1386">
        <w:rPr>
          <w:lang w:val="es-ES_tradnl"/>
        </w:rPr>
        <w:t>d</w:t>
      </w:r>
      <w:r w:rsidR="007604A5">
        <w:rPr>
          <w:lang w:val="es-ES_tradnl"/>
        </w:rPr>
        <w:t>u</w:t>
      </w:r>
      <w:r w:rsidR="00CE1386">
        <w:rPr>
          <w:lang w:val="es-ES_tradnl"/>
        </w:rPr>
        <w:t xml:space="preserve">lo </w:t>
      </w:r>
      <w:r w:rsidR="007604A5">
        <w:rPr>
          <w:lang w:val="es-ES_tradnl"/>
        </w:rPr>
        <w:t>de red</w:t>
      </w:r>
      <w:r w:rsidR="00CE1386">
        <w:rPr>
          <w:lang w:val="es-ES_tradnl"/>
        </w:rPr>
        <w:t xml:space="preserve"> móvil se estructura en distintos bloques (en este caso, 12 bloques), implementados en hojas de cálculo separadas. </w:t>
      </w:r>
      <w:r w:rsidR="002F27A2">
        <w:rPr>
          <w:lang w:val="es-ES_tradnl"/>
        </w:rPr>
        <w:t>Los distintos módulos cubren</w:t>
      </w:r>
      <w:r w:rsidR="00CE1386">
        <w:rPr>
          <w:lang w:val="es-ES_tradnl"/>
        </w:rPr>
        <w:t xml:space="preserve">, principalmente, </w:t>
      </w:r>
      <w:r w:rsidR="002F27A2">
        <w:rPr>
          <w:lang w:val="es-ES_tradnl"/>
        </w:rPr>
        <w:t xml:space="preserve">el dimensionado de </w:t>
      </w:r>
      <w:r w:rsidR="00CE1386">
        <w:rPr>
          <w:lang w:val="es-ES_tradnl"/>
        </w:rPr>
        <w:t xml:space="preserve">la red del operador </w:t>
      </w:r>
      <w:r w:rsidR="002F27A2">
        <w:rPr>
          <w:lang w:val="es-ES_tradnl"/>
        </w:rPr>
        <w:t xml:space="preserve">modelado </w:t>
      </w:r>
      <w:r w:rsidR="00CE1386">
        <w:rPr>
          <w:lang w:val="es-ES_tradnl"/>
        </w:rPr>
        <w:t>y el costeo de dicha red.</w:t>
      </w:r>
    </w:p>
    <w:p w14:paraId="62F74C49" w14:textId="21FD4C3E" w:rsidR="000A16F7" w:rsidRPr="00175588" w:rsidRDefault="00614443" w:rsidP="00175588">
      <w:pPr>
        <w:rPr>
          <w:lang w:val="es-ES"/>
        </w:rPr>
      </w:pPr>
      <w:r>
        <w:rPr>
          <w:lang w:val="es-ES"/>
        </w:rPr>
        <w:t>Si bien, algunos insumos provienen de otros módulos (el módulo de mercado proporciona los volúmenes de tráfico)</w:t>
      </w:r>
      <w:r w:rsidR="00187B72">
        <w:rPr>
          <w:lang w:val="es-ES"/>
        </w:rPr>
        <w:t xml:space="preserve">, el resto de insumos </w:t>
      </w:r>
      <w:r w:rsidR="003A41DB">
        <w:rPr>
          <w:lang w:val="es-ES"/>
        </w:rPr>
        <w:t xml:space="preserve">son </w:t>
      </w:r>
      <w:r w:rsidR="000A16F7">
        <w:rPr>
          <w:lang w:val="es-ES"/>
        </w:rPr>
        <w:t xml:space="preserve">estimaciones basadas en </w:t>
      </w:r>
      <w:r w:rsidR="003A41DB">
        <w:rPr>
          <w:lang w:val="es-ES"/>
        </w:rPr>
        <w:t xml:space="preserve">información recibida de los operadores u </w:t>
      </w:r>
      <w:r w:rsidR="000A16F7">
        <w:rPr>
          <w:lang w:val="es-ES"/>
        </w:rPr>
        <w:t>otros modelos de interconexión.</w:t>
      </w:r>
    </w:p>
    <w:p w14:paraId="2AFAEF97" w14:textId="307B614F" w:rsidR="00112456" w:rsidRPr="00175588" w:rsidRDefault="00FC4CAA" w:rsidP="00175588">
      <w:pPr>
        <w:rPr>
          <w:lang w:val="es-ES_tradnl"/>
        </w:rPr>
      </w:pPr>
      <w:r>
        <w:rPr>
          <w:lang w:val="es-ES_tradnl"/>
        </w:rPr>
        <w:t xml:space="preserve">El resultado final del módulo son los costos unitarios de los distintos servicios </w:t>
      </w:r>
      <w:r w:rsidR="000A16F7">
        <w:rPr>
          <w:lang w:val="es-ES_tradnl"/>
        </w:rPr>
        <w:t>móviles</w:t>
      </w:r>
      <w:r>
        <w:rPr>
          <w:lang w:val="es-ES_tradnl"/>
        </w:rPr>
        <w:t xml:space="preserve"> (interconexión </w:t>
      </w:r>
      <w:r w:rsidR="000A16F7">
        <w:rPr>
          <w:lang w:val="es-ES_tradnl"/>
        </w:rPr>
        <w:t>móvil</w:t>
      </w:r>
      <w:r>
        <w:rPr>
          <w:lang w:val="es-ES_tradnl"/>
        </w:rPr>
        <w:t xml:space="preserve">, </w:t>
      </w:r>
      <w:r w:rsidR="008E6365">
        <w:rPr>
          <w:lang w:val="es-ES_tradnl"/>
        </w:rPr>
        <w:t>usuario visitante</w:t>
      </w:r>
      <w:r w:rsidR="00262B90">
        <w:rPr>
          <w:lang w:val="es-ES_tradnl"/>
        </w:rPr>
        <w:t xml:space="preserve"> móvil</w:t>
      </w:r>
      <w:r>
        <w:rPr>
          <w:lang w:val="es-ES_tradnl"/>
        </w:rPr>
        <w:t>).</w:t>
      </w:r>
    </w:p>
    <w:p w14:paraId="7483E1E1" w14:textId="2AA0FB27" w:rsidR="00E93D33" w:rsidRPr="004A140E" w:rsidRDefault="00E93D33" w:rsidP="004A140E">
      <w:pPr>
        <w:pStyle w:val="Descripcin"/>
        <w:rPr>
          <w:lang w:val="es-ES"/>
        </w:rPr>
      </w:pPr>
      <w:bookmarkStart w:id="21" w:name="_Ref135838306"/>
      <w:r w:rsidRPr="004A140E">
        <w:rPr>
          <w:lang w:val="es-ES"/>
        </w:rPr>
        <w:lastRenderedPageBreak/>
        <w:t>Figur</w:t>
      </w:r>
      <w:r w:rsidR="004A140E">
        <w:rPr>
          <w:lang w:val="es-ES"/>
        </w:rPr>
        <w:t>a</w:t>
      </w:r>
      <w:r w:rsidRPr="004A140E">
        <w:rPr>
          <w:lang w:val="es-ES"/>
        </w:rPr>
        <w:t xml:space="preserve"> </w:t>
      </w:r>
      <w:r>
        <w:fldChar w:fldCharType="begin"/>
      </w:r>
      <w:r w:rsidRPr="004A140E">
        <w:rPr>
          <w:lang w:val="es-ES"/>
        </w:rPr>
        <w:instrText xml:space="preserve"> STYLEREF 1 \s \* MERGEFORMAT </w:instrText>
      </w:r>
      <w:r>
        <w:fldChar w:fldCharType="separate"/>
      </w:r>
      <w:r w:rsidR="00020F8B">
        <w:rPr>
          <w:noProof/>
          <w:lang w:val="es-ES"/>
        </w:rPr>
        <w:t>2</w:t>
      </w:r>
      <w:r>
        <w:fldChar w:fldCharType="end"/>
      </w:r>
      <w:r w:rsidRPr="004A140E">
        <w:rPr>
          <w:lang w:val="es-ES"/>
        </w:rPr>
        <w:t>.</w:t>
      </w:r>
      <w:r>
        <w:fldChar w:fldCharType="begin"/>
      </w:r>
      <w:r w:rsidRPr="004A140E">
        <w:rPr>
          <w:lang w:val="es-ES"/>
        </w:rPr>
        <w:instrText xml:space="preserve"> SEQ Ilustración \* ARABIC \s 1 \* MERGEFORMAT </w:instrText>
      </w:r>
      <w:r>
        <w:fldChar w:fldCharType="separate"/>
      </w:r>
      <w:r w:rsidR="00020F8B">
        <w:rPr>
          <w:noProof/>
          <w:lang w:val="es-ES"/>
        </w:rPr>
        <w:t>3</w:t>
      </w:r>
      <w:r>
        <w:fldChar w:fldCharType="end"/>
      </w:r>
      <w:bookmarkEnd w:id="21"/>
      <w:r w:rsidRPr="004A140E">
        <w:rPr>
          <w:lang w:val="es-ES"/>
        </w:rPr>
        <w:t xml:space="preserve">: </w:t>
      </w:r>
      <w:r w:rsidR="004A140E" w:rsidRPr="004A140E">
        <w:rPr>
          <w:lang w:val="es-ES"/>
        </w:rPr>
        <w:t>Estructura del módulo de red móvil [Fuente: Analysys Mason, 2023]</w:t>
      </w:r>
    </w:p>
    <w:p w14:paraId="4A745654" w14:textId="0859039A" w:rsidR="00CE1386" w:rsidRDefault="00D4652B" w:rsidP="00D4652B">
      <w:pPr>
        <w:pStyle w:val="Border"/>
      </w:pPr>
      <w:r w:rsidRPr="00D4652B">
        <w:rPr>
          <w:noProof/>
        </w:rPr>
        <w:drawing>
          <wp:inline distT="0" distB="0" distL="0" distR="0" wp14:anchorId="4F210C46" wp14:editId="5F14B2AE">
            <wp:extent cx="5544185" cy="3408045"/>
            <wp:effectExtent l="0" t="0" r="0" b="0"/>
            <wp:docPr id="1095422532" name="Picture 10954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4185" cy="3408045"/>
                    </a:xfrm>
                    <a:prstGeom prst="rect">
                      <a:avLst/>
                    </a:prstGeom>
                    <a:noFill/>
                    <a:ln>
                      <a:noFill/>
                    </a:ln>
                  </pic:spPr>
                </pic:pic>
              </a:graphicData>
            </a:graphic>
          </wp:inline>
        </w:drawing>
      </w:r>
    </w:p>
    <w:p w14:paraId="18CA3030" w14:textId="4B91E887" w:rsidR="00230973" w:rsidRDefault="00CE1386" w:rsidP="00230973">
      <w:pPr>
        <w:pStyle w:val="Ttulo3"/>
        <w:rPr>
          <w:lang w:val="es-ES_tradnl"/>
        </w:rPr>
      </w:pPr>
      <w:r>
        <w:rPr>
          <w:lang w:val="es-ES_tradnl"/>
        </w:rPr>
        <w:t>Módulo</w:t>
      </w:r>
      <w:r w:rsidR="00230973">
        <w:rPr>
          <w:lang w:val="es-ES_tradnl"/>
        </w:rPr>
        <w:t xml:space="preserve"> de red fija</w:t>
      </w:r>
    </w:p>
    <w:p w14:paraId="41C404E6" w14:textId="2E58B536" w:rsidR="003A1F6A" w:rsidRDefault="00C24137" w:rsidP="00230973">
      <w:pPr>
        <w:rPr>
          <w:lang w:val="es-ES_tradnl"/>
        </w:rPr>
      </w:pPr>
      <w:r>
        <w:rPr>
          <w:lang w:val="es-ES_tradnl"/>
        </w:rPr>
        <w:t xml:space="preserve">El </w:t>
      </w:r>
      <w:r w:rsidR="00A73CEF">
        <w:rPr>
          <w:lang w:val="es-ES_tradnl"/>
        </w:rPr>
        <w:t>módulo de red</w:t>
      </w:r>
      <w:r>
        <w:rPr>
          <w:lang w:val="es-ES_tradnl"/>
        </w:rPr>
        <w:t xml:space="preserve"> fij</w:t>
      </w:r>
      <w:r w:rsidR="00A73CEF">
        <w:rPr>
          <w:lang w:val="es-ES_tradnl"/>
        </w:rPr>
        <w:t>a</w:t>
      </w:r>
      <w:r>
        <w:rPr>
          <w:lang w:val="es-ES_tradnl"/>
        </w:rPr>
        <w:t xml:space="preserve"> se estructura en distintos bloques, implementados en hojas de cálculo separadas que cubren </w:t>
      </w:r>
      <w:r w:rsidR="009B5BF0">
        <w:rPr>
          <w:lang w:val="es-ES_tradnl"/>
        </w:rPr>
        <w:t>tres</w:t>
      </w:r>
      <w:r>
        <w:rPr>
          <w:lang w:val="es-ES_tradnl"/>
        </w:rPr>
        <w:t xml:space="preserve"> aspectos principales: </w:t>
      </w:r>
    </w:p>
    <w:p w14:paraId="39D98520" w14:textId="77777777" w:rsidR="006376F9" w:rsidRDefault="00C24137">
      <w:pPr>
        <w:pStyle w:val="ListBulletCompact"/>
        <w:numPr>
          <w:ilvl w:val="0"/>
          <w:numId w:val="38"/>
        </w:numPr>
        <w:rPr>
          <w:lang w:val="es-ES_tradnl"/>
        </w:rPr>
      </w:pPr>
      <w:r w:rsidRPr="006376F9">
        <w:rPr>
          <w:lang w:val="es-ES_tradnl"/>
        </w:rPr>
        <w:t>Dimensionado de los requerimientos y diseño de red</w:t>
      </w:r>
    </w:p>
    <w:p w14:paraId="11178E64" w14:textId="52116C62" w:rsidR="006376F9" w:rsidRDefault="00C24137" w:rsidP="00175588">
      <w:pPr>
        <w:pStyle w:val="ListBulletCompact"/>
        <w:numPr>
          <w:ilvl w:val="0"/>
          <w:numId w:val="38"/>
        </w:numPr>
        <w:rPr>
          <w:lang w:val="es-ES_tradnl"/>
        </w:rPr>
      </w:pPr>
      <w:r w:rsidRPr="006376F9">
        <w:rPr>
          <w:lang w:val="es-ES_tradnl"/>
        </w:rPr>
        <w:t>Costeo de la red</w:t>
      </w:r>
    </w:p>
    <w:p w14:paraId="29B993D2" w14:textId="3DC7BE69" w:rsidR="009B5BF0" w:rsidRPr="00175588" w:rsidRDefault="009B5BF0" w:rsidP="00175588">
      <w:pPr>
        <w:pStyle w:val="ListBulletCompact"/>
        <w:numPr>
          <w:ilvl w:val="0"/>
          <w:numId w:val="38"/>
        </w:numPr>
        <w:rPr>
          <w:lang w:val="es-ES_tradnl"/>
        </w:rPr>
      </w:pPr>
      <w:r>
        <w:rPr>
          <w:lang w:val="es-ES_tradnl"/>
        </w:rPr>
        <w:t>Cálculo de los costos por servicio</w:t>
      </w:r>
    </w:p>
    <w:p w14:paraId="31527851" w14:textId="2641A89D" w:rsidR="00FC4CAA" w:rsidRPr="00262B90" w:rsidRDefault="008E492C" w:rsidP="00175588">
      <w:pPr>
        <w:rPr>
          <w:lang w:val="es-ES"/>
        </w:rPr>
      </w:pPr>
      <w:r w:rsidRPr="00262B90">
        <w:rPr>
          <w:lang w:val="es-ES"/>
        </w:rPr>
        <w:t>El módulo se alimenta de diferentes insumos que ayudan a dimensionar la red del operador y costear los servicios. Como se ve en la siguiente imagen, el módulo de mercado proporciona los volúmenes de tráfico del operador hipotético modelado.</w:t>
      </w:r>
      <w:r w:rsidR="00CC28CC" w:rsidRPr="00262B90">
        <w:rPr>
          <w:lang w:val="es-ES"/>
        </w:rPr>
        <w:t xml:space="preserve"> </w:t>
      </w:r>
    </w:p>
    <w:p w14:paraId="4584DA20" w14:textId="1638A970" w:rsidR="007254B2" w:rsidRPr="006376F9" w:rsidRDefault="007254B2" w:rsidP="00175588">
      <w:pPr>
        <w:rPr>
          <w:lang w:val="es-ES_tradnl"/>
        </w:rPr>
      </w:pPr>
      <w:r>
        <w:rPr>
          <w:lang w:val="es-ES_tradnl"/>
        </w:rPr>
        <w:t>El resultado final del módulo son los costos unitarios de los distintos servicios fijos (interconexión fija, transporte de enlaces dedicados</w:t>
      </w:r>
      <w:r w:rsidR="000C6B63">
        <w:rPr>
          <w:lang w:val="es-ES_tradnl"/>
        </w:rPr>
        <w:t xml:space="preserve"> y servicio de concentración y </w:t>
      </w:r>
      <w:r w:rsidR="00370A46">
        <w:rPr>
          <w:lang w:val="es-ES_tradnl"/>
        </w:rPr>
        <w:t>distribución</w:t>
      </w:r>
      <w:r w:rsidR="000C6B63">
        <w:rPr>
          <w:lang w:val="es-ES_tradnl"/>
        </w:rPr>
        <w:t xml:space="preserve"> asociado al SAIB</w:t>
      </w:r>
      <w:r>
        <w:rPr>
          <w:lang w:val="es-ES_tradnl"/>
        </w:rPr>
        <w:t>)</w:t>
      </w:r>
      <w:r w:rsidR="00FC4CAA">
        <w:rPr>
          <w:lang w:val="es-ES_tradnl"/>
        </w:rPr>
        <w:t>.</w:t>
      </w:r>
    </w:p>
    <w:p w14:paraId="24C4AC9E" w14:textId="1695AC71" w:rsidR="004A140E" w:rsidRPr="00990083" w:rsidRDefault="004A140E" w:rsidP="00990083">
      <w:pPr>
        <w:pStyle w:val="Descripcin"/>
        <w:rPr>
          <w:lang w:val="es-ES"/>
        </w:rPr>
      </w:pPr>
      <w:bookmarkStart w:id="22" w:name="_Ref135838273"/>
      <w:r w:rsidRPr="00990083">
        <w:rPr>
          <w:lang w:val="es-ES"/>
        </w:rPr>
        <w:lastRenderedPageBreak/>
        <w:t>Figur</w:t>
      </w:r>
      <w:r w:rsidR="000D5BF0">
        <w:rPr>
          <w:lang w:val="es-ES"/>
        </w:rPr>
        <w:t>a</w:t>
      </w:r>
      <w:r w:rsidRPr="00990083">
        <w:rPr>
          <w:lang w:val="es-ES"/>
        </w:rPr>
        <w:t xml:space="preserve"> </w:t>
      </w:r>
      <w:r>
        <w:fldChar w:fldCharType="begin"/>
      </w:r>
      <w:r w:rsidRPr="00990083">
        <w:rPr>
          <w:lang w:val="es-ES"/>
        </w:rPr>
        <w:instrText xml:space="preserve"> STYLEREF 1 \s \* MERGEFORMAT </w:instrText>
      </w:r>
      <w:r>
        <w:fldChar w:fldCharType="separate"/>
      </w:r>
      <w:r w:rsidR="00020F8B">
        <w:rPr>
          <w:noProof/>
          <w:lang w:val="es-ES"/>
        </w:rPr>
        <w:t>2</w:t>
      </w:r>
      <w:r>
        <w:fldChar w:fldCharType="end"/>
      </w:r>
      <w:r w:rsidRPr="00990083">
        <w:rPr>
          <w:lang w:val="es-ES"/>
        </w:rPr>
        <w:t>.</w:t>
      </w:r>
      <w:r>
        <w:fldChar w:fldCharType="begin"/>
      </w:r>
      <w:r w:rsidRPr="00990083">
        <w:rPr>
          <w:lang w:val="es-ES"/>
        </w:rPr>
        <w:instrText xml:space="preserve"> SEQ Ilustración \* ARABIC \s 1 \* MERGEFORMAT </w:instrText>
      </w:r>
      <w:r>
        <w:fldChar w:fldCharType="separate"/>
      </w:r>
      <w:r w:rsidR="00020F8B">
        <w:rPr>
          <w:noProof/>
          <w:lang w:val="es-ES"/>
        </w:rPr>
        <w:t>4</w:t>
      </w:r>
      <w:r>
        <w:fldChar w:fldCharType="end"/>
      </w:r>
      <w:bookmarkEnd w:id="22"/>
      <w:r w:rsidRPr="00990083">
        <w:rPr>
          <w:lang w:val="es-ES"/>
        </w:rPr>
        <w:t xml:space="preserve">: </w:t>
      </w:r>
      <w:r w:rsidR="00990083" w:rsidRPr="00990083">
        <w:rPr>
          <w:lang w:val="es-ES"/>
        </w:rPr>
        <w:t>Estructura del modelo fijo [Fuente: Analysys Mason, 2023]</w:t>
      </w:r>
    </w:p>
    <w:p w14:paraId="1C5118FE" w14:textId="094FBFBC" w:rsidR="00A378C7" w:rsidRPr="00A378C7" w:rsidRDefault="00423219" w:rsidP="00423219">
      <w:pPr>
        <w:pStyle w:val="Border"/>
      </w:pPr>
      <w:r w:rsidRPr="00423219">
        <w:rPr>
          <w:noProof/>
        </w:rPr>
        <w:drawing>
          <wp:inline distT="0" distB="0" distL="0" distR="0" wp14:anchorId="5588AFA3" wp14:editId="413AD6D0">
            <wp:extent cx="5172075" cy="3752850"/>
            <wp:effectExtent l="0" t="0" r="9525" b="0"/>
            <wp:docPr id="1014315306" name="Picture 101431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075" cy="3752850"/>
                    </a:xfrm>
                    <a:prstGeom prst="rect">
                      <a:avLst/>
                    </a:prstGeom>
                    <a:noFill/>
                    <a:ln>
                      <a:noFill/>
                    </a:ln>
                  </pic:spPr>
                </pic:pic>
              </a:graphicData>
            </a:graphic>
          </wp:inline>
        </w:drawing>
      </w:r>
    </w:p>
    <w:p w14:paraId="624EA4B2" w14:textId="650BBA7C" w:rsidR="00230973" w:rsidRDefault="00230973" w:rsidP="00F237F1">
      <w:pPr>
        <w:pStyle w:val="Ttulo3"/>
        <w:rPr>
          <w:lang w:val="es-ES_tradnl"/>
        </w:rPr>
      </w:pPr>
      <w:r>
        <w:rPr>
          <w:lang w:val="es-ES_tradnl"/>
        </w:rPr>
        <w:t>Arquitectura del módulo de enlaces dedicados</w:t>
      </w:r>
    </w:p>
    <w:p w14:paraId="5AB9B7A8" w14:textId="662021FF" w:rsidR="003D42BF" w:rsidRDefault="00F81FBE" w:rsidP="006376F9">
      <w:pPr>
        <w:rPr>
          <w:lang w:val="es-ES_tradnl"/>
        </w:rPr>
      </w:pPr>
      <w:r>
        <w:rPr>
          <w:lang w:val="es-ES_tradnl"/>
        </w:rPr>
        <w:t xml:space="preserve">El módulo de enlaces dedicados tiene la función de </w:t>
      </w:r>
      <w:r w:rsidR="007E5E8A">
        <w:rPr>
          <w:lang w:val="es-ES_tradnl"/>
        </w:rPr>
        <w:t>c</w:t>
      </w:r>
      <w:r w:rsidR="00D60E8C">
        <w:rPr>
          <w:lang w:val="es-ES_tradnl"/>
        </w:rPr>
        <w:t>a</w:t>
      </w:r>
      <w:r w:rsidR="007E5E8A">
        <w:rPr>
          <w:lang w:val="es-ES_tradnl"/>
        </w:rPr>
        <w:t xml:space="preserve">lcular el costo total del servicio de enlaces dedicados </w:t>
      </w:r>
      <w:r w:rsidR="00E377A7">
        <w:rPr>
          <w:lang w:val="es-ES_tradnl"/>
        </w:rPr>
        <w:t xml:space="preserve">desglosado </w:t>
      </w:r>
      <w:r w:rsidR="007E5E8A">
        <w:rPr>
          <w:lang w:val="es-ES_tradnl"/>
        </w:rPr>
        <w:t>para las distintas velocidades</w:t>
      </w:r>
      <w:r w:rsidR="00427A04">
        <w:rPr>
          <w:lang w:val="es-ES_tradnl"/>
        </w:rPr>
        <w:t xml:space="preserve"> disponibles</w:t>
      </w:r>
      <w:r w:rsidR="007E5E8A">
        <w:rPr>
          <w:lang w:val="es-ES_tradnl"/>
        </w:rPr>
        <w:t xml:space="preserve">. Para esto, </w:t>
      </w:r>
      <w:r w:rsidR="00E377A7">
        <w:rPr>
          <w:lang w:val="es-ES_tradnl"/>
        </w:rPr>
        <w:t>el módulo considera</w:t>
      </w:r>
      <w:r>
        <w:rPr>
          <w:lang w:val="es-ES_tradnl"/>
        </w:rPr>
        <w:t xml:space="preserve"> el costo de</w:t>
      </w:r>
      <w:r w:rsidR="00E377A7">
        <w:rPr>
          <w:lang w:val="es-ES_tradnl"/>
        </w:rPr>
        <w:t>l</w:t>
      </w:r>
      <w:r>
        <w:rPr>
          <w:lang w:val="es-ES_tradnl"/>
        </w:rPr>
        <w:t xml:space="preserve"> transporte proveniente del módulo de redes fijas </w:t>
      </w:r>
      <w:r w:rsidR="00E377A7">
        <w:rPr>
          <w:lang w:val="es-ES_tradnl"/>
        </w:rPr>
        <w:t>además de otros costos que pudieran existir, como por ejemplo, costos de</w:t>
      </w:r>
      <w:r w:rsidR="00427A04">
        <w:rPr>
          <w:lang w:val="es-ES_tradnl"/>
        </w:rPr>
        <w:t xml:space="preserve">l cableado de </w:t>
      </w:r>
      <w:r w:rsidR="00E377A7">
        <w:rPr>
          <w:lang w:val="es-ES_tradnl"/>
        </w:rPr>
        <w:t>acceso</w:t>
      </w:r>
      <w:r w:rsidR="007E5E8A">
        <w:rPr>
          <w:lang w:val="es-ES_tradnl"/>
        </w:rPr>
        <w:t xml:space="preserve">. </w:t>
      </w:r>
      <w:r w:rsidR="009A62FD">
        <w:rPr>
          <w:lang w:val="es-ES_tradnl"/>
        </w:rPr>
        <w:t xml:space="preserve">El módulo se estructura en dos </w:t>
      </w:r>
      <w:r w:rsidR="00AC082E">
        <w:rPr>
          <w:lang w:val="es-ES_tradnl"/>
        </w:rPr>
        <w:t>bloques</w:t>
      </w:r>
      <w:r w:rsidR="009A62FD">
        <w:rPr>
          <w:lang w:val="es-ES_tradnl"/>
        </w:rPr>
        <w:t xml:space="preserve"> principales</w:t>
      </w:r>
      <w:r w:rsidR="0066051C">
        <w:rPr>
          <w:lang w:val="es-ES_tradnl"/>
        </w:rPr>
        <w:t>, con el objetivo de costear los principales grupos de servicios involucrados</w:t>
      </w:r>
      <w:r w:rsidR="009A62FD">
        <w:rPr>
          <w:lang w:val="es-ES_tradnl"/>
        </w:rPr>
        <w:t>:</w:t>
      </w:r>
      <w:r w:rsidR="00AC082E">
        <w:rPr>
          <w:lang w:val="es-ES_tradnl"/>
        </w:rPr>
        <w:t xml:space="preserve"> enlaces dedicados entre localidades y enlaces locales. Estos bloques tienen una estructura similar, aunque </w:t>
      </w:r>
      <w:r w:rsidR="003C5547">
        <w:rPr>
          <w:lang w:val="es-ES_tradnl"/>
        </w:rPr>
        <w:t xml:space="preserve">tienen ciertas diferencias en términos de </w:t>
      </w:r>
      <w:r w:rsidR="008D4D97">
        <w:rPr>
          <w:lang w:val="es-ES_tradnl"/>
        </w:rPr>
        <w:t>sus insumos</w:t>
      </w:r>
      <w:r w:rsidR="007A3A23">
        <w:rPr>
          <w:lang w:val="es-ES_tradnl"/>
        </w:rPr>
        <w:t>:</w:t>
      </w:r>
    </w:p>
    <w:p w14:paraId="12E19D43" w14:textId="6AEB68A2" w:rsidR="002B09F9" w:rsidRPr="005430A9" w:rsidRDefault="002B09F9" w:rsidP="002B09F9">
      <w:pPr>
        <w:pStyle w:val="Descripcin"/>
        <w:rPr>
          <w:lang w:val="es-ES"/>
        </w:rPr>
      </w:pPr>
      <w:r w:rsidRPr="005430A9">
        <w:rPr>
          <w:lang w:val="es-ES"/>
        </w:rPr>
        <w:lastRenderedPageBreak/>
        <w:t xml:space="preserve">Figura </w:t>
      </w:r>
      <w:r>
        <w:rPr>
          <w:lang w:val="es-ES"/>
        </w:rPr>
        <w:fldChar w:fldCharType="begin"/>
      </w:r>
      <w:r w:rsidRPr="005430A9">
        <w:rPr>
          <w:lang w:val="es-ES"/>
        </w:rPr>
        <w:instrText xml:space="preserve"> STYLEREF 1 \s \* MERGEFORMAT </w:instrText>
      </w:r>
      <w:r>
        <w:rPr>
          <w:lang w:val="es-ES"/>
        </w:rPr>
        <w:fldChar w:fldCharType="separate"/>
      </w:r>
      <w:r w:rsidR="00020F8B">
        <w:rPr>
          <w:noProof/>
          <w:lang w:val="es-ES"/>
        </w:rPr>
        <w:t>2</w:t>
      </w:r>
      <w:r>
        <w:rPr>
          <w:lang w:val="es-ES"/>
        </w:rPr>
        <w:fldChar w:fldCharType="end"/>
      </w:r>
      <w:r w:rsidRPr="005430A9">
        <w:rPr>
          <w:lang w:val="es-ES"/>
        </w:rPr>
        <w:t>.</w:t>
      </w:r>
      <w:r>
        <w:rPr>
          <w:lang w:val="es-ES"/>
        </w:rPr>
        <w:fldChar w:fldCharType="begin"/>
      </w:r>
      <w:r w:rsidRPr="005430A9">
        <w:rPr>
          <w:lang w:val="es-ES"/>
        </w:rPr>
        <w:instrText xml:space="preserve"> SEQ Ilustración \* ARABIC \s 1 \* MERGEFORMAT </w:instrText>
      </w:r>
      <w:r>
        <w:rPr>
          <w:lang w:val="es-ES"/>
        </w:rPr>
        <w:fldChar w:fldCharType="separate"/>
      </w:r>
      <w:r w:rsidR="00020F8B">
        <w:rPr>
          <w:noProof/>
          <w:lang w:val="es-ES"/>
        </w:rPr>
        <w:t>5</w:t>
      </w:r>
      <w:r>
        <w:rPr>
          <w:lang w:val="es-ES"/>
        </w:rPr>
        <w:fldChar w:fldCharType="end"/>
      </w:r>
      <w:r w:rsidRPr="005430A9">
        <w:rPr>
          <w:lang w:val="es-ES"/>
        </w:rPr>
        <w:t xml:space="preserve">: </w:t>
      </w:r>
      <w:r>
        <w:rPr>
          <w:lang w:val="es-ES"/>
        </w:rPr>
        <w:t>Estructura del módulo de enlaces dedicados – enlaces locales</w:t>
      </w:r>
      <w:r w:rsidRPr="002D1B56">
        <w:rPr>
          <w:lang w:val="es-ES"/>
        </w:rPr>
        <w:t xml:space="preserve"> </w:t>
      </w:r>
      <w:r w:rsidRPr="005430A9">
        <w:rPr>
          <w:lang w:val="es-ES"/>
        </w:rPr>
        <w:t>[Fuente: Analysys Mason, 2023]</w:t>
      </w:r>
    </w:p>
    <w:p w14:paraId="745ACB9C" w14:textId="77777777" w:rsidR="002B09F9" w:rsidRPr="005430A9" w:rsidRDefault="002B09F9" w:rsidP="002B09F9">
      <w:pPr>
        <w:jc w:val="center"/>
        <w:rPr>
          <w:lang w:val="es-ES"/>
        </w:rPr>
      </w:pPr>
      <w:r w:rsidRPr="00BB680C">
        <w:rPr>
          <w:noProof/>
        </w:rPr>
        <w:drawing>
          <wp:inline distT="0" distB="0" distL="0" distR="0" wp14:anchorId="326C6D20" wp14:editId="04A33268">
            <wp:extent cx="5508625" cy="4528185"/>
            <wp:effectExtent l="0" t="0" r="0" b="0"/>
            <wp:docPr id="453911692" name="Picture 45391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8625" cy="4528185"/>
                    </a:xfrm>
                    <a:prstGeom prst="rect">
                      <a:avLst/>
                    </a:prstGeom>
                    <a:noFill/>
                    <a:ln>
                      <a:noFill/>
                    </a:ln>
                  </pic:spPr>
                </pic:pic>
              </a:graphicData>
            </a:graphic>
          </wp:inline>
        </w:drawing>
      </w:r>
    </w:p>
    <w:p w14:paraId="09FA092F" w14:textId="0C88302B" w:rsidR="00F81FBE" w:rsidRPr="005430A9" w:rsidRDefault="00F81FBE" w:rsidP="00F81FBE">
      <w:pPr>
        <w:pStyle w:val="Descripcin"/>
        <w:rPr>
          <w:lang w:val="es-ES"/>
        </w:rPr>
      </w:pPr>
      <w:r w:rsidRPr="005430A9">
        <w:rPr>
          <w:lang w:val="es-ES"/>
        </w:rPr>
        <w:lastRenderedPageBreak/>
        <w:t xml:space="preserve">Figura </w:t>
      </w:r>
      <w:r>
        <w:rPr>
          <w:lang w:val="es-ES"/>
        </w:rPr>
        <w:fldChar w:fldCharType="begin"/>
      </w:r>
      <w:r w:rsidRPr="005430A9">
        <w:rPr>
          <w:lang w:val="es-ES"/>
        </w:rPr>
        <w:instrText xml:space="preserve"> STYLEREF 1 \s \* MERGEFORMAT </w:instrText>
      </w:r>
      <w:r>
        <w:rPr>
          <w:lang w:val="es-ES"/>
        </w:rPr>
        <w:fldChar w:fldCharType="separate"/>
      </w:r>
      <w:r w:rsidR="00020F8B">
        <w:rPr>
          <w:noProof/>
          <w:lang w:val="es-ES"/>
        </w:rPr>
        <w:t>2</w:t>
      </w:r>
      <w:r>
        <w:rPr>
          <w:lang w:val="es-ES"/>
        </w:rPr>
        <w:fldChar w:fldCharType="end"/>
      </w:r>
      <w:r w:rsidRPr="005430A9">
        <w:rPr>
          <w:lang w:val="es-ES"/>
        </w:rPr>
        <w:t>.</w:t>
      </w:r>
      <w:r>
        <w:rPr>
          <w:lang w:val="es-ES"/>
        </w:rPr>
        <w:fldChar w:fldCharType="begin"/>
      </w:r>
      <w:r w:rsidRPr="005430A9">
        <w:rPr>
          <w:lang w:val="es-ES"/>
        </w:rPr>
        <w:instrText xml:space="preserve"> SEQ Ilustración \* ARABIC \s 1 \* MERGEFORMAT </w:instrText>
      </w:r>
      <w:r>
        <w:rPr>
          <w:lang w:val="es-ES"/>
        </w:rPr>
        <w:fldChar w:fldCharType="separate"/>
      </w:r>
      <w:r w:rsidR="00020F8B">
        <w:rPr>
          <w:noProof/>
          <w:lang w:val="es-ES"/>
        </w:rPr>
        <w:t>6</w:t>
      </w:r>
      <w:r>
        <w:rPr>
          <w:lang w:val="es-ES"/>
        </w:rPr>
        <w:fldChar w:fldCharType="end"/>
      </w:r>
      <w:r w:rsidRPr="005430A9">
        <w:rPr>
          <w:lang w:val="es-ES"/>
        </w:rPr>
        <w:t xml:space="preserve">: </w:t>
      </w:r>
      <w:r>
        <w:rPr>
          <w:lang w:val="es-ES"/>
        </w:rPr>
        <w:t>Estructura del módulo de enlaces dedicados</w:t>
      </w:r>
      <w:r w:rsidR="00030602">
        <w:rPr>
          <w:lang w:val="es-ES"/>
        </w:rPr>
        <w:t xml:space="preserve"> – enlaces dedicados entre localidades e internacionales</w:t>
      </w:r>
      <w:r w:rsidRPr="002D1B56">
        <w:rPr>
          <w:lang w:val="es-ES"/>
        </w:rPr>
        <w:t xml:space="preserve"> </w:t>
      </w:r>
      <w:r w:rsidRPr="005430A9">
        <w:rPr>
          <w:lang w:val="es-ES"/>
        </w:rPr>
        <w:t>[Fuente: Analysys Mason, 2023]</w:t>
      </w:r>
    </w:p>
    <w:p w14:paraId="6093380A" w14:textId="0030A41A" w:rsidR="00030602" w:rsidRDefault="00B36E72" w:rsidP="00427A04">
      <w:pPr>
        <w:jc w:val="center"/>
        <w:rPr>
          <w:lang w:val="es-ES"/>
        </w:rPr>
      </w:pPr>
      <w:r w:rsidRPr="00B36E72">
        <w:rPr>
          <w:noProof/>
        </w:rPr>
        <w:drawing>
          <wp:inline distT="0" distB="0" distL="0" distR="0" wp14:anchorId="71DB545A" wp14:editId="18FC45E5">
            <wp:extent cx="4791710" cy="4674235"/>
            <wp:effectExtent l="0" t="0" r="8890" b="0"/>
            <wp:docPr id="1703168270" name="Picture 170316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1710" cy="4674235"/>
                    </a:xfrm>
                    <a:prstGeom prst="rect">
                      <a:avLst/>
                    </a:prstGeom>
                    <a:noFill/>
                    <a:ln>
                      <a:noFill/>
                    </a:ln>
                  </pic:spPr>
                </pic:pic>
              </a:graphicData>
            </a:graphic>
          </wp:inline>
        </w:drawing>
      </w:r>
    </w:p>
    <w:p w14:paraId="5388742F" w14:textId="60FEF503" w:rsidR="00230973" w:rsidRDefault="00230973" w:rsidP="00F237F1">
      <w:pPr>
        <w:pStyle w:val="Ttulo3"/>
        <w:rPr>
          <w:lang w:val="es-ES_tradnl"/>
        </w:rPr>
      </w:pPr>
      <w:r>
        <w:rPr>
          <w:lang w:val="es-ES_tradnl"/>
        </w:rPr>
        <w:t xml:space="preserve">Arquitectura del módulo </w:t>
      </w:r>
      <w:r w:rsidR="008C47A6">
        <w:rPr>
          <w:lang w:val="es-ES_tradnl"/>
        </w:rPr>
        <w:t xml:space="preserve">del servicio de concentración y </w:t>
      </w:r>
      <w:r w:rsidR="00370A46">
        <w:rPr>
          <w:lang w:val="es-ES_tradnl"/>
        </w:rPr>
        <w:t>distribución</w:t>
      </w:r>
    </w:p>
    <w:p w14:paraId="04C021A0" w14:textId="3DFE2BD5" w:rsidR="009B5DC0" w:rsidRDefault="00CC6204" w:rsidP="009B5DC0">
      <w:pPr>
        <w:rPr>
          <w:lang w:val="es-ES"/>
        </w:rPr>
      </w:pPr>
      <w:r>
        <w:rPr>
          <w:lang w:val="es-ES"/>
        </w:rPr>
        <w:t xml:space="preserve">De </w:t>
      </w:r>
      <w:r w:rsidR="00396AE7">
        <w:rPr>
          <w:lang w:val="es-ES"/>
        </w:rPr>
        <w:t xml:space="preserve">manera similar al módulo de enlaces dedicados, el módulo </w:t>
      </w:r>
      <w:r w:rsidR="000574C4">
        <w:rPr>
          <w:lang w:val="es-ES"/>
        </w:rPr>
        <w:t>para el cálculo de</w:t>
      </w:r>
      <w:r w:rsidR="00153F04">
        <w:rPr>
          <w:lang w:val="es-ES"/>
        </w:rPr>
        <w:t xml:space="preserve"> los</w:t>
      </w:r>
      <w:r w:rsidR="005569FF">
        <w:rPr>
          <w:lang w:val="es-ES"/>
        </w:rPr>
        <w:t xml:space="preserve"> costos asociados al servicio de concentración y distribución asociado al SAIB, </w:t>
      </w:r>
      <w:r w:rsidR="00396AE7">
        <w:rPr>
          <w:lang w:val="es-ES"/>
        </w:rPr>
        <w:t xml:space="preserve">tiene la función </w:t>
      </w:r>
      <w:r w:rsidR="00E377A7">
        <w:rPr>
          <w:lang w:val="es-ES"/>
        </w:rPr>
        <w:t>de</w:t>
      </w:r>
      <w:r w:rsidR="00E377A7">
        <w:rPr>
          <w:lang w:val="es-ES_tradnl"/>
        </w:rPr>
        <w:t xml:space="preserve"> c</w:t>
      </w:r>
      <w:r w:rsidR="00B8335E">
        <w:rPr>
          <w:lang w:val="es-ES_tradnl"/>
        </w:rPr>
        <w:t>a</w:t>
      </w:r>
      <w:r w:rsidR="00E377A7">
        <w:rPr>
          <w:lang w:val="es-ES_tradnl"/>
        </w:rPr>
        <w:t xml:space="preserve">lcular el costo </w:t>
      </w:r>
      <w:r w:rsidR="005569FF">
        <w:rPr>
          <w:lang w:val="es-ES_tradnl"/>
        </w:rPr>
        <w:t>de este servicio</w:t>
      </w:r>
      <w:r w:rsidR="00E377A7">
        <w:rPr>
          <w:lang w:val="es-ES_tradnl"/>
        </w:rPr>
        <w:t xml:space="preserve"> desglosado para las distintas velocidades y modalidades</w:t>
      </w:r>
      <w:r w:rsidR="00E84F6F">
        <w:rPr>
          <w:lang w:val="es-ES_tradnl"/>
        </w:rPr>
        <w:t xml:space="preserve"> de calidad y nivel de agregación disponibles</w:t>
      </w:r>
      <w:r w:rsidR="00E377A7">
        <w:rPr>
          <w:lang w:val="es-ES_tradnl"/>
        </w:rPr>
        <w:t>. Para esto, el módulo considera el costo del transporte proveniente del módulo de redes fijas</w:t>
      </w:r>
      <w:r w:rsidR="004A31A5">
        <w:rPr>
          <w:lang w:val="es-ES_tradnl"/>
        </w:rPr>
        <w:t>, así como una serie de parámetros de red para el cálculo</w:t>
      </w:r>
      <w:r w:rsidR="00663FE0">
        <w:rPr>
          <w:lang w:val="es-ES_tradnl"/>
        </w:rPr>
        <w:t>. De manera adicional, el módulo incorpora los costos del acceso</w:t>
      </w:r>
      <w:r w:rsidR="00A23D63">
        <w:rPr>
          <w:lang w:val="es-ES_tradnl"/>
        </w:rPr>
        <w:t xml:space="preserve"> asociado a la línea SAIB</w:t>
      </w:r>
      <w:r w:rsidR="00690CF8">
        <w:rPr>
          <w:lang w:val="es-ES_tradnl"/>
        </w:rPr>
        <w:t xml:space="preserve"> a modo meramente informativo.</w:t>
      </w:r>
    </w:p>
    <w:p w14:paraId="59D6AC2C" w14:textId="3388DBA6" w:rsidR="009B5DC0" w:rsidRPr="005430A9" w:rsidRDefault="009B5DC0" w:rsidP="009B5DC0">
      <w:pPr>
        <w:pStyle w:val="Descripcin"/>
        <w:rPr>
          <w:lang w:val="es-ES"/>
        </w:rPr>
      </w:pPr>
      <w:r w:rsidRPr="005430A9">
        <w:rPr>
          <w:lang w:val="es-ES"/>
        </w:rPr>
        <w:lastRenderedPageBreak/>
        <w:t xml:space="preserve">Figura </w:t>
      </w:r>
      <w:r>
        <w:rPr>
          <w:lang w:val="es-ES"/>
        </w:rPr>
        <w:fldChar w:fldCharType="begin"/>
      </w:r>
      <w:r w:rsidRPr="005430A9">
        <w:rPr>
          <w:lang w:val="es-ES"/>
        </w:rPr>
        <w:instrText xml:space="preserve"> STYLEREF 1 \s \* MERGEFORMAT </w:instrText>
      </w:r>
      <w:r>
        <w:rPr>
          <w:lang w:val="es-ES"/>
        </w:rPr>
        <w:fldChar w:fldCharType="separate"/>
      </w:r>
      <w:r w:rsidR="00020F8B">
        <w:rPr>
          <w:noProof/>
          <w:lang w:val="es-ES"/>
        </w:rPr>
        <w:t>2</w:t>
      </w:r>
      <w:r>
        <w:rPr>
          <w:lang w:val="es-ES"/>
        </w:rPr>
        <w:fldChar w:fldCharType="end"/>
      </w:r>
      <w:r w:rsidRPr="005430A9">
        <w:rPr>
          <w:lang w:val="es-ES"/>
        </w:rPr>
        <w:t>.</w:t>
      </w:r>
      <w:r>
        <w:rPr>
          <w:lang w:val="es-ES"/>
        </w:rPr>
        <w:fldChar w:fldCharType="begin"/>
      </w:r>
      <w:r w:rsidRPr="005430A9">
        <w:rPr>
          <w:lang w:val="es-ES"/>
        </w:rPr>
        <w:instrText xml:space="preserve"> SEQ Ilustración \* ARABIC \s 1 \* MERGEFORMAT </w:instrText>
      </w:r>
      <w:r>
        <w:rPr>
          <w:lang w:val="es-ES"/>
        </w:rPr>
        <w:fldChar w:fldCharType="separate"/>
      </w:r>
      <w:r w:rsidR="00020F8B">
        <w:rPr>
          <w:noProof/>
          <w:lang w:val="es-ES"/>
        </w:rPr>
        <w:t>7</w:t>
      </w:r>
      <w:r>
        <w:rPr>
          <w:lang w:val="es-ES"/>
        </w:rPr>
        <w:fldChar w:fldCharType="end"/>
      </w:r>
      <w:r w:rsidRPr="005430A9">
        <w:rPr>
          <w:lang w:val="es-ES"/>
        </w:rPr>
        <w:t xml:space="preserve">: </w:t>
      </w:r>
      <w:r>
        <w:rPr>
          <w:lang w:val="es-ES"/>
        </w:rPr>
        <w:t xml:space="preserve">Estructura del módulo del SAIB </w:t>
      </w:r>
      <w:r w:rsidRPr="005430A9">
        <w:rPr>
          <w:lang w:val="es-ES"/>
        </w:rPr>
        <w:t>[Fuente: Analysys Mason, 2023]</w:t>
      </w:r>
    </w:p>
    <w:p w14:paraId="1B9804E7" w14:textId="394DD4BD" w:rsidR="009B5DC0" w:rsidRDefault="00AA3807" w:rsidP="00AA3807">
      <w:pPr>
        <w:jc w:val="center"/>
        <w:rPr>
          <w:lang w:val="es-ES"/>
        </w:rPr>
      </w:pPr>
      <w:r w:rsidRPr="00AA3807">
        <w:rPr>
          <w:noProof/>
        </w:rPr>
        <w:drawing>
          <wp:inline distT="0" distB="0" distL="0" distR="0" wp14:anchorId="5CF28B3F" wp14:editId="78B7ABFC">
            <wp:extent cx="5082540" cy="4731385"/>
            <wp:effectExtent l="0" t="0" r="3810" b="0"/>
            <wp:docPr id="1082890237" name="Picture 108289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2540" cy="4731385"/>
                    </a:xfrm>
                    <a:prstGeom prst="rect">
                      <a:avLst/>
                    </a:prstGeom>
                    <a:noFill/>
                    <a:ln>
                      <a:noFill/>
                    </a:ln>
                  </pic:spPr>
                </pic:pic>
              </a:graphicData>
            </a:graphic>
          </wp:inline>
        </w:drawing>
      </w:r>
    </w:p>
    <w:p w14:paraId="0B24F7EC" w14:textId="243B2F51" w:rsidR="0033706D" w:rsidRDefault="0033706D" w:rsidP="00E775B8">
      <w:pPr>
        <w:pStyle w:val="Ttulo1"/>
        <w:rPr>
          <w:snapToGrid w:val="0"/>
          <w:lang w:val="es-ES_tradnl"/>
        </w:rPr>
      </w:pPr>
      <w:bookmarkStart w:id="23" w:name="_Ref135837167"/>
      <w:bookmarkStart w:id="24" w:name="_Ref135837478"/>
      <w:bookmarkStart w:id="25" w:name="_Toc136032674"/>
      <w:r>
        <w:rPr>
          <w:snapToGrid w:val="0"/>
          <w:lang w:val="es-ES_tradnl"/>
        </w:rPr>
        <w:lastRenderedPageBreak/>
        <w:t>Insumos clave del modelo</w:t>
      </w:r>
      <w:bookmarkEnd w:id="23"/>
      <w:bookmarkEnd w:id="24"/>
      <w:bookmarkEnd w:id="25"/>
    </w:p>
    <w:p w14:paraId="335F7EA8" w14:textId="02D69406" w:rsidR="0033706D" w:rsidRDefault="0033706D" w:rsidP="00230973">
      <w:pPr>
        <w:pStyle w:val="Ttulo2"/>
        <w:rPr>
          <w:lang w:val="es-ES_tradnl"/>
        </w:rPr>
      </w:pPr>
      <w:bookmarkStart w:id="26" w:name="_Toc136032675"/>
      <w:r>
        <w:rPr>
          <w:lang w:val="es-ES_tradnl"/>
        </w:rPr>
        <w:t>Demanda</w:t>
      </w:r>
      <w:bookmarkEnd w:id="26"/>
    </w:p>
    <w:p w14:paraId="61F93690" w14:textId="0D4E7DF3" w:rsidR="006D0FAA" w:rsidRDefault="0095099E" w:rsidP="00620C51">
      <w:pPr>
        <w:rPr>
          <w:lang w:val="es-ES"/>
        </w:rPr>
      </w:pPr>
      <w:r>
        <w:rPr>
          <w:lang w:val="es-ES"/>
        </w:rPr>
        <w:t xml:space="preserve">La </w:t>
      </w:r>
      <w:r w:rsidR="008B0807">
        <w:rPr>
          <w:lang w:val="es-ES"/>
        </w:rPr>
        <w:t>estimación</w:t>
      </w:r>
      <w:r>
        <w:rPr>
          <w:lang w:val="es-ES"/>
        </w:rPr>
        <w:t xml:space="preserve"> de los niveles de demanda de los volúmenes de los servicios se lleva a cabo en el módulo de mercado. </w:t>
      </w:r>
      <w:r w:rsidR="001122FA">
        <w:rPr>
          <w:lang w:val="es-ES"/>
        </w:rPr>
        <w:t xml:space="preserve">Como </w:t>
      </w:r>
      <w:r w:rsidR="00607C66">
        <w:rPr>
          <w:lang w:val="es-ES"/>
        </w:rPr>
        <w:t>hemos mostrado</w:t>
      </w:r>
      <w:r w:rsidR="001122FA">
        <w:rPr>
          <w:lang w:val="es-ES"/>
        </w:rPr>
        <w:t xml:space="preserve"> en la</w:t>
      </w:r>
      <w:r w:rsidR="003832BA">
        <w:rPr>
          <w:lang w:val="es-ES"/>
        </w:rPr>
        <w:t xml:space="preserve"> </w:t>
      </w:r>
      <w:r w:rsidR="00C87706">
        <w:rPr>
          <w:lang w:val="es-ES"/>
        </w:rPr>
        <w:fldChar w:fldCharType="begin"/>
      </w:r>
      <w:r w:rsidR="00C87706">
        <w:rPr>
          <w:lang w:val="es-ES"/>
        </w:rPr>
        <w:instrText xml:space="preserve"> REF _Ref135837969 \h </w:instrText>
      </w:r>
      <w:r w:rsidR="00C87706">
        <w:rPr>
          <w:lang w:val="es-ES"/>
        </w:rPr>
      </w:r>
      <w:r w:rsidR="00C87706">
        <w:rPr>
          <w:lang w:val="es-ES"/>
        </w:rPr>
        <w:fldChar w:fldCharType="separate"/>
      </w:r>
      <w:r w:rsidR="00020F8B" w:rsidRPr="00C77CA6">
        <w:rPr>
          <w:lang w:val="es-MX"/>
        </w:rPr>
        <w:t xml:space="preserve">Figura </w:t>
      </w:r>
      <w:r w:rsidR="00020F8B">
        <w:rPr>
          <w:noProof/>
          <w:lang w:val="es-MX"/>
        </w:rPr>
        <w:t>2</w:t>
      </w:r>
      <w:r w:rsidR="00020F8B" w:rsidRPr="00C77CA6">
        <w:rPr>
          <w:lang w:val="es-MX"/>
        </w:rPr>
        <w:t>.</w:t>
      </w:r>
      <w:r w:rsidR="00020F8B">
        <w:rPr>
          <w:noProof/>
          <w:lang w:val="es-MX"/>
        </w:rPr>
        <w:t>2</w:t>
      </w:r>
      <w:r w:rsidR="00C87706">
        <w:rPr>
          <w:lang w:val="es-ES"/>
        </w:rPr>
        <w:fldChar w:fldCharType="end"/>
      </w:r>
      <w:r w:rsidR="001122FA">
        <w:rPr>
          <w:lang w:val="es-ES"/>
        </w:rPr>
        <w:t>, p</w:t>
      </w:r>
      <w:r w:rsidR="00A0106B" w:rsidRPr="00A0106B">
        <w:rPr>
          <w:lang w:val="es-ES"/>
        </w:rPr>
        <w:t>ara calcular la evolución de la demanda en el mód</w:t>
      </w:r>
      <w:r w:rsidR="00A0106B">
        <w:rPr>
          <w:lang w:val="es-ES"/>
        </w:rPr>
        <w:t>u</w:t>
      </w:r>
      <w:r w:rsidR="00A0106B" w:rsidRPr="00A0106B">
        <w:rPr>
          <w:lang w:val="es-ES"/>
        </w:rPr>
        <w:t xml:space="preserve">lo de mercado, se utilizan proyecciones de suscriptores y tráfico por suscriptor. En la medida de lo posible, </w:t>
      </w:r>
      <w:r w:rsidR="00A0106B">
        <w:rPr>
          <w:lang w:val="es-ES"/>
        </w:rPr>
        <w:t>el módulo de mercado se</w:t>
      </w:r>
      <w:r w:rsidR="00A0106B" w:rsidRPr="00A0106B">
        <w:rPr>
          <w:lang w:val="es-ES"/>
        </w:rPr>
        <w:t xml:space="preserve"> basa en la evolución histórica del mercado proporcionada por los operadores o en datos del IFT (</w:t>
      </w:r>
      <w:r w:rsidR="00640278">
        <w:rPr>
          <w:lang w:val="es-ES"/>
        </w:rPr>
        <w:t>BIT</w:t>
      </w:r>
      <w:r w:rsidR="00A0106B" w:rsidRPr="00A0106B">
        <w:rPr>
          <w:lang w:val="es-ES"/>
        </w:rPr>
        <w:t xml:space="preserve">). </w:t>
      </w:r>
    </w:p>
    <w:p w14:paraId="5D36A3E7" w14:textId="4D52DB23" w:rsidR="00A0106B" w:rsidRDefault="006D0FAA" w:rsidP="00620C51">
      <w:pPr>
        <w:rPr>
          <w:lang w:val="es-ES"/>
        </w:rPr>
      </w:pPr>
      <w:r>
        <w:rPr>
          <w:lang w:val="es-ES"/>
        </w:rPr>
        <w:t xml:space="preserve">La demanda de los servicios debe estimarse para todos los años incluidos en el modelo de costos, esto es, desde </w:t>
      </w:r>
      <w:r w:rsidR="00EC1AD4">
        <w:rPr>
          <w:lang w:val="es-ES"/>
        </w:rPr>
        <w:t>2010</w:t>
      </w:r>
      <w:r>
        <w:rPr>
          <w:lang w:val="es-ES"/>
        </w:rPr>
        <w:t xml:space="preserve"> a</w:t>
      </w:r>
      <w:r w:rsidR="005D5D8B">
        <w:rPr>
          <w:lang w:val="es-ES"/>
        </w:rPr>
        <w:t xml:space="preserve">l año 2060. </w:t>
      </w:r>
      <w:r w:rsidR="00A0106B" w:rsidRPr="00A0106B">
        <w:rPr>
          <w:lang w:val="es-ES"/>
        </w:rPr>
        <w:t xml:space="preserve">Dado que realizar una previsión detallada y precisa para el periodo completo del modelo (aproximadamente 40 años) no es realista, el modelo se centra en realizar una previsión para un periodo razonable de ocho años. Después de este periodo, </w:t>
      </w:r>
      <w:r w:rsidR="009623E1">
        <w:rPr>
          <w:lang w:val="es-ES"/>
        </w:rPr>
        <w:t>el modelo</w:t>
      </w:r>
      <w:r w:rsidR="00A0106B" w:rsidRPr="00A0106B">
        <w:rPr>
          <w:lang w:val="es-ES"/>
        </w:rPr>
        <w:t xml:space="preserve"> prevé </w:t>
      </w:r>
      <w:r w:rsidR="009623E1">
        <w:rPr>
          <w:lang w:val="es-ES"/>
        </w:rPr>
        <w:t>una estabilización del</w:t>
      </w:r>
      <w:r w:rsidR="00A0106B" w:rsidRPr="00A0106B">
        <w:rPr>
          <w:lang w:val="es-ES"/>
        </w:rPr>
        <w:t xml:space="preserve"> mercado, lo que implica que tanto el tráfico por suscriptor como la penetración de suscriptores se manten</w:t>
      </w:r>
      <w:r w:rsidR="00640278">
        <w:rPr>
          <w:lang w:val="es-ES"/>
        </w:rPr>
        <w:t>gan</w:t>
      </w:r>
      <w:r w:rsidR="00A0106B" w:rsidRPr="00A0106B">
        <w:rPr>
          <w:lang w:val="es-ES"/>
        </w:rPr>
        <w:t xml:space="preserve"> constantes en el tiempo</w:t>
      </w:r>
      <w:r w:rsidR="00A0106B">
        <w:rPr>
          <w:lang w:val="es-ES"/>
        </w:rPr>
        <w:t>.</w:t>
      </w:r>
      <w:r w:rsidR="00BC3BCF">
        <w:rPr>
          <w:lang w:val="es-ES"/>
        </w:rPr>
        <w:t xml:space="preserve"> </w:t>
      </w:r>
      <w:r w:rsidR="008B7CA7">
        <w:rPr>
          <w:lang w:val="es-ES"/>
        </w:rPr>
        <w:t>A modo de ejemplo, l</w:t>
      </w:r>
      <w:r w:rsidR="00BC3BCF">
        <w:rPr>
          <w:lang w:val="es-ES"/>
        </w:rPr>
        <w:t xml:space="preserve">a </w:t>
      </w:r>
      <w:r w:rsidR="00803E97">
        <w:rPr>
          <w:lang w:val="es-ES"/>
        </w:rPr>
        <w:fldChar w:fldCharType="begin"/>
      </w:r>
      <w:r w:rsidR="00803E97">
        <w:rPr>
          <w:lang w:val="es-ES"/>
        </w:rPr>
        <w:instrText xml:space="preserve"> REF _Ref135790825 \h </w:instrText>
      </w:r>
      <w:r w:rsidR="00803E97">
        <w:rPr>
          <w:lang w:val="es-ES"/>
        </w:rPr>
      </w:r>
      <w:r w:rsidR="00803E97">
        <w:rPr>
          <w:lang w:val="es-ES"/>
        </w:rPr>
        <w:fldChar w:fldCharType="separate"/>
      </w:r>
      <w:r w:rsidR="00020F8B">
        <w:rPr>
          <w:lang w:val="es-ES"/>
        </w:rPr>
        <w:t xml:space="preserve">Figura </w:t>
      </w:r>
      <w:r w:rsidR="00020F8B">
        <w:rPr>
          <w:noProof/>
          <w:lang w:val="es-ES"/>
        </w:rPr>
        <w:t>3</w:t>
      </w:r>
      <w:r w:rsidR="00020F8B">
        <w:rPr>
          <w:lang w:val="es-ES"/>
        </w:rPr>
        <w:t>.</w:t>
      </w:r>
      <w:r w:rsidR="00020F8B">
        <w:rPr>
          <w:noProof/>
          <w:lang w:val="es-ES"/>
        </w:rPr>
        <w:t>1</w:t>
      </w:r>
      <w:r w:rsidR="00803E97">
        <w:rPr>
          <w:lang w:val="es-ES"/>
        </w:rPr>
        <w:fldChar w:fldCharType="end"/>
      </w:r>
      <w:r w:rsidR="00803E97">
        <w:rPr>
          <w:lang w:val="es-ES"/>
        </w:rPr>
        <w:t xml:space="preserve"> </w:t>
      </w:r>
      <w:r w:rsidR="00BC3BCF">
        <w:rPr>
          <w:lang w:val="es-ES"/>
        </w:rPr>
        <w:t>muestra la evoluci</w:t>
      </w:r>
      <w:r w:rsidR="00BC3BCF" w:rsidRPr="008B7CA7">
        <w:rPr>
          <w:lang w:val="es-ES"/>
        </w:rPr>
        <w:t xml:space="preserve">ón de datos </w:t>
      </w:r>
      <w:r w:rsidR="008B7CA7" w:rsidRPr="008B7CA7">
        <w:rPr>
          <w:lang w:val="es-ES"/>
        </w:rPr>
        <w:t>de l</w:t>
      </w:r>
      <w:r w:rsidR="008B7CA7">
        <w:rPr>
          <w:lang w:val="es-ES"/>
        </w:rPr>
        <w:t>os servicios móviles.</w:t>
      </w:r>
    </w:p>
    <w:p w14:paraId="6D3905D6" w14:textId="18B88064" w:rsidR="008B7CA7" w:rsidRDefault="00A22DAF" w:rsidP="008B7CA7">
      <w:pPr>
        <w:pStyle w:val="Descripcin"/>
        <w:rPr>
          <w:lang w:val="es-ES"/>
        </w:rPr>
      </w:pPr>
      <w:bookmarkStart w:id="27" w:name="_Ref135790825"/>
      <w:bookmarkStart w:id="28" w:name="_GoBack"/>
      <w:r>
        <w:rPr>
          <w:lang w:val="es-ES"/>
        </w:rPr>
        <w:t>Figura</w:t>
      </w:r>
      <w:r w:rsidR="008B7CA7">
        <w:rPr>
          <w:lang w:val="es-ES"/>
        </w:rPr>
        <w:t xml:space="preserve"> </w:t>
      </w:r>
      <w:r w:rsidR="008B7CA7">
        <w:rPr>
          <w:lang w:val="es-ES"/>
        </w:rPr>
        <w:fldChar w:fldCharType="begin"/>
      </w:r>
      <w:r w:rsidR="008B7CA7">
        <w:rPr>
          <w:lang w:val="es-ES"/>
        </w:rPr>
        <w:instrText xml:space="preserve"> STYLEREF 1 \s \* MERGEFORMAT </w:instrText>
      </w:r>
      <w:r w:rsidR="008B7CA7">
        <w:rPr>
          <w:lang w:val="es-ES"/>
        </w:rPr>
        <w:fldChar w:fldCharType="separate"/>
      </w:r>
      <w:r w:rsidR="00020F8B">
        <w:rPr>
          <w:noProof/>
          <w:lang w:val="es-ES"/>
        </w:rPr>
        <w:t>3</w:t>
      </w:r>
      <w:r w:rsidR="008B7CA7">
        <w:rPr>
          <w:lang w:val="es-ES"/>
        </w:rPr>
        <w:fldChar w:fldCharType="end"/>
      </w:r>
      <w:r w:rsidR="008B7CA7">
        <w:rPr>
          <w:lang w:val="es-ES"/>
        </w:rPr>
        <w:t>.</w:t>
      </w:r>
      <w:r w:rsidR="008B7CA7">
        <w:rPr>
          <w:lang w:val="es-ES"/>
        </w:rPr>
        <w:fldChar w:fldCharType="begin"/>
      </w:r>
      <w:r w:rsidR="008B7CA7">
        <w:rPr>
          <w:lang w:val="es-ES"/>
        </w:rPr>
        <w:instrText xml:space="preserve"> SEQ </w:instrText>
      </w:r>
      <w:r w:rsidR="00DE28D1">
        <w:rPr>
          <w:lang w:val="es-ES"/>
        </w:rPr>
        <w:instrText>Ilustración</w:instrText>
      </w:r>
      <w:r w:rsidR="008B7CA7">
        <w:rPr>
          <w:lang w:val="es-ES"/>
        </w:rPr>
        <w:instrText xml:space="preserve"> \* ARABIC \s 1 \* MERGEFORMAT </w:instrText>
      </w:r>
      <w:r w:rsidR="008B7CA7">
        <w:rPr>
          <w:lang w:val="es-ES"/>
        </w:rPr>
        <w:fldChar w:fldCharType="separate"/>
      </w:r>
      <w:r w:rsidR="00020F8B">
        <w:rPr>
          <w:noProof/>
          <w:lang w:val="es-ES"/>
        </w:rPr>
        <w:t>1</w:t>
      </w:r>
      <w:r w:rsidR="008B7CA7">
        <w:rPr>
          <w:lang w:val="es-ES"/>
        </w:rPr>
        <w:fldChar w:fldCharType="end"/>
      </w:r>
      <w:bookmarkEnd w:id="27"/>
      <w:r w:rsidR="008B7CA7">
        <w:rPr>
          <w:lang w:val="es-ES"/>
        </w:rPr>
        <w:t xml:space="preserve">: </w:t>
      </w:r>
      <w:r w:rsidR="00A775C5" w:rsidRPr="00A775C5">
        <w:rPr>
          <w:lang w:val="es-ES"/>
        </w:rPr>
        <w:t xml:space="preserve">Ejemplo de evolución del mercado para los servicios de </w:t>
      </w:r>
      <w:r w:rsidR="003A41DB">
        <w:rPr>
          <w:lang w:val="es-ES"/>
        </w:rPr>
        <w:t xml:space="preserve">datos </w:t>
      </w:r>
      <w:r w:rsidR="00A775C5" w:rsidRPr="00A775C5">
        <w:rPr>
          <w:lang w:val="es-ES"/>
        </w:rPr>
        <w:t xml:space="preserve">móvil </w:t>
      </w:r>
      <w:r w:rsidR="008B7CA7">
        <w:rPr>
          <w:lang w:val="es-ES"/>
        </w:rPr>
        <w:t>[</w:t>
      </w:r>
      <w:r w:rsidR="00A775C5">
        <w:rPr>
          <w:lang w:val="es-ES"/>
        </w:rPr>
        <w:t>Fuente</w:t>
      </w:r>
      <w:r w:rsidR="008B7CA7">
        <w:rPr>
          <w:lang w:val="es-ES"/>
        </w:rPr>
        <w:t xml:space="preserve">: Analysys Mason, </w:t>
      </w:r>
      <w:bookmarkEnd w:id="28"/>
      <w:r w:rsidR="008B7CA7">
        <w:rPr>
          <w:lang w:val="es-ES"/>
        </w:rPr>
        <w:t>2023]</w:t>
      </w:r>
    </w:p>
    <w:p w14:paraId="77E2BA52" w14:textId="1FF28380" w:rsidR="008B7CA7" w:rsidRPr="008B7CA7" w:rsidRDefault="007D69BA" w:rsidP="00041EC9">
      <w:pPr>
        <w:pStyle w:val="Border"/>
        <w:rPr>
          <w:lang w:val="es-ES"/>
        </w:rPr>
      </w:pPr>
      <w:r w:rsidRPr="007D69BA">
        <w:rPr>
          <w:noProof/>
        </w:rPr>
        <w:drawing>
          <wp:inline distT="0" distB="0" distL="0" distR="0" wp14:anchorId="762D83CC" wp14:editId="20BF0110">
            <wp:extent cx="5237480" cy="2889250"/>
            <wp:effectExtent l="0" t="0" r="0" b="0"/>
            <wp:docPr id="438839771" name="Picture 43883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7480" cy="2889250"/>
                    </a:xfrm>
                    <a:prstGeom prst="rect">
                      <a:avLst/>
                    </a:prstGeom>
                    <a:noFill/>
                    <a:ln>
                      <a:noFill/>
                    </a:ln>
                  </pic:spPr>
                </pic:pic>
              </a:graphicData>
            </a:graphic>
          </wp:inline>
        </w:drawing>
      </w:r>
    </w:p>
    <w:p w14:paraId="1B569B5C" w14:textId="607C6411" w:rsidR="007175AD" w:rsidRDefault="007175AD" w:rsidP="00620C51">
      <w:pPr>
        <w:rPr>
          <w:lang w:val="es-ES"/>
        </w:rPr>
      </w:pPr>
      <w:r w:rsidRPr="007175AD">
        <w:rPr>
          <w:lang w:val="es-ES"/>
        </w:rPr>
        <w:t>Es importante destacar que el m</w:t>
      </w:r>
      <w:r w:rsidR="00626169">
        <w:rPr>
          <w:lang w:val="es-ES"/>
        </w:rPr>
        <w:t>ódulo de mercado</w:t>
      </w:r>
      <w:r w:rsidRPr="007175AD">
        <w:rPr>
          <w:lang w:val="es-ES"/>
        </w:rPr>
        <w:t xml:space="preserve"> no incorpora </w:t>
      </w:r>
      <w:r w:rsidR="00626169">
        <w:rPr>
          <w:lang w:val="es-ES"/>
        </w:rPr>
        <w:t xml:space="preserve">en sus proyecciones </w:t>
      </w:r>
      <w:r w:rsidRPr="007175AD">
        <w:rPr>
          <w:lang w:val="es-ES"/>
        </w:rPr>
        <w:t xml:space="preserve">tecnologías futuras más allá del 5G que no estén actualmente presentes en México. </w:t>
      </w:r>
      <w:r w:rsidR="00626169">
        <w:rPr>
          <w:lang w:val="es-ES"/>
        </w:rPr>
        <w:t>El módulo s</w:t>
      </w:r>
      <w:r w:rsidRPr="007175AD">
        <w:rPr>
          <w:lang w:val="es-ES"/>
        </w:rPr>
        <w:t xml:space="preserve">e enfoca en analizar </w:t>
      </w:r>
      <w:r w:rsidR="001A5C4C">
        <w:rPr>
          <w:lang w:val="es-ES"/>
        </w:rPr>
        <w:t>la demanda</w:t>
      </w:r>
      <w:r w:rsidRPr="007175AD">
        <w:rPr>
          <w:lang w:val="es-ES"/>
        </w:rPr>
        <w:t xml:space="preserve"> actual y predecir </w:t>
      </w:r>
      <w:r w:rsidR="001A5C4C">
        <w:rPr>
          <w:lang w:val="es-ES"/>
        </w:rPr>
        <w:t>su evolución</w:t>
      </w:r>
      <w:r w:rsidRPr="007175AD">
        <w:rPr>
          <w:lang w:val="es-ES"/>
        </w:rPr>
        <w:t xml:space="preserve"> en función de las tendencias y datos históricos disponibles</w:t>
      </w:r>
      <w:r w:rsidR="001A5C4C">
        <w:rPr>
          <w:lang w:val="es-ES"/>
        </w:rPr>
        <w:t>.</w:t>
      </w:r>
    </w:p>
    <w:p w14:paraId="677D9C19" w14:textId="001C5A11" w:rsidR="00CF7AD6" w:rsidRDefault="00CF7AD6" w:rsidP="00620C51">
      <w:pPr>
        <w:rPr>
          <w:lang w:val="es-ES"/>
        </w:rPr>
      </w:pPr>
      <w:r>
        <w:rPr>
          <w:lang w:val="es-ES"/>
        </w:rPr>
        <w:t xml:space="preserve">Las secciones a continuación detallan las estimaciones de demanda realizadas para </w:t>
      </w:r>
      <w:r w:rsidR="003A41DB">
        <w:rPr>
          <w:lang w:val="es-ES"/>
        </w:rPr>
        <w:t xml:space="preserve">alimentar </w:t>
      </w:r>
      <w:r>
        <w:rPr>
          <w:lang w:val="es-ES"/>
        </w:rPr>
        <w:t>el modelo de costos.</w:t>
      </w:r>
    </w:p>
    <w:p w14:paraId="5135EF91" w14:textId="6E439CAA" w:rsidR="00230973" w:rsidRDefault="006E3579" w:rsidP="00230973">
      <w:pPr>
        <w:pStyle w:val="Ttulo3"/>
        <w:rPr>
          <w:lang w:val="es-ES_tradnl"/>
        </w:rPr>
      </w:pPr>
      <w:bookmarkStart w:id="29" w:name="_Ref135683379"/>
      <w:r>
        <w:rPr>
          <w:lang w:val="es-ES_tradnl"/>
        </w:rPr>
        <w:lastRenderedPageBreak/>
        <w:t>Servicios</w:t>
      </w:r>
      <w:r w:rsidR="00230973">
        <w:rPr>
          <w:lang w:val="es-ES_tradnl"/>
        </w:rPr>
        <w:t xml:space="preserve"> de red fija</w:t>
      </w:r>
      <w:bookmarkEnd w:id="29"/>
    </w:p>
    <w:p w14:paraId="236AC7C3" w14:textId="1033B26F" w:rsidR="00F0344A" w:rsidRDefault="00F0344A" w:rsidP="00F0344A">
      <w:pPr>
        <w:pStyle w:val="Ttulo4"/>
        <w:rPr>
          <w:lang w:val="es-ES_tradnl"/>
        </w:rPr>
      </w:pPr>
      <w:r>
        <w:rPr>
          <w:lang w:val="es-ES_tradnl"/>
        </w:rPr>
        <w:t>Telefonía fija</w:t>
      </w:r>
    </w:p>
    <w:p w14:paraId="70B13CDA" w14:textId="30A0038B" w:rsidR="00563F6B" w:rsidRDefault="00306971" w:rsidP="00F0344A">
      <w:pPr>
        <w:rPr>
          <w:lang w:val="es-ES_tradnl"/>
        </w:rPr>
      </w:pPr>
      <w:r>
        <w:rPr>
          <w:lang w:val="es-ES_tradnl"/>
        </w:rPr>
        <w:t xml:space="preserve">Para </w:t>
      </w:r>
      <w:r w:rsidR="00241C99">
        <w:rPr>
          <w:lang w:val="es-ES_tradnl"/>
        </w:rPr>
        <w:t>estimar</w:t>
      </w:r>
      <w:r>
        <w:rPr>
          <w:lang w:val="es-ES_tradnl"/>
        </w:rPr>
        <w:t xml:space="preserve"> la demanda de los servicios de telefonía fija</w:t>
      </w:r>
      <w:r w:rsidR="00241C99">
        <w:rPr>
          <w:lang w:val="es-ES_tradnl"/>
        </w:rPr>
        <w:t xml:space="preserve"> a futuro</w:t>
      </w:r>
      <w:r>
        <w:rPr>
          <w:lang w:val="es-ES_tradnl"/>
        </w:rPr>
        <w:t>, el m</w:t>
      </w:r>
      <w:r w:rsidR="00CC4951">
        <w:rPr>
          <w:lang w:val="es-ES_tradnl"/>
        </w:rPr>
        <w:t xml:space="preserve">ódulo de mercado </w:t>
      </w:r>
      <w:r w:rsidR="00241C99">
        <w:rPr>
          <w:lang w:val="es-ES_tradnl"/>
        </w:rPr>
        <w:t xml:space="preserve">parte </w:t>
      </w:r>
      <w:r w:rsidR="00F0672D">
        <w:rPr>
          <w:lang w:val="es-ES_tradnl"/>
        </w:rPr>
        <w:t>de</w:t>
      </w:r>
      <w:r w:rsidR="00E55AE8">
        <w:rPr>
          <w:lang w:val="es-ES_tradnl"/>
        </w:rPr>
        <w:t xml:space="preserve">l histórico del número de líneas de </w:t>
      </w:r>
      <w:r w:rsidR="00316D05">
        <w:rPr>
          <w:lang w:val="es-ES_tradnl"/>
        </w:rPr>
        <w:t xml:space="preserve">telefonía fija en México, con base </w:t>
      </w:r>
      <w:r w:rsidR="00EC1AD4">
        <w:rPr>
          <w:lang w:val="es-ES_tradnl"/>
        </w:rPr>
        <w:t>en</w:t>
      </w:r>
      <w:r w:rsidR="00316D05">
        <w:rPr>
          <w:lang w:val="es-ES_tradnl"/>
        </w:rPr>
        <w:t xml:space="preserve"> datos del BIT. A partir</w:t>
      </w:r>
      <w:r w:rsidR="00F0672D">
        <w:rPr>
          <w:lang w:val="es-ES_tradnl"/>
        </w:rPr>
        <w:t xml:space="preserve"> de </w:t>
      </w:r>
      <w:r w:rsidR="00316D05">
        <w:rPr>
          <w:lang w:val="es-ES_tradnl"/>
        </w:rPr>
        <w:t xml:space="preserve">este dato y del número de hogares en México extraído del INEGI, podemos estimar </w:t>
      </w:r>
      <w:r w:rsidR="00F0672D">
        <w:rPr>
          <w:lang w:val="es-ES_tradnl"/>
        </w:rPr>
        <w:t xml:space="preserve">la </w:t>
      </w:r>
      <w:r w:rsidR="00241C99">
        <w:rPr>
          <w:lang w:val="es-ES_tradnl"/>
        </w:rPr>
        <w:t xml:space="preserve">penetración </w:t>
      </w:r>
      <w:r w:rsidR="00316D05">
        <w:rPr>
          <w:lang w:val="es-ES_tradnl"/>
        </w:rPr>
        <w:t xml:space="preserve">actual e histórica </w:t>
      </w:r>
      <w:r w:rsidR="00F0672D">
        <w:rPr>
          <w:lang w:val="es-ES_tradnl"/>
        </w:rPr>
        <w:t>de</w:t>
      </w:r>
      <w:r w:rsidR="00A93019">
        <w:rPr>
          <w:lang w:val="es-ES_tradnl"/>
        </w:rPr>
        <w:t>l servicio</w:t>
      </w:r>
      <w:r w:rsidR="00316D05">
        <w:rPr>
          <w:lang w:val="es-ES_tradnl"/>
        </w:rPr>
        <w:t xml:space="preserve">. Esta penetración </w:t>
      </w:r>
      <w:r w:rsidR="00A93019">
        <w:rPr>
          <w:lang w:val="es-ES_tradnl"/>
        </w:rPr>
        <w:t>se</w:t>
      </w:r>
      <w:r w:rsidR="00241C99">
        <w:rPr>
          <w:lang w:val="es-ES_tradnl"/>
        </w:rPr>
        <w:t xml:space="preserve"> proyecta a futuro</w:t>
      </w:r>
      <w:r w:rsidR="00B0087B">
        <w:rPr>
          <w:lang w:val="es-ES_tradnl"/>
        </w:rPr>
        <w:t xml:space="preserve"> utilizando una curva sigmoide</w:t>
      </w:r>
      <w:r w:rsidR="00241C99">
        <w:rPr>
          <w:lang w:val="es-ES_tradnl"/>
        </w:rPr>
        <w:t xml:space="preserve">. </w:t>
      </w:r>
    </w:p>
    <w:p w14:paraId="5A0BCC31" w14:textId="7CA54E15" w:rsidR="00F0344A" w:rsidRDefault="00241C99" w:rsidP="00F0344A">
      <w:pPr>
        <w:rPr>
          <w:lang w:val="es-ES_tradnl"/>
        </w:rPr>
      </w:pPr>
      <w:r>
        <w:rPr>
          <w:lang w:val="es-ES_tradnl"/>
        </w:rPr>
        <w:t xml:space="preserve">Para este servicio, se estima que la </w:t>
      </w:r>
      <w:r w:rsidR="00563F6B">
        <w:rPr>
          <w:lang w:val="es-ES_tradnl"/>
        </w:rPr>
        <w:t>penetración alcance un valor cercano al</w:t>
      </w:r>
      <w:r>
        <w:rPr>
          <w:lang w:val="es-ES_tradnl"/>
        </w:rPr>
        <w:t xml:space="preserve"> </w:t>
      </w:r>
      <w:r w:rsidR="00563F6B">
        <w:rPr>
          <w:lang w:val="es-ES_tradnl"/>
        </w:rPr>
        <w:t>72</w:t>
      </w:r>
      <w:r w:rsidR="00CD26D9">
        <w:rPr>
          <w:lang w:val="es-ES_tradnl"/>
        </w:rPr>
        <w:t xml:space="preserve">% en </w:t>
      </w:r>
      <w:r w:rsidR="00B0087B">
        <w:rPr>
          <w:lang w:val="es-ES_tradnl"/>
        </w:rPr>
        <w:t>2030</w:t>
      </w:r>
      <w:r w:rsidR="00563F6B">
        <w:rPr>
          <w:lang w:val="es-ES_tradnl"/>
        </w:rPr>
        <w:t>, manteniéndose constante desde ese momento</w:t>
      </w:r>
      <w:r w:rsidR="00B0087B">
        <w:rPr>
          <w:lang w:val="es-ES_tradnl"/>
        </w:rPr>
        <w:t>.</w:t>
      </w:r>
      <w:r w:rsidR="001F1C59">
        <w:rPr>
          <w:lang w:val="es-ES_tradnl"/>
        </w:rPr>
        <w:t xml:space="preserve"> La </w:t>
      </w:r>
      <w:r w:rsidR="00803E97">
        <w:rPr>
          <w:lang w:val="es-ES_tradnl"/>
        </w:rPr>
        <w:fldChar w:fldCharType="begin"/>
      </w:r>
      <w:r w:rsidR="00803E97">
        <w:rPr>
          <w:lang w:val="es-ES_tradnl"/>
        </w:rPr>
        <w:instrText xml:space="preserve"> REF _Ref135838046 \h </w:instrText>
      </w:r>
      <w:r w:rsidR="00803E97">
        <w:rPr>
          <w:lang w:val="es-ES_tradnl"/>
        </w:rPr>
      </w:r>
      <w:r w:rsidR="00803E97">
        <w:rPr>
          <w:lang w:val="es-ES_tradnl"/>
        </w:rPr>
        <w:fldChar w:fldCharType="separate"/>
      </w:r>
      <w:r w:rsidR="00020F8B">
        <w:rPr>
          <w:lang w:val="es-ES_tradnl"/>
        </w:rPr>
        <w:t xml:space="preserve">Figura </w:t>
      </w:r>
      <w:r w:rsidR="00020F8B">
        <w:rPr>
          <w:noProof/>
          <w:lang w:val="es-ES_tradnl"/>
        </w:rPr>
        <w:t>3</w:t>
      </w:r>
      <w:r w:rsidR="00020F8B">
        <w:rPr>
          <w:lang w:val="es-ES_tradnl"/>
        </w:rPr>
        <w:t>.</w:t>
      </w:r>
      <w:r w:rsidR="00020F8B">
        <w:rPr>
          <w:noProof/>
          <w:lang w:val="es-ES_tradnl"/>
        </w:rPr>
        <w:t>2</w:t>
      </w:r>
      <w:r w:rsidR="00803E97">
        <w:rPr>
          <w:lang w:val="es-ES_tradnl"/>
        </w:rPr>
        <w:fldChar w:fldCharType="end"/>
      </w:r>
      <w:r w:rsidR="00803E97">
        <w:rPr>
          <w:lang w:val="es-ES_tradnl"/>
        </w:rPr>
        <w:t xml:space="preserve"> </w:t>
      </w:r>
      <w:r w:rsidR="001F1C59">
        <w:rPr>
          <w:lang w:val="es-ES_tradnl"/>
        </w:rPr>
        <w:t xml:space="preserve">muestra la evolución de </w:t>
      </w:r>
      <w:r w:rsidR="000C239C">
        <w:rPr>
          <w:lang w:val="es-ES_tradnl"/>
        </w:rPr>
        <w:t>líneas y penetración incluidas en el modelo de costos</w:t>
      </w:r>
      <w:r w:rsidR="001F1C59">
        <w:rPr>
          <w:lang w:val="es-ES_tradnl"/>
        </w:rPr>
        <w:t>.</w:t>
      </w:r>
    </w:p>
    <w:p w14:paraId="7A0C0958" w14:textId="62E69B99" w:rsidR="001F1C59" w:rsidRDefault="001F1C59" w:rsidP="001F1C59">
      <w:pPr>
        <w:pStyle w:val="Descripcin"/>
        <w:rPr>
          <w:lang w:val="es-ES_tradnl"/>
        </w:rPr>
      </w:pPr>
      <w:bookmarkStart w:id="30" w:name="_Ref135838046"/>
      <w:r>
        <w:rPr>
          <w:lang w:val="es-ES_tradnl"/>
        </w:rPr>
        <w:t>Figur</w:t>
      </w:r>
      <w:r w:rsidR="00230257">
        <w:rPr>
          <w:lang w:val="es-ES_tradnl"/>
        </w:rPr>
        <w:t>a</w:t>
      </w:r>
      <w:r>
        <w:rPr>
          <w:lang w:val="es-ES_tradnl"/>
        </w:rPr>
        <w:t xml:space="preserve"> </w:t>
      </w:r>
      <w:r>
        <w:rPr>
          <w:lang w:val="es-ES_tradnl"/>
        </w:rPr>
        <w:fldChar w:fldCharType="begin"/>
      </w:r>
      <w:r>
        <w:rPr>
          <w:lang w:val="es-ES_tradnl"/>
        </w:rPr>
        <w:instrText xml:space="preserve"> STYLEREF 1 \s \* MERGEFORMAT </w:instrText>
      </w:r>
      <w:r>
        <w:rPr>
          <w:lang w:val="es-ES_tradnl"/>
        </w:rPr>
        <w:fldChar w:fldCharType="separate"/>
      </w:r>
      <w:r w:rsidR="00020F8B">
        <w:rPr>
          <w:noProof/>
          <w:lang w:val="es-ES_tradnl"/>
        </w:rPr>
        <w:t>3</w:t>
      </w:r>
      <w:r>
        <w:rPr>
          <w:lang w:val="es-ES_tradnl"/>
        </w:rPr>
        <w:fldChar w:fldCharType="end"/>
      </w:r>
      <w:r>
        <w:rPr>
          <w:lang w:val="es-ES_tradnl"/>
        </w:rPr>
        <w:t>.</w:t>
      </w:r>
      <w:r>
        <w:rPr>
          <w:lang w:val="es-ES_tradnl"/>
        </w:rPr>
        <w:fldChar w:fldCharType="begin"/>
      </w:r>
      <w:r>
        <w:rPr>
          <w:lang w:val="es-ES_tradnl"/>
        </w:rPr>
        <w:instrText xml:space="preserve"> SEQ </w:instrText>
      </w:r>
      <w:r w:rsidR="00DE28D1">
        <w:rPr>
          <w:lang w:val="es-ES_tradnl"/>
        </w:rPr>
        <w:instrText>Ilustración</w:instrText>
      </w:r>
      <w:r>
        <w:rPr>
          <w:lang w:val="es-ES_tradnl"/>
        </w:rPr>
        <w:instrText xml:space="preserve"> \* ARABIC \s 1 \* MERGEFORMAT </w:instrText>
      </w:r>
      <w:r>
        <w:rPr>
          <w:lang w:val="es-ES_tradnl"/>
        </w:rPr>
        <w:fldChar w:fldCharType="separate"/>
      </w:r>
      <w:r w:rsidR="00020F8B">
        <w:rPr>
          <w:noProof/>
          <w:lang w:val="es-ES_tradnl"/>
        </w:rPr>
        <w:t>2</w:t>
      </w:r>
      <w:r>
        <w:rPr>
          <w:lang w:val="es-ES_tradnl"/>
        </w:rPr>
        <w:fldChar w:fldCharType="end"/>
      </w:r>
      <w:bookmarkEnd w:id="30"/>
      <w:r w:rsidR="00230257" w:rsidRPr="00230257">
        <w:rPr>
          <w:rFonts w:ascii="Times New Roman" w:hAnsi="Times New Roman" w:cstheme="minorBidi"/>
          <w:bCs w:val="0"/>
          <w:i w:val="0"/>
          <w:sz w:val="22"/>
          <w:szCs w:val="22"/>
          <w:lang w:val="es-ES"/>
        </w:rPr>
        <w:t xml:space="preserve"> </w:t>
      </w:r>
      <w:r w:rsidR="00230257" w:rsidRPr="00230257">
        <w:rPr>
          <w:lang w:val="es-ES_tradnl"/>
        </w:rPr>
        <w:t xml:space="preserve">Previsiones de </w:t>
      </w:r>
      <w:r w:rsidR="004A1B24">
        <w:rPr>
          <w:lang w:val="es-ES_tradnl"/>
        </w:rPr>
        <w:t>líneas</w:t>
      </w:r>
      <w:r w:rsidR="00230257">
        <w:rPr>
          <w:lang w:val="es-ES_tradnl"/>
        </w:rPr>
        <w:t xml:space="preserve"> y </w:t>
      </w:r>
      <w:r w:rsidR="00230257" w:rsidRPr="00230257">
        <w:rPr>
          <w:lang w:val="es-ES_tradnl"/>
        </w:rPr>
        <w:t xml:space="preserve">penetración fija </w:t>
      </w:r>
      <w:r>
        <w:rPr>
          <w:lang w:val="es-ES_tradnl"/>
        </w:rPr>
        <w:t>[</w:t>
      </w:r>
      <w:r w:rsidR="00230257">
        <w:rPr>
          <w:lang w:val="es-ES_tradnl"/>
        </w:rPr>
        <w:t>Fuente</w:t>
      </w:r>
      <w:r>
        <w:rPr>
          <w:lang w:val="es-ES_tradnl"/>
        </w:rPr>
        <w:t>: Analysys Mason, 2023]</w:t>
      </w:r>
    </w:p>
    <w:p w14:paraId="1F2DCB01" w14:textId="1986CFB2" w:rsidR="001F1C59" w:rsidRDefault="00B6679E" w:rsidP="005E0B1D">
      <w:pPr>
        <w:pStyle w:val="Border"/>
        <w:rPr>
          <w:lang w:val="es-ES_tradnl"/>
        </w:rPr>
      </w:pPr>
      <w:r w:rsidRPr="00B6679E">
        <w:rPr>
          <w:noProof/>
        </w:rPr>
        <w:drawing>
          <wp:inline distT="0" distB="0" distL="0" distR="0" wp14:anchorId="3BE7DA63" wp14:editId="3BCF0259">
            <wp:extent cx="5136515" cy="2417445"/>
            <wp:effectExtent l="0" t="0" r="0" b="0"/>
            <wp:docPr id="1965303846" name="Picture 196530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6515" cy="2417445"/>
                    </a:xfrm>
                    <a:prstGeom prst="rect">
                      <a:avLst/>
                    </a:prstGeom>
                    <a:noFill/>
                    <a:ln>
                      <a:noFill/>
                    </a:ln>
                  </pic:spPr>
                </pic:pic>
              </a:graphicData>
            </a:graphic>
          </wp:inline>
        </w:drawing>
      </w:r>
    </w:p>
    <w:p w14:paraId="0B8B5455" w14:textId="53BA4684" w:rsidR="0038168D" w:rsidRDefault="00802222" w:rsidP="00230257">
      <w:pPr>
        <w:rPr>
          <w:lang w:val="es-ES_tradnl"/>
        </w:rPr>
      </w:pPr>
      <w:r>
        <w:rPr>
          <w:lang w:val="es-ES_tradnl"/>
        </w:rPr>
        <w:t>Una vez estimadas las l</w:t>
      </w:r>
      <w:r w:rsidR="000C239C">
        <w:rPr>
          <w:lang w:val="es-ES_tradnl"/>
        </w:rPr>
        <w:t>í</w:t>
      </w:r>
      <w:r>
        <w:rPr>
          <w:lang w:val="es-ES_tradnl"/>
        </w:rPr>
        <w:t xml:space="preserve">neas de telefonía fija para el periodo del modelo, se obtiene el tráfico saliente generado por usuario. En 2021, </w:t>
      </w:r>
      <w:r w:rsidR="00C6574F">
        <w:rPr>
          <w:lang w:val="es-ES_tradnl"/>
        </w:rPr>
        <w:t>según los datos del BIT, el tráfico saliente fijo total fue de 2</w:t>
      </w:r>
      <w:r w:rsidR="008B651A">
        <w:rPr>
          <w:lang w:val="es-ES_tradnl"/>
        </w:rPr>
        <w:t>2</w:t>
      </w:r>
      <w:r w:rsidR="00C6574F">
        <w:rPr>
          <w:lang w:val="es-ES_tradnl"/>
        </w:rPr>
        <w:t xml:space="preserve"> </w:t>
      </w:r>
      <w:r w:rsidR="008B651A">
        <w:rPr>
          <w:lang w:val="es-ES_tradnl"/>
        </w:rPr>
        <w:t>3</w:t>
      </w:r>
      <w:r w:rsidR="00C6574F">
        <w:rPr>
          <w:lang w:val="es-ES_tradnl"/>
        </w:rPr>
        <w:t xml:space="preserve">00 millones de minutos anuales, lo cual equivale a </w:t>
      </w:r>
      <w:r>
        <w:rPr>
          <w:lang w:val="es-ES_tradnl"/>
        </w:rPr>
        <w:t>7</w:t>
      </w:r>
      <w:r w:rsidR="006E6068">
        <w:rPr>
          <w:lang w:val="es-ES_tradnl"/>
        </w:rPr>
        <w:t>6</w:t>
      </w:r>
      <w:r>
        <w:rPr>
          <w:lang w:val="es-ES_tradnl"/>
        </w:rPr>
        <w:t xml:space="preserve"> minutos por suscriptor y mes</w:t>
      </w:r>
      <w:r w:rsidR="00C6574F">
        <w:rPr>
          <w:lang w:val="es-ES_tradnl"/>
        </w:rPr>
        <w:t>.</w:t>
      </w:r>
      <w:r w:rsidR="005C03DB">
        <w:rPr>
          <w:lang w:val="es-ES_tradnl"/>
        </w:rPr>
        <w:t xml:space="preserve"> Se estima que el tráfico por usuario decrecerá hasta llegar a </w:t>
      </w:r>
      <w:r w:rsidR="0038168D">
        <w:rPr>
          <w:lang w:val="es-ES_tradnl"/>
        </w:rPr>
        <w:t>3</w:t>
      </w:r>
      <w:r w:rsidR="006E6068">
        <w:rPr>
          <w:lang w:val="es-ES_tradnl"/>
        </w:rPr>
        <w:t>4</w:t>
      </w:r>
      <w:r w:rsidR="0038168D">
        <w:rPr>
          <w:lang w:val="es-ES_tradnl"/>
        </w:rPr>
        <w:t xml:space="preserve"> minutos por suscriptor y mes, alineado con la fuerte tendencia descendente que se observa en los últimos años</w:t>
      </w:r>
      <w:r w:rsidR="005B6D53">
        <w:rPr>
          <w:lang w:val="es-ES_tradnl"/>
        </w:rPr>
        <w:t>.</w:t>
      </w:r>
    </w:p>
    <w:p w14:paraId="3F35CA36" w14:textId="09423722" w:rsidR="00F04BB5" w:rsidRDefault="00D766AD" w:rsidP="00D766AD">
      <w:pPr>
        <w:pStyle w:val="Descripcin"/>
        <w:rPr>
          <w:lang w:val="es-ES_tradnl"/>
        </w:rPr>
      </w:pPr>
      <w:r>
        <w:rPr>
          <w:lang w:val="es-ES_tradnl"/>
        </w:rPr>
        <w:lastRenderedPageBreak/>
        <w:t>Figur</w:t>
      </w:r>
      <w:r w:rsidR="00EF1678">
        <w:rPr>
          <w:lang w:val="es-ES_tradnl"/>
        </w:rPr>
        <w:t>a</w:t>
      </w:r>
      <w:r>
        <w:rPr>
          <w:lang w:val="es-ES_tradnl"/>
        </w:rPr>
        <w:t xml:space="preserve"> </w:t>
      </w:r>
      <w:r>
        <w:rPr>
          <w:lang w:val="es-ES_tradnl"/>
        </w:rPr>
        <w:fldChar w:fldCharType="begin"/>
      </w:r>
      <w:r>
        <w:rPr>
          <w:lang w:val="es-ES_tradnl"/>
        </w:rPr>
        <w:instrText xml:space="preserve"> STYLEREF 1 \s \* MERGEFORMAT </w:instrText>
      </w:r>
      <w:r>
        <w:rPr>
          <w:lang w:val="es-ES_tradnl"/>
        </w:rPr>
        <w:fldChar w:fldCharType="separate"/>
      </w:r>
      <w:r w:rsidR="00020F8B">
        <w:rPr>
          <w:noProof/>
          <w:lang w:val="es-ES_tradnl"/>
        </w:rPr>
        <w:t>3</w:t>
      </w:r>
      <w:r>
        <w:rPr>
          <w:lang w:val="es-ES_tradnl"/>
        </w:rPr>
        <w:fldChar w:fldCharType="end"/>
      </w:r>
      <w:r>
        <w:rPr>
          <w:lang w:val="es-ES_tradnl"/>
        </w:rPr>
        <w:t>.</w:t>
      </w:r>
      <w:r>
        <w:rPr>
          <w:lang w:val="es-ES_tradnl"/>
        </w:rPr>
        <w:fldChar w:fldCharType="begin"/>
      </w:r>
      <w:r>
        <w:rPr>
          <w:lang w:val="es-ES_tradnl"/>
        </w:rPr>
        <w:instrText xml:space="preserve"> SEQ </w:instrText>
      </w:r>
      <w:r w:rsidR="00DE28D1">
        <w:rPr>
          <w:lang w:val="es-ES_tradnl"/>
        </w:rPr>
        <w:instrText>Ilustración</w:instrText>
      </w:r>
      <w:r>
        <w:rPr>
          <w:lang w:val="es-ES_tradnl"/>
        </w:rPr>
        <w:instrText xml:space="preserve"> \* ARABIC \s 1 \* MERGEFORMAT </w:instrText>
      </w:r>
      <w:r>
        <w:rPr>
          <w:lang w:val="es-ES_tradnl"/>
        </w:rPr>
        <w:fldChar w:fldCharType="separate"/>
      </w:r>
      <w:r w:rsidR="00020F8B">
        <w:rPr>
          <w:noProof/>
          <w:lang w:val="es-ES_tradnl"/>
        </w:rPr>
        <w:t>3</w:t>
      </w:r>
      <w:r>
        <w:rPr>
          <w:lang w:val="es-ES_tradnl"/>
        </w:rPr>
        <w:fldChar w:fldCharType="end"/>
      </w:r>
      <w:r>
        <w:rPr>
          <w:lang w:val="es-ES_tradnl"/>
        </w:rPr>
        <w:t xml:space="preserve">: </w:t>
      </w:r>
      <w:r w:rsidR="00EF1678" w:rsidRPr="00EF1678">
        <w:rPr>
          <w:lang w:val="es-ES_tradnl"/>
        </w:rPr>
        <w:t xml:space="preserve">Previsiones del tráfico </w:t>
      </w:r>
      <w:r w:rsidR="00EF1678">
        <w:rPr>
          <w:lang w:val="es-ES_tradnl"/>
        </w:rPr>
        <w:t>saliente</w:t>
      </w:r>
      <w:r w:rsidR="00EF1678" w:rsidRPr="00EF1678">
        <w:rPr>
          <w:lang w:val="es-ES_tradnl"/>
        </w:rPr>
        <w:t xml:space="preserve"> por usuario al mes </w:t>
      </w:r>
      <w:r>
        <w:rPr>
          <w:lang w:val="es-ES_tradnl"/>
        </w:rPr>
        <w:t>[</w:t>
      </w:r>
      <w:r w:rsidR="00EF1678">
        <w:rPr>
          <w:lang w:val="es-ES_tradnl"/>
        </w:rPr>
        <w:t>Fuente</w:t>
      </w:r>
      <w:r>
        <w:rPr>
          <w:lang w:val="es-ES_tradnl"/>
        </w:rPr>
        <w:t>: Analysys Mason, 2023]</w:t>
      </w:r>
    </w:p>
    <w:p w14:paraId="5047605D" w14:textId="2602158C" w:rsidR="00D766AD" w:rsidRPr="00EC21B4" w:rsidRDefault="00EC21B4" w:rsidP="00EC21B4">
      <w:pPr>
        <w:pStyle w:val="Border"/>
      </w:pPr>
      <w:r w:rsidRPr="00EC21B4">
        <w:rPr>
          <w:lang w:val="es-ES_tradnl"/>
        </w:rPr>
        <w:t xml:space="preserve"> </w:t>
      </w:r>
      <w:r w:rsidR="00094933" w:rsidRPr="00094933">
        <w:rPr>
          <w:noProof/>
        </w:rPr>
        <w:drawing>
          <wp:inline distT="0" distB="0" distL="0" distR="0" wp14:anchorId="0E29E594" wp14:editId="482146B5">
            <wp:extent cx="5240020" cy="2417445"/>
            <wp:effectExtent l="0" t="0" r="0" b="0"/>
            <wp:docPr id="930997204" name="Picture 93099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0020" cy="2417445"/>
                    </a:xfrm>
                    <a:prstGeom prst="rect">
                      <a:avLst/>
                    </a:prstGeom>
                    <a:noFill/>
                    <a:ln>
                      <a:noFill/>
                    </a:ln>
                  </pic:spPr>
                </pic:pic>
              </a:graphicData>
            </a:graphic>
          </wp:inline>
        </w:drawing>
      </w:r>
    </w:p>
    <w:p w14:paraId="455CCC6C" w14:textId="02308D1A" w:rsidR="00EF1678" w:rsidRPr="00EF1678" w:rsidRDefault="00EF1678" w:rsidP="00EF1678">
      <w:pPr>
        <w:rPr>
          <w:lang w:val="es-ES_tradnl"/>
        </w:rPr>
      </w:pPr>
      <w:r>
        <w:rPr>
          <w:lang w:val="es-ES_tradnl"/>
        </w:rPr>
        <w:t xml:space="preserve">El tráfico entrante se estima empleando la misma metodología y se asume </w:t>
      </w:r>
      <w:r w:rsidR="00FA0360">
        <w:rPr>
          <w:lang w:val="es-ES_tradnl"/>
        </w:rPr>
        <w:t xml:space="preserve">que </w:t>
      </w:r>
      <w:r>
        <w:rPr>
          <w:lang w:val="es-ES_tradnl"/>
        </w:rPr>
        <w:t xml:space="preserve">este decrecerá de </w:t>
      </w:r>
      <w:r w:rsidR="00FA0360">
        <w:rPr>
          <w:lang w:val="es-ES_tradnl"/>
        </w:rPr>
        <w:t xml:space="preserve">    </w:t>
      </w:r>
      <w:r>
        <w:rPr>
          <w:lang w:val="es-ES_tradnl"/>
        </w:rPr>
        <w:t xml:space="preserve">46 000 millones de minutos </w:t>
      </w:r>
      <w:r w:rsidR="00DA33EC">
        <w:rPr>
          <w:lang w:val="es-ES_tradnl"/>
        </w:rPr>
        <w:t xml:space="preserve">(157 minutos por usuario y mes) </w:t>
      </w:r>
      <w:r>
        <w:rPr>
          <w:lang w:val="es-ES_tradnl"/>
        </w:rPr>
        <w:t>en 2021 a 38 000 de minutos en 2030</w:t>
      </w:r>
      <w:r w:rsidR="00DA33EC">
        <w:rPr>
          <w:lang w:val="es-ES_tradnl"/>
        </w:rPr>
        <w:t xml:space="preserve"> (110 minutos por usuario y mes)</w:t>
      </w:r>
      <w:r>
        <w:rPr>
          <w:lang w:val="es-ES_tradnl"/>
        </w:rPr>
        <w:t xml:space="preserve">, principalmente debido a una mayor tendencia de uso de servicios móviles como sustituto. </w:t>
      </w:r>
    </w:p>
    <w:p w14:paraId="59980757" w14:textId="6CE6DCC3" w:rsidR="00D766AD" w:rsidRPr="007A72CA" w:rsidRDefault="002209E1" w:rsidP="002209E1">
      <w:pPr>
        <w:pStyle w:val="Descripcin"/>
        <w:rPr>
          <w:lang w:val="es-ES"/>
        </w:rPr>
      </w:pPr>
      <w:r w:rsidRPr="007A72CA">
        <w:rPr>
          <w:lang w:val="es-ES"/>
        </w:rPr>
        <w:t>Figu</w:t>
      </w:r>
      <w:r w:rsidR="007A72CA">
        <w:rPr>
          <w:lang w:val="es-ES"/>
        </w:rPr>
        <w:t>ra</w:t>
      </w:r>
      <w:r w:rsidRPr="007A72CA">
        <w:rPr>
          <w:lang w:val="es-ES"/>
        </w:rPr>
        <w:t xml:space="preserve"> </w:t>
      </w:r>
      <w:r>
        <w:rPr>
          <w:lang w:val="es-ES_tradnl"/>
        </w:rPr>
        <w:fldChar w:fldCharType="begin"/>
      </w:r>
      <w:r w:rsidRPr="007A72CA">
        <w:rPr>
          <w:lang w:val="es-ES"/>
        </w:rPr>
        <w:instrText xml:space="preserve"> STYLEREF 1 \s \* MERGEFORMAT </w:instrText>
      </w:r>
      <w:r>
        <w:rPr>
          <w:lang w:val="es-ES_tradnl"/>
        </w:rPr>
        <w:fldChar w:fldCharType="separate"/>
      </w:r>
      <w:r w:rsidR="00020F8B">
        <w:rPr>
          <w:noProof/>
          <w:lang w:val="es-ES"/>
        </w:rPr>
        <w:t>3</w:t>
      </w:r>
      <w:r>
        <w:rPr>
          <w:lang w:val="es-ES_tradnl"/>
        </w:rPr>
        <w:fldChar w:fldCharType="end"/>
      </w:r>
      <w:r w:rsidRPr="007A72CA">
        <w:rPr>
          <w:lang w:val="es-ES"/>
        </w:rPr>
        <w:t>.</w:t>
      </w:r>
      <w:r>
        <w:rPr>
          <w:lang w:val="es-ES_tradnl"/>
        </w:rPr>
        <w:fldChar w:fldCharType="begin"/>
      </w:r>
      <w:r w:rsidRPr="007A72CA">
        <w:rPr>
          <w:lang w:val="es-ES"/>
        </w:rPr>
        <w:instrText xml:space="preserve"> SEQ </w:instrText>
      </w:r>
      <w:r w:rsidR="00DE28D1">
        <w:rPr>
          <w:lang w:val="es-ES"/>
        </w:rPr>
        <w:instrText>Ilustración</w:instrText>
      </w:r>
      <w:r w:rsidRPr="007A72CA">
        <w:rPr>
          <w:lang w:val="es-ES"/>
        </w:rPr>
        <w:instrText xml:space="preserve"> \* ARABIC \s 1 \* MERGEFORMAT </w:instrText>
      </w:r>
      <w:r>
        <w:rPr>
          <w:lang w:val="es-ES_tradnl"/>
        </w:rPr>
        <w:fldChar w:fldCharType="separate"/>
      </w:r>
      <w:r w:rsidR="00020F8B">
        <w:rPr>
          <w:noProof/>
          <w:lang w:val="es-ES"/>
        </w:rPr>
        <w:t>4</w:t>
      </w:r>
      <w:r>
        <w:rPr>
          <w:lang w:val="es-ES_tradnl"/>
        </w:rPr>
        <w:fldChar w:fldCharType="end"/>
      </w:r>
      <w:r w:rsidRPr="007A72CA">
        <w:rPr>
          <w:lang w:val="es-ES"/>
        </w:rPr>
        <w:t xml:space="preserve">: </w:t>
      </w:r>
      <w:r w:rsidR="007A72CA" w:rsidRPr="007A72CA">
        <w:rPr>
          <w:lang w:val="es-ES"/>
        </w:rPr>
        <w:t xml:space="preserve">Previsiones del tráfico terminado por usuario al mes </w:t>
      </w:r>
      <w:r w:rsidRPr="007A72CA">
        <w:rPr>
          <w:lang w:val="es-ES"/>
        </w:rPr>
        <w:t>[</w:t>
      </w:r>
      <w:r w:rsidR="007A72CA">
        <w:rPr>
          <w:lang w:val="es-ES"/>
        </w:rPr>
        <w:t>Fuent</w:t>
      </w:r>
      <w:r w:rsidRPr="007A72CA">
        <w:rPr>
          <w:lang w:val="es-ES"/>
        </w:rPr>
        <w:t>e: Analysys Mason, 2023]</w:t>
      </w:r>
    </w:p>
    <w:p w14:paraId="71EDA304" w14:textId="0B5B31E3" w:rsidR="002209E1" w:rsidRDefault="00365841" w:rsidP="002209E1">
      <w:pPr>
        <w:pStyle w:val="Border"/>
        <w:rPr>
          <w:lang w:val="es-ES_tradnl"/>
        </w:rPr>
      </w:pPr>
      <w:r w:rsidRPr="00365841">
        <w:rPr>
          <w:noProof/>
        </w:rPr>
        <w:drawing>
          <wp:inline distT="0" distB="0" distL="0" distR="0" wp14:anchorId="4E6C3A83" wp14:editId="06A395D7">
            <wp:extent cx="5208270" cy="2298065"/>
            <wp:effectExtent l="0" t="0" r="0" b="0"/>
            <wp:docPr id="55165110" name="Picture 5516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8270" cy="2298065"/>
                    </a:xfrm>
                    <a:prstGeom prst="rect">
                      <a:avLst/>
                    </a:prstGeom>
                    <a:noFill/>
                    <a:ln>
                      <a:noFill/>
                    </a:ln>
                  </pic:spPr>
                </pic:pic>
              </a:graphicData>
            </a:graphic>
          </wp:inline>
        </w:drawing>
      </w:r>
    </w:p>
    <w:p w14:paraId="74CA4691" w14:textId="10954472" w:rsidR="00E9005A" w:rsidRDefault="00DF097D" w:rsidP="00DF097D">
      <w:pPr>
        <w:pStyle w:val="Ttulo4"/>
        <w:rPr>
          <w:lang w:val="es-ES_tradnl"/>
        </w:rPr>
      </w:pPr>
      <w:r>
        <w:rPr>
          <w:lang w:val="es-ES_tradnl"/>
        </w:rPr>
        <w:t>Banda ancha fija</w:t>
      </w:r>
    </w:p>
    <w:p w14:paraId="3DD67444" w14:textId="3069F867" w:rsidR="004D4AAD" w:rsidRDefault="00DF097D" w:rsidP="00DF097D">
      <w:pPr>
        <w:rPr>
          <w:lang w:val="es-ES_tradnl"/>
        </w:rPr>
      </w:pPr>
      <w:r>
        <w:rPr>
          <w:lang w:val="es-ES_tradnl"/>
        </w:rPr>
        <w:t xml:space="preserve">Al igual que </w:t>
      </w:r>
      <w:r w:rsidR="009C16F1">
        <w:rPr>
          <w:lang w:val="es-ES_tradnl"/>
        </w:rPr>
        <w:t>en el caso de</w:t>
      </w:r>
      <w:r>
        <w:rPr>
          <w:lang w:val="es-ES_tradnl"/>
        </w:rPr>
        <w:t xml:space="preserve"> la telefonía fija, el modelo estima la demanda futura de los servicios de banda ancha fija partiendo de la penetración histórica sobre hogares y proyectándola a futuro para llegar a un nivel de saturación razonable a largo plazo. En este caso, la penetración de banda ancha actualmente se encuentra en torno al 69% en México, y </w:t>
      </w:r>
      <w:r w:rsidR="00EC3FD7">
        <w:rPr>
          <w:lang w:val="es-ES_tradnl"/>
        </w:rPr>
        <w:t>prevemos</w:t>
      </w:r>
      <w:r>
        <w:rPr>
          <w:lang w:val="es-ES_tradnl"/>
        </w:rPr>
        <w:t xml:space="preserve"> que pueda llegar </w:t>
      </w:r>
      <w:r w:rsidR="00072BAC">
        <w:rPr>
          <w:lang w:val="es-ES_tradnl"/>
        </w:rPr>
        <w:t>al</w:t>
      </w:r>
      <w:r>
        <w:rPr>
          <w:lang w:val="es-ES_tradnl"/>
        </w:rPr>
        <w:t xml:space="preserve"> </w:t>
      </w:r>
      <w:r w:rsidR="003B0B75">
        <w:rPr>
          <w:lang w:val="es-ES_tradnl"/>
        </w:rPr>
        <w:t>81</w:t>
      </w:r>
      <w:r>
        <w:rPr>
          <w:lang w:val="es-ES_tradnl"/>
        </w:rPr>
        <w:t>% en 2030</w:t>
      </w:r>
      <w:r w:rsidR="00274F46">
        <w:rPr>
          <w:lang w:val="es-ES_tradnl"/>
        </w:rPr>
        <w:t xml:space="preserve"> (</w:t>
      </w:r>
      <w:r w:rsidR="00F15172">
        <w:rPr>
          <w:lang w:val="es-ES_tradnl"/>
        </w:rPr>
        <w:t xml:space="preserve">ligeramente </w:t>
      </w:r>
      <w:r w:rsidR="00274F46">
        <w:rPr>
          <w:lang w:val="es-ES_tradnl"/>
        </w:rPr>
        <w:t xml:space="preserve">superior a la penetración de telefonía fija, ya que </w:t>
      </w:r>
      <w:r w:rsidR="00DC72B6">
        <w:rPr>
          <w:lang w:val="es-ES_tradnl"/>
        </w:rPr>
        <w:t xml:space="preserve">creemos que la telefonía fija </w:t>
      </w:r>
      <w:r w:rsidR="008B035E">
        <w:rPr>
          <w:lang w:val="es-ES_tradnl"/>
        </w:rPr>
        <w:t>tenderá</w:t>
      </w:r>
      <w:r w:rsidR="004628D2">
        <w:rPr>
          <w:lang w:val="es-ES_tradnl"/>
        </w:rPr>
        <w:t xml:space="preserve"> a una menor relevancia</w:t>
      </w:r>
      <w:r w:rsidR="00F15172">
        <w:rPr>
          <w:lang w:val="es-ES_tradnl"/>
        </w:rPr>
        <w:t xml:space="preserve">, tal y como está ocurriendo en otros </w:t>
      </w:r>
      <w:r w:rsidR="00FA0360">
        <w:rPr>
          <w:lang w:val="es-ES_tradnl"/>
        </w:rPr>
        <w:t>países</w:t>
      </w:r>
      <w:r w:rsidR="00DC72B6">
        <w:rPr>
          <w:lang w:val="es-ES_tradnl"/>
        </w:rPr>
        <w:t>)</w:t>
      </w:r>
      <w:r w:rsidR="004D4AAD">
        <w:rPr>
          <w:lang w:val="es-ES_tradnl"/>
        </w:rPr>
        <w:t>:</w:t>
      </w:r>
    </w:p>
    <w:p w14:paraId="147EBBAA" w14:textId="0BA9487F" w:rsidR="004D4AAD" w:rsidRPr="00DC72B6" w:rsidRDefault="00A22DAF" w:rsidP="004D4AAD">
      <w:pPr>
        <w:pStyle w:val="Descripcin"/>
        <w:rPr>
          <w:lang w:val="es-ES"/>
        </w:rPr>
      </w:pPr>
      <w:r>
        <w:rPr>
          <w:lang w:val="es-ES"/>
        </w:rPr>
        <w:lastRenderedPageBreak/>
        <w:t>Figura</w:t>
      </w:r>
      <w:r w:rsidR="004D4AAD" w:rsidRPr="00DC72B6">
        <w:rPr>
          <w:lang w:val="es-ES"/>
        </w:rPr>
        <w:t xml:space="preserve"> </w:t>
      </w:r>
      <w:r w:rsidR="004D4AAD">
        <w:rPr>
          <w:lang w:val="es-ES_tradnl"/>
        </w:rPr>
        <w:fldChar w:fldCharType="begin"/>
      </w:r>
      <w:r w:rsidR="004D4AAD" w:rsidRPr="00DC72B6">
        <w:rPr>
          <w:lang w:val="es-ES"/>
        </w:rPr>
        <w:instrText xml:space="preserve"> STYLEREF 1 \s \* MERGEFORMAT </w:instrText>
      </w:r>
      <w:r w:rsidR="004D4AAD">
        <w:rPr>
          <w:lang w:val="es-ES_tradnl"/>
        </w:rPr>
        <w:fldChar w:fldCharType="separate"/>
      </w:r>
      <w:r w:rsidR="00020F8B">
        <w:rPr>
          <w:noProof/>
          <w:lang w:val="es-ES"/>
        </w:rPr>
        <w:t>3</w:t>
      </w:r>
      <w:r w:rsidR="004D4AAD">
        <w:rPr>
          <w:lang w:val="es-ES_tradnl"/>
        </w:rPr>
        <w:fldChar w:fldCharType="end"/>
      </w:r>
      <w:r w:rsidR="004D4AAD" w:rsidRPr="00DC72B6">
        <w:rPr>
          <w:lang w:val="es-ES"/>
        </w:rPr>
        <w:t>.</w:t>
      </w:r>
      <w:r w:rsidR="004D4AAD">
        <w:rPr>
          <w:lang w:val="es-ES_tradnl"/>
        </w:rPr>
        <w:fldChar w:fldCharType="begin"/>
      </w:r>
      <w:r w:rsidR="004D4AAD" w:rsidRPr="00DC72B6">
        <w:rPr>
          <w:lang w:val="es-ES"/>
        </w:rPr>
        <w:instrText xml:space="preserve"> SEQ </w:instrText>
      </w:r>
      <w:r w:rsidR="00DE28D1" w:rsidRPr="00DC72B6">
        <w:rPr>
          <w:lang w:val="es-ES"/>
        </w:rPr>
        <w:instrText>Ilustración</w:instrText>
      </w:r>
      <w:r w:rsidR="004D4AAD" w:rsidRPr="00DC72B6">
        <w:rPr>
          <w:lang w:val="es-ES"/>
        </w:rPr>
        <w:instrText xml:space="preserve"> \* ARABIC \s 1 \* MERGEFORMAT </w:instrText>
      </w:r>
      <w:r w:rsidR="004D4AAD">
        <w:rPr>
          <w:lang w:val="es-ES_tradnl"/>
        </w:rPr>
        <w:fldChar w:fldCharType="separate"/>
      </w:r>
      <w:r w:rsidR="00020F8B">
        <w:rPr>
          <w:noProof/>
          <w:lang w:val="es-ES"/>
        </w:rPr>
        <w:t>5</w:t>
      </w:r>
      <w:r w:rsidR="004D4AAD">
        <w:rPr>
          <w:lang w:val="es-ES_tradnl"/>
        </w:rPr>
        <w:fldChar w:fldCharType="end"/>
      </w:r>
      <w:r w:rsidR="004D4AAD" w:rsidRPr="00DC72B6">
        <w:rPr>
          <w:lang w:val="es-ES"/>
        </w:rPr>
        <w:t xml:space="preserve">: </w:t>
      </w:r>
      <w:r w:rsidR="00DC72B6" w:rsidRPr="00DC72B6">
        <w:rPr>
          <w:lang w:val="es-ES"/>
        </w:rPr>
        <w:t>Evolución</w:t>
      </w:r>
      <w:r w:rsidR="00DC72B6">
        <w:rPr>
          <w:lang w:val="es-ES"/>
        </w:rPr>
        <w:t xml:space="preserve"> de la demanda de banda ancha fija</w:t>
      </w:r>
      <w:r w:rsidR="004D4AAD" w:rsidRPr="00DC72B6">
        <w:rPr>
          <w:lang w:val="es-ES"/>
        </w:rPr>
        <w:t xml:space="preserve"> [</w:t>
      </w:r>
      <w:r w:rsidR="00455438">
        <w:rPr>
          <w:lang w:val="es-ES"/>
        </w:rPr>
        <w:t>Fuente</w:t>
      </w:r>
      <w:r w:rsidR="004D4AAD" w:rsidRPr="00DC72B6">
        <w:rPr>
          <w:lang w:val="es-ES"/>
        </w:rPr>
        <w:t>: Analysys Mason, 2023]</w:t>
      </w:r>
    </w:p>
    <w:p w14:paraId="1247E316" w14:textId="0DD997B4" w:rsidR="004D4AAD" w:rsidRPr="00A61098" w:rsidRDefault="00A03E4C" w:rsidP="003B0B75">
      <w:pPr>
        <w:pStyle w:val="Border"/>
      </w:pPr>
      <w:r w:rsidRPr="00A03E4C">
        <w:rPr>
          <w:noProof/>
        </w:rPr>
        <w:drawing>
          <wp:inline distT="0" distB="0" distL="0" distR="0" wp14:anchorId="0E910583" wp14:editId="62B2B3E6">
            <wp:extent cx="5057140" cy="4563745"/>
            <wp:effectExtent l="0" t="0" r="0" b="0"/>
            <wp:docPr id="1044526009" name="Picture 104452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57140" cy="4563745"/>
                    </a:xfrm>
                    <a:prstGeom prst="rect">
                      <a:avLst/>
                    </a:prstGeom>
                    <a:noFill/>
                    <a:ln>
                      <a:noFill/>
                    </a:ln>
                  </pic:spPr>
                </pic:pic>
              </a:graphicData>
            </a:graphic>
          </wp:inline>
        </w:drawing>
      </w:r>
    </w:p>
    <w:p w14:paraId="377DBE95" w14:textId="03FCCE30" w:rsidR="00DF097D" w:rsidRDefault="00072BAC" w:rsidP="00DF097D">
      <w:pPr>
        <w:rPr>
          <w:lang w:val="es-ES_tradnl"/>
        </w:rPr>
      </w:pPr>
      <w:r>
        <w:rPr>
          <w:lang w:val="es-ES_tradnl"/>
        </w:rPr>
        <w:t>Esta</w:t>
      </w:r>
      <w:r w:rsidR="00742EF7">
        <w:rPr>
          <w:lang w:val="es-ES_tradnl"/>
        </w:rPr>
        <w:t xml:space="preserve"> previsión de penetración se aproxima a niveles cercanos a los registrados actualmente en otros países de Europa y Latinoamérica, </w:t>
      </w:r>
      <w:r w:rsidR="00021F8A">
        <w:rPr>
          <w:lang w:val="es-ES_tradnl"/>
        </w:rPr>
        <w:t>que cuentan con una</w:t>
      </w:r>
      <w:r w:rsidR="00742EF7">
        <w:rPr>
          <w:lang w:val="es-ES_tradnl"/>
        </w:rPr>
        <w:t xml:space="preserve"> mayor adopción de </w:t>
      </w:r>
      <w:r w:rsidR="00021F8A">
        <w:rPr>
          <w:lang w:val="es-ES_tradnl"/>
        </w:rPr>
        <w:t xml:space="preserve">los servicios de </w:t>
      </w:r>
      <w:r w:rsidR="00742EF7">
        <w:rPr>
          <w:lang w:val="es-ES_tradnl"/>
        </w:rPr>
        <w:t xml:space="preserve">banda ancha. </w:t>
      </w:r>
    </w:p>
    <w:p w14:paraId="1F8E3707" w14:textId="74C37312" w:rsidR="00EF3621" w:rsidRDefault="00EF3621" w:rsidP="00EF3621">
      <w:pPr>
        <w:pStyle w:val="Descripcin"/>
        <w:rPr>
          <w:lang w:val="es-ES_tradnl"/>
        </w:rPr>
      </w:pPr>
      <w:r>
        <w:rPr>
          <w:lang w:val="es-ES_tradnl"/>
        </w:rPr>
        <w:lastRenderedPageBreak/>
        <w:t>Figur</w:t>
      </w:r>
      <w:r w:rsidR="00AF1C8E">
        <w:rPr>
          <w:lang w:val="es-ES_tradnl"/>
        </w:rPr>
        <w:t>a</w:t>
      </w:r>
      <w:r>
        <w:rPr>
          <w:lang w:val="es-ES_tradnl"/>
        </w:rPr>
        <w:t xml:space="preserve"> </w:t>
      </w:r>
      <w:r>
        <w:rPr>
          <w:lang w:val="es-ES_tradnl"/>
        </w:rPr>
        <w:fldChar w:fldCharType="begin"/>
      </w:r>
      <w:r>
        <w:rPr>
          <w:lang w:val="es-ES_tradnl"/>
        </w:rPr>
        <w:instrText xml:space="preserve"> STYLEREF 1 \s \* MERGEFORMAT </w:instrText>
      </w:r>
      <w:r>
        <w:rPr>
          <w:lang w:val="es-ES_tradnl"/>
        </w:rPr>
        <w:fldChar w:fldCharType="separate"/>
      </w:r>
      <w:r w:rsidR="00020F8B">
        <w:rPr>
          <w:noProof/>
          <w:lang w:val="es-ES_tradnl"/>
        </w:rPr>
        <w:t>3</w:t>
      </w:r>
      <w:r>
        <w:rPr>
          <w:lang w:val="es-ES_tradnl"/>
        </w:rPr>
        <w:fldChar w:fldCharType="end"/>
      </w:r>
      <w:r>
        <w:rPr>
          <w:lang w:val="es-ES_tradnl"/>
        </w:rPr>
        <w:t>.</w:t>
      </w:r>
      <w:r>
        <w:rPr>
          <w:lang w:val="es-ES_tradnl"/>
        </w:rPr>
        <w:fldChar w:fldCharType="begin"/>
      </w:r>
      <w:r>
        <w:rPr>
          <w:lang w:val="es-ES_tradnl"/>
        </w:rPr>
        <w:instrText xml:space="preserve"> SEQ </w:instrText>
      </w:r>
      <w:r w:rsidR="00DE28D1">
        <w:rPr>
          <w:lang w:val="es-ES_tradnl"/>
        </w:rPr>
        <w:instrText>Ilustración</w:instrText>
      </w:r>
      <w:r>
        <w:rPr>
          <w:lang w:val="es-ES_tradnl"/>
        </w:rPr>
        <w:instrText xml:space="preserve"> \* ARABIC \s 1 \* MERGEFORMAT </w:instrText>
      </w:r>
      <w:r>
        <w:rPr>
          <w:lang w:val="es-ES_tradnl"/>
        </w:rPr>
        <w:fldChar w:fldCharType="separate"/>
      </w:r>
      <w:r w:rsidR="00020F8B">
        <w:rPr>
          <w:noProof/>
          <w:lang w:val="es-ES_tradnl"/>
        </w:rPr>
        <w:t>6</w:t>
      </w:r>
      <w:r>
        <w:rPr>
          <w:lang w:val="es-ES_tradnl"/>
        </w:rPr>
        <w:fldChar w:fldCharType="end"/>
      </w:r>
      <w:r>
        <w:rPr>
          <w:lang w:val="es-ES_tradnl"/>
        </w:rPr>
        <w:t xml:space="preserve">: </w:t>
      </w:r>
      <w:r w:rsidR="00AF1C8E" w:rsidRPr="00AF1C8E">
        <w:rPr>
          <w:lang w:val="es-ES_tradnl"/>
        </w:rPr>
        <w:t xml:space="preserve">Comparativa internacional de la penetración de banda ancha fija en 2022 por hogar </w:t>
      </w:r>
      <w:r>
        <w:rPr>
          <w:lang w:val="es-ES_tradnl"/>
        </w:rPr>
        <w:t>[</w:t>
      </w:r>
      <w:r w:rsidR="00AF1C8E">
        <w:rPr>
          <w:lang w:val="es-ES_tradnl"/>
        </w:rPr>
        <w:t>Fuent</w:t>
      </w:r>
      <w:r>
        <w:rPr>
          <w:lang w:val="es-ES_tradnl"/>
        </w:rPr>
        <w:t>e: Analysys Mason, 2023]</w:t>
      </w:r>
    </w:p>
    <w:p w14:paraId="3FC6D2E8" w14:textId="3C05C3B6" w:rsidR="00EF3621" w:rsidRDefault="00C60AF0" w:rsidP="00EC3FD7">
      <w:pPr>
        <w:pStyle w:val="Border"/>
        <w:rPr>
          <w:lang w:val="es-ES_tradnl"/>
        </w:rPr>
      </w:pPr>
      <w:r w:rsidRPr="00C60AF0">
        <w:rPr>
          <w:noProof/>
        </w:rPr>
        <w:drawing>
          <wp:inline distT="0" distB="0" distL="0" distR="0" wp14:anchorId="38DBADED" wp14:editId="14C29E1A">
            <wp:extent cx="5544185" cy="3161665"/>
            <wp:effectExtent l="0" t="0" r="0" b="0"/>
            <wp:docPr id="2050662964" name="Picture 205066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4185" cy="3161665"/>
                    </a:xfrm>
                    <a:prstGeom prst="rect">
                      <a:avLst/>
                    </a:prstGeom>
                    <a:noFill/>
                    <a:ln>
                      <a:noFill/>
                    </a:ln>
                  </pic:spPr>
                </pic:pic>
              </a:graphicData>
            </a:graphic>
          </wp:inline>
        </w:drawing>
      </w:r>
    </w:p>
    <w:p w14:paraId="5AD18C95" w14:textId="105AAC7B" w:rsidR="003F2D1A" w:rsidRDefault="00E06657" w:rsidP="00BB439D">
      <w:pPr>
        <w:rPr>
          <w:lang w:val="es-ES_tradnl"/>
        </w:rPr>
      </w:pPr>
      <w:r>
        <w:rPr>
          <w:lang w:val="es-ES_tradnl"/>
        </w:rPr>
        <w:t xml:space="preserve">Para determinar de tráfico de datos </w:t>
      </w:r>
      <w:r w:rsidR="00FE3182">
        <w:rPr>
          <w:lang w:val="es-ES_tradnl"/>
        </w:rPr>
        <w:t>de líneas de banda ancha</w:t>
      </w:r>
      <w:r>
        <w:rPr>
          <w:lang w:val="es-ES_tradnl"/>
        </w:rPr>
        <w:t xml:space="preserve">, </w:t>
      </w:r>
      <w:r w:rsidR="00D936BA">
        <w:rPr>
          <w:lang w:val="es-ES_tradnl"/>
        </w:rPr>
        <w:t xml:space="preserve">se </w:t>
      </w:r>
      <w:r w:rsidR="00F7376A">
        <w:rPr>
          <w:lang w:val="es-ES_tradnl"/>
        </w:rPr>
        <w:t>ha estimado</w:t>
      </w:r>
      <w:r w:rsidR="00D936BA">
        <w:rPr>
          <w:lang w:val="es-ES_tradnl"/>
        </w:rPr>
        <w:t xml:space="preserve"> la velocidad </w:t>
      </w:r>
      <w:r w:rsidR="001605AB">
        <w:rPr>
          <w:lang w:val="es-ES_tradnl"/>
        </w:rPr>
        <w:t>nomin</w:t>
      </w:r>
      <w:r w:rsidR="00F372C8">
        <w:rPr>
          <w:lang w:val="es-ES_tradnl"/>
        </w:rPr>
        <w:t xml:space="preserve">al </w:t>
      </w:r>
      <w:r w:rsidR="00D936BA">
        <w:rPr>
          <w:lang w:val="es-ES_tradnl"/>
        </w:rPr>
        <w:t>promedi</w:t>
      </w:r>
      <w:r w:rsidR="00351443">
        <w:rPr>
          <w:lang w:val="es-ES_tradnl"/>
        </w:rPr>
        <w:t>o</w:t>
      </w:r>
      <w:r>
        <w:rPr>
          <w:lang w:val="es-ES_tradnl"/>
        </w:rPr>
        <w:t xml:space="preserve"> por línea</w:t>
      </w:r>
      <w:r w:rsidR="005E08C4">
        <w:rPr>
          <w:lang w:val="es-ES_tradnl"/>
        </w:rPr>
        <w:t>.</w:t>
      </w:r>
      <w:r w:rsidR="00FE3182">
        <w:rPr>
          <w:lang w:val="es-ES_tradnl"/>
        </w:rPr>
        <w:t xml:space="preserve"> </w:t>
      </w:r>
      <w:r w:rsidR="005E08C4">
        <w:rPr>
          <w:lang w:val="es-ES_tradnl"/>
        </w:rPr>
        <w:t>Para este cálculo, se</w:t>
      </w:r>
      <w:r w:rsidR="002E432D">
        <w:rPr>
          <w:lang w:val="es-ES_tradnl"/>
        </w:rPr>
        <w:t xml:space="preserve"> ha</w:t>
      </w:r>
      <w:r w:rsidR="00D3223D">
        <w:rPr>
          <w:lang w:val="es-ES_tradnl"/>
        </w:rPr>
        <w:t>n</w:t>
      </w:r>
      <w:r w:rsidR="002E432D">
        <w:rPr>
          <w:lang w:val="es-ES_tradnl"/>
        </w:rPr>
        <w:t xml:space="preserve"> tomado </w:t>
      </w:r>
      <w:r w:rsidR="00D3223D">
        <w:rPr>
          <w:lang w:val="es-ES_tradnl"/>
        </w:rPr>
        <w:t xml:space="preserve">los </w:t>
      </w:r>
      <w:r w:rsidR="00F372C8">
        <w:rPr>
          <w:lang w:val="es-ES_tradnl"/>
        </w:rPr>
        <w:t>datos</w:t>
      </w:r>
      <w:r w:rsidR="00BD5732">
        <w:rPr>
          <w:lang w:val="es-ES_tradnl"/>
        </w:rPr>
        <w:t xml:space="preserve"> </w:t>
      </w:r>
      <w:r w:rsidR="00D3223D">
        <w:rPr>
          <w:lang w:val="es-ES_tradnl"/>
        </w:rPr>
        <w:t>históricos de los operadores</w:t>
      </w:r>
      <w:r w:rsidR="005E08C4">
        <w:rPr>
          <w:lang w:val="es-ES_tradnl"/>
        </w:rPr>
        <w:t>,</w:t>
      </w:r>
      <w:r w:rsidR="00FE3182">
        <w:rPr>
          <w:lang w:val="es-ES_tradnl"/>
        </w:rPr>
        <w:t xml:space="preserve"> extraíd</w:t>
      </w:r>
      <w:r w:rsidR="0000770E">
        <w:rPr>
          <w:lang w:val="es-ES_tradnl"/>
        </w:rPr>
        <w:t>os</w:t>
      </w:r>
      <w:r w:rsidR="00FE3182">
        <w:rPr>
          <w:lang w:val="es-ES_tradnl"/>
        </w:rPr>
        <w:t xml:space="preserve"> a partir de información provista en el proceso de recopilación de datos</w:t>
      </w:r>
      <w:r w:rsidR="00D3223D">
        <w:rPr>
          <w:lang w:val="es-ES_tradnl"/>
        </w:rPr>
        <w:t>.</w:t>
      </w:r>
      <w:r w:rsidR="00FE3182">
        <w:rPr>
          <w:lang w:val="es-ES_tradnl"/>
        </w:rPr>
        <w:t xml:space="preserve"> </w:t>
      </w:r>
      <w:r w:rsidR="00D3223D">
        <w:rPr>
          <w:lang w:val="es-ES_tradnl"/>
        </w:rPr>
        <w:t>Se ha asumido</w:t>
      </w:r>
      <w:r>
        <w:rPr>
          <w:lang w:val="es-ES_tradnl"/>
        </w:rPr>
        <w:t xml:space="preserve"> un perfil de velocidad creciente en el tiempo, en </w:t>
      </w:r>
      <w:r w:rsidR="00FE3182">
        <w:rPr>
          <w:lang w:val="es-ES_tradnl"/>
        </w:rPr>
        <w:t>línea con</w:t>
      </w:r>
      <w:r>
        <w:rPr>
          <w:lang w:val="es-ES_tradnl"/>
        </w:rPr>
        <w:t xml:space="preserve"> la tendencia histórica. </w:t>
      </w:r>
      <w:r w:rsidR="00A17D86">
        <w:rPr>
          <w:lang w:val="es-ES_tradnl"/>
        </w:rPr>
        <w:t>Cabe destacar que</w:t>
      </w:r>
      <w:r w:rsidR="00071FF3">
        <w:rPr>
          <w:lang w:val="es-ES_tradnl"/>
        </w:rPr>
        <w:t xml:space="preserve"> la velocidad media contratada no corresponde a la capacidad real </w:t>
      </w:r>
      <w:r w:rsidR="00A03DAA">
        <w:rPr>
          <w:lang w:val="es-ES_tradnl"/>
        </w:rPr>
        <w:t xml:space="preserve">de red </w:t>
      </w:r>
      <w:r w:rsidR="00071FF3">
        <w:rPr>
          <w:lang w:val="es-ES_tradnl"/>
        </w:rPr>
        <w:t xml:space="preserve">ocupada por cada línea, </w:t>
      </w:r>
      <w:r w:rsidR="00A17D86">
        <w:rPr>
          <w:lang w:val="es-ES_tradnl"/>
        </w:rPr>
        <w:t>si no</w:t>
      </w:r>
      <w:r w:rsidR="00071FF3">
        <w:rPr>
          <w:lang w:val="es-ES_tradnl"/>
        </w:rPr>
        <w:t xml:space="preserve"> que esta </w:t>
      </w:r>
      <w:r w:rsidR="00A17D86">
        <w:rPr>
          <w:lang w:val="es-ES_tradnl"/>
        </w:rPr>
        <w:t xml:space="preserve">última </w:t>
      </w:r>
      <w:r w:rsidR="00071FF3">
        <w:rPr>
          <w:lang w:val="es-ES_tradnl"/>
        </w:rPr>
        <w:t xml:space="preserve">suele ser considerablemente inferior. </w:t>
      </w:r>
      <w:r w:rsidR="003347B6">
        <w:rPr>
          <w:lang w:val="es-ES_tradnl"/>
        </w:rPr>
        <w:t xml:space="preserve">El tráfico real consumido en la red </w:t>
      </w:r>
      <w:r w:rsidR="000E5A6D">
        <w:rPr>
          <w:lang w:val="es-ES_tradnl"/>
        </w:rPr>
        <w:t>para cada</w:t>
      </w:r>
      <w:r w:rsidR="00306072">
        <w:rPr>
          <w:lang w:val="es-ES_tradnl"/>
        </w:rPr>
        <w:t xml:space="preserve"> </w:t>
      </w:r>
      <w:r w:rsidR="00071FF3">
        <w:rPr>
          <w:lang w:val="es-ES_tradnl"/>
        </w:rPr>
        <w:t xml:space="preserve">velocidad </w:t>
      </w:r>
      <w:r w:rsidR="00791C04">
        <w:rPr>
          <w:lang w:val="es-ES_tradnl"/>
        </w:rPr>
        <w:t>nominal</w:t>
      </w:r>
      <w:r w:rsidR="00071FF3">
        <w:rPr>
          <w:lang w:val="es-ES_tradnl"/>
        </w:rPr>
        <w:t xml:space="preserve"> contratada ha sido </w:t>
      </w:r>
      <w:r w:rsidR="0035614C">
        <w:rPr>
          <w:lang w:val="es-ES_tradnl"/>
        </w:rPr>
        <w:t>estimado a partir de datos proporcionados</w:t>
      </w:r>
      <w:r w:rsidR="00071FF3">
        <w:rPr>
          <w:lang w:val="es-ES_tradnl"/>
        </w:rPr>
        <w:t xml:space="preserve"> por </w:t>
      </w:r>
      <w:r w:rsidR="0035614C">
        <w:rPr>
          <w:lang w:val="es-ES_tradnl"/>
        </w:rPr>
        <w:t>los operadores</w:t>
      </w:r>
      <w:r w:rsidR="00BB439D">
        <w:rPr>
          <w:lang w:val="es-ES_tradnl"/>
        </w:rPr>
        <w:t>.</w:t>
      </w:r>
    </w:p>
    <w:p w14:paraId="5BE74C53" w14:textId="77777777" w:rsidR="00FA0360" w:rsidRDefault="00BB439D" w:rsidP="00FA0360">
      <w:pPr>
        <w:pStyle w:val="Border"/>
        <w:jc w:val="left"/>
        <w:rPr>
          <w:lang w:val="es-ES"/>
        </w:rPr>
      </w:pPr>
      <w:r>
        <w:rPr>
          <w:lang w:val="es-ES"/>
        </w:rPr>
        <w:t xml:space="preserve">Además del </w:t>
      </w:r>
      <w:r w:rsidR="009707AD">
        <w:rPr>
          <w:lang w:val="es-ES"/>
        </w:rPr>
        <w:t>tráfico por línea</w:t>
      </w:r>
      <w:r>
        <w:rPr>
          <w:lang w:val="es-ES"/>
        </w:rPr>
        <w:t xml:space="preserve">, la </w:t>
      </w:r>
      <w:r w:rsidR="004924A5">
        <w:rPr>
          <w:lang w:val="es-ES"/>
        </w:rPr>
        <w:t xml:space="preserve">estimación del tráfico </w:t>
      </w:r>
      <w:r>
        <w:rPr>
          <w:lang w:val="es-ES"/>
        </w:rPr>
        <w:t>efectiv</w:t>
      </w:r>
      <w:r w:rsidR="004924A5">
        <w:rPr>
          <w:lang w:val="es-ES"/>
        </w:rPr>
        <w:t>o</w:t>
      </w:r>
      <w:r>
        <w:rPr>
          <w:lang w:val="es-ES"/>
        </w:rPr>
        <w:t xml:space="preserve"> también </w:t>
      </w:r>
      <w:r w:rsidR="004924A5">
        <w:rPr>
          <w:lang w:val="es-ES"/>
        </w:rPr>
        <w:t>ha tenido en cuenta</w:t>
      </w:r>
      <w:r>
        <w:rPr>
          <w:lang w:val="es-ES"/>
        </w:rPr>
        <w:t xml:space="preserve"> un ajuste </w:t>
      </w:r>
      <w:r w:rsidR="004924A5">
        <w:rPr>
          <w:lang w:val="es-ES"/>
        </w:rPr>
        <w:t xml:space="preserve">en función de las características de calidad ofertadas </w:t>
      </w:r>
      <w:r>
        <w:rPr>
          <w:lang w:val="es-ES"/>
        </w:rPr>
        <w:t xml:space="preserve">por </w:t>
      </w:r>
      <w:r w:rsidR="004924A5">
        <w:rPr>
          <w:lang w:val="es-ES"/>
        </w:rPr>
        <w:t>los operadores</w:t>
      </w:r>
      <w:r>
        <w:rPr>
          <w:lang w:val="es-ES"/>
        </w:rPr>
        <w:t>.</w:t>
      </w:r>
    </w:p>
    <w:p w14:paraId="76E3764E" w14:textId="48B17BCD" w:rsidR="00BB439D" w:rsidRDefault="00BB439D" w:rsidP="00FA0360">
      <w:pPr>
        <w:pStyle w:val="Border"/>
        <w:jc w:val="left"/>
        <w:rPr>
          <w:lang w:val="es-ES"/>
        </w:rPr>
      </w:pPr>
      <w:r>
        <w:rPr>
          <w:lang w:val="es-ES"/>
        </w:rPr>
        <w:t xml:space="preserve">Como resultado, </w:t>
      </w:r>
      <w:r w:rsidR="00981DD2">
        <w:rPr>
          <w:lang w:val="es-ES"/>
        </w:rPr>
        <w:t>el tráfico estimado</w:t>
      </w:r>
      <w:r>
        <w:rPr>
          <w:lang w:val="es-ES"/>
        </w:rPr>
        <w:t xml:space="preserve"> de servicios </w:t>
      </w:r>
      <w:r w:rsidR="002F178E">
        <w:rPr>
          <w:lang w:val="es-ES"/>
        </w:rPr>
        <w:t>de banda ancha</w:t>
      </w:r>
      <w:r>
        <w:rPr>
          <w:lang w:val="es-ES"/>
        </w:rPr>
        <w:t xml:space="preserve"> que resulta del módulo de mercado es la siguiente:</w:t>
      </w:r>
    </w:p>
    <w:p w14:paraId="45B3D475" w14:textId="45F02C9E" w:rsidR="00B94D78" w:rsidRPr="00C77CA6" w:rsidRDefault="00A83BE4" w:rsidP="00A83BE4">
      <w:pPr>
        <w:pStyle w:val="Descripcin"/>
        <w:rPr>
          <w:lang w:val="es-MX"/>
        </w:rPr>
      </w:pPr>
      <w:r w:rsidRPr="00C77CA6">
        <w:rPr>
          <w:lang w:val="es-MX"/>
        </w:rPr>
        <w:lastRenderedPageBreak/>
        <w:t>Figur</w:t>
      </w:r>
      <w:r w:rsidR="00753DC4" w:rsidRPr="00C77CA6">
        <w:rPr>
          <w:lang w:val="es-MX"/>
        </w:rPr>
        <w:t>a</w:t>
      </w:r>
      <w:r w:rsidRPr="00C77CA6">
        <w:rPr>
          <w:lang w:val="es-MX"/>
        </w:rPr>
        <w:t xml:space="preserve"> </w:t>
      </w:r>
      <w:r>
        <w:rPr>
          <w:lang w:val="es-ES_tradnl"/>
        </w:rPr>
        <w:fldChar w:fldCharType="begin"/>
      </w:r>
      <w:r w:rsidRPr="00C77CA6">
        <w:rPr>
          <w:lang w:val="es-MX"/>
        </w:rPr>
        <w:instrText xml:space="preserve"> STYLEREF 1 \s \* MERGEFORMAT </w:instrText>
      </w:r>
      <w:r>
        <w:rPr>
          <w:lang w:val="es-ES_tradnl"/>
        </w:rPr>
        <w:fldChar w:fldCharType="separate"/>
      </w:r>
      <w:r w:rsidR="00020F8B">
        <w:rPr>
          <w:noProof/>
          <w:lang w:val="es-MX"/>
        </w:rPr>
        <w:t>3</w:t>
      </w:r>
      <w:r>
        <w:rPr>
          <w:lang w:val="es-ES_tradnl"/>
        </w:rPr>
        <w:fldChar w:fldCharType="end"/>
      </w:r>
      <w:r w:rsidRPr="00C77CA6">
        <w:rPr>
          <w:lang w:val="es-MX"/>
        </w:rPr>
        <w:t>.</w:t>
      </w:r>
      <w:r>
        <w:rPr>
          <w:lang w:val="es-ES_tradnl"/>
        </w:rPr>
        <w:fldChar w:fldCharType="begin"/>
      </w:r>
      <w:r w:rsidRPr="00C77CA6">
        <w:rPr>
          <w:lang w:val="es-MX"/>
        </w:rPr>
        <w:instrText xml:space="preserve"> SEQ </w:instrText>
      </w:r>
      <w:r w:rsidR="00DE28D1" w:rsidRPr="00C77CA6">
        <w:rPr>
          <w:lang w:val="es-MX"/>
        </w:rPr>
        <w:instrText>Ilustración</w:instrText>
      </w:r>
      <w:r w:rsidRPr="00C77CA6">
        <w:rPr>
          <w:lang w:val="es-MX"/>
        </w:rPr>
        <w:instrText xml:space="preserve"> \* ARABIC \s 1 \* MERGEFORMAT </w:instrText>
      </w:r>
      <w:r>
        <w:rPr>
          <w:lang w:val="es-ES_tradnl"/>
        </w:rPr>
        <w:fldChar w:fldCharType="separate"/>
      </w:r>
      <w:r w:rsidR="00020F8B">
        <w:rPr>
          <w:noProof/>
          <w:lang w:val="es-MX"/>
        </w:rPr>
        <w:t>7</w:t>
      </w:r>
      <w:r>
        <w:rPr>
          <w:lang w:val="es-ES_tradnl"/>
        </w:rPr>
        <w:fldChar w:fldCharType="end"/>
      </w:r>
      <w:r w:rsidRPr="00C77CA6">
        <w:rPr>
          <w:lang w:val="es-MX"/>
        </w:rPr>
        <w:t xml:space="preserve">: </w:t>
      </w:r>
      <w:r w:rsidR="00753DC4" w:rsidRPr="00C77CA6">
        <w:rPr>
          <w:lang w:val="es-MX"/>
        </w:rPr>
        <w:t xml:space="preserve">Tráfico de banda ancha minorista </w:t>
      </w:r>
      <w:r w:rsidRPr="00C77CA6">
        <w:rPr>
          <w:lang w:val="es-MX"/>
        </w:rPr>
        <w:t>[</w:t>
      </w:r>
      <w:r w:rsidR="00753DC4" w:rsidRPr="00C77CA6">
        <w:rPr>
          <w:lang w:val="es-MX"/>
        </w:rPr>
        <w:t>Fuente</w:t>
      </w:r>
      <w:r w:rsidRPr="00C77CA6">
        <w:rPr>
          <w:lang w:val="es-MX"/>
        </w:rPr>
        <w:t>: Analysys Mason, 2023]</w:t>
      </w:r>
    </w:p>
    <w:p w14:paraId="1AF59971" w14:textId="4EA2EB57" w:rsidR="00A83BE4" w:rsidRDefault="005306A2" w:rsidP="00A83BE4">
      <w:pPr>
        <w:pStyle w:val="Border"/>
      </w:pPr>
      <w:r w:rsidRPr="005306A2">
        <w:rPr>
          <w:noProof/>
        </w:rPr>
        <w:drawing>
          <wp:inline distT="0" distB="0" distL="0" distR="0" wp14:anchorId="079F079F" wp14:editId="73DA209A">
            <wp:extent cx="5255895" cy="2075180"/>
            <wp:effectExtent l="0" t="0" r="1905" b="0"/>
            <wp:docPr id="1863990872" name="Picture 186399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5895" cy="2075180"/>
                    </a:xfrm>
                    <a:prstGeom prst="rect">
                      <a:avLst/>
                    </a:prstGeom>
                    <a:noFill/>
                    <a:ln>
                      <a:noFill/>
                    </a:ln>
                  </pic:spPr>
                </pic:pic>
              </a:graphicData>
            </a:graphic>
          </wp:inline>
        </w:drawing>
      </w:r>
    </w:p>
    <w:p w14:paraId="40C303C9" w14:textId="4BADF462" w:rsidR="002F178E" w:rsidRDefault="002F178E" w:rsidP="002F178E">
      <w:pPr>
        <w:rPr>
          <w:lang w:val="es-ES_tradnl"/>
        </w:rPr>
      </w:pPr>
      <w:r>
        <w:rPr>
          <w:lang w:val="es-ES_tradnl"/>
        </w:rPr>
        <w:t xml:space="preserve">El módulo de mercado </w:t>
      </w:r>
      <w:r w:rsidR="003758EB">
        <w:rPr>
          <w:lang w:val="es-ES_tradnl"/>
        </w:rPr>
        <w:t>desagrega</w:t>
      </w:r>
      <w:r w:rsidR="000204DA">
        <w:rPr>
          <w:lang w:val="es-ES_tradnl"/>
        </w:rPr>
        <w:t xml:space="preserve"> </w:t>
      </w:r>
      <w:r>
        <w:rPr>
          <w:lang w:val="es-ES_tradnl"/>
        </w:rPr>
        <w:t xml:space="preserve">la demanda total de servicios </w:t>
      </w:r>
      <w:r w:rsidR="003758EB">
        <w:rPr>
          <w:lang w:val="es-ES_tradnl"/>
        </w:rPr>
        <w:t>de banda ancha en función de si</w:t>
      </w:r>
      <w:r w:rsidR="003F6917">
        <w:rPr>
          <w:lang w:val="es-ES_tradnl"/>
        </w:rPr>
        <w:t xml:space="preserve"> se </w:t>
      </w:r>
      <w:r w:rsidR="00243CC0">
        <w:rPr>
          <w:lang w:val="es-ES_tradnl"/>
        </w:rPr>
        <w:t>originan en</w:t>
      </w:r>
      <w:r w:rsidR="003F6917">
        <w:rPr>
          <w:lang w:val="es-ES_tradnl"/>
        </w:rPr>
        <w:t xml:space="preserve"> clientes minoristas o mayoristas (SAIB) en el caso del operador hipotético basado en el AEP</w:t>
      </w:r>
      <w:r>
        <w:rPr>
          <w:lang w:val="es-ES_tradnl"/>
        </w:rPr>
        <w:t>.</w:t>
      </w:r>
      <w:r w:rsidR="000436A9">
        <w:rPr>
          <w:lang w:val="es-ES_tradnl"/>
        </w:rPr>
        <w:t xml:space="preserve"> </w:t>
      </w:r>
      <w:r w:rsidR="003F6917">
        <w:rPr>
          <w:lang w:val="es-ES_tradnl"/>
        </w:rPr>
        <w:t>En el caso del SAIB, no se incluye el tráfico y líneas de banda ancha comercializadas en favor de otras empresas del AEP (esto es, líneas vendidas por Red Nacional Última Milla a Telmex). Estas líneas se consideran</w:t>
      </w:r>
      <w:r w:rsidR="003B72F9">
        <w:rPr>
          <w:lang w:val="es-ES_tradnl"/>
        </w:rPr>
        <w:t xml:space="preserve"> equivalentes a las líneas minoristas desde un punto de vista de red</w:t>
      </w:r>
      <w:r w:rsidR="000C2752">
        <w:rPr>
          <w:lang w:val="es-ES_tradnl"/>
        </w:rPr>
        <w:t>, dado que generan</w:t>
      </w:r>
      <w:r w:rsidR="004640D5">
        <w:rPr>
          <w:lang w:val="es-ES_tradnl"/>
        </w:rPr>
        <w:t xml:space="preserve"> tráfico en la red del operador modelado</w:t>
      </w:r>
      <w:r w:rsidR="00D611AD">
        <w:rPr>
          <w:lang w:val="es-ES_tradnl"/>
        </w:rPr>
        <w:t xml:space="preserve"> en todas las capas de red, independientemente de si la </w:t>
      </w:r>
      <w:r w:rsidR="00956375">
        <w:rPr>
          <w:lang w:val="es-ES_tradnl"/>
        </w:rPr>
        <w:t>agregación</w:t>
      </w:r>
      <w:r w:rsidR="00D611AD">
        <w:rPr>
          <w:lang w:val="es-ES_tradnl"/>
        </w:rPr>
        <w:t xml:space="preserve"> se lleva a cabo a</w:t>
      </w:r>
      <w:r w:rsidR="00956375">
        <w:rPr>
          <w:lang w:val="es-ES_tradnl"/>
        </w:rPr>
        <w:t xml:space="preserve"> </w:t>
      </w:r>
      <w:r w:rsidR="00D611AD">
        <w:rPr>
          <w:lang w:val="es-ES_tradnl"/>
        </w:rPr>
        <w:t>nivel local, regional o nacional</w:t>
      </w:r>
      <w:r w:rsidR="00F304EE">
        <w:rPr>
          <w:lang w:val="es-ES_tradnl"/>
        </w:rPr>
        <w:t>.</w:t>
      </w:r>
    </w:p>
    <w:p w14:paraId="317A5B08" w14:textId="105A355B" w:rsidR="004D1D8D" w:rsidRPr="004D1D8D" w:rsidRDefault="004D1D8D" w:rsidP="00613648">
      <w:pPr>
        <w:pStyle w:val="Ttulo4"/>
        <w:rPr>
          <w:lang w:val="es-ES_tradnl"/>
        </w:rPr>
      </w:pPr>
      <w:r w:rsidRPr="004D1D8D">
        <w:rPr>
          <w:lang w:val="es-ES_tradnl"/>
        </w:rPr>
        <w:t>Enlaces dedicados</w:t>
      </w:r>
    </w:p>
    <w:p w14:paraId="575D4368" w14:textId="3FA1888A" w:rsidR="00FB63F8" w:rsidRDefault="000C707E" w:rsidP="00741E3F">
      <w:pPr>
        <w:rPr>
          <w:lang w:val="es-ES_tradnl"/>
        </w:rPr>
      </w:pPr>
      <w:r>
        <w:rPr>
          <w:lang w:val="es-ES_tradnl"/>
        </w:rPr>
        <w:t>Como parte de la demanda de servicios fijos, e</w:t>
      </w:r>
      <w:r w:rsidR="00930B1F" w:rsidRPr="00930B1F">
        <w:rPr>
          <w:lang w:val="es-ES_tradnl"/>
        </w:rPr>
        <w:t>l</w:t>
      </w:r>
      <w:r w:rsidR="00930B1F">
        <w:rPr>
          <w:lang w:val="es-ES_tradnl"/>
        </w:rPr>
        <w:t xml:space="preserve"> módulo de mercado incluye </w:t>
      </w:r>
      <w:r>
        <w:rPr>
          <w:lang w:val="es-ES_tradnl"/>
        </w:rPr>
        <w:t xml:space="preserve">el volumen de enlaces y tráfico de enlaces dedicados locales y de larga distancia para el </w:t>
      </w:r>
      <w:r w:rsidR="00DF4827">
        <w:rPr>
          <w:lang w:val="es-ES_tradnl"/>
        </w:rPr>
        <w:t>AEP</w:t>
      </w:r>
      <w:r>
        <w:rPr>
          <w:lang w:val="es-ES_tradnl"/>
        </w:rPr>
        <w:t xml:space="preserve">. El tráfico total de los enlaces dedicados alimenta el </w:t>
      </w:r>
      <w:r w:rsidR="00DF4827">
        <w:rPr>
          <w:lang w:val="es-ES_tradnl"/>
        </w:rPr>
        <w:t>módulo de redes fijas</w:t>
      </w:r>
      <w:r>
        <w:rPr>
          <w:lang w:val="es-ES_tradnl"/>
        </w:rPr>
        <w:t>, para que en este se pueda calcular el costo total de</w:t>
      </w:r>
      <w:r w:rsidR="00DF4827">
        <w:rPr>
          <w:lang w:val="es-ES_tradnl"/>
        </w:rPr>
        <w:t>l transporte</w:t>
      </w:r>
      <w:r>
        <w:rPr>
          <w:lang w:val="es-ES_tradnl"/>
        </w:rPr>
        <w:t xml:space="preserve"> </w:t>
      </w:r>
      <w:r w:rsidR="00DF4827">
        <w:rPr>
          <w:lang w:val="es-ES_tradnl"/>
        </w:rPr>
        <w:t>de estos servicios</w:t>
      </w:r>
      <w:r>
        <w:rPr>
          <w:lang w:val="es-ES_tradnl"/>
        </w:rPr>
        <w:t xml:space="preserve">. Por otro lado, el número de </w:t>
      </w:r>
      <w:r w:rsidR="00AB1C4A">
        <w:rPr>
          <w:lang w:val="es-ES_tradnl"/>
        </w:rPr>
        <w:t>líneas</w:t>
      </w:r>
      <w:r>
        <w:rPr>
          <w:lang w:val="es-ES_tradnl"/>
        </w:rPr>
        <w:t xml:space="preserve"> de enlaces alimenta el módulo de enlaces dedicados, dónde consta la desagregación de la demanda por las distintas velocidades</w:t>
      </w:r>
      <w:r w:rsidR="0070518A">
        <w:rPr>
          <w:lang w:val="es-ES_tradnl"/>
        </w:rPr>
        <w:t xml:space="preserve"> para el cálculo de los costos para cada </w:t>
      </w:r>
      <w:r w:rsidR="00631715">
        <w:rPr>
          <w:lang w:val="es-ES_tradnl"/>
        </w:rPr>
        <w:t>velocidad</w:t>
      </w:r>
      <w:r>
        <w:rPr>
          <w:lang w:val="es-ES_tradnl"/>
        </w:rPr>
        <w:t xml:space="preserve">. </w:t>
      </w:r>
    </w:p>
    <w:p w14:paraId="56332C60" w14:textId="5A7BDC5F" w:rsidR="001937E4" w:rsidRDefault="00783026" w:rsidP="001937E4">
      <w:pPr>
        <w:rPr>
          <w:lang w:val="es-ES"/>
        </w:rPr>
      </w:pPr>
      <w:r>
        <w:rPr>
          <w:lang w:val="es-ES_tradnl"/>
        </w:rPr>
        <w:t xml:space="preserve">La demanda se calcula a partir de datos recibidos por el AEP solicitados en el requerimiento de </w:t>
      </w:r>
      <w:r w:rsidR="004629E5">
        <w:rPr>
          <w:lang w:val="es-ES_tradnl"/>
        </w:rPr>
        <w:t>informaci</w:t>
      </w:r>
      <w:r w:rsidR="004629E5" w:rsidRPr="004629E5">
        <w:rPr>
          <w:lang w:val="es-ES"/>
        </w:rPr>
        <w:t>ó</w:t>
      </w:r>
      <w:r w:rsidR="004629E5">
        <w:rPr>
          <w:lang w:val="es-ES"/>
        </w:rPr>
        <w:t>n</w:t>
      </w:r>
      <w:r>
        <w:rPr>
          <w:lang w:val="es-ES_tradnl"/>
        </w:rPr>
        <w:t>. Se ha analizado las tendencias históricas de la demanda para distintos perfiles de velocidad y tipo de enlaces (TDM y Ethernet)</w:t>
      </w:r>
      <w:r w:rsidR="00C00694">
        <w:rPr>
          <w:lang w:val="es-ES_tradnl"/>
        </w:rPr>
        <w:t xml:space="preserve"> </w:t>
      </w:r>
      <w:r>
        <w:rPr>
          <w:lang w:val="es-ES_tradnl"/>
        </w:rPr>
        <w:t xml:space="preserve">y se proyecta la demanda acorde con </w:t>
      </w:r>
      <w:r w:rsidR="00C00694">
        <w:rPr>
          <w:lang w:val="es-ES_tradnl"/>
        </w:rPr>
        <w:t>el crecimiento o de</w:t>
      </w:r>
      <w:r w:rsidR="009D2F6A">
        <w:rPr>
          <w:lang w:val="es-ES_tradnl"/>
        </w:rPr>
        <w:t>crecimiento observado:</w:t>
      </w:r>
    </w:p>
    <w:p w14:paraId="2F2AC21B" w14:textId="2348E399" w:rsidR="008E5757" w:rsidRDefault="001937E4" w:rsidP="00741E3F">
      <w:pPr>
        <w:rPr>
          <w:lang w:val="es-ES"/>
        </w:rPr>
      </w:pPr>
      <w:r>
        <w:rPr>
          <w:lang w:val="es-ES"/>
        </w:rPr>
        <w:t>Los datos muestran que</w:t>
      </w:r>
      <w:r w:rsidR="00FA0360">
        <w:rPr>
          <w:lang w:val="es-ES"/>
        </w:rPr>
        <w:t>,</w:t>
      </w:r>
      <w:r>
        <w:rPr>
          <w:lang w:val="es-ES"/>
        </w:rPr>
        <w:t xml:space="preserve"> si bien </w:t>
      </w:r>
      <w:r w:rsidR="00E3125D">
        <w:rPr>
          <w:lang w:val="es-ES"/>
        </w:rPr>
        <w:t>el número total de enlaces se mantiene relativamente estable en el tiempo</w:t>
      </w:r>
      <w:r w:rsidR="00897A09">
        <w:rPr>
          <w:lang w:val="es-ES"/>
        </w:rPr>
        <w:t>, existe una tendencia hacia migración desde servicios TDM hacia servicios Ethernet</w:t>
      </w:r>
      <w:r w:rsidR="00D7097B">
        <w:rPr>
          <w:lang w:val="es-ES"/>
        </w:rPr>
        <w:t>, así como un incremento en el tráfico total de las líneas.</w:t>
      </w:r>
    </w:p>
    <w:p w14:paraId="11A1A324" w14:textId="0ED83790" w:rsidR="001433F2" w:rsidRPr="00F01910" w:rsidRDefault="00E83EEC" w:rsidP="002F178E">
      <w:pPr>
        <w:rPr>
          <w:lang w:val="es-ES"/>
        </w:rPr>
      </w:pPr>
      <w:r>
        <w:rPr>
          <w:lang w:val="es-ES"/>
        </w:rPr>
        <w:t xml:space="preserve">En el caso de los enlaces locales, el módulo de enlaces dedicados considera también la proporción de enlaces coubicados, </w:t>
      </w:r>
      <w:r w:rsidR="00007963">
        <w:rPr>
          <w:lang w:val="es-ES"/>
        </w:rPr>
        <w:t xml:space="preserve">es decir, enlaces </w:t>
      </w:r>
      <w:r w:rsidR="005F4FDD">
        <w:rPr>
          <w:lang w:val="es-ES"/>
        </w:rPr>
        <w:t>donde el tráfico se entrega en la propia central del AEP y no en el emplazamiento de cliente</w:t>
      </w:r>
      <w:r w:rsidR="00007963">
        <w:rPr>
          <w:lang w:val="es-ES"/>
        </w:rPr>
        <w:t xml:space="preserve">. Estos han sido estimados en 20% de los enlaces locales totales, basado en la información proporcionada por el AEP. El modelo asume la misma proporción de enlaces coubicados en el tiempo. </w:t>
      </w:r>
    </w:p>
    <w:p w14:paraId="22FFEB65" w14:textId="15AB2BFE" w:rsidR="00753DC4" w:rsidRDefault="00753DC4" w:rsidP="00753DC4">
      <w:pPr>
        <w:pStyle w:val="Ttulo4"/>
      </w:pPr>
      <w:r>
        <w:lastRenderedPageBreak/>
        <w:t>TV de paga</w:t>
      </w:r>
    </w:p>
    <w:p w14:paraId="071D72C1" w14:textId="1DCFD7A3" w:rsidR="00741E3F" w:rsidRDefault="00E570FE" w:rsidP="00741E3F">
      <w:pPr>
        <w:rPr>
          <w:lang w:val="es-ES"/>
        </w:rPr>
      </w:pPr>
      <w:r>
        <w:rPr>
          <w:lang w:val="es-ES"/>
        </w:rPr>
        <w:t>Para el servicio de televisión de paga, s</w:t>
      </w:r>
      <w:r w:rsidRPr="00E570FE">
        <w:rPr>
          <w:lang w:val="es-ES"/>
        </w:rPr>
        <w:t>e asume que la penetració</w:t>
      </w:r>
      <w:r>
        <w:rPr>
          <w:lang w:val="es-ES"/>
        </w:rPr>
        <w:t>n por hogar se quedará relativamente estable en 70%. Esto es un efecto de dos factores:</w:t>
      </w:r>
    </w:p>
    <w:p w14:paraId="5433B4E7" w14:textId="1C0B00E9" w:rsidR="00E570FE" w:rsidRDefault="00E570FE" w:rsidP="00F729EF">
      <w:pPr>
        <w:pStyle w:val="ListBulletCompact"/>
        <w:numPr>
          <w:ilvl w:val="0"/>
          <w:numId w:val="39"/>
        </w:numPr>
        <w:rPr>
          <w:lang w:val="es-ES"/>
        </w:rPr>
      </w:pPr>
      <w:r>
        <w:rPr>
          <w:lang w:val="es-ES"/>
        </w:rPr>
        <w:t xml:space="preserve">Esperamos que las conexiones de televisión inalámbricas desciendan considerablemente del 30% del total de </w:t>
      </w:r>
      <w:r w:rsidR="004E656B">
        <w:rPr>
          <w:lang w:val="es-ES"/>
        </w:rPr>
        <w:t>líneas</w:t>
      </w:r>
      <w:r>
        <w:rPr>
          <w:lang w:val="es-ES"/>
        </w:rPr>
        <w:t xml:space="preserve"> que representaron en 2021 al 15% en 2030, debido al aumento de infraestructura fija disponible</w:t>
      </w:r>
    </w:p>
    <w:p w14:paraId="0078C451" w14:textId="3C4A1530" w:rsidR="00E570FE" w:rsidRDefault="00E570FE" w:rsidP="00F729EF">
      <w:pPr>
        <w:pStyle w:val="ListBulletCompact"/>
        <w:numPr>
          <w:ilvl w:val="0"/>
          <w:numId w:val="39"/>
        </w:numPr>
        <w:rPr>
          <w:lang w:val="es-ES"/>
        </w:rPr>
      </w:pPr>
      <w:r>
        <w:rPr>
          <w:lang w:val="es-ES"/>
        </w:rPr>
        <w:t>Esperamos que las conexiones de televisión de paga fijas continúen creciendo, pero a menor ritmo debido al efecto de sustitución por servicios OTTs</w:t>
      </w:r>
    </w:p>
    <w:p w14:paraId="1F77DF62" w14:textId="3C41E6C9" w:rsidR="00E570FE" w:rsidRPr="00BF035D" w:rsidRDefault="00E570FE" w:rsidP="00E570FE">
      <w:pPr>
        <w:pStyle w:val="Descripcin"/>
        <w:rPr>
          <w:lang w:val="es-ES"/>
        </w:rPr>
      </w:pPr>
      <w:r w:rsidRPr="00BF035D">
        <w:rPr>
          <w:lang w:val="es-ES"/>
        </w:rPr>
        <w:t xml:space="preserve">Figura </w:t>
      </w:r>
      <w:r>
        <w:rPr>
          <w:lang w:val="es-ES"/>
        </w:rPr>
        <w:fldChar w:fldCharType="begin"/>
      </w:r>
      <w:r w:rsidRPr="00BF035D">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BF035D">
        <w:rPr>
          <w:lang w:val="es-ES"/>
        </w:rPr>
        <w:t>.</w:t>
      </w:r>
      <w:r>
        <w:rPr>
          <w:lang w:val="es-ES"/>
        </w:rPr>
        <w:fldChar w:fldCharType="begin"/>
      </w:r>
      <w:r w:rsidRPr="00BF035D">
        <w:rPr>
          <w:lang w:val="es-ES"/>
        </w:rPr>
        <w:instrText xml:space="preserve"> SEQ </w:instrText>
      </w:r>
      <w:r w:rsidR="00DE28D1">
        <w:rPr>
          <w:lang w:val="es-ES"/>
        </w:rPr>
        <w:instrText>Ilustración</w:instrText>
      </w:r>
      <w:r w:rsidRPr="00BF035D">
        <w:rPr>
          <w:lang w:val="es-ES"/>
        </w:rPr>
        <w:instrText xml:space="preserve"> \* ARABIC \s 1 \* MERGEFORMAT </w:instrText>
      </w:r>
      <w:r>
        <w:rPr>
          <w:lang w:val="es-ES"/>
        </w:rPr>
        <w:fldChar w:fldCharType="separate"/>
      </w:r>
      <w:r w:rsidR="00020F8B">
        <w:rPr>
          <w:noProof/>
          <w:lang w:val="es-ES"/>
        </w:rPr>
        <w:t>8</w:t>
      </w:r>
      <w:r>
        <w:rPr>
          <w:lang w:val="es-ES"/>
        </w:rPr>
        <w:fldChar w:fldCharType="end"/>
      </w:r>
      <w:r w:rsidRPr="00BF035D">
        <w:rPr>
          <w:lang w:val="es-ES"/>
        </w:rPr>
        <w:t xml:space="preserve">: </w:t>
      </w:r>
      <w:r w:rsidR="00442999" w:rsidRPr="00BF035D">
        <w:rPr>
          <w:lang w:val="es-ES"/>
        </w:rPr>
        <w:t xml:space="preserve">Previsiones de penetración de televisión de paga </w:t>
      </w:r>
      <w:r w:rsidRPr="00BF035D">
        <w:rPr>
          <w:lang w:val="es-ES"/>
        </w:rPr>
        <w:t>[</w:t>
      </w:r>
      <w:r w:rsidR="00442999" w:rsidRPr="00BF035D">
        <w:rPr>
          <w:lang w:val="es-ES"/>
        </w:rPr>
        <w:t>Fuente</w:t>
      </w:r>
      <w:r w:rsidRPr="00BF035D">
        <w:rPr>
          <w:lang w:val="es-ES"/>
        </w:rPr>
        <w:t>: Analysys Mason, 2023]</w:t>
      </w:r>
    </w:p>
    <w:p w14:paraId="64364E80" w14:textId="7ECFBF76" w:rsidR="00E570FE" w:rsidRPr="00E570FE" w:rsidRDefault="00DE1CA5" w:rsidP="00BF035D">
      <w:pPr>
        <w:pStyle w:val="Border"/>
      </w:pPr>
      <w:r w:rsidRPr="00DE1CA5">
        <w:rPr>
          <w:noProof/>
        </w:rPr>
        <w:drawing>
          <wp:inline distT="0" distB="0" distL="0" distR="0" wp14:anchorId="37029D2F" wp14:editId="70CCE08F">
            <wp:extent cx="5064760" cy="4635500"/>
            <wp:effectExtent l="0" t="0" r="0" b="0"/>
            <wp:docPr id="934380451" name="Picture 93438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4760" cy="4635500"/>
                    </a:xfrm>
                    <a:prstGeom prst="rect">
                      <a:avLst/>
                    </a:prstGeom>
                    <a:noFill/>
                    <a:ln>
                      <a:noFill/>
                    </a:ln>
                  </pic:spPr>
                </pic:pic>
              </a:graphicData>
            </a:graphic>
          </wp:inline>
        </w:drawing>
      </w:r>
    </w:p>
    <w:p w14:paraId="2DEC980E" w14:textId="61CC9A81" w:rsidR="00230973" w:rsidRDefault="006E3579" w:rsidP="00230973">
      <w:pPr>
        <w:pStyle w:val="Ttulo3"/>
        <w:rPr>
          <w:lang w:val="es-ES_tradnl"/>
        </w:rPr>
      </w:pPr>
      <w:bookmarkStart w:id="31" w:name="_Ref135683388"/>
      <w:r>
        <w:rPr>
          <w:lang w:val="es-ES_tradnl"/>
        </w:rPr>
        <w:t>Servicios</w:t>
      </w:r>
      <w:r w:rsidR="00230973">
        <w:rPr>
          <w:lang w:val="es-ES_tradnl"/>
        </w:rPr>
        <w:t xml:space="preserve"> de red móvil</w:t>
      </w:r>
      <w:bookmarkEnd w:id="31"/>
    </w:p>
    <w:p w14:paraId="46D9E401" w14:textId="6086AD86" w:rsidR="004D1D8D" w:rsidRDefault="004D1D8D" w:rsidP="004D1D8D">
      <w:pPr>
        <w:pStyle w:val="Ttulo4"/>
        <w:rPr>
          <w:lang w:val="es-ES_tradnl"/>
        </w:rPr>
      </w:pPr>
      <w:r>
        <w:rPr>
          <w:lang w:val="es-ES_tradnl"/>
        </w:rPr>
        <w:t>Telefonía móvil</w:t>
      </w:r>
    </w:p>
    <w:p w14:paraId="300CCA77" w14:textId="624E82A1" w:rsidR="004D1D8D" w:rsidRDefault="004D1D8D" w:rsidP="004D1D8D">
      <w:pPr>
        <w:rPr>
          <w:lang w:val="es-ES_tradnl"/>
        </w:rPr>
      </w:pPr>
      <w:r>
        <w:rPr>
          <w:lang w:val="es-ES_tradnl"/>
        </w:rPr>
        <w:t xml:space="preserve">Para proyectar la demanda de los servicios de telefonía móvil, el módulo de mercado estima la penetración sobre </w:t>
      </w:r>
      <w:r w:rsidR="00FA0360">
        <w:rPr>
          <w:lang w:val="es-ES_tradnl"/>
        </w:rPr>
        <w:t>la p</w:t>
      </w:r>
      <w:r>
        <w:rPr>
          <w:lang w:val="es-ES_tradnl"/>
        </w:rPr>
        <w:t xml:space="preserve">oblación partiendo de los datos históricos </w:t>
      </w:r>
      <w:r w:rsidR="00EB5E49">
        <w:rPr>
          <w:lang w:val="es-ES_tradnl"/>
        </w:rPr>
        <w:t xml:space="preserve">de líneas móviles </w:t>
      </w:r>
      <w:r>
        <w:rPr>
          <w:lang w:val="es-ES_tradnl"/>
        </w:rPr>
        <w:t>publicados en el BIT</w:t>
      </w:r>
      <w:r w:rsidR="00EB5E49">
        <w:rPr>
          <w:lang w:val="es-ES_tradnl"/>
        </w:rPr>
        <w:t>. Estos datos</w:t>
      </w:r>
      <w:r>
        <w:rPr>
          <w:lang w:val="es-ES_tradnl"/>
        </w:rPr>
        <w:t xml:space="preserve"> </w:t>
      </w:r>
      <w:r w:rsidR="00EB5E49">
        <w:rPr>
          <w:lang w:val="es-ES_tradnl"/>
        </w:rPr>
        <w:t>se proyectan a futuro</w:t>
      </w:r>
      <w:r>
        <w:rPr>
          <w:lang w:val="es-ES_tradnl"/>
        </w:rPr>
        <w:t xml:space="preserve"> mediante una función sigmoide para alcanzar una penetración objetivo </w:t>
      </w:r>
      <w:r>
        <w:rPr>
          <w:lang w:val="es-ES_tradnl"/>
        </w:rPr>
        <w:lastRenderedPageBreak/>
        <w:t xml:space="preserve">a largo plazo. Actualmente, la penetración móvil en México es de 99%, y se espera que aumente a 105% en el 2030, año en el que se estabilizaría. </w:t>
      </w:r>
    </w:p>
    <w:p w14:paraId="75BFF15F" w14:textId="7D2C2B44" w:rsidR="004D1D8D" w:rsidRDefault="004D1D8D" w:rsidP="004D1D8D">
      <w:pPr>
        <w:pStyle w:val="Descripcin"/>
        <w:rPr>
          <w:lang w:val="es-ES_tradnl"/>
        </w:rPr>
      </w:pPr>
      <w:r>
        <w:rPr>
          <w:lang w:val="es-ES_tradnl"/>
        </w:rPr>
        <w:t xml:space="preserve">Figura </w:t>
      </w:r>
      <w:r>
        <w:rPr>
          <w:lang w:val="es-ES_tradnl"/>
        </w:rPr>
        <w:fldChar w:fldCharType="begin"/>
      </w:r>
      <w:r>
        <w:rPr>
          <w:lang w:val="es-ES_tradnl"/>
        </w:rPr>
        <w:instrText xml:space="preserve"> STYLEREF 1 \s \* MERGEFORMAT </w:instrText>
      </w:r>
      <w:r>
        <w:rPr>
          <w:lang w:val="es-ES_tradnl"/>
        </w:rPr>
        <w:fldChar w:fldCharType="separate"/>
      </w:r>
      <w:r w:rsidR="00020F8B">
        <w:rPr>
          <w:noProof/>
          <w:lang w:val="es-ES_tradnl"/>
        </w:rPr>
        <w:t>3</w:t>
      </w:r>
      <w:r>
        <w:rPr>
          <w:lang w:val="es-ES_tradnl"/>
        </w:rPr>
        <w:fldChar w:fldCharType="end"/>
      </w:r>
      <w:r>
        <w:rPr>
          <w:lang w:val="es-ES_tradnl"/>
        </w:rPr>
        <w:t>.</w:t>
      </w:r>
      <w:r>
        <w:rPr>
          <w:lang w:val="es-ES_tradnl"/>
        </w:rPr>
        <w:fldChar w:fldCharType="begin"/>
      </w:r>
      <w:r>
        <w:rPr>
          <w:lang w:val="es-ES_tradnl"/>
        </w:rPr>
        <w:instrText xml:space="preserve"> SEQ </w:instrText>
      </w:r>
      <w:r w:rsidR="00DE28D1">
        <w:rPr>
          <w:lang w:val="es-ES_tradnl"/>
        </w:rPr>
        <w:instrText>Ilustración</w:instrText>
      </w:r>
      <w:r>
        <w:rPr>
          <w:lang w:val="es-ES_tradnl"/>
        </w:rPr>
        <w:instrText xml:space="preserve"> \* ARABIC \s 1 \* MERGEFORMAT </w:instrText>
      </w:r>
      <w:r>
        <w:rPr>
          <w:lang w:val="es-ES_tradnl"/>
        </w:rPr>
        <w:fldChar w:fldCharType="separate"/>
      </w:r>
      <w:r w:rsidR="00020F8B">
        <w:rPr>
          <w:noProof/>
          <w:lang w:val="es-ES_tradnl"/>
        </w:rPr>
        <w:t>9</w:t>
      </w:r>
      <w:r>
        <w:rPr>
          <w:lang w:val="es-ES_tradnl"/>
        </w:rPr>
        <w:fldChar w:fldCharType="end"/>
      </w:r>
      <w:r>
        <w:rPr>
          <w:lang w:val="es-ES_tradnl"/>
        </w:rPr>
        <w:t xml:space="preserve">: </w:t>
      </w:r>
      <w:r w:rsidRPr="002B1504">
        <w:rPr>
          <w:lang w:val="es-ES_tradnl"/>
        </w:rPr>
        <w:t xml:space="preserve">Previsiones de penetración móvil </w:t>
      </w:r>
      <w:r>
        <w:rPr>
          <w:lang w:val="es-ES_tradnl"/>
        </w:rPr>
        <w:t>[Fuente: Analysys Mason, 2023]</w:t>
      </w:r>
    </w:p>
    <w:p w14:paraId="5F9BC7EA" w14:textId="5DFD8F1D" w:rsidR="004D1D8D" w:rsidRDefault="00EB0289" w:rsidP="004D1D8D">
      <w:pPr>
        <w:pStyle w:val="Border"/>
        <w:rPr>
          <w:lang w:val="es-ES_tradnl"/>
        </w:rPr>
      </w:pPr>
      <w:r w:rsidRPr="00EB0289">
        <w:rPr>
          <w:noProof/>
        </w:rPr>
        <w:drawing>
          <wp:inline distT="0" distB="0" distL="0" distR="0" wp14:anchorId="60FE1368" wp14:editId="0B808F13">
            <wp:extent cx="5160645" cy="2186305"/>
            <wp:effectExtent l="0" t="0" r="0" b="0"/>
            <wp:docPr id="1366696971" name="Picture 136669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0645" cy="2186305"/>
                    </a:xfrm>
                    <a:prstGeom prst="rect">
                      <a:avLst/>
                    </a:prstGeom>
                    <a:noFill/>
                    <a:ln>
                      <a:noFill/>
                    </a:ln>
                  </pic:spPr>
                </pic:pic>
              </a:graphicData>
            </a:graphic>
          </wp:inline>
        </w:drawing>
      </w:r>
    </w:p>
    <w:p w14:paraId="76514654" w14:textId="70312674" w:rsidR="004D1D8D" w:rsidRDefault="004D1D8D" w:rsidP="004D1D8D">
      <w:pPr>
        <w:rPr>
          <w:lang w:val="es-ES_tradnl"/>
        </w:rPr>
      </w:pPr>
      <w:r>
        <w:rPr>
          <w:lang w:val="es-ES_tradnl"/>
        </w:rPr>
        <w:t>Al igual que los servicios fijos, para estimar la evolución del tráfico</w:t>
      </w:r>
      <w:r w:rsidR="001A2EC6">
        <w:rPr>
          <w:lang w:val="es-ES_tradnl"/>
        </w:rPr>
        <w:t xml:space="preserve"> de voz móvil</w:t>
      </w:r>
      <w:r>
        <w:rPr>
          <w:lang w:val="es-ES_tradnl"/>
        </w:rPr>
        <w:t>, se parte del tráfico por usuario actual y se proyecta a futuro para luego obtener el tráfico total al multiplicarlo por el número de usuarios. En 2021 el tráfico por usuario fue de 216 minutos al mes, y estimamos que este decrezca hasta 202 minutos. Sin embargo, debido al crecimiento de usuarios, el tráfico total se estima que crecerá de 323 200 millones de minutos anuales en 2021 hasta alcanzar los 344 300 millones de minutos anuales en 2030.</w:t>
      </w:r>
    </w:p>
    <w:p w14:paraId="2703FB0E" w14:textId="5B1511B1" w:rsidR="004D1D8D" w:rsidRPr="004162BC" w:rsidRDefault="004D1D8D" w:rsidP="004D1D8D">
      <w:pPr>
        <w:pStyle w:val="Descripcin"/>
        <w:rPr>
          <w:lang w:val="es-ES"/>
        </w:rPr>
      </w:pPr>
      <w:r w:rsidRPr="004162BC">
        <w:rPr>
          <w:lang w:val="es-ES"/>
        </w:rPr>
        <w:t xml:space="preserve">Figura </w:t>
      </w:r>
      <w:r>
        <w:rPr>
          <w:lang w:val="es-ES_tradnl"/>
        </w:rPr>
        <w:fldChar w:fldCharType="begin"/>
      </w:r>
      <w:r w:rsidRPr="004162BC">
        <w:rPr>
          <w:lang w:val="es-ES"/>
        </w:rPr>
        <w:instrText xml:space="preserve"> STYLEREF 1 \s \* MERGEFORMAT </w:instrText>
      </w:r>
      <w:r>
        <w:rPr>
          <w:lang w:val="es-ES_tradnl"/>
        </w:rPr>
        <w:fldChar w:fldCharType="separate"/>
      </w:r>
      <w:r w:rsidR="00020F8B">
        <w:rPr>
          <w:noProof/>
          <w:lang w:val="es-ES"/>
        </w:rPr>
        <w:t>3</w:t>
      </w:r>
      <w:r>
        <w:rPr>
          <w:lang w:val="es-ES_tradnl"/>
        </w:rPr>
        <w:fldChar w:fldCharType="end"/>
      </w:r>
      <w:r w:rsidRPr="004162BC">
        <w:rPr>
          <w:lang w:val="es-ES"/>
        </w:rPr>
        <w:t>.</w:t>
      </w:r>
      <w:r>
        <w:rPr>
          <w:lang w:val="es-ES_tradnl"/>
        </w:rPr>
        <w:fldChar w:fldCharType="begin"/>
      </w:r>
      <w:r w:rsidRPr="004162BC">
        <w:rPr>
          <w:lang w:val="es-ES"/>
        </w:rPr>
        <w:instrText xml:space="preserve"> SEQ </w:instrText>
      </w:r>
      <w:r w:rsidR="00DE28D1">
        <w:rPr>
          <w:lang w:val="es-ES"/>
        </w:rPr>
        <w:instrText>Ilustración</w:instrText>
      </w:r>
      <w:r w:rsidRPr="004162BC">
        <w:rPr>
          <w:lang w:val="es-ES"/>
        </w:rPr>
        <w:instrText xml:space="preserve"> \* ARABIC \s 1 \* MERGEFORMAT </w:instrText>
      </w:r>
      <w:r>
        <w:rPr>
          <w:lang w:val="es-ES_tradnl"/>
        </w:rPr>
        <w:fldChar w:fldCharType="separate"/>
      </w:r>
      <w:r w:rsidR="00020F8B">
        <w:rPr>
          <w:noProof/>
          <w:lang w:val="es-ES"/>
        </w:rPr>
        <w:t>10</w:t>
      </w:r>
      <w:r>
        <w:rPr>
          <w:lang w:val="es-ES_tradnl"/>
        </w:rPr>
        <w:fldChar w:fldCharType="end"/>
      </w:r>
      <w:r w:rsidRPr="004162BC">
        <w:rPr>
          <w:lang w:val="es-ES"/>
        </w:rPr>
        <w:t>: Previsiones del tráfico originado por usuarios al mes [Fuente: Analysys Mason, 2023]</w:t>
      </w:r>
    </w:p>
    <w:p w14:paraId="5EC30959" w14:textId="1FEE1C01" w:rsidR="004D1D8D" w:rsidRPr="005725DA" w:rsidRDefault="00466E56" w:rsidP="004D1D8D">
      <w:pPr>
        <w:pStyle w:val="Border"/>
        <w:rPr>
          <w:lang w:val="es-ES_tradnl"/>
        </w:rPr>
      </w:pPr>
      <w:r w:rsidRPr="00466E56">
        <w:rPr>
          <w:noProof/>
        </w:rPr>
        <w:drawing>
          <wp:inline distT="0" distB="0" distL="0" distR="0" wp14:anchorId="40B41164" wp14:editId="6031CED9">
            <wp:extent cx="5081270" cy="2268855"/>
            <wp:effectExtent l="0" t="0" r="5080" b="0"/>
            <wp:docPr id="1322754067" name="Picture 132275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1270" cy="2268855"/>
                    </a:xfrm>
                    <a:prstGeom prst="rect">
                      <a:avLst/>
                    </a:prstGeom>
                    <a:noFill/>
                    <a:ln>
                      <a:noFill/>
                    </a:ln>
                  </pic:spPr>
                </pic:pic>
              </a:graphicData>
            </a:graphic>
          </wp:inline>
        </w:drawing>
      </w:r>
    </w:p>
    <w:p w14:paraId="7B4A7D2F" w14:textId="77777777" w:rsidR="004D1D8D" w:rsidRDefault="004D1D8D" w:rsidP="004D1D8D">
      <w:pPr>
        <w:rPr>
          <w:lang w:val="es-ES_tradnl"/>
        </w:rPr>
      </w:pPr>
      <w:r w:rsidRPr="00E27871">
        <w:rPr>
          <w:lang w:val="es-ES_tradnl"/>
        </w:rPr>
        <w:t>En términos de tráfico entrante en redes móviles, el número de minutos aumentará también de los 101 700 millones en 2021 hasta los más de 115 400 millones en 2030</w:t>
      </w:r>
      <w:r>
        <w:rPr>
          <w:lang w:val="es-ES_tradnl"/>
        </w:rPr>
        <w:t>:</w:t>
      </w:r>
    </w:p>
    <w:p w14:paraId="73B17CD1" w14:textId="2FB06C1B" w:rsidR="004D1D8D" w:rsidRDefault="004D1D8D" w:rsidP="004D1D8D">
      <w:pPr>
        <w:pStyle w:val="Descripcin"/>
        <w:rPr>
          <w:lang w:val="es-ES_tradnl"/>
        </w:rPr>
      </w:pPr>
      <w:r>
        <w:rPr>
          <w:lang w:val="es-ES_tradnl"/>
        </w:rPr>
        <w:lastRenderedPageBreak/>
        <w:t xml:space="preserve">Figura </w:t>
      </w:r>
      <w:r>
        <w:rPr>
          <w:lang w:val="es-ES_tradnl"/>
        </w:rPr>
        <w:fldChar w:fldCharType="begin"/>
      </w:r>
      <w:r>
        <w:rPr>
          <w:lang w:val="es-ES_tradnl"/>
        </w:rPr>
        <w:instrText xml:space="preserve"> STYLEREF 1 \s \* MERGEFORMAT </w:instrText>
      </w:r>
      <w:r>
        <w:rPr>
          <w:lang w:val="es-ES_tradnl"/>
        </w:rPr>
        <w:fldChar w:fldCharType="separate"/>
      </w:r>
      <w:r w:rsidR="00020F8B">
        <w:rPr>
          <w:noProof/>
          <w:lang w:val="es-ES_tradnl"/>
        </w:rPr>
        <w:t>3</w:t>
      </w:r>
      <w:r>
        <w:rPr>
          <w:lang w:val="es-ES_tradnl"/>
        </w:rPr>
        <w:fldChar w:fldCharType="end"/>
      </w:r>
      <w:r>
        <w:rPr>
          <w:lang w:val="es-ES_tradnl"/>
        </w:rPr>
        <w:t>.</w:t>
      </w:r>
      <w:r>
        <w:rPr>
          <w:lang w:val="es-ES_tradnl"/>
        </w:rPr>
        <w:fldChar w:fldCharType="begin"/>
      </w:r>
      <w:r>
        <w:rPr>
          <w:lang w:val="es-ES_tradnl"/>
        </w:rPr>
        <w:instrText xml:space="preserve"> SEQ </w:instrText>
      </w:r>
      <w:r w:rsidR="00DE28D1">
        <w:rPr>
          <w:lang w:val="es-ES_tradnl"/>
        </w:rPr>
        <w:instrText>Ilustración</w:instrText>
      </w:r>
      <w:r>
        <w:rPr>
          <w:lang w:val="es-ES_tradnl"/>
        </w:rPr>
        <w:instrText xml:space="preserve"> \* ARABIC \s 1 \* MERGEFORMAT </w:instrText>
      </w:r>
      <w:r>
        <w:rPr>
          <w:lang w:val="es-ES_tradnl"/>
        </w:rPr>
        <w:fldChar w:fldCharType="separate"/>
      </w:r>
      <w:r w:rsidR="00020F8B">
        <w:rPr>
          <w:noProof/>
          <w:lang w:val="es-ES_tradnl"/>
        </w:rPr>
        <w:t>11</w:t>
      </w:r>
      <w:r>
        <w:rPr>
          <w:lang w:val="es-ES_tradnl"/>
        </w:rPr>
        <w:fldChar w:fldCharType="end"/>
      </w:r>
      <w:r>
        <w:rPr>
          <w:lang w:val="es-ES_tradnl"/>
        </w:rPr>
        <w:t xml:space="preserve">: </w:t>
      </w:r>
      <w:r w:rsidRPr="00B333E9">
        <w:rPr>
          <w:lang w:val="es-ES_tradnl"/>
        </w:rPr>
        <w:t xml:space="preserve">Previsiones del tráfico terminado por usuarios al mes </w:t>
      </w:r>
      <w:r>
        <w:rPr>
          <w:lang w:val="es-ES_tradnl"/>
        </w:rPr>
        <w:t>[Fuente: Analysys Mason, 2023]</w:t>
      </w:r>
    </w:p>
    <w:p w14:paraId="7B0E4ACB" w14:textId="689DABB3" w:rsidR="004D1D8D" w:rsidRDefault="00977898" w:rsidP="004D1D8D">
      <w:pPr>
        <w:pStyle w:val="Border"/>
        <w:rPr>
          <w:lang w:val="es-ES_tradnl"/>
        </w:rPr>
      </w:pPr>
      <w:r w:rsidRPr="00977898">
        <w:rPr>
          <w:noProof/>
        </w:rPr>
        <w:drawing>
          <wp:inline distT="0" distB="0" distL="0" distR="0" wp14:anchorId="26E850CB" wp14:editId="1C92E525">
            <wp:extent cx="4961890" cy="2273935"/>
            <wp:effectExtent l="0" t="0" r="0" b="0"/>
            <wp:docPr id="1239420260" name="Picture 123942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61890" cy="2273935"/>
                    </a:xfrm>
                    <a:prstGeom prst="rect">
                      <a:avLst/>
                    </a:prstGeom>
                    <a:noFill/>
                    <a:ln>
                      <a:noFill/>
                    </a:ln>
                  </pic:spPr>
                </pic:pic>
              </a:graphicData>
            </a:graphic>
          </wp:inline>
        </w:drawing>
      </w:r>
    </w:p>
    <w:p w14:paraId="70AA3998" w14:textId="6DB4146F" w:rsidR="006E1A14" w:rsidRDefault="00822214" w:rsidP="000C3C38">
      <w:pPr>
        <w:rPr>
          <w:lang w:val="es-ES_tradnl"/>
        </w:rPr>
      </w:pPr>
      <w:r>
        <w:rPr>
          <w:lang w:val="es-ES_tradnl"/>
        </w:rPr>
        <w:t>Tanto el tráfico originado como el terminado son repartidos en el modelo móvil entre las distintas tecnologías existentes (2G, 3G, 4G y 5G)</w:t>
      </w:r>
      <w:r w:rsidR="001E4412">
        <w:rPr>
          <w:lang w:val="es-ES_tradnl"/>
        </w:rPr>
        <w:t>. Este reparto ha sido realizado basándose en datos proporcionados por los operadores y se ha evolucionado en el</w:t>
      </w:r>
      <w:r w:rsidR="007B28EB">
        <w:rPr>
          <w:lang w:val="es-ES_tradnl"/>
        </w:rPr>
        <w:t xml:space="preserve"> tiempo </w:t>
      </w:r>
      <w:r w:rsidR="006E1A14">
        <w:rPr>
          <w:lang w:val="es-ES_tradnl"/>
        </w:rPr>
        <w:t>de tal manera que:</w:t>
      </w:r>
    </w:p>
    <w:p w14:paraId="4AA77EC9" w14:textId="687D5C07" w:rsidR="000C3C38" w:rsidRDefault="006E1A14" w:rsidP="006E1A14">
      <w:pPr>
        <w:pStyle w:val="ListBulletCompact"/>
        <w:numPr>
          <w:ilvl w:val="0"/>
          <w:numId w:val="44"/>
        </w:numPr>
        <w:rPr>
          <w:lang w:val="es-ES_tradnl"/>
        </w:rPr>
      </w:pPr>
      <w:r>
        <w:rPr>
          <w:lang w:val="es-ES_tradnl"/>
        </w:rPr>
        <w:t xml:space="preserve">se </w:t>
      </w:r>
      <w:r w:rsidR="007B28EB">
        <w:rPr>
          <w:lang w:val="es-ES_tradnl"/>
        </w:rPr>
        <w:t>asum</w:t>
      </w:r>
      <w:r>
        <w:rPr>
          <w:lang w:val="es-ES_tradnl"/>
        </w:rPr>
        <w:t xml:space="preserve">e </w:t>
      </w:r>
      <w:r w:rsidR="007B28EB">
        <w:rPr>
          <w:lang w:val="es-ES_tradnl"/>
        </w:rPr>
        <w:t>un apagado en la red 2G en 2023 tanto para el AEP como el CS</w:t>
      </w:r>
    </w:p>
    <w:p w14:paraId="3C753981" w14:textId="0EC9D36F" w:rsidR="00195657" w:rsidRPr="00195657" w:rsidRDefault="0085611C" w:rsidP="00195657">
      <w:pPr>
        <w:pStyle w:val="ListBulletCompact"/>
        <w:numPr>
          <w:ilvl w:val="0"/>
          <w:numId w:val="44"/>
        </w:numPr>
        <w:rPr>
          <w:lang w:val="es-ES_tradnl"/>
        </w:rPr>
      </w:pPr>
      <w:r>
        <w:rPr>
          <w:lang w:val="es-ES_tradnl"/>
        </w:rPr>
        <w:t>la adopción de</w:t>
      </w:r>
      <w:r w:rsidR="006E1A14">
        <w:rPr>
          <w:lang w:val="es-ES_tradnl"/>
        </w:rPr>
        <w:t xml:space="preserve"> VoLTE </w:t>
      </w:r>
      <w:r w:rsidR="00195657">
        <w:rPr>
          <w:lang w:val="es-ES_tradnl"/>
        </w:rPr>
        <w:t>es menor</w:t>
      </w:r>
      <w:r>
        <w:rPr>
          <w:lang w:val="es-ES_tradnl"/>
        </w:rPr>
        <w:t xml:space="preserve"> para el CS que para el AEP</w:t>
      </w:r>
    </w:p>
    <w:p w14:paraId="15C762B9" w14:textId="5D85872E" w:rsidR="0085611C" w:rsidRDefault="0085611C" w:rsidP="006E1A14">
      <w:pPr>
        <w:pStyle w:val="ListBulletCompact"/>
        <w:numPr>
          <w:ilvl w:val="0"/>
          <w:numId w:val="44"/>
        </w:numPr>
        <w:rPr>
          <w:lang w:val="es-ES_tradnl"/>
        </w:rPr>
      </w:pPr>
      <w:r>
        <w:rPr>
          <w:lang w:val="es-ES_tradnl"/>
        </w:rPr>
        <w:t>no se asume ninguna tecnología nueva más all</w:t>
      </w:r>
      <w:r w:rsidR="00FA14D6">
        <w:rPr>
          <w:lang w:val="es-ES_tradnl"/>
        </w:rPr>
        <w:t>á de las existentes</w:t>
      </w:r>
      <w:r w:rsidR="005A3AAF">
        <w:rPr>
          <w:lang w:val="es-ES_tradnl"/>
        </w:rPr>
        <w:t xml:space="preserve"> (p.ej. 6G)</w:t>
      </w:r>
    </w:p>
    <w:p w14:paraId="760DD10F" w14:textId="2F8E832B" w:rsidR="005A3AAF" w:rsidRDefault="005A3AAF" w:rsidP="005B04C4">
      <w:pPr>
        <w:rPr>
          <w:lang w:val="es-ES_tradnl"/>
        </w:rPr>
      </w:pPr>
      <w:r>
        <w:rPr>
          <w:lang w:val="es-ES_tradnl"/>
        </w:rPr>
        <w:t xml:space="preserve">A </w:t>
      </w:r>
      <w:r w:rsidR="00DD26AE">
        <w:rPr>
          <w:lang w:val="es-ES_tradnl"/>
        </w:rPr>
        <w:t>continuación,</w:t>
      </w:r>
      <w:r>
        <w:rPr>
          <w:lang w:val="es-ES_tradnl"/>
        </w:rPr>
        <w:t xml:space="preserve"> se muestra </w:t>
      </w:r>
      <w:r w:rsidR="000B45D6">
        <w:rPr>
          <w:lang w:val="es-ES_tradnl"/>
        </w:rPr>
        <w:t>el reparto que el modelo asume tanto para el AEP como para el CS</w:t>
      </w:r>
      <w:r w:rsidR="00195657">
        <w:rPr>
          <w:lang w:val="es-ES_tradnl"/>
        </w:rPr>
        <w:t>, este reparto aplica a el tráfico originado y terminado</w:t>
      </w:r>
      <w:r w:rsidR="000B45D6">
        <w:rPr>
          <w:lang w:val="es-ES_tradnl"/>
        </w:rPr>
        <w:t>:</w:t>
      </w:r>
    </w:p>
    <w:p w14:paraId="0756977F" w14:textId="663EC3A0" w:rsidR="000B45D6" w:rsidRPr="00C17002" w:rsidRDefault="00C17002" w:rsidP="00C17002">
      <w:pPr>
        <w:pStyle w:val="Descripcin"/>
        <w:rPr>
          <w:lang w:val="es-ES"/>
        </w:rPr>
      </w:pPr>
      <w:r w:rsidRPr="00C17002">
        <w:rPr>
          <w:lang w:val="es-ES"/>
        </w:rPr>
        <w:t>Figur</w:t>
      </w:r>
      <w:r w:rsidR="00DD26AE">
        <w:rPr>
          <w:lang w:val="es-ES"/>
        </w:rPr>
        <w:t>a</w:t>
      </w:r>
      <w:r w:rsidRPr="00C17002">
        <w:rPr>
          <w:lang w:val="es-ES"/>
        </w:rPr>
        <w:t xml:space="preserve"> </w:t>
      </w:r>
      <w:r>
        <w:rPr>
          <w:lang w:val="es-ES_tradnl"/>
        </w:rPr>
        <w:fldChar w:fldCharType="begin"/>
      </w:r>
      <w:r w:rsidRPr="00C17002">
        <w:rPr>
          <w:lang w:val="es-ES"/>
        </w:rPr>
        <w:instrText xml:space="preserve"> STYLEREF 1 \s \* MERGEFORMAT </w:instrText>
      </w:r>
      <w:r>
        <w:rPr>
          <w:lang w:val="es-ES_tradnl"/>
        </w:rPr>
        <w:fldChar w:fldCharType="separate"/>
      </w:r>
      <w:r w:rsidR="00020F8B">
        <w:rPr>
          <w:noProof/>
          <w:lang w:val="es-ES"/>
        </w:rPr>
        <w:t>3</w:t>
      </w:r>
      <w:r>
        <w:rPr>
          <w:lang w:val="es-ES_tradnl"/>
        </w:rPr>
        <w:fldChar w:fldCharType="end"/>
      </w:r>
      <w:r w:rsidRPr="00C17002">
        <w:rPr>
          <w:lang w:val="es-ES"/>
        </w:rPr>
        <w:t>.</w:t>
      </w:r>
      <w:r>
        <w:rPr>
          <w:lang w:val="es-ES_tradnl"/>
        </w:rPr>
        <w:fldChar w:fldCharType="begin"/>
      </w:r>
      <w:r w:rsidRPr="00C17002">
        <w:rPr>
          <w:lang w:val="es-ES"/>
        </w:rPr>
        <w:instrText xml:space="preserve"> </w:instrText>
      </w:r>
      <w:r w:rsidR="00A95662">
        <w:rPr>
          <w:lang w:val="es-ES"/>
        </w:rPr>
        <w:instrText>SEQ Ilustración</w:instrText>
      </w:r>
      <w:r w:rsidRPr="00C17002">
        <w:rPr>
          <w:lang w:val="es-ES"/>
        </w:rPr>
        <w:instrText xml:space="preserve"> \* ARABIC \s 1 \* MERGEFORMAT </w:instrText>
      </w:r>
      <w:r>
        <w:rPr>
          <w:lang w:val="es-ES_tradnl"/>
        </w:rPr>
        <w:fldChar w:fldCharType="separate"/>
      </w:r>
      <w:r w:rsidR="00020F8B">
        <w:rPr>
          <w:noProof/>
          <w:lang w:val="es-ES"/>
        </w:rPr>
        <w:t>12</w:t>
      </w:r>
      <w:r>
        <w:rPr>
          <w:lang w:val="es-ES_tradnl"/>
        </w:rPr>
        <w:fldChar w:fldCharType="end"/>
      </w:r>
      <w:r w:rsidRPr="00C17002">
        <w:rPr>
          <w:lang w:val="es-ES"/>
        </w:rPr>
        <w:t>: Reparto de tráfico de voz por tecnología para el AEP (izqui</w:t>
      </w:r>
      <w:r>
        <w:rPr>
          <w:lang w:val="es-ES"/>
        </w:rPr>
        <w:t>erda) y el CS (derecha)</w:t>
      </w:r>
      <w:r w:rsidRPr="00C17002">
        <w:rPr>
          <w:lang w:val="es-ES"/>
        </w:rPr>
        <w:t xml:space="preserve"> [</w:t>
      </w:r>
      <w:r w:rsidR="00DD26AE">
        <w:rPr>
          <w:lang w:val="es-ES"/>
        </w:rPr>
        <w:t>Fuente</w:t>
      </w:r>
      <w:r w:rsidRPr="00C17002">
        <w:rPr>
          <w:lang w:val="es-ES"/>
        </w:rPr>
        <w:t>: Analysys Mason, 2023]</w:t>
      </w:r>
    </w:p>
    <w:p w14:paraId="3A94802D" w14:textId="6B6F93B3" w:rsidR="00C17002" w:rsidRPr="00C17002" w:rsidRDefault="000844AB" w:rsidP="000844AB">
      <w:pPr>
        <w:pStyle w:val="Border"/>
      </w:pPr>
      <w:r w:rsidRPr="000844AB">
        <w:rPr>
          <w:noProof/>
        </w:rPr>
        <w:drawing>
          <wp:inline distT="0" distB="0" distL="0" distR="0" wp14:anchorId="36BF6398" wp14:editId="28765A07">
            <wp:extent cx="5544185" cy="3195955"/>
            <wp:effectExtent l="0" t="0" r="0" b="0"/>
            <wp:docPr id="337578118" name="Picture 33757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4185" cy="3195955"/>
                    </a:xfrm>
                    <a:prstGeom prst="rect">
                      <a:avLst/>
                    </a:prstGeom>
                    <a:noFill/>
                    <a:ln>
                      <a:noFill/>
                    </a:ln>
                  </pic:spPr>
                </pic:pic>
              </a:graphicData>
            </a:graphic>
          </wp:inline>
        </w:drawing>
      </w:r>
    </w:p>
    <w:p w14:paraId="6E584B19" w14:textId="77777777" w:rsidR="004D1D8D" w:rsidRDefault="004D1D8D" w:rsidP="004D1D8D">
      <w:pPr>
        <w:pStyle w:val="Ttulo4"/>
        <w:rPr>
          <w:lang w:val="es-ES_tradnl"/>
        </w:rPr>
      </w:pPr>
      <w:r>
        <w:rPr>
          <w:lang w:val="es-ES_tradnl"/>
        </w:rPr>
        <w:lastRenderedPageBreak/>
        <w:t>Datos móviles</w:t>
      </w:r>
    </w:p>
    <w:p w14:paraId="4C45F9F0" w14:textId="561D330E" w:rsidR="004D1D8D" w:rsidRDefault="004D1D8D" w:rsidP="004D1D8D">
      <w:pPr>
        <w:rPr>
          <w:lang w:val="es-ES_tradnl"/>
        </w:rPr>
      </w:pPr>
      <w:r>
        <w:rPr>
          <w:lang w:val="es-ES_tradnl"/>
        </w:rPr>
        <w:t xml:space="preserve">Para el servicio de internet móvil, se estima que la penetración crecerá desde el 83% de la población en el 2021 hasta cerca </w:t>
      </w:r>
      <w:r w:rsidRPr="00504C32">
        <w:rPr>
          <w:lang w:val="es-ES_tradnl"/>
        </w:rPr>
        <w:t>del 95% en el año 2030, en línea con comparativas internacionales</w:t>
      </w:r>
      <w:r>
        <w:rPr>
          <w:lang w:val="es-ES_tradnl"/>
        </w:rPr>
        <w:t xml:space="preserve">. La </w:t>
      </w:r>
      <w:r w:rsidR="00DD26AE">
        <w:rPr>
          <w:lang w:val="es-ES_tradnl"/>
        </w:rPr>
        <w:fldChar w:fldCharType="begin"/>
      </w:r>
      <w:r w:rsidR="00DD26AE">
        <w:rPr>
          <w:lang w:val="es-ES_tradnl"/>
        </w:rPr>
        <w:instrText xml:space="preserve"> REF _Ref135838135 \h </w:instrText>
      </w:r>
      <w:r w:rsidR="00DD26AE">
        <w:rPr>
          <w:lang w:val="es-ES_tradnl"/>
        </w:rPr>
      </w:r>
      <w:r w:rsidR="00DD26AE">
        <w:rPr>
          <w:lang w:val="es-ES_tradnl"/>
        </w:rPr>
        <w:fldChar w:fldCharType="separate"/>
      </w:r>
      <w:r w:rsidR="00020F8B">
        <w:rPr>
          <w:lang w:val="es-ES_tradnl"/>
        </w:rPr>
        <w:t xml:space="preserve">Figura </w:t>
      </w:r>
      <w:r w:rsidR="00020F8B">
        <w:rPr>
          <w:noProof/>
          <w:lang w:val="es-ES_tradnl"/>
        </w:rPr>
        <w:t>3</w:t>
      </w:r>
      <w:r w:rsidR="00020F8B">
        <w:rPr>
          <w:lang w:val="es-ES_tradnl"/>
        </w:rPr>
        <w:t>.</w:t>
      </w:r>
      <w:r w:rsidR="00020F8B">
        <w:rPr>
          <w:noProof/>
          <w:lang w:val="es-ES_tradnl"/>
        </w:rPr>
        <w:t>13</w:t>
      </w:r>
      <w:r w:rsidR="00DD26AE">
        <w:rPr>
          <w:lang w:val="es-ES_tradnl"/>
        </w:rPr>
        <w:fldChar w:fldCharType="end"/>
      </w:r>
      <w:r w:rsidR="00DD26AE">
        <w:rPr>
          <w:lang w:val="es-ES_tradnl"/>
        </w:rPr>
        <w:t xml:space="preserve"> </w:t>
      </w:r>
      <w:r>
        <w:rPr>
          <w:lang w:val="es-ES_tradnl"/>
        </w:rPr>
        <w:t>muestra la evolución de penetración y conexiones resultante del módulo fijo.</w:t>
      </w:r>
    </w:p>
    <w:p w14:paraId="33924FC5" w14:textId="714B1F52" w:rsidR="004D1D8D" w:rsidRDefault="004D1D8D" w:rsidP="004D1D8D">
      <w:pPr>
        <w:pStyle w:val="Descripcin"/>
        <w:rPr>
          <w:lang w:val="es-ES_tradnl"/>
        </w:rPr>
      </w:pPr>
      <w:bookmarkStart w:id="32" w:name="_Ref135838135"/>
      <w:r>
        <w:rPr>
          <w:lang w:val="es-ES_tradnl"/>
        </w:rPr>
        <w:t xml:space="preserve">Figura </w:t>
      </w:r>
      <w:r>
        <w:rPr>
          <w:lang w:val="es-ES_tradnl"/>
        </w:rPr>
        <w:fldChar w:fldCharType="begin"/>
      </w:r>
      <w:r>
        <w:rPr>
          <w:lang w:val="es-ES_tradnl"/>
        </w:rPr>
        <w:instrText xml:space="preserve"> STYLEREF 1 \s \* MERGEFORMAT </w:instrText>
      </w:r>
      <w:r>
        <w:rPr>
          <w:lang w:val="es-ES_tradnl"/>
        </w:rPr>
        <w:fldChar w:fldCharType="separate"/>
      </w:r>
      <w:r w:rsidR="00020F8B">
        <w:rPr>
          <w:noProof/>
          <w:lang w:val="es-ES_tradnl"/>
        </w:rPr>
        <w:t>3</w:t>
      </w:r>
      <w:r>
        <w:rPr>
          <w:lang w:val="es-ES_tradnl"/>
        </w:rPr>
        <w:fldChar w:fldCharType="end"/>
      </w:r>
      <w:r>
        <w:rPr>
          <w:lang w:val="es-ES_tradnl"/>
        </w:rPr>
        <w:t>.</w:t>
      </w:r>
      <w:r>
        <w:rPr>
          <w:lang w:val="es-ES_tradnl"/>
        </w:rPr>
        <w:fldChar w:fldCharType="begin"/>
      </w:r>
      <w:r>
        <w:rPr>
          <w:lang w:val="es-ES_tradnl"/>
        </w:rPr>
        <w:instrText xml:space="preserve"> SEQ </w:instrText>
      </w:r>
      <w:r w:rsidR="00DE28D1">
        <w:rPr>
          <w:lang w:val="es-ES_tradnl"/>
        </w:rPr>
        <w:instrText>Ilustración</w:instrText>
      </w:r>
      <w:r>
        <w:rPr>
          <w:lang w:val="es-ES_tradnl"/>
        </w:rPr>
        <w:instrText xml:space="preserve"> \* ARABIC \s 1 \* MERGEFORMAT </w:instrText>
      </w:r>
      <w:r>
        <w:rPr>
          <w:lang w:val="es-ES_tradnl"/>
        </w:rPr>
        <w:fldChar w:fldCharType="separate"/>
      </w:r>
      <w:r w:rsidR="00020F8B">
        <w:rPr>
          <w:noProof/>
          <w:lang w:val="es-ES_tradnl"/>
        </w:rPr>
        <w:t>13</w:t>
      </w:r>
      <w:r>
        <w:rPr>
          <w:lang w:val="es-ES_tradnl"/>
        </w:rPr>
        <w:fldChar w:fldCharType="end"/>
      </w:r>
      <w:bookmarkEnd w:id="32"/>
      <w:r>
        <w:rPr>
          <w:lang w:val="es-ES_tradnl"/>
        </w:rPr>
        <w:t xml:space="preserve">: </w:t>
      </w:r>
      <w:r w:rsidRPr="002463E7">
        <w:rPr>
          <w:lang w:val="es-ES_tradnl"/>
        </w:rPr>
        <w:t xml:space="preserve">Previsiones de penetración de internet móvil </w:t>
      </w:r>
      <w:r>
        <w:rPr>
          <w:lang w:val="es-ES_tradnl"/>
        </w:rPr>
        <w:t>[Fuente: Analysys Mason, 2023]</w:t>
      </w:r>
    </w:p>
    <w:p w14:paraId="0F0AFB68" w14:textId="4A33A0BC" w:rsidR="004D1D8D" w:rsidRDefault="00FE107E" w:rsidP="004D1D8D">
      <w:pPr>
        <w:pStyle w:val="Border"/>
        <w:rPr>
          <w:lang w:val="es-ES_tradnl"/>
        </w:rPr>
      </w:pPr>
      <w:r w:rsidRPr="00FE107E">
        <w:rPr>
          <w:noProof/>
        </w:rPr>
        <w:drawing>
          <wp:inline distT="0" distB="0" distL="0" distR="0" wp14:anchorId="75CE2968" wp14:editId="770F265A">
            <wp:extent cx="5112385" cy="2122805"/>
            <wp:effectExtent l="0" t="0" r="0" b="0"/>
            <wp:docPr id="67249185" name="Picture 6724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2385" cy="2122805"/>
                    </a:xfrm>
                    <a:prstGeom prst="rect">
                      <a:avLst/>
                    </a:prstGeom>
                    <a:noFill/>
                    <a:ln>
                      <a:noFill/>
                    </a:ln>
                  </pic:spPr>
                </pic:pic>
              </a:graphicData>
            </a:graphic>
          </wp:inline>
        </w:drawing>
      </w:r>
    </w:p>
    <w:p w14:paraId="335B7928" w14:textId="77777777" w:rsidR="004D1D8D" w:rsidRDefault="004D1D8D" w:rsidP="004D1D8D">
      <w:pPr>
        <w:rPr>
          <w:lang w:val="es-ES_tradnl"/>
        </w:rPr>
      </w:pPr>
      <w:r>
        <w:rPr>
          <w:lang w:val="es-ES_tradnl"/>
        </w:rPr>
        <w:t>Además de un crecimiento en el número de usuarios de internet móvil, se espera que el</w:t>
      </w:r>
      <w:r w:rsidRPr="00504C32">
        <w:rPr>
          <w:lang w:val="es-ES_tradnl"/>
        </w:rPr>
        <w:t xml:space="preserve"> uso de internet </w:t>
      </w:r>
      <w:r>
        <w:rPr>
          <w:lang w:val="es-ES_tradnl"/>
        </w:rPr>
        <w:t xml:space="preserve">por usuario aumente considerablemente debido a una mayor adopción de </w:t>
      </w:r>
      <w:r>
        <w:rPr>
          <w:i/>
          <w:iCs/>
          <w:lang w:val="es-ES_tradnl"/>
        </w:rPr>
        <w:t>smartphones</w:t>
      </w:r>
      <w:r>
        <w:rPr>
          <w:lang w:val="es-ES_tradnl"/>
        </w:rPr>
        <w:t xml:space="preserve"> y el aumento de contenido con alto consumo de datos en dispositivos móviles. De tal forma que se estima que el consumo por usuario aumente desde</w:t>
      </w:r>
      <w:r w:rsidRPr="00504C32">
        <w:rPr>
          <w:lang w:val="es-ES_tradnl"/>
        </w:rPr>
        <w:t xml:space="preserve"> 5GB por mes en 2021 a unos 9GB en el año 2026</w:t>
      </w:r>
      <w:r>
        <w:rPr>
          <w:lang w:val="es-ES_tradnl"/>
        </w:rPr>
        <w:t>, en línea con la tendencia histórica.</w:t>
      </w:r>
    </w:p>
    <w:p w14:paraId="5743CC18" w14:textId="0D82ACC1" w:rsidR="004D1D8D" w:rsidRPr="00F6077F" w:rsidRDefault="004D1D8D" w:rsidP="004D1D8D">
      <w:pPr>
        <w:pStyle w:val="Descripcin"/>
        <w:rPr>
          <w:lang w:val="es-ES"/>
        </w:rPr>
      </w:pPr>
      <w:r w:rsidRPr="00F6077F">
        <w:rPr>
          <w:lang w:val="es-ES"/>
        </w:rPr>
        <w:t xml:space="preserve">Figura </w:t>
      </w:r>
      <w:r>
        <w:rPr>
          <w:lang w:val="es-ES_tradnl"/>
        </w:rPr>
        <w:fldChar w:fldCharType="begin"/>
      </w:r>
      <w:r w:rsidRPr="00F6077F">
        <w:rPr>
          <w:lang w:val="es-ES"/>
        </w:rPr>
        <w:instrText xml:space="preserve"> STYLEREF 1 \s \* MERGEFORMAT </w:instrText>
      </w:r>
      <w:r>
        <w:rPr>
          <w:lang w:val="es-ES_tradnl"/>
        </w:rPr>
        <w:fldChar w:fldCharType="separate"/>
      </w:r>
      <w:r w:rsidR="00020F8B">
        <w:rPr>
          <w:noProof/>
          <w:lang w:val="es-ES"/>
        </w:rPr>
        <w:t>3</w:t>
      </w:r>
      <w:r>
        <w:rPr>
          <w:lang w:val="es-ES_tradnl"/>
        </w:rPr>
        <w:fldChar w:fldCharType="end"/>
      </w:r>
      <w:r w:rsidRPr="00F6077F">
        <w:rPr>
          <w:lang w:val="es-ES"/>
        </w:rPr>
        <w:t>.</w:t>
      </w:r>
      <w:r>
        <w:rPr>
          <w:lang w:val="es-ES_tradnl"/>
        </w:rPr>
        <w:fldChar w:fldCharType="begin"/>
      </w:r>
      <w:r w:rsidRPr="00F6077F">
        <w:rPr>
          <w:lang w:val="es-ES"/>
        </w:rPr>
        <w:instrText xml:space="preserve"> SEQ </w:instrText>
      </w:r>
      <w:r w:rsidR="00DE28D1">
        <w:rPr>
          <w:lang w:val="es-ES"/>
        </w:rPr>
        <w:instrText>Ilustración</w:instrText>
      </w:r>
      <w:r w:rsidRPr="00F6077F">
        <w:rPr>
          <w:lang w:val="es-ES"/>
        </w:rPr>
        <w:instrText xml:space="preserve"> \* ARABIC \s 1 \* MERGEFORMAT </w:instrText>
      </w:r>
      <w:r>
        <w:rPr>
          <w:lang w:val="es-ES_tradnl"/>
        </w:rPr>
        <w:fldChar w:fldCharType="separate"/>
      </w:r>
      <w:r w:rsidR="00020F8B">
        <w:rPr>
          <w:noProof/>
          <w:lang w:val="es-ES"/>
        </w:rPr>
        <w:t>14</w:t>
      </w:r>
      <w:r>
        <w:rPr>
          <w:lang w:val="es-ES_tradnl"/>
        </w:rPr>
        <w:fldChar w:fldCharType="end"/>
      </w:r>
      <w:r w:rsidRPr="00F6077F">
        <w:rPr>
          <w:lang w:val="es-ES"/>
        </w:rPr>
        <w:t>: Previsiones del tráfico de datos por usuario al mes [Fuente: Analysys Mason, 2023]</w:t>
      </w:r>
    </w:p>
    <w:p w14:paraId="5EF9A961" w14:textId="3BE61455" w:rsidR="004D1D8D" w:rsidRDefault="005939A1" w:rsidP="004D1D8D">
      <w:pPr>
        <w:pStyle w:val="Border"/>
      </w:pPr>
      <w:r w:rsidRPr="005939A1">
        <w:rPr>
          <w:noProof/>
        </w:rPr>
        <w:drawing>
          <wp:inline distT="0" distB="0" distL="0" distR="0" wp14:anchorId="12E9096E" wp14:editId="53C8D90F">
            <wp:extent cx="5295265" cy="1757045"/>
            <wp:effectExtent l="0" t="0" r="0" b="0"/>
            <wp:docPr id="1025768376" name="Picture 102576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95265" cy="1757045"/>
                    </a:xfrm>
                    <a:prstGeom prst="rect">
                      <a:avLst/>
                    </a:prstGeom>
                    <a:noFill/>
                    <a:ln>
                      <a:noFill/>
                    </a:ln>
                  </pic:spPr>
                </pic:pic>
              </a:graphicData>
            </a:graphic>
          </wp:inline>
        </w:drawing>
      </w:r>
    </w:p>
    <w:p w14:paraId="2FF708FD" w14:textId="18527268" w:rsidR="00C118BD" w:rsidRPr="00C118BD" w:rsidRDefault="00914DFA" w:rsidP="00C118BD">
      <w:pPr>
        <w:rPr>
          <w:lang w:val="es-ES"/>
        </w:rPr>
      </w:pPr>
      <w:r w:rsidRPr="00914DFA">
        <w:rPr>
          <w:lang w:val="es-ES"/>
        </w:rPr>
        <w:t>Al igual que con e</w:t>
      </w:r>
      <w:r>
        <w:rPr>
          <w:lang w:val="es-ES"/>
        </w:rPr>
        <w:t>l tráfico de voz, el tráfico de datos también se reparte para las distintas tecnologías existentes</w:t>
      </w:r>
      <w:r w:rsidR="00CD0B26">
        <w:rPr>
          <w:lang w:val="es-ES"/>
        </w:rPr>
        <w:t>, basándonos en información pública del BIT e información provista por los operadores</w:t>
      </w:r>
      <w:r w:rsidR="00510638">
        <w:rPr>
          <w:lang w:val="es-ES"/>
        </w:rPr>
        <w:t>.</w:t>
      </w:r>
      <w:r w:rsidR="00C118BD" w:rsidRPr="00C118BD">
        <w:rPr>
          <w:lang w:val="es-ES"/>
        </w:rPr>
        <w:t xml:space="preserve"> </w:t>
      </w:r>
    </w:p>
    <w:p w14:paraId="2AE3E753" w14:textId="77777777" w:rsidR="004D1D8D" w:rsidRDefault="004D1D8D" w:rsidP="004D1D8D">
      <w:pPr>
        <w:pStyle w:val="Ttulo4"/>
      </w:pPr>
      <w:r>
        <w:t>SMS móvil</w:t>
      </w:r>
    </w:p>
    <w:p w14:paraId="042E2303" w14:textId="4DEF34E9" w:rsidR="004D1D8D" w:rsidRDefault="004D1D8D" w:rsidP="004D1D8D">
      <w:pPr>
        <w:rPr>
          <w:lang w:val="es-ES"/>
        </w:rPr>
      </w:pPr>
      <w:r w:rsidRPr="00F6077F">
        <w:rPr>
          <w:lang w:val="es-ES"/>
        </w:rPr>
        <w:t>El tráfico de SMS v</w:t>
      </w:r>
      <w:r>
        <w:rPr>
          <w:lang w:val="es-ES"/>
        </w:rPr>
        <w:t xml:space="preserve">iene bajando desde los últimos años en México, y se estima que esta tendencia se mantenga en el tiempo, principalmente debido al incremento </w:t>
      </w:r>
      <w:r w:rsidRPr="006F2BE3">
        <w:rPr>
          <w:lang w:val="es-ES"/>
        </w:rPr>
        <w:t xml:space="preserve">de la utilización de servicios de datos (p.ej. </w:t>
      </w:r>
      <w:r w:rsidRPr="006F2BE3">
        <w:rPr>
          <w:lang w:val="es-ES"/>
        </w:rPr>
        <w:lastRenderedPageBreak/>
        <w:t>WhatsApp o iMessage)</w:t>
      </w:r>
      <w:r>
        <w:rPr>
          <w:lang w:val="es-ES"/>
        </w:rPr>
        <w:t xml:space="preserve">. Por estos motivos, el módulo de mercado estima que se pasará de 163 mensajes por usuario al año en el 2021 hasta </w:t>
      </w:r>
      <w:r w:rsidRPr="00E43F7F">
        <w:rPr>
          <w:lang w:val="es-ES"/>
        </w:rPr>
        <w:t>83 mensajes en el 2030</w:t>
      </w:r>
      <w:r>
        <w:rPr>
          <w:lang w:val="es-ES"/>
        </w:rPr>
        <w:t>:</w:t>
      </w:r>
    </w:p>
    <w:p w14:paraId="022F9AE3" w14:textId="0A1AEFDA" w:rsidR="00D56DD8" w:rsidRPr="00D56DD8" w:rsidRDefault="00D56DD8" w:rsidP="00946A49">
      <w:pPr>
        <w:pStyle w:val="Descripcin"/>
        <w:rPr>
          <w:lang w:val="es-ES"/>
        </w:rPr>
      </w:pPr>
      <w:r w:rsidRPr="00D56DD8">
        <w:rPr>
          <w:lang w:val="es-ES"/>
        </w:rPr>
        <w:t>Figur</w:t>
      </w:r>
      <w:r w:rsidR="00946A49">
        <w:rPr>
          <w:lang w:val="es-ES"/>
        </w:rPr>
        <w:t>a</w:t>
      </w:r>
      <w:r w:rsidRPr="00D56DD8">
        <w:rPr>
          <w:lang w:val="es-ES"/>
        </w:rPr>
        <w:t xml:space="preserve"> </w:t>
      </w:r>
      <w:r>
        <w:rPr>
          <w:lang w:val="es-ES"/>
        </w:rPr>
        <w:fldChar w:fldCharType="begin"/>
      </w:r>
      <w:r w:rsidRPr="00D56DD8">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D56DD8">
        <w:rPr>
          <w:lang w:val="es-ES"/>
        </w:rPr>
        <w:t>.</w:t>
      </w:r>
      <w:r>
        <w:rPr>
          <w:lang w:val="es-ES"/>
        </w:rPr>
        <w:fldChar w:fldCharType="begin"/>
      </w:r>
      <w:r w:rsidRPr="00D56DD8">
        <w:rPr>
          <w:lang w:val="es-ES"/>
        </w:rPr>
        <w:instrText xml:space="preserve"> </w:instrText>
      </w:r>
      <w:r w:rsidR="00A95662">
        <w:rPr>
          <w:lang w:val="es-ES"/>
        </w:rPr>
        <w:instrText>SEQ Ilustración</w:instrText>
      </w:r>
      <w:r w:rsidRPr="00D56DD8">
        <w:rPr>
          <w:lang w:val="es-ES"/>
        </w:rPr>
        <w:instrText xml:space="preserve"> \* ARABIC \s 1 \* MERGEFORMAT </w:instrText>
      </w:r>
      <w:r>
        <w:rPr>
          <w:lang w:val="es-ES"/>
        </w:rPr>
        <w:fldChar w:fldCharType="separate"/>
      </w:r>
      <w:r w:rsidR="00020F8B">
        <w:rPr>
          <w:noProof/>
          <w:lang w:val="es-ES"/>
        </w:rPr>
        <w:t>15</w:t>
      </w:r>
      <w:r>
        <w:rPr>
          <w:lang w:val="es-ES"/>
        </w:rPr>
        <w:fldChar w:fldCharType="end"/>
      </w:r>
      <w:r w:rsidRPr="00D56DD8">
        <w:rPr>
          <w:lang w:val="es-ES"/>
        </w:rPr>
        <w:t xml:space="preserve">: </w:t>
      </w:r>
      <w:r w:rsidRPr="005E475A">
        <w:rPr>
          <w:lang w:val="es-ES"/>
        </w:rPr>
        <w:t>Previsiones del tráfico SMS por usuario al mes</w:t>
      </w:r>
      <w:r w:rsidRPr="00D56DD8">
        <w:rPr>
          <w:lang w:val="es-ES"/>
        </w:rPr>
        <w:t xml:space="preserve"> [</w:t>
      </w:r>
      <w:r w:rsidR="00455438">
        <w:rPr>
          <w:lang w:val="es-ES"/>
        </w:rPr>
        <w:t>Fuente</w:t>
      </w:r>
      <w:r w:rsidRPr="00D56DD8">
        <w:rPr>
          <w:lang w:val="es-ES"/>
        </w:rPr>
        <w:t>: Analysys Mason, 2023]</w:t>
      </w:r>
    </w:p>
    <w:p w14:paraId="063CE4C1" w14:textId="675616C9" w:rsidR="00D56DD8" w:rsidRDefault="003C3388" w:rsidP="00D56DD8">
      <w:pPr>
        <w:pStyle w:val="Border"/>
        <w:rPr>
          <w:lang w:val="es-ES"/>
        </w:rPr>
      </w:pPr>
      <w:r w:rsidRPr="003C3388">
        <w:rPr>
          <w:noProof/>
        </w:rPr>
        <w:drawing>
          <wp:inline distT="0" distB="0" distL="0" distR="0" wp14:anchorId="4B2E8B06" wp14:editId="2A33D1FB">
            <wp:extent cx="5375275" cy="2059305"/>
            <wp:effectExtent l="0" t="0" r="0" b="0"/>
            <wp:docPr id="68898887" name="Picture 6889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5275" cy="2059305"/>
                    </a:xfrm>
                    <a:prstGeom prst="rect">
                      <a:avLst/>
                    </a:prstGeom>
                    <a:noFill/>
                    <a:ln>
                      <a:noFill/>
                    </a:ln>
                  </pic:spPr>
                </pic:pic>
              </a:graphicData>
            </a:graphic>
          </wp:inline>
        </w:drawing>
      </w:r>
    </w:p>
    <w:p w14:paraId="00962CA8" w14:textId="33BDE24E" w:rsidR="000C3C38" w:rsidRPr="00AA6B8D" w:rsidRDefault="00AA6B8D" w:rsidP="000C3C38">
      <w:pPr>
        <w:rPr>
          <w:lang w:val="es-ES_tradnl"/>
        </w:rPr>
      </w:pPr>
      <w:r w:rsidRPr="00AA6B8D">
        <w:rPr>
          <w:lang w:val="es-ES_tradnl"/>
        </w:rPr>
        <w:t>En el caso de los SMS se asume el mismo reparto por tecnologías al definido para servicios de voz.</w:t>
      </w:r>
    </w:p>
    <w:p w14:paraId="0BCBE269" w14:textId="77777777" w:rsidR="000C3C38" w:rsidRPr="000C3C38" w:rsidRDefault="000C3C38" w:rsidP="000C3C38">
      <w:pPr>
        <w:rPr>
          <w:lang w:val="es-ES"/>
        </w:rPr>
      </w:pPr>
    </w:p>
    <w:p w14:paraId="71A3C789" w14:textId="572D5C02" w:rsidR="006E3579" w:rsidRDefault="006E3579" w:rsidP="00904823">
      <w:pPr>
        <w:pStyle w:val="Ttulo3"/>
        <w:rPr>
          <w:lang w:val="es-ES"/>
        </w:rPr>
      </w:pPr>
      <w:r>
        <w:rPr>
          <w:lang w:val="es-ES"/>
        </w:rPr>
        <w:t>Cuota de mercado</w:t>
      </w:r>
    </w:p>
    <w:p w14:paraId="332AC436" w14:textId="77777777" w:rsidR="006E3579" w:rsidRDefault="006E3579" w:rsidP="006E3579">
      <w:pPr>
        <w:rPr>
          <w:lang w:val="es-ES"/>
        </w:rPr>
      </w:pPr>
      <w:r w:rsidRPr="0007287F">
        <w:rPr>
          <w:lang w:val="es-ES"/>
        </w:rPr>
        <w:t xml:space="preserve">Una vez que se obtienen los datos de demanda a nivel de mercado, se procede a calcular </w:t>
      </w:r>
      <w:r>
        <w:rPr>
          <w:lang w:val="es-ES"/>
        </w:rPr>
        <w:t>la evolución</w:t>
      </w:r>
      <w:r w:rsidRPr="0007287F">
        <w:rPr>
          <w:lang w:val="es-ES"/>
        </w:rPr>
        <w:t xml:space="preserve"> de demanda </w:t>
      </w:r>
      <w:r>
        <w:rPr>
          <w:lang w:val="es-ES"/>
        </w:rPr>
        <w:t xml:space="preserve">del </w:t>
      </w:r>
      <w:r w:rsidRPr="0007287F">
        <w:rPr>
          <w:lang w:val="es-ES"/>
        </w:rPr>
        <w:t>operador</w:t>
      </w:r>
      <w:r>
        <w:rPr>
          <w:lang w:val="es-ES"/>
        </w:rPr>
        <w:t xml:space="preserve"> modelado, </w:t>
      </w:r>
      <w:r w:rsidRPr="0007287F">
        <w:rPr>
          <w:lang w:val="es-ES"/>
        </w:rPr>
        <w:t>aplicando</w:t>
      </w:r>
      <w:r>
        <w:rPr>
          <w:lang w:val="es-ES"/>
        </w:rPr>
        <w:t xml:space="preserve"> su</w:t>
      </w:r>
      <w:r w:rsidRPr="0007287F">
        <w:rPr>
          <w:lang w:val="es-ES"/>
        </w:rPr>
        <w:t xml:space="preserve"> cuota de mercado.</w:t>
      </w:r>
      <w:r>
        <w:rPr>
          <w:lang w:val="es-ES"/>
        </w:rPr>
        <w:t xml:space="preserve"> A este respecto, cabe destacar que el modelo incluye distintos operadores modelados, a saber:</w:t>
      </w:r>
    </w:p>
    <w:p w14:paraId="0AB625C2" w14:textId="77777777" w:rsidR="006E3579" w:rsidRDefault="006E3579" w:rsidP="006E3579">
      <w:pPr>
        <w:pStyle w:val="Prrafodelista"/>
        <w:numPr>
          <w:ilvl w:val="0"/>
          <w:numId w:val="41"/>
        </w:numPr>
        <w:rPr>
          <w:lang w:val="es-ES"/>
        </w:rPr>
      </w:pPr>
      <w:r>
        <w:rPr>
          <w:lang w:val="es-ES"/>
        </w:rPr>
        <w:t>Agente económico preponderante (AEP)</w:t>
      </w:r>
      <w:r w:rsidRPr="00566B02">
        <w:rPr>
          <w:lang w:val="es-ES"/>
        </w:rPr>
        <w:t xml:space="preserve"> fijo</w:t>
      </w:r>
    </w:p>
    <w:p w14:paraId="08D34AAA" w14:textId="77777777" w:rsidR="006E3579" w:rsidRDefault="006E3579" w:rsidP="006E3579">
      <w:pPr>
        <w:pStyle w:val="Prrafodelista"/>
        <w:numPr>
          <w:ilvl w:val="0"/>
          <w:numId w:val="41"/>
        </w:numPr>
        <w:rPr>
          <w:lang w:val="es-ES"/>
        </w:rPr>
      </w:pPr>
      <w:r w:rsidRPr="00566B02">
        <w:rPr>
          <w:lang w:val="es-ES"/>
        </w:rPr>
        <w:t>A</w:t>
      </w:r>
      <w:r>
        <w:rPr>
          <w:lang w:val="es-ES"/>
        </w:rPr>
        <w:t>EP móvil</w:t>
      </w:r>
    </w:p>
    <w:p w14:paraId="2CE3FE4D" w14:textId="77777777" w:rsidR="006E3579" w:rsidRDefault="006E3579" w:rsidP="006E3579">
      <w:pPr>
        <w:pStyle w:val="Prrafodelista"/>
        <w:numPr>
          <w:ilvl w:val="0"/>
          <w:numId w:val="41"/>
        </w:numPr>
        <w:rPr>
          <w:lang w:val="es-ES"/>
        </w:rPr>
      </w:pPr>
      <w:r>
        <w:rPr>
          <w:lang w:val="es-ES"/>
        </w:rPr>
        <w:t>Concesionario solicitante (CS) fijo</w:t>
      </w:r>
    </w:p>
    <w:p w14:paraId="419F9FB2" w14:textId="77777777" w:rsidR="006E3579" w:rsidRPr="00566B02" w:rsidRDefault="006E3579" w:rsidP="006E3579">
      <w:pPr>
        <w:pStyle w:val="Prrafodelista"/>
        <w:numPr>
          <w:ilvl w:val="0"/>
          <w:numId w:val="41"/>
        </w:numPr>
        <w:rPr>
          <w:lang w:val="es-ES"/>
        </w:rPr>
      </w:pPr>
      <w:r>
        <w:rPr>
          <w:lang w:val="es-ES"/>
        </w:rPr>
        <w:t>CS móvil</w:t>
      </w:r>
    </w:p>
    <w:p w14:paraId="23BE53B2" w14:textId="512E2B2B" w:rsidR="006E3579" w:rsidRDefault="006E3579" w:rsidP="006E3579">
      <w:pPr>
        <w:rPr>
          <w:lang w:val="es-ES"/>
        </w:rPr>
      </w:pPr>
      <w:r>
        <w:rPr>
          <w:lang w:val="es-ES"/>
        </w:rPr>
        <w:t xml:space="preserve">Cada uno de estos operadores ha sido modelado para obtener la demanda de los servicios que mostramos en las secciones </w:t>
      </w:r>
      <w:r>
        <w:rPr>
          <w:lang w:val="es-ES"/>
        </w:rPr>
        <w:fldChar w:fldCharType="begin"/>
      </w:r>
      <w:r>
        <w:rPr>
          <w:lang w:val="es-ES"/>
        </w:rPr>
        <w:instrText xml:space="preserve"> REF _Ref135683379 \r \h </w:instrText>
      </w:r>
      <w:r>
        <w:rPr>
          <w:lang w:val="es-ES"/>
        </w:rPr>
      </w:r>
      <w:r>
        <w:rPr>
          <w:lang w:val="es-ES"/>
        </w:rPr>
        <w:fldChar w:fldCharType="separate"/>
      </w:r>
      <w:r w:rsidR="00020F8B">
        <w:rPr>
          <w:lang w:val="es-ES"/>
        </w:rPr>
        <w:t>3.1.1</w:t>
      </w:r>
      <w:r>
        <w:rPr>
          <w:lang w:val="es-ES"/>
        </w:rPr>
        <w:fldChar w:fldCharType="end"/>
      </w:r>
      <w:r>
        <w:rPr>
          <w:lang w:val="es-ES"/>
        </w:rPr>
        <w:t xml:space="preserve">. y </w:t>
      </w:r>
      <w:r>
        <w:rPr>
          <w:lang w:val="es-ES"/>
        </w:rPr>
        <w:fldChar w:fldCharType="begin"/>
      </w:r>
      <w:r>
        <w:rPr>
          <w:lang w:val="es-ES"/>
        </w:rPr>
        <w:instrText xml:space="preserve"> REF _Ref135683388 \r \h </w:instrText>
      </w:r>
      <w:r>
        <w:rPr>
          <w:lang w:val="es-ES"/>
        </w:rPr>
      </w:r>
      <w:r>
        <w:rPr>
          <w:lang w:val="es-ES"/>
        </w:rPr>
        <w:fldChar w:fldCharType="separate"/>
      </w:r>
      <w:r w:rsidR="00020F8B">
        <w:rPr>
          <w:lang w:val="es-ES"/>
        </w:rPr>
        <w:t>3.1.2</w:t>
      </w:r>
      <w:r>
        <w:rPr>
          <w:lang w:val="es-ES"/>
        </w:rPr>
        <w:fldChar w:fldCharType="end"/>
      </w:r>
      <w:r>
        <w:rPr>
          <w:lang w:val="es-ES"/>
        </w:rPr>
        <w:t>.</w:t>
      </w:r>
      <w:r w:rsidR="00442159">
        <w:rPr>
          <w:lang w:val="es-ES"/>
        </w:rPr>
        <w:t xml:space="preserve"> </w:t>
      </w:r>
      <w:r w:rsidR="00D54936">
        <w:rPr>
          <w:lang w:val="es-ES"/>
        </w:rPr>
        <w:t xml:space="preserve">con excepción </w:t>
      </w:r>
      <w:r w:rsidR="00442159">
        <w:rPr>
          <w:lang w:val="es-ES"/>
        </w:rPr>
        <w:t>de</w:t>
      </w:r>
      <w:r w:rsidR="0034634C">
        <w:rPr>
          <w:lang w:val="es-ES"/>
        </w:rPr>
        <w:t xml:space="preserve"> los servicios</w:t>
      </w:r>
      <w:r w:rsidR="00442159">
        <w:rPr>
          <w:lang w:val="es-ES"/>
        </w:rPr>
        <w:t xml:space="preserve"> </w:t>
      </w:r>
      <w:r w:rsidR="00653249">
        <w:rPr>
          <w:lang w:val="es-ES"/>
        </w:rPr>
        <w:t>regulados</w:t>
      </w:r>
      <w:r w:rsidR="00D54936">
        <w:rPr>
          <w:lang w:val="es-ES"/>
        </w:rPr>
        <w:t xml:space="preserve"> que</w:t>
      </w:r>
      <w:r w:rsidR="0034634C">
        <w:rPr>
          <w:lang w:val="es-ES"/>
        </w:rPr>
        <w:t xml:space="preserve"> solo aplican al AEP</w:t>
      </w:r>
      <w:r w:rsidR="00D54936">
        <w:rPr>
          <w:lang w:val="es-ES"/>
        </w:rPr>
        <w:t xml:space="preserve"> fijo</w:t>
      </w:r>
      <w:r w:rsidR="00653249">
        <w:rPr>
          <w:lang w:val="es-ES"/>
        </w:rPr>
        <w:t>, en cuyo caso se ha asumido que no existe demanda para el CS</w:t>
      </w:r>
      <w:r w:rsidR="00D54936">
        <w:rPr>
          <w:lang w:val="es-ES"/>
        </w:rPr>
        <w:t>.</w:t>
      </w:r>
      <w:r w:rsidR="0020601C">
        <w:rPr>
          <w:lang w:val="es-ES"/>
        </w:rPr>
        <w:t xml:space="preserve"> </w:t>
      </w:r>
    </w:p>
    <w:p w14:paraId="4779FBA0" w14:textId="6DA845E0" w:rsidR="0020601C" w:rsidRDefault="0020601C" w:rsidP="006E3579">
      <w:pPr>
        <w:rPr>
          <w:lang w:val="es-ES"/>
        </w:rPr>
      </w:pPr>
      <w:r>
        <w:rPr>
          <w:lang w:val="es-ES"/>
        </w:rPr>
        <w:t xml:space="preserve">Las cuotas de mercado se han definido </w:t>
      </w:r>
      <w:r w:rsidR="00AF0971">
        <w:rPr>
          <w:lang w:val="es-ES"/>
        </w:rPr>
        <w:t>asumiendo que el</w:t>
      </w:r>
      <w:r w:rsidR="00887086">
        <w:rPr>
          <w:lang w:val="es-ES"/>
        </w:rPr>
        <w:t xml:space="preserve"> </w:t>
      </w:r>
      <w:r w:rsidR="00DB7718">
        <w:rPr>
          <w:lang w:val="es-ES"/>
        </w:rPr>
        <w:t xml:space="preserve">operador hipotético </w:t>
      </w:r>
      <w:r w:rsidR="006A210F">
        <w:rPr>
          <w:lang w:val="es-ES"/>
        </w:rPr>
        <w:t>empieza a comercializar servicios en</w:t>
      </w:r>
      <w:r w:rsidR="00DB7718">
        <w:rPr>
          <w:lang w:val="es-ES"/>
        </w:rPr>
        <w:t xml:space="preserve"> el mercado en el año </w:t>
      </w:r>
      <w:r w:rsidR="00FA2DE8">
        <w:rPr>
          <w:lang w:val="es-ES"/>
        </w:rPr>
        <w:t>201</w:t>
      </w:r>
      <w:r w:rsidR="006A210F">
        <w:rPr>
          <w:lang w:val="es-ES"/>
        </w:rPr>
        <w:t>2</w:t>
      </w:r>
      <w:r w:rsidR="00DB7718">
        <w:rPr>
          <w:lang w:val="es-ES"/>
        </w:rPr>
        <w:t xml:space="preserve"> y adquiere su cu</w:t>
      </w:r>
      <w:r w:rsidR="004F1D6B">
        <w:rPr>
          <w:lang w:val="es-ES"/>
        </w:rPr>
        <w:t>o</w:t>
      </w:r>
      <w:r w:rsidR="00DB7718">
        <w:rPr>
          <w:lang w:val="es-ES"/>
        </w:rPr>
        <w:t>ta de mercado objeti</w:t>
      </w:r>
      <w:r w:rsidR="006A210F">
        <w:rPr>
          <w:lang w:val="es-ES"/>
        </w:rPr>
        <w:t>v</w:t>
      </w:r>
      <w:r w:rsidR="00DB7718">
        <w:rPr>
          <w:lang w:val="es-ES"/>
        </w:rPr>
        <w:t xml:space="preserve">o de manera progresiva a lo largo de </w:t>
      </w:r>
      <w:r w:rsidR="006A210F">
        <w:rPr>
          <w:lang w:val="es-ES"/>
        </w:rPr>
        <w:t>nueve</w:t>
      </w:r>
      <w:r w:rsidR="00DB7718">
        <w:rPr>
          <w:lang w:val="es-ES"/>
        </w:rPr>
        <w:t xml:space="preserve"> años. Las cuotas de mercado objetivo se han definido tal y como se plantea</w:t>
      </w:r>
      <w:r w:rsidR="004F1D6B">
        <w:rPr>
          <w:lang w:val="es-ES"/>
        </w:rPr>
        <w:t xml:space="preserve"> en el documento metodológico del modelo.</w:t>
      </w:r>
    </w:p>
    <w:p w14:paraId="00665D6D" w14:textId="4BACABD0" w:rsidR="00257F57" w:rsidRPr="00257F57" w:rsidRDefault="00257F57" w:rsidP="00257F57">
      <w:pPr>
        <w:pStyle w:val="Descripcin"/>
        <w:rPr>
          <w:lang w:val="es-ES"/>
        </w:rPr>
      </w:pPr>
      <w:r w:rsidRPr="00257F57">
        <w:rPr>
          <w:lang w:val="es-ES"/>
        </w:rPr>
        <w:lastRenderedPageBreak/>
        <w:t>Figur</w:t>
      </w:r>
      <w:r w:rsidR="00CF7928">
        <w:rPr>
          <w:lang w:val="es-ES"/>
        </w:rPr>
        <w:t>a</w:t>
      </w:r>
      <w:r w:rsidRPr="00257F57">
        <w:rPr>
          <w:lang w:val="es-ES"/>
        </w:rPr>
        <w:t xml:space="preserve"> </w:t>
      </w:r>
      <w:r>
        <w:rPr>
          <w:lang w:val="es-ES"/>
        </w:rPr>
        <w:fldChar w:fldCharType="begin"/>
      </w:r>
      <w:r w:rsidRPr="00257F57">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257F57">
        <w:rPr>
          <w:lang w:val="es-ES"/>
        </w:rPr>
        <w:t>.</w:t>
      </w:r>
      <w:r>
        <w:rPr>
          <w:lang w:val="es-ES"/>
        </w:rPr>
        <w:fldChar w:fldCharType="begin"/>
      </w:r>
      <w:r w:rsidRPr="00257F57">
        <w:rPr>
          <w:lang w:val="es-ES"/>
        </w:rPr>
        <w:instrText xml:space="preserve"> </w:instrText>
      </w:r>
      <w:r w:rsidR="00A95662">
        <w:rPr>
          <w:lang w:val="es-ES"/>
        </w:rPr>
        <w:instrText>SEQ Ilustración</w:instrText>
      </w:r>
      <w:r w:rsidRPr="00257F57">
        <w:rPr>
          <w:lang w:val="es-ES"/>
        </w:rPr>
        <w:instrText xml:space="preserve"> \* ARABIC \s 1 \* MERGEFORMAT </w:instrText>
      </w:r>
      <w:r>
        <w:rPr>
          <w:lang w:val="es-ES"/>
        </w:rPr>
        <w:fldChar w:fldCharType="separate"/>
      </w:r>
      <w:r w:rsidR="00020F8B">
        <w:rPr>
          <w:noProof/>
          <w:lang w:val="es-ES"/>
        </w:rPr>
        <w:t>16</w:t>
      </w:r>
      <w:r>
        <w:rPr>
          <w:lang w:val="es-ES"/>
        </w:rPr>
        <w:fldChar w:fldCharType="end"/>
      </w:r>
      <w:r w:rsidRPr="00257F57">
        <w:rPr>
          <w:lang w:val="es-ES"/>
        </w:rPr>
        <w:t xml:space="preserve">: Evolución de cuotas de mercado </w:t>
      </w:r>
      <w:r>
        <w:rPr>
          <w:lang w:val="es-ES"/>
        </w:rPr>
        <w:t xml:space="preserve">asumidas para el </w:t>
      </w:r>
      <w:r w:rsidR="006A210F">
        <w:rPr>
          <w:lang w:val="es-ES"/>
        </w:rPr>
        <w:t>AEP</w:t>
      </w:r>
      <w:r>
        <w:rPr>
          <w:lang w:val="es-ES"/>
        </w:rPr>
        <w:t xml:space="preserve"> el CS</w:t>
      </w:r>
      <w:r w:rsidRPr="00257F57">
        <w:rPr>
          <w:lang w:val="es-ES"/>
        </w:rPr>
        <w:t xml:space="preserve"> </w:t>
      </w:r>
      <w:r w:rsidR="00382FE9">
        <w:rPr>
          <w:lang w:val="es-ES"/>
        </w:rPr>
        <w:t>en el modelo móvil (izquierda) y modelo fijo (derecha)</w:t>
      </w:r>
      <w:r w:rsidRPr="00257F57">
        <w:rPr>
          <w:lang w:val="es-ES"/>
        </w:rPr>
        <w:t>[</w:t>
      </w:r>
      <w:r w:rsidR="00455438">
        <w:rPr>
          <w:lang w:val="es-ES"/>
        </w:rPr>
        <w:t>Fuente</w:t>
      </w:r>
      <w:r w:rsidRPr="00257F57">
        <w:rPr>
          <w:lang w:val="es-ES"/>
        </w:rPr>
        <w:t>: Analysys Mason, 2023]</w:t>
      </w:r>
    </w:p>
    <w:p w14:paraId="0CE49FC7" w14:textId="0BF077A5" w:rsidR="00257F57" w:rsidRPr="00257F57" w:rsidRDefault="006B5883" w:rsidP="006B5883">
      <w:pPr>
        <w:pStyle w:val="Border"/>
        <w:rPr>
          <w:lang w:val="es-ES"/>
        </w:rPr>
      </w:pPr>
      <w:r w:rsidRPr="006B5883">
        <w:rPr>
          <w:noProof/>
        </w:rPr>
        <w:drawing>
          <wp:inline distT="0" distB="0" distL="0" distR="0" wp14:anchorId="02D13E11" wp14:editId="01ED95D1">
            <wp:extent cx="5544185" cy="2983230"/>
            <wp:effectExtent l="0" t="0" r="0" b="0"/>
            <wp:docPr id="310962069" name="Picture 31096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4185" cy="2983230"/>
                    </a:xfrm>
                    <a:prstGeom prst="rect">
                      <a:avLst/>
                    </a:prstGeom>
                    <a:noFill/>
                    <a:ln>
                      <a:noFill/>
                    </a:ln>
                  </pic:spPr>
                </pic:pic>
              </a:graphicData>
            </a:graphic>
          </wp:inline>
        </w:drawing>
      </w:r>
    </w:p>
    <w:p w14:paraId="7FBCAA71" w14:textId="35A2627D" w:rsidR="00D04E5E" w:rsidRDefault="00D04E5E" w:rsidP="00D04E5E">
      <w:pPr>
        <w:pStyle w:val="Ttulo3"/>
        <w:rPr>
          <w:lang w:val="es-ES_tradnl"/>
        </w:rPr>
      </w:pPr>
      <w:r>
        <w:rPr>
          <w:lang w:val="es-ES_tradnl"/>
        </w:rPr>
        <w:t>Sensibilidades de la demanda</w:t>
      </w:r>
    </w:p>
    <w:p w14:paraId="2BFFF324" w14:textId="49E91839" w:rsidR="0085249A" w:rsidRPr="0085249A" w:rsidRDefault="00893D5F" w:rsidP="00893D5F">
      <w:pPr>
        <w:rPr>
          <w:lang w:val="es-ES_tradnl"/>
        </w:rPr>
      </w:pPr>
      <w:r>
        <w:rPr>
          <w:lang w:val="es-ES_tradnl"/>
        </w:rPr>
        <w:t>El módulo de mercado incluye sensibilidades en la demanda que permite ajustar las proyecciones a tres escenarios distintos: el base, el conservador y agresivo.</w:t>
      </w:r>
      <w:r w:rsidR="0085249A" w:rsidRPr="0085249A">
        <w:rPr>
          <w:lang w:val="es-ES_tradnl"/>
        </w:rPr>
        <w:t xml:space="preserve"> </w:t>
      </w:r>
      <w:r>
        <w:rPr>
          <w:lang w:val="es-ES_tradnl"/>
        </w:rPr>
        <w:t>De esta forma, se logra comprobar como de sensibles son los resultados del modelo a cambios en la demanda.</w:t>
      </w:r>
    </w:p>
    <w:p w14:paraId="1B113783" w14:textId="77777777" w:rsidR="00F911A3" w:rsidRDefault="00F911A3" w:rsidP="0085249A">
      <w:pPr>
        <w:rPr>
          <w:lang w:val="es-ES_tradnl"/>
        </w:rPr>
      </w:pPr>
      <w:r>
        <w:rPr>
          <w:lang w:val="es-ES_tradnl"/>
        </w:rPr>
        <w:t>P</w:t>
      </w:r>
      <w:r w:rsidR="0085249A" w:rsidRPr="0085249A">
        <w:rPr>
          <w:lang w:val="es-ES_tradnl"/>
        </w:rPr>
        <w:t>resentamos a continuación los parámetros sobre los que actúan cada una de las sensibilidades</w:t>
      </w:r>
      <w:r>
        <w:rPr>
          <w:lang w:val="es-ES_tradnl"/>
        </w:rPr>
        <w:t>:</w:t>
      </w:r>
    </w:p>
    <w:p w14:paraId="499409DD" w14:textId="77777777" w:rsidR="00F911A3" w:rsidRDefault="0085249A">
      <w:pPr>
        <w:pStyle w:val="Prrafodelista"/>
        <w:numPr>
          <w:ilvl w:val="0"/>
          <w:numId w:val="42"/>
        </w:numPr>
        <w:rPr>
          <w:lang w:val="es-ES_tradnl"/>
        </w:rPr>
      </w:pPr>
      <w:r w:rsidRPr="00F911A3">
        <w:rPr>
          <w:lang w:val="es-ES_tradnl"/>
        </w:rPr>
        <w:t>se modifican únicamente las previsiones a partir de 2023</w:t>
      </w:r>
    </w:p>
    <w:p w14:paraId="248500A7" w14:textId="77777777" w:rsidR="00F911A3" w:rsidRDefault="00F911A3">
      <w:pPr>
        <w:pStyle w:val="Prrafodelista"/>
        <w:numPr>
          <w:ilvl w:val="0"/>
          <w:numId w:val="42"/>
        </w:numPr>
        <w:jc w:val="left"/>
        <w:rPr>
          <w:lang w:val="es-ES_tradnl"/>
        </w:rPr>
      </w:pPr>
      <w:r w:rsidRPr="00F911A3">
        <w:rPr>
          <w:lang w:val="es-ES_tradnl"/>
        </w:rPr>
        <w:t>e</w:t>
      </w:r>
      <w:r w:rsidR="0085249A" w:rsidRPr="0085249A">
        <w:rPr>
          <w:lang w:val="es-ES_tradnl"/>
        </w:rPr>
        <w:t xml:space="preserve">n los escenarios de penetración móvil y de banda ancha se modifica el máximo que alcanza la función sigmoide </w:t>
      </w:r>
      <w:r w:rsidRPr="00F911A3">
        <w:rPr>
          <w:lang w:val="es-ES_tradnl"/>
        </w:rPr>
        <w:t>(</w:t>
      </w:r>
      <w:r w:rsidR="0085249A" w:rsidRPr="0085249A">
        <w:rPr>
          <w:lang w:val="es-ES_tradnl"/>
        </w:rPr>
        <w:t>o S-curve)</w:t>
      </w:r>
    </w:p>
    <w:p w14:paraId="3B472064" w14:textId="77777777" w:rsidR="005A7C11" w:rsidRDefault="00F911A3">
      <w:pPr>
        <w:pStyle w:val="Prrafodelista"/>
        <w:numPr>
          <w:ilvl w:val="0"/>
          <w:numId w:val="42"/>
        </w:numPr>
        <w:jc w:val="left"/>
        <w:rPr>
          <w:lang w:val="es-ES_tradnl"/>
        </w:rPr>
      </w:pPr>
      <w:r w:rsidRPr="005A7C11">
        <w:rPr>
          <w:lang w:val="es-ES_tradnl"/>
        </w:rPr>
        <w:t>e</w:t>
      </w:r>
      <w:r w:rsidR="0085249A" w:rsidRPr="0085249A">
        <w:rPr>
          <w:lang w:val="es-ES_tradnl"/>
        </w:rPr>
        <w:t>l escenario de penetración fija modifica el crecimiento anual del número de conexiones residenciales y no residenciales</w:t>
      </w:r>
    </w:p>
    <w:p w14:paraId="60B949FA" w14:textId="77777777" w:rsidR="005A7C11" w:rsidRDefault="005A7C11">
      <w:pPr>
        <w:pStyle w:val="Prrafodelista"/>
        <w:numPr>
          <w:ilvl w:val="0"/>
          <w:numId w:val="42"/>
        </w:numPr>
        <w:jc w:val="left"/>
        <w:rPr>
          <w:lang w:val="es-ES_tradnl"/>
        </w:rPr>
      </w:pPr>
      <w:r w:rsidRPr="005A7C11">
        <w:rPr>
          <w:lang w:val="es-ES_tradnl"/>
        </w:rPr>
        <w:t>e</w:t>
      </w:r>
      <w:r w:rsidR="0085249A" w:rsidRPr="0085249A">
        <w:rPr>
          <w:lang w:val="es-ES_tradnl"/>
        </w:rPr>
        <w:t>l escenario de voz móvil y fija modifica el crecimiento anual del consumo de minutos fijos y móviles por usuario</w:t>
      </w:r>
    </w:p>
    <w:p w14:paraId="5700BD05" w14:textId="77777777" w:rsidR="005A7C11" w:rsidRDefault="005A7C11">
      <w:pPr>
        <w:pStyle w:val="Prrafodelista"/>
        <w:numPr>
          <w:ilvl w:val="0"/>
          <w:numId w:val="42"/>
        </w:numPr>
        <w:jc w:val="left"/>
        <w:rPr>
          <w:lang w:val="es-ES_tradnl"/>
        </w:rPr>
      </w:pPr>
      <w:r w:rsidRPr="005A7C11">
        <w:rPr>
          <w:lang w:val="es-ES_tradnl"/>
        </w:rPr>
        <w:t>e</w:t>
      </w:r>
      <w:r w:rsidR="0085249A" w:rsidRPr="0085249A">
        <w:rPr>
          <w:lang w:val="es-ES_tradnl"/>
        </w:rPr>
        <w:t>l escenario de SMS móviles modifica el crecimiento anual del consumo de SMS por usuario</w:t>
      </w:r>
    </w:p>
    <w:p w14:paraId="1DE5679E" w14:textId="77777777" w:rsidR="005A7C11" w:rsidRDefault="005A7C11">
      <w:pPr>
        <w:pStyle w:val="Prrafodelista"/>
        <w:numPr>
          <w:ilvl w:val="0"/>
          <w:numId w:val="42"/>
        </w:numPr>
        <w:jc w:val="left"/>
        <w:rPr>
          <w:lang w:val="es-ES_tradnl"/>
        </w:rPr>
      </w:pPr>
      <w:r w:rsidRPr="005A7C11">
        <w:rPr>
          <w:lang w:val="es-ES_tradnl"/>
        </w:rPr>
        <w:t>e</w:t>
      </w:r>
      <w:r w:rsidR="0085249A" w:rsidRPr="0085249A">
        <w:rPr>
          <w:lang w:val="es-ES_tradnl"/>
        </w:rPr>
        <w:t>l escenario de datos móviles modifica el crecimiento anual del consumo de banda ancha por usuario</w:t>
      </w:r>
    </w:p>
    <w:p w14:paraId="771D705D" w14:textId="742B9590" w:rsidR="00230973" w:rsidRDefault="005A7C11">
      <w:pPr>
        <w:pStyle w:val="Prrafodelista"/>
        <w:numPr>
          <w:ilvl w:val="0"/>
          <w:numId w:val="42"/>
        </w:numPr>
        <w:jc w:val="left"/>
        <w:rPr>
          <w:lang w:val="es-ES_tradnl"/>
        </w:rPr>
      </w:pPr>
      <w:r>
        <w:rPr>
          <w:lang w:val="es-ES_tradnl"/>
        </w:rPr>
        <w:t>e</w:t>
      </w:r>
      <w:r w:rsidR="0085249A" w:rsidRPr="005A7C11">
        <w:rPr>
          <w:lang w:val="es-ES_tradnl"/>
        </w:rPr>
        <w:t xml:space="preserve">l escenario de enlaces dedicados modifica el crecimiento anual del tráfico por </w:t>
      </w:r>
      <w:r w:rsidRPr="005A7C11">
        <w:rPr>
          <w:lang w:val="es-ES_tradnl"/>
        </w:rPr>
        <w:t>circuito</w:t>
      </w:r>
      <w:r w:rsidR="00272BF2" w:rsidRPr="005A7C11">
        <w:rPr>
          <w:lang w:val="es-ES_tradnl"/>
        </w:rPr>
        <w:t xml:space="preserve"> </w:t>
      </w:r>
    </w:p>
    <w:p w14:paraId="3075097A" w14:textId="7C4798A7" w:rsidR="00024CFF" w:rsidRPr="00024CFF" w:rsidRDefault="00024CFF" w:rsidP="00024CFF">
      <w:pPr>
        <w:pStyle w:val="Prrafodelista"/>
        <w:numPr>
          <w:ilvl w:val="0"/>
          <w:numId w:val="42"/>
        </w:numPr>
        <w:rPr>
          <w:lang w:val="es-ES"/>
        </w:rPr>
      </w:pPr>
      <w:r>
        <w:rPr>
          <w:lang w:val="es-ES_tradnl"/>
        </w:rPr>
        <w:t>e</w:t>
      </w:r>
      <w:r w:rsidRPr="00024CFF">
        <w:rPr>
          <w:lang w:val="es-ES_tradnl"/>
        </w:rPr>
        <w:t xml:space="preserve">l escenario </w:t>
      </w:r>
      <w:r w:rsidR="004F1D6B">
        <w:rPr>
          <w:lang w:val="es-ES_tradnl"/>
        </w:rPr>
        <w:t>de banda ancha</w:t>
      </w:r>
      <w:r w:rsidRPr="00024CFF">
        <w:rPr>
          <w:lang w:val="es-ES_tradnl"/>
        </w:rPr>
        <w:t xml:space="preserve"> modifica el crecimiento anual del </w:t>
      </w:r>
      <w:r w:rsidR="004F1D6B" w:rsidRPr="004F1D6B">
        <w:rPr>
          <w:lang w:val="es-ES_tradnl"/>
        </w:rPr>
        <w:t>tráfico por usuario</w:t>
      </w:r>
    </w:p>
    <w:p w14:paraId="14F95FE5" w14:textId="0AD67622" w:rsidR="00024CFF" w:rsidRPr="00024CFF" w:rsidRDefault="00024CFF" w:rsidP="00024CFF">
      <w:pPr>
        <w:pStyle w:val="Prrafodelista"/>
        <w:numPr>
          <w:ilvl w:val="0"/>
          <w:numId w:val="42"/>
        </w:numPr>
        <w:rPr>
          <w:lang w:val="es-ES"/>
        </w:rPr>
      </w:pPr>
      <w:r>
        <w:rPr>
          <w:lang w:val="es-ES_tradnl"/>
        </w:rPr>
        <w:t>e</w:t>
      </w:r>
      <w:r w:rsidRPr="00024CFF">
        <w:rPr>
          <w:lang w:val="es-ES_tradnl"/>
        </w:rPr>
        <w:t>l escenario de televisión modifica la proporción de suscriptores de cable y televisión sobre el total de suscriptores de televisión de paga</w:t>
      </w:r>
    </w:p>
    <w:p w14:paraId="67DBEBB8" w14:textId="0B63A27E" w:rsidR="00024CFF" w:rsidRDefault="009B1EA2" w:rsidP="00024CFF">
      <w:pPr>
        <w:jc w:val="left"/>
        <w:rPr>
          <w:lang w:val="es-ES_tradnl"/>
        </w:rPr>
      </w:pPr>
      <w:r>
        <w:rPr>
          <w:lang w:val="es-ES_tradnl"/>
        </w:rPr>
        <w:t>Los resultados de demanda que hemos mostrado anteriormente corresponden con el caso base. A continuación, mostramos una tabla con el consumo anual por usuario para cada sensibilidad:</w:t>
      </w:r>
    </w:p>
    <w:p w14:paraId="6380F1A2" w14:textId="574F533B" w:rsidR="00411E59" w:rsidRPr="00E27DF9" w:rsidRDefault="00E27DF9" w:rsidP="00E27DF9">
      <w:pPr>
        <w:pStyle w:val="Descripcin"/>
        <w:rPr>
          <w:lang w:val="es-ES"/>
        </w:rPr>
      </w:pPr>
      <w:r w:rsidRPr="00ED2E4A">
        <w:rPr>
          <w:lang w:val="es-ES"/>
        </w:rPr>
        <w:lastRenderedPageBreak/>
        <w:t>Figur</w:t>
      </w:r>
      <w:r>
        <w:rPr>
          <w:lang w:val="es-ES"/>
        </w:rPr>
        <w:t>a</w:t>
      </w:r>
      <w:r w:rsidRPr="00ED2E4A">
        <w:rPr>
          <w:lang w:val="es-ES"/>
        </w:rPr>
        <w:t xml:space="preserve"> </w:t>
      </w:r>
      <w:r>
        <w:rPr>
          <w:lang w:val="es-ES_tradnl"/>
        </w:rPr>
        <w:fldChar w:fldCharType="begin"/>
      </w:r>
      <w:r w:rsidRPr="00ED2E4A">
        <w:rPr>
          <w:lang w:val="es-ES"/>
        </w:rPr>
        <w:instrText xml:space="preserve"> STYLEREF 1 \s \* MERGEFORMAT </w:instrText>
      </w:r>
      <w:r>
        <w:rPr>
          <w:lang w:val="es-ES_tradnl"/>
        </w:rPr>
        <w:fldChar w:fldCharType="separate"/>
      </w:r>
      <w:r w:rsidR="00020F8B">
        <w:rPr>
          <w:noProof/>
          <w:lang w:val="es-ES"/>
        </w:rPr>
        <w:t>3</w:t>
      </w:r>
      <w:r>
        <w:rPr>
          <w:lang w:val="es-ES_tradnl"/>
        </w:rPr>
        <w:fldChar w:fldCharType="end"/>
      </w:r>
      <w:r w:rsidRPr="00ED2E4A">
        <w:rPr>
          <w:lang w:val="es-ES"/>
        </w:rPr>
        <w:t>.</w:t>
      </w:r>
      <w:r>
        <w:rPr>
          <w:lang w:val="es-ES_tradnl"/>
        </w:rPr>
        <w:fldChar w:fldCharType="begin"/>
      </w:r>
      <w:r w:rsidRPr="00ED2E4A">
        <w:rPr>
          <w:lang w:val="es-ES"/>
        </w:rPr>
        <w:instrText xml:space="preserve"> </w:instrText>
      </w:r>
      <w:r>
        <w:rPr>
          <w:lang w:val="es-ES"/>
        </w:rPr>
        <w:instrText>SEQ Ilustración</w:instrText>
      </w:r>
      <w:r w:rsidRPr="00ED2E4A">
        <w:rPr>
          <w:lang w:val="es-ES"/>
        </w:rPr>
        <w:instrText xml:space="preserve"> \* ARABIC \s 1 \* MERGEFORMAT </w:instrText>
      </w:r>
      <w:r>
        <w:rPr>
          <w:lang w:val="es-ES_tradnl"/>
        </w:rPr>
        <w:fldChar w:fldCharType="separate"/>
      </w:r>
      <w:r w:rsidR="00020F8B">
        <w:rPr>
          <w:noProof/>
          <w:lang w:val="es-ES"/>
        </w:rPr>
        <w:t>17</w:t>
      </w:r>
      <w:r>
        <w:rPr>
          <w:lang w:val="es-ES_tradnl"/>
        </w:rPr>
        <w:fldChar w:fldCharType="end"/>
      </w:r>
      <w:r w:rsidRPr="00ED2E4A">
        <w:rPr>
          <w:lang w:val="es-ES"/>
        </w:rPr>
        <w:t>: Consumo anual por usuario en los diferentes escenarios en el modelo de mercado [</w:t>
      </w:r>
      <w:r>
        <w:rPr>
          <w:lang w:val="es-ES"/>
        </w:rPr>
        <w:t>Fuente</w:t>
      </w:r>
      <w:r w:rsidRPr="00ED2E4A">
        <w:rPr>
          <w:lang w:val="es-ES"/>
        </w:rPr>
        <w:t>: Analysys Mason, 2023]</w:t>
      </w:r>
    </w:p>
    <w:tbl>
      <w:tblPr>
        <w:tblStyle w:val="Sombreadomedio2-nfasis1"/>
        <w:tblW w:w="8721"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2835"/>
        <w:gridCol w:w="1560"/>
        <w:gridCol w:w="982"/>
        <w:gridCol w:w="1115"/>
        <w:gridCol w:w="1114"/>
        <w:gridCol w:w="1115"/>
      </w:tblGrid>
      <w:tr w:rsidR="00302580" w:rsidRPr="00411E59" w14:paraId="51ECECDA" w14:textId="77777777" w:rsidTr="00D15E8B">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FFFFFF" w:themeColor="background1"/>
            </w:tcBorders>
            <w:shd w:val="solid" w:color="0F51B1" w:fill="0F51B1"/>
          </w:tcPr>
          <w:p w14:paraId="60899755" w14:textId="7429F483" w:rsidR="00411E59" w:rsidRPr="00883EF2" w:rsidRDefault="003B3994" w:rsidP="00411E59">
            <w:pPr>
              <w:pStyle w:val="Tableheading"/>
              <w:rPr>
                <w:rFonts w:cs="Times New Roman"/>
                <w:b/>
              </w:rPr>
            </w:pPr>
            <w:r w:rsidRPr="00883EF2">
              <w:rPr>
                <w:rFonts w:cs="Times New Roman"/>
                <w:b/>
              </w:rPr>
              <w:t>Escenarios</w:t>
            </w:r>
          </w:p>
        </w:tc>
        <w:tc>
          <w:tcPr>
            <w:tcW w:w="1560" w:type="dxa"/>
            <w:tcBorders>
              <w:bottom w:val="single" w:sz="4" w:space="0" w:color="FFFFFF" w:themeColor="background1"/>
            </w:tcBorders>
            <w:shd w:val="solid" w:color="0F51B1" w:fill="0F51B1"/>
          </w:tcPr>
          <w:p w14:paraId="197F8C8C" w14:textId="176C347E" w:rsidR="00411E59" w:rsidRPr="00883EF2" w:rsidRDefault="00821538" w:rsidP="00CA1200">
            <w:pPr>
              <w:pStyle w:val="Tableheading"/>
              <w:rPr>
                <w:rFonts w:cs="Times New Roman"/>
                <w:b/>
              </w:rPr>
            </w:pPr>
            <w:r w:rsidRPr="00883EF2">
              <w:rPr>
                <w:rFonts w:cs="Times New Roman"/>
                <w:b/>
              </w:rPr>
              <w:t>Unidad</w:t>
            </w:r>
          </w:p>
        </w:tc>
        <w:tc>
          <w:tcPr>
            <w:tcW w:w="982" w:type="dxa"/>
            <w:tcBorders>
              <w:bottom w:val="single" w:sz="4" w:space="0" w:color="FFFFFF" w:themeColor="background1"/>
            </w:tcBorders>
            <w:shd w:val="solid" w:color="0F51B1" w:fill="0F51B1"/>
          </w:tcPr>
          <w:p w14:paraId="4D3F8337" w14:textId="36799A25" w:rsidR="00411E59" w:rsidRPr="00883EF2" w:rsidRDefault="00821538" w:rsidP="00264A55">
            <w:pPr>
              <w:pStyle w:val="Tableheading"/>
              <w:jc w:val="right"/>
              <w:rPr>
                <w:rFonts w:cs="Times New Roman"/>
                <w:b/>
              </w:rPr>
            </w:pPr>
            <w:r w:rsidRPr="00883EF2">
              <w:rPr>
                <w:rFonts w:cs="Times New Roman"/>
                <w:b/>
              </w:rPr>
              <w:t>2022</w:t>
            </w:r>
          </w:p>
        </w:tc>
        <w:tc>
          <w:tcPr>
            <w:tcW w:w="1115" w:type="dxa"/>
            <w:tcBorders>
              <w:bottom w:val="single" w:sz="4" w:space="0" w:color="FFFFFF" w:themeColor="background1"/>
            </w:tcBorders>
            <w:shd w:val="solid" w:color="0F51B1" w:fill="0F51B1"/>
          </w:tcPr>
          <w:p w14:paraId="1899C334" w14:textId="254C4B74" w:rsidR="00411E59" w:rsidRPr="00883EF2" w:rsidRDefault="00821538" w:rsidP="00264A55">
            <w:pPr>
              <w:pStyle w:val="Tableheading"/>
              <w:jc w:val="right"/>
              <w:rPr>
                <w:rFonts w:cs="Times New Roman"/>
                <w:b/>
              </w:rPr>
            </w:pPr>
            <w:r w:rsidRPr="00883EF2">
              <w:rPr>
                <w:rFonts w:cs="Times New Roman"/>
                <w:b/>
              </w:rPr>
              <w:t>2030 - Conservador</w:t>
            </w:r>
          </w:p>
        </w:tc>
        <w:tc>
          <w:tcPr>
            <w:tcW w:w="1114" w:type="dxa"/>
            <w:tcBorders>
              <w:bottom w:val="single" w:sz="4" w:space="0" w:color="FFFFFF" w:themeColor="background1"/>
            </w:tcBorders>
            <w:shd w:val="solid" w:color="0F51B1" w:fill="0F51B1"/>
          </w:tcPr>
          <w:p w14:paraId="5DE25CC8" w14:textId="03FC3411" w:rsidR="00411E59" w:rsidRPr="00883EF2" w:rsidRDefault="00821538" w:rsidP="00264A55">
            <w:pPr>
              <w:pStyle w:val="Tableheading"/>
              <w:jc w:val="right"/>
              <w:rPr>
                <w:rFonts w:cs="Times New Roman"/>
                <w:b/>
              </w:rPr>
            </w:pPr>
            <w:r w:rsidRPr="00883EF2">
              <w:rPr>
                <w:rFonts w:cs="Times New Roman"/>
                <w:b/>
              </w:rPr>
              <w:t>2030 - Base</w:t>
            </w:r>
          </w:p>
        </w:tc>
        <w:tc>
          <w:tcPr>
            <w:tcW w:w="1115" w:type="dxa"/>
            <w:tcBorders>
              <w:bottom w:val="single" w:sz="4" w:space="0" w:color="FFFFFF" w:themeColor="background1"/>
            </w:tcBorders>
            <w:shd w:val="solid" w:color="0F51B1" w:fill="0F51B1"/>
          </w:tcPr>
          <w:p w14:paraId="500E5C04" w14:textId="59ADA58E" w:rsidR="00411E59" w:rsidRPr="00883EF2" w:rsidRDefault="00821538" w:rsidP="00264A55">
            <w:pPr>
              <w:pStyle w:val="Tableheading"/>
              <w:jc w:val="right"/>
              <w:rPr>
                <w:rFonts w:cs="Times New Roman"/>
                <w:b/>
              </w:rPr>
            </w:pPr>
            <w:r w:rsidRPr="00883EF2">
              <w:rPr>
                <w:rFonts w:cs="Times New Roman"/>
                <w:b/>
              </w:rPr>
              <w:t>2030 - Agresivo</w:t>
            </w:r>
          </w:p>
        </w:tc>
      </w:tr>
      <w:tr w:rsidR="00302580" w14:paraId="65DBE6A3"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9475A83" w14:textId="34052365" w:rsidR="00F765CD" w:rsidRPr="00883EF2" w:rsidRDefault="00F765CD" w:rsidP="00264A55">
            <w:pPr>
              <w:pStyle w:val="Tablecells"/>
              <w:rPr>
                <w:rFonts w:cs="Times New Roman"/>
                <w:szCs w:val="20"/>
              </w:rPr>
            </w:pPr>
            <w:r w:rsidRPr="00883EF2">
              <w:rPr>
                <w:rFonts w:cs="Times New Roman"/>
                <w:szCs w:val="20"/>
                <w:lang w:val="es-ES"/>
              </w:rPr>
              <w:t>Penetración móvil</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11681BF9" w14:textId="442BA212"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 (población)</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205E4C4" w14:textId="58F57836" w:rsidR="00F765CD" w:rsidRPr="00883EF2" w:rsidRDefault="00F765CD" w:rsidP="00264A55">
            <w:pPr>
              <w:pStyle w:val="Tablecells"/>
              <w:jc w:val="right"/>
              <w:rPr>
                <w:rFonts w:cs="Times New Roman"/>
                <w:color w:val="000000" w:themeColor="text1"/>
                <w:szCs w:val="20"/>
              </w:rPr>
            </w:pPr>
            <w:r w:rsidRPr="00883EF2">
              <w:rPr>
                <w:rFonts w:cs="Times New Roman"/>
                <w:color w:val="000000" w:themeColor="text1"/>
                <w:szCs w:val="20"/>
              </w:rPr>
              <w:t>101%</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7260DB8" w14:textId="5C118A21" w:rsidR="00F765CD" w:rsidRPr="00883EF2" w:rsidRDefault="00F765CD" w:rsidP="00264A55">
            <w:pPr>
              <w:pStyle w:val="Tablecells"/>
              <w:jc w:val="right"/>
              <w:rPr>
                <w:rFonts w:cs="Times New Roman"/>
                <w:color w:val="000000" w:themeColor="text1"/>
                <w:szCs w:val="20"/>
              </w:rPr>
            </w:pPr>
            <w:r w:rsidRPr="00883EF2">
              <w:rPr>
                <w:rFonts w:cs="Times New Roman"/>
                <w:color w:val="000000" w:themeColor="text1"/>
                <w:szCs w:val="20"/>
              </w:rPr>
              <w:t>103.4%</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9E90F81" w14:textId="27ECFE03" w:rsidR="00F765CD" w:rsidRPr="00883EF2" w:rsidRDefault="00F765CD" w:rsidP="00264A55">
            <w:pPr>
              <w:pStyle w:val="Tablecells"/>
              <w:jc w:val="right"/>
              <w:rPr>
                <w:rFonts w:cs="Times New Roman"/>
                <w:color w:val="000000" w:themeColor="text1"/>
                <w:szCs w:val="20"/>
              </w:rPr>
            </w:pPr>
            <w:r w:rsidRPr="00883EF2">
              <w:rPr>
                <w:rFonts w:cs="Times New Roman"/>
                <w:color w:val="000000" w:themeColor="text1"/>
                <w:szCs w:val="20"/>
              </w:rPr>
              <w:t>104.7%</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D04A286" w14:textId="49D993C1" w:rsidR="00F765CD" w:rsidRPr="00883EF2" w:rsidRDefault="00F765CD" w:rsidP="00264A55">
            <w:pPr>
              <w:pStyle w:val="Tablecells"/>
              <w:jc w:val="right"/>
              <w:rPr>
                <w:rFonts w:cs="Times New Roman"/>
                <w:color w:val="000000" w:themeColor="text1"/>
                <w:szCs w:val="20"/>
              </w:rPr>
            </w:pPr>
            <w:r w:rsidRPr="00883EF2">
              <w:rPr>
                <w:rFonts w:cs="Times New Roman"/>
                <w:color w:val="000000" w:themeColor="text1"/>
                <w:szCs w:val="20"/>
              </w:rPr>
              <w:t>105.0%</w:t>
            </w:r>
          </w:p>
        </w:tc>
      </w:tr>
      <w:tr w:rsidR="00302580" w14:paraId="745D0680"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02BF413" w14:textId="3B0624B6" w:rsidR="00F765CD" w:rsidRPr="00883EF2" w:rsidRDefault="00F765CD" w:rsidP="00264A55">
            <w:pPr>
              <w:pStyle w:val="Tablecells"/>
              <w:rPr>
                <w:rFonts w:cs="Times New Roman"/>
                <w:szCs w:val="20"/>
              </w:rPr>
            </w:pPr>
            <w:r w:rsidRPr="00883EF2">
              <w:rPr>
                <w:rFonts w:cs="Times New Roman"/>
                <w:szCs w:val="20"/>
                <w:lang w:val="es-ES"/>
              </w:rPr>
              <w:t>Penetración internet móvil</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713F5637" w14:textId="75BB2C89"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 (población)</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5DB699A" w14:textId="28A87C7B" w:rsidR="00F765CD" w:rsidRPr="00883EF2" w:rsidRDefault="00F765CD" w:rsidP="00264A55">
            <w:pPr>
              <w:pStyle w:val="Tablecells"/>
              <w:jc w:val="right"/>
              <w:rPr>
                <w:rFonts w:cs="Times New Roman"/>
                <w:szCs w:val="20"/>
              </w:rPr>
            </w:pPr>
            <w:r w:rsidRPr="00883EF2">
              <w:rPr>
                <w:rFonts w:cs="Times New Roman"/>
                <w:color w:val="000000" w:themeColor="dark1"/>
                <w:szCs w:val="20"/>
              </w:rPr>
              <w:t>88%</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D6F08E4" w14:textId="62BC4622" w:rsidR="00F765CD" w:rsidRPr="00883EF2" w:rsidRDefault="00F765CD" w:rsidP="00264A55">
            <w:pPr>
              <w:pStyle w:val="Tablecells"/>
              <w:jc w:val="right"/>
              <w:rPr>
                <w:rFonts w:cs="Times New Roman"/>
                <w:szCs w:val="20"/>
              </w:rPr>
            </w:pPr>
            <w:r w:rsidRPr="00883EF2">
              <w:rPr>
                <w:rFonts w:cs="Times New Roman"/>
                <w:color w:val="000000" w:themeColor="dark1"/>
                <w:szCs w:val="20"/>
              </w:rPr>
              <w:t>91.0%</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7B50BC3" w14:textId="6BDB832E" w:rsidR="00F765CD" w:rsidRPr="00883EF2" w:rsidRDefault="00F765CD" w:rsidP="00264A55">
            <w:pPr>
              <w:pStyle w:val="Tablecells"/>
              <w:jc w:val="right"/>
              <w:rPr>
                <w:rFonts w:cs="Times New Roman"/>
                <w:szCs w:val="20"/>
              </w:rPr>
            </w:pPr>
            <w:r w:rsidRPr="00883EF2">
              <w:rPr>
                <w:rFonts w:cs="Times New Roman"/>
                <w:color w:val="000000" w:themeColor="dark1"/>
                <w:szCs w:val="20"/>
              </w:rPr>
              <w:t>95.1%</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7911845" w14:textId="5F446D13" w:rsidR="00F765CD" w:rsidRPr="00883EF2" w:rsidRDefault="00F765CD" w:rsidP="00264A55">
            <w:pPr>
              <w:pStyle w:val="Tablecells"/>
              <w:jc w:val="right"/>
              <w:rPr>
                <w:rFonts w:cs="Times New Roman"/>
                <w:szCs w:val="20"/>
              </w:rPr>
            </w:pPr>
            <w:r w:rsidRPr="00883EF2">
              <w:rPr>
                <w:rFonts w:cs="Times New Roman"/>
                <w:color w:val="000000" w:themeColor="dark1"/>
                <w:szCs w:val="20"/>
              </w:rPr>
              <w:t>97.9%</w:t>
            </w:r>
          </w:p>
        </w:tc>
      </w:tr>
      <w:tr w:rsidR="00302580" w14:paraId="470AB3B6"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FCF4ADF" w14:textId="5F196B5C" w:rsidR="00F765CD" w:rsidRPr="00883EF2" w:rsidRDefault="00F765CD" w:rsidP="00264A55">
            <w:pPr>
              <w:pStyle w:val="Tablecells"/>
              <w:rPr>
                <w:rFonts w:cs="Times New Roman"/>
                <w:szCs w:val="20"/>
              </w:rPr>
            </w:pPr>
            <w:r w:rsidRPr="00883EF2">
              <w:rPr>
                <w:rFonts w:cs="Times New Roman"/>
                <w:szCs w:val="20"/>
                <w:lang w:val="es-ES"/>
              </w:rPr>
              <w:t>Voz móvil por usuario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3E7815EB" w14:textId="6D38931E"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 xml:space="preserve"> Min</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FEDA819" w14:textId="2E70D8EA"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2,561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B5684BF" w14:textId="3A3E5BF4"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2,345.7 </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12F8008" w14:textId="055A7C68"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2,425.8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64F9B6E" w14:textId="7B63504F"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2,507.9 </w:t>
            </w:r>
          </w:p>
        </w:tc>
      </w:tr>
      <w:tr w:rsidR="00302580" w14:paraId="5FCD29B2"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EAA2D56" w14:textId="2C0CDF2F" w:rsidR="00F765CD" w:rsidRPr="00883EF2" w:rsidRDefault="00F765CD" w:rsidP="00264A55">
            <w:pPr>
              <w:pStyle w:val="Tablecells"/>
              <w:rPr>
                <w:rFonts w:cs="Times New Roman"/>
                <w:szCs w:val="20"/>
              </w:rPr>
            </w:pPr>
            <w:r w:rsidRPr="00883EF2">
              <w:rPr>
                <w:rFonts w:cs="Times New Roman"/>
                <w:szCs w:val="20"/>
                <w:lang w:val="es-ES"/>
              </w:rPr>
              <w:t>SMS móvil por usuario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019A0B98" w14:textId="04DAEAEA"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SMS</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DBB8769" w14:textId="5D72C881"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146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E467BAB" w14:textId="1782F13B"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66.7 </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1034120" w14:textId="156D1B49"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82.9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4E63D5F" w14:textId="15BC7180"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102.3 </w:t>
            </w:r>
          </w:p>
        </w:tc>
      </w:tr>
      <w:tr w:rsidR="00302580" w14:paraId="12E28F23"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2595796" w14:textId="795AF4E4" w:rsidR="00F765CD" w:rsidRPr="00883EF2" w:rsidRDefault="00F765CD" w:rsidP="00264A55">
            <w:pPr>
              <w:pStyle w:val="Tablecells"/>
              <w:rPr>
                <w:rFonts w:cs="Times New Roman"/>
                <w:szCs w:val="20"/>
              </w:rPr>
            </w:pPr>
            <w:r w:rsidRPr="00883EF2">
              <w:rPr>
                <w:rFonts w:cs="Times New Roman"/>
                <w:szCs w:val="20"/>
                <w:lang w:val="es-ES"/>
              </w:rPr>
              <w:t>Datos móviles por usuario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7881FCF7" w14:textId="3171D447"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GB</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DD28A04" w14:textId="76E96E99"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68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1057FB8" w14:textId="7444D65F"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98.2 </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B01552A" w14:textId="0FE0DED8"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107.2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D2D0341" w14:textId="40D1C056"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116.9 </w:t>
            </w:r>
          </w:p>
        </w:tc>
      </w:tr>
      <w:tr w:rsidR="00302580" w14:paraId="40D12093"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68D9A6A" w14:textId="49CC821A" w:rsidR="00F765CD" w:rsidRPr="00883EF2" w:rsidRDefault="00F765CD" w:rsidP="00264A55">
            <w:pPr>
              <w:pStyle w:val="Tablecells"/>
              <w:rPr>
                <w:rFonts w:cs="Times New Roman"/>
                <w:szCs w:val="20"/>
              </w:rPr>
            </w:pPr>
            <w:r w:rsidRPr="00883EF2">
              <w:rPr>
                <w:rFonts w:cs="Times New Roman"/>
                <w:szCs w:val="20"/>
                <w:lang w:val="es-ES"/>
              </w:rPr>
              <w:t>Penetración fija</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3169DCF4" w14:textId="45A7F7A3"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 (hogares)</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54E4DA3" w14:textId="57D3FA09" w:rsidR="00F765CD" w:rsidRPr="00883EF2" w:rsidRDefault="00F765CD" w:rsidP="00264A55">
            <w:pPr>
              <w:pStyle w:val="Tablecells"/>
              <w:jc w:val="right"/>
              <w:rPr>
                <w:rFonts w:cs="Times New Roman"/>
                <w:szCs w:val="20"/>
              </w:rPr>
            </w:pPr>
            <w:r w:rsidRPr="00883EF2">
              <w:rPr>
                <w:rFonts w:cs="Times New Roman"/>
                <w:color w:val="000000" w:themeColor="dark1"/>
                <w:szCs w:val="20"/>
              </w:rPr>
              <w:t>70%</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8054D9D" w14:textId="7A2C1298" w:rsidR="00F765CD" w:rsidRPr="00883EF2" w:rsidRDefault="00F765CD" w:rsidP="00264A55">
            <w:pPr>
              <w:pStyle w:val="Tablecells"/>
              <w:jc w:val="right"/>
              <w:rPr>
                <w:rFonts w:cs="Times New Roman"/>
                <w:szCs w:val="20"/>
              </w:rPr>
            </w:pPr>
            <w:r w:rsidRPr="00883EF2">
              <w:rPr>
                <w:rFonts w:cs="Times New Roman"/>
                <w:color w:val="000000" w:themeColor="dark1"/>
                <w:szCs w:val="20"/>
              </w:rPr>
              <w:t>71.3%</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E7F735A" w14:textId="07D23D92" w:rsidR="00F765CD" w:rsidRPr="00883EF2" w:rsidRDefault="00F765CD" w:rsidP="00264A55">
            <w:pPr>
              <w:pStyle w:val="Tablecells"/>
              <w:jc w:val="right"/>
              <w:rPr>
                <w:rFonts w:cs="Times New Roman"/>
                <w:szCs w:val="20"/>
              </w:rPr>
            </w:pPr>
            <w:r w:rsidRPr="00883EF2">
              <w:rPr>
                <w:rFonts w:cs="Times New Roman"/>
                <w:color w:val="000000" w:themeColor="dark1"/>
                <w:szCs w:val="20"/>
              </w:rPr>
              <w:t>71.7%</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A790C13" w14:textId="2790B054" w:rsidR="00F765CD" w:rsidRPr="00883EF2" w:rsidRDefault="00F765CD" w:rsidP="00264A55">
            <w:pPr>
              <w:pStyle w:val="Tablecells"/>
              <w:jc w:val="right"/>
              <w:rPr>
                <w:rFonts w:cs="Times New Roman"/>
                <w:szCs w:val="20"/>
              </w:rPr>
            </w:pPr>
            <w:r w:rsidRPr="00883EF2">
              <w:rPr>
                <w:rFonts w:cs="Times New Roman"/>
                <w:color w:val="000000" w:themeColor="dark1"/>
                <w:szCs w:val="20"/>
              </w:rPr>
              <w:t>71.8%</w:t>
            </w:r>
          </w:p>
        </w:tc>
      </w:tr>
      <w:tr w:rsidR="00302580" w14:paraId="460CCDF7"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49EF2FA" w14:textId="74C95962" w:rsidR="00F765CD" w:rsidRPr="00883EF2" w:rsidRDefault="00F765CD" w:rsidP="00264A55">
            <w:pPr>
              <w:pStyle w:val="Tablecells"/>
              <w:rPr>
                <w:rFonts w:cs="Times New Roman"/>
                <w:szCs w:val="20"/>
              </w:rPr>
            </w:pPr>
            <w:r w:rsidRPr="00883EF2">
              <w:rPr>
                <w:rFonts w:cs="Times New Roman"/>
                <w:szCs w:val="20"/>
                <w:lang w:val="es-ES"/>
              </w:rPr>
              <w:t>Penetración banda ancha fija</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60DC06CF" w14:textId="6B7700C1"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 (hogares)</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3FE108F" w14:textId="4F64EB91" w:rsidR="00F765CD" w:rsidRPr="00883EF2" w:rsidRDefault="00F765CD" w:rsidP="00264A55">
            <w:pPr>
              <w:pStyle w:val="Tablecells"/>
              <w:jc w:val="right"/>
              <w:rPr>
                <w:rFonts w:cs="Times New Roman"/>
                <w:szCs w:val="20"/>
              </w:rPr>
            </w:pPr>
            <w:r w:rsidRPr="00883EF2">
              <w:rPr>
                <w:rFonts w:cs="Times New Roman"/>
                <w:color w:val="000000" w:themeColor="dark1"/>
                <w:szCs w:val="20"/>
              </w:rPr>
              <w:t>71%</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4CE2439" w14:textId="6DADF277" w:rsidR="00F765CD" w:rsidRPr="00883EF2" w:rsidRDefault="00F765CD" w:rsidP="00264A55">
            <w:pPr>
              <w:pStyle w:val="Tablecells"/>
              <w:jc w:val="right"/>
              <w:rPr>
                <w:rFonts w:cs="Times New Roman"/>
                <w:szCs w:val="20"/>
              </w:rPr>
            </w:pPr>
            <w:r w:rsidRPr="00883EF2">
              <w:rPr>
                <w:rFonts w:cs="Times New Roman"/>
                <w:color w:val="000000" w:themeColor="dark1"/>
                <w:szCs w:val="20"/>
              </w:rPr>
              <w:t>80.1%</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3509CAA" w14:textId="453BA26F" w:rsidR="00F765CD" w:rsidRPr="00883EF2" w:rsidRDefault="00F765CD" w:rsidP="00264A55">
            <w:pPr>
              <w:pStyle w:val="Tablecells"/>
              <w:jc w:val="right"/>
              <w:rPr>
                <w:rFonts w:cs="Times New Roman"/>
                <w:szCs w:val="20"/>
              </w:rPr>
            </w:pPr>
            <w:r w:rsidRPr="00883EF2">
              <w:rPr>
                <w:rFonts w:cs="Times New Roman"/>
                <w:color w:val="000000" w:themeColor="dark1"/>
                <w:szCs w:val="20"/>
              </w:rPr>
              <w:t>81.2%</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696E645" w14:textId="1BD3690C" w:rsidR="00F765CD" w:rsidRPr="00883EF2" w:rsidRDefault="00F765CD" w:rsidP="00264A55">
            <w:pPr>
              <w:pStyle w:val="Tablecells"/>
              <w:jc w:val="right"/>
              <w:rPr>
                <w:rFonts w:cs="Times New Roman"/>
                <w:szCs w:val="20"/>
              </w:rPr>
            </w:pPr>
            <w:r w:rsidRPr="00883EF2">
              <w:rPr>
                <w:rFonts w:cs="Times New Roman"/>
                <w:color w:val="000000" w:themeColor="dark1"/>
                <w:szCs w:val="20"/>
              </w:rPr>
              <w:t>82.1%</w:t>
            </w:r>
          </w:p>
        </w:tc>
      </w:tr>
      <w:tr w:rsidR="00302580" w14:paraId="5A00F6E0"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4C153A1" w14:textId="1871BA58" w:rsidR="00F765CD" w:rsidRPr="00883EF2" w:rsidRDefault="00F765CD" w:rsidP="00264A55">
            <w:pPr>
              <w:pStyle w:val="Tablecells"/>
              <w:rPr>
                <w:rFonts w:cs="Times New Roman"/>
                <w:szCs w:val="20"/>
              </w:rPr>
            </w:pPr>
            <w:r w:rsidRPr="00883EF2">
              <w:rPr>
                <w:rFonts w:cs="Times New Roman"/>
                <w:szCs w:val="20"/>
                <w:lang w:val="es-ES"/>
              </w:rPr>
              <w:t>Voz fija por usuario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47B2260C" w14:textId="5E06724C"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Min</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86A7D0B" w14:textId="385BAD85"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755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84BCAF0" w14:textId="301C8DFA"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28.4 </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EB53F04" w14:textId="527F6E4F"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34.5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2A3F5086" w14:textId="7DB7B944"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41.6 </w:t>
            </w:r>
          </w:p>
        </w:tc>
      </w:tr>
      <w:tr w:rsidR="00302580" w14:paraId="413C8AF3"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71230F2" w14:textId="0C4B6D7A" w:rsidR="00F765CD" w:rsidRPr="00883EF2" w:rsidRDefault="00F765CD" w:rsidP="00264A55">
            <w:pPr>
              <w:pStyle w:val="Tablecells"/>
              <w:rPr>
                <w:rFonts w:cs="Times New Roman"/>
                <w:szCs w:val="20"/>
              </w:rPr>
            </w:pPr>
            <w:r w:rsidRPr="00883EF2">
              <w:rPr>
                <w:rFonts w:cs="Times New Roman"/>
                <w:szCs w:val="20"/>
                <w:lang w:val="es-ES"/>
              </w:rPr>
              <w:t>Tráfico efectivo por usuario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6FEC9B50" w14:textId="44B399E4"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Mbps</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630F3F60" w14:textId="39239EFD"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2.25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AFF34B1" w14:textId="26971D9D"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2.57 </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B955CF2" w14:textId="0E57D160"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2.67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C1B5FF1" w14:textId="5A081256" w:rsidR="00F765CD" w:rsidRPr="00883EF2" w:rsidRDefault="00F765CD" w:rsidP="00264A55">
            <w:pPr>
              <w:pStyle w:val="Tablecells"/>
              <w:jc w:val="right"/>
              <w:rPr>
                <w:rFonts w:cs="Times New Roman"/>
                <w:szCs w:val="20"/>
              </w:rPr>
            </w:pPr>
            <w:r w:rsidRPr="00883EF2">
              <w:rPr>
                <w:rFonts w:cs="Times New Roman"/>
                <w:color w:val="000000" w:themeColor="dark1"/>
                <w:szCs w:val="20"/>
              </w:rPr>
              <w:t xml:space="preserve">2.81 </w:t>
            </w:r>
          </w:p>
        </w:tc>
      </w:tr>
      <w:tr w:rsidR="00302580" w14:paraId="609E2FA2" w14:textId="77777777" w:rsidTr="00D15E8B">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58F58CA2" w14:textId="02B44B82" w:rsidR="00F765CD" w:rsidRPr="00883EF2" w:rsidRDefault="00F765CD" w:rsidP="00264A55">
            <w:pPr>
              <w:pStyle w:val="Tablecells"/>
              <w:rPr>
                <w:rFonts w:cs="Times New Roman"/>
                <w:szCs w:val="20"/>
              </w:rPr>
            </w:pPr>
            <w:r w:rsidRPr="00883EF2">
              <w:rPr>
                <w:rFonts w:cs="Times New Roman"/>
                <w:szCs w:val="20"/>
                <w:lang w:val="es-ES"/>
              </w:rPr>
              <w:t>Televisión</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14:paraId="5F20F678" w14:textId="59C15AAB" w:rsidR="00F765CD" w:rsidRPr="00883EF2" w:rsidRDefault="00F765CD" w:rsidP="00CA1200">
            <w:pPr>
              <w:pStyle w:val="Tablecells"/>
              <w:rPr>
                <w:rFonts w:cs="Times New Roman"/>
                <w:szCs w:val="20"/>
              </w:rPr>
            </w:pPr>
            <w:r w:rsidRPr="00883EF2">
              <w:rPr>
                <w:rFonts w:eastAsiaTheme="minorEastAsia" w:cs="Times New Roman"/>
                <w:color w:val="000000" w:themeColor="dark1"/>
                <w:szCs w:val="20"/>
                <w:lang w:val="es-ES"/>
              </w:rPr>
              <w:t>% hogares</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0E9C4EB6" w14:textId="69C044E9" w:rsidR="00F765CD" w:rsidRPr="00883EF2" w:rsidRDefault="00F765CD" w:rsidP="00264A55">
            <w:pPr>
              <w:pStyle w:val="Tablecells"/>
              <w:jc w:val="right"/>
              <w:rPr>
                <w:rFonts w:cs="Times New Roman"/>
                <w:szCs w:val="20"/>
              </w:rPr>
            </w:pPr>
            <w:r w:rsidRPr="00883EF2">
              <w:rPr>
                <w:rFonts w:cs="Times New Roman"/>
                <w:color w:val="000000" w:themeColor="dark1"/>
                <w:szCs w:val="20"/>
              </w:rPr>
              <w:t>69%</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1D844BED" w14:textId="102099FB" w:rsidR="00F765CD" w:rsidRPr="00883EF2" w:rsidRDefault="00F765CD" w:rsidP="00264A55">
            <w:pPr>
              <w:pStyle w:val="Tablecells"/>
              <w:jc w:val="right"/>
              <w:rPr>
                <w:rFonts w:cs="Times New Roman"/>
                <w:szCs w:val="20"/>
              </w:rPr>
            </w:pPr>
            <w:r w:rsidRPr="00883EF2">
              <w:rPr>
                <w:rFonts w:cs="Times New Roman"/>
                <w:color w:val="000000" w:themeColor="dark1"/>
                <w:szCs w:val="20"/>
              </w:rPr>
              <w:t>65.1%</w:t>
            </w: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7617239" w14:textId="4DBFE4E9" w:rsidR="00F765CD" w:rsidRPr="00883EF2" w:rsidRDefault="00F765CD" w:rsidP="00264A55">
            <w:pPr>
              <w:pStyle w:val="Tablecells"/>
              <w:jc w:val="right"/>
              <w:rPr>
                <w:rFonts w:cs="Times New Roman"/>
                <w:szCs w:val="20"/>
              </w:rPr>
            </w:pPr>
            <w:r w:rsidRPr="00883EF2">
              <w:rPr>
                <w:rFonts w:cs="Times New Roman"/>
                <w:color w:val="000000" w:themeColor="dark1"/>
                <w:szCs w:val="20"/>
              </w:rPr>
              <w:t>67.4%</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067FE93" w14:textId="55BD975C" w:rsidR="00F765CD" w:rsidRPr="00883EF2" w:rsidRDefault="00F765CD" w:rsidP="00264A55">
            <w:pPr>
              <w:pStyle w:val="Tablecells"/>
              <w:jc w:val="right"/>
              <w:rPr>
                <w:rFonts w:cs="Times New Roman"/>
                <w:szCs w:val="20"/>
              </w:rPr>
            </w:pPr>
            <w:r w:rsidRPr="00883EF2">
              <w:rPr>
                <w:rFonts w:cs="Times New Roman"/>
                <w:color w:val="000000" w:themeColor="dark1"/>
                <w:szCs w:val="20"/>
              </w:rPr>
              <w:t>69.3%</w:t>
            </w:r>
          </w:p>
        </w:tc>
      </w:tr>
    </w:tbl>
    <w:p w14:paraId="27D5E86D" w14:textId="17423F3E" w:rsidR="008B4290" w:rsidRPr="008B4290" w:rsidRDefault="008B4290" w:rsidP="008B4290"/>
    <w:p w14:paraId="6C0BB96C" w14:textId="0E475F9F" w:rsidR="0033706D" w:rsidRDefault="00B02CD5" w:rsidP="00230973">
      <w:pPr>
        <w:pStyle w:val="Ttulo2"/>
        <w:rPr>
          <w:lang w:val="es-ES_tradnl"/>
        </w:rPr>
      </w:pPr>
      <w:bookmarkStart w:id="33" w:name="_Toc136032676"/>
      <w:r>
        <w:rPr>
          <w:lang w:val="es-ES_tradnl"/>
        </w:rPr>
        <w:t xml:space="preserve">Caracterización </w:t>
      </w:r>
      <w:r w:rsidR="0033706D">
        <w:rPr>
          <w:lang w:val="es-ES_tradnl"/>
        </w:rPr>
        <w:t>geográfic</w:t>
      </w:r>
      <w:r>
        <w:rPr>
          <w:lang w:val="es-ES_tradnl"/>
        </w:rPr>
        <w:t>a</w:t>
      </w:r>
      <w:bookmarkEnd w:id="33"/>
    </w:p>
    <w:p w14:paraId="754A14D2" w14:textId="578E2673" w:rsidR="00230973" w:rsidRDefault="00B02CD5" w:rsidP="00230973">
      <w:pPr>
        <w:pStyle w:val="Ttulo3"/>
        <w:rPr>
          <w:lang w:val="es-ES_tradnl"/>
        </w:rPr>
      </w:pPr>
      <w:bookmarkStart w:id="34" w:name="_Ref135406342"/>
      <w:r>
        <w:rPr>
          <w:lang w:val="es-ES_tradnl"/>
        </w:rPr>
        <w:t>Caracterización de</w:t>
      </w:r>
      <w:r w:rsidR="00230973">
        <w:rPr>
          <w:lang w:val="es-ES_tradnl"/>
        </w:rPr>
        <w:t xml:space="preserve"> redes fijas</w:t>
      </w:r>
      <w:bookmarkEnd w:id="34"/>
    </w:p>
    <w:p w14:paraId="205B3DDD" w14:textId="7E141A0A" w:rsidR="004A4699" w:rsidRPr="0015567E" w:rsidRDefault="00632773" w:rsidP="00230973">
      <w:pPr>
        <w:rPr>
          <w:lang w:val="es-ES_tradnl"/>
        </w:rPr>
      </w:pPr>
      <w:r>
        <w:rPr>
          <w:lang w:val="es-ES_tradnl"/>
        </w:rPr>
        <w:t xml:space="preserve">Se ha </w:t>
      </w:r>
      <w:r w:rsidR="00B02CD5">
        <w:rPr>
          <w:lang w:val="es-ES_tradnl"/>
        </w:rPr>
        <w:t>definido un</w:t>
      </w:r>
      <w:r w:rsidR="0015567E">
        <w:rPr>
          <w:lang w:val="es-ES_tradnl"/>
        </w:rPr>
        <w:t xml:space="preserve">a arquitectura </w:t>
      </w:r>
      <w:r>
        <w:rPr>
          <w:lang w:val="es-ES_tradnl"/>
        </w:rPr>
        <w:t xml:space="preserve">que determina el diseño de la red fija a nivel nacional en términos de km de fibra desplegados y números de </w:t>
      </w:r>
      <w:r w:rsidR="00112C80">
        <w:rPr>
          <w:lang w:val="es-ES_tradnl"/>
        </w:rPr>
        <w:t xml:space="preserve">nodos que conforman la red. </w:t>
      </w:r>
      <w:r w:rsidR="00112C80" w:rsidRPr="00112C80">
        <w:rPr>
          <w:lang w:val="es-ES"/>
        </w:rPr>
        <w:t>Est</w:t>
      </w:r>
      <w:r w:rsidR="0015567E">
        <w:rPr>
          <w:lang w:val="es-ES"/>
        </w:rPr>
        <w:t>a</w:t>
      </w:r>
      <w:r w:rsidR="00112C80" w:rsidRPr="00112C80">
        <w:rPr>
          <w:lang w:val="es-ES"/>
        </w:rPr>
        <w:t xml:space="preserve"> </w:t>
      </w:r>
      <w:r w:rsidR="0015567E">
        <w:rPr>
          <w:lang w:val="es-ES"/>
        </w:rPr>
        <w:t>arquitectura</w:t>
      </w:r>
      <w:r w:rsidR="00112C80" w:rsidRPr="00112C80">
        <w:rPr>
          <w:lang w:val="es-ES"/>
        </w:rPr>
        <w:t xml:space="preserve"> </w:t>
      </w:r>
      <w:r w:rsidR="00112C80">
        <w:rPr>
          <w:lang w:val="es-ES"/>
        </w:rPr>
        <w:t xml:space="preserve">separa conceptualmente la red de acceso (última milla) y la red </w:t>
      </w:r>
      <w:r w:rsidR="0015567E">
        <w:rPr>
          <w:lang w:val="es-ES"/>
        </w:rPr>
        <w:t>de núcleo</w:t>
      </w:r>
      <w:r w:rsidR="00112C80">
        <w:rPr>
          <w:lang w:val="es-ES"/>
        </w:rPr>
        <w:t xml:space="preserve"> del operador para definir los activos considerados en el costeo. </w:t>
      </w:r>
      <w:r w:rsidR="004A4699">
        <w:rPr>
          <w:lang w:val="es-ES"/>
        </w:rPr>
        <w:t xml:space="preserve">La siguiente figura muestra un diagrama ilustrativo </w:t>
      </w:r>
      <w:r w:rsidR="000207D2">
        <w:rPr>
          <w:lang w:val="es-ES"/>
        </w:rPr>
        <w:t>de la arquitectura</w:t>
      </w:r>
      <w:r w:rsidR="004A4699">
        <w:rPr>
          <w:lang w:val="es-ES"/>
        </w:rPr>
        <w:t xml:space="preserve"> de la red fija </w:t>
      </w:r>
      <w:r w:rsidR="0015567E">
        <w:rPr>
          <w:lang w:val="es-ES"/>
        </w:rPr>
        <w:t>propuest</w:t>
      </w:r>
      <w:r w:rsidR="000207D2">
        <w:rPr>
          <w:lang w:val="es-ES"/>
        </w:rPr>
        <w:t>a</w:t>
      </w:r>
      <w:r w:rsidR="004A4699">
        <w:rPr>
          <w:lang w:val="es-ES"/>
        </w:rPr>
        <w:t>:</w:t>
      </w:r>
    </w:p>
    <w:p w14:paraId="761AA207" w14:textId="394B5270" w:rsidR="004A4699" w:rsidRDefault="00CF096D" w:rsidP="00CF096D">
      <w:pPr>
        <w:pStyle w:val="Descripcin"/>
        <w:rPr>
          <w:lang w:val="es-ES"/>
        </w:rPr>
      </w:pPr>
      <w:r>
        <w:rPr>
          <w:lang w:val="es-ES"/>
        </w:rPr>
        <w:lastRenderedPageBreak/>
        <w:t>Figura</w:t>
      </w:r>
      <w:r w:rsidR="00A1760B">
        <w:rPr>
          <w:lang w:val="es-ES"/>
        </w:rPr>
        <w:t xml:space="preserve"> </w:t>
      </w:r>
      <w:r>
        <w:rPr>
          <w:lang w:val="es-ES"/>
        </w:rPr>
        <w:fldChar w:fldCharType="begin"/>
      </w:r>
      <w:r>
        <w:rPr>
          <w:lang w:val="es-ES"/>
        </w:rPr>
        <w:instrText xml:space="preserve"> STYLEREF 1 \s \* MERGEFORMAT </w:instrText>
      </w:r>
      <w:r>
        <w:rPr>
          <w:lang w:val="es-ES"/>
        </w:rPr>
        <w:fldChar w:fldCharType="separate"/>
      </w:r>
      <w:r w:rsidR="00020F8B">
        <w:rPr>
          <w:noProof/>
          <w:lang w:val="es-ES"/>
        </w:rPr>
        <w:t>3</w:t>
      </w:r>
      <w:r>
        <w:rPr>
          <w:lang w:val="es-ES"/>
        </w:rPr>
        <w:fldChar w:fldCharType="end"/>
      </w:r>
      <w:r>
        <w:rPr>
          <w:lang w:val="es-ES"/>
        </w:rPr>
        <w:t>.</w:t>
      </w:r>
      <w:r>
        <w:rPr>
          <w:lang w:val="es-ES"/>
        </w:rPr>
        <w:fldChar w:fldCharType="begin"/>
      </w:r>
      <w:r>
        <w:rPr>
          <w:lang w:val="es-ES"/>
        </w:rPr>
        <w:instrText xml:space="preserve"> SEQ </w:instrText>
      </w:r>
      <w:r w:rsidR="00DE28D1">
        <w:rPr>
          <w:lang w:val="es-ES"/>
        </w:rPr>
        <w:instrText>Ilustración</w:instrText>
      </w:r>
      <w:r>
        <w:rPr>
          <w:lang w:val="es-ES"/>
        </w:rPr>
        <w:instrText xml:space="preserve"> \* ARABIC \s 1 \* MERGEFORMAT </w:instrText>
      </w:r>
      <w:r>
        <w:rPr>
          <w:lang w:val="es-ES"/>
        </w:rPr>
        <w:fldChar w:fldCharType="separate"/>
      </w:r>
      <w:r w:rsidR="00020F8B">
        <w:rPr>
          <w:noProof/>
          <w:lang w:val="es-ES"/>
        </w:rPr>
        <w:t>18</w:t>
      </w:r>
      <w:r>
        <w:rPr>
          <w:lang w:val="es-ES"/>
        </w:rPr>
        <w:fldChar w:fldCharType="end"/>
      </w:r>
      <w:r>
        <w:rPr>
          <w:lang w:val="es-ES"/>
        </w:rPr>
        <w:t xml:space="preserve">: </w:t>
      </w:r>
      <w:r w:rsidRPr="00CF096D">
        <w:rPr>
          <w:lang w:val="es-ES"/>
        </w:rPr>
        <w:t xml:space="preserve">Diagrama ilustrativo del diseño de la red fija </w:t>
      </w:r>
      <w:r>
        <w:rPr>
          <w:lang w:val="es-ES"/>
        </w:rPr>
        <w:t>[Fuente: Analysys Mason, 2023]</w:t>
      </w:r>
    </w:p>
    <w:p w14:paraId="439CA119" w14:textId="54399A35" w:rsidR="00CF096D" w:rsidRDefault="00D766C5" w:rsidP="00D766C5">
      <w:pPr>
        <w:pStyle w:val="Border"/>
        <w:rPr>
          <w:lang w:val="es-ES"/>
        </w:rPr>
      </w:pPr>
      <w:r w:rsidRPr="00D766C5">
        <w:rPr>
          <w:noProof/>
        </w:rPr>
        <w:drawing>
          <wp:inline distT="0" distB="0" distL="0" distR="0" wp14:anchorId="521A9B29" wp14:editId="7313A8A4">
            <wp:extent cx="5457825" cy="4479925"/>
            <wp:effectExtent l="0" t="0" r="9525" b="0"/>
            <wp:docPr id="462628143" name="Picture 46262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7825" cy="4479925"/>
                    </a:xfrm>
                    <a:prstGeom prst="rect">
                      <a:avLst/>
                    </a:prstGeom>
                    <a:noFill/>
                    <a:ln>
                      <a:noFill/>
                    </a:ln>
                  </pic:spPr>
                </pic:pic>
              </a:graphicData>
            </a:graphic>
          </wp:inline>
        </w:drawing>
      </w:r>
    </w:p>
    <w:p w14:paraId="6F95F9A8" w14:textId="27CC0B0C" w:rsidR="00A662B0" w:rsidRDefault="00971188" w:rsidP="00A662B0">
      <w:pPr>
        <w:rPr>
          <w:lang w:val="es-ES"/>
        </w:rPr>
      </w:pPr>
      <w:r>
        <w:rPr>
          <w:lang w:val="es-ES"/>
        </w:rPr>
        <w:t xml:space="preserve">A </w:t>
      </w:r>
      <w:r w:rsidR="00470682">
        <w:rPr>
          <w:lang w:val="es-ES"/>
        </w:rPr>
        <w:t>continuación,</w:t>
      </w:r>
      <w:r>
        <w:rPr>
          <w:lang w:val="es-ES"/>
        </w:rPr>
        <w:t xml:space="preserve"> explicamos las siguientes capas de la red mostradas en el diagrama:</w:t>
      </w:r>
    </w:p>
    <w:p w14:paraId="7272358F" w14:textId="77777777" w:rsidR="000F2BC4" w:rsidRDefault="00001A63" w:rsidP="000F2BC4">
      <w:pPr>
        <w:pStyle w:val="ListBulletCompact"/>
        <w:ind w:left="360" w:hanging="360"/>
        <w:rPr>
          <w:lang w:val="es-ES"/>
        </w:rPr>
      </w:pPr>
      <w:r w:rsidRPr="00001A63">
        <w:rPr>
          <w:lang w:val="es-ES"/>
        </w:rPr>
        <w:t>Capa nacional/core:</w:t>
      </w:r>
      <w:r>
        <w:rPr>
          <w:lang w:val="es-ES"/>
        </w:rPr>
        <w:t xml:space="preserve"> </w:t>
      </w:r>
      <w:r w:rsidR="008D5B85">
        <w:rPr>
          <w:lang w:val="es-ES"/>
        </w:rPr>
        <w:t>l</w:t>
      </w:r>
      <w:r w:rsidRPr="00001A63">
        <w:rPr>
          <w:lang w:val="es-ES"/>
        </w:rPr>
        <w:t>a capa de nodos core corresponde a la malla de routers que enlazan las distintas regiones en México y gestionan y distribuyen el tráfico nacional</w:t>
      </w:r>
    </w:p>
    <w:p w14:paraId="7E634567" w14:textId="77777777" w:rsidR="000F2BC4" w:rsidRDefault="00001A63" w:rsidP="000F2BC4">
      <w:pPr>
        <w:pStyle w:val="ListBulletCompact"/>
        <w:ind w:left="360" w:hanging="360"/>
        <w:rPr>
          <w:lang w:val="es-ES"/>
        </w:rPr>
      </w:pPr>
      <w:r w:rsidRPr="000F2BC4">
        <w:rPr>
          <w:lang w:val="es-ES"/>
        </w:rPr>
        <w:t xml:space="preserve">Capa regional: </w:t>
      </w:r>
      <w:r w:rsidR="008D5B85" w:rsidRPr="000F2BC4">
        <w:rPr>
          <w:lang w:val="es-ES"/>
        </w:rPr>
        <w:t>la capa de nodos regionales es el primer nivel de inteligencia de la red y redirige el tráfico –a través de la red core si es necesario –hasta hacerlo llegar a su destino</w:t>
      </w:r>
    </w:p>
    <w:p w14:paraId="6216D1C9" w14:textId="1154D45A" w:rsidR="008D5B85" w:rsidRPr="000F2BC4" w:rsidRDefault="008D5B85" w:rsidP="000F2BC4">
      <w:pPr>
        <w:pStyle w:val="ListBulletCompact"/>
        <w:ind w:left="360" w:hanging="360"/>
        <w:rPr>
          <w:lang w:val="es-ES"/>
        </w:rPr>
      </w:pPr>
      <w:r w:rsidRPr="000F2BC4">
        <w:rPr>
          <w:lang w:val="es-ES"/>
        </w:rPr>
        <w:t>Capa de acceso: la capa de acceso concentra tráfico originado por los suscriptores a través de conmutadores de agregación y lo dirige al router regional donde se encamina el tráfico</w:t>
      </w:r>
    </w:p>
    <w:p w14:paraId="598CDC02" w14:textId="5323C145" w:rsidR="00470682" w:rsidRDefault="005275E3" w:rsidP="005275E3">
      <w:pPr>
        <w:pStyle w:val="Ttulo4"/>
        <w:rPr>
          <w:lang w:val="es-ES"/>
        </w:rPr>
      </w:pPr>
      <w:bookmarkStart w:id="35" w:name="_Ref135850497"/>
      <w:r>
        <w:rPr>
          <w:lang w:val="es-ES"/>
        </w:rPr>
        <w:t>Capa nacional</w:t>
      </w:r>
      <w:bookmarkEnd w:id="35"/>
    </w:p>
    <w:p w14:paraId="7EE6ACF3" w14:textId="2DB5C0C7" w:rsidR="00FB5B7C" w:rsidRDefault="005275E3" w:rsidP="00FB5B7C">
      <w:pPr>
        <w:rPr>
          <w:lang w:val="es-ES"/>
        </w:rPr>
      </w:pPr>
      <w:r>
        <w:rPr>
          <w:lang w:val="es-ES"/>
        </w:rPr>
        <w:t xml:space="preserve">El modelo geográfico utiliza un método </w:t>
      </w:r>
      <w:r w:rsidR="00FB5B7C" w:rsidRPr="00FB5B7C">
        <w:rPr>
          <w:i/>
          <w:iCs/>
          <w:lang w:val="es-ES"/>
        </w:rPr>
        <w:t>scorched-earth</w:t>
      </w:r>
      <w:r w:rsidR="00FB5B7C" w:rsidRPr="00FB5B7C">
        <w:rPr>
          <w:lang w:val="es-ES"/>
        </w:rPr>
        <w:t xml:space="preserve"> calibrado para el diseño de la red del operador modelado</w:t>
      </w:r>
      <w:r w:rsidR="00FB5B7C">
        <w:rPr>
          <w:lang w:val="es-ES"/>
        </w:rPr>
        <w:t xml:space="preserve">. Esto resulta en una red troncal compuesta de un total de 11 nodos core y </w:t>
      </w:r>
      <w:r w:rsidR="00B66CBD">
        <w:rPr>
          <w:lang w:val="es-ES"/>
        </w:rPr>
        <w:t xml:space="preserve">nueve </w:t>
      </w:r>
      <w:r w:rsidR="00FB5B7C">
        <w:rPr>
          <w:lang w:val="es-ES"/>
        </w:rPr>
        <w:t xml:space="preserve">nodos </w:t>
      </w:r>
      <w:r w:rsidR="00144DCE">
        <w:rPr>
          <w:lang w:val="es-ES"/>
        </w:rPr>
        <w:t>nacionales</w:t>
      </w:r>
      <w:r w:rsidR="00FB5B7C">
        <w:rPr>
          <w:lang w:val="es-ES"/>
        </w:rPr>
        <w:t xml:space="preserve">. Los nodos core conforman </w:t>
      </w:r>
      <w:r w:rsidR="00B66CBD" w:rsidRPr="00B66CBD">
        <w:rPr>
          <w:lang w:val="es-ES"/>
        </w:rPr>
        <w:t>los puntos de la capa core de la red con inteligencia para redirigir el tráfico</w:t>
      </w:r>
      <w:r w:rsidR="00B66CBD">
        <w:rPr>
          <w:lang w:val="es-ES"/>
        </w:rPr>
        <w:t xml:space="preserve">, mientras que los nodos nacionales además de </w:t>
      </w:r>
      <w:r w:rsidR="00144DCE">
        <w:rPr>
          <w:lang w:val="es-ES"/>
        </w:rPr>
        <w:t xml:space="preserve">esta </w:t>
      </w:r>
      <w:r w:rsidR="00E03F20">
        <w:rPr>
          <w:lang w:val="es-ES"/>
        </w:rPr>
        <w:t>labor</w:t>
      </w:r>
      <w:r w:rsidR="00B66CBD">
        <w:rPr>
          <w:lang w:val="es-ES"/>
        </w:rPr>
        <w:t xml:space="preserve"> también cumplen con funciones</w:t>
      </w:r>
      <w:r w:rsidR="00B66CBD" w:rsidRPr="00B66CBD">
        <w:rPr>
          <w:lang w:val="es-ES"/>
        </w:rPr>
        <w:t xml:space="preserve"> añadidas, como hospedar plataformas de red adicionales</w:t>
      </w:r>
      <w:r w:rsidR="00144DCE">
        <w:rPr>
          <w:lang w:val="es-ES"/>
        </w:rPr>
        <w:t>.</w:t>
      </w:r>
    </w:p>
    <w:p w14:paraId="2183D098" w14:textId="66AEAAB2" w:rsidR="00144DCE" w:rsidRDefault="00C87538" w:rsidP="00FB5B7C">
      <w:pPr>
        <w:rPr>
          <w:lang w:val="es-ES"/>
        </w:rPr>
      </w:pPr>
      <w:r>
        <w:rPr>
          <w:lang w:val="es-ES"/>
        </w:rPr>
        <w:t>Los nodos de la red están conectados de forma redundante por seis anillos de fibra con una longitud total de 1</w:t>
      </w:r>
      <w:r w:rsidR="008324AB">
        <w:rPr>
          <w:lang w:val="es-ES"/>
        </w:rPr>
        <w:t>3</w:t>
      </w:r>
      <w:r>
        <w:rPr>
          <w:lang w:val="es-ES"/>
        </w:rPr>
        <w:t xml:space="preserve"> 7</w:t>
      </w:r>
      <w:r w:rsidR="008324AB">
        <w:rPr>
          <w:lang w:val="es-ES"/>
        </w:rPr>
        <w:t>43</w:t>
      </w:r>
      <w:r>
        <w:rPr>
          <w:lang w:val="es-ES"/>
        </w:rPr>
        <w:t xml:space="preserve">km. La distancia </w:t>
      </w:r>
      <w:r w:rsidR="00282176" w:rsidRPr="00282176">
        <w:rPr>
          <w:lang w:val="es-ES"/>
        </w:rPr>
        <w:t xml:space="preserve">entre nodos core recorrida por la fibra se ha calculado con base en la </w:t>
      </w:r>
      <w:r w:rsidR="00282176" w:rsidRPr="00282176">
        <w:rPr>
          <w:lang w:val="es-ES"/>
        </w:rPr>
        <w:lastRenderedPageBreak/>
        <w:t>red de carreteras de México</w:t>
      </w:r>
      <w:r w:rsidR="008324AB">
        <w:rPr>
          <w:lang w:val="es-ES"/>
        </w:rPr>
        <w:t xml:space="preserve"> </w:t>
      </w:r>
      <w:r w:rsidR="00246EA6">
        <w:rPr>
          <w:lang w:val="es-ES"/>
        </w:rPr>
        <w:t>asegurando que no se cuentan doblemente</w:t>
      </w:r>
      <w:r w:rsidR="008324AB">
        <w:rPr>
          <w:lang w:val="es-ES"/>
        </w:rPr>
        <w:t xml:space="preserve"> las rutas </w:t>
      </w:r>
      <w:r w:rsidR="00BE0C61">
        <w:rPr>
          <w:lang w:val="es-ES"/>
        </w:rPr>
        <w:t>compartidas entre anillos.</w:t>
      </w:r>
    </w:p>
    <w:p w14:paraId="377CD02D" w14:textId="2E1C53F9" w:rsidR="00282176" w:rsidRDefault="00282176" w:rsidP="00FB5B7C">
      <w:pPr>
        <w:rPr>
          <w:lang w:val="es-ES"/>
        </w:rPr>
      </w:pPr>
      <w:r>
        <w:rPr>
          <w:lang w:val="es-ES"/>
        </w:rPr>
        <w:t>A continuación, se muestra un esquema de la red core del operador modelado:</w:t>
      </w:r>
    </w:p>
    <w:p w14:paraId="32488C81" w14:textId="0F5D3DFE" w:rsidR="00282176" w:rsidRPr="00EF72CC" w:rsidRDefault="00282176" w:rsidP="00282176">
      <w:pPr>
        <w:pStyle w:val="Descripcin"/>
        <w:rPr>
          <w:lang w:val="es-ES"/>
        </w:rPr>
      </w:pPr>
      <w:bookmarkStart w:id="36" w:name="_Ref135390310"/>
      <w:r w:rsidRPr="00EF72CC">
        <w:rPr>
          <w:lang w:val="es-ES"/>
        </w:rPr>
        <w:t xml:space="preserve">Figura </w:t>
      </w:r>
      <w:r>
        <w:rPr>
          <w:lang w:val="es-ES"/>
        </w:rPr>
        <w:fldChar w:fldCharType="begin"/>
      </w:r>
      <w:r w:rsidRPr="00EF72CC">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EF72CC">
        <w:rPr>
          <w:lang w:val="es-ES"/>
        </w:rPr>
        <w:t>.</w:t>
      </w:r>
      <w:r>
        <w:rPr>
          <w:lang w:val="es-ES"/>
        </w:rPr>
        <w:fldChar w:fldCharType="begin"/>
      </w:r>
      <w:r w:rsidRPr="00EF72CC">
        <w:rPr>
          <w:lang w:val="es-ES"/>
        </w:rPr>
        <w:instrText xml:space="preserve"> SEQ </w:instrText>
      </w:r>
      <w:r w:rsidR="00DE28D1">
        <w:rPr>
          <w:lang w:val="es-ES"/>
        </w:rPr>
        <w:instrText>Ilustración</w:instrText>
      </w:r>
      <w:r w:rsidRPr="00EF72CC">
        <w:rPr>
          <w:lang w:val="es-ES"/>
        </w:rPr>
        <w:instrText xml:space="preserve"> \* ARABIC \s 1 \* MERGEFORMAT </w:instrText>
      </w:r>
      <w:r>
        <w:rPr>
          <w:lang w:val="es-ES"/>
        </w:rPr>
        <w:fldChar w:fldCharType="separate"/>
      </w:r>
      <w:r w:rsidR="00020F8B">
        <w:rPr>
          <w:noProof/>
          <w:lang w:val="es-ES"/>
        </w:rPr>
        <w:t>19</w:t>
      </w:r>
      <w:r>
        <w:rPr>
          <w:lang w:val="es-ES"/>
        </w:rPr>
        <w:fldChar w:fldCharType="end"/>
      </w:r>
      <w:bookmarkEnd w:id="36"/>
      <w:r w:rsidRPr="00EF72CC">
        <w:rPr>
          <w:lang w:val="es-ES"/>
        </w:rPr>
        <w:t xml:space="preserve">: </w:t>
      </w:r>
      <w:r w:rsidR="00EF72CC" w:rsidRPr="00EF72CC">
        <w:rPr>
          <w:lang w:val="es-ES"/>
        </w:rPr>
        <w:t xml:space="preserve">Red core del operador modelado </w:t>
      </w:r>
      <w:r w:rsidRPr="00EF72CC">
        <w:rPr>
          <w:lang w:val="es-ES"/>
        </w:rPr>
        <w:t>[</w:t>
      </w:r>
      <w:r w:rsidR="00EF72CC" w:rsidRPr="00EF72CC">
        <w:rPr>
          <w:lang w:val="es-ES"/>
        </w:rPr>
        <w:t>Fuent</w:t>
      </w:r>
      <w:r w:rsidRPr="00EF72CC">
        <w:rPr>
          <w:lang w:val="es-ES"/>
        </w:rPr>
        <w:t>e: Analysys Mason, 2023]</w:t>
      </w:r>
    </w:p>
    <w:p w14:paraId="63064B16" w14:textId="121B39F1" w:rsidR="00282176" w:rsidRDefault="00EF72CC" w:rsidP="00EF72CC">
      <w:pPr>
        <w:pStyle w:val="Border"/>
      </w:pPr>
      <w:r w:rsidRPr="00EF72CC">
        <w:rPr>
          <w:noProof/>
        </w:rPr>
        <w:drawing>
          <wp:inline distT="0" distB="0" distL="0" distR="0" wp14:anchorId="63C1E0C2" wp14:editId="50D1C8D6">
            <wp:extent cx="4203368" cy="2995011"/>
            <wp:effectExtent l="0" t="0" r="6985" b="0"/>
            <wp:docPr id="1391328766" name="Picture 139132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3123" cy="3001962"/>
                    </a:xfrm>
                    <a:prstGeom prst="rect">
                      <a:avLst/>
                    </a:prstGeom>
                    <a:noFill/>
                    <a:ln>
                      <a:noFill/>
                    </a:ln>
                  </pic:spPr>
                </pic:pic>
              </a:graphicData>
            </a:graphic>
          </wp:inline>
        </w:drawing>
      </w:r>
    </w:p>
    <w:p w14:paraId="14752FDB" w14:textId="7F766C24" w:rsidR="00EF72CC" w:rsidRDefault="00EF72CC" w:rsidP="00EF72CC">
      <w:pPr>
        <w:pStyle w:val="Ttulo4"/>
      </w:pPr>
      <w:r>
        <w:t>Capa regional</w:t>
      </w:r>
    </w:p>
    <w:p w14:paraId="5A4083CA" w14:textId="041F6F2C" w:rsidR="00306478" w:rsidRDefault="00EF72CC" w:rsidP="00306478">
      <w:pPr>
        <w:rPr>
          <w:lang w:val="es-ES"/>
        </w:rPr>
      </w:pPr>
      <w:r w:rsidRPr="00EF72CC">
        <w:rPr>
          <w:lang w:val="es-ES"/>
        </w:rPr>
        <w:t>El diseño de la r</w:t>
      </w:r>
      <w:r>
        <w:rPr>
          <w:lang w:val="es-ES"/>
        </w:rPr>
        <w:t>ed regional consta de 198 nodos conectados entre sí con anillos de fibra y a su vez, conectados a la red core, donde cada anillo se conecta con dos nodos core</w:t>
      </w:r>
      <w:r w:rsidR="00306478">
        <w:rPr>
          <w:lang w:val="es-ES"/>
        </w:rPr>
        <w:t>, tal y como se muestra en la</w:t>
      </w:r>
      <w:r w:rsidR="00DD26AE">
        <w:rPr>
          <w:lang w:val="es-ES"/>
        </w:rPr>
        <w:t xml:space="preserve"> </w:t>
      </w:r>
      <w:r w:rsidR="00DD26AE">
        <w:rPr>
          <w:lang w:val="es-ES"/>
        </w:rPr>
        <w:fldChar w:fldCharType="begin"/>
      </w:r>
      <w:r w:rsidR="00DD26AE">
        <w:rPr>
          <w:lang w:val="es-ES"/>
        </w:rPr>
        <w:instrText xml:space="preserve"> REF _Ref135838181 \h </w:instrText>
      </w:r>
      <w:r w:rsidR="00DD26AE">
        <w:rPr>
          <w:lang w:val="es-ES"/>
        </w:rPr>
      </w:r>
      <w:r w:rsidR="00DD26AE">
        <w:rPr>
          <w:lang w:val="es-ES"/>
        </w:rPr>
        <w:fldChar w:fldCharType="separate"/>
      </w:r>
      <w:r w:rsidR="00020F8B" w:rsidRPr="0049629D">
        <w:rPr>
          <w:lang w:val="es-ES"/>
        </w:rPr>
        <w:t xml:space="preserve">Figura </w:t>
      </w:r>
      <w:r w:rsidR="00020F8B">
        <w:rPr>
          <w:noProof/>
          <w:lang w:val="es-ES"/>
        </w:rPr>
        <w:t>3</w:t>
      </w:r>
      <w:r w:rsidR="00020F8B" w:rsidRPr="0049629D">
        <w:rPr>
          <w:lang w:val="es-ES"/>
        </w:rPr>
        <w:t>.</w:t>
      </w:r>
      <w:r w:rsidR="00020F8B">
        <w:rPr>
          <w:noProof/>
          <w:lang w:val="es-ES"/>
        </w:rPr>
        <w:t>20</w:t>
      </w:r>
      <w:r w:rsidR="00DD26AE">
        <w:rPr>
          <w:lang w:val="es-ES"/>
        </w:rPr>
        <w:fldChar w:fldCharType="end"/>
      </w:r>
      <w:r w:rsidR="00306478">
        <w:rPr>
          <w:lang w:val="es-ES"/>
        </w:rPr>
        <w:t>.</w:t>
      </w:r>
    </w:p>
    <w:p w14:paraId="0ED8BDDF" w14:textId="7B5E30C2" w:rsidR="00306478" w:rsidRPr="0049629D" w:rsidRDefault="00306478" w:rsidP="00306478">
      <w:pPr>
        <w:pStyle w:val="Descripcin"/>
        <w:rPr>
          <w:lang w:val="es-ES"/>
        </w:rPr>
      </w:pPr>
      <w:bookmarkStart w:id="37" w:name="_Ref135838181"/>
      <w:r w:rsidRPr="0049629D">
        <w:rPr>
          <w:lang w:val="es-ES"/>
        </w:rPr>
        <w:lastRenderedPageBreak/>
        <w:t xml:space="preserve">Figura </w:t>
      </w:r>
      <w:r>
        <w:rPr>
          <w:lang w:val="es-ES"/>
        </w:rPr>
        <w:fldChar w:fldCharType="begin"/>
      </w:r>
      <w:r w:rsidRPr="0049629D">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49629D">
        <w:rPr>
          <w:lang w:val="es-ES"/>
        </w:rPr>
        <w:t>.</w:t>
      </w:r>
      <w:r>
        <w:rPr>
          <w:lang w:val="es-ES"/>
        </w:rPr>
        <w:fldChar w:fldCharType="begin"/>
      </w:r>
      <w:r w:rsidRPr="0049629D">
        <w:rPr>
          <w:lang w:val="es-ES"/>
        </w:rPr>
        <w:instrText xml:space="preserve"> SEQ </w:instrText>
      </w:r>
      <w:r w:rsidR="00DE28D1">
        <w:rPr>
          <w:lang w:val="es-ES"/>
        </w:rPr>
        <w:instrText>Ilustración</w:instrText>
      </w:r>
      <w:r w:rsidRPr="0049629D">
        <w:rPr>
          <w:lang w:val="es-ES"/>
        </w:rPr>
        <w:instrText xml:space="preserve"> \* ARABIC \s 1 \* MERGEFORMAT </w:instrText>
      </w:r>
      <w:r>
        <w:rPr>
          <w:lang w:val="es-ES"/>
        </w:rPr>
        <w:fldChar w:fldCharType="separate"/>
      </w:r>
      <w:r w:rsidR="00020F8B">
        <w:rPr>
          <w:noProof/>
          <w:lang w:val="es-ES"/>
        </w:rPr>
        <w:t>20</w:t>
      </w:r>
      <w:r>
        <w:rPr>
          <w:lang w:val="es-ES"/>
        </w:rPr>
        <w:fldChar w:fldCharType="end"/>
      </w:r>
      <w:bookmarkEnd w:id="37"/>
      <w:r w:rsidRPr="0049629D">
        <w:rPr>
          <w:lang w:val="es-ES"/>
        </w:rPr>
        <w:t xml:space="preserve">: </w:t>
      </w:r>
      <w:r w:rsidR="0049629D" w:rsidRPr="0049629D">
        <w:rPr>
          <w:lang w:val="es-ES"/>
        </w:rPr>
        <w:t xml:space="preserve">Red regional del operador modelado </w:t>
      </w:r>
      <w:r w:rsidRPr="0049629D">
        <w:rPr>
          <w:lang w:val="es-ES"/>
        </w:rPr>
        <w:t>[</w:t>
      </w:r>
      <w:r w:rsidR="0049629D">
        <w:rPr>
          <w:lang w:val="es-ES"/>
        </w:rPr>
        <w:t>Fuent</w:t>
      </w:r>
      <w:r w:rsidRPr="0049629D">
        <w:rPr>
          <w:lang w:val="es-ES"/>
        </w:rPr>
        <w:t>e: Analysys Mason, 2023]</w:t>
      </w:r>
    </w:p>
    <w:p w14:paraId="44984E54" w14:textId="53CD164A" w:rsidR="00306478" w:rsidRDefault="0049629D" w:rsidP="0049629D">
      <w:pPr>
        <w:pStyle w:val="Border"/>
        <w:rPr>
          <w:lang w:val="es-ES"/>
        </w:rPr>
      </w:pPr>
      <w:r w:rsidRPr="0049629D">
        <w:rPr>
          <w:noProof/>
        </w:rPr>
        <w:drawing>
          <wp:inline distT="0" distB="0" distL="0" distR="0" wp14:anchorId="72B9EFBA" wp14:editId="4044F8E5">
            <wp:extent cx="4818185" cy="3883353"/>
            <wp:effectExtent l="0" t="0" r="1905" b="0"/>
            <wp:docPr id="1007037905" name="Picture 10070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3492" cy="3887631"/>
                    </a:xfrm>
                    <a:prstGeom prst="rect">
                      <a:avLst/>
                    </a:prstGeom>
                    <a:noFill/>
                    <a:ln>
                      <a:noFill/>
                    </a:ln>
                  </pic:spPr>
                </pic:pic>
              </a:graphicData>
            </a:graphic>
          </wp:inline>
        </w:drawing>
      </w:r>
    </w:p>
    <w:p w14:paraId="35BC70E8" w14:textId="7CE5FB11" w:rsidR="00306478" w:rsidRDefault="00EF72CC" w:rsidP="00306478">
      <w:pPr>
        <w:rPr>
          <w:lang w:val="es-ES"/>
        </w:rPr>
      </w:pPr>
      <w:r w:rsidRPr="0049629D">
        <w:rPr>
          <w:lang w:val="es-ES"/>
        </w:rPr>
        <w:t xml:space="preserve"> </w:t>
      </w:r>
      <w:r>
        <w:rPr>
          <w:lang w:val="es-ES"/>
        </w:rPr>
        <w:t xml:space="preserve">Esta arquitectura de red suma un total de </w:t>
      </w:r>
      <w:r w:rsidRPr="00007963">
        <w:rPr>
          <w:lang w:val="es-ES"/>
        </w:rPr>
        <w:t>22</w:t>
      </w:r>
      <w:r>
        <w:rPr>
          <w:lang w:val="es-ES"/>
        </w:rPr>
        <w:t xml:space="preserve"> 000km de fibra, siendo esta fibra adicional a la fibra empleada para interconectar los nodos del núcleo de la red.</w:t>
      </w:r>
      <w:r w:rsidR="00306478">
        <w:rPr>
          <w:lang w:val="es-ES"/>
        </w:rPr>
        <w:t xml:space="preserve"> </w:t>
      </w:r>
      <w:r w:rsidR="00306478" w:rsidRPr="00306478">
        <w:rPr>
          <w:lang w:val="es-ES"/>
        </w:rPr>
        <w:t>Cada nodo regional cubre un ASL y concentran el tráfico de los nodos Tier 1, Tier 2 y Tier 3 asociados</w:t>
      </w:r>
      <w:r w:rsidR="00306478">
        <w:rPr>
          <w:lang w:val="es-ES"/>
        </w:rPr>
        <w:t>.</w:t>
      </w:r>
    </w:p>
    <w:p w14:paraId="780AB829" w14:textId="1F194D87" w:rsidR="00306478" w:rsidRDefault="00AC1FF6" w:rsidP="00AC1FF6">
      <w:pPr>
        <w:pStyle w:val="Ttulo4"/>
        <w:rPr>
          <w:lang w:val="es-ES"/>
        </w:rPr>
      </w:pPr>
      <w:bookmarkStart w:id="38" w:name="_Ref135791124"/>
      <w:r>
        <w:rPr>
          <w:lang w:val="es-ES"/>
        </w:rPr>
        <w:t>Capa de acceso</w:t>
      </w:r>
      <w:bookmarkEnd w:id="38"/>
    </w:p>
    <w:p w14:paraId="7F1194C3" w14:textId="1889B272" w:rsidR="004405B1" w:rsidRDefault="001203A3" w:rsidP="00AC1FF6">
      <w:pPr>
        <w:rPr>
          <w:lang w:val="es-ES"/>
        </w:rPr>
      </w:pPr>
      <w:r w:rsidRPr="001203A3">
        <w:rPr>
          <w:lang w:val="es-ES"/>
        </w:rPr>
        <w:t>La capa de acceso concentra tráfico originado por los suscriptores a través de conmutadores de agregación y lo dirige al router regional donde se encamina el tráfico</w:t>
      </w:r>
      <w:r>
        <w:rPr>
          <w:lang w:val="es-ES"/>
        </w:rPr>
        <w:t xml:space="preserve">. </w:t>
      </w:r>
      <w:r w:rsidR="00BA746C">
        <w:rPr>
          <w:lang w:val="es-ES"/>
        </w:rPr>
        <w:t xml:space="preserve">Para </w:t>
      </w:r>
      <w:r w:rsidR="00070091">
        <w:rPr>
          <w:lang w:val="es-ES"/>
        </w:rPr>
        <w:t>la estimación de los nodos de acceso</w:t>
      </w:r>
      <w:r w:rsidR="00BA746C">
        <w:rPr>
          <w:lang w:val="es-ES"/>
        </w:rPr>
        <w:t xml:space="preserve">, se ha realizado un </w:t>
      </w:r>
      <w:r w:rsidR="00070091">
        <w:rPr>
          <w:lang w:val="es-ES"/>
        </w:rPr>
        <w:t xml:space="preserve">análisis </w:t>
      </w:r>
      <w:r w:rsidR="00D81D2C">
        <w:rPr>
          <w:lang w:val="es-ES"/>
        </w:rPr>
        <w:t>a nivel de localidad</w:t>
      </w:r>
      <w:r w:rsidR="003D38FD">
        <w:rPr>
          <w:lang w:val="es-ES"/>
        </w:rPr>
        <w:t xml:space="preserve">. Se han determinado como cubiertas todas las localidades de más de </w:t>
      </w:r>
      <w:r w:rsidR="00E55DBC">
        <w:rPr>
          <w:lang w:val="es-ES"/>
        </w:rPr>
        <w:t>2000</w:t>
      </w:r>
      <w:r w:rsidR="003D38FD">
        <w:rPr>
          <w:lang w:val="es-ES"/>
        </w:rPr>
        <w:t xml:space="preserve"> habitantes. </w:t>
      </w:r>
      <w:r w:rsidR="0061545A">
        <w:rPr>
          <w:lang w:val="es-ES"/>
        </w:rPr>
        <w:t>Adicionalmente</w:t>
      </w:r>
      <w:r w:rsidR="003D38FD">
        <w:rPr>
          <w:lang w:val="es-ES"/>
        </w:rPr>
        <w:t xml:space="preserve">, se asume que el operador desplegaría un nodo de acceso </w:t>
      </w:r>
      <w:r w:rsidR="004A65FF">
        <w:rPr>
          <w:lang w:val="es-ES"/>
        </w:rPr>
        <w:t>cada</w:t>
      </w:r>
      <w:r w:rsidR="003D38FD">
        <w:rPr>
          <w:lang w:val="es-ES"/>
        </w:rPr>
        <w:t xml:space="preserve">, aproximadamente, 20 000 habitantes en la localidad. </w:t>
      </w:r>
      <w:r w:rsidR="0044768F">
        <w:rPr>
          <w:lang w:val="es-ES"/>
        </w:rPr>
        <w:t xml:space="preserve">Con base </w:t>
      </w:r>
      <w:r w:rsidR="004A65FF">
        <w:rPr>
          <w:lang w:val="es-ES"/>
        </w:rPr>
        <w:t>en</w:t>
      </w:r>
      <w:r w:rsidR="0044768F">
        <w:rPr>
          <w:lang w:val="es-ES"/>
        </w:rPr>
        <w:t xml:space="preserve"> estas reglas</w:t>
      </w:r>
      <w:r w:rsidR="003D38FD">
        <w:rPr>
          <w:lang w:val="es-ES"/>
        </w:rPr>
        <w:t xml:space="preserve">, </w:t>
      </w:r>
      <w:r w:rsidR="0044768F">
        <w:rPr>
          <w:lang w:val="es-ES"/>
        </w:rPr>
        <w:t xml:space="preserve">existen localidades que necesitan un volumen relevante de nodos de acceso, mientras que otras solo necesitarían un único nodo. De esta manera, se plantea una desagregación de </w:t>
      </w:r>
      <w:r>
        <w:rPr>
          <w:lang w:val="es-ES"/>
        </w:rPr>
        <w:t xml:space="preserve">la capa de acceso en </w:t>
      </w:r>
      <w:r w:rsidR="0044768F">
        <w:rPr>
          <w:lang w:val="es-ES"/>
        </w:rPr>
        <w:t xml:space="preserve">tres </w:t>
      </w:r>
      <w:r w:rsidR="004A65FF">
        <w:rPr>
          <w:lang w:val="es-ES"/>
        </w:rPr>
        <w:t>“</w:t>
      </w:r>
      <w:r w:rsidR="004A65FF" w:rsidRPr="0044768F">
        <w:rPr>
          <w:i/>
          <w:iCs/>
          <w:lang w:val="es-ES"/>
        </w:rPr>
        <w:t>tiers</w:t>
      </w:r>
      <w:r w:rsidR="004A65FF">
        <w:rPr>
          <w:lang w:val="es-ES"/>
        </w:rPr>
        <w:t xml:space="preserve">” </w:t>
      </w:r>
      <w:r w:rsidR="0044768F">
        <w:rPr>
          <w:lang w:val="es-ES"/>
        </w:rPr>
        <w:t>diferentes</w:t>
      </w:r>
      <w:r w:rsidR="004A65FF" w:rsidRPr="004A65FF">
        <w:rPr>
          <w:lang w:val="es-ES"/>
        </w:rPr>
        <w:t>:</w:t>
      </w:r>
      <w:r w:rsidR="0044768F">
        <w:rPr>
          <w:lang w:val="es-ES"/>
        </w:rPr>
        <w:t xml:space="preserve"> </w:t>
      </w:r>
    </w:p>
    <w:p w14:paraId="454A17A7" w14:textId="0AE6E3E1" w:rsidR="003B3E69" w:rsidRDefault="001203A3" w:rsidP="0040626A">
      <w:pPr>
        <w:pStyle w:val="ListBulletCompact"/>
        <w:rPr>
          <w:lang w:val="es-ES"/>
        </w:rPr>
      </w:pPr>
      <w:r w:rsidRPr="004405B1">
        <w:rPr>
          <w:lang w:val="es-ES"/>
        </w:rPr>
        <w:t>Tier 1</w:t>
      </w:r>
      <w:r w:rsidR="004405B1">
        <w:rPr>
          <w:lang w:val="es-ES"/>
        </w:rPr>
        <w:t>, representa las</w:t>
      </w:r>
      <w:r w:rsidR="00EC3F78">
        <w:rPr>
          <w:lang w:val="es-ES"/>
        </w:rPr>
        <w:t xml:space="preserve"> localidades </w:t>
      </w:r>
      <w:r w:rsidR="0040354E">
        <w:rPr>
          <w:lang w:val="es-ES"/>
        </w:rPr>
        <w:t>de mayor tamaño</w:t>
      </w:r>
      <w:r w:rsidR="0025290E">
        <w:rPr>
          <w:lang w:val="es-ES"/>
        </w:rPr>
        <w:t>,</w:t>
      </w:r>
      <w:r w:rsidR="00F62676">
        <w:rPr>
          <w:lang w:val="es-ES"/>
        </w:rPr>
        <w:t xml:space="preserve"> aquellas que necesitarían más de </w:t>
      </w:r>
      <w:r w:rsidR="00605EB2">
        <w:rPr>
          <w:lang w:val="es-ES"/>
        </w:rPr>
        <w:t>40</w:t>
      </w:r>
      <w:r w:rsidR="00F62676">
        <w:rPr>
          <w:lang w:val="es-ES"/>
        </w:rPr>
        <w:t xml:space="preserve"> nodos de acceso</w:t>
      </w:r>
    </w:p>
    <w:p w14:paraId="7FC9BBAC" w14:textId="0140DE26" w:rsidR="0025290E" w:rsidRDefault="003B3E69" w:rsidP="0040626A">
      <w:pPr>
        <w:pStyle w:val="ListBullet2Compact"/>
        <w:rPr>
          <w:lang w:val="es-ES"/>
        </w:rPr>
      </w:pPr>
      <w:r>
        <w:rPr>
          <w:lang w:val="es-ES"/>
        </w:rPr>
        <w:t>e</w:t>
      </w:r>
      <w:r w:rsidR="0061545A">
        <w:rPr>
          <w:lang w:val="es-ES"/>
        </w:rPr>
        <w:t xml:space="preserve">n total representan </w:t>
      </w:r>
      <w:r w:rsidR="00DC691C">
        <w:rPr>
          <w:lang w:val="es-ES"/>
        </w:rPr>
        <w:t>21</w:t>
      </w:r>
      <w:r w:rsidR="0061545A">
        <w:rPr>
          <w:lang w:val="es-ES"/>
        </w:rPr>
        <w:t xml:space="preserve"> localidades, </w:t>
      </w:r>
      <w:r w:rsidR="00B210BC">
        <w:rPr>
          <w:lang w:val="es-ES"/>
        </w:rPr>
        <w:t xml:space="preserve">con un total de </w:t>
      </w:r>
      <w:r w:rsidR="00007963" w:rsidRPr="004405B1">
        <w:rPr>
          <w:lang w:val="es-ES"/>
        </w:rPr>
        <w:t>1240</w:t>
      </w:r>
      <w:r w:rsidR="001203A3" w:rsidRPr="004405B1">
        <w:rPr>
          <w:lang w:val="es-ES"/>
        </w:rPr>
        <w:t xml:space="preserve"> nodos de acceso </w:t>
      </w:r>
    </w:p>
    <w:p w14:paraId="577BDE9F" w14:textId="627BB8F2" w:rsidR="003B3E69" w:rsidRDefault="001203A3" w:rsidP="0040626A">
      <w:pPr>
        <w:pStyle w:val="ListBulletCompact"/>
        <w:rPr>
          <w:lang w:val="es-ES"/>
        </w:rPr>
      </w:pPr>
      <w:r w:rsidRPr="004405B1">
        <w:rPr>
          <w:lang w:val="es-ES"/>
        </w:rPr>
        <w:t>Tier 2</w:t>
      </w:r>
      <w:r w:rsidR="0025290E">
        <w:rPr>
          <w:lang w:val="es-ES"/>
        </w:rPr>
        <w:t xml:space="preserve">, representa </w:t>
      </w:r>
      <w:r w:rsidR="0061545A">
        <w:rPr>
          <w:lang w:val="es-ES"/>
        </w:rPr>
        <w:t>aquellas localidades que necesitan m</w:t>
      </w:r>
      <w:r w:rsidR="00152A28">
        <w:rPr>
          <w:lang w:val="es-ES"/>
        </w:rPr>
        <w:t>á</w:t>
      </w:r>
      <w:r w:rsidR="004B7F89">
        <w:rPr>
          <w:lang w:val="es-ES"/>
        </w:rPr>
        <w:t>s</w:t>
      </w:r>
      <w:r w:rsidR="003B3E69">
        <w:rPr>
          <w:lang w:val="es-ES"/>
        </w:rPr>
        <w:t xml:space="preserve"> de un nodo de acceso, pero menos de los 40 definidos para las localidades Tier</w:t>
      </w:r>
      <w:r w:rsidR="004A65FF">
        <w:rPr>
          <w:lang w:val="es-ES"/>
        </w:rPr>
        <w:t xml:space="preserve"> </w:t>
      </w:r>
      <w:r w:rsidR="003B3E69">
        <w:rPr>
          <w:lang w:val="es-ES"/>
        </w:rPr>
        <w:t>1</w:t>
      </w:r>
    </w:p>
    <w:p w14:paraId="072AEFF9" w14:textId="5CF34DB4" w:rsidR="003B3E69" w:rsidRDefault="003B3E69" w:rsidP="0040626A">
      <w:pPr>
        <w:pStyle w:val="Listaconvietas2"/>
        <w:rPr>
          <w:lang w:val="es-ES"/>
        </w:rPr>
      </w:pPr>
      <w:r>
        <w:rPr>
          <w:lang w:val="es-ES"/>
        </w:rPr>
        <w:lastRenderedPageBreak/>
        <w:t>r</w:t>
      </w:r>
      <w:r w:rsidRPr="003B3E69">
        <w:rPr>
          <w:lang w:val="es-ES"/>
        </w:rPr>
        <w:t xml:space="preserve">epresentan </w:t>
      </w:r>
      <w:r w:rsidR="00DC691C">
        <w:rPr>
          <w:lang w:val="es-ES"/>
        </w:rPr>
        <w:t>542</w:t>
      </w:r>
      <w:r w:rsidRPr="003B3E69">
        <w:rPr>
          <w:lang w:val="es-ES"/>
        </w:rPr>
        <w:t xml:space="preserve"> localidades</w:t>
      </w:r>
      <w:r w:rsidR="00D47ACE" w:rsidRPr="003B3E69">
        <w:rPr>
          <w:lang w:val="es-ES"/>
        </w:rPr>
        <w:t xml:space="preserve">, con un total de </w:t>
      </w:r>
      <w:r w:rsidR="00007963" w:rsidRPr="003B3E69">
        <w:rPr>
          <w:lang w:val="es-ES"/>
        </w:rPr>
        <w:t>2935</w:t>
      </w:r>
      <w:r w:rsidR="001203A3" w:rsidRPr="003B3E69">
        <w:rPr>
          <w:lang w:val="es-ES"/>
        </w:rPr>
        <w:t xml:space="preserve"> nodos </w:t>
      </w:r>
      <w:r w:rsidR="00D47ACE" w:rsidRPr="003B3E69">
        <w:rPr>
          <w:lang w:val="es-ES"/>
        </w:rPr>
        <w:t>de acceso</w:t>
      </w:r>
    </w:p>
    <w:p w14:paraId="308FE110" w14:textId="17666B3A" w:rsidR="00E03948" w:rsidRDefault="001203A3" w:rsidP="0040626A">
      <w:pPr>
        <w:pStyle w:val="ListBulletCompact"/>
        <w:rPr>
          <w:lang w:val="es-ES"/>
        </w:rPr>
      </w:pPr>
      <w:r w:rsidRPr="003B3E69">
        <w:rPr>
          <w:lang w:val="es-ES"/>
        </w:rPr>
        <w:t xml:space="preserve">Tier 3, haciendo referencia a las </w:t>
      </w:r>
      <w:r w:rsidR="003B3E69">
        <w:rPr>
          <w:lang w:val="es-ES"/>
        </w:rPr>
        <w:t>localidades</w:t>
      </w:r>
      <w:r w:rsidRPr="003B3E69">
        <w:rPr>
          <w:lang w:val="es-ES"/>
        </w:rPr>
        <w:t xml:space="preserve"> más remotas, </w:t>
      </w:r>
      <w:r w:rsidR="003B3E69">
        <w:rPr>
          <w:lang w:val="es-ES"/>
        </w:rPr>
        <w:t>aquellas que necesitan un único nodo de acceso</w:t>
      </w:r>
      <w:r w:rsidR="00AD72CC">
        <w:rPr>
          <w:lang w:val="es-ES"/>
        </w:rPr>
        <w:t>, se desagregan en dos tipologías, en</w:t>
      </w:r>
      <w:r w:rsidR="00DC691C">
        <w:rPr>
          <w:lang w:val="es-ES"/>
        </w:rPr>
        <w:t xml:space="preserve"> </w:t>
      </w:r>
      <w:r w:rsidR="00AD72CC">
        <w:rPr>
          <w:lang w:val="es-ES"/>
        </w:rPr>
        <w:t>funci</w:t>
      </w:r>
      <w:r w:rsidR="00DC691C">
        <w:rPr>
          <w:lang w:val="es-ES"/>
        </w:rPr>
        <w:t>ó</w:t>
      </w:r>
      <w:r w:rsidR="00AD72CC">
        <w:rPr>
          <w:lang w:val="es-ES"/>
        </w:rPr>
        <w:t xml:space="preserve">n de su </w:t>
      </w:r>
      <w:r w:rsidR="004A65FF">
        <w:rPr>
          <w:lang w:val="es-ES"/>
        </w:rPr>
        <w:t>distancia</w:t>
      </w:r>
      <w:r w:rsidR="00AD72CC">
        <w:rPr>
          <w:lang w:val="es-ES"/>
        </w:rPr>
        <w:t xml:space="preserve"> al nodo </w:t>
      </w:r>
      <w:r w:rsidR="00E03948">
        <w:rPr>
          <w:lang w:val="es-ES"/>
        </w:rPr>
        <w:t>regional más cercano:</w:t>
      </w:r>
    </w:p>
    <w:p w14:paraId="1A2443F8" w14:textId="63683A90" w:rsidR="00DD7C39" w:rsidRDefault="0040626A" w:rsidP="0040626A">
      <w:pPr>
        <w:pStyle w:val="ListBullet2Compact"/>
        <w:rPr>
          <w:lang w:val="es-ES"/>
        </w:rPr>
      </w:pPr>
      <w:r>
        <w:rPr>
          <w:lang w:val="es-ES"/>
        </w:rPr>
        <w:t>n</w:t>
      </w:r>
      <w:r w:rsidR="00E03948">
        <w:rPr>
          <w:lang w:val="es-ES"/>
        </w:rPr>
        <w:t xml:space="preserve">odos tier 3 de fibra, aquellos a menos de </w:t>
      </w:r>
      <w:r w:rsidR="00874D20">
        <w:rPr>
          <w:lang w:val="es-ES"/>
        </w:rPr>
        <w:t>30</w:t>
      </w:r>
      <w:r w:rsidR="00E03948">
        <w:rPr>
          <w:lang w:val="es-ES"/>
        </w:rPr>
        <w:t xml:space="preserve"> km del nodo regional más cercano</w:t>
      </w:r>
    </w:p>
    <w:p w14:paraId="7D188E58" w14:textId="5FC12FC7" w:rsidR="006623D4" w:rsidRDefault="0040626A" w:rsidP="0040626A">
      <w:pPr>
        <w:pStyle w:val="ListBullet2Compact"/>
        <w:numPr>
          <w:ilvl w:val="1"/>
          <w:numId w:val="8"/>
        </w:numPr>
        <w:rPr>
          <w:lang w:val="es-ES"/>
        </w:rPr>
      </w:pPr>
      <w:r>
        <w:rPr>
          <w:lang w:val="es-ES"/>
        </w:rPr>
        <w:t>r</w:t>
      </w:r>
      <w:r w:rsidR="006623D4">
        <w:rPr>
          <w:lang w:val="es-ES"/>
        </w:rPr>
        <w:t xml:space="preserve">epresentan </w:t>
      </w:r>
      <w:r w:rsidR="007440C6">
        <w:rPr>
          <w:lang w:val="es-ES"/>
        </w:rPr>
        <w:t>3091</w:t>
      </w:r>
      <w:r w:rsidR="006623D4">
        <w:rPr>
          <w:lang w:val="es-ES"/>
        </w:rPr>
        <w:t xml:space="preserve"> nodos de acceso, uno para cada localidad cubierta</w:t>
      </w:r>
    </w:p>
    <w:p w14:paraId="2A00B265" w14:textId="02FE6905" w:rsidR="00A16D4A" w:rsidRDefault="0040626A" w:rsidP="0040626A">
      <w:pPr>
        <w:pStyle w:val="ListBullet2Compact"/>
        <w:rPr>
          <w:lang w:val="es-ES"/>
        </w:rPr>
      </w:pPr>
      <w:r>
        <w:rPr>
          <w:lang w:val="es-ES"/>
        </w:rPr>
        <w:t>n</w:t>
      </w:r>
      <w:r w:rsidR="006623D4">
        <w:rPr>
          <w:lang w:val="es-ES"/>
        </w:rPr>
        <w:t>odos tier 3 de mi</w:t>
      </w:r>
      <w:r>
        <w:rPr>
          <w:lang w:val="es-ES"/>
        </w:rPr>
        <w:t>c</w:t>
      </w:r>
      <w:r w:rsidR="006623D4">
        <w:rPr>
          <w:lang w:val="es-ES"/>
        </w:rPr>
        <w:t xml:space="preserve">roondas, aquellos a más de </w:t>
      </w:r>
      <w:r w:rsidR="007440C6">
        <w:rPr>
          <w:lang w:val="es-ES"/>
        </w:rPr>
        <w:t>30</w:t>
      </w:r>
      <w:r w:rsidR="00A16D4A">
        <w:rPr>
          <w:lang w:val="es-ES"/>
        </w:rPr>
        <w:t xml:space="preserve"> km del nodo regional correspondiente</w:t>
      </w:r>
    </w:p>
    <w:p w14:paraId="331CD732" w14:textId="208555A3" w:rsidR="00A162C2" w:rsidRDefault="00A16D4A" w:rsidP="0040626A">
      <w:pPr>
        <w:pStyle w:val="ListBullet2Compact"/>
        <w:numPr>
          <w:ilvl w:val="1"/>
          <w:numId w:val="8"/>
        </w:numPr>
        <w:rPr>
          <w:lang w:val="es-ES"/>
        </w:rPr>
      </w:pPr>
      <w:r>
        <w:rPr>
          <w:lang w:val="es-ES"/>
        </w:rPr>
        <w:t xml:space="preserve">representan </w:t>
      </w:r>
      <w:r w:rsidR="00007963" w:rsidRPr="003B3E69">
        <w:rPr>
          <w:lang w:val="es-ES"/>
        </w:rPr>
        <w:t xml:space="preserve">3091 nodos </w:t>
      </w:r>
      <w:r>
        <w:rPr>
          <w:lang w:val="es-ES"/>
        </w:rPr>
        <w:t>de acceso, para cubrir el mismo número de localidades</w:t>
      </w:r>
      <w:r w:rsidR="001203A3" w:rsidRPr="003B3E69">
        <w:rPr>
          <w:lang w:val="es-ES"/>
        </w:rPr>
        <w:t xml:space="preserve"> </w:t>
      </w:r>
    </w:p>
    <w:p w14:paraId="0F70662B" w14:textId="0FFA53D9" w:rsidR="00B220FC" w:rsidRDefault="00B220FC" w:rsidP="00B220FC">
      <w:pPr>
        <w:rPr>
          <w:lang w:val="es-ES"/>
        </w:rPr>
      </w:pPr>
      <w:r>
        <w:rPr>
          <w:lang w:val="es-ES"/>
        </w:rPr>
        <w:t>A continuación, se puede ver un ejemplo</w:t>
      </w:r>
      <w:r w:rsidR="004A65FF">
        <w:rPr>
          <w:lang w:val="es-ES"/>
        </w:rPr>
        <w:t xml:space="preserve"> que ilustra el </w:t>
      </w:r>
      <w:r>
        <w:rPr>
          <w:lang w:val="es-ES"/>
        </w:rPr>
        <w:t>alto nivel de detalle en el modelado geográfico de los nodos del operador fijo modelado a nivel nacional y para un estado especifico (Estado de Guerrero):</w:t>
      </w:r>
    </w:p>
    <w:p w14:paraId="036A6FE3" w14:textId="10210A65" w:rsidR="00E75892" w:rsidRPr="00FC420F" w:rsidRDefault="00E75892" w:rsidP="00E75892">
      <w:pPr>
        <w:pStyle w:val="Descripcin"/>
        <w:rPr>
          <w:lang w:val="es-ES"/>
        </w:rPr>
      </w:pPr>
      <w:r w:rsidRPr="00FC420F">
        <w:rPr>
          <w:lang w:val="es-ES"/>
        </w:rPr>
        <w:t xml:space="preserve">Figura </w:t>
      </w:r>
      <w:r>
        <w:rPr>
          <w:lang w:val="es-ES"/>
        </w:rPr>
        <w:fldChar w:fldCharType="begin"/>
      </w:r>
      <w:r w:rsidRPr="00FC420F">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FC420F">
        <w:rPr>
          <w:lang w:val="es-ES"/>
        </w:rPr>
        <w:t>.</w:t>
      </w:r>
      <w:r>
        <w:rPr>
          <w:lang w:val="es-ES"/>
        </w:rPr>
        <w:fldChar w:fldCharType="begin"/>
      </w:r>
      <w:r w:rsidRPr="00FC420F">
        <w:rPr>
          <w:lang w:val="es-ES"/>
        </w:rPr>
        <w:instrText xml:space="preserve"> SEQ </w:instrText>
      </w:r>
      <w:r w:rsidR="00DE28D1">
        <w:rPr>
          <w:lang w:val="es-ES"/>
        </w:rPr>
        <w:instrText>Ilustración</w:instrText>
      </w:r>
      <w:r w:rsidRPr="00FC420F">
        <w:rPr>
          <w:lang w:val="es-ES"/>
        </w:rPr>
        <w:instrText xml:space="preserve"> \* ARABIC \s 1 \* MERGEFORMAT </w:instrText>
      </w:r>
      <w:r>
        <w:rPr>
          <w:lang w:val="es-ES"/>
        </w:rPr>
        <w:fldChar w:fldCharType="separate"/>
      </w:r>
      <w:r w:rsidR="00020F8B">
        <w:rPr>
          <w:noProof/>
          <w:lang w:val="es-ES"/>
        </w:rPr>
        <w:t>21</w:t>
      </w:r>
      <w:r>
        <w:rPr>
          <w:lang w:val="es-ES"/>
        </w:rPr>
        <w:fldChar w:fldCharType="end"/>
      </w:r>
      <w:r w:rsidRPr="00FC420F">
        <w:rPr>
          <w:lang w:val="es-ES"/>
        </w:rPr>
        <w:t>: Nodos del operador fijo modelado [Fuente: Analysys Mason, 2023]</w:t>
      </w:r>
    </w:p>
    <w:p w14:paraId="6CF78599" w14:textId="16D029C8" w:rsidR="00E75892" w:rsidRDefault="00FC420F" w:rsidP="00FC420F">
      <w:pPr>
        <w:pStyle w:val="Border"/>
      </w:pPr>
      <w:r w:rsidRPr="00FC420F">
        <w:rPr>
          <w:noProof/>
        </w:rPr>
        <w:drawing>
          <wp:inline distT="0" distB="0" distL="0" distR="0" wp14:anchorId="0B1BF3F9" wp14:editId="5E5E202F">
            <wp:extent cx="3130061" cy="3192825"/>
            <wp:effectExtent l="0" t="0" r="0" b="7620"/>
            <wp:docPr id="1660762632" name="Picture 166076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1705" cy="3194502"/>
                    </a:xfrm>
                    <a:prstGeom prst="rect">
                      <a:avLst/>
                    </a:prstGeom>
                    <a:noFill/>
                    <a:ln>
                      <a:noFill/>
                    </a:ln>
                  </pic:spPr>
                </pic:pic>
              </a:graphicData>
            </a:graphic>
          </wp:inline>
        </w:drawing>
      </w:r>
    </w:p>
    <w:p w14:paraId="683F4F17" w14:textId="2C15EB3A" w:rsidR="00FC420F" w:rsidRPr="00FC420F" w:rsidRDefault="00FC420F" w:rsidP="00FC420F">
      <w:pPr>
        <w:pStyle w:val="Descripcin"/>
        <w:rPr>
          <w:lang w:val="es-ES"/>
        </w:rPr>
      </w:pPr>
      <w:r w:rsidRPr="00FC420F">
        <w:rPr>
          <w:lang w:val="es-ES"/>
        </w:rPr>
        <w:lastRenderedPageBreak/>
        <w:t xml:space="preserve">Figura </w:t>
      </w:r>
      <w:r>
        <w:fldChar w:fldCharType="begin"/>
      </w:r>
      <w:r w:rsidRPr="00FC420F">
        <w:rPr>
          <w:lang w:val="es-ES"/>
        </w:rPr>
        <w:instrText xml:space="preserve"> STYLEREF 1 \s \* MERGEFORMAT </w:instrText>
      </w:r>
      <w:r>
        <w:fldChar w:fldCharType="separate"/>
      </w:r>
      <w:r w:rsidR="00020F8B">
        <w:rPr>
          <w:noProof/>
          <w:lang w:val="es-ES"/>
        </w:rPr>
        <w:t>3</w:t>
      </w:r>
      <w:r>
        <w:fldChar w:fldCharType="end"/>
      </w:r>
      <w:r w:rsidRPr="00FC420F">
        <w:rPr>
          <w:lang w:val="es-ES"/>
        </w:rPr>
        <w:t>.</w:t>
      </w:r>
      <w:r>
        <w:fldChar w:fldCharType="begin"/>
      </w:r>
      <w:r w:rsidRPr="00FC420F">
        <w:rPr>
          <w:lang w:val="es-ES"/>
        </w:rPr>
        <w:instrText xml:space="preserve"> SEQ </w:instrText>
      </w:r>
      <w:r w:rsidR="00DE28D1">
        <w:rPr>
          <w:lang w:val="es-ES"/>
        </w:rPr>
        <w:instrText>Ilustración</w:instrText>
      </w:r>
      <w:r w:rsidRPr="00FC420F">
        <w:rPr>
          <w:lang w:val="es-ES"/>
        </w:rPr>
        <w:instrText xml:space="preserve"> \* ARABIC \s 1 \* MERGEFORMAT </w:instrText>
      </w:r>
      <w:r>
        <w:fldChar w:fldCharType="separate"/>
      </w:r>
      <w:r w:rsidR="00020F8B">
        <w:rPr>
          <w:noProof/>
          <w:lang w:val="es-ES"/>
        </w:rPr>
        <w:t>22</w:t>
      </w:r>
      <w:r>
        <w:fldChar w:fldCharType="end"/>
      </w:r>
      <w:r w:rsidRPr="00FC420F">
        <w:rPr>
          <w:lang w:val="es-ES"/>
        </w:rPr>
        <w:t>: Nodos del operador fijo modelado en el Estado de Guerrero [</w:t>
      </w:r>
      <w:r>
        <w:rPr>
          <w:lang w:val="es-ES"/>
        </w:rPr>
        <w:t>Fuent</w:t>
      </w:r>
      <w:r w:rsidRPr="00FC420F">
        <w:rPr>
          <w:lang w:val="es-ES"/>
        </w:rPr>
        <w:t>e: Analysys Mason, 2023]</w:t>
      </w:r>
    </w:p>
    <w:p w14:paraId="2B2EAC9C" w14:textId="5BDDBE25" w:rsidR="00FC420F" w:rsidRDefault="00FC420F" w:rsidP="00FC420F">
      <w:pPr>
        <w:pStyle w:val="Border"/>
        <w:rPr>
          <w:lang w:val="es-ES"/>
        </w:rPr>
      </w:pPr>
      <w:r w:rsidRPr="00FC420F">
        <w:rPr>
          <w:noProof/>
        </w:rPr>
        <w:drawing>
          <wp:inline distT="0" distB="0" distL="0" distR="0" wp14:anchorId="2EFC13DE" wp14:editId="15D47295">
            <wp:extent cx="3311769" cy="3204184"/>
            <wp:effectExtent l="0" t="0" r="3175" b="0"/>
            <wp:docPr id="1729316038" name="Picture 172931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3093" cy="3205465"/>
                    </a:xfrm>
                    <a:prstGeom prst="rect">
                      <a:avLst/>
                    </a:prstGeom>
                    <a:noFill/>
                    <a:ln>
                      <a:noFill/>
                    </a:ln>
                  </pic:spPr>
                </pic:pic>
              </a:graphicData>
            </a:graphic>
          </wp:inline>
        </w:drawing>
      </w:r>
    </w:p>
    <w:p w14:paraId="34796CD8" w14:textId="0B9FF3F9" w:rsidR="008F1846" w:rsidRDefault="008F1846" w:rsidP="008F1846">
      <w:pPr>
        <w:rPr>
          <w:lang w:val="es-ES"/>
        </w:rPr>
      </w:pPr>
      <w:r>
        <w:rPr>
          <w:lang w:val="es-ES"/>
        </w:rPr>
        <w:t xml:space="preserve">Dado que </w:t>
      </w:r>
      <w:r w:rsidR="004A65FF">
        <w:rPr>
          <w:lang w:val="es-ES"/>
        </w:rPr>
        <w:t xml:space="preserve">en </w:t>
      </w:r>
      <w:r>
        <w:rPr>
          <w:lang w:val="es-ES"/>
        </w:rPr>
        <w:t xml:space="preserve">las </w:t>
      </w:r>
      <w:r w:rsidRPr="004405B1">
        <w:rPr>
          <w:lang w:val="es-ES"/>
        </w:rPr>
        <w:t xml:space="preserve">localidades Tier 1 y Tier 2 </w:t>
      </w:r>
      <w:r>
        <w:rPr>
          <w:lang w:val="es-ES"/>
        </w:rPr>
        <w:t xml:space="preserve">se desplegaría más de un nodo dentro de la misma localidad, es necesario realizar un </w:t>
      </w:r>
      <w:r w:rsidR="004A65FF">
        <w:rPr>
          <w:lang w:val="es-ES"/>
        </w:rPr>
        <w:t xml:space="preserve">despliegue </w:t>
      </w:r>
      <w:r>
        <w:rPr>
          <w:lang w:val="es-ES"/>
        </w:rPr>
        <w:t xml:space="preserve">de </w:t>
      </w:r>
      <w:r w:rsidRPr="004405B1">
        <w:rPr>
          <w:lang w:val="es-ES"/>
        </w:rPr>
        <w:t xml:space="preserve">fibra metropolitana </w:t>
      </w:r>
      <w:r>
        <w:rPr>
          <w:lang w:val="es-ES"/>
        </w:rPr>
        <w:t>que conecte los nodos dentro de estas localidades. En total, se ha estimado que sería</w:t>
      </w:r>
      <w:r w:rsidR="004A65FF">
        <w:rPr>
          <w:lang w:val="es-ES"/>
        </w:rPr>
        <w:t>n</w:t>
      </w:r>
      <w:r>
        <w:rPr>
          <w:lang w:val="es-ES"/>
        </w:rPr>
        <w:t xml:space="preserve"> necesarios unos </w:t>
      </w:r>
      <w:r w:rsidRPr="004405B1">
        <w:rPr>
          <w:lang w:val="es-ES"/>
        </w:rPr>
        <w:t>~12 000km</w:t>
      </w:r>
      <w:r>
        <w:rPr>
          <w:lang w:val="es-ES"/>
        </w:rPr>
        <w:t xml:space="preserve"> de fibra metropolitana para cubrir los enlaces metropolitanos entre nodos dentro de las mismas</w:t>
      </w:r>
      <w:r w:rsidR="004A65FF">
        <w:rPr>
          <w:lang w:val="es-ES"/>
        </w:rPr>
        <w:t xml:space="preserve"> localidades</w:t>
      </w:r>
      <w:r>
        <w:rPr>
          <w:lang w:val="es-ES"/>
        </w:rPr>
        <w:t>.</w:t>
      </w:r>
    </w:p>
    <w:p w14:paraId="31515B0F" w14:textId="578F29F4" w:rsidR="008F1846" w:rsidRDefault="008F1846" w:rsidP="008F1846">
      <w:pPr>
        <w:pStyle w:val="Descripcin"/>
        <w:rPr>
          <w:lang w:val="es-ES"/>
        </w:rPr>
      </w:pPr>
      <w:bookmarkStart w:id="39" w:name="_Ref135838201"/>
      <w:r>
        <w:rPr>
          <w:lang w:val="es-ES"/>
        </w:rPr>
        <w:lastRenderedPageBreak/>
        <w:t xml:space="preserve">Figura </w:t>
      </w:r>
      <w:r>
        <w:rPr>
          <w:lang w:val="es-ES"/>
        </w:rPr>
        <w:fldChar w:fldCharType="begin"/>
      </w:r>
      <w:r>
        <w:rPr>
          <w:lang w:val="es-ES"/>
        </w:rPr>
        <w:instrText xml:space="preserve"> STYLEREF 1 \s \* MERGEFORMAT </w:instrText>
      </w:r>
      <w:r>
        <w:rPr>
          <w:lang w:val="es-ES"/>
        </w:rPr>
        <w:fldChar w:fldCharType="separate"/>
      </w:r>
      <w:r w:rsidR="00020F8B">
        <w:rPr>
          <w:noProof/>
          <w:lang w:val="es-ES"/>
        </w:rPr>
        <w:t>3</w:t>
      </w:r>
      <w:r>
        <w:rPr>
          <w:lang w:val="es-ES"/>
        </w:rPr>
        <w:fldChar w:fldCharType="end"/>
      </w:r>
      <w:r>
        <w:rPr>
          <w:lang w:val="es-ES"/>
        </w:rPr>
        <w:t>.</w:t>
      </w:r>
      <w:r>
        <w:rPr>
          <w:lang w:val="es-ES"/>
        </w:rPr>
        <w:fldChar w:fldCharType="begin"/>
      </w:r>
      <w:r>
        <w:rPr>
          <w:lang w:val="es-ES"/>
        </w:rPr>
        <w:instrText xml:space="preserve"> SEQ Ilustración \* ARABIC \s 1 \* MERGEFORMAT </w:instrText>
      </w:r>
      <w:r>
        <w:rPr>
          <w:lang w:val="es-ES"/>
        </w:rPr>
        <w:fldChar w:fldCharType="separate"/>
      </w:r>
      <w:r w:rsidR="00020F8B">
        <w:rPr>
          <w:noProof/>
          <w:lang w:val="es-ES"/>
        </w:rPr>
        <w:t>23</w:t>
      </w:r>
      <w:r>
        <w:rPr>
          <w:lang w:val="es-ES"/>
        </w:rPr>
        <w:fldChar w:fldCharType="end"/>
      </w:r>
      <w:bookmarkEnd w:id="39"/>
      <w:r>
        <w:rPr>
          <w:lang w:val="es-ES"/>
        </w:rPr>
        <w:t xml:space="preserve">: </w:t>
      </w:r>
      <w:r w:rsidRPr="00575FE0">
        <w:rPr>
          <w:lang w:val="es-ES"/>
        </w:rPr>
        <w:t xml:space="preserve">Red de acceso del operador modelado </w:t>
      </w:r>
      <w:r>
        <w:rPr>
          <w:lang w:val="es-ES"/>
        </w:rPr>
        <w:t>[Fuente: Analysys Mason, 2023]</w:t>
      </w:r>
    </w:p>
    <w:p w14:paraId="191F17F5" w14:textId="3666951B" w:rsidR="008F1846" w:rsidRDefault="00D63DCC" w:rsidP="008F1846">
      <w:pPr>
        <w:pStyle w:val="Border"/>
        <w:rPr>
          <w:lang w:val="es-ES"/>
        </w:rPr>
      </w:pPr>
      <w:r w:rsidRPr="00D63DCC">
        <w:rPr>
          <w:noProof/>
        </w:rPr>
        <w:drawing>
          <wp:inline distT="0" distB="0" distL="0" distR="0" wp14:anchorId="7B88AC51" wp14:editId="7B7715D1">
            <wp:extent cx="5247640" cy="4531995"/>
            <wp:effectExtent l="0" t="0" r="0" b="0"/>
            <wp:docPr id="125792493" name="Picture 12579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7640" cy="4531995"/>
                    </a:xfrm>
                    <a:prstGeom prst="rect">
                      <a:avLst/>
                    </a:prstGeom>
                    <a:noFill/>
                    <a:ln>
                      <a:noFill/>
                    </a:ln>
                  </pic:spPr>
                </pic:pic>
              </a:graphicData>
            </a:graphic>
          </wp:inline>
        </w:drawing>
      </w:r>
    </w:p>
    <w:p w14:paraId="58E6CCBF" w14:textId="01923793" w:rsidR="008F1846" w:rsidRDefault="008F1846" w:rsidP="008F1846">
      <w:pPr>
        <w:rPr>
          <w:lang w:val="es-ES"/>
        </w:rPr>
      </w:pPr>
      <w:r w:rsidRPr="00B239AB">
        <w:rPr>
          <w:lang w:val="es-ES"/>
        </w:rPr>
        <w:t xml:space="preserve">Como se puede apreciar en la </w:t>
      </w:r>
      <w:r>
        <w:rPr>
          <w:lang w:val="es-ES"/>
        </w:rPr>
        <w:fldChar w:fldCharType="begin"/>
      </w:r>
      <w:r>
        <w:rPr>
          <w:lang w:val="es-ES"/>
        </w:rPr>
        <w:instrText xml:space="preserve"> REF _Ref135838201 \h </w:instrText>
      </w:r>
      <w:r>
        <w:rPr>
          <w:lang w:val="es-ES"/>
        </w:rPr>
      </w:r>
      <w:r>
        <w:rPr>
          <w:lang w:val="es-ES"/>
        </w:rPr>
        <w:fldChar w:fldCharType="separate"/>
      </w:r>
      <w:r w:rsidR="00020F8B">
        <w:rPr>
          <w:lang w:val="es-ES"/>
        </w:rPr>
        <w:t xml:space="preserve">Figura </w:t>
      </w:r>
      <w:r w:rsidR="00020F8B">
        <w:rPr>
          <w:noProof/>
          <w:lang w:val="es-ES"/>
        </w:rPr>
        <w:t>3</w:t>
      </w:r>
      <w:r w:rsidR="00020F8B">
        <w:rPr>
          <w:lang w:val="es-ES"/>
        </w:rPr>
        <w:t>.</w:t>
      </w:r>
      <w:r w:rsidR="00020F8B">
        <w:rPr>
          <w:noProof/>
          <w:lang w:val="es-ES"/>
        </w:rPr>
        <w:t>23</w:t>
      </w:r>
      <w:r>
        <w:rPr>
          <w:lang w:val="es-ES"/>
        </w:rPr>
        <w:fldChar w:fldCharType="end"/>
      </w:r>
      <w:r w:rsidRPr="00B239AB">
        <w:rPr>
          <w:lang w:val="es-ES"/>
        </w:rPr>
        <w:t>, los nodos Tier 3 se conectan en anillos a su nodo Tier 2 más cercano, dentro del mismo ASL. A su vez, los nodos Tier 2 se conectan en anillo a un nodo Tier 1</w:t>
      </w:r>
      <w:r>
        <w:rPr>
          <w:lang w:val="es-ES"/>
        </w:rPr>
        <w:t>; y finalmente, l</w:t>
      </w:r>
      <w:r w:rsidRPr="00B239AB">
        <w:rPr>
          <w:lang w:val="es-ES"/>
        </w:rPr>
        <w:t>os nodos Tier 1 se conectan en anillos al nodo regional asociado</w:t>
      </w:r>
      <w:r>
        <w:rPr>
          <w:lang w:val="es-ES"/>
        </w:rPr>
        <w:t>.</w:t>
      </w:r>
    </w:p>
    <w:p w14:paraId="2949A4D0" w14:textId="62522972" w:rsidR="008F1846" w:rsidRDefault="008F1846" w:rsidP="008F1846">
      <w:pPr>
        <w:rPr>
          <w:lang w:val="es-ES"/>
        </w:rPr>
      </w:pPr>
      <w:r>
        <w:rPr>
          <w:lang w:val="es-ES"/>
        </w:rPr>
        <w:t xml:space="preserve">El diseño de la capa de acceso ofrece cierto grado de redundancia, lo cual implica resistir a fallos críticos en nodos de </w:t>
      </w:r>
      <w:r w:rsidR="004A65FF">
        <w:rPr>
          <w:lang w:val="es-ES"/>
        </w:rPr>
        <w:t>la</w:t>
      </w:r>
      <w:r>
        <w:rPr>
          <w:lang w:val="es-ES"/>
        </w:rPr>
        <w:t xml:space="preserve"> red. Esto se debe a que </w:t>
      </w:r>
      <w:r w:rsidRPr="00A27D37">
        <w:rPr>
          <w:lang w:val="es-ES"/>
        </w:rPr>
        <w:t xml:space="preserve">el número de nodos que dependen de un nodo de nivel superior es relativamente pequeño en los </w:t>
      </w:r>
      <w:r w:rsidR="004A65FF">
        <w:rPr>
          <w:lang w:val="es-ES"/>
        </w:rPr>
        <w:t>distintos</w:t>
      </w:r>
      <w:r w:rsidRPr="00A27D37">
        <w:rPr>
          <w:lang w:val="es-ES"/>
        </w:rPr>
        <w:t xml:space="preserve"> niveles de red, disminuyendo el número de nodos situado bajo un único punto de fallo</w:t>
      </w:r>
      <w:r>
        <w:rPr>
          <w:lang w:val="es-ES"/>
        </w:rPr>
        <w:t>. A continuación</w:t>
      </w:r>
      <w:r w:rsidR="004A65FF">
        <w:rPr>
          <w:lang w:val="es-ES"/>
        </w:rPr>
        <w:t>,</w:t>
      </w:r>
      <w:r>
        <w:rPr>
          <w:lang w:val="es-ES"/>
        </w:rPr>
        <w:t xml:space="preserve"> se muestra</w:t>
      </w:r>
      <w:r w:rsidR="004A65FF">
        <w:rPr>
          <w:lang w:val="es-ES"/>
        </w:rPr>
        <w:t>n</w:t>
      </w:r>
      <w:r>
        <w:rPr>
          <w:lang w:val="es-ES"/>
        </w:rPr>
        <w:t xml:space="preserve"> los ratios de conexión entre nodos (n</w:t>
      </w:r>
      <w:r w:rsidRPr="00763A01">
        <w:rPr>
          <w:lang w:val="es-ES"/>
        </w:rPr>
        <w:t>úmero de nodos de un nivel inferior conectados a un nodo de nivel superior</w:t>
      </w:r>
      <w:r>
        <w:rPr>
          <w:lang w:val="es-ES"/>
        </w:rPr>
        <w:t>) y el nivel de redundancia (n</w:t>
      </w:r>
      <w:r w:rsidRPr="00763A01">
        <w:rPr>
          <w:lang w:val="es-ES"/>
        </w:rPr>
        <w:t>úmero de nodos de nivel superior al que está conectado un nodo de nivel inferior</w:t>
      </w:r>
      <w:r>
        <w:rPr>
          <w:lang w:val="es-ES"/>
        </w:rPr>
        <w:t>) de las distintas conexiones entre Tiers:</w:t>
      </w:r>
    </w:p>
    <w:p w14:paraId="094488D9" w14:textId="0DFCB273" w:rsidR="008F1846" w:rsidRPr="00746902" w:rsidRDefault="008F1846" w:rsidP="008F1846">
      <w:pPr>
        <w:pStyle w:val="TableCaption"/>
        <w:rPr>
          <w:lang w:val="es-ES"/>
        </w:rPr>
      </w:pPr>
      <w:r w:rsidRPr="00746902">
        <w:rPr>
          <w:lang w:val="es-ES"/>
        </w:rPr>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24</w:t>
      </w:r>
      <w:r>
        <w:rPr>
          <w:lang w:val="es-ES"/>
        </w:rPr>
        <w:fldChar w:fldCharType="end"/>
      </w:r>
      <w:r w:rsidRPr="00746902">
        <w:rPr>
          <w:lang w:val="es-ES"/>
        </w:rPr>
        <w:t>: Robustez de la capa de acceso [Fu</w:t>
      </w:r>
      <w:r>
        <w:rPr>
          <w:lang w:val="es-ES"/>
        </w:rPr>
        <w:t>ent</w:t>
      </w:r>
      <w:r w:rsidRPr="00746902">
        <w:rPr>
          <w:lang w:val="es-ES"/>
        </w:rPr>
        <w:t>e: Analysys Mason, 2023]</w:t>
      </w:r>
    </w:p>
    <w:tbl>
      <w:tblPr>
        <w:tblStyle w:val="Sombreadomedio2-nfasis1"/>
        <w:tblW w:w="8721" w:type="dxa"/>
        <w:tblBorders>
          <w:top w:val="single" w:sz="4" w:space="0" w:color="FFFFFF"/>
          <w:insideH w:val="single" w:sz="4" w:space="0" w:color="FFFFFF"/>
          <w:insideV w:val="single" w:sz="4" w:space="0" w:color="FFFFFF"/>
        </w:tblBorders>
        <w:tblLook w:val="0620" w:firstRow="1" w:lastRow="0" w:firstColumn="0" w:lastColumn="0" w:noHBand="1" w:noVBand="1"/>
      </w:tblPr>
      <w:tblGrid>
        <w:gridCol w:w="2907"/>
        <w:gridCol w:w="2907"/>
        <w:gridCol w:w="2907"/>
      </w:tblGrid>
      <w:tr w:rsidR="008F1846" w:rsidRPr="00746902" w14:paraId="1A94103E" w14:textId="77777777">
        <w:trPr>
          <w:cnfStyle w:val="100000000000" w:firstRow="1" w:lastRow="0" w:firstColumn="0" w:lastColumn="0" w:oddVBand="0" w:evenVBand="0" w:oddHBand="0" w:evenHBand="0" w:firstRowFirstColumn="0" w:firstRowLastColumn="0" w:lastRowFirstColumn="0" w:lastRowLastColumn="0"/>
          <w:tblHeader/>
        </w:trPr>
        <w:tc>
          <w:tcPr>
            <w:tcW w:w="2907" w:type="dxa"/>
            <w:tcBorders>
              <w:bottom w:val="single" w:sz="18" w:space="0" w:color="FFFFFF"/>
            </w:tcBorders>
            <w:shd w:val="solid" w:color="0F51B1" w:fill="0F51B1"/>
          </w:tcPr>
          <w:p w14:paraId="254292AC" w14:textId="77777777" w:rsidR="008F1846" w:rsidRPr="00883EF2" w:rsidRDefault="008F1846">
            <w:pPr>
              <w:pStyle w:val="Tableheading"/>
              <w:rPr>
                <w:bCs w:val="0"/>
                <w:color w:val="auto"/>
                <w:sz w:val="22"/>
                <w:lang w:val="es-ES"/>
              </w:rPr>
            </w:pPr>
          </w:p>
        </w:tc>
        <w:tc>
          <w:tcPr>
            <w:tcW w:w="2907" w:type="dxa"/>
            <w:tcBorders>
              <w:bottom w:val="single" w:sz="18" w:space="0" w:color="FFFFFF"/>
            </w:tcBorders>
            <w:shd w:val="solid" w:color="0F51B1" w:fill="0F51B1"/>
          </w:tcPr>
          <w:p w14:paraId="06019FEA" w14:textId="77777777" w:rsidR="008F1846" w:rsidRPr="00883EF2" w:rsidRDefault="008F1846">
            <w:pPr>
              <w:pStyle w:val="Tableheading"/>
              <w:rPr>
                <w:bCs w:val="0"/>
                <w:color w:val="FFFFFF" w:themeColor="background1"/>
                <w:sz w:val="22"/>
                <w:lang w:val="es-ES"/>
              </w:rPr>
            </w:pPr>
            <w:r w:rsidRPr="00883EF2">
              <w:rPr>
                <w:bCs w:val="0"/>
                <w:color w:val="FFFFFF" w:themeColor="background1"/>
                <w:sz w:val="22"/>
                <w:lang w:val="es-ES"/>
              </w:rPr>
              <w:t>Ratios</w:t>
            </w:r>
          </w:p>
        </w:tc>
        <w:tc>
          <w:tcPr>
            <w:tcW w:w="2907" w:type="dxa"/>
            <w:tcBorders>
              <w:bottom w:val="single" w:sz="18" w:space="0" w:color="FFFFFF"/>
            </w:tcBorders>
            <w:shd w:val="solid" w:color="0F51B1" w:fill="0F51B1"/>
          </w:tcPr>
          <w:p w14:paraId="076075CE" w14:textId="77777777" w:rsidR="008F1846" w:rsidRPr="00883EF2" w:rsidRDefault="008F1846">
            <w:pPr>
              <w:pStyle w:val="Tableheading"/>
              <w:rPr>
                <w:bCs w:val="0"/>
                <w:color w:val="FFFFFF" w:themeColor="background1"/>
                <w:sz w:val="22"/>
                <w:lang w:val="es-ES"/>
              </w:rPr>
            </w:pPr>
            <w:r w:rsidRPr="00883EF2">
              <w:rPr>
                <w:bCs w:val="0"/>
                <w:color w:val="FFFFFF" w:themeColor="background1"/>
                <w:sz w:val="22"/>
                <w:lang w:val="es-ES"/>
              </w:rPr>
              <w:t>Redundancia</w:t>
            </w:r>
          </w:p>
        </w:tc>
      </w:tr>
      <w:tr w:rsidR="008F1846" w:rsidRPr="00746902" w14:paraId="693AC4E1" w14:textId="77777777">
        <w:tc>
          <w:tcPr>
            <w:tcW w:w="2907" w:type="dxa"/>
            <w:tcBorders>
              <w:top w:val="single" w:sz="18" w:space="0" w:color="FFFFFF"/>
            </w:tcBorders>
          </w:tcPr>
          <w:p w14:paraId="3D3FDB0A" w14:textId="77777777" w:rsidR="008F1846" w:rsidRPr="00883EF2" w:rsidRDefault="008F1846">
            <w:pPr>
              <w:pStyle w:val="Tablecells"/>
              <w:rPr>
                <w:sz w:val="22"/>
                <w:lang w:val="es-ES"/>
              </w:rPr>
            </w:pPr>
            <w:r w:rsidRPr="00883EF2">
              <w:rPr>
                <w:sz w:val="22"/>
                <w:lang w:val="es-ES"/>
              </w:rPr>
              <w:t>Regional a core</w:t>
            </w:r>
          </w:p>
        </w:tc>
        <w:tc>
          <w:tcPr>
            <w:tcW w:w="2907" w:type="dxa"/>
            <w:tcBorders>
              <w:top w:val="single" w:sz="18" w:space="0" w:color="FFFFFF"/>
            </w:tcBorders>
          </w:tcPr>
          <w:p w14:paraId="55C2D12B" w14:textId="77777777" w:rsidR="008F1846" w:rsidRPr="00883EF2" w:rsidRDefault="008F1846">
            <w:pPr>
              <w:pStyle w:val="Tablecells"/>
              <w:rPr>
                <w:sz w:val="22"/>
                <w:lang w:val="es-ES"/>
              </w:rPr>
            </w:pPr>
            <w:r w:rsidRPr="00883EF2">
              <w:rPr>
                <w:sz w:val="22"/>
                <w:lang w:val="es-ES"/>
              </w:rPr>
              <w:t>9.8</w:t>
            </w:r>
          </w:p>
        </w:tc>
        <w:tc>
          <w:tcPr>
            <w:tcW w:w="2907" w:type="dxa"/>
            <w:tcBorders>
              <w:top w:val="single" w:sz="18" w:space="0" w:color="FFFFFF"/>
            </w:tcBorders>
          </w:tcPr>
          <w:p w14:paraId="2DDF43DA" w14:textId="77777777" w:rsidR="008F1846" w:rsidRPr="00883EF2" w:rsidRDefault="008F1846">
            <w:pPr>
              <w:pStyle w:val="Tablecells"/>
              <w:rPr>
                <w:sz w:val="22"/>
                <w:lang w:val="es-ES"/>
              </w:rPr>
            </w:pPr>
            <w:r w:rsidRPr="00883EF2">
              <w:rPr>
                <w:sz w:val="22"/>
                <w:lang w:val="es-ES"/>
              </w:rPr>
              <w:t>Conexión a 2 nodos</w:t>
            </w:r>
          </w:p>
        </w:tc>
      </w:tr>
      <w:tr w:rsidR="008F1846" w:rsidRPr="00746902" w14:paraId="15659C07" w14:textId="77777777">
        <w:tc>
          <w:tcPr>
            <w:tcW w:w="2907" w:type="dxa"/>
          </w:tcPr>
          <w:p w14:paraId="0E9FDEE8" w14:textId="77777777" w:rsidR="008F1846" w:rsidRPr="00883EF2" w:rsidRDefault="008F1846">
            <w:pPr>
              <w:pStyle w:val="Tablecells"/>
              <w:rPr>
                <w:sz w:val="22"/>
                <w:lang w:val="es-ES"/>
              </w:rPr>
            </w:pPr>
            <w:r w:rsidRPr="00883EF2">
              <w:rPr>
                <w:sz w:val="22"/>
                <w:lang w:val="es-ES"/>
              </w:rPr>
              <w:t>Tier 1 a Regional</w:t>
            </w:r>
          </w:p>
        </w:tc>
        <w:tc>
          <w:tcPr>
            <w:tcW w:w="2907" w:type="dxa"/>
          </w:tcPr>
          <w:p w14:paraId="263724BA" w14:textId="77777777" w:rsidR="008F1846" w:rsidRPr="00883EF2" w:rsidRDefault="008F1846">
            <w:pPr>
              <w:pStyle w:val="Tablecells"/>
              <w:rPr>
                <w:sz w:val="22"/>
                <w:lang w:val="es-ES"/>
              </w:rPr>
            </w:pPr>
            <w:r w:rsidRPr="00883EF2">
              <w:rPr>
                <w:sz w:val="22"/>
                <w:lang w:val="es-ES"/>
              </w:rPr>
              <w:t>6.3</w:t>
            </w:r>
          </w:p>
        </w:tc>
        <w:tc>
          <w:tcPr>
            <w:tcW w:w="2907" w:type="dxa"/>
          </w:tcPr>
          <w:p w14:paraId="2C88C11F" w14:textId="77777777" w:rsidR="008F1846" w:rsidRPr="00883EF2" w:rsidRDefault="008F1846">
            <w:pPr>
              <w:pStyle w:val="Tablecells"/>
              <w:rPr>
                <w:sz w:val="22"/>
                <w:lang w:val="es-ES"/>
              </w:rPr>
            </w:pPr>
            <w:r w:rsidRPr="00883EF2">
              <w:rPr>
                <w:sz w:val="22"/>
                <w:lang w:val="es-ES"/>
              </w:rPr>
              <w:t>Conexión a 2 nodos</w:t>
            </w:r>
          </w:p>
        </w:tc>
      </w:tr>
      <w:tr w:rsidR="008F1846" w:rsidRPr="00746902" w14:paraId="73B65E8D" w14:textId="77777777">
        <w:tc>
          <w:tcPr>
            <w:tcW w:w="2907" w:type="dxa"/>
          </w:tcPr>
          <w:p w14:paraId="761F833E" w14:textId="77777777" w:rsidR="008F1846" w:rsidRPr="00883EF2" w:rsidRDefault="008F1846">
            <w:pPr>
              <w:pStyle w:val="Tablecells"/>
              <w:rPr>
                <w:sz w:val="22"/>
                <w:lang w:val="es-ES"/>
              </w:rPr>
            </w:pPr>
            <w:r w:rsidRPr="00883EF2">
              <w:rPr>
                <w:sz w:val="22"/>
                <w:lang w:val="es-ES"/>
              </w:rPr>
              <w:t>Tier 2 a Tier 1</w:t>
            </w:r>
          </w:p>
        </w:tc>
        <w:tc>
          <w:tcPr>
            <w:tcW w:w="2907" w:type="dxa"/>
          </w:tcPr>
          <w:p w14:paraId="31FAE566" w14:textId="77777777" w:rsidR="008F1846" w:rsidRPr="00883EF2" w:rsidRDefault="008F1846">
            <w:pPr>
              <w:pStyle w:val="Tablecells"/>
              <w:rPr>
                <w:sz w:val="22"/>
                <w:lang w:val="es-ES"/>
              </w:rPr>
            </w:pPr>
            <w:r w:rsidRPr="00883EF2">
              <w:rPr>
                <w:sz w:val="22"/>
                <w:lang w:val="es-ES"/>
              </w:rPr>
              <w:t>2.4</w:t>
            </w:r>
          </w:p>
        </w:tc>
        <w:tc>
          <w:tcPr>
            <w:tcW w:w="2907" w:type="dxa"/>
          </w:tcPr>
          <w:p w14:paraId="013F47E9" w14:textId="77777777" w:rsidR="008F1846" w:rsidRPr="00883EF2" w:rsidRDefault="008F1846">
            <w:pPr>
              <w:pStyle w:val="Tablecells"/>
              <w:rPr>
                <w:sz w:val="22"/>
                <w:lang w:val="es-ES"/>
              </w:rPr>
            </w:pPr>
            <w:r w:rsidRPr="00883EF2">
              <w:rPr>
                <w:sz w:val="22"/>
                <w:lang w:val="es-ES"/>
              </w:rPr>
              <w:t>Conexión a 1 nodo</w:t>
            </w:r>
          </w:p>
        </w:tc>
      </w:tr>
      <w:tr w:rsidR="008F1846" w:rsidRPr="00746902" w14:paraId="35F71808" w14:textId="77777777">
        <w:tc>
          <w:tcPr>
            <w:tcW w:w="2907" w:type="dxa"/>
          </w:tcPr>
          <w:p w14:paraId="36564E2C" w14:textId="77777777" w:rsidR="008F1846" w:rsidRPr="00883EF2" w:rsidRDefault="008F1846">
            <w:pPr>
              <w:pStyle w:val="Tablecells"/>
              <w:rPr>
                <w:sz w:val="22"/>
                <w:lang w:val="es-ES"/>
              </w:rPr>
            </w:pPr>
            <w:r w:rsidRPr="00883EF2">
              <w:rPr>
                <w:sz w:val="22"/>
                <w:lang w:val="es-ES"/>
              </w:rPr>
              <w:lastRenderedPageBreak/>
              <w:t>Tier 3 a Tier 2</w:t>
            </w:r>
          </w:p>
        </w:tc>
        <w:tc>
          <w:tcPr>
            <w:tcW w:w="2907" w:type="dxa"/>
          </w:tcPr>
          <w:p w14:paraId="2801B23F" w14:textId="77777777" w:rsidR="008F1846" w:rsidRPr="00883EF2" w:rsidRDefault="008F1846">
            <w:pPr>
              <w:pStyle w:val="Tablecells"/>
              <w:rPr>
                <w:sz w:val="22"/>
                <w:lang w:val="es-ES"/>
              </w:rPr>
            </w:pPr>
            <w:r w:rsidRPr="00883EF2">
              <w:rPr>
                <w:sz w:val="22"/>
                <w:lang w:val="es-ES"/>
              </w:rPr>
              <w:t>1.6</w:t>
            </w:r>
          </w:p>
        </w:tc>
        <w:tc>
          <w:tcPr>
            <w:tcW w:w="2907" w:type="dxa"/>
          </w:tcPr>
          <w:p w14:paraId="641FE091" w14:textId="77777777" w:rsidR="008F1846" w:rsidRPr="00883EF2" w:rsidRDefault="008F1846">
            <w:pPr>
              <w:pStyle w:val="Tablecells"/>
              <w:rPr>
                <w:sz w:val="22"/>
                <w:lang w:val="es-ES"/>
              </w:rPr>
            </w:pPr>
            <w:r w:rsidRPr="00883EF2">
              <w:rPr>
                <w:sz w:val="22"/>
                <w:lang w:val="es-ES"/>
              </w:rPr>
              <w:t>Conexión a 1 nodo</w:t>
            </w:r>
          </w:p>
        </w:tc>
      </w:tr>
    </w:tbl>
    <w:p w14:paraId="6361C053" w14:textId="77777777" w:rsidR="008F1846" w:rsidRDefault="008F1846" w:rsidP="008F1846">
      <w:pPr>
        <w:rPr>
          <w:lang w:val="es-ES"/>
        </w:rPr>
      </w:pPr>
    </w:p>
    <w:p w14:paraId="381C0CB1" w14:textId="77777777" w:rsidR="008F1846" w:rsidRPr="001203A3" w:rsidRDefault="008F1846" w:rsidP="008F1846">
      <w:pPr>
        <w:rPr>
          <w:lang w:val="es-ES"/>
        </w:rPr>
      </w:pPr>
      <w:r>
        <w:rPr>
          <w:lang w:val="es-ES"/>
        </w:rPr>
        <w:t>Es importante recalcar que e</w:t>
      </w:r>
      <w:r w:rsidRPr="001203A3">
        <w:rPr>
          <w:lang w:val="es-ES"/>
        </w:rPr>
        <w:t xml:space="preserve">l IFT modela los costos de los servicios de acceso en el modelo integral de acceso fijo. Por este motivo, el modelo </w:t>
      </w:r>
      <w:r>
        <w:rPr>
          <w:lang w:val="es-ES"/>
        </w:rPr>
        <w:t>fijo</w:t>
      </w:r>
      <w:r w:rsidRPr="001203A3">
        <w:rPr>
          <w:lang w:val="es-ES"/>
        </w:rPr>
        <w:t xml:space="preserve"> no inclu</w:t>
      </w:r>
      <w:r>
        <w:rPr>
          <w:lang w:val="es-ES"/>
        </w:rPr>
        <w:t>ye</w:t>
      </w:r>
      <w:r w:rsidRPr="001203A3">
        <w:rPr>
          <w:lang w:val="es-ES"/>
        </w:rPr>
        <w:t xml:space="preserve"> los elementos de la red de acceso. La red modelada, considera como punto de demarcación el nodo de acceso multiservicio (MSAN). El MSAN no se incluye en el modelo para asegurar la consistencia con el modelo de desagregación del IFT. En todo caso, se </w:t>
      </w:r>
      <w:r>
        <w:rPr>
          <w:lang w:val="es-ES"/>
        </w:rPr>
        <w:t>asume</w:t>
      </w:r>
      <w:r w:rsidRPr="001203A3">
        <w:rPr>
          <w:lang w:val="es-ES"/>
        </w:rPr>
        <w:t xml:space="preserve"> que el tráfico generado </w:t>
      </w:r>
      <w:r>
        <w:rPr>
          <w:lang w:val="es-ES"/>
        </w:rPr>
        <w:t>emplea</w:t>
      </w:r>
      <w:r w:rsidRPr="001203A3">
        <w:rPr>
          <w:lang w:val="es-ES"/>
        </w:rPr>
        <w:t xml:space="preserve"> el protocolo Ethernet para su conexión a las capas superiores de la red.</w:t>
      </w:r>
    </w:p>
    <w:p w14:paraId="271FA24B" w14:textId="70C30BE6" w:rsidR="008F1846" w:rsidRDefault="008F1846" w:rsidP="008F1846">
      <w:pPr>
        <w:pStyle w:val="Descripcin"/>
        <w:rPr>
          <w:lang w:val="es-ES"/>
        </w:rPr>
      </w:pPr>
      <w:r>
        <w:rPr>
          <w:lang w:val="es-ES"/>
        </w:rPr>
        <w:t xml:space="preserve">Figura </w:t>
      </w:r>
      <w:r>
        <w:rPr>
          <w:lang w:val="es-ES"/>
        </w:rPr>
        <w:fldChar w:fldCharType="begin"/>
      </w:r>
      <w:r>
        <w:rPr>
          <w:lang w:val="es-ES"/>
        </w:rPr>
        <w:instrText xml:space="preserve"> STYLEREF 1 \s \* MERGEFORMAT </w:instrText>
      </w:r>
      <w:r>
        <w:rPr>
          <w:lang w:val="es-ES"/>
        </w:rPr>
        <w:fldChar w:fldCharType="separate"/>
      </w:r>
      <w:r w:rsidR="00020F8B">
        <w:rPr>
          <w:noProof/>
          <w:lang w:val="es-ES"/>
        </w:rPr>
        <w:t>3</w:t>
      </w:r>
      <w:r>
        <w:rPr>
          <w:lang w:val="es-ES"/>
        </w:rPr>
        <w:fldChar w:fldCharType="end"/>
      </w:r>
      <w:r>
        <w:rPr>
          <w:lang w:val="es-ES"/>
        </w:rPr>
        <w:t>.</w:t>
      </w:r>
      <w:r>
        <w:rPr>
          <w:lang w:val="es-ES"/>
        </w:rPr>
        <w:fldChar w:fldCharType="begin"/>
      </w:r>
      <w:r>
        <w:rPr>
          <w:lang w:val="es-ES"/>
        </w:rPr>
        <w:instrText xml:space="preserve"> SEQ Ilustración \* ARABIC \s 1 \* MERGEFORMAT </w:instrText>
      </w:r>
      <w:r>
        <w:rPr>
          <w:lang w:val="es-ES"/>
        </w:rPr>
        <w:fldChar w:fldCharType="separate"/>
      </w:r>
      <w:r w:rsidR="00020F8B">
        <w:rPr>
          <w:noProof/>
          <w:lang w:val="es-ES"/>
        </w:rPr>
        <w:t>25</w:t>
      </w:r>
      <w:r>
        <w:rPr>
          <w:lang w:val="es-ES"/>
        </w:rPr>
        <w:fldChar w:fldCharType="end"/>
      </w:r>
      <w:r>
        <w:rPr>
          <w:lang w:val="es-ES"/>
        </w:rPr>
        <w:t xml:space="preserve">: </w:t>
      </w:r>
      <w:r w:rsidRPr="00305DA9">
        <w:rPr>
          <w:lang w:val="es-ES"/>
        </w:rPr>
        <w:t xml:space="preserve">Punto de demarcación en la conexión de última milla alámbrica </w:t>
      </w:r>
      <w:r>
        <w:rPr>
          <w:lang w:val="es-ES"/>
        </w:rPr>
        <w:t>[Fuente: Analysys Mason, 2023]</w:t>
      </w:r>
    </w:p>
    <w:p w14:paraId="03A1CF5F" w14:textId="0CB50C70" w:rsidR="008F1846" w:rsidRDefault="00EF65ED" w:rsidP="008F1846">
      <w:pPr>
        <w:pStyle w:val="Border"/>
        <w:rPr>
          <w:lang w:val="es-ES"/>
        </w:rPr>
      </w:pPr>
      <w:r w:rsidRPr="00EF65ED">
        <w:rPr>
          <w:noProof/>
        </w:rPr>
        <w:drawing>
          <wp:inline distT="0" distB="0" distL="0" distR="0" wp14:anchorId="6BAB71D7" wp14:editId="6F6BB8B2">
            <wp:extent cx="5544185" cy="2216785"/>
            <wp:effectExtent l="0" t="0" r="0" b="0"/>
            <wp:docPr id="733333453" name="Picture 73333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4185" cy="2216785"/>
                    </a:xfrm>
                    <a:prstGeom prst="rect">
                      <a:avLst/>
                    </a:prstGeom>
                    <a:noFill/>
                    <a:ln>
                      <a:noFill/>
                    </a:ln>
                  </pic:spPr>
                </pic:pic>
              </a:graphicData>
            </a:graphic>
          </wp:inline>
        </w:drawing>
      </w:r>
    </w:p>
    <w:p w14:paraId="30F57B91" w14:textId="1A5C3628" w:rsidR="00C10A89" w:rsidRPr="009163BB" w:rsidRDefault="00AC3E8B" w:rsidP="00FC613D">
      <w:pPr>
        <w:pStyle w:val="Ttulo4"/>
        <w:rPr>
          <w:lang w:val="es-ES"/>
        </w:rPr>
      </w:pPr>
      <w:r w:rsidRPr="009163BB">
        <w:rPr>
          <w:lang w:val="es-ES"/>
        </w:rPr>
        <w:t>Distribución del tráfico</w:t>
      </w:r>
      <w:r w:rsidR="009163BB" w:rsidRPr="009163BB">
        <w:rPr>
          <w:lang w:val="es-ES"/>
        </w:rPr>
        <w:t xml:space="preserve"> fijo</w:t>
      </w:r>
    </w:p>
    <w:p w14:paraId="7C9ABCD9" w14:textId="6CBC0FAA" w:rsidR="00C703A7" w:rsidRPr="00FD45F2" w:rsidRDefault="00C703A7" w:rsidP="00C703A7">
      <w:pPr>
        <w:rPr>
          <w:lang w:val="es-ES"/>
        </w:rPr>
      </w:pPr>
      <w:r>
        <w:rPr>
          <w:lang w:val="es-ES"/>
        </w:rPr>
        <w:t xml:space="preserve">Para efectuar el dimensionado de la red fija, </w:t>
      </w:r>
      <w:r w:rsidR="009163BB">
        <w:rPr>
          <w:lang w:val="es-ES"/>
        </w:rPr>
        <w:t xml:space="preserve">es necesario comprender la distribución del tráfico a lo largo del país. Para ello, se ha </w:t>
      </w:r>
      <w:r w:rsidRPr="009D5393">
        <w:rPr>
          <w:lang w:val="es-ES"/>
        </w:rPr>
        <w:t>dividido México conceptualmente en nueve regiones, similares a las utilizadas en la definición de las licencias móviles</w:t>
      </w:r>
      <w:r>
        <w:rPr>
          <w:lang w:val="es-ES"/>
        </w:rPr>
        <w:t xml:space="preserve">. </w:t>
      </w:r>
      <w:r w:rsidR="00A83B77" w:rsidRPr="00FD45F2">
        <w:rPr>
          <w:lang w:val="es-ES"/>
        </w:rPr>
        <w:t>En este sentido, se consideran los estados incluidos en una región celular, obviando las excepciones a nivel municipal.</w:t>
      </w:r>
      <w:r w:rsidR="00A83B77">
        <w:rPr>
          <w:lang w:val="es-ES"/>
        </w:rPr>
        <w:t xml:space="preserve"> </w:t>
      </w:r>
      <w:r w:rsidRPr="00FD45F2">
        <w:rPr>
          <w:lang w:val="es-ES"/>
        </w:rPr>
        <w:t xml:space="preserve">Cada una de estas regiones cuenta con un nodo nacional </w:t>
      </w:r>
      <w:r>
        <w:rPr>
          <w:lang w:val="es-ES"/>
        </w:rPr>
        <w:t>que permite</w:t>
      </w:r>
      <w:r w:rsidRPr="00FD45F2">
        <w:rPr>
          <w:lang w:val="es-ES"/>
        </w:rPr>
        <w:t xml:space="preserve"> la interconexión y el tránsito de </w:t>
      </w:r>
      <w:r>
        <w:rPr>
          <w:lang w:val="es-ES"/>
        </w:rPr>
        <w:t>tráfico</w:t>
      </w:r>
      <w:r w:rsidRPr="00FD45F2">
        <w:rPr>
          <w:lang w:val="es-ES"/>
        </w:rPr>
        <w:t xml:space="preserve">. </w:t>
      </w:r>
    </w:p>
    <w:p w14:paraId="0C3EC3BB" w14:textId="28CBDF97" w:rsidR="00C703A7" w:rsidRDefault="00C703A7" w:rsidP="00C703A7">
      <w:pPr>
        <w:rPr>
          <w:lang w:val="es-ES"/>
        </w:rPr>
      </w:pPr>
      <w:r w:rsidRPr="00FD45F2">
        <w:rPr>
          <w:lang w:val="es-ES"/>
        </w:rPr>
        <w:t xml:space="preserve">La proporción de tráfico por región se calcula </w:t>
      </w:r>
      <w:r w:rsidR="00FE5649">
        <w:rPr>
          <w:lang w:val="es-ES"/>
        </w:rPr>
        <w:t xml:space="preserve">para el AEP y el CS </w:t>
      </w:r>
      <w:r>
        <w:rPr>
          <w:lang w:val="es-ES"/>
        </w:rPr>
        <w:t>con</w:t>
      </w:r>
      <w:r w:rsidRPr="00FD45F2">
        <w:rPr>
          <w:lang w:val="es-ES"/>
        </w:rPr>
        <w:t xml:space="preserve"> base </w:t>
      </w:r>
      <w:r>
        <w:rPr>
          <w:lang w:val="es-ES"/>
        </w:rPr>
        <w:t>en e</w:t>
      </w:r>
      <w:r w:rsidRPr="00FD45F2">
        <w:rPr>
          <w:lang w:val="es-ES"/>
        </w:rPr>
        <w:t>l número de líneas fijas reportadas por el IFT, tomando como referencia los datos a nivel estatal. Estos datos abarcan tanto las líneas residenciales como las corporativas</w:t>
      </w:r>
      <w:r w:rsidR="0034306F">
        <w:rPr>
          <w:lang w:val="es-ES"/>
        </w:rPr>
        <w:t>.</w:t>
      </w:r>
      <w:r w:rsidRPr="00FD45F2">
        <w:rPr>
          <w:lang w:val="es-ES"/>
        </w:rPr>
        <w:t xml:space="preserve"> </w:t>
      </w:r>
      <w:r w:rsidR="0034306F">
        <w:rPr>
          <w:lang w:val="es-ES"/>
        </w:rPr>
        <w:t>D</w:t>
      </w:r>
      <w:r w:rsidRPr="00FD45F2">
        <w:rPr>
          <w:lang w:val="es-ES"/>
        </w:rPr>
        <w:t>ebido a la falta de información detallada, se utiliza un tráfico promedio por usuario para estimar la demanda en cada región</w:t>
      </w:r>
      <w:r>
        <w:rPr>
          <w:lang w:val="es-ES"/>
        </w:rPr>
        <w:t>:</w:t>
      </w:r>
    </w:p>
    <w:p w14:paraId="7D5A81E3" w14:textId="64365951" w:rsidR="00A1760B" w:rsidRPr="00D5435C" w:rsidRDefault="00A1760B" w:rsidP="00A1760B">
      <w:pPr>
        <w:pStyle w:val="Descripcin"/>
        <w:rPr>
          <w:lang w:val="es-ES"/>
        </w:rPr>
      </w:pPr>
      <w:r w:rsidRPr="00D5435C">
        <w:rPr>
          <w:lang w:val="es-ES"/>
        </w:rPr>
        <w:t xml:space="preserve">Figura </w:t>
      </w:r>
      <w:r>
        <w:rPr>
          <w:lang w:val="es-ES"/>
        </w:rPr>
        <w:fldChar w:fldCharType="begin"/>
      </w:r>
      <w:r w:rsidRPr="00D5435C">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D5435C">
        <w:rPr>
          <w:lang w:val="es-ES"/>
        </w:rPr>
        <w:t>.</w:t>
      </w:r>
      <w:r>
        <w:rPr>
          <w:lang w:val="es-ES"/>
        </w:rPr>
        <w:fldChar w:fldCharType="begin"/>
      </w:r>
      <w:r w:rsidRPr="00D5435C">
        <w:rPr>
          <w:lang w:val="es-ES"/>
        </w:rPr>
        <w:instrText xml:space="preserve"> SEQ Ilustración \* ARABIC \s 1 \* MERGEFORMAT </w:instrText>
      </w:r>
      <w:r>
        <w:rPr>
          <w:lang w:val="es-ES"/>
        </w:rPr>
        <w:fldChar w:fldCharType="separate"/>
      </w:r>
      <w:r w:rsidR="00020F8B">
        <w:rPr>
          <w:noProof/>
          <w:lang w:val="es-ES"/>
        </w:rPr>
        <w:t>26</w:t>
      </w:r>
      <w:r>
        <w:rPr>
          <w:lang w:val="es-ES"/>
        </w:rPr>
        <w:fldChar w:fldCharType="end"/>
      </w:r>
      <w:r w:rsidRPr="00D5435C">
        <w:rPr>
          <w:lang w:val="es-ES"/>
        </w:rPr>
        <w:t>: Distribuci</w:t>
      </w:r>
      <w:r>
        <w:rPr>
          <w:lang w:val="es-ES"/>
        </w:rPr>
        <w:t xml:space="preserve">ón de </w:t>
      </w:r>
      <w:r w:rsidR="00DD26AE">
        <w:rPr>
          <w:lang w:val="es-ES"/>
        </w:rPr>
        <w:t>líneas</w:t>
      </w:r>
      <w:r>
        <w:rPr>
          <w:lang w:val="es-ES"/>
        </w:rPr>
        <w:t xml:space="preserve"> en las distintas regiones del modelo fijo</w:t>
      </w:r>
      <w:r w:rsidRPr="00D5435C">
        <w:rPr>
          <w:lang w:val="es-ES"/>
        </w:rPr>
        <w:t xml:space="preserve"> [Fuente: Analysys Mason, 2023]</w:t>
      </w:r>
    </w:p>
    <w:tbl>
      <w:tblPr>
        <w:tblStyle w:val="Sombreadomedio2-nfasis1"/>
        <w:tblW w:w="8721" w:type="dxa"/>
        <w:tblLook w:val="0620" w:firstRow="1" w:lastRow="0" w:firstColumn="0" w:lastColumn="0" w:noHBand="1" w:noVBand="1"/>
      </w:tblPr>
      <w:tblGrid>
        <w:gridCol w:w="2907"/>
        <w:gridCol w:w="2907"/>
        <w:gridCol w:w="2907"/>
      </w:tblGrid>
      <w:tr w:rsidR="00DA04E4" w:rsidRPr="00623F26" w14:paraId="5EC86E16" w14:textId="721FB09A" w:rsidTr="00DA04E4">
        <w:trPr>
          <w:cnfStyle w:val="100000000000" w:firstRow="1" w:lastRow="0" w:firstColumn="0" w:lastColumn="0" w:oddVBand="0" w:evenVBand="0" w:oddHBand="0" w:evenHBand="0" w:firstRowFirstColumn="0" w:firstRowLastColumn="0" w:lastRowFirstColumn="0" w:lastRowLastColumn="0"/>
        </w:trPr>
        <w:tc>
          <w:tcPr>
            <w:tcW w:w="2907" w:type="dxa"/>
            <w:tcBorders>
              <w:bottom w:val="single" w:sz="4" w:space="0" w:color="FFFFFF" w:themeColor="background1"/>
            </w:tcBorders>
          </w:tcPr>
          <w:p w14:paraId="53E77011" w14:textId="01143834" w:rsidR="00DA04E4" w:rsidRPr="00883EF2" w:rsidRDefault="00DA04E4" w:rsidP="00623F26">
            <w:pPr>
              <w:pStyle w:val="Tableheading"/>
              <w:rPr>
                <w:rFonts w:cs="Times New Roman"/>
                <w:b/>
              </w:rPr>
            </w:pPr>
            <w:r w:rsidRPr="00883EF2">
              <w:rPr>
                <w:rFonts w:cs="Times New Roman"/>
                <w:b/>
              </w:rPr>
              <w:t>Región</w:t>
            </w:r>
          </w:p>
        </w:tc>
        <w:tc>
          <w:tcPr>
            <w:tcW w:w="2907" w:type="dxa"/>
            <w:tcBorders>
              <w:bottom w:val="single" w:sz="4" w:space="0" w:color="FFFFFF" w:themeColor="background1"/>
            </w:tcBorders>
          </w:tcPr>
          <w:p w14:paraId="0AAE60E9" w14:textId="05743FDE" w:rsidR="00DA04E4" w:rsidRPr="00883EF2" w:rsidRDefault="00DA04E4" w:rsidP="0090349D">
            <w:pPr>
              <w:pStyle w:val="Tableheading"/>
              <w:jc w:val="right"/>
              <w:rPr>
                <w:rFonts w:cs="Times New Roman"/>
                <w:b/>
              </w:rPr>
            </w:pPr>
            <w:r w:rsidRPr="00883EF2">
              <w:rPr>
                <w:rFonts w:cs="Times New Roman"/>
                <w:b/>
              </w:rPr>
              <w:t>Proporción</w:t>
            </w:r>
            <w:r>
              <w:rPr>
                <w:rFonts w:cs="Times New Roman"/>
                <w:b/>
              </w:rPr>
              <w:t xml:space="preserve"> AEP</w:t>
            </w:r>
          </w:p>
        </w:tc>
        <w:tc>
          <w:tcPr>
            <w:tcW w:w="2907" w:type="dxa"/>
            <w:tcBorders>
              <w:bottom w:val="single" w:sz="4" w:space="0" w:color="FFFFFF" w:themeColor="background1"/>
            </w:tcBorders>
          </w:tcPr>
          <w:p w14:paraId="44C70220" w14:textId="5B64EA85" w:rsidR="00DA04E4" w:rsidRPr="00883EF2" w:rsidRDefault="00DA04E4" w:rsidP="0090349D">
            <w:pPr>
              <w:pStyle w:val="Tableheading"/>
              <w:jc w:val="right"/>
              <w:rPr>
                <w:rFonts w:cs="Times New Roman"/>
              </w:rPr>
            </w:pPr>
            <w:r w:rsidRPr="00883EF2">
              <w:rPr>
                <w:rFonts w:cs="Times New Roman"/>
                <w:b/>
              </w:rPr>
              <w:t>Proporción</w:t>
            </w:r>
            <w:r>
              <w:rPr>
                <w:rFonts w:cs="Times New Roman"/>
                <w:b/>
              </w:rPr>
              <w:t xml:space="preserve"> CS</w:t>
            </w:r>
          </w:p>
        </w:tc>
      </w:tr>
      <w:tr w:rsidR="00DA04E4" w14:paraId="5DADB60A" w14:textId="03B5E876"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4189C" w14:textId="6AE6125D" w:rsidR="00DA04E4" w:rsidRPr="00883EF2" w:rsidRDefault="00DA04E4" w:rsidP="00CA781F">
            <w:pPr>
              <w:pStyle w:val="Tablecells"/>
              <w:rPr>
                <w:rFonts w:cs="Times New Roman"/>
                <w:color w:val="000000" w:themeColor="text1"/>
              </w:rPr>
            </w:pPr>
            <w:r w:rsidRPr="00883EF2">
              <w:rPr>
                <w:rFonts w:cs="Times New Roman"/>
                <w:color w:val="000000" w:themeColor="text1"/>
                <w:kern w:val="24"/>
                <w:szCs w:val="20"/>
                <w:lang w:val="es-ES"/>
              </w:rPr>
              <w:t>Región 1</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61DECF" w14:textId="2C79F936" w:rsidR="00DA04E4" w:rsidRPr="00883EF2" w:rsidRDefault="00DA04E4" w:rsidP="0090349D">
            <w:pPr>
              <w:pStyle w:val="Tablecells"/>
              <w:jc w:val="right"/>
              <w:rPr>
                <w:rFonts w:cs="Times New Roman"/>
                <w:color w:val="000000" w:themeColor="text1"/>
              </w:rPr>
            </w:pPr>
            <w:r w:rsidRPr="00883EF2">
              <w:rPr>
                <w:rFonts w:cs="Times New Roman"/>
                <w:color w:val="000000" w:themeColor="text1"/>
                <w:kern w:val="24"/>
                <w:szCs w:val="20"/>
                <w:lang w:val="es-ES"/>
              </w:rPr>
              <w:t>5%</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A3B4AE" w14:textId="28063CDD" w:rsidR="00DA04E4" w:rsidRPr="00883EF2"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5%</w:t>
            </w:r>
          </w:p>
        </w:tc>
      </w:tr>
      <w:tr w:rsidR="00DA04E4" w14:paraId="73F77563" w14:textId="481F8B4D"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2D8DCC" w14:textId="5E5A4E41" w:rsidR="00DA04E4" w:rsidRPr="00883EF2" w:rsidRDefault="00DA04E4" w:rsidP="00CA781F">
            <w:pPr>
              <w:pStyle w:val="Tablecells"/>
              <w:rPr>
                <w:rFonts w:cs="Times New Roman"/>
                <w:color w:val="000000" w:themeColor="text1"/>
              </w:rPr>
            </w:pPr>
            <w:r w:rsidRPr="00883EF2">
              <w:rPr>
                <w:rFonts w:cs="Times New Roman"/>
                <w:color w:val="000000" w:themeColor="text1"/>
                <w:kern w:val="24"/>
                <w:szCs w:val="20"/>
                <w:lang w:val="es-ES"/>
              </w:rPr>
              <w:lastRenderedPageBreak/>
              <w:t>Región 2</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9F34C" w14:textId="3FE6C50E" w:rsidR="00DA04E4" w:rsidRPr="00883EF2" w:rsidRDefault="00DA04E4" w:rsidP="0090349D">
            <w:pPr>
              <w:pStyle w:val="Tablecells"/>
              <w:jc w:val="right"/>
              <w:rPr>
                <w:rFonts w:cs="Times New Roman"/>
                <w:color w:val="000000" w:themeColor="text1"/>
              </w:rPr>
            </w:pPr>
            <w:r w:rsidRPr="00883EF2">
              <w:rPr>
                <w:rFonts w:cs="Times New Roman"/>
                <w:color w:val="000000" w:themeColor="text1"/>
                <w:kern w:val="24"/>
                <w:szCs w:val="20"/>
                <w:lang w:val="es-ES"/>
              </w:rPr>
              <w:t>4%</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2FE176" w14:textId="5604FA09" w:rsidR="00DA04E4" w:rsidRPr="00883EF2"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5%</w:t>
            </w:r>
          </w:p>
        </w:tc>
      </w:tr>
      <w:tr w:rsidR="00DA04E4" w14:paraId="2D91E62E" w14:textId="0F79AF29"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F3B71" w14:textId="13227265" w:rsidR="00DA04E4" w:rsidRPr="00883EF2" w:rsidRDefault="00DA04E4" w:rsidP="00CA781F">
            <w:pPr>
              <w:pStyle w:val="Tablecells"/>
              <w:rPr>
                <w:rFonts w:cs="Times New Roman"/>
                <w:color w:val="000000" w:themeColor="text1"/>
              </w:rPr>
            </w:pPr>
            <w:r w:rsidRPr="00883EF2">
              <w:rPr>
                <w:rFonts w:cs="Times New Roman"/>
                <w:color w:val="000000" w:themeColor="text1"/>
                <w:kern w:val="24"/>
                <w:szCs w:val="20"/>
                <w:lang w:val="es-ES"/>
              </w:rPr>
              <w:t>Región 3</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D9108" w14:textId="19CA508B" w:rsidR="00DA04E4" w:rsidRPr="00883EF2" w:rsidRDefault="00DA04E4" w:rsidP="0090349D">
            <w:pPr>
              <w:pStyle w:val="Tablecells"/>
              <w:jc w:val="right"/>
              <w:rPr>
                <w:rFonts w:cs="Times New Roman"/>
                <w:color w:val="000000" w:themeColor="text1"/>
              </w:rPr>
            </w:pPr>
            <w:r w:rsidRPr="00883EF2">
              <w:rPr>
                <w:rFonts w:cs="Times New Roman"/>
                <w:color w:val="000000" w:themeColor="text1"/>
                <w:kern w:val="24"/>
                <w:szCs w:val="20"/>
                <w:lang w:val="es-ES"/>
              </w:rPr>
              <w:t>5%</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415EC8" w14:textId="0638743F" w:rsidR="00DA04E4" w:rsidRPr="00883EF2"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5%</w:t>
            </w:r>
          </w:p>
        </w:tc>
      </w:tr>
      <w:tr w:rsidR="00DA04E4" w14:paraId="25DB1847" w14:textId="2E8EEA64"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71702" w14:textId="0180A7C9" w:rsidR="00DA04E4" w:rsidRPr="00883EF2" w:rsidRDefault="00DA04E4" w:rsidP="00CA781F">
            <w:pPr>
              <w:pStyle w:val="Tablecells"/>
              <w:rPr>
                <w:rFonts w:cs="Times New Roman"/>
                <w:color w:val="000000" w:themeColor="text1"/>
              </w:rPr>
            </w:pPr>
            <w:r w:rsidRPr="00883EF2">
              <w:rPr>
                <w:rFonts w:cs="Times New Roman"/>
                <w:color w:val="000000" w:themeColor="text1"/>
                <w:kern w:val="24"/>
                <w:szCs w:val="20"/>
                <w:lang w:val="es-ES"/>
              </w:rPr>
              <w:t>Región 4</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509F0" w14:textId="1577220B" w:rsidR="00DA04E4" w:rsidRPr="00883EF2" w:rsidRDefault="00DA04E4" w:rsidP="0090349D">
            <w:pPr>
              <w:pStyle w:val="Tablecells"/>
              <w:jc w:val="right"/>
              <w:rPr>
                <w:rFonts w:cs="Times New Roman"/>
                <w:color w:val="000000" w:themeColor="text1"/>
              </w:rPr>
            </w:pPr>
            <w:r w:rsidRPr="00883EF2">
              <w:rPr>
                <w:rFonts w:cs="Times New Roman"/>
                <w:color w:val="000000" w:themeColor="text1"/>
                <w:kern w:val="24"/>
                <w:szCs w:val="20"/>
                <w:lang w:val="es-ES"/>
              </w:rPr>
              <w:t>1</w:t>
            </w:r>
            <w:r>
              <w:rPr>
                <w:rFonts w:cs="Times New Roman"/>
                <w:color w:val="000000" w:themeColor="text1"/>
                <w:kern w:val="24"/>
                <w:szCs w:val="20"/>
                <w:lang w:val="es-ES"/>
              </w:rPr>
              <w:t>1</w:t>
            </w:r>
            <w:r w:rsidRPr="00883EF2">
              <w:rPr>
                <w:rFonts w:cs="Times New Roman"/>
                <w:color w:val="000000" w:themeColor="text1"/>
                <w:kern w:val="24"/>
                <w:szCs w:val="20"/>
                <w:lang w:val="es-ES"/>
              </w:rPr>
              <w:t>%</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2DA44" w14:textId="284816A3" w:rsidR="00DA04E4" w:rsidRPr="00883EF2"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14%</w:t>
            </w:r>
          </w:p>
        </w:tc>
      </w:tr>
      <w:tr w:rsidR="00DA04E4" w14:paraId="5EDCE88A" w14:textId="45A6D21E"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86B477" w14:textId="7A8BE1B5" w:rsidR="00DA04E4" w:rsidRPr="00883EF2" w:rsidRDefault="00DA04E4" w:rsidP="00CA781F">
            <w:pPr>
              <w:pStyle w:val="Tablecells"/>
              <w:rPr>
                <w:rFonts w:cs="Times New Roman"/>
                <w:color w:val="000000" w:themeColor="text1"/>
              </w:rPr>
            </w:pPr>
            <w:r w:rsidRPr="00883EF2">
              <w:rPr>
                <w:rFonts w:cs="Times New Roman"/>
                <w:color w:val="000000" w:themeColor="text1"/>
                <w:kern w:val="24"/>
                <w:szCs w:val="20"/>
                <w:lang w:val="es-ES"/>
              </w:rPr>
              <w:t>Región 5</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783D85" w14:textId="2571D1B4" w:rsidR="00DA04E4" w:rsidRPr="00883EF2" w:rsidRDefault="00DA04E4" w:rsidP="0090349D">
            <w:pPr>
              <w:pStyle w:val="Tablecells"/>
              <w:jc w:val="right"/>
              <w:rPr>
                <w:rFonts w:cs="Times New Roman"/>
                <w:color w:val="000000" w:themeColor="text1"/>
              </w:rPr>
            </w:pPr>
            <w:r w:rsidRPr="00883EF2">
              <w:rPr>
                <w:rFonts w:cs="Times New Roman"/>
                <w:color w:val="000000" w:themeColor="text1"/>
                <w:kern w:val="24"/>
                <w:szCs w:val="20"/>
                <w:lang w:val="es-ES"/>
              </w:rPr>
              <w:t>1</w:t>
            </w:r>
            <w:r>
              <w:rPr>
                <w:rFonts w:cs="Times New Roman"/>
                <w:color w:val="000000" w:themeColor="text1"/>
                <w:kern w:val="24"/>
                <w:szCs w:val="20"/>
                <w:lang w:val="es-ES"/>
              </w:rPr>
              <w:t>2</w:t>
            </w:r>
            <w:r w:rsidRPr="00883EF2">
              <w:rPr>
                <w:rFonts w:cs="Times New Roman"/>
                <w:color w:val="000000" w:themeColor="text1"/>
                <w:kern w:val="24"/>
                <w:szCs w:val="20"/>
                <w:lang w:val="es-ES"/>
              </w:rPr>
              <w:t>%</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D7A523" w14:textId="131581E2" w:rsidR="00DA04E4" w:rsidRPr="00883EF2"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11%</w:t>
            </w:r>
          </w:p>
        </w:tc>
      </w:tr>
      <w:tr w:rsidR="00DA04E4" w14:paraId="4DD751E5" w14:textId="0FD817C9"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93ACC" w14:textId="0ECDE6FD" w:rsidR="00DA04E4" w:rsidRPr="00883EF2" w:rsidRDefault="00DA04E4" w:rsidP="001A6A82">
            <w:pPr>
              <w:pStyle w:val="Tablecells"/>
              <w:rPr>
                <w:rFonts w:cs="Times New Roman"/>
                <w:color w:val="000000" w:themeColor="text1"/>
              </w:rPr>
            </w:pPr>
            <w:r w:rsidRPr="00883EF2">
              <w:rPr>
                <w:rFonts w:cs="Times New Roman"/>
                <w:color w:val="000000" w:themeColor="text1"/>
                <w:kern w:val="24"/>
                <w:szCs w:val="20"/>
                <w:lang w:val="es-ES"/>
              </w:rPr>
              <w:t>Región 6</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65DCE0" w14:textId="3E552ED7" w:rsidR="00DA04E4" w:rsidRPr="00883EF2" w:rsidRDefault="00DA04E4" w:rsidP="0090349D">
            <w:pPr>
              <w:pStyle w:val="Tablecells"/>
              <w:jc w:val="right"/>
              <w:rPr>
                <w:rFonts w:cs="Times New Roman"/>
                <w:color w:val="000000" w:themeColor="text1"/>
              </w:rPr>
            </w:pPr>
            <w:r w:rsidRPr="00883EF2">
              <w:rPr>
                <w:rFonts w:cs="Times New Roman"/>
                <w:color w:val="000000" w:themeColor="text1"/>
                <w:kern w:val="24"/>
                <w:szCs w:val="20"/>
                <w:lang w:val="es-ES"/>
              </w:rPr>
              <w:t>10%</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1521CE" w14:textId="315085DF" w:rsidR="00DA04E4" w:rsidRPr="00883EF2"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10%</w:t>
            </w:r>
          </w:p>
        </w:tc>
      </w:tr>
      <w:tr w:rsidR="00DA04E4" w14:paraId="380EA55A" w14:textId="03543745"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E9E346" w14:textId="64F2D07C" w:rsidR="00DA04E4" w:rsidRPr="00883EF2" w:rsidRDefault="00DA04E4" w:rsidP="001A6A82">
            <w:pPr>
              <w:pStyle w:val="Tablecells"/>
              <w:rPr>
                <w:rFonts w:cs="Times New Roman"/>
                <w:color w:val="000000" w:themeColor="text1"/>
              </w:rPr>
            </w:pPr>
            <w:r w:rsidRPr="00883EF2">
              <w:rPr>
                <w:rFonts w:cs="Times New Roman"/>
                <w:color w:val="000000" w:themeColor="text1"/>
                <w:kern w:val="24"/>
                <w:szCs w:val="20"/>
                <w:lang w:val="es-ES"/>
              </w:rPr>
              <w:t>Región 7</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3B1F3" w14:textId="1F55CD83" w:rsidR="00DA04E4" w:rsidRPr="00883EF2" w:rsidRDefault="00DA04E4" w:rsidP="0090349D">
            <w:pPr>
              <w:pStyle w:val="Tablecells"/>
              <w:jc w:val="right"/>
              <w:rPr>
                <w:rFonts w:cs="Times New Roman"/>
                <w:color w:val="000000" w:themeColor="text1"/>
              </w:rPr>
            </w:pPr>
            <w:r w:rsidRPr="00883EF2">
              <w:rPr>
                <w:rFonts w:cs="Times New Roman"/>
                <w:color w:val="000000" w:themeColor="text1"/>
                <w:kern w:val="24"/>
                <w:szCs w:val="20"/>
                <w:lang w:val="es-ES"/>
              </w:rPr>
              <w:t>1</w:t>
            </w:r>
            <w:r>
              <w:rPr>
                <w:rFonts w:cs="Times New Roman"/>
                <w:color w:val="000000" w:themeColor="text1"/>
                <w:kern w:val="24"/>
                <w:szCs w:val="20"/>
                <w:lang w:val="es-ES"/>
              </w:rPr>
              <w:t>4</w:t>
            </w:r>
            <w:r w:rsidRPr="00883EF2">
              <w:rPr>
                <w:rFonts w:cs="Times New Roman"/>
                <w:color w:val="000000" w:themeColor="text1"/>
                <w:kern w:val="24"/>
                <w:szCs w:val="20"/>
                <w:lang w:val="es-ES"/>
              </w:rPr>
              <w:t>%</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D90278" w14:textId="1E2C8333" w:rsidR="00DA04E4" w:rsidRPr="00883EF2"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9%</w:t>
            </w:r>
          </w:p>
        </w:tc>
      </w:tr>
      <w:tr w:rsidR="00DA04E4" w14:paraId="178B538D" w14:textId="08898F4D"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A4DD9E" w14:textId="1791EA72" w:rsidR="00DA04E4" w:rsidRPr="00883EF2" w:rsidRDefault="00DA04E4" w:rsidP="001A6A82">
            <w:pPr>
              <w:pStyle w:val="Tablecells"/>
              <w:rPr>
                <w:rFonts w:cs="Times New Roman"/>
                <w:color w:val="000000" w:themeColor="text1"/>
              </w:rPr>
            </w:pPr>
            <w:r w:rsidRPr="00883EF2">
              <w:rPr>
                <w:rFonts w:cs="Times New Roman"/>
                <w:color w:val="000000" w:themeColor="text1"/>
                <w:kern w:val="24"/>
                <w:szCs w:val="20"/>
                <w:lang w:val="es-ES"/>
              </w:rPr>
              <w:t>Región 8</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175E59" w14:textId="26682851" w:rsidR="00DA04E4" w:rsidRPr="00883EF2" w:rsidRDefault="00DA04E4" w:rsidP="0090349D">
            <w:pPr>
              <w:pStyle w:val="Tablecells"/>
              <w:jc w:val="right"/>
              <w:rPr>
                <w:rFonts w:cs="Times New Roman"/>
                <w:color w:val="000000" w:themeColor="text1"/>
              </w:rPr>
            </w:pPr>
            <w:r>
              <w:rPr>
                <w:rFonts w:cs="Times New Roman"/>
                <w:color w:val="000000" w:themeColor="text1"/>
                <w:kern w:val="24"/>
                <w:szCs w:val="20"/>
                <w:lang w:val="es-ES"/>
              </w:rPr>
              <w:t>6</w:t>
            </w:r>
            <w:r w:rsidRPr="00883EF2">
              <w:rPr>
                <w:rFonts w:cs="Times New Roman"/>
                <w:color w:val="000000" w:themeColor="text1"/>
                <w:kern w:val="24"/>
                <w:szCs w:val="20"/>
                <w:lang w:val="es-ES"/>
              </w:rPr>
              <w:t>%</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4B407C" w14:textId="2C9CAD6D" w:rsidR="00DA04E4"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5%</w:t>
            </w:r>
          </w:p>
        </w:tc>
      </w:tr>
      <w:tr w:rsidR="00DA04E4" w14:paraId="11FAF1D3" w14:textId="4A13113E" w:rsidTr="00DA04E4">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B9F180" w14:textId="51F4C07C" w:rsidR="00DA04E4" w:rsidRPr="00883EF2" w:rsidRDefault="00DA04E4" w:rsidP="001A6A82">
            <w:pPr>
              <w:pStyle w:val="Tablecells"/>
              <w:rPr>
                <w:rFonts w:cs="Times New Roman"/>
                <w:color w:val="000000" w:themeColor="text1"/>
              </w:rPr>
            </w:pPr>
            <w:r w:rsidRPr="00883EF2">
              <w:rPr>
                <w:rFonts w:cs="Times New Roman"/>
                <w:color w:val="000000" w:themeColor="text1"/>
                <w:kern w:val="24"/>
                <w:szCs w:val="20"/>
                <w:lang w:val="es-ES"/>
              </w:rPr>
              <w:t>Región 9</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E2CDB8" w14:textId="69695A44" w:rsidR="00DA04E4" w:rsidRPr="00883EF2" w:rsidRDefault="00DA04E4" w:rsidP="0090349D">
            <w:pPr>
              <w:pStyle w:val="Tablecells"/>
              <w:jc w:val="right"/>
              <w:rPr>
                <w:rFonts w:cs="Times New Roman"/>
                <w:color w:val="000000" w:themeColor="text1"/>
              </w:rPr>
            </w:pPr>
            <w:r w:rsidRPr="00883EF2">
              <w:rPr>
                <w:rFonts w:cs="Times New Roman"/>
                <w:color w:val="000000" w:themeColor="text1"/>
                <w:kern w:val="24"/>
                <w:szCs w:val="20"/>
                <w:lang w:val="es-ES"/>
              </w:rPr>
              <w:t>3</w:t>
            </w:r>
            <w:r>
              <w:rPr>
                <w:rFonts w:cs="Times New Roman"/>
                <w:color w:val="000000" w:themeColor="text1"/>
                <w:kern w:val="24"/>
                <w:szCs w:val="20"/>
                <w:lang w:val="es-ES"/>
              </w:rPr>
              <w:t>3</w:t>
            </w:r>
            <w:r w:rsidRPr="00883EF2">
              <w:rPr>
                <w:rFonts w:cs="Times New Roman"/>
                <w:color w:val="000000" w:themeColor="text1"/>
                <w:kern w:val="24"/>
                <w:szCs w:val="20"/>
                <w:lang w:val="es-ES"/>
              </w:rPr>
              <w:t>%</w:t>
            </w:r>
          </w:p>
        </w:tc>
        <w:tc>
          <w:tcPr>
            <w:tcW w:w="2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89418D" w14:textId="2A1C0AE6" w:rsidR="00DA04E4" w:rsidRPr="00883EF2" w:rsidRDefault="00BB59E0" w:rsidP="0090349D">
            <w:pPr>
              <w:pStyle w:val="Tablecells"/>
              <w:jc w:val="right"/>
              <w:rPr>
                <w:rFonts w:cs="Times New Roman"/>
                <w:color w:val="000000" w:themeColor="text1"/>
                <w:kern w:val="24"/>
                <w:szCs w:val="20"/>
                <w:lang w:val="es-ES"/>
              </w:rPr>
            </w:pPr>
            <w:r>
              <w:rPr>
                <w:rFonts w:cs="Times New Roman"/>
                <w:color w:val="000000" w:themeColor="text1"/>
                <w:kern w:val="24"/>
                <w:szCs w:val="20"/>
                <w:lang w:val="es-ES"/>
              </w:rPr>
              <w:t>37%</w:t>
            </w:r>
          </w:p>
        </w:tc>
      </w:tr>
    </w:tbl>
    <w:p w14:paraId="6F0DE631" w14:textId="64A3E3FC" w:rsidR="00792C35" w:rsidRDefault="00996FE8" w:rsidP="00306478">
      <w:pPr>
        <w:pStyle w:val="Ttulo3"/>
        <w:rPr>
          <w:lang w:val="es-ES_tradnl"/>
        </w:rPr>
      </w:pPr>
      <w:bookmarkStart w:id="40" w:name="_Ref135846388"/>
      <w:r>
        <w:rPr>
          <w:lang w:val="es-ES_tradnl"/>
        </w:rPr>
        <w:t>Caracterización</w:t>
      </w:r>
      <w:r w:rsidR="00792C35">
        <w:rPr>
          <w:lang w:val="es-ES_tradnl"/>
        </w:rPr>
        <w:t xml:space="preserve"> de redes móviles</w:t>
      </w:r>
      <w:bookmarkEnd w:id="40"/>
    </w:p>
    <w:p w14:paraId="322AD365" w14:textId="15ABC881" w:rsidR="004D3A14" w:rsidRDefault="001F5FD6" w:rsidP="00230973">
      <w:pPr>
        <w:rPr>
          <w:lang w:val="es-ES_tradnl"/>
        </w:rPr>
      </w:pPr>
      <w:r>
        <w:rPr>
          <w:lang w:val="es-ES_tradnl"/>
        </w:rPr>
        <w:t>Para</w:t>
      </w:r>
      <w:r w:rsidR="004D3A14">
        <w:rPr>
          <w:lang w:val="es-ES_tradnl"/>
        </w:rPr>
        <w:t xml:space="preserve"> determina</w:t>
      </w:r>
      <w:r>
        <w:rPr>
          <w:lang w:val="es-ES_tradnl"/>
        </w:rPr>
        <w:t>r</w:t>
      </w:r>
      <w:r w:rsidR="004D3A14">
        <w:rPr>
          <w:lang w:val="es-ES_tradnl"/>
        </w:rPr>
        <w:t xml:space="preserve"> el diseño de la red </w:t>
      </w:r>
      <w:r>
        <w:rPr>
          <w:lang w:val="es-ES_tradnl"/>
        </w:rPr>
        <w:t>móvil</w:t>
      </w:r>
      <w:r w:rsidR="004D3A14">
        <w:rPr>
          <w:lang w:val="es-ES_tradnl"/>
        </w:rPr>
        <w:t xml:space="preserve"> a nivel nacional </w:t>
      </w:r>
      <w:r>
        <w:rPr>
          <w:lang w:val="es-ES_tradnl"/>
        </w:rPr>
        <w:t xml:space="preserve">el modelo </w:t>
      </w:r>
      <w:r w:rsidR="004D3A14">
        <w:rPr>
          <w:lang w:val="es-ES_tradnl"/>
        </w:rPr>
        <w:t xml:space="preserve">geográfico de redes móviles </w:t>
      </w:r>
      <w:r>
        <w:rPr>
          <w:lang w:val="es-ES_tradnl"/>
        </w:rPr>
        <w:t>define tres geotipos que cubren el territorio nacional</w:t>
      </w:r>
      <w:r w:rsidR="001F1A11">
        <w:rPr>
          <w:lang w:val="es-ES_tradnl"/>
        </w:rPr>
        <w:t xml:space="preserve"> y dos </w:t>
      </w:r>
      <w:r>
        <w:rPr>
          <w:lang w:val="es-ES_tradnl"/>
        </w:rPr>
        <w:t>geotipo</w:t>
      </w:r>
      <w:r w:rsidR="001F1A11">
        <w:rPr>
          <w:lang w:val="es-ES_tradnl"/>
        </w:rPr>
        <w:t>s</w:t>
      </w:r>
      <w:r>
        <w:rPr>
          <w:lang w:val="es-ES_tradnl"/>
        </w:rPr>
        <w:t xml:space="preserve"> adicional</w:t>
      </w:r>
      <w:r w:rsidR="001F1A11">
        <w:rPr>
          <w:lang w:val="es-ES_tradnl"/>
        </w:rPr>
        <w:t>es</w:t>
      </w:r>
      <w:r>
        <w:rPr>
          <w:lang w:val="es-ES_tradnl"/>
        </w:rPr>
        <w:t xml:space="preserve"> para cubrir la carreteras </w:t>
      </w:r>
      <w:r w:rsidR="001F1A11">
        <w:rPr>
          <w:lang w:val="es-ES_tradnl"/>
        </w:rPr>
        <w:t>y espacios interiores respectivamente.</w:t>
      </w:r>
    </w:p>
    <w:p w14:paraId="1CC1180B" w14:textId="5EF5643C" w:rsidR="00AB63C1" w:rsidRPr="00FC420F" w:rsidRDefault="00AB63C1" w:rsidP="00AB63C1">
      <w:pPr>
        <w:pStyle w:val="Descripcin"/>
        <w:rPr>
          <w:lang w:val="es-ES"/>
        </w:rPr>
      </w:pPr>
      <w:r w:rsidRPr="00FC420F">
        <w:rPr>
          <w:lang w:val="es-ES"/>
        </w:rPr>
        <w:t xml:space="preserve">Figura </w:t>
      </w:r>
      <w:r>
        <w:rPr>
          <w:lang w:val="es-ES"/>
        </w:rPr>
        <w:fldChar w:fldCharType="begin"/>
      </w:r>
      <w:r w:rsidRPr="00FC420F">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FC420F">
        <w:rPr>
          <w:lang w:val="es-ES"/>
        </w:rPr>
        <w:t>.</w:t>
      </w:r>
      <w:r>
        <w:rPr>
          <w:lang w:val="es-ES"/>
        </w:rPr>
        <w:fldChar w:fldCharType="begin"/>
      </w:r>
      <w:r w:rsidRPr="00FC420F">
        <w:rPr>
          <w:lang w:val="es-ES"/>
        </w:rPr>
        <w:instrText xml:space="preserve"> SEQ </w:instrText>
      </w:r>
      <w:r>
        <w:rPr>
          <w:lang w:val="es-ES"/>
        </w:rPr>
        <w:instrText>Ilustración</w:instrText>
      </w:r>
      <w:r w:rsidRPr="00FC420F">
        <w:rPr>
          <w:lang w:val="es-ES"/>
        </w:rPr>
        <w:instrText xml:space="preserve"> \* ARABIC \s 1 \* MERGEFORMAT </w:instrText>
      </w:r>
      <w:r>
        <w:rPr>
          <w:lang w:val="es-ES"/>
        </w:rPr>
        <w:fldChar w:fldCharType="separate"/>
      </w:r>
      <w:r w:rsidR="00020F8B">
        <w:rPr>
          <w:noProof/>
          <w:lang w:val="es-ES"/>
        </w:rPr>
        <w:t>27</w:t>
      </w:r>
      <w:r>
        <w:rPr>
          <w:lang w:val="es-ES"/>
        </w:rPr>
        <w:fldChar w:fldCharType="end"/>
      </w:r>
      <w:r w:rsidRPr="00FC420F">
        <w:rPr>
          <w:lang w:val="es-ES"/>
        </w:rPr>
        <w:t xml:space="preserve">: </w:t>
      </w:r>
      <w:r>
        <w:rPr>
          <w:lang w:val="es-ES"/>
        </w:rPr>
        <w:t>Mapa de geotipos</w:t>
      </w:r>
      <w:r w:rsidRPr="00FC420F">
        <w:rPr>
          <w:lang w:val="es-ES"/>
        </w:rPr>
        <w:t xml:space="preserve"> [Fuente: Analysys Mason, 2023]</w:t>
      </w:r>
    </w:p>
    <w:p w14:paraId="36C4222F" w14:textId="61DCFA89" w:rsidR="00AB63C1" w:rsidRDefault="003060F9" w:rsidP="006577D9">
      <w:pPr>
        <w:pStyle w:val="Border"/>
      </w:pPr>
      <w:r>
        <w:rPr>
          <w:noProof/>
        </w:rPr>
        <w:drawing>
          <wp:inline distT="0" distB="0" distL="0" distR="0" wp14:anchorId="141507FB" wp14:editId="6B08DCB4">
            <wp:extent cx="5544185" cy="2846070"/>
            <wp:effectExtent l="0" t="0" r="0" b="0"/>
            <wp:docPr id="1657761635" name="Picture 1657761635" descr="A picture containing map, text,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61635" name="Picture 1" descr="A picture containing map, text, diagram, atla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4185" cy="2846070"/>
                    </a:xfrm>
                    <a:prstGeom prst="rect">
                      <a:avLst/>
                    </a:prstGeom>
                    <a:noFill/>
                    <a:ln>
                      <a:noFill/>
                    </a:ln>
                  </pic:spPr>
                </pic:pic>
              </a:graphicData>
            </a:graphic>
          </wp:inline>
        </w:drawing>
      </w:r>
    </w:p>
    <w:p w14:paraId="0963B554" w14:textId="6AF4BD07" w:rsidR="00301626" w:rsidRDefault="004D6F9D" w:rsidP="00230973">
      <w:pPr>
        <w:rPr>
          <w:lang w:val="es-ES_tradnl"/>
        </w:rPr>
      </w:pPr>
      <w:r>
        <w:rPr>
          <w:lang w:val="es-ES_tradnl"/>
        </w:rPr>
        <w:t>El procesado geográfico se ha realizado a nivel de localidad</w:t>
      </w:r>
      <w:r w:rsidR="00084EBB">
        <w:rPr>
          <w:lang w:val="es-ES_tradnl"/>
        </w:rPr>
        <w:t>,</w:t>
      </w:r>
      <w:r w:rsidR="00301626" w:rsidRPr="00301626">
        <w:rPr>
          <w:lang w:val="es-ES_tradnl"/>
        </w:rPr>
        <w:t xml:space="preserve"> como base para la creación de los geotipos</w:t>
      </w:r>
      <w:r w:rsidR="003B652B">
        <w:rPr>
          <w:lang w:val="es-ES_tradnl"/>
        </w:rPr>
        <w:t>.</w:t>
      </w:r>
      <w:r w:rsidR="00301626" w:rsidRPr="00301626">
        <w:rPr>
          <w:lang w:val="es-ES_tradnl"/>
        </w:rPr>
        <w:t xml:space="preserve"> </w:t>
      </w:r>
      <w:r w:rsidR="003B652B">
        <w:rPr>
          <w:lang w:val="es-ES_tradnl"/>
        </w:rPr>
        <w:t>Con</w:t>
      </w:r>
      <w:r w:rsidR="00301626" w:rsidRPr="00301626">
        <w:rPr>
          <w:lang w:val="es-ES_tradnl"/>
        </w:rPr>
        <w:t xml:space="preserve"> base </w:t>
      </w:r>
      <w:r w:rsidR="003B652B">
        <w:rPr>
          <w:lang w:val="es-ES_tradnl"/>
        </w:rPr>
        <w:t>en</w:t>
      </w:r>
      <w:r w:rsidR="00301626" w:rsidRPr="00301626">
        <w:rPr>
          <w:lang w:val="es-ES_tradnl"/>
        </w:rPr>
        <w:t xml:space="preserve"> los polígonos definidos por el Instituto Nacional de Estadística y Geografía (INEGI), se ha calculado la superficie de 4,711 localidades urbanas y suburbanas, que representan el 1.21% del territorio </w:t>
      </w:r>
      <w:r w:rsidR="009E6235" w:rsidRPr="00301626">
        <w:rPr>
          <w:lang w:val="es-ES_tradnl"/>
        </w:rPr>
        <w:t>nacional,</w:t>
      </w:r>
      <w:r w:rsidR="00301626" w:rsidRPr="00301626">
        <w:rPr>
          <w:lang w:val="es-ES_tradnl"/>
        </w:rPr>
        <w:t xml:space="preserve"> pero concentran al 78.7% de la población</w:t>
      </w:r>
      <w:r w:rsidR="00997D19">
        <w:rPr>
          <w:lang w:val="es-ES_tradnl"/>
        </w:rPr>
        <w:t xml:space="preserve">, de acuerdo al censo </w:t>
      </w:r>
      <w:r w:rsidR="006136E6">
        <w:rPr>
          <w:lang w:val="es-ES_tradnl"/>
        </w:rPr>
        <w:t>de 202</w:t>
      </w:r>
      <w:r w:rsidR="00CF7277">
        <w:rPr>
          <w:lang w:val="es-ES_tradnl"/>
        </w:rPr>
        <w:t>0</w:t>
      </w:r>
      <w:r w:rsidR="00301626" w:rsidRPr="00301626">
        <w:rPr>
          <w:lang w:val="es-ES_tradnl"/>
        </w:rPr>
        <w:t>.</w:t>
      </w:r>
      <w:r w:rsidR="009E6235">
        <w:rPr>
          <w:lang w:val="es-ES_tradnl"/>
        </w:rPr>
        <w:t xml:space="preserve"> </w:t>
      </w:r>
      <w:r w:rsidR="0019384B">
        <w:rPr>
          <w:lang w:val="es-ES_tradnl"/>
        </w:rPr>
        <w:t>L</w:t>
      </w:r>
      <w:r w:rsidR="009E6235" w:rsidRPr="009E6235">
        <w:rPr>
          <w:lang w:val="es-ES_tradnl"/>
        </w:rPr>
        <w:t xml:space="preserve">a superficie y población </w:t>
      </w:r>
      <w:r w:rsidR="0019384B">
        <w:rPr>
          <w:lang w:val="es-ES_tradnl"/>
        </w:rPr>
        <w:t>de e</w:t>
      </w:r>
      <w:r w:rsidR="0019384B" w:rsidRPr="009E6235">
        <w:rPr>
          <w:lang w:val="es-ES_tradnl"/>
        </w:rPr>
        <w:t xml:space="preserve">stas localidades han sido </w:t>
      </w:r>
      <w:r w:rsidR="0019384B">
        <w:rPr>
          <w:lang w:val="es-ES_tradnl"/>
        </w:rPr>
        <w:t>sustraídas</w:t>
      </w:r>
      <w:r w:rsidR="0019384B" w:rsidRPr="009E6235">
        <w:rPr>
          <w:lang w:val="es-ES_tradnl"/>
        </w:rPr>
        <w:t xml:space="preserve"> de </w:t>
      </w:r>
      <w:r w:rsidR="0019384B">
        <w:rPr>
          <w:lang w:val="es-ES_tradnl"/>
        </w:rPr>
        <w:t xml:space="preserve">los </w:t>
      </w:r>
      <w:r w:rsidR="009E6235" w:rsidRPr="009E6235">
        <w:rPr>
          <w:lang w:val="es-ES_tradnl"/>
        </w:rPr>
        <w:t xml:space="preserve">totales </w:t>
      </w:r>
      <w:r w:rsidR="0019384B">
        <w:rPr>
          <w:lang w:val="es-ES_tradnl"/>
        </w:rPr>
        <w:t>asociados a</w:t>
      </w:r>
      <w:r w:rsidR="009E6235" w:rsidRPr="009E6235">
        <w:rPr>
          <w:lang w:val="es-ES_tradnl"/>
        </w:rPr>
        <w:t xml:space="preserve"> cada municipio</w:t>
      </w:r>
      <w:r w:rsidR="004A4A35">
        <w:rPr>
          <w:lang w:val="es-ES_tradnl"/>
        </w:rPr>
        <w:t xml:space="preserve"> al que corresponden</w:t>
      </w:r>
      <w:r w:rsidR="00242523">
        <w:rPr>
          <w:lang w:val="es-ES_tradnl"/>
        </w:rPr>
        <w:t>, generando una localidad “</w:t>
      </w:r>
      <w:r w:rsidR="00074FC3">
        <w:rPr>
          <w:lang w:val="es-ES_tradnl"/>
        </w:rPr>
        <w:t xml:space="preserve">virtual” </w:t>
      </w:r>
      <w:r w:rsidR="00FE0DD0">
        <w:rPr>
          <w:lang w:val="es-ES_tradnl"/>
        </w:rPr>
        <w:t>para cada municipio que acumula la población y superficie no categorizada como urbana por el INEGI</w:t>
      </w:r>
      <w:r w:rsidR="009E6235" w:rsidRPr="009E6235">
        <w:rPr>
          <w:lang w:val="es-ES_tradnl"/>
        </w:rPr>
        <w:t>. Como resultado, se obtienen 7,380 áreas que se clasifican en urbanas, suburbanas y rurales de acuerdo a su densidad poblacional.</w:t>
      </w:r>
      <w:r w:rsidR="0083751B">
        <w:rPr>
          <w:lang w:val="es-ES_tradnl"/>
        </w:rPr>
        <w:t xml:space="preserve"> La siguiente tabla muestra el resumen de </w:t>
      </w:r>
      <w:r w:rsidR="00B5325C">
        <w:rPr>
          <w:lang w:val="es-ES_tradnl"/>
        </w:rPr>
        <w:t xml:space="preserve">las características demográficas de </w:t>
      </w:r>
      <w:r w:rsidR="0083751B">
        <w:rPr>
          <w:lang w:val="es-ES_tradnl"/>
        </w:rPr>
        <w:t>cada geotipo</w:t>
      </w:r>
      <w:r w:rsidR="00B5325C">
        <w:rPr>
          <w:lang w:val="es-ES_tradnl"/>
        </w:rPr>
        <w:t>:</w:t>
      </w:r>
    </w:p>
    <w:p w14:paraId="0F9D8541" w14:textId="42BACED9" w:rsidR="00874278" w:rsidRPr="00746902" w:rsidRDefault="00874278" w:rsidP="00874278">
      <w:pPr>
        <w:pStyle w:val="TableCaption"/>
        <w:rPr>
          <w:lang w:val="es-ES"/>
        </w:rPr>
      </w:pPr>
      <w:r w:rsidRPr="00746902">
        <w:rPr>
          <w:lang w:val="es-ES"/>
        </w:rPr>
        <w:lastRenderedPageBreak/>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28</w:t>
      </w:r>
      <w:r>
        <w:rPr>
          <w:lang w:val="es-ES"/>
        </w:rPr>
        <w:fldChar w:fldCharType="end"/>
      </w:r>
      <w:r w:rsidRPr="00746902">
        <w:rPr>
          <w:lang w:val="es-ES"/>
        </w:rPr>
        <w:t xml:space="preserve">: </w:t>
      </w:r>
      <w:r>
        <w:rPr>
          <w:lang w:val="es-ES_tradnl"/>
        </w:rPr>
        <w:t>Características demográficas de cada geotipo</w:t>
      </w:r>
      <w:r w:rsidRPr="00746902">
        <w:rPr>
          <w:lang w:val="es-ES"/>
        </w:rPr>
        <w:t xml:space="preserve"> [Fu</w:t>
      </w:r>
      <w:r>
        <w:rPr>
          <w:lang w:val="es-ES"/>
        </w:rPr>
        <w:t>ent</w:t>
      </w:r>
      <w:r w:rsidRPr="00746902">
        <w:rPr>
          <w:lang w:val="es-ES"/>
        </w:rPr>
        <w:t>e: Analysys Mason, 2023]</w:t>
      </w:r>
    </w:p>
    <w:tbl>
      <w:tblPr>
        <w:tblStyle w:val="Sombreadomedio2-nfasis1"/>
        <w:tblW w:w="8331"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1418"/>
        <w:gridCol w:w="1701"/>
        <w:gridCol w:w="1276"/>
        <w:gridCol w:w="1417"/>
        <w:gridCol w:w="1276"/>
        <w:gridCol w:w="1243"/>
      </w:tblGrid>
      <w:tr w:rsidR="00C12D54" w:rsidRPr="00746902" w14:paraId="7E05AF6E" w14:textId="11FB1870" w:rsidTr="00AF1727">
        <w:trPr>
          <w:cnfStyle w:val="100000000000" w:firstRow="1" w:lastRow="0" w:firstColumn="0" w:lastColumn="0" w:oddVBand="0" w:evenVBand="0" w:oddHBand="0" w:evenHBand="0" w:firstRowFirstColumn="0" w:firstRowLastColumn="0" w:lastRowFirstColumn="0" w:lastRowLastColumn="0"/>
          <w:tblHeader/>
        </w:trPr>
        <w:tc>
          <w:tcPr>
            <w:tcW w:w="1418" w:type="dxa"/>
            <w:tcBorders>
              <w:bottom w:val="single" w:sz="18" w:space="0" w:color="FFFFFF"/>
            </w:tcBorders>
            <w:shd w:val="solid" w:color="0F51B1" w:fill="0F51B1"/>
          </w:tcPr>
          <w:p w14:paraId="290DB6C7" w14:textId="25A0439F" w:rsidR="00C12D54" w:rsidRPr="00883EF2" w:rsidRDefault="00C12D54" w:rsidP="00C12D54">
            <w:pPr>
              <w:pStyle w:val="Tableheading"/>
              <w:rPr>
                <w:bCs w:val="0"/>
                <w:color w:val="FFFFFF" w:themeColor="background1"/>
                <w:sz w:val="22"/>
                <w:lang w:val="es-ES"/>
              </w:rPr>
            </w:pPr>
            <w:r w:rsidRPr="00883EF2">
              <w:rPr>
                <w:bCs w:val="0"/>
                <w:color w:val="FFFFFF" w:themeColor="background1"/>
                <w:sz w:val="22"/>
                <w:lang w:val="es-ES"/>
              </w:rPr>
              <w:t>Geotipo</w:t>
            </w:r>
          </w:p>
        </w:tc>
        <w:tc>
          <w:tcPr>
            <w:tcW w:w="1701" w:type="dxa"/>
            <w:tcBorders>
              <w:bottom w:val="single" w:sz="18" w:space="0" w:color="FFFFFF"/>
            </w:tcBorders>
            <w:shd w:val="solid" w:color="0F51B1" w:fill="0F51B1"/>
          </w:tcPr>
          <w:p w14:paraId="3D575455" w14:textId="77777777" w:rsidR="00C12D54" w:rsidRPr="00883EF2" w:rsidRDefault="00C12D54" w:rsidP="00C12D54">
            <w:pPr>
              <w:pStyle w:val="NormalWeb"/>
              <w:spacing w:before="0" w:beforeAutospacing="0" w:after="0" w:afterAutospacing="0"/>
              <w:rPr>
                <w:rFonts w:ascii="Franklin Gothic Book" w:eastAsiaTheme="minorHAnsi" w:hAnsi="Franklin Gothic Book" w:cstheme="minorBidi"/>
                <w:b w:val="0"/>
                <w:bCs w:val="0"/>
                <w:sz w:val="22"/>
                <w:szCs w:val="22"/>
                <w:lang w:val="es-ES" w:eastAsia="en-US"/>
              </w:rPr>
            </w:pPr>
            <w:r w:rsidRPr="00883EF2">
              <w:rPr>
                <w:rFonts w:ascii="Franklin Gothic Book" w:eastAsiaTheme="minorHAnsi" w:hAnsi="Franklin Gothic Book" w:cstheme="minorBidi"/>
                <w:b w:val="0"/>
                <w:bCs w:val="0"/>
                <w:sz w:val="22"/>
                <w:szCs w:val="22"/>
                <w:lang w:val="es-ES" w:eastAsia="en-US"/>
              </w:rPr>
              <w:t>Densidad poblacional</w:t>
            </w:r>
          </w:p>
          <w:p w14:paraId="0E29B18F" w14:textId="5A4B116D" w:rsidR="00C12D54" w:rsidRPr="00883EF2" w:rsidRDefault="00C12D54" w:rsidP="00C12D54">
            <w:pPr>
              <w:pStyle w:val="Tableheading"/>
              <w:ind w:right="0"/>
              <w:rPr>
                <w:bCs w:val="0"/>
                <w:color w:val="FFFFFF" w:themeColor="background1"/>
                <w:sz w:val="22"/>
                <w:lang w:val="es-ES"/>
              </w:rPr>
            </w:pPr>
            <w:r w:rsidRPr="00883EF2">
              <w:rPr>
                <w:bCs w:val="0"/>
                <w:color w:val="FFFFFF" w:themeColor="background1"/>
                <w:sz w:val="22"/>
                <w:lang w:val="es-ES"/>
              </w:rPr>
              <w:t>habitantes/km</w:t>
            </w:r>
          </w:p>
        </w:tc>
        <w:tc>
          <w:tcPr>
            <w:tcW w:w="1276" w:type="dxa"/>
            <w:tcBorders>
              <w:bottom w:val="single" w:sz="18" w:space="0" w:color="FFFFFF"/>
            </w:tcBorders>
            <w:shd w:val="solid" w:color="0F51B1" w:fill="0F51B1"/>
          </w:tcPr>
          <w:p w14:paraId="708D7671" w14:textId="4AB314E6" w:rsidR="00C12D54" w:rsidRPr="00883EF2" w:rsidRDefault="00C12D54" w:rsidP="00C12D54">
            <w:pPr>
              <w:pStyle w:val="Tableheading"/>
              <w:rPr>
                <w:bCs w:val="0"/>
                <w:color w:val="FFFFFF" w:themeColor="background1"/>
                <w:sz w:val="22"/>
                <w:lang w:val="es-ES"/>
              </w:rPr>
            </w:pPr>
            <w:r w:rsidRPr="00883EF2">
              <w:rPr>
                <w:bCs w:val="0"/>
                <w:color w:val="FFFFFF" w:themeColor="background1"/>
                <w:sz w:val="22"/>
                <w:lang w:val="es-ES"/>
              </w:rPr>
              <w:t>Superficie (km²)</w:t>
            </w:r>
          </w:p>
        </w:tc>
        <w:tc>
          <w:tcPr>
            <w:tcW w:w="1417" w:type="dxa"/>
            <w:tcBorders>
              <w:bottom w:val="single" w:sz="18" w:space="0" w:color="FFFFFF"/>
            </w:tcBorders>
            <w:shd w:val="solid" w:color="0F51B1" w:fill="0F51B1"/>
          </w:tcPr>
          <w:p w14:paraId="78CB6DE8" w14:textId="5335A80D" w:rsidR="00C12D54" w:rsidRPr="00883EF2" w:rsidRDefault="00C12D54" w:rsidP="00C12D54">
            <w:pPr>
              <w:pStyle w:val="Tableheading"/>
              <w:rPr>
                <w:bCs w:val="0"/>
                <w:color w:val="FFFFFF" w:themeColor="background1"/>
                <w:sz w:val="22"/>
                <w:lang w:val="es-ES"/>
              </w:rPr>
            </w:pPr>
            <w:r w:rsidRPr="00883EF2">
              <w:rPr>
                <w:bCs w:val="0"/>
                <w:color w:val="FFFFFF" w:themeColor="background1"/>
                <w:sz w:val="22"/>
                <w:lang w:val="es-ES"/>
              </w:rPr>
              <w:t>Proporción de la superficie total</w:t>
            </w:r>
          </w:p>
        </w:tc>
        <w:tc>
          <w:tcPr>
            <w:tcW w:w="1276" w:type="dxa"/>
            <w:tcBorders>
              <w:bottom w:val="single" w:sz="18" w:space="0" w:color="FFFFFF"/>
            </w:tcBorders>
            <w:shd w:val="solid" w:color="0F51B1" w:fill="0F51B1"/>
          </w:tcPr>
          <w:p w14:paraId="70C76536" w14:textId="4C7CD529" w:rsidR="00C12D54" w:rsidRPr="00883EF2" w:rsidRDefault="00C12D54" w:rsidP="00C12D54">
            <w:pPr>
              <w:pStyle w:val="Tableheading"/>
              <w:rPr>
                <w:bCs w:val="0"/>
                <w:color w:val="FFFFFF" w:themeColor="background1"/>
                <w:sz w:val="22"/>
                <w:lang w:val="es-ES"/>
              </w:rPr>
            </w:pPr>
            <w:r w:rsidRPr="00883EF2">
              <w:rPr>
                <w:bCs w:val="0"/>
                <w:color w:val="FFFFFF" w:themeColor="background1"/>
                <w:sz w:val="22"/>
                <w:lang w:val="es-ES"/>
              </w:rPr>
              <w:t>Población (millones)</w:t>
            </w:r>
          </w:p>
        </w:tc>
        <w:tc>
          <w:tcPr>
            <w:tcW w:w="1243" w:type="dxa"/>
            <w:tcBorders>
              <w:bottom w:val="single" w:sz="18" w:space="0" w:color="FFFFFF"/>
            </w:tcBorders>
            <w:shd w:val="solid" w:color="0F51B1" w:fill="0F51B1"/>
          </w:tcPr>
          <w:p w14:paraId="5AA688B1" w14:textId="6C0A68F3" w:rsidR="00C12D54" w:rsidRPr="00883EF2" w:rsidRDefault="00C12D54" w:rsidP="00AF1727">
            <w:pPr>
              <w:pStyle w:val="Tableheading"/>
              <w:ind w:right="0"/>
              <w:rPr>
                <w:bCs w:val="0"/>
                <w:color w:val="FFFFFF" w:themeColor="background1"/>
                <w:sz w:val="22"/>
                <w:lang w:val="es-ES"/>
              </w:rPr>
            </w:pPr>
            <w:r w:rsidRPr="00883EF2">
              <w:rPr>
                <w:bCs w:val="0"/>
                <w:color w:val="FFFFFF" w:themeColor="background1"/>
                <w:sz w:val="22"/>
                <w:lang w:val="es-ES"/>
              </w:rPr>
              <w:t>Proporción de la población</w:t>
            </w:r>
          </w:p>
        </w:tc>
      </w:tr>
      <w:tr w:rsidR="00C12D54" w:rsidRPr="00746902" w14:paraId="5CC9ECFF" w14:textId="29C53B6D" w:rsidTr="00AF1727">
        <w:tc>
          <w:tcPr>
            <w:tcW w:w="1418" w:type="dxa"/>
            <w:tcBorders>
              <w:top w:val="single" w:sz="18" w:space="0" w:color="FFFFFF"/>
            </w:tcBorders>
            <w:vAlign w:val="center"/>
          </w:tcPr>
          <w:p w14:paraId="3B27FBD5" w14:textId="67C0641C" w:rsidR="00C12D54" w:rsidRPr="00883EF2" w:rsidRDefault="00C12D54" w:rsidP="00C12D54">
            <w:pPr>
              <w:pStyle w:val="Tableheading"/>
              <w:rPr>
                <w:bCs/>
                <w:color w:val="auto"/>
                <w:sz w:val="22"/>
                <w:lang w:val="es-ES"/>
              </w:rPr>
            </w:pPr>
            <w:r w:rsidRPr="00883EF2">
              <w:rPr>
                <w:bCs/>
                <w:color w:val="auto"/>
                <w:sz w:val="22"/>
                <w:lang w:val="es-ES"/>
              </w:rPr>
              <w:t>Urbano</w:t>
            </w:r>
          </w:p>
        </w:tc>
        <w:tc>
          <w:tcPr>
            <w:tcW w:w="1701" w:type="dxa"/>
            <w:tcBorders>
              <w:top w:val="single" w:sz="18" w:space="0" w:color="FFFFFF"/>
            </w:tcBorders>
          </w:tcPr>
          <w:p w14:paraId="07F4F160" w14:textId="145EFF76" w:rsidR="00C12D54" w:rsidRPr="00883EF2" w:rsidRDefault="00C12D54" w:rsidP="002B37A0">
            <w:pPr>
              <w:pStyle w:val="Tableheading"/>
              <w:ind w:right="0"/>
              <w:jc w:val="right"/>
              <w:rPr>
                <w:b w:val="0"/>
                <w:color w:val="auto"/>
                <w:sz w:val="22"/>
                <w:lang w:val="es-ES"/>
              </w:rPr>
            </w:pPr>
            <w:r w:rsidRPr="00883EF2">
              <w:rPr>
                <w:b w:val="0"/>
                <w:color w:val="auto"/>
                <w:sz w:val="22"/>
                <w:lang w:val="es-ES"/>
              </w:rPr>
              <w:t>&gt;4000</w:t>
            </w:r>
          </w:p>
        </w:tc>
        <w:tc>
          <w:tcPr>
            <w:tcW w:w="1276" w:type="dxa"/>
            <w:tcBorders>
              <w:top w:val="single" w:sz="18" w:space="0" w:color="FFFFFF"/>
            </w:tcBorders>
            <w:vAlign w:val="center"/>
          </w:tcPr>
          <w:p w14:paraId="5ADC9EEE" w14:textId="5CE44BF9" w:rsidR="00C12D54" w:rsidRPr="00883EF2" w:rsidRDefault="00C12D54" w:rsidP="002B37A0">
            <w:pPr>
              <w:pStyle w:val="Tableheading"/>
              <w:ind w:right="0"/>
              <w:jc w:val="right"/>
              <w:rPr>
                <w:b w:val="0"/>
                <w:color w:val="auto"/>
                <w:sz w:val="22"/>
                <w:lang w:val="es-ES"/>
              </w:rPr>
            </w:pPr>
            <w:r w:rsidRPr="00883EF2">
              <w:rPr>
                <w:b w:val="0"/>
                <w:color w:val="auto"/>
                <w:sz w:val="22"/>
                <w:lang w:val="es-ES"/>
              </w:rPr>
              <w:t>10 588</w:t>
            </w:r>
          </w:p>
        </w:tc>
        <w:tc>
          <w:tcPr>
            <w:tcW w:w="1417" w:type="dxa"/>
            <w:tcBorders>
              <w:top w:val="single" w:sz="18" w:space="0" w:color="FFFFFF"/>
            </w:tcBorders>
            <w:vAlign w:val="center"/>
          </w:tcPr>
          <w:p w14:paraId="09BB02FB" w14:textId="3D436447" w:rsidR="00C12D54" w:rsidRPr="00883EF2" w:rsidRDefault="00C12D54" w:rsidP="002B37A0">
            <w:pPr>
              <w:pStyle w:val="Tableheading"/>
              <w:ind w:right="0"/>
              <w:jc w:val="right"/>
              <w:rPr>
                <w:b w:val="0"/>
                <w:color w:val="auto"/>
                <w:sz w:val="22"/>
                <w:lang w:val="es-ES"/>
              </w:rPr>
            </w:pPr>
            <w:r w:rsidRPr="00883EF2">
              <w:rPr>
                <w:b w:val="0"/>
                <w:color w:val="auto"/>
                <w:sz w:val="22"/>
                <w:lang w:val="es-ES"/>
              </w:rPr>
              <w:t>0.5%</w:t>
            </w:r>
          </w:p>
        </w:tc>
        <w:tc>
          <w:tcPr>
            <w:tcW w:w="1276" w:type="dxa"/>
            <w:tcBorders>
              <w:top w:val="single" w:sz="18" w:space="0" w:color="FFFFFF"/>
            </w:tcBorders>
            <w:vAlign w:val="center"/>
          </w:tcPr>
          <w:p w14:paraId="48CE366A" w14:textId="5D6AC2F2" w:rsidR="00C12D54" w:rsidRPr="00883EF2" w:rsidRDefault="00C12D54" w:rsidP="002B37A0">
            <w:pPr>
              <w:pStyle w:val="Tableheading"/>
              <w:ind w:right="0"/>
              <w:jc w:val="right"/>
              <w:rPr>
                <w:b w:val="0"/>
                <w:color w:val="auto"/>
                <w:sz w:val="22"/>
                <w:lang w:val="es-ES"/>
              </w:rPr>
            </w:pPr>
            <w:r w:rsidRPr="00883EF2">
              <w:rPr>
                <w:b w:val="0"/>
                <w:color w:val="auto"/>
                <w:sz w:val="22"/>
                <w:lang w:val="es-ES"/>
              </w:rPr>
              <w:t>70</w:t>
            </w:r>
          </w:p>
        </w:tc>
        <w:tc>
          <w:tcPr>
            <w:tcW w:w="1243" w:type="dxa"/>
            <w:tcBorders>
              <w:top w:val="single" w:sz="18" w:space="0" w:color="FFFFFF"/>
            </w:tcBorders>
            <w:vAlign w:val="center"/>
          </w:tcPr>
          <w:p w14:paraId="5A6B2802" w14:textId="63C59EDF" w:rsidR="00C12D54" w:rsidRPr="00883EF2" w:rsidRDefault="00C12D54" w:rsidP="002B37A0">
            <w:pPr>
              <w:pStyle w:val="Tableheading"/>
              <w:ind w:right="0"/>
              <w:jc w:val="right"/>
              <w:rPr>
                <w:b w:val="0"/>
                <w:color w:val="auto"/>
                <w:sz w:val="22"/>
                <w:lang w:val="es-ES"/>
              </w:rPr>
            </w:pPr>
            <w:r w:rsidRPr="00883EF2">
              <w:rPr>
                <w:b w:val="0"/>
                <w:color w:val="auto"/>
                <w:sz w:val="22"/>
                <w:lang w:val="es-ES"/>
              </w:rPr>
              <w:t>55.2%</w:t>
            </w:r>
          </w:p>
        </w:tc>
      </w:tr>
      <w:tr w:rsidR="00C12D54" w:rsidRPr="00746902" w14:paraId="352FDBD9" w14:textId="70E079A7" w:rsidTr="00AF1727">
        <w:tc>
          <w:tcPr>
            <w:tcW w:w="1418" w:type="dxa"/>
            <w:vAlign w:val="center"/>
          </w:tcPr>
          <w:p w14:paraId="4995D8FD" w14:textId="77227C05" w:rsidR="00C12D54" w:rsidRPr="00883EF2" w:rsidRDefault="00C12D54" w:rsidP="00C12D54">
            <w:pPr>
              <w:pStyle w:val="Tableheading"/>
              <w:rPr>
                <w:bCs/>
                <w:color w:val="auto"/>
                <w:sz w:val="22"/>
                <w:lang w:val="es-ES"/>
              </w:rPr>
            </w:pPr>
            <w:r w:rsidRPr="00883EF2">
              <w:rPr>
                <w:bCs/>
                <w:color w:val="auto"/>
                <w:sz w:val="22"/>
                <w:lang w:val="es-ES"/>
              </w:rPr>
              <w:t>Suburbano</w:t>
            </w:r>
          </w:p>
        </w:tc>
        <w:tc>
          <w:tcPr>
            <w:tcW w:w="1701" w:type="dxa"/>
          </w:tcPr>
          <w:p w14:paraId="14B24066" w14:textId="1F4D930C" w:rsidR="00C12D54" w:rsidRPr="00883EF2" w:rsidRDefault="00C12D54" w:rsidP="002B37A0">
            <w:pPr>
              <w:pStyle w:val="Tableheading"/>
              <w:ind w:right="0"/>
              <w:jc w:val="right"/>
              <w:rPr>
                <w:b w:val="0"/>
                <w:color w:val="auto"/>
                <w:sz w:val="22"/>
                <w:lang w:val="es-ES"/>
              </w:rPr>
            </w:pPr>
            <w:r w:rsidRPr="00883EF2">
              <w:rPr>
                <w:b w:val="0"/>
                <w:color w:val="auto"/>
                <w:sz w:val="22"/>
                <w:lang w:val="es-ES"/>
              </w:rPr>
              <w:t xml:space="preserve">&lt;4000 y &gt;500  </w:t>
            </w:r>
          </w:p>
        </w:tc>
        <w:tc>
          <w:tcPr>
            <w:tcW w:w="1276" w:type="dxa"/>
            <w:vAlign w:val="center"/>
          </w:tcPr>
          <w:p w14:paraId="155D3E68" w14:textId="33AA6E33" w:rsidR="00C12D54" w:rsidRPr="00883EF2" w:rsidRDefault="00C12D54" w:rsidP="002B37A0">
            <w:pPr>
              <w:pStyle w:val="Tableheading"/>
              <w:ind w:right="0"/>
              <w:jc w:val="right"/>
              <w:rPr>
                <w:b w:val="0"/>
                <w:color w:val="auto"/>
                <w:sz w:val="22"/>
                <w:lang w:val="es-ES"/>
              </w:rPr>
            </w:pPr>
            <w:r w:rsidRPr="00883EF2">
              <w:rPr>
                <w:b w:val="0"/>
                <w:color w:val="auto"/>
                <w:sz w:val="22"/>
                <w:lang w:val="es-ES"/>
              </w:rPr>
              <w:t>13 269</w:t>
            </w:r>
          </w:p>
        </w:tc>
        <w:tc>
          <w:tcPr>
            <w:tcW w:w="1417" w:type="dxa"/>
            <w:vAlign w:val="center"/>
          </w:tcPr>
          <w:p w14:paraId="1AD74A6F" w14:textId="2C525739" w:rsidR="00C12D54" w:rsidRPr="00883EF2" w:rsidRDefault="00C12D54" w:rsidP="002B37A0">
            <w:pPr>
              <w:pStyle w:val="Tableheading"/>
              <w:ind w:right="0"/>
              <w:jc w:val="right"/>
              <w:rPr>
                <w:b w:val="0"/>
                <w:color w:val="auto"/>
                <w:sz w:val="22"/>
                <w:lang w:val="es-ES"/>
              </w:rPr>
            </w:pPr>
            <w:r w:rsidRPr="00883EF2">
              <w:rPr>
                <w:b w:val="0"/>
                <w:color w:val="auto"/>
                <w:sz w:val="22"/>
                <w:lang w:val="es-ES"/>
              </w:rPr>
              <w:t>0.7%</w:t>
            </w:r>
          </w:p>
        </w:tc>
        <w:tc>
          <w:tcPr>
            <w:tcW w:w="1276" w:type="dxa"/>
            <w:vAlign w:val="center"/>
          </w:tcPr>
          <w:p w14:paraId="715A5B22" w14:textId="6DE8DE20" w:rsidR="00C12D54" w:rsidRPr="00883EF2" w:rsidRDefault="00C12D54" w:rsidP="002B37A0">
            <w:pPr>
              <w:pStyle w:val="Tableheading"/>
              <w:ind w:right="0"/>
              <w:jc w:val="right"/>
              <w:rPr>
                <w:b w:val="0"/>
                <w:color w:val="auto"/>
                <w:sz w:val="22"/>
                <w:lang w:val="es-ES"/>
              </w:rPr>
            </w:pPr>
            <w:r w:rsidRPr="00883EF2">
              <w:rPr>
                <w:b w:val="0"/>
                <w:color w:val="auto"/>
                <w:sz w:val="22"/>
                <w:lang w:val="es-ES"/>
              </w:rPr>
              <w:t xml:space="preserve">30 </w:t>
            </w:r>
          </w:p>
        </w:tc>
        <w:tc>
          <w:tcPr>
            <w:tcW w:w="1243" w:type="dxa"/>
            <w:vAlign w:val="center"/>
          </w:tcPr>
          <w:p w14:paraId="263B43F4" w14:textId="199E6937" w:rsidR="00C12D54" w:rsidRPr="00883EF2" w:rsidRDefault="00C12D54" w:rsidP="002B37A0">
            <w:pPr>
              <w:pStyle w:val="Tableheading"/>
              <w:ind w:right="0"/>
              <w:jc w:val="right"/>
              <w:rPr>
                <w:b w:val="0"/>
                <w:color w:val="auto"/>
                <w:sz w:val="22"/>
                <w:lang w:val="es-ES"/>
              </w:rPr>
            </w:pPr>
            <w:r w:rsidRPr="00883EF2">
              <w:rPr>
                <w:b w:val="0"/>
                <w:color w:val="auto"/>
                <w:sz w:val="22"/>
                <w:lang w:val="es-ES"/>
              </w:rPr>
              <w:t>23.5%</w:t>
            </w:r>
          </w:p>
        </w:tc>
      </w:tr>
      <w:tr w:rsidR="00C12D54" w:rsidRPr="00746902" w14:paraId="5B8D6792" w14:textId="21322089" w:rsidTr="00AF1727">
        <w:tc>
          <w:tcPr>
            <w:tcW w:w="1418" w:type="dxa"/>
            <w:vAlign w:val="center"/>
          </w:tcPr>
          <w:p w14:paraId="0811D2ED" w14:textId="74CFDEE6" w:rsidR="00C12D54" w:rsidRPr="00883EF2" w:rsidRDefault="00C12D54" w:rsidP="00C12D54">
            <w:pPr>
              <w:pStyle w:val="Tableheading"/>
              <w:rPr>
                <w:bCs/>
                <w:color w:val="auto"/>
                <w:sz w:val="22"/>
                <w:lang w:val="es-ES"/>
              </w:rPr>
            </w:pPr>
            <w:r w:rsidRPr="00883EF2">
              <w:rPr>
                <w:bCs/>
                <w:color w:val="auto"/>
                <w:sz w:val="22"/>
                <w:lang w:val="es-ES"/>
              </w:rPr>
              <w:t>Rural</w:t>
            </w:r>
          </w:p>
        </w:tc>
        <w:tc>
          <w:tcPr>
            <w:tcW w:w="1701" w:type="dxa"/>
          </w:tcPr>
          <w:p w14:paraId="2ED57F54" w14:textId="54C08928" w:rsidR="00C12D54" w:rsidRPr="00883EF2" w:rsidRDefault="00C12D54" w:rsidP="002B37A0">
            <w:pPr>
              <w:pStyle w:val="Tableheading"/>
              <w:ind w:right="0"/>
              <w:jc w:val="right"/>
              <w:rPr>
                <w:b w:val="0"/>
                <w:color w:val="auto"/>
                <w:sz w:val="22"/>
                <w:lang w:val="es-ES"/>
              </w:rPr>
            </w:pPr>
            <w:r w:rsidRPr="00883EF2">
              <w:rPr>
                <w:b w:val="0"/>
                <w:color w:val="auto"/>
                <w:sz w:val="22"/>
                <w:lang w:val="es-ES"/>
              </w:rPr>
              <w:t>&lt;500</w:t>
            </w:r>
          </w:p>
        </w:tc>
        <w:tc>
          <w:tcPr>
            <w:tcW w:w="1276" w:type="dxa"/>
            <w:vAlign w:val="center"/>
          </w:tcPr>
          <w:p w14:paraId="4F8279F4" w14:textId="7960F832" w:rsidR="00C12D54" w:rsidRPr="00883EF2" w:rsidRDefault="00C12D54" w:rsidP="002B37A0">
            <w:pPr>
              <w:pStyle w:val="Tableheading"/>
              <w:ind w:right="0"/>
              <w:jc w:val="right"/>
              <w:rPr>
                <w:b w:val="0"/>
                <w:color w:val="auto"/>
                <w:sz w:val="22"/>
                <w:lang w:val="es-ES"/>
              </w:rPr>
            </w:pPr>
            <w:r w:rsidRPr="00883EF2">
              <w:rPr>
                <w:b w:val="0"/>
                <w:color w:val="auto"/>
                <w:sz w:val="22"/>
                <w:lang w:val="es-ES"/>
              </w:rPr>
              <w:t>1</w:t>
            </w:r>
            <w:r w:rsidR="009A243D">
              <w:rPr>
                <w:b w:val="0"/>
                <w:color w:val="auto"/>
                <w:sz w:val="22"/>
                <w:lang w:val="es-ES"/>
              </w:rPr>
              <w:t xml:space="preserve"> </w:t>
            </w:r>
            <w:r w:rsidRPr="00883EF2">
              <w:rPr>
                <w:b w:val="0"/>
                <w:color w:val="auto"/>
                <w:sz w:val="22"/>
                <w:lang w:val="es-ES"/>
              </w:rPr>
              <w:t>941 176</w:t>
            </w:r>
          </w:p>
        </w:tc>
        <w:tc>
          <w:tcPr>
            <w:tcW w:w="1417" w:type="dxa"/>
            <w:vAlign w:val="center"/>
          </w:tcPr>
          <w:p w14:paraId="0200A333" w14:textId="0F9340A9" w:rsidR="00C12D54" w:rsidRPr="00883EF2" w:rsidRDefault="00C12D54" w:rsidP="002B37A0">
            <w:pPr>
              <w:pStyle w:val="Tableheading"/>
              <w:ind w:right="0"/>
              <w:jc w:val="right"/>
              <w:rPr>
                <w:b w:val="0"/>
                <w:color w:val="auto"/>
                <w:sz w:val="22"/>
                <w:lang w:val="es-ES"/>
              </w:rPr>
            </w:pPr>
            <w:r w:rsidRPr="00883EF2">
              <w:rPr>
                <w:b w:val="0"/>
                <w:color w:val="auto"/>
                <w:sz w:val="22"/>
                <w:lang w:val="es-ES"/>
              </w:rPr>
              <w:t>98.8%</w:t>
            </w:r>
          </w:p>
        </w:tc>
        <w:tc>
          <w:tcPr>
            <w:tcW w:w="1276" w:type="dxa"/>
            <w:vAlign w:val="center"/>
          </w:tcPr>
          <w:p w14:paraId="4F5BA4D9" w14:textId="1F243D0F" w:rsidR="00C12D54" w:rsidRPr="00883EF2" w:rsidRDefault="00C12D54" w:rsidP="002B37A0">
            <w:pPr>
              <w:pStyle w:val="Tableheading"/>
              <w:ind w:right="0"/>
              <w:jc w:val="right"/>
              <w:rPr>
                <w:b w:val="0"/>
                <w:color w:val="auto"/>
                <w:sz w:val="22"/>
                <w:lang w:val="es-ES"/>
              </w:rPr>
            </w:pPr>
            <w:r w:rsidRPr="00883EF2">
              <w:rPr>
                <w:b w:val="0"/>
                <w:color w:val="auto"/>
                <w:sz w:val="22"/>
                <w:lang w:val="es-ES"/>
              </w:rPr>
              <w:t>27</w:t>
            </w:r>
          </w:p>
        </w:tc>
        <w:tc>
          <w:tcPr>
            <w:tcW w:w="1243" w:type="dxa"/>
            <w:vAlign w:val="center"/>
          </w:tcPr>
          <w:p w14:paraId="54A99961" w14:textId="4C471BA0" w:rsidR="00C12D54" w:rsidRPr="00883EF2" w:rsidRDefault="00C12D54" w:rsidP="002B37A0">
            <w:pPr>
              <w:pStyle w:val="Tableheading"/>
              <w:ind w:right="0"/>
              <w:jc w:val="right"/>
              <w:rPr>
                <w:b w:val="0"/>
                <w:color w:val="auto"/>
                <w:sz w:val="22"/>
                <w:lang w:val="es-ES"/>
              </w:rPr>
            </w:pPr>
            <w:r w:rsidRPr="00883EF2">
              <w:rPr>
                <w:b w:val="0"/>
                <w:color w:val="auto"/>
                <w:sz w:val="22"/>
                <w:lang w:val="es-ES"/>
              </w:rPr>
              <w:t>21.3%</w:t>
            </w:r>
          </w:p>
        </w:tc>
      </w:tr>
      <w:tr w:rsidR="004D3566" w:rsidRPr="00746902" w14:paraId="40E49AF8" w14:textId="4CA03222" w:rsidTr="00AF1727">
        <w:tc>
          <w:tcPr>
            <w:tcW w:w="1418" w:type="dxa"/>
            <w:vAlign w:val="center"/>
          </w:tcPr>
          <w:p w14:paraId="5ACB3563" w14:textId="58E208D8" w:rsidR="004D3566" w:rsidRPr="00883EF2" w:rsidRDefault="004D3566" w:rsidP="004D3566">
            <w:pPr>
              <w:pStyle w:val="Tableheading"/>
              <w:rPr>
                <w:bCs/>
                <w:color w:val="auto"/>
                <w:sz w:val="22"/>
                <w:lang w:val="es-ES"/>
              </w:rPr>
            </w:pPr>
            <w:r w:rsidRPr="00883EF2">
              <w:rPr>
                <w:bCs/>
                <w:color w:val="auto"/>
                <w:sz w:val="22"/>
                <w:lang w:val="es-ES"/>
              </w:rPr>
              <w:t>Total</w:t>
            </w:r>
          </w:p>
        </w:tc>
        <w:tc>
          <w:tcPr>
            <w:tcW w:w="1701" w:type="dxa"/>
          </w:tcPr>
          <w:p w14:paraId="40CBFFA4" w14:textId="6A362C41" w:rsidR="004D3566" w:rsidRPr="00883EF2" w:rsidRDefault="004D3566" w:rsidP="002B37A0">
            <w:pPr>
              <w:pStyle w:val="Tableheading"/>
              <w:tabs>
                <w:tab w:val="center" w:pos="615"/>
                <w:tab w:val="right" w:pos="1230"/>
              </w:tabs>
              <w:ind w:right="0"/>
              <w:jc w:val="right"/>
              <w:rPr>
                <w:b w:val="0"/>
                <w:color w:val="auto"/>
                <w:sz w:val="22"/>
                <w:lang w:val="es-ES"/>
              </w:rPr>
            </w:pPr>
            <w:r w:rsidRPr="00883EF2">
              <w:rPr>
                <w:b w:val="0"/>
                <w:color w:val="auto"/>
                <w:sz w:val="22"/>
                <w:lang w:val="es-ES"/>
              </w:rPr>
              <w:tab/>
              <w:t>–</w:t>
            </w:r>
          </w:p>
        </w:tc>
        <w:tc>
          <w:tcPr>
            <w:tcW w:w="1276" w:type="dxa"/>
            <w:vAlign w:val="center"/>
          </w:tcPr>
          <w:p w14:paraId="6D1B06E6" w14:textId="3C22241E" w:rsidR="004D3566" w:rsidRPr="00883EF2" w:rsidRDefault="004D3566" w:rsidP="002B37A0">
            <w:pPr>
              <w:pStyle w:val="Tableheading"/>
              <w:ind w:right="0"/>
              <w:jc w:val="right"/>
              <w:rPr>
                <w:b w:val="0"/>
                <w:color w:val="auto"/>
                <w:sz w:val="22"/>
                <w:lang w:val="es-ES"/>
              </w:rPr>
            </w:pPr>
            <w:r w:rsidRPr="00883EF2">
              <w:rPr>
                <w:b w:val="0"/>
                <w:color w:val="auto"/>
                <w:sz w:val="22"/>
                <w:lang w:val="es-ES"/>
              </w:rPr>
              <w:t>1</w:t>
            </w:r>
            <w:r w:rsidR="009A243D">
              <w:rPr>
                <w:b w:val="0"/>
                <w:color w:val="auto"/>
                <w:sz w:val="22"/>
                <w:lang w:val="es-ES"/>
              </w:rPr>
              <w:t xml:space="preserve"> </w:t>
            </w:r>
            <w:r w:rsidRPr="00883EF2">
              <w:rPr>
                <w:b w:val="0"/>
                <w:color w:val="auto"/>
                <w:sz w:val="22"/>
                <w:lang w:val="es-ES"/>
              </w:rPr>
              <w:t>965</w:t>
            </w:r>
            <w:r w:rsidR="009A243D">
              <w:rPr>
                <w:b w:val="0"/>
                <w:color w:val="auto"/>
                <w:sz w:val="22"/>
                <w:lang w:val="es-ES"/>
              </w:rPr>
              <w:t xml:space="preserve"> </w:t>
            </w:r>
            <w:r w:rsidRPr="00883EF2">
              <w:rPr>
                <w:b w:val="0"/>
                <w:color w:val="auto"/>
                <w:sz w:val="22"/>
                <w:lang w:val="es-ES"/>
              </w:rPr>
              <w:t>033</w:t>
            </w:r>
          </w:p>
        </w:tc>
        <w:tc>
          <w:tcPr>
            <w:tcW w:w="1417" w:type="dxa"/>
          </w:tcPr>
          <w:p w14:paraId="19892EDD" w14:textId="39DA4C3B" w:rsidR="004D3566" w:rsidRPr="00883EF2" w:rsidRDefault="004D3566" w:rsidP="002B37A0">
            <w:pPr>
              <w:pStyle w:val="Tableheading"/>
              <w:ind w:right="0"/>
              <w:jc w:val="right"/>
              <w:rPr>
                <w:b w:val="0"/>
                <w:color w:val="auto"/>
                <w:sz w:val="22"/>
                <w:highlight w:val="yellow"/>
                <w:lang w:val="es-ES"/>
              </w:rPr>
            </w:pPr>
            <w:r w:rsidRPr="00883EF2">
              <w:rPr>
                <w:b w:val="0"/>
                <w:color w:val="auto"/>
                <w:sz w:val="22"/>
                <w:lang w:val="es-ES"/>
              </w:rPr>
              <w:t>100%</w:t>
            </w:r>
          </w:p>
        </w:tc>
        <w:tc>
          <w:tcPr>
            <w:tcW w:w="1276" w:type="dxa"/>
          </w:tcPr>
          <w:p w14:paraId="361F3B02" w14:textId="25D932D9" w:rsidR="004D3566" w:rsidRPr="00883EF2" w:rsidRDefault="004D3566" w:rsidP="002B37A0">
            <w:pPr>
              <w:pStyle w:val="Tableheading"/>
              <w:ind w:right="0"/>
              <w:jc w:val="right"/>
              <w:rPr>
                <w:b w:val="0"/>
                <w:color w:val="auto"/>
                <w:sz w:val="22"/>
                <w:highlight w:val="yellow"/>
                <w:lang w:val="es-ES"/>
              </w:rPr>
            </w:pPr>
            <w:r w:rsidRPr="00883EF2">
              <w:rPr>
                <w:b w:val="0"/>
                <w:color w:val="auto"/>
                <w:sz w:val="22"/>
                <w:lang w:val="es-ES"/>
              </w:rPr>
              <w:t>127</w:t>
            </w:r>
          </w:p>
        </w:tc>
        <w:tc>
          <w:tcPr>
            <w:tcW w:w="1243" w:type="dxa"/>
          </w:tcPr>
          <w:p w14:paraId="43A99A1C" w14:textId="4E15CC10" w:rsidR="004D3566" w:rsidRPr="00883EF2" w:rsidRDefault="004D3566" w:rsidP="002B37A0">
            <w:pPr>
              <w:pStyle w:val="Tableheading"/>
              <w:ind w:right="0"/>
              <w:jc w:val="right"/>
              <w:rPr>
                <w:b w:val="0"/>
                <w:color w:val="auto"/>
                <w:sz w:val="22"/>
                <w:highlight w:val="yellow"/>
                <w:lang w:val="es-ES"/>
              </w:rPr>
            </w:pPr>
            <w:r w:rsidRPr="00883EF2">
              <w:rPr>
                <w:b w:val="0"/>
                <w:color w:val="auto"/>
                <w:sz w:val="22"/>
                <w:lang w:val="es-ES"/>
              </w:rPr>
              <w:t>100%</w:t>
            </w:r>
          </w:p>
        </w:tc>
      </w:tr>
    </w:tbl>
    <w:p w14:paraId="2C90A204" w14:textId="77777777" w:rsidR="00C12D54" w:rsidRDefault="00C12D54" w:rsidP="00874278">
      <w:pPr>
        <w:rPr>
          <w:lang w:val="es-ES"/>
        </w:rPr>
      </w:pPr>
    </w:p>
    <w:p w14:paraId="7A8640E1" w14:textId="1CCBDDC4" w:rsidR="00C12D54" w:rsidRDefault="00AB63C1" w:rsidP="00874278">
      <w:pPr>
        <w:rPr>
          <w:lang w:val="es-ES"/>
        </w:rPr>
      </w:pPr>
      <w:r>
        <w:rPr>
          <w:lang w:val="es-ES"/>
        </w:rPr>
        <w:t xml:space="preserve">Además de estas clasificaciones, el modelo divide el país en dos regiones A y B, </w:t>
      </w:r>
      <w:r w:rsidR="008E4A55">
        <w:rPr>
          <w:lang w:val="es-ES"/>
        </w:rPr>
        <w:t xml:space="preserve">en función de </w:t>
      </w:r>
      <w:r w:rsidR="000D2FE5">
        <w:rPr>
          <w:lang w:val="es-ES"/>
        </w:rPr>
        <w:t xml:space="preserve">su región celular correspondiente (regiones celulares del 1- 4 son clasificadas como “A”, y del </w:t>
      </w:r>
      <w:r w:rsidR="002D5F92">
        <w:rPr>
          <w:lang w:val="es-ES"/>
        </w:rPr>
        <w:t>5</w:t>
      </w:r>
      <w:r w:rsidR="000D2FE5">
        <w:rPr>
          <w:lang w:val="es-ES"/>
        </w:rPr>
        <w:t xml:space="preserve"> – 9 son clasificadas como “B”)</w:t>
      </w:r>
      <w:r w:rsidR="008E4A55">
        <w:rPr>
          <w:lang w:val="es-ES"/>
        </w:rPr>
        <w:t xml:space="preserve">. De esta forma, </w:t>
      </w:r>
      <w:r>
        <w:rPr>
          <w:lang w:val="es-ES"/>
        </w:rPr>
        <w:t xml:space="preserve">para cada geotipo existen dos modalidades, sumando a un total de 10 sub-geotipos. </w:t>
      </w:r>
    </w:p>
    <w:p w14:paraId="078466E1" w14:textId="4C872742" w:rsidR="00AA072C" w:rsidRDefault="00AA072C" w:rsidP="00AA072C">
      <w:pPr>
        <w:rPr>
          <w:lang w:val="es-ES_tradnl"/>
        </w:rPr>
      </w:pPr>
      <w:r>
        <w:rPr>
          <w:lang w:val="es-ES_tradnl"/>
        </w:rPr>
        <w:t xml:space="preserve">Al igual que la red troncal del operador fijo, la red </w:t>
      </w:r>
      <w:r w:rsidRPr="00E56DEA">
        <w:rPr>
          <w:lang w:val="es-ES_tradnl"/>
        </w:rPr>
        <w:t>troncal del operador hipotético móvil está compuesta de un total de 9 nodos nacionales y 11 nodos core</w:t>
      </w:r>
      <w:r>
        <w:rPr>
          <w:lang w:val="es-ES_tradnl"/>
        </w:rPr>
        <w:t xml:space="preserve"> (ver </w:t>
      </w:r>
      <w:r>
        <w:rPr>
          <w:lang w:val="es-ES_tradnl"/>
        </w:rPr>
        <w:fldChar w:fldCharType="begin"/>
      </w:r>
      <w:r>
        <w:rPr>
          <w:lang w:val="es-ES_tradnl"/>
        </w:rPr>
        <w:instrText xml:space="preserve"> REF _Ref135390310 \h </w:instrText>
      </w:r>
      <w:r>
        <w:rPr>
          <w:lang w:val="es-ES_tradnl"/>
        </w:rPr>
      </w:r>
      <w:r>
        <w:rPr>
          <w:lang w:val="es-ES_tradnl"/>
        </w:rPr>
        <w:fldChar w:fldCharType="separate"/>
      </w:r>
      <w:r w:rsidR="00020F8B" w:rsidRPr="00EF72CC">
        <w:rPr>
          <w:lang w:val="es-ES"/>
        </w:rPr>
        <w:t xml:space="preserve">Figura </w:t>
      </w:r>
      <w:r w:rsidR="00020F8B">
        <w:rPr>
          <w:noProof/>
          <w:lang w:val="es-ES"/>
        </w:rPr>
        <w:t>3</w:t>
      </w:r>
      <w:r w:rsidR="00020F8B" w:rsidRPr="00EF72CC">
        <w:rPr>
          <w:lang w:val="es-ES"/>
        </w:rPr>
        <w:t>.</w:t>
      </w:r>
      <w:r w:rsidR="00020F8B">
        <w:rPr>
          <w:noProof/>
          <w:lang w:val="es-ES"/>
        </w:rPr>
        <w:t>19</w:t>
      </w:r>
      <w:r>
        <w:rPr>
          <w:lang w:val="es-ES_tradnl"/>
        </w:rPr>
        <w:fldChar w:fldCharType="end"/>
      </w:r>
      <w:r>
        <w:rPr>
          <w:lang w:val="es-ES_tradnl"/>
        </w:rPr>
        <w:t>), conectados de forma redundante por seis anillos de fibra.</w:t>
      </w:r>
    </w:p>
    <w:p w14:paraId="621FA4B7" w14:textId="38F0F91C" w:rsidR="00792C35" w:rsidRDefault="00792C35" w:rsidP="00792C35">
      <w:pPr>
        <w:pStyle w:val="Ttulo2"/>
        <w:rPr>
          <w:lang w:val="es-ES_tradnl"/>
        </w:rPr>
      </w:pPr>
      <w:bookmarkStart w:id="41" w:name="_Toc136032677"/>
      <w:r>
        <w:rPr>
          <w:lang w:val="es-ES_tradnl"/>
        </w:rPr>
        <w:t>Parametrización de elementos de red</w:t>
      </w:r>
      <w:bookmarkEnd w:id="41"/>
    </w:p>
    <w:p w14:paraId="0BC2375D" w14:textId="5CB60B2A" w:rsidR="00792C35" w:rsidRDefault="00792C35" w:rsidP="00792C35">
      <w:pPr>
        <w:pStyle w:val="Ttulo3"/>
        <w:rPr>
          <w:lang w:val="es-ES_tradnl"/>
        </w:rPr>
      </w:pPr>
      <w:bookmarkStart w:id="42" w:name="_Ref135401494"/>
      <w:r>
        <w:rPr>
          <w:lang w:val="es-ES_tradnl"/>
        </w:rPr>
        <w:t>Costos de los elementos de red</w:t>
      </w:r>
      <w:bookmarkEnd w:id="42"/>
    </w:p>
    <w:p w14:paraId="3D3B43A4" w14:textId="4B9A1A58" w:rsidR="006526FD" w:rsidRDefault="006966DB" w:rsidP="00792C35">
      <w:pPr>
        <w:rPr>
          <w:lang w:val="es-ES"/>
        </w:rPr>
      </w:pPr>
      <w:r>
        <w:rPr>
          <w:lang w:val="es-ES"/>
        </w:rPr>
        <w:t>Como se puede apreciar en la</w:t>
      </w:r>
      <w:r w:rsidR="00125C5C">
        <w:rPr>
          <w:lang w:val="es-ES"/>
        </w:rPr>
        <w:t xml:space="preserve"> </w:t>
      </w:r>
      <w:r w:rsidR="00125C5C">
        <w:rPr>
          <w:lang w:val="es-ES"/>
        </w:rPr>
        <w:fldChar w:fldCharType="begin"/>
      </w:r>
      <w:r w:rsidR="00125C5C">
        <w:rPr>
          <w:lang w:val="es-ES"/>
        </w:rPr>
        <w:instrText xml:space="preserve"> REF _Ref135838306 \h </w:instrText>
      </w:r>
      <w:r w:rsidR="00125C5C">
        <w:rPr>
          <w:lang w:val="es-ES"/>
        </w:rPr>
      </w:r>
      <w:r w:rsidR="00125C5C">
        <w:rPr>
          <w:lang w:val="es-ES"/>
        </w:rPr>
        <w:fldChar w:fldCharType="separate"/>
      </w:r>
      <w:r w:rsidR="00020F8B" w:rsidRPr="004A140E">
        <w:rPr>
          <w:lang w:val="es-ES"/>
        </w:rPr>
        <w:t>Figur</w:t>
      </w:r>
      <w:r w:rsidR="00020F8B">
        <w:rPr>
          <w:lang w:val="es-ES"/>
        </w:rPr>
        <w:t>a</w:t>
      </w:r>
      <w:r w:rsidR="00020F8B" w:rsidRPr="004A140E">
        <w:rPr>
          <w:lang w:val="es-ES"/>
        </w:rPr>
        <w:t xml:space="preserve"> </w:t>
      </w:r>
      <w:r w:rsidR="00020F8B">
        <w:rPr>
          <w:noProof/>
          <w:lang w:val="es-ES"/>
        </w:rPr>
        <w:t>2</w:t>
      </w:r>
      <w:r w:rsidR="00020F8B" w:rsidRPr="004A140E">
        <w:rPr>
          <w:lang w:val="es-ES"/>
        </w:rPr>
        <w:t>.</w:t>
      </w:r>
      <w:r w:rsidR="00020F8B">
        <w:rPr>
          <w:noProof/>
          <w:lang w:val="es-ES"/>
        </w:rPr>
        <w:t>3</w:t>
      </w:r>
      <w:r w:rsidR="00125C5C">
        <w:rPr>
          <w:lang w:val="es-ES"/>
        </w:rPr>
        <w:fldChar w:fldCharType="end"/>
      </w:r>
      <w:r w:rsidR="00125C5C">
        <w:rPr>
          <w:lang w:val="es-ES"/>
        </w:rPr>
        <w:t xml:space="preserve"> y</w:t>
      </w:r>
      <w:r>
        <w:rPr>
          <w:lang w:val="es-ES"/>
        </w:rPr>
        <w:t xml:space="preserve"> </w:t>
      </w:r>
      <w:r w:rsidR="00103626">
        <w:rPr>
          <w:lang w:val="es-ES"/>
        </w:rPr>
        <w:fldChar w:fldCharType="begin"/>
      </w:r>
      <w:r w:rsidR="00103626">
        <w:rPr>
          <w:lang w:val="es-ES"/>
        </w:rPr>
        <w:instrText xml:space="preserve"> REF _Ref135838273 \h </w:instrText>
      </w:r>
      <w:r w:rsidR="00103626">
        <w:rPr>
          <w:lang w:val="es-ES"/>
        </w:rPr>
      </w:r>
      <w:r w:rsidR="00103626">
        <w:rPr>
          <w:lang w:val="es-ES"/>
        </w:rPr>
        <w:fldChar w:fldCharType="separate"/>
      </w:r>
      <w:r w:rsidR="00020F8B" w:rsidRPr="00990083">
        <w:rPr>
          <w:lang w:val="es-ES"/>
        </w:rPr>
        <w:t>Figur</w:t>
      </w:r>
      <w:r w:rsidR="00020F8B">
        <w:rPr>
          <w:lang w:val="es-ES"/>
        </w:rPr>
        <w:t>a</w:t>
      </w:r>
      <w:r w:rsidR="00020F8B" w:rsidRPr="00990083">
        <w:rPr>
          <w:lang w:val="es-ES"/>
        </w:rPr>
        <w:t xml:space="preserve"> </w:t>
      </w:r>
      <w:r w:rsidR="00020F8B">
        <w:rPr>
          <w:noProof/>
          <w:lang w:val="es-ES"/>
        </w:rPr>
        <w:t>2</w:t>
      </w:r>
      <w:r w:rsidR="00020F8B" w:rsidRPr="00990083">
        <w:rPr>
          <w:lang w:val="es-ES"/>
        </w:rPr>
        <w:t>.</w:t>
      </w:r>
      <w:r w:rsidR="00020F8B">
        <w:rPr>
          <w:noProof/>
          <w:lang w:val="es-ES"/>
        </w:rPr>
        <w:t>4</w:t>
      </w:r>
      <w:r w:rsidR="00103626">
        <w:rPr>
          <w:lang w:val="es-ES"/>
        </w:rPr>
        <w:fldChar w:fldCharType="end"/>
      </w:r>
      <w:r w:rsidR="00103626">
        <w:rPr>
          <w:lang w:val="es-ES"/>
        </w:rPr>
        <w:t xml:space="preserve"> </w:t>
      </w:r>
      <w:r>
        <w:rPr>
          <w:lang w:val="es-ES"/>
        </w:rPr>
        <w:t xml:space="preserve">incluidas en la sección </w:t>
      </w:r>
      <w:r>
        <w:rPr>
          <w:lang w:val="es-ES"/>
        </w:rPr>
        <w:fldChar w:fldCharType="begin"/>
      </w:r>
      <w:r>
        <w:rPr>
          <w:lang w:val="es-ES"/>
        </w:rPr>
        <w:instrText xml:space="preserve"> REF _Ref135391060 \r \h </w:instrText>
      </w:r>
      <w:r>
        <w:rPr>
          <w:lang w:val="es-ES"/>
        </w:rPr>
      </w:r>
      <w:r>
        <w:rPr>
          <w:lang w:val="es-ES"/>
        </w:rPr>
        <w:fldChar w:fldCharType="separate"/>
      </w:r>
      <w:r w:rsidR="00020F8B">
        <w:rPr>
          <w:lang w:val="es-ES"/>
        </w:rPr>
        <w:t>2</w:t>
      </w:r>
      <w:r>
        <w:rPr>
          <w:lang w:val="es-ES"/>
        </w:rPr>
        <w:fldChar w:fldCharType="end"/>
      </w:r>
      <w:r>
        <w:rPr>
          <w:lang w:val="es-ES"/>
        </w:rPr>
        <w:t xml:space="preserve">, tanto el modelo fijo como el móvil requieren de </w:t>
      </w:r>
      <w:r w:rsidR="00A2354D">
        <w:rPr>
          <w:lang w:val="es-ES"/>
        </w:rPr>
        <w:t xml:space="preserve">los costos unitarios de los elementos de red para poder costear la red y los servicios ofrecidos por el operador. </w:t>
      </w:r>
    </w:p>
    <w:p w14:paraId="7B3EDD81" w14:textId="77777777" w:rsidR="007D470F" w:rsidRDefault="00A2354D" w:rsidP="00792C35">
      <w:pPr>
        <w:rPr>
          <w:lang w:val="es-ES"/>
        </w:rPr>
      </w:pPr>
      <w:r>
        <w:rPr>
          <w:lang w:val="es-ES"/>
        </w:rPr>
        <w:t>Los dos modelos incluyen un listado de cada elemento empleado en la red con una indicación de su capex y opex unitario</w:t>
      </w:r>
      <w:r w:rsidR="00F93082">
        <w:rPr>
          <w:lang w:val="es-ES"/>
        </w:rPr>
        <w:t xml:space="preserve">. </w:t>
      </w:r>
      <w:r w:rsidR="00536950">
        <w:rPr>
          <w:lang w:val="es-ES"/>
        </w:rPr>
        <w:t>El capex es el costo de comprar cada equipo</w:t>
      </w:r>
      <w:r w:rsidR="00636596">
        <w:rPr>
          <w:lang w:val="es-ES"/>
        </w:rPr>
        <w:t xml:space="preserve"> e instalarlo</w:t>
      </w:r>
      <w:r w:rsidR="00536950">
        <w:rPr>
          <w:lang w:val="es-ES"/>
        </w:rPr>
        <w:t>, con base en los datos obtenidos de los operadores, mientras que el opex</w:t>
      </w:r>
      <w:r w:rsidR="00636596">
        <w:rPr>
          <w:lang w:val="es-ES"/>
        </w:rPr>
        <w:t xml:space="preserve"> se compone de costos de operación y mantenimiento y soporte, también basados en información proporcionada por los operadores.</w:t>
      </w:r>
      <w:r w:rsidR="007D470F">
        <w:rPr>
          <w:lang w:val="es-ES"/>
        </w:rPr>
        <w:t xml:space="preserve"> </w:t>
      </w:r>
    </w:p>
    <w:p w14:paraId="3740EFCD" w14:textId="73279E16" w:rsidR="00636596" w:rsidRDefault="00D618B2" w:rsidP="00792C35">
      <w:pPr>
        <w:rPr>
          <w:lang w:val="es-ES"/>
        </w:rPr>
      </w:pPr>
      <w:r>
        <w:rPr>
          <w:lang w:val="es-ES"/>
        </w:rPr>
        <w:t xml:space="preserve">Estos precios unitarios han sido incluidos en el modelo </w:t>
      </w:r>
      <w:r w:rsidR="003D4620">
        <w:rPr>
          <w:lang w:val="es-ES"/>
        </w:rPr>
        <w:t xml:space="preserve">en términos </w:t>
      </w:r>
      <w:r w:rsidR="008B1D5C">
        <w:rPr>
          <w:lang w:val="es-ES"/>
        </w:rPr>
        <w:t xml:space="preserve">de </w:t>
      </w:r>
      <w:r w:rsidR="00C41DF5">
        <w:rPr>
          <w:lang w:val="es-ES"/>
        </w:rPr>
        <w:t>pesos mexicanos reales (</w:t>
      </w:r>
      <w:r w:rsidR="00387E73">
        <w:rPr>
          <w:lang w:val="es-ES"/>
        </w:rPr>
        <w:t xml:space="preserve">también denominados </w:t>
      </w:r>
      <w:r w:rsidR="008854BA">
        <w:rPr>
          <w:lang w:val="es-ES"/>
        </w:rPr>
        <w:t xml:space="preserve">constantes) </w:t>
      </w:r>
      <w:r w:rsidR="003D4620">
        <w:rPr>
          <w:lang w:val="es-ES"/>
        </w:rPr>
        <w:t>para el año 2022</w:t>
      </w:r>
      <w:r w:rsidR="008854BA">
        <w:rPr>
          <w:lang w:val="es-ES"/>
        </w:rPr>
        <w:t>.</w:t>
      </w:r>
      <w:r w:rsidR="008D55B9">
        <w:rPr>
          <w:lang w:val="es-ES"/>
        </w:rPr>
        <w:t xml:space="preserve"> </w:t>
      </w:r>
      <w:r w:rsidR="008854BA">
        <w:rPr>
          <w:lang w:val="es-ES"/>
        </w:rPr>
        <w:t>P</w:t>
      </w:r>
      <w:r w:rsidR="008D55B9">
        <w:rPr>
          <w:lang w:val="es-ES"/>
        </w:rPr>
        <w:t>ara los años posteriores, se aplican las tendencias de costos</w:t>
      </w:r>
      <w:r w:rsidR="00E26BCB">
        <w:rPr>
          <w:lang w:val="es-ES"/>
        </w:rPr>
        <w:t xml:space="preserve"> de los equipos</w:t>
      </w:r>
      <w:r w:rsidR="008D55B9">
        <w:rPr>
          <w:lang w:val="es-ES"/>
        </w:rPr>
        <w:t xml:space="preserve"> (también basadas en datos de los operadores</w:t>
      </w:r>
      <w:r w:rsidR="00591CCD">
        <w:rPr>
          <w:lang w:val="es-ES"/>
        </w:rPr>
        <w:t xml:space="preserve"> y estimaciones basadas en otros modelos </w:t>
      </w:r>
      <w:r w:rsidR="00610F2B">
        <w:rPr>
          <w:lang w:val="es-ES"/>
        </w:rPr>
        <w:t>CILP</w:t>
      </w:r>
      <w:r w:rsidR="008D55B9">
        <w:rPr>
          <w:lang w:val="es-ES"/>
        </w:rPr>
        <w:t xml:space="preserve">), que </w:t>
      </w:r>
      <w:r w:rsidR="00591CCD">
        <w:rPr>
          <w:lang w:val="es-ES"/>
        </w:rPr>
        <w:t xml:space="preserve">actualizan el valor de los equipos que pueda haber en el tiempo debido, por ejemplo, a evoluciones tecnológicas que los pueda hacer </w:t>
      </w:r>
      <w:r w:rsidR="005D0C3C">
        <w:rPr>
          <w:lang w:val="es-ES"/>
        </w:rPr>
        <w:t>menos costosos</w:t>
      </w:r>
      <w:r w:rsidR="00591CCD">
        <w:rPr>
          <w:lang w:val="es-ES"/>
        </w:rPr>
        <w:t xml:space="preserve">. </w:t>
      </w:r>
      <w:r w:rsidR="00317A5C">
        <w:rPr>
          <w:lang w:val="es-ES"/>
        </w:rPr>
        <w:t xml:space="preserve">Sin embargo, las tendencias de costo no tienen en cuenta la inflación (está se considera más adelante), por lo que una tendencia de costo negativa no tiene </w:t>
      </w:r>
      <w:r w:rsidR="002028DB">
        <w:rPr>
          <w:lang w:val="es-ES"/>
        </w:rPr>
        <w:t>por qué</w:t>
      </w:r>
      <w:r w:rsidR="00317A5C">
        <w:rPr>
          <w:lang w:val="es-ES"/>
        </w:rPr>
        <w:t xml:space="preserve"> significar que adquirir cierto equipo </w:t>
      </w:r>
      <w:r w:rsidR="00DB6DA0">
        <w:rPr>
          <w:lang w:val="es-ES"/>
        </w:rPr>
        <w:t xml:space="preserve">en años posteriores </w:t>
      </w:r>
      <w:r w:rsidR="00317A5C">
        <w:rPr>
          <w:lang w:val="es-ES"/>
        </w:rPr>
        <w:t xml:space="preserve">resulte más </w:t>
      </w:r>
      <w:r w:rsidR="005D0C3C">
        <w:rPr>
          <w:lang w:val="es-ES"/>
        </w:rPr>
        <w:t>económico</w:t>
      </w:r>
      <w:r w:rsidR="00747AC1">
        <w:rPr>
          <w:lang w:val="es-ES"/>
        </w:rPr>
        <w:t xml:space="preserve"> en términos nominales</w:t>
      </w:r>
      <w:r w:rsidR="00317A5C">
        <w:rPr>
          <w:lang w:val="es-ES"/>
        </w:rPr>
        <w:t xml:space="preserve">. </w:t>
      </w:r>
      <w:r w:rsidR="00591CCD">
        <w:rPr>
          <w:lang w:val="es-ES"/>
        </w:rPr>
        <w:t>A continuación, se muestra las tendencias de costos de capital para el modelo fijo y el móvil:</w:t>
      </w:r>
    </w:p>
    <w:p w14:paraId="47AF4FEB" w14:textId="18EF2915" w:rsidR="00317A5C" w:rsidRPr="00746902" w:rsidRDefault="00317A5C" w:rsidP="00317A5C">
      <w:pPr>
        <w:pStyle w:val="TableCaption"/>
        <w:rPr>
          <w:lang w:val="es-ES"/>
        </w:rPr>
      </w:pPr>
      <w:r w:rsidRPr="00746902">
        <w:rPr>
          <w:lang w:val="es-ES"/>
        </w:rPr>
        <w:lastRenderedPageBreak/>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29</w:t>
      </w:r>
      <w:r>
        <w:rPr>
          <w:lang w:val="es-ES"/>
        </w:rPr>
        <w:fldChar w:fldCharType="end"/>
      </w:r>
      <w:r w:rsidRPr="00746902">
        <w:rPr>
          <w:lang w:val="es-ES"/>
        </w:rPr>
        <w:t xml:space="preserve">: </w:t>
      </w:r>
      <w:r w:rsidR="009C7533" w:rsidRPr="009C7533">
        <w:rPr>
          <w:lang w:val="es-ES_tradnl"/>
        </w:rPr>
        <w:t xml:space="preserve">Tendencias de costos de capital para </w:t>
      </w:r>
      <w:r w:rsidR="00EC580C">
        <w:rPr>
          <w:lang w:val="es-ES_tradnl"/>
        </w:rPr>
        <w:t>a</w:t>
      </w:r>
      <w:r w:rsidR="00EC580C">
        <w:rPr>
          <w:lang w:val="es-ES"/>
        </w:rPr>
        <w:t xml:space="preserve">ctivos de red fija </w:t>
      </w:r>
      <w:r w:rsidRPr="00746902">
        <w:rPr>
          <w:lang w:val="es-ES"/>
        </w:rPr>
        <w:t>[Fu</w:t>
      </w:r>
      <w:r>
        <w:rPr>
          <w:lang w:val="es-ES"/>
        </w:rPr>
        <w:t>ent</w:t>
      </w:r>
      <w:r w:rsidRPr="00746902">
        <w:rPr>
          <w:lang w:val="es-ES"/>
        </w:rPr>
        <w:t>e: Analysys Mason, 2023]</w:t>
      </w:r>
    </w:p>
    <w:tbl>
      <w:tblPr>
        <w:tblStyle w:val="Sombreadomedio2-nfasis1"/>
        <w:tblW w:w="8214"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4107"/>
        <w:gridCol w:w="4107"/>
      </w:tblGrid>
      <w:tr w:rsidR="0094276A" w:rsidRPr="00746902" w14:paraId="337E457E" w14:textId="77777777" w:rsidTr="009C7533">
        <w:trPr>
          <w:cnfStyle w:val="100000000000" w:firstRow="1" w:lastRow="0" w:firstColumn="0" w:lastColumn="0" w:oddVBand="0" w:evenVBand="0" w:oddHBand="0" w:evenHBand="0" w:firstRowFirstColumn="0" w:firstRowLastColumn="0" w:lastRowFirstColumn="0" w:lastRowLastColumn="0"/>
          <w:trHeight w:val="343"/>
          <w:tblHeader/>
        </w:trPr>
        <w:tc>
          <w:tcPr>
            <w:tcW w:w="4107" w:type="dxa"/>
            <w:tcBorders>
              <w:bottom w:val="single" w:sz="18" w:space="0" w:color="FFFFFF"/>
            </w:tcBorders>
            <w:shd w:val="solid" w:color="0F51B1" w:fill="0F51B1"/>
          </w:tcPr>
          <w:p w14:paraId="2B99CE1A" w14:textId="190CBE92" w:rsidR="0094276A" w:rsidRPr="00883EF2" w:rsidRDefault="0094276A" w:rsidP="0094276A">
            <w:pPr>
              <w:pStyle w:val="Tableheading"/>
              <w:rPr>
                <w:b/>
                <w:color w:val="FFFFFF" w:themeColor="background1"/>
                <w:szCs w:val="20"/>
                <w:lang w:val="es-ES"/>
              </w:rPr>
            </w:pPr>
            <w:r w:rsidRPr="00883EF2">
              <w:rPr>
                <w:b/>
                <w:color w:val="FFFFFF" w:themeColor="background1"/>
                <w:szCs w:val="20"/>
                <w:lang w:val="es-ES"/>
              </w:rPr>
              <w:t>Categoría</w:t>
            </w:r>
          </w:p>
        </w:tc>
        <w:tc>
          <w:tcPr>
            <w:tcW w:w="4107" w:type="dxa"/>
            <w:tcBorders>
              <w:bottom w:val="single" w:sz="18" w:space="0" w:color="FFFFFF"/>
            </w:tcBorders>
            <w:shd w:val="solid" w:color="0F51B1" w:fill="0F51B1"/>
          </w:tcPr>
          <w:p w14:paraId="46848C38" w14:textId="6EAD4316" w:rsidR="0094276A" w:rsidRPr="00883EF2" w:rsidRDefault="0094276A" w:rsidP="0094276A">
            <w:pPr>
              <w:pStyle w:val="Tableheading"/>
              <w:ind w:right="0"/>
              <w:rPr>
                <w:b/>
                <w:color w:val="FFFFFF" w:themeColor="background1"/>
                <w:szCs w:val="20"/>
                <w:lang w:val="es-ES"/>
              </w:rPr>
            </w:pPr>
            <w:r w:rsidRPr="00883EF2">
              <w:rPr>
                <w:b/>
                <w:color w:val="FFFFFF" w:themeColor="background1"/>
                <w:szCs w:val="20"/>
                <w:lang w:val="es-ES"/>
              </w:rPr>
              <w:t>Tendencias de costo</w:t>
            </w:r>
          </w:p>
        </w:tc>
      </w:tr>
      <w:tr w:rsidR="0094276A" w:rsidRPr="0094276A" w14:paraId="5EDAA1CC" w14:textId="77777777">
        <w:trPr>
          <w:trHeight w:val="343"/>
        </w:trPr>
        <w:tc>
          <w:tcPr>
            <w:tcW w:w="4107" w:type="dxa"/>
            <w:tcBorders>
              <w:top w:val="single" w:sz="18" w:space="0" w:color="FFFFFF"/>
            </w:tcBorders>
            <w:vAlign w:val="center"/>
          </w:tcPr>
          <w:p w14:paraId="0E3CC2A6" w14:textId="28330DA3" w:rsidR="0094276A" w:rsidRPr="00883EF2" w:rsidRDefault="0094276A" w:rsidP="0094276A">
            <w:pPr>
              <w:pStyle w:val="Tableheading"/>
              <w:rPr>
                <w:bCs/>
                <w:color w:val="auto"/>
                <w:szCs w:val="20"/>
                <w:lang w:val="es-ES"/>
              </w:rPr>
            </w:pPr>
            <w:r w:rsidRPr="00883EF2">
              <w:rPr>
                <w:bCs/>
                <w:color w:val="auto"/>
                <w:szCs w:val="20"/>
                <w:lang w:val="es-ES"/>
              </w:rPr>
              <w:t>Tarjetas de líneas</w:t>
            </w:r>
          </w:p>
        </w:tc>
        <w:tc>
          <w:tcPr>
            <w:tcW w:w="4107" w:type="dxa"/>
            <w:tcBorders>
              <w:top w:val="single" w:sz="18" w:space="0" w:color="FFFFFF"/>
            </w:tcBorders>
            <w:vAlign w:val="bottom"/>
          </w:tcPr>
          <w:p w14:paraId="4C0425E8" w14:textId="726A9AEC" w:rsidR="0094276A" w:rsidRPr="00883EF2" w:rsidRDefault="0094276A" w:rsidP="0094276A">
            <w:pPr>
              <w:pStyle w:val="Tableheading"/>
              <w:jc w:val="right"/>
              <w:rPr>
                <w:b w:val="0"/>
                <w:color w:val="auto"/>
                <w:szCs w:val="20"/>
                <w:lang w:val="es-ES"/>
              </w:rPr>
            </w:pPr>
            <w:r w:rsidRPr="00883EF2">
              <w:rPr>
                <w:b w:val="0"/>
                <w:color w:val="auto"/>
                <w:szCs w:val="20"/>
                <w:lang w:val="es-ES"/>
              </w:rPr>
              <w:t>0%</w:t>
            </w:r>
          </w:p>
        </w:tc>
      </w:tr>
      <w:tr w:rsidR="0094276A" w:rsidRPr="0094276A" w14:paraId="4F9C19FA" w14:textId="77777777">
        <w:trPr>
          <w:trHeight w:val="343"/>
        </w:trPr>
        <w:tc>
          <w:tcPr>
            <w:tcW w:w="4107" w:type="dxa"/>
            <w:vAlign w:val="center"/>
          </w:tcPr>
          <w:p w14:paraId="047DEBCD" w14:textId="159A0288" w:rsidR="0094276A" w:rsidRPr="00883EF2" w:rsidRDefault="0094276A" w:rsidP="0094276A">
            <w:pPr>
              <w:pStyle w:val="Tableheading"/>
              <w:rPr>
                <w:bCs/>
                <w:color w:val="auto"/>
                <w:szCs w:val="20"/>
                <w:lang w:val="es-ES"/>
              </w:rPr>
            </w:pPr>
            <w:r w:rsidRPr="00883EF2">
              <w:rPr>
                <w:bCs/>
                <w:color w:val="auto"/>
                <w:szCs w:val="20"/>
                <w:lang w:val="es-ES"/>
              </w:rPr>
              <w:t>Tarjetas de puertos</w:t>
            </w:r>
          </w:p>
        </w:tc>
        <w:tc>
          <w:tcPr>
            <w:tcW w:w="4107" w:type="dxa"/>
            <w:vAlign w:val="bottom"/>
          </w:tcPr>
          <w:p w14:paraId="6DCBBF08" w14:textId="07317E89" w:rsidR="0094276A" w:rsidRPr="00883EF2" w:rsidRDefault="0094276A" w:rsidP="0094276A">
            <w:pPr>
              <w:pStyle w:val="Tableheading"/>
              <w:jc w:val="right"/>
              <w:rPr>
                <w:b w:val="0"/>
                <w:color w:val="auto"/>
                <w:szCs w:val="20"/>
                <w:lang w:val="es-ES"/>
              </w:rPr>
            </w:pPr>
            <w:r w:rsidRPr="00883EF2">
              <w:rPr>
                <w:b w:val="0"/>
                <w:color w:val="auto"/>
                <w:szCs w:val="20"/>
                <w:lang w:val="es-ES"/>
              </w:rPr>
              <w:t>–8%</w:t>
            </w:r>
          </w:p>
        </w:tc>
      </w:tr>
      <w:tr w:rsidR="0094276A" w:rsidRPr="0094276A" w14:paraId="434F758C" w14:textId="77777777">
        <w:trPr>
          <w:trHeight w:val="343"/>
        </w:trPr>
        <w:tc>
          <w:tcPr>
            <w:tcW w:w="4107" w:type="dxa"/>
            <w:vAlign w:val="center"/>
          </w:tcPr>
          <w:p w14:paraId="329D6A4E" w14:textId="16A4615F" w:rsidR="0094276A" w:rsidRPr="00883EF2" w:rsidRDefault="0094276A" w:rsidP="0094276A">
            <w:pPr>
              <w:pStyle w:val="Tableheading"/>
              <w:rPr>
                <w:bCs/>
                <w:color w:val="auto"/>
                <w:szCs w:val="20"/>
                <w:lang w:val="es-ES"/>
              </w:rPr>
            </w:pPr>
            <w:r w:rsidRPr="00883EF2">
              <w:rPr>
                <w:bCs/>
                <w:color w:val="auto"/>
                <w:szCs w:val="20"/>
                <w:lang w:val="es-ES"/>
              </w:rPr>
              <w:t>Chasís</w:t>
            </w:r>
          </w:p>
        </w:tc>
        <w:tc>
          <w:tcPr>
            <w:tcW w:w="4107" w:type="dxa"/>
            <w:vAlign w:val="bottom"/>
          </w:tcPr>
          <w:p w14:paraId="5C040E0C" w14:textId="77F716FD" w:rsidR="0094276A" w:rsidRPr="00883EF2" w:rsidRDefault="0094276A" w:rsidP="0094276A">
            <w:pPr>
              <w:pStyle w:val="Tableheading"/>
              <w:jc w:val="right"/>
              <w:rPr>
                <w:b w:val="0"/>
                <w:color w:val="auto"/>
                <w:szCs w:val="20"/>
                <w:lang w:val="es-ES"/>
              </w:rPr>
            </w:pPr>
            <w:r w:rsidRPr="00883EF2">
              <w:rPr>
                <w:b w:val="0"/>
                <w:color w:val="auto"/>
                <w:szCs w:val="20"/>
                <w:lang w:val="es-ES"/>
              </w:rPr>
              <w:t>–5%</w:t>
            </w:r>
          </w:p>
        </w:tc>
      </w:tr>
      <w:tr w:rsidR="0094276A" w:rsidRPr="0094276A" w14:paraId="4693D5AC" w14:textId="77777777">
        <w:trPr>
          <w:trHeight w:val="343"/>
        </w:trPr>
        <w:tc>
          <w:tcPr>
            <w:tcW w:w="4107" w:type="dxa"/>
            <w:vAlign w:val="center"/>
          </w:tcPr>
          <w:p w14:paraId="5A5D62A9" w14:textId="1111B7B8" w:rsidR="0094276A" w:rsidRPr="00883EF2" w:rsidRDefault="0094276A" w:rsidP="0094276A">
            <w:pPr>
              <w:pStyle w:val="Tableheading"/>
              <w:rPr>
                <w:bCs/>
                <w:color w:val="auto"/>
                <w:szCs w:val="20"/>
                <w:lang w:val="es-ES"/>
              </w:rPr>
            </w:pPr>
            <w:r w:rsidRPr="00883EF2">
              <w:rPr>
                <w:bCs/>
                <w:color w:val="auto"/>
                <w:szCs w:val="20"/>
                <w:lang w:val="es-ES"/>
              </w:rPr>
              <w:t>Transmisión activa</w:t>
            </w:r>
          </w:p>
        </w:tc>
        <w:tc>
          <w:tcPr>
            <w:tcW w:w="4107" w:type="dxa"/>
            <w:vAlign w:val="bottom"/>
          </w:tcPr>
          <w:p w14:paraId="4B9ECF53" w14:textId="754DAD8A" w:rsidR="0094276A" w:rsidRPr="00883EF2" w:rsidRDefault="0094276A" w:rsidP="0094276A">
            <w:pPr>
              <w:pStyle w:val="Tableheading"/>
              <w:jc w:val="right"/>
              <w:rPr>
                <w:b w:val="0"/>
                <w:color w:val="auto"/>
                <w:szCs w:val="20"/>
                <w:lang w:val="es-ES"/>
              </w:rPr>
            </w:pPr>
            <w:r w:rsidRPr="00883EF2">
              <w:rPr>
                <w:b w:val="0"/>
                <w:color w:val="auto"/>
                <w:szCs w:val="20"/>
                <w:lang w:val="es-ES"/>
              </w:rPr>
              <w:t>–5%</w:t>
            </w:r>
          </w:p>
        </w:tc>
      </w:tr>
      <w:tr w:rsidR="0094276A" w:rsidRPr="0094276A" w14:paraId="440DA353" w14:textId="77777777">
        <w:trPr>
          <w:trHeight w:val="352"/>
        </w:trPr>
        <w:tc>
          <w:tcPr>
            <w:tcW w:w="4107" w:type="dxa"/>
            <w:vAlign w:val="center"/>
          </w:tcPr>
          <w:p w14:paraId="3078F689" w14:textId="78FFE118" w:rsidR="0094276A" w:rsidRPr="00883EF2" w:rsidRDefault="0094276A" w:rsidP="0094276A">
            <w:pPr>
              <w:pStyle w:val="Tableheading"/>
              <w:rPr>
                <w:bCs/>
                <w:color w:val="auto"/>
                <w:szCs w:val="20"/>
                <w:lang w:val="es-ES"/>
              </w:rPr>
            </w:pPr>
            <w:r w:rsidRPr="00883EF2">
              <w:rPr>
                <w:bCs/>
                <w:color w:val="auto"/>
                <w:szCs w:val="20"/>
                <w:lang w:val="es-ES"/>
              </w:rPr>
              <w:t>Transmisión pasiva</w:t>
            </w:r>
          </w:p>
        </w:tc>
        <w:tc>
          <w:tcPr>
            <w:tcW w:w="4107" w:type="dxa"/>
            <w:vAlign w:val="bottom"/>
          </w:tcPr>
          <w:p w14:paraId="2B96B173" w14:textId="2DE6466A" w:rsidR="0094276A" w:rsidRPr="00883EF2" w:rsidRDefault="0094276A" w:rsidP="0094276A">
            <w:pPr>
              <w:pStyle w:val="Tableheading"/>
              <w:jc w:val="right"/>
              <w:rPr>
                <w:b w:val="0"/>
                <w:color w:val="auto"/>
                <w:szCs w:val="20"/>
                <w:lang w:val="es-ES"/>
              </w:rPr>
            </w:pPr>
            <w:r w:rsidRPr="00883EF2">
              <w:rPr>
                <w:b w:val="0"/>
                <w:color w:val="auto"/>
                <w:szCs w:val="20"/>
                <w:lang w:val="es-ES"/>
              </w:rPr>
              <w:t>0%</w:t>
            </w:r>
          </w:p>
        </w:tc>
      </w:tr>
      <w:tr w:rsidR="0094276A" w:rsidRPr="0094276A" w14:paraId="0F0F744A" w14:textId="77777777">
        <w:trPr>
          <w:trHeight w:val="343"/>
        </w:trPr>
        <w:tc>
          <w:tcPr>
            <w:tcW w:w="4107" w:type="dxa"/>
            <w:vAlign w:val="center"/>
          </w:tcPr>
          <w:p w14:paraId="1C46EFD2" w14:textId="76281763" w:rsidR="0094276A" w:rsidRPr="00883EF2" w:rsidRDefault="0094276A" w:rsidP="0094276A">
            <w:pPr>
              <w:pStyle w:val="Tableheading"/>
              <w:rPr>
                <w:bCs/>
                <w:color w:val="auto"/>
                <w:szCs w:val="20"/>
                <w:lang w:val="es-ES"/>
              </w:rPr>
            </w:pPr>
            <w:r w:rsidRPr="00883EF2">
              <w:rPr>
                <w:bCs/>
                <w:color w:val="auto"/>
                <w:szCs w:val="20"/>
                <w:lang w:val="es-ES"/>
              </w:rPr>
              <w:t>Plataformas de servicio</w:t>
            </w:r>
          </w:p>
        </w:tc>
        <w:tc>
          <w:tcPr>
            <w:tcW w:w="4107" w:type="dxa"/>
            <w:vAlign w:val="bottom"/>
          </w:tcPr>
          <w:p w14:paraId="686AFE50" w14:textId="7B162AB8" w:rsidR="0094276A" w:rsidRPr="00883EF2" w:rsidRDefault="0094276A" w:rsidP="0094276A">
            <w:pPr>
              <w:pStyle w:val="Tableheading"/>
              <w:jc w:val="right"/>
              <w:rPr>
                <w:b w:val="0"/>
                <w:color w:val="auto"/>
                <w:szCs w:val="20"/>
                <w:lang w:val="es-ES"/>
              </w:rPr>
            </w:pPr>
            <w:r w:rsidRPr="00883EF2">
              <w:rPr>
                <w:b w:val="0"/>
                <w:color w:val="auto"/>
                <w:szCs w:val="20"/>
                <w:lang w:val="es-ES"/>
              </w:rPr>
              <w:t>–5%</w:t>
            </w:r>
          </w:p>
        </w:tc>
      </w:tr>
      <w:tr w:rsidR="0094276A" w:rsidRPr="0094276A" w14:paraId="376587A0" w14:textId="77777777">
        <w:trPr>
          <w:trHeight w:val="343"/>
        </w:trPr>
        <w:tc>
          <w:tcPr>
            <w:tcW w:w="4107" w:type="dxa"/>
            <w:vAlign w:val="center"/>
          </w:tcPr>
          <w:p w14:paraId="62180C9D" w14:textId="1C71DB7E" w:rsidR="0094276A" w:rsidRPr="00883EF2" w:rsidRDefault="0094276A" w:rsidP="0094276A">
            <w:pPr>
              <w:pStyle w:val="Tableheading"/>
              <w:rPr>
                <w:bCs/>
                <w:color w:val="auto"/>
                <w:szCs w:val="20"/>
                <w:lang w:val="es-ES"/>
              </w:rPr>
            </w:pPr>
            <w:r w:rsidRPr="00883EF2">
              <w:rPr>
                <w:bCs/>
                <w:color w:val="auto"/>
                <w:szCs w:val="20"/>
                <w:lang w:val="es-ES"/>
              </w:rPr>
              <w:t>Gestión de red y facturación</w:t>
            </w:r>
          </w:p>
        </w:tc>
        <w:tc>
          <w:tcPr>
            <w:tcW w:w="4107" w:type="dxa"/>
            <w:vAlign w:val="bottom"/>
          </w:tcPr>
          <w:p w14:paraId="4FA8DEBE" w14:textId="56FE33FC" w:rsidR="0094276A" w:rsidRPr="00883EF2" w:rsidRDefault="0094276A" w:rsidP="0094276A">
            <w:pPr>
              <w:pStyle w:val="Tableheading"/>
              <w:jc w:val="right"/>
              <w:rPr>
                <w:b w:val="0"/>
                <w:color w:val="auto"/>
                <w:szCs w:val="20"/>
                <w:lang w:val="es-ES"/>
              </w:rPr>
            </w:pPr>
            <w:r w:rsidRPr="00883EF2">
              <w:rPr>
                <w:b w:val="0"/>
                <w:color w:val="auto"/>
                <w:szCs w:val="20"/>
                <w:lang w:val="es-ES"/>
              </w:rPr>
              <w:t>–5%</w:t>
            </w:r>
          </w:p>
        </w:tc>
      </w:tr>
      <w:tr w:rsidR="0094276A" w:rsidRPr="0094276A" w14:paraId="2A7484C3" w14:textId="77777777">
        <w:trPr>
          <w:trHeight w:val="343"/>
        </w:trPr>
        <w:tc>
          <w:tcPr>
            <w:tcW w:w="4107" w:type="dxa"/>
            <w:vAlign w:val="center"/>
          </w:tcPr>
          <w:p w14:paraId="65D8AE24" w14:textId="711D21C3" w:rsidR="0094276A" w:rsidRPr="00883EF2" w:rsidRDefault="0094276A" w:rsidP="0094276A">
            <w:pPr>
              <w:pStyle w:val="Tableheading"/>
              <w:rPr>
                <w:bCs/>
                <w:color w:val="auto"/>
                <w:szCs w:val="20"/>
                <w:lang w:val="es-ES"/>
              </w:rPr>
            </w:pPr>
            <w:r w:rsidRPr="00883EF2">
              <w:rPr>
                <w:bCs/>
                <w:color w:val="auto"/>
                <w:szCs w:val="20"/>
                <w:lang w:val="es-ES"/>
              </w:rPr>
              <w:t>Emplazamientos</w:t>
            </w:r>
          </w:p>
        </w:tc>
        <w:tc>
          <w:tcPr>
            <w:tcW w:w="4107" w:type="dxa"/>
            <w:vAlign w:val="bottom"/>
          </w:tcPr>
          <w:p w14:paraId="449D89D2" w14:textId="05A5202B" w:rsidR="0094276A" w:rsidRPr="00883EF2" w:rsidRDefault="0094276A" w:rsidP="0094276A">
            <w:pPr>
              <w:pStyle w:val="Tableheading"/>
              <w:jc w:val="right"/>
              <w:rPr>
                <w:b w:val="0"/>
                <w:color w:val="auto"/>
                <w:szCs w:val="20"/>
                <w:lang w:val="es-ES"/>
              </w:rPr>
            </w:pPr>
            <w:r w:rsidRPr="00883EF2">
              <w:rPr>
                <w:b w:val="0"/>
                <w:color w:val="auto"/>
                <w:szCs w:val="20"/>
                <w:lang w:val="es-ES"/>
              </w:rPr>
              <w:t>+2%</w:t>
            </w:r>
          </w:p>
        </w:tc>
      </w:tr>
      <w:tr w:rsidR="0094276A" w:rsidRPr="0094276A" w14:paraId="47041D35" w14:textId="77777777">
        <w:trPr>
          <w:trHeight w:val="352"/>
        </w:trPr>
        <w:tc>
          <w:tcPr>
            <w:tcW w:w="4107" w:type="dxa"/>
            <w:vAlign w:val="center"/>
          </w:tcPr>
          <w:p w14:paraId="66AA4A8D" w14:textId="2ACFBB82" w:rsidR="0094276A" w:rsidRPr="00883EF2" w:rsidRDefault="0094276A" w:rsidP="0094276A">
            <w:pPr>
              <w:pStyle w:val="Tableheading"/>
              <w:rPr>
                <w:bCs/>
                <w:color w:val="auto"/>
                <w:szCs w:val="20"/>
                <w:lang w:val="es-ES"/>
              </w:rPr>
            </w:pPr>
            <w:r w:rsidRPr="00883EF2">
              <w:rPr>
                <w:bCs/>
                <w:color w:val="auto"/>
                <w:szCs w:val="20"/>
                <w:lang w:val="es-ES"/>
              </w:rPr>
              <w:t>Trench civil works</w:t>
            </w:r>
          </w:p>
        </w:tc>
        <w:tc>
          <w:tcPr>
            <w:tcW w:w="4107" w:type="dxa"/>
            <w:vAlign w:val="bottom"/>
          </w:tcPr>
          <w:p w14:paraId="2DFAFABC" w14:textId="7E59324E" w:rsidR="0094276A" w:rsidRPr="00883EF2" w:rsidRDefault="0094276A" w:rsidP="0094276A">
            <w:pPr>
              <w:pStyle w:val="Tableheading"/>
              <w:jc w:val="right"/>
              <w:rPr>
                <w:b w:val="0"/>
                <w:color w:val="auto"/>
                <w:szCs w:val="20"/>
                <w:lang w:val="es-ES"/>
              </w:rPr>
            </w:pPr>
            <w:r w:rsidRPr="00883EF2">
              <w:rPr>
                <w:b w:val="0"/>
                <w:color w:val="auto"/>
                <w:szCs w:val="20"/>
                <w:lang w:val="es-ES"/>
              </w:rPr>
              <w:t>+2%</w:t>
            </w:r>
          </w:p>
        </w:tc>
      </w:tr>
    </w:tbl>
    <w:p w14:paraId="5D986FA2" w14:textId="08F48D2D" w:rsidR="0094276A" w:rsidRPr="00746902" w:rsidRDefault="0094276A" w:rsidP="0094276A">
      <w:pPr>
        <w:pStyle w:val="TableCaption"/>
        <w:rPr>
          <w:lang w:val="es-ES"/>
        </w:rPr>
      </w:pPr>
      <w:r w:rsidRPr="00746902">
        <w:rPr>
          <w:lang w:val="es-ES"/>
        </w:rPr>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30</w:t>
      </w:r>
      <w:r>
        <w:rPr>
          <w:lang w:val="es-ES"/>
        </w:rPr>
        <w:fldChar w:fldCharType="end"/>
      </w:r>
      <w:r w:rsidRPr="00746902">
        <w:rPr>
          <w:lang w:val="es-ES"/>
        </w:rPr>
        <w:t xml:space="preserve">: </w:t>
      </w:r>
      <w:r w:rsidRPr="009C7533">
        <w:rPr>
          <w:lang w:val="es-ES_tradnl"/>
        </w:rPr>
        <w:t xml:space="preserve">Tendencias de costos de capital para </w:t>
      </w:r>
      <w:r w:rsidR="00EC580C">
        <w:rPr>
          <w:lang w:val="es-ES_tradnl"/>
        </w:rPr>
        <w:t>a</w:t>
      </w:r>
      <w:r w:rsidR="00EC580C">
        <w:rPr>
          <w:lang w:val="es-ES"/>
        </w:rPr>
        <w:t xml:space="preserve">ctivos de red móvil </w:t>
      </w:r>
      <w:r w:rsidRPr="00746902">
        <w:rPr>
          <w:lang w:val="es-ES"/>
        </w:rPr>
        <w:t>Fu</w:t>
      </w:r>
      <w:r>
        <w:rPr>
          <w:lang w:val="es-ES"/>
        </w:rPr>
        <w:t>ent</w:t>
      </w:r>
      <w:r w:rsidRPr="00746902">
        <w:rPr>
          <w:lang w:val="es-ES"/>
        </w:rPr>
        <w:t>e: Analysys Mason, 2023]</w:t>
      </w:r>
    </w:p>
    <w:tbl>
      <w:tblPr>
        <w:tblStyle w:val="Sombreadomedio2-nfasis1"/>
        <w:tblW w:w="8214"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4107"/>
        <w:gridCol w:w="4107"/>
      </w:tblGrid>
      <w:tr w:rsidR="0094276A" w:rsidRPr="00746902" w14:paraId="2D98190D" w14:textId="77777777">
        <w:trPr>
          <w:cnfStyle w:val="100000000000" w:firstRow="1" w:lastRow="0" w:firstColumn="0" w:lastColumn="0" w:oddVBand="0" w:evenVBand="0" w:oddHBand="0" w:evenHBand="0" w:firstRowFirstColumn="0" w:firstRowLastColumn="0" w:lastRowFirstColumn="0" w:lastRowLastColumn="0"/>
          <w:trHeight w:val="343"/>
          <w:tblHeader/>
        </w:trPr>
        <w:tc>
          <w:tcPr>
            <w:tcW w:w="4107" w:type="dxa"/>
            <w:tcBorders>
              <w:bottom w:val="single" w:sz="18" w:space="0" w:color="FFFFFF"/>
            </w:tcBorders>
            <w:shd w:val="solid" w:color="0F51B1" w:fill="0F51B1"/>
          </w:tcPr>
          <w:p w14:paraId="3BFF93C3" w14:textId="77777777" w:rsidR="0094276A" w:rsidRPr="00883EF2" w:rsidRDefault="0094276A">
            <w:pPr>
              <w:pStyle w:val="Tableheading"/>
              <w:rPr>
                <w:b/>
                <w:color w:val="FFFFFF" w:themeColor="background1"/>
                <w:szCs w:val="20"/>
                <w:lang w:val="es-ES"/>
              </w:rPr>
            </w:pPr>
            <w:r w:rsidRPr="00883EF2">
              <w:rPr>
                <w:b/>
                <w:color w:val="FFFFFF" w:themeColor="background1"/>
                <w:szCs w:val="20"/>
                <w:lang w:val="es-ES"/>
              </w:rPr>
              <w:t>Categoría</w:t>
            </w:r>
          </w:p>
        </w:tc>
        <w:tc>
          <w:tcPr>
            <w:tcW w:w="4107" w:type="dxa"/>
            <w:tcBorders>
              <w:bottom w:val="single" w:sz="18" w:space="0" w:color="FFFFFF"/>
            </w:tcBorders>
            <w:shd w:val="solid" w:color="0F51B1" w:fill="0F51B1"/>
          </w:tcPr>
          <w:p w14:paraId="56D4679F" w14:textId="77777777" w:rsidR="0094276A" w:rsidRPr="00883EF2" w:rsidRDefault="0094276A">
            <w:pPr>
              <w:pStyle w:val="Tableheading"/>
              <w:ind w:right="0"/>
              <w:rPr>
                <w:b/>
                <w:color w:val="FFFFFF" w:themeColor="background1"/>
                <w:szCs w:val="20"/>
                <w:lang w:val="es-ES"/>
              </w:rPr>
            </w:pPr>
            <w:r w:rsidRPr="00883EF2">
              <w:rPr>
                <w:b/>
                <w:color w:val="FFFFFF" w:themeColor="background1"/>
                <w:szCs w:val="20"/>
                <w:lang w:val="es-ES"/>
              </w:rPr>
              <w:t>Tendencias de costo</w:t>
            </w:r>
          </w:p>
        </w:tc>
      </w:tr>
      <w:tr w:rsidR="0094276A" w:rsidRPr="00F2510D" w14:paraId="2015E7D4" w14:textId="77777777">
        <w:trPr>
          <w:trHeight w:val="343"/>
        </w:trPr>
        <w:tc>
          <w:tcPr>
            <w:tcW w:w="4107" w:type="dxa"/>
            <w:tcBorders>
              <w:top w:val="single" w:sz="18" w:space="0" w:color="FFFFFF"/>
            </w:tcBorders>
            <w:vAlign w:val="center"/>
          </w:tcPr>
          <w:p w14:paraId="3F05DCD7" w14:textId="0159773C" w:rsidR="0094276A" w:rsidRPr="00883EF2" w:rsidRDefault="0094276A" w:rsidP="0094276A">
            <w:pPr>
              <w:pStyle w:val="Tableheading"/>
              <w:rPr>
                <w:bCs/>
                <w:color w:val="auto"/>
                <w:szCs w:val="20"/>
                <w:lang w:val="es-ES"/>
              </w:rPr>
            </w:pPr>
            <w:r w:rsidRPr="00883EF2">
              <w:rPr>
                <w:bCs/>
                <w:color w:val="auto"/>
                <w:szCs w:val="20"/>
                <w:lang w:val="es-ES"/>
              </w:rPr>
              <w:t>Sitios</w:t>
            </w:r>
          </w:p>
        </w:tc>
        <w:tc>
          <w:tcPr>
            <w:tcW w:w="4107" w:type="dxa"/>
            <w:tcBorders>
              <w:top w:val="single" w:sz="18" w:space="0" w:color="FFFFFF"/>
            </w:tcBorders>
            <w:vAlign w:val="bottom"/>
          </w:tcPr>
          <w:p w14:paraId="5EF60B21" w14:textId="10C7FA8D" w:rsidR="0094276A" w:rsidRPr="00883EF2" w:rsidRDefault="0094276A" w:rsidP="0094276A">
            <w:pPr>
              <w:pStyle w:val="Tableheading"/>
              <w:jc w:val="right"/>
              <w:rPr>
                <w:b w:val="0"/>
                <w:color w:val="auto"/>
                <w:szCs w:val="20"/>
                <w:lang w:val="es-ES"/>
              </w:rPr>
            </w:pPr>
            <w:r w:rsidRPr="00883EF2">
              <w:rPr>
                <w:b w:val="0"/>
                <w:color w:val="auto"/>
                <w:szCs w:val="20"/>
                <w:lang w:val="es-ES"/>
              </w:rPr>
              <w:t>1%</w:t>
            </w:r>
          </w:p>
        </w:tc>
      </w:tr>
      <w:tr w:rsidR="0094276A" w:rsidRPr="00F2510D" w14:paraId="16291037" w14:textId="77777777">
        <w:trPr>
          <w:trHeight w:val="343"/>
        </w:trPr>
        <w:tc>
          <w:tcPr>
            <w:tcW w:w="4107" w:type="dxa"/>
            <w:vAlign w:val="center"/>
          </w:tcPr>
          <w:p w14:paraId="036B66A4" w14:textId="55956F22" w:rsidR="0094276A" w:rsidRPr="00883EF2" w:rsidRDefault="0094276A" w:rsidP="0094276A">
            <w:pPr>
              <w:pStyle w:val="Tableheading"/>
              <w:rPr>
                <w:bCs/>
                <w:color w:val="auto"/>
                <w:szCs w:val="20"/>
                <w:lang w:val="es-ES"/>
              </w:rPr>
            </w:pPr>
            <w:r w:rsidRPr="00883EF2">
              <w:rPr>
                <w:bCs/>
                <w:color w:val="auto"/>
                <w:szCs w:val="20"/>
                <w:lang w:val="es-ES"/>
              </w:rPr>
              <w:t>2G_BTS</w:t>
            </w:r>
          </w:p>
        </w:tc>
        <w:tc>
          <w:tcPr>
            <w:tcW w:w="4107" w:type="dxa"/>
            <w:vAlign w:val="bottom"/>
          </w:tcPr>
          <w:p w14:paraId="4A4D6503" w14:textId="735E7CDB" w:rsidR="0094276A" w:rsidRPr="00883EF2" w:rsidRDefault="0094276A" w:rsidP="0094276A">
            <w:pPr>
              <w:pStyle w:val="Tableheading"/>
              <w:jc w:val="right"/>
              <w:rPr>
                <w:b w:val="0"/>
                <w:color w:val="auto"/>
                <w:szCs w:val="20"/>
                <w:lang w:val="es-ES"/>
              </w:rPr>
            </w:pPr>
            <w:r w:rsidRPr="00883EF2">
              <w:rPr>
                <w:b w:val="0"/>
                <w:color w:val="auto"/>
                <w:szCs w:val="20"/>
                <w:lang w:val="es-ES"/>
              </w:rPr>
              <w:t>–3%</w:t>
            </w:r>
          </w:p>
        </w:tc>
      </w:tr>
      <w:tr w:rsidR="0094276A" w:rsidRPr="00F2510D" w14:paraId="634292B9" w14:textId="77777777">
        <w:trPr>
          <w:trHeight w:val="343"/>
        </w:trPr>
        <w:tc>
          <w:tcPr>
            <w:tcW w:w="4107" w:type="dxa"/>
            <w:vAlign w:val="center"/>
          </w:tcPr>
          <w:p w14:paraId="405FC594" w14:textId="1F0C9C25" w:rsidR="0094276A" w:rsidRPr="00883EF2" w:rsidRDefault="0094276A" w:rsidP="0094276A">
            <w:pPr>
              <w:pStyle w:val="Tableheading"/>
              <w:rPr>
                <w:bCs/>
                <w:color w:val="auto"/>
                <w:szCs w:val="20"/>
                <w:lang w:val="es-ES"/>
              </w:rPr>
            </w:pPr>
            <w:r w:rsidRPr="00883EF2">
              <w:rPr>
                <w:bCs/>
                <w:color w:val="auto"/>
                <w:szCs w:val="20"/>
                <w:lang w:val="es-ES"/>
              </w:rPr>
              <w:t>NodoB</w:t>
            </w:r>
          </w:p>
        </w:tc>
        <w:tc>
          <w:tcPr>
            <w:tcW w:w="4107" w:type="dxa"/>
            <w:vAlign w:val="bottom"/>
          </w:tcPr>
          <w:p w14:paraId="352B9010" w14:textId="39F1ACBA" w:rsidR="0094276A" w:rsidRPr="00883EF2" w:rsidRDefault="0094276A" w:rsidP="0094276A">
            <w:pPr>
              <w:pStyle w:val="Tableheading"/>
              <w:jc w:val="right"/>
              <w:rPr>
                <w:b w:val="0"/>
                <w:color w:val="auto"/>
                <w:szCs w:val="20"/>
                <w:lang w:val="es-ES"/>
              </w:rPr>
            </w:pPr>
            <w:r w:rsidRPr="00883EF2">
              <w:rPr>
                <w:b w:val="0"/>
                <w:color w:val="auto"/>
                <w:szCs w:val="20"/>
                <w:lang w:val="es-ES"/>
              </w:rPr>
              <w:t>–4%</w:t>
            </w:r>
          </w:p>
        </w:tc>
      </w:tr>
      <w:tr w:rsidR="0094276A" w:rsidRPr="00F2510D" w14:paraId="08925A2E" w14:textId="77777777">
        <w:trPr>
          <w:trHeight w:val="343"/>
        </w:trPr>
        <w:tc>
          <w:tcPr>
            <w:tcW w:w="4107" w:type="dxa"/>
            <w:vAlign w:val="center"/>
          </w:tcPr>
          <w:p w14:paraId="0C03A60A" w14:textId="3F90578E" w:rsidR="0094276A" w:rsidRPr="00883EF2" w:rsidRDefault="0094276A" w:rsidP="0094276A">
            <w:pPr>
              <w:pStyle w:val="Tableheading"/>
              <w:rPr>
                <w:bCs/>
                <w:color w:val="auto"/>
                <w:szCs w:val="20"/>
                <w:lang w:val="es-ES"/>
              </w:rPr>
            </w:pPr>
            <w:r w:rsidRPr="00883EF2">
              <w:rPr>
                <w:bCs/>
                <w:color w:val="auto"/>
                <w:szCs w:val="20"/>
                <w:lang w:val="es-ES"/>
              </w:rPr>
              <w:t>eNodoB</w:t>
            </w:r>
          </w:p>
        </w:tc>
        <w:tc>
          <w:tcPr>
            <w:tcW w:w="4107" w:type="dxa"/>
            <w:vAlign w:val="bottom"/>
          </w:tcPr>
          <w:p w14:paraId="03059784" w14:textId="67F89EC7" w:rsidR="0094276A" w:rsidRPr="00883EF2" w:rsidRDefault="0094276A" w:rsidP="0094276A">
            <w:pPr>
              <w:pStyle w:val="Tableheading"/>
              <w:jc w:val="right"/>
              <w:rPr>
                <w:b w:val="0"/>
                <w:color w:val="auto"/>
                <w:szCs w:val="20"/>
                <w:lang w:val="es-ES"/>
              </w:rPr>
            </w:pPr>
            <w:r w:rsidRPr="00883EF2">
              <w:rPr>
                <w:b w:val="0"/>
                <w:color w:val="auto"/>
                <w:szCs w:val="20"/>
                <w:lang w:val="es-ES"/>
              </w:rPr>
              <w:t>–4%</w:t>
            </w:r>
          </w:p>
        </w:tc>
      </w:tr>
      <w:tr w:rsidR="0094276A" w:rsidRPr="00F2510D" w14:paraId="6192A252" w14:textId="77777777">
        <w:trPr>
          <w:trHeight w:val="352"/>
        </w:trPr>
        <w:tc>
          <w:tcPr>
            <w:tcW w:w="4107" w:type="dxa"/>
            <w:vAlign w:val="center"/>
          </w:tcPr>
          <w:p w14:paraId="719A452B" w14:textId="631C2FAE" w:rsidR="0094276A" w:rsidRPr="00883EF2" w:rsidRDefault="0094276A" w:rsidP="0094276A">
            <w:pPr>
              <w:pStyle w:val="Tableheading"/>
              <w:rPr>
                <w:bCs/>
                <w:color w:val="auto"/>
                <w:szCs w:val="20"/>
                <w:lang w:val="es-ES"/>
              </w:rPr>
            </w:pPr>
            <w:r w:rsidRPr="00883EF2">
              <w:rPr>
                <w:bCs/>
                <w:color w:val="auto"/>
                <w:szCs w:val="20"/>
                <w:lang w:val="es-ES"/>
              </w:rPr>
              <w:t>CK_y_portadoras</w:t>
            </w:r>
          </w:p>
        </w:tc>
        <w:tc>
          <w:tcPr>
            <w:tcW w:w="4107" w:type="dxa"/>
            <w:vAlign w:val="bottom"/>
          </w:tcPr>
          <w:p w14:paraId="465C64C5" w14:textId="74D22F3D" w:rsidR="0094276A" w:rsidRPr="00883EF2" w:rsidRDefault="0094276A" w:rsidP="0094276A">
            <w:pPr>
              <w:pStyle w:val="Tableheading"/>
              <w:jc w:val="right"/>
              <w:rPr>
                <w:b w:val="0"/>
                <w:color w:val="auto"/>
                <w:szCs w:val="20"/>
                <w:lang w:val="es-ES"/>
              </w:rPr>
            </w:pPr>
            <w:r w:rsidRPr="00883EF2">
              <w:rPr>
                <w:b w:val="0"/>
                <w:color w:val="auto"/>
                <w:szCs w:val="20"/>
                <w:lang w:val="es-ES"/>
              </w:rPr>
              <w:t>–5%</w:t>
            </w:r>
          </w:p>
        </w:tc>
      </w:tr>
      <w:tr w:rsidR="0094276A" w:rsidRPr="00F2510D" w14:paraId="28F48E67" w14:textId="77777777">
        <w:trPr>
          <w:trHeight w:val="343"/>
        </w:trPr>
        <w:tc>
          <w:tcPr>
            <w:tcW w:w="4107" w:type="dxa"/>
            <w:vAlign w:val="center"/>
          </w:tcPr>
          <w:p w14:paraId="516A0BF0" w14:textId="31492731" w:rsidR="0094276A" w:rsidRPr="00883EF2" w:rsidRDefault="0094276A" w:rsidP="0094276A">
            <w:pPr>
              <w:pStyle w:val="Tableheading"/>
              <w:rPr>
                <w:bCs/>
                <w:color w:val="auto"/>
                <w:szCs w:val="20"/>
                <w:lang w:val="es-ES"/>
              </w:rPr>
            </w:pPr>
            <w:r w:rsidRPr="00883EF2">
              <w:rPr>
                <w:bCs/>
                <w:color w:val="auto"/>
                <w:szCs w:val="20"/>
                <w:lang w:val="es-ES"/>
              </w:rPr>
              <w:t>Equipo_transmisión</w:t>
            </w:r>
          </w:p>
        </w:tc>
        <w:tc>
          <w:tcPr>
            <w:tcW w:w="4107" w:type="dxa"/>
            <w:vAlign w:val="bottom"/>
          </w:tcPr>
          <w:p w14:paraId="6C58E275" w14:textId="3D6EF796" w:rsidR="0094276A" w:rsidRPr="00883EF2" w:rsidRDefault="0094276A" w:rsidP="0094276A">
            <w:pPr>
              <w:pStyle w:val="Tableheading"/>
              <w:jc w:val="right"/>
              <w:rPr>
                <w:b w:val="0"/>
                <w:color w:val="auto"/>
                <w:szCs w:val="20"/>
                <w:lang w:val="es-ES"/>
              </w:rPr>
            </w:pPr>
            <w:r w:rsidRPr="00883EF2">
              <w:rPr>
                <w:b w:val="0"/>
                <w:color w:val="auto"/>
                <w:szCs w:val="20"/>
                <w:lang w:val="es-ES"/>
              </w:rPr>
              <w:t>–4%</w:t>
            </w:r>
          </w:p>
        </w:tc>
      </w:tr>
      <w:tr w:rsidR="0094276A" w:rsidRPr="00F2510D" w14:paraId="5B77EA2F" w14:textId="77777777">
        <w:trPr>
          <w:trHeight w:val="343"/>
        </w:trPr>
        <w:tc>
          <w:tcPr>
            <w:tcW w:w="4107" w:type="dxa"/>
            <w:vAlign w:val="center"/>
          </w:tcPr>
          <w:p w14:paraId="4907CE79" w14:textId="2854D0DF" w:rsidR="0094276A" w:rsidRPr="00883EF2" w:rsidRDefault="0094276A" w:rsidP="0094276A">
            <w:pPr>
              <w:pStyle w:val="Tableheading"/>
              <w:rPr>
                <w:bCs/>
                <w:color w:val="auto"/>
                <w:szCs w:val="20"/>
                <w:lang w:val="es-ES"/>
              </w:rPr>
            </w:pPr>
            <w:r w:rsidRPr="00883EF2">
              <w:rPr>
                <w:bCs/>
                <w:color w:val="auto"/>
                <w:szCs w:val="20"/>
                <w:lang w:val="es-ES"/>
              </w:rPr>
              <w:t>Switches</w:t>
            </w:r>
          </w:p>
        </w:tc>
        <w:tc>
          <w:tcPr>
            <w:tcW w:w="4107" w:type="dxa"/>
            <w:vAlign w:val="bottom"/>
          </w:tcPr>
          <w:p w14:paraId="4B88D59E" w14:textId="4C3C5A6B" w:rsidR="0094276A" w:rsidRPr="00883EF2" w:rsidRDefault="0094276A" w:rsidP="0094276A">
            <w:pPr>
              <w:pStyle w:val="Tableheading"/>
              <w:jc w:val="right"/>
              <w:rPr>
                <w:b w:val="0"/>
                <w:color w:val="auto"/>
                <w:szCs w:val="20"/>
                <w:lang w:val="es-ES"/>
              </w:rPr>
            </w:pPr>
            <w:r w:rsidRPr="00883EF2">
              <w:rPr>
                <w:b w:val="0"/>
                <w:color w:val="auto"/>
                <w:szCs w:val="20"/>
                <w:lang w:val="es-ES"/>
              </w:rPr>
              <w:t>–4%</w:t>
            </w:r>
          </w:p>
        </w:tc>
      </w:tr>
      <w:tr w:rsidR="0094276A" w:rsidRPr="00F2510D" w14:paraId="68FB9210" w14:textId="77777777">
        <w:trPr>
          <w:trHeight w:val="343"/>
        </w:trPr>
        <w:tc>
          <w:tcPr>
            <w:tcW w:w="4107" w:type="dxa"/>
            <w:vAlign w:val="center"/>
          </w:tcPr>
          <w:p w14:paraId="225FFA79" w14:textId="4CD349A0" w:rsidR="0094276A" w:rsidRPr="00883EF2" w:rsidRDefault="0094276A" w:rsidP="0094276A">
            <w:pPr>
              <w:pStyle w:val="Tableheading"/>
              <w:rPr>
                <w:bCs/>
                <w:color w:val="auto"/>
                <w:szCs w:val="20"/>
                <w:lang w:val="es-ES"/>
              </w:rPr>
            </w:pPr>
            <w:r w:rsidRPr="00883EF2">
              <w:rPr>
                <w:bCs/>
                <w:color w:val="auto"/>
                <w:szCs w:val="20"/>
                <w:lang w:val="es-ES"/>
              </w:rPr>
              <w:t>Switch_software</w:t>
            </w:r>
          </w:p>
        </w:tc>
        <w:tc>
          <w:tcPr>
            <w:tcW w:w="4107" w:type="dxa"/>
            <w:vAlign w:val="bottom"/>
          </w:tcPr>
          <w:p w14:paraId="5718AEED" w14:textId="3773CD76" w:rsidR="0094276A" w:rsidRPr="00883EF2" w:rsidRDefault="0094276A" w:rsidP="0094276A">
            <w:pPr>
              <w:pStyle w:val="Tableheading"/>
              <w:jc w:val="right"/>
              <w:rPr>
                <w:b w:val="0"/>
                <w:color w:val="auto"/>
                <w:szCs w:val="20"/>
                <w:lang w:val="es-ES"/>
              </w:rPr>
            </w:pPr>
            <w:r w:rsidRPr="00883EF2">
              <w:rPr>
                <w:b w:val="0"/>
                <w:color w:val="auto"/>
                <w:szCs w:val="20"/>
                <w:lang w:val="es-ES"/>
              </w:rPr>
              <w:t>0%</w:t>
            </w:r>
          </w:p>
        </w:tc>
      </w:tr>
      <w:tr w:rsidR="0094276A" w:rsidRPr="00F2510D" w14:paraId="4B06CA38" w14:textId="77777777">
        <w:trPr>
          <w:trHeight w:val="352"/>
        </w:trPr>
        <w:tc>
          <w:tcPr>
            <w:tcW w:w="4107" w:type="dxa"/>
            <w:vAlign w:val="center"/>
          </w:tcPr>
          <w:p w14:paraId="161F5318" w14:textId="75925281" w:rsidR="0094276A" w:rsidRPr="00883EF2" w:rsidRDefault="0094276A" w:rsidP="0094276A">
            <w:pPr>
              <w:pStyle w:val="Tableheading"/>
              <w:rPr>
                <w:bCs/>
                <w:color w:val="auto"/>
                <w:szCs w:val="20"/>
                <w:lang w:val="es-ES"/>
              </w:rPr>
            </w:pPr>
            <w:r w:rsidRPr="00883EF2">
              <w:rPr>
                <w:bCs/>
                <w:color w:val="auto"/>
                <w:szCs w:val="20"/>
                <w:lang w:val="es-ES"/>
              </w:rPr>
              <w:t>Servidores_datos_RNC_BSC</w:t>
            </w:r>
          </w:p>
        </w:tc>
        <w:tc>
          <w:tcPr>
            <w:tcW w:w="4107" w:type="dxa"/>
            <w:vAlign w:val="bottom"/>
          </w:tcPr>
          <w:p w14:paraId="4AC38D0B" w14:textId="469F2382" w:rsidR="0094276A" w:rsidRPr="00883EF2" w:rsidRDefault="0094276A" w:rsidP="0094276A">
            <w:pPr>
              <w:pStyle w:val="Tableheading"/>
              <w:jc w:val="right"/>
              <w:rPr>
                <w:b w:val="0"/>
                <w:color w:val="auto"/>
                <w:szCs w:val="20"/>
                <w:lang w:val="es-ES"/>
              </w:rPr>
            </w:pPr>
            <w:r w:rsidRPr="00883EF2">
              <w:rPr>
                <w:b w:val="0"/>
                <w:color w:val="auto"/>
                <w:szCs w:val="20"/>
                <w:lang w:val="es-ES"/>
              </w:rPr>
              <w:t>–5%</w:t>
            </w:r>
          </w:p>
        </w:tc>
      </w:tr>
      <w:tr w:rsidR="00F2510D" w:rsidRPr="00F2510D" w14:paraId="3858FB29" w14:textId="77777777">
        <w:trPr>
          <w:trHeight w:val="352"/>
        </w:trPr>
        <w:tc>
          <w:tcPr>
            <w:tcW w:w="4107" w:type="dxa"/>
            <w:vAlign w:val="center"/>
          </w:tcPr>
          <w:p w14:paraId="7ABCB2C3" w14:textId="220A82F3" w:rsidR="00F2510D" w:rsidRPr="00883EF2" w:rsidRDefault="00F2510D" w:rsidP="00F2510D">
            <w:pPr>
              <w:pStyle w:val="Tableheading"/>
              <w:rPr>
                <w:bCs/>
                <w:color w:val="auto"/>
                <w:szCs w:val="20"/>
                <w:lang w:val="es-ES"/>
              </w:rPr>
            </w:pPr>
            <w:r w:rsidRPr="00883EF2">
              <w:rPr>
                <w:bCs/>
                <w:color w:val="auto"/>
                <w:szCs w:val="20"/>
                <w:lang w:val="es-ES"/>
              </w:rPr>
              <w:t>Fibra oscura</w:t>
            </w:r>
          </w:p>
        </w:tc>
        <w:tc>
          <w:tcPr>
            <w:tcW w:w="4107" w:type="dxa"/>
            <w:vAlign w:val="bottom"/>
          </w:tcPr>
          <w:p w14:paraId="3422DBDA" w14:textId="084E702F" w:rsidR="00F2510D" w:rsidRPr="00883EF2" w:rsidRDefault="00F2510D" w:rsidP="00F2510D">
            <w:pPr>
              <w:pStyle w:val="Tableheading"/>
              <w:jc w:val="right"/>
              <w:rPr>
                <w:b w:val="0"/>
                <w:color w:val="auto"/>
                <w:szCs w:val="20"/>
                <w:lang w:val="es-ES"/>
              </w:rPr>
            </w:pPr>
            <w:r w:rsidRPr="00883EF2">
              <w:rPr>
                <w:b w:val="0"/>
                <w:color w:val="auto"/>
                <w:szCs w:val="20"/>
                <w:lang w:val="es-ES"/>
              </w:rPr>
              <w:t>–1%</w:t>
            </w:r>
          </w:p>
        </w:tc>
      </w:tr>
      <w:tr w:rsidR="00F2510D" w:rsidRPr="00F2510D" w14:paraId="0EE5C944" w14:textId="77777777">
        <w:trPr>
          <w:trHeight w:val="352"/>
        </w:trPr>
        <w:tc>
          <w:tcPr>
            <w:tcW w:w="4107" w:type="dxa"/>
            <w:vAlign w:val="center"/>
          </w:tcPr>
          <w:p w14:paraId="70264834" w14:textId="44326EA0" w:rsidR="00F2510D" w:rsidRPr="00883EF2" w:rsidRDefault="00F2510D" w:rsidP="00F2510D">
            <w:pPr>
              <w:pStyle w:val="Tableheading"/>
              <w:rPr>
                <w:bCs/>
                <w:color w:val="auto"/>
                <w:szCs w:val="20"/>
                <w:lang w:val="es-ES"/>
              </w:rPr>
            </w:pPr>
            <w:r w:rsidRPr="00883EF2">
              <w:rPr>
                <w:bCs/>
                <w:color w:val="auto"/>
                <w:szCs w:val="20"/>
                <w:lang w:val="es-ES"/>
              </w:rPr>
              <w:t>2G_TRX</w:t>
            </w:r>
          </w:p>
        </w:tc>
        <w:tc>
          <w:tcPr>
            <w:tcW w:w="4107" w:type="dxa"/>
            <w:vAlign w:val="bottom"/>
          </w:tcPr>
          <w:p w14:paraId="07ACE54F" w14:textId="5DCAC8C4" w:rsidR="00F2510D" w:rsidRPr="00883EF2" w:rsidRDefault="00F2510D" w:rsidP="00F2510D">
            <w:pPr>
              <w:pStyle w:val="Tableheading"/>
              <w:jc w:val="right"/>
              <w:rPr>
                <w:b w:val="0"/>
                <w:color w:val="auto"/>
                <w:szCs w:val="20"/>
                <w:lang w:val="es-ES"/>
              </w:rPr>
            </w:pPr>
            <w:r w:rsidRPr="00883EF2">
              <w:rPr>
                <w:b w:val="0"/>
                <w:color w:val="auto"/>
                <w:szCs w:val="20"/>
                <w:lang w:val="es-ES"/>
              </w:rPr>
              <w:t>–3%</w:t>
            </w:r>
          </w:p>
        </w:tc>
      </w:tr>
    </w:tbl>
    <w:p w14:paraId="5E889D69" w14:textId="77777777" w:rsidR="0094276A" w:rsidRPr="00F2510D" w:rsidRDefault="0094276A" w:rsidP="0094276A">
      <w:pPr>
        <w:rPr>
          <w:b/>
          <w:bCs/>
          <w:lang w:val="es-ES"/>
        </w:rPr>
      </w:pPr>
    </w:p>
    <w:p w14:paraId="1BC2E6F5" w14:textId="781CCBAB" w:rsidR="00591CCD" w:rsidRDefault="00DB6DA0" w:rsidP="00792C35">
      <w:pPr>
        <w:rPr>
          <w:lang w:val="es-ES"/>
        </w:rPr>
      </w:pPr>
      <w:r>
        <w:rPr>
          <w:lang w:val="es-ES"/>
        </w:rPr>
        <w:t>Los modelos también estima</w:t>
      </w:r>
      <w:r w:rsidR="005D6FA4">
        <w:rPr>
          <w:lang w:val="es-ES"/>
        </w:rPr>
        <w:t>n</w:t>
      </w:r>
      <w:r>
        <w:rPr>
          <w:lang w:val="es-ES"/>
        </w:rPr>
        <w:t xml:space="preserve"> la vida útil de los diferentes activos, y está, determina la frecuencia con la que deben reemplazarse. </w:t>
      </w:r>
      <w:r w:rsidR="00C74EC0">
        <w:rPr>
          <w:lang w:val="es-ES"/>
        </w:rPr>
        <w:t>Ya que sería irrealista considerar una compra, instalación y activación instantánea de los activos, el modelo estima un periodo de planificación y despliegue entre la compra del activo y activación efectiva en la red:</w:t>
      </w:r>
    </w:p>
    <w:p w14:paraId="482CFBEF" w14:textId="1DCDDF69" w:rsidR="00C74EC0" w:rsidRPr="00746902" w:rsidRDefault="00C74EC0" w:rsidP="00C74EC0">
      <w:pPr>
        <w:pStyle w:val="TableCaption"/>
        <w:rPr>
          <w:lang w:val="es-ES"/>
        </w:rPr>
      </w:pPr>
      <w:r w:rsidRPr="00746902">
        <w:rPr>
          <w:lang w:val="es-ES"/>
        </w:rPr>
        <w:lastRenderedPageBreak/>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31</w:t>
      </w:r>
      <w:r>
        <w:rPr>
          <w:lang w:val="es-ES"/>
        </w:rPr>
        <w:fldChar w:fldCharType="end"/>
      </w:r>
      <w:r w:rsidRPr="00746902">
        <w:rPr>
          <w:lang w:val="es-ES"/>
        </w:rPr>
        <w:t xml:space="preserve">: </w:t>
      </w:r>
      <w:r w:rsidR="003A7E85" w:rsidRPr="003A7E85">
        <w:rPr>
          <w:lang w:val="es-ES_tradnl"/>
        </w:rPr>
        <w:t xml:space="preserve">Periodo de planificación de los activos de la red fija y móvil </w:t>
      </w:r>
      <w:r w:rsidRPr="00746902">
        <w:rPr>
          <w:lang w:val="es-ES"/>
        </w:rPr>
        <w:t>[Fu</w:t>
      </w:r>
      <w:r>
        <w:rPr>
          <w:lang w:val="es-ES"/>
        </w:rPr>
        <w:t>ent</w:t>
      </w:r>
      <w:r w:rsidRPr="00746902">
        <w:rPr>
          <w:lang w:val="es-ES"/>
        </w:rPr>
        <w:t>e: Analysys Mason, 2023]</w:t>
      </w:r>
    </w:p>
    <w:tbl>
      <w:tblPr>
        <w:tblStyle w:val="Sombreadomedio2-nfasis1"/>
        <w:tblW w:w="8731"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2410"/>
        <w:gridCol w:w="3160"/>
        <w:gridCol w:w="3161"/>
      </w:tblGrid>
      <w:tr w:rsidR="003A7E85" w:rsidRPr="00746902" w14:paraId="29C0F0AC" w14:textId="03E8BCCE" w:rsidTr="003A7E85">
        <w:trPr>
          <w:cnfStyle w:val="100000000000" w:firstRow="1" w:lastRow="0" w:firstColumn="0" w:lastColumn="0" w:oddVBand="0" w:evenVBand="0" w:oddHBand="0" w:evenHBand="0" w:firstRowFirstColumn="0" w:firstRowLastColumn="0" w:lastRowFirstColumn="0" w:lastRowLastColumn="0"/>
          <w:trHeight w:val="343"/>
          <w:tblHeader/>
        </w:trPr>
        <w:tc>
          <w:tcPr>
            <w:tcW w:w="2410" w:type="dxa"/>
            <w:tcBorders>
              <w:bottom w:val="single" w:sz="18" w:space="0" w:color="FFFFFF"/>
            </w:tcBorders>
            <w:shd w:val="solid" w:color="0F51B1" w:fill="0F51B1"/>
          </w:tcPr>
          <w:p w14:paraId="00C9E25C" w14:textId="045D1DF9" w:rsidR="003A7E85" w:rsidRPr="00883EF2" w:rsidRDefault="003A7E85" w:rsidP="003A7E85">
            <w:pPr>
              <w:pStyle w:val="Tableheading"/>
              <w:rPr>
                <w:b/>
                <w:color w:val="FFFFFF" w:themeColor="background1"/>
                <w:szCs w:val="20"/>
                <w:lang w:val="es-ES"/>
              </w:rPr>
            </w:pPr>
            <w:r w:rsidRPr="00883EF2">
              <w:rPr>
                <w:b/>
                <w:color w:val="FFFFFF" w:themeColor="background1"/>
                <w:szCs w:val="20"/>
                <w:lang w:val="es-ES"/>
              </w:rPr>
              <w:t>Periodo de planificación</w:t>
            </w:r>
          </w:p>
        </w:tc>
        <w:tc>
          <w:tcPr>
            <w:tcW w:w="3160" w:type="dxa"/>
            <w:tcBorders>
              <w:bottom w:val="single" w:sz="18" w:space="0" w:color="FFFFFF"/>
            </w:tcBorders>
            <w:shd w:val="solid" w:color="0F51B1" w:fill="0F51B1"/>
          </w:tcPr>
          <w:p w14:paraId="5BFD916D" w14:textId="34EB5A2C" w:rsidR="003A7E85" w:rsidRPr="00883EF2" w:rsidRDefault="003A7E85" w:rsidP="003A7E85">
            <w:pPr>
              <w:pStyle w:val="Tableheading"/>
              <w:ind w:right="0"/>
              <w:rPr>
                <w:b/>
                <w:color w:val="FFFFFF" w:themeColor="background1"/>
                <w:szCs w:val="20"/>
                <w:lang w:val="es-ES"/>
              </w:rPr>
            </w:pPr>
            <w:r w:rsidRPr="00883EF2">
              <w:rPr>
                <w:b/>
                <w:color w:val="FFFFFF" w:themeColor="background1"/>
                <w:szCs w:val="20"/>
                <w:lang w:val="es-ES"/>
              </w:rPr>
              <w:t>Modelo fijo</w:t>
            </w:r>
          </w:p>
        </w:tc>
        <w:tc>
          <w:tcPr>
            <w:tcW w:w="3161" w:type="dxa"/>
            <w:tcBorders>
              <w:bottom w:val="single" w:sz="18" w:space="0" w:color="FFFFFF"/>
            </w:tcBorders>
            <w:shd w:val="solid" w:color="0F51B1" w:fill="0F51B1"/>
          </w:tcPr>
          <w:p w14:paraId="129FD878" w14:textId="43EF22ED" w:rsidR="003A7E85" w:rsidRPr="00883EF2" w:rsidRDefault="003A7E85" w:rsidP="003A7E85">
            <w:pPr>
              <w:pStyle w:val="Tableheading"/>
              <w:ind w:right="0"/>
              <w:rPr>
                <w:b/>
                <w:color w:val="FFFFFF" w:themeColor="background1"/>
                <w:szCs w:val="20"/>
                <w:lang w:val="es-ES"/>
              </w:rPr>
            </w:pPr>
            <w:r w:rsidRPr="00883EF2">
              <w:rPr>
                <w:b/>
                <w:color w:val="FFFFFF" w:themeColor="background1"/>
                <w:szCs w:val="20"/>
                <w:lang w:val="es-ES"/>
              </w:rPr>
              <w:t>Modelo móvil</w:t>
            </w:r>
          </w:p>
        </w:tc>
      </w:tr>
      <w:tr w:rsidR="003A7E85" w:rsidRPr="00F2510D" w14:paraId="260AE9CF" w14:textId="13AAA35A" w:rsidTr="003A7E85">
        <w:trPr>
          <w:trHeight w:val="343"/>
        </w:trPr>
        <w:tc>
          <w:tcPr>
            <w:tcW w:w="2410" w:type="dxa"/>
            <w:tcBorders>
              <w:top w:val="single" w:sz="18" w:space="0" w:color="FFFFFF"/>
            </w:tcBorders>
          </w:tcPr>
          <w:p w14:paraId="69DDAEE7" w14:textId="6B9CF626" w:rsidR="003A7E85" w:rsidRPr="00883EF2" w:rsidRDefault="003A7E85" w:rsidP="003A7E85">
            <w:pPr>
              <w:pStyle w:val="Tableheading"/>
              <w:rPr>
                <w:b w:val="0"/>
                <w:color w:val="auto"/>
                <w:szCs w:val="20"/>
                <w:lang w:val="es-ES"/>
              </w:rPr>
            </w:pPr>
            <w:r w:rsidRPr="00883EF2">
              <w:rPr>
                <w:b w:val="0"/>
                <w:color w:val="auto"/>
                <w:szCs w:val="20"/>
                <w:lang w:val="es-ES"/>
              </w:rPr>
              <w:t>1 mes</w:t>
            </w:r>
          </w:p>
        </w:tc>
        <w:tc>
          <w:tcPr>
            <w:tcW w:w="3160" w:type="dxa"/>
            <w:tcBorders>
              <w:top w:val="single" w:sz="18" w:space="0" w:color="FFFFFF"/>
            </w:tcBorders>
          </w:tcPr>
          <w:p w14:paraId="788BCB80" w14:textId="7F9C00B8" w:rsidR="003A7E85" w:rsidRPr="00883EF2" w:rsidRDefault="003A7E85" w:rsidP="00367AB6">
            <w:pPr>
              <w:pStyle w:val="Tableheading"/>
              <w:rPr>
                <w:b w:val="0"/>
                <w:color w:val="auto"/>
                <w:szCs w:val="20"/>
                <w:lang w:val="es-ES"/>
              </w:rPr>
            </w:pPr>
          </w:p>
        </w:tc>
        <w:tc>
          <w:tcPr>
            <w:tcW w:w="3161" w:type="dxa"/>
            <w:tcBorders>
              <w:top w:val="single" w:sz="18" w:space="0" w:color="FFFFFF"/>
            </w:tcBorders>
          </w:tcPr>
          <w:p w14:paraId="14495F3B" w14:textId="1ED488DC" w:rsidR="003A7E85" w:rsidRPr="00883EF2" w:rsidRDefault="003A7E85" w:rsidP="00367AB6">
            <w:pPr>
              <w:pStyle w:val="Tableheading"/>
              <w:rPr>
                <w:b w:val="0"/>
                <w:color w:val="auto"/>
                <w:szCs w:val="20"/>
                <w:lang w:val="es-ES"/>
              </w:rPr>
            </w:pPr>
            <w:r w:rsidRPr="00883EF2">
              <w:rPr>
                <w:b w:val="0"/>
                <w:color w:val="auto"/>
                <w:szCs w:val="20"/>
                <w:lang w:val="es-ES"/>
              </w:rPr>
              <w:t>TRX y enlaces dedicados</w:t>
            </w:r>
          </w:p>
        </w:tc>
      </w:tr>
      <w:tr w:rsidR="003A7E85" w:rsidRPr="0010115D" w14:paraId="3C3A9F77" w14:textId="4FE169F7" w:rsidTr="003A7E85">
        <w:trPr>
          <w:trHeight w:val="343"/>
        </w:trPr>
        <w:tc>
          <w:tcPr>
            <w:tcW w:w="2410" w:type="dxa"/>
          </w:tcPr>
          <w:p w14:paraId="0BB86ADE" w14:textId="57DA7C09" w:rsidR="003A7E85" w:rsidRPr="00883EF2" w:rsidRDefault="003A7E85" w:rsidP="003A7E85">
            <w:pPr>
              <w:pStyle w:val="Tableheading"/>
              <w:rPr>
                <w:b w:val="0"/>
                <w:color w:val="auto"/>
                <w:szCs w:val="20"/>
                <w:lang w:val="es-ES"/>
              </w:rPr>
            </w:pPr>
            <w:r w:rsidRPr="00883EF2">
              <w:rPr>
                <w:b w:val="0"/>
                <w:color w:val="auto"/>
                <w:szCs w:val="20"/>
                <w:lang w:val="es-ES"/>
              </w:rPr>
              <w:t>3 meses</w:t>
            </w:r>
          </w:p>
        </w:tc>
        <w:tc>
          <w:tcPr>
            <w:tcW w:w="3160" w:type="dxa"/>
          </w:tcPr>
          <w:p w14:paraId="3CE870C2" w14:textId="58641583" w:rsidR="003A7E85" w:rsidRPr="00883EF2" w:rsidRDefault="003A7E85" w:rsidP="00367AB6">
            <w:pPr>
              <w:pStyle w:val="Tableheading"/>
              <w:rPr>
                <w:b w:val="0"/>
                <w:color w:val="auto"/>
                <w:szCs w:val="20"/>
                <w:lang w:val="es-ES"/>
              </w:rPr>
            </w:pPr>
            <w:r w:rsidRPr="00883EF2">
              <w:rPr>
                <w:b w:val="0"/>
                <w:color w:val="auto"/>
                <w:szCs w:val="20"/>
                <w:lang w:val="es-ES"/>
              </w:rPr>
              <w:t>Tarjetas de puertos y líneas, SMSC</w:t>
            </w:r>
          </w:p>
        </w:tc>
        <w:tc>
          <w:tcPr>
            <w:tcW w:w="3161" w:type="dxa"/>
          </w:tcPr>
          <w:p w14:paraId="15AB1082" w14:textId="129A3336" w:rsidR="003A7E85" w:rsidRPr="00883EF2" w:rsidRDefault="003A7E85" w:rsidP="00367AB6">
            <w:pPr>
              <w:pStyle w:val="Tableheading"/>
              <w:rPr>
                <w:b w:val="0"/>
                <w:color w:val="auto"/>
                <w:szCs w:val="20"/>
                <w:lang w:val="es-ES"/>
              </w:rPr>
            </w:pPr>
            <w:r w:rsidRPr="00883EF2">
              <w:rPr>
                <w:b w:val="0"/>
                <w:color w:val="auto"/>
                <w:szCs w:val="20"/>
                <w:lang w:val="es-ES"/>
              </w:rPr>
              <w:t xml:space="preserve">BTS, Nodos B, eNodo B, puertos, SMSC, MME, SGW, SBC, DTM, sitios interiores, </w:t>
            </w:r>
          </w:p>
        </w:tc>
      </w:tr>
      <w:tr w:rsidR="003A7E85" w:rsidRPr="00F2510D" w14:paraId="7AB9B9B2" w14:textId="384E9E2B" w:rsidTr="003A7E85">
        <w:trPr>
          <w:trHeight w:val="343"/>
        </w:trPr>
        <w:tc>
          <w:tcPr>
            <w:tcW w:w="2410" w:type="dxa"/>
          </w:tcPr>
          <w:p w14:paraId="30045BAB" w14:textId="0781D402" w:rsidR="003A7E85" w:rsidRPr="00883EF2" w:rsidRDefault="003A7E85" w:rsidP="003A7E85">
            <w:pPr>
              <w:pStyle w:val="Tableheading"/>
              <w:rPr>
                <w:b w:val="0"/>
                <w:color w:val="auto"/>
                <w:szCs w:val="20"/>
                <w:lang w:val="es-ES"/>
              </w:rPr>
            </w:pPr>
            <w:r w:rsidRPr="00883EF2">
              <w:rPr>
                <w:b w:val="0"/>
                <w:color w:val="auto"/>
                <w:szCs w:val="20"/>
                <w:lang w:val="es-ES"/>
              </w:rPr>
              <w:t>6 meses</w:t>
            </w:r>
          </w:p>
        </w:tc>
        <w:tc>
          <w:tcPr>
            <w:tcW w:w="3160" w:type="dxa"/>
          </w:tcPr>
          <w:p w14:paraId="323D74E1" w14:textId="455586AD" w:rsidR="003A7E85" w:rsidRPr="00883EF2" w:rsidRDefault="003A7E85" w:rsidP="00367AB6">
            <w:pPr>
              <w:pStyle w:val="Tableheading"/>
              <w:rPr>
                <w:b w:val="0"/>
                <w:color w:val="auto"/>
                <w:szCs w:val="20"/>
                <w:lang w:val="es-ES"/>
              </w:rPr>
            </w:pPr>
            <w:r w:rsidRPr="00883EF2">
              <w:rPr>
                <w:b w:val="0"/>
                <w:color w:val="auto"/>
                <w:szCs w:val="20"/>
                <w:lang w:val="es-ES"/>
              </w:rPr>
              <w:t>MSAN, mini-MSAN, IN, VMS, BRAS, RADIUS, DNS</w:t>
            </w:r>
          </w:p>
        </w:tc>
        <w:tc>
          <w:tcPr>
            <w:tcW w:w="3161" w:type="dxa"/>
          </w:tcPr>
          <w:p w14:paraId="3B16A0AD" w14:textId="7D1C8265" w:rsidR="003A7E85" w:rsidRPr="00883EF2" w:rsidRDefault="003A7E85" w:rsidP="00367AB6">
            <w:pPr>
              <w:pStyle w:val="Tableheading"/>
              <w:rPr>
                <w:b w:val="0"/>
                <w:color w:val="auto"/>
                <w:szCs w:val="20"/>
                <w:lang w:val="es-ES"/>
              </w:rPr>
            </w:pPr>
            <w:r w:rsidRPr="00883EF2">
              <w:rPr>
                <w:b w:val="0"/>
                <w:color w:val="auto"/>
                <w:szCs w:val="20"/>
                <w:lang w:val="es-ES"/>
              </w:rPr>
              <w:t>VMS, HLR, AUC, EIR</w:t>
            </w:r>
          </w:p>
        </w:tc>
      </w:tr>
      <w:tr w:rsidR="003A7E85" w:rsidRPr="00F2510D" w14:paraId="200D8284" w14:textId="21BEB590" w:rsidTr="003A7E85">
        <w:trPr>
          <w:trHeight w:val="343"/>
        </w:trPr>
        <w:tc>
          <w:tcPr>
            <w:tcW w:w="2410" w:type="dxa"/>
          </w:tcPr>
          <w:p w14:paraId="4215D953" w14:textId="66F7CD20" w:rsidR="003A7E85" w:rsidRPr="00883EF2" w:rsidRDefault="003A7E85" w:rsidP="003A7E85">
            <w:pPr>
              <w:pStyle w:val="Tableheading"/>
              <w:rPr>
                <w:b w:val="0"/>
                <w:color w:val="auto"/>
                <w:szCs w:val="20"/>
                <w:lang w:val="es-ES"/>
              </w:rPr>
            </w:pPr>
            <w:r w:rsidRPr="00883EF2">
              <w:rPr>
                <w:b w:val="0"/>
                <w:color w:val="auto"/>
                <w:szCs w:val="20"/>
                <w:lang w:val="es-ES"/>
              </w:rPr>
              <w:t>9 meses</w:t>
            </w:r>
          </w:p>
        </w:tc>
        <w:tc>
          <w:tcPr>
            <w:tcW w:w="3160" w:type="dxa"/>
          </w:tcPr>
          <w:p w14:paraId="5B3F2223" w14:textId="50C2C0CD" w:rsidR="003A7E85" w:rsidRPr="00883EF2" w:rsidRDefault="003A7E85" w:rsidP="00367AB6">
            <w:pPr>
              <w:pStyle w:val="Tableheading"/>
              <w:rPr>
                <w:b w:val="0"/>
                <w:color w:val="auto"/>
                <w:szCs w:val="20"/>
                <w:lang w:val="es-ES"/>
              </w:rPr>
            </w:pPr>
            <w:r w:rsidRPr="00883EF2">
              <w:rPr>
                <w:b w:val="0"/>
                <w:color w:val="auto"/>
                <w:szCs w:val="20"/>
                <w:lang w:val="es-ES"/>
              </w:rPr>
              <w:t>MSPP, mini-MSPP, E1/2/3, STM-1/4/16/64, DWDM y amplificadores, chasis switches y routers, TGW, NMS, billing system, call servers, equipo de reloj y sincronizado, plataforma de televisión linear y VoD</w:t>
            </w:r>
          </w:p>
        </w:tc>
        <w:tc>
          <w:tcPr>
            <w:tcW w:w="3161" w:type="dxa"/>
          </w:tcPr>
          <w:p w14:paraId="2C481740" w14:textId="5A6B6006" w:rsidR="003A7E85" w:rsidRPr="00883EF2" w:rsidRDefault="003A7E85" w:rsidP="00367AB6">
            <w:pPr>
              <w:pStyle w:val="Tableheading"/>
              <w:rPr>
                <w:b w:val="0"/>
                <w:color w:val="auto"/>
                <w:szCs w:val="20"/>
                <w:lang w:val="es-ES"/>
              </w:rPr>
            </w:pPr>
            <w:r w:rsidRPr="00883EF2">
              <w:rPr>
                <w:b w:val="0"/>
                <w:color w:val="auto"/>
                <w:szCs w:val="20"/>
                <w:lang w:val="es-ES"/>
              </w:rPr>
              <w:t>Sitios macro, BSC, RNC, MSCS, MGW, LTE-AP</w:t>
            </w:r>
          </w:p>
        </w:tc>
      </w:tr>
      <w:tr w:rsidR="003A7E85" w:rsidRPr="0010115D" w14:paraId="49782390" w14:textId="2D79AEAE" w:rsidTr="003A7E85">
        <w:trPr>
          <w:trHeight w:val="352"/>
        </w:trPr>
        <w:tc>
          <w:tcPr>
            <w:tcW w:w="2410" w:type="dxa"/>
          </w:tcPr>
          <w:p w14:paraId="4154C7B6" w14:textId="5DE2EFAD" w:rsidR="003A7E85" w:rsidRPr="00883EF2" w:rsidRDefault="003A7E85" w:rsidP="003A7E85">
            <w:pPr>
              <w:pStyle w:val="Tableheading"/>
              <w:rPr>
                <w:b w:val="0"/>
                <w:color w:val="auto"/>
                <w:szCs w:val="20"/>
                <w:lang w:val="es-ES"/>
              </w:rPr>
            </w:pPr>
            <w:r w:rsidRPr="00883EF2">
              <w:rPr>
                <w:b w:val="0"/>
                <w:color w:val="auto"/>
                <w:szCs w:val="20"/>
                <w:lang w:val="es-ES"/>
              </w:rPr>
              <w:t>1 año</w:t>
            </w:r>
          </w:p>
        </w:tc>
        <w:tc>
          <w:tcPr>
            <w:tcW w:w="3160" w:type="dxa"/>
          </w:tcPr>
          <w:p w14:paraId="6C7E6F13" w14:textId="4F0AA689" w:rsidR="003A7E85" w:rsidRPr="00883EF2" w:rsidRDefault="003A7E85" w:rsidP="00367AB6">
            <w:pPr>
              <w:pStyle w:val="Tableheading"/>
              <w:rPr>
                <w:b w:val="0"/>
                <w:color w:val="auto"/>
                <w:szCs w:val="20"/>
                <w:lang w:val="es-ES"/>
              </w:rPr>
            </w:pPr>
            <w:r w:rsidRPr="00883EF2">
              <w:rPr>
                <w:b w:val="0"/>
                <w:color w:val="auto"/>
                <w:szCs w:val="20"/>
                <w:lang w:val="es-ES"/>
              </w:rPr>
              <w:t>Emplazamientos, transmisión de cable – zanja, poste, cables de fibra</w:t>
            </w:r>
          </w:p>
        </w:tc>
        <w:tc>
          <w:tcPr>
            <w:tcW w:w="3161" w:type="dxa"/>
          </w:tcPr>
          <w:p w14:paraId="302F1FE7" w14:textId="66A3BCF2" w:rsidR="003A7E85" w:rsidRPr="00883EF2" w:rsidRDefault="003A7E85" w:rsidP="00367AB6">
            <w:pPr>
              <w:pStyle w:val="Tableheading"/>
              <w:rPr>
                <w:b w:val="0"/>
                <w:color w:val="auto"/>
                <w:szCs w:val="20"/>
                <w:lang w:val="es-ES"/>
              </w:rPr>
            </w:pPr>
            <w:r w:rsidRPr="00883EF2">
              <w:rPr>
                <w:b w:val="0"/>
                <w:color w:val="auto"/>
                <w:szCs w:val="20"/>
                <w:lang w:val="es-ES"/>
              </w:rPr>
              <w:t>Sitios de conmutación core, zanjas, cables de fibra, sitios remotos</w:t>
            </w:r>
          </w:p>
        </w:tc>
      </w:tr>
    </w:tbl>
    <w:p w14:paraId="7350FF28" w14:textId="77777777" w:rsidR="003A7E85" w:rsidRDefault="003A7E85" w:rsidP="00792C35">
      <w:pPr>
        <w:rPr>
          <w:lang w:val="es-ES"/>
        </w:rPr>
      </w:pPr>
    </w:p>
    <w:p w14:paraId="19E3E778" w14:textId="5ACFDCA8" w:rsidR="00E8508D" w:rsidRDefault="00E8508D" w:rsidP="00792C35">
      <w:pPr>
        <w:rPr>
          <w:lang w:val="es-ES"/>
        </w:rPr>
      </w:pPr>
      <w:r>
        <w:rPr>
          <w:lang w:val="es-ES"/>
        </w:rPr>
        <w:t>Las vidas de los elementos de re</w:t>
      </w:r>
      <w:r w:rsidR="00747AC1">
        <w:rPr>
          <w:lang w:val="es-ES"/>
        </w:rPr>
        <w:t>d</w:t>
      </w:r>
      <w:r>
        <w:rPr>
          <w:lang w:val="es-ES"/>
        </w:rPr>
        <w:t>, s</w:t>
      </w:r>
      <w:r w:rsidRPr="00E8508D">
        <w:rPr>
          <w:lang w:val="es-ES"/>
        </w:rPr>
        <w:t>e han definido</w:t>
      </w:r>
      <w:r>
        <w:rPr>
          <w:lang w:val="es-ES"/>
        </w:rPr>
        <w:t xml:space="preserve"> con</w:t>
      </w:r>
      <w:r w:rsidRPr="00E8508D">
        <w:rPr>
          <w:lang w:val="es-ES"/>
        </w:rPr>
        <w:t xml:space="preserve"> base en comparativas internacionales e información de los operadores en México</w:t>
      </w:r>
      <w:r>
        <w:rPr>
          <w:lang w:val="es-ES"/>
        </w:rPr>
        <w:t>:</w:t>
      </w:r>
    </w:p>
    <w:p w14:paraId="1326609E" w14:textId="089348AB" w:rsidR="00E8508D" w:rsidRPr="00746902" w:rsidRDefault="00E8508D" w:rsidP="00E8508D">
      <w:pPr>
        <w:pStyle w:val="TableCaption"/>
        <w:rPr>
          <w:lang w:val="es-ES"/>
        </w:rPr>
      </w:pPr>
      <w:r w:rsidRPr="00746902">
        <w:rPr>
          <w:lang w:val="es-ES"/>
        </w:rPr>
        <w:lastRenderedPageBreak/>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32</w:t>
      </w:r>
      <w:r>
        <w:rPr>
          <w:lang w:val="es-ES"/>
        </w:rPr>
        <w:fldChar w:fldCharType="end"/>
      </w:r>
      <w:r w:rsidRPr="00746902">
        <w:rPr>
          <w:lang w:val="es-ES"/>
        </w:rPr>
        <w:t xml:space="preserve">: </w:t>
      </w:r>
      <w:r w:rsidR="00006588" w:rsidRPr="00006588">
        <w:rPr>
          <w:lang w:val="es-ES_tradnl"/>
        </w:rPr>
        <w:t xml:space="preserve">Vidas útiles para los equipos </w:t>
      </w:r>
      <w:r w:rsidR="009E5087">
        <w:rPr>
          <w:lang w:val="es-ES_tradnl"/>
        </w:rPr>
        <w:t>de red fija</w:t>
      </w:r>
      <w:r w:rsidR="00006588" w:rsidRPr="00006588">
        <w:rPr>
          <w:lang w:val="es-ES_tradnl"/>
        </w:rPr>
        <w:t xml:space="preserve"> </w:t>
      </w:r>
      <w:r w:rsidRPr="00746902">
        <w:rPr>
          <w:lang w:val="es-ES"/>
        </w:rPr>
        <w:t>[Fu</w:t>
      </w:r>
      <w:r>
        <w:rPr>
          <w:lang w:val="es-ES"/>
        </w:rPr>
        <w:t>ent</w:t>
      </w:r>
      <w:r w:rsidRPr="00746902">
        <w:rPr>
          <w:lang w:val="es-ES"/>
        </w:rPr>
        <w:t>e: Analysys Mason, 2023]</w:t>
      </w:r>
    </w:p>
    <w:tbl>
      <w:tblPr>
        <w:tblStyle w:val="Sombreadomedio2-nfasis1"/>
        <w:tblW w:w="8069"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3491"/>
        <w:gridCol w:w="4578"/>
      </w:tblGrid>
      <w:tr w:rsidR="00E8508D" w:rsidRPr="00746902" w14:paraId="537589B5" w14:textId="77777777" w:rsidTr="00E8508D">
        <w:trPr>
          <w:cnfStyle w:val="100000000000" w:firstRow="1" w:lastRow="0" w:firstColumn="0" w:lastColumn="0" w:oddVBand="0" w:evenVBand="0" w:oddHBand="0" w:evenHBand="0" w:firstRowFirstColumn="0" w:firstRowLastColumn="0" w:lastRowFirstColumn="0" w:lastRowLastColumn="0"/>
          <w:trHeight w:val="328"/>
          <w:tblHeader/>
        </w:trPr>
        <w:tc>
          <w:tcPr>
            <w:tcW w:w="3491" w:type="dxa"/>
            <w:tcBorders>
              <w:bottom w:val="single" w:sz="18" w:space="0" w:color="FFFFFF"/>
            </w:tcBorders>
            <w:shd w:val="solid" w:color="0F51B1" w:fill="0F51B1"/>
          </w:tcPr>
          <w:p w14:paraId="42554479" w14:textId="5ED47ADD" w:rsidR="00E8508D" w:rsidRPr="00883EF2" w:rsidRDefault="00E8508D" w:rsidP="00E8508D">
            <w:pPr>
              <w:pStyle w:val="Tableheading"/>
              <w:rPr>
                <w:b/>
                <w:color w:val="FFFFFF" w:themeColor="background1"/>
                <w:szCs w:val="20"/>
                <w:lang w:val="es-ES"/>
              </w:rPr>
            </w:pPr>
            <w:r w:rsidRPr="00883EF2">
              <w:rPr>
                <w:b/>
                <w:color w:val="FFFFFF" w:themeColor="background1"/>
                <w:szCs w:val="20"/>
                <w:lang w:val="es-ES"/>
              </w:rPr>
              <w:t>Vidas útiles</w:t>
            </w:r>
          </w:p>
        </w:tc>
        <w:tc>
          <w:tcPr>
            <w:tcW w:w="4578" w:type="dxa"/>
            <w:tcBorders>
              <w:bottom w:val="single" w:sz="18" w:space="0" w:color="FFFFFF"/>
            </w:tcBorders>
            <w:shd w:val="solid" w:color="0F51B1" w:fill="0F51B1"/>
          </w:tcPr>
          <w:p w14:paraId="5C309CD6" w14:textId="29B37A2F" w:rsidR="00E8508D" w:rsidRPr="00883EF2" w:rsidRDefault="00E8508D" w:rsidP="00E8508D">
            <w:pPr>
              <w:pStyle w:val="Tableheading"/>
              <w:ind w:right="0"/>
              <w:rPr>
                <w:b/>
                <w:color w:val="FFFFFF" w:themeColor="background1"/>
                <w:szCs w:val="20"/>
                <w:lang w:val="es-ES"/>
              </w:rPr>
            </w:pPr>
            <w:r w:rsidRPr="00883EF2">
              <w:rPr>
                <w:b/>
                <w:color w:val="FFFFFF" w:themeColor="background1"/>
                <w:szCs w:val="20"/>
                <w:lang w:val="es-ES"/>
              </w:rPr>
              <w:t>Categoría</w:t>
            </w:r>
          </w:p>
        </w:tc>
      </w:tr>
      <w:tr w:rsidR="00E8508D" w:rsidRPr="0010115D" w14:paraId="7CE40C29" w14:textId="77777777" w:rsidTr="00E8508D">
        <w:trPr>
          <w:trHeight w:val="328"/>
        </w:trPr>
        <w:tc>
          <w:tcPr>
            <w:tcW w:w="3491" w:type="dxa"/>
            <w:tcBorders>
              <w:top w:val="single" w:sz="18" w:space="0" w:color="FFFFFF"/>
            </w:tcBorders>
          </w:tcPr>
          <w:p w14:paraId="5F30C748" w14:textId="2567986C" w:rsidR="00E8508D" w:rsidRPr="00883EF2" w:rsidRDefault="00E8508D" w:rsidP="00E8508D">
            <w:pPr>
              <w:pStyle w:val="Tableheading"/>
              <w:rPr>
                <w:b w:val="0"/>
                <w:color w:val="auto"/>
                <w:szCs w:val="20"/>
                <w:lang w:val="es-ES"/>
              </w:rPr>
            </w:pPr>
            <w:r w:rsidRPr="00883EF2">
              <w:rPr>
                <w:b w:val="0"/>
                <w:color w:val="auto"/>
                <w:szCs w:val="20"/>
                <w:lang w:val="es-ES"/>
              </w:rPr>
              <w:t>5</w:t>
            </w:r>
          </w:p>
        </w:tc>
        <w:tc>
          <w:tcPr>
            <w:tcW w:w="4578" w:type="dxa"/>
            <w:tcBorders>
              <w:top w:val="single" w:sz="18" w:space="0" w:color="FFFFFF"/>
            </w:tcBorders>
          </w:tcPr>
          <w:p w14:paraId="6D5A0FE3" w14:textId="124F25BA" w:rsidR="00E8508D" w:rsidRPr="00883EF2" w:rsidRDefault="00E8508D" w:rsidP="00367AB6">
            <w:pPr>
              <w:pStyle w:val="Tableheading"/>
              <w:rPr>
                <w:b w:val="0"/>
                <w:color w:val="auto"/>
                <w:szCs w:val="20"/>
                <w:lang w:val="es-ES"/>
              </w:rPr>
            </w:pPr>
            <w:r w:rsidRPr="00883EF2">
              <w:rPr>
                <w:b w:val="0"/>
                <w:color w:val="auto"/>
                <w:szCs w:val="20"/>
                <w:lang w:val="es-ES"/>
              </w:rPr>
              <w:t>Tarjetas puertos, equipo de reloj, NMS, sistema de cobranza, VAS, IN, SMSC HW, MSC SW, plataforma de televisión</w:t>
            </w:r>
          </w:p>
        </w:tc>
      </w:tr>
      <w:tr w:rsidR="00E8508D" w:rsidRPr="00F2510D" w14:paraId="617BEA52" w14:textId="77777777" w:rsidTr="00E8508D">
        <w:trPr>
          <w:trHeight w:val="328"/>
        </w:trPr>
        <w:tc>
          <w:tcPr>
            <w:tcW w:w="3491" w:type="dxa"/>
          </w:tcPr>
          <w:p w14:paraId="53B38777" w14:textId="6AE1B1B3" w:rsidR="00E8508D" w:rsidRPr="00883EF2" w:rsidRDefault="00E8508D" w:rsidP="00E8508D">
            <w:pPr>
              <w:pStyle w:val="Tableheading"/>
              <w:rPr>
                <w:b w:val="0"/>
                <w:color w:val="auto"/>
                <w:szCs w:val="20"/>
                <w:lang w:val="es-ES"/>
              </w:rPr>
            </w:pPr>
            <w:r w:rsidRPr="00883EF2">
              <w:rPr>
                <w:b w:val="0"/>
                <w:color w:val="auto"/>
                <w:szCs w:val="20"/>
                <w:lang w:val="es-ES"/>
              </w:rPr>
              <w:t>6</w:t>
            </w:r>
          </w:p>
        </w:tc>
        <w:tc>
          <w:tcPr>
            <w:tcW w:w="4578" w:type="dxa"/>
          </w:tcPr>
          <w:p w14:paraId="2960C2C3" w14:textId="76C40E23" w:rsidR="00E8508D" w:rsidRPr="00C77CA6" w:rsidRDefault="00E8508D" w:rsidP="00367AB6">
            <w:pPr>
              <w:pStyle w:val="Tableheading"/>
              <w:rPr>
                <w:b w:val="0"/>
                <w:color w:val="auto"/>
                <w:szCs w:val="20"/>
                <w:lang w:val="en-US"/>
              </w:rPr>
            </w:pPr>
            <w:r w:rsidRPr="00C77CA6">
              <w:rPr>
                <w:b w:val="0"/>
                <w:color w:val="auto"/>
                <w:szCs w:val="20"/>
                <w:lang w:val="en-US"/>
              </w:rPr>
              <w:t>VMS, BRAS, RADIUS, DNS, call server</w:t>
            </w:r>
          </w:p>
        </w:tc>
      </w:tr>
      <w:tr w:rsidR="00E8508D" w:rsidRPr="00E8508D" w14:paraId="4B0450ED" w14:textId="77777777" w:rsidTr="00E8508D">
        <w:trPr>
          <w:trHeight w:val="328"/>
        </w:trPr>
        <w:tc>
          <w:tcPr>
            <w:tcW w:w="3491" w:type="dxa"/>
          </w:tcPr>
          <w:p w14:paraId="69D94579" w14:textId="155DD7BA" w:rsidR="00E8508D" w:rsidRPr="00883EF2" w:rsidRDefault="00E8508D" w:rsidP="00E8508D">
            <w:pPr>
              <w:pStyle w:val="Tableheading"/>
              <w:rPr>
                <w:b w:val="0"/>
                <w:color w:val="auto"/>
                <w:szCs w:val="20"/>
                <w:lang w:val="es-ES"/>
              </w:rPr>
            </w:pPr>
            <w:r w:rsidRPr="00883EF2">
              <w:rPr>
                <w:b w:val="0"/>
                <w:color w:val="auto"/>
                <w:szCs w:val="20"/>
                <w:lang w:val="es-ES"/>
              </w:rPr>
              <w:t>8</w:t>
            </w:r>
          </w:p>
        </w:tc>
        <w:tc>
          <w:tcPr>
            <w:tcW w:w="4578" w:type="dxa"/>
          </w:tcPr>
          <w:p w14:paraId="4F4B1A95" w14:textId="75E73573" w:rsidR="00E8508D" w:rsidRPr="00883EF2" w:rsidRDefault="00E8508D" w:rsidP="00367AB6">
            <w:pPr>
              <w:pStyle w:val="Tableheading"/>
              <w:rPr>
                <w:b w:val="0"/>
                <w:color w:val="auto"/>
                <w:szCs w:val="20"/>
              </w:rPr>
            </w:pPr>
            <w:r w:rsidRPr="00883EF2">
              <w:rPr>
                <w:b w:val="0"/>
                <w:color w:val="auto"/>
                <w:szCs w:val="20"/>
              </w:rPr>
              <w:t>MSAN, mini-MSAN, MSPP, mini-MSPP, edge router y switch chasis, equipo DWDM, trunk gateway</w:t>
            </w:r>
          </w:p>
        </w:tc>
      </w:tr>
      <w:tr w:rsidR="00E8508D" w:rsidRPr="0010115D" w14:paraId="11760489" w14:textId="77777777" w:rsidTr="00E8508D">
        <w:trPr>
          <w:trHeight w:val="328"/>
        </w:trPr>
        <w:tc>
          <w:tcPr>
            <w:tcW w:w="3491" w:type="dxa"/>
          </w:tcPr>
          <w:p w14:paraId="7FA180E4" w14:textId="42938FC1" w:rsidR="00E8508D" w:rsidRPr="00883EF2" w:rsidRDefault="00E8508D" w:rsidP="00E8508D">
            <w:pPr>
              <w:pStyle w:val="Tableheading"/>
              <w:rPr>
                <w:b w:val="0"/>
                <w:color w:val="auto"/>
                <w:szCs w:val="20"/>
                <w:lang w:val="es-ES"/>
              </w:rPr>
            </w:pPr>
            <w:r w:rsidRPr="00883EF2">
              <w:rPr>
                <w:b w:val="0"/>
                <w:color w:val="auto"/>
                <w:szCs w:val="20"/>
                <w:lang w:val="es-ES"/>
              </w:rPr>
              <w:t>20</w:t>
            </w:r>
          </w:p>
        </w:tc>
        <w:tc>
          <w:tcPr>
            <w:tcW w:w="4578" w:type="dxa"/>
          </w:tcPr>
          <w:p w14:paraId="71DAA123" w14:textId="1412D9ED" w:rsidR="00E8508D" w:rsidRPr="00883EF2" w:rsidRDefault="00E8508D" w:rsidP="00367AB6">
            <w:pPr>
              <w:pStyle w:val="Tableheading"/>
              <w:rPr>
                <w:b w:val="0"/>
                <w:color w:val="auto"/>
                <w:szCs w:val="20"/>
                <w:lang w:val="es-ES"/>
              </w:rPr>
            </w:pPr>
            <w:r w:rsidRPr="00883EF2">
              <w:rPr>
                <w:b w:val="0"/>
                <w:color w:val="auto"/>
                <w:szCs w:val="20"/>
                <w:lang w:val="es-ES"/>
              </w:rPr>
              <w:t>Cables de fibra y postes</w:t>
            </w:r>
          </w:p>
        </w:tc>
      </w:tr>
      <w:tr w:rsidR="00E8508D" w:rsidRPr="00F2510D" w14:paraId="0BF251DD" w14:textId="77777777" w:rsidTr="00E8508D">
        <w:trPr>
          <w:trHeight w:val="337"/>
        </w:trPr>
        <w:tc>
          <w:tcPr>
            <w:tcW w:w="3491" w:type="dxa"/>
          </w:tcPr>
          <w:p w14:paraId="7798C1D3" w14:textId="3BA668FA" w:rsidR="00E8508D" w:rsidRPr="00883EF2" w:rsidRDefault="00E8508D" w:rsidP="00E8508D">
            <w:pPr>
              <w:pStyle w:val="Tableheading"/>
              <w:rPr>
                <w:b w:val="0"/>
                <w:color w:val="auto"/>
                <w:szCs w:val="20"/>
                <w:lang w:val="es-ES"/>
              </w:rPr>
            </w:pPr>
            <w:r w:rsidRPr="00883EF2">
              <w:rPr>
                <w:b w:val="0"/>
                <w:color w:val="auto"/>
                <w:szCs w:val="20"/>
                <w:lang w:val="es-ES"/>
              </w:rPr>
              <w:t>35</w:t>
            </w:r>
          </w:p>
        </w:tc>
        <w:tc>
          <w:tcPr>
            <w:tcW w:w="4578" w:type="dxa"/>
          </w:tcPr>
          <w:p w14:paraId="3A50B57D" w14:textId="390B279E" w:rsidR="00E8508D" w:rsidRPr="00883EF2" w:rsidRDefault="00E8508D" w:rsidP="00367AB6">
            <w:pPr>
              <w:pStyle w:val="Tableheading"/>
              <w:rPr>
                <w:b w:val="0"/>
                <w:color w:val="auto"/>
                <w:szCs w:val="20"/>
                <w:lang w:val="es-ES"/>
              </w:rPr>
            </w:pPr>
            <w:r w:rsidRPr="00883EF2">
              <w:rPr>
                <w:b w:val="0"/>
                <w:color w:val="auto"/>
                <w:szCs w:val="20"/>
                <w:lang w:val="es-ES"/>
              </w:rPr>
              <w:t>Repetidores microondas, mástiles</w:t>
            </w:r>
          </w:p>
        </w:tc>
      </w:tr>
      <w:tr w:rsidR="00006588" w:rsidRPr="00F2510D" w14:paraId="0A599779" w14:textId="77777777" w:rsidTr="00E8508D">
        <w:trPr>
          <w:trHeight w:val="337"/>
        </w:trPr>
        <w:tc>
          <w:tcPr>
            <w:tcW w:w="3491" w:type="dxa"/>
          </w:tcPr>
          <w:p w14:paraId="6BC07EF3" w14:textId="1D4D6DBB" w:rsidR="00006588" w:rsidRPr="00883EF2" w:rsidRDefault="00006588" w:rsidP="00006588">
            <w:pPr>
              <w:pStyle w:val="Tableheading"/>
              <w:rPr>
                <w:b w:val="0"/>
                <w:color w:val="auto"/>
                <w:szCs w:val="20"/>
                <w:lang w:val="es-ES"/>
              </w:rPr>
            </w:pPr>
            <w:r w:rsidRPr="00883EF2">
              <w:rPr>
                <w:b w:val="0"/>
                <w:color w:val="auto"/>
                <w:szCs w:val="20"/>
                <w:lang w:val="es-ES"/>
              </w:rPr>
              <w:t>40</w:t>
            </w:r>
          </w:p>
        </w:tc>
        <w:tc>
          <w:tcPr>
            <w:tcW w:w="4578" w:type="dxa"/>
          </w:tcPr>
          <w:p w14:paraId="52D32C5C" w14:textId="3E77667E" w:rsidR="00006588" w:rsidRPr="00883EF2" w:rsidRDefault="00006588" w:rsidP="00367AB6">
            <w:pPr>
              <w:pStyle w:val="Tableheading"/>
              <w:rPr>
                <w:b w:val="0"/>
                <w:color w:val="auto"/>
                <w:szCs w:val="20"/>
                <w:lang w:val="es-ES"/>
              </w:rPr>
            </w:pPr>
            <w:r w:rsidRPr="00883EF2">
              <w:rPr>
                <w:b w:val="0"/>
                <w:color w:val="auto"/>
                <w:szCs w:val="20"/>
                <w:lang w:val="es-ES"/>
              </w:rPr>
              <w:t>Obra civil</w:t>
            </w:r>
          </w:p>
        </w:tc>
      </w:tr>
      <w:tr w:rsidR="00006588" w:rsidRPr="0010115D" w14:paraId="31492C87" w14:textId="77777777" w:rsidTr="00E8508D">
        <w:trPr>
          <w:trHeight w:val="337"/>
        </w:trPr>
        <w:tc>
          <w:tcPr>
            <w:tcW w:w="3491" w:type="dxa"/>
          </w:tcPr>
          <w:p w14:paraId="3FDF980A" w14:textId="05A3B529" w:rsidR="00006588" w:rsidRPr="00883EF2" w:rsidRDefault="00006588" w:rsidP="00006588">
            <w:pPr>
              <w:pStyle w:val="Tableheading"/>
              <w:rPr>
                <w:b w:val="0"/>
                <w:color w:val="auto"/>
                <w:szCs w:val="20"/>
                <w:lang w:val="es-ES"/>
              </w:rPr>
            </w:pPr>
            <w:r w:rsidRPr="00883EF2">
              <w:rPr>
                <w:b w:val="0"/>
                <w:color w:val="auto"/>
                <w:szCs w:val="20"/>
                <w:lang w:val="es-ES"/>
              </w:rPr>
              <w:t>50</w:t>
            </w:r>
          </w:p>
        </w:tc>
        <w:tc>
          <w:tcPr>
            <w:tcW w:w="4578" w:type="dxa"/>
          </w:tcPr>
          <w:p w14:paraId="7FD88A93" w14:textId="7469A103" w:rsidR="00006588" w:rsidRPr="00883EF2" w:rsidRDefault="00006588" w:rsidP="00367AB6">
            <w:pPr>
              <w:pStyle w:val="Tableheading"/>
              <w:rPr>
                <w:b w:val="0"/>
                <w:color w:val="auto"/>
                <w:szCs w:val="20"/>
                <w:lang w:val="es-ES"/>
              </w:rPr>
            </w:pPr>
            <w:r w:rsidRPr="00883EF2">
              <w:rPr>
                <w:b w:val="0"/>
                <w:color w:val="auto"/>
                <w:szCs w:val="20"/>
                <w:lang w:val="es-ES"/>
              </w:rPr>
              <w:t>Adquisición, preparación y mantenimiento de emplazamientos</w:t>
            </w:r>
          </w:p>
        </w:tc>
      </w:tr>
    </w:tbl>
    <w:p w14:paraId="7E540B1A" w14:textId="0B021758" w:rsidR="00006588" w:rsidRPr="00746902" w:rsidRDefault="00006588" w:rsidP="00006588">
      <w:pPr>
        <w:pStyle w:val="TableCaption"/>
        <w:rPr>
          <w:lang w:val="es-ES"/>
        </w:rPr>
      </w:pPr>
      <w:r w:rsidRPr="00746902">
        <w:rPr>
          <w:lang w:val="es-ES"/>
        </w:rPr>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33</w:t>
      </w:r>
      <w:r>
        <w:rPr>
          <w:lang w:val="es-ES"/>
        </w:rPr>
        <w:fldChar w:fldCharType="end"/>
      </w:r>
      <w:r w:rsidRPr="00746902">
        <w:rPr>
          <w:lang w:val="es-ES"/>
        </w:rPr>
        <w:t xml:space="preserve">: </w:t>
      </w:r>
      <w:r w:rsidRPr="00006588">
        <w:rPr>
          <w:lang w:val="es-ES_tradnl"/>
        </w:rPr>
        <w:t xml:space="preserve">Vidas útiles para los equipos </w:t>
      </w:r>
      <w:r w:rsidR="009E5087">
        <w:rPr>
          <w:lang w:val="es-ES_tradnl"/>
        </w:rPr>
        <w:t xml:space="preserve">de red </w:t>
      </w:r>
      <w:r>
        <w:rPr>
          <w:lang w:val="es-ES_tradnl"/>
        </w:rPr>
        <w:t>m</w:t>
      </w:r>
      <w:r w:rsidR="00125C5C">
        <w:rPr>
          <w:lang w:val="es-ES_tradnl"/>
        </w:rPr>
        <w:t>ó</w:t>
      </w:r>
      <w:r>
        <w:rPr>
          <w:lang w:val="es-ES_tradnl"/>
        </w:rPr>
        <w:t>vil</w:t>
      </w:r>
      <w:r w:rsidRPr="00006588">
        <w:rPr>
          <w:lang w:val="es-ES_tradnl"/>
        </w:rPr>
        <w:t xml:space="preserve"> </w:t>
      </w:r>
      <w:r w:rsidRPr="00746902">
        <w:rPr>
          <w:lang w:val="es-ES"/>
        </w:rPr>
        <w:t>[Fu</w:t>
      </w:r>
      <w:r>
        <w:rPr>
          <w:lang w:val="es-ES"/>
        </w:rPr>
        <w:t>ent</w:t>
      </w:r>
      <w:r w:rsidRPr="00746902">
        <w:rPr>
          <w:lang w:val="es-ES"/>
        </w:rPr>
        <w:t>e: Analysys Mason, 2023]</w:t>
      </w:r>
    </w:p>
    <w:tbl>
      <w:tblPr>
        <w:tblStyle w:val="Sombreadomedio2-nfasis1"/>
        <w:tblW w:w="8069"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3491"/>
        <w:gridCol w:w="4578"/>
      </w:tblGrid>
      <w:tr w:rsidR="00006588" w:rsidRPr="00746902" w14:paraId="2867A96D" w14:textId="77777777">
        <w:trPr>
          <w:cnfStyle w:val="100000000000" w:firstRow="1" w:lastRow="0" w:firstColumn="0" w:lastColumn="0" w:oddVBand="0" w:evenVBand="0" w:oddHBand="0" w:evenHBand="0" w:firstRowFirstColumn="0" w:firstRowLastColumn="0" w:lastRowFirstColumn="0" w:lastRowLastColumn="0"/>
          <w:trHeight w:val="328"/>
          <w:tblHeader/>
        </w:trPr>
        <w:tc>
          <w:tcPr>
            <w:tcW w:w="3491" w:type="dxa"/>
            <w:tcBorders>
              <w:bottom w:val="single" w:sz="18" w:space="0" w:color="FFFFFF"/>
            </w:tcBorders>
            <w:shd w:val="solid" w:color="0F51B1" w:fill="0F51B1"/>
          </w:tcPr>
          <w:p w14:paraId="793AE5EB" w14:textId="77777777" w:rsidR="00006588" w:rsidRPr="00883EF2" w:rsidRDefault="00006588">
            <w:pPr>
              <w:pStyle w:val="Tableheading"/>
              <w:rPr>
                <w:b/>
                <w:color w:val="FFFFFF" w:themeColor="background1"/>
                <w:szCs w:val="20"/>
                <w:lang w:val="es-ES"/>
              </w:rPr>
            </w:pPr>
            <w:r w:rsidRPr="00883EF2">
              <w:rPr>
                <w:b/>
                <w:color w:val="FFFFFF" w:themeColor="background1"/>
                <w:szCs w:val="20"/>
                <w:lang w:val="es-ES"/>
              </w:rPr>
              <w:t>Vidas útiles</w:t>
            </w:r>
          </w:p>
        </w:tc>
        <w:tc>
          <w:tcPr>
            <w:tcW w:w="4578" w:type="dxa"/>
            <w:tcBorders>
              <w:bottom w:val="single" w:sz="18" w:space="0" w:color="FFFFFF"/>
            </w:tcBorders>
            <w:shd w:val="solid" w:color="0F51B1" w:fill="0F51B1"/>
          </w:tcPr>
          <w:p w14:paraId="639363C7" w14:textId="77777777" w:rsidR="00006588" w:rsidRPr="00883EF2" w:rsidRDefault="00006588">
            <w:pPr>
              <w:pStyle w:val="Tableheading"/>
              <w:ind w:right="0"/>
              <w:rPr>
                <w:b/>
                <w:color w:val="FFFFFF" w:themeColor="background1"/>
                <w:szCs w:val="20"/>
                <w:lang w:val="es-ES"/>
              </w:rPr>
            </w:pPr>
            <w:r w:rsidRPr="00883EF2">
              <w:rPr>
                <w:b/>
                <w:color w:val="FFFFFF" w:themeColor="background1"/>
                <w:szCs w:val="20"/>
                <w:lang w:val="es-ES"/>
              </w:rPr>
              <w:t>Categoría</w:t>
            </w:r>
          </w:p>
        </w:tc>
      </w:tr>
      <w:tr w:rsidR="000C6A67" w:rsidRPr="00F2510D" w14:paraId="39B64C4C" w14:textId="77777777">
        <w:trPr>
          <w:trHeight w:val="328"/>
        </w:trPr>
        <w:tc>
          <w:tcPr>
            <w:tcW w:w="3491" w:type="dxa"/>
            <w:tcBorders>
              <w:top w:val="single" w:sz="18" w:space="0" w:color="FFFFFF"/>
            </w:tcBorders>
          </w:tcPr>
          <w:p w14:paraId="2BDB9629" w14:textId="6482D48B" w:rsidR="000C6A67" w:rsidRPr="00883EF2" w:rsidRDefault="000C6A67" w:rsidP="000C6A67">
            <w:pPr>
              <w:pStyle w:val="Tableheading"/>
              <w:rPr>
                <w:b w:val="0"/>
                <w:color w:val="auto"/>
                <w:szCs w:val="20"/>
                <w:lang w:val="es-ES"/>
              </w:rPr>
            </w:pPr>
            <w:r w:rsidRPr="00883EF2">
              <w:rPr>
                <w:b w:val="0"/>
                <w:color w:val="auto"/>
                <w:szCs w:val="20"/>
                <w:lang w:val="es-ES"/>
              </w:rPr>
              <w:t>3</w:t>
            </w:r>
          </w:p>
        </w:tc>
        <w:tc>
          <w:tcPr>
            <w:tcW w:w="4578" w:type="dxa"/>
            <w:tcBorders>
              <w:top w:val="single" w:sz="18" w:space="0" w:color="FFFFFF"/>
            </w:tcBorders>
          </w:tcPr>
          <w:p w14:paraId="221C7B63" w14:textId="23945CD9" w:rsidR="000C6A67" w:rsidRPr="00883EF2" w:rsidRDefault="000C6A67" w:rsidP="00367AB6">
            <w:pPr>
              <w:pStyle w:val="Tableheading"/>
              <w:rPr>
                <w:b w:val="0"/>
                <w:color w:val="auto"/>
                <w:szCs w:val="20"/>
                <w:lang w:val="es-ES"/>
              </w:rPr>
            </w:pPr>
            <w:r w:rsidRPr="00883EF2">
              <w:rPr>
                <w:b w:val="0"/>
                <w:color w:val="auto"/>
                <w:szCs w:val="20"/>
                <w:lang w:val="es-ES"/>
              </w:rPr>
              <w:t>MSC software, MSS software</w:t>
            </w:r>
          </w:p>
        </w:tc>
      </w:tr>
      <w:tr w:rsidR="000C6A67" w:rsidRPr="0010115D" w14:paraId="0DF6A38B" w14:textId="77777777">
        <w:trPr>
          <w:trHeight w:val="328"/>
        </w:trPr>
        <w:tc>
          <w:tcPr>
            <w:tcW w:w="3491" w:type="dxa"/>
          </w:tcPr>
          <w:p w14:paraId="2199D674" w14:textId="4DCAEA86" w:rsidR="000C6A67" w:rsidRPr="00883EF2" w:rsidRDefault="000C6A67" w:rsidP="000C6A67">
            <w:pPr>
              <w:pStyle w:val="Tableheading"/>
              <w:rPr>
                <w:b w:val="0"/>
                <w:color w:val="auto"/>
                <w:szCs w:val="20"/>
                <w:lang w:val="es-ES"/>
              </w:rPr>
            </w:pPr>
            <w:r w:rsidRPr="00883EF2">
              <w:rPr>
                <w:b w:val="0"/>
                <w:color w:val="auto"/>
                <w:szCs w:val="20"/>
                <w:lang w:val="es-ES"/>
              </w:rPr>
              <w:t>5</w:t>
            </w:r>
          </w:p>
        </w:tc>
        <w:tc>
          <w:tcPr>
            <w:tcW w:w="4578" w:type="dxa"/>
          </w:tcPr>
          <w:p w14:paraId="25C4E7A0" w14:textId="53706520" w:rsidR="000C6A67" w:rsidRPr="00883EF2" w:rsidRDefault="000C6A67" w:rsidP="00367AB6">
            <w:pPr>
              <w:pStyle w:val="Tableheading"/>
              <w:rPr>
                <w:b w:val="0"/>
                <w:color w:val="auto"/>
                <w:szCs w:val="20"/>
                <w:lang w:val="es-ES"/>
              </w:rPr>
            </w:pPr>
            <w:r w:rsidRPr="00883EF2">
              <w:rPr>
                <w:b w:val="0"/>
                <w:color w:val="auto"/>
                <w:szCs w:val="20"/>
                <w:lang w:val="es-ES"/>
              </w:rPr>
              <w:t>Plataforma de portabilidad numérica, IN, SMSC HW, SMSC SW, sistema de cobranza, sistema de gestión de red, plataformas VAS, MMSC</w:t>
            </w:r>
          </w:p>
        </w:tc>
      </w:tr>
      <w:tr w:rsidR="000C6A67" w:rsidRPr="00AA267D" w14:paraId="23AA4437" w14:textId="77777777">
        <w:trPr>
          <w:trHeight w:val="328"/>
        </w:trPr>
        <w:tc>
          <w:tcPr>
            <w:tcW w:w="3491" w:type="dxa"/>
          </w:tcPr>
          <w:p w14:paraId="49ECCABC" w14:textId="67A7E6F8" w:rsidR="000C6A67" w:rsidRPr="00883EF2" w:rsidRDefault="000C6A67" w:rsidP="000C6A67">
            <w:pPr>
              <w:pStyle w:val="Tableheading"/>
              <w:rPr>
                <w:b w:val="0"/>
                <w:color w:val="auto"/>
                <w:szCs w:val="20"/>
                <w:lang w:val="es-ES"/>
              </w:rPr>
            </w:pPr>
            <w:r w:rsidRPr="00883EF2">
              <w:rPr>
                <w:b w:val="0"/>
                <w:color w:val="auto"/>
                <w:szCs w:val="20"/>
                <w:lang w:val="es-ES"/>
              </w:rPr>
              <w:t>6</w:t>
            </w:r>
          </w:p>
        </w:tc>
        <w:tc>
          <w:tcPr>
            <w:tcW w:w="4578" w:type="dxa"/>
          </w:tcPr>
          <w:p w14:paraId="1C2A73D4" w14:textId="5E7FE0AE" w:rsidR="000C6A67" w:rsidRPr="00C77CA6" w:rsidRDefault="000C6A67" w:rsidP="00367AB6">
            <w:pPr>
              <w:pStyle w:val="Tableheading"/>
              <w:rPr>
                <w:b w:val="0"/>
                <w:color w:val="auto"/>
                <w:szCs w:val="20"/>
                <w:lang w:val="en-US"/>
              </w:rPr>
            </w:pPr>
            <w:r w:rsidRPr="00C77CA6">
              <w:rPr>
                <w:b w:val="0"/>
                <w:color w:val="auto"/>
                <w:szCs w:val="20"/>
                <w:lang w:val="en-US"/>
              </w:rPr>
              <w:t>VMS, HLR, EIR, AUC, PCU, GGSN, SGSN</w:t>
            </w:r>
          </w:p>
        </w:tc>
      </w:tr>
      <w:tr w:rsidR="000C6A67" w:rsidRPr="00F2510D" w14:paraId="16BCA5D7" w14:textId="77777777">
        <w:trPr>
          <w:trHeight w:val="328"/>
        </w:trPr>
        <w:tc>
          <w:tcPr>
            <w:tcW w:w="3491" w:type="dxa"/>
          </w:tcPr>
          <w:p w14:paraId="5607AE4C" w14:textId="7ABD36AB" w:rsidR="000C6A67" w:rsidRPr="00883EF2" w:rsidRDefault="000C6A67" w:rsidP="000C6A67">
            <w:pPr>
              <w:pStyle w:val="Tableheading"/>
              <w:rPr>
                <w:b w:val="0"/>
                <w:color w:val="auto"/>
                <w:szCs w:val="20"/>
                <w:lang w:val="es-ES"/>
              </w:rPr>
            </w:pPr>
            <w:r w:rsidRPr="00883EF2">
              <w:rPr>
                <w:b w:val="0"/>
                <w:color w:val="auto"/>
                <w:szCs w:val="20"/>
                <w:lang w:val="es-ES"/>
              </w:rPr>
              <w:t>7</w:t>
            </w:r>
          </w:p>
        </w:tc>
        <w:tc>
          <w:tcPr>
            <w:tcW w:w="4578" w:type="dxa"/>
          </w:tcPr>
          <w:p w14:paraId="7FB67BE9" w14:textId="09E4EF38" w:rsidR="000C6A67" w:rsidRPr="00883EF2" w:rsidRDefault="000C6A67" w:rsidP="00367AB6">
            <w:pPr>
              <w:pStyle w:val="Tableheading"/>
              <w:rPr>
                <w:b w:val="0"/>
                <w:color w:val="auto"/>
                <w:szCs w:val="20"/>
                <w:lang w:val="es-ES"/>
              </w:rPr>
            </w:pPr>
            <w:r w:rsidRPr="00883EF2">
              <w:rPr>
                <w:b w:val="0"/>
                <w:color w:val="auto"/>
                <w:szCs w:val="20"/>
                <w:lang w:val="es-ES"/>
              </w:rPr>
              <w:t>BSC, RNC, puertos E1</w:t>
            </w:r>
          </w:p>
        </w:tc>
      </w:tr>
      <w:tr w:rsidR="000C6A67" w:rsidRPr="0010115D" w14:paraId="17E14F2D" w14:textId="77777777">
        <w:trPr>
          <w:trHeight w:val="337"/>
        </w:trPr>
        <w:tc>
          <w:tcPr>
            <w:tcW w:w="3491" w:type="dxa"/>
          </w:tcPr>
          <w:p w14:paraId="5E32D6E3" w14:textId="2C727779" w:rsidR="000C6A67" w:rsidRPr="00883EF2" w:rsidRDefault="000C6A67" w:rsidP="000C6A67">
            <w:pPr>
              <w:pStyle w:val="Tableheading"/>
              <w:rPr>
                <w:b w:val="0"/>
                <w:color w:val="auto"/>
                <w:szCs w:val="20"/>
                <w:lang w:val="es-ES"/>
              </w:rPr>
            </w:pPr>
            <w:r w:rsidRPr="00883EF2">
              <w:rPr>
                <w:b w:val="0"/>
                <w:color w:val="auto"/>
                <w:szCs w:val="20"/>
                <w:lang w:val="es-ES"/>
              </w:rPr>
              <w:t>8</w:t>
            </w:r>
          </w:p>
        </w:tc>
        <w:tc>
          <w:tcPr>
            <w:tcW w:w="4578" w:type="dxa"/>
          </w:tcPr>
          <w:p w14:paraId="5F6A9BA1" w14:textId="3CD0FFA8" w:rsidR="000C6A67" w:rsidRPr="00883EF2" w:rsidRDefault="000C6A67" w:rsidP="00367AB6">
            <w:pPr>
              <w:pStyle w:val="Tableheading"/>
              <w:rPr>
                <w:b w:val="0"/>
                <w:color w:val="auto"/>
                <w:szCs w:val="20"/>
                <w:lang w:val="es-ES"/>
              </w:rPr>
            </w:pPr>
            <w:r w:rsidRPr="00883EF2">
              <w:rPr>
                <w:b w:val="0"/>
                <w:color w:val="auto"/>
                <w:szCs w:val="20"/>
                <w:lang w:val="es-ES"/>
              </w:rPr>
              <w:t>Transmisión HW, BTS, TRX, Nodo B, eNodoB, channel kits, fibra de backhaul, enlaces dedicados, MSC, MSS, MGW, DTM, MME, SBC, SGW, TAS, LTE-AP</w:t>
            </w:r>
          </w:p>
        </w:tc>
      </w:tr>
      <w:tr w:rsidR="000C6A67" w:rsidRPr="00F2510D" w14:paraId="3059BA0F" w14:textId="77777777">
        <w:trPr>
          <w:trHeight w:val="337"/>
        </w:trPr>
        <w:tc>
          <w:tcPr>
            <w:tcW w:w="3491" w:type="dxa"/>
          </w:tcPr>
          <w:p w14:paraId="39A7231A" w14:textId="691B4EBE" w:rsidR="000C6A67" w:rsidRPr="00883EF2" w:rsidRDefault="000C6A67" w:rsidP="000C6A67">
            <w:pPr>
              <w:pStyle w:val="Tableheading"/>
              <w:rPr>
                <w:b w:val="0"/>
                <w:color w:val="auto"/>
                <w:szCs w:val="20"/>
                <w:lang w:val="es-ES"/>
              </w:rPr>
            </w:pPr>
            <w:r w:rsidRPr="00883EF2">
              <w:rPr>
                <w:b w:val="0"/>
                <w:color w:val="auto"/>
                <w:szCs w:val="20"/>
                <w:lang w:val="es-ES"/>
              </w:rPr>
              <w:t>15</w:t>
            </w:r>
          </w:p>
        </w:tc>
        <w:tc>
          <w:tcPr>
            <w:tcW w:w="4578" w:type="dxa"/>
          </w:tcPr>
          <w:p w14:paraId="5BFA674C" w14:textId="0134207B" w:rsidR="000C6A67" w:rsidRPr="00883EF2" w:rsidRDefault="000C6A67" w:rsidP="00367AB6">
            <w:pPr>
              <w:pStyle w:val="Tableheading"/>
              <w:rPr>
                <w:b w:val="0"/>
                <w:color w:val="auto"/>
                <w:szCs w:val="20"/>
                <w:lang w:val="es-ES"/>
              </w:rPr>
            </w:pPr>
            <w:r w:rsidRPr="00883EF2">
              <w:rPr>
                <w:b w:val="0"/>
                <w:color w:val="auto"/>
                <w:szCs w:val="20"/>
                <w:lang w:val="es-ES"/>
              </w:rPr>
              <w:t>Sitios macro</w:t>
            </w:r>
          </w:p>
        </w:tc>
      </w:tr>
      <w:tr w:rsidR="000C6A67" w:rsidRPr="0010115D" w14:paraId="155DFD80" w14:textId="77777777">
        <w:trPr>
          <w:trHeight w:val="337"/>
        </w:trPr>
        <w:tc>
          <w:tcPr>
            <w:tcW w:w="3491" w:type="dxa"/>
          </w:tcPr>
          <w:p w14:paraId="7D43970E" w14:textId="616E96E7" w:rsidR="000C6A67" w:rsidRPr="00883EF2" w:rsidRDefault="000C6A67" w:rsidP="000C6A67">
            <w:pPr>
              <w:pStyle w:val="Tableheading"/>
              <w:rPr>
                <w:b w:val="0"/>
                <w:color w:val="auto"/>
                <w:szCs w:val="20"/>
                <w:lang w:val="es-ES"/>
              </w:rPr>
            </w:pPr>
            <w:r w:rsidRPr="00883EF2">
              <w:rPr>
                <w:b w:val="0"/>
                <w:color w:val="auto"/>
                <w:szCs w:val="20"/>
                <w:lang w:val="es-ES"/>
              </w:rPr>
              <w:t>20</w:t>
            </w:r>
          </w:p>
        </w:tc>
        <w:tc>
          <w:tcPr>
            <w:tcW w:w="4578" w:type="dxa"/>
          </w:tcPr>
          <w:p w14:paraId="2506EA79" w14:textId="18CE80AE" w:rsidR="000C6A67" w:rsidRPr="00883EF2" w:rsidRDefault="000C6A67" w:rsidP="00367AB6">
            <w:pPr>
              <w:pStyle w:val="Tableheading"/>
              <w:rPr>
                <w:b w:val="0"/>
                <w:color w:val="auto"/>
                <w:szCs w:val="20"/>
                <w:lang w:val="es-ES"/>
              </w:rPr>
            </w:pPr>
            <w:r w:rsidRPr="00883EF2">
              <w:rPr>
                <w:b w:val="0"/>
                <w:color w:val="auto"/>
                <w:szCs w:val="20"/>
                <w:lang w:val="es-ES"/>
              </w:rPr>
              <w:t>Sitios de conmutación, cables de fibra, licencias de espectro</w:t>
            </w:r>
          </w:p>
        </w:tc>
      </w:tr>
      <w:tr w:rsidR="000C6A67" w:rsidRPr="00F2510D" w14:paraId="1F3C2BC9" w14:textId="77777777">
        <w:trPr>
          <w:trHeight w:val="337"/>
        </w:trPr>
        <w:tc>
          <w:tcPr>
            <w:tcW w:w="3491" w:type="dxa"/>
          </w:tcPr>
          <w:p w14:paraId="186A7764" w14:textId="75FBCAD4" w:rsidR="000C6A67" w:rsidRPr="00883EF2" w:rsidRDefault="000C6A67" w:rsidP="000C6A67">
            <w:pPr>
              <w:pStyle w:val="Tableheading"/>
              <w:rPr>
                <w:b w:val="0"/>
                <w:color w:val="auto"/>
                <w:szCs w:val="20"/>
                <w:lang w:val="es-ES"/>
              </w:rPr>
            </w:pPr>
            <w:r w:rsidRPr="00883EF2">
              <w:rPr>
                <w:b w:val="0"/>
                <w:color w:val="auto"/>
                <w:szCs w:val="20"/>
                <w:lang w:val="es-ES"/>
              </w:rPr>
              <w:t>30</w:t>
            </w:r>
          </w:p>
        </w:tc>
        <w:tc>
          <w:tcPr>
            <w:tcW w:w="4578" w:type="dxa"/>
          </w:tcPr>
          <w:p w14:paraId="4772EEB3" w14:textId="57A12EA2" w:rsidR="000C6A67" w:rsidRPr="00883EF2" w:rsidRDefault="000C6A67" w:rsidP="00367AB6">
            <w:pPr>
              <w:pStyle w:val="Tableheading"/>
              <w:rPr>
                <w:b w:val="0"/>
                <w:color w:val="auto"/>
                <w:szCs w:val="20"/>
                <w:lang w:val="es-ES"/>
              </w:rPr>
            </w:pPr>
            <w:r w:rsidRPr="00883EF2">
              <w:rPr>
                <w:b w:val="0"/>
                <w:color w:val="auto"/>
                <w:szCs w:val="20"/>
                <w:lang w:val="es-ES"/>
              </w:rPr>
              <w:t>Obra civil</w:t>
            </w:r>
          </w:p>
        </w:tc>
      </w:tr>
      <w:tr w:rsidR="000C6A67" w:rsidRPr="00F2510D" w14:paraId="4F7D1657" w14:textId="77777777">
        <w:trPr>
          <w:trHeight w:val="337"/>
        </w:trPr>
        <w:tc>
          <w:tcPr>
            <w:tcW w:w="3491" w:type="dxa"/>
          </w:tcPr>
          <w:p w14:paraId="45783211" w14:textId="5D86F45C" w:rsidR="000C6A67" w:rsidRPr="00883EF2" w:rsidRDefault="000C6A67" w:rsidP="000C6A67">
            <w:pPr>
              <w:pStyle w:val="Tableheading"/>
              <w:rPr>
                <w:b w:val="0"/>
                <w:color w:val="auto"/>
                <w:szCs w:val="20"/>
                <w:lang w:val="es-ES"/>
              </w:rPr>
            </w:pPr>
            <w:r w:rsidRPr="00883EF2">
              <w:rPr>
                <w:b w:val="0"/>
                <w:color w:val="auto"/>
                <w:szCs w:val="20"/>
                <w:lang w:val="es-ES"/>
              </w:rPr>
              <w:t>60</w:t>
            </w:r>
          </w:p>
        </w:tc>
        <w:tc>
          <w:tcPr>
            <w:tcW w:w="4578" w:type="dxa"/>
          </w:tcPr>
          <w:p w14:paraId="2F2592CA" w14:textId="1D5962C3" w:rsidR="000C6A67" w:rsidRPr="00883EF2" w:rsidRDefault="000C6A67" w:rsidP="00367AB6">
            <w:pPr>
              <w:pStyle w:val="Tableheading"/>
              <w:rPr>
                <w:b w:val="0"/>
                <w:color w:val="auto"/>
                <w:szCs w:val="20"/>
                <w:lang w:val="es-ES"/>
              </w:rPr>
            </w:pPr>
            <w:r w:rsidRPr="00883EF2">
              <w:rPr>
                <w:b w:val="0"/>
                <w:color w:val="auto"/>
                <w:szCs w:val="20"/>
                <w:lang w:val="es-ES"/>
              </w:rPr>
              <w:t>Tarjetas SIM</w:t>
            </w:r>
          </w:p>
        </w:tc>
      </w:tr>
    </w:tbl>
    <w:p w14:paraId="7AAD77E2" w14:textId="77777777" w:rsidR="00EF13D6" w:rsidRDefault="00EF13D6" w:rsidP="00EF13D6">
      <w:pPr>
        <w:rPr>
          <w:lang w:val="es-ES_tradnl"/>
        </w:rPr>
      </w:pPr>
    </w:p>
    <w:p w14:paraId="660E3BB9" w14:textId="5285B2E2" w:rsidR="00EF13D6" w:rsidRDefault="00EF13D6" w:rsidP="00EF13D6">
      <w:pPr>
        <w:rPr>
          <w:lang w:val="es-ES_tradnl"/>
        </w:rPr>
      </w:pPr>
      <w:r>
        <w:rPr>
          <w:lang w:val="es-ES_tradnl"/>
        </w:rPr>
        <w:t xml:space="preserve">Cabe destacar que en términos generales se han considerado los mismos insumos para los distintos operadores modelados (bien basados en el AEP o en un </w:t>
      </w:r>
      <w:r w:rsidR="000F17D6">
        <w:rPr>
          <w:lang w:val="es-ES_tradnl"/>
        </w:rPr>
        <w:t>concesionario</w:t>
      </w:r>
      <w:r>
        <w:rPr>
          <w:lang w:val="es-ES_tradnl"/>
        </w:rPr>
        <w:t xml:space="preserve"> alternativo). No obstante, </w:t>
      </w:r>
      <w:r w:rsidR="00832015">
        <w:rPr>
          <w:lang w:val="es-ES_tradnl"/>
        </w:rPr>
        <w:t xml:space="preserve">se incluyen algunos ajustes </w:t>
      </w:r>
      <w:r w:rsidR="000F17D6">
        <w:rPr>
          <w:lang w:val="es-ES_tradnl"/>
        </w:rPr>
        <w:t xml:space="preserve">para contemplar distintas modularidades </w:t>
      </w:r>
      <w:r w:rsidR="00FF3D52">
        <w:rPr>
          <w:lang w:val="es-ES_tradnl"/>
        </w:rPr>
        <w:t xml:space="preserve">en los equipos </w:t>
      </w:r>
      <w:r w:rsidR="000F17D6">
        <w:rPr>
          <w:lang w:val="es-ES_tradnl"/>
        </w:rPr>
        <w:t xml:space="preserve">que podría observar un operador con base </w:t>
      </w:r>
      <w:r w:rsidR="005D0C3C">
        <w:rPr>
          <w:lang w:val="es-ES_tradnl"/>
        </w:rPr>
        <w:t>en</w:t>
      </w:r>
      <w:r w:rsidR="000F17D6">
        <w:rPr>
          <w:lang w:val="es-ES_tradnl"/>
        </w:rPr>
        <w:t xml:space="preserve"> </w:t>
      </w:r>
      <w:r w:rsidR="0084655D">
        <w:rPr>
          <w:lang w:val="es-ES_tradnl"/>
        </w:rPr>
        <w:t>distintos niveles de escala</w:t>
      </w:r>
      <w:r w:rsidR="00FF3D52">
        <w:rPr>
          <w:lang w:val="es-ES_tradnl"/>
        </w:rPr>
        <w:t>, así como para considerar el impacto que podría tener</w:t>
      </w:r>
      <w:r w:rsidR="001E5438">
        <w:rPr>
          <w:lang w:val="es-ES_tradnl"/>
        </w:rPr>
        <w:t xml:space="preserve"> sobre el poder de negociación</w:t>
      </w:r>
      <w:r w:rsidR="00B66DC0">
        <w:rPr>
          <w:lang w:val="es-ES_tradnl"/>
        </w:rPr>
        <w:t xml:space="preserve"> con los proveedores.</w:t>
      </w:r>
    </w:p>
    <w:p w14:paraId="7B3C13D1" w14:textId="130324F5" w:rsidR="0033706D" w:rsidRDefault="00792C35" w:rsidP="00792C35">
      <w:pPr>
        <w:pStyle w:val="Ttulo3"/>
        <w:rPr>
          <w:lang w:val="es-ES_tradnl"/>
        </w:rPr>
      </w:pPr>
      <w:r>
        <w:rPr>
          <w:lang w:val="es-ES_tradnl"/>
        </w:rPr>
        <w:t>Carga de la red</w:t>
      </w:r>
    </w:p>
    <w:p w14:paraId="5C9CBDD5" w14:textId="2C71BB19" w:rsidR="00FE41EB" w:rsidRDefault="00FE41EB" w:rsidP="00792C35">
      <w:pPr>
        <w:rPr>
          <w:lang w:val="es-ES"/>
        </w:rPr>
      </w:pPr>
      <w:r>
        <w:rPr>
          <w:lang w:val="es-ES"/>
        </w:rPr>
        <w:t xml:space="preserve">Otro de los insumos relevantes de los que depende el dimensionado de la red es la carga de tráfico de los servicios de voz y datos durante la hora pico. Para esto, hemos utilizado datos proporcionados por los operadores sobre diferentes ratios que permitan determinar el perfil de carga. </w:t>
      </w:r>
      <w:r w:rsidR="007B1CBC">
        <w:rPr>
          <w:lang w:val="es-ES"/>
        </w:rPr>
        <w:t>Estos parámetros son iguales para el AEP y para el CS, mostrados a continuación</w:t>
      </w:r>
      <w:r>
        <w:rPr>
          <w:lang w:val="es-ES"/>
        </w:rPr>
        <w:t>:</w:t>
      </w:r>
    </w:p>
    <w:p w14:paraId="66975CF9" w14:textId="1E127F29" w:rsidR="005F4635" w:rsidRPr="00746902" w:rsidRDefault="005F4635" w:rsidP="005F4635">
      <w:pPr>
        <w:pStyle w:val="TableCaption"/>
        <w:rPr>
          <w:lang w:val="es-ES"/>
        </w:rPr>
      </w:pPr>
      <w:r w:rsidRPr="00746902">
        <w:rPr>
          <w:lang w:val="es-ES"/>
        </w:rPr>
        <w:lastRenderedPageBreak/>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34</w:t>
      </w:r>
      <w:r>
        <w:rPr>
          <w:lang w:val="es-ES"/>
        </w:rPr>
        <w:fldChar w:fldCharType="end"/>
      </w:r>
      <w:r w:rsidRPr="00746902">
        <w:rPr>
          <w:lang w:val="es-ES"/>
        </w:rPr>
        <w:t xml:space="preserve">: </w:t>
      </w:r>
      <w:r w:rsidR="004D2F36" w:rsidRPr="004D2F36">
        <w:rPr>
          <w:lang w:val="es-ES_tradnl"/>
        </w:rPr>
        <w:t xml:space="preserve">Perfil de carga de red del </w:t>
      </w:r>
      <w:r w:rsidR="007B1CBC">
        <w:rPr>
          <w:lang w:val="es-ES_tradnl"/>
        </w:rPr>
        <w:t xml:space="preserve">AEP y el </w:t>
      </w:r>
      <w:r w:rsidR="004D2F36" w:rsidRPr="004D2F36">
        <w:rPr>
          <w:lang w:val="es-ES_tradnl"/>
        </w:rPr>
        <w:t xml:space="preserve">CS </w:t>
      </w:r>
      <w:r w:rsidRPr="00746902">
        <w:rPr>
          <w:lang w:val="es-ES"/>
        </w:rPr>
        <w:t>[Fu</w:t>
      </w:r>
      <w:r>
        <w:rPr>
          <w:lang w:val="es-ES"/>
        </w:rPr>
        <w:t>ent</w:t>
      </w:r>
      <w:r w:rsidRPr="00746902">
        <w:rPr>
          <w:lang w:val="es-ES"/>
        </w:rPr>
        <w:t>e: Analysys Mason, 2023]</w:t>
      </w:r>
    </w:p>
    <w:tbl>
      <w:tblPr>
        <w:tblStyle w:val="Sombreadomedio2-nfasis1"/>
        <w:tblW w:w="8731"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1427"/>
        <w:gridCol w:w="1826"/>
        <w:gridCol w:w="1826"/>
        <w:gridCol w:w="1826"/>
        <w:gridCol w:w="1826"/>
      </w:tblGrid>
      <w:tr w:rsidR="00F50FF1" w:rsidRPr="0010115D" w14:paraId="3730282E" w14:textId="6221CCD9" w:rsidTr="007745B7">
        <w:trPr>
          <w:cnfStyle w:val="100000000000" w:firstRow="1" w:lastRow="0" w:firstColumn="0" w:lastColumn="0" w:oddVBand="0" w:evenVBand="0" w:oddHBand="0" w:evenHBand="0" w:firstRowFirstColumn="0" w:firstRowLastColumn="0" w:lastRowFirstColumn="0" w:lastRowLastColumn="0"/>
          <w:trHeight w:val="328"/>
          <w:tblHeader/>
        </w:trPr>
        <w:tc>
          <w:tcPr>
            <w:tcW w:w="1427" w:type="dxa"/>
            <w:tcBorders>
              <w:bottom w:val="single" w:sz="18" w:space="0" w:color="FFFFFF"/>
            </w:tcBorders>
            <w:shd w:val="clear" w:color="auto" w:fill="auto"/>
          </w:tcPr>
          <w:p w14:paraId="57D6A2E2" w14:textId="61E1C83B" w:rsidR="00F50FF1" w:rsidRPr="00883EF2" w:rsidRDefault="00F50FF1" w:rsidP="00F50FF1">
            <w:pPr>
              <w:pStyle w:val="Tableheading"/>
              <w:rPr>
                <w:bCs w:val="0"/>
                <w:color w:val="auto"/>
                <w:szCs w:val="20"/>
                <w:lang w:val="es-ES"/>
              </w:rPr>
            </w:pPr>
          </w:p>
        </w:tc>
        <w:tc>
          <w:tcPr>
            <w:tcW w:w="1826" w:type="dxa"/>
            <w:tcBorders>
              <w:bottom w:val="single" w:sz="18" w:space="0" w:color="FFFFFF"/>
            </w:tcBorders>
            <w:shd w:val="solid" w:color="0F51B1" w:fill="0F51B1"/>
          </w:tcPr>
          <w:p w14:paraId="60339D8E" w14:textId="6FE724AC" w:rsidR="00F50FF1" w:rsidRPr="00883EF2" w:rsidRDefault="00F50FF1" w:rsidP="00F50FF1">
            <w:pPr>
              <w:pStyle w:val="Tableheading"/>
              <w:ind w:right="0"/>
              <w:rPr>
                <w:b/>
                <w:color w:val="FFFFFF" w:themeColor="background1"/>
                <w:szCs w:val="20"/>
                <w:lang w:val="es-ES"/>
              </w:rPr>
            </w:pPr>
            <w:r w:rsidRPr="00883EF2">
              <w:rPr>
                <w:b/>
                <w:color w:val="FFFFFF" w:themeColor="background1"/>
                <w:szCs w:val="20"/>
                <w:lang w:val="es-ES"/>
              </w:rPr>
              <w:t>Intentos de llamadas por llamada exitosa</w:t>
            </w:r>
          </w:p>
        </w:tc>
        <w:tc>
          <w:tcPr>
            <w:tcW w:w="1826" w:type="dxa"/>
            <w:tcBorders>
              <w:bottom w:val="single" w:sz="18" w:space="0" w:color="FFFFFF"/>
            </w:tcBorders>
            <w:shd w:val="solid" w:color="0F51B1" w:fill="0F51B1"/>
            <w:vAlign w:val="center"/>
          </w:tcPr>
          <w:p w14:paraId="434A93D0" w14:textId="1176D645" w:rsidR="00F50FF1" w:rsidRPr="00883EF2" w:rsidRDefault="00F50FF1" w:rsidP="00F50FF1">
            <w:pPr>
              <w:pStyle w:val="Tableheading"/>
              <w:ind w:right="0"/>
              <w:rPr>
                <w:b/>
                <w:color w:val="FFFFFF" w:themeColor="background1"/>
                <w:szCs w:val="20"/>
                <w:lang w:val="es-ES"/>
              </w:rPr>
            </w:pPr>
            <w:r w:rsidRPr="00883EF2">
              <w:rPr>
                <w:b/>
                <w:color w:val="FFFFFF" w:themeColor="background1"/>
                <w:szCs w:val="20"/>
                <w:lang w:val="es-ES"/>
              </w:rPr>
              <w:t>Minutos de timbrazo por intento de llamada</w:t>
            </w:r>
          </w:p>
        </w:tc>
        <w:tc>
          <w:tcPr>
            <w:tcW w:w="1826" w:type="dxa"/>
            <w:tcBorders>
              <w:bottom w:val="single" w:sz="18" w:space="0" w:color="FFFFFF"/>
            </w:tcBorders>
            <w:shd w:val="solid" w:color="0F51B1" w:fill="0F51B1"/>
            <w:vAlign w:val="center"/>
          </w:tcPr>
          <w:p w14:paraId="1C8BCB2A" w14:textId="1706CB3E" w:rsidR="00F50FF1" w:rsidRPr="00883EF2" w:rsidRDefault="00F50FF1" w:rsidP="00F50FF1">
            <w:pPr>
              <w:pStyle w:val="Tableheading"/>
              <w:ind w:right="0"/>
              <w:rPr>
                <w:b/>
                <w:color w:val="FFFFFF" w:themeColor="background1"/>
                <w:szCs w:val="20"/>
                <w:lang w:val="es-ES"/>
              </w:rPr>
            </w:pPr>
            <w:r w:rsidRPr="00883EF2">
              <w:rPr>
                <w:b/>
                <w:color w:val="FFFFFF" w:themeColor="background1"/>
                <w:szCs w:val="20"/>
                <w:lang w:val="es-ES"/>
              </w:rPr>
              <w:t>Minutos por llamada exitosa</w:t>
            </w:r>
          </w:p>
        </w:tc>
        <w:tc>
          <w:tcPr>
            <w:tcW w:w="1826" w:type="dxa"/>
            <w:tcBorders>
              <w:bottom w:val="single" w:sz="18" w:space="0" w:color="FFFFFF"/>
            </w:tcBorders>
            <w:shd w:val="solid" w:color="0F51B1" w:fill="0F51B1"/>
            <w:vAlign w:val="center"/>
          </w:tcPr>
          <w:p w14:paraId="45BC8071" w14:textId="7AAFC982" w:rsidR="00F50FF1" w:rsidRPr="00883EF2" w:rsidRDefault="00F50FF1" w:rsidP="00F50FF1">
            <w:pPr>
              <w:pStyle w:val="Tableheading"/>
              <w:ind w:right="0"/>
              <w:rPr>
                <w:b/>
                <w:color w:val="FFFFFF" w:themeColor="background1"/>
                <w:szCs w:val="20"/>
                <w:lang w:val="es-ES"/>
              </w:rPr>
            </w:pPr>
            <w:r w:rsidRPr="00883EF2">
              <w:rPr>
                <w:b/>
                <w:color w:val="FFFFFF" w:themeColor="background1"/>
                <w:szCs w:val="20"/>
                <w:lang w:val="es-ES"/>
              </w:rPr>
              <w:t>Tiempo de timbrazo por minuto</w:t>
            </w:r>
          </w:p>
        </w:tc>
      </w:tr>
      <w:tr w:rsidR="00F50FF1" w:rsidRPr="00F2510D" w14:paraId="3C28D1A6" w14:textId="1C6A20BA" w:rsidTr="007745B7">
        <w:trPr>
          <w:trHeight w:val="328"/>
        </w:trPr>
        <w:tc>
          <w:tcPr>
            <w:tcW w:w="1427" w:type="dxa"/>
            <w:tcBorders>
              <w:top w:val="single" w:sz="18" w:space="0" w:color="FFFFFF"/>
            </w:tcBorders>
            <w:shd w:val="clear" w:color="auto" w:fill="C6D9F1" w:themeFill="text2" w:themeFillTint="33"/>
            <w:vAlign w:val="center"/>
          </w:tcPr>
          <w:p w14:paraId="4D822D26" w14:textId="5B4805B0" w:rsidR="00F50FF1" w:rsidRPr="00883EF2" w:rsidRDefault="00F50FF1" w:rsidP="00F50FF1">
            <w:pPr>
              <w:pStyle w:val="Tableheading"/>
              <w:rPr>
                <w:bCs/>
                <w:color w:val="auto"/>
                <w:szCs w:val="20"/>
                <w:lang w:val="es-ES"/>
              </w:rPr>
            </w:pPr>
            <w:r w:rsidRPr="00883EF2">
              <w:rPr>
                <w:bCs/>
                <w:color w:val="auto"/>
                <w:szCs w:val="20"/>
                <w:lang w:val="es-ES"/>
              </w:rPr>
              <w:t>On-net</w:t>
            </w:r>
          </w:p>
        </w:tc>
        <w:tc>
          <w:tcPr>
            <w:tcW w:w="1826" w:type="dxa"/>
            <w:tcBorders>
              <w:top w:val="single" w:sz="18" w:space="0" w:color="FFFFFF"/>
            </w:tcBorders>
            <w:vAlign w:val="center"/>
          </w:tcPr>
          <w:p w14:paraId="160AECBD" w14:textId="600B8436" w:rsidR="00F50FF1" w:rsidRPr="00883EF2" w:rsidRDefault="00F50FF1" w:rsidP="00F50FF1">
            <w:pPr>
              <w:pStyle w:val="Tableheading"/>
              <w:jc w:val="right"/>
              <w:rPr>
                <w:b w:val="0"/>
                <w:color w:val="auto"/>
                <w:szCs w:val="20"/>
                <w:lang w:val="es-ES"/>
              </w:rPr>
            </w:pPr>
            <w:r w:rsidRPr="00883EF2">
              <w:rPr>
                <w:b w:val="0"/>
                <w:color w:val="auto"/>
                <w:szCs w:val="20"/>
                <w:lang w:val="es-ES"/>
              </w:rPr>
              <w:t>1.54</w:t>
            </w:r>
          </w:p>
        </w:tc>
        <w:tc>
          <w:tcPr>
            <w:tcW w:w="1826" w:type="dxa"/>
            <w:tcBorders>
              <w:top w:val="single" w:sz="18" w:space="0" w:color="FFFFFF"/>
            </w:tcBorders>
            <w:vAlign w:val="center"/>
          </w:tcPr>
          <w:p w14:paraId="322E66B3" w14:textId="1D39F0EA" w:rsidR="00F50FF1" w:rsidRPr="00883EF2" w:rsidRDefault="00F50FF1" w:rsidP="00F50FF1">
            <w:pPr>
              <w:pStyle w:val="Tableheading"/>
              <w:jc w:val="right"/>
              <w:rPr>
                <w:b w:val="0"/>
                <w:color w:val="auto"/>
                <w:szCs w:val="20"/>
                <w:lang w:val="es-ES"/>
              </w:rPr>
            </w:pPr>
            <w:r w:rsidRPr="00883EF2">
              <w:rPr>
                <w:b w:val="0"/>
                <w:color w:val="auto"/>
                <w:szCs w:val="20"/>
                <w:lang w:val="es-ES"/>
              </w:rPr>
              <w:t>0.</w:t>
            </w:r>
            <w:r w:rsidR="0005660F">
              <w:rPr>
                <w:b w:val="0"/>
                <w:color w:val="auto"/>
                <w:szCs w:val="20"/>
                <w:lang w:val="es-ES"/>
              </w:rPr>
              <w:t>46</w:t>
            </w:r>
            <w:r w:rsidRPr="00883EF2">
              <w:rPr>
                <w:b w:val="0"/>
                <w:color w:val="auto"/>
                <w:szCs w:val="20"/>
                <w:lang w:val="es-ES"/>
              </w:rPr>
              <w:t xml:space="preserve"> </w:t>
            </w:r>
          </w:p>
        </w:tc>
        <w:tc>
          <w:tcPr>
            <w:tcW w:w="1826" w:type="dxa"/>
            <w:tcBorders>
              <w:top w:val="single" w:sz="18" w:space="0" w:color="FFFFFF"/>
            </w:tcBorders>
            <w:vAlign w:val="center"/>
          </w:tcPr>
          <w:p w14:paraId="5BA06F17" w14:textId="2C1B06DB" w:rsidR="00F50FF1" w:rsidRPr="00883EF2" w:rsidRDefault="00F50FF1" w:rsidP="00F50FF1">
            <w:pPr>
              <w:pStyle w:val="Tableheading"/>
              <w:jc w:val="right"/>
              <w:rPr>
                <w:b w:val="0"/>
                <w:color w:val="auto"/>
                <w:szCs w:val="20"/>
                <w:lang w:val="es-ES"/>
              </w:rPr>
            </w:pPr>
            <w:r w:rsidRPr="00883EF2">
              <w:rPr>
                <w:b w:val="0"/>
                <w:color w:val="auto"/>
                <w:szCs w:val="20"/>
                <w:lang w:val="es-ES"/>
              </w:rPr>
              <w:t>1.5</w:t>
            </w:r>
            <w:r w:rsidR="009B26CF">
              <w:rPr>
                <w:b w:val="0"/>
                <w:color w:val="auto"/>
                <w:szCs w:val="20"/>
                <w:lang w:val="es-ES"/>
              </w:rPr>
              <w:t>6</w:t>
            </w:r>
          </w:p>
        </w:tc>
        <w:tc>
          <w:tcPr>
            <w:tcW w:w="1826" w:type="dxa"/>
            <w:tcBorders>
              <w:top w:val="single" w:sz="18" w:space="0" w:color="FFFFFF"/>
            </w:tcBorders>
            <w:vAlign w:val="center"/>
          </w:tcPr>
          <w:p w14:paraId="2E763046" w14:textId="4D580D97" w:rsidR="00F50FF1" w:rsidRPr="00883EF2" w:rsidRDefault="00F50FF1" w:rsidP="00F50FF1">
            <w:pPr>
              <w:pStyle w:val="Tableheading"/>
              <w:jc w:val="right"/>
              <w:rPr>
                <w:b w:val="0"/>
                <w:color w:val="auto"/>
                <w:szCs w:val="20"/>
                <w:lang w:val="es-ES"/>
              </w:rPr>
            </w:pPr>
            <w:r w:rsidRPr="00883EF2">
              <w:rPr>
                <w:b w:val="0"/>
                <w:color w:val="auto"/>
                <w:szCs w:val="20"/>
                <w:lang w:val="es-ES"/>
              </w:rPr>
              <w:t>0.</w:t>
            </w:r>
            <w:r w:rsidR="002B2419">
              <w:rPr>
                <w:b w:val="0"/>
                <w:color w:val="auto"/>
                <w:szCs w:val="20"/>
                <w:lang w:val="es-ES"/>
              </w:rPr>
              <w:t>454</w:t>
            </w:r>
            <w:r w:rsidRPr="00883EF2">
              <w:rPr>
                <w:b w:val="0"/>
                <w:color w:val="auto"/>
                <w:szCs w:val="20"/>
                <w:lang w:val="es-ES"/>
              </w:rPr>
              <w:t xml:space="preserve"> </w:t>
            </w:r>
          </w:p>
        </w:tc>
      </w:tr>
      <w:tr w:rsidR="00F50FF1" w:rsidRPr="00F2510D" w14:paraId="2C323842" w14:textId="3F3A0355" w:rsidTr="007745B7">
        <w:trPr>
          <w:trHeight w:val="328"/>
        </w:trPr>
        <w:tc>
          <w:tcPr>
            <w:tcW w:w="1427" w:type="dxa"/>
            <w:shd w:val="clear" w:color="auto" w:fill="C6D9F1" w:themeFill="text2" w:themeFillTint="33"/>
            <w:vAlign w:val="center"/>
          </w:tcPr>
          <w:p w14:paraId="04FF8F9F" w14:textId="033B653C" w:rsidR="00F50FF1" w:rsidRPr="00883EF2" w:rsidRDefault="00F50FF1" w:rsidP="00F50FF1">
            <w:pPr>
              <w:pStyle w:val="Tableheading"/>
              <w:rPr>
                <w:bCs/>
                <w:color w:val="auto"/>
                <w:szCs w:val="20"/>
                <w:lang w:val="es-ES"/>
              </w:rPr>
            </w:pPr>
            <w:r w:rsidRPr="00883EF2">
              <w:rPr>
                <w:bCs/>
                <w:color w:val="auto"/>
                <w:szCs w:val="20"/>
                <w:lang w:val="es-ES"/>
              </w:rPr>
              <w:t>Salientes</w:t>
            </w:r>
          </w:p>
        </w:tc>
        <w:tc>
          <w:tcPr>
            <w:tcW w:w="1826" w:type="dxa"/>
            <w:vAlign w:val="center"/>
          </w:tcPr>
          <w:p w14:paraId="5B3570B8" w14:textId="6ADECD2B" w:rsidR="00F50FF1" w:rsidRPr="00883EF2" w:rsidRDefault="00F50FF1" w:rsidP="00F50FF1">
            <w:pPr>
              <w:pStyle w:val="Tableheading"/>
              <w:jc w:val="right"/>
              <w:rPr>
                <w:b w:val="0"/>
                <w:color w:val="auto"/>
                <w:szCs w:val="20"/>
                <w:lang w:val="es-ES"/>
              </w:rPr>
            </w:pPr>
            <w:r w:rsidRPr="00883EF2">
              <w:rPr>
                <w:b w:val="0"/>
                <w:color w:val="auto"/>
                <w:szCs w:val="20"/>
                <w:lang w:val="es-ES"/>
              </w:rPr>
              <w:t>1.56</w:t>
            </w:r>
          </w:p>
        </w:tc>
        <w:tc>
          <w:tcPr>
            <w:tcW w:w="1826" w:type="dxa"/>
            <w:vAlign w:val="center"/>
          </w:tcPr>
          <w:p w14:paraId="34041ADC" w14:textId="20EF19D5" w:rsidR="00F50FF1" w:rsidRPr="00883EF2" w:rsidRDefault="00F50FF1" w:rsidP="00F50FF1">
            <w:pPr>
              <w:pStyle w:val="Tableheading"/>
              <w:jc w:val="right"/>
              <w:rPr>
                <w:b w:val="0"/>
                <w:color w:val="auto"/>
                <w:szCs w:val="20"/>
                <w:lang w:val="es-ES"/>
              </w:rPr>
            </w:pPr>
            <w:r w:rsidRPr="00883EF2">
              <w:rPr>
                <w:b w:val="0"/>
                <w:color w:val="auto"/>
                <w:szCs w:val="20"/>
                <w:lang w:val="es-ES"/>
              </w:rPr>
              <w:t>0.4</w:t>
            </w:r>
            <w:r w:rsidR="0005660F">
              <w:rPr>
                <w:b w:val="0"/>
                <w:color w:val="auto"/>
                <w:szCs w:val="20"/>
                <w:lang w:val="es-ES"/>
              </w:rPr>
              <w:t>1</w:t>
            </w:r>
            <w:r w:rsidRPr="00883EF2">
              <w:rPr>
                <w:b w:val="0"/>
                <w:color w:val="auto"/>
                <w:szCs w:val="20"/>
                <w:lang w:val="es-ES"/>
              </w:rPr>
              <w:t xml:space="preserve"> </w:t>
            </w:r>
          </w:p>
        </w:tc>
        <w:tc>
          <w:tcPr>
            <w:tcW w:w="1826" w:type="dxa"/>
            <w:vAlign w:val="center"/>
          </w:tcPr>
          <w:p w14:paraId="749C6E23" w14:textId="107F4ACF" w:rsidR="00F50FF1" w:rsidRPr="00883EF2" w:rsidRDefault="00F50FF1" w:rsidP="00F50FF1">
            <w:pPr>
              <w:pStyle w:val="Tableheading"/>
              <w:jc w:val="right"/>
              <w:rPr>
                <w:b w:val="0"/>
                <w:color w:val="auto"/>
                <w:szCs w:val="20"/>
                <w:lang w:val="es-ES"/>
              </w:rPr>
            </w:pPr>
            <w:r w:rsidRPr="00883EF2">
              <w:rPr>
                <w:b w:val="0"/>
                <w:color w:val="auto"/>
                <w:szCs w:val="20"/>
                <w:lang w:val="es-ES"/>
              </w:rPr>
              <w:t>1.</w:t>
            </w:r>
            <w:r w:rsidR="009B26CF">
              <w:rPr>
                <w:b w:val="0"/>
                <w:color w:val="auto"/>
                <w:szCs w:val="20"/>
                <w:lang w:val="es-ES"/>
              </w:rPr>
              <w:t>84</w:t>
            </w:r>
            <w:r w:rsidRPr="00883EF2">
              <w:rPr>
                <w:b w:val="0"/>
                <w:color w:val="auto"/>
                <w:szCs w:val="20"/>
                <w:lang w:val="es-ES"/>
              </w:rPr>
              <w:t xml:space="preserve"> </w:t>
            </w:r>
          </w:p>
        </w:tc>
        <w:tc>
          <w:tcPr>
            <w:tcW w:w="1826" w:type="dxa"/>
            <w:vAlign w:val="center"/>
          </w:tcPr>
          <w:p w14:paraId="2F9EAEEB" w14:textId="24B1CF1F" w:rsidR="00F50FF1" w:rsidRPr="00883EF2" w:rsidRDefault="00F50FF1" w:rsidP="00F50FF1">
            <w:pPr>
              <w:pStyle w:val="Tableheading"/>
              <w:jc w:val="right"/>
              <w:rPr>
                <w:b w:val="0"/>
                <w:color w:val="auto"/>
                <w:szCs w:val="20"/>
                <w:lang w:val="es-ES"/>
              </w:rPr>
            </w:pPr>
            <w:r w:rsidRPr="00883EF2">
              <w:rPr>
                <w:b w:val="0"/>
                <w:color w:val="auto"/>
                <w:szCs w:val="20"/>
                <w:lang w:val="es-ES"/>
              </w:rPr>
              <w:t>0.3</w:t>
            </w:r>
            <w:r w:rsidR="002B2419">
              <w:rPr>
                <w:b w:val="0"/>
                <w:color w:val="auto"/>
                <w:szCs w:val="20"/>
                <w:lang w:val="es-ES"/>
              </w:rPr>
              <w:t>49</w:t>
            </w:r>
            <w:r w:rsidRPr="00883EF2">
              <w:rPr>
                <w:b w:val="0"/>
                <w:color w:val="auto"/>
                <w:szCs w:val="20"/>
                <w:lang w:val="es-ES"/>
              </w:rPr>
              <w:t xml:space="preserve"> </w:t>
            </w:r>
          </w:p>
        </w:tc>
      </w:tr>
      <w:tr w:rsidR="00F50FF1" w:rsidRPr="00E8508D" w14:paraId="6F80CDA2" w14:textId="3F6B6383" w:rsidTr="007745B7">
        <w:trPr>
          <w:trHeight w:val="328"/>
        </w:trPr>
        <w:tc>
          <w:tcPr>
            <w:tcW w:w="1427" w:type="dxa"/>
            <w:shd w:val="clear" w:color="auto" w:fill="C6D9F1" w:themeFill="text2" w:themeFillTint="33"/>
            <w:vAlign w:val="center"/>
          </w:tcPr>
          <w:p w14:paraId="1DA507A8" w14:textId="388024FD" w:rsidR="00F50FF1" w:rsidRPr="00883EF2" w:rsidRDefault="00F50FF1" w:rsidP="00F50FF1">
            <w:pPr>
              <w:pStyle w:val="Tableheading"/>
              <w:rPr>
                <w:bCs/>
                <w:color w:val="auto"/>
                <w:szCs w:val="20"/>
                <w:lang w:val="es-ES"/>
              </w:rPr>
            </w:pPr>
            <w:r w:rsidRPr="00883EF2">
              <w:rPr>
                <w:bCs/>
                <w:color w:val="auto"/>
                <w:szCs w:val="20"/>
                <w:lang w:val="es-ES"/>
              </w:rPr>
              <w:t>Entrantes</w:t>
            </w:r>
          </w:p>
        </w:tc>
        <w:tc>
          <w:tcPr>
            <w:tcW w:w="1826" w:type="dxa"/>
            <w:vAlign w:val="center"/>
          </w:tcPr>
          <w:p w14:paraId="5F237D0A" w14:textId="5680AC28" w:rsidR="00F50FF1" w:rsidRPr="00883EF2" w:rsidRDefault="00F50FF1" w:rsidP="00F50FF1">
            <w:pPr>
              <w:pStyle w:val="Tableheading"/>
              <w:jc w:val="right"/>
              <w:rPr>
                <w:b w:val="0"/>
                <w:color w:val="auto"/>
                <w:szCs w:val="20"/>
                <w:lang w:val="es-ES"/>
              </w:rPr>
            </w:pPr>
            <w:r w:rsidRPr="00883EF2">
              <w:rPr>
                <w:b w:val="0"/>
                <w:color w:val="auto"/>
                <w:szCs w:val="20"/>
                <w:lang w:val="es-ES"/>
              </w:rPr>
              <w:t>1.38</w:t>
            </w:r>
          </w:p>
        </w:tc>
        <w:tc>
          <w:tcPr>
            <w:tcW w:w="1826" w:type="dxa"/>
            <w:vAlign w:val="center"/>
          </w:tcPr>
          <w:p w14:paraId="1FEAB8AB" w14:textId="3C01D34A" w:rsidR="00F50FF1" w:rsidRPr="00883EF2" w:rsidRDefault="00F50FF1" w:rsidP="00F50FF1">
            <w:pPr>
              <w:pStyle w:val="Tableheading"/>
              <w:jc w:val="right"/>
              <w:rPr>
                <w:b w:val="0"/>
                <w:color w:val="auto"/>
                <w:szCs w:val="20"/>
                <w:lang w:val="es-ES"/>
              </w:rPr>
            </w:pPr>
            <w:r w:rsidRPr="00883EF2">
              <w:rPr>
                <w:b w:val="0"/>
                <w:color w:val="auto"/>
                <w:szCs w:val="20"/>
                <w:lang w:val="es-ES"/>
              </w:rPr>
              <w:t>0.</w:t>
            </w:r>
            <w:r w:rsidR="0005660F">
              <w:rPr>
                <w:b w:val="0"/>
                <w:color w:val="auto"/>
                <w:szCs w:val="20"/>
                <w:lang w:val="es-ES"/>
              </w:rPr>
              <w:t>46</w:t>
            </w:r>
          </w:p>
        </w:tc>
        <w:tc>
          <w:tcPr>
            <w:tcW w:w="1826" w:type="dxa"/>
            <w:vAlign w:val="center"/>
          </w:tcPr>
          <w:p w14:paraId="40ED25A3" w14:textId="3C3B0850" w:rsidR="00F50FF1" w:rsidRPr="00883EF2" w:rsidRDefault="00F50FF1" w:rsidP="00F50FF1">
            <w:pPr>
              <w:pStyle w:val="Tableheading"/>
              <w:jc w:val="right"/>
              <w:rPr>
                <w:b w:val="0"/>
                <w:color w:val="auto"/>
                <w:szCs w:val="20"/>
                <w:lang w:val="es-ES"/>
              </w:rPr>
            </w:pPr>
            <w:r w:rsidRPr="00883EF2">
              <w:rPr>
                <w:b w:val="0"/>
                <w:color w:val="auto"/>
                <w:szCs w:val="20"/>
                <w:lang w:val="es-ES"/>
              </w:rPr>
              <w:t>1.5</w:t>
            </w:r>
            <w:r w:rsidR="009B26CF">
              <w:rPr>
                <w:b w:val="0"/>
                <w:color w:val="auto"/>
                <w:szCs w:val="20"/>
                <w:lang w:val="es-ES"/>
              </w:rPr>
              <w:t>9</w:t>
            </w:r>
            <w:r w:rsidRPr="00883EF2">
              <w:rPr>
                <w:b w:val="0"/>
                <w:color w:val="auto"/>
                <w:szCs w:val="20"/>
                <w:lang w:val="es-ES"/>
              </w:rPr>
              <w:t xml:space="preserve"> </w:t>
            </w:r>
          </w:p>
        </w:tc>
        <w:tc>
          <w:tcPr>
            <w:tcW w:w="1826" w:type="dxa"/>
            <w:vAlign w:val="center"/>
          </w:tcPr>
          <w:p w14:paraId="15D57FC5" w14:textId="70B094D9" w:rsidR="00F50FF1" w:rsidRPr="00883EF2" w:rsidRDefault="00F50FF1" w:rsidP="00F50FF1">
            <w:pPr>
              <w:pStyle w:val="Tableheading"/>
              <w:jc w:val="right"/>
              <w:rPr>
                <w:b w:val="0"/>
                <w:color w:val="auto"/>
                <w:szCs w:val="20"/>
                <w:lang w:val="es-ES"/>
              </w:rPr>
            </w:pPr>
            <w:r w:rsidRPr="00883EF2">
              <w:rPr>
                <w:b w:val="0"/>
                <w:color w:val="auto"/>
                <w:szCs w:val="20"/>
                <w:lang w:val="es-ES"/>
              </w:rPr>
              <w:t>0.4</w:t>
            </w:r>
            <w:r w:rsidR="002B2419">
              <w:rPr>
                <w:b w:val="0"/>
                <w:color w:val="auto"/>
                <w:szCs w:val="20"/>
                <w:lang w:val="es-ES"/>
              </w:rPr>
              <w:t>01</w:t>
            </w:r>
            <w:r w:rsidRPr="00883EF2">
              <w:rPr>
                <w:b w:val="0"/>
                <w:color w:val="auto"/>
                <w:szCs w:val="20"/>
                <w:lang w:val="es-ES"/>
              </w:rPr>
              <w:t xml:space="preserve"> </w:t>
            </w:r>
          </w:p>
        </w:tc>
      </w:tr>
      <w:tr w:rsidR="00F50FF1" w:rsidRPr="00F2510D" w14:paraId="7CC81E0B" w14:textId="48782BD7" w:rsidTr="007745B7">
        <w:trPr>
          <w:trHeight w:val="328"/>
        </w:trPr>
        <w:tc>
          <w:tcPr>
            <w:tcW w:w="1427" w:type="dxa"/>
            <w:shd w:val="clear" w:color="auto" w:fill="C6D9F1" w:themeFill="text2" w:themeFillTint="33"/>
            <w:vAlign w:val="center"/>
          </w:tcPr>
          <w:p w14:paraId="3B5DBA5C" w14:textId="4611BB42" w:rsidR="00F50FF1" w:rsidRPr="00883EF2" w:rsidRDefault="00F50FF1" w:rsidP="00F50FF1">
            <w:pPr>
              <w:pStyle w:val="Tableheading"/>
              <w:rPr>
                <w:bCs/>
                <w:color w:val="auto"/>
                <w:szCs w:val="20"/>
                <w:lang w:val="es-ES"/>
              </w:rPr>
            </w:pPr>
            <w:r w:rsidRPr="00883EF2">
              <w:rPr>
                <w:bCs/>
                <w:color w:val="auto"/>
                <w:szCs w:val="20"/>
                <w:lang w:val="es-ES"/>
              </w:rPr>
              <w:t>Tránsito</w:t>
            </w:r>
          </w:p>
        </w:tc>
        <w:tc>
          <w:tcPr>
            <w:tcW w:w="1826" w:type="dxa"/>
            <w:vAlign w:val="center"/>
          </w:tcPr>
          <w:p w14:paraId="15C334AA" w14:textId="739CD267" w:rsidR="00F50FF1" w:rsidRPr="00883EF2" w:rsidRDefault="00F50FF1" w:rsidP="00F50FF1">
            <w:pPr>
              <w:pStyle w:val="Tableheading"/>
              <w:jc w:val="right"/>
              <w:rPr>
                <w:b w:val="0"/>
                <w:color w:val="auto"/>
                <w:szCs w:val="20"/>
                <w:lang w:val="es-ES"/>
              </w:rPr>
            </w:pPr>
            <w:r w:rsidRPr="00883EF2">
              <w:rPr>
                <w:b w:val="0"/>
                <w:color w:val="auto"/>
                <w:szCs w:val="20"/>
                <w:lang w:val="es-ES"/>
              </w:rPr>
              <w:t>1.50</w:t>
            </w:r>
          </w:p>
        </w:tc>
        <w:tc>
          <w:tcPr>
            <w:tcW w:w="1826" w:type="dxa"/>
            <w:vAlign w:val="center"/>
          </w:tcPr>
          <w:p w14:paraId="2897D8D1" w14:textId="6240BAD1" w:rsidR="00F50FF1" w:rsidRPr="00883EF2" w:rsidRDefault="00F50FF1" w:rsidP="00F50FF1">
            <w:pPr>
              <w:pStyle w:val="Tableheading"/>
              <w:jc w:val="right"/>
              <w:rPr>
                <w:b w:val="0"/>
                <w:color w:val="auto"/>
                <w:szCs w:val="20"/>
                <w:lang w:val="es-ES"/>
              </w:rPr>
            </w:pPr>
            <w:r w:rsidRPr="00883EF2">
              <w:rPr>
                <w:b w:val="0"/>
                <w:color w:val="auto"/>
                <w:szCs w:val="20"/>
                <w:lang w:val="es-ES"/>
              </w:rPr>
              <w:t xml:space="preserve">-  </w:t>
            </w:r>
          </w:p>
        </w:tc>
        <w:tc>
          <w:tcPr>
            <w:tcW w:w="1826" w:type="dxa"/>
            <w:vAlign w:val="center"/>
          </w:tcPr>
          <w:p w14:paraId="6ED3B623" w14:textId="0877BFE3" w:rsidR="00F50FF1" w:rsidRPr="00883EF2" w:rsidRDefault="00F50FF1" w:rsidP="00F50FF1">
            <w:pPr>
              <w:pStyle w:val="Tableheading"/>
              <w:jc w:val="right"/>
              <w:rPr>
                <w:b w:val="0"/>
                <w:color w:val="auto"/>
                <w:szCs w:val="20"/>
                <w:lang w:val="es-ES"/>
              </w:rPr>
            </w:pPr>
            <w:r w:rsidRPr="00883EF2">
              <w:rPr>
                <w:b w:val="0"/>
                <w:color w:val="auto"/>
                <w:szCs w:val="20"/>
                <w:lang w:val="es-ES"/>
              </w:rPr>
              <w:t>1.5</w:t>
            </w:r>
            <w:r w:rsidR="009B26CF">
              <w:rPr>
                <w:b w:val="0"/>
                <w:color w:val="auto"/>
                <w:szCs w:val="20"/>
                <w:lang w:val="es-ES"/>
              </w:rPr>
              <w:t>3</w:t>
            </w:r>
          </w:p>
        </w:tc>
        <w:tc>
          <w:tcPr>
            <w:tcW w:w="1826" w:type="dxa"/>
            <w:vAlign w:val="center"/>
          </w:tcPr>
          <w:p w14:paraId="4536BC2F" w14:textId="40BB2BD6" w:rsidR="00F50FF1" w:rsidRPr="00883EF2" w:rsidRDefault="00F50FF1" w:rsidP="00F50FF1">
            <w:pPr>
              <w:pStyle w:val="Tableheading"/>
              <w:jc w:val="right"/>
              <w:rPr>
                <w:b w:val="0"/>
                <w:color w:val="auto"/>
                <w:szCs w:val="20"/>
                <w:lang w:val="es-ES"/>
              </w:rPr>
            </w:pPr>
            <w:r w:rsidRPr="00883EF2">
              <w:rPr>
                <w:b w:val="0"/>
                <w:color w:val="auto"/>
                <w:szCs w:val="20"/>
                <w:lang w:val="es-ES"/>
              </w:rPr>
              <w:t xml:space="preserve">0.000 </w:t>
            </w:r>
          </w:p>
        </w:tc>
      </w:tr>
    </w:tbl>
    <w:p w14:paraId="480DD7B5" w14:textId="49B3320B" w:rsidR="007745B7" w:rsidRPr="00746902" w:rsidRDefault="007745B7" w:rsidP="007745B7">
      <w:pPr>
        <w:pStyle w:val="TableCaption"/>
        <w:rPr>
          <w:lang w:val="es-ES"/>
        </w:rPr>
      </w:pPr>
      <w:r w:rsidRPr="00746902">
        <w:rPr>
          <w:lang w:val="es-ES"/>
        </w:rPr>
        <w:t xml:space="preserve">Figura </w:t>
      </w:r>
      <w:r>
        <w:rPr>
          <w:lang w:val="es-ES"/>
        </w:rPr>
        <w:fldChar w:fldCharType="begin"/>
      </w:r>
      <w:r w:rsidRPr="00746902">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746902">
        <w:rPr>
          <w:lang w:val="es-ES"/>
        </w:rPr>
        <w:t>.</w:t>
      </w:r>
      <w:r>
        <w:rPr>
          <w:lang w:val="es-ES"/>
        </w:rPr>
        <w:fldChar w:fldCharType="begin"/>
      </w:r>
      <w:r w:rsidRPr="00746902">
        <w:rPr>
          <w:lang w:val="es-ES"/>
        </w:rPr>
        <w:instrText xml:space="preserve"> SEQ </w:instrText>
      </w:r>
      <w:r>
        <w:rPr>
          <w:lang w:val="es-ES"/>
        </w:rPr>
        <w:instrText>Ilustración</w:instrText>
      </w:r>
      <w:r w:rsidRPr="00746902">
        <w:rPr>
          <w:lang w:val="es-ES"/>
        </w:rPr>
        <w:instrText xml:space="preserve"> \* ARABIC \s 1 \* MERGEFORMAT </w:instrText>
      </w:r>
      <w:r>
        <w:rPr>
          <w:lang w:val="es-ES"/>
        </w:rPr>
        <w:fldChar w:fldCharType="separate"/>
      </w:r>
      <w:r w:rsidR="00020F8B">
        <w:rPr>
          <w:noProof/>
          <w:lang w:val="es-ES"/>
        </w:rPr>
        <w:t>35</w:t>
      </w:r>
      <w:r>
        <w:rPr>
          <w:lang w:val="es-ES"/>
        </w:rPr>
        <w:fldChar w:fldCharType="end"/>
      </w:r>
      <w:r w:rsidRPr="00746902">
        <w:rPr>
          <w:lang w:val="es-ES"/>
        </w:rPr>
        <w:t xml:space="preserve">: </w:t>
      </w:r>
      <w:r w:rsidR="004D2F36">
        <w:rPr>
          <w:lang w:val="es-ES_tradnl"/>
        </w:rPr>
        <w:t xml:space="preserve">Tráfico en hora pico para el </w:t>
      </w:r>
      <w:r w:rsidR="007B1CBC">
        <w:rPr>
          <w:lang w:val="es-ES_tradnl"/>
        </w:rPr>
        <w:t xml:space="preserve">AEP y el </w:t>
      </w:r>
      <w:r w:rsidR="004D2F36">
        <w:rPr>
          <w:lang w:val="es-ES_tradnl"/>
        </w:rPr>
        <w:t>CS</w:t>
      </w:r>
      <w:r w:rsidRPr="00006588">
        <w:rPr>
          <w:lang w:val="es-ES_tradnl"/>
        </w:rPr>
        <w:t xml:space="preserve"> </w:t>
      </w:r>
      <w:r w:rsidRPr="00746902">
        <w:rPr>
          <w:lang w:val="es-ES"/>
        </w:rPr>
        <w:t>[Fu</w:t>
      </w:r>
      <w:r>
        <w:rPr>
          <w:lang w:val="es-ES"/>
        </w:rPr>
        <w:t>ent</w:t>
      </w:r>
      <w:r w:rsidRPr="00746902">
        <w:rPr>
          <w:lang w:val="es-ES"/>
        </w:rPr>
        <w:t>e: Analysys Mason, 2023]</w:t>
      </w:r>
    </w:p>
    <w:tbl>
      <w:tblPr>
        <w:tblStyle w:val="Sombreadomedio2-nfasis1"/>
        <w:tblW w:w="8731"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1427"/>
        <w:gridCol w:w="1826"/>
        <w:gridCol w:w="1826"/>
        <w:gridCol w:w="1826"/>
        <w:gridCol w:w="1826"/>
      </w:tblGrid>
      <w:tr w:rsidR="00147019" w:rsidRPr="0010115D" w14:paraId="5A4E0059" w14:textId="77777777">
        <w:trPr>
          <w:cnfStyle w:val="100000000000" w:firstRow="1" w:lastRow="0" w:firstColumn="0" w:lastColumn="0" w:oddVBand="0" w:evenVBand="0" w:oddHBand="0" w:evenHBand="0" w:firstRowFirstColumn="0" w:firstRowLastColumn="0" w:lastRowFirstColumn="0" w:lastRowLastColumn="0"/>
          <w:trHeight w:val="328"/>
          <w:tblHeader/>
        </w:trPr>
        <w:tc>
          <w:tcPr>
            <w:tcW w:w="1427" w:type="dxa"/>
            <w:tcBorders>
              <w:bottom w:val="single" w:sz="18" w:space="0" w:color="FFFFFF"/>
            </w:tcBorders>
            <w:shd w:val="clear" w:color="auto" w:fill="auto"/>
          </w:tcPr>
          <w:p w14:paraId="56190814" w14:textId="77777777" w:rsidR="00147019" w:rsidRPr="00883EF2" w:rsidRDefault="00147019" w:rsidP="00147019">
            <w:pPr>
              <w:pStyle w:val="Tableheading"/>
              <w:rPr>
                <w:bCs w:val="0"/>
                <w:color w:val="auto"/>
                <w:szCs w:val="20"/>
                <w:lang w:val="es-ES"/>
              </w:rPr>
            </w:pPr>
          </w:p>
        </w:tc>
        <w:tc>
          <w:tcPr>
            <w:tcW w:w="1826" w:type="dxa"/>
            <w:tcBorders>
              <w:bottom w:val="single" w:sz="18" w:space="0" w:color="FFFFFF"/>
            </w:tcBorders>
            <w:shd w:val="solid" w:color="0F51B1" w:fill="0F51B1"/>
          </w:tcPr>
          <w:p w14:paraId="1957D27E" w14:textId="53AF2C1B" w:rsidR="00147019" w:rsidRPr="00883EF2" w:rsidRDefault="00147019" w:rsidP="00147019">
            <w:pPr>
              <w:pStyle w:val="Tableheading"/>
              <w:ind w:right="0"/>
              <w:rPr>
                <w:b/>
                <w:color w:val="FFFFFF" w:themeColor="background1"/>
                <w:szCs w:val="20"/>
                <w:lang w:val="es-ES"/>
              </w:rPr>
            </w:pPr>
            <w:r w:rsidRPr="00883EF2">
              <w:rPr>
                <w:b/>
                <w:color w:val="FFFFFF" w:themeColor="background1"/>
                <w:szCs w:val="20"/>
                <w:lang w:val="es-ES"/>
              </w:rPr>
              <w:t>Número de días pico al año</w:t>
            </w:r>
          </w:p>
        </w:tc>
        <w:tc>
          <w:tcPr>
            <w:tcW w:w="1826" w:type="dxa"/>
            <w:tcBorders>
              <w:bottom w:val="single" w:sz="18" w:space="0" w:color="FFFFFF"/>
            </w:tcBorders>
            <w:shd w:val="solid" w:color="0F51B1" w:fill="0F51B1"/>
          </w:tcPr>
          <w:p w14:paraId="5932DC7A" w14:textId="5093F4B9" w:rsidR="00147019" w:rsidRPr="00883EF2" w:rsidRDefault="00147019" w:rsidP="00147019">
            <w:pPr>
              <w:pStyle w:val="Tableheading"/>
              <w:ind w:right="0"/>
              <w:rPr>
                <w:b/>
                <w:color w:val="FFFFFF" w:themeColor="background1"/>
                <w:szCs w:val="20"/>
                <w:lang w:val="es-ES"/>
              </w:rPr>
            </w:pPr>
            <w:r w:rsidRPr="00883EF2">
              <w:rPr>
                <w:b/>
                <w:color w:val="FFFFFF" w:themeColor="background1"/>
                <w:szCs w:val="20"/>
                <w:lang w:val="es-ES"/>
              </w:rPr>
              <w:t>Proporción de tráfico semanal durante esos días</w:t>
            </w:r>
          </w:p>
        </w:tc>
        <w:tc>
          <w:tcPr>
            <w:tcW w:w="1826" w:type="dxa"/>
            <w:tcBorders>
              <w:bottom w:val="single" w:sz="18" w:space="0" w:color="FFFFFF"/>
            </w:tcBorders>
            <w:shd w:val="solid" w:color="0F51B1" w:fill="0F51B1"/>
          </w:tcPr>
          <w:p w14:paraId="0F4110B6" w14:textId="0AF80403" w:rsidR="00147019" w:rsidRPr="00883EF2" w:rsidRDefault="00147019" w:rsidP="00147019">
            <w:pPr>
              <w:pStyle w:val="Tableheading"/>
              <w:ind w:right="0"/>
              <w:rPr>
                <w:b/>
                <w:color w:val="FFFFFF" w:themeColor="background1"/>
                <w:szCs w:val="20"/>
                <w:lang w:val="es-ES"/>
              </w:rPr>
            </w:pPr>
            <w:r w:rsidRPr="00883EF2">
              <w:rPr>
                <w:b/>
                <w:color w:val="FFFFFF" w:themeColor="background1"/>
                <w:szCs w:val="20"/>
                <w:lang w:val="es-ES"/>
              </w:rPr>
              <w:t>Proporción de tráfico diario durante la hora pico de voz</w:t>
            </w:r>
          </w:p>
        </w:tc>
        <w:tc>
          <w:tcPr>
            <w:tcW w:w="1826" w:type="dxa"/>
            <w:tcBorders>
              <w:bottom w:val="single" w:sz="18" w:space="0" w:color="FFFFFF"/>
            </w:tcBorders>
            <w:shd w:val="solid" w:color="0F51B1" w:fill="0F51B1"/>
          </w:tcPr>
          <w:p w14:paraId="4E2AC82B" w14:textId="14DDCE21" w:rsidR="00147019" w:rsidRPr="00883EF2" w:rsidRDefault="00147019" w:rsidP="00147019">
            <w:pPr>
              <w:pStyle w:val="Tableheading"/>
              <w:ind w:right="0"/>
              <w:rPr>
                <w:b/>
                <w:color w:val="FFFFFF" w:themeColor="background1"/>
                <w:szCs w:val="20"/>
                <w:lang w:val="es-ES"/>
              </w:rPr>
            </w:pPr>
            <w:r w:rsidRPr="00883EF2">
              <w:rPr>
                <w:b/>
                <w:color w:val="FFFFFF" w:themeColor="background1"/>
                <w:szCs w:val="20"/>
                <w:lang w:val="es-ES"/>
              </w:rPr>
              <w:t>Proporción de tráfico diario durante la hora pico de datos</w:t>
            </w:r>
          </w:p>
        </w:tc>
      </w:tr>
      <w:tr w:rsidR="00147019" w:rsidRPr="00F2510D" w14:paraId="0CCB198B" w14:textId="77777777">
        <w:trPr>
          <w:trHeight w:val="328"/>
        </w:trPr>
        <w:tc>
          <w:tcPr>
            <w:tcW w:w="1427" w:type="dxa"/>
            <w:tcBorders>
              <w:top w:val="single" w:sz="18" w:space="0" w:color="FFFFFF"/>
            </w:tcBorders>
            <w:shd w:val="clear" w:color="auto" w:fill="C6D9F1" w:themeFill="text2" w:themeFillTint="33"/>
            <w:vAlign w:val="center"/>
          </w:tcPr>
          <w:p w14:paraId="7D70314B" w14:textId="64CC4FB1" w:rsidR="00147019" w:rsidRPr="00883EF2" w:rsidRDefault="00147019" w:rsidP="00147019">
            <w:pPr>
              <w:pStyle w:val="Tableheading"/>
              <w:rPr>
                <w:bCs/>
                <w:color w:val="auto"/>
                <w:szCs w:val="20"/>
                <w:lang w:val="es-ES"/>
              </w:rPr>
            </w:pPr>
            <w:r w:rsidRPr="00883EF2">
              <w:rPr>
                <w:bCs/>
                <w:color w:val="auto"/>
                <w:szCs w:val="20"/>
                <w:lang w:val="es-ES"/>
              </w:rPr>
              <w:t>Voz</w:t>
            </w:r>
          </w:p>
        </w:tc>
        <w:tc>
          <w:tcPr>
            <w:tcW w:w="1826" w:type="dxa"/>
            <w:tcBorders>
              <w:top w:val="single" w:sz="18" w:space="0" w:color="FFFFFF"/>
            </w:tcBorders>
            <w:vAlign w:val="center"/>
          </w:tcPr>
          <w:p w14:paraId="541FF7B7" w14:textId="4125A6A8" w:rsidR="00147019" w:rsidRPr="00883EF2" w:rsidRDefault="00147019" w:rsidP="00147019">
            <w:pPr>
              <w:pStyle w:val="Tableheading"/>
              <w:jc w:val="right"/>
              <w:rPr>
                <w:b w:val="0"/>
                <w:color w:val="auto"/>
                <w:szCs w:val="20"/>
                <w:lang w:val="es-ES"/>
              </w:rPr>
            </w:pPr>
            <w:r w:rsidRPr="00883EF2">
              <w:rPr>
                <w:b w:val="0"/>
                <w:color w:val="auto"/>
                <w:szCs w:val="20"/>
                <w:lang w:val="es-ES"/>
              </w:rPr>
              <w:t>250</w:t>
            </w:r>
          </w:p>
        </w:tc>
        <w:tc>
          <w:tcPr>
            <w:tcW w:w="1826" w:type="dxa"/>
            <w:tcBorders>
              <w:top w:val="single" w:sz="18" w:space="0" w:color="FFFFFF"/>
            </w:tcBorders>
            <w:vAlign w:val="center"/>
          </w:tcPr>
          <w:p w14:paraId="696F0FDA" w14:textId="6D2235DB" w:rsidR="00147019" w:rsidRPr="00883EF2" w:rsidRDefault="00147019" w:rsidP="00147019">
            <w:pPr>
              <w:pStyle w:val="Tableheading"/>
              <w:jc w:val="right"/>
              <w:rPr>
                <w:b w:val="0"/>
                <w:color w:val="auto"/>
                <w:szCs w:val="20"/>
                <w:lang w:val="es-ES"/>
              </w:rPr>
            </w:pPr>
            <w:r w:rsidRPr="00883EF2">
              <w:rPr>
                <w:b w:val="0"/>
                <w:color w:val="auto"/>
                <w:szCs w:val="20"/>
                <w:lang w:val="es-ES"/>
              </w:rPr>
              <w:t>7</w:t>
            </w:r>
            <w:r w:rsidR="009F7CC8">
              <w:rPr>
                <w:b w:val="0"/>
                <w:color w:val="auto"/>
                <w:szCs w:val="20"/>
                <w:lang w:val="es-ES"/>
              </w:rPr>
              <w:t>3</w:t>
            </w:r>
            <w:r w:rsidRPr="00883EF2">
              <w:rPr>
                <w:b w:val="0"/>
                <w:color w:val="auto"/>
                <w:szCs w:val="20"/>
                <w:lang w:val="es-ES"/>
              </w:rPr>
              <w:t>%</w:t>
            </w:r>
          </w:p>
        </w:tc>
        <w:tc>
          <w:tcPr>
            <w:tcW w:w="1826" w:type="dxa"/>
            <w:tcBorders>
              <w:top w:val="single" w:sz="18" w:space="0" w:color="FFFFFF"/>
            </w:tcBorders>
            <w:vAlign w:val="center"/>
          </w:tcPr>
          <w:p w14:paraId="64C01F5F" w14:textId="5A77FDCC" w:rsidR="00147019" w:rsidRPr="00883EF2" w:rsidRDefault="00147019" w:rsidP="00147019">
            <w:pPr>
              <w:pStyle w:val="Tableheading"/>
              <w:jc w:val="right"/>
              <w:rPr>
                <w:b w:val="0"/>
                <w:color w:val="auto"/>
                <w:szCs w:val="20"/>
                <w:lang w:val="es-ES"/>
              </w:rPr>
            </w:pPr>
            <w:r w:rsidRPr="00883EF2">
              <w:rPr>
                <w:b w:val="0"/>
                <w:color w:val="auto"/>
                <w:szCs w:val="20"/>
                <w:lang w:val="es-ES"/>
              </w:rPr>
              <w:t>6.</w:t>
            </w:r>
            <w:r w:rsidR="00545914">
              <w:rPr>
                <w:b w:val="0"/>
                <w:color w:val="auto"/>
                <w:szCs w:val="20"/>
                <w:lang w:val="es-ES"/>
              </w:rPr>
              <w:t>8</w:t>
            </w:r>
            <w:r w:rsidRPr="00883EF2">
              <w:rPr>
                <w:b w:val="0"/>
                <w:color w:val="auto"/>
                <w:szCs w:val="20"/>
                <w:lang w:val="es-ES"/>
              </w:rPr>
              <w:t>%</w:t>
            </w:r>
          </w:p>
        </w:tc>
        <w:tc>
          <w:tcPr>
            <w:tcW w:w="1826" w:type="dxa"/>
            <w:tcBorders>
              <w:top w:val="single" w:sz="18" w:space="0" w:color="FFFFFF"/>
            </w:tcBorders>
            <w:vAlign w:val="center"/>
          </w:tcPr>
          <w:p w14:paraId="39805F0C" w14:textId="37119C9A" w:rsidR="00147019" w:rsidRPr="00883EF2" w:rsidRDefault="00147019" w:rsidP="00147019">
            <w:pPr>
              <w:pStyle w:val="Tableheading"/>
              <w:jc w:val="right"/>
              <w:rPr>
                <w:b w:val="0"/>
                <w:color w:val="auto"/>
                <w:szCs w:val="20"/>
                <w:lang w:val="es-ES"/>
              </w:rPr>
            </w:pPr>
            <w:r w:rsidRPr="00883EF2">
              <w:rPr>
                <w:b w:val="0"/>
                <w:color w:val="auto"/>
                <w:szCs w:val="20"/>
                <w:lang w:val="es-ES"/>
              </w:rPr>
              <w:t>6.7%</w:t>
            </w:r>
          </w:p>
        </w:tc>
      </w:tr>
      <w:tr w:rsidR="00147019" w:rsidRPr="00F2510D" w14:paraId="0CB75DC4" w14:textId="77777777">
        <w:trPr>
          <w:trHeight w:val="328"/>
        </w:trPr>
        <w:tc>
          <w:tcPr>
            <w:tcW w:w="1427" w:type="dxa"/>
            <w:shd w:val="clear" w:color="auto" w:fill="C6D9F1" w:themeFill="text2" w:themeFillTint="33"/>
            <w:vAlign w:val="center"/>
          </w:tcPr>
          <w:p w14:paraId="669F963A" w14:textId="6C854FC7" w:rsidR="00147019" w:rsidRPr="00883EF2" w:rsidRDefault="00147019" w:rsidP="00147019">
            <w:pPr>
              <w:pStyle w:val="Tableheading"/>
              <w:rPr>
                <w:bCs/>
                <w:color w:val="auto"/>
                <w:szCs w:val="20"/>
                <w:lang w:val="es-ES"/>
              </w:rPr>
            </w:pPr>
            <w:r w:rsidRPr="00883EF2">
              <w:rPr>
                <w:bCs/>
                <w:color w:val="auto"/>
                <w:szCs w:val="20"/>
                <w:lang w:val="es-ES"/>
              </w:rPr>
              <w:t>SMS</w:t>
            </w:r>
          </w:p>
        </w:tc>
        <w:tc>
          <w:tcPr>
            <w:tcW w:w="1826" w:type="dxa"/>
            <w:vAlign w:val="center"/>
          </w:tcPr>
          <w:p w14:paraId="135319C5" w14:textId="3A4C483D" w:rsidR="00147019" w:rsidRPr="00883EF2" w:rsidRDefault="009F7CC8" w:rsidP="00147019">
            <w:pPr>
              <w:pStyle w:val="Tableheading"/>
              <w:jc w:val="right"/>
              <w:rPr>
                <w:b w:val="0"/>
                <w:color w:val="auto"/>
                <w:szCs w:val="20"/>
                <w:lang w:val="es-ES"/>
              </w:rPr>
            </w:pPr>
            <w:r>
              <w:rPr>
                <w:b w:val="0"/>
                <w:color w:val="auto"/>
                <w:szCs w:val="20"/>
                <w:lang w:val="es-ES"/>
              </w:rPr>
              <w:t>273</w:t>
            </w:r>
          </w:p>
        </w:tc>
        <w:tc>
          <w:tcPr>
            <w:tcW w:w="1826" w:type="dxa"/>
            <w:vAlign w:val="center"/>
          </w:tcPr>
          <w:p w14:paraId="76106737" w14:textId="1A70E16B" w:rsidR="00147019" w:rsidRPr="00883EF2" w:rsidRDefault="009F7CC8" w:rsidP="00147019">
            <w:pPr>
              <w:pStyle w:val="Tableheading"/>
              <w:jc w:val="right"/>
              <w:rPr>
                <w:b w:val="0"/>
                <w:color w:val="auto"/>
                <w:szCs w:val="20"/>
                <w:lang w:val="es-ES"/>
              </w:rPr>
            </w:pPr>
            <w:r>
              <w:rPr>
                <w:b w:val="0"/>
                <w:color w:val="auto"/>
                <w:szCs w:val="20"/>
                <w:lang w:val="es-ES"/>
              </w:rPr>
              <w:t>75</w:t>
            </w:r>
            <w:r w:rsidR="00147019" w:rsidRPr="00883EF2">
              <w:rPr>
                <w:b w:val="0"/>
                <w:color w:val="auto"/>
                <w:szCs w:val="20"/>
                <w:lang w:val="es-ES"/>
              </w:rPr>
              <w:t>%</w:t>
            </w:r>
          </w:p>
        </w:tc>
        <w:tc>
          <w:tcPr>
            <w:tcW w:w="1826" w:type="dxa"/>
            <w:vAlign w:val="center"/>
          </w:tcPr>
          <w:p w14:paraId="6E54A236" w14:textId="493A8B8F" w:rsidR="00147019" w:rsidRPr="00883EF2" w:rsidRDefault="00147019" w:rsidP="00147019">
            <w:pPr>
              <w:pStyle w:val="Tableheading"/>
              <w:jc w:val="right"/>
              <w:rPr>
                <w:b w:val="0"/>
                <w:color w:val="auto"/>
                <w:szCs w:val="20"/>
                <w:lang w:val="es-ES"/>
              </w:rPr>
            </w:pPr>
            <w:r w:rsidRPr="00883EF2">
              <w:rPr>
                <w:b w:val="0"/>
                <w:color w:val="auto"/>
                <w:szCs w:val="20"/>
                <w:lang w:val="es-ES"/>
              </w:rPr>
              <w:t>4.</w:t>
            </w:r>
            <w:r w:rsidR="00545914">
              <w:rPr>
                <w:b w:val="0"/>
                <w:color w:val="auto"/>
                <w:szCs w:val="20"/>
                <w:lang w:val="es-ES"/>
              </w:rPr>
              <w:t>5</w:t>
            </w:r>
            <w:r w:rsidRPr="00883EF2">
              <w:rPr>
                <w:b w:val="0"/>
                <w:color w:val="auto"/>
                <w:szCs w:val="20"/>
                <w:lang w:val="es-ES"/>
              </w:rPr>
              <w:t>%</w:t>
            </w:r>
          </w:p>
        </w:tc>
        <w:tc>
          <w:tcPr>
            <w:tcW w:w="1826" w:type="dxa"/>
            <w:vAlign w:val="center"/>
          </w:tcPr>
          <w:p w14:paraId="3FDFEDEC" w14:textId="64733810" w:rsidR="00147019" w:rsidRPr="00883EF2" w:rsidRDefault="00147019" w:rsidP="00147019">
            <w:pPr>
              <w:pStyle w:val="Tableheading"/>
              <w:jc w:val="right"/>
              <w:rPr>
                <w:b w:val="0"/>
                <w:color w:val="auto"/>
                <w:szCs w:val="20"/>
                <w:lang w:val="es-ES"/>
              </w:rPr>
            </w:pPr>
            <w:r w:rsidRPr="00883EF2">
              <w:rPr>
                <w:b w:val="0"/>
                <w:color w:val="auto"/>
                <w:szCs w:val="20"/>
                <w:lang w:val="es-ES"/>
              </w:rPr>
              <w:t>4.</w:t>
            </w:r>
            <w:r w:rsidR="00545914">
              <w:rPr>
                <w:b w:val="0"/>
                <w:color w:val="auto"/>
                <w:szCs w:val="20"/>
                <w:lang w:val="es-ES"/>
              </w:rPr>
              <w:t>5</w:t>
            </w:r>
            <w:r w:rsidRPr="00883EF2">
              <w:rPr>
                <w:b w:val="0"/>
                <w:color w:val="auto"/>
                <w:szCs w:val="20"/>
                <w:lang w:val="es-ES"/>
              </w:rPr>
              <w:t>%</w:t>
            </w:r>
          </w:p>
        </w:tc>
      </w:tr>
      <w:tr w:rsidR="00147019" w:rsidRPr="00E8508D" w14:paraId="6B672BE0" w14:textId="77777777">
        <w:trPr>
          <w:trHeight w:val="328"/>
        </w:trPr>
        <w:tc>
          <w:tcPr>
            <w:tcW w:w="1427" w:type="dxa"/>
            <w:shd w:val="clear" w:color="auto" w:fill="C6D9F1" w:themeFill="text2" w:themeFillTint="33"/>
            <w:vAlign w:val="center"/>
          </w:tcPr>
          <w:p w14:paraId="7194D24F" w14:textId="3B900774" w:rsidR="00147019" w:rsidRPr="00883EF2" w:rsidRDefault="00147019" w:rsidP="00147019">
            <w:pPr>
              <w:pStyle w:val="Tableheading"/>
              <w:rPr>
                <w:bCs/>
                <w:color w:val="auto"/>
                <w:szCs w:val="20"/>
                <w:lang w:val="es-ES"/>
              </w:rPr>
            </w:pPr>
            <w:r w:rsidRPr="00883EF2">
              <w:rPr>
                <w:bCs/>
                <w:color w:val="auto"/>
                <w:szCs w:val="20"/>
                <w:lang w:val="es-ES"/>
              </w:rPr>
              <w:t>Datos</w:t>
            </w:r>
          </w:p>
        </w:tc>
        <w:tc>
          <w:tcPr>
            <w:tcW w:w="1826" w:type="dxa"/>
            <w:vAlign w:val="center"/>
          </w:tcPr>
          <w:p w14:paraId="7555240C" w14:textId="4310E9CA" w:rsidR="00147019" w:rsidRPr="00883EF2" w:rsidRDefault="00147019" w:rsidP="00147019">
            <w:pPr>
              <w:pStyle w:val="Tableheading"/>
              <w:jc w:val="right"/>
              <w:rPr>
                <w:b w:val="0"/>
                <w:color w:val="auto"/>
                <w:szCs w:val="20"/>
                <w:lang w:val="es-ES"/>
              </w:rPr>
            </w:pPr>
            <w:r w:rsidRPr="00883EF2">
              <w:rPr>
                <w:b w:val="0"/>
                <w:color w:val="auto"/>
                <w:szCs w:val="20"/>
                <w:lang w:val="es-ES"/>
              </w:rPr>
              <w:t>250</w:t>
            </w:r>
          </w:p>
        </w:tc>
        <w:tc>
          <w:tcPr>
            <w:tcW w:w="1826" w:type="dxa"/>
            <w:vAlign w:val="center"/>
          </w:tcPr>
          <w:p w14:paraId="5E54CA3B" w14:textId="565FD340" w:rsidR="00147019" w:rsidRPr="00883EF2" w:rsidRDefault="009F7CC8" w:rsidP="00147019">
            <w:pPr>
              <w:pStyle w:val="Tableheading"/>
              <w:jc w:val="right"/>
              <w:rPr>
                <w:b w:val="0"/>
                <w:color w:val="auto"/>
                <w:szCs w:val="20"/>
                <w:lang w:val="es-ES"/>
              </w:rPr>
            </w:pPr>
            <w:r>
              <w:rPr>
                <w:b w:val="0"/>
                <w:color w:val="auto"/>
                <w:szCs w:val="20"/>
                <w:lang w:val="es-ES"/>
              </w:rPr>
              <w:t>73</w:t>
            </w:r>
            <w:r w:rsidR="00147019" w:rsidRPr="00883EF2">
              <w:rPr>
                <w:b w:val="0"/>
                <w:color w:val="auto"/>
                <w:szCs w:val="20"/>
                <w:lang w:val="es-ES"/>
              </w:rPr>
              <w:t>%</w:t>
            </w:r>
          </w:p>
        </w:tc>
        <w:tc>
          <w:tcPr>
            <w:tcW w:w="1826" w:type="dxa"/>
            <w:vAlign w:val="center"/>
          </w:tcPr>
          <w:p w14:paraId="75DF2C98" w14:textId="122F8E51" w:rsidR="00147019" w:rsidRPr="00883EF2" w:rsidRDefault="00147019" w:rsidP="00147019">
            <w:pPr>
              <w:pStyle w:val="Tableheading"/>
              <w:jc w:val="right"/>
              <w:rPr>
                <w:b w:val="0"/>
                <w:color w:val="auto"/>
                <w:szCs w:val="20"/>
                <w:lang w:val="es-ES"/>
              </w:rPr>
            </w:pPr>
            <w:r w:rsidRPr="00883EF2">
              <w:rPr>
                <w:b w:val="0"/>
                <w:color w:val="auto"/>
                <w:szCs w:val="20"/>
                <w:lang w:val="es-ES"/>
              </w:rPr>
              <w:t>5.</w:t>
            </w:r>
            <w:r w:rsidR="00545914">
              <w:rPr>
                <w:b w:val="0"/>
                <w:color w:val="auto"/>
                <w:szCs w:val="20"/>
                <w:lang w:val="es-ES"/>
              </w:rPr>
              <w:t>9</w:t>
            </w:r>
            <w:r w:rsidRPr="00883EF2">
              <w:rPr>
                <w:b w:val="0"/>
                <w:color w:val="auto"/>
                <w:szCs w:val="20"/>
                <w:lang w:val="es-ES"/>
              </w:rPr>
              <w:t>%</w:t>
            </w:r>
          </w:p>
        </w:tc>
        <w:tc>
          <w:tcPr>
            <w:tcW w:w="1826" w:type="dxa"/>
            <w:vAlign w:val="center"/>
          </w:tcPr>
          <w:p w14:paraId="0DBECA65" w14:textId="4A6A31B5" w:rsidR="00147019" w:rsidRPr="00883EF2" w:rsidRDefault="00545914" w:rsidP="00147019">
            <w:pPr>
              <w:pStyle w:val="Tableheading"/>
              <w:jc w:val="right"/>
              <w:rPr>
                <w:b w:val="0"/>
                <w:color w:val="auto"/>
                <w:szCs w:val="20"/>
                <w:lang w:val="es-ES"/>
              </w:rPr>
            </w:pPr>
            <w:r>
              <w:rPr>
                <w:b w:val="0"/>
                <w:color w:val="auto"/>
                <w:szCs w:val="20"/>
                <w:lang w:val="es-ES"/>
              </w:rPr>
              <w:t>6</w:t>
            </w:r>
            <w:r w:rsidR="00147019" w:rsidRPr="00883EF2">
              <w:rPr>
                <w:b w:val="0"/>
                <w:color w:val="auto"/>
                <w:szCs w:val="20"/>
                <w:lang w:val="es-ES"/>
              </w:rPr>
              <w:t>.</w:t>
            </w:r>
            <w:r>
              <w:rPr>
                <w:b w:val="0"/>
                <w:color w:val="auto"/>
                <w:szCs w:val="20"/>
                <w:lang w:val="es-ES"/>
              </w:rPr>
              <w:t>0</w:t>
            </w:r>
            <w:r w:rsidR="00147019" w:rsidRPr="00883EF2">
              <w:rPr>
                <w:b w:val="0"/>
                <w:color w:val="auto"/>
                <w:szCs w:val="20"/>
                <w:lang w:val="es-ES"/>
              </w:rPr>
              <w:t>%</w:t>
            </w:r>
          </w:p>
        </w:tc>
      </w:tr>
    </w:tbl>
    <w:p w14:paraId="6DA39E8A" w14:textId="77777777" w:rsidR="00FE41EB" w:rsidRDefault="00FE41EB" w:rsidP="00792C35">
      <w:pPr>
        <w:rPr>
          <w:lang w:val="es-ES"/>
        </w:rPr>
      </w:pPr>
    </w:p>
    <w:p w14:paraId="5AFEAB4C" w14:textId="64606361" w:rsidR="0047708C" w:rsidRDefault="007B5207">
      <w:pPr>
        <w:rPr>
          <w:lang w:val="es-ES"/>
        </w:rPr>
      </w:pPr>
      <w:r>
        <w:rPr>
          <w:lang w:val="es-ES"/>
        </w:rPr>
        <w:t xml:space="preserve">Por otro lado, para poder costear la red de forma efectiva, el tráfico de la demanda obtenido del </w:t>
      </w:r>
      <w:r w:rsidR="005D0C3C">
        <w:rPr>
          <w:lang w:val="es-ES"/>
        </w:rPr>
        <w:t>módulo</w:t>
      </w:r>
      <w:r>
        <w:rPr>
          <w:lang w:val="es-ES"/>
        </w:rPr>
        <w:t xml:space="preserve"> de mercado </w:t>
      </w:r>
      <w:r w:rsidR="00265599">
        <w:rPr>
          <w:lang w:val="es-ES"/>
        </w:rPr>
        <w:t xml:space="preserve">a nivel de servicio </w:t>
      </w:r>
      <w:r>
        <w:rPr>
          <w:lang w:val="es-ES"/>
        </w:rPr>
        <w:t xml:space="preserve">se distribuye entre </w:t>
      </w:r>
      <w:r w:rsidR="00265599">
        <w:rPr>
          <w:lang w:val="es-ES"/>
        </w:rPr>
        <w:t xml:space="preserve">los distintos servicios de red. Es decir, </w:t>
      </w:r>
      <w:r w:rsidR="00223216" w:rsidRPr="00A820A5">
        <w:rPr>
          <w:lang w:val="es-ES"/>
        </w:rPr>
        <w:t>se toma el</w:t>
      </w:r>
      <w:r w:rsidR="00223216">
        <w:rPr>
          <w:lang w:val="es-ES"/>
        </w:rPr>
        <w:t xml:space="preserve"> tráfico de los distintos servicios de voz (saliente, entrante, en tránsito) y se distribuye entre los </w:t>
      </w:r>
      <w:r w:rsidR="00265599">
        <w:rPr>
          <w:lang w:val="es-ES"/>
        </w:rPr>
        <w:t xml:space="preserve">distintos </w:t>
      </w:r>
      <w:r w:rsidR="00223216">
        <w:rPr>
          <w:lang w:val="es-ES"/>
        </w:rPr>
        <w:t>servicios de red</w:t>
      </w:r>
      <w:r w:rsidR="00265599">
        <w:rPr>
          <w:lang w:val="es-ES"/>
        </w:rPr>
        <w:t xml:space="preserve"> (p.ej. voz saliente de larga distancia intra-nodo, multi-nodo, etc). La distribución</w:t>
      </w:r>
      <w:r w:rsidR="00223216">
        <w:rPr>
          <w:lang w:val="es-ES"/>
        </w:rPr>
        <w:t xml:space="preserve"> </w:t>
      </w:r>
      <w:r w:rsidR="00265599">
        <w:rPr>
          <w:lang w:val="es-ES"/>
        </w:rPr>
        <w:t xml:space="preserve">aplicada se basa en </w:t>
      </w:r>
      <w:r w:rsidR="00223216">
        <w:rPr>
          <w:lang w:val="es-ES"/>
        </w:rPr>
        <w:t xml:space="preserve">información proporcionada por los operadores en el requerimiento de datos. Como se aprecia en la </w:t>
      </w:r>
      <w:r w:rsidR="00223216">
        <w:rPr>
          <w:lang w:val="es-ES"/>
        </w:rPr>
        <w:fldChar w:fldCharType="begin"/>
      </w:r>
      <w:r w:rsidR="00223216">
        <w:rPr>
          <w:lang w:val="es-ES"/>
        </w:rPr>
        <w:instrText xml:space="preserve"> REF _Ref135408650 \h </w:instrText>
      </w:r>
      <w:r w:rsidR="00223216">
        <w:rPr>
          <w:lang w:val="es-ES"/>
        </w:rPr>
      </w:r>
      <w:r w:rsidR="00223216">
        <w:rPr>
          <w:lang w:val="es-ES"/>
        </w:rPr>
        <w:fldChar w:fldCharType="separate"/>
      </w:r>
      <w:r w:rsidR="00020F8B" w:rsidRPr="00D5435C">
        <w:rPr>
          <w:lang w:val="es-ES"/>
        </w:rPr>
        <w:t xml:space="preserve">Figura </w:t>
      </w:r>
      <w:r w:rsidR="00020F8B">
        <w:rPr>
          <w:noProof/>
          <w:lang w:val="es-ES"/>
        </w:rPr>
        <w:t>3</w:t>
      </w:r>
      <w:r w:rsidR="00020F8B" w:rsidRPr="00D5435C">
        <w:rPr>
          <w:lang w:val="es-ES"/>
        </w:rPr>
        <w:t>.</w:t>
      </w:r>
      <w:r w:rsidR="00020F8B">
        <w:rPr>
          <w:noProof/>
          <w:lang w:val="es-ES"/>
        </w:rPr>
        <w:t>36</w:t>
      </w:r>
      <w:r w:rsidR="00223216">
        <w:rPr>
          <w:lang w:val="es-ES"/>
        </w:rPr>
        <w:fldChar w:fldCharType="end"/>
      </w:r>
      <w:r w:rsidR="00223216">
        <w:rPr>
          <w:lang w:val="es-ES"/>
        </w:rPr>
        <w:t>, l</w:t>
      </w:r>
      <w:r w:rsidR="00223216" w:rsidRPr="00213311">
        <w:rPr>
          <w:lang w:val="es-ES"/>
        </w:rPr>
        <w:t>a proporción de llamadas locales es 0%, ya que en la actualidad todas las llamadas locales pasan por al menos un nodo del núcleo</w:t>
      </w:r>
      <w:r w:rsidR="00223216">
        <w:rPr>
          <w:lang w:val="es-ES"/>
        </w:rPr>
        <w:t>.</w:t>
      </w:r>
    </w:p>
    <w:p w14:paraId="76FE7625" w14:textId="610FFC51" w:rsidR="0047708C" w:rsidRPr="00D5435C" w:rsidRDefault="0047708C" w:rsidP="0047708C">
      <w:pPr>
        <w:pStyle w:val="Descripcin"/>
        <w:rPr>
          <w:lang w:val="es-ES"/>
        </w:rPr>
      </w:pPr>
      <w:bookmarkStart w:id="43" w:name="_Ref135408650"/>
      <w:r w:rsidRPr="00D5435C">
        <w:rPr>
          <w:lang w:val="es-ES"/>
        </w:rPr>
        <w:t xml:space="preserve">Figura </w:t>
      </w:r>
      <w:r>
        <w:rPr>
          <w:lang w:val="es-ES"/>
        </w:rPr>
        <w:fldChar w:fldCharType="begin"/>
      </w:r>
      <w:r w:rsidRPr="00D5435C">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D5435C">
        <w:rPr>
          <w:lang w:val="es-ES"/>
        </w:rPr>
        <w:t>.</w:t>
      </w:r>
      <w:r>
        <w:rPr>
          <w:lang w:val="es-ES"/>
        </w:rPr>
        <w:fldChar w:fldCharType="begin"/>
      </w:r>
      <w:r w:rsidRPr="00D5435C">
        <w:rPr>
          <w:lang w:val="es-ES"/>
        </w:rPr>
        <w:instrText xml:space="preserve"> SEQ Ilustración \* ARABIC \s 1 \* MERGEFORMAT </w:instrText>
      </w:r>
      <w:r>
        <w:rPr>
          <w:lang w:val="es-ES"/>
        </w:rPr>
        <w:fldChar w:fldCharType="separate"/>
      </w:r>
      <w:r w:rsidR="00020F8B">
        <w:rPr>
          <w:noProof/>
          <w:lang w:val="es-ES"/>
        </w:rPr>
        <w:t>36</w:t>
      </w:r>
      <w:r>
        <w:rPr>
          <w:lang w:val="es-ES"/>
        </w:rPr>
        <w:fldChar w:fldCharType="end"/>
      </w:r>
      <w:bookmarkEnd w:id="43"/>
      <w:r w:rsidRPr="00D5435C">
        <w:rPr>
          <w:lang w:val="es-ES"/>
        </w:rPr>
        <w:t>: Distribuci</w:t>
      </w:r>
      <w:r>
        <w:rPr>
          <w:lang w:val="es-ES"/>
        </w:rPr>
        <w:t>ón de tráfico entre los distintos servicios de red</w:t>
      </w:r>
      <w:r w:rsidRPr="00D5435C">
        <w:rPr>
          <w:lang w:val="es-ES"/>
        </w:rPr>
        <w:t xml:space="preserve"> [Fuente: Analysys Mason, 2023]</w:t>
      </w:r>
    </w:p>
    <w:tbl>
      <w:tblPr>
        <w:tblStyle w:val="Sombreadomedio2-nfasis1"/>
        <w:tblW w:w="8721" w:type="dxa"/>
        <w:tblLook w:val="0620" w:firstRow="1" w:lastRow="0" w:firstColumn="0" w:lastColumn="0" w:noHBand="1" w:noVBand="1"/>
      </w:tblPr>
      <w:tblGrid>
        <w:gridCol w:w="6946"/>
        <w:gridCol w:w="1775"/>
      </w:tblGrid>
      <w:tr w:rsidR="001E3E69" w:rsidRPr="001E3E69" w14:paraId="2B9880D5" w14:textId="77777777" w:rsidTr="00854FBF">
        <w:trPr>
          <w:cnfStyle w:val="100000000000" w:firstRow="1" w:lastRow="0" w:firstColumn="0" w:lastColumn="0" w:oddVBand="0" w:evenVBand="0" w:oddHBand="0" w:evenHBand="0" w:firstRowFirstColumn="0" w:firstRowLastColumn="0" w:lastRowFirstColumn="0" w:lastRowLastColumn="0"/>
        </w:trPr>
        <w:tc>
          <w:tcPr>
            <w:tcW w:w="6946" w:type="dxa"/>
            <w:tcBorders>
              <w:bottom w:val="single" w:sz="4" w:space="0" w:color="FFFFFF" w:themeColor="background1"/>
            </w:tcBorders>
          </w:tcPr>
          <w:p w14:paraId="0E65A1F0" w14:textId="247433FF" w:rsidR="001E3E69" w:rsidRPr="00883EF2" w:rsidRDefault="00AA30E4" w:rsidP="001E3E69">
            <w:pPr>
              <w:pStyle w:val="Tableheading"/>
              <w:rPr>
                <w:rFonts w:cs="Times New Roman"/>
                <w:b/>
              </w:rPr>
            </w:pPr>
            <w:r w:rsidRPr="00883EF2">
              <w:rPr>
                <w:rFonts w:cs="Times New Roman"/>
                <w:b/>
              </w:rPr>
              <w:t>Servicios de red</w:t>
            </w:r>
          </w:p>
        </w:tc>
        <w:tc>
          <w:tcPr>
            <w:tcW w:w="1775" w:type="dxa"/>
            <w:tcBorders>
              <w:bottom w:val="single" w:sz="4" w:space="0" w:color="FFFFFF" w:themeColor="background1"/>
            </w:tcBorders>
          </w:tcPr>
          <w:p w14:paraId="6C02342D" w14:textId="72BF84FD" w:rsidR="001E3E69" w:rsidRPr="00883EF2" w:rsidRDefault="00AA30E4" w:rsidP="00854FBF">
            <w:pPr>
              <w:pStyle w:val="Tableheading"/>
              <w:jc w:val="right"/>
              <w:rPr>
                <w:rFonts w:cs="Times New Roman"/>
                <w:b/>
              </w:rPr>
            </w:pPr>
            <w:r w:rsidRPr="00883EF2">
              <w:rPr>
                <w:rFonts w:cs="Times New Roman"/>
                <w:b/>
              </w:rPr>
              <w:t>Proporción</w:t>
            </w:r>
          </w:p>
        </w:tc>
      </w:tr>
      <w:tr w:rsidR="00854FBF" w:rsidRPr="001E3E69" w14:paraId="277EFF00"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3472B" w14:textId="3913C794" w:rsidR="00854FBF" w:rsidRPr="00C77CA6" w:rsidRDefault="00854FBF" w:rsidP="00854FBF">
            <w:pPr>
              <w:pStyle w:val="Tablecells"/>
              <w:rPr>
                <w:rFonts w:cs="Times New Roman"/>
                <w:lang w:val="es-MX"/>
              </w:rPr>
            </w:pPr>
            <w:r w:rsidRPr="00883EF2">
              <w:rPr>
                <w:rFonts w:eastAsiaTheme="minorEastAsia" w:cs="Times New Roman"/>
                <w:color w:val="000000" w:themeColor="text1"/>
                <w:kern w:val="24"/>
                <w:szCs w:val="20"/>
                <w:lang w:val="es-ES"/>
              </w:rPr>
              <w:t>Voz saliente LD intra-nodo on-net</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E03A7" w14:textId="46DC4305"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5.1%</w:t>
            </w:r>
          </w:p>
        </w:tc>
      </w:tr>
      <w:tr w:rsidR="00854FBF" w:rsidRPr="001E3E69" w14:paraId="1D415F4F"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97B0A" w14:textId="0B03F0E2"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saliente LD multi-nodo on-net</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C218E1" w14:textId="313CCE51"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94.9%</w:t>
            </w:r>
          </w:p>
        </w:tc>
      </w:tr>
      <w:tr w:rsidR="00854FBF" w:rsidRPr="001E3E69" w14:paraId="3B5E265E"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21EEE" w14:textId="04C3C675"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saliente Local a otros operadores</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98A5F" w14:textId="65A11F7D"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0.0%</w:t>
            </w:r>
          </w:p>
        </w:tc>
      </w:tr>
      <w:tr w:rsidR="00854FBF" w:rsidRPr="001E3E69" w14:paraId="2C911F43"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35D78" w14:textId="7141E5F5"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saliente LD intra-nodo a otros operadores</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C563C4" w14:textId="081FE942"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5.1%</w:t>
            </w:r>
          </w:p>
        </w:tc>
      </w:tr>
      <w:tr w:rsidR="00854FBF" w:rsidRPr="001E3E69" w14:paraId="38FC2761"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F99A75" w14:textId="4B444931"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saliente LD multi-nodo a otros operadores</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A765E1" w14:textId="15B8A9D4"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94.9%</w:t>
            </w:r>
          </w:p>
        </w:tc>
      </w:tr>
      <w:tr w:rsidR="00854FBF" w:rsidRPr="001E3E69" w14:paraId="587AE0E6"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5EAF3" w14:textId="6857F95D"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entrante Local de otros operadores</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35759" w14:textId="12064C57"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0.0%</w:t>
            </w:r>
          </w:p>
        </w:tc>
      </w:tr>
      <w:tr w:rsidR="00854FBF" w:rsidRPr="001E3E69" w14:paraId="7447482B"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A9607" w14:textId="16AB5A22"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entrante LD intra-nodo de otros operadores</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CA3459" w14:textId="46AD8A7D"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5.1%</w:t>
            </w:r>
          </w:p>
        </w:tc>
      </w:tr>
      <w:tr w:rsidR="00854FBF" w:rsidRPr="001E3E69" w14:paraId="4B027140"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081365" w14:textId="0AA6C9D6"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entrante LD multi-nodo de otros operadores</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DD0480" w14:textId="3B99C3DA"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94.9%</w:t>
            </w:r>
          </w:p>
        </w:tc>
      </w:tr>
      <w:tr w:rsidR="00854FBF" w:rsidRPr="001E3E69" w14:paraId="4E2CA9DA"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866A1B" w14:textId="14FB4303"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en tránsito LD intra-nodo</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A14DA6" w14:textId="06468224"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5.0%</w:t>
            </w:r>
          </w:p>
        </w:tc>
      </w:tr>
      <w:tr w:rsidR="00854FBF" w:rsidRPr="001E3E69" w14:paraId="264470C2"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5CCA49" w14:textId="59FB4D75" w:rsidR="00854FBF" w:rsidRPr="00883EF2" w:rsidRDefault="00854FBF" w:rsidP="00854FBF">
            <w:pPr>
              <w:pStyle w:val="Tablecells"/>
              <w:rPr>
                <w:rFonts w:cs="Times New Roman"/>
                <w:lang w:val="es-ES"/>
              </w:rPr>
            </w:pPr>
            <w:r w:rsidRPr="00883EF2">
              <w:rPr>
                <w:rFonts w:eastAsiaTheme="minorEastAsia" w:cs="Times New Roman"/>
                <w:color w:val="000000" w:themeColor="text1"/>
                <w:kern w:val="24"/>
                <w:szCs w:val="20"/>
                <w:lang w:val="es-ES"/>
              </w:rPr>
              <w:t>Voz en tránsito LD multi-nodo</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C93008" w14:textId="18D76C0E" w:rsidR="00854FBF" w:rsidRPr="00883EF2" w:rsidRDefault="00854FBF" w:rsidP="00854FBF">
            <w:pPr>
              <w:pStyle w:val="Tablecells"/>
              <w:jc w:val="right"/>
              <w:rPr>
                <w:rFonts w:cs="Times New Roman"/>
              </w:rPr>
            </w:pPr>
            <w:r w:rsidRPr="00883EF2">
              <w:rPr>
                <w:rFonts w:eastAsiaTheme="minorEastAsia" w:cs="Times New Roman"/>
                <w:color w:val="000000" w:themeColor="text1"/>
                <w:kern w:val="24"/>
                <w:szCs w:val="20"/>
                <w:lang w:val="es-ES"/>
              </w:rPr>
              <w:t>95.0%</w:t>
            </w:r>
          </w:p>
        </w:tc>
      </w:tr>
      <w:tr w:rsidR="00854FBF" w:rsidRPr="001E3E69" w14:paraId="0BF3D91A"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3008A" w14:textId="1B5913CE" w:rsidR="00854FBF" w:rsidRPr="00C77CA6" w:rsidRDefault="00854FBF" w:rsidP="00854FBF">
            <w:pPr>
              <w:pStyle w:val="Tablecells"/>
              <w:rPr>
                <w:rFonts w:cs="Times New Roman"/>
                <w:lang w:val="es-MX"/>
              </w:rPr>
            </w:pPr>
            <w:r w:rsidRPr="00883EF2">
              <w:rPr>
                <w:rFonts w:eastAsiaTheme="minorEastAsia" w:cs="Times New Roman"/>
                <w:color w:val="000000" w:themeColor="text1"/>
                <w:kern w:val="24"/>
                <w:szCs w:val="20"/>
                <w:lang w:val="es-ES"/>
              </w:rPr>
              <w:t>Circuitos IP/E-VPN Agregación</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386E7F" w14:textId="43597A96" w:rsidR="00854FBF" w:rsidRPr="00883EF2" w:rsidRDefault="00854FBF" w:rsidP="00854FBF">
            <w:pPr>
              <w:pStyle w:val="Tablecells"/>
              <w:jc w:val="right"/>
              <w:rPr>
                <w:rFonts w:cs="Times New Roman"/>
              </w:rPr>
            </w:pPr>
            <w:r w:rsidRPr="00883EF2">
              <w:rPr>
                <w:rFonts w:cs="Times New Roman"/>
                <w:color w:val="000000" w:themeColor="text1"/>
                <w:kern w:val="24"/>
                <w:szCs w:val="20"/>
                <w:lang w:val="en-US"/>
              </w:rPr>
              <w:t>39.7%</w:t>
            </w:r>
          </w:p>
        </w:tc>
      </w:tr>
      <w:tr w:rsidR="00854FBF" w:rsidRPr="001E3E69" w14:paraId="26B64DC6"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6FC11" w14:textId="5AC0A189" w:rsidR="00854FBF" w:rsidRPr="00883EF2" w:rsidRDefault="00854FBF" w:rsidP="00854FBF">
            <w:pPr>
              <w:pStyle w:val="Tablecells"/>
              <w:rPr>
                <w:rFonts w:cs="Times New Roman"/>
                <w:lang w:val="pt-PT"/>
              </w:rPr>
            </w:pPr>
            <w:r w:rsidRPr="00883EF2">
              <w:rPr>
                <w:rFonts w:eastAsiaTheme="minorEastAsia" w:cs="Times New Roman"/>
                <w:color w:val="000000" w:themeColor="text1"/>
                <w:kern w:val="24"/>
                <w:szCs w:val="20"/>
                <w:lang w:val="pt-PT"/>
              </w:rPr>
              <w:t>Circuitos IP/E-VPN LD intra-nodo</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90D132" w14:textId="2B01E4D4" w:rsidR="00854FBF" w:rsidRPr="00883EF2" w:rsidRDefault="00854FBF" w:rsidP="00854FBF">
            <w:pPr>
              <w:pStyle w:val="Tablecells"/>
              <w:jc w:val="right"/>
              <w:rPr>
                <w:rFonts w:cs="Times New Roman"/>
              </w:rPr>
            </w:pPr>
            <w:r w:rsidRPr="00883EF2">
              <w:rPr>
                <w:rFonts w:cs="Times New Roman"/>
                <w:color w:val="000000" w:themeColor="text1"/>
                <w:kern w:val="24"/>
                <w:szCs w:val="20"/>
                <w:lang w:val="es-ES"/>
              </w:rPr>
              <w:t>49.8%</w:t>
            </w:r>
          </w:p>
        </w:tc>
      </w:tr>
      <w:tr w:rsidR="00854FBF" w:rsidRPr="001E3E69" w14:paraId="5E07310C" w14:textId="77777777" w:rsidTr="00854FBF">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A34F9B" w14:textId="02B46D9D" w:rsidR="00854FBF" w:rsidRPr="00C77CA6" w:rsidRDefault="00854FBF" w:rsidP="00854FBF">
            <w:pPr>
              <w:pStyle w:val="Tablecells"/>
              <w:rPr>
                <w:rFonts w:cs="Times New Roman"/>
                <w:lang w:val="es-MX"/>
              </w:rPr>
            </w:pPr>
            <w:r w:rsidRPr="00883EF2">
              <w:rPr>
                <w:rFonts w:eastAsiaTheme="minorEastAsia" w:cs="Times New Roman"/>
                <w:color w:val="000000" w:themeColor="text1"/>
                <w:kern w:val="24"/>
                <w:szCs w:val="20"/>
                <w:lang w:val="es-ES"/>
              </w:rPr>
              <w:t>Circuitos IP/E-VPN LD multi-nodo</w:t>
            </w:r>
          </w:p>
        </w:tc>
        <w:tc>
          <w:tcPr>
            <w:tcW w:w="1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1EABD" w14:textId="5EDDD648" w:rsidR="00854FBF" w:rsidRPr="00883EF2" w:rsidRDefault="00854FBF" w:rsidP="00854FBF">
            <w:pPr>
              <w:pStyle w:val="Tablecells"/>
              <w:jc w:val="right"/>
              <w:rPr>
                <w:rFonts w:cs="Times New Roman"/>
              </w:rPr>
            </w:pPr>
            <w:r w:rsidRPr="00883EF2">
              <w:rPr>
                <w:rFonts w:cs="Times New Roman"/>
                <w:color w:val="000000" w:themeColor="text1"/>
                <w:kern w:val="24"/>
                <w:szCs w:val="20"/>
                <w:lang w:val="es-ES"/>
              </w:rPr>
              <w:t>10.5%</w:t>
            </w:r>
          </w:p>
        </w:tc>
      </w:tr>
    </w:tbl>
    <w:p w14:paraId="3A9E6D15" w14:textId="11357448" w:rsidR="002B07B7" w:rsidRDefault="002B07B7" w:rsidP="002B07B7"/>
    <w:p w14:paraId="34658AA7" w14:textId="5B7E4DCD" w:rsidR="00E653A3" w:rsidRDefault="00854B3C" w:rsidP="00E653A3">
      <w:pPr>
        <w:rPr>
          <w:lang w:val="es-ES"/>
        </w:rPr>
      </w:pPr>
      <w:r>
        <w:rPr>
          <w:lang w:val="es-ES"/>
        </w:rPr>
        <w:lastRenderedPageBreak/>
        <w:t>Además, hay ciertas hipótesis técnicas que considera el modelo para llevar a cabo l</w:t>
      </w:r>
      <w:r w:rsidR="00E653A3" w:rsidRPr="00B4246E">
        <w:rPr>
          <w:lang w:val="es-ES"/>
        </w:rPr>
        <w:t>a planificación de la red:</w:t>
      </w:r>
    </w:p>
    <w:p w14:paraId="3684EEF4" w14:textId="77777777" w:rsidR="00E653A3" w:rsidRDefault="00E653A3" w:rsidP="00E653A3">
      <w:pPr>
        <w:pStyle w:val="ListBulletCompact"/>
        <w:numPr>
          <w:ilvl w:val="0"/>
          <w:numId w:val="31"/>
        </w:numPr>
        <w:rPr>
          <w:lang w:val="es-ES"/>
        </w:rPr>
      </w:pPr>
      <w:r w:rsidRPr="00C93D4B">
        <w:rPr>
          <w:lang w:val="es-ES"/>
        </w:rPr>
        <w:t>La proporción de tráfico en días laborables se estima en un 80% para voz, basado en comparativas internacionales</w:t>
      </w:r>
    </w:p>
    <w:p w14:paraId="24CFC8A8" w14:textId="77777777" w:rsidR="00E653A3" w:rsidRDefault="00E653A3" w:rsidP="00E653A3">
      <w:pPr>
        <w:pStyle w:val="ListBulletCompact"/>
        <w:numPr>
          <w:ilvl w:val="0"/>
          <w:numId w:val="31"/>
        </w:numPr>
        <w:rPr>
          <w:lang w:val="es-ES"/>
        </w:rPr>
      </w:pPr>
      <w:r w:rsidRPr="00C93D4B">
        <w:rPr>
          <w:lang w:val="es-ES"/>
        </w:rPr>
        <w:t>El ancho de banda ocupado por voz se establece en 92 kbit/s, utilizando el codec G.711 con un período de muestreo de 20 ms</w:t>
      </w:r>
    </w:p>
    <w:p w14:paraId="5251897B" w14:textId="77777777" w:rsidR="00E653A3" w:rsidRDefault="00E653A3" w:rsidP="00E653A3">
      <w:pPr>
        <w:pStyle w:val="ListBulletCompact"/>
        <w:numPr>
          <w:ilvl w:val="0"/>
          <w:numId w:val="31"/>
        </w:numPr>
        <w:rPr>
          <w:lang w:val="es-ES"/>
        </w:rPr>
      </w:pPr>
      <w:r w:rsidRPr="00C93D4B">
        <w:rPr>
          <w:lang w:val="es-ES"/>
        </w:rPr>
        <w:t>La duración media de las llamadas varía entre 3.1 y 7.0 minutos, dependiendo del tipo de llamada</w:t>
      </w:r>
    </w:p>
    <w:p w14:paraId="1D141338" w14:textId="77777777" w:rsidR="00E653A3" w:rsidRDefault="00E653A3" w:rsidP="00E653A3">
      <w:pPr>
        <w:pStyle w:val="ListBulletCompact"/>
        <w:numPr>
          <w:ilvl w:val="0"/>
          <w:numId w:val="31"/>
        </w:numPr>
        <w:rPr>
          <w:lang w:val="es-ES"/>
        </w:rPr>
      </w:pPr>
      <w:r w:rsidRPr="00C93D4B">
        <w:rPr>
          <w:lang w:val="es-ES"/>
        </w:rPr>
        <w:t>Se estima que, en promedio, se requieren entre 1.2 y 1.9 intentos de llamadas para lograr una llamada exitosa</w:t>
      </w:r>
    </w:p>
    <w:p w14:paraId="26321586" w14:textId="7632B613" w:rsidR="00E653A3" w:rsidRDefault="00E653A3" w:rsidP="00E653A3">
      <w:pPr>
        <w:pStyle w:val="ListBulletCompact"/>
        <w:numPr>
          <w:ilvl w:val="0"/>
          <w:numId w:val="31"/>
        </w:numPr>
        <w:rPr>
          <w:lang w:val="es-ES"/>
        </w:rPr>
      </w:pPr>
      <w:r w:rsidRPr="00EB619C">
        <w:rPr>
          <w:lang w:val="es-ES"/>
        </w:rPr>
        <w:t xml:space="preserve">Se considera un ratio de contención de datos </w:t>
      </w:r>
      <w:r w:rsidR="00562B25">
        <w:rPr>
          <w:lang w:val="es-ES"/>
        </w:rPr>
        <w:t>variable dependiendo de la velocidad</w:t>
      </w:r>
    </w:p>
    <w:p w14:paraId="6A7088C6" w14:textId="77777777" w:rsidR="00E653A3" w:rsidRPr="00EB619C" w:rsidRDefault="00E653A3" w:rsidP="00E653A3">
      <w:pPr>
        <w:pStyle w:val="ListBulletCompact"/>
        <w:numPr>
          <w:ilvl w:val="0"/>
          <w:numId w:val="31"/>
        </w:numPr>
        <w:rPr>
          <w:lang w:val="es-ES"/>
        </w:rPr>
      </w:pPr>
      <w:r w:rsidRPr="00EB619C">
        <w:rPr>
          <w:lang w:val="es-ES"/>
        </w:rPr>
        <w:t>Los nodos rurales de la red Tier 3 tienen una capacidad de tráfico inferior en promedio a los nodos urbanos de las redes Tier 1 y 2</w:t>
      </w:r>
    </w:p>
    <w:p w14:paraId="7A3BFEA0" w14:textId="77777777" w:rsidR="00E653A3" w:rsidRPr="00F65A29" w:rsidRDefault="00E653A3" w:rsidP="00E653A3">
      <w:pPr>
        <w:rPr>
          <w:lang w:val="es-ES"/>
        </w:rPr>
      </w:pPr>
      <w:r>
        <w:rPr>
          <w:lang w:val="es-ES"/>
        </w:rPr>
        <w:t>Además, e</w:t>
      </w:r>
      <w:r w:rsidRPr="00F65A29">
        <w:rPr>
          <w:lang w:val="es-ES"/>
        </w:rPr>
        <w:t xml:space="preserve">l modelo también contempla varias hipótesis técnicas adicionales que </w:t>
      </w:r>
      <w:r>
        <w:rPr>
          <w:lang w:val="es-ES"/>
        </w:rPr>
        <w:t>se han basado, en la medida de lo posible, en información facilitada por los operadores:</w:t>
      </w:r>
    </w:p>
    <w:p w14:paraId="6AA43323" w14:textId="77777777" w:rsidR="00E653A3" w:rsidRDefault="00E653A3" w:rsidP="00E653A3">
      <w:pPr>
        <w:pStyle w:val="ListBulletCompact"/>
        <w:numPr>
          <w:ilvl w:val="0"/>
          <w:numId w:val="32"/>
        </w:numPr>
        <w:rPr>
          <w:lang w:val="es-ES"/>
        </w:rPr>
      </w:pPr>
      <w:r w:rsidRPr="00EB619C">
        <w:rPr>
          <w:lang w:val="es-ES"/>
        </w:rPr>
        <w:t>Los MSAN tienen una capacidad de 512 suscriptores, mientras que los mini-MSAN admiten hasta 128 suscriptores. Se estima que la utilización máxima de capacidad de estos dispositivos es del 70%</w:t>
      </w:r>
    </w:p>
    <w:p w14:paraId="384ABF06" w14:textId="77777777" w:rsidR="00E653A3" w:rsidRDefault="00E653A3" w:rsidP="00E653A3">
      <w:pPr>
        <w:pStyle w:val="ListBulletCompact"/>
        <w:numPr>
          <w:ilvl w:val="0"/>
          <w:numId w:val="32"/>
        </w:numPr>
        <w:rPr>
          <w:lang w:val="es-ES"/>
        </w:rPr>
      </w:pPr>
      <w:r w:rsidRPr="00EB619C">
        <w:rPr>
          <w:lang w:val="es-ES"/>
        </w:rPr>
        <w:t>Los e</w:t>
      </w:r>
      <w:r w:rsidRPr="00EB619C">
        <w:rPr>
          <w:i/>
          <w:iCs/>
          <w:lang w:val="es-ES"/>
        </w:rPr>
        <w:t>dge router</w:t>
      </w:r>
      <w:r w:rsidRPr="00EB619C">
        <w:rPr>
          <w:lang w:val="es-ES"/>
        </w:rPr>
        <w:t xml:space="preserve"> cuentan con 8 ranuras y tarjetas que ofrecen 20 puertos GE (Gigabit Ethernet) o 2 puertos 10GE (10 Gigabit Ethernet). Se asume que la utilización máxima de capacidad de estos routers sea del 40%</w:t>
      </w:r>
    </w:p>
    <w:p w14:paraId="268F25F1" w14:textId="77777777" w:rsidR="00E653A3" w:rsidRDefault="00E653A3" w:rsidP="00E653A3">
      <w:pPr>
        <w:pStyle w:val="ListBulletCompact"/>
        <w:numPr>
          <w:ilvl w:val="0"/>
          <w:numId w:val="32"/>
        </w:numPr>
        <w:rPr>
          <w:lang w:val="es-ES"/>
        </w:rPr>
      </w:pPr>
      <w:r w:rsidRPr="00EB619C">
        <w:rPr>
          <w:lang w:val="es-ES"/>
        </w:rPr>
        <w:t xml:space="preserve">Los </w:t>
      </w:r>
      <w:r w:rsidRPr="00EB619C">
        <w:rPr>
          <w:i/>
          <w:iCs/>
          <w:lang w:val="es-ES"/>
        </w:rPr>
        <w:t xml:space="preserve">core routers </w:t>
      </w:r>
      <w:r w:rsidRPr="00EB619C">
        <w:rPr>
          <w:lang w:val="es-ES"/>
        </w:rPr>
        <w:t>también tienen 8 ranuras y tarjetas con 20 puertos GE o 2 puertos 10GE, y se estima una utilización máxima de capacidad del 40%</w:t>
      </w:r>
    </w:p>
    <w:p w14:paraId="5CAF6371" w14:textId="77777777" w:rsidR="00E653A3" w:rsidRDefault="00E653A3" w:rsidP="00E653A3">
      <w:pPr>
        <w:pStyle w:val="ListBulletCompact"/>
        <w:numPr>
          <w:ilvl w:val="0"/>
          <w:numId w:val="32"/>
        </w:numPr>
        <w:rPr>
          <w:lang w:val="es-ES"/>
        </w:rPr>
      </w:pPr>
      <w:r w:rsidRPr="00EB619C">
        <w:rPr>
          <w:lang w:val="es-ES"/>
        </w:rPr>
        <w:t xml:space="preserve">Los </w:t>
      </w:r>
      <w:r w:rsidRPr="00EB619C">
        <w:rPr>
          <w:i/>
          <w:iCs/>
          <w:lang w:val="es-ES"/>
        </w:rPr>
        <w:t xml:space="preserve">edge </w:t>
      </w:r>
      <w:r w:rsidRPr="00EB619C">
        <w:rPr>
          <w:lang w:val="es-ES"/>
        </w:rPr>
        <w:t>y</w:t>
      </w:r>
      <w:r w:rsidRPr="00EB619C">
        <w:rPr>
          <w:i/>
          <w:iCs/>
          <w:lang w:val="es-ES"/>
        </w:rPr>
        <w:t xml:space="preserve"> core switches</w:t>
      </w:r>
      <w:r w:rsidRPr="00EB619C">
        <w:rPr>
          <w:lang w:val="es-ES"/>
        </w:rPr>
        <w:t xml:space="preserve"> están compuestos por 6 ranuras y tarjetas con 48 puertos 1GE o 12 puertos 10GE. Se considera una utilización máxima de capacidad del 40%.</w:t>
      </w:r>
    </w:p>
    <w:p w14:paraId="4F86DE89" w14:textId="77777777" w:rsidR="00E653A3" w:rsidRDefault="00E653A3" w:rsidP="00E653A3">
      <w:pPr>
        <w:pStyle w:val="ListBulletCompact"/>
        <w:numPr>
          <w:ilvl w:val="0"/>
          <w:numId w:val="32"/>
        </w:numPr>
        <w:rPr>
          <w:lang w:val="es-ES"/>
        </w:rPr>
      </w:pPr>
      <w:r w:rsidRPr="00EB619C">
        <w:rPr>
          <w:lang w:val="es-ES"/>
        </w:rPr>
        <w:t>Se utilizan enlaces WDM con hasta 40 longitudes de onda por anillo.</w:t>
      </w:r>
    </w:p>
    <w:p w14:paraId="04140A9C" w14:textId="77777777" w:rsidR="00E653A3" w:rsidRDefault="00E653A3" w:rsidP="00E653A3">
      <w:pPr>
        <w:pStyle w:val="ListBulletCompact"/>
        <w:numPr>
          <w:ilvl w:val="0"/>
          <w:numId w:val="32"/>
        </w:numPr>
        <w:rPr>
          <w:lang w:val="es-ES"/>
        </w:rPr>
      </w:pPr>
      <w:r w:rsidRPr="00816EC3">
        <w:rPr>
          <w:lang w:val="es-ES"/>
        </w:rPr>
        <w:t>Los SBC cuentan con 8 puertos 1GE por tarjeta, y se estima una utilización máxima de capacidad del 40%.</w:t>
      </w:r>
    </w:p>
    <w:p w14:paraId="47913DFC" w14:textId="2216D736" w:rsidR="00E653A3" w:rsidRPr="00076769" w:rsidRDefault="00E653A3" w:rsidP="00076769">
      <w:pPr>
        <w:pStyle w:val="ListBulletCompact"/>
        <w:numPr>
          <w:ilvl w:val="0"/>
          <w:numId w:val="32"/>
        </w:numPr>
        <w:rPr>
          <w:lang w:val="es-ES"/>
        </w:rPr>
      </w:pPr>
      <w:r w:rsidRPr="00816EC3">
        <w:rPr>
          <w:lang w:val="es-ES"/>
        </w:rPr>
        <w:t>Otros elementos incluidos en el modelo son los servidores de llamadas (call servers), servidores de nombres de dominio (DNS), Servidor de Acceso Remoto a Banda Ancha (BRAS), servidores de autenticación (</w:t>
      </w:r>
      <w:r w:rsidR="00AB052B">
        <w:rPr>
          <w:lang w:val="es-ES"/>
        </w:rPr>
        <w:t>RADIUS</w:t>
      </w:r>
      <w:r w:rsidRPr="00816EC3">
        <w:rPr>
          <w:lang w:val="es-ES"/>
        </w:rPr>
        <w:t>), equipos de reloj y sincronización, gestión de red (network management), sistemas de mensajería de voz (VMS), plataformas de servicios inteligentes (IN), y sistemas de facturación mayorista (wholesale billing)</w:t>
      </w:r>
    </w:p>
    <w:p w14:paraId="5A52206F" w14:textId="2213237C" w:rsidR="00E653A3" w:rsidRPr="00E653A3" w:rsidRDefault="00E653A3" w:rsidP="00076769">
      <w:pPr>
        <w:rPr>
          <w:lang w:val="es-ES"/>
        </w:rPr>
      </w:pPr>
      <w:r w:rsidRPr="00F65A29">
        <w:rPr>
          <w:lang w:val="es-ES"/>
        </w:rPr>
        <w:t>Estas hipótesis técnicas se han tenido en cuenta para asegurar una correcta planificación y dimensionamiento de la red en el modelo.</w:t>
      </w:r>
    </w:p>
    <w:p w14:paraId="61DEE707" w14:textId="44201ED4" w:rsidR="00792C35" w:rsidRDefault="00792C35" w:rsidP="00792C35">
      <w:pPr>
        <w:pStyle w:val="Ttulo2"/>
        <w:rPr>
          <w:lang w:val="es-ES_tradnl"/>
        </w:rPr>
      </w:pPr>
      <w:bookmarkStart w:id="44" w:name="_Toc136032678"/>
      <w:r>
        <w:rPr>
          <w:lang w:val="es-ES_tradnl"/>
        </w:rPr>
        <w:lastRenderedPageBreak/>
        <w:t>Otros insumos relevantes</w:t>
      </w:r>
      <w:bookmarkEnd w:id="44"/>
    </w:p>
    <w:p w14:paraId="460027AF" w14:textId="7AA15C38" w:rsidR="00792C35" w:rsidRDefault="00792C35" w:rsidP="00792C35">
      <w:pPr>
        <w:pStyle w:val="Ttulo3"/>
        <w:rPr>
          <w:lang w:val="es-ES_tradnl"/>
        </w:rPr>
      </w:pPr>
      <w:r>
        <w:rPr>
          <w:lang w:val="es-ES_tradnl"/>
        </w:rPr>
        <w:t>Espectro</w:t>
      </w:r>
    </w:p>
    <w:p w14:paraId="5EBA1B03" w14:textId="199C817B" w:rsidR="00D71D55" w:rsidRDefault="00906C5E" w:rsidP="00906C5E">
      <w:pPr>
        <w:rPr>
          <w:lang w:val="es-ES"/>
        </w:rPr>
      </w:pPr>
      <w:r>
        <w:rPr>
          <w:lang w:val="es-ES"/>
        </w:rPr>
        <w:t xml:space="preserve">Como parte de los elementos de red, el modelo móvil incluye </w:t>
      </w:r>
      <w:r w:rsidR="00C225CB">
        <w:rPr>
          <w:lang w:val="es-ES"/>
        </w:rPr>
        <w:t>las licencias</w:t>
      </w:r>
      <w:r>
        <w:rPr>
          <w:lang w:val="es-ES"/>
        </w:rPr>
        <w:t xml:space="preserve"> de espectro. </w:t>
      </w:r>
      <w:r w:rsidR="00D71D55">
        <w:rPr>
          <w:lang w:val="es-ES"/>
        </w:rPr>
        <w:t xml:space="preserve">En </w:t>
      </w:r>
      <w:r w:rsidR="00125C5C">
        <w:rPr>
          <w:lang w:val="es-ES"/>
        </w:rPr>
        <w:t>concreto</w:t>
      </w:r>
      <w:r w:rsidR="00D71D55">
        <w:rPr>
          <w:lang w:val="es-ES"/>
        </w:rPr>
        <w:t>, e</w:t>
      </w:r>
      <w:r w:rsidR="00FC20E1">
        <w:rPr>
          <w:lang w:val="es-ES"/>
        </w:rPr>
        <w:t xml:space="preserve">l modelo considera las cinco bandas de frecuencias asignadas en México, y asigna cada banda al uso de una tecnología. Además, se consideran dos escenarios: antes del apagado de la red 2G y los años posteriores al apagado 2G (2023 en adelante). </w:t>
      </w:r>
    </w:p>
    <w:p w14:paraId="6A765A71" w14:textId="225531B3" w:rsidR="00964571" w:rsidRPr="00EE5B10" w:rsidRDefault="00D71D55" w:rsidP="00EE5B10">
      <w:pPr>
        <w:rPr>
          <w:lang w:val="es-ES"/>
        </w:rPr>
      </w:pPr>
      <w:r>
        <w:rPr>
          <w:lang w:val="es-ES"/>
        </w:rPr>
        <w:t>El espectro de cada operador ha sido determinado con información del IFT y de los operadores. En el caso del AEP, el espectro está basado en las tenencias de Telcel, mientras que</w:t>
      </w:r>
      <w:r w:rsidR="005D0C3C">
        <w:rPr>
          <w:lang w:val="es-ES"/>
        </w:rPr>
        <w:t>,</w:t>
      </w:r>
      <w:r>
        <w:rPr>
          <w:lang w:val="es-ES"/>
        </w:rPr>
        <w:t xml:space="preserve"> en el caso del operador basado en el concesionario alternativo, el espectro está basado en los operadores relevantes (AT&amp;T) en este caso. </w:t>
      </w:r>
      <w:r w:rsidR="00FC20E1">
        <w:rPr>
          <w:lang w:val="es-ES"/>
        </w:rPr>
        <w:t>A continuación</w:t>
      </w:r>
      <w:r w:rsidR="00365741">
        <w:rPr>
          <w:lang w:val="es-ES"/>
        </w:rPr>
        <w:t>,</w:t>
      </w:r>
      <w:r w:rsidR="00FC20E1">
        <w:rPr>
          <w:lang w:val="es-ES"/>
        </w:rPr>
        <w:t xml:space="preserve"> </w:t>
      </w:r>
      <w:r w:rsidR="00031383">
        <w:rPr>
          <w:lang w:val="es-ES"/>
        </w:rPr>
        <w:t>s</w:t>
      </w:r>
      <w:r w:rsidR="00FC20E1">
        <w:rPr>
          <w:lang w:val="es-ES"/>
        </w:rPr>
        <w:t>e muestra el espectro dispo</w:t>
      </w:r>
      <w:r w:rsidR="000B0772">
        <w:rPr>
          <w:lang w:val="es-ES"/>
        </w:rPr>
        <w:t xml:space="preserve">nible a nivel nacional que </w:t>
      </w:r>
      <w:r w:rsidR="005D0C3C">
        <w:rPr>
          <w:lang w:val="es-ES"/>
        </w:rPr>
        <w:t>tiene</w:t>
      </w:r>
      <w:r w:rsidR="00F9647E">
        <w:rPr>
          <w:lang w:val="es-ES"/>
        </w:rPr>
        <w:t xml:space="preserve"> cada operador modelado </w:t>
      </w:r>
      <w:r w:rsidR="000B0772">
        <w:rPr>
          <w:lang w:val="es-ES"/>
        </w:rPr>
        <w:t>una vez se realiza el apagado de la red:</w:t>
      </w:r>
    </w:p>
    <w:p w14:paraId="102CCF20" w14:textId="2B9BD49F" w:rsidR="0047708C" w:rsidRPr="00FC420F" w:rsidRDefault="0047708C" w:rsidP="0047708C">
      <w:pPr>
        <w:pStyle w:val="Descripcin"/>
        <w:rPr>
          <w:lang w:val="es-ES"/>
        </w:rPr>
      </w:pPr>
      <w:bookmarkStart w:id="45" w:name="_Ref135410034"/>
      <w:r w:rsidRPr="00FC420F">
        <w:rPr>
          <w:lang w:val="es-ES"/>
        </w:rPr>
        <w:t xml:space="preserve">Figura </w:t>
      </w:r>
      <w:r>
        <w:rPr>
          <w:lang w:val="es-ES"/>
        </w:rPr>
        <w:fldChar w:fldCharType="begin"/>
      </w:r>
      <w:r w:rsidRPr="00FC420F">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FC420F">
        <w:rPr>
          <w:lang w:val="es-ES"/>
        </w:rPr>
        <w:t>.</w:t>
      </w:r>
      <w:r>
        <w:rPr>
          <w:lang w:val="es-ES"/>
        </w:rPr>
        <w:fldChar w:fldCharType="begin"/>
      </w:r>
      <w:r w:rsidRPr="00FC420F">
        <w:rPr>
          <w:lang w:val="es-ES"/>
        </w:rPr>
        <w:instrText xml:space="preserve"> SEQ </w:instrText>
      </w:r>
      <w:r>
        <w:rPr>
          <w:lang w:val="es-ES"/>
        </w:rPr>
        <w:instrText>Ilustración</w:instrText>
      </w:r>
      <w:r w:rsidRPr="00FC420F">
        <w:rPr>
          <w:lang w:val="es-ES"/>
        </w:rPr>
        <w:instrText xml:space="preserve"> \* ARABIC \s 1 \* MERGEFORMAT </w:instrText>
      </w:r>
      <w:r>
        <w:rPr>
          <w:lang w:val="es-ES"/>
        </w:rPr>
        <w:fldChar w:fldCharType="separate"/>
      </w:r>
      <w:r w:rsidR="00020F8B">
        <w:rPr>
          <w:noProof/>
          <w:lang w:val="es-ES"/>
        </w:rPr>
        <w:t>37</w:t>
      </w:r>
      <w:r>
        <w:rPr>
          <w:lang w:val="es-ES"/>
        </w:rPr>
        <w:fldChar w:fldCharType="end"/>
      </w:r>
      <w:bookmarkEnd w:id="45"/>
      <w:r w:rsidRPr="00FC420F">
        <w:rPr>
          <w:lang w:val="es-ES"/>
        </w:rPr>
        <w:t xml:space="preserve">: </w:t>
      </w:r>
      <w:r w:rsidRPr="009517EC">
        <w:rPr>
          <w:lang w:val="es-ES"/>
        </w:rPr>
        <w:t xml:space="preserve">Espectro disponible a nivel nacional para el AEP y el operador hipotético alternativo una vez se realiza el apagado de la red 2G </w:t>
      </w:r>
      <w:r w:rsidRPr="00FC420F">
        <w:rPr>
          <w:lang w:val="es-ES"/>
        </w:rPr>
        <w:t>[Fuente: Analysys Mason, 2023]</w:t>
      </w:r>
    </w:p>
    <w:tbl>
      <w:tblPr>
        <w:tblStyle w:val="Sombreadomedio2-nfasis1"/>
        <w:tblW w:w="8721" w:type="dxa"/>
        <w:tblInd w:w="-10" w:type="dxa"/>
        <w:tblBorders>
          <w:top w:val="single" w:sz="4" w:space="0" w:color="FFFFFF"/>
          <w:insideH w:val="single" w:sz="4" w:space="0" w:color="FFFFFF"/>
          <w:insideV w:val="single" w:sz="4" w:space="0" w:color="FFFFFF"/>
        </w:tblBorders>
        <w:tblLayout w:type="fixed"/>
        <w:tblLook w:val="0620" w:firstRow="1" w:lastRow="0" w:firstColumn="0" w:lastColumn="0" w:noHBand="1" w:noVBand="1"/>
      </w:tblPr>
      <w:tblGrid>
        <w:gridCol w:w="1418"/>
        <w:gridCol w:w="1487"/>
        <w:gridCol w:w="1170"/>
        <w:gridCol w:w="1170"/>
        <w:gridCol w:w="3476"/>
      </w:tblGrid>
      <w:tr w:rsidR="00EB3D7D" w:rsidRPr="006E7AB6" w14:paraId="3B20CFA2" w14:textId="77777777" w:rsidTr="000A13E7">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single" w:sz="8" w:space="0" w:color="FFFFFF"/>
              <w:left w:val="single" w:sz="8" w:space="0" w:color="FFFFFF"/>
              <w:bottom w:val="single" w:sz="24" w:space="0" w:color="FFFFFF"/>
              <w:right w:val="single" w:sz="8" w:space="0" w:color="FFFFFF"/>
            </w:tcBorders>
            <w:shd w:val="clear" w:color="auto" w:fill="3A5A9C"/>
          </w:tcPr>
          <w:p w14:paraId="3598205E" w14:textId="6C967E6E" w:rsidR="002F4ED4" w:rsidRPr="00883EF2" w:rsidRDefault="002F4ED4" w:rsidP="002F4ED4">
            <w:pPr>
              <w:pStyle w:val="Tableheading"/>
              <w:rPr>
                <w:rFonts w:cs="Times New Roman"/>
                <w:b/>
              </w:rPr>
            </w:pPr>
            <w:r w:rsidRPr="00883EF2">
              <w:rPr>
                <w:rFonts w:cs="Times New Roman"/>
                <w:b/>
                <w:bCs w:val="0"/>
                <w:color w:val="FFFFFF" w:themeColor="light1"/>
                <w:kern w:val="24"/>
                <w:szCs w:val="20"/>
                <w:lang w:val="es-ES"/>
              </w:rPr>
              <w:t>Banda de frecuencia</w:t>
            </w:r>
          </w:p>
        </w:tc>
        <w:tc>
          <w:tcPr>
            <w:tcW w:w="1487" w:type="dxa"/>
            <w:tcBorders>
              <w:top w:val="single" w:sz="8" w:space="0" w:color="FFFFFF"/>
              <w:left w:val="single" w:sz="8" w:space="0" w:color="FFFFFF"/>
              <w:bottom w:val="single" w:sz="24" w:space="0" w:color="FFFFFF"/>
              <w:right w:val="single" w:sz="8" w:space="0" w:color="FFFFFF"/>
            </w:tcBorders>
            <w:shd w:val="clear" w:color="auto" w:fill="3A5A9C"/>
          </w:tcPr>
          <w:p w14:paraId="281E8B32" w14:textId="647D3C51" w:rsidR="002F4ED4" w:rsidRPr="00883EF2" w:rsidRDefault="002F4ED4" w:rsidP="002F4ED4">
            <w:pPr>
              <w:pStyle w:val="Tableheading"/>
              <w:rPr>
                <w:rFonts w:cs="Times New Roman"/>
                <w:b/>
                <w:lang w:val="es-ES"/>
              </w:rPr>
            </w:pPr>
            <w:r w:rsidRPr="00883EF2">
              <w:rPr>
                <w:rFonts w:cs="Times New Roman"/>
                <w:b/>
                <w:bCs w:val="0"/>
                <w:color w:val="FFFFFF" w:themeColor="background1"/>
                <w:kern w:val="24"/>
                <w:szCs w:val="20"/>
                <w:lang w:val="es-ES"/>
              </w:rPr>
              <w:t>Tecnología en la que se emplea el espectro</w:t>
            </w:r>
          </w:p>
        </w:tc>
        <w:tc>
          <w:tcPr>
            <w:tcW w:w="1170" w:type="dxa"/>
            <w:tcBorders>
              <w:top w:val="single" w:sz="8" w:space="0" w:color="FFFFFF"/>
              <w:left w:val="single" w:sz="8" w:space="0" w:color="FFFFFF"/>
              <w:bottom w:val="single" w:sz="24" w:space="0" w:color="FFFFFF"/>
              <w:right w:val="single" w:sz="8" w:space="0" w:color="FFFFFF"/>
            </w:tcBorders>
            <w:shd w:val="clear" w:color="auto" w:fill="3A5A9C"/>
          </w:tcPr>
          <w:p w14:paraId="36CEB6DC" w14:textId="337FE118" w:rsidR="002F4ED4" w:rsidRPr="00883EF2" w:rsidRDefault="002F4ED4" w:rsidP="002F4ED4">
            <w:pPr>
              <w:pStyle w:val="Tableheading"/>
              <w:rPr>
                <w:rFonts w:cs="Times New Roman"/>
                <w:b/>
              </w:rPr>
            </w:pPr>
            <w:r w:rsidRPr="00883EF2">
              <w:rPr>
                <w:rFonts w:cs="Times New Roman"/>
                <w:b/>
                <w:bCs w:val="0"/>
                <w:color w:val="FFFFFF" w:themeColor="light1"/>
                <w:kern w:val="24"/>
                <w:szCs w:val="20"/>
                <w:lang w:val="es-ES"/>
              </w:rPr>
              <w:t>Espectro del AEP (MHz</w:t>
            </w:r>
            <w:r w:rsidRPr="00883EF2">
              <w:rPr>
                <w:rFonts w:cs="Times New Roman"/>
                <w:b/>
                <w:bCs w:val="0"/>
                <w:color w:val="FFFFFF" w:themeColor="light1"/>
                <w:kern w:val="24"/>
                <w:position w:val="6"/>
                <w:szCs w:val="20"/>
                <w:vertAlign w:val="superscript"/>
                <w:lang w:val="es-ES"/>
              </w:rPr>
              <w:t>1</w:t>
            </w:r>
            <w:r w:rsidRPr="00883EF2">
              <w:rPr>
                <w:rFonts w:cs="Times New Roman"/>
                <w:b/>
                <w:bCs w:val="0"/>
                <w:color w:val="FFFFFF" w:themeColor="light1"/>
                <w:kern w:val="24"/>
                <w:szCs w:val="20"/>
                <w:lang w:val="es-ES"/>
              </w:rPr>
              <w:t>)</w:t>
            </w:r>
          </w:p>
        </w:tc>
        <w:tc>
          <w:tcPr>
            <w:tcW w:w="1170" w:type="dxa"/>
            <w:tcBorders>
              <w:top w:val="single" w:sz="8" w:space="0" w:color="FFFFFF"/>
              <w:left w:val="single" w:sz="8" w:space="0" w:color="FFFFFF"/>
              <w:bottom w:val="single" w:sz="24" w:space="0" w:color="FFFFFF"/>
              <w:right w:val="single" w:sz="8" w:space="0" w:color="FFFFFF"/>
            </w:tcBorders>
            <w:shd w:val="clear" w:color="auto" w:fill="3A5A9C"/>
          </w:tcPr>
          <w:p w14:paraId="3349EA84" w14:textId="4BEB1E40" w:rsidR="002F4ED4" w:rsidRPr="00883EF2" w:rsidRDefault="002F4ED4" w:rsidP="002F4ED4">
            <w:pPr>
              <w:pStyle w:val="Tableheading"/>
              <w:rPr>
                <w:rFonts w:cs="Times New Roman"/>
                <w:b/>
              </w:rPr>
            </w:pPr>
            <w:r w:rsidRPr="00883EF2">
              <w:rPr>
                <w:rFonts w:cs="Times New Roman"/>
                <w:b/>
                <w:bCs w:val="0"/>
                <w:color w:val="FFFFFF" w:themeColor="light1"/>
                <w:kern w:val="24"/>
                <w:szCs w:val="20"/>
                <w:lang w:val="es-ES"/>
              </w:rPr>
              <w:t>Espectro del CS (MHz</w:t>
            </w:r>
            <w:r w:rsidRPr="00883EF2">
              <w:rPr>
                <w:rFonts w:cs="Times New Roman"/>
                <w:b/>
                <w:bCs w:val="0"/>
                <w:color w:val="FFFFFF" w:themeColor="light1"/>
                <w:kern w:val="24"/>
                <w:position w:val="6"/>
                <w:szCs w:val="20"/>
                <w:vertAlign w:val="superscript"/>
                <w:lang w:val="es-ES"/>
              </w:rPr>
              <w:t>1</w:t>
            </w:r>
            <w:r w:rsidRPr="00883EF2">
              <w:rPr>
                <w:rFonts w:cs="Times New Roman"/>
                <w:b/>
                <w:bCs w:val="0"/>
                <w:color w:val="FFFFFF" w:themeColor="light1"/>
                <w:kern w:val="24"/>
                <w:szCs w:val="20"/>
                <w:lang w:val="es-ES"/>
              </w:rPr>
              <w:t>)</w:t>
            </w:r>
          </w:p>
        </w:tc>
        <w:tc>
          <w:tcPr>
            <w:tcW w:w="3476" w:type="dxa"/>
            <w:tcBorders>
              <w:top w:val="single" w:sz="8" w:space="0" w:color="FFFFFF"/>
              <w:left w:val="single" w:sz="8" w:space="0" w:color="FFFFFF"/>
              <w:bottom w:val="single" w:sz="24" w:space="0" w:color="FFFFFF"/>
              <w:right w:val="single" w:sz="8" w:space="0" w:color="FFFFFF"/>
            </w:tcBorders>
            <w:shd w:val="clear" w:color="auto" w:fill="3A5A9C"/>
          </w:tcPr>
          <w:p w14:paraId="35B6A691" w14:textId="15F45080" w:rsidR="002F4ED4" w:rsidRPr="00883EF2" w:rsidRDefault="002F4ED4" w:rsidP="002F4ED4">
            <w:pPr>
              <w:pStyle w:val="Tableheading"/>
              <w:rPr>
                <w:rFonts w:cs="Times New Roman"/>
                <w:b/>
              </w:rPr>
            </w:pPr>
            <w:r w:rsidRPr="00883EF2">
              <w:rPr>
                <w:rFonts w:cs="Times New Roman"/>
                <w:b/>
                <w:bCs w:val="0"/>
                <w:color w:val="FFFFFF" w:themeColor="light1"/>
                <w:kern w:val="24"/>
                <w:szCs w:val="20"/>
                <w:lang w:val="es-ES"/>
              </w:rPr>
              <w:t>Comentarios</w:t>
            </w:r>
          </w:p>
        </w:tc>
      </w:tr>
      <w:tr w:rsidR="00EB3D7D" w:rsidRPr="0010115D" w14:paraId="6387906A" w14:textId="77777777" w:rsidTr="000A13E7">
        <w:tc>
          <w:tcPr>
            <w:tcW w:w="1418" w:type="dxa"/>
            <w:tcBorders>
              <w:top w:val="single" w:sz="24" w:space="0" w:color="FFFFFF"/>
              <w:left w:val="single" w:sz="8" w:space="0" w:color="FFFFFF"/>
              <w:bottom w:val="single" w:sz="8" w:space="0" w:color="FFFFFF"/>
              <w:right w:val="single" w:sz="8" w:space="0" w:color="FFFFFF"/>
            </w:tcBorders>
            <w:shd w:val="clear" w:color="auto" w:fill="C4D0E9"/>
            <w:vAlign w:val="center"/>
          </w:tcPr>
          <w:p w14:paraId="74CA5436" w14:textId="58C0EA68" w:rsidR="002F4ED4" w:rsidRPr="00883EF2" w:rsidRDefault="002F4ED4" w:rsidP="002F4ED4">
            <w:pPr>
              <w:pStyle w:val="Tablecells"/>
              <w:rPr>
                <w:rFonts w:cs="Times New Roman"/>
              </w:rPr>
            </w:pPr>
            <w:r w:rsidRPr="00883EF2">
              <w:rPr>
                <w:rFonts w:cs="Times New Roman"/>
                <w:b/>
                <w:bCs/>
                <w:color w:val="000000" w:themeColor="dark1"/>
                <w:kern w:val="24"/>
                <w:szCs w:val="20"/>
                <w:lang w:val="es-ES"/>
              </w:rPr>
              <w:t xml:space="preserve">850MHz </w:t>
            </w:r>
          </w:p>
        </w:tc>
        <w:tc>
          <w:tcPr>
            <w:tcW w:w="1487" w:type="dxa"/>
            <w:tcBorders>
              <w:top w:val="single" w:sz="24" w:space="0" w:color="FFFFFF"/>
              <w:left w:val="single" w:sz="8" w:space="0" w:color="FFFFFF"/>
              <w:bottom w:val="single" w:sz="8" w:space="0" w:color="FFFFFF"/>
              <w:right w:val="single" w:sz="8" w:space="0" w:color="FFFFFF"/>
            </w:tcBorders>
            <w:shd w:val="clear" w:color="auto" w:fill="F2F2F2"/>
            <w:vAlign w:val="center"/>
          </w:tcPr>
          <w:p w14:paraId="110D9E12" w14:textId="7BED828D" w:rsidR="002F4ED4" w:rsidRPr="00883EF2" w:rsidRDefault="002F4ED4" w:rsidP="002F4ED4">
            <w:pPr>
              <w:pStyle w:val="Tablecells"/>
              <w:rPr>
                <w:rFonts w:cs="Times New Roman"/>
              </w:rPr>
            </w:pPr>
            <w:r w:rsidRPr="00883EF2">
              <w:rPr>
                <w:rFonts w:cs="Times New Roman"/>
                <w:color w:val="000000"/>
                <w:kern w:val="24"/>
                <w:szCs w:val="20"/>
                <w:lang w:val="es-ES"/>
              </w:rPr>
              <w:t>UMTS, LTE</w:t>
            </w:r>
          </w:p>
        </w:tc>
        <w:tc>
          <w:tcPr>
            <w:tcW w:w="1170" w:type="dxa"/>
            <w:tcBorders>
              <w:top w:val="single" w:sz="24" w:space="0" w:color="FFFFFF"/>
              <w:left w:val="single" w:sz="8" w:space="0" w:color="FFFFFF"/>
              <w:bottom w:val="single" w:sz="8" w:space="0" w:color="FFFFFF"/>
              <w:right w:val="single" w:sz="8" w:space="0" w:color="FFFFFF"/>
            </w:tcBorders>
            <w:shd w:val="clear" w:color="auto" w:fill="F2F2F2"/>
            <w:vAlign w:val="center"/>
          </w:tcPr>
          <w:p w14:paraId="5275D528" w14:textId="61B65534" w:rsidR="002F4ED4" w:rsidRPr="00883EF2" w:rsidRDefault="002F4ED4" w:rsidP="002F4ED4">
            <w:pPr>
              <w:pStyle w:val="Tablecells"/>
              <w:rPr>
                <w:rFonts w:cs="Times New Roman"/>
              </w:rPr>
            </w:pPr>
            <w:r w:rsidRPr="00883EF2">
              <w:rPr>
                <w:rFonts w:cs="Times New Roman"/>
                <w:color w:val="000000"/>
                <w:kern w:val="24"/>
                <w:szCs w:val="20"/>
                <w:lang w:val="es-ES"/>
              </w:rPr>
              <w:t>20 (UMTS)</w:t>
            </w:r>
          </w:p>
        </w:tc>
        <w:tc>
          <w:tcPr>
            <w:tcW w:w="1170" w:type="dxa"/>
            <w:tcBorders>
              <w:top w:val="single" w:sz="24" w:space="0" w:color="FFFFFF"/>
              <w:left w:val="single" w:sz="8" w:space="0" w:color="FFFFFF"/>
              <w:bottom w:val="single" w:sz="8" w:space="0" w:color="FFFFFF"/>
              <w:right w:val="single" w:sz="8" w:space="0" w:color="FFFFFF"/>
            </w:tcBorders>
            <w:shd w:val="clear" w:color="auto" w:fill="F2F2F2"/>
            <w:vAlign w:val="center"/>
          </w:tcPr>
          <w:p w14:paraId="0D7F375A" w14:textId="2AEFA101" w:rsidR="002F4ED4" w:rsidRPr="00883EF2" w:rsidRDefault="002F4ED4" w:rsidP="002F4ED4">
            <w:pPr>
              <w:pStyle w:val="Tablecells"/>
              <w:rPr>
                <w:rFonts w:cs="Times New Roman"/>
              </w:rPr>
            </w:pPr>
            <w:r w:rsidRPr="00883EF2">
              <w:rPr>
                <w:rFonts w:cs="Times New Roman"/>
                <w:color w:val="000000"/>
                <w:kern w:val="24"/>
                <w:szCs w:val="20"/>
                <w:lang w:val="es-ES"/>
              </w:rPr>
              <w:t>20 (LTE)</w:t>
            </w:r>
          </w:p>
        </w:tc>
        <w:tc>
          <w:tcPr>
            <w:tcW w:w="3476" w:type="dxa"/>
            <w:tcBorders>
              <w:top w:val="single" w:sz="24" w:space="0" w:color="FFFFFF"/>
              <w:left w:val="single" w:sz="8" w:space="0" w:color="FFFFFF"/>
              <w:bottom w:val="single" w:sz="8" w:space="0" w:color="FFFFFF"/>
              <w:right w:val="single" w:sz="8" w:space="0" w:color="FFFFFF"/>
            </w:tcBorders>
            <w:shd w:val="clear" w:color="auto" w:fill="F2F2F2"/>
            <w:vAlign w:val="center"/>
          </w:tcPr>
          <w:p w14:paraId="647B26AC" w14:textId="46007988" w:rsidR="002F4ED4" w:rsidRPr="00883EF2" w:rsidRDefault="002F4ED4" w:rsidP="002F4ED4">
            <w:pPr>
              <w:pStyle w:val="Tablecells"/>
              <w:rPr>
                <w:rFonts w:cs="Times New Roman"/>
                <w:lang w:val="es-ES"/>
              </w:rPr>
            </w:pPr>
            <w:r w:rsidRPr="00883EF2">
              <w:rPr>
                <w:rFonts w:cs="Times New Roman"/>
                <w:color w:val="000000"/>
                <w:kern w:val="24"/>
                <w:szCs w:val="20"/>
                <w:lang w:val="es-ES"/>
              </w:rPr>
              <w:t>Una vez apagada la red 2G, el espectro pasa a ser usada como banda de capacidad para UMTS</w:t>
            </w:r>
          </w:p>
        </w:tc>
      </w:tr>
      <w:tr w:rsidR="00EB3D7D" w:rsidRPr="0010115D" w14:paraId="24B0C4A2" w14:textId="77777777" w:rsidTr="000A13E7">
        <w:tc>
          <w:tcPr>
            <w:tcW w:w="1418" w:type="dxa"/>
            <w:tcBorders>
              <w:top w:val="single" w:sz="8" w:space="0" w:color="FFFFFF"/>
              <w:left w:val="single" w:sz="8" w:space="0" w:color="FFFFFF"/>
              <w:bottom w:val="single" w:sz="8" w:space="0" w:color="FFFFFF"/>
              <w:right w:val="single" w:sz="8" w:space="0" w:color="FFFFFF"/>
            </w:tcBorders>
            <w:shd w:val="clear" w:color="auto" w:fill="C4D0E9"/>
            <w:vAlign w:val="center"/>
          </w:tcPr>
          <w:p w14:paraId="62BC1CFB" w14:textId="1B432BE7" w:rsidR="002F4ED4" w:rsidRPr="00883EF2" w:rsidRDefault="002F4ED4" w:rsidP="002F4ED4">
            <w:pPr>
              <w:pStyle w:val="Tablecells"/>
              <w:rPr>
                <w:rFonts w:cs="Times New Roman"/>
              </w:rPr>
            </w:pPr>
            <w:r w:rsidRPr="00883EF2">
              <w:rPr>
                <w:rFonts w:cs="Times New Roman"/>
                <w:b/>
                <w:bCs/>
                <w:color w:val="000000" w:themeColor="dark1"/>
                <w:kern w:val="24"/>
                <w:szCs w:val="20"/>
                <w:lang w:val="es-ES"/>
              </w:rPr>
              <w:t>1900MHz (PCS)</w:t>
            </w:r>
          </w:p>
        </w:tc>
        <w:tc>
          <w:tcPr>
            <w:tcW w:w="1487"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5B0A74B" w14:textId="7AF7FA0E" w:rsidR="002F4ED4" w:rsidRPr="00883EF2" w:rsidRDefault="002F4ED4" w:rsidP="002F4ED4">
            <w:pPr>
              <w:pStyle w:val="Tablecells"/>
              <w:rPr>
                <w:rFonts w:cs="Times New Roman"/>
              </w:rPr>
            </w:pPr>
            <w:r w:rsidRPr="00883EF2">
              <w:rPr>
                <w:rFonts w:cs="Times New Roman"/>
                <w:color w:val="000000"/>
                <w:kern w:val="24"/>
                <w:szCs w:val="20"/>
                <w:lang w:val="es-ES"/>
              </w:rPr>
              <w:t>UMTS, HSPA</w:t>
            </w:r>
          </w:p>
        </w:tc>
        <w:tc>
          <w:tcPr>
            <w:tcW w:w="11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450EC77B" w14:textId="1640F3AF" w:rsidR="002F4ED4" w:rsidRPr="00883EF2" w:rsidRDefault="002F4ED4" w:rsidP="002F4ED4">
            <w:pPr>
              <w:pStyle w:val="Tablecells"/>
              <w:rPr>
                <w:rFonts w:cs="Times New Roman"/>
              </w:rPr>
            </w:pPr>
            <w:r w:rsidRPr="00883EF2">
              <w:rPr>
                <w:rFonts w:cs="Times New Roman"/>
                <w:color w:val="000000"/>
                <w:kern w:val="24"/>
                <w:szCs w:val="20"/>
                <w:lang w:val="es-ES"/>
              </w:rPr>
              <w:t>30</w:t>
            </w:r>
          </w:p>
        </w:tc>
        <w:tc>
          <w:tcPr>
            <w:tcW w:w="11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3078E5A" w14:textId="54D13925" w:rsidR="002F4ED4" w:rsidRPr="00883EF2" w:rsidRDefault="002F4ED4" w:rsidP="002F4ED4">
            <w:pPr>
              <w:pStyle w:val="Tablecells"/>
              <w:rPr>
                <w:rFonts w:cs="Times New Roman"/>
              </w:rPr>
            </w:pPr>
            <w:r w:rsidRPr="00883EF2">
              <w:rPr>
                <w:rFonts w:cs="Times New Roman"/>
                <w:color w:val="000000" w:themeColor="dark1"/>
                <w:kern w:val="24"/>
                <w:szCs w:val="20"/>
                <w:lang w:val="es-ES"/>
              </w:rPr>
              <w:t>30</w:t>
            </w:r>
          </w:p>
        </w:tc>
        <w:tc>
          <w:tcPr>
            <w:tcW w:w="3476"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33ECF647" w14:textId="798A1F99" w:rsidR="002F4ED4" w:rsidRPr="00883EF2" w:rsidRDefault="002F4ED4" w:rsidP="002F4ED4">
            <w:pPr>
              <w:pStyle w:val="Tablecells"/>
              <w:rPr>
                <w:rFonts w:cs="Times New Roman"/>
                <w:lang w:val="es-ES"/>
              </w:rPr>
            </w:pPr>
            <w:r w:rsidRPr="00883EF2">
              <w:rPr>
                <w:rFonts w:cs="Times New Roman"/>
                <w:color w:val="000000" w:themeColor="dark1"/>
                <w:kern w:val="24"/>
                <w:szCs w:val="20"/>
                <w:lang w:val="es-ES"/>
              </w:rPr>
              <w:t>30MHz serían suficientes para acomodar despliegues de capacidad de UMTS/HSPA incluso en casos donde se registre un elevado volumen de tráfico de banda ancha móvil</w:t>
            </w:r>
          </w:p>
        </w:tc>
      </w:tr>
      <w:tr w:rsidR="00EB3D7D" w:rsidRPr="0010115D" w14:paraId="0EFB92D2" w14:textId="77777777" w:rsidTr="000A13E7">
        <w:tc>
          <w:tcPr>
            <w:tcW w:w="1418" w:type="dxa"/>
            <w:tcBorders>
              <w:top w:val="single" w:sz="8" w:space="0" w:color="FFFFFF"/>
              <w:left w:val="single" w:sz="8" w:space="0" w:color="FFFFFF"/>
              <w:bottom w:val="single" w:sz="8" w:space="0" w:color="FFFFFF"/>
              <w:right w:val="single" w:sz="8" w:space="0" w:color="FFFFFF"/>
            </w:tcBorders>
            <w:shd w:val="clear" w:color="auto" w:fill="C4D0E9"/>
            <w:vAlign w:val="center"/>
          </w:tcPr>
          <w:p w14:paraId="2C742F3A" w14:textId="42EB24A5" w:rsidR="002F4ED4" w:rsidRPr="00883EF2" w:rsidRDefault="002F4ED4" w:rsidP="002F4ED4">
            <w:pPr>
              <w:pStyle w:val="Tablecells"/>
              <w:rPr>
                <w:rFonts w:cs="Times New Roman"/>
              </w:rPr>
            </w:pPr>
            <w:r w:rsidRPr="00883EF2">
              <w:rPr>
                <w:rFonts w:cs="Times New Roman"/>
                <w:b/>
                <w:bCs/>
                <w:color w:val="000000" w:themeColor="dark1"/>
                <w:kern w:val="24"/>
                <w:szCs w:val="20"/>
                <w:lang w:val="es-ES"/>
              </w:rPr>
              <w:t>1700/2100MHz (AWS)</w:t>
            </w:r>
          </w:p>
        </w:tc>
        <w:tc>
          <w:tcPr>
            <w:tcW w:w="1487"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00449CA4" w14:textId="51E9B5B7" w:rsidR="002F4ED4" w:rsidRPr="00883EF2" w:rsidRDefault="002F4ED4" w:rsidP="002F4ED4">
            <w:pPr>
              <w:pStyle w:val="Tablecells"/>
              <w:rPr>
                <w:rFonts w:cs="Times New Roman"/>
              </w:rPr>
            </w:pPr>
            <w:r w:rsidRPr="00883EF2">
              <w:rPr>
                <w:rFonts w:cs="Times New Roman"/>
                <w:color w:val="000000"/>
                <w:kern w:val="24"/>
                <w:szCs w:val="20"/>
                <w:lang w:val="es-ES"/>
              </w:rPr>
              <w:t>LTE</w:t>
            </w:r>
          </w:p>
        </w:tc>
        <w:tc>
          <w:tcPr>
            <w:tcW w:w="11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339E783" w14:textId="0DED1D47" w:rsidR="002F4ED4" w:rsidRPr="00883EF2" w:rsidRDefault="002F4ED4" w:rsidP="002F4ED4">
            <w:pPr>
              <w:pStyle w:val="Tablecells"/>
              <w:rPr>
                <w:rFonts w:cs="Times New Roman"/>
              </w:rPr>
            </w:pPr>
            <w:r w:rsidRPr="00883EF2">
              <w:rPr>
                <w:rFonts w:cs="Times New Roman"/>
                <w:color w:val="000000"/>
                <w:kern w:val="24"/>
                <w:szCs w:val="20"/>
                <w:lang w:val="es-ES"/>
              </w:rPr>
              <w:t>80</w:t>
            </w:r>
          </w:p>
        </w:tc>
        <w:tc>
          <w:tcPr>
            <w:tcW w:w="11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3F7385AD" w14:textId="5C88E091" w:rsidR="002F4ED4" w:rsidRPr="00883EF2" w:rsidRDefault="002F4ED4" w:rsidP="002F4ED4">
            <w:pPr>
              <w:pStyle w:val="Tablecells"/>
              <w:rPr>
                <w:rFonts w:cs="Times New Roman"/>
              </w:rPr>
            </w:pPr>
            <w:r w:rsidRPr="00883EF2">
              <w:rPr>
                <w:rFonts w:cs="Times New Roman"/>
                <w:color w:val="000000"/>
                <w:kern w:val="24"/>
                <w:szCs w:val="20"/>
                <w:lang w:val="es-ES"/>
              </w:rPr>
              <w:t>50</w:t>
            </w:r>
          </w:p>
        </w:tc>
        <w:tc>
          <w:tcPr>
            <w:tcW w:w="3476"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4DDC1417" w14:textId="0A1C0839" w:rsidR="002F4ED4" w:rsidRPr="00883EF2" w:rsidRDefault="002F4ED4" w:rsidP="002F4ED4">
            <w:pPr>
              <w:pStyle w:val="Tablecells"/>
              <w:rPr>
                <w:rFonts w:cs="Times New Roman"/>
                <w:lang w:val="es-ES"/>
              </w:rPr>
            </w:pPr>
            <w:r w:rsidRPr="00883EF2">
              <w:rPr>
                <w:rFonts w:cs="Times New Roman"/>
                <w:color w:val="000000" w:themeColor="dark1"/>
                <w:kern w:val="24"/>
                <w:szCs w:val="20"/>
                <w:lang w:val="es-ES"/>
              </w:rPr>
              <w:t>2x40 y 2×25MHz son suficientes para prestar servicios de banda ancha móvil LTE con velocidades pico de más de 100Mbit/s</w:t>
            </w:r>
          </w:p>
        </w:tc>
      </w:tr>
      <w:tr w:rsidR="00EB3D7D" w:rsidRPr="0010115D" w14:paraId="489D65A7" w14:textId="77777777" w:rsidTr="000A13E7">
        <w:tc>
          <w:tcPr>
            <w:tcW w:w="1418" w:type="dxa"/>
            <w:tcBorders>
              <w:top w:val="single" w:sz="8" w:space="0" w:color="FFFFFF"/>
              <w:left w:val="single" w:sz="8" w:space="0" w:color="FFFFFF"/>
              <w:bottom w:val="single" w:sz="8" w:space="0" w:color="FFFFFF"/>
              <w:right w:val="single" w:sz="8" w:space="0" w:color="FFFFFF"/>
            </w:tcBorders>
            <w:shd w:val="clear" w:color="auto" w:fill="C4D0E9"/>
            <w:vAlign w:val="center"/>
          </w:tcPr>
          <w:p w14:paraId="2D045A26" w14:textId="70743B9C" w:rsidR="002F4ED4" w:rsidRPr="00883EF2" w:rsidRDefault="002F4ED4" w:rsidP="002F4ED4">
            <w:pPr>
              <w:pStyle w:val="Tablecells"/>
              <w:rPr>
                <w:rFonts w:cs="Times New Roman"/>
              </w:rPr>
            </w:pPr>
            <w:r w:rsidRPr="00883EF2">
              <w:rPr>
                <w:rFonts w:cs="Times New Roman"/>
                <w:b/>
                <w:bCs/>
                <w:color w:val="000000"/>
                <w:kern w:val="24"/>
                <w:szCs w:val="20"/>
                <w:lang w:val="es-ES"/>
              </w:rPr>
              <w:t>2500MHz</w:t>
            </w:r>
          </w:p>
        </w:tc>
        <w:tc>
          <w:tcPr>
            <w:tcW w:w="1487"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1B032196" w14:textId="361FC5C3" w:rsidR="002F4ED4" w:rsidRPr="00883EF2" w:rsidRDefault="002F4ED4" w:rsidP="002F4ED4">
            <w:pPr>
              <w:pStyle w:val="Tablecells"/>
              <w:rPr>
                <w:rFonts w:cs="Times New Roman"/>
              </w:rPr>
            </w:pPr>
            <w:r w:rsidRPr="00883EF2">
              <w:rPr>
                <w:rFonts w:cs="Times New Roman"/>
                <w:color w:val="000000"/>
                <w:kern w:val="24"/>
                <w:szCs w:val="20"/>
                <w:lang w:val="es-ES"/>
              </w:rPr>
              <w:t>LTE, 5G</w:t>
            </w:r>
          </w:p>
        </w:tc>
        <w:tc>
          <w:tcPr>
            <w:tcW w:w="11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22C350B" w14:textId="7BF28781" w:rsidR="002F4ED4" w:rsidRPr="00883EF2" w:rsidRDefault="002F4ED4" w:rsidP="002F4ED4">
            <w:pPr>
              <w:pStyle w:val="Tablecells"/>
              <w:rPr>
                <w:rFonts w:cs="Times New Roman"/>
              </w:rPr>
            </w:pPr>
            <w:r w:rsidRPr="00883EF2">
              <w:rPr>
                <w:rFonts w:cs="Times New Roman"/>
                <w:color w:val="000000"/>
                <w:kern w:val="24"/>
                <w:szCs w:val="20"/>
                <w:lang w:val="es-ES"/>
              </w:rPr>
              <w:t>60 (LTE)</w:t>
            </w:r>
          </w:p>
        </w:tc>
        <w:tc>
          <w:tcPr>
            <w:tcW w:w="11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4FBDC5F" w14:textId="22454C83" w:rsidR="002F4ED4" w:rsidRPr="00883EF2" w:rsidRDefault="002F4ED4" w:rsidP="002F4ED4">
            <w:pPr>
              <w:pStyle w:val="Tablecells"/>
              <w:rPr>
                <w:rFonts w:cs="Times New Roman"/>
              </w:rPr>
            </w:pPr>
            <w:r w:rsidRPr="00883EF2">
              <w:rPr>
                <w:rFonts w:cs="Times New Roman"/>
                <w:color w:val="000000"/>
                <w:kern w:val="24"/>
                <w:szCs w:val="20"/>
                <w:lang w:val="es-ES"/>
              </w:rPr>
              <w:t>80 (5G)</w:t>
            </w:r>
          </w:p>
        </w:tc>
        <w:tc>
          <w:tcPr>
            <w:tcW w:w="3476"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D4203EC" w14:textId="69012BE1" w:rsidR="002F4ED4" w:rsidRPr="00883EF2" w:rsidRDefault="002F4ED4" w:rsidP="002F4ED4">
            <w:pPr>
              <w:pStyle w:val="Tablecells"/>
              <w:rPr>
                <w:rFonts w:cs="Times New Roman"/>
                <w:lang w:val="es-ES"/>
              </w:rPr>
            </w:pPr>
            <w:r w:rsidRPr="00883EF2">
              <w:rPr>
                <w:rFonts w:cs="Times New Roman"/>
                <w:color w:val="000000"/>
                <w:kern w:val="24"/>
                <w:szCs w:val="20"/>
                <w:lang w:val="es-ES"/>
              </w:rPr>
              <w:t>Los operadores podrían aumentar la capacidad de su red LTE sobre esta banda</w:t>
            </w:r>
            <w:r w:rsidR="00AB052B">
              <w:rPr>
                <w:rFonts w:cs="Times New Roman"/>
                <w:color w:val="000000"/>
                <w:kern w:val="24"/>
                <w:szCs w:val="20"/>
                <w:lang w:val="es-ES"/>
              </w:rPr>
              <w:t>. En el caso de CS se asume que esta banda se emplearía para 5G</w:t>
            </w:r>
          </w:p>
        </w:tc>
      </w:tr>
      <w:tr w:rsidR="00EB3D7D" w:rsidRPr="0010115D" w14:paraId="708E35C2" w14:textId="77777777" w:rsidTr="000A13E7">
        <w:tc>
          <w:tcPr>
            <w:tcW w:w="1418" w:type="dxa"/>
            <w:tcBorders>
              <w:top w:val="single" w:sz="8" w:space="0" w:color="FFFFFF"/>
              <w:left w:val="single" w:sz="8" w:space="0" w:color="FFFFFF"/>
              <w:bottom w:val="single" w:sz="8" w:space="0" w:color="FFFFFF"/>
              <w:right w:val="single" w:sz="8" w:space="0" w:color="FFFFFF"/>
            </w:tcBorders>
            <w:shd w:val="clear" w:color="auto" w:fill="C4D0E9"/>
            <w:vAlign w:val="center"/>
          </w:tcPr>
          <w:p w14:paraId="124A142E" w14:textId="0A245181" w:rsidR="002F4ED4" w:rsidRPr="00883EF2" w:rsidRDefault="002F4ED4" w:rsidP="002F4ED4">
            <w:pPr>
              <w:pStyle w:val="Tablecells"/>
              <w:rPr>
                <w:rFonts w:cs="Times New Roman"/>
              </w:rPr>
            </w:pPr>
            <w:r w:rsidRPr="00883EF2">
              <w:rPr>
                <w:rFonts w:cs="Times New Roman"/>
                <w:b/>
                <w:bCs/>
                <w:color w:val="000000"/>
                <w:kern w:val="24"/>
                <w:szCs w:val="20"/>
                <w:lang w:val="es-ES"/>
              </w:rPr>
              <w:t>3500MHz</w:t>
            </w:r>
          </w:p>
        </w:tc>
        <w:tc>
          <w:tcPr>
            <w:tcW w:w="1487"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3EF4E720" w14:textId="2E5772CB" w:rsidR="002F4ED4" w:rsidRPr="00883EF2" w:rsidRDefault="002F4ED4" w:rsidP="002F4ED4">
            <w:pPr>
              <w:pStyle w:val="Tablecells"/>
              <w:rPr>
                <w:rFonts w:cs="Times New Roman"/>
              </w:rPr>
            </w:pPr>
            <w:r w:rsidRPr="00883EF2">
              <w:rPr>
                <w:rFonts w:cs="Times New Roman"/>
                <w:color w:val="000000"/>
                <w:kern w:val="24"/>
                <w:szCs w:val="20"/>
                <w:lang w:val="es-ES"/>
              </w:rPr>
              <w:t>5G</w:t>
            </w:r>
          </w:p>
        </w:tc>
        <w:tc>
          <w:tcPr>
            <w:tcW w:w="11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4539C3A" w14:textId="6BDBA0AC" w:rsidR="002F4ED4" w:rsidRPr="00883EF2" w:rsidRDefault="002F4ED4" w:rsidP="002F4ED4">
            <w:pPr>
              <w:pStyle w:val="Tablecells"/>
              <w:rPr>
                <w:rFonts w:cs="Times New Roman"/>
              </w:rPr>
            </w:pPr>
            <w:r w:rsidRPr="00883EF2">
              <w:rPr>
                <w:rFonts w:cs="Times New Roman"/>
                <w:color w:val="000000"/>
                <w:kern w:val="24"/>
                <w:szCs w:val="20"/>
                <w:lang w:val="es-ES"/>
              </w:rPr>
              <w:t>100</w:t>
            </w:r>
          </w:p>
        </w:tc>
        <w:tc>
          <w:tcPr>
            <w:tcW w:w="11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269D429A" w14:textId="63AFD8E6" w:rsidR="002F4ED4" w:rsidRPr="00883EF2" w:rsidRDefault="002F4ED4" w:rsidP="002F4ED4">
            <w:pPr>
              <w:pStyle w:val="Tablecells"/>
              <w:rPr>
                <w:rFonts w:cs="Times New Roman"/>
              </w:rPr>
            </w:pPr>
            <w:r w:rsidRPr="00883EF2">
              <w:rPr>
                <w:rFonts w:cs="Times New Roman"/>
                <w:color w:val="000000"/>
                <w:kern w:val="24"/>
                <w:szCs w:val="20"/>
                <w:lang w:val="es-ES"/>
              </w:rPr>
              <w:t>-</w:t>
            </w:r>
          </w:p>
        </w:tc>
        <w:tc>
          <w:tcPr>
            <w:tcW w:w="3476"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A10C623" w14:textId="16EC2CEA" w:rsidR="002F4ED4" w:rsidRPr="00883EF2" w:rsidRDefault="00AB052B" w:rsidP="002F4ED4">
            <w:pPr>
              <w:pStyle w:val="Tablecells"/>
              <w:rPr>
                <w:rFonts w:cs="Times New Roman"/>
                <w:lang w:val="es-ES"/>
              </w:rPr>
            </w:pPr>
            <w:r>
              <w:rPr>
                <w:rFonts w:cs="Times New Roman"/>
                <w:color w:val="000000"/>
                <w:kern w:val="24"/>
                <w:szCs w:val="20"/>
                <w:lang w:val="es-ES"/>
              </w:rPr>
              <w:t>El operador basado en el AEP</w:t>
            </w:r>
            <w:r w:rsidR="002F4ED4" w:rsidRPr="00883EF2">
              <w:rPr>
                <w:rFonts w:cs="Times New Roman"/>
                <w:color w:val="000000"/>
                <w:kern w:val="24"/>
                <w:szCs w:val="20"/>
                <w:lang w:val="es-ES"/>
              </w:rPr>
              <w:t xml:space="preserve"> despliega el 5G sobre la banda de 3500MHz</w:t>
            </w:r>
          </w:p>
        </w:tc>
      </w:tr>
    </w:tbl>
    <w:p w14:paraId="67AF05E1" w14:textId="55E5CE4C" w:rsidR="006E7AB6" w:rsidRDefault="006E7AB6" w:rsidP="006E7AB6">
      <w:pPr>
        <w:rPr>
          <w:lang w:val="es-ES"/>
        </w:rPr>
      </w:pPr>
    </w:p>
    <w:p w14:paraId="63C47918" w14:textId="77777777" w:rsidR="0047708C" w:rsidRPr="002F4ED4" w:rsidRDefault="0047708C" w:rsidP="006E7AB6">
      <w:pPr>
        <w:rPr>
          <w:lang w:val="es-ES"/>
        </w:rPr>
      </w:pPr>
    </w:p>
    <w:p w14:paraId="6B6B8E5E" w14:textId="6136F58A" w:rsidR="00906C5E" w:rsidRDefault="00F25973" w:rsidP="00906C5E">
      <w:pPr>
        <w:rPr>
          <w:lang w:val="es-ES"/>
        </w:rPr>
      </w:pPr>
      <w:r>
        <w:rPr>
          <w:lang w:val="es-ES"/>
        </w:rPr>
        <w:lastRenderedPageBreak/>
        <w:t>Por otra parte, l</w:t>
      </w:r>
      <w:r w:rsidR="00906C5E">
        <w:rPr>
          <w:lang w:val="es-ES"/>
        </w:rPr>
        <w:t xml:space="preserve">os costos </w:t>
      </w:r>
      <w:r>
        <w:rPr>
          <w:lang w:val="es-ES"/>
        </w:rPr>
        <w:t xml:space="preserve">unitarios </w:t>
      </w:r>
      <w:r w:rsidR="00906C5E">
        <w:rPr>
          <w:lang w:val="es-ES"/>
        </w:rPr>
        <w:t>de espectro han sido determinados basados en información proporcionada por el IFT sobre las subastas llevadas a</w:t>
      </w:r>
      <w:r>
        <w:rPr>
          <w:lang w:val="es-ES"/>
        </w:rPr>
        <w:t xml:space="preserve"> </w:t>
      </w:r>
      <w:r w:rsidR="00906C5E">
        <w:rPr>
          <w:lang w:val="es-ES"/>
        </w:rPr>
        <w:t>cabo en el pasado. Estos costos se basan en los pagos efectuados en el momento de la adquisición o renovación del espectro de cada banda en posesión de los operadores:</w:t>
      </w:r>
    </w:p>
    <w:p w14:paraId="1841AC5A" w14:textId="77777777" w:rsidR="00906C5E" w:rsidRDefault="00906C5E" w:rsidP="00CB4749">
      <w:pPr>
        <w:pStyle w:val="ListBulletCompact"/>
        <w:numPr>
          <w:ilvl w:val="0"/>
          <w:numId w:val="40"/>
        </w:numPr>
        <w:rPr>
          <w:lang w:val="es-ES"/>
        </w:rPr>
      </w:pPr>
      <w:r w:rsidRPr="00324FAF">
        <w:rPr>
          <w:lang w:val="es-ES"/>
        </w:rPr>
        <w:t>La inversión inicial (capex) en espectro en la banda de 850MHz se calcula de acuerdo al precio promedio pagado en la prórroga otorgada en mayo de 2010 por región por MHz</w:t>
      </w:r>
    </w:p>
    <w:p w14:paraId="2A7DCA72" w14:textId="77777777" w:rsidR="00906C5E" w:rsidRDefault="00906C5E" w:rsidP="00CB4749">
      <w:pPr>
        <w:pStyle w:val="ListBulletCompact"/>
        <w:numPr>
          <w:ilvl w:val="0"/>
          <w:numId w:val="40"/>
        </w:numPr>
        <w:rPr>
          <w:lang w:val="es-ES"/>
        </w:rPr>
      </w:pPr>
      <w:r w:rsidRPr="0023172F">
        <w:rPr>
          <w:lang w:val="es-ES"/>
        </w:rPr>
        <w:t>Para la banda de 1900MHz, se toman los costos de la renovación de la concesión que tuvo lugar en 2019</w:t>
      </w:r>
    </w:p>
    <w:p w14:paraId="36CC3169" w14:textId="77777777" w:rsidR="00906C5E" w:rsidRDefault="00906C5E" w:rsidP="00CB4749">
      <w:pPr>
        <w:pStyle w:val="ListBulletCompact"/>
        <w:numPr>
          <w:ilvl w:val="0"/>
          <w:numId w:val="40"/>
        </w:numPr>
        <w:rPr>
          <w:lang w:val="es-ES"/>
        </w:rPr>
      </w:pPr>
      <w:r w:rsidRPr="005325C4">
        <w:rPr>
          <w:lang w:val="es-ES"/>
        </w:rPr>
        <w:t>De forma similar, se calcula la inversión inicial (capex) en espectro para la banda de 1700/2100MHz, 2500MHz y 3500MHz teniendo en cuenta los resultados de la última subasta de espectro llevada a cabo en 2016, 2018 y 2020 respectivamente</w:t>
      </w:r>
    </w:p>
    <w:p w14:paraId="128773B2" w14:textId="1ED8CD4B" w:rsidR="00906C5E" w:rsidRPr="00EE5B10" w:rsidRDefault="00906C5E" w:rsidP="00EE5B10">
      <w:pPr>
        <w:rPr>
          <w:lang w:val="es-ES"/>
        </w:rPr>
      </w:pPr>
      <w:r>
        <w:rPr>
          <w:lang w:val="es-ES"/>
        </w:rPr>
        <w:t>Para ilustrar el costo unitario (por MHz) que toma el modelo móvil</w:t>
      </w:r>
      <w:r w:rsidR="005D0C3C">
        <w:rPr>
          <w:lang w:val="es-ES"/>
        </w:rPr>
        <w:t xml:space="preserve"> d</w:t>
      </w:r>
      <w:r>
        <w:rPr>
          <w:lang w:val="es-ES"/>
        </w:rPr>
        <w:t>e manera más explicativa, presentamos la siguiente tabla para las bandas AWS, 2500MHz y 3500MHz (el resto de bandas son estimadas de la misma manera):</w:t>
      </w:r>
    </w:p>
    <w:p w14:paraId="242FAABA" w14:textId="5287BE67" w:rsidR="005A16EF" w:rsidRPr="005A16EF" w:rsidRDefault="005A16EF" w:rsidP="005A16EF">
      <w:pPr>
        <w:pStyle w:val="Descripcin"/>
        <w:rPr>
          <w:lang w:val="es-ES"/>
        </w:rPr>
      </w:pPr>
      <w:r w:rsidRPr="00FC420F">
        <w:rPr>
          <w:lang w:val="es-ES"/>
        </w:rPr>
        <w:t xml:space="preserve">Figura </w:t>
      </w:r>
      <w:r>
        <w:rPr>
          <w:lang w:val="es-ES"/>
        </w:rPr>
        <w:fldChar w:fldCharType="begin"/>
      </w:r>
      <w:r w:rsidRPr="00FC420F">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FC420F">
        <w:rPr>
          <w:lang w:val="es-ES"/>
        </w:rPr>
        <w:t>.</w:t>
      </w:r>
      <w:r>
        <w:rPr>
          <w:lang w:val="es-ES"/>
        </w:rPr>
        <w:fldChar w:fldCharType="begin"/>
      </w:r>
      <w:r w:rsidRPr="00FC420F">
        <w:rPr>
          <w:lang w:val="es-ES"/>
        </w:rPr>
        <w:instrText xml:space="preserve"> SEQ </w:instrText>
      </w:r>
      <w:r>
        <w:rPr>
          <w:lang w:val="es-ES"/>
        </w:rPr>
        <w:instrText>Ilustración</w:instrText>
      </w:r>
      <w:r w:rsidRPr="00FC420F">
        <w:rPr>
          <w:lang w:val="es-ES"/>
        </w:rPr>
        <w:instrText xml:space="preserve"> \* ARABIC \s 1 \* MERGEFORMAT </w:instrText>
      </w:r>
      <w:r>
        <w:rPr>
          <w:lang w:val="es-ES"/>
        </w:rPr>
        <w:fldChar w:fldCharType="separate"/>
      </w:r>
      <w:r w:rsidR="00020F8B">
        <w:rPr>
          <w:noProof/>
          <w:lang w:val="es-ES"/>
        </w:rPr>
        <w:t>38</w:t>
      </w:r>
      <w:r>
        <w:rPr>
          <w:lang w:val="es-ES"/>
        </w:rPr>
        <w:fldChar w:fldCharType="end"/>
      </w:r>
      <w:r w:rsidRPr="00FC420F">
        <w:rPr>
          <w:lang w:val="es-ES"/>
        </w:rPr>
        <w:t xml:space="preserve">: </w:t>
      </w:r>
      <w:r>
        <w:rPr>
          <w:lang w:val="es-ES"/>
        </w:rPr>
        <w:t>Costo por MHz de las bandas AWS, 2500MHz y 3500MHz</w:t>
      </w:r>
      <w:r w:rsidRPr="00FC420F">
        <w:rPr>
          <w:lang w:val="es-ES"/>
        </w:rPr>
        <w:t xml:space="preserve"> [Fuente: Analysys Mason, 2023]</w:t>
      </w:r>
    </w:p>
    <w:tbl>
      <w:tblPr>
        <w:tblW w:w="8800" w:type="dxa"/>
        <w:tblCellMar>
          <w:left w:w="0" w:type="dxa"/>
          <w:right w:w="0" w:type="dxa"/>
        </w:tblCellMar>
        <w:tblLook w:val="0420" w:firstRow="1" w:lastRow="0" w:firstColumn="0" w:lastColumn="0" w:noHBand="0" w:noVBand="1"/>
      </w:tblPr>
      <w:tblGrid>
        <w:gridCol w:w="812"/>
        <w:gridCol w:w="2551"/>
        <w:gridCol w:w="1266"/>
        <w:gridCol w:w="1261"/>
        <w:gridCol w:w="1620"/>
        <w:gridCol w:w="1290"/>
      </w:tblGrid>
      <w:tr w:rsidR="005A16EF" w:rsidRPr="00DA7139" w14:paraId="1CBDF73E" w14:textId="77777777" w:rsidTr="005A16EF">
        <w:trPr>
          <w:trHeight w:val="335"/>
        </w:trPr>
        <w:tc>
          <w:tcPr>
            <w:tcW w:w="812"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14:paraId="4F3B3A2A" w14:textId="77777777" w:rsidR="00DA7139" w:rsidRPr="00DA7139" w:rsidRDefault="00DA7139" w:rsidP="00DA7139">
            <w:pPr>
              <w:spacing w:after="0" w:line="240" w:lineRule="auto"/>
              <w:jc w:val="left"/>
              <w:rPr>
                <w:rFonts w:eastAsia="Times New Roman" w:cs="Times New Roman"/>
                <w:sz w:val="24"/>
                <w:szCs w:val="24"/>
                <w:lang w:val="es-ES" w:eastAsia="en-GB"/>
              </w:rPr>
            </w:pPr>
          </w:p>
        </w:tc>
        <w:tc>
          <w:tcPr>
            <w:tcW w:w="2551"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14:paraId="2E3331B4" w14:textId="77777777" w:rsidR="00DA7139" w:rsidRPr="00DA7139" w:rsidRDefault="00DA7139" w:rsidP="00DA7139">
            <w:pPr>
              <w:spacing w:after="0" w:line="240" w:lineRule="auto"/>
              <w:jc w:val="left"/>
              <w:rPr>
                <w:rFonts w:eastAsia="Times New Roman" w:cs="Times New Roman"/>
                <w:sz w:val="20"/>
                <w:szCs w:val="20"/>
                <w:lang w:val="es-ES" w:eastAsia="en-GB"/>
              </w:rPr>
            </w:pPr>
          </w:p>
        </w:tc>
        <w:tc>
          <w:tcPr>
            <w:tcW w:w="1265" w:type="dxa"/>
            <w:tcBorders>
              <w:top w:val="single" w:sz="8" w:space="0" w:color="FFFFFF"/>
              <w:left w:val="single" w:sz="8" w:space="0" w:color="FFFFFF"/>
              <w:bottom w:val="single" w:sz="24" w:space="0" w:color="FFFFFF"/>
              <w:right w:val="single" w:sz="8" w:space="0" w:color="FFFFFF"/>
            </w:tcBorders>
            <w:shd w:val="clear" w:color="auto" w:fill="auto"/>
            <w:tcMar>
              <w:top w:w="100" w:type="dxa"/>
              <w:left w:w="140" w:type="dxa"/>
              <w:bottom w:w="80" w:type="dxa"/>
              <w:right w:w="140" w:type="dxa"/>
            </w:tcMar>
            <w:hideMark/>
          </w:tcPr>
          <w:p w14:paraId="7D069510" w14:textId="77777777" w:rsidR="00DA7139" w:rsidRPr="00DA7139" w:rsidRDefault="00DA7139" w:rsidP="00DA7139">
            <w:pPr>
              <w:spacing w:after="0" w:line="240" w:lineRule="auto"/>
              <w:jc w:val="left"/>
              <w:rPr>
                <w:rFonts w:eastAsia="Times New Roman" w:cs="Times New Roman"/>
                <w:sz w:val="20"/>
                <w:szCs w:val="20"/>
                <w:lang w:val="es-ES" w:eastAsia="en-GB"/>
              </w:rPr>
            </w:pPr>
          </w:p>
        </w:tc>
        <w:tc>
          <w:tcPr>
            <w:tcW w:w="1261" w:type="dxa"/>
            <w:tcBorders>
              <w:top w:val="single" w:sz="8" w:space="0" w:color="FFFFFF"/>
              <w:left w:val="single" w:sz="8" w:space="0" w:color="FFFFFF"/>
              <w:bottom w:val="single" w:sz="24" w:space="0" w:color="FFFFFF"/>
              <w:right w:val="single" w:sz="8" w:space="0" w:color="FFFFFF"/>
            </w:tcBorders>
            <w:shd w:val="clear" w:color="auto" w:fill="3A5A9C"/>
            <w:tcMar>
              <w:top w:w="100" w:type="dxa"/>
              <w:left w:w="140" w:type="dxa"/>
              <w:bottom w:w="80" w:type="dxa"/>
              <w:right w:w="140" w:type="dxa"/>
            </w:tcMar>
            <w:hideMark/>
          </w:tcPr>
          <w:p w14:paraId="00917C61" w14:textId="77777777" w:rsidR="00DA7139" w:rsidRPr="00DA7139" w:rsidRDefault="00DA7139" w:rsidP="00DA7139">
            <w:pPr>
              <w:spacing w:after="0" w:line="240" w:lineRule="auto"/>
              <w:jc w:val="right"/>
              <w:textAlignment w:val="top"/>
              <w:rPr>
                <w:rFonts w:ascii="Arial" w:eastAsia="Times New Roman" w:hAnsi="Arial" w:cs="Arial"/>
                <w:sz w:val="36"/>
                <w:szCs w:val="36"/>
                <w:lang w:eastAsia="en-GB"/>
              </w:rPr>
            </w:pPr>
            <w:r w:rsidRPr="00DA7139">
              <w:rPr>
                <w:rFonts w:asciiTheme="minorHAnsi" w:eastAsia="Times New Roman" w:hAnsi="Franklin Gothic Book" w:cs="Arial"/>
                <w:b/>
                <w:bCs/>
                <w:color w:val="FFFFFF"/>
                <w:kern w:val="24"/>
                <w:sz w:val="20"/>
                <w:szCs w:val="20"/>
                <w:lang w:val="es-ES" w:eastAsia="en-GB"/>
              </w:rPr>
              <w:t>Costo por MHz</w:t>
            </w:r>
          </w:p>
        </w:tc>
        <w:tc>
          <w:tcPr>
            <w:tcW w:w="1620" w:type="dxa"/>
            <w:tcBorders>
              <w:top w:val="single" w:sz="8" w:space="0" w:color="FFFFFF"/>
              <w:left w:val="single" w:sz="8" w:space="0" w:color="FFFFFF"/>
              <w:bottom w:val="single" w:sz="24" w:space="0" w:color="FFFFFF"/>
              <w:right w:val="single" w:sz="8" w:space="0" w:color="FFFFFF"/>
            </w:tcBorders>
            <w:shd w:val="clear" w:color="auto" w:fill="3A5A9C"/>
            <w:tcMar>
              <w:top w:w="100" w:type="dxa"/>
              <w:left w:w="140" w:type="dxa"/>
              <w:bottom w:w="80" w:type="dxa"/>
              <w:right w:w="140" w:type="dxa"/>
            </w:tcMar>
            <w:hideMark/>
          </w:tcPr>
          <w:p w14:paraId="685D4890" w14:textId="77777777" w:rsidR="00DA7139" w:rsidRPr="00DA7139" w:rsidRDefault="00DA7139" w:rsidP="00DA7139">
            <w:pPr>
              <w:spacing w:after="0" w:line="240" w:lineRule="auto"/>
              <w:jc w:val="right"/>
              <w:textAlignment w:val="top"/>
              <w:rPr>
                <w:rFonts w:ascii="Arial" w:eastAsia="Times New Roman" w:hAnsi="Arial" w:cs="Arial"/>
                <w:sz w:val="36"/>
                <w:szCs w:val="36"/>
                <w:lang w:eastAsia="en-GB"/>
              </w:rPr>
            </w:pPr>
            <w:r w:rsidRPr="00DA7139">
              <w:rPr>
                <w:rFonts w:asciiTheme="minorHAnsi" w:eastAsia="Times New Roman" w:hAnsi="Franklin Gothic Book" w:cs="Arial"/>
                <w:b/>
                <w:bCs/>
                <w:color w:val="FFFFFF"/>
                <w:kern w:val="24"/>
                <w:sz w:val="20"/>
                <w:szCs w:val="20"/>
                <w:lang w:val="es-ES" w:eastAsia="en-GB"/>
              </w:rPr>
              <w:t>Todas las regiones</w:t>
            </w:r>
          </w:p>
        </w:tc>
        <w:tc>
          <w:tcPr>
            <w:tcW w:w="1289" w:type="dxa"/>
            <w:tcBorders>
              <w:top w:val="single" w:sz="8" w:space="0" w:color="FFFFFF"/>
              <w:left w:val="single" w:sz="8" w:space="0" w:color="FFFFFF"/>
              <w:bottom w:val="single" w:sz="24" w:space="0" w:color="FFFFFF"/>
              <w:right w:val="single" w:sz="8" w:space="0" w:color="FFFFFF"/>
            </w:tcBorders>
            <w:shd w:val="clear" w:color="auto" w:fill="3A5A9C"/>
            <w:tcMar>
              <w:top w:w="100" w:type="dxa"/>
              <w:left w:w="140" w:type="dxa"/>
              <w:bottom w:w="80" w:type="dxa"/>
              <w:right w:w="140" w:type="dxa"/>
            </w:tcMar>
            <w:hideMark/>
          </w:tcPr>
          <w:p w14:paraId="5DB5A669" w14:textId="77777777" w:rsidR="00DA7139" w:rsidRPr="00DA7139" w:rsidRDefault="00DA7139" w:rsidP="00DA7139">
            <w:pPr>
              <w:spacing w:after="0" w:line="240" w:lineRule="auto"/>
              <w:jc w:val="right"/>
              <w:textAlignment w:val="top"/>
              <w:rPr>
                <w:rFonts w:ascii="Arial" w:eastAsia="Times New Roman" w:hAnsi="Arial" w:cs="Arial"/>
                <w:sz w:val="36"/>
                <w:szCs w:val="36"/>
                <w:lang w:eastAsia="en-GB"/>
              </w:rPr>
            </w:pPr>
            <w:r w:rsidRPr="00DA7139">
              <w:rPr>
                <w:rFonts w:asciiTheme="minorHAnsi" w:eastAsia="Times New Roman" w:hAnsi="Franklin Gothic Book" w:cs="Arial"/>
                <w:b/>
                <w:bCs/>
                <w:color w:val="FFFFFF"/>
                <w:kern w:val="24"/>
                <w:sz w:val="20"/>
                <w:szCs w:val="20"/>
                <w:lang w:val="es-ES" w:eastAsia="en-GB"/>
              </w:rPr>
              <w:t>MHz nacionales</w:t>
            </w:r>
          </w:p>
        </w:tc>
      </w:tr>
      <w:tr w:rsidR="005A16EF" w:rsidRPr="00DA7139" w14:paraId="039B3E52" w14:textId="77777777" w:rsidTr="005A16EF">
        <w:trPr>
          <w:trHeight w:val="335"/>
        </w:trPr>
        <w:tc>
          <w:tcPr>
            <w:tcW w:w="812" w:type="dxa"/>
            <w:vMerge w:val="restart"/>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textDirection w:val="btLr"/>
            <w:hideMark/>
          </w:tcPr>
          <w:p w14:paraId="3EC2CAFB" w14:textId="77777777" w:rsidR="00DA7139" w:rsidRPr="00DA7139" w:rsidRDefault="00DA7139" w:rsidP="00DA7139">
            <w:pPr>
              <w:spacing w:after="0" w:line="240" w:lineRule="auto"/>
              <w:jc w:val="center"/>
              <w:rPr>
                <w:rFonts w:ascii="Arial" w:eastAsia="Times New Roman" w:hAnsi="Arial" w:cs="Arial"/>
                <w:sz w:val="36"/>
                <w:szCs w:val="36"/>
                <w:lang w:eastAsia="en-GB"/>
              </w:rPr>
            </w:pPr>
            <w:r w:rsidRPr="00DA7139">
              <w:rPr>
                <w:rFonts w:asciiTheme="minorHAnsi" w:eastAsia="Times New Roman" w:hAnsi="Franklin Gothic Book" w:cs="Arial"/>
                <w:b/>
                <w:bCs/>
                <w:color w:val="000000" w:themeColor="dark1"/>
                <w:kern w:val="24"/>
                <w:sz w:val="20"/>
                <w:szCs w:val="20"/>
                <w:lang w:val="es-ES" w:eastAsia="en-GB"/>
              </w:rPr>
              <w:t>1700/2100MHz</w:t>
            </w:r>
          </w:p>
          <w:p w14:paraId="51F1E7A2" w14:textId="77777777" w:rsidR="00DA7139" w:rsidRPr="00DA7139" w:rsidRDefault="00DA7139" w:rsidP="00DA7139">
            <w:pPr>
              <w:spacing w:after="0" w:line="240" w:lineRule="auto"/>
              <w:jc w:val="center"/>
              <w:rPr>
                <w:rFonts w:ascii="Arial" w:eastAsia="Times New Roman" w:hAnsi="Arial" w:cs="Arial"/>
                <w:sz w:val="36"/>
                <w:szCs w:val="36"/>
                <w:lang w:eastAsia="en-GB"/>
              </w:rPr>
            </w:pPr>
            <w:r w:rsidRPr="00DA7139">
              <w:rPr>
                <w:rFonts w:asciiTheme="minorHAnsi" w:eastAsia="Times New Roman" w:hAnsi="Franklin Gothic Book" w:cs="Arial"/>
                <w:b/>
                <w:bCs/>
                <w:color w:val="000000" w:themeColor="dark1"/>
                <w:kern w:val="24"/>
                <w:sz w:val="20"/>
                <w:szCs w:val="20"/>
                <w:lang w:val="es-ES" w:eastAsia="en-GB"/>
              </w:rPr>
              <w:t>(2016)</w:t>
            </w:r>
          </w:p>
        </w:tc>
        <w:tc>
          <w:tcPr>
            <w:tcW w:w="3817" w:type="dxa"/>
            <w:gridSpan w:val="2"/>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85013A2" w14:textId="77777777" w:rsidR="00DA7139" w:rsidRPr="00DA7139" w:rsidRDefault="00DA7139" w:rsidP="00DA7139">
            <w:pPr>
              <w:spacing w:after="0" w:line="240" w:lineRule="auto"/>
              <w:jc w:val="left"/>
              <w:rPr>
                <w:rFonts w:ascii="Arial" w:eastAsia="Times New Roman" w:hAnsi="Arial" w:cs="Arial"/>
                <w:sz w:val="36"/>
                <w:szCs w:val="36"/>
                <w:lang w:eastAsia="en-GB"/>
              </w:rPr>
            </w:pPr>
            <w:r w:rsidRPr="00DA7139">
              <w:rPr>
                <w:rFonts w:asciiTheme="minorHAnsi" w:eastAsia="Times New Roman" w:hAnsi="Franklin Gothic Book" w:cs="Arial"/>
                <w:color w:val="000000" w:themeColor="dark1"/>
                <w:kern w:val="24"/>
                <w:sz w:val="20"/>
                <w:szCs w:val="20"/>
                <w:lang w:val="es-ES" w:eastAsia="en-GB"/>
              </w:rPr>
              <w:t>Telcel</w:t>
            </w:r>
          </w:p>
        </w:tc>
        <w:tc>
          <w:tcPr>
            <w:tcW w:w="1261" w:type="dxa"/>
            <w:tcBorders>
              <w:top w:val="single" w:sz="24"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430E0944"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34 967 665</w:t>
            </w:r>
          </w:p>
        </w:tc>
        <w:tc>
          <w:tcPr>
            <w:tcW w:w="1620" w:type="dxa"/>
            <w:tcBorders>
              <w:top w:val="single" w:sz="24"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0C864043"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2098 259 883</w:t>
            </w:r>
          </w:p>
        </w:tc>
        <w:tc>
          <w:tcPr>
            <w:tcW w:w="1289" w:type="dxa"/>
            <w:tcBorders>
              <w:top w:val="single" w:sz="24"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155BF38E"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60</w:t>
            </w:r>
          </w:p>
        </w:tc>
      </w:tr>
      <w:tr w:rsidR="00DA7139" w:rsidRPr="00DA7139" w14:paraId="3738444A" w14:textId="77777777" w:rsidTr="005A16EF">
        <w:trPr>
          <w:trHeight w:val="33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5B277F3" w14:textId="77777777" w:rsidR="00DA7139" w:rsidRPr="00DA7139" w:rsidRDefault="00DA7139" w:rsidP="00DA7139">
            <w:pPr>
              <w:spacing w:after="0" w:line="240" w:lineRule="auto"/>
              <w:jc w:val="left"/>
              <w:rPr>
                <w:rFonts w:ascii="Arial" w:eastAsia="Times New Roman" w:hAnsi="Arial" w:cs="Arial"/>
                <w:sz w:val="36"/>
                <w:szCs w:val="36"/>
                <w:lang w:eastAsia="en-GB"/>
              </w:rPr>
            </w:pPr>
          </w:p>
        </w:tc>
        <w:tc>
          <w:tcPr>
            <w:tcW w:w="3817" w:type="dxa"/>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AB08CE7" w14:textId="77777777" w:rsidR="00DA7139" w:rsidRPr="00DA7139" w:rsidRDefault="00DA7139" w:rsidP="00DA7139">
            <w:pPr>
              <w:spacing w:after="0" w:line="240" w:lineRule="auto"/>
              <w:jc w:val="left"/>
              <w:rPr>
                <w:rFonts w:ascii="Arial" w:eastAsia="Times New Roman" w:hAnsi="Arial" w:cs="Arial"/>
                <w:sz w:val="36"/>
                <w:szCs w:val="36"/>
                <w:lang w:eastAsia="en-GB"/>
              </w:rPr>
            </w:pPr>
            <w:r w:rsidRPr="00DA7139">
              <w:rPr>
                <w:rFonts w:asciiTheme="minorHAnsi" w:eastAsia="Times New Roman" w:hAnsi="Franklin Gothic Book" w:cs="Arial"/>
                <w:color w:val="000000" w:themeColor="dark1"/>
                <w:kern w:val="24"/>
                <w:sz w:val="20"/>
                <w:szCs w:val="20"/>
                <w:lang w:val="es-ES" w:eastAsia="en-GB"/>
              </w:rPr>
              <w:t>AT&amp;T</w:t>
            </w:r>
          </w:p>
        </w:tc>
        <w:tc>
          <w:tcPr>
            <w:tcW w:w="1261"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421A5BD9"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51 854 193</w:t>
            </w:r>
          </w:p>
        </w:tc>
        <w:tc>
          <w:tcPr>
            <w:tcW w:w="162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08427D2F"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1 031 683 8500</w:t>
            </w:r>
          </w:p>
        </w:tc>
        <w:tc>
          <w:tcPr>
            <w:tcW w:w="1289"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79C93662"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20</w:t>
            </w:r>
          </w:p>
        </w:tc>
      </w:tr>
      <w:tr w:rsidR="00DA7139" w:rsidRPr="00DA7139" w14:paraId="038EDE05" w14:textId="77777777" w:rsidTr="005A16EF">
        <w:trPr>
          <w:trHeight w:val="30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4A099F0" w14:textId="77777777" w:rsidR="00DA7139" w:rsidRPr="00DA7139" w:rsidRDefault="00DA7139" w:rsidP="00DA7139">
            <w:pPr>
              <w:spacing w:after="0" w:line="240" w:lineRule="auto"/>
              <w:jc w:val="left"/>
              <w:rPr>
                <w:rFonts w:ascii="Arial" w:eastAsia="Times New Roman" w:hAnsi="Arial" w:cs="Arial"/>
                <w:sz w:val="36"/>
                <w:szCs w:val="36"/>
                <w:lang w:eastAsia="en-GB"/>
              </w:rPr>
            </w:pPr>
          </w:p>
        </w:tc>
        <w:tc>
          <w:tcPr>
            <w:tcW w:w="2551"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203E3181" w14:textId="77777777" w:rsidR="00DA7139" w:rsidRPr="00DA7139" w:rsidRDefault="00DA7139" w:rsidP="00DA7139">
            <w:pPr>
              <w:spacing w:after="0" w:line="240" w:lineRule="auto"/>
              <w:jc w:val="right"/>
              <w:rPr>
                <w:rFonts w:ascii="Arial" w:eastAsia="Times New Roman" w:hAnsi="Arial" w:cs="Arial"/>
                <w:sz w:val="36"/>
                <w:szCs w:val="36"/>
                <w:lang w:eastAsia="en-GB"/>
              </w:rPr>
            </w:pPr>
            <w:r w:rsidRPr="00DA7139">
              <w:rPr>
                <w:rFonts w:asciiTheme="minorHAnsi" w:eastAsia="Times New Roman" w:hAnsi="Franklin Gothic Book" w:cs="Arial"/>
                <w:b/>
                <w:bCs/>
                <w:color w:val="000000" w:themeColor="dark1"/>
                <w:kern w:val="24"/>
                <w:sz w:val="20"/>
                <w:szCs w:val="20"/>
                <w:lang w:val="es-ES" w:eastAsia="en-GB"/>
              </w:rPr>
              <w:t>Promedio nacional (MXN/MHz)</w:t>
            </w:r>
          </w:p>
        </w:tc>
        <w:tc>
          <w:tcPr>
            <w:tcW w:w="5437" w:type="dxa"/>
            <w:gridSpan w:val="4"/>
            <w:tcBorders>
              <w:top w:val="single" w:sz="8" w:space="0" w:color="FFFFFF"/>
              <w:left w:val="single" w:sz="8" w:space="0" w:color="FFFFFF"/>
              <w:bottom w:val="single" w:sz="8" w:space="0" w:color="FFFFFF"/>
              <w:right w:val="single" w:sz="8" w:space="0" w:color="FFFFFF"/>
            </w:tcBorders>
            <w:shd w:val="clear" w:color="auto" w:fill="D9D9D9"/>
            <w:tcMar>
              <w:top w:w="100" w:type="dxa"/>
              <w:left w:w="140" w:type="dxa"/>
              <w:bottom w:w="80" w:type="dxa"/>
              <w:right w:w="140" w:type="dxa"/>
            </w:tcMar>
            <w:vAlign w:val="center"/>
            <w:hideMark/>
          </w:tcPr>
          <w:p w14:paraId="0CFDE6E0" w14:textId="77777777" w:rsidR="00DA7139" w:rsidRPr="00DA7139" w:rsidRDefault="00DA7139" w:rsidP="00DA7139">
            <w:pPr>
              <w:spacing w:after="0" w:line="240" w:lineRule="auto"/>
              <w:jc w:val="left"/>
              <w:textAlignment w:val="center"/>
              <w:rPr>
                <w:rFonts w:ascii="Arial" w:eastAsia="Times New Roman" w:hAnsi="Arial" w:cs="Arial"/>
                <w:sz w:val="36"/>
                <w:szCs w:val="36"/>
                <w:lang w:eastAsia="en-GB"/>
              </w:rPr>
            </w:pPr>
            <w:r w:rsidRPr="00DA7139">
              <w:rPr>
                <w:rFonts w:asciiTheme="minorHAnsi" w:eastAsiaTheme="minorEastAsia" w:hAnsi="Franklin Gothic Book"/>
                <w:b/>
                <w:bCs/>
                <w:color w:val="000000" w:themeColor="text1"/>
                <w:kern w:val="24"/>
                <w:sz w:val="20"/>
                <w:szCs w:val="20"/>
                <w:lang w:val="es-ES" w:eastAsia="en-GB"/>
              </w:rPr>
              <w:t>43 275 929</w:t>
            </w:r>
          </w:p>
        </w:tc>
      </w:tr>
      <w:tr w:rsidR="005A16EF" w:rsidRPr="00DA7139" w14:paraId="3ED864D5" w14:textId="77777777" w:rsidTr="005A16EF">
        <w:trPr>
          <w:trHeight w:val="335"/>
        </w:trPr>
        <w:tc>
          <w:tcPr>
            <w:tcW w:w="812" w:type="dxa"/>
            <w:vMerge w:val="restart"/>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textDirection w:val="btLr"/>
            <w:hideMark/>
          </w:tcPr>
          <w:p w14:paraId="1AE8139A" w14:textId="77777777" w:rsidR="00DA7139" w:rsidRPr="00DA7139" w:rsidRDefault="00DA7139" w:rsidP="00DA7139">
            <w:pPr>
              <w:spacing w:after="0" w:line="240" w:lineRule="auto"/>
              <w:jc w:val="center"/>
              <w:rPr>
                <w:rFonts w:ascii="Arial" w:eastAsia="Times New Roman" w:hAnsi="Arial" w:cs="Arial"/>
                <w:sz w:val="36"/>
                <w:szCs w:val="36"/>
                <w:lang w:eastAsia="en-GB"/>
              </w:rPr>
            </w:pPr>
            <w:r w:rsidRPr="00DA7139">
              <w:rPr>
                <w:rFonts w:ascii="Franklin Gothic Book" w:eastAsia="Times New Roman" w:hAnsi="Franklin Gothic Book" w:cs="Arial"/>
                <w:b/>
                <w:bCs/>
                <w:color w:val="000000" w:themeColor="text1"/>
                <w:kern w:val="24"/>
                <w:sz w:val="20"/>
                <w:szCs w:val="20"/>
                <w:lang w:val="es-ES" w:eastAsia="en-GB"/>
              </w:rPr>
              <w:t>2500MHz</w:t>
            </w:r>
          </w:p>
          <w:p w14:paraId="5444ADBF" w14:textId="77777777" w:rsidR="00DA7139" w:rsidRPr="00DA7139" w:rsidRDefault="00DA7139" w:rsidP="00DA7139">
            <w:pPr>
              <w:spacing w:after="0" w:line="240" w:lineRule="auto"/>
              <w:jc w:val="center"/>
              <w:rPr>
                <w:rFonts w:ascii="Arial" w:eastAsia="Times New Roman" w:hAnsi="Arial" w:cs="Arial"/>
                <w:sz w:val="36"/>
                <w:szCs w:val="36"/>
                <w:lang w:eastAsia="en-GB"/>
              </w:rPr>
            </w:pPr>
            <w:r w:rsidRPr="00DA7139">
              <w:rPr>
                <w:rFonts w:asciiTheme="minorHAnsi" w:eastAsia="Times New Roman" w:hAnsi="Franklin Gothic Book" w:cs="Arial"/>
                <w:b/>
                <w:bCs/>
                <w:color w:val="000000" w:themeColor="dark1"/>
                <w:kern w:val="24"/>
                <w:sz w:val="20"/>
                <w:szCs w:val="20"/>
                <w:lang w:val="es-ES" w:eastAsia="en-GB"/>
              </w:rPr>
              <w:t>(2018)</w:t>
            </w:r>
          </w:p>
        </w:tc>
        <w:tc>
          <w:tcPr>
            <w:tcW w:w="3817" w:type="dxa"/>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9CA5811" w14:textId="77777777" w:rsidR="00DA7139" w:rsidRPr="00DA7139" w:rsidRDefault="00DA7139" w:rsidP="00DA7139">
            <w:pPr>
              <w:spacing w:after="0" w:line="240" w:lineRule="auto"/>
              <w:jc w:val="left"/>
              <w:rPr>
                <w:rFonts w:ascii="Arial" w:eastAsia="Times New Roman" w:hAnsi="Arial" w:cs="Arial"/>
                <w:sz w:val="36"/>
                <w:szCs w:val="36"/>
                <w:lang w:eastAsia="en-GB"/>
              </w:rPr>
            </w:pPr>
            <w:r w:rsidRPr="00DA7139">
              <w:rPr>
                <w:rFonts w:asciiTheme="minorHAnsi" w:eastAsia="Times New Roman" w:hAnsi="Franklin Gothic Book" w:cs="Arial"/>
                <w:color w:val="000000" w:themeColor="dark1"/>
                <w:kern w:val="24"/>
                <w:sz w:val="20"/>
                <w:szCs w:val="20"/>
                <w:lang w:val="es-ES" w:eastAsia="en-GB"/>
              </w:rPr>
              <w:t>Telcel</w:t>
            </w:r>
          </w:p>
        </w:tc>
        <w:tc>
          <w:tcPr>
            <w:tcW w:w="1261"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12A182A8"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410 774</w:t>
            </w:r>
          </w:p>
        </w:tc>
        <w:tc>
          <w:tcPr>
            <w:tcW w:w="162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591E31E2"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24 646 443</w:t>
            </w:r>
          </w:p>
        </w:tc>
        <w:tc>
          <w:tcPr>
            <w:tcW w:w="1289"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766C968C"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60</w:t>
            </w:r>
          </w:p>
        </w:tc>
      </w:tr>
      <w:tr w:rsidR="00DA7139" w:rsidRPr="00DA7139" w14:paraId="4F277403" w14:textId="77777777" w:rsidTr="005A16EF">
        <w:trPr>
          <w:trHeight w:val="33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EA10F7B" w14:textId="77777777" w:rsidR="00DA7139" w:rsidRPr="00DA7139" w:rsidRDefault="00DA7139" w:rsidP="00DA7139">
            <w:pPr>
              <w:spacing w:after="0" w:line="240" w:lineRule="auto"/>
              <w:jc w:val="left"/>
              <w:rPr>
                <w:rFonts w:ascii="Arial" w:eastAsia="Times New Roman" w:hAnsi="Arial" w:cs="Arial"/>
                <w:sz w:val="36"/>
                <w:szCs w:val="36"/>
                <w:lang w:eastAsia="en-GB"/>
              </w:rPr>
            </w:pPr>
          </w:p>
        </w:tc>
        <w:tc>
          <w:tcPr>
            <w:tcW w:w="3817" w:type="dxa"/>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3DB9BD4" w14:textId="77777777" w:rsidR="00DA7139" w:rsidRPr="00DA7139" w:rsidRDefault="00DA7139" w:rsidP="00DA7139">
            <w:pPr>
              <w:spacing w:after="0" w:line="240" w:lineRule="auto"/>
              <w:jc w:val="left"/>
              <w:rPr>
                <w:rFonts w:ascii="Arial" w:eastAsia="Times New Roman" w:hAnsi="Arial" w:cs="Arial"/>
                <w:sz w:val="36"/>
                <w:szCs w:val="36"/>
                <w:lang w:eastAsia="en-GB"/>
              </w:rPr>
            </w:pPr>
            <w:r w:rsidRPr="00DA7139">
              <w:rPr>
                <w:rFonts w:asciiTheme="minorHAnsi" w:eastAsia="Times New Roman" w:hAnsi="Franklin Gothic Book" w:cs="Arial"/>
                <w:color w:val="000000" w:themeColor="dark1"/>
                <w:kern w:val="24"/>
                <w:sz w:val="20"/>
                <w:szCs w:val="20"/>
                <w:lang w:val="es-ES" w:eastAsia="en-GB"/>
              </w:rPr>
              <w:t>AT&amp;T</w:t>
            </w:r>
          </w:p>
        </w:tc>
        <w:tc>
          <w:tcPr>
            <w:tcW w:w="1261"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2AF5EC0F"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17 501 266</w:t>
            </w:r>
          </w:p>
        </w:tc>
        <w:tc>
          <w:tcPr>
            <w:tcW w:w="162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376DBF56"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1 400 101 288</w:t>
            </w:r>
          </w:p>
        </w:tc>
        <w:tc>
          <w:tcPr>
            <w:tcW w:w="1289"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08520F73"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80</w:t>
            </w:r>
          </w:p>
        </w:tc>
      </w:tr>
      <w:tr w:rsidR="00DA7139" w:rsidRPr="00DA7139" w14:paraId="3B8B0F37" w14:textId="77777777" w:rsidTr="005A16EF">
        <w:trPr>
          <w:trHeight w:val="30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9A6AA3" w14:textId="77777777" w:rsidR="00DA7139" w:rsidRPr="00DA7139" w:rsidRDefault="00DA7139" w:rsidP="00DA7139">
            <w:pPr>
              <w:spacing w:after="0" w:line="240" w:lineRule="auto"/>
              <w:jc w:val="left"/>
              <w:rPr>
                <w:rFonts w:ascii="Arial" w:eastAsia="Times New Roman" w:hAnsi="Arial" w:cs="Arial"/>
                <w:sz w:val="36"/>
                <w:szCs w:val="36"/>
                <w:lang w:eastAsia="en-GB"/>
              </w:rPr>
            </w:pPr>
          </w:p>
        </w:tc>
        <w:tc>
          <w:tcPr>
            <w:tcW w:w="2551"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39F9B6FF" w14:textId="77777777" w:rsidR="00DA7139" w:rsidRPr="00DA7139" w:rsidRDefault="00DA7139" w:rsidP="00DA7139">
            <w:pPr>
              <w:spacing w:after="0" w:line="240" w:lineRule="auto"/>
              <w:jc w:val="right"/>
              <w:rPr>
                <w:rFonts w:ascii="Arial" w:eastAsia="Times New Roman" w:hAnsi="Arial" w:cs="Arial"/>
                <w:sz w:val="36"/>
                <w:szCs w:val="36"/>
                <w:lang w:eastAsia="en-GB"/>
              </w:rPr>
            </w:pPr>
            <w:r w:rsidRPr="00DA7139">
              <w:rPr>
                <w:rFonts w:asciiTheme="minorHAnsi" w:eastAsia="Times New Roman" w:hAnsi="Franklin Gothic Book" w:cs="Arial"/>
                <w:b/>
                <w:bCs/>
                <w:color w:val="000000" w:themeColor="dark1"/>
                <w:kern w:val="24"/>
                <w:sz w:val="20"/>
                <w:szCs w:val="20"/>
                <w:lang w:val="es-ES" w:eastAsia="en-GB"/>
              </w:rPr>
              <w:t>Promedio nacional (MXN/MHz)</w:t>
            </w:r>
          </w:p>
        </w:tc>
        <w:tc>
          <w:tcPr>
            <w:tcW w:w="5437" w:type="dxa"/>
            <w:gridSpan w:val="4"/>
            <w:tcBorders>
              <w:top w:val="single" w:sz="8" w:space="0" w:color="FFFFFF"/>
              <w:left w:val="single" w:sz="8" w:space="0" w:color="FFFFFF"/>
              <w:bottom w:val="single" w:sz="8" w:space="0" w:color="FFFFFF"/>
              <w:right w:val="single" w:sz="8" w:space="0" w:color="FFFFFF"/>
            </w:tcBorders>
            <w:shd w:val="clear" w:color="auto" w:fill="D9D9D9"/>
            <w:tcMar>
              <w:top w:w="100" w:type="dxa"/>
              <w:left w:w="140" w:type="dxa"/>
              <w:bottom w:w="80" w:type="dxa"/>
              <w:right w:w="140" w:type="dxa"/>
            </w:tcMar>
            <w:vAlign w:val="center"/>
            <w:hideMark/>
          </w:tcPr>
          <w:p w14:paraId="3BEE2EED" w14:textId="77777777" w:rsidR="00DA7139" w:rsidRPr="00DA7139" w:rsidRDefault="00DA7139" w:rsidP="00DA7139">
            <w:pPr>
              <w:spacing w:after="0" w:line="240" w:lineRule="auto"/>
              <w:jc w:val="left"/>
              <w:textAlignment w:val="center"/>
              <w:rPr>
                <w:rFonts w:ascii="Arial" w:eastAsia="Times New Roman" w:hAnsi="Arial" w:cs="Arial"/>
                <w:sz w:val="36"/>
                <w:szCs w:val="36"/>
                <w:lang w:eastAsia="en-GB"/>
              </w:rPr>
            </w:pPr>
            <w:r w:rsidRPr="00DA7139">
              <w:rPr>
                <w:rFonts w:asciiTheme="minorHAnsi" w:eastAsiaTheme="minorEastAsia" w:hAnsi="Franklin Gothic Book"/>
                <w:b/>
                <w:bCs/>
                <w:color w:val="000000" w:themeColor="text1"/>
                <w:kern w:val="24"/>
                <w:sz w:val="20"/>
                <w:szCs w:val="20"/>
                <w:lang w:val="es-ES" w:eastAsia="en-GB"/>
              </w:rPr>
              <w:t>8 956 020</w:t>
            </w:r>
          </w:p>
        </w:tc>
      </w:tr>
      <w:tr w:rsidR="005A16EF" w:rsidRPr="00DA7139" w14:paraId="16A451F1" w14:textId="77777777" w:rsidTr="005A16EF">
        <w:trPr>
          <w:trHeight w:val="335"/>
        </w:trPr>
        <w:tc>
          <w:tcPr>
            <w:tcW w:w="812" w:type="dxa"/>
            <w:vMerge w:val="restart"/>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textDirection w:val="btLr"/>
            <w:hideMark/>
          </w:tcPr>
          <w:p w14:paraId="60D39801" w14:textId="77777777" w:rsidR="00DA7139" w:rsidRPr="00DA7139" w:rsidRDefault="00DA7139" w:rsidP="00DA7139">
            <w:pPr>
              <w:spacing w:after="0" w:line="240" w:lineRule="auto"/>
              <w:jc w:val="center"/>
              <w:rPr>
                <w:rFonts w:ascii="Arial" w:eastAsia="Times New Roman" w:hAnsi="Arial" w:cs="Arial"/>
                <w:sz w:val="36"/>
                <w:szCs w:val="36"/>
                <w:lang w:eastAsia="en-GB"/>
              </w:rPr>
            </w:pPr>
            <w:r w:rsidRPr="00DA7139">
              <w:rPr>
                <w:rFonts w:ascii="Franklin Gothic Book" w:eastAsia="Times New Roman" w:hAnsi="Franklin Gothic Book" w:cs="Arial"/>
                <w:b/>
                <w:bCs/>
                <w:color w:val="000000" w:themeColor="text1"/>
                <w:kern w:val="24"/>
                <w:sz w:val="20"/>
                <w:szCs w:val="20"/>
                <w:lang w:val="es-ES" w:eastAsia="en-GB"/>
              </w:rPr>
              <w:t>3500MHz</w:t>
            </w:r>
          </w:p>
          <w:p w14:paraId="307B5533" w14:textId="77777777" w:rsidR="00DA7139" w:rsidRPr="00DA7139" w:rsidRDefault="00DA7139" w:rsidP="00DA7139">
            <w:pPr>
              <w:spacing w:after="0" w:line="240" w:lineRule="auto"/>
              <w:jc w:val="center"/>
              <w:rPr>
                <w:rFonts w:ascii="Arial" w:eastAsia="Times New Roman" w:hAnsi="Arial" w:cs="Arial"/>
                <w:sz w:val="36"/>
                <w:szCs w:val="36"/>
                <w:lang w:eastAsia="en-GB"/>
              </w:rPr>
            </w:pPr>
            <w:r w:rsidRPr="00DA7139">
              <w:rPr>
                <w:rFonts w:asciiTheme="minorHAnsi" w:eastAsia="Times New Roman" w:hAnsi="Franklin Gothic Book" w:cs="Arial"/>
                <w:b/>
                <w:bCs/>
                <w:color w:val="000000" w:themeColor="dark1"/>
                <w:kern w:val="24"/>
                <w:sz w:val="20"/>
                <w:szCs w:val="20"/>
                <w:lang w:val="es-ES" w:eastAsia="en-GB"/>
              </w:rPr>
              <w:t>(2020)</w:t>
            </w:r>
          </w:p>
        </w:tc>
        <w:tc>
          <w:tcPr>
            <w:tcW w:w="3817" w:type="dxa"/>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6806284" w14:textId="77777777" w:rsidR="00DA7139" w:rsidRPr="00DA7139" w:rsidRDefault="00DA7139" w:rsidP="00DA7139">
            <w:pPr>
              <w:spacing w:after="0" w:line="240" w:lineRule="auto"/>
              <w:jc w:val="left"/>
              <w:rPr>
                <w:rFonts w:ascii="Arial" w:eastAsia="Times New Roman" w:hAnsi="Arial" w:cs="Arial"/>
                <w:sz w:val="36"/>
                <w:szCs w:val="36"/>
                <w:lang w:eastAsia="en-GB"/>
              </w:rPr>
            </w:pPr>
            <w:r w:rsidRPr="00DA7139">
              <w:rPr>
                <w:rFonts w:asciiTheme="minorHAnsi" w:eastAsia="Times New Roman" w:hAnsi="Franklin Gothic Book" w:cs="Arial"/>
                <w:color w:val="000000" w:themeColor="dark1"/>
                <w:kern w:val="24"/>
                <w:sz w:val="20"/>
                <w:szCs w:val="20"/>
                <w:lang w:val="es-ES" w:eastAsia="en-GB"/>
              </w:rPr>
              <w:t>Telcel</w:t>
            </w:r>
          </w:p>
        </w:tc>
        <w:tc>
          <w:tcPr>
            <w:tcW w:w="1261"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06502564"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31 177 063</w:t>
            </w:r>
          </w:p>
        </w:tc>
        <w:tc>
          <w:tcPr>
            <w:tcW w:w="1620"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4BB73316"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3 117 706 315</w:t>
            </w:r>
          </w:p>
        </w:tc>
        <w:tc>
          <w:tcPr>
            <w:tcW w:w="1289" w:type="dxa"/>
            <w:tcBorders>
              <w:top w:val="single" w:sz="8" w:space="0" w:color="FFFFFF"/>
              <w:left w:val="single" w:sz="8" w:space="0" w:color="FFFFFF"/>
              <w:bottom w:val="single" w:sz="8" w:space="0" w:color="FFFFFF"/>
              <w:right w:val="single" w:sz="8" w:space="0" w:color="FFFFFF"/>
            </w:tcBorders>
            <w:shd w:val="clear" w:color="auto" w:fill="F2F2F2"/>
            <w:tcMar>
              <w:top w:w="100" w:type="dxa"/>
              <w:left w:w="140" w:type="dxa"/>
              <w:bottom w:w="80" w:type="dxa"/>
              <w:right w:w="140" w:type="dxa"/>
            </w:tcMar>
            <w:vAlign w:val="center"/>
            <w:hideMark/>
          </w:tcPr>
          <w:p w14:paraId="4E2FB0F4" w14:textId="77777777" w:rsidR="00DA7139" w:rsidRPr="00DA7139" w:rsidRDefault="00DA7139" w:rsidP="00DA7139">
            <w:pPr>
              <w:spacing w:after="0" w:line="240" w:lineRule="auto"/>
              <w:jc w:val="right"/>
              <w:textAlignment w:val="center"/>
              <w:rPr>
                <w:rFonts w:ascii="Arial" w:eastAsia="Times New Roman" w:hAnsi="Arial" w:cs="Arial"/>
                <w:sz w:val="36"/>
                <w:szCs w:val="36"/>
                <w:lang w:eastAsia="en-GB"/>
              </w:rPr>
            </w:pPr>
            <w:r w:rsidRPr="00DA7139">
              <w:rPr>
                <w:rFonts w:asciiTheme="minorHAnsi" w:eastAsiaTheme="minorEastAsia" w:hAnsi="Franklin Gothic Book"/>
                <w:color w:val="000000" w:themeColor="text1"/>
                <w:kern w:val="24"/>
                <w:sz w:val="20"/>
                <w:szCs w:val="20"/>
                <w:lang w:val="es-ES" w:eastAsia="en-GB"/>
              </w:rPr>
              <w:t>100</w:t>
            </w:r>
          </w:p>
        </w:tc>
      </w:tr>
      <w:tr w:rsidR="00DA7139" w:rsidRPr="00DA7139" w14:paraId="5E29C20C" w14:textId="77777777" w:rsidTr="005A16EF">
        <w:trPr>
          <w:trHeight w:val="33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8E84119" w14:textId="77777777" w:rsidR="00DA7139" w:rsidRPr="00DA7139" w:rsidRDefault="00DA7139" w:rsidP="00DA7139">
            <w:pPr>
              <w:spacing w:after="0" w:line="240" w:lineRule="auto"/>
              <w:jc w:val="left"/>
              <w:rPr>
                <w:rFonts w:ascii="Arial" w:eastAsia="Times New Roman" w:hAnsi="Arial" w:cs="Arial"/>
                <w:sz w:val="36"/>
                <w:szCs w:val="36"/>
                <w:lang w:eastAsia="en-GB"/>
              </w:rPr>
            </w:pPr>
          </w:p>
        </w:tc>
        <w:tc>
          <w:tcPr>
            <w:tcW w:w="2551"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41163EEA" w14:textId="77777777" w:rsidR="00DA7139" w:rsidRPr="00DA7139" w:rsidRDefault="00DA7139" w:rsidP="00DA7139">
            <w:pPr>
              <w:spacing w:after="0" w:line="240" w:lineRule="auto"/>
              <w:jc w:val="right"/>
              <w:rPr>
                <w:rFonts w:ascii="Arial" w:eastAsia="Times New Roman" w:hAnsi="Arial" w:cs="Arial"/>
                <w:sz w:val="36"/>
                <w:szCs w:val="36"/>
                <w:lang w:eastAsia="en-GB"/>
              </w:rPr>
            </w:pPr>
            <w:r w:rsidRPr="00DA7139">
              <w:rPr>
                <w:rFonts w:asciiTheme="minorHAnsi" w:eastAsia="Times New Roman" w:hAnsi="Franklin Gothic Book" w:cs="Arial"/>
                <w:b/>
                <w:bCs/>
                <w:color w:val="000000" w:themeColor="dark1"/>
                <w:kern w:val="24"/>
                <w:sz w:val="20"/>
                <w:szCs w:val="20"/>
                <w:lang w:val="es-ES" w:eastAsia="en-GB"/>
              </w:rPr>
              <w:t>Promedio nacional (MXN/MHz</w:t>
            </w:r>
          </w:p>
        </w:tc>
        <w:tc>
          <w:tcPr>
            <w:tcW w:w="5437" w:type="dxa"/>
            <w:gridSpan w:val="4"/>
            <w:tcBorders>
              <w:top w:val="single" w:sz="8" w:space="0" w:color="FFFFFF"/>
              <w:left w:val="single" w:sz="8" w:space="0" w:color="FFFFFF"/>
              <w:bottom w:val="single" w:sz="8" w:space="0" w:color="FFFFFF"/>
              <w:right w:val="single" w:sz="8" w:space="0" w:color="FFFFFF"/>
            </w:tcBorders>
            <w:shd w:val="clear" w:color="auto" w:fill="D9D9D9"/>
            <w:tcMar>
              <w:top w:w="100" w:type="dxa"/>
              <w:left w:w="140" w:type="dxa"/>
              <w:bottom w:w="80" w:type="dxa"/>
              <w:right w:w="140" w:type="dxa"/>
            </w:tcMar>
            <w:vAlign w:val="center"/>
            <w:hideMark/>
          </w:tcPr>
          <w:p w14:paraId="0D7860E4" w14:textId="77777777" w:rsidR="00DA7139" w:rsidRPr="00DA7139" w:rsidRDefault="00DA7139" w:rsidP="00DA7139">
            <w:pPr>
              <w:spacing w:after="0" w:line="240" w:lineRule="auto"/>
              <w:jc w:val="left"/>
              <w:textAlignment w:val="center"/>
              <w:rPr>
                <w:rFonts w:ascii="Arial" w:eastAsia="Times New Roman" w:hAnsi="Arial" w:cs="Arial"/>
                <w:sz w:val="36"/>
                <w:szCs w:val="36"/>
                <w:lang w:eastAsia="en-GB"/>
              </w:rPr>
            </w:pPr>
            <w:r w:rsidRPr="00DA7139">
              <w:rPr>
                <w:rFonts w:asciiTheme="minorHAnsi" w:eastAsiaTheme="minorEastAsia" w:hAnsi="Franklin Gothic Book"/>
                <w:b/>
                <w:bCs/>
                <w:color w:val="000000" w:themeColor="text1"/>
                <w:kern w:val="24"/>
                <w:sz w:val="20"/>
                <w:szCs w:val="20"/>
                <w:lang w:val="es-ES" w:eastAsia="en-GB"/>
              </w:rPr>
              <w:t>31 177 063</w:t>
            </w:r>
          </w:p>
        </w:tc>
      </w:tr>
    </w:tbl>
    <w:p w14:paraId="471E74C9" w14:textId="18B21DB9" w:rsidR="00A214F2" w:rsidRPr="0047708C" w:rsidRDefault="00A214F2" w:rsidP="0047708C"/>
    <w:p w14:paraId="00079D13" w14:textId="6F81F137" w:rsidR="00792C35" w:rsidRDefault="00792C35" w:rsidP="00792C35">
      <w:pPr>
        <w:pStyle w:val="Ttulo3"/>
        <w:rPr>
          <w:lang w:val="es-ES_tradnl"/>
        </w:rPr>
      </w:pPr>
      <w:r>
        <w:rPr>
          <w:lang w:val="es-ES_tradnl"/>
        </w:rPr>
        <w:t>CCPP</w:t>
      </w:r>
    </w:p>
    <w:p w14:paraId="740DE47C" w14:textId="0BA800A7" w:rsidR="00C85B9C" w:rsidRDefault="007B6E8A" w:rsidP="00792C35">
      <w:pPr>
        <w:rPr>
          <w:lang w:val="es-ES_tradnl"/>
        </w:rPr>
      </w:pPr>
      <w:r>
        <w:rPr>
          <w:lang w:val="es-ES"/>
        </w:rPr>
        <w:t>Para asegurar un</w:t>
      </w:r>
      <w:r w:rsidR="007F334C" w:rsidRPr="00BC52BF">
        <w:rPr>
          <w:lang w:val="es-ES"/>
        </w:rPr>
        <w:t xml:space="preserve"> retorno razonable sobre los activos, </w:t>
      </w:r>
      <w:r w:rsidR="002C5922">
        <w:rPr>
          <w:lang w:val="es-ES"/>
        </w:rPr>
        <w:t>t</w:t>
      </w:r>
      <w:r w:rsidR="00C85B9C">
        <w:rPr>
          <w:lang w:val="es-ES_tradnl"/>
        </w:rPr>
        <w:t xml:space="preserve">anto el modelo fijo como el móvil emplean un </w:t>
      </w:r>
      <w:r w:rsidR="00E34844">
        <w:rPr>
          <w:lang w:val="es-ES"/>
        </w:rPr>
        <w:t>costo de capital promedio ponderado (CCPP)</w:t>
      </w:r>
      <w:r w:rsidR="00C85B9C">
        <w:rPr>
          <w:lang w:val="es-ES_tradnl"/>
        </w:rPr>
        <w:t>.</w:t>
      </w:r>
      <w:r w:rsidR="00D86A99">
        <w:rPr>
          <w:lang w:val="es-ES_tradnl"/>
        </w:rPr>
        <w:t xml:space="preserve"> La </w:t>
      </w:r>
      <w:r w:rsidR="00DC0496">
        <w:rPr>
          <w:lang w:val="es-ES_tradnl"/>
        </w:rPr>
        <w:t xml:space="preserve">metodología </w:t>
      </w:r>
      <w:r w:rsidR="00822DFB">
        <w:rPr>
          <w:lang w:val="es-ES_tradnl"/>
        </w:rPr>
        <w:t>cálculo del CCPP</w:t>
      </w:r>
      <w:r w:rsidR="00107536">
        <w:rPr>
          <w:lang w:val="es-ES_tradnl"/>
        </w:rPr>
        <w:t xml:space="preserve"> </w:t>
      </w:r>
      <w:r w:rsidR="00822DFB">
        <w:rPr>
          <w:lang w:val="es-ES_tradnl"/>
        </w:rPr>
        <w:t>se explica</w:t>
      </w:r>
      <w:r w:rsidR="003459F2">
        <w:rPr>
          <w:lang w:val="es-ES_tradnl"/>
        </w:rPr>
        <w:t xml:space="preserve"> </w:t>
      </w:r>
      <w:r w:rsidR="00FB684B">
        <w:rPr>
          <w:lang w:val="es-ES_tradnl"/>
        </w:rPr>
        <w:t xml:space="preserve">en detalle </w:t>
      </w:r>
      <w:r w:rsidR="003459F2">
        <w:rPr>
          <w:lang w:val="es-ES_tradnl"/>
        </w:rPr>
        <w:t xml:space="preserve">en el documento </w:t>
      </w:r>
      <w:r w:rsidR="006B6598">
        <w:rPr>
          <w:lang w:val="es-ES_tradnl"/>
        </w:rPr>
        <w:t>“Metodología del CCPP”</w:t>
      </w:r>
      <w:r w:rsidR="00FB684B">
        <w:rPr>
          <w:lang w:val="es-ES_tradnl"/>
        </w:rPr>
        <w:t xml:space="preserve">. </w:t>
      </w:r>
    </w:p>
    <w:p w14:paraId="4BB6522A" w14:textId="1D6D4B2C" w:rsidR="00313913" w:rsidRDefault="003752F1" w:rsidP="00313913">
      <w:pPr>
        <w:pStyle w:val="Ttulo3"/>
        <w:rPr>
          <w:lang w:val="es-ES_tradnl"/>
        </w:rPr>
      </w:pPr>
      <w:r>
        <w:rPr>
          <w:lang w:val="es-ES_tradnl"/>
        </w:rPr>
        <w:lastRenderedPageBreak/>
        <w:t>Radio de celda</w:t>
      </w:r>
    </w:p>
    <w:p w14:paraId="7C6B905E" w14:textId="31868580" w:rsidR="00871A46" w:rsidRDefault="00EF1575" w:rsidP="00871A46">
      <w:pPr>
        <w:rPr>
          <w:lang w:val="es-ES"/>
        </w:rPr>
      </w:pPr>
      <w:r>
        <w:rPr>
          <w:lang w:val="es-ES"/>
        </w:rPr>
        <w:t>En el modelo móvil, e</w:t>
      </w:r>
      <w:r w:rsidR="00871A46" w:rsidRPr="00871A46">
        <w:rPr>
          <w:lang w:val="es-ES"/>
        </w:rPr>
        <w:t>l número de sitios de cobertura viene determinado por el área cubierta por cada celda</w:t>
      </w:r>
      <w:r>
        <w:rPr>
          <w:lang w:val="es-ES"/>
        </w:rPr>
        <w:t xml:space="preserve">, </w:t>
      </w:r>
      <w:r w:rsidR="00871A46" w:rsidRPr="00871A46">
        <w:rPr>
          <w:lang w:val="es-ES"/>
        </w:rPr>
        <w:t>esta depende del radio teórico</w:t>
      </w:r>
      <w:r>
        <w:rPr>
          <w:lang w:val="es-ES"/>
        </w:rPr>
        <w:t>,</w:t>
      </w:r>
      <w:r w:rsidR="00871A46" w:rsidRPr="00871A46">
        <w:rPr>
          <w:lang w:val="es-ES"/>
        </w:rPr>
        <w:t xml:space="preserve"> que se determina mediante un proceso de calibración de un operador existente</w:t>
      </w:r>
      <w:r>
        <w:rPr>
          <w:lang w:val="es-ES"/>
        </w:rPr>
        <w:t>,</w:t>
      </w:r>
      <w:r w:rsidR="00871A46" w:rsidRPr="00871A46">
        <w:rPr>
          <w:lang w:val="es-ES"/>
        </w:rPr>
        <w:t xml:space="preserve"> </w:t>
      </w:r>
      <w:r>
        <w:rPr>
          <w:lang w:val="es-ES"/>
        </w:rPr>
        <w:t xml:space="preserve">y </w:t>
      </w:r>
      <w:r w:rsidR="00871A46" w:rsidRPr="00871A46">
        <w:rPr>
          <w:lang w:val="es-ES"/>
        </w:rPr>
        <w:t>de un factor de ajuste por el posicionamiento imperfecto de las celdas en las áreas de cobertura</w:t>
      </w:r>
      <w:r>
        <w:rPr>
          <w:lang w:val="es-ES"/>
        </w:rPr>
        <w:t>.</w:t>
      </w:r>
    </w:p>
    <w:p w14:paraId="206711CF" w14:textId="0C2ED9F0" w:rsidR="003752F1" w:rsidRDefault="003752F1" w:rsidP="003752F1">
      <w:pPr>
        <w:rPr>
          <w:lang w:val="es-ES"/>
        </w:rPr>
      </w:pPr>
      <w:r>
        <w:rPr>
          <w:lang w:val="es-ES"/>
        </w:rPr>
        <w:t>A continuación, se muestra el radio teórico de las celdas en cada geotipo:</w:t>
      </w:r>
    </w:p>
    <w:p w14:paraId="2D22F124" w14:textId="0316CDBA" w:rsidR="003752F1" w:rsidRPr="00D5435C" w:rsidRDefault="003752F1" w:rsidP="003752F1">
      <w:pPr>
        <w:pStyle w:val="Descripcin"/>
        <w:rPr>
          <w:lang w:val="es-ES"/>
        </w:rPr>
      </w:pPr>
      <w:bookmarkStart w:id="46" w:name="_Ref135845153"/>
      <w:r w:rsidRPr="00D5435C">
        <w:rPr>
          <w:lang w:val="es-ES"/>
        </w:rPr>
        <w:t xml:space="preserve">Figura </w:t>
      </w:r>
      <w:r>
        <w:rPr>
          <w:lang w:val="es-ES"/>
        </w:rPr>
        <w:fldChar w:fldCharType="begin"/>
      </w:r>
      <w:r w:rsidRPr="00D5435C">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D5435C">
        <w:rPr>
          <w:lang w:val="es-ES"/>
        </w:rPr>
        <w:t>.</w:t>
      </w:r>
      <w:r>
        <w:rPr>
          <w:lang w:val="es-ES"/>
        </w:rPr>
        <w:fldChar w:fldCharType="begin"/>
      </w:r>
      <w:r w:rsidRPr="00D5435C">
        <w:rPr>
          <w:lang w:val="es-ES"/>
        </w:rPr>
        <w:instrText xml:space="preserve"> SEQ Ilustración \* ARABIC \s 1 \* MERGEFORMAT </w:instrText>
      </w:r>
      <w:r>
        <w:rPr>
          <w:lang w:val="es-ES"/>
        </w:rPr>
        <w:fldChar w:fldCharType="separate"/>
      </w:r>
      <w:r w:rsidR="00020F8B">
        <w:rPr>
          <w:noProof/>
          <w:lang w:val="es-ES"/>
        </w:rPr>
        <w:t>39</w:t>
      </w:r>
      <w:r>
        <w:rPr>
          <w:lang w:val="es-ES"/>
        </w:rPr>
        <w:fldChar w:fldCharType="end"/>
      </w:r>
      <w:bookmarkEnd w:id="46"/>
      <w:r w:rsidRPr="00D5435C">
        <w:rPr>
          <w:lang w:val="es-ES"/>
        </w:rPr>
        <w:t xml:space="preserve">: </w:t>
      </w:r>
      <w:r w:rsidRPr="00964C88">
        <w:rPr>
          <w:lang w:val="es-ES"/>
        </w:rPr>
        <w:t xml:space="preserve">Radio teórico de las celdas (kilómetros) </w:t>
      </w:r>
      <w:r w:rsidRPr="00D5435C">
        <w:rPr>
          <w:lang w:val="es-ES"/>
        </w:rPr>
        <w:t>[Fuente: Analysys Mason, 2023]</w:t>
      </w:r>
    </w:p>
    <w:p w14:paraId="3089BBBC" w14:textId="08B6E2A6" w:rsidR="003752F1" w:rsidRDefault="004C27D7" w:rsidP="003752F1">
      <w:pPr>
        <w:pStyle w:val="Border"/>
        <w:rPr>
          <w:lang w:val="es-ES"/>
        </w:rPr>
      </w:pPr>
      <w:r w:rsidRPr="004C27D7">
        <w:rPr>
          <w:noProof/>
        </w:rPr>
        <w:drawing>
          <wp:inline distT="0" distB="0" distL="0" distR="0" wp14:anchorId="178D5A2C" wp14:editId="304EC74D">
            <wp:extent cx="5176520" cy="3951605"/>
            <wp:effectExtent l="0" t="0" r="0" b="0"/>
            <wp:docPr id="1143113685" name="Picture 114311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76520" cy="3951605"/>
                    </a:xfrm>
                    <a:prstGeom prst="rect">
                      <a:avLst/>
                    </a:prstGeom>
                    <a:noFill/>
                    <a:ln>
                      <a:noFill/>
                    </a:ln>
                  </pic:spPr>
                </pic:pic>
              </a:graphicData>
            </a:graphic>
          </wp:inline>
        </w:drawing>
      </w:r>
    </w:p>
    <w:p w14:paraId="4A2AC17F" w14:textId="015FE819" w:rsidR="004C70C8" w:rsidRDefault="004C70C8" w:rsidP="004C70C8">
      <w:pPr>
        <w:pStyle w:val="Ttulo3"/>
        <w:rPr>
          <w:lang w:val="es-ES_tradnl"/>
        </w:rPr>
      </w:pPr>
      <w:r>
        <w:rPr>
          <w:lang w:val="es-ES_tradnl"/>
        </w:rPr>
        <w:t>Factores de enrutamiento</w:t>
      </w:r>
    </w:p>
    <w:p w14:paraId="23F65DCE" w14:textId="21C3171F" w:rsidR="004C70C8" w:rsidRPr="003F6B68" w:rsidRDefault="00B0696B" w:rsidP="003F6B68">
      <w:pPr>
        <w:rPr>
          <w:lang w:val="es-ES_tradnl"/>
        </w:rPr>
      </w:pPr>
      <w:r>
        <w:rPr>
          <w:lang w:val="es-ES_tradnl"/>
        </w:rPr>
        <w:t xml:space="preserve">Los factores de enrutamiento </w:t>
      </w:r>
      <w:r w:rsidR="0039582A">
        <w:rPr>
          <w:lang w:val="es-ES_tradnl"/>
        </w:rPr>
        <w:t>permiten</w:t>
      </w:r>
      <w:r w:rsidR="001568E1">
        <w:rPr>
          <w:lang w:val="es-ES_tradnl"/>
        </w:rPr>
        <w:t xml:space="preserve"> relacionar los elementos de la red con los servicios. Concretamente, u</w:t>
      </w:r>
      <w:r w:rsidR="00F72F14">
        <w:rPr>
          <w:lang w:val="es-ES_tradnl"/>
        </w:rPr>
        <w:t>n factor de enrutamiento concreto</w:t>
      </w:r>
      <w:r w:rsidR="00186FE1">
        <w:rPr>
          <w:lang w:val="es-ES_tradnl"/>
        </w:rPr>
        <w:t xml:space="preserve"> </w:t>
      </w:r>
      <w:r w:rsidR="001568E1">
        <w:rPr>
          <w:lang w:val="es-ES_tradnl"/>
        </w:rPr>
        <w:t>medirá</w:t>
      </w:r>
      <w:r w:rsidR="003F6B68">
        <w:rPr>
          <w:lang w:val="es-ES_tradnl"/>
        </w:rPr>
        <w:t xml:space="preserve"> </w:t>
      </w:r>
      <w:r w:rsidR="00186FE1">
        <w:rPr>
          <w:lang w:val="es-ES_tradnl"/>
        </w:rPr>
        <w:t xml:space="preserve">el número de veces que un servicio </w:t>
      </w:r>
      <w:r w:rsidR="001568E1">
        <w:rPr>
          <w:lang w:val="es-ES_tradnl"/>
        </w:rPr>
        <w:t xml:space="preserve">particular </w:t>
      </w:r>
      <w:r w:rsidR="00186FE1">
        <w:rPr>
          <w:lang w:val="es-ES_tradnl"/>
        </w:rPr>
        <w:t xml:space="preserve">hace uso </w:t>
      </w:r>
      <w:r w:rsidR="00264458">
        <w:rPr>
          <w:lang w:val="es-ES_tradnl"/>
        </w:rPr>
        <w:t>un elemento de red</w:t>
      </w:r>
      <w:r w:rsidR="00186FE1">
        <w:rPr>
          <w:lang w:val="es-ES_tradnl"/>
        </w:rPr>
        <w:t>, por cada unidad de tr</w:t>
      </w:r>
      <w:r w:rsidR="003F6B68">
        <w:rPr>
          <w:lang w:val="es-ES_tradnl"/>
        </w:rPr>
        <w:t>á</w:t>
      </w:r>
      <w:r w:rsidR="00186FE1">
        <w:rPr>
          <w:lang w:val="es-ES_tradnl"/>
        </w:rPr>
        <w:t>fico</w:t>
      </w:r>
      <w:r w:rsidR="00E36F1E">
        <w:rPr>
          <w:lang w:val="es-ES_tradnl"/>
        </w:rPr>
        <w:t xml:space="preserve"> del servicio</w:t>
      </w:r>
      <w:r w:rsidR="00186FE1">
        <w:rPr>
          <w:lang w:val="es-ES_tradnl"/>
        </w:rPr>
        <w:t>.</w:t>
      </w:r>
      <w:r w:rsidR="001568E1" w:rsidRPr="001568E1">
        <w:rPr>
          <w:lang w:val="es-ES_tradnl"/>
        </w:rPr>
        <w:t xml:space="preserve"> </w:t>
      </w:r>
      <w:r w:rsidR="003F6B68">
        <w:rPr>
          <w:lang w:val="es-ES_tradnl"/>
        </w:rPr>
        <w:t xml:space="preserve">Por ejemplo, a </w:t>
      </w:r>
      <w:r w:rsidR="00B51096">
        <w:rPr>
          <w:lang w:val="es-ES_tradnl"/>
        </w:rPr>
        <w:t>continuación</w:t>
      </w:r>
      <w:r w:rsidR="003F6B68">
        <w:rPr>
          <w:lang w:val="es-ES_tradnl"/>
        </w:rPr>
        <w:t xml:space="preserve"> presentamos una tabla simplificada de </w:t>
      </w:r>
      <w:r w:rsidR="00B51096">
        <w:rPr>
          <w:lang w:val="es-ES_tradnl"/>
        </w:rPr>
        <w:t>algunos</w:t>
      </w:r>
      <w:r w:rsidR="003F6B68">
        <w:rPr>
          <w:lang w:val="es-ES_tradnl"/>
        </w:rPr>
        <w:t xml:space="preserve"> factores de enrutamiento </w:t>
      </w:r>
      <w:r w:rsidR="00B51096">
        <w:rPr>
          <w:lang w:val="es-ES_tradnl"/>
        </w:rPr>
        <w:t xml:space="preserve">entre </w:t>
      </w:r>
      <w:r w:rsidR="003F6B68">
        <w:rPr>
          <w:lang w:val="es-ES_tradnl"/>
        </w:rPr>
        <w:t xml:space="preserve">servicios de voz </w:t>
      </w:r>
      <w:r w:rsidR="002A48B4">
        <w:rPr>
          <w:lang w:val="es-ES_tradnl"/>
        </w:rPr>
        <w:t xml:space="preserve">y </w:t>
      </w:r>
      <w:r w:rsidR="00F90D4E">
        <w:rPr>
          <w:lang w:val="es-ES_tradnl"/>
        </w:rPr>
        <w:t>elementos de red</w:t>
      </w:r>
      <w:r w:rsidR="002A48B4">
        <w:rPr>
          <w:lang w:val="es-ES_tradnl"/>
        </w:rPr>
        <w:t>:</w:t>
      </w:r>
    </w:p>
    <w:p w14:paraId="3D7965CD" w14:textId="1072B109" w:rsidR="004C70C8" w:rsidRPr="00D5435C" w:rsidRDefault="004C70C8" w:rsidP="004C70C8">
      <w:pPr>
        <w:pStyle w:val="Descripcin"/>
        <w:rPr>
          <w:lang w:val="es-ES"/>
        </w:rPr>
      </w:pPr>
      <w:r w:rsidRPr="00D5435C">
        <w:rPr>
          <w:lang w:val="es-ES"/>
        </w:rPr>
        <w:t xml:space="preserve">Figura </w:t>
      </w:r>
      <w:r>
        <w:rPr>
          <w:lang w:val="es-ES"/>
        </w:rPr>
        <w:fldChar w:fldCharType="begin"/>
      </w:r>
      <w:r w:rsidRPr="00D5435C">
        <w:rPr>
          <w:lang w:val="es-ES"/>
        </w:rPr>
        <w:instrText xml:space="preserve"> STYLEREF 1 \s \* MERGEFORMAT </w:instrText>
      </w:r>
      <w:r>
        <w:rPr>
          <w:lang w:val="es-ES"/>
        </w:rPr>
        <w:fldChar w:fldCharType="separate"/>
      </w:r>
      <w:r w:rsidR="00020F8B">
        <w:rPr>
          <w:noProof/>
          <w:lang w:val="es-ES"/>
        </w:rPr>
        <w:t>3</w:t>
      </w:r>
      <w:r>
        <w:rPr>
          <w:lang w:val="es-ES"/>
        </w:rPr>
        <w:fldChar w:fldCharType="end"/>
      </w:r>
      <w:r w:rsidRPr="00D5435C">
        <w:rPr>
          <w:lang w:val="es-ES"/>
        </w:rPr>
        <w:t>.</w:t>
      </w:r>
      <w:r>
        <w:rPr>
          <w:lang w:val="es-ES"/>
        </w:rPr>
        <w:fldChar w:fldCharType="begin"/>
      </w:r>
      <w:r w:rsidRPr="00D5435C">
        <w:rPr>
          <w:lang w:val="es-ES"/>
        </w:rPr>
        <w:instrText xml:space="preserve"> SEQ Ilustración \* ARABIC \s 1 \* MERGEFORMAT </w:instrText>
      </w:r>
      <w:r>
        <w:rPr>
          <w:lang w:val="es-ES"/>
        </w:rPr>
        <w:fldChar w:fldCharType="separate"/>
      </w:r>
      <w:r w:rsidR="00020F8B">
        <w:rPr>
          <w:noProof/>
          <w:lang w:val="es-ES"/>
        </w:rPr>
        <w:t>40</w:t>
      </w:r>
      <w:r>
        <w:rPr>
          <w:lang w:val="es-ES"/>
        </w:rPr>
        <w:fldChar w:fldCharType="end"/>
      </w:r>
      <w:r w:rsidRPr="00D5435C">
        <w:rPr>
          <w:lang w:val="es-ES"/>
        </w:rPr>
        <w:t xml:space="preserve">: </w:t>
      </w:r>
      <w:r w:rsidR="00B73122">
        <w:rPr>
          <w:lang w:val="es-ES"/>
        </w:rPr>
        <w:t>T</w:t>
      </w:r>
      <w:r w:rsidR="00F90D4E">
        <w:rPr>
          <w:lang w:val="es-ES"/>
        </w:rPr>
        <w:t>abla ilustrativa de factores de enrutamiento</w:t>
      </w:r>
      <w:r w:rsidRPr="00D5435C">
        <w:rPr>
          <w:lang w:val="es-ES"/>
        </w:rPr>
        <w:t xml:space="preserve"> [Fuente: Analysys Mason, 2023]</w:t>
      </w:r>
    </w:p>
    <w:tbl>
      <w:tblPr>
        <w:tblStyle w:val="Sombreadomedio2-nfasis1"/>
        <w:tblW w:w="8721" w:type="dxa"/>
        <w:tblInd w:w="-10" w:type="dxa"/>
        <w:tblBorders>
          <w:top w:val="single" w:sz="4" w:space="0" w:color="FFFFFF"/>
          <w:insideH w:val="single" w:sz="4" w:space="0" w:color="FFFFFF"/>
          <w:insideV w:val="single" w:sz="4" w:space="0" w:color="FFFFFF"/>
        </w:tblBorders>
        <w:tblLook w:val="0620" w:firstRow="1" w:lastRow="0" w:firstColumn="0" w:lastColumn="0" w:noHBand="1" w:noVBand="1"/>
      </w:tblPr>
      <w:tblGrid>
        <w:gridCol w:w="2180"/>
        <w:gridCol w:w="2180"/>
        <w:gridCol w:w="2180"/>
        <w:gridCol w:w="2181"/>
      </w:tblGrid>
      <w:tr w:rsidR="00EB3D7D" w:rsidRPr="0010115D" w14:paraId="4C573EDC" w14:textId="77777777">
        <w:trPr>
          <w:cnfStyle w:val="100000000000" w:firstRow="1" w:lastRow="0" w:firstColumn="0" w:lastColumn="0" w:oddVBand="0" w:evenVBand="0" w:oddHBand="0" w:evenHBand="0" w:firstRowFirstColumn="0" w:firstRowLastColumn="0" w:lastRowFirstColumn="0" w:lastRowLastColumn="0"/>
          <w:tblHeader/>
        </w:trPr>
        <w:tc>
          <w:tcPr>
            <w:tcW w:w="2180" w:type="dxa"/>
            <w:tcBorders>
              <w:top w:val="single" w:sz="8" w:space="0" w:color="FFFFFF"/>
              <w:left w:val="single" w:sz="8" w:space="0" w:color="FFFFFF"/>
              <w:bottom w:val="single" w:sz="24" w:space="0" w:color="FFFFFF"/>
              <w:right w:val="single" w:sz="8" w:space="0" w:color="FFFFFF"/>
            </w:tcBorders>
          </w:tcPr>
          <w:p w14:paraId="75434BA0" w14:textId="79A64847" w:rsidR="004C70C8" w:rsidRPr="00883EF2" w:rsidRDefault="00B73122">
            <w:pPr>
              <w:pStyle w:val="Tableheading"/>
              <w:rPr>
                <w:rFonts w:cs="Times New Roman"/>
                <w:b/>
              </w:rPr>
            </w:pPr>
            <w:r>
              <w:rPr>
                <w:rFonts w:cs="Times New Roman"/>
                <w:b/>
                <w:bCs w:val="0"/>
                <w:color w:val="FFFFFF" w:themeColor="light1"/>
                <w:kern w:val="24"/>
                <w:szCs w:val="20"/>
                <w:lang w:val="es-ES"/>
              </w:rPr>
              <w:t>Elementos de red</w:t>
            </w:r>
          </w:p>
        </w:tc>
        <w:tc>
          <w:tcPr>
            <w:tcW w:w="2180" w:type="dxa"/>
            <w:tcBorders>
              <w:top w:val="single" w:sz="8" w:space="0" w:color="FFFFFF"/>
              <w:left w:val="single" w:sz="8" w:space="0" w:color="FFFFFF"/>
              <w:bottom w:val="single" w:sz="24" w:space="0" w:color="FFFFFF"/>
              <w:right w:val="single" w:sz="8" w:space="0" w:color="FFFFFF"/>
            </w:tcBorders>
          </w:tcPr>
          <w:p w14:paraId="31B93761" w14:textId="77777777" w:rsidR="004C70C8" w:rsidRPr="00883EF2" w:rsidRDefault="004C70C8">
            <w:pPr>
              <w:pStyle w:val="Tableheading"/>
              <w:jc w:val="right"/>
              <w:rPr>
                <w:rFonts w:cs="Times New Roman"/>
                <w:b/>
              </w:rPr>
            </w:pPr>
            <w:r w:rsidRPr="00883EF2">
              <w:rPr>
                <w:rFonts w:cs="Times New Roman"/>
                <w:b/>
                <w:bCs w:val="0"/>
                <w:color w:val="FFFFFF" w:themeColor="light1"/>
                <w:kern w:val="24"/>
                <w:szCs w:val="20"/>
                <w:lang w:val="es-ES"/>
              </w:rPr>
              <w:t>Llamada</w:t>
            </w:r>
            <w:r w:rsidRPr="00883EF2">
              <w:rPr>
                <w:rFonts w:cs="Times New Roman"/>
                <w:b/>
                <w:bCs w:val="0"/>
                <w:color w:val="FFFFFF" w:themeColor="light1"/>
                <w:kern w:val="24"/>
                <w:szCs w:val="20"/>
                <w:lang w:val="es-ES"/>
              </w:rPr>
              <w:br/>
              <w:t>on-net</w:t>
            </w:r>
          </w:p>
        </w:tc>
        <w:tc>
          <w:tcPr>
            <w:tcW w:w="2180" w:type="dxa"/>
            <w:tcBorders>
              <w:top w:val="single" w:sz="8" w:space="0" w:color="FFFFFF"/>
              <w:left w:val="single" w:sz="8" w:space="0" w:color="FFFFFF"/>
              <w:bottom w:val="single" w:sz="24" w:space="0" w:color="FFFFFF"/>
              <w:right w:val="single" w:sz="8" w:space="0" w:color="FFFFFF"/>
            </w:tcBorders>
          </w:tcPr>
          <w:p w14:paraId="298E60A0" w14:textId="775D1546" w:rsidR="004C70C8" w:rsidRPr="003600C5" w:rsidRDefault="004C70C8">
            <w:pPr>
              <w:pStyle w:val="Tableheading"/>
              <w:jc w:val="right"/>
              <w:rPr>
                <w:rFonts w:cs="Times New Roman"/>
                <w:b/>
                <w:lang w:val="es-ES"/>
              </w:rPr>
            </w:pPr>
            <w:r w:rsidRPr="00883EF2">
              <w:rPr>
                <w:rFonts w:cs="Times New Roman"/>
                <w:b/>
                <w:bCs w:val="0"/>
                <w:color w:val="FFFFFF" w:themeColor="light1"/>
                <w:kern w:val="24"/>
                <w:szCs w:val="20"/>
                <w:lang w:val="es-ES"/>
              </w:rPr>
              <w:t>Llamada</w:t>
            </w:r>
            <w:r w:rsidR="003600C5">
              <w:rPr>
                <w:rFonts w:cs="Times New Roman"/>
                <w:b/>
                <w:bCs w:val="0"/>
                <w:color w:val="FFFFFF" w:themeColor="light1"/>
                <w:kern w:val="24"/>
                <w:szCs w:val="20"/>
                <w:lang w:val="es-ES"/>
              </w:rPr>
              <w:t xml:space="preserve"> off-net</w:t>
            </w:r>
            <w:r w:rsidRPr="00883EF2">
              <w:rPr>
                <w:rFonts w:cs="Times New Roman"/>
                <w:b/>
                <w:bCs w:val="0"/>
                <w:color w:val="FFFFFF" w:themeColor="light1"/>
                <w:kern w:val="24"/>
                <w:szCs w:val="20"/>
                <w:lang w:val="es-ES"/>
              </w:rPr>
              <w:br/>
              <w:t>intra-nodo</w:t>
            </w:r>
          </w:p>
        </w:tc>
        <w:tc>
          <w:tcPr>
            <w:tcW w:w="2181" w:type="dxa"/>
            <w:tcBorders>
              <w:top w:val="single" w:sz="8" w:space="0" w:color="FFFFFF"/>
              <w:left w:val="single" w:sz="8" w:space="0" w:color="FFFFFF"/>
              <w:bottom w:val="single" w:sz="24" w:space="0" w:color="FFFFFF"/>
              <w:right w:val="single" w:sz="8" w:space="0" w:color="FFFFFF"/>
            </w:tcBorders>
          </w:tcPr>
          <w:p w14:paraId="561DB28A" w14:textId="74EEC6E8" w:rsidR="004C70C8" w:rsidRPr="003600C5" w:rsidRDefault="004C70C8">
            <w:pPr>
              <w:pStyle w:val="Tableheading"/>
              <w:jc w:val="right"/>
              <w:rPr>
                <w:rFonts w:cs="Times New Roman"/>
                <w:b/>
                <w:lang w:val="es-ES"/>
              </w:rPr>
            </w:pPr>
            <w:r w:rsidRPr="00883EF2">
              <w:rPr>
                <w:rFonts w:cs="Times New Roman"/>
                <w:b/>
                <w:bCs w:val="0"/>
                <w:color w:val="FFFFFF" w:themeColor="light1"/>
                <w:kern w:val="24"/>
                <w:szCs w:val="20"/>
                <w:lang w:val="es-ES"/>
              </w:rPr>
              <w:t>Llamada</w:t>
            </w:r>
            <w:r w:rsidR="003600C5">
              <w:rPr>
                <w:rFonts w:cs="Times New Roman"/>
                <w:b/>
                <w:bCs w:val="0"/>
                <w:color w:val="FFFFFF" w:themeColor="light1"/>
                <w:kern w:val="24"/>
                <w:szCs w:val="20"/>
                <w:lang w:val="es-ES"/>
              </w:rPr>
              <w:t xml:space="preserve"> off-net</w:t>
            </w:r>
            <w:r w:rsidRPr="00883EF2">
              <w:rPr>
                <w:rFonts w:cs="Times New Roman"/>
                <w:b/>
                <w:bCs w:val="0"/>
                <w:color w:val="FFFFFF" w:themeColor="light1"/>
                <w:kern w:val="24"/>
                <w:szCs w:val="20"/>
                <w:lang w:val="es-ES"/>
              </w:rPr>
              <w:br/>
              <w:t>multi-nodo</w:t>
            </w:r>
          </w:p>
        </w:tc>
      </w:tr>
      <w:tr w:rsidR="004C70C8" w:rsidRPr="00BA0691" w14:paraId="67BB086E" w14:textId="77777777">
        <w:tc>
          <w:tcPr>
            <w:tcW w:w="2180" w:type="dxa"/>
            <w:tcBorders>
              <w:top w:val="single" w:sz="24" w:space="0" w:color="FFFFFF"/>
              <w:left w:val="single" w:sz="8" w:space="0" w:color="FFFFFF"/>
              <w:bottom w:val="single" w:sz="8" w:space="0" w:color="FFFFFF"/>
              <w:right w:val="single" w:sz="8" w:space="0" w:color="FFFFFF"/>
            </w:tcBorders>
            <w:shd w:val="clear" w:color="auto" w:fill="D9D9D9"/>
          </w:tcPr>
          <w:p w14:paraId="4A1358E2" w14:textId="59FF7ACC" w:rsidR="004C70C8" w:rsidRPr="00883EF2" w:rsidRDefault="003600C5">
            <w:pPr>
              <w:pStyle w:val="Tablecells"/>
              <w:rPr>
                <w:rFonts w:cs="Times New Roman"/>
              </w:rPr>
            </w:pPr>
            <w:r>
              <w:rPr>
                <w:rFonts w:cs="Times New Roman"/>
                <w:color w:val="000000" w:themeColor="text1"/>
                <w:kern w:val="24"/>
                <w:szCs w:val="20"/>
                <w:lang w:val="es-ES"/>
              </w:rPr>
              <w:t xml:space="preserve">Red de </w:t>
            </w:r>
            <w:r w:rsidR="00E0228E">
              <w:rPr>
                <w:rFonts w:cs="Times New Roman"/>
                <w:color w:val="000000" w:themeColor="text1"/>
                <w:kern w:val="24"/>
                <w:szCs w:val="20"/>
                <w:lang w:val="es-ES"/>
              </w:rPr>
              <w:t>agregación</w:t>
            </w:r>
          </w:p>
        </w:tc>
        <w:tc>
          <w:tcPr>
            <w:tcW w:w="2180" w:type="dxa"/>
            <w:tcBorders>
              <w:top w:val="single" w:sz="24" w:space="0" w:color="FFFFFF"/>
              <w:left w:val="single" w:sz="8" w:space="0" w:color="FFFFFF"/>
              <w:bottom w:val="single" w:sz="8" w:space="0" w:color="FFFFFF"/>
              <w:right w:val="single" w:sz="8" w:space="0" w:color="FFFFFF"/>
            </w:tcBorders>
            <w:shd w:val="clear" w:color="auto" w:fill="D9D9D9"/>
          </w:tcPr>
          <w:p w14:paraId="6345C392"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2</w:t>
            </w:r>
          </w:p>
        </w:tc>
        <w:tc>
          <w:tcPr>
            <w:tcW w:w="2180" w:type="dxa"/>
            <w:tcBorders>
              <w:top w:val="single" w:sz="24" w:space="0" w:color="FFFFFF"/>
              <w:left w:val="single" w:sz="8" w:space="0" w:color="FFFFFF"/>
              <w:bottom w:val="single" w:sz="8" w:space="0" w:color="FFFFFF"/>
              <w:right w:val="single" w:sz="8" w:space="0" w:color="FFFFFF"/>
            </w:tcBorders>
            <w:shd w:val="clear" w:color="auto" w:fill="D9D9D9"/>
          </w:tcPr>
          <w:p w14:paraId="066CA058"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1</w:t>
            </w:r>
          </w:p>
        </w:tc>
        <w:tc>
          <w:tcPr>
            <w:tcW w:w="2181" w:type="dxa"/>
            <w:tcBorders>
              <w:top w:val="single" w:sz="24" w:space="0" w:color="FFFFFF"/>
              <w:left w:val="single" w:sz="8" w:space="0" w:color="FFFFFF"/>
              <w:bottom w:val="single" w:sz="8" w:space="0" w:color="FFFFFF"/>
              <w:right w:val="single" w:sz="8" w:space="0" w:color="FFFFFF"/>
            </w:tcBorders>
            <w:shd w:val="clear" w:color="auto" w:fill="D9D9D9"/>
          </w:tcPr>
          <w:p w14:paraId="104FFD74"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1</w:t>
            </w:r>
          </w:p>
        </w:tc>
      </w:tr>
      <w:tr w:rsidR="00EB3D7D" w:rsidRPr="00BA0691" w14:paraId="722DF205" w14:textId="77777777">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0D3F5422" w14:textId="09224623" w:rsidR="004C70C8" w:rsidRPr="00883EF2" w:rsidRDefault="003600C5">
            <w:pPr>
              <w:pStyle w:val="Tablecells"/>
              <w:rPr>
                <w:rFonts w:cs="Times New Roman"/>
              </w:rPr>
            </w:pPr>
            <w:r>
              <w:rPr>
                <w:rFonts w:cs="Times New Roman"/>
              </w:rPr>
              <w:lastRenderedPageBreak/>
              <w:t>Red de backbone</w:t>
            </w:r>
          </w:p>
        </w:tc>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518B4C9B" w14:textId="4B7F4838" w:rsidR="004C70C8" w:rsidRPr="00883EF2" w:rsidRDefault="00083660">
            <w:pPr>
              <w:pStyle w:val="Tablecells"/>
              <w:jc w:val="right"/>
              <w:rPr>
                <w:rFonts w:cs="Times New Roman"/>
              </w:rPr>
            </w:pPr>
            <w:r>
              <w:rPr>
                <w:rFonts w:eastAsiaTheme="minorEastAsia" w:cs="Times New Roman"/>
                <w:color w:val="000000" w:themeColor="text1"/>
                <w:kern w:val="24"/>
                <w:szCs w:val="20"/>
                <w:lang w:val="en-US"/>
              </w:rPr>
              <w:t>1</w:t>
            </w:r>
          </w:p>
        </w:tc>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6806AF3F" w14:textId="2908446C" w:rsidR="004C70C8" w:rsidRPr="00883EF2" w:rsidRDefault="00B73122">
            <w:pPr>
              <w:pStyle w:val="Tablecells"/>
              <w:jc w:val="right"/>
              <w:rPr>
                <w:rFonts w:cs="Times New Roman"/>
              </w:rPr>
            </w:pPr>
            <w:r w:rsidRPr="00883EF2">
              <w:rPr>
                <w:rFonts w:eastAsiaTheme="minorEastAsia" w:cs="Times New Roman"/>
                <w:color w:val="000000" w:themeColor="text1"/>
                <w:kern w:val="24"/>
                <w:szCs w:val="20"/>
                <w:lang w:val="es-ES"/>
              </w:rPr>
              <w:t>-</w:t>
            </w:r>
          </w:p>
        </w:tc>
        <w:tc>
          <w:tcPr>
            <w:tcW w:w="2181" w:type="dxa"/>
            <w:tcBorders>
              <w:top w:val="single" w:sz="8" w:space="0" w:color="FFFFFF"/>
              <w:left w:val="single" w:sz="8" w:space="0" w:color="FFFFFF"/>
              <w:bottom w:val="single" w:sz="8" w:space="0" w:color="FFFFFF"/>
              <w:right w:val="single" w:sz="8" w:space="0" w:color="FFFFFF"/>
            </w:tcBorders>
            <w:shd w:val="clear" w:color="auto" w:fill="D9D9D9"/>
          </w:tcPr>
          <w:p w14:paraId="637DF507"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1</w:t>
            </w:r>
          </w:p>
        </w:tc>
      </w:tr>
      <w:tr w:rsidR="00EB3D7D" w:rsidRPr="00BA0691" w14:paraId="47E05BB8" w14:textId="77777777">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3A8DF853" w14:textId="04A827D3" w:rsidR="004C70C8" w:rsidRPr="00B73122" w:rsidRDefault="00B73122">
            <w:pPr>
              <w:pStyle w:val="Tablecells"/>
              <w:rPr>
                <w:rFonts w:cs="Times New Roman"/>
                <w:lang w:val="pt-PT"/>
              </w:rPr>
            </w:pPr>
            <w:r w:rsidRPr="00B73122">
              <w:rPr>
                <w:rFonts w:cs="Times New Roman"/>
                <w:color w:val="000000" w:themeColor="text1"/>
                <w:kern w:val="24"/>
                <w:szCs w:val="20"/>
                <w:lang w:val="pt-PT"/>
              </w:rPr>
              <w:t>Plataformas de voz de n</w:t>
            </w:r>
            <w:r>
              <w:rPr>
                <w:rFonts w:cs="Times New Roman"/>
                <w:color w:val="000000" w:themeColor="text1"/>
                <w:kern w:val="24"/>
                <w:szCs w:val="20"/>
                <w:lang w:val="pt-PT"/>
              </w:rPr>
              <w:t>úcleo</w:t>
            </w:r>
          </w:p>
        </w:tc>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737C4CB5"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1</w:t>
            </w:r>
          </w:p>
        </w:tc>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0297C3AE"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1</w:t>
            </w:r>
          </w:p>
        </w:tc>
        <w:tc>
          <w:tcPr>
            <w:tcW w:w="2181" w:type="dxa"/>
            <w:tcBorders>
              <w:top w:val="single" w:sz="8" w:space="0" w:color="FFFFFF"/>
              <w:left w:val="single" w:sz="8" w:space="0" w:color="FFFFFF"/>
              <w:bottom w:val="single" w:sz="8" w:space="0" w:color="FFFFFF"/>
              <w:right w:val="single" w:sz="8" w:space="0" w:color="FFFFFF"/>
            </w:tcBorders>
            <w:shd w:val="clear" w:color="auto" w:fill="D9D9D9"/>
          </w:tcPr>
          <w:p w14:paraId="133A8A82"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1</w:t>
            </w:r>
          </w:p>
        </w:tc>
      </w:tr>
      <w:tr w:rsidR="00EB3D7D" w:rsidRPr="00BA0691" w14:paraId="545B12D4" w14:textId="77777777">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2BEA9097" w14:textId="77777777" w:rsidR="004C70C8" w:rsidRPr="00883EF2" w:rsidRDefault="004C70C8">
            <w:pPr>
              <w:pStyle w:val="Tablecells"/>
              <w:rPr>
                <w:rFonts w:cs="Times New Roman"/>
              </w:rPr>
            </w:pPr>
            <w:r w:rsidRPr="00883EF2">
              <w:rPr>
                <w:rFonts w:cs="Times New Roman"/>
                <w:color w:val="000000" w:themeColor="text1"/>
                <w:kern w:val="24"/>
                <w:szCs w:val="20"/>
                <w:lang w:val="es-ES"/>
              </w:rPr>
              <w:t>SBC</w:t>
            </w:r>
          </w:p>
        </w:tc>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60B9B3B1"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w:t>
            </w:r>
          </w:p>
        </w:tc>
        <w:tc>
          <w:tcPr>
            <w:tcW w:w="2180" w:type="dxa"/>
            <w:tcBorders>
              <w:top w:val="single" w:sz="8" w:space="0" w:color="FFFFFF"/>
              <w:left w:val="single" w:sz="8" w:space="0" w:color="FFFFFF"/>
              <w:bottom w:val="single" w:sz="8" w:space="0" w:color="FFFFFF"/>
              <w:right w:val="single" w:sz="8" w:space="0" w:color="FFFFFF"/>
            </w:tcBorders>
            <w:shd w:val="clear" w:color="auto" w:fill="D9D9D9"/>
          </w:tcPr>
          <w:p w14:paraId="4F2F680A"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1</w:t>
            </w:r>
          </w:p>
        </w:tc>
        <w:tc>
          <w:tcPr>
            <w:tcW w:w="2181" w:type="dxa"/>
            <w:tcBorders>
              <w:top w:val="single" w:sz="8" w:space="0" w:color="FFFFFF"/>
              <w:left w:val="single" w:sz="8" w:space="0" w:color="FFFFFF"/>
              <w:bottom w:val="single" w:sz="8" w:space="0" w:color="FFFFFF"/>
              <w:right w:val="single" w:sz="8" w:space="0" w:color="FFFFFF"/>
            </w:tcBorders>
            <w:shd w:val="clear" w:color="auto" w:fill="D9D9D9"/>
          </w:tcPr>
          <w:p w14:paraId="68B72032" w14:textId="77777777" w:rsidR="004C70C8" w:rsidRPr="00883EF2" w:rsidRDefault="004C70C8">
            <w:pPr>
              <w:pStyle w:val="Tablecells"/>
              <w:jc w:val="right"/>
              <w:rPr>
                <w:rFonts w:cs="Times New Roman"/>
              </w:rPr>
            </w:pPr>
            <w:r w:rsidRPr="00883EF2">
              <w:rPr>
                <w:rFonts w:eastAsiaTheme="minorEastAsia" w:cs="Times New Roman"/>
                <w:color w:val="000000" w:themeColor="text1"/>
                <w:kern w:val="24"/>
                <w:szCs w:val="20"/>
                <w:lang w:val="es-ES"/>
              </w:rPr>
              <w:t>1</w:t>
            </w:r>
          </w:p>
        </w:tc>
      </w:tr>
    </w:tbl>
    <w:p w14:paraId="724C9B91" w14:textId="77777777" w:rsidR="004C70C8" w:rsidRDefault="004C70C8" w:rsidP="004C70C8"/>
    <w:p w14:paraId="0F927359" w14:textId="7DFF14CA" w:rsidR="004C70C8" w:rsidRPr="00D44833" w:rsidRDefault="004C70C8" w:rsidP="004C70C8">
      <w:pPr>
        <w:rPr>
          <w:lang w:val="es-ES"/>
        </w:rPr>
      </w:pPr>
      <w:r>
        <w:rPr>
          <w:lang w:val="es-ES"/>
        </w:rPr>
        <w:t xml:space="preserve">Como se aprecia en el ejemplo, cada </w:t>
      </w:r>
      <w:r w:rsidR="00B73122">
        <w:rPr>
          <w:lang w:val="es-ES"/>
        </w:rPr>
        <w:t>elemento</w:t>
      </w:r>
      <w:r>
        <w:rPr>
          <w:lang w:val="es-ES"/>
        </w:rPr>
        <w:t xml:space="preserve"> de la red se asocia mediante los factores de enrutamiento a los distintos servicios, de tal forma que si el factor de enrutamiento es 0 para un activo especifico, quiere decir que ese activo no es necesario para proporcionar el servicio. </w:t>
      </w:r>
      <w:r w:rsidR="00E0228E">
        <w:rPr>
          <w:lang w:val="es-ES"/>
        </w:rPr>
        <w:t>Adicionalmente, algunos servicios harán un mayor uso de la red que otros, para un mismo volumen de tráfico. Por ejemplo, una llamada on-net, hará uso de la red de agregación dos veces (una para cada</w:t>
      </w:r>
      <w:r w:rsidR="00F53B7A">
        <w:rPr>
          <w:lang w:val="es-ES"/>
        </w:rPr>
        <w:t xml:space="preserve"> usuario de la red), mientras que una llamada off-net, solo hará uso de estos equipos una vez, ya que luego la llamada es cursada por la red del operador que termina la llamada.</w:t>
      </w:r>
      <w:r w:rsidR="00E0228E">
        <w:rPr>
          <w:lang w:val="es-ES"/>
        </w:rPr>
        <w:t xml:space="preserve"> </w:t>
      </w:r>
    </w:p>
    <w:p w14:paraId="57D45499" w14:textId="5F9DE291" w:rsidR="00B51096" w:rsidRDefault="00B51096" w:rsidP="00B51096">
      <w:pPr>
        <w:rPr>
          <w:lang w:val="es-ES_tradnl"/>
        </w:rPr>
      </w:pPr>
      <w:r>
        <w:rPr>
          <w:lang w:val="es-ES_tradnl"/>
        </w:rPr>
        <w:t>Los factores de enrutamiento son necesarios para poder estimar el volumen de tráfico total que cursa cada uno de los elementos de la red.</w:t>
      </w:r>
      <w:r w:rsidR="00D61116">
        <w:rPr>
          <w:lang w:val="es-ES_tradnl"/>
        </w:rPr>
        <w:t xml:space="preserve"> No obstante, para poder llevar a cabo esta estimación, antes</w:t>
      </w:r>
      <w:r w:rsidR="002A48B4">
        <w:rPr>
          <w:lang w:val="es-ES_tradnl"/>
        </w:rPr>
        <w:t xml:space="preserve"> es</w:t>
      </w:r>
      <w:r w:rsidR="00D61116">
        <w:rPr>
          <w:lang w:val="es-ES_tradnl"/>
        </w:rPr>
        <w:t xml:space="preserve"> necesario asegurar que los </w:t>
      </w:r>
      <w:r w:rsidR="00C50140">
        <w:rPr>
          <w:lang w:val="es-ES_tradnl"/>
        </w:rPr>
        <w:t>tráficos de los distintos servicios se presentan en</w:t>
      </w:r>
      <w:r w:rsidR="001236D9">
        <w:rPr>
          <w:lang w:val="es-ES_tradnl"/>
        </w:rPr>
        <w:t xml:space="preserve"> una misma unidad (por ejemplo, minutos o Mbps)</w:t>
      </w:r>
      <w:r w:rsidR="00FB6CFC">
        <w:rPr>
          <w:lang w:val="es-ES_tradnl"/>
        </w:rPr>
        <w:t>.</w:t>
      </w:r>
    </w:p>
    <w:p w14:paraId="2B2B4F56" w14:textId="77777777" w:rsidR="003752F1" w:rsidRPr="00B51096" w:rsidRDefault="003752F1" w:rsidP="003752F1">
      <w:pPr>
        <w:rPr>
          <w:lang w:val="es-ES_tradnl"/>
        </w:rPr>
      </w:pPr>
    </w:p>
    <w:p w14:paraId="78C56AC2" w14:textId="733C44C9" w:rsidR="0033706D" w:rsidRDefault="00F9049F" w:rsidP="0033706D">
      <w:pPr>
        <w:pStyle w:val="Ttulo1"/>
        <w:rPr>
          <w:snapToGrid w:val="0"/>
          <w:lang w:val="es-ES_tradnl"/>
        </w:rPr>
      </w:pPr>
      <w:bookmarkStart w:id="47" w:name="_Ref135837200"/>
      <w:bookmarkStart w:id="48" w:name="_Toc136032679"/>
      <w:r>
        <w:rPr>
          <w:snapToGrid w:val="0"/>
          <w:lang w:val="es-ES_tradnl"/>
        </w:rPr>
        <w:lastRenderedPageBreak/>
        <w:t>Dimensionado</w:t>
      </w:r>
      <w:r w:rsidR="0033706D">
        <w:rPr>
          <w:snapToGrid w:val="0"/>
          <w:lang w:val="es-ES_tradnl"/>
        </w:rPr>
        <w:t xml:space="preserve"> </w:t>
      </w:r>
      <w:bookmarkEnd w:id="47"/>
      <w:r>
        <w:rPr>
          <w:snapToGrid w:val="0"/>
          <w:lang w:val="es-ES_tradnl"/>
        </w:rPr>
        <w:t>de las redes modeladas</w:t>
      </w:r>
      <w:bookmarkEnd w:id="48"/>
    </w:p>
    <w:p w14:paraId="5D0F8CF6" w14:textId="3AC9F9A2" w:rsidR="00F9049F" w:rsidRDefault="00F9049F" w:rsidP="00F9049F">
      <w:pPr>
        <w:rPr>
          <w:lang w:val="es-ES_tradnl"/>
        </w:rPr>
      </w:pPr>
      <w:r>
        <w:rPr>
          <w:lang w:val="es-ES_tradnl"/>
        </w:rPr>
        <w:t xml:space="preserve">El objetivo de esta sección es presentar </w:t>
      </w:r>
      <w:r w:rsidR="00BB2169">
        <w:rPr>
          <w:lang w:val="es-ES_tradnl"/>
        </w:rPr>
        <w:t xml:space="preserve">los criterios y algoritmos definidos en el modelo para la determinación del número de elementos de red necesarios para cumplir </w:t>
      </w:r>
      <w:r w:rsidR="007A0EA6">
        <w:rPr>
          <w:lang w:val="es-ES_tradnl"/>
        </w:rPr>
        <w:t>con las restricciones</w:t>
      </w:r>
      <w:r w:rsidR="003359F0">
        <w:rPr>
          <w:lang w:val="es-ES_tradnl"/>
        </w:rPr>
        <w:t xml:space="preserve"> </w:t>
      </w:r>
      <w:r w:rsidR="004E46AA">
        <w:rPr>
          <w:lang w:val="es-ES_tradnl"/>
        </w:rPr>
        <w:t>de cobertura y capacidad</w:t>
      </w:r>
      <w:r w:rsidR="008A5931">
        <w:rPr>
          <w:lang w:val="es-ES_tradnl"/>
        </w:rPr>
        <w:t xml:space="preserve"> a los que se encuentra sujeto el operador modelado.</w:t>
      </w:r>
    </w:p>
    <w:p w14:paraId="46C09928" w14:textId="7E854260" w:rsidR="008A5931" w:rsidRPr="00AA32DD" w:rsidRDefault="00AA32DD" w:rsidP="00F9049F">
      <w:pPr>
        <w:rPr>
          <w:lang w:val="es-ES"/>
        </w:rPr>
      </w:pPr>
      <w:r w:rsidRPr="00AA32DD">
        <w:rPr>
          <w:lang w:val="es-ES"/>
        </w:rPr>
        <w:t>A este respecto, el mo</w:t>
      </w:r>
      <w:r>
        <w:rPr>
          <w:lang w:val="es-ES"/>
        </w:rPr>
        <w:t xml:space="preserve">delo </w:t>
      </w:r>
      <w:r w:rsidR="00F862E2">
        <w:rPr>
          <w:lang w:val="es-ES"/>
        </w:rPr>
        <w:t xml:space="preserve">calcula de manera </w:t>
      </w:r>
      <w:r>
        <w:rPr>
          <w:lang w:val="es-ES"/>
        </w:rPr>
        <w:t>diferencia</w:t>
      </w:r>
      <w:r w:rsidR="00F862E2">
        <w:rPr>
          <w:lang w:val="es-ES"/>
        </w:rPr>
        <w:t>da</w:t>
      </w:r>
      <w:r w:rsidR="007E5055">
        <w:rPr>
          <w:lang w:val="es-ES"/>
        </w:rPr>
        <w:t xml:space="preserve"> </w:t>
      </w:r>
      <w:r w:rsidR="00F862E2">
        <w:rPr>
          <w:lang w:val="es-ES"/>
        </w:rPr>
        <w:t>los elementos de red fija y de red móvil. Las secciones a continuación describen cada una de estas redes en detalle.</w:t>
      </w:r>
    </w:p>
    <w:p w14:paraId="34115D11" w14:textId="78A15701" w:rsidR="009D5393" w:rsidRDefault="00F9049F" w:rsidP="009D5393">
      <w:pPr>
        <w:pStyle w:val="Ttulo2"/>
        <w:rPr>
          <w:lang w:val="es-ES"/>
        </w:rPr>
      </w:pPr>
      <w:bookmarkStart w:id="49" w:name="_Toc136032680"/>
      <w:r>
        <w:rPr>
          <w:lang w:val="es-ES"/>
        </w:rPr>
        <w:t>Dimensionado</w:t>
      </w:r>
      <w:r w:rsidR="00792C35">
        <w:rPr>
          <w:lang w:val="es-ES"/>
        </w:rPr>
        <w:t xml:space="preserve"> de la red fija</w:t>
      </w:r>
      <w:bookmarkEnd w:id="49"/>
    </w:p>
    <w:p w14:paraId="32C8354F" w14:textId="30AA013D" w:rsidR="00792C35" w:rsidRDefault="00792C35" w:rsidP="00FD45F2">
      <w:pPr>
        <w:pStyle w:val="Ttulo3"/>
        <w:rPr>
          <w:lang w:val="es-ES"/>
        </w:rPr>
      </w:pPr>
      <w:r>
        <w:rPr>
          <w:lang w:val="es-ES"/>
        </w:rPr>
        <w:t>Red de acceso fijo</w:t>
      </w:r>
    </w:p>
    <w:p w14:paraId="061663B2" w14:textId="2B8C1D23" w:rsidR="006A424C" w:rsidRDefault="00853D84" w:rsidP="00853D84">
      <w:pPr>
        <w:rPr>
          <w:lang w:val="es-ES"/>
        </w:rPr>
      </w:pPr>
      <w:r>
        <w:rPr>
          <w:lang w:val="es-ES"/>
        </w:rPr>
        <w:t xml:space="preserve">Como se ha explicado en la sección </w:t>
      </w:r>
      <w:r>
        <w:rPr>
          <w:lang w:val="es-ES"/>
        </w:rPr>
        <w:fldChar w:fldCharType="begin"/>
      </w:r>
      <w:r>
        <w:rPr>
          <w:lang w:val="es-ES"/>
        </w:rPr>
        <w:instrText xml:space="preserve"> REF _Ref135406342 \r \h </w:instrText>
      </w:r>
      <w:r>
        <w:rPr>
          <w:lang w:val="es-ES"/>
        </w:rPr>
      </w:r>
      <w:r>
        <w:rPr>
          <w:lang w:val="es-ES"/>
        </w:rPr>
        <w:fldChar w:fldCharType="separate"/>
      </w:r>
      <w:r w:rsidR="00020F8B">
        <w:rPr>
          <w:lang w:val="es-ES"/>
        </w:rPr>
        <w:t>3.2.1</w:t>
      </w:r>
      <w:r>
        <w:rPr>
          <w:lang w:val="es-ES"/>
        </w:rPr>
        <w:fldChar w:fldCharType="end"/>
      </w:r>
      <w:r>
        <w:rPr>
          <w:lang w:val="es-ES"/>
        </w:rPr>
        <w:t>, e</w:t>
      </w:r>
      <w:r w:rsidRPr="001203A3">
        <w:rPr>
          <w:lang w:val="es-ES"/>
        </w:rPr>
        <w:t xml:space="preserve">l modelo </w:t>
      </w:r>
      <w:r>
        <w:rPr>
          <w:lang w:val="es-ES"/>
        </w:rPr>
        <w:t>fijo</w:t>
      </w:r>
      <w:r w:rsidRPr="001203A3">
        <w:rPr>
          <w:lang w:val="es-ES"/>
        </w:rPr>
        <w:t xml:space="preserve"> </w:t>
      </w:r>
      <w:r w:rsidR="008B777D">
        <w:rPr>
          <w:lang w:val="es-ES"/>
        </w:rPr>
        <w:t>dimensiona</w:t>
      </w:r>
      <w:r w:rsidRPr="001203A3">
        <w:rPr>
          <w:lang w:val="es-ES"/>
        </w:rPr>
        <w:t xml:space="preserve"> los elementos de la red de acceso</w:t>
      </w:r>
      <w:r w:rsidR="002A1711">
        <w:rPr>
          <w:lang w:val="es-ES"/>
        </w:rPr>
        <w:t xml:space="preserve"> (</w:t>
      </w:r>
      <w:r w:rsidR="008B777D">
        <w:rPr>
          <w:lang w:val="es-ES"/>
        </w:rPr>
        <w:t xml:space="preserve">por ejemplo, </w:t>
      </w:r>
      <w:r w:rsidR="002A1711">
        <w:rPr>
          <w:lang w:val="es-ES"/>
        </w:rPr>
        <w:t>infraestructura pasiva, cables de cobre y fibra</w:t>
      </w:r>
      <w:r w:rsidR="008B777D">
        <w:rPr>
          <w:lang w:val="es-ES"/>
        </w:rPr>
        <w:t xml:space="preserve">, ODF). Estos activos se calculan en el modelo integral de acceso fijo desarrollado por el IFT. En el caso del presente modelo, </w:t>
      </w:r>
      <w:r w:rsidR="00147A51">
        <w:rPr>
          <w:lang w:val="es-ES"/>
        </w:rPr>
        <w:t xml:space="preserve">el MSAN </w:t>
      </w:r>
      <w:r w:rsidR="002A48B4">
        <w:rPr>
          <w:lang w:val="es-ES"/>
        </w:rPr>
        <w:t xml:space="preserve">es </w:t>
      </w:r>
      <w:r w:rsidR="00147A51">
        <w:rPr>
          <w:lang w:val="es-ES"/>
        </w:rPr>
        <w:t>el punto de demarcación de la red</w:t>
      </w:r>
      <w:r w:rsidR="008B777D">
        <w:rPr>
          <w:lang w:val="es-ES"/>
        </w:rPr>
        <w:t xml:space="preserve"> a partir de la cual se </w:t>
      </w:r>
      <w:r w:rsidR="00A839AE">
        <w:rPr>
          <w:lang w:val="es-ES"/>
        </w:rPr>
        <w:t>dimensionan los activos de la red de los operadores modelados</w:t>
      </w:r>
      <w:r w:rsidR="00147A51">
        <w:rPr>
          <w:lang w:val="es-ES"/>
        </w:rPr>
        <w:t>.</w:t>
      </w:r>
    </w:p>
    <w:p w14:paraId="01B252EA" w14:textId="13EEC379" w:rsidR="00792C35" w:rsidRDefault="00DC7DBC" w:rsidP="00792C35">
      <w:pPr>
        <w:rPr>
          <w:lang w:val="es-ES"/>
        </w:rPr>
      </w:pPr>
      <w:r>
        <w:rPr>
          <w:lang w:val="es-ES"/>
        </w:rPr>
        <w:t xml:space="preserve">En concreto, el modelo dimensiona el número de MSAN necesarios en </w:t>
      </w:r>
      <w:r w:rsidR="0005581D">
        <w:rPr>
          <w:lang w:val="es-ES"/>
        </w:rPr>
        <w:t>los nodos de acceso</w:t>
      </w:r>
      <w:r>
        <w:rPr>
          <w:lang w:val="es-ES"/>
        </w:rPr>
        <w:t>, así como los puertos necesarios para la conectividad con los</w:t>
      </w:r>
      <w:r w:rsidR="001E0684">
        <w:rPr>
          <w:lang w:val="es-ES"/>
        </w:rPr>
        <w:t xml:space="preserve"> agregadores de tráfico presentes en las centrales locales</w:t>
      </w:r>
      <w:r w:rsidR="00032559">
        <w:rPr>
          <w:lang w:val="es-ES"/>
        </w:rPr>
        <w:t>. Para la determinación del número y tamaño de los MSAN, el modelo toma</w:t>
      </w:r>
      <w:r w:rsidR="0050657C">
        <w:rPr>
          <w:lang w:val="es-ES"/>
        </w:rPr>
        <w:t xml:space="preserve"> el</w:t>
      </w:r>
      <w:r w:rsidR="009229AF">
        <w:rPr>
          <w:lang w:val="es-ES"/>
        </w:rPr>
        <w:t xml:space="preserve"> número de líneas asociadas a cada nodo </w:t>
      </w:r>
      <w:r w:rsidR="007C54D9">
        <w:rPr>
          <w:lang w:val="es-ES"/>
        </w:rPr>
        <w:t xml:space="preserve">(desagregado para cada uno de los </w:t>
      </w:r>
      <w:r w:rsidR="007C54D9" w:rsidRPr="007C54D9">
        <w:rPr>
          <w:i/>
          <w:iCs/>
          <w:lang w:val="es-ES"/>
        </w:rPr>
        <w:t>tiers</w:t>
      </w:r>
      <w:r w:rsidR="007C54D9">
        <w:rPr>
          <w:i/>
          <w:iCs/>
          <w:lang w:val="es-ES"/>
        </w:rPr>
        <w:t xml:space="preserve"> </w:t>
      </w:r>
      <w:r w:rsidR="007C54D9">
        <w:rPr>
          <w:lang w:val="es-ES"/>
        </w:rPr>
        <w:t>definidos en el modelado geográfico)</w:t>
      </w:r>
      <w:r w:rsidR="008C00C0">
        <w:rPr>
          <w:lang w:val="es-ES"/>
        </w:rPr>
        <w:t>, y la capacidad máxima de un MSAN.</w:t>
      </w:r>
      <w:r w:rsidR="008E6F48">
        <w:rPr>
          <w:lang w:val="es-ES"/>
        </w:rPr>
        <w:t xml:space="preserve"> Adicionalmente</w:t>
      </w:r>
      <w:r w:rsidR="009D245F">
        <w:rPr>
          <w:lang w:val="es-ES"/>
        </w:rPr>
        <w:t>, el modelo</w:t>
      </w:r>
      <w:r w:rsidR="008E6F48">
        <w:rPr>
          <w:lang w:val="es-ES"/>
        </w:rPr>
        <w:t xml:space="preserve"> estima el </w:t>
      </w:r>
      <w:r w:rsidR="00851AAE">
        <w:rPr>
          <w:lang w:val="es-ES"/>
        </w:rPr>
        <w:t>despliegue</w:t>
      </w:r>
      <w:r w:rsidR="008E6F48">
        <w:rPr>
          <w:lang w:val="es-ES"/>
        </w:rPr>
        <w:t xml:space="preserve"> de un nodo </w:t>
      </w:r>
      <w:r w:rsidR="00851AAE">
        <w:rPr>
          <w:lang w:val="es-ES"/>
        </w:rPr>
        <w:t>agregador de tráfico</w:t>
      </w:r>
      <w:r w:rsidR="008E6F48">
        <w:rPr>
          <w:lang w:val="es-ES"/>
        </w:rPr>
        <w:t xml:space="preserve"> </w:t>
      </w:r>
      <w:r w:rsidR="00851AAE">
        <w:rPr>
          <w:lang w:val="es-ES"/>
        </w:rPr>
        <w:t>en</w:t>
      </w:r>
      <w:r w:rsidR="008E6F48">
        <w:rPr>
          <w:lang w:val="es-ES"/>
        </w:rPr>
        <w:t xml:space="preserve"> cada</w:t>
      </w:r>
      <w:r w:rsidR="00851AAE">
        <w:rPr>
          <w:lang w:val="es-ES"/>
        </w:rPr>
        <w:t xml:space="preserve"> uno de los nodos de acceso del operador</w:t>
      </w:r>
      <w:r w:rsidR="008C0ED7">
        <w:rPr>
          <w:lang w:val="es-ES"/>
        </w:rPr>
        <w:t>.</w:t>
      </w:r>
    </w:p>
    <w:p w14:paraId="4C7D66AE" w14:textId="3E88009A" w:rsidR="00792C35" w:rsidRDefault="00792C35" w:rsidP="00792C35">
      <w:pPr>
        <w:pStyle w:val="Ttulo3"/>
        <w:rPr>
          <w:lang w:val="es-ES"/>
        </w:rPr>
      </w:pPr>
      <w:bookmarkStart w:id="50" w:name="_Ref135956997"/>
      <w:r>
        <w:rPr>
          <w:lang w:val="es-ES"/>
        </w:rPr>
        <w:t>Red de transporte fijo</w:t>
      </w:r>
      <w:bookmarkEnd w:id="50"/>
    </w:p>
    <w:p w14:paraId="4C08F89C" w14:textId="0DF7630E" w:rsidR="000F29BA" w:rsidRDefault="003376D7" w:rsidP="000F29BA">
      <w:pPr>
        <w:rPr>
          <w:lang w:val="es-ES"/>
        </w:rPr>
      </w:pPr>
      <w:r>
        <w:rPr>
          <w:lang w:val="es-ES"/>
        </w:rPr>
        <w:t xml:space="preserve">El dimensionado de la red de transporte </w:t>
      </w:r>
      <w:r w:rsidR="00E57F86">
        <w:rPr>
          <w:lang w:val="es-ES"/>
        </w:rPr>
        <w:t>realiza el cálculo del volumen de equipos necesarios para el transporte del tráfico entre los nodos de la red. A este respecto, existen distintas capas diferenciadas de transporte:</w:t>
      </w:r>
    </w:p>
    <w:p w14:paraId="34E21031" w14:textId="3EB0E346" w:rsidR="00E57F86" w:rsidRDefault="009E170D" w:rsidP="009E170D">
      <w:pPr>
        <w:pStyle w:val="Prrafodelista"/>
        <w:numPr>
          <w:ilvl w:val="0"/>
          <w:numId w:val="40"/>
        </w:numPr>
        <w:rPr>
          <w:lang w:val="es-ES"/>
        </w:rPr>
      </w:pPr>
      <w:r>
        <w:rPr>
          <w:lang w:val="es-ES"/>
        </w:rPr>
        <w:t>Transporte de acceso Tier 3: conecta los nodos Tier 3 con los nodos de acceso Tier 2</w:t>
      </w:r>
    </w:p>
    <w:p w14:paraId="482B4F16" w14:textId="45EE896C" w:rsidR="009E170D" w:rsidRDefault="009E170D" w:rsidP="009E170D">
      <w:pPr>
        <w:pStyle w:val="Prrafodelista"/>
        <w:numPr>
          <w:ilvl w:val="0"/>
          <w:numId w:val="40"/>
        </w:numPr>
        <w:rPr>
          <w:lang w:val="es-ES"/>
        </w:rPr>
      </w:pPr>
      <w:r>
        <w:rPr>
          <w:lang w:val="es-ES"/>
        </w:rPr>
        <w:t xml:space="preserve">Transporte de acceso Tier 2: conecta los nodos Tier 2 </w:t>
      </w:r>
      <w:r w:rsidR="00956711">
        <w:rPr>
          <w:lang w:val="es-ES"/>
        </w:rPr>
        <w:t xml:space="preserve">dentro de una misma localidad (red metropolitana) y conecta los anillos metropolitanos </w:t>
      </w:r>
      <w:r>
        <w:rPr>
          <w:lang w:val="es-ES"/>
        </w:rPr>
        <w:t xml:space="preserve">con los nodos de acceso Tier </w:t>
      </w:r>
      <w:r w:rsidR="00956711">
        <w:rPr>
          <w:lang w:val="es-ES"/>
        </w:rPr>
        <w:t>1</w:t>
      </w:r>
    </w:p>
    <w:p w14:paraId="766FFE4F" w14:textId="06C89463" w:rsidR="00956711" w:rsidRDefault="00956711" w:rsidP="00956711">
      <w:pPr>
        <w:pStyle w:val="Prrafodelista"/>
        <w:numPr>
          <w:ilvl w:val="0"/>
          <w:numId w:val="40"/>
        </w:numPr>
        <w:rPr>
          <w:lang w:val="es-ES"/>
        </w:rPr>
      </w:pPr>
      <w:r>
        <w:rPr>
          <w:lang w:val="es-ES"/>
        </w:rPr>
        <w:t>Transporte de acceso Tier 1: conecta los nodos Tier 1 dentro de una misma localidad (red metropolitana) y conecta los anillos metropolitanos con los nodos regionales</w:t>
      </w:r>
    </w:p>
    <w:p w14:paraId="232C0270" w14:textId="6A5E6467" w:rsidR="00956711" w:rsidRDefault="00EE048B" w:rsidP="009E170D">
      <w:pPr>
        <w:pStyle w:val="Prrafodelista"/>
        <w:numPr>
          <w:ilvl w:val="0"/>
          <w:numId w:val="40"/>
        </w:numPr>
        <w:rPr>
          <w:lang w:val="es-ES"/>
        </w:rPr>
      </w:pPr>
      <w:r>
        <w:rPr>
          <w:lang w:val="es-ES"/>
        </w:rPr>
        <w:t>Transporte regional: conecta los distintos nodos regionales e</w:t>
      </w:r>
      <w:r w:rsidR="006225D2">
        <w:rPr>
          <w:lang w:val="es-ES"/>
        </w:rPr>
        <w:t xml:space="preserve">ntre </w:t>
      </w:r>
      <w:r w:rsidR="002A48B4">
        <w:rPr>
          <w:lang w:val="es-ES"/>
        </w:rPr>
        <w:t>sí</w:t>
      </w:r>
      <w:r w:rsidR="006225D2">
        <w:rPr>
          <w:lang w:val="es-ES"/>
        </w:rPr>
        <w:t xml:space="preserve"> y a la red de núcleo del operador modelado</w:t>
      </w:r>
    </w:p>
    <w:p w14:paraId="56DFD83C" w14:textId="11A08398" w:rsidR="009E170D" w:rsidRDefault="006225D2" w:rsidP="009E170D">
      <w:pPr>
        <w:pStyle w:val="Prrafodelista"/>
        <w:numPr>
          <w:ilvl w:val="0"/>
          <w:numId w:val="40"/>
        </w:numPr>
        <w:rPr>
          <w:lang w:val="es-ES"/>
        </w:rPr>
      </w:pPr>
      <w:r>
        <w:rPr>
          <w:lang w:val="es-ES"/>
        </w:rPr>
        <w:t xml:space="preserve">Transporte </w:t>
      </w:r>
      <w:r w:rsidRPr="006225D2">
        <w:rPr>
          <w:i/>
          <w:iCs/>
          <w:lang w:val="es-ES"/>
        </w:rPr>
        <w:t>backbone</w:t>
      </w:r>
      <w:r>
        <w:rPr>
          <w:lang w:val="es-ES"/>
        </w:rPr>
        <w:t xml:space="preserve">: conecta los nodos de núcleo y nodos nacionales entre </w:t>
      </w:r>
      <w:r w:rsidR="002A48B4">
        <w:rPr>
          <w:lang w:val="es-ES"/>
        </w:rPr>
        <w:t>sí</w:t>
      </w:r>
      <w:r>
        <w:rPr>
          <w:lang w:val="es-ES"/>
        </w:rPr>
        <w:t xml:space="preserve"> en anillos</w:t>
      </w:r>
    </w:p>
    <w:p w14:paraId="07F4CDDF" w14:textId="31203488" w:rsidR="006225D2" w:rsidRDefault="006225D2" w:rsidP="006225D2">
      <w:pPr>
        <w:rPr>
          <w:lang w:val="es-ES"/>
        </w:rPr>
      </w:pPr>
      <w:r>
        <w:rPr>
          <w:lang w:val="es-ES"/>
        </w:rPr>
        <w:t>Dentro de cada una de estas capas de transporte, se dimensionan distintos tipos de activos:</w:t>
      </w:r>
    </w:p>
    <w:p w14:paraId="777D16EB" w14:textId="03E02AB6" w:rsidR="00A432F3" w:rsidRDefault="00A432F3" w:rsidP="00A432F3">
      <w:pPr>
        <w:pStyle w:val="Prrafodelista"/>
        <w:numPr>
          <w:ilvl w:val="0"/>
          <w:numId w:val="40"/>
        </w:numPr>
        <w:rPr>
          <w:lang w:val="es-ES"/>
        </w:rPr>
      </w:pPr>
      <w:r>
        <w:rPr>
          <w:lang w:val="es-ES"/>
        </w:rPr>
        <w:lastRenderedPageBreak/>
        <w:t xml:space="preserve">Fibra </w:t>
      </w:r>
      <w:r w:rsidR="002A48B4">
        <w:rPr>
          <w:lang w:val="es-ES"/>
        </w:rPr>
        <w:t>e</w:t>
      </w:r>
      <w:r>
        <w:rPr>
          <w:lang w:val="es-ES"/>
        </w:rPr>
        <w:t xml:space="preserve"> infraestructura civil: se dimensiona </w:t>
      </w:r>
      <w:r w:rsidR="003830F1">
        <w:rPr>
          <w:lang w:val="es-ES"/>
        </w:rPr>
        <w:t>la</w:t>
      </w:r>
      <w:r>
        <w:rPr>
          <w:lang w:val="es-ES"/>
        </w:rPr>
        <w:t xml:space="preserve"> infraestructura civil (</w:t>
      </w:r>
      <w:r w:rsidR="00794FA9">
        <w:rPr>
          <w:lang w:val="es-ES"/>
        </w:rPr>
        <w:t xml:space="preserve">por ejemplo, </w:t>
      </w:r>
      <w:r>
        <w:rPr>
          <w:lang w:val="es-ES"/>
        </w:rPr>
        <w:t>zanjas</w:t>
      </w:r>
      <w:r w:rsidR="00794FA9">
        <w:rPr>
          <w:lang w:val="es-ES"/>
        </w:rPr>
        <w:t>, ductos y</w:t>
      </w:r>
      <w:r>
        <w:rPr>
          <w:lang w:val="es-ES"/>
        </w:rPr>
        <w:t xml:space="preserve"> postes)</w:t>
      </w:r>
      <w:r w:rsidR="003830F1">
        <w:rPr>
          <w:lang w:val="es-ES"/>
        </w:rPr>
        <w:t xml:space="preserve"> y la fibra</w:t>
      </w:r>
      <w:r w:rsidR="00794FA9">
        <w:rPr>
          <w:lang w:val="es-ES"/>
        </w:rPr>
        <w:t xml:space="preserve"> con base </w:t>
      </w:r>
      <w:r w:rsidR="002A48B4">
        <w:rPr>
          <w:lang w:val="es-ES"/>
        </w:rPr>
        <w:t xml:space="preserve">en </w:t>
      </w:r>
      <w:r w:rsidR="00794FA9">
        <w:rPr>
          <w:lang w:val="es-ES"/>
        </w:rPr>
        <w:t>los resultados del modelado geográfico. El modelo toma adicionalmente una serie de insumos para cada capa de la red, que ayudan a determinar</w:t>
      </w:r>
      <w:r w:rsidR="003549F8">
        <w:rPr>
          <w:lang w:val="es-ES"/>
        </w:rPr>
        <w:t xml:space="preserve"> el porcentaje de la red que se despliega </w:t>
      </w:r>
      <w:r w:rsidR="00DA69E2">
        <w:rPr>
          <w:lang w:val="es-ES"/>
        </w:rPr>
        <w:t>bajo tierra (a través de ductos y zanjas) y la red desplegada sobre tierra (a través de postes)</w:t>
      </w:r>
    </w:p>
    <w:p w14:paraId="7E3A1459" w14:textId="68B99B55" w:rsidR="003830F1" w:rsidRDefault="005E1918" w:rsidP="00A432F3">
      <w:pPr>
        <w:pStyle w:val="Prrafodelista"/>
        <w:numPr>
          <w:ilvl w:val="0"/>
          <w:numId w:val="40"/>
        </w:numPr>
        <w:rPr>
          <w:lang w:val="es-ES"/>
        </w:rPr>
      </w:pPr>
      <w:r>
        <w:rPr>
          <w:lang w:val="es-ES"/>
        </w:rPr>
        <w:t>Equipamiento DWDM: se realiza una estimación para cada nodo de transporte de</w:t>
      </w:r>
      <w:r w:rsidR="00C9719D">
        <w:rPr>
          <w:lang w:val="es-ES"/>
        </w:rPr>
        <w:t>l</w:t>
      </w:r>
      <w:r>
        <w:rPr>
          <w:lang w:val="es-ES"/>
        </w:rPr>
        <w:t xml:space="preserve"> tráfico cursad</w:t>
      </w:r>
      <w:r w:rsidR="00C9719D">
        <w:rPr>
          <w:lang w:val="es-ES"/>
        </w:rPr>
        <w:t>o</w:t>
      </w:r>
      <w:r w:rsidR="0040228C">
        <w:rPr>
          <w:lang w:val="es-ES"/>
        </w:rPr>
        <w:t>. A partir de est</w:t>
      </w:r>
      <w:r w:rsidR="00D154DF">
        <w:rPr>
          <w:lang w:val="es-ES"/>
        </w:rPr>
        <w:t>a estimación, se determina el número de longitudes de onda (lambdas) necesarias para cada</w:t>
      </w:r>
      <w:r w:rsidR="003153A2">
        <w:rPr>
          <w:lang w:val="es-ES"/>
        </w:rPr>
        <w:t xml:space="preserve"> nodo, y por ende, el volumen de equipos DWDM necesarios para cada uno de los anillos de transporte definidos. Adicionalmente, con base </w:t>
      </w:r>
      <w:r w:rsidR="002A48B4">
        <w:rPr>
          <w:lang w:val="es-ES"/>
        </w:rPr>
        <w:t>en</w:t>
      </w:r>
      <w:r w:rsidR="003153A2">
        <w:rPr>
          <w:lang w:val="es-ES"/>
        </w:rPr>
        <w:t xml:space="preserve"> la distancia </w:t>
      </w:r>
      <w:r w:rsidR="00C97637">
        <w:rPr>
          <w:lang w:val="es-ES"/>
        </w:rPr>
        <w:t>cubierta por las capas de transporte, se estima el volumen de equipos de amplificación DWDM, necesarios para asegurar</w:t>
      </w:r>
      <w:r w:rsidR="000947B7">
        <w:rPr>
          <w:lang w:val="es-ES"/>
        </w:rPr>
        <w:t xml:space="preserve"> la conectividad entre nodos lejanos.</w:t>
      </w:r>
    </w:p>
    <w:p w14:paraId="431CBC40" w14:textId="3DDC851B" w:rsidR="000947B7" w:rsidRDefault="004F0856" w:rsidP="00A432F3">
      <w:pPr>
        <w:pStyle w:val="Prrafodelista"/>
        <w:numPr>
          <w:ilvl w:val="0"/>
          <w:numId w:val="40"/>
        </w:numPr>
        <w:rPr>
          <w:lang w:val="es-ES"/>
        </w:rPr>
      </w:pPr>
      <w:r>
        <w:rPr>
          <w:lang w:val="es-ES"/>
        </w:rPr>
        <w:t>Switches y enrutadores: para las capas de nodos regionales y de núcleo de la red, se realiza el cálculo del número y capacidad necesario</w:t>
      </w:r>
      <w:r w:rsidR="002A48B4">
        <w:rPr>
          <w:lang w:val="es-ES"/>
        </w:rPr>
        <w:t>s</w:t>
      </w:r>
      <w:r>
        <w:rPr>
          <w:lang w:val="es-ES"/>
        </w:rPr>
        <w:t xml:space="preserve"> de los switches y enrutadores</w:t>
      </w:r>
      <w:r w:rsidR="00F87FD0">
        <w:rPr>
          <w:lang w:val="es-ES"/>
        </w:rPr>
        <w:t xml:space="preserve"> de la red. En esta estimación, se toma el tráfico medido para cada nodo, </w:t>
      </w:r>
      <w:r w:rsidR="00D83ABA">
        <w:rPr>
          <w:lang w:val="es-ES"/>
        </w:rPr>
        <w:t>y</w:t>
      </w:r>
      <w:r w:rsidR="00F87FD0">
        <w:rPr>
          <w:lang w:val="es-ES"/>
        </w:rPr>
        <w:t xml:space="preserve"> de esta manera determinar el </w:t>
      </w:r>
      <w:r w:rsidR="00BD59A7">
        <w:rPr>
          <w:lang w:val="es-ES"/>
        </w:rPr>
        <w:t xml:space="preserve">número de puertos ethernet necesarios en cada nodo. Con base </w:t>
      </w:r>
      <w:r w:rsidR="00D83ABA">
        <w:rPr>
          <w:lang w:val="es-ES"/>
        </w:rPr>
        <w:t xml:space="preserve">en </w:t>
      </w:r>
      <w:r w:rsidR="00BD59A7">
        <w:rPr>
          <w:lang w:val="es-ES"/>
        </w:rPr>
        <w:t>una serie de criterios ingenieriles relativos al número de puertos y tarjetas</w:t>
      </w:r>
      <w:r w:rsidR="00EA06C1">
        <w:rPr>
          <w:lang w:val="es-ES"/>
        </w:rPr>
        <w:t xml:space="preserve"> instalables en un switch o enrutador concreto, se determina el número de equipos necesarios para cada una de estas capas de la red</w:t>
      </w:r>
    </w:p>
    <w:p w14:paraId="480E289C" w14:textId="1AB18ABF" w:rsidR="00D459A9" w:rsidRDefault="00D459A9" w:rsidP="00D459A9">
      <w:pPr>
        <w:pStyle w:val="Ttulo3"/>
        <w:rPr>
          <w:lang w:val="es-ES"/>
        </w:rPr>
      </w:pPr>
      <w:r>
        <w:rPr>
          <w:lang w:val="es-ES"/>
        </w:rPr>
        <w:t>Plataformas de núcleo fijo</w:t>
      </w:r>
    </w:p>
    <w:p w14:paraId="62BD567F" w14:textId="1F5E8C7F" w:rsidR="00D459A9" w:rsidRDefault="00B050B8" w:rsidP="00D459A9">
      <w:pPr>
        <w:rPr>
          <w:lang w:val="es-ES"/>
        </w:rPr>
      </w:pPr>
      <w:r>
        <w:rPr>
          <w:lang w:val="es-ES"/>
        </w:rPr>
        <w:t xml:space="preserve">Los distintos nodos core y nacionales albergan las plataformas del núcleo de la red del operador modelado. </w:t>
      </w:r>
      <w:r w:rsidR="006D56AD">
        <w:rPr>
          <w:lang w:val="es-ES"/>
        </w:rPr>
        <w:t>Estas plataformas tienen diversas funcionalidades, de conectividad, soporte</w:t>
      </w:r>
      <w:r w:rsidR="000E41C4">
        <w:rPr>
          <w:lang w:val="es-ES"/>
        </w:rPr>
        <w:t xml:space="preserve"> o valor añadido para los servicios que proporciona el operador. Las plataformas de núcleo incluidas en el </w:t>
      </w:r>
      <w:r w:rsidR="00171D59">
        <w:rPr>
          <w:lang w:val="es-ES"/>
        </w:rPr>
        <w:t>modelo fijo son las siguientes:</w:t>
      </w:r>
    </w:p>
    <w:p w14:paraId="4AC9AA36" w14:textId="1999A41F" w:rsidR="00282A6F" w:rsidRDefault="0050413D" w:rsidP="00282A6F">
      <w:pPr>
        <w:pStyle w:val="Prrafodelista"/>
        <w:numPr>
          <w:ilvl w:val="0"/>
          <w:numId w:val="40"/>
        </w:numPr>
        <w:rPr>
          <w:lang w:val="es-ES"/>
        </w:rPr>
      </w:pPr>
      <w:r>
        <w:rPr>
          <w:lang w:val="es-ES"/>
        </w:rPr>
        <w:t>Session border controller (</w:t>
      </w:r>
      <w:r w:rsidR="00282A6F">
        <w:rPr>
          <w:lang w:val="es-ES"/>
        </w:rPr>
        <w:t>SBC</w:t>
      </w:r>
      <w:r>
        <w:rPr>
          <w:lang w:val="es-ES"/>
        </w:rPr>
        <w:t>)</w:t>
      </w:r>
      <w:r w:rsidR="00282A6F">
        <w:rPr>
          <w:lang w:val="es-ES"/>
        </w:rPr>
        <w:t>:</w:t>
      </w:r>
      <w:r>
        <w:rPr>
          <w:lang w:val="es-ES"/>
        </w:rPr>
        <w:t xml:space="preserve"> </w:t>
      </w:r>
      <w:r w:rsidR="00642FF5" w:rsidRPr="00642FF5">
        <w:rPr>
          <w:lang w:val="es-ES"/>
        </w:rPr>
        <w:t xml:space="preserve">En una red servicios </w:t>
      </w:r>
      <w:r w:rsidR="00642FF5">
        <w:rPr>
          <w:lang w:val="es-ES"/>
        </w:rPr>
        <w:t>de voz y datos</w:t>
      </w:r>
      <w:r w:rsidR="00642FF5" w:rsidRPr="00642FF5">
        <w:rPr>
          <w:lang w:val="es-ES"/>
        </w:rPr>
        <w:t xml:space="preserve">, </w:t>
      </w:r>
      <w:r w:rsidR="00642FF5">
        <w:rPr>
          <w:lang w:val="es-ES"/>
        </w:rPr>
        <w:t xml:space="preserve">los SBC </w:t>
      </w:r>
      <w:r w:rsidR="00642FF5" w:rsidRPr="00642FF5">
        <w:rPr>
          <w:lang w:val="es-ES"/>
        </w:rPr>
        <w:t xml:space="preserve">se </w:t>
      </w:r>
      <w:r w:rsidR="00642FF5">
        <w:rPr>
          <w:lang w:val="es-ES"/>
        </w:rPr>
        <w:t>emplean</w:t>
      </w:r>
      <w:r w:rsidR="00642FF5" w:rsidRPr="00642FF5">
        <w:rPr>
          <w:lang w:val="es-ES"/>
        </w:rPr>
        <w:t xml:space="preserve"> para vigilar la conexión IP entre la red de acceso</w:t>
      </w:r>
      <w:r w:rsidR="002E00E3">
        <w:rPr>
          <w:lang w:val="es-ES"/>
        </w:rPr>
        <w:t>,</w:t>
      </w:r>
      <w:r w:rsidR="00642FF5" w:rsidRPr="00642FF5">
        <w:rPr>
          <w:lang w:val="es-ES"/>
        </w:rPr>
        <w:t xml:space="preserve"> común y la red de voz controlada por el servidor de llamadas. Proporciona seguridad entre los diferentes dominios de red (por ejemplo, traducción de direcciones de red, detención de ataques de denegación de servicio, etc.) y controla la asignación de ancho de banda por llamada (o por sesión) en el borde de la red</w:t>
      </w:r>
    </w:p>
    <w:p w14:paraId="35CF9F5E" w14:textId="497E6197" w:rsidR="002E00E3" w:rsidRDefault="002D6F7B" w:rsidP="00282A6F">
      <w:pPr>
        <w:pStyle w:val="Prrafodelista"/>
        <w:numPr>
          <w:ilvl w:val="0"/>
          <w:numId w:val="40"/>
        </w:numPr>
        <w:rPr>
          <w:lang w:val="es-ES"/>
        </w:rPr>
      </w:pPr>
      <w:r>
        <w:rPr>
          <w:lang w:val="es-ES"/>
        </w:rPr>
        <w:t xml:space="preserve">Servidor de llamadas (call server): </w:t>
      </w:r>
      <w:r w:rsidR="005B0AC3">
        <w:rPr>
          <w:lang w:val="es-ES"/>
        </w:rPr>
        <w:t>usados</w:t>
      </w:r>
      <w:r w:rsidR="00741BC5" w:rsidRPr="00741BC5">
        <w:rPr>
          <w:lang w:val="es-ES"/>
        </w:rPr>
        <w:t xml:space="preserve"> para supervisar el tráfico de voz</w:t>
      </w:r>
    </w:p>
    <w:p w14:paraId="3976A27B" w14:textId="593EB723" w:rsidR="009C549B" w:rsidRDefault="001665C1">
      <w:pPr>
        <w:pStyle w:val="Prrafodelista"/>
        <w:numPr>
          <w:ilvl w:val="0"/>
          <w:numId w:val="40"/>
        </w:numPr>
        <w:rPr>
          <w:lang w:val="es-ES"/>
        </w:rPr>
      </w:pPr>
      <w:r>
        <w:rPr>
          <w:lang w:val="es-ES"/>
        </w:rPr>
        <w:t>B</w:t>
      </w:r>
      <w:r w:rsidRPr="001665C1">
        <w:rPr>
          <w:lang w:val="es-ES"/>
        </w:rPr>
        <w:t>roadband remote access server</w:t>
      </w:r>
      <w:r w:rsidR="005B0AC3" w:rsidRPr="009C549B">
        <w:rPr>
          <w:lang w:val="es-ES"/>
        </w:rPr>
        <w:t xml:space="preserve"> (</w:t>
      </w:r>
      <w:r w:rsidR="00307353" w:rsidRPr="009C549B">
        <w:rPr>
          <w:lang w:val="es-ES"/>
        </w:rPr>
        <w:t>BRAS</w:t>
      </w:r>
      <w:r w:rsidR="005B0AC3" w:rsidRPr="009C549B">
        <w:rPr>
          <w:lang w:val="es-ES"/>
        </w:rPr>
        <w:t>)</w:t>
      </w:r>
      <w:r w:rsidR="00307353" w:rsidRPr="009C549B">
        <w:rPr>
          <w:lang w:val="es-ES"/>
        </w:rPr>
        <w:t xml:space="preserve">: </w:t>
      </w:r>
      <w:r w:rsidR="009C549B" w:rsidRPr="009C549B">
        <w:rPr>
          <w:lang w:val="es-ES"/>
        </w:rPr>
        <w:t>enruta el tráfico de Internet hacia y desde las MSAN ubicadas en el nodo de acceso</w:t>
      </w:r>
    </w:p>
    <w:p w14:paraId="61AD4E7B" w14:textId="60239399" w:rsidR="00CE4199" w:rsidRPr="009C549B" w:rsidRDefault="00BD35B9">
      <w:pPr>
        <w:pStyle w:val="Prrafodelista"/>
        <w:numPr>
          <w:ilvl w:val="0"/>
          <w:numId w:val="40"/>
        </w:numPr>
        <w:rPr>
          <w:lang w:val="es-ES"/>
        </w:rPr>
      </w:pPr>
      <w:r>
        <w:rPr>
          <w:lang w:val="es-ES"/>
        </w:rPr>
        <w:t>Domain name server</w:t>
      </w:r>
      <w:r w:rsidR="005B0AC3" w:rsidRPr="009C549B">
        <w:rPr>
          <w:lang w:val="es-ES"/>
        </w:rPr>
        <w:t xml:space="preserve"> (</w:t>
      </w:r>
      <w:r w:rsidR="00CE4199" w:rsidRPr="009C549B">
        <w:rPr>
          <w:lang w:val="es-ES"/>
        </w:rPr>
        <w:t>DNS</w:t>
      </w:r>
      <w:r w:rsidR="005B0AC3" w:rsidRPr="009C549B">
        <w:rPr>
          <w:lang w:val="es-ES"/>
        </w:rPr>
        <w:t>)</w:t>
      </w:r>
      <w:r w:rsidR="00CE4199" w:rsidRPr="009C549B">
        <w:rPr>
          <w:lang w:val="es-ES"/>
        </w:rPr>
        <w:t>:</w:t>
      </w:r>
      <w:r w:rsidR="009C549B">
        <w:rPr>
          <w:lang w:val="es-ES"/>
        </w:rPr>
        <w:t xml:space="preserve"> </w:t>
      </w:r>
      <w:r w:rsidR="00E664A5" w:rsidRPr="00E664A5">
        <w:rPr>
          <w:lang w:val="es-ES"/>
        </w:rPr>
        <w:t xml:space="preserve">traduce </w:t>
      </w:r>
      <w:r w:rsidR="00C06EF3">
        <w:rPr>
          <w:lang w:val="es-ES"/>
        </w:rPr>
        <w:t>direcciones IP de dominios de internet a nombres</w:t>
      </w:r>
      <w:r w:rsidR="00E664A5" w:rsidRPr="00E664A5">
        <w:rPr>
          <w:lang w:val="es-ES"/>
        </w:rPr>
        <w:t xml:space="preserve"> legibles por humanos</w:t>
      </w:r>
    </w:p>
    <w:p w14:paraId="7528C8AD" w14:textId="65170C89" w:rsidR="00A827E5" w:rsidRDefault="00B1694D" w:rsidP="00CE4199">
      <w:pPr>
        <w:pStyle w:val="Prrafodelista"/>
        <w:numPr>
          <w:ilvl w:val="0"/>
          <w:numId w:val="40"/>
        </w:numPr>
        <w:rPr>
          <w:lang w:val="es-ES"/>
        </w:rPr>
      </w:pPr>
      <w:r>
        <w:rPr>
          <w:lang w:val="es-ES"/>
        </w:rPr>
        <w:t>Voicemail server (</w:t>
      </w:r>
      <w:r w:rsidR="00033628">
        <w:rPr>
          <w:lang w:val="es-ES"/>
        </w:rPr>
        <w:t>VMS</w:t>
      </w:r>
      <w:r>
        <w:rPr>
          <w:lang w:val="es-ES"/>
        </w:rPr>
        <w:t>)</w:t>
      </w:r>
      <w:r w:rsidR="005B0AC3">
        <w:rPr>
          <w:lang w:val="es-ES"/>
        </w:rPr>
        <w:t>: gestionan el tráfico asociado a los mensajes de voz</w:t>
      </w:r>
    </w:p>
    <w:p w14:paraId="72EB3349" w14:textId="507C4D9B" w:rsidR="00033628" w:rsidRPr="00CE4199" w:rsidRDefault="00B1694D" w:rsidP="00CE4199">
      <w:pPr>
        <w:pStyle w:val="Prrafodelista"/>
        <w:numPr>
          <w:ilvl w:val="0"/>
          <w:numId w:val="40"/>
        </w:numPr>
        <w:rPr>
          <w:lang w:val="es-ES"/>
        </w:rPr>
      </w:pPr>
      <w:r>
        <w:rPr>
          <w:lang w:val="es-ES"/>
        </w:rPr>
        <w:t>SMS center (</w:t>
      </w:r>
      <w:r w:rsidR="005B0AC3">
        <w:rPr>
          <w:lang w:val="es-ES"/>
        </w:rPr>
        <w:t>SMSC</w:t>
      </w:r>
      <w:r>
        <w:rPr>
          <w:lang w:val="es-ES"/>
        </w:rPr>
        <w:t>)</w:t>
      </w:r>
      <w:r w:rsidR="005B0AC3">
        <w:rPr>
          <w:lang w:val="es-ES"/>
        </w:rPr>
        <w:t>: Controla el tráfico y flujo de mensajes de texto SMS</w:t>
      </w:r>
    </w:p>
    <w:p w14:paraId="27C7CFF2" w14:textId="403DECF6" w:rsidR="00171D59" w:rsidRDefault="00B1694D" w:rsidP="00EE0F68">
      <w:pPr>
        <w:rPr>
          <w:lang w:val="es-ES"/>
        </w:rPr>
      </w:pPr>
      <w:r>
        <w:rPr>
          <w:lang w:val="es-ES"/>
        </w:rPr>
        <w:t>Para cada una de las plataformas del núcleo se determina una serie de reglas de dimensionado</w:t>
      </w:r>
      <w:r w:rsidR="0029640D">
        <w:rPr>
          <w:lang w:val="es-ES"/>
        </w:rPr>
        <w:t>:</w:t>
      </w:r>
    </w:p>
    <w:p w14:paraId="6C0CBECA" w14:textId="6424577E" w:rsidR="0029640D" w:rsidRDefault="0029640D" w:rsidP="0029640D">
      <w:pPr>
        <w:pStyle w:val="Prrafodelista"/>
        <w:numPr>
          <w:ilvl w:val="0"/>
          <w:numId w:val="40"/>
        </w:numPr>
        <w:rPr>
          <w:lang w:val="es-ES"/>
        </w:rPr>
      </w:pPr>
      <w:r>
        <w:rPr>
          <w:lang w:val="es-ES"/>
        </w:rPr>
        <w:t xml:space="preserve">Número mínimo de plataformas: se presenta el mínimo de plataformas de cada tipo que deben existir en la red. Por regla general, se estima que son necesarias al menos dos plataformas de cada tipo, para asegurar la resiliencia de la red en caso de que una de las plataformas fallara. </w:t>
      </w:r>
      <w:r>
        <w:rPr>
          <w:lang w:val="es-ES"/>
        </w:rPr>
        <w:lastRenderedPageBreak/>
        <w:t>En algunos casos, se determina un número mínimo mayor, estimando que es necesario que esté en múltiples ubicaciones</w:t>
      </w:r>
    </w:p>
    <w:p w14:paraId="55AF2E82" w14:textId="30785D49" w:rsidR="00CB4C3F" w:rsidRPr="00CB4C3F" w:rsidRDefault="006634AE" w:rsidP="00CB4C3F">
      <w:pPr>
        <w:pStyle w:val="Prrafodelista"/>
        <w:numPr>
          <w:ilvl w:val="0"/>
          <w:numId w:val="40"/>
        </w:numPr>
        <w:rPr>
          <w:lang w:val="es-ES"/>
        </w:rPr>
      </w:pPr>
      <w:r>
        <w:rPr>
          <w:lang w:val="es-ES"/>
        </w:rPr>
        <w:t xml:space="preserve">Unidades y capacidad de dimensionado: para cada una de las plataformas se define </w:t>
      </w:r>
      <w:r w:rsidR="006B7239">
        <w:rPr>
          <w:lang w:val="es-ES"/>
        </w:rPr>
        <w:t>una unidad de dimensionado (</w:t>
      </w:r>
      <w:r w:rsidR="00E44139">
        <w:rPr>
          <w:lang w:val="es-ES"/>
        </w:rPr>
        <w:t>por ejemplo, minutos de voz, Mbps o llamadas en la hora cargada), así como el volumen máximo que puede cursar cada una de las plataformas</w:t>
      </w:r>
      <w:r w:rsidR="008D0F42">
        <w:rPr>
          <w:lang w:val="es-ES"/>
        </w:rPr>
        <w:t xml:space="preserve">. Si bien es posible </w:t>
      </w:r>
      <w:r w:rsidR="00D83ABA">
        <w:rPr>
          <w:lang w:val="es-ES"/>
        </w:rPr>
        <w:t xml:space="preserve">que </w:t>
      </w:r>
      <w:r w:rsidR="008D0F42">
        <w:rPr>
          <w:lang w:val="es-ES"/>
        </w:rPr>
        <w:t>en una red real este criterio no sea el únic</w:t>
      </w:r>
      <w:r w:rsidR="00F96BFE">
        <w:rPr>
          <w:lang w:val="es-ES"/>
        </w:rPr>
        <w:t>o</w:t>
      </w:r>
      <w:r w:rsidR="008D0F42">
        <w:rPr>
          <w:lang w:val="es-ES"/>
        </w:rPr>
        <w:t xml:space="preserve"> limitante</w:t>
      </w:r>
      <w:r w:rsidR="001D0CD8">
        <w:rPr>
          <w:lang w:val="es-ES"/>
        </w:rPr>
        <w:t xml:space="preserve"> con impacto a la hora de dimensionar los equipos, s</w:t>
      </w:r>
      <w:r w:rsidR="008D0F42">
        <w:rPr>
          <w:lang w:val="es-ES"/>
        </w:rPr>
        <w:t xml:space="preserve">e considera que la unidad </w:t>
      </w:r>
      <w:r w:rsidR="001D0CD8">
        <w:rPr>
          <w:lang w:val="es-ES"/>
        </w:rPr>
        <w:t xml:space="preserve">de dimensionado </w:t>
      </w:r>
      <w:r w:rsidR="008D0F42">
        <w:rPr>
          <w:lang w:val="es-ES"/>
        </w:rPr>
        <w:t>incluida</w:t>
      </w:r>
      <w:r w:rsidR="009748FB">
        <w:rPr>
          <w:lang w:val="es-ES"/>
        </w:rPr>
        <w:t xml:space="preserve"> en el modelo</w:t>
      </w:r>
      <w:r w:rsidR="008D0F42">
        <w:rPr>
          <w:lang w:val="es-ES"/>
        </w:rPr>
        <w:t xml:space="preserve"> representa el criterio más restrictivo</w:t>
      </w:r>
      <w:r w:rsidR="00F96BFE">
        <w:rPr>
          <w:lang w:val="es-ES"/>
        </w:rPr>
        <w:t xml:space="preserve"> para la plataforma en cuestión</w:t>
      </w:r>
    </w:p>
    <w:p w14:paraId="35C104AA" w14:textId="00056B74" w:rsidR="00DE1CFD" w:rsidRPr="00CE4199" w:rsidRDefault="00F96BFE" w:rsidP="00136E3C">
      <w:pPr>
        <w:rPr>
          <w:lang w:val="es-ES"/>
        </w:rPr>
      </w:pPr>
      <w:r>
        <w:rPr>
          <w:lang w:val="es-ES"/>
        </w:rPr>
        <w:t xml:space="preserve">La capacidad definida </w:t>
      </w:r>
      <w:r w:rsidR="00136E3C">
        <w:rPr>
          <w:lang w:val="es-ES"/>
        </w:rPr>
        <w:t xml:space="preserve">para cada plataforma </w:t>
      </w:r>
      <w:r>
        <w:rPr>
          <w:lang w:val="es-ES"/>
        </w:rPr>
        <w:t>se compara al tráfico real que debe cursar cada plataforma</w:t>
      </w:r>
      <w:r w:rsidR="00136E3C">
        <w:rPr>
          <w:lang w:val="es-ES"/>
        </w:rPr>
        <w:t>. El ratio entre ambos parámetros permite</w:t>
      </w:r>
      <w:r>
        <w:rPr>
          <w:lang w:val="es-ES"/>
        </w:rPr>
        <w:t xml:space="preserve"> estimar el número de plataformas </w:t>
      </w:r>
      <w:r w:rsidR="00D83ABA">
        <w:rPr>
          <w:lang w:val="es-ES"/>
        </w:rPr>
        <w:t xml:space="preserve">necesarias </w:t>
      </w:r>
      <w:r w:rsidR="00136E3C">
        <w:rPr>
          <w:lang w:val="es-ES"/>
        </w:rPr>
        <w:t>de cada tipo</w:t>
      </w:r>
      <w:r>
        <w:rPr>
          <w:lang w:val="es-ES"/>
        </w:rPr>
        <w:t>. Por ejemplo, si una plataforma concreta es capaz de gestionar 1000</w:t>
      </w:r>
      <w:r w:rsidR="00C358CD">
        <w:rPr>
          <w:lang w:val="es-ES"/>
        </w:rPr>
        <w:t xml:space="preserve"> llamadas simultaneas</w:t>
      </w:r>
      <w:r>
        <w:rPr>
          <w:lang w:val="es-ES"/>
        </w:rPr>
        <w:t xml:space="preserve">, y </w:t>
      </w:r>
      <w:r w:rsidR="002B5819">
        <w:rPr>
          <w:lang w:val="es-ES"/>
        </w:rPr>
        <w:t xml:space="preserve">con base </w:t>
      </w:r>
      <w:r w:rsidR="00944BB1">
        <w:rPr>
          <w:lang w:val="es-ES"/>
        </w:rPr>
        <w:t>en</w:t>
      </w:r>
      <w:r w:rsidR="002B5819">
        <w:rPr>
          <w:lang w:val="es-ES"/>
        </w:rPr>
        <w:t xml:space="preserve"> los datos de demanda se estima que en la red se dan 10 000 llamadas de forma simultaneas, se estimaría que son necesarias diez plataformas de este tipo concreto.</w:t>
      </w:r>
      <w:r w:rsidR="00136E3C">
        <w:rPr>
          <w:lang w:val="es-ES"/>
        </w:rPr>
        <w:t xml:space="preserve"> En caso de que este ratio fuera menor que el número mínimo de plataformas</w:t>
      </w:r>
      <w:r w:rsidR="00CB4C3F">
        <w:rPr>
          <w:lang w:val="es-ES"/>
        </w:rPr>
        <w:t>, el modelo asegura que se cumpla dicho mínimo</w:t>
      </w:r>
      <w:r w:rsidR="00944BB1">
        <w:rPr>
          <w:lang w:val="es-ES"/>
        </w:rPr>
        <w:t>.</w:t>
      </w:r>
    </w:p>
    <w:p w14:paraId="093F860B" w14:textId="3BA76B27" w:rsidR="00D459A9" w:rsidRDefault="00D459A9" w:rsidP="00D459A9">
      <w:pPr>
        <w:pStyle w:val="Ttulo3"/>
        <w:rPr>
          <w:lang w:val="es-ES"/>
        </w:rPr>
      </w:pPr>
      <w:bookmarkStart w:id="51" w:name="_Ref135959495"/>
      <w:r>
        <w:rPr>
          <w:lang w:val="es-ES"/>
        </w:rPr>
        <w:t>Elementos específicos de enlaces dedicados</w:t>
      </w:r>
      <w:bookmarkEnd w:id="51"/>
    </w:p>
    <w:p w14:paraId="28E75583" w14:textId="312A2D5A" w:rsidR="00D83ABA" w:rsidRDefault="00500BFE" w:rsidP="00D83ABA">
      <w:pPr>
        <w:pStyle w:val="Descripcin"/>
        <w:keepNext w:val="0"/>
        <w:keepLines/>
        <w:pBdr>
          <w:bottom w:val="single" w:sz="6" w:space="7" w:color="A6A6A6" w:themeColor="background1" w:themeShade="A6"/>
        </w:pBdr>
        <w:rPr>
          <w:rFonts w:ascii="Times New Roman" w:hAnsi="Times New Roman" w:cstheme="minorBidi"/>
          <w:bCs w:val="0"/>
          <w:i w:val="0"/>
          <w:sz w:val="22"/>
          <w:szCs w:val="22"/>
          <w:lang w:val="es-ES"/>
        </w:rPr>
      </w:pPr>
      <w:r>
        <w:rPr>
          <w:rFonts w:ascii="Times New Roman" w:hAnsi="Times New Roman" w:cstheme="minorBidi"/>
          <w:bCs w:val="0"/>
          <w:i w:val="0"/>
          <w:sz w:val="22"/>
          <w:szCs w:val="22"/>
          <w:lang w:val="es-ES"/>
        </w:rPr>
        <w:t>De manera adicional a los equipos de red modelados en el módulo de redes fijas, el operador modelado requiere de ciertos equipamientos especiales para poder proveer los servicios de enlaces dedicado</w:t>
      </w:r>
      <w:r w:rsidR="00D83ABA">
        <w:rPr>
          <w:rFonts w:ascii="Times New Roman" w:hAnsi="Times New Roman" w:cstheme="minorBidi"/>
          <w:bCs w:val="0"/>
          <w:i w:val="0"/>
          <w:sz w:val="22"/>
          <w:szCs w:val="22"/>
          <w:lang w:val="es-ES"/>
        </w:rPr>
        <w:t>s</w:t>
      </w:r>
      <w:r>
        <w:rPr>
          <w:rFonts w:ascii="Times New Roman" w:hAnsi="Times New Roman" w:cstheme="minorBidi"/>
          <w:bCs w:val="0"/>
          <w:i w:val="0"/>
          <w:sz w:val="22"/>
          <w:szCs w:val="22"/>
          <w:lang w:val="es-ES"/>
        </w:rPr>
        <w:t xml:space="preserve">. </w:t>
      </w:r>
      <w:r w:rsidR="00274AEA" w:rsidRPr="00274AEA">
        <w:rPr>
          <w:rFonts w:ascii="Times New Roman" w:hAnsi="Times New Roman" w:cstheme="minorBidi"/>
          <w:bCs w:val="0"/>
          <w:i w:val="0"/>
          <w:sz w:val="22"/>
          <w:szCs w:val="22"/>
          <w:lang w:val="es-ES"/>
        </w:rPr>
        <w:t>Para calcular los costos del equipamiento se han identificado los elementos de red necesarios entre el cliente y la central del AEP. Para cada uno de los elementos se han definido</w:t>
      </w:r>
      <w:r w:rsidR="00D83ABA" w:rsidRPr="00D83ABA">
        <w:rPr>
          <w:lang w:val="es-ES"/>
        </w:rPr>
        <w:t xml:space="preserve"> </w:t>
      </w:r>
      <w:r w:rsidR="00D83ABA" w:rsidRPr="00D83ABA">
        <w:rPr>
          <w:rFonts w:ascii="Times New Roman" w:hAnsi="Times New Roman" w:cstheme="minorBidi"/>
          <w:bCs w:val="0"/>
          <w:i w:val="0"/>
          <w:sz w:val="22"/>
          <w:szCs w:val="22"/>
          <w:lang w:val="es-ES"/>
        </w:rPr>
        <w:t>unas reglas de ingeniería que incluyen el equipo en el sitio del cliente, el cableado y el equipo de agregación en central como muestra la siguiente figura</w:t>
      </w:r>
      <w:r w:rsidR="00274AEA" w:rsidRPr="00274AEA">
        <w:rPr>
          <w:rFonts w:ascii="Times New Roman" w:hAnsi="Times New Roman" w:cstheme="minorBidi"/>
          <w:bCs w:val="0"/>
          <w:i w:val="0"/>
          <w:sz w:val="22"/>
          <w:szCs w:val="22"/>
          <w:lang w:val="es-ES"/>
        </w:rPr>
        <w:t>:</w:t>
      </w:r>
    </w:p>
    <w:p w14:paraId="598ED42A" w14:textId="403916C5" w:rsidR="00E91A48" w:rsidRDefault="00A2018C" w:rsidP="00D83ABA">
      <w:pPr>
        <w:pStyle w:val="Descripcin"/>
        <w:pBdr>
          <w:bottom w:val="single" w:sz="6" w:space="7" w:color="A6A6A6" w:themeColor="background1" w:themeShade="A6"/>
        </w:pBdr>
        <w:rPr>
          <w:lang w:val="es-ES"/>
        </w:rPr>
      </w:pPr>
      <w:r w:rsidRPr="005430A9">
        <w:rPr>
          <w:lang w:val="es-ES"/>
        </w:rPr>
        <w:t xml:space="preserve">Figura </w:t>
      </w:r>
      <w:r>
        <w:rPr>
          <w:lang w:val="es-ES"/>
        </w:rPr>
        <w:fldChar w:fldCharType="begin"/>
      </w:r>
      <w:r w:rsidRPr="005430A9">
        <w:rPr>
          <w:lang w:val="es-ES"/>
        </w:rPr>
        <w:instrText xml:space="preserve"> STYLEREF 1 \s \* MERGEFORMAT </w:instrText>
      </w:r>
      <w:r>
        <w:rPr>
          <w:lang w:val="es-ES"/>
        </w:rPr>
        <w:fldChar w:fldCharType="separate"/>
      </w:r>
      <w:r w:rsidR="00020F8B">
        <w:rPr>
          <w:noProof/>
          <w:lang w:val="es-ES"/>
        </w:rPr>
        <w:t>4</w:t>
      </w:r>
      <w:r>
        <w:rPr>
          <w:lang w:val="es-ES"/>
        </w:rPr>
        <w:fldChar w:fldCharType="end"/>
      </w:r>
      <w:r w:rsidRPr="005430A9">
        <w:rPr>
          <w:lang w:val="es-ES"/>
        </w:rPr>
        <w:t>.</w:t>
      </w:r>
      <w:r>
        <w:rPr>
          <w:lang w:val="es-ES"/>
        </w:rPr>
        <w:fldChar w:fldCharType="begin"/>
      </w:r>
      <w:r w:rsidRPr="005430A9">
        <w:rPr>
          <w:lang w:val="es-ES"/>
        </w:rPr>
        <w:instrText xml:space="preserve"> SEQ Ilustración \* ARABIC \s 1 \* MERGEFORMAT </w:instrText>
      </w:r>
      <w:r>
        <w:rPr>
          <w:lang w:val="es-ES"/>
        </w:rPr>
        <w:fldChar w:fldCharType="separate"/>
      </w:r>
      <w:r w:rsidR="00020F8B">
        <w:rPr>
          <w:noProof/>
          <w:lang w:val="es-ES"/>
        </w:rPr>
        <w:t>1</w:t>
      </w:r>
      <w:r>
        <w:rPr>
          <w:lang w:val="es-ES"/>
        </w:rPr>
        <w:fldChar w:fldCharType="end"/>
      </w:r>
      <w:r w:rsidRPr="005430A9">
        <w:rPr>
          <w:lang w:val="es-ES"/>
        </w:rPr>
        <w:t xml:space="preserve">: </w:t>
      </w:r>
      <w:r>
        <w:rPr>
          <w:lang w:val="es-ES"/>
        </w:rPr>
        <w:t xml:space="preserve">Elementos específicos </w:t>
      </w:r>
      <w:r w:rsidR="00305CD8">
        <w:rPr>
          <w:lang w:val="es-ES"/>
        </w:rPr>
        <w:t>d</w:t>
      </w:r>
      <w:r>
        <w:rPr>
          <w:lang w:val="es-ES"/>
        </w:rPr>
        <w:t>e enlaces dedicados</w:t>
      </w:r>
      <w:r w:rsidRPr="00684A81">
        <w:rPr>
          <w:lang w:val="es-ES"/>
        </w:rPr>
        <w:t xml:space="preserve"> </w:t>
      </w:r>
      <w:r w:rsidRPr="005430A9">
        <w:rPr>
          <w:lang w:val="es-ES"/>
        </w:rPr>
        <w:t>[Fuente: Analysys Mason, 2023]</w:t>
      </w:r>
    </w:p>
    <w:p w14:paraId="333262A0" w14:textId="0E4A5DC3" w:rsidR="00D83ABA" w:rsidRDefault="00D83ABA" w:rsidP="006B4B32">
      <w:pPr>
        <w:rPr>
          <w:lang w:val="es-ES"/>
        </w:rPr>
      </w:pPr>
      <w:r w:rsidRPr="00C53636">
        <w:rPr>
          <w:noProof/>
        </w:rPr>
        <w:drawing>
          <wp:inline distT="0" distB="0" distL="0" distR="0" wp14:anchorId="55FBC86C" wp14:editId="1D9D73EC">
            <wp:extent cx="5544185" cy="3240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4185" cy="3240405"/>
                    </a:xfrm>
                    <a:prstGeom prst="rect">
                      <a:avLst/>
                    </a:prstGeom>
                    <a:noFill/>
                    <a:ln>
                      <a:noFill/>
                    </a:ln>
                  </pic:spPr>
                </pic:pic>
              </a:graphicData>
            </a:graphic>
          </wp:inline>
        </w:drawing>
      </w:r>
    </w:p>
    <w:p w14:paraId="2C720397" w14:textId="71C96FA6" w:rsidR="006B4B32" w:rsidRDefault="006B4B32" w:rsidP="00792C35">
      <w:pPr>
        <w:rPr>
          <w:lang w:val="es-ES"/>
        </w:rPr>
      </w:pPr>
      <w:r>
        <w:rPr>
          <w:lang w:val="es-ES"/>
        </w:rPr>
        <w:lastRenderedPageBreak/>
        <w:t xml:space="preserve">Según </w:t>
      </w:r>
      <w:r w:rsidR="00A2018C">
        <w:rPr>
          <w:lang w:val="es-ES"/>
        </w:rPr>
        <w:t xml:space="preserve">una serie de </w:t>
      </w:r>
      <w:r>
        <w:rPr>
          <w:lang w:val="es-ES"/>
        </w:rPr>
        <w:t xml:space="preserve">reglas de ingeniería, se determina el número de equipos necesarios para cada enlace y tramo. Por ejemplo, existen equipos en el sitio del cliente que son necesarios en cada tramo (routers, NTE o DDE). Cada enlace </w:t>
      </w:r>
      <w:r w:rsidRPr="008B2D63">
        <w:rPr>
          <w:lang w:val="es-ES"/>
        </w:rPr>
        <w:t>ocupará una proporción variable del equipo situado en la central con base en su velocidad</w:t>
      </w:r>
      <w:r>
        <w:rPr>
          <w:lang w:val="es-ES"/>
        </w:rPr>
        <w:t>. Además, e</w:t>
      </w:r>
      <w:r w:rsidRPr="008B2D63">
        <w:rPr>
          <w:lang w:val="es-ES"/>
        </w:rPr>
        <w:t>l uso del equipo se calcula con base en sus características técnicas</w:t>
      </w:r>
      <w:r>
        <w:rPr>
          <w:lang w:val="es-ES"/>
        </w:rPr>
        <w:t xml:space="preserve"> (</w:t>
      </w:r>
      <w:r w:rsidRPr="008B2D63">
        <w:rPr>
          <w:lang w:val="es-ES"/>
        </w:rPr>
        <w:t>número y velocidad de los puertos cliente y de conexión a la red de agregación</w:t>
      </w:r>
      <w:r>
        <w:rPr>
          <w:lang w:val="es-ES"/>
        </w:rPr>
        <w:t xml:space="preserve"> y factor de compartición).</w:t>
      </w:r>
    </w:p>
    <w:p w14:paraId="01DAEAD6" w14:textId="61A15884" w:rsidR="00792C35" w:rsidRDefault="00792C35" w:rsidP="00792C35">
      <w:pPr>
        <w:pStyle w:val="Ttulo2"/>
        <w:rPr>
          <w:lang w:val="es-ES"/>
        </w:rPr>
      </w:pPr>
      <w:bookmarkStart w:id="52" w:name="_Toc136032681"/>
      <w:r>
        <w:rPr>
          <w:lang w:val="es-ES"/>
        </w:rPr>
        <w:t>Diseño de la red móvil</w:t>
      </w:r>
      <w:bookmarkEnd w:id="52"/>
    </w:p>
    <w:p w14:paraId="7AF75235" w14:textId="5B6CC6E5" w:rsidR="00A6672F" w:rsidRPr="00A6672F" w:rsidRDefault="00A6672F" w:rsidP="00A6672F">
      <w:pPr>
        <w:pStyle w:val="Ttulo3"/>
        <w:rPr>
          <w:lang w:val="es-ES"/>
        </w:rPr>
      </w:pPr>
      <w:r>
        <w:rPr>
          <w:lang w:val="es-ES"/>
        </w:rPr>
        <w:t>Red de acceso móvil</w:t>
      </w:r>
    </w:p>
    <w:p w14:paraId="609AA520" w14:textId="5CB741ED" w:rsidR="00D3461E" w:rsidRDefault="00061DEC" w:rsidP="00F545DD">
      <w:pPr>
        <w:rPr>
          <w:lang w:val="es-ES"/>
        </w:rPr>
      </w:pPr>
      <w:r>
        <w:rPr>
          <w:lang w:val="es-ES"/>
        </w:rPr>
        <w:t xml:space="preserve">La red </w:t>
      </w:r>
      <w:r w:rsidR="00A64C5B">
        <w:rPr>
          <w:lang w:val="es-ES"/>
        </w:rPr>
        <w:t xml:space="preserve">de acceso móvil comprende </w:t>
      </w:r>
      <w:r w:rsidR="00D55E5D">
        <w:rPr>
          <w:lang w:val="es-ES"/>
        </w:rPr>
        <w:t>aquellos</w:t>
      </w:r>
      <w:r w:rsidR="00A64C5B">
        <w:rPr>
          <w:lang w:val="es-ES"/>
        </w:rPr>
        <w:t xml:space="preserve"> activos</w:t>
      </w:r>
      <w:r w:rsidR="00D55E5D">
        <w:rPr>
          <w:lang w:val="es-ES"/>
        </w:rPr>
        <w:t xml:space="preserve"> desplegados por los operadores en los emplazamientos móviles de la red. Estos activos </w:t>
      </w:r>
      <w:r w:rsidR="00D3461E">
        <w:rPr>
          <w:lang w:val="es-ES"/>
        </w:rPr>
        <w:t>incluyen</w:t>
      </w:r>
      <w:r w:rsidR="00D55E5D">
        <w:rPr>
          <w:lang w:val="es-ES"/>
        </w:rPr>
        <w:t xml:space="preserve"> típicamente la infraestructura civil (predio y torre</w:t>
      </w:r>
      <w:r w:rsidR="007000AC">
        <w:rPr>
          <w:lang w:val="es-ES"/>
        </w:rPr>
        <w:t>)</w:t>
      </w:r>
      <w:r w:rsidR="00D3461E">
        <w:rPr>
          <w:lang w:val="es-ES"/>
        </w:rPr>
        <w:t xml:space="preserve">, así como el equipamiento de </w:t>
      </w:r>
      <w:r w:rsidR="00C84C78">
        <w:rPr>
          <w:lang w:val="es-ES"/>
        </w:rPr>
        <w:t>telecomunicaciones</w:t>
      </w:r>
      <w:r w:rsidR="00D3461E">
        <w:rPr>
          <w:lang w:val="es-ES"/>
        </w:rPr>
        <w:t xml:space="preserve"> (estaciones base, nodos </w:t>
      </w:r>
      <w:r w:rsidR="00193652">
        <w:rPr>
          <w:lang w:val="es-ES"/>
        </w:rPr>
        <w:t>s</w:t>
      </w:r>
      <w:r w:rsidR="00D3461E">
        <w:rPr>
          <w:lang w:val="es-ES"/>
        </w:rPr>
        <w:t>ingle</w:t>
      </w:r>
      <w:r w:rsidR="00193652">
        <w:rPr>
          <w:lang w:val="es-ES"/>
        </w:rPr>
        <w:t xml:space="preserve"> RAN</w:t>
      </w:r>
      <w:r w:rsidR="00D3461E">
        <w:rPr>
          <w:lang w:val="es-ES"/>
        </w:rPr>
        <w:t>, etc.) y el equipamiento de fuerza y seguridad que fuera necesario para los emplazamientos.</w:t>
      </w:r>
    </w:p>
    <w:p w14:paraId="41FA6CFC" w14:textId="6D071A13" w:rsidR="00BF6EFE" w:rsidRDefault="00D3461E" w:rsidP="00F545DD">
      <w:pPr>
        <w:rPr>
          <w:lang w:val="es-ES"/>
        </w:rPr>
      </w:pPr>
      <w:r>
        <w:rPr>
          <w:lang w:val="es-ES"/>
        </w:rPr>
        <w:t xml:space="preserve">Para el dimensionado de </w:t>
      </w:r>
      <w:r w:rsidR="00462EEB">
        <w:rPr>
          <w:lang w:val="es-ES"/>
        </w:rPr>
        <w:t xml:space="preserve">la </w:t>
      </w:r>
      <w:r>
        <w:rPr>
          <w:lang w:val="es-ES"/>
        </w:rPr>
        <w:t>red</w:t>
      </w:r>
      <w:r w:rsidR="00462EEB">
        <w:rPr>
          <w:lang w:val="es-ES"/>
        </w:rPr>
        <w:t xml:space="preserve"> de acceso móvil</w:t>
      </w:r>
      <w:r>
        <w:rPr>
          <w:lang w:val="es-ES"/>
        </w:rPr>
        <w:t xml:space="preserve">, en primer lugar es necesario estimar el número </w:t>
      </w:r>
      <w:r w:rsidR="00363295">
        <w:rPr>
          <w:lang w:val="es-ES"/>
        </w:rPr>
        <w:t xml:space="preserve">de </w:t>
      </w:r>
      <w:r w:rsidR="00BF6EFE">
        <w:rPr>
          <w:lang w:val="es-ES"/>
        </w:rPr>
        <w:t xml:space="preserve">nodos de acceso </w:t>
      </w:r>
      <w:r>
        <w:rPr>
          <w:lang w:val="es-ES"/>
        </w:rPr>
        <w:t xml:space="preserve">a desplegar por el operador modelado para </w:t>
      </w:r>
      <w:r w:rsidR="00BF6EFE">
        <w:rPr>
          <w:lang w:val="es-ES"/>
        </w:rPr>
        <w:t>cada tecnología</w:t>
      </w:r>
      <w:r w:rsidR="00BE4C7B">
        <w:rPr>
          <w:lang w:val="es-ES"/>
        </w:rPr>
        <w:t xml:space="preserve"> de acceso (</w:t>
      </w:r>
      <w:r w:rsidR="00BE4C7B" w:rsidRPr="00BE4C7B">
        <w:rPr>
          <w:lang w:val="es-ES"/>
        </w:rPr>
        <w:t>GSM, UMTS, LTE y 5G</w:t>
      </w:r>
      <w:r w:rsidR="00BE4C7B">
        <w:rPr>
          <w:lang w:val="es-ES"/>
        </w:rPr>
        <w:t>)</w:t>
      </w:r>
      <w:r w:rsidR="00BF6EFE">
        <w:rPr>
          <w:lang w:val="es-ES"/>
        </w:rPr>
        <w:t xml:space="preserve"> durante el periodo modelado</w:t>
      </w:r>
      <w:r>
        <w:rPr>
          <w:lang w:val="es-ES"/>
        </w:rPr>
        <w:t>.</w:t>
      </w:r>
      <w:r w:rsidR="00462EEB">
        <w:rPr>
          <w:lang w:val="es-ES"/>
        </w:rPr>
        <w:t xml:space="preserve"> Para este cálculo, es necesario estimar</w:t>
      </w:r>
      <w:r w:rsidR="0062621A">
        <w:rPr>
          <w:lang w:val="es-ES"/>
        </w:rPr>
        <w:t xml:space="preserve"> por separado</w:t>
      </w:r>
      <w:r w:rsidR="00462EEB">
        <w:rPr>
          <w:lang w:val="es-ES"/>
        </w:rPr>
        <w:t xml:space="preserve">, por un lado, las necesidades de cobertura para cada una de las redes y, por otro lado, las necesidades con base </w:t>
      </w:r>
      <w:r w:rsidR="00363295">
        <w:rPr>
          <w:lang w:val="es-ES"/>
        </w:rPr>
        <w:t>en</w:t>
      </w:r>
      <w:r w:rsidR="00462EEB">
        <w:rPr>
          <w:lang w:val="es-ES"/>
        </w:rPr>
        <w:t xml:space="preserve"> la demanda de servicios (tráfico) de los usuarios.</w:t>
      </w:r>
    </w:p>
    <w:p w14:paraId="0B0A5458" w14:textId="6DC072EC" w:rsidR="0062621A" w:rsidRDefault="0062621A" w:rsidP="00F545DD">
      <w:pPr>
        <w:rPr>
          <w:lang w:val="es-ES"/>
        </w:rPr>
      </w:pPr>
      <w:r>
        <w:rPr>
          <w:lang w:val="es-ES"/>
        </w:rPr>
        <w:t>En este sentido, las necesidades de cobertura y capacidad no son homogéneas a lo largo de una red móvil. En aquellas zonas con una mayor densidad de población (y por tanto de usuarios móviles), las restricciones</w:t>
      </w:r>
      <w:r w:rsidR="00581B3D">
        <w:rPr>
          <w:lang w:val="es-ES"/>
        </w:rPr>
        <w:t xml:space="preserve"> de capacidad serán mayores, implicando un mayor despliegue de nodos de acceso comparado con zonas rurales</w:t>
      </w:r>
      <w:r w:rsidR="00021903">
        <w:rPr>
          <w:lang w:val="es-ES"/>
        </w:rPr>
        <w:t xml:space="preserve"> donde exista un volumen limitado de usuarios. Al mismo tiempo, desde un punto de vista de cobert</w:t>
      </w:r>
      <w:r w:rsidR="00BE4C7B">
        <w:rPr>
          <w:lang w:val="es-ES"/>
        </w:rPr>
        <w:t>ura, las capacidades de propagación varían en función del entorno, teniendo más dificultades en entornos urbanos con múltiples obstáculos comparado con zonas rurales. Estas diferencias llevan a que el análisis de la red móvil se realice de forma diferenciada para cada uno de los geotipos definidos.</w:t>
      </w:r>
    </w:p>
    <w:p w14:paraId="6C613C79" w14:textId="08169494" w:rsidR="00474DB4" w:rsidRDefault="00DD6BAD" w:rsidP="00474DB4">
      <w:pPr>
        <w:rPr>
          <w:lang w:val="es-ES"/>
        </w:rPr>
      </w:pPr>
      <w:r>
        <w:rPr>
          <w:lang w:val="es-ES"/>
        </w:rPr>
        <w:t>E</w:t>
      </w:r>
      <w:r w:rsidR="009022B5">
        <w:rPr>
          <w:lang w:val="es-ES"/>
        </w:rPr>
        <w:t>n primer lugar</w:t>
      </w:r>
      <w:r w:rsidR="00363295">
        <w:rPr>
          <w:lang w:val="es-ES"/>
        </w:rPr>
        <w:t>,</w:t>
      </w:r>
      <w:r w:rsidR="009022B5">
        <w:rPr>
          <w:lang w:val="es-ES"/>
        </w:rPr>
        <w:t xml:space="preserve"> se realiza el cálculo del número de </w:t>
      </w:r>
      <w:r w:rsidR="007D13BF">
        <w:rPr>
          <w:lang w:val="es-ES"/>
        </w:rPr>
        <w:t>nodos de acceso</w:t>
      </w:r>
      <w:r w:rsidR="009022B5">
        <w:rPr>
          <w:lang w:val="es-ES"/>
        </w:rPr>
        <w:t xml:space="preserve"> necesarios po</w:t>
      </w:r>
      <w:r w:rsidR="008A2C89">
        <w:rPr>
          <w:lang w:val="es-ES"/>
        </w:rPr>
        <w:t>r la restricción de cobertura. Para este análisis, se tiene en cuenta las</w:t>
      </w:r>
      <w:r w:rsidR="00061DEC">
        <w:rPr>
          <w:lang w:val="es-ES"/>
        </w:rPr>
        <w:t xml:space="preserve"> distintas bandas de frecuencias </w:t>
      </w:r>
      <w:r w:rsidR="000F781E">
        <w:rPr>
          <w:lang w:val="es-ES"/>
        </w:rPr>
        <w:t xml:space="preserve">para proveer cobertura </w:t>
      </w:r>
      <w:r w:rsidR="00565B27">
        <w:rPr>
          <w:lang w:val="es-ES"/>
        </w:rPr>
        <w:t>supuestas para cada operador (ver la</w:t>
      </w:r>
      <w:r w:rsidR="00061DEC">
        <w:rPr>
          <w:lang w:val="es-ES"/>
        </w:rPr>
        <w:t xml:space="preserve"> </w:t>
      </w:r>
      <w:r w:rsidR="007479E3">
        <w:rPr>
          <w:lang w:val="es-ES"/>
        </w:rPr>
        <w:fldChar w:fldCharType="begin"/>
      </w:r>
      <w:r w:rsidR="007479E3">
        <w:rPr>
          <w:lang w:val="es-ES"/>
        </w:rPr>
        <w:instrText xml:space="preserve"> REF _Ref135410034 \h </w:instrText>
      </w:r>
      <w:r w:rsidR="007479E3">
        <w:rPr>
          <w:lang w:val="es-ES"/>
        </w:rPr>
      </w:r>
      <w:r w:rsidR="007479E3">
        <w:rPr>
          <w:lang w:val="es-ES"/>
        </w:rPr>
        <w:fldChar w:fldCharType="separate"/>
      </w:r>
      <w:r w:rsidR="00020F8B" w:rsidRPr="00FC420F">
        <w:rPr>
          <w:lang w:val="es-ES"/>
        </w:rPr>
        <w:t xml:space="preserve">Figura </w:t>
      </w:r>
      <w:r w:rsidR="00020F8B">
        <w:rPr>
          <w:noProof/>
          <w:lang w:val="es-ES"/>
        </w:rPr>
        <w:t>3</w:t>
      </w:r>
      <w:r w:rsidR="00020F8B" w:rsidRPr="00FC420F">
        <w:rPr>
          <w:lang w:val="es-ES"/>
        </w:rPr>
        <w:t>.</w:t>
      </w:r>
      <w:r w:rsidR="00020F8B">
        <w:rPr>
          <w:noProof/>
          <w:lang w:val="es-ES"/>
        </w:rPr>
        <w:t>37</w:t>
      </w:r>
      <w:r w:rsidR="007479E3">
        <w:rPr>
          <w:lang w:val="es-ES"/>
        </w:rPr>
        <w:fldChar w:fldCharType="end"/>
      </w:r>
      <w:r w:rsidR="00565B27">
        <w:rPr>
          <w:lang w:val="es-ES"/>
        </w:rPr>
        <w:t>)</w:t>
      </w:r>
      <w:r w:rsidR="007479E3">
        <w:rPr>
          <w:lang w:val="es-ES"/>
        </w:rPr>
        <w:t xml:space="preserve">. </w:t>
      </w:r>
      <w:r>
        <w:rPr>
          <w:lang w:val="es-ES"/>
        </w:rPr>
        <w:t xml:space="preserve"> </w:t>
      </w:r>
      <w:r w:rsidR="00474DB4" w:rsidRPr="00474DB4">
        <w:rPr>
          <w:lang w:val="es-ES"/>
        </w:rPr>
        <w:t xml:space="preserve">El número de </w:t>
      </w:r>
      <w:r w:rsidR="000F781E">
        <w:rPr>
          <w:lang w:val="es-ES"/>
        </w:rPr>
        <w:t xml:space="preserve">nodos de acceso </w:t>
      </w:r>
      <w:r w:rsidR="00474DB4" w:rsidRPr="00474DB4">
        <w:rPr>
          <w:lang w:val="es-ES"/>
        </w:rPr>
        <w:t xml:space="preserve">de cobertura en el modelo se determina </w:t>
      </w:r>
      <w:r w:rsidR="00474DB4">
        <w:rPr>
          <w:lang w:val="es-ES"/>
        </w:rPr>
        <w:t>co</w:t>
      </w:r>
      <w:r w:rsidR="00474DB4" w:rsidRPr="00474DB4">
        <w:rPr>
          <w:lang w:val="es-ES"/>
        </w:rPr>
        <w:t xml:space="preserve">n base </w:t>
      </w:r>
      <w:r w:rsidR="00474DB4">
        <w:rPr>
          <w:lang w:val="es-ES"/>
        </w:rPr>
        <w:t>en el</w:t>
      </w:r>
      <w:r w:rsidR="00474DB4" w:rsidRPr="00474DB4">
        <w:rPr>
          <w:lang w:val="es-ES"/>
        </w:rPr>
        <w:t xml:space="preserve"> área cubierta por cada celda. Esta área está relacionada con el radio teórico de cobertura</w:t>
      </w:r>
      <w:r w:rsidR="00953859">
        <w:rPr>
          <w:lang w:val="es-ES"/>
        </w:rPr>
        <w:t xml:space="preserve"> </w:t>
      </w:r>
      <w:r w:rsidR="0015125D">
        <w:rPr>
          <w:lang w:val="es-ES"/>
        </w:rPr>
        <w:t>(ver</w:t>
      </w:r>
      <w:r w:rsidR="00E24328">
        <w:rPr>
          <w:lang w:val="es-ES"/>
        </w:rPr>
        <w:t xml:space="preserve"> la </w:t>
      </w:r>
      <w:r w:rsidR="00E24328">
        <w:rPr>
          <w:lang w:val="es-ES"/>
        </w:rPr>
        <w:fldChar w:fldCharType="begin"/>
      </w:r>
      <w:r w:rsidR="00E24328">
        <w:rPr>
          <w:lang w:val="es-ES"/>
        </w:rPr>
        <w:instrText xml:space="preserve"> REF _Ref135845153 \h </w:instrText>
      </w:r>
      <w:r w:rsidR="00E24328">
        <w:rPr>
          <w:lang w:val="es-ES"/>
        </w:rPr>
      </w:r>
      <w:r w:rsidR="00E24328">
        <w:rPr>
          <w:lang w:val="es-ES"/>
        </w:rPr>
        <w:fldChar w:fldCharType="separate"/>
      </w:r>
      <w:r w:rsidR="00020F8B" w:rsidRPr="00D5435C">
        <w:rPr>
          <w:lang w:val="es-ES"/>
        </w:rPr>
        <w:t xml:space="preserve">Figura </w:t>
      </w:r>
      <w:r w:rsidR="00020F8B">
        <w:rPr>
          <w:noProof/>
          <w:lang w:val="es-ES"/>
        </w:rPr>
        <w:t>3</w:t>
      </w:r>
      <w:r w:rsidR="00020F8B" w:rsidRPr="00D5435C">
        <w:rPr>
          <w:lang w:val="es-ES"/>
        </w:rPr>
        <w:t>.</w:t>
      </w:r>
      <w:r w:rsidR="00020F8B">
        <w:rPr>
          <w:noProof/>
          <w:lang w:val="es-ES"/>
        </w:rPr>
        <w:t>39</w:t>
      </w:r>
      <w:r w:rsidR="00E24328">
        <w:rPr>
          <w:lang w:val="es-ES"/>
        </w:rPr>
        <w:fldChar w:fldCharType="end"/>
      </w:r>
      <w:r w:rsidR="0015125D">
        <w:rPr>
          <w:lang w:val="es-ES"/>
        </w:rPr>
        <w:t>)</w:t>
      </w:r>
      <w:r w:rsidR="00E24328">
        <w:rPr>
          <w:lang w:val="es-ES"/>
        </w:rPr>
        <w:t>.</w:t>
      </w:r>
      <w:r w:rsidR="0015125D">
        <w:rPr>
          <w:lang w:val="es-ES"/>
        </w:rPr>
        <w:t xml:space="preserve"> </w:t>
      </w:r>
      <w:r w:rsidR="00474DB4" w:rsidRPr="00474DB4">
        <w:rPr>
          <w:lang w:val="es-ES"/>
        </w:rPr>
        <w:t>Además del radio teórico, se aplica un factor de ajuste para tener en cuenta el posicionamiento imperfecto de las celdas en las áreas de cobertura. Este factor tiene en cuenta las variaciones y limitaciones en la ubicación física de las celdas, lo que puede afectar su cobertura real.</w:t>
      </w:r>
      <w:r w:rsidR="009B7EA2">
        <w:rPr>
          <w:lang w:val="es-ES"/>
        </w:rPr>
        <w:t xml:space="preserve"> </w:t>
      </w:r>
      <w:r w:rsidR="00474DB4" w:rsidRPr="00474DB4">
        <w:rPr>
          <w:lang w:val="es-ES"/>
        </w:rPr>
        <w:t>Adicionalmente, el modelo se ha calibrado utilizando los datos disponibles de radiobases de los operadores reales</w:t>
      </w:r>
      <w:r w:rsidR="00513D81">
        <w:rPr>
          <w:lang w:val="es-ES"/>
        </w:rPr>
        <w:t>,</w:t>
      </w:r>
      <w:r w:rsidR="00474DB4" w:rsidRPr="00474DB4">
        <w:rPr>
          <w:lang w:val="es-ES"/>
        </w:rPr>
        <w:t xml:space="preserve"> </w:t>
      </w:r>
      <w:r w:rsidR="00513D81" w:rsidRPr="00513D81">
        <w:rPr>
          <w:lang w:val="es-ES"/>
        </w:rPr>
        <w:t>asumiendo un nivel de cobertura poblacional de los operadores en línea con su cobertura real</w:t>
      </w:r>
      <w:r w:rsidR="00474DB4" w:rsidRPr="00474DB4">
        <w:rPr>
          <w:lang w:val="es-ES"/>
        </w:rPr>
        <w:t>.</w:t>
      </w:r>
    </w:p>
    <w:p w14:paraId="02C927EC" w14:textId="704B4BAC" w:rsidR="002A350C" w:rsidRPr="00CD1DDC" w:rsidRDefault="00CD1DDC" w:rsidP="00474DB4">
      <w:pPr>
        <w:rPr>
          <w:lang w:val="es-ES"/>
        </w:rPr>
      </w:pPr>
      <w:r w:rsidRPr="00CD1DDC">
        <w:rPr>
          <w:lang w:val="es-ES"/>
        </w:rPr>
        <w:t>De manera posterior, se realiza</w:t>
      </w:r>
      <w:r w:rsidR="00363295">
        <w:rPr>
          <w:lang w:val="es-ES"/>
        </w:rPr>
        <w:t>n</w:t>
      </w:r>
      <w:r w:rsidRPr="00CD1DDC">
        <w:rPr>
          <w:lang w:val="es-ES"/>
        </w:rPr>
        <w:t xml:space="preserve"> </w:t>
      </w:r>
      <w:r>
        <w:rPr>
          <w:lang w:val="es-ES"/>
        </w:rPr>
        <w:t xml:space="preserve">las estimaciones oportunas </w:t>
      </w:r>
      <w:r w:rsidR="00425F86">
        <w:rPr>
          <w:lang w:val="es-ES"/>
        </w:rPr>
        <w:t xml:space="preserve">para cumplir las restricciones por capacidad. En esta estimación, </w:t>
      </w:r>
      <w:r w:rsidR="0015150E">
        <w:rPr>
          <w:lang w:val="es-ES"/>
        </w:rPr>
        <w:t xml:space="preserve">se parte de los </w:t>
      </w:r>
      <w:r w:rsidR="007D13BF">
        <w:rPr>
          <w:lang w:val="es-ES"/>
        </w:rPr>
        <w:t>nodos de acceso</w:t>
      </w:r>
      <w:r w:rsidR="00912E4E">
        <w:rPr>
          <w:lang w:val="es-ES"/>
        </w:rPr>
        <w:t xml:space="preserve"> estimados para cumplir las restricciones de cobertura, los cuales se</w:t>
      </w:r>
      <w:r w:rsidR="006E3E0F">
        <w:rPr>
          <w:lang w:val="es-ES"/>
        </w:rPr>
        <w:t xml:space="preserve"> desplegarían con </w:t>
      </w:r>
      <w:r w:rsidR="008B1B1B">
        <w:rPr>
          <w:lang w:val="es-ES"/>
        </w:rPr>
        <w:t>el espectro</w:t>
      </w:r>
      <w:r w:rsidR="006E3E0F">
        <w:rPr>
          <w:lang w:val="es-ES"/>
        </w:rPr>
        <w:t xml:space="preserve"> m</w:t>
      </w:r>
      <w:r w:rsidR="008B1B1B">
        <w:rPr>
          <w:lang w:val="es-ES"/>
        </w:rPr>
        <w:t>í</w:t>
      </w:r>
      <w:r w:rsidR="006E3E0F">
        <w:rPr>
          <w:lang w:val="es-ES"/>
        </w:rPr>
        <w:t>nim</w:t>
      </w:r>
      <w:r w:rsidR="008B1B1B">
        <w:rPr>
          <w:lang w:val="es-ES"/>
        </w:rPr>
        <w:t>o</w:t>
      </w:r>
      <w:r w:rsidR="006E3E0F">
        <w:rPr>
          <w:lang w:val="es-ES"/>
        </w:rPr>
        <w:t xml:space="preserve"> para poder proveer el servicio. Si la </w:t>
      </w:r>
      <w:r w:rsidR="006E3E0F">
        <w:rPr>
          <w:lang w:val="es-ES"/>
        </w:rPr>
        <w:lastRenderedPageBreak/>
        <w:t xml:space="preserve">capacidad que aportaría esta red de cobertura no fuera suficiente para </w:t>
      </w:r>
      <w:r w:rsidR="00F25796">
        <w:rPr>
          <w:lang w:val="es-ES"/>
        </w:rPr>
        <w:t>cumplir</w:t>
      </w:r>
      <w:r w:rsidR="0066620B">
        <w:rPr>
          <w:lang w:val="es-ES"/>
        </w:rPr>
        <w:t xml:space="preserve"> con los criterios de capacidad para un geotipo y tecnología dados, entonces se procedería a desplegar capacidad adicional en estos </w:t>
      </w:r>
      <w:r w:rsidR="008B1B1B">
        <w:rPr>
          <w:lang w:val="es-ES"/>
        </w:rPr>
        <w:t>nodos de acceso</w:t>
      </w:r>
      <w:r w:rsidR="0066620B">
        <w:rPr>
          <w:lang w:val="es-ES"/>
        </w:rPr>
        <w:t>,</w:t>
      </w:r>
      <w:r w:rsidR="00F43F07">
        <w:rPr>
          <w:lang w:val="es-ES"/>
        </w:rPr>
        <w:t xml:space="preserve"> con bandas adicionales de espectro. En caso de que esta estrategia no fuera suficiente (esto es, todos los </w:t>
      </w:r>
      <w:r w:rsidR="008F24FD">
        <w:rPr>
          <w:lang w:val="es-ES"/>
        </w:rPr>
        <w:t xml:space="preserve">nodos de acceso </w:t>
      </w:r>
      <w:r w:rsidR="00F43F07">
        <w:rPr>
          <w:lang w:val="es-ES"/>
        </w:rPr>
        <w:t>de cobertura han maximizado la capacidad que podrían ofrecer</w:t>
      </w:r>
      <w:r w:rsidR="00953859">
        <w:rPr>
          <w:lang w:val="es-ES"/>
        </w:rPr>
        <w:t xml:space="preserve"> y aun así no se cumple la restricción de capacidad), se procedería a desplegar </w:t>
      </w:r>
      <w:r w:rsidR="008F24FD">
        <w:rPr>
          <w:lang w:val="es-ES"/>
        </w:rPr>
        <w:t xml:space="preserve">nodos de acceso </w:t>
      </w:r>
      <w:r w:rsidR="00953859">
        <w:rPr>
          <w:lang w:val="es-ES"/>
        </w:rPr>
        <w:t>adicionales hasta que se cumpliera con los criterios de capacidad.</w:t>
      </w:r>
    </w:p>
    <w:p w14:paraId="0EF0F36F" w14:textId="56EBD373" w:rsidR="00DE4266" w:rsidRDefault="00DE4266" w:rsidP="00DE4266">
      <w:pPr>
        <w:rPr>
          <w:lang w:val="es-ES"/>
        </w:rPr>
      </w:pPr>
      <w:r w:rsidRPr="00DE4266">
        <w:rPr>
          <w:lang w:val="es-ES"/>
        </w:rPr>
        <w:t xml:space="preserve">Para calcular el número </w:t>
      </w:r>
      <w:r w:rsidR="00F13C73">
        <w:rPr>
          <w:lang w:val="es-ES"/>
        </w:rPr>
        <w:t xml:space="preserve">de </w:t>
      </w:r>
      <w:r w:rsidRPr="00DE4266">
        <w:rPr>
          <w:lang w:val="es-ES"/>
        </w:rPr>
        <w:t xml:space="preserve">emplazamientos </w:t>
      </w:r>
      <w:r w:rsidR="00F13C73">
        <w:rPr>
          <w:lang w:val="es-ES"/>
        </w:rPr>
        <w:t xml:space="preserve">físicos </w:t>
      </w:r>
      <w:r w:rsidRPr="00DE4266">
        <w:rPr>
          <w:lang w:val="es-ES"/>
        </w:rPr>
        <w:t xml:space="preserve">requeridos se tienen en cuenta el número de </w:t>
      </w:r>
      <w:r w:rsidR="00F13C73">
        <w:rPr>
          <w:lang w:val="es-ES"/>
        </w:rPr>
        <w:t xml:space="preserve">nodos de acceso </w:t>
      </w:r>
      <w:r w:rsidRPr="00DE4266">
        <w:rPr>
          <w:lang w:val="es-ES"/>
        </w:rPr>
        <w:t xml:space="preserve">para cada una de las diferentes </w:t>
      </w:r>
      <w:r w:rsidR="00D91616">
        <w:rPr>
          <w:lang w:val="es-ES"/>
        </w:rPr>
        <w:t>tecnologías de acceso</w:t>
      </w:r>
      <w:r w:rsidR="00AE5056">
        <w:rPr>
          <w:lang w:val="es-ES"/>
        </w:rPr>
        <w:t xml:space="preserve">. El modelo estimará cuantos de estos nodos de acceso se podrán coubicar en emplazamientos multi tecnología y </w:t>
      </w:r>
      <w:r w:rsidR="00363295">
        <w:rPr>
          <w:lang w:val="es-ES"/>
        </w:rPr>
        <w:t xml:space="preserve">con </w:t>
      </w:r>
      <w:r w:rsidR="00AE5056">
        <w:rPr>
          <w:lang w:val="es-ES"/>
        </w:rPr>
        <w:t>cuantos no será posible</w:t>
      </w:r>
      <w:r w:rsidR="002E4703">
        <w:rPr>
          <w:lang w:val="es-ES"/>
        </w:rPr>
        <w:t>, llevando a emplazamientos de una única tecnología. De esta forma, observaríamos las siguientes tipologías de emplazamientos:</w:t>
      </w:r>
    </w:p>
    <w:p w14:paraId="5CC47092" w14:textId="77777777" w:rsidR="00FB54DF" w:rsidRDefault="00DE4266">
      <w:pPr>
        <w:pStyle w:val="ListBulletCompact"/>
        <w:numPr>
          <w:ilvl w:val="0"/>
          <w:numId w:val="33"/>
        </w:numPr>
        <w:rPr>
          <w:lang w:val="es-ES"/>
        </w:rPr>
      </w:pPr>
      <w:r w:rsidRPr="00FB54DF">
        <w:rPr>
          <w:lang w:val="es-ES"/>
        </w:rPr>
        <w:t>sitios solo 2G</w:t>
      </w:r>
    </w:p>
    <w:p w14:paraId="7A30855D" w14:textId="77777777" w:rsidR="00FB54DF" w:rsidRDefault="00DE4266">
      <w:pPr>
        <w:pStyle w:val="ListBulletCompact"/>
        <w:numPr>
          <w:ilvl w:val="0"/>
          <w:numId w:val="33"/>
        </w:numPr>
        <w:rPr>
          <w:lang w:val="es-ES"/>
        </w:rPr>
      </w:pPr>
      <w:r w:rsidRPr="00FB54DF">
        <w:rPr>
          <w:lang w:val="es-ES"/>
        </w:rPr>
        <w:t>sitios solo 3G</w:t>
      </w:r>
    </w:p>
    <w:p w14:paraId="4BFEBAE5" w14:textId="77777777" w:rsidR="00FB54DF" w:rsidRDefault="00DE4266">
      <w:pPr>
        <w:pStyle w:val="ListBulletCompact"/>
        <w:numPr>
          <w:ilvl w:val="0"/>
          <w:numId w:val="33"/>
        </w:numPr>
        <w:rPr>
          <w:lang w:val="es-ES"/>
        </w:rPr>
      </w:pPr>
      <w:r w:rsidRPr="00DE4266">
        <w:rPr>
          <w:lang w:val="es-ES"/>
        </w:rPr>
        <w:t>sitios solo 4G</w:t>
      </w:r>
    </w:p>
    <w:p w14:paraId="7108AA3B" w14:textId="77777777" w:rsidR="00FB54DF" w:rsidRDefault="00DE4266">
      <w:pPr>
        <w:pStyle w:val="ListBulletCompact"/>
        <w:numPr>
          <w:ilvl w:val="0"/>
          <w:numId w:val="33"/>
        </w:numPr>
        <w:rPr>
          <w:lang w:val="es-ES"/>
        </w:rPr>
      </w:pPr>
      <w:r w:rsidRPr="00DE4266">
        <w:rPr>
          <w:lang w:val="es-ES"/>
        </w:rPr>
        <w:t>sitios 5G</w:t>
      </w:r>
      <w:r w:rsidRPr="00FB54DF">
        <w:rPr>
          <w:lang w:val="es-ES"/>
        </w:rPr>
        <w:t xml:space="preserve"> - </w:t>
      </w:r>
      <w:r w:rsidRPr="00DE4266">
        <w:rPr>
          <w:lang w:val="es-ES"/>
        </w:rPr>
        <w:t>se asume la tecnología 5G NSA (non-standalone), la cual implica el despliegue sobre los nodos 4G existentes</w:t>
      </w:r>
    </w:p>
    <w:p w14:paraId="6D46C767" w14:textId="06F96DD9" w:rsidR="002E4703" w:rsidRPr="002631B7" w:rsidRDefault="00DE4266" w:rsidP="002631B7">
      <w:pPr>
        <w:pStyle w:val="ListBulletCompact"/>
        <w:numPr>
          <w:ilvl w:val="0"/>
          <w:numId w:val="33"/>
        </w:numPr>
        <w:rPr>
          <w:lang w:val="es-ES"/>
        </w:rPr>
      </w:pPr>
      <w:r w:rsidRPr="00DE4266">
        <w:rPr>
          <w:lang w:val="es-ES"/>
        </w:rPr>
        <w:t>sitios multi-tecnología</w:t>
      </w:r>
    </w:p>
    <w:p w14:paraId="10A1D5CA" w14:textId="557AD21D" w:rsidR="002E4703" w:rsidRPr="00FB54DF" w:rsidRDefault="002E4703" w:rsidP="002631B7">
      <w:pPr>
        <w:rPr>
          <w:lang w:val="es-ES"/>
        </w:rPr>
      </w:pPr>
      <w:r>
        <w:rPr>
          <w:lang w:val="es-ES"/>
        </w:rPr>
        <w:t>La relación entre estos emplazamientos se muestra en el diagrama a continuación.</w:t>
      </w:r>
    </w:p>
    <w:p w14:paraId="7DBAD9AE" w14:textId="76345723" w:rsidR="00DE4266" w:rsidRPr="00D5435C" w:rsidRDefault="00DE4266" w:rsidP="00DE4266">
      <w:pPr>
        <w:pStyle w:val="Descripcin"/>
        <w:rPr>
          <w:lang w:val="es-ES"/>
        </w:rPr>
      </w:pPr>
      <w:r w:rsidRPr="00D5435C">
        <w:rPr>
          <w:lang w:val="es-ES"/>
        </w:rPr>
        <w:t xml:space="preserve">Figura </w:t>
      </w:r>
      <w:r>
        <w:rPr>
          <w:lang w:val="es-ES"/>
        </w:rPr>
        <w:fldChar w:fldCharType="begin"/>
      </w:r>
      <w:r w:rsidRPr="00D5435C">
        <w:rPr>
          <w:lang w:val="es-ES"/>
        </w:rPr>
        <w:instrText xml:space="preserve"> STYLEREF 1 \s \* MERGEFORMAT </w:instrText>
      </w:r>
      <w:r>
        <w:rPr>
          <w:lang w:val="es-ES"/>
        </w:rPr>
        <w:fldChar w:fldCharType="separate"/>
      </w:r>
      <w:r w:rsidR="00020F8B">
        <w:rPr>
          <w:noProof/>
          <w:lang w:val="es-ES"/>
        </w:rPr>
        <w:t>4</w:t>
      </w:r>
      <w:r>
        <w:rPr>
          <w:lang w:val="es-ES"/>
        </w:rPr>
        <w:fldChar w:fldCharType="end"/>
      </w:r>
      <w:r w:rsidRPr="00D5435C">
        <w:rPr>
          <w:lang w:val="es-ES"/>
        </w:rPr>
        <w:t>.</w:t>
      </w:r>
      <w:r>
        <w:rPr>
          <w:lang w:val="es-ES"/>
        </w:rPr>
        <w:fldChar w:fldCharType="begin"/>
      </w:r>
      <w:r w:rsidRPr="00D5435C">
        <w:rPr>
          <w:lang w:val="es-ES"/>
        </w:rPr>
        <w:instrText xml:space="preserve"> SEQ Ilustración \* ARABIC \s 1 \* MERGEFORMAT </w:instrText>
      </w:r>
      <w:r>
        <w:rPr>
          <w:lang w:val="es-ES"/>
        </w:rPr>
        <w:fldChar w:fldCharType="separate"/>
      </w:r>
      <w:r w:rsidR="00020F8B">
        <w:rPr>
          <w:noProof/>
          <w:lang w:val="es-ES"/>
        </w:rPr>
        <w:t>2</w:t>
      </w:r>
      <w:r>
        <w:rPr>
          <w:lang w:val="es-ES"/>
        </w:rPr>
        <w:fldChar w:fldCharType="end"/>
      </w:r>
      <w:r w:rsidRPr="00D5435C">
        <w:rPr>
          <w:lang w:val="es-ES"/>
        </w:rPr>
        <w:t xml:space="preserve">: </w:t>
      </w:r>
      <w:r w:rsidR="00964C88" w:rsidRPr="00964C88">
        <w:rPr>
          <w:lang w:val="es-ES"/>
        </w:rPr>
        <w:t xml:space="preserve">Distribución de torres entre tecnologías inalámbricas </w:t>
      </w:r>
      <w:r w:rsidRPr="00D5435C">
        <w:rPr>
          <w:lang w:val="es-ES"/>
        </w:rPr>
        <w:t>[Fuente: Analysys Mason, 2023]</w:t>
      </w:r>
    </w:p>
    <w:p w14:paraId="40B77BDC" w14:textId="4904EB60" w:rsidR="00DE4266" w:rsidRDefault="00964C88" w:rsidP="00964C88">
      <w:pPr>
        <w:jc w:val="center"/>
        <w:rPr>
          <w:lang w:val="es-ES"/>
        </w:rPr>
      </w:pPr>
      <w:r w:rsidRPr="00964C88">
        <w:rPr>
          <w:noProof/>
        </w:rPr>
        <w:drawing>
          <wp:inline distT="0" distB="0" distL="0" distR="0" wp14:anchorId="65C10C08" wp14:editId="156C322E">
            <wp:extent cx="3063958" cy="2620431"/>
            <wp:effectExtent l="0" t="0" r="3175" b="8890"/>
            <wp:docPr id="1528294439" name="Picture 152829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0175" cy="2625748"/>
                    </a:xfrm>
                    <a:prstGeom prst="rect">
                      <a:avLst/>
                    </a:prstGeom>
                    <a:noFill/>
                    <a:ln>
                      <a:noFill/>
                    </a:ln>
                  </pic:spPr>
                </pic:pic>
              </a:graphicData>
            </a:graphic>
          </wp:inline>
        </w:drawing>
      </w:r>
    </w:p>
    <w:p w14:paraId="15C38769" w14:textId="77777777" w:rsidR="00964C88" w:rsidRPr="00DE4266" w:rsidRDefault="00964C88" w:rsidP="00964C88">
      <w:pPr>
        <w:jc w:val="center"/>
        <w:rPr>
          <w:lang w:val="es-ES"/>
        </w:rPr>
      </w:pPr>
    </w:p>
    <w:p w14:paraId="1E4E28E1" w14:textId="60CA01F2" w:rsidR="00721623" w:rsidRDefault="009D02E6" w:rsidP="00964C88">
      <w:pPr>
        <w:jc w:val="left"/>
        <w:rPr>
          <w:lang w:val="es-ES"/>
        </w:rPr>
      </w:pPr>
      <w:r>
        <w:rPr>
          <w:lang w:val="es-ES"/>
        </w:rPr>
        <w:t>En el modelo se asume</w:t>
      </w:r>
      <w:r w:rsidR="00DE4266" w:rsidRPr="00DE4266">
        <w:rPr>
          <w:lang w:val="es-ES"/>
        </w:rPr>
        <w:t xml:space="preserve"> que, siempre que sea posible, los operadores móviles desplegarán prioritariamente las tecnologías más modernas en los emplazamientos ya utilizados para otras </w:t>
      </w:r>
      <w:r>
        <w:rPr>
          <w:lang w:val="es-ES"/>
        </w:rPr>
        <w:t xml:space="preserve">tecnologías </w:t>
      </w:r>
      <w:r w:rsidR="00DE4266" w:rsidRPr="00DE4266">
        <w:rPr>
          <w:lang w:val="es-ES"/>
        </w:rPr>
        <w:t>más antiguas</w:t>
      </w:r>
      <w:r>
        <w:rPr>
          <w:lang w:val="es-ES"/>
        </w:rPr>
        <w:t>.</w:t>
      </w:r>
    </w:p>
    <w:p w14:paraId="0E64B2F3" w14:textId="6D1E2A44" w:rsidR="00792C35" w:rsidRDefault="00792C35" w:rsidP="00792C35">
      <w:pPr>
        <w:pStyle w:val="Ttulo3"/>
        <w:rPr>
          <w:lang w:val="es-ES"/>
        </w:rPr>
      </w:pPr>
      <w:r>
        <w:rPr>
          <w:lang w:val="es-ES"/>
        </w:rPr>
        <w:lastRenderedPageBreak/>
        <w:t>Red de transporte móvil</w:t>
      </w:r>
    </w:p>
    <w:p w14:paraId="2088913C" w14:textId="50AD66EF" w:rsidR="00417733" w:rsidRPr="00417733" w:rsidRDefault="00417733" w:rsidP="00417733">
      <w:pPr>
        <w:rPr>
          <w:lang w:val="es-ES"/>
        </w:rPr>
      </w:pPr>
      <w:r w:rsidRPr="00417733">
        <w:rPr>
          <w:lang w:val="es-ES"/>
        </w:rPr>
        <w:t xml:space="preserve">La transmisión </w:t>
      </w:r>
      <w:r>
        <w:rPr>
          <w:lang w:val="es-ES"/>
        </w:rPr>
        <w:t xml:space="preserve">de la red móvil </w:t>
      </w:r>
      <w:r w:rsidRPr="00417733">
        <w:rPr>
          <w:lang w:val="es-ES"/>
        </w:rPr>
        <w:t>se divide en dos partes: la red troncal o backbone y la red de backhaul</w:t>
      </w:r>
    </w:p>
    <w:p w14:paraId="37D805B2" w14:textId="7BC32A8A" w:rsidR="002743D1" w:rsidRDefault="002743D1" w:rsidP="002743D1">
      <w:pPr>
        <w:pStyle w:val="Prrafodelista"/>
        <w:numPr>
          <w:ilvl w:val="0"/>
          <w:numId w:val="34"/>
        </w:numPr>
        <w:rPr>
          <w:lang w:val="es-ES"/>
        </w:rPr>
      </w:pPr>
      <w:r>
        <w:rPr>
          <w:lang w:val="es-ES"/>
        </w:rPr>
        <w:t>L</w:t>
      </w:r>
      <w:r w:rsidRPr="00A76255">
        <w:rPr>
          <w:lang w:val="es-ES"/>
        </w:rPr>
        <w:t xml:space="preserve">a red de backhaul conecta los emplazamientos de </w:t>
      </w:r>
      <w:r>
        <w:rPr>
          <w:lang w:val="es-ES"/>
        </w:rPr>
        <w:t xml:space="preserve">acceso </w:t>
      </w:r>
      <w:r w:rsidRPr="00A76255">
        <w:rPr>
          <w:lang w:val="es-ES"/>
        </w:rPr>
        <w:t xml:space="preserve">radio con </w:t>
      </w:r>
      <w:r>
        <w:rPr>
          <w:lang w:val="es-ES"/>
        </w:rPr>
        <w:t xml:space="preserve">los emplazamientos del núcleo de la red </w:t>
      </w:r>
      <w:r w:rsidRPr="00A76255">
        <w:rPr>
          <w:lang w:val="es-ES"/>
        </w:rPr>
        <w:t>red troncal mediante enlaces de microondas, fibra óptica y</w:t>
      </w:r>
      <w:r w:rsidR="00BD7398">
        <w:rPr>
          <w:lang w:val="es-ES"/>
        </w:rPr>
        <w:t>/o</w:t>
      </w:r>
      <w:r w:rsidRPr="00A76255">
        <w:rPr>
          <w:lang w:val="es-ES"/>
        </w:rPr>
        <w:t xml:space="preserve"> enlaces dedicados</w:t>
      </w:r>
    </w:p>
    <w:p w14:paraId="3238623F" w14:textId="4B8FEE14" w:rsidR="00417733" w:rsidRPr="00A76255" w:rsidRDefault="00417733" w:rsidP="00417733">
      <w:pPr>
        <w:pStyle w:val="Prrafodelista"/>
        <w:numPr>
          <w:ilvl w:val="0"/>
          <w:numId w:val="34"/>
        </w:numPr>
        <w:rPr>
          <w:lang w:val="es-ES"/>
        </w:rPr>
      </w:pPr>
      <w:r w:rsidRPr="00A76255">
        <w:rPr>
          <w:lang w:val="es-ES"/>
        </w:rPr>
        <w:t xml:space="preserve">La red troncal o backbone consiste en una red de fibra que </w:t>
      </w:r>
      <w:r w:rsidR="00DD69FE">
        <w:rPr>
          <w:lang w:val="es-ES"/>
        </w:rPr>
        <w:t>conectan los emplazamientos de</w:t>
      </w:r>
      <w:r w:rsidR="00363295">
        <w:rPr>
          <w:lang w:val="es-ES"/>
        </w:rPr>
        <w:t>l</w:t>
      </w:r>
      <w:r w:rsidR="00DD69FE">
        <w:rPr>
          <w:lang w:val="es-ES"/>
        </w:rPr>
        <w:t xml:space="preserve"> núcleo de la red</w:t>
      </w:r>
    </w:p>
    <w:p w14:paraId="17AE943F" w14:textId="4DC16E0A" w:rsidR="00417733" w:rsidRDefault="00C520D7" w:rsidP="00BE54FC">
      <w:pPr>
        <w:rPr>
          <w:lang w:val="es-ES"/>
        </w:rPr>
      </w:pPr>
      <w:r>
        <w:rPr>
          <w:lang w:val="es-ES"/>
        </w:rPr>
        <w:t xml:space="preserve">A continuación explicamos </w:t>
      </w:r>
      <w:r w:rsidR="00D364B6">
        <w:rPr>
          <w:lang w:val="es-ES"/>
        </w:rPr>
        <w:t xml:space="preserve">como el modelo determina </w:t>
      </w:r>
      <w:r w:rsidR="00D57B8B">
        <w:rPr>
          <w:lang w:val="es-ES"/>
        </w:rPr>
        <w:t>los elementos de red necesarios para dimensionar apropiadamente cada una de estas redes</w:t>
      </w:r>
      <w:r>
        <w:rPr>
          <w:lang w:val="es-ES"/>
        </w:rPr>
        <w:t>.</w:t>
      </w:r>
    </w:p>
    <w:p w14:paraId="7A0B16ED" w14:textId="23A9DCBC" w:rsidR="00792C35" w:rsidRPr="00792C35" w:rsidRDefault="00792C35" w:rsidP="00792C35">
      <w:pPr>
        <w:pStyle w:val="Ttulo4"/>
        <w:rPr>
          <w:lang w:val="es-ES"/>
        </w:rPr>
      </w:pPr>
      <w:r>
        <w:rPr>
          <w:lang w:val="es-ES"/>
        </w:rPr>
        <w:t>Red de backhaul móvil</w:t>
      </w:r>
    </w:p>
    <w:p w14:paraId="59FB817B" w14:textId="0271BCE2" w:rsidR="00D57B8B" w:rsidRDefault="00072481" w:rsidP="0035265F">
      <w:pPr>
        <w:rPr>
          <w:lang w:val="es-ES"/>
        </w:rPr>
      </w:pPr>
      <w:r>
        <w:rPr>
          <w:lang w:val="es-ES"/>
        </w:rPr>
        <w:t xml:space="preserve">Como se ha mostrado en la sección </w:t>
      </w:r>
      <w:r w:rsidR="00973E91">
        <w:rPr>
          <w:lang w:val="es-ES"/>
        </w:rPr>
        <w:fldChar w:fldCharType="begin"/>
      </w:r>
      <w:r w:rsidR="00973E91">
        <w:rPr>
          <w:lang w:val="es-ES"/>
        </w:rPr>
        <w:instrText xml:space="preserve"> REF _Ref135846388 \r \h </w:instrText>
      </w:r>
      <w:r w:rsidR="00973E91">
        <w:rPr>
          <w:lang w:val="es-ES"/>
        </w:rPr>
      </w:r>
      <w:r w:rsidR="00973E91">
        <w:rPr>
          <w:lang w:val="es-ES"/>
        </w:rPr>
        <w:fldChar w:fldCharType="separate"/>
      </w:r>
      <w:r w:rsidR="00020F8B">
        <w:rPr>
          <w:lang w:val="es-ES"/>
        </w:rPr>
        <w:t>3.2.2</w:t>
      </w:r>
      <w:r w:rsidR="00973E91">
        <w:rPr>
          <w:lang w:val="es-ES"/>
        </w:rPr>
        <w:fldChar w:fldCharType="end"/>
      </w:r>
      <w:r w:rsidR="00973E91">
        <w:rPr>
          <w:lang w:val="es-ES"/>
        </w:rPr>
        <w:t xml:space="preserve">, </w:t>
      </w:r>
      <w:r w:rsidR="0035265F" w:rsidRPr="009A50F0">
        <w:rPr>
          <w:lang w:val="es-ES"/>
        </w:rPr>
        <w:t xml:space="preserve">la red de backhaul </w:t>
      </w:r>
      <w:r w:rsidR="004B737E">
        <w:rPr>
          <w:lang w:val="es-ES"/>
        </w:rPr>
        <w:t>se compone de enlaces</w:t>
      </w:r>
      <w:r w:rsidR="0035265F" w:rsidRPr="009A50F0">
        <w:rPr>
          <w:lang w:val="es-ES"/>
        </w:rPr>
        <w:t xml:space="preserve"> </w:t>
      </w:r>
      <w:r w:rsidR="00D57B8B">
        <w:rPr>
          <w:lang w:val="es-ES"/>
        </w:rPr>
        <w:t xml:space="preserve">que pueden ser de distintas </w:t>
      </w:r>
      <w:r w:rsidR="00193652">
        <w:rPr>
          <w:lang w:val="es-ES"/>
        </w:rPr>
        <w:t>tecnologías</w:t>
      </w:r>
      <w:r w:rsidR="00363295">
        <w:rPr>
          <w:lang w:val="es-ES"/>
        </w:rPr>
        <w:t>:</w:t>
      </w:r>
    </w:p>
    <w:p w14:paraId="4190317E" w14:textId="77777777" w:rsidR="00D57B8B" w:rsidRDefault="0035265F" w:rsidP="00193652">
      <w:pPr>
        <w:pStyle w:val="Prrafodelista"/>
        <w:numPr>
          <w:ilvl w:val="0"/>
          <w:numId w:val="34"/>
        </w:numPr>
        <w:rPr>
          <w:lang w:val="es-ES"/>
        </w:rPr>
      </w:pPr>
      <w:r w:rsidRPr="009A50F0">
        <w:rPr>
          <w:lang w:val="es-ES"/>
        </w:rPr>
        <w:t xml:space="preserve">microondas, </w:t>
      </w:r>
    </w:p>
    <w:p w14:paraId="12B86926" w14:textId="77777777" w:rsidR="00D57B8B" w:rsidRDefault="0035265F" w:rsidP="00193652">
      <w:pPr>
        <w:pStyle w:val="Prrafodelista"/>
        <w:numPr>
          <w:ilvl w:val="0"/>
          <w:numId w:val="34"/>
        </w:numPr>
        <w:rPr>
          <w:lang w:val="es-ES"/>
        </w:rPr>
      </w:pPr>
      <w:r w:rsidRPr="009A50F0">
        <w:rPr>
          <w:lang w:val="es-ES"/>
        </w:rPr>
        <w:t xml:space="preserve">enlaces dedicados y </w:t>
      </w:r>
    </w:p>
    <w:p w14:paraId="3FC64278" w14:textId="77777777" w:rsidR="00D57B8B" w:rsidRDefault="0035265F" w:rsidP="00193652">
      <w:pPr>
        <w:pStyle w:val="Prrafodelista"/>
        <w:numPr>
          <w:ilvl w:val="0"/>
          <w:numId w:val="34"/>
        </w:numPr>
        <w:rPr>
          <w:lang w:val="es-ES"/>
        </w:rPr>
      </w:pPr>
      <w:r w:rsidRPr="009A50F0">
        <w:rPr>
          <w:lang w:val="es-ES"/>
        </w:rPr>
        <w:t>fibra</w:t>
      </w:r>
      <w:r w:rsidR="007C1C6D">
        <w:rPr>
          <w:lang w:val="es-ES"/>
        </w:rPr>
        <w:t xml:space="preserve"> </w:t>
      </w:r>
    </w:p>
    <w:p w14:paraId="1E15149C" w14:textId="0317A8B6" w:rsidR="00F20E92" w:rsidRDefault="00363295" w:rsidP="0035265F">
      <w:pPr>
        <w:rPr>
          <w:lang w:val="es-ES"/>
        </w:rPr>
      </w:pPr>
      <w:r>
        <w:rPr>
          <w:lang w:val="es-ES"/>
        </w:rPr>
        <w:t>E</w:t>
      </w:r>
      <w:r w:rsidR="00D57B8B">
        <w:rPr>
          <w:lang w:val="es-ES"/>
        </w:rPr>
        <w:t xml:space="preserve">l uso de cada una de estas tecnologías dependerá del operador modelado y del geotipo. Por ejemplo, es más </w:t>
      </w:r>
      <w:r w:rsidR="00F20E92">
        <w:rPr>
          <w:lang w:val="es-ES"/>
        </w:rPr>
        <w:t xml:space="preserve">común el uso de fibra propia en entornos urbanos, donde las distancias entre emplazamientos son más cortas y los tráficos por emplazamiento más altos, ya que la fibra proporciona una capacidad muy alta por enlace, pero es muy cara en distancias largas. En cambio, en entornos rurales, es más común el uso de enlaces de microondas, ya que </w:t>
      </w:r>
      <w:r>
        <w:rPr>
          <w:lang w:val="es-ES"/>
        </w:rPr>
        <w:t>estos</w:t>
      </w:r>
      <w:r w:rsidR="00F20E92">
        <w:rPr>
          <w:lang w:val="es-ES"/>
        </w:rPr>
        <w:t xml:space="preserve"> no </w:t>
      </w:r>
      <w:r>
        <w:rPr>
          <w:lang w:val="es-ES"/>
        </w:rPr>
        <w:t>guardan</w:t>
      </w:r>
      <w:r w:rsidR="00F20E92">
        <w:rPr>
          <w:lang w:val="es-ES"/>
        </w:rPr>
        <w:t xml:space="preserve"> una dependencia relevante con la distancia entre los enlaces (la cual es más alta en este tipo de regiones).</w:t>
      </w:r>
    </w:p>
    <w:p w14:paraId="4FAE35CD" w14:textId="15CEFFF2" w:rsidR="006C02D7" w:rsidRDefault="00F20E92" w:rsidP="00B16ACE">
      <w:pPr>
        <w:rPr>
          <w:lang w:val="es-ES"/>
        </w:rPr>
      </w:pPr>
      <w:r>
        <w:rPr>
          <w:lang w:val="es-ES"/>
        </w:rPr>
        <w:t xml:space="preserve">El modelo estima que cada </w:t>
      </w:r>
      <w:r w:rsidR="00B16ACE">
        <w:rPr>
          <w:lang w:val="es-ES"/>
        </w:rPr>
        <w:t>emplazamiento móvil necesitará un enlace de backhaul. Posteriormente, se estima</w:t>
      </w:r>
      <w:r w:rsidR="004B737E">
        <w:rPr>
          <w:lang w:val="es-ES"/>
        </w:rPr>
        <w:t xml:space="preserve"> </w:t>
      </w:r>
      <w:r w:rsidR="00F6716A">
        <w:rPr>
          <w:lang w:val="es-ES"/>
        </w:rPr>
        <w:t>el número de enlaces</w:t>
      </w:r>
      <w:r w:rsidR="00C67D75">
        <w:rPr>
          <w:lang w:val="es-ES"/>
        </w:rPr>
        <w:t xml:space="preserve"> necesarios de cada tecnología</w:t>
      </w:r>
      <w:r w:rsidR="00D4381C">
        <w:rPr>
          <w:lang w:val="es-ES"/>
        </w:rPr>
        <w:t xml:space="preserve">, </w:t>
      </w:r>
      <w:r w:rsidR="00915926">
        <w:rPr>
          <w:lang w:val="es-ES"/>
        </w:rPr>
        <w:t xml:space="preserve">multiplicando el </w:t>
      </w:r>
      <w:r w:rsidR="00665D6C">
        <w:rPr>
          <w:lang w:val="es-ES"/>
        </w:rPr>
        <w:t>total de enlaces necesarios</w:t>
      </w:r>
      <w:r w:rsidR="00C67D75">
        <w:rPr>
          <w:lang w:val="es-ES"/>
        </w:rPr>
        <w:t xml:space="preserve"> </w:t>
      </w:r>
      <w:r w:rsidR="00665D6C">
        <w:rPr>
          <w:lang w:val="es-ES"/>
        </w:rPr>
        <w:t xml:space="preserve">por la </w:t>
      </w:r>
      <w:r w:rsidR="007C1C6D">
        <w:rPr>
          <w:lang w:val="es-ES"/>
        </w:rPr>
        <w:t xml:space="preserve">proporción de cada tipo de enlace </w:t>
      </w:r>
      <w:r w:rsidR="006C02D7">
        <w:rPr>
          <w:lang w:val="es-ES"/>
        </w:rPr>
        <w:t>en cada geotipo</w:t>
      </w:r>
      <w:r w:rsidR="00665D6C">
        <w:rPr>
          <w:lang w:val="es-ES"/>
        </w:rPr>
        <w:t xml:space="preserve"> incluido como insumo del </w:t>
      </w:r>
      <w:r w:rsidR="00A73F37">
        <w:rPr>
          <w:lang w:val="es-ES"/>
        </w:rPr>
        <w:t>m</w:t>
      </w:r>
      <w:r w:rsidR="00665D6C">
        <w:rPr>
          <w:lang w:val="es-ES"/>
        </w:rPr>
        <w:t>ódulo movil</w:t>
      </w:r>
      <w:r w:rsidR="006C02D7">
        <w:rPr>
          <w:lang w:val="es-ES"/>
        </w:rPr>
        <w:t>.</w:t>
      </w:r>
      <w:r w:rsidR="00C63B97">
        <w:rPr>
          <w:lang w:val="es-ES"/>
        </w:rPr>
        <w:t xml:space="preserve"> Una vez se </w:t>
      </w:r>
      <w:r w:rsidR="00156CBA">
        <w:rPr>
          <w:lang w:val="es-ES"/>
        </w:rPr>
        <w:t xml:space="preserve">tiene el número de enlaces necesarios de cada tipo, se calcula el número de enlaces </w:t>
      </w:r>
      <w:r w:rsidR="00D319F6">
        <w:rPr>
          <w:lang w:val="es-ES"/>
        </w:rPr>
        <w:t xml:space="preserve">necesarios </w:t>
      </w:r>
      <w:r w:rsidR="004332D1">
        <w:rPr>
          <w:lang w:val="es-ES"/>
        </w:rPr>
        <w:t xml:space="preserve">por capacidad (p.ej. número de enlaces microondas de </w:t>
      </w:r>
      <w:r w:rsidR="00D319F6">
        <w:rPr>
          <w:lang w:val="es-ES"/>
        </w:rPr>
        <w:t>30Mbps)</w:t>
      </w:r>
      <w:r w:rsidR="00520D0C">
        <w:rPr>
          <w:lang w:val="es-ES"/>
        </w:rPr>
        <w:t xml:space="preserve"> aplicando los requisitos </w:t>
      </w:r>
      <w:r w:rsidR="00C27A09">
        <w:rPr>
          <w:lang w:val="es-ES"/>
        </w:rPr>
        <w:t>de capacidad backhaul necesaria para cada tecnología</w:t>
      </w:r>
      <w:r w:rsidR="00094D0D">
        <w:rPr>
          <w:lang w:val="es-ES"/>
        </w:rPr>
        <w:t xml:space="preserve">, que depende </w:t>
      </w:r>
      <w:r w:rsidR="00B65DF5">
        <w:rPr>
          <w:lang w:val="es-ES"/>
        </w:rPr>
        <w:t>de los requerimientos de tráfico</w:t>
      </w:r>
      <w:r w:rsidR="00193652">
        <w:rPr>
          <w:lang w:val="es-ES"/>
        </w:rPr>
        <w:t xml:space="preserve"> asociados a cada emplazamiento</w:t>
      </w:r>
      <w:r w:rsidR="00B65DF5">
        <w:rPr>
          <w:lang w:val="es-ES"/>
        </w:rPr>
        <w:t>.</w:t>
      </w:r>
    </w:p>
    <w:p w14:paraId="60C1DE4F" w14:textId="556D086F" w:rsidR="00792C35" w:rsidRDefault="00792C35" w:rsidP="00792C35">
      <w:pPr>
        <w:pStyle w:val="Ttulo4"/>
        <w:rPr>
          <w:lang w:val="es-ES"/>
        </w:rPr>
      </w:pPr>
      <w:r>
        <w:rPr>
          <w:lang w:val="es-ES"/>
        </w:rPr>
        <w:t>Red de backbone móvil</w:t>
      </w:r>
    </w:p>
    <w:p w14:paraId="661A5FC2" w14:textId="1FFC5077" w:rsidR="00962FEA" w:rsidRDefault="004F6E2A" w:rsidP="00CC0F2B">
      <w:pPr>
        <w:rPr>
          <w:lang w:val="es-ES_tradnl"/>
        </w:rPr>
      </w:pPr>
      <w:r>
        <w:rPr>
          <w:lang w:val="es-ES_tradnl"/>
        </w:rPr>
        <w:t>El backbone es una parte esencial de la red, ya que dota de alta capacidad los nodos del núcleo, permitiendo una conectividad</w:t>
      </w:r>
      <w:r w:rsidR="00C43322">
        <w:rPr>
          <w:lang w:val="es-ES_tradnl"/>
        </w:rPr>
        <w:t xml:space="preserve"> segura y redundante </w:t>
      </w:r>
      <w:r w:rsidR="00C33DDE">
        <w:rPr>
          <w:lang w:val="es-ES_tradnl"/>
        </w:rPr>
        <w:t>para los usuarios finales. Los emplazamientos del backbone móvil se estiman de una forma similar a la red de transporte fijo</w:t>
      </w:r>
      <w:r w:rsidR="00BB32B6">
        <w:rPr>
          <w:lang w:val="es-ES_tradnl"/>
        </w:rPr>
        <w:t xml:space="preserve"> (ver sección </w:t>
      </w:r>
      <w:r w:rsidR="008934F3">
        <w:rPr>
          <w:highlight w:val="yellow"/>
          <w:lang w:val="es-ES_tradnl"/>
        </w:rPr>
        <w:fldChar w:fldCharType="begin"/>
      </w:r>
      <w:r w:rsidR="008934F3">
        <w:rPr>
          <w:lang w:val="es-ES_tradnl"/>
        </w:rPr>
        <w:instrText xml:space="preserve"> REF _Ref135956997 \r \h </w:instrText>
      </w:r>
      <w:r w:rsidR="008934F3">
        <w:rPr>
          <w:highlight w:val="yellow"/>
          <w:lang w:val="es-ES_tradnl"/>
        </w:rPr>
      </w:r>
      <w:r w:rsidR="008934F3">
        <w:rPr>
          <w:highlight w:val="yellow"/>
          <w:lang w:val="es-ES_tradnl"/>
        </w:rPr>
        <w:fldChar w:fldCharType="separate"/>
      </w:r>
      <w:r w:rsidR="00020F8B">
        <w:rPr>
          <w:lang w:val="es-ES_tradnl"/>
        </w:rPr>
        <w:t>4.1.2</w:t>
      </w:r>
      <w:r w:rsidR="008934F3">
        <w:rPr>
          <w:highlight w:val="yellow"/>
          <w:lang w:val="es-ES_tradnl"/>
        </w:rPr>
        <w:fldChar w:fldCharType="end"/>
      </w:r>
      <w:r w:rsidR="00BB32B6">
        <w:rPr>
          <w:lang w:val="es-ES_tradnl"/>
        </w:rPr>
        <w:t>).</w:t>
      </w:r>
      <w:r w:rsidR="00CC0F2B">
        <w:rPr>
          <w:lang w:val="es-ES_tradnl"/>
        </w:rPr>
        <w:t xml:space="preserve"> En concreto, se compone</w:t>
      </w:r>
      <w:r w:rsidR="000A168A" w:rsidRPr="00E56DEA">
        <w:rPr>
          <w:lang w:val="es-ES_tradnl"/>
        </w:rPr>
        <w:t xml:space="preserve"> de un total de 9 nodos nacionales y 11 nodos core</w:t>
      </w:r>
      <w:r w:rsidR="000A168A">
        <w:rPr>
          <w:lang w:val="es-ES_tradnl"/>
        </w:rPr>
        <w:t xml:space="preserve"> (ver </w:t>
      </w:r>
      <w:r w:rsidR="000A168A">
        <w:rPr>
          <w:lang w:val="es-ES_tradnl"/>
        </w:rPr>
        <w:fldChar w:fldCharType="begin"/>
      </w:r>
      <w:r w:rsidR="000A168A">
        <w:rPr>
          <w:lang w:val="es-ES_tradnl"/>
        </w:rPr>
        <w:instrText xml:space="preserve"> REF _Ref135390310 \h </w:instrText>
      </w:r>
      <w:r w:rsidR="000A168A">
        <w:rPr>
          <w:lang w:val="es-ES_tradnl"/>
        </w:rPr>
      </w:r>
      <w:r w:rsidR="000A168A">
        <w:rPr>
          <w:lang w:val="es-ES_tradnl"/>
        </w:rPr>
        <w:fldChar w:fldCharType="separate"/>
      </w:r>
      <w:r w:rsidR="00020F8B" w:rsidRPr="00EF72CC">
        <w:rPr>
          <w:lang w:val="es-ES"/>
        </w:rPr>
        <w:t xml:space="preserve">Figura </w:t>
      </w:r>
      <w:r w:rsidR="00020F8B">
        <w:rPr>
          <w:noProof/>
          <w:lang w:val="es-ES"/>
        </w:rPr>
        <w:t>3</w:t>
      </w:r>
      <w:r w:rsidR="00020F8B" w:rsidRPr="00EF72CC">
        <w:rPr>
          <w:lang w:val="es-ES"/>
        </w:rPr>
        <w:t>.</w:t>
      </w:r>
      <w:r w:rsidR="00020F8B">
        <w:rPr>
          <w:noProof/>
          <w:lang w:val="es-ES"/>
        </w:rPr>
        <w:t>19</w:t>
      </w:r>
      <w:r w:rsidR="000A168A">
        <w:rPr>
          <w:lang w:val="es-ES_tradnl"/>
        </w:rPr>
        <w:fldChar w:fldCharType="end"/>
      </w:r>
      <w:r w:rsidR="000A168A">
        <w:rPr>
          <w:lang w:val="es-ES_tradnl"/>
        </w:rPr>
        <w:t xml:space="preserve">), conectados de forma redundante por seis anillos de fibra con una longitud total de </w:t>
      </w:r>
      <w:r w:rsidR="00952B49">
        <w:rPr>
          <w:lang w:val="es-ES_tradnl"/>
        </w:rPr>
        <w:t>13</w:t>
      </w:r>
      <w:r w:rsidR="000A168A">
        <w:rPr>
          <w:lang w:val="es-ES_tradnl"/>
        </w:rPr>
        <w:t xml:space="preserve"> </w:t>
      </w:r>
      <w:r w:rsidR="00952B49">
        <w:rPr>
          <w:lang w:val="es-ES_tradnl"/>
        </w:rPr>
        <w:t>743</w:t>
      </w:r>
      <w:r w:rsidR="000A168A">
        <w:rPr>
          <w:lang w:val="es-ES_tradnl"/>
        </w:rPr>
        <w:t>km</w:t>
      </w:r>
      <w:r w:rsidR="0087468D">
        <w:rPr>
          <w:lang w:val="es-ES_tradnl"/>
        </w:rPr>
        <w:t xml:space="preserve">, como se explica en la sección </w:t>
      </w:r>
      <w:r w:rsidR="0087468D">
        <w:rPr>
          <w:lang w:val="es-ES_tradnl"/>
        </w:rPr>
        <w:fldChar w:fldCharType="begin"/>
      </w:r>
      <w:r w:rsidR="0087468D">
        <w:rPr>
          <w:lang w:val="es-ES_tradnl"/>
        </w:rPr>
        <w:instrText xml:space="preserve"> REF _Ref135406342 \n \h </w:instrText>
      </w:r>
      <w:r w:rsidR="0087468D">
        <w:rPr>
          <w:lang w:val="es-ES_tradnl"/>
        </w:rPr>
      </w:r>
      <w:r w:rsidR="0087468D">
        <w:rPr>
          <w:lang w:val="es-ES_tradnl"/>
        </w:rPr>
        <w:fldChar w:fldCharType="separate"/>
      </w:r>
      <w:r w:rsidR="00020F8B">
        <w:rPr>
          <w:lang w:val="es-ES_tradnl"/>
        </w:rPr>
        <w:t>3.2.1</w:t>
      </w:r>
      <w:r w:rsidR="0087468D">
        <w:rPr>
          <w:lang w:val="es-ES_tradnl"/>
        </w:rPr>
        <w:fldChar w:fldCharType="end"/>
      </w:r>
      <w:r w:rsidR="0087468D">
        <w:rPr>
          <w:lang w:val="es-ES_tradnl"/>
        </w:rPr>
        <w:t>.</w:t>
      </w:r>
      <w:r w:rsidR="00D33FA9">
        <w:rPr>
          <w:lang w:val="es-ES_tradnl"/>
        </w:rPr>
        <w:t xml:space="preserve"> </w:t>
      </w:r>
      <w:r w:rsidR="00962FEA">
        <w:rPr>
          <w:lang w:val="es-ES_tradnl"/>
        </w:rPr>
        <w:t xml:space="preserve">De manera adicional, el modelo estima </w:t>
      </w:r>
      <w:r w:rsidR="002E0C2C">
        <w:rPr>
          <w:lang w:val="es-ES_tradnl"/>
        </w:rPr>
        <w:t>cual es la capacidad necesaria para el transporte entre los distintos nodos,</w:t>
      </w:r>
      <w:r w:rsidR="00D33FA9">
        <w:rPr>
          <w:lang w:val="es-ES_tradnl"/>
        </w:rPr>
        <w:t xml:space="preserve"> tomando el tráfico total de la red que atraviesa esta red de backbone.</w:t>
      </w:r>
    </w:p>
    <w:p w14:paraId="0FFF5874" w14:textId="6F41DCF4" w:rsidR="00792C35" w:rsidRDefault="00792C35" w:rsidP="00792C35">
      <w:pPr>
        <w:pStyle w:val="Ttulo3"/>
        <w:rPr>
          <w:lang w:val="es-ES"/>
        </w:rPr>
      </w:pPr>
      <w:r>
        <w:rPr>
          <w:lang w:val="es-ES"/>
        </w:rPr>
        <w:lastRenderedPageBreak/>
        <w:t>Plataformas de núcleo móvil</w:t>
      </w:r>
    </w:p>
    <w:p w14:paraId="6CDED991" w14:textId="74B7423A" w:rsidR="00DD3595" w:rsidRPr="0072784A" w:rsidRDefault="005D3FFD" w:rsidP="003351D3">
      <w:pPr>
        <w:rPr>
          <w:lang w:val="es-ES"/>
        </w:rPr>
      </w:pPr>
      <w:r w:rsidRPr="0072784A">
        <w:rPr>
          <w:lang w:val="es-ES"/>
        </w:rPr>
        <w:t>Al igual que en e</w:t>
      </w:r>
      <w:r w:rsidR="005C2186" w:rsidRPr="0072784A">
        <w:rPr>
          <w:lang w:val="es-ES"/>
        </w:rPr>
        <w:t>l modelo fijo, las plataformas de</w:t>
      </w:r>
      <w:r w:rsidR="00C03349" w:rsidRPr="0072784A">
        <w:rPr>
          <w:lang w:val="es-ES"/>
        </w:rPr>
        <w:t xml:space="preserve">l núcleo de la red </w:t>
      </w:r>
      <w:r w:rsidRPr="0072784A">
        <w:rPr>
          <w:lang w:val="es-ES"/>
        </w:rPr>
        <w:t>del operador modelado se encuentran en los nodos core y nacionales</w:t>
      </w:r>
      <w:r w:rsidR="00D7491B" w:rsidRPr="0072784A">
        <w:rPr>
          <w:lang w:val="es-ES"/>
        </w:rPr>
        <w:t xml:space="preserve"> y cumplen un papel fundamental </w:t>
      </w:r>
      <w:r w:rsidR="00B3388D" w:rsidRPr="0072784A">
        <w:rPr>
          <w:lang w:val="es-ES"/>
        </w:rPr>
        <w:t xml:space="preserve">para </w:t>
      </w:r>
      <w:r w:rsidR="00350A1D" w:rsidRPr="0072784A">
        <w:rPr>
          <w:lang w:val="es-ES"/>
        </w:rPr>
        <w:t xml:space="preserve">poder ofrecer los distintos servicios. </w:t>
      </w:r>
      <w:r w:rsidR="00DD3595" w:rsidRPr="0072784A">
        <w:rPr>
          <w:lang w:val="es-ES"/>
        </w:rPr>
        <w:t>A c</w:t>
      </w:r>
      <w:r w:rsidR="00A62A20" w:rsidRPr="0072784A">
        <w:rPr>
          <w:lang w:val="es-ES"/>
        </w:rPr>
        <w:t>ontinuación</w:t>
      </w:r>
      <w:r w:rsidR="005A7C56" w:rsidRPr="0072784A">
        <w:rPr>
          <w:lang w:val="es-ES"/>
        </w:rPr>
        <w:t>,</w:t>
      </w:r>
      <w:r w:rsidR="00A62A20" w:rsidRPr="0072784A">
        <w:rPr>
          <w:lang w:val="es-ES"/>
        </w:rPr>
        <w:t xml:space="preserve"> se </w:t>
      </w:r>
      <w:r w:rsidR="00C818FF" w:rsidRPr="0072784A">
        <w:rPr>
          <w:lang w:val="es-ES"/>
        </w:rPr>
        <w:t>listan</w:t>
      </w:r>
      <w:r w:rsidR="00A62A20" w:rsidRPr="0072784A">
        <w:rPr>
          <w:lang w:val="es-ES"/>
        </w:rPr>
        <w:t xml:space="preserve"> </w:t>
      </w:r>
      <w:r w:rsidR="00C818FF" w:rsidRPr="0072784A">
        <w:rPr>
          <w:lang w:val="es-ES"/>
        </w:rPr>
        <w:t>algunas de estas plataformas</w:t>
      </w:r>
      <w:r w:rsidR="00916AC6" w:rsidRPr="0072784A">
        <w:rPr>
          <w:lang w:val="es-ES"/>
        </w:rPr>
        <w:t xml:space="preserve"> con sus reglas de dimensionado</w:t>
      </w:r>
      <w:r w:rsidR="00C818FF" w:rsidRPr="0072784A">
        <w:rPr>
          <w:lang w:val="es-ES"/>
        </w:rPr>
        <w:t>:</w:t>
      </w:r>
    </w:p>
    <w:p w14:paraId="3AD4652D" w14:textId="79A30624" w:rsidR="00E764AB" w:rsidRPr="00E764AB" w:rsidRDefault="00630163" w:rsidP="00E764AB">
      <w:pPr>
        <w:pStyle w:val="Prrafodelista"/>
        <w:numPr>
          <w:ilvl w:val="0"/>
          <w:numId w:val="45"/>
        </w:numPr>
        <w:rPr>
          <w:lang w:val="es-ES"/>
        </w:rPr>
      </w:pPr>
      <w:r w:rsidRPr="00E764AB">
        <w:rPr>
          <w:lang w:val="es-ES"/>
        </w:rPr>
        <w:t>BSC</w:t>
      </w:r>
      <w:r w:rsidR="00C818FF" w:rsidRPr="00E764AB">
        <w:rPr>
          <w:lang w:val="es-ES"/>
        </w:rPr>
        <w:t xml:space="preserve">: </w:t>
      </w:r>
      <w:r w:rsidR="00737C30">
        <w:rPr>
          <w:lang w:val="es-ES"/>
        </w:rPr>
        <w:t>su función es</w:t>
      </w:r>
      <w:r w:rsidR="00E764AB" w:rsidRPr="00E764AB">
        <w:rPr>
          <w:lang w:val="es-ES"/>
        </w:rPr>
        <w:t xml:space="preserve"> gestionar y controlar las estaciones base en un sistema de comunicación celular</w:t>
      </w:r>
    </w:p>
    <w:p w14:paraId="47994161" w14:textId="47EBC43E" w:rsidR="003351D3" w:rsidRPr="0072784A" w:rsidRDefault="00B2675A">
      <w:pPr>
        <w:pStyle w:val="Prrafodelista"/>
        <w:numPr>
          <w:ilvl w:val="1"/>
          <w:numId w:val="45"/>
        </w:numPr>
        <w:rPr>
          <w:lang w:val="es-ES"/>
        </w:rPr>
      </w:pPr>
      <w:r w:rsidRPr="00E764AB">
        <w:rPr>
          <w:lang w:val="es-ES"/>
        </w:rPr>
        <w:t>E</w:t>
      </w:r>
      <w:r w:rsidR="00537B32" w:rsidRPr="00E764AB">
        <w:rPr>
          <w:lang w:val="es-ES"/>
        </w:rPr>
        <w:t xml:space="preserve">l </w:t>
      </w:r>
      <w:r w:rsidR="003351D3" w:rsidRPr="00E764AB">
        <w:rPr>
          <w:lang w:val="es-ES"/>
        </w:rPr>
        <w:t xml:space="preserve">número de BSC a desplegar se calcula en función del número de TRX. </w:t>
      </w:r>
      <w:r w:rsidR="003351D3" w:rsidRPr="0072784A">
        <w:rPr>
          <w:lang w:val="es-ES"/>
        </w:rPr>
        <w:t>Se considera que la mayoría de las BSC son remotas, por lo que se calcula por separado el número de puertos hacia los MSC y el número de enlaces entre BSC y MSC</w:t>
      </w:r>
    </w:p>
    <w:p w14:paraId="7E6E3C2C" w14:textId="7B5D3812" w:rsidR="0057023B" w:rsidRPr="00A41075" w:rsidRDefault="00630163">
      <w:pPr>
        <w:pStyle w:val="Prrafodelista"/>
        <w:numPr>
          <w:ilvl w:val="0"/>
          <w:numId w:val="45"/>
        </w:numPr>
        <w:rPr>
          <w:lang w:val="es-ES"/>
        </w:rPr>
      </w:pPr>
      <w:r w:rsidRPr="00A41075">
        <w:rPr>
          <w:lang w:val="es-ES"/>
        </w:rPr>
        <w:t>RNC:</w:t>
      </w:r>
      <w:r w:rsidR="00230784" w:rsidRPr="00A41075">
        <w:rPr>
          <w:lang w:val="es-ES"/>
        </w:rPr>
        <w:t xml:space="preserve"> </w:t>
      </w:r>
      <w:r w:rsidR="00A41075" w:rsidRPr="00A41075">
        <w:rPr>
          <w:lang w:val="es-ES"/>
        </w:rPr>
        <w:t>se encarga de controlar y gestionar las estaciones base UMTS conocidas como Nodos</w:t>
      </w:r>
      <w:r w:rsidR="00A41075">
        <w:rPr>
          <w:lang w:val="es-ES"/>
        </w:rPr>
        <w:t>-</w:t>
      </w:r>
      <w:r w:rsidR="00A41075" w:rsidRPr="00A41075">
        <w:rPr>
          <w:lang w:val="es-ES"/>
        </w:rPr>
        <w:t>B</w:t>
      </w:r>
    </w:p>
    <w:p w14:paraId="5D6DF164" w14:textId="385FBD97" w:rsidR="003351D3" w:rsidRPr="0072784A" w:rsidRDefault="00B2675A" w:rsidP="0057023B">
      <w:pPr>
        <w:pStyle w:val="Prrafodelista"/>
        <w:numPr>
          <w:ilvl w:val="1"/>
          <w:numId w:val="45"/>
        </w:numPr>
        <w:rPr>
          <w:lang w:val="es-ES"/>
        </w:rPr>
      </w:pPr>
      <w:r w:rsidRPr="0072784A">
        <w:rPr>
          <w:lang w:val="es-ES"/>
        </w:rPr>
        <w:t>E</w:t>
      </w:r>
      <w:r w:rsidR="00230784" w:rsidRPr="0072784A">
        <w:rPr>
          <w:lang w:val="es-ES"/>
        </w:rPr>
        <w:t>l número de RNCs</w:t>
      </w:r>
      <w:r w:rsidR="003351D3" w:rsidRPr="0072784A">
        <w:rPr>
          <w:lang w:val="es-ES"/>
        </w:rPr>
        <w:t xml:space="preserve"> desplegados se calcula en función de la carga de tráfico UMTS (megabits por segundo de descarga en la capa de radio) y el número de puertos hacia los Nodos B</w:t>
      </w:r>
    </w:p>
    <w:p w14:paraId="02A0CDBB" w14:textId="6F748C51" w:rsidR="0057023B" w:rsidRPr="00A46267" w:rsidRDefault="000A63B3">
      <w:pPr>
        <w:pStyle w:val="Prrafodelista"/>
        <w:numPr>
          <w:ilvl w:val="0"/>
          <w:numId w:val="45"/>
        </w:numPr>
        <w:rPr>
          <w:lang w:val="es-ES"/>
        </w:rPr>
      </w:pPr>
      <w:r w:rsidRPr="00A46267">
        <w:rPr>
          <w:lang w:val="es-ES"/>
        </w:rPr>
        <w:t>LTE-AP</w:t>
      </w:r>
      <w:r w:rsidR="00821E24">
        <w:rPr>
          <w:lang w:val="es-ES"/>
        </w:rPr>
        <w:t xml:space="preserve"> (LTE Access Point)</w:t>
      </w:r>
      <w:r w:rsidRPr="00A46267">
        <w:rPr>
          <w:lang w:val="es-ES"/>
        </w:rPr>
        <w:t xml:space="preserve">: </w:t>
      </w:r>
      <w:r w:rsidR="003C635B">
        <w:rPr>
          <w:lang w:val="es-ES"/>
        </w:rPr>
        <w:t>e</w:t>
      </w:r>
      <w:r w:rsidR="00A46267" w:rsidRPr="00A46267">
        <w:rPr>
          <w:lang w:val="es-ES"/>
        </w:rPr>
        <w:t>s un elemento de red equivalente a BSC/RNC en el contexto de las redes LTE (Long-Term Evolution) y 5G</w:t>
      </w:r>
    </w:p>
    <w:p w14:paraId="5DD26A49" w14:textId="2250C27E" w:rsidR="003351D3" w:rsidRPr="003C635B" w:rsidRDefault="00B2675A" w:rsidP="0057023B">
      <w:pPr>
        <w:pStyle w:val="Prrafodelista"/>
        <w:numPr>
          <w:ilvl w:val="1"/>
          <w:numId w:val="45"/>
        </w:numPr>
        <w:rPr>
          <w:lang w:val="es-ES"/>
        </w:rPr>
      </w:pPr>
      <w:r w:rsidRPr="003C635B">
        <w:rPr>
          <w:lang w:val="es-ES"/>
        </w:rPr>
        <w:t>S</w:t>
      </w:r>
      <w:r w:rsidR="000A63B3" w:rsidRPr="003C635B">
        <w:rPr>
          <w:lang w:val="es-ES"/>
        </w:rPr>
        <w:t>e calcula el número de LTE-AP en función del tráfico LTE/VoLTE y 5G</w:t>
      </w:r>
    </w:p>
    <w:p w14:paraId="6E864BF2" w14:textId="4F1BC430" w:rsidR="00D4290E" w:rsidRDefault="00332B32" w:rsidP="00D4290E">
      <w:pPr>
        <w:pStyle w:val="Prrafodelista"/>
        <w:numPr>
          <w:ilvl w:val="0"/>
          <w:numId w:val="45"/>
        </w:numPr>
        <w:rPr>
          <w:lang w:val="es-ES"/>
        </w:rPr>
      </w:pPr>
      <w:r w:rsidRPr="00332B32">
        <w:rPr>
          <w:lang w:val="es-ES"/>
        </w:rPr>
        <w:t>Switches y servidores: incluyen una variedad de plataformas de red como pueden ser call servers (supervisan el tráfico de voz), MSC (Mobile Switching Center</w:t>
      </w:r>
      <w:r w:rsidR="00D4290E">
        <w:rPr>
          <w:lang w:val="es-ES"/>
        </w:rPr>
        <w:t xml:space="preserve"> - </w:t>
      </w:r>
      <w:r w:rsidRPr="00332B32">
        <w:rPr>
          <w:lang w:val="es-ES"/>
        </w:rPr>
        <w:t>gestiona el tráfico de telefonía móvil), MSS (Mobile Switching System</w:t>
      </w:r>
      <w:r w:rsidR="00E61277">
        <w:rPr>
          <w:lang w:val="es-ES"/>
        </w:rPr>
        <w:t xml:space="preserve"> - </w:t>
      </w:r>
      <w:r w:rsidRPr="00332B32">
        <w:rPr>
          <w:lang w:val="es-ES"/>
        </w:rPr>
        <w:t>realiza la conmutación y gestión de llamadas móviles), MGW (Media Gateway</w:t>
      </w:r>
      <w:r w:rsidR="00963BE6">
        <w:rPr>
          <w:lang w:val="es-ES"/>
        </w:rPr>
        <w:t xml:space="preserve"> - </w:t>
      </w:r>
      <w:r w:rsidRPr="00332B32">
        <w:rPr>
          <w:lang w:val="es-ES"/>
        </w:rPr>
        <w:t>convierte señales entre redes de telefonía y redes IP), NMS (Network Management System</w:t>
      </w:r>
      <w:r w:rsidR="00963BE6">
        <w:rPr>
          <w:lang w:val="es-ES"/>
        </w:rPr>
        <w:t xml:space="preserve"> - </w:t>
      </w:r>
      <w:r w:rsidRPr="00332B32">
        <w:rPr>
          <w:lang w:val="es-ES"/>
        </w:rPr>
        <w:t>sistema de gestión de red) o SBC (Session Border Controller</w:t>
      </w:r>
      <w:r w:rsidR="00963BE6">
        <w:rPr>
          <w:lang w:val="es-ES"/>
        </w:rPr>
        <w:t xml:space="preserve"> - </w:t>
      </w:r>
      <w:r w:rsidRPr="00332B32">
        <w:rPr>
          <w:lang w:val="es-ES"/>
        </w:rPr>
        <w:t>vigila la conexión IP entre la red de acceso común y la red de voz controlada por el servidor de llamadas)</w:t>
      </w:r>
    </w:p>
    <w:p w14:paraId="2E9ECEDD" w14:textId="578A4502" w:rsidR="009B793F" w:rsidRDefault="00A82210" w:rsidP="004269DB">
      <w:pPr>
        <w:pStyle w:val="Prrafodelista"/>
        <w:numPr>
          <w:ilvl w:val="1"/>
          <w:numId w:val="45"/>
        </w:numPr>
        <w:rPr>
          <w:lang w:val="es-ES"/>
        </w:rPr>
      </w:pPr>
      <w:r>
        <w:rPr>
          <w:lang w:val="es-ES"/>
        </w:rPr>
        <w:t xml:space="preserve">Estas plataformas </w:t>
      </w:r>
      <w:r w:rsidR="009B793F">
        <w:rPr>
          <w:lang w:val="es-ES"/>
        </w:rPr>
        <w:t>se estima</w:t>
      </w:r>
      <w:r w:rsidR="00EF485F">
        <w:rPr>
          <w:lang w:val="es-ES"/>
        </w:rPr>
        <w:t>n</w:t>
      </w:r>
      <w:r w:rsidR="00412972">
        <w:rPr>
          <w:lang w:val="es-ES"/>
        </w:rPr>
        <w:t xml:space="preserve"> en función de</w:t>
      </w:r>
      <w:r w:rsidR="00EF485F" w:rsidRPr="00EF485F">
        <w:rPr>
          <w:lang w:val="es-ES"/>
        </w:rPr>
        <w:t xml:space="preserve"> </w:t>
      </w:r>
      <w:r w:rsidR="00EF485F" w:rsidRPr="002449C4">
        <w:rPr>
          <w:lang w:val="es-ES"/>
        </w:rPr>
        <w:t>los requerimientos generales del sistema</w:t>
      </w:r>
      <w:r w:rsidR="002A234A">
        <w:rPr>
          <w:lang w:val="es-ES"/>
        </w:rPr>
        <w:t xml:space="preserve"> y el volumen </w:t>
      </w:r>
      <w:r w:rsidR="00067584">
        <w:rPr>
          <w:lang w:val="es-ES"/>
        </w:rPr>
        <w:t>en términos de</w:t>
      </w:r>
      <w:r w:rsidR="002A234A">
        <w:rPr>
          <w:lang w:val="es-ES"/>
        </w:rPr>
        <w:t xml:space="preserve"> capacidad máxim</w:t>
      </w:r>
      <w:r w:rsidR="00067584">
        <w:rPr>
          <w:lang w:val="es-ES"/>
        </w:rPr>
        <w:t>a</w:t>
      </w:r>
      <w:r w:rsidR="002A234A">
        <w:rPr>
          <w:lang w:val="es-ES"/>
        </w:rPr>
        <w:t xml:space="preserve"> que puede cursar cada una de las plataformas</w:t>
      </w:r>
      <w:r w:rsidR="00AD1F0E">
        <w:rPr>
          <w:lang w:val="es-ES"/>
        </w:rPr>
        <w:t>, teniendo en cuenta también el número mínimo de plataformas necesarias en la red</w:t>
      </w:r>
    </w:p>
    <w:p w14:paraId="3599A616" w14:textId="0AF4E883" w:rsidR="0033706D" w:rsidRPr="00552D3B" w:rsidRDefault="0033706D" w:rsidP="00552D3B">
      <w:pPr>
        <w:ind w:left="360"/>
        <w:rPr>
          <w:lang w:val="es-ES"/>
        </w:rPr>
      </w:pPr>
    </w:p>
    <w:p w14:paraId="291C530A" w14:textId="1A0E7AA2" w:rsidR="0033706D" w:rsidRDefault="0033706D" w:rsidP="0033706D">
      <w:pPr>
        <w:pStyle w:val="Ttulo1"/>
        <w:rPr>
          <w:snapToGrid w:val="0"/>
          <w:lang w:val="es-ES"/>
        </w:rPr>
      </w:pPr>
      <w:bookmarkStart w:id="53" w:name="_Ref135837243"/>
      <w:bookmarkStart w:id="54" w:name="_Toc136032682"/>
      <w:r w:rsidRPr="0033706D">
        <w:rPr>
          <w:snapToGrid w:val="0"/>
          <w:lang w:val="es-ES"/>
        </w:rPr>
        <w:lastRenderedPageBreak/>
        <w:t>Cálculos de los costos de red</w:t>
      </w:r>
      <w:bookmarkEnd w:id="53"/>
      <w:bookmarkEnd w:id="54"/>
    </w:p>
    <w:p w14:paraId="0FA1638C" w14:textId="60BAD123" w:rsidR="002E17CE" w:rsidRPr="00281759" w:rsidRDefault="002E17CE" w:rsidP="002E17CE">
      <w:pPr>
        <w:pStyle w:val="Ttulo2"/>
        <w:rPr>
          <w:lang w:val="es-ES"/>
        </w:rPr>
      </w:pPr>
      <w:bookmarkStart w:id="55" w:name="_Toc136032683"/>
      <w:r w:rsidRPr="00281759">
        <w:rPr>
          <w:lang w:val="es-ES"/>
        </w:rPr>
        <w:t>C</w:t>
      </w:r>
      <w:r w:rsidR="00281759" w:rsidRPr="00281759">
        <w:rPr>
          <w:lang w:val="es-ES"/>
        </w:rPr>
        <w:t>álculos de costos de red fija</w:t>
      </w:r>
      <w:r w:rsidR="00281759">
        <w:rPr>
          <w:lang w:val="es-ES"/>
        </w:rPr>
        <w:t xml:space="preserve"> y móvil</w:t>
      </w:r>
      <w:bookmarkEnd w:id="55"/>
    </w:p>
    <w:p w14:paraId="0FFAA548" w14:textId="171C88A5" w:rsidR="00963284" w:rsidRDefault="00963284" w:rsidP="0033706D">
      <w:pPr>
        <w:rPr>
          <w:lang w:val="es-ES"/>
        </w:rPr>
      </w:pPr>
      <w:r>
        <w:rPr>
          <w:lang w:val="es-ES"/>
        </w:rPr>
        <w:t>Una vez se han dimensionado los</w:t>
      </w:r>
      <w:r w:rsidR="00CE25B8">
        <w:rPr>
          <w:lang w:val="es-ES"/>
        </w:rPr>
        <w:t xml:space="preserve"> distintos activos necesarios en la red, el próximo paso </w:t>
      </w:r>
      <w:r w:rsidR="00D21131">
        <w:rPr>
          <w:lang w:val="es-ES"/>
        </w:rPr>
        <w:t>es calcular el costo anual asociado a estos activos. Este costo se puede desagregar en dos componente</w:t>
      </w:r>
      <w:r w:rsidR="00281759">
        <w:rPr>
          <w:lang w:val="es-ES"/>
        </w:rPr>
        <w:t>s y es equivalente para</w:t>
      </w:r>
      <w:r w:rsidR="008B1997">
        <w:rPr>
          <w:lang w:val="es-ES"/>
        </w:rPr>
        <w:t xml:space="preserve"> las redes fijas y móviles</w:t>
      </w:r>
      <w:r w:rsidR="00D21131">
        <w:rPr>
          <w:lang w:val="es-ES"/>
        </w:rPr>
        <w:t>:</w:t>
      </w:r>
    </w:p>
    <w:p w14:paraId="0A5062E1" w14:textId="1CF3E546" w:rsidR="00D21131" w:rsidRDefault="00D21131" w:rsidP="00D21131">
      <w:pPr>
        <w:pStyle w:val="ListBulletCompact"/>
        <w:numPr>
          <w:ilvl w:val="0"/>
          <w:numId w:val="46"/>
        </w:numPr>
        <w:rPr>
          <w:lang w:val="es-ES"/>
        </w:rPr>
      </w:pPr>
      <w:r>
        <w:rPr>
          <w:lang w:val="es-ES"/>
        </w:rPr>
        <w:t>Capex: el cual agrega los costos de depreciación y costo de capital asociado a la adquisición e instalación de equipos en la red del operador modelado</w:t>
      </w:r>
    </w:p>
    <w:p w14:paraId="453A4EE9" w14:textId="29CF0F32" w:rsidR="00D21131" w:rsidRPr="0070247B" w:rsidRDefault="00D21131" w:rsidP="00D21131">
      <w:pPr>
        <w:pStyle w:val="ListBulletCompact"/>
        <w:numPr>
          <w:ilvl w:val="0"/>
          <w:numId w:val="46"/>
        </w:numPr>
        <w:rPr>
          <w:lang w:val="es-ES"/>
        </w:rPr>
      </w:pPr>
      <w:r>
        <w:rPr>
          <w:lang w:val="es-ES"/>
        </w:rPr>
        <w:t xml:space="preserve">Opex: </w:t>
      </w:r>
      <w:r w:rsidR="00E77751">
        <w:rPr>
          <w:lang w:val="es-ES"/>
        </w:rPr>
        <w:t>comprendiendo los costos de operación y mantenimiento asociados a los distintos equipamientos</w:t>
      </w:r>
    </w:p>
    <w:p w14:paraId="338F7296" w14:textId="2AA1DCAA" w:rsidR="006D298D" w:rsidRDefault="006D298D" w:rsidP="0033706D">
      <w:pPr>
        <w:rPr>
          <w:lang w:val="es-ES"/>
        </w:rPr>
      </w:pPr>
      <w:r>
        <w:rPr>
          <w:lang w:val="es-ES"/>
        </w:rPr>
        <w:t xml:space="preserve">Para cada </w:t>
      </w:r>
      <w:r w:rsidR="00E67C6C">
        <w:rPr>
          <w:lang w:val="es-ES"/>
        </w:rPr>
        <w:t>elemento de red se estiman los costos de cada una de estas componentes</w:t>
      </w:r>
      <w:r w:rsidR="006E2500">
        <w:rPr>
          <w:lang w:val="es-ES"/>
        </w:rPr>
        <w:t xml:space="preserve">. Para ello, en primer lugar se estima el opex </w:t>
      </w:r>
      <w:r w:rsidR="00756F68">
        <w:rPr>
          <w:lang w:val="es-ES"/>
        </w:rPr>
        <w:t xml:space="preserve">y capex anual. El </w:t>
      </w:r>
      <w:r w:rsidR="00525413">
        <w:rPr>
          <w:lang w:val="es-ES"/>
        </w:rPr>
        <w:t>o</w:t>
      </w:r>
      <w:r w:rsidR="00756F68">
        <w:rPr>
          <w:lang w:val="es-ES"/>
        </w:rPr>
        <w:t>pex se calcula sencillamente multiplicando el costo unitario (insumo del modelo) para cada año por el número de elementos de red activos</w:t>
      </w:r>
      <w:r w:rsidR="00483FEE">
        <w:rPr>
          <w:lang w:val="es-ES"/>
        </w:rPr>
        <w:t xml:space="preserve"> en ese año concreto. Para el caso del capex, se es</w:t>
      </w:r>
      <w:r w:rsidR="00BB2DD4">
        <w:rPr>
          <w:lang w:val="es-ES"/>
        </w:rPr>
        <w:t>t</w:t>
      </w:r>
      <w:r w:rsidR="00483FEE">
        <w:rPr>
          <w:lang w:val="es-ES"/>
        </w:rPr>
        <w:t xml:space="preserve">ima el número de </w:t>
      </w:r>
      <w:r w:rsidR="005E09EB">
        <w:rPr>
          <w:lang w:val="es-ES"/>
        </w:rPr>
        <w:t>activos nuevos a desple</w:t>
      </w:r>
      <w:r w:rsidR="00AB3556">
        <w:rPr>
          <w:lang w:val="es-ES"/>
        </w:rPr>
        <w:t>gar cada año, y se multiplica este valor por su</w:t>
      </w:r>
      <w:r w:rsidR="00FC50FA">
        <w:rPr>
          <w:lang w:val="es-ES"/>
        </w:rPr>
        <w:t xml:space="preserve"> capex unitario. Cabe destacar que el número de activos a desplegar cada año considera no solo el </w:t>
      </w:r>
      <w:r w:rsidR="004B634B">
        <w:rPr>
          <w:lang w:val="es-ES"/>
        </w:rPr>
        <w:t>número</w:t>
      </w:r>
      <w:r w:rsidR="00E93A2A">
        <w:rPr>
          <w:lang w:val="es-ES"/>
        </w:rPr>
        <w:t xml:space="preserve"> de equipos nuevos en la red, sino también el número de equipos que es neces</w:t>
      </w:r>
      <w:r w:rsidR="00F316CB">
        <w:rPr>
          <w:lang w:val="es-ES"/>
        </w:rPr>
        <w:t xml:space="preserve">ario reemplazar </w:t>
      </w:r>
      <w:r w:rsidR="00525413">
        <w:rPr>
          <w:lang w:val="es-ES"/>
        </w:rPr>
        <w:t xml:space="preserve">en la red </w:t>
      </w:r>
      <w:r w:rsidR="00F316CB">
        <w:rPr>
          <w:lang w:val="es-ES"/>
        </w:rPr>
        <w:t xml:space="preserve">por haber alcanzado el final de </w:t>
      </w:r>
      <w:r w:rsidR="008F58F1">
        <w:rPr>
          <w:lang w:val="es-ES"/>
        </w:rPr>
        <w:t>su</w:t>
      </w:r>
      <w:r w:rsidR="00F316CB">
        <w:rPr>
          <w:lang w:val="es-ES"/>
        </w:rPr>
        <w:t xml:space="preserve"> vida ú</w:t>
      </w:r>
      <w:r w:rsidR="00D132C5">
        <w:rPr>
          <w:lang w:val="es-ES"/>
        </w:rPr>
        <w:t>til.</w:t>
      </w:r>
    </w:p>
    <w:p w14:paraId="3BE72824" w14:textId="293B1AB2" w:rsidR="003D4AAC" w:rsidRDefault="007C3C5E" w:rsidP="002A390E">
      <w:pPr>
        <w:rPr>
          <w:lang w:val="es-ES"/>
        </w:rPr>
      </w:pPr>
      <w:r>
        <w:rPr>
          <w:lang w:val="es-ES"/>
        </w:rPr>
        <w:t>Una vez se dispone de</w:t>
      </w:r>
      <w:r w:rsidR="00525413">
        <w:rPr>
          <w:lang w:val="es-ES"/>
        </w:rPr>
        <w:t>l</w:t>
      </w:r>
      <w:r>
        <w:rPr>
          <w:lang w:val="es-ES"/>
        </w:rPr>
        <w:t xml:space="preserve"> </w:t>
      </w:r>
      <w:r w:rsidR="00525413">
        <w:rPr>
          <w:lang w:val="es-ES"/>
        </w:rPr>
        <w:t>o</w:t>
      </w:r>
      <w:r>
        <w:rPr>
          <w:lang w:val="es-ES"/>
        </w:rPr>
        <w:t xml:space="preserve">pex </w:t>
      </w:r>
      <w:r w:rsidR="00525413">
        <w:rPr>
          <w:lang w:val="es-ES"/>
        </w:rPr>
        <w:t>e</w:t>
      </w:r>
      <w:r>
        <w:rPr>
          <w:lang w:val="es-ES"/>
        </w:rPr>
        <w:t xml:space="preserve"> inversión anual, se procede a calcular el costo total anual para cada </w:t>
      </w:r>
      <w:r w:rsidR="00207665">
        <w:rPr>
          <w:lang w:val="es-ES"/>
        </w:rPr>
        <w:t>elemento de red. Este costo se modela, de acuerdo a</w:t>
      </w:r>
      <w:r w:rsidR="002A390E">
        <w:rPr>
          <w:lang w:val="es-ES"/>
        </w:rPr>
        <w:t xml:space="preserve">l método </w:t>
      </w:r>
      <w:r w:rsidR="00C238B6">
        <w:rPr>
          <w:lang w:val="es-ES"/>
        </w:rPr>
        <w:t>de depreciación económica</w:t>
      </w:r>
      <w:r w:rsidR="002A390E">
        <w:rPr>
          <w:lang w:val="es-ES"/>
        </w:rPr>
        <w:t>, tal y como se describe en el documento metodológico.</w:t>
      </w:r>
    </w:p>
    <w:p w14:paraId="49A8BEA8" w14:textId="6A566E16" w:rsidR="008B1997" w:rsidRDefault="008B1997" w:rsidP="008B1997">
      <w:pPr>
        <w:pStyle w:val="Ttulo3"/>
        <w:rPr>
          <w:lang w:val="pt-PT"/>
        </w:rPr>
      </w:pPr>
      <w:bookmarkStart w:id="56" w:name="_Ref135938122"/>
      <w:r w:rsidRPr="008B1997">
        <w:rPr>
          <w:lang w:val="pt-PT"/>
        </w:rPr>
        <w:t xml:space="preserve">Cálculo de costos específicos de </w:t>
      </w:r>
      <w:r>
        <w:rPr>
          <w:lang w:val="pt-PT"/>
        </w:rPr>
        <w:t>enlaces dedicados</w:t>
      </w:r>
      <w:bookmarkEnd w:id="56"/>
    </w:p>
    <w:p w14:paraId="082E46C0" w14:textId="1603D69B" w:rsidR="00CD6581" w:rsidRDefault="008B1997" w:rsidP="008B1997">
      <w:pPr>
        <w:rPr>
          <w:lang w:val="es-ES"/>
        </w:rPr>
      </w:pPr>
      <w:r w:rsidRPr="008B1997">
        <w:rPr>
          <w:lang w:val="es-ES"/>
        </w:rPr>
        <w:t>En el caso del m</w:t>
      </w:r>
      <w:r>
        <w:rPr>
          <w:lang w:val="es-ES"/>
        </w:rPr>
        <w:t xml:space="preserve">odelo de enlaces dedicados, como se presenta en la sección </w:t>
      </w:r>
      <w:r w:rsidR="00AE185D">
        <w:rPr>
          <w:highlight w:val="yellow"/>
          <w:lang w:val="es-ES"/>
        </w:rPr>
        <w:fldChar w:fldCharType="begin"/>
      </w:r>
      <w:r w:rsidR="00AE185D">
        <w:rPr>
          <w:lang w:val="es-ES"/>
        </w:rPr>
        <w:instrText xml:space="preserve"> REF _Ref135959495 \r \h </w:instrText>
      </w:r>
      <w:r w:rsidR="00AE185D">
        <w:rPr>
          <w:highlight w:val="yellow"/>
          <w:lang w:val="es-ES"/>
        </w:rPr>
      </w:r>
      <w:r w:rsidR="00AE185D">
        <w:rPr>
          <w:highlight w:val="yellow"/>
          <w:lang w:val="es-ES"/>
        </w:rPr>
        <w:fldChar w:fldCharType="separate"/>
      </w:r>
      <w:r w:rsidR="00020F8B">
        <w:rPr>
          <w:lang w:val="es-ES"/>
        </w:rPr>
        <w:t>4.1.4</w:t>
      </w:r>
      <w:r w:rsidR="00AE185D">
        <w:rPr>
          <w:highlight w:val="yellow"/>
          <w:lang w:val="es-ES"/>
        </w:rPr>
        <w:fldChar w:fldCharType="end"/>
      </w:r>
      <w:r>
        <w:rPr>
          <w:lang w:val="es-ES"/>
        </w:rPr>
        <w:t>, es necesario el despliegue de algunos equipos específicos adicionales</w:t>
      </w:r>
      <w:r w:rsidR="00E415C3">
        <w:rPr>
          <w:lang w:val="es-ES"/>
        </w:rPr>
        <w:t xml:space="preserve">. </w:t>
      </w:r>
    </w:p>
    <w:p w14:paraId="1AC15AEE" w14:textId="536CFD97" w:rsidR="00CD6581" w:rsidRDefault="00CD6581" w:rsidP="008B1997">
      <w:pPr>
        <w:rPr>
          <w:lang w:val="es-ES"/>
        </w:rPr>
      </w:pPr>
      <w:r>
        <w:rPr>
          <w:lang w:val="es-ES"/>
        </w:rPr>
        <w:t>Para el cálculo de los costos asociados a estos equipos, el modelo</w:t>
      </w:r>
      <w:r w:rsidR="002B5C5B">
        <w:rPr>
          <w:lang w:val="es-ES"/>
        </w:rPr>
        <w:t xml:space="preserve"> calcula, </w:t>
      </w:r>
      <w:r w:rsidR="00AE185D">
        <w:rPr>
          <w:lang w:val="es-ES"/>
        </w:rPr>
        <w:t xml:space="preserve">el costo total anual, </w:t>
      </w:r>
      <w:r w:rsidR="00CB5BF5">
        <w:rPr>
          <w:lang w:val="es-ES"/>
        </w:rPr>
        <w:t>incluyendo</w:t>
      </w:r>
      <w:r w:rsidR="00AE185D">
        <w:rPr>
          <w:lang w:val="es-ES"/>
        </w:rPr>
        <w:t xml:space="preserve"> </w:t>
      </w:r>
      <w:r w:rsidR="00CB5BF5">
        <w:rPr>
          <w:lang w:val="es-ES"/>
        </w:rPr>
        <w:t>tanto la componente de capex como el opex anual.</w:t>
      </w:r>
    </w:p>
    <w:p w14:paraId="0ECB8188" w14:textId="1316BED3" w:rsidR="008B1997" w:rsidRPr="008B1997" w:rsidRDefault="00ED52A1" w:rsidP="008B1997">
      <w:pPr>
        <w:rPr>
          <w:lang w:val="es-ES"/>
        </w:rPr>
      </w:pPr>
      <w:r>
        <w:rPr>
          <w:lang w:val="es-ES"/>
        </w:rPr>
        <w:t>Con respecto a los costos asociado al capex de los equipos, e</w:t>
      </w:r>
      <w:r w:rsidR="00E415C3">
        <w:rPr>
          <w:lang w:val="es-ES"/>
        </w:rPr>
        <w:t xml:space="preserve">stos equipos son relevantes exclusivamente para la provisión de </w:t>
      </w:r>
      <w:r w:rsidR="00CD6581">
        <w:rPr>
          <w:lang w:val="es-ES"/>
        </w:rPr>
        <w:t>servicios de enlaces dedicados, y no para servicios de terminación, por lo que no necesariamente deben</w:t>
      </w:r>
      <w:r w:rsidR="00375FCD">
        <w:rPr>
          <w:lang w:val="es-ES"/>
        </w:rPr>
        <w:t xml:space="preserve"> ajustarse al méto</w:t>
      </w:r>
      <w:r w:rsidR="00937BC2">
        <w:rPr>
          <w:lang w:val="es-ES"/>
        </w:rPr>
        <w:t>d</w:t>
      </w:r>
      <w:r w:rsidR="00375FCD">
        <w:rPr>
          <w:lang w:val="es-ES"/>
        </w:rPr>
        <w:t xml:space="preserve">o de depreciación económica. En este caso, el modelo toma el método de anualidades inclinadas para la depreciación de los costos </w:t>
      </w:r>
      <w:r w:rsidR="00C673D0">
        <w:rPr>
          <w:lang w:val="es-ES"/>
        </w:rPr>
        <w:t>de adquisición relevantes.</w:t>
      </w:r>
      <w:r w:rsidR="000D71B7">
        <w:rPr>
          <w:lang w:val="es-ES"/>
        </w:rPr>
        <w:t xml:space="preserve"> Es importante comentar que</w:t>
      </w:r>
      <w:r w:rsidR="00D70466">
        <w:rPr>
          <w:lang w:val="es-ES"/>
        </w:rPr>
        <w:t>,</w:t>
      </w:r>
      <w:r w:rsidR="000D71B7">
        <w:rPr>
          <w:lang w:val="es-ES"/>
        </w:rPr>
        <w:t xml:space="preserve"> en este caso, los costos de instalación no son depreciados</w:t>
      </w:r>
      <w:r w:rsidR="00937BC2">
        <w:rPr>
          <w:lang w:val="es-ES"/>
        </w:rPr>
        <w:t xml:space="preserve"> conjuntamente con los costos de adquisición, ya que los costos de instalación se recuperarían a través de la componente no recurrente del servicio (ver sección </w:t>
      </w:r>
      <w:r w:rsidR="001B1B8E">
        <w:rPr>
          <w:highlight w:val="yellow"/>
          <w:lang w:val="es-ES"/>
        </w:rPr>
        <w:fldChar w:fldCharType="begin"/>
      </w:r>
      <w:r w:rsidR="001B1B8E">
        <w:rPr>
          <w:lang w:val="es-ES"/>
        </w:rPr>
        <w:instrText xml:space="preserve"> REF _Ref135959607 \r \h </w:instrText>
      </w:r>
      <w:r w:rsidR="001B1B8E">
        <w:rPr>
          <w:highlight w:val="yellow"/>
          <w:lang w:val="es-ES"/>
        </w:rPr>
      </w:r>
      <w:r w:rsidR="001B1B8E">
        <w:rPr>
          <w:highlight w:val="yellow"/>
          <w:lang w:val="es-ES"/>
        </w:rPr>
        <w:fldChar w:fldCharType="separate"/>
      </w:r>
      <w:r w:rsidR="00020F8B">
        <w:rPr>
          <w:lang w:val="es-ES"/>
        </w:rPr>
        <w:t>6.2.2</w:t>
      </w:r>
      <w:r w:rsidR="001B1B8E">
        <w:rPr>
          <w:highlight w:val="yellow"/>
          <w:lang w:val="es-ES"/>
        </w:rPr>
        <w:fldChar w:fldCharType="end"/>
      </w:r>
      <w:r w:rsidR="00937BC2">
        <w:rPr>
          <w:lang w:val="es-ES"/>
        </w:rPr>
        <w:t>).</w:t>
      </w:r>
    </w:p>
    <w:p w14:paraId="08C9D8FF" w14:textId="5D8C36A4" w:rsidR="0033706D" w:rsidRDefault="0033706D" w:rsidP="0033706D">
      <w:pPr>
        <w:pStyle w:val="Ttulo1"/>
        <w:rPr>
          <w:snapToGrid w:val="0"/>
          <w:lang w:val="es-ES_tradnl"/>
        </w:rPr>
      </w:pPr>
      <w:bookmarkStart w:id="57" w:name="_Ref135837314"/>
      <w:bookmarkStart w:id="58" w:name="_Ref135837510"/>
      <w:bookmarkStart w:id="59" w:name="_Toc136032684"/>
      <w:r>
        <w:rPr>
          <w:snapToGrid w:val="0"/>
          <w:lang w:val="es-ES_tradnl"/>
        </w:rPr>
        <w:lastRenderedPageBreak/>
        <w:t>Costos de los servicios</w:t>
      </w:r>
      <w:bookmarkEnd w:id="57"/>
      <w:bookmarkEnd w:id="58"/>
      <w:bookmarkEnd w:id="59"/>
    </w:p>
    <w:p w14:paraId="1A430DC1" w14:textId="7B3CCEE0" w:rsidR="00D459A9" w:rsidRDefault="00D459A9" w:rsidP="00DF2CA9">
      <w:pPr>
        <w:pStyle w:val="Ttulo2"/>
        <w:rPr>
          <w:lang w:val="es-ES"/>
        </w:rPr>
      </w:pPr>
      <w:bookmarkStart w:id="60" w:name="_Toc136032685"/>
      <w:r>
        <w:rPr>
          <w:lang w:val="es-ES"/>
        </w:rPr>
        <w:t xml:space="preserve">Servicios de </w:t>
      </w:r>
      <w:r w:rsidR="00DF2CA9">
        <w:rPr>
          <w:lang w:val="es-ES"/>
        </w:rPr>
        <w:t>red móvil</w:t>
      </w:r>
      <w:bookmarkEnd w:id="60"/>
    </w:p>
    <w:p w14:paraId="308A57BF" w14:textId="77777777" w:rsidR="00DF2CA9" w:rsidRDefault="00DF2CA9" w:rsidP="00DF2CA9">
      <w:pPr>
        <w:pStyle w:val="Ttulo3"/>
        <w:rPr>
          <w:lang w:val="es-ES"/>
        </w:rPr>
      </w:pPr>
      <w:r>
        <w:rPr>
          <w:lang w:val="es-ES"/>
        </w:rPr>
        <w:t>Servicios de interconexión</w:t>
      </w:r>
    </w:p>
    <w:p w14:paraId="5F160887" w14:textId="36440823" w:rsidR="00001C61" w:rsidRDefault="00001C61" w:rsidP="00001C61">
      <w:pPr>
        <w:rPr>
          <w:lang w:val="es-ES"/>
        </w:rPr>
      </w:pPr>
      <w:r>
        <w:rPr>
          <w:lang w:val="es-ES_tradnl"/>
        </w:rPr>
        <w:t xml:space="preserve">Para el cálculo de los costos de los servicios de interconexión móvil, el modelo emplea la metodología de </w:t>
      </w:r>
      <w:r w:rsidRPr="00C4425A">
        <w:rPr>
          <w:lang w:val="es-ES"/>
        </w:rPr>
        <w:t>de Costos Incrementales de Largo Plazo Puros (CILPP).</w:t>
      </w:r>
      <w:r>
        <w:rPr>
          <w:lang w:val="es-ES"/>
        </w:rPr>
        <w:t xml:space="preserve"> El </w:t>
      </w:r>
      <w:r w:rsidRPr="00A90AD1">
        <w:rPr>
          <w:lang w:val="es-ES_tradnl"/>
        </w:rPr>
        <w:t>CILPP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w:t>
      </w:r>
      <w:r>
        <w:rPr>
          <w:lang w:val="es-ES_tradnl"/>
        </w:rPr>
        <w:t xml:space="preserve">. De esta manera, los </w:t>
      </w:r>
      <w:r w:rsidRPr="005430A9">
        <w:rPr>
          <w:lang w:val="es-ES"/>
        </w:rPr>
        <w:t>costos unitarios son determinados como el cociente entre este costo incremental y el volumen de tráfico incremental del servicio</w:t>
      </w:r>
      <w:r>
        <w:rPr>
          <w:lang w:val="es-ES"/>
        </w:rPr>
        <w:t>:</w:t>
      </w:r>
    </w:p>
    <w:p w14:paraId="6B52056C" w14:textId="6C9343E3" w:rsidR="00001C61" w:rsidRPr="005430A9" w:rsidRDefault="00001C61" w:rsidP="00001C61">
      <w:pPr>
        <w:pStyle w:val="Descripcin"/>
        <w:rPr>
          <w:lang w:val="es-ES"/>
        </w:rPr>
      </w:pPr>
      <w:bookmarkStart w:id="61" w:name="_Ref135858241"/>
      <w:r w:rsidRPr="005430A9">
        <w:rPr>
          <w:lang w:val="es-ES"/>
        </w:rPr>
        <w:t xml:space="preserve">Figura </w:t>
      </w:r>
      <w:r>
        <w:rPr>
          <w:lang w:val="es-ES"/>
        </w:rPr>
        <w:fldChar w:fldCharType="begin"/>
      </w:r>
      <w:r w:rsidRPr="005430A9">
        <w:rPr>
          <w:lang w:val="es-ES"/>
        </w:rPr>
        <w:instrText xml:space="preserve"> STYLEREF 1 \s \* MERGEFORMAT </w:instrText>
      </w:r>
      <w:r>
        <w:rPr>
          <w:lang w:val="es-ES"/>
        </w:rPr>
        <w:fldChar w:fldCharType="separate"/>
      </w:r>
      <w:r w:rsidR="00020F8B">
        <w:rPr>
          <w:noProof/>
          <w:lang w:val="es-ES"/>
        </w:rPr>
        <w:t>6</w:t>
      </w:r>
      <w:r>
        <w:rPr>
          <w:lang w:val="es-ES"/>
        </w:rPr>
        <w:fldChar w:fldCharType="end"/>
      </w:r>
      <w:r w:rsidRPr="005430A9">
        <w:rPr>
          <w:lang w:val="es-ES"/>
        </w:rPr>
        <w:t>.</w:t>
      </w:r>
      <w:r>
        <w:rPr>
          <w:lang w:val="es-ES"/>
        </w:rPr>
        <w:fldChar w:fldCharType="begin"/>
      </w:r>
      <w:r w:rsidRPr="005430A9">
        <w:rPr>
          <w:lang w:val="es-ES"/>
        </w:rPr>
        <w:instrText xml:space="preserve"> SEQ Ilustración \* ARABIC \s 1 \* MERGEFORMAT </w:instrText>
      </w:r>
      <w:r>
        <w:rPr>
          <w:lang w:val="es-ES"/>
        </w:rPr>
        <w:fldChar w:fldCharType="separate"/>
      </w:r>
      <w:r w:rsidR="00020F8B">
        <w:rPr>
          <w:noProof/>
          <w:lang w:val="es-ES"/>
        </w:rPr>
        <w:t>1</w:t>
      </w:r>
      <w:r>
        <w:rPr>
          <w:lang w:val="es-ES"/>
        </w:rPr>
        <w:fldChar w:fldCharType="end"/>
      </w:r>
      <w:bookmarkEnd w:id="61"/>
      <w:r w:rsidRPr="005430A9">
        <w:rPr>
          <w:lang w:val="es-ES"/>
        </w:rPr>
        <w:t>: Diagrama de</w:t>
      </w:r>
      <w:r>
        <w:rPr>
          <w:lang w:val="es-ES"/>
        </w:rPr>
        <w:t xml:space="preserve">l cálculo del CILPP </w:t>
      </w:r>
      <w:r w:rsidRPr="005430A9">
        <w:rPr>
          <w:lang w:val="es-ES"/>
        </w:rPr>
        <w:t>[Fuente: Analysys Mason, 2023]</w:t>
      </w:r>
    </w:p>
    <w:p w14:paraId="44A6ED08" w14:textId="6B219CB2" w:rsidR="00001C61" w:rsidRDefault="00732790" w:rsidP="00001C61">
      <w:pPr>
        <w:jc w:val="center"/>
        <w:rPr>
          <w:lang w:val="es-ES"/>
        </w:rPr>
      </w:pPr>
      <w:r w:rsidRPr="00732790">
        <w:rPr>
          <w:noProof/>
        </w:rPr>
        <w:drawing>
          <wp:inline distT="0" distB="0" distL="0" distR="0" wp14:anchorId="7DB9A78B" wp14:editId="1A246DF3">
            <wp:extent cx="5544185" cy="2857500"/>
            <wp:effectExtent l="0" t="0" r="0" b="0"/>
            <wp:docPr id="724502658" name="Picture 72450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44185" cy="2857500"/>
                    </a:xfrm>
                    <a:prstGeom prst="rect">
                      <a:avLst/>
                    </a:prstGeom>
                    <a:noFill/>
                    <a:ln>
                      <a:noFill/>
                    </a:ln>
                  </pic:spPr>
                </pic:pic>
              </a:graphicData>
            </a:graphic>
          </wp:inline>
        </w:drawing>
      </w:r>
    </w:p>
    <w:p w14:paraId="09C098B2" w14:textId="0E438FDC" w:rsidR="00C0301D" w:rsidRDefault="00C0301D" w:rsidP="00C0301D">
      <w:pPr>
        <w:jc w:val="left"/>
        <w:rPr>
          <w:lang w:val="es-ES"/>
        </w:rPr>
      </w:pPr>
      <w:r>
        <w:rPr>
          <w:lang w:val="es-ES"/>
        </w:rPr>
        <w:t>Con esta metodología se calculan los costos de los siguientes servicios de interconexión móvil:</w:t>
      </w:r>
    </w:p>
    <w:p w14:paraId="3913F9DD" w14:textId="1B3CF321" w:rsidR="00C0301D" w:rsidRDefault="00C0301D" w:rsidP="00C0301D">
      <w:pPr>
        <w:pStyle w:val="Prrafodelista"/>
        <w:numPr>
          <w:ilvl w:val="0"/>
          <w:numId w:val="48"/>
        </w:numPr>
        <w:jc w:val="left"/>
        <w:rPr>
          <w:lang w:val="es-ES"/>
        </w:rPr>
      </w:pPr>
      <w:r>
        <w:rPr>
          <w:lang w:val="es-ES"/>
        </w:rPr>
        <w:t>Terminación de voz</w:t>
      </w:r>
      <w:r w:rsidR="00336158">
        <w:rPr>
          <w:lang w:val="es-ES"/>
        </w:rPr>
        <w:t xml:space="preserve"> (tanto para el operador modelado basado en el AEP, como para el operador modelado basado en un concesionario alternativo hipotético)</w:t>
      </w:r>
    </w:p>
    <w:p w14:paraId="23DD6E97" w14:textId="2149FD57" w:rsidR="00C0301D" w:rsidRDefault="00C0301D" w:rsidP="00C0301D">
      <w:pPr>
        <w:pStyle w:val="Prrafodelista"/>
        <w:numPr>
          <w:ilvl w:val="0"/>
          <w:numId w:val="48"/>
        </w:numPr>
        <w:jc w:val="left"/>
        <w:rPr>
          <w:lang w:val="es-ES"/>
        </w:rPr>
      </w:pPr>
      <w:r>
        <w:rPr>
          <w:lang w:val="es-ES"/>
        </w:rPr>
        <w:t>Terminación de SMS</w:t>
      </w:r>
      <w:r w:rsidR="00336158">
        <w:rPr>
          <w:lang w:val="es-ES"/>
        </w:rPr>
        <w:t xml:space="preserve"> (también para ambos operadores modelados)</w:t>
      </w:r>
    </w:p>
    <w:p w14:paraId="2BB689BD" w14:textId="3510E7DE" w:rsidR="00F21D1E" w:rsidRDefault="00F21D1E" w:rsidP="00C0301D">
      <w:pPr>
        <w:pStyle w:val="Prrafodelista"/>
        <w:numPr>
          <w:ilvl w:val="0"/>
          <w:numId w:val="48"/>
        </w:numPr>
        <w:jc w:val="left"/>
        <w:rPr>
          <w:lang w:val="es-ES"/>
        </w:rPr>
      </w:pPr>
      <w:r>
        <w:rPr>
          <w:lang w:val="es-ES"/>
        </w:rPr>
        <w:t>Tránsito de voz en red móvil</w:t>
      </w:r>
      <w:r w:rsidR="00336158">
        <w:rPr>
          <w:lang w:val="es-ES"/>
        </w:rPr>
        <w:t xml:space="preserve"> (calculado solamente para el operador modelado basado en el AEP)</w:t>
      </w:r>
    </w:p>
    <w:p w14:paraId="6BADB41E" w14:textId="3B7182EA" w:rsidR="00DF2CA9" w:rsidRDefault="00DF2CA9" w:rsidP="00DF2CA9">
      <w:pPr>
        <w:pStyle w:val="Ttulo3"/>
        <w:rPr>
          <w:lang w:val="es-ES"/>
        </w:rPr>
      </w:pPr>
      <w:r>
        <w:rPr>
          <w:lang w:val="es-ES"/>
        </w:rPr>
        <w:t>Servicios de usuario visitante</w:t>
      </w:r>
    </w:p>
    <w:p w14:paraId="71441029" w14:textId="1B3758E2" w:rsidR="00DF2CA9" w:rsidRPr="00DF2CA9" w:rsidRDefault="00001C61" w:rsidP="00DF2CA9">
      <w:pPr>
        <w:rPr>
          <w:lang w:val="es-ES"/>
        </w:rPr>
      </w:pPr>
      <w:r>
        <w:rPr>
          <w:lang w:val="es-ES"/>
        </w:rPr>
        <w:t xml:space="preserve">A diferencia de la interconexión, </w:t>
      </w:r>
      <w:r w:rsidR="003975BC">
        <w:rPr>
          <w:lang w:val="es-ES"/>
        </w:rPr>
        <w:t>los servicios de usuario visitante</w:t>
      </w:r>
      <w:r>
        <w:rPr>
          <w:lang w:val="es-ES"/>
        </w:rPr>
        <w:t xml:space="preserve"> se costea</w:t>
      </w:r>
      <w:r w:rsidR="00D637FE">
        <w:rPr>
          <w:lang w:val="es-ES"/>
        </w:rPr>
        <w:t>n</w:t>
      </w:r>
      <w:r>
        <w:rPr>
          <w:lang w:val="es-ES"/>
        </w:rPr>
        <w:t xml:space="preserve"> empleando una metodología de costos </w:t>
      </w:r>
      <w:r w:rsidR="003027E0">
        <w:rPr>
          <w:lang w:val="es-ES"/>
        </w:rPr>
        <w:t>incrementales promedio a largo plazo (CIPLP)</w:t>
      </w:r>
      <w:r w:rsidR="003F0BDB">
        <w:rPr>
          <w:lang w:val="es-ES"/>
        </w:rPr>
        <w:t xml:space="preserve">. </w:t>
      </w:r>
      <w:r w:rsidR="007E28D4">
        <w:rPr>
          <w:lang w:val="es-ES"/>
        </w:rPr>
        <w:t xml:space="preserve">Esta metodología calcula el </w:t>
      </w:r>
      <w:r w:rsidR="00AC3498">
        <w:rPr>
          <w:lang w:val="es-ES"/>
        </w:rPr>
        <w:lastRenderedPageBreak/>
        <w:t xml:space="preserve">incremental y </w:t>
      </w:r>
      <w:r w:rsidR="00666371">
        <w:rPr>
          <w:lang w:val="es-ES"/>
        </w:rPr>
        <w:t>en una de sus variantes se puede asignar adicionalmente la recuperación</w:t>
      </w:r>
      <w:r w:rsidR="007E28D4" w:rsidRPr="007E28D4">
        <w:rPr>
          <w:lang w:val="es-ES"/>
        </w:rPr>
        <w:t xml:space="preserve"> de los costos comunes por medio de asignaciones de costos</w:t>
      </w:r>
      <w:r w:rsidR="00666371">
        <w:rPr>
          <w:lang w:val="es-ES"/>
        </w:rPr>
        <w:t xml:space="preserve"> (</w:t>
      </w:r>
      <w:r w:rsidR="0058351C">
        <w:rPr>
          <w:lang w:val="es-ES"/>
        </w:rPr>
        <w:t>la variante del CIPLP que incorpora los costos comunes se ha sido denominada por le IFT como costo incremental total promedio de largo plazo (CITPLP))</w:t>
      </w:r>
      <w:r w:rsidR="008904E0">
        <w:rPr>
          <w:lang w:val="es-ES"/>
        </w:rPr>
        <w:t>.</w:t>
      </w:r>
    </w:p>
    <w:p w14:paraId="0391E868" w14:textId="0372E329" w:rsidR="003975BC" w:rsidRDefault="000217CE" w:rsidP="00D459A9">
      <w:pPr>
        <w:rPr>
          <w:lang w:val="es-ES"/>
        </w:rPr>
      </w:pPr>
      <w:r>
        <w:rPr>
          <w:lang w:val="es-ES"/>
        </w:rPr>
        <w:t>Como se explica en el documento de</w:t>
      </w:r>
      <w:r w:rsidR="00A36856">
        <w:rPr>
          <w:lang w:val="es-ES"/>
        </w:rPr>
        <w:t>l marco metodológico</w:t>
      </w:r>
      <w:r w:rsidR="00F2407E">
        <w:rPr>
          <w:lang w:val="es-ES"/>
        </w:rPr>
        <w:t>, e</w:t>
      </w:r>
      <w:r w:rsidR="006F4CFC">
        <w:rPr>
          <w:lang w:val="es-ES"/>
        </w:rPr>
        <w:t xml:space="preserve">n la red móvil estos costos comunes incluyen </w:t>
      </w:r>
      <w:r w:rsidR="00BD3064">
        <w:rPr>
          <w:lang w:val="es-ES"/>
        </w:rPr>
        <w:t xml:space="preserve">costos de la SIM, </w:t>
      </w:r>
      <w:r w:rsidR="00974180">
        <w:rPr>
          <w:lang w:val="es-ES"/>
        </w:rPr>
        <w:t xml:space="preserve">partes de la red desplegada que son comunes </w:t>
      </w:r>
      <w:r w:rsidR="00DB68E8">
        <w:rPr>
          <w:lang w:val="es-ES"/>
        </w:rPr>
        <w:t xml:space="preserve">a todos los servicios (MSC, BSC, sitios, etc) y gastos de administración asignados a la red. </w:t>
      </w:r>
      <w:r w:rsidR="001E55A4">
        <w:rPr>
          <w:lang w:val="es-ES"/>
        </w:rPr>
        <w:t xml:space="preserve">Para distribuir los costos comunes </w:t>
      </w:r>
      <w:r w:rsidR="00B56F2E">
        <w:rPr>
          <w:lang w:val="es-ES"/>
        </w:rPr>
        <w:t xml:space="preserve">a cada servicio </w:t>
      </w:r>
      <w:r w:rsidR="00177327">
        <w:rPr>
          <w:lang w:val="es-ES"/>
        </w:rPr>
        <w:t>de usuario visitante se emplea</w:t>
      </w:r>
      <w:r w:rsidR="00B56F2E">
        <w:rPr>
          <w:lang w:val="es-ES"/>
        </w:rPr>
        <w:t xml:space="preserve"> el </w:t>
      </w:r>
      <w:r w:rsidR="00177327">
        <w:rPr>
          <w:lang w:val="es-ES"/>
        </w:rPr>
        <w:t>método EPMU</w:t>
      </w:r>
      <w:r w:rsidR="00C47AB2">
        <w:rPr>
          <w:lang w:val="es-ES"/>
        </w:rPr>
        <w:t>.</w:t>
      </w:r>
    </w:p>
    <w:p w14:paraId="2815C1BD" w14:textId="470607B6" w:rsidR="003975BC" w:rsidRDefault="00C47AB2" w:rsidP="003975BC">
      <w:pPr>
        <w:rPr>
          <w:lang w:val="es-ES"/>
        </w:rPr>
      </w:pPr>
      <w:r>
        <w:rPr>
          <w:lang w:val="es-ES"/>
        </w:rPr>
        <w:t xml:space="preserve">Los </w:t>
      </w:r>
      <w:r w:rsidR="00372842">
        <w:rPr>
          <w:lang w:val="es-ES"/>
        </w:rPr>
        <w:t xml:space="preserve">costos </w:t>
      </w:r>
      <w:r w:rsidR="003975BC">
        <w:rPr>
          <w:lang w:val="es-ES"/>
        </w:rPr>
        <w:t>se</w:t>
      </w:r>
      <w:r>
        <w:rPr>
          <w:lang w:val="es-ES"/>
        </w:rPr>
        <w:t xml:space="preserve"> calculan para los distintos servicios de datos, voz y SMS, </w:t>
      </w:r>
      <w:r w:rsidR="005753A0">
        <w:rPr>
          <w:lang w:val="es-ES"/>
        </w:rPr>
        <w:t xml:space="preserve">y se presenta el valor </w:t>
      </w:r>
      <w:r w:rsidR="00372842">
        <w:rPr>
          <w:lang w:val="es-ES"/>
        </w:rPr>
        <w:t xml:space="preserve">unitario </w:t>
      </w:r>
      <w:r w:rsidR="008F58F1">
        <w:rPr>
          <w:lang w:val="es-ES"/>
        </w:rPr>
        <w:t xml:space="preserve">del </w:t>
      </w:r>
      <w:r w:rsidR="005753A0">
        <w:rPr>
          <w:lang w:val="es-ES"/>
        </w:rPr>
        <w:t xml:space="preserve">resultado como promedio ponderado </w:t>
      </w:r>
      <w:r w:rsidR="00372842">
        <w:rPr>
          <w:lang w:val="es-ES"/>
        </w:rPr>
        <w:t xml:space="preserve">de los costos y volúmenes </w:t>
      </w:r>
      <w:r w:rsidR="005753A0">
        <w:rPr>
          <w:lang w:val="es-ES"/>
        </w:rPr>
        <w:t xml:space="preserve">de los tres servicios, en línea con </w:t>
      </w:r>
      <w:r w:rsidR="001E1BD6">
        <w:rPr>
          <w:lang w:val="es-ES"/>
        </w:rPr>
        <w:t>la aproximación seguida en la oferta de referencia de usuario visitante vigente</w:t>
      </w:r>
      <w:r w:rsidR="003975BC">
        <w:rPr>
          <w:lang w:val="es-ES"/>
        </w:rPr>
        <w:t>.</w:t>
      </w:r>
    </w:p>
    <w:p w14:paraId="4F61610A" w14:textId="02F00422" w:rsidR="00D459A9" w:rsidRPr="00D459A9" w:rsidRDefault="00D459A9" w:rsidP="00D459A9">
      <w:pPr>
        <w:rPr>
          <w:lang w:val="es-ES"/>
        </w:rPr>
      </w:pPr>
    </w:p>
    <w:p w14:paraId="7310F8C4" w14:textId="77777777" w:rsidR="001C77C9" w:rsidRDefault="001C77C9" w:rsidP="001C77C9">
      <w:pPr>
        <w:pStyle w:val="Ttulo2"/>
        <w:rPr>
          <w:lang w:val="es-ES_tradnl"/>
        </w:rPr>
      </w:pPr>
      <w:bookmarkStart w:id="62" w:name="_Toc136032686"/>
      <w:bookmarkStart w:id="63" w:name="_Toc280791251"/>
      <w:bookmarkStart w:id="64" w:name="_Toc280791400"/>
      <w:bookmarkStart w:id="65" w:name="_Toc283729552"/>
      <w:bookmarkStart w:id="66" w:name="_Toc433711464"/>
      <w:bookmarkStart w:id="67" w:name="_Toc433711468"/>
      <w:bookmarkStart w:id="68" w:name="_Toc433711470"/>
      <w:bookmarkStart w:id="69" w:name="_Toc433711474"/>
      <w:bookmarkStart w:id="70" w:name="_Toc433711610"/>
      <w:bookmarkEnd w:id="8"/>
      <w:r>
        <w:rPr>
          <w:lang w:val="es-ES_tradnl"/>
        </w:rPr>
        <w:t>Servicios de red fija</w:t>
      </w:r>
      <w:bookmarkEnd w:id="62"/>
    </w:p>
    <w:p w14:paraId="2A2B2C5C" w14:textId="77777777" w:rsidR="001C77C9" w:rsidRDefault="001C77C9" w:rsidP="001C77C9">
      <w:pPr>
        <w:pStyle w:val="Ttulo3"/>
        <w:rPr>
          <w:lang w:val="es-ES"/>
        </w:rPr>
      </w:pPr>
      <w:r>
        <w:rPr>
          <w:lang w:val="es-ES"/>
        </w:rPr>
        <w:t>Servicios de interconexión</w:t>
      </w:r>
    </w:p>
    <w:p w14:paraId="555185C9" w14:textId="537C4F99" w:rsidR="001C77C9" w:rsidRDefault="00C0301D" w:rsidP="001C77C9">
      <w:pPr>
        <w:rPr>
          <w:lang w:val="es-ES"/>
        </w:rPr>
      </w:pPr>
      <w:r>
        <w:rPr>
          <w:lang w:val="es-ES"/>
        </w:rPr>
        <w:t xml:space="preserve">Los servicios de interconexión fija se costean con la misma metodología </w:t>
      </w:r>
      <w:r w:rsidR="00203C5A">
        <w:rPr>
          <w:lang w:val="es-ES"/>
        </w:rPr>
        <w:t xml:space="preserve">de </w:t>
      </w:r>
      <w:r>
        <w:rPr>
          <w:lang w:val="es-ES"/>
        </w:rPr>
        <w:t>CI</w:t>
      </w:r>
      <w:r w:rsidR="00203C5A">
        <w:rPr>
          <w:lang w:val="es-ES"/>
        </w:rPr>
        <w:t>L</w:t>
      </w:r>
      <w:r>
        <w:rPr>
          <w:lang w:val="es-ES"/>
        </w:rPr>
        <w:t>P</w:t>
      </w:r>
      <w:r w:rsidR="00A86EA8">
        <w:rPr>
          <w:lang w:val="es-ES"/>
        </w:rPr>
        <w:t>P</w:t>
      </w:r>
      <w:r w:rsidR="00203C5A">
        <w:rPr>
          <w:lang w:val="es-ES"/>
        </w:rPr>
        <w:t xml:space="preserve"> equivalente a</w:t>
      </w:r>
      <w:r>
        <w:rPr>
          <w:lang w:val="es-ES"/>
        </w:rPr>
        <w:t xml:space="preserve"> </w:t>
      </w:r>
      <w:r w:rsidR="00203C5A">
        <w:rPr>
          <w:lang w:val="es-ES"/>
        </w:rPr>
        <w:t xml:space="preserve">la seguida en los </w:t>
      </w:r>
      <w:r>
        <w:rPr>
          <w:lang w:val="es-ES"/>
        </w:rPr>
        <w:t xml:space="preserve">servicios de interconexión móvil (ver </w:t>
      </w:r>
      <w:r>
        <w:rPr>
          <w:lang w:val="es-ES"/>
        </w:rPr>
        <w:fldChar w:fldCharType="begin"/>
      </w:r>
      <w:r>
        <w:rPr>
          <w:lang w:val="es-ES"/>
        </w:rPr>
        <w:instrText xml:space="preserve"> REF _Ref135858241 \h </w:instrText>
      </w:r>
      <w:r>
        <w:rPr>
          <w:lang w:val="es-ES"/>
        </w:rPr>
      </w:r>
      <w:r>
        <w:rPr>
          <w:lang w:val="es-ES"/>
        </w:rPr>
        <w:fldChar w:fldCharType="separate"/>
      </w:r>
      <w:r w:rsidR="00020F8B" w:rsidRPr="005430A9">
        <w:rPr>
          <w:lang w:val="es-ES"/>
        </w:rPr>
        <w:t xml:space="preserve">Figura </w:t>
      </w:r>
      <w:r w:rsidR="00020F8B">
        <w:rPr>
          <w:noProof/>
          <w:lang w:val="es-ES"/>
        </w:rPr>
        <w:t>6</w:t>
      </w:r>
      <w:r w:rsidR="00020F8B" w:rsidRPr="005430A9">
        <w:rPr>
          <w:lang w:val="es-ES"/>
        </w:rPr>
        <w:t>.</w:t>
      </w:r>
      <w:r w:rsidR="00020F8B">
        <w:rPr>
          <w:noProof/>
          <w:lang w:val="es-ES"/>
        </w:rPr>
        <w:t>1</w:t>
      </w:r>
      <w:r>
        <w:rPr>
          <w:lang w:val="es-ES"/>
        </w:rPr>
        <w:fldChar w:fldCharType="end"/>
      </w:r>
      <w:r>
        <w:rPr>
          <w:lang w:val="es-ES"/>
        </w:rPr>
        <w:t>).</w:t>
      </w:r>
    </w:p>
    <w:p w14:paraId="1B50A9ED" w14:textId="304FE4EE" w:rsidR="00C0301D" w:rsidRDefault="00C0301D" w:rsidP="001C77C9">
      <w:pPr>
        <w:rPr>
          <w:lang w:val="es-ES"/>
        </w:rPr>
      </w:pPr>
      <w:r>
        <w:rPr>
          <w:lang w:val="es-ES"/>
        </w:rPr>
        <w:t>Esta metodología se usa para calcular el costo de los siguientes servicios:</w:t>
      </w:r>
    </w:p>
    <w:p w14:paraId="66C57B1A" w14:textId="77777777" w:rsidR="00336158" w:rsidRDefault="00336158" w:rsidP="00336158">
      <w:pPr>
        <w:pStyle w:val="Prrafodelista"/>
        <w:numPr>
          <w:ilvl w:val="0"/>
          <w:numId w:val="48"/>
        </w:numPr>
        <w:jc w:val="left"/>
        <w:rPr>
          <w:lang w:val="es-ES"/>
        </w:rPr>
      </w:pPr>
      <w:r>
        <w:rPr>
          <w:lang w:val="es-ES"/>
        </w:rPr>
        <w:t>Terminación de voz (tanto para el operador modelado basado en el AEP, como para el operador modelado basado en un concesionario alternativo hipotético)</w:t>
      </w:r>
    </w:p>
    <w:p w14:paraId="41108CC8" w14:textId="77777777" w:rsidR="00336158" w:rsidRDefault="00336158" w:rsidP="00336158">
      <w:pPr>
        <w:pStyle w:val="Prrafodelista"/>
        <w:numPr>
          <w:ilvl w:val="0"/>
          <w:numId w:val="48"/>
        </w:numPr>
        <w:jc w:val="left"/>
        <w:rPr>
          <w:lang w:val="es-ES"/>
        </w:rPr>
      </w:pPr>
      <w:r>
        <w:rPr>
          <w:lang w:val="es-ES"/>
        </w:rPr>
        <w:t>Terminación de SMS (también para ambos operadores modelados)</w:t>
      </w:r>
    </w:p>
    <w:p w14:paraId="32F5A38F" w14:textId="2ADFC76F" w:rsidR="00336158" w:rsidRDefault="00336158" w:rsidP="00336158">
      <w:pPr>
        <w:pStyle w:val="Prrafodelista"/>
        <w:numPr>
          <w:ilvl w:val="0"/>
          <w:numId w:val="48"/>
        </w:numPr>
        <w:jc w:val="left"/>
        <w:rPr>
          <w:lang w:val="es-ES"/>
        </w:rPr>
      </w:pPr>
      <w:r>
        <w:rPr>
          <w:lang w:val="es-ES"/>
        </w:rPr>
        <w:t>Tránsito de voz en red fija (calculado solamente para el operador modelado basado en el AEP)</w:t>
      </w:r>
    </w:p>
    <w:p w14:paraId="33864AFC" w14:textId="77777777" w:rsidR="001C77C9" w:rsidRDefault="001C77C9" w:rsidP="001C77C9">
      <w:pPr>
        <w:pStyle w:val="Ttulo3"/>
        <w:rPr>
          <w:lang w:val="es-ES"/>
        </w:rPr>
      </w:pPr>
      <w:bookmarkStart w:id="71" w:name="_Ref135959607"/>
      <w:r>
        <w:rPr>
          <w:lang w:val="es-ES"/>
        </w:rPr>
        <w:t>Servicios de enlaces dedicados</w:t>
      </w:r>
      <w:bookmarkEnd w:id="71"/>
    </w:p>
    <w:p w14:paraId="5BABBA21" w14:textId="77777777" w:rsidR="00D800D7" w:rsidRDefault="00D800D7" w:rsidP="00D800D7">
      <w:pPr>
        <w:pStyle w:val="Ttulo4"/>
        <w:rPr>
          <w:lang w:val="es-ES"/>
        </w:rPr>
      </w:pPr>
      <w:r>
        <w:rPr>
          <w:lang w:val="es-ES"/>
        </w:rPr>
        <w:t>Enlaces dedicados locales</w:t>
      </w:r>
    </w:p>
    <w:p w14:paraId="4B8B13B5" w14:textId="77777777" w:rsidR="0013213E" w:rsidRDefault="00B51379" w:rsidP="00D800D7">
      <w:pPr>
        <w:rPr>
          <w:lang w:val="es-ES"/>
        </w:rPr>
      </w:pPr>
      <w:r>
        <w:rPr>
          <w:lang w:val="es-ES"/>
        </w:rPr>
        <w:t>Los costos de los servicios de enlaces dedicados locales</w:t>
      </w:r>
      <w:r w:rsidR="0013213E">
        <w:rPr>
          <w:lang w:val="es-ES"/>
        </w:rPr>
        <w:t xml:space="preserve"> presentan una tarificación desagregada en una tarifa recurrente y una tarifa no recurrente. </w:t>
      </w:r>
    </w:p>
    <w:p w14:paraId="68CDDF12" w14:textId="3F9CEEEB" w:rsidR="00B51379" w:rsidRDefault="0013213E" w:rsidP="00D800D7">
      <w:pPr>
        <w:rPr>
          <w:lang w:val="es-ES"/>
        </w:rPr>
      </w:pPr>
      <w:r>
        <w:rPr>
          <w:lang w:val="es-ES"/>
        </w:rPr>
        <w:t xml:space="preserve">En el caso de la tarifa recurrente, para su </w:t>
      </w:r>
      <w:r w:rsidR="003B2E4C">
        <w:rPr>
          <w:lang w:val="es-ES"/>
        </w:rPr>
        <w:t>c</w:t>
      </w:r>
      <w:r>
        <w:rPr>
          <w:lang w:val="es-ES"/>
        </w:rPr>
        <w:t xml:space="preserve">álculo se </w:t>
      </w:r>
      <w:r w:rsidR="00B51379">
        <w:rPr>
          <w:lang w:val="es-ES"/>
        </w:rPr>
        <w:t>agregan diversas componentes, de costos, a saber:</w:t>
      </w:r>
    </w:p>
    <w:p w14:paraId="394BB0C7" w14:textId="40E3B8BC" w:rsidR="00B51379" w:rsidRDefault="00B51379" w:rsidP="00B51379">
      <w:pPr>
        <w:pStyle w:val="ListBulletCompact"/>
        <w:rPr>
          <w:lang w:val="es-ES"/>
        </w:rPr>
      </w:pPr>
      <w:r>
        <w:rPr>
          <w:lang w:val="es-ES"/>
        </w:rPr>
        <w:t>Costos de transporte</w:t>
      </w:r>
      <w:r w:rsidR="0013213E">
        <w:rPr>
          <w:lang w:val="es-ES"/>
        </w:rPr>
        <w:t xml:space="preserve"> de enlaces dedicados</w:t>
      </w:r>
    </w:p>
    <w:p w14:paraId="3FF8ADE5" w14:textId="095B194D" w:rsidR="00B51379" w:rsidRDefault="00B51379" w:rsidP="00B51379">
      <w:pPr>
        <w:pStyle w:val="ListBulletCompact"/>
        <w:rPr>
          <w:lang w:val="es-ES"/>
        </w:rPr>
      </w:pPr>
      <w:r>
        <w:rPr>
          <w:lang w:val="es-ES"/>
        </w:rPr>
        <w:t>Costos de equipamientos específicos</w:t>
      </w:r>
    </w:p>
    <w:p w14:paraId="6C36088E" w14:textId="77C8F732" w:rsidR="0037192E" w:rsidRPr="00A37D91" w:rsidRDefault="0013213E" w:rsidP="00A37D91">
      <w:pPr>
        <w:pStyle w:val="ListBulletCompact"/>
        <w:rPr>
          <w:lang w:val="es-ES"/>
        </w:rPr>
      </w:pPr>
      <w:r>
        <w:rPr>
          <w:lang w:val="es-ES"/>
        </w:rPr>
        <w:t>Costos de cableado de acceso</w:t>
      </w:r>
    </w:p>
    <w:p w14:paraId="7F2CC959" w14:textId="093CD9A6" w:rsidR="0037192E" w:rsidRDefault="0037192E" w:rsidP="00C54EC8">
      <w:pPr>
        <w:rPr>
          <w:lang w:val="es-ES"/>
        </w:rPr>
      </w:pPr>
      <w:r>
        <w:rPr>
          <w:lang w:val="es-ES"/>
        </w:rPr>
        <w:t xml:space="preserve">Los costos de transporte </w:t>
      </w:r>
      <w:r w:rsidR="00C54EC8">
        <w:rPr>
          <w:lang w:val="es-ES"/>
        </w:rPr>
        <w:t xml:space="preserve">de los enlaces dedicados locales </w:t>
      </w:r>
      <w:r>
        <w:rPr>
          <w:lang w:val="es-ES"/>
        </w:rPr>
        <w:t>se extraen del módulo de redes fijas, bajo</w:t>
      </w:r>
      <w:r w:rsidR="00C54EC8">
        <w:rPr>
          <w:lang w:val="es-ES"/>
        </w:rPr>
        <w:t xml:space="preserve"> </w:t>
      </w:r>
      <w:r>
        <w:rPr>
          <w:lang w:val="es-ES"/>
        </w:rPr>
        <w:t>el estándar CIPLP</w:t>
      </w:r>
      <w:r w:rsidR="0058351C">
        <w:rPr>
          <w:lang w:val="es-ES"/>
        </w:rPr>
        <w:t xml:space="preserve"> que incorpora costos comunes (CITPLP) e</w:t>
      </w:r>
      <w:r w:rsidR="0071391A">
        <w:rPr>
          <w:lang w:val="es-ES"/>
        </w:rPr>
        <w:t xml:space="preserve">ste </w:t>
      </w:r>
      <w:r w:rsidR="00C54EC8">
        <w:rPr>
          <w:lang w:val="es-ES"/>
        </w:rPr>
        <w:t>m</w:t>
      </w:r>
      <w:r w:rsidR="00E207D3">
        <w:rPr>
          <w:lang w:val="es-ES"/>
        </w:rPr>
        <w:t xml:space="preserve">ódulo de redes </w:t>
      </w:r>
      <w:r w:rsidR="00D43B88">
        <w:rPr>
          <w:lang w:val="es-ES"/>
        </w:rPr>
        <w:t xml:space="preserve">fijas se </w:t>
      </w:r>
      <w:r w:rsidR="006B77C7">
        <w:rPr>
          <w:lang w:val="es-ES"/>
        </w:rPr>
        <w:t xml:space="preserve">ha diseñado bajo </w:t>
      </w:r>
      <w:r w:rsidR="006B77C7">
        <w:rPr>
          <w:lang w:val="es-ES"/>
        </w:rPr>
        <w:lastRenderedPageBreak/>
        <w:t xml:space="preserve">una metodología </w:t>
      </w:r>
      <w:r w:rsidR="0071391A">
        <w:rPr>
          <w:lang w:val="es-ES"/>
        </w:rPr>
        <w:t xml:space="preserve">que analiza exclusivamente los costos de una red moderna, sobre tecnología ethernet. </w:t>
      </w:r>
      <w:r w:rsidR="009A42D0">
        <w:rPr>
          <w:lang w:val="es-ES"/>
        </w:rPr>
        <w:t>Mientras</w:t>
      </w:r>
      <w:r w:rsidR="0071391A">
        <w:rPr>
          <w:lang w:val="es-ES"/>
        </w:rPr>
        <w:t xml:space="preserve"> tanto</w:t>
      </w:r>
      <w:r w:rsidR="00A37D91">
        <w:rPr>
          <w:lang w:val="es-ES"/>
        </w:rPr>
        <w:t>,</w:t>
      </w:r>
      <w:r w:rsidR="009A42D0">
        <w:rPr>
          <w:lang w:val="es-ES"/>
        </w:rPr>
        <w:t xml:space="preserve"> las medidas impuestas al </w:t>
      </w:r>
      <w:r w:rsidR="0071391A">
        <w:rPr>
          <w:lang w:val="es-ES"/>
        </w:rPr>
        <w:t xml:space="preserve">AEP </w:t>
      </w:r>
      <w:r w:rsidR="009A42D0">
        <w:rPr>
          <w:lang w:val="es-ES"/>
        </w:rPr>
        <w:t xml:space="preserve">hacen que sea necesaria la provisión de servicios a través de </w:t>
      </w:r>
      <w:r w:rsidR="008F58F1">
        <w:rPr>
          <w:lang w:val="es-ES"/>
        </w:rPr>
        <w:t xml:space="preserve">la </w:t>
      </w:r>
      <w:r w:rsidR="009A42D0">
        <w:rPr>
          <w:lang w:val="es-ES"/>
        </w:rPr>
        <w:t xml:space="preserve">tecnología TDM. Dado que los equipos asociados a la provisión de servicios TDM no se incluyen en el módulo de redes fijas, </w:t>
      </w:r>
      <w:r w:rsidR="00A37D91">
        <w:rPr>
          <w:lang w:val="es-ES"/>
        </w:rPr>
        <w:t xml:space="preserve">para el cálculo de los costes de enlaces dedicados se </w:t>
      </w:r>
      <w:r w:rsidR="009A42D0">
        <w:rPr>
          <w:lang w:val="es-ES"/>
        </w:rPr>
        <w:t xml:space="preserve">considera un </w:t>
      </w:r>
      <w:r w:rsidR="003E0221">
        <w:rPr>
          <w:lang w:val="es-ES"/>
        </w:rPr>
        <w:t>factor</w:t>
      </w:r>
      <w:r w:rsidR="009A42D0">
        <w:rPr>
          <w:lang w:val="es-ES"/>
        </w:rPr>
        <w:t xml:space="preserve"> de reconciliación</w:t>
      </w:r>
      <w:r w:rsidR="003E0221">
        <w:rPr>
          <w:lang w:val="es-ES"/>
        </w:rPr>
        <w:t xml:space="preserve"> que</w:t>
      </w:r>
      <w:r w:rsidR="00CB5BF7">
        <w:rPr>
          <w:lang w:val="es-ES"/>
        </w:rPr>
        <w:t xml:space="preserve"> tiene en cuenta estos costos adicionales</w:t>
      </w:r>
      <w:r w:rsidR="00F72FE4">
        <w:rPr>
          <w:lang w:val="es-ES"/>
        </w:rPr>
        <w:t>. Dicho factor se ha estimado a partir de los datos de la separación contable del AEP.</w:t>
      </w:r>
    </w:p>
    <w:p w14:paraId="038B42B1" w14:textId="0BBE4576" w:rsidR="00F72FE4" w:rsidRDefault="00F72FE4" w:rsidP="00C54EC8">
      <w:pPr>
        <w:rPr>
          <w:lang w:val="es-ES"/>
        </w:rPr>
      </w:pPr>
      <w:r>
        <w:rPr>
          <w:lang w:val="es-ES"/>
        </w:rPr>
        <w:t xml:space="preserve">Los costos de equipamientos específicos de enlaces dedicados se calculan directamente en el módulo de enlaces dedicados, con base </w:t>
      </w:r>
      <w:r w:rsidR="008F58F1">
        <w:rPr>
          <w:lang w:val="es-ES"/>
        </w:rPr>
        <w:t>en</w:t>
      </w:r>
      <w:r>
        <w:rPr>
          <w:lang w:val="es-ES"/>
        </w:rPr>
        <w:t xml:space="preserve"> la metodología expuesta en la </w:t>
      </w:r>
      <w:r w:rsidR="00823C39">
        <w:rPr>
          <w:lang w:val="es-ES"/>
        </w:rPr>
        <w:t>sección</w:t>
      </w:r>
      <w:r>
        <w:rPr>
          <w:lang w:val="es-ES"/>
        </w:rPr>
        <w:t xml:space="preserve"> </w:t>
      </w:r>
      <w:r w:rsidR="00823C39">
        <w:rPr>
          <w:lang w:val="es-ES"/>
        </w:rPr>
        <w:fldChar w:fldCharType="begin"/>
      </w:r>
      <w:r w:rsidR="00823C39">
        <w:rPr>
          <w:lang w:val="es-ES"/>
        </w:rPr>
        <w:instrText xml:space="preserve"> REF _Ref135938122 \r \h </w:instrText>
      </w:r>
      <w:r w:rsidR="00823C39">
        <w:rPr>
          <w:lang w:val="es-ES"/>
        </w:rPr>
      </w:r>
      <w:r w:rsidR="00823C39">
        <w:rPr>
          <w:lang w:val="es-ES"/>
        </w:rPr>
        <w:fldChar w:fldCharType="separate"/>
      </w:r>
      <w:r w:rsidR="00020F8B">
        <w:rPr>
          <w:lang w:val="es-ES"/>
        </w:rPr>
        <w:t>5.1.1</w:t>
      </w:r>
      <w:r w:rsidR="00823C39">
        <w:rPr>
          <w:lang w:val="es-ES"/>
        </w:rPr>
        <w:fldChar w:fldCharType="end"/>
      </w:r>
      <w:r>
        <w:rPr>
          <w:lang w:val="es-ES"/>
        </w:rPr>
        <w:t>.</w:t>
      </w:r>
    </w:p>
    <w:p w14:paraId="50A76EF0" w14:textId="6444C29B" w:rsidR="00336413" w:rsidRDefault="00EB050F" w:rsidP="00461BE0">
      <w:pPr>
        <w:rPr>
          <w:lang w:val="es-ES"/>
        </w:rPr>
      </w:pPr>
      <w:r>
        <w:rPr>
          <w:lang w:val="es-ES"/>
        </w:rPr>
        <w:t xml:space="preserve">Las componentes de transporte y equipamientos específicos se suman para estimar el costo total anual. </w:t>
      </w:r>
      <w:r w:rsidR="00461BE0">
        <w:rPr>
          <w:lang w:val="es-ES"/>
        </w:rPr>
        <w:t xml:space="preserve">Una vez obtenidos los costos anuales totales, se aplica </w:t>
      </w:r>
      <w:r>
        <w:rPr>
          <w:lang w:val="es-ES"/>
        </w:rPr>
        <w:t>un</w:t>
      </w:r>
      <w:r w:rsidR="00461BE0">
        <w:rPr>
          <w:lang w:val="es-ES"/>
        </w:rPr>
        <w:t xml:space="preserve"> gradiente para </w:t>
      </w:r>
      <w:r>
        <w:rPr>
          <w:lang w:val="es-ES"/>
        </w:rPr>
        <w:t>repartir estos costos a cada una de las variantes</w:t>
      </w:r>
      <w:r w:rsidR="00461BE0">
        <w:rPr>
          <w:lang w:val="es-ES"/>
        </w:rPr>
        <w:t xml:space="preserve"> de los enlaces dedicados locales. </w:t>
      </w:r>
      <w:r w:rsidR="00336413">
        <w:rPr>
          <w:lang w:val="es-ES"/>
        </w:rPr>
        <w:t>El gradiente empleado ha sido extraído a partir de las tarifas de la oferta de referencia aprobada por el IFT para el año 2023.</w:t>
      </w:r>
    </w:p>
    <w:p w14:paraId="6E1C55F9" w14:textId="799DCC44" w:rsidR="00461BE0" w:rsidRPr="005430A9" w:rsidRDefault="00461BE0" w:rsidP="00461BE0">
      <w:pPr>
        <w:pStyle w:val="Descripcin"/>
        <w:rPr>
          <w:lang w:val="es-ES"/>
        </w:rPr>
      </w:pPr>
      <w:r w:rsidRPr="005430A9">
        <w:rPr>
          <w:lang w:val="es-ES"/>
        </w:rPr>
        <w:t xml:space="preserve">Figura </w:t>
      </w:r>
      <w:r>
        <w:rPr>
          <w:lang w:val="es-ES"/>
        </w:rPr>
        <w:fldChar w:fldCharType="begin"/>
      </w:r>
      <w:r w:rsidRPr="005430A9">
        <w:rPr>
          <w:lang w:val="es-ES"/>
        </w:rPr>
        <w:instrText xml:space="preserve"> STYLEREF 1 \s \* MERGEFORMAT </w:instrText>
      </w:r>
      <w:r>
        <w:rPr>
          <w:lang w:val="es-ES"/>
        </w:rPr>
        <w:fldChar w:fldCharType="separate"/>
      </w:r>
      <w:r w:rsidR="00020F8B">
        <w:rPr>
          <w:noProof/>
          <w:lang w:val="es-ES"/>
        </w:rPr>
        <w:t>6</w:t>
      </w:r>
      <w:r>
        <w:rPr>
          <w:lang w:val="es-ES"/>
        </w:rPr>
        <w:fldChar w:fldCharType="end"/>
      </w:r>
      <w:r w:rsidRPr="005430A9">
        <w:rPr>
          <w:lang w:val="es-ES"/>
        </w:rPr>
        <w:t>.</w:t>
      </w:r>
      <w:r>
        <w:rPr>
          <w:lang w:val="es-ES"/>
        </w:rPr>
        <w:fldChar w:fldCharType="begin"/>
      </w:r>
      <w:r w:rsidRPr="005430A9">
        <w:rPr>
          <w:lang w:val="es-ES"/>
        </w:rPr>
        <w:instrText xml:space="preserve"> SEQ Ilustración \* ARABIC \s 1 \* MERGEFORMAT </w:instrText>
      </w:r>
      <w:r>
        <w:rPr>
          <w:lang w:val="es-ES"/>
        </w:rPr>
        <w:fldChar w:fldCharType="separate"/>
      </w:r>
      <w:r w:rsidR="00020F8B">
        <w:rPr>
          <w:noProof/>
          <w:lang w:val="es-ES"/>
        </w:rPr>
        <w:t>2</w:t>
      </w:r>
      <w:r>
        <w:rPr>
          <w:lang w:val="es-ES"/>
        </w:rPr>
        <w:fldChar w:fldCharType="end"/>
      </w:r>
      <w:r w:rsidRPr="005430A9">
        <w:rPr>
          <w:lang w:val="es-ES"/>
        </w:rPr>
        <w:t xml:space="preserve">: </w:t>
      </w:r>
      <w:r w:rsidRPr="00F9074A">
        <w:rPr>
          <w:lang w:val="es-ES"/>
        </w:rPr>
        <w:t xml:space="preserve">Gradiente empleado para enlaces </w:t>
      </w:r>
      <w:r>
        <w:rPr>
          <w:lang w:val="es-ES"/>
        </w:rPr>
        <w:t>locales</w:t>
      </w:r>
      <w:r w:rsidRPr="00F9074A">
        <w:rPr>
          <w:lang w:val="es-ES"/>
        </w:rPr>
        <w:t xml:space="preserve"> TDM </w:t>
      </w:r>
      <w:r>
        <w:rPr>
          <w:lang w:val="es-ES"/>
        </w:rPr>
        <w:t xml:space="preserve">(izquierda) y Ethernet (derecha) </w:t>
      </w:r>
      <w:r w:rsidRPr="005430A9">
        <w:rPr>
          <w:lang w:val="es-ES"/>
        </w:rPr>
        <w:t>[Fuente: Analysys Mason, 2023]</w:t>
      </w:r>
    </w:p>
    <w:p w14:paraId="501B126A" w14:textId="038540D2" w:rsidR="00461BE0" w:rsidRDefault="00662052" w:rsidP="00461BE0">
      <w:pPr>
        <w:jc w:val="center"/>
        <w:rPr>
          <w:lang w:val="es-ES"/>
        </w:rPr>
      </w:pPr>
      <w:r w:rsidRPr="00662052">
        <w:rPr>
          <w:noProof/>
        </w:rPr>
        <w:drawing>
          <wp:inline distT="0" distB="0" distL="0" distR="0" wp14:anchorId="1B43173A" wp14:editId="61BE471F">
            <wp:extent cx="5544185" cy="3216910"/>
            <wp:effectExtent l="0" t="0" r="0" b="0"/>
            <wp:docPr id="35718376" name="Picture 3571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44185" cy="3216910"/>
                    </a:xfrm>
                    <a:prstGeom prst="rect">
                      <a:avLst/>
                    </a:prstGeom>
                    <a:noFill/>
                    <a:ln>
                      <a:noFill/>
                    </a:ln>
                  </pic:spPr>
                </pic:pic>
              </a:graphicData>
            </a:graphic>
          </wp:inline>
        </w:drawing>
      </w:r>
    </w:p>
    <w:p w14:paraId="38816974" w14:textId="16EEED02" w:rsidR="00F72FE4" w:rsidRDefault="008374DF" w:rsidP="00C54EC8">
      <w:pPr>
        <w:rPr>
          <w:lang w:val="es-ES"/>
        </w:rPr>
      </w:pPr>
      <w:r>
        <w:rPr>
          <w:lang w:val="es-ES"/>
        </w:rPr>
        <w:t>Finalmente, l</w:t>
      </w:r>
      <w:r w:rsidR="00F72FE4">
        <w:rPr>
          <w:lang w:val="es-ES"/>
        </w:rPr>
        <w:t>os costos de cableado de acceso son extraídos del</w:t>
      </w:r>
      <w:r w:rsidR="00A1673B">
        <w:rPr>
          <w:lang w:val="es-ES"/>
        </w:rPr>
        <w:t xml:space="preserve"> modelo integral de acceso, y aplicados a cada una de las variantes del servicio modeladas con base </w:t>
      </w:r>
      <w:r w:rsidR="008F58F1">
        <w:rPr>
          <w:lang w:val="es-ES"/>
        </w:rPr>
        <w:t>en</w:t>
      </w:r>
      <w:r w:rsidR="00A1673B">
        <w:rPr>
          <w:lang w:val="es-ES"/>
        </w:rPr>
        <w:t xml:space="preserve"> una serie de reglas de ingeniería, que determinan el número de servicios de acceso requeridos para cada producto.</w:t>
      </w:r>
    </w:p>
    <w:p w14:paraId="5504E63A" w14:textId="737CDE54" w:rsidR="00554DC4" w:rsidRDefault="00554DC4" w:rsidP="00310610">
      <w:pPr>
        <w:rPr>
          <w:lang w:val="es-ES"/>
        </w:rPr>
      </w:pPr>
      <w:r>
        <w:rPr>
          <w:lang w:val="es-ES"/>
        </w:rPr>
        <w:t xml:space="preserve">De manera adicional, el modelo calcula </w:t>
      </w:r>
      <w:r w:rsidR="00CD58FE">
        <w:rPr>
          <w:lang w:val="es-ES"/>
        </w:rPr>
        <w:t xml:space="preserve">los costos para los enlaces locales coubicados. Esta tarifa se estima a partir de los costos de los enlaces locales no coubicados, con </w:t>
      </w:r>
      <w:r w:rsidR="00E3519A">
        <w:rPr>
          <w:lang w:val="es-ES"/>
        </w:rPr>
        <w:t xml:space="preserve">una serie de </w:t>
      </w:r>
      <w:r w:rsidR="00CD58FE">
        <w:rPr>
          <w:lang w:val="es-ES"/>
        </w:rPr>
        <w:t>ajustes</w:t>
      </w:r>
      <w:r w:rsidR="00E3519A">
        <w:rPr>
          <w:lang w:val="es-ES"/>
        </w:rPr>
        <w:t>.</w:t>
      </w:r>
    </w:p>
    <w:p w14:paraId="6FD7FC4D" w14:textId="4A3AE32D" w:rsidR="00543D61" w:rsidRDefault="00E3519A" w:rsidP="00543D61">
      <w:pPr>
        <w:rPr>
          <w:lang w:val="es-ES"/>
        </w:rPr>
      </w:pPr>
      <w:r w:rsidRPr="00E3519A">
        <w:rPr>
          <w:lang w:val="es-ES"/>
        </w:rPr>
        <w:t>Explícitamente para la renta mensual, no se consideran los costos relacionad</w:t>
      </w:r>
      <w:r w:rsidR="003973BA">
        <w:rPr>
          <w:lang w:val="es-ES"/>
        </w:rPr>
        <w:t>o</w:t>
      </w:r>
      <w:r w:rsidRPr="00E3519A">
        <w:rPr>
          <w:lang w:val="es-ES"/>
        </w:rPr>
        <w:t>s en la red de acceso (determinados en el modelo por el par de cobre o hilos de fibra)</w:t>
      </w:r>
      <w:r>
        <w:rPr>
          <w:lang w:val="es-ES"/>
        </w:rPr>
        <w:t>.</w:t>
      </w:r>
      <w:r w:rsidRPr="00E3519A">
        <w:rPr>
          <w:lang w:val="es-ES"/>
        </w:rPr>
        <w:t xml:space="preserve"> </w:t>
      </w:r>
      <w:r>
        <w:rPr>
          <w:lang w:val="es-ES"/>
        </w:rPr>
        <w:t>Tampoco</w:t>
      </w:r>
      <w:r w:rsidR="003973BA">
        <w:rPr>
          <w:lang w:val="es-ES"/>
        </w:rPr>
        <w:t xml:space="preserve"> </w:t>
      </w:r>
      <w:r w:rsidRPr="00E3519A">
        <w:rPr>
          <w:lang w:val="es-ES"/>
        </w:rPr>
        <w:t>se consideran los costos de transporte (</w:t>
      </w:r>
      <w:r w:rsidR="0058351C">
        <w:rPr>
          <w:lang w:val="es-ES"/>
        </w:rPr>
        <w:t xml:space="preserve">estos costos agregados son </w:t>
      </w:r>
      <w:r w:rsidRPr="00E3519A">
        <w:rPr>
          <w:lang w:val="es-ES"/>
        </w:rPr>
        <w:t>recuperados</w:t>
      </w:r>
      <w:r w:rsidR="0058351C">
        <w:rPr>
          <w:lang w:val="es-ES"/>
        </w:rPr>
        <w:t xml:space="preserve"> completamente</w:t>
      </w:r>
      <w:r w:rsidRPr="00E3519A">
        <w:rPr>
          <w:lang w:val="es-ES"/>
        </w:rPr>
        <w:t xml:space="preserve"> con los tramos no coubicados), se </w:t>
      </w:r>
      <w:r w:rsidRPr="00E3519A">
        <w:rPr>
          <w:lang w:val="es-ES"/>
        </w:rPr>
        <w:lastRenderedPageBreak/>
        <w:t xml:space="preserve">considera la mitad del porcentaje asignado de </w:t>
      </w:r>
      <w:r w:rsidR="003973BA">
        <w:rPr>
          <w:lang w:val="es-ES"/>
        </w:rPr>
        <w:t>opex</w:t>
      </w:r>
      <w:r w:rsidRPr="00E3519A">
        <w:rPr>
          <w:lang w:val="es-ES"/>
        </w:rPr>
        <w:t xml:space="preserve"> sobre </w:t>
      </w:r>
      <w:r w:rsidR="003973BA">
        <w:rPr>
          <w:lang w:val="es-ES"/>
        </w:rPr>
        <w:t>capex</w:t>
      </w:r>
      <w:r w:rsidRPr="00E3519A">
        <w:rPr>
          <w:lang w:val="es-ES"/>
        </w:rPr>
        <w:t xml:space="preserve"> de los equipos en sitio de cliente y el porcentaje asignado a la instalación en el sitio de cliente es un cuarto de lo asignado a los tramos no coubicados. </w:t>
      </w:r>
    </w:p>
    <w:p w14:paraId="72D5EDFD" w14:textId="3D548DFD" w:rsidR="00E3519A" w:rsidRPr="00E3519A" w:rsidRDefault="00E3519A" w:rsidP="00543D61">
      <w:pPr>
        <w:rPr>
          <w:lang w:val="es-ES"/>
        </w:rPr>
      </w:pPr>
      <w:r w:rsidRPr="00E3519A">
        <w:rPr>
          <w:lang w:val="es-ES"/>
        </w:rPr>
        <w:t>Para la tarifa de instalación, el porcentaje asignado a la instalación en el sitio de cliente es un cuarto de lo asignado a los tramos no coubicados y no se consideran los costos operativos en campo y remotos. Bajo estas consideraciones la tarifa se comprende por el porcentaje restante de recuperación de los equipos de agregación en central, los equipos en sitio del cliente y los adicionales en el sitio del cliente relacionados al cableado, así como los costos comerciales, administrativos y de operación en planta interna.</w:t>
      </w:r>
    </w:p>
    <w:p w14:paraId="6217DB32" w14:textId="6343DD5E" w:rsidR="004B223C" w:rsidRPr="004B223C" w:rsidRDefault="004B223C" w:rsidP="00310610">
      <w:pPr>
        <w:rPr>
          <w:lang w:val="es-ES"/>
        </w:rPr>
      </w:pPr>
      <w:r w:rsidRPr="004B223C">
        <w:rPr>
          <w:lang w:val="es-ES"/>
        </w:rPr>
        <w:t>Finalmente, los costos del ser</w:t>
      </w:r>
      <w:r>
        <w:rPr>
          <w:lang w:val="es-ES"/>
        </w:rPr>
        <w:t xml:space="preserve">vicio de enlace </w:t>
      </w:r>
      <w:r w:rsidR="002B3161">
        <w:rPr>
          <w:lang w:val="es-ES"/>
        </w:rPr>
        <w:t xml:space="preserve">local </w:t>
      </w:r>
      <w:r>
        <w:rPr>
          <w:lang w:val="es-ES"/>
        </w:rPr>
        <w:t>coubicado</w:t>
      </w:r>
      <w:r w:rsidR="00B00ED0">
        <w:rPr>
          <w:lang w:val="es-ES"/>
        </w:rPr>
        <w:t xml:space="preserve"> se calculan como porcentaje de los costos de un enlace no coubicado</w:t>
      </w:r>
      <w:r w:rsidR="002B3161">
        <w:rPr>
          <w:lang w:val="es-ES"/>
        </w:rPr>
        <w:t>. Para ello, se promedian</w:t>
      </w:r>
      <w:r w:rsidR="00B00ED0">
        <w:rPr>
          <w:lang w:val="es-ES"/>
        </w:rPr>
        <w:t xml:space="preserve"> los porcentajes para</w:t>
      </w:r>
      <w:r w:rsidR="002B3161">
        <w:rPr>
          <w:lang w:val="es-ES"/>
        </w:rPr>
        <w:t xml:space="preserve"> las distintas velocidades</w:t>
      </w:r>
      <w:r w:rsidR="00CA7634">
        <w:rPr>
          <w:lang w:val="es-ES"/>
        </w:rPr>
        <w:t xml:space="preserve"> de enlaces locales provistas por el operador modelado.</w:t>
      </w:r>
    </w:p>
    <w:p w14:paraId="41F76CA7" w14:textId="77777777" w:rsidR="001C77C9" w:rsidRDefault="001C77C9" w:rsidP="002A71F2">
      <w:pPr>
        <w:pStyle w:val="Ttulo4"/>
        <w:numPr>
          <w:ilvl w:val="0"/>
          <w:numId w:val="0"/>
        </w:numPr>
        <w:rPr>
          <w:lang w:val="es-ES"/>
        </w:rPr>
      </w:pPr>
      <w:r>
        <w:rPr>
          <w:lang w:val="es-ES"/>
        </w:rPr>
        <w:t>Enlaces dedicados entre localidades</w:t>
      </w:r>
    </w:p>
    <w:p w14:paraId="1375388D" w14:textId="701C765D" w:rsidR="00947B21" w:rsidRDefault="001C77C9" w:rsidP="001C77C9">
      <w:pPr>
        <w:rPr>
          <w:lang w:val="es-ES"/>
        </w:rPr>
      </w:pPr>
      <w:r w:rsidRPr="007230D1">
        <w:rPr>
          <w:lang w:val="es-ES"/>
        </w:rPr>
        <w:t xml:space="preserve">Los costos asociados a los enlaces entre localidades </w:t>
      </w:r>
      <w:r w:rsidR="001C3D90">
        <w:rPr>
          <w:lang w:val="es-ES"/>
        </w:rPr>
        <w:t>se derivan principalmente de los costos</w:t>
      </w:r>
      <w:r w:rsidR="005850E0">
        <w:rPr>
          <w:lang w:val="es-ES"/>
        </w:rPr>
        <w:t xml:space="preserve"> de transporte de enlaces entre localidades extraídos del módulo de redes fijas</w:t>
      </w:r>
      <w:r>
        <w:rPr>
          <w:lang w:val="es-ES"/>
        </w:rPr>
        <w:t xml:space="preserve">. Para este servicio, el modelo fijo considera también un incremento </w:t>
      </w:r>
      <w:r w:rsidR="0058351C">
        <w:rPr>
          <w:lang w:val="es-ES"/>
        </w:rPr>
        <w:t>CITPLP</w:t>
      </w:r>
      <w:r>
        <w:rPr>
          <w:lang w:val="es-ES"/>
        </w:rPr>
        <w:t xml:space="preserve">, es decir, el costo incremental promedio del tráfico más un costo adicional para cubrir los comunes de red. </w:t>
      </w:r>
    </w:p>
    <w:p w14:paraId="65824A9F" w14:textId="77777777" w:rsidR="00C051CA" w:rsidRDefault="00947B21" w:rsidP="001C77C9">
      <w:pPr>
        <w:rPr>
          <w:lang w:val="es-ES"/>
        </w:rPr>
      </w:pPr>
      <w:r>
        <w:rPr>
          <w:lang w:val="es-ES"/>
        </w:rPr>
        <w:t xml:space="preserve">En este caso, de manera similar a los enlaces locales, </w:t>
      </w:r>
      <w:r w:rsidR="001C77C9" w:rsidRPr="007230D1">
        <w:rPr>
          <w:lang w:val="es-ES"/>
        </w:rPr>
        <w:t xml:space="preserve">debido a que el </w:t>
      </w:r>
      <w:r>
        <w:rPr>
          <w:lang w:val="es-ES"/>
        </w:rPr>
        <w:t>módulo de redes fijas no incorpora los costos adicionales que incurre el AEP por la provisión de servicios TDM, el modelo de enlaces entre localidades incluye un factor de reconciliación. Este factor se ha estimado a partir de los costos observados en la separación contable del AEP.</w:t>
      </w:r>
    </w:p>
    <w:p w14:paraId="234D3FF1" w14:textId="77777777" w:rsidR="001C77C9" w:rsidRDefault="001C77C9" w:rsidP="001C77C9">
      <w:pPr>
        <w:rPr>
          <w:lang w:val="es-ES"/>
        </w:rPr>
      </w:pPr>
      <w:r>
        <w:rPr>
          <w:lang w:val="es-ES"/>
        </w:rPr>
        <w:t xml:space="preserve">Los costos totales son repartidos </w:t>
      </w:r>
      <w:r w:rsidRPr="007230D1">
        <w:rPr>
          <w:lang w:val="es-ES"/>
        </w:rPr>
        <w:t>entre costos de enlaces entre localidades e internacionales, y se asignan a las diferentes velocidades con base en un gradiente de precios</w:t>
      </w:r>
      <w:r>
        <w:rPr>
          <w:lang w:val="es-ES"/>
        </w:rPr>
        <w:t xml:space="preserve">. </w:t>
      </w:r>
      <w:r w:rsidRPr="007230D1">
        <w:rPr>
          <w:lang w:val="es-ES"/>
        </w:rPr>
        <w:t>Desde un punto de vista tecnológico, los enlaces internacionales son idénticos a los enlaces entre localidades y se costean por lo tanto de forma similar</w:t>
      </w:r>
      <w:r>
        <w:rPr>
          <w:lang w:val="es-ES"/>
        </w:rPr>
        <w:t xml:space="preserve"> (a excepción de los costos asociados al equipo adicional TDM ya mencionados).</w:t>
      </w:r>
    </w:p>
    <w:p w14:paraId="6DA2BFE5" w14:textId="746BA8C4" w:rsidR="00560BE4" w:rsidRDefault="00560BE4" w:rsidP="00560BE4">
      <w:pPr>
        <w:rPr>
          <w:lang w:val="es-ES"/>
        </w:rPr>
      </w:pPr>
      <w:r>
        <w:rPr>
          <w:lang w:val="es-ES"/>
        </w:rPr>
        <w:t xml:space="preserve">El uso del gradiente es necesario ya que existe </w:t>
      </w:r>
      <w:r w:rsidRPr="00155218">
        <w:rPr>
          <w:lang w:val="es-ES"/>
        </w:rPr>
        <w:t>a nivel comercial un componente de diferenciación entre costos y precios difícil de replicar en un modelo de costos ascendente</w:t>
      </w:r>
      <w:r>
        <w:rPr>
          <w:lang w:val="es-ES"/>
        </w:rPr>
        <w:t>. Esto se debe a que, g</w:t>
      </w:r>
      <w:r w:rsidRPr="00155218">
        <w:rPr>
          <w:lang w:val="es-ES"/>
        </w:rPr>
        <w:t>eneralmente</w:t>
      </w:r>
      <w:r>
        <w:rPr>
          <w:lang w:val="es-ES"/>
        </w:rPr>
        <w:t>,</w:t>
      </w:r>
      <w:r w:rsidRPr="00155218">
        <w:rPr>
          <w:lang w:val="es-ES"/>
        </w:rPr>
        <w:t xml:space="preserve"> las estructuras comerciales de precios no están orientadas puramente a costos sino que toman en cuenta la elasticidad de la demanda </w:t>
      </w:r>
      <w:r>
        <w:rPr>
          <w:lang w:val="es-ES"/>
        </w:rPr>
        <w:t>(</w:t>
      </w:r>
      <w:r w:rsidRPr="00155218">
        <w:rPr>
          <w:lang w:val="es-ES"/>
        </w:rPr>
        <w:t>esta estructura se observa en todos los mercados, tanto regulados como no regulados</w:t>
      </w:r>
      <w:r>
        <w:rPr>
          <w:lang w:val="es-ES"/>
        </w:rPr>
        <w:t>). El uso del gradiente ayuda a tener en cuenta</w:t>
      </w:r>
      <w:r w:rsidRPr="00155218">
        <w:rPr>
          <w:lang w:val="es-ES"/>
        </w:rPr>
        <w:t xml:space="preserve"> este efecto </w:t>
      </w:r>
      <w:r>
        <w:rPr>
          <w:lang w:val="es-ES"/>
        </w:rPr>
        <w:t>y</w:t>
      </w:r>
      <w:r w:rsidRPr="00155218">
        <w:rPr>
          <w:lang w:val="es-ES"/>
        </w:rPr>
        <w:t xml:space="preserve"> refleja</w:t>
      </w:r>
      <w:r>
        <w:rPr>
          <w:lang w:val="es-ES"/>
        </w:rPr>
        <w:t>r</w:t>
      </w:r>
      <w:r w:rsidRPr="00155218">
        <w:rPr>
          <w:lang w:val="es-ES"/>
        </w:rPr>
        <w:t xml:space="preserve"> esta diferenciación de precios </w:t>
      </w:r>
      <w:r>
        <w:rPr>
          <w:lang w:val="es-ES"/>
        </w:rPr>
        <w:t xml:space="preserve">de tal forma que se </w:t>
      </w:r>
      <w:r w:rsidRPr="00155218">
        <w:rPr>
          <w:lang w:val="es-ES"/>
        </w:rPr>
        <w:t>permite asegurar una completa recuperación de los costos asociados al servicio</w:t>
      </w:r>
      <w:r>
        <w:rPr>
          <w:lang w:val="es-ES"/>
        </w:rPr>
        <w:t>.</w:t>
      </w:r>
    </w:p>
    <w:p w14:paraId="54DAA1EE" w14:textId="7F3B8E87" w:rsidR="00F46F36" w:rsidRDefault="00F46F36" w:rsidP="00F46F36">
      <w:pPr>
        <w:rPr>
          <w:lang w:val="es-ES"/>
        </w:rPr>
      </w:pPr>
      <w:r w:rsidRPr="0010732D">
        <w:rPr>
          <w:lang w:val="es-ES"/>
        </w:rPr>
        <w:t xml:space="preserve">El gradiente </w:t>
      </w:r>
      <w:r w:rsidR="00560BE4">
        <w:rPr>
          <w:lang w:val="es-ES"/>
        </w:rPr>
        <w:t xml:space="preserve">definido </w:t>
      </w:r>
      <w:r w:rsidRPr="0010732D">
        <w:rPr>
          <w:lang w:val="es-ES"/>
        </w:rPr>
        <w:t>representa el costo proporcional de un enlace de velocidad y tecnología específica con respecto a un enlace de referencia</w:t>
      </w:r>
      <w:r>
        <w:rPr>
          <w:lang w:val="es-ES"/>
        </w:rPr>
        <w:t xml:space="preserve"> y se estima a partir de los precios en la última oferta de referencia a</w:t>
      </w:r>
      <w:r w:rsidR="00ED32F5">
        <w:rPr>
          <w:lang w:val="es-ES"/>
        </w:rPr>
        <w:t>probada por el IFT.</w:t>
      </w:r>
      <w:r w:rsidR="00CF61B9">
        <w:rPr>
          <w:lang w:val="es-ES"/>
        </w:rPr>
        <w:t xml:space="preserve"> Cabe destacar que</w:t>
      </w:r>
      <w:r w:rsidR="008F58F1">
        <w:rPr>
          <w:lang w:val="es-ES"/>
        </w:rPr>
        <w:t xml:space="preserve"> en</w:t>
      </w:r>
      <w:r w:rsidR="00CF61B9">
        <w:rPr>
          <w:lang w:val="es-ES"/>
        </w:rPr>
        <w:t xml:space="preserve"> </w:t>
      </w:r>
      <w:r w:rsidR="00A7469B">
        <w:rPr>
          <w:lang w:val="es-ES"/>
        </w:rPr>
        <w:t xml:space="preserve">la aplicación del gradiente, se toman las distancias promedio asociadas a cada </w:t>
      </w:r>
      <w:r w:rsidR="0000321E">
        <w:rPr>
          <w:lang w:val="es-ES"/>
        </w:rPr>
        <w:t>tipo de enlace (ethernet y TDM)</w:t>
      </w:r>
      <w:r w:rsidR="00FB7EBD">
        <w:rPr>
          <w:lang w:val="es-ES"/>
        </w:rPr>
        <w:t xml:space="preserve">. Las </w:t>
      </w:r>
      <w:r w:rsidR="00816B3D">
        <w:rPr>
          <w:lang w:val="es-ES"/>
        </w:rPr>
        <w:t xml:space="preserve">distancias aplicadas para cada tecnología son </w:t>
      </w:r>
      <w:r w:rsidR="00BA7B8D">
        <w:rPr>
          <w:lang w:val="es-ES"/>
        </w:rPr>
        <w:lastRenderedPageBreak/>
        <w:t>116</w:t>
      </w:r>
      <w:r w:rsidR="00816B3D">
        <w:rPr>
          <w:lang w:val="es-ES"/>
        </w:rPr>
        <w:t xml:space="preserve"> km para los enlaces TDM y </w:t>
      </w:r>
      <w:r w:rsidR="00BA7B8D">
        <w:rPr>
          <w:lang w:val="es-ES"/>
        </w:rPr>
        <w:t>111</w:t>
      </w:r>
      <w:r w:rsidR="00816B3D">
        <w:rPr>
          <w:lang w:val="es-ES"/>
        </w:rPr>
        <w:t xml:space="preserve"> km para los enlaces ethernet.</w:t>
      </w:r>
      <w:r w:rsidR="00DF0117">
        <w:rPr>
          <w:lang w:val="es-ES"/>
        </w:rPr>
        <w:t xml:space="preserve"> Estas distancias se aplican para las distintas velocidades de cada tecnología.</w:t>
      </w:r>
    </w:p>
    <w:p w14:paraId="25EB92CA" w14:textId="6CE8C817" w:rsidR="00560BE4" w:rsidRDefault="00560BE4" w:rsidP="00560BE4">
      <w:pPr>
        <w:rPr>
          <w:lang w:val="es-ES"/>
        </w:rPr>
      </w:pPr>
      <w:r>
        <w:rPr>
          <w:lang w:val="es-ES"/>
        </w:rPr>
        <w:t>A continuación, se muestra el gradiente empleado para enlaces entre localidades TDM y Ethernet, es importante recalcar que el servicio de referencia es el mismo para ambas tipología</w:t>
      </w:r>
      <w:r w:rsidR="008F58F1">
        <w:rPr>
          <w:lang w:val="es-ES"/>
        </w:rPr>
        <w:t>s</w:t>
      </w:r>
      <w:r>
        <w:rPr>
          <w:lang w:val="es-ES"/>
        </w:rPr>
        <w:t xml:space="preserve"> de enlace (GigaEthernet 100Mbps):</w:t>
      </w:r>
    </w:p>
    <w:p w14:paraId="596B17D6" w14:textId="6524E27C" w:rsidR="00560BE4" w:rsidRPr="005430A9" w:rsidRDefault="00560BE4" w:rsidP="00560BE4">
      <w:pPr>
        <w:pStyle w:val="Descripcin"/>
        <w:rPr>
          <w:lang w:val="es-ES"/>
        </w:rPr>
      </w:pPr>
      <w:r w:rsidRPr="005430A9">
        <w:rPr>
          <w:lang w:val="es-ES"/>
        </w:rPr>
        <w:t xml:space="preserve">Figura </w:t>
      </w:r>
      <w:r>
        <w:rPr>
          <w:lang w:val="es-ES"/>
        </w:rPr>
        <w:fldChar w:fldCharType="begin"/>
      </w:r>
      <w:r w:rsidRPr="005430A9">
        <w:rPr>
          <w:lang w:val="es-ES"/>
        </w:rPr>
        <w:instrText xml:space="preserve"> STYLEREF 1 \s \* MERGEFORMAT </w:instrText>
      </w:r>
      <w:r>
        <w:rPr>
          <w:lang w:val="es-ES"/>
        </w:rPr>
        <w:fldChar w:fldCharType="separate"/>
      </w:r>
      <w:r w:rsidR="00020F8B">
        <w:rPr>
          <w:noProof/>
          <w:lang w:val="es-ES"/>
        </w:rPr>
        <w:t>6</w:t>
      </w:r>
      <w:r>
        <w:rPr>
          <w:lang w:val="es-ES"/>
        </w:rPr>
        <w:fldChar w:fldCharType="end"/>
      </w:r>
      <w:r w:rsidRPr="005430A9">
        <w:rPr>
          <w:lang w:val="es-ES"/>
        </w:rPr>
        <w:t>.</w:t>
      </w:r>
      <w:r>
        <w:rPr>
          <w:lang w:val="es-ES"/>
        </w:rPr>
        <w:fldChar w:fldCharType="begin"/>
      </w:r>
      <w:r w:rsidRPr="005430A9">
        <w:rPr>
          <w:lang w:val="es-ES"/>
        </w:rPr>
        <w:instrText xml:space="preserve"> SEQ Ilustración \* ARABIC \s 1 \* MERGEFORMAT </w:instrText>
      </w:r>
      <w:r>
        <w:rPr>
          <w:lang w:val="es-ES"/>
        </w:rPr>
        <w:fldChar w:fldCharType="separate"/>
      </w:r>
      <w:r w:rsidR="00020F8B">
        <w:rPr>
          <w:noProof/>
          <w:lang w:val="es-ES"/>
        </w:rPr>
        <w:t>3</w:t>
      </w:r>
      <w:r>
        <w:rPr>
          <w:lang w:val="es-ES"/>
        </w:rPr>
        <w:fldChar w:fldCharType="end"/>
      </w:r>
      <w:r w:rsidRPr="005430A9">
        <w:rPr>
          <w:lang w:val="es-ES"/>
        </w:rPr>
        <w:t xml:space="preserve">: </w:t>
      </w:r>
      <w:r w:rsidRPr="00F9074A">
        <w:rPr>
          <w:lang w:val="es-ES"/>
        </w:rPr>
        <w:t xml:space="preserve">Gradiente empleado para enlaces entre localidades TDM </w:t>
      </w:r>
      <w:r>
        <w:rPr>
          <w:lang w:val="es-ES"/>
        </w:rPr>
        <w:t xml:space="preserve">(izquierda) y Ethernet (derecha) </w:t>
      </w:r>
      <w:r w:rsidRPr="005430A9">
        <w:rPr>
          <w:lang w:val="es-ES"/>
        </w:rPr>
        <w:t>[Fuente: Analysys Mason, 2023]</w:t>
      </w:r>
    </w:p>
    <w:p w14:paraId="7C7E5F61" w14:textId="77777777" w:rsidR="00560BE4" w:rsidRPr="005430A9" w:rsidRDefault="00560BE4" w:rsidP="00560BE4">
      <w:pPr>
        <w:jc w:val="center"/>
        <w:rPr>
          <w:lang w:val="es-ES"/>
        </w:rPr>
      </w:pPr>
      <w:r w:rsidRPr="00F9074A">
        <w:rPr>
          <w:noProof/>
        </w:rPr>
        <w:drawing>
          <wp:inline distT="0" distB="0" distL="0" distR="0" wp14:anchorId="47E38B2E" wp14:editId="7F5F4749">
            <wp:extent cx="5544185" cy="2434590"/>
            <wp:effectExtent l="0" t="0" r="0" b="0"/>
            <wp:docPr id="303371140" name="Picture 30337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44185" cy="2434590"/>
                    </a:xfrm>
                    <a:prstGeom prst="rect">
                      <a:avLst/>
                    </a:prstGeom>
                    <a:noFill/>
                    <a:ln>
                      <a:noFill/>
                    </a:ln>
                  </pic:spPr>
                </pic:pic>
              </a:graphicData>
            </a:graphic>
          </wp:inline>
        </w:drawing>
      </w:r>
    </w:p>
    <w:p w14:paraId="171E08FF" w14:textId="77777777" w:rsidR="00560BE4" w:rsidRDefault="00560BE4" w:rsidP="00560BE4">
      <w:pPr>
        <w:rPr>
          <w:lang w:val="es-ES"/>
        </w:rPr>
      </w:pPr>
      <w:r w:rsidRPr="00E53325">
        <w:rPr>
          <w:lang w:val="es-ES"/>
        </w:rPr>
        <w:t>El proceso de aplicación del gradiente implica tres pasos principales basados en la demanda y el precio de los enlaces de referencia equivalentes</w:t>
      </w:r>
      <w:r>
        <w:rPr>
          <w:lang w:val="es-ES"/>
        </w:rPr>
        <w:t>:</w:t>
      </w:r>
    </w:p>
    <w:p w14:paraId="764BE2BE" w14:textId="77777777" w:rsidR="00560BE4" w:rsidRPr="00912414" w:rsidRDefault="00560BE4" w:rsidP="00560BE4">
      <w:pPr>
        <w:pStyle w:val="ListBulletCompact"/>
        <w:numPr>
          <w:ilvl w:val="0"/>
          <w:numId w:val="35"/>
        </w:numPr>
        <w:rPr>
          <w:lang w:val="es-ES"/>
        </w:rPr>
      </w:pPr>
      <w:r>
        <w:rPr>
          <w:lang w:val="es-ES"/>
        </w:rPr>
        <w:t xml:space="preserve">Calcular el número de enlaces de referencia equivalentes: esto se hace tomando </w:t>
      </w:r>
      <w:r w:rsidRPr="00E53325">
        <w:rPr>
          <w:lang w:val="es-ES_tradnl"/>
        </w:rPr>
        <w:t>el número total de enlaces según velocidad y distancia (enlaces entre localidades e internacional) y velocidad (enlaces locales)</w:t>
      </w:r>
      <w:r>
        <w:rPr>
          <w:lang w:val="es-ES_tradnl"/>
        </w:rPr>
        <w:t xml:space="preserve"> y multiplicando por el gradiente de precios</w:t>
      </w:r>
    </w:p>
    <w:p w14:paraId="5846977F" w14:textId="77777777" w:rsidR="00560BE4" w:rsidRPr="00A01C8E" w:rsidRDefault="00560BE4" w:rsidP="00560BE4">
      <w:pPr>
        <w:pStyle w:val="ListBulletCompact"/>
        <w:numPr>
          <w:ilvl w:val="0"/>
          <w:numId w:val="35"/>
        </w:numPr>
        <w:rPr>
          <w:lang w:val="es-ES"/>
        </w:rPr>
      </w:pPr>
      <w:r>
        <w:rPr>
          <w:lang w:val="es-ES_tradnl"/>
        </w:rPr>
        <w:t xml:space="preserve">Calcular el precio del enlace de referencia: para esto se dividen </w:t>
      </w:r>
      <w:r w:rsidRPr="00A01C8E">
        <w:rPr>
          <w:lang w:val="es-ES_tradnl"/>
        </w:rPr>
        <w:t>los costos totales que tienen que ser distribuidos</w:t>
      </w:r>
      <w:r>
        <w:rPr>
          <w:lang w:val="es-ES_tradnl"/>
        </w:rPr>
        <w:t xml:space="preserve"> (costos de transporte y los costos adicionales de calibración)</w:t>
      </w:r>
      <w:r w:rsidRPr="00A01C8E">
        <w:rPr>
          <w:lang w:val="es-ES_tradnl"/>
        </w:rPr>
        <w:t xml:space="preserve"> por el número de enlaces de referencia equivalentes</w:t>
      </w:r>
    </w:p>
    <w:p w14:paraId="272EC25F" w14:textId="5426A904" w:rsidR="00560BE4" w:rsidRPr="00E53325" w:rsidRDefault="00560BE4" w:rsidP="00560BE4">
      <w:pPr>
        <w:pStyle w:val="ListBulletCompact"/>
        <w:numPr>
          <w:ilvl w:val="0"/>
          <w:numId w:val="35"/>
        </w:numPr>
        <w:rPr>
          <w:lang w:val="es-ES"/>
        </w:rPr>
      </w:pPr>
      <w:r>
        <w:rPr>
          <w:lang w:val="es-ES"/>
        </w:rPr>
        <w:t>Finalmente, se calcula el precio de cada velocidad de los enlaces: se multiplica e</w:t>
      </w:r>
      <w:r w:rsidR="008F58F1">
        <w:rPr>
          <w:lang w:val="es-ES"/>
        </w:rPr>
        <w:t>l</w:t>
      </w:r>
      <w:r>
        <w:rPr>
          <w:lang w:val="es-ES"/>
        </w:rPr>
        <w:t xml:space="preserve"> gradiente por el precio de referencia. En el caso de los enlaces internacionales, se suma al precio resultante los costos de equipos adicionales específicos de cada enlace TDM.</w:t>
      </w:r>
    </w:p>
    <w:p w14:paraId="29A253F5" w14:textId="77777777" w:rsidR="00B3418C" w:rsidRDefault="00B3418C" w:rsidP="00B3418C">
      <w:pPr>
        <w:rPr>
          <w:lang w:val="es-ES"/>
        </w:rPr>
      </w:pPr>
      <w:r>
        <w:rPr>
          <w:lang w:val="es-ES"/>
        </w:rPr>
        <w:t>En el caso de enlaces entre localidades, no es necesario el despliegue de equipos adicionales, con lo cual no se añade ningún costo adicional por esta componente.</w:t>
      </w:r>
    </w:p>
    <w:p w14:paraId="537BA9AE" w14:textId="15955D31" w:rsidR="00B3418C" w:rsidRPr="004631FA" w:rsidRDefault="00B3418C" w:rsidP="00B3418C">
      <w:pPr>
        <w:rPr>
          <w:lang w:val="es-ES"/>
        </w:rPr>
      </w:pPr>
      <w:r>
        <w:rPr>
          <w:lang w:val="es-ES"/>
        </w:rPr>
        <w:t xml:space="preserve">No obstante, </w:t>
      </w:r>
      <w:r w:rsidRPr="007230D1">
        <w:rPr>
          <w:lang w:val="es-ES"/>
        </w:rPr>
        <w:t xml:space="preserve">en el caso </w:t>
      </w:r>
      <w:r>
        <w:rPr>
          <w:lang w:val="es-ES"/>
        </w:rPr>
        <w:t xml:space="preserve">particular de enlaces de larga distancia internacional bajo la tecnología TDM sí es necesario la estimación de costos de algunos equipos específicos. Esto es debido a que, en países como </w:t>
      </w:r>
      <w:r w:rsidRPr="004631FA">
        <w:rPr>
          <w:lang w:val="es-ES"/>
        </w:rPr>
        <w:t xml:space="preserve">Estados Unidos de América y Japón, entre otros, se emplea </w:t>
      </w:r>
      <w:r>
        <w:rPr>
          <w:lang w:val="es-ES"/>
        </w:rPr>
        <w:t xml:space="preserve">la tecnología, </w:t>
      </w:r>
      <w:r w:rsidRPr="004631FA">
        <w:rPr>
          <w:lang w:val="es-ES"/>
        </w:rPr>
        <w:t>PDH con 24 canales en vez de 30 (portadora-T en vez de portadora-E). Es decir, se comercializan enlaces T1 en vez de E1</w:t>
      </w:r>
      <w:r>
        <w:rPr>
          <w:lang w:val="es-ES"/>
        </w:rPr>
        <w:t>. P</w:t>
      </w:r>
      <w:r w:rsidRPr="004631FA">
        <w:rPr>
          <w:lang w:val="es-ES"/>
        </w:rPr>
        <w:t xml:space="preserve">or ello, el AEP ha de disponer de equipos de traducción de interfaces especiales para poder transportar el </w:t>
      </w:r>
      <w:r w:rsidRPr="004631FA">
        <w:rPr>
          <w:lang w:val="es-ES"/>
        </w:rPr>
        <w:lastRenderedPageBreak/>
        <w:t>tráfico al extranjero</w:t>
      </w:r>
      <w:r>
        <w:rPr>
          <w:lang w:val="es-ES"/>
        </w:rPr>
        <w:t xml:space="preserve">. </w:t>
      </w:r>
      <w:r w:rsidRPr="004631FA">
        <w:rPr>
          <w:lang w:val="es-ES"/>
        </w:rPr>
        <w:t xml:space="preserve">Esta traducción no es necesaria para interfaces Ethernet, por lo que los precios de enlaces entre localidades </w:t>
      </w:r>
      <w:r>
        <w:rPr>
          <w:lang w:val="es-ES"/>
        </w:rPr>
        <w:t xml:space="preserve">y de larga distancia </w:t>
      </w:r>
      <w:r w:rsidRPr="004631FA">
        <w:rPr>
          <w:lang w:val="es-ES"/>
        </w:rPr>
        <w:t>internacional para esta tecnología son idénticos</w:t>
      </w:r>
      <w:r w:rsidR="00656D6E">
        <w:rPr>
          <w:lang w:val="es-ES"/>
        </w:rPr>
        <w:t>.</w:t>
      </w:r>
    </w:p>
    <w:p w14:paraId="01F0C4D5" w14:textId="77777777" w:rsidR="00B3418C" w:rsidRDefault="00B3418C" w:rsidP="001C77C9">
      <w:pPr>
        <w:rPr>
          <w:lang w:val="es-ES"/>
        </w:rPr>
      </w:pPr>
    </w:p>
    <w:p w14:paraId="6CDB7ACB" w14:textId="679303E2" w:rsidR="001C77C9" w:rsidRDefault="001C77C9" w:rsidP="001C77C9">
      <w:pPr>
        <w:pStyle w:val="Ttulo4"/>
        <w:rPr>
          <w:lang w:val="es-ES"/>
        </w:rPr>
      </w:pPr>
      <w:r>
        <w:rPr>
          <w:lang w:val="es-ES"/>
        </w:rPr>
        <w:t xml:space="preserve">Costos </w:t>
      </w:r>
      <w:r w:rsidR="00916E03">
        <w:rPr>
          <w:lang w:val="es-ES"/>
        </w:rPr>
        <w:t>no recurrentes</w:t>
      </w:r>
    </w:p>
    <w:p w14:paraId="693B8C10" w14:textId="716DCBD6" w:rsidR="00DB5BC3" w:rsidRDefault="009F21F1" w:rsidP="00DB5BC3">
      <w:pPr>
        <w:rPr>
          <w:lang w:val="es-ES"/>
        </w:rPr>
      </w:pPr>
      <w:r>
        <w:rPr>
          <w:lang w:val="es-ES"/>
        </w:rPr>
        <w:t>L</w:t>
      </w:r>
      <w:r w:rsidR="00DB5BC3">
        <w:rPr>
          <w:lang w:val="es-ES"/>
        </w:rPr>
        <w:t>os costos no recurrentes se estiman a partir de dos componentes:</w:t>
      </w:r>
    </w:p>
    <w:p w14:paraId="2C7938BA" w14:textId="2CF979DA" w:rsidR="00DB5BC3" w:rsidRDefault="00DB5BC3" w:rsidP="00DB5BC3">
      <w:pPr>
        <w:pStyle w:val="ListBulletCompact"/>
        <w:rPr>
          <w:lang w:val="es-ES"/>
        </w:rPr>
      </w:pPr>
      <w:r>
        <w:rPr>
          <w:lang w:val="es-ES"/>
        </w:rPr>
        <w:t>En primer lugar, los costos de instalación asociados a los equipos específicos de enlaces dedicados para cada una de las velocidades</w:t>
      </w:r>
      <w:r w:rsidR="00CE00E2">
        <w:rPr>
          <w:lang w:val="es-ES"/>
        </w:rPr>
        <w:t>. Estos solo aplican para los enlaces dedicados locales.</w:t>
      </w:r>
    </w:p>
    <w:p w14:paraId="4181F529" w14:textId="267488AE" w:rsidR="00DB5BC3" w:rsidRDefault="00DB5BC3" w:rsidP="00DB5BC3">
      <w:pPr>
        <w:pStyle w:val="ListBulletCompact"/>
        <w:rPr>
          <w:lang w:val="es-ES"/>
        </w:rPr>
      </w:pPr>
      <w:r>
        <w:rPr>
          <w:lang w:val="es-ES"/>
        </w:rPr>
        <w:t xml:space="preserve">En segundo lugar, los costos del personal del operador modelado necesarios para proceder a la activación del servicio (incluyendo </w:t>
      </w:r>
      <w:r w:rsidR="00E206B9">
        <w:rPr>
          <w:lang w:val="es-ES"/>
        </w:rPr>
        <w:t xml:space="preserve">comerciales, administrativos, planta interna, planta externa </w:t>
      </w:r>
      <w:r w:rsidR="00420DEC">
        <w:rPr>
          <w:lang w:val="es-ES"/>
        </w:rPr>
        <w:t>y operativos en remoto</w:t>
      </w:r>
      <w:r>
        <w:rPr>
          <w:lang w:val="es-ES"/>
        </w:rPr>
        <w:t>). Estos costos se estiman multiplicando el tiempo estimado de actuación para los distintos perfiles de personal involucrados en la instalación y el costo unitario asociado al trabajo de este personal.</w:t>
      </w:r>
    </w:p>
    <w:p w14:paraId="3B02A4B3" w14:textId="6609F9BF" w:rsidR="001C77C9" w:rsidRDefault="001C77C9" w:rsidP="001C77C9">
      <w:pPr>
        <w:rPr>
          <w:lang w:val="es-ES"/>
        </w:rPr>
      </w:pPr>
      <w:r>
        <w:rPr>
          <w:lang w:val="es-ES"/>
        </w:rPr>
        <w:t xml:space="preserve">A continuación, se ilustra el </w:t>
      </w:r>
      <w:r w:rsidR="008B5BB1">
        <w:rPr>
          <w:lang w:val="es-ES"/>
        </w:rPr>
        <w:t>cálculo</w:t>
      </w:r>
      <w:r>
        <w:rPr>
          <w:lang w:val="es-ES"/>
        </w:rPr>
        <w:t xml:space="preserve"> que se realiza en el módulo de enlaces dedicados, tanto para enlaces locales, como para enlaces entre localidades e internacionales:</w:t>
      </w:r>
    </w:p>
    <w:p w14:paraId="6F7530AE" w14:textId="40B39CD2" w:rsidR="001C77C9" w:rsidRPr="005430A9" w:rsidRDefault="001C77C9" w:rsidP="001C77C9">
      <w:pPr>
        <w:pStyle w:val="Descripcin"/>
        <w:rPr>
          <w:lang w:val="es-ES"/>
        </w:rPr>
      </w:pPr>
      <w:r w:rsidRPr="005430A9">
        <w:rPr>
          <w:lang w:val="es-ES"/>
        </w:rPr>
        <w:t xml:space="preserve">Figura </w:t>
      </w:r>
      <w:r>
        <w:rPr>
          <w:lang w:val="es-ES"/>
        </w:rPr>
        <w:fldChar w:fldCharType="begin"/>
      </w:r>
      <w:r w:rsidRPr="005430A9">
        <w:rPr>
          <w:lang w:val="es-ES"/>
        </w:rPr>
        <w:instrText xml:space="preserve"> STYLEREF 1 \s \* MERGEFORMAT </w:instrText>
      </w:r>
      <w:r>
        <w:rPr>
          <w:lang w:val="es-ES"/>
        </w:rPr>
        <w:fldChar w:fldCharType="separate"/>
      </w:r>
      <w:r w:rsidR="00020F8B">
        <w:rPr>
          <w:noProof/>
          <w:lang w:val="es-ES"/>
        </w:rPr>
        <w:t>6</w:t>
      </w:r>
      <w:r>
        <w:rPr>
          <w:lang w:val="es-ES"/>
        </w:rPr>
        <w:fldChar w:fldCharType="end"/>
      </w:r>
      <w:r w:rsidRPr="005430A9">
        <w:rPr>
          <w:lang w:val="es-ES"/>
        </w:rPr>
        <w:t>.</w:t>
      </w:r>
      <w:r>
        <w:rPr>
          <w:lang w:val="es-ES"/>
        </w:rPr>
        <w:fldChar w:fldCharType="begin"/>
      </w:r>
      <w:r w:rsidRPr="005430A9">
        <w:rPr>
          <w:lang w:val="es-ES"/>
        </w:rPr>
        <w:instrText xml:space="preserve"> SEQ Ilustración \* ARABIC \s 1 \* MERGEFORMAT </w:instrText>
      </w:r>
      <w:r>
        <w:rPr>
          <w:lang w:val="es-ES"/>
        </w:rPr>
        <w:fldChar w:fldCharType="separate"/>
      </w:r>
      <w:r w:rsidR="00020F8B">
        <w:rPr>
          <w:noProof/>
          <w:lang w:val="es-ES"/>
        </w:rPr>
        <w:t>4</w:t>
      </w:r>
      <w:r>
        <w:rPr>
          <w:lang w:val="es-ES"/>
        </w:rPr>
        <w:fldChar w:fldCharType="end"/>
      </w:r>
      <w:r w:rsidRPr="005430A9">
        <w:rPr>
          <w:lang w:val="es-ES"/>
        </w:rPr>
        <w:t xml:space="preserve">: </w:t>
      </w:r>
      <w:r w:rsidRPr="0046186B">
        <w:rPr>
          <w:lang w:val="es-ES"/>
        </w:rPr>
        <w:t>Cálculo de los costos de instalación de los enlaces dedicados</w:t>
      </w:r>
      <w:r>
        <w:rPr>
          <w:lang w:val="es-ES"/>
        </w:rPr>
        <w:t xml:space="preserve"> </w:t>
      </w:r>
      <w:r w:rsidRPr="005430A9">
        <w:rPr>
          <w:lang w:val="es-ES"/>
        </w:rPr>
        <w:t>[Fuente: Analysys Mason, 2023]</w:t>
      </w:r>
    </w:p>
    <w:p w14:paraId="7DD97240" w14:textId="77777777" w:rsidR="001C77C9" w:rsidRDefault="001C77C9" w:rsidP="001C77C9">
      <w:pPr>
        <w:jc w:val="center"/>
        <w:rPr>
          <w:lang w:val="es-ES"/>
        </w:rPr>
      </w:pPr>
      <w:r w:rsidRPr="0046186B">
        <w:rPr>
          <w:noProof/>
        </w:rPr>
        <w:drawing>
          <wp:inline distT="0" distB="0" distL="0" distR="0" wp14:anchorId="3643B4C6" wp14:editId="5E7ACF2B">
            <wp:extent cx="5544185" cy="2767965"/>
            <wp:effectExtent l="0" t="0" r="0" b="0"/>
            <wp:docPr id="471763406" name="Picture 47176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44185" cy="2767965"/>
                    </a:xfrm>
                    <a:prstGeom prst="rect">
                      <a:avLst/>
                    </a:prstGeom>
                    <a:noFill/>
                    <a:ln>
                      <a:noFill/>
                    </a:ln>
                  </pic:spPr>
                </pic:pic>
              </a:graphicData>
            </a:graphic>
          </wp:inline>
        </w:drawing>
      </w:r>
    </w:p>
    <w:p w14:paraId="1A0108F3" w14:textId="78666763" w:rsidR="001C77C9" w:rsidRDefault="00372842" w:rsidP="001C77C9">
      <w:pPr>
        <w:pStyle w:val="Ttulo3"/>
        <w:rPr>
          <w:lang w:val="es-ES"/>
        </w:rPr>
      </w:pPr>
      <w:r>
        <w:rPr>
          <w:lang w:val="es-ES"/>
        </w:rPr>
        <w:t>Servicio de concentración y distribución asociado al SAIB</w:t>
      </w:r>
    </w:p>
    <w:p w14:paraId="15C22077" w14:textId="76D532C9" w:rsidR="006319B8" w:rsidRDefault="006319B8" w:rsidP="006319B8">
      <w:pPr>
        <w:rPr>
          <w:lang w:val="es-ES"/>
        </w:rPr>
      </w:pPr>
      <w:r>
        <w:rPr>
          <w:lang w:val="es-ES"/>
        </w:rPr>
        <w:t>Los costos del servicio de concentración y distribución asociado al SAIB se extraen, en primera instancia del módulo de redes fijas</w:t>
      </w:r>
      <w:r w:rsidR="00F93983" w:rsidRPr="00F93983">
        <w:rPr>
          <w:lang w:val="es-ES"/>
        </w:rPr>
        <w:t xml:space="preserve"> </w:t>
      </w:r>
      <w:r w:rsidR="00F93983" w:rsidRPr="004911DB">
        <w:rPr>
          <w:lang w:val="es-ES"/>
        </w:rPr>
        <w:t>bajo el estándar de costos CIPLP</w:t>
      </w:r>
      <w:r>
        <w:rPr>
          <w:lang w:val="es-ES"/>
        </w:rPr>
        <w:t xml:space="preserve">. En este módulo se </w:t>
      </w:r>
      <w:r w:rsidR="00B05A91">
        <w:rPr>
          <w:lang w:val="es-ES"/>
        </w:rPr>
        <w:t>extrae</w:t>
      </w:r>
      <w:r>
        <w:rPr>
          <w:lang w:val="es-ES"/>
        </w:rPr>
        <w:t xml:space="preserve"> el costo </w:t>
      </w:r>
      <w:r w:rsidR="00B05A91">
        <w:rPr>
          <w:lang w:val="es-ES"/>
        </w:rPr>
        <w:t xml:space="preserve">unitario </w:t>
      </w:r>
      <w:r>
        <w:rPr>
          <w:lang w:val="es-ES"/>
        </w:rPr>
        <w:t>asociado a un servicio genérico</w:t>
      </w:r>
      <w:r w:rsidR="0042437F">
        <w:rPr>
          <w:lang w:val="es-ES"/>
        </w:rPr>
        <w:t xml:space="preserve"> de </w:t>
      </w:r>
      <w:r w:rsidR="00B05A91">
        <w:rPr>
          <w:lang w:val="es-ES"/>
        </w:rPr>
        <w:t>concentración y distribución, por Mbps de tráfico efectivo</w:t>
      </w:r>
      <w:r w:rsidR="008E6627">
        <w:rPr>
          <w:lang w:val="es-ES"/>
        </w:rPr>
        <w:t xml:space="preserve"> (asumiendo un servicio asimétrico y </w:t>
      </w:r>
      <w:r w:rsidR="00C743CC">
        <w:rPr>
          <w:lang w:val="es-ES"/>
        </w:rPr>
        <w:t>con calidad best effort)</w:t>
      </w:r>
      <w:r w:rsidR="00B05A91">
        <w:rPr>
          <w:lang w:val="es-ES"/>
        </w:rPr>
        <w:t>. El</w:t>
      </w:r>
      <w:r w:rsidR="008E6627">
        <w:rPr>
          <w:lang w:val="es-ES"/>
        </w:rPr>
        <w:t xml:space="preserve"> módulo proporciona los costos para los tres niveles de </w:t>
      </w:r>
      <w:r w:rsidR="00BE2E14">
        <w:rPr>
          <w:lang w:val="es-ES"/>
        </w:rPr>
        <w:t>agregación disponibles (local, regional y nacional).</w:t>
      </w:r>
    </w:p>
    <w:p w14:paraId="7A2918CA" w14:textId="44BD3830" w:rsidR="000B0895" w:rsidRDefault="000E5EF7" w:rsidP="006319B8">
      <w:pPr>
        <w:rPr>
          <w:lang w:val="es-ES"/>
        </w:rPr>
      </w:pPr>
      <w:r>
        <w:rPr>
          <w:lang w:val="es-ES"/>
        </w:rPr>
        <w:lastRenderedPageBreak/>
        <w:t>Posteriormente, el objetivo del módulo de concentración y distribución (módulo SCyD) es el de despromediar el costo del servicio para las distintas variantes existentes del servicio.</w:t>
      </w:r>
      <w:r w:rsidR="000B0895">
        <w:rPr>
          <w:lang w:val="es-ES"/>
        </w:rPr>
        <w:t xml:space="preserve"> Para ello, el modelo presenta una serie de factores multiplicativos de ajuste para las distintas variantes</w:t>
      </w:r>
      <w:r w:rsidR="00225946">
        <w:rPr>
          <w:lang w:val="es-ES"/>
        </w:rPr>
        <w:t>.</w:t>
      </w:r>
    </w:p>
    <w:p w14:paraId="5293A9DF" w14:textId="40D2F428" w:rsidR="001C77C9" w:rsidRDefault="00B21C3D" w:rsidP="00B21C3D">
      <w:pPr>
        <w:rPr>
          <w:lang w:val="es-ES"/>
        </w:rPr>
      </w:pPr>
      <w:r w:rsidRPr="00B21C3D">
        <w:rPr>
          <w:lang w:val="es-ES"/>
        </w:rPr>
        <w:t>P</w:t>
      </w:r>
      <w:r>
        <w:rPr>
          <w:lang w:val="es-ES"/>
        </w:rPr>
        <w:t>ara el cálculo del costo asociado a una variante concreta, se toma el precio base para el nivel de agregación correspondiente</w:t>
      </w:r>
      <w:r w:rsidR="006B1914">
        <w:rPr>
          <w:lang w:val="es-ES"/>
        </w:rPr>
        <w:t xml:space="preserve"> </w:t>
      </w:r>
      <w:r w:rsidR="00F81539">
        <w:rPr>
          <w:lang w:val="es-ES"/>
        </w:rPr>
        <w:t xml:space="preserve">y se multiplica por los factores </w:t>
      </w:r>
      <w:r w:rsidR="00BB0F20">
        <w:rPr>
          <w:lang w:val="es-ES"/>
        </w:rPr>
        <w:t>de ajuste correspondientes a la variable.</w:t>
      </w:r>
    </w:p>
    <w:p w14:paraId="4BEDE92A" w14:textId="34E7529A" w:rsidR="001C77C9" w:rsidRDefault="00CA7082" w:rsidP="001C77C9">
      <w:pPr>
        <w:rPr>
          <w:lang w:val="es-ES"/>
        </w:rPr>
      </w:pPr>
      <w:r>
        <w:rPr>
          <w:lang w:val="es-ES"/>
        </w:rPr>
        <w:t>Adicionalmente</w:t>
      </w:r>
      <w:r w:rsidR="001C77C9" w:rsidRPr="00981096">
        <w:rPr>
          <w:lang w:val="es-ES"/>
        </w:rPr>
        <w:t xml:space="preserve">, </w:t>
      </w:r>
      <w:r w:rsidR="00F40354">
        <w:rPr>
          <w:lang w:val="es-ES"/>
        </w:rPr>
        <w:t xml:space="preserve">cabe destacar que las tarifas finales del </w:t>
      </w:r>
      <w:r w:rsidR="001C77C9" w:rsidRPr="00981096">
        <w:rPr>
          <w:lang w:val="es-ES"/>
        </w:rPr>
        <w:t>SAIB se calcula</w:t>
      </w:r>
      <w:r w:rsidR="00F40354">
        <w:rPr>
          <w:lang w:val="es-ES"/>
        </w:rPr>
        <w:t>rán añadiendo</w:t>
      </w:r>
      <w:r w:rsidR="001C77C9" w:rsidRPr="00981096">
        <w:rPr>
          <w:lang w:val="es-ES"/>
        </w:rPr>
        <w:t xml:space="preserve"> el costo de acceso </w:t>
      </w:r>
      <w:r w:rsidR="00F40354">
        <w:rPr>
          <w:lang w:val="es-ES"/>
        </w:rPr>
        <w:t>al</w:t>
      </w:r>
      <w:r w:rsidR="00E84E57">
        <w:rPr>
          <w:lang w:val="es-ES"/>
        </w:rPr>
        <w:t xml:space="preserve"> costo del SCyD</w:t>
      </w:r>
      <w:r w:rsidR="001C77C9">
        <w:rPr>
          <w:lang w:val="es-ES"/>
        </w:rPr>
        <w:t>.</w:t>
      </w:r>
      <w:r w:rsidR="00E84E57">
        <w:rPr>
          <w:lang w:val="es-ES"/>
        </w:rPr>
        <w:t xml:space="preserve"> El modelo incluye, </w:t>
      </w:r>
      <w:r w:rsidR="00EA0F84">
        <w:rPr>
          <w:lang w:val="es-ES"/>
        </w:rPr>
        <w:t xml:space="preserve">a modo meramente ilustrativo, los resultados </w:t>
      </w:r>
      <w:r w:rsidR="00233750">
        <w:rPr>
          <w:lang w:val="es-ES"/>
        </w:rPr>
        <w:t>finales del SAIB</w:t>
      </w:r>
      <w:r w:rsidR="00EE1EB4">
        <w:rPr>
          <w:lang w:val="es-ES"/>
        </w:rPr>
        <w:t xml:space="preserve"> a través de una estimación de alto nivel de los costos de acceso para los distintos años modelados.</w:t>
      </w:r>
    </w:p>
    <w:p w14:paraId="393D926F" w14:textId="1C1E4829" w:rsidR="00C962C7" w:rsidRDefault="00CA7082" w:rsidP="001C77C9">
      <w:pPr>
        <w:rPr>
          <w:lang w:val="es-ES"/>
        </w:rPr>
      </w:pPr>
      <w:r>
        <w:rPr>
          <w:lang w:val="es-ES"/>
        </w:rPr>
        <w:t xml:space="preserve">Por </w:t>
      </w:r>
      <w:r w:rsidR="00F278BD">
        <w:rPr>
          <w:lang w:val="es-ES"/>
        </w:rPr>
        <w:t>último</w:t>
      </w:r>
      <w:r>
        <w:rPr>
          <w:lang w:val="es-ES"/>
        </w:rPr>
        <w:t xml:space="preserve">, el modelo </w:t>
      </w:r>
      <w:r w:rsidR="00C962C7">
        <w:rPr>
          <w:lang w:val="es-ES"/>
        </w:rPr>
        <w:t xml:space="preserve">incluye las tarifas para las dos modalidades disponibles </w:t>
      </w:r>
      <w:r w:rsidR="00830812">
        <w:rPr>
          <w:lang w:val="es-ES"/>
        </w:rPr>
        <w:t xml:space="preserve">en la oferta de referencia </w:t>
      </w:r>
      <w:r w:rsidR="00C962C7">
        <w:rPr>
          <w:lang w:val="es-ES"/>
        </w:rPr>
        <w:t>del SAIB</w:t>
      </w:r>
      <w:r w:rsidR="00830812">
        <w:rPr>
          <w:lang w:val="es-ES"/>
        </w:rPr>
        <w:t>, definidas como</w:t>
      </w:r>
      <w:r w:rsidR="00F81F50" w:rsidRPr="00F81F50">
        <w:rPr>
          <w:lang w:val="es-ES"/>
        </w:rPr>
        <w:t>:</w:t>
      </w:r>
    </w:p>
    <w:p w14:paraId="1B1E5213" w14:textId="5AF588A1" w:rsidR="00F81F50" w:rsidRDefault="00F81F50" w:rsidP="00F81F50">
      <w:pPr>
        <w:pStyle w:val="Prrafodelista"/>
        <w:numPr>
          <w:ilvl w:val="0"/>
          <w:numId w:val="49"/>
        </w:numPr>
        <w:rPr>
          <w:lang w:val="es-ES"/>
        </w:rPr>
      </w:pPr>
      <w:r>
        <w:rPr>
          <w:lang w:val="es-ES"/>
        </w:rPr>
        <w:t>Caso I</w:t>
      </w:r>
      <w:r w:rsidR="005918CE">
        <w:rPr>
          <w:lang w:val="es-ES"/>
        </w:rPr>
        <w:t>, en la cual</w:t>
      </w:r>
      <w:r>
        <w:rPr>
          <w:lang w:val="es-ES"/>
        </w:rPr>
        <w:t xml:space="preserve"> </w:t>
      </w:r>
      <w:r w:rsidRPr="00F81F50">
        <w:rPr>
          <w:lang w:val="es-ES"/>
        </w:rPr>
        <w:t>los servicios se prestan a través de fibra óptica, o bien se prestan a través de cobre, pero no se hace uso de las frecuencias bajas para prestar servicios de voz por el mismo medio</w:t>
      </w:r>
      <w:r w:rsidR="0084075C">
        <w:rPr>
          <w:lang w:val="es-ES"/>
        </w:rPr>
        <w:t xml:space="preserve">. </w:t>
      </w:r>
      <w:r w:rsidR="001B2A18">
        <w:rPr>
          <w:lang w:val="es-ES"/>
        </w:rPr>
        <w:t>En este caso, la tarifa se compone del costo del SCyD y el del acceso</w:t>
      </w:r>
    </w:p>
    <w:p w14:paraId="6CC1BB4D" w14:textId="4C5F7951" w:rsidR="007C6FB3" w:rsidRPr="004B02A9" w:rsidRDefault="005918CE" w:rsidP="00BA498F">
      <w:pPr>
        <w:pStyle w:val="Prrafodelista"/>
        <w:numPr>
          <w:ilvl w:val="0"/>
          <w:numId w:val="49"/>
        </w:numPr>
        <w:rPr>
          <w:lang w:val="es-ES"/>
        </w:rPr>
      </w:pPr>
      <w:r w:rsidRPr="004B02A9">
        <w:rPr>
          <w:lang w:val="es-ES"/>
        </w:rPr>
        <w:t xml:space="preserve">Caso II, </w:t>
      </w:r>
      <w:r w:rsidR="00A96523" w:rsidRPr="004B02A9">
        <w:rPr>
          <w:lang w:val="es-ES"/>
        </w:rPr>
        <w:t xml:space="preserve">donde los servicios </w:t>
      </w:r>
      <w:r w:rsidR="00F278BD" w:rsidRPr="004B02A9">
        <w:rPr>
          <w:lang w:val="es-ES"/>
        </w:rPr>
        <w:t>se prestan a través cobre, y se hace uso de las frecuencias bajas para prestar servicios de voz (ya sea por el mismo CS, la Empresa Mayorista o bien otro CS)</w:t>
      </w:r>
      <w:r w:rsidR="00830812" w:rsidRPr="004B02A9">
        <w:rPr>
          <w:lang w:val="es-ES"/>
        </w:rPr>
        <w:t xml:space="preserve">; por ejemplo, </w:t>
      </w:r>
      <w:r w:rsidR="003B372F" w:rsidRPr="004B02A9">
        <w:rPr>
          <w:lang w:val="es-ES"/>
        </w:rPr>
        <w:t>cuando un CS contrata el SAIB y otro Concesionario Solicitante provee voz a través de un servicio de reventa.</w:t>
      </w:r>
      <w:r w:rsidR="00A430FA" w:rsidRPr="004B02A9">
        <w:rPr>
          <w:lang w:val="es-ES"/>
        </w:rPr>
        <w:t xml:space="preserve"> En </w:t>
      </w:r>
      <w:r w:rsidR="00D55FA9" w:rsidRPr="004B02A9">
        <w:rPr>
          <w:lang w:val="es-ES"/>
        </w:rPr>
        <w:t>el</w:t>
      </w:r>
      <w:r w:rsidR="00A430FA" w:rsidRPr="004B02A9">
        <w:rPr>
          <w:lang w:val="es-ES"/>
        </w:rPr>
        <w:t xml:space="preserve"> </w:t>
      </w:r>
      <w:r w:rsidR="00D55FA9" w:rsidRPr="004B02A9">
        <w:rPr>
          <w:lang w:val="es-ES"/>
        </w:rPr>
        <w:t>C</w:t>
      </w:r>
      <w:r w:rsidR="00A430FA" w:rsidRPr="004B02A9">
        <w:rPr>
          <w:lang w:val="es-ES"/>
        </w:rPr>
        <w:t>aso</w:t>
      </w:r>
      <w:r w:rsidR="00D55FA9" w:rsidRPr="004B02A9">
        <w:rPr>
          <w:lang w:val="es-ES"/>
        </w:rPr>
        <w:t xml:space="preserve"> II</w:t>
      </w:r>
      <w:r w:rsidR="00A430FA" w:rsidRPr="004B02A9">
        <w:rPr>
          <w:lang w:val="es-ES"/>
        </w:rPr>
        <w:t>, la tarifa excluye el costo asociado al acceso, y simplemente se cobra por el SCyD</w:t>
      </w:r>
      <w:bookmarkEnd w:id="63"/>
      <w:bookmarkEnd w:id="64"/>
      <w:bookmarkEnd w:id="65"/>
      <w:bookmarkEnd w:id="66"/>
      <w:bookmarkEnd w:id="67"/>
      <w:bookmarkEnd w:id="68"/>
      <w:bookmarkEnd w:id="69"/>
      <w:bookmarkEnd w:id="70"/>
    </w:p>
    <w:sectPr w:rsidR="007C6FB3" w:rsidRPr="004B02A9" w:rsidSect="00F2313E">
      <w:headerReference w:type="first" r:id="rId57"/>
      <w:footerReference w:type="first" r:id="rId58"/>
      <w:pgSz w:w="11907" w:h="16840"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D5551" w14:textId="77777777" w:rsidR="00C47812" w:rsidRDefault="00C47812" w:rsidP="003C6172">
      <w:pPr>
        <w:spacing w:after="0" w:line="240" w:lineRule="auto"/>
      </w:pPr>
      <w:r>
        <w:separator/>
      </w:r>
    </w:p>
  </w:endnote>
  <w:endnote w:type="continuationSeparator" w:id="0">
    <w:p w14:paraId="3AFAE579" w14:textId="77777777" w:rsidR="00C47812" w:rsidRDefault="00C47812" w:rsidP="003C6172">
      <w:pPr>
        <w:spacing w:after="0" w:line="240" w:lineRule="auto"/>
      </w:pPr>
      <w:r>
        <w:continuationSeparator/>
      </w:r>
    </w:p>
  </w:endnote>
  <w:endnote w:type="continuationNotice" w:id="1">
    <w:p w14:paraId="74A6354E" w14:textId="77777777" w:rsidR="00C47812" w:rsidRDefault="00C478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531B" w14:textId="107CC144" w:rsidR="005A488E" w:rsidRPr="00E96093" w:rsidRDefault="005A488E">
    <w:pPr>
      <w:pStyle w:val="Piedepgina"/>
      <w:spacing w:before="720"/>
    </w:pPr>
    <w:r>
      <w:rPr>
        <w:noProof/>
        <w:lang w:eastAsia="en-GB"/>
      </w:rPr>
      <w:drawing>
        <wp:anchor distT="0" distB="0" distL="114300" distR="114300" simplePos="0" relativeHeight="251658243" behindDoc="0" locked="0" layoutInCell="1" allowOverlap="1" wp14:anchorId="6FBF8572" wp14:editId="216F4B1F">
          <wp:simplePos x="0" y="0"/>
          <wp:positionH relativeFrom="page">
            <wp:posOffset>5544820</wp:posOffset>
          </wp:positionH>
          <wp:positionV relativeFrom="page">
            <wp:posOffset>9879330</wp:posOffset>
          </wp:positionV>
          <wp:extent cx="1440000" cy="486000"/>
          <wp:effectExtent l="0" t="0" r="8255" b="9525"/>
          <wp:wrapNone/>
          <wp:docPr id="441335846" name="Picture 441335846" descr="P:\projects\EG011\WP\EG011040\New logos (2011)\Red and blue\1049-logo-2-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s\EG011\WP\EG011040\New logos (2011)\Red and blue\1049-logo-2-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fldChar w:fldCharType="begin"/>
    </w:r>
    <w:r>
      <w:rPr>
        <w:noProof/>
        <w:lang w:val="en-US"/>
      </w:rPr>
      <w:instrText xml:space="preserve"> Styleref "Contents: RefNo" \* MERGEFORMAT </w:instrText>
    </w:r>
    <w:r>
      <w:rPr>
        <w:noProof/>
        <w:lang w:val="en-US"/>
      </w:rPr>
      <w:fldChar w:fldCharType="separate"/>
    </w:r>
    <w:r w:rsidR="00020F8B">
      <w:rPr>
        <w:b/>
        <w:bCs/>
        <w:noProof/>
        <w:lang w:val="es-ES"/>
      </w:rPr>
      <w:t>¡Error! Utilice la pestaña Inicio para aplicar Contents: RefNo al texto que desea que aparezca aquí.</w:t>
    </w:r>
    <w:r>
      <w:rPr>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5F305" w14:textId="4CA0ADAA" w:rsidR="005A488E" w:rsidRPr="00F2313E" w:rsidRDefault="005A488E">
    <w:pPr>
      <w:pStyle w:val="Piedepgina"/>
      <w:spacing w:before="720"/>
      <w:rPr>
        <w:lang w:val="es-MX"/>
      </w:rPr>
    </w:pPr>
    <w:r>
      <w:rPr>
        <w:noProof/>
        <w:lang w:eastAsia="en-GB"/>
      </w:rPr>
      <w:drawing>
        <wp:anchor distT="0" distB="0" distL="114300" distR="114300" simplePos="0" relativeHeight="251658244" behindDoc="0" locked="0" layoutInCell="1" allowOverlap="1" wp14:anchorId="45A19C88" wp14:editId="63FEF70E">
          <wp:simplePos x="0" y="0"/>
          <wp:positionH relativeFrom="page">
            <wp:posOffset>5544820</wp:posOffset>
          </wp:positionH>
          <wp:positionV relativeFrom="page">
            <wp:posOffset>9879330</wp:posOffset>
          </wp:positionV>
          <wp:extent cx="1440000" cy="486000"/>
          <wp:effectExtent l="0" t="0" r="8255" b="9525"/>
          <wp:wrapNone/>
          <wp:docPr id="1819475317" name="Picture 1819475317" descr="P:\projects\EG011\WP\EG011040\New logos (2011)\Red and blue\1049-logo-2-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s\EG011\WP\EG011040\New logos (2011)\Red and blue\1049-logo-2-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fldChar w:fldCharType="begin"/>
    </w:r>
    <w:r w:rsidRPr="00F2313E">
      <w:rPr>
        <w:noProof/>
        <w:lang w:val="es-MX"/>
      </w:rPr>
      <w:instrText xml:space="preserve"> Styleref "Contents: RefNo" \* MERGEFORMAT </w:instrText>
    </w:r>
    <w:r>
      <w:rPr>
        <w:noProof/>
        <w:lang w:val="en-US"/>
      </w:rPr>
      <w:fldChar w:fldCharType="separate"/>
    </w:r>
    <w:r w:rsidR="00020F8B">
      <w:rPr>
        <w:b/>
        <w:bCs/>
        <w:noProof/>
        <w:lang w:val="es-ES"/>
      </w:rPr>
      <w:t>¡Error! Utilice la pestaña Inicio para aplicar Contents: RefNo al texto que desea que aparezca aquí.</w:t>
    </w:r>
    <w:r>
      <w:rPr>
        <w:noProo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0EB30" w14:textId="1AB520D4" w:rsidR="003E3F62" w:rsidRPr="000B63A0" w:rsidRDefault="003E3F62" w:rsidP="000B63A0">
    <w:pPr>
      <w:pStyle w:val="Piedepgina"/>
      <w:spacing w:before="720"/>
      <w:ind w:firstLine="1939"/>
    </w:pPr>
    <w:r>
      <w:tab/>
    </w:r>
    <w:r>
      <w:rPr>
        <w:rStyle w:val="ConfidentialFooter"/>
      </w:rPr>
      <w:fldChar w:fldCharType="begin"/>
    </w:r>
    <w:r>
      <w:rPr>
        <w:rStyle w:val="ConfidentialFooter"/>
      </w:rPr>
      <w:instrText xml:space="preserve"> DOCPROPERTY "Descriptor" \* MERGEFORMAT </w:instrText>
    </w:r>
    <w:r>
      <w:rPr>
        <w:rStyle w:val="ConfidentialFooter"/>
      </w:rPr>
      <w:fldChar w:fldCharType="separate"/>
    </w:r>
    <w:r w:rsidR="00020F8B">
      <w:rPr>
        <w:rStyle w:val="ConfidentialFooter"/>
        <w:b/>
        <w:bCs/>
        <w:lang w:val="es-ES"/>
      </w:rPr>
      <w:t>¡Error! Nombre desconocido de propiedad de documento.</w:t>
    </w:r>
    <w:r>
      <w:rPr>
        <w:rStyle w:val="ConfidentialFooter"/>
      </w:rPr>
      <w:fldChar w:fldCharType="end"/>
    </w:r>
    <w:r>
      <w:tab/>
    </w:r>
    <w:r>
      <w:rPr>
        <w:noProof/>
        <w:lang w:eastAsia="en-GB"/>
      </w:rPr>
      <w:drawing>
        <wp:anchor distT="0" distB="0" distL="114300" distR="114300" simplePos="0" relativeHeight="251658242" behindDoc="0" locked="0" layoutInCell="1" allowOverlap="1" wp14:anchorId="4758B245" wp14:editId="30BBE745">
          <wp:simplePos x="0" y="0"/>
          <wp:positionH relativeFrom="page">
            <wp:posOffset>493395</wp:posOffset>
          </wp:positionH>
          <wp:positionV relativeFrom="page">
            <wp:posOffset>9879330</wp:posOffset>
          </wp:positionV>
          <wp:extent cx="1436400" cy="486000"/>
          <wp:effectExtent l="0" t="0" r="0" b="9525"/>
          <wp:wrapNone/>
          <wp:docPr id="1" name="Imagen 1" descr="P:\projects\EG011\WP\EG011040\New logos (2011)\Red and blue\1049-logo-2-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s\EG011\WP\EG011040\New logos (2011)\Red and blue\1049-logo-2-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6400" cy="4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736">
      <w:rPr>
        <w:noProof/>
      </w:rPr>
      <w:fldChar w:fldCharType="begin"/>
    </w:r>
    <w:r w:rsidR="002C0736">
      <w:rPr>
        <w:noProof/>
      </w:rPr>
      <w:instrText xml:space="preserve"> Styleref "Title: RefNo" \* MERGEFORMAT </w:instrText>
    </w:r>
    <w:r w:rsidR="002C0736">
      <w:rPr>
        <w:noProof/>
      </w:rPr>
      <w:fldChar w:fldCharType="separate"/>
    </w:r>
    <w:r w:rsidR="00020F8B">
      <w:rPr>
        <w:b/>
        <w:bCs/>
        <w:noProof/>
        <w:lang w:val="es-ES"/>
      </w:rPr>
      <w:t>¡Error! No hay texto con el estilo especificado en el documento.</w:t>
    </w:r>
    <w:r w:rsidR="002C073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1761F" w14:textId="6081D967" w:rsidR="003E3F62" w:rsidRPr="007739D8" w:rsidRDefault="003E3F62" w:rsidP="00C77CA6">
    <w:pPr>
      <w:pStyle w:val="Piedepgina"/>
      <w:spacing w:before="720"/>
      <w:ind w:left="0"/>
      <w:rPr>
        <w:lang w:val="es-ES"/>
      </w:rPr>
    </w:pPr>
    <w:r w:rsidRPr="007739D8">
      <w:rPr>
        <w:lang w:val="es-ES"/>
      </w:rPr>
      <w:tab/>
    </w:r>
    <w:r>
      <w:rPr>
        <w:rStyle w:val="ConfidentialFooter"/>
      </w:rPr>
      <w:fldChar w:fldCharType="begin"/>
    </w:r>
    <w:r w:rsidRPr="007739D8">
      <w:rPr>
        <w:rStyle w:val="ConfidentialFooter"/>
        <w:lang w:val="es-ES"/>
      </w:rPr>
      <w:instrText xml:space="preserve"> DOCPROPERTY "Descriptor" \* MERGEFORMAT </w:instrText>
    </w:r>
    <w:r>
      <w:rPr>
        <w:rStyle w:val="ConfidentialFooter"/>
      </w:rPr>
      <w:fldChar w:fldCharType="separate"/>
    </w:r>
    <w:r w:rsidR="00020F8B">
      <w:rPr>
        <w:rStyle w:val="ConfidentialFooter"/>
        <w:b/>
        <w:bCs/>
        <w:lang w:val="es-ES"/>
      </w:rPr>
      <w:t>¡Error! Nombre desconocido de propiedad de documento.</w:t>
    </w:r>
    <w:r>
      <w:rPr>
        <w:rStyle w:val="ConfidentialFooter"/>
      </w:rPr>
      <w:fldChar w:fldCharType="end"/>
    </w:r>
    <w:r w:rsidRPr="007739D8">
      <w:rPr>
        <w:lang w:val="es-E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F2C84" w14:textId="04ACAC5D" w:rsidR="003E3F62" w:rsidRPr="007739D8" w:rsidRDefault="003E3F62" w:rsidP="000B63A0">
    <w:pPr>
      <w:pStyle w:val="Piedepgina"/>
      <w:spacing w:before="720"/>
      <w:rPr>
        <w:lang w:val="es-E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74878" w14:textId="77777777" w:rsidR="003E3F62" w:rsidRPr="008B7633" w:rsidRDefault="003E3F62" w:rsidP="008B76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8C73A" w14:textId="77777777" w:rsidR="00C47812" w:rsidRDefault="00C47812" w:rsidP="003C6172">
      <w:pPr>
        <w:spacing w:after="0" w:line="240" w:lineRule="auto"/>
      </w:pPr>
      <w:r>
        <w:separator/>
      </w:r>
    </w:p>
  </w:footnote>
  <w:footnote w:type="continuationSeparator" w:id="0">
    <w:p w14:paraId="5369DF03" w14:textId="77777777" w:rsidR="00C47812" w:rsidRDefault="00C47812" w:rsidP="003C6172">
      <w:pPr>
        <w:spacing w:after="0" w:line="240" w:lineRule="auto"/>
      </w:pPr>
      <w:r>
        <w:continuationSeparator/>
      </w:r>
    </w:p>
  </w:footnote>
  <w:footnote w:type="continuationNotice" w:id="1">
    <w:p w14:paraId="74464A25" w14:textId="77777777" w:rsidR="00C47812" w:rsidRDefault="00C478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4912C" w14:textId="48AC2F65" w:rsidR="005A488E" w:rsidRDefault="005A488E">
    <w:pPr>
      <w:pStyle w:val="Encabezado"/>
    </w:pPr>
    <w:r>
      <w:rPr>
        <w:noProof/>
        <w:lang w:val="en-US"/>
      </w:rPr>
      <w:fldChar w:fldCharType="begin"/>
    </w:r>
    <w:r>
      <w:rPr>
        <w:noProof/>
        <w:lang w:val="en-US"/>
      </w:rPr>
      <w:instrText xml:space="preserve"> STYLEREF "Contents: title" \* MERGEFORMAT </w:instrText>
    </w:r>
    <w:r>
      <w:rPr>
        <w:noProof/>
        <w:lang w:val="en-US"/>
      </w:rPr>
      <w:fldChar w:fldCharType="separate"/>
    </w:r>
    <w:r w:rsidR="00020F8B">
      <w:rPr>
        <w:b/>
        <w:bCs/>
        <w:noProof/>
        <w:lang w:val="es-ES"/>
      </w:rPr>
      <w:t>¡Error! Utilice la pestaña Inicio para aplicar Contents: title al texto que desea que aparezca aquí.</w:t>
    </w:r>
    <w:r>
      <w:rPr>
        <w:noProof/>
      </w:rPr>
      <w:fldChar w:fldCharType="end"/>
    </w:r>
    <w:r>
      <w:t xml:space="preserve">  |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63E87" w14:textId="1C3367CA" w:rsidR="005A488E" w:rsidRDefault="005A488E">
    <w:pPr>
      <w:pStyle w:val="Encabezado"/>
    </w:pPr>
    <w:r>
      <w:tab/>
    </w:r>
    <w:r>
      <w:rPr>
        <w:noProof/>
        <w:lang w:val="en-US"/>
      </w:rPr>
      <w:fldChar w:fldCharType="begin"/>
    </w:r>
    <w:r w:rsidRPr="00F2313E">
      <w:rPr>
        <w:noProof/>
        <w:lang w:val="es-MX"/>
      </w:rPr>
      <w:instrText xml:space="preserve"> STYLEREF "Contents: title" \* MERGEFORMAT </w:instrText>
    </w:r>
    <w:r>
      <w:rPr>
        <w:noProof/>
        <w:lang w:val="en-US"/>
      </w:rPr>
      <w:fldChar w:fldCharType="separate"/>
    </w:r>
    <w:r w:rsidR="00020F8B">
      <w:rPr>
        <w:b/>
        <w:bCs/>
        <w:noProof/>
        <w:lang w:val="es-ES"/>
      </w:rPr>
      <w:t>¡Error! Utilice la pestaña Inicio para aplicar Contents: title al texto que desea que aparezca aquí.</w:t>
    </w:r>
    <w:r>
      <w:rPr>
        <w:noProof/>
      </w:rPr>
      <w:fldChar w:fldCharType="end"/>
    </w:r>
    <w:r w:rsidRPr="009E4091">
      <w:rPr>
        <w:lang w:val="es-MX"/>
      </w:rPr>
      <w:t xml:space="preserve">  </w:t>
    </w:r>
    <w: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4F2F0" w14:textId="77777777" w:rsidR="005A488E" w:rsidRDefault="005A488E">
    <w:pPr>
      <w:pStyle w:val="Encabezado"/>
      <w:tabs>
        <w:tab w:val="clear" w:pos="9214"/>
      </w:tabs>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56155" w14:textId="03B04D5D" w:rsidR="003E3F62" w:rsidRPr="00F2313E" w:rsidRDefault="00960B1C">
    <w:pPr>
      <w:pStyle w:val="Encabezado"/>
      <w:rPr>
        <w:lang w:val="es-MX"/>
      </w:rPr>
    </w:pPr>
    <w:r>
      <w:rPr>
        <w:noProof/>
      </w:rPr>
      <w:fldChar w:fldCharType="begin"/>
    </w:r>
    <w:r w:rsidRPr="00F2313E">
      <w:rPr>
        <w:noProof/>
        <w:lang w:val="es-MX"/>
      </w:rPr>
      <w:instrText xml:space="preserve"> STYLEREF “Title: Main” </w:instrText>
    </w:r>
    <w:r>
      <w:rPr>
        <w:noProof/>
      </w:rPr>
      <w:fldChar w:fldCharType="separate"/>
    </w:r>
    <w:r w:rsidR="00020F8B">
      <w:rPr>
        <w:noProof/>
        <w:lang w:val="es-MX"/>
      </w:rPr>
      <w:t>Documentación del Modelo de Costos para la determinación de tarifas de los Servicios de ITX, Enlaces Dedicados, Usuario Visitante, así como el Servicio de Concentración y Distribución 2024-2026.</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6654" w14:textId="5F027DA6" w:rsidR="00F2313E" w:rsidRPr="00E704D8" w:rsidRDefault="00960B1C" w:rsidP="00F2313E">
    <w:pPr>
      <w:pStyle w:val="Encabezado"/>
      <w:rPr>
        <w:lang w:val="es-ES"/>
      </w:rPr>
    </w:pPr>
    <w:r>
      <w:rPr>
        <w:noProof/>
      </w:rPr>
      <w:fldChar w:fldCharType="begin"/>
    </w:r>
    <w:r w:rsidRPr="00F2313E">
      <w:rPr>
        <w:noProof/>
        <w:lang w:val="es-MX"/>
      </w:rPr>
      <w:instrText xml:space="preserve"> STYLEREF “Title: Main” </w:instrText>
    </w:r>
    <w:r>
      <w:rPr>
        <w:noProof/>
      </w:rPr>
      <w:fldChar w:fldCharType="separate"/>
    </w:r>
    <w:r w:rsidR="00020F8B">
      <w:rPr>
        <w:noProof/>
        <w:lang w:val="es-MX"/>
      </w:rPr>
      <w:t>Documentación del Modelo de Costos para la determinación de tarifas de los Servicios de ITX, Enlaces Dedicados, Usuario Visitante, así como el Servicio de Concentración y Distribución 2024-2026.</w:t>
    </w:r>
    <w:r>
      <w:rPr>
        <w:noProof/>
      </w:rPr>
      <w:fldChar w:fldCharType="end"/>
    </w:r>
    <w:r w:rsidR="00F2313E" w:rsidRPr="00F2313E">
      <w:rPr>
        <w:lang w:val="es-ES"/>
      </w:rPr>
      <w:t xml:space="preserve"> </w:t>
    </w:r>
    <w:r w:rsidR="00F2313E" w:rsidRPr="00E704D8">
      <w:rPr>
        <w:lang w:val="es-ES"/>
      </w:rPr>
      <w:t xml:space="preserve">|  </w:t>
    </w:r>
    <w:r w:rsidR="00F2313E">
      <w:rPr>
        <w:rStyle w:val="Nmerodepgina"/>
      </w:rPr>
      <w:fldChar w:fldCharType="begin"/>
    </w:r>
    <w:r w:rsidR="00F2313E" w:rsidRPr="00E704D8">
      <w:rPr>
        <w:rStyle w:val="Nmerodepgina"/>
        <w:lang w:val="es-ES"/>
      </w:rPr>
      <w:instrText xml:space="preserve"> PAGE </w:instrText>
    </w:r>
    <w:r w:rsidR="00F2313E">
      <w:rPr>
        <w:rStyle w:val="Nmerodepgina"/>
      </w:rPr>
      <w:fldChar w:fldCharType="separate"/>
    </w:r>
    <w:r w:rsidR="00F2313E">
      <w:rPr>
        <w:rStyle w:val="Nmerodepgina"/>
      </w:rPr>
      <w:t>2</w:t>
    </w:r>
    <w:r w:rsidR="00F2313E">
      <w:rPr>
        <w:rStyle w:val="Nmerodepgina"/>
      </w:rPr>
      <w:fldChar w:fldCharType="end"/>
    </w:r>
  </w:p>
  <w:p w14:paraId="60D91905" w14:textId="023E5214" w:rsidR="003E3F62" w:rsidRDefault="003E3F62">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9F27" w14:textId="18A10356" w:rsidR="003E3F62" w:rsidRDefault="00960B1C">
    <w:pPr>
      <w:pStyle w:val="Encabezado"/>
    </w:pPr>
    <w:r>
      <w:rPr>
        <w:noProof/>
      </w:rPr>
      <w:fldChar w:fldCharType="begin"/>
    </w:r>
    <w:r>
      <w:rPr>
        <w:noProof/>
      </w:rPr>
      <w:instrText xml:space="preserve"> STYLEREF “Title: Main” </w:instrText>
    </w:r>
    <w:r>
      <w:rPr>
        <w:noProof/>
      </w:rPr>
      <w:fldChar w:fldCharType="separate"/>
    </w:r>
    <w:r w:rsidR="00020F8B">
      <w:rPr>
        <w:noProof/>
      </w:rPr>
      <w:t>Documentación del Modelo de Costos para la determinación de tarifas de los Servicios de ITX, Enlaces Dedicados, Usuario Visitante, así como el Servicio de Concentración y Distribución 2024-2026.</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688A" w14:textId="32575DA5" w:rsidR="00F2313E" w:rsidRPr="00E704D8" w:rsidRDefault="00F2313E" w:rsidP="00F2313E">
    <w:pPr>
      <w:pStyle w:val="Encabezado"/>
      <w:tabs>
        <w:tab w:val="clear" w:pos="9214"/>
      </w:tabs>
      <w:ind w:left="0" w:right="-510"/>
      <w:rPr>
        <w:lang w:val="es-ES"/>
      </w:rPr>
    </w:pPr>
    <w:r>
      <w:rPr>
        <w:noProof/>
      </w:rPr>
      <w:fldChar w:fldCharType="begin"/>
    </w:r>
    <w:r w:rsidRPr="00F2313E">
      <w:rPr>
        <w:noProof/>
        <w:lang w:val="es-MX"/>
      </w:rPr>
      <w:instrText xml:space="preserve"> STYLEREF “Title: Main” </w:instrText>
    </w:r>
    <w:r>
      <w:rPr>
        <w:noProof/>
      </w:rPr>
      <w:fldChar w:fldCharType="separate"/>
    </w:r>
    <w:r w:rsidR="00020F8B">
      <w:rPr>
        <w:noProof/>
        <w:lang w:val="es-MX"/>
      </w:rPr>
      <w:t>Documentación del Modelo de Costos para la determinación de tarifas de los Servicios de ITX, Enlaces Dedicados, Usuario Visitante, así como el Servicio de Concentración y Distribución 2024-2026.</w:t>
    </w:r>
    <w:r>
      <w:rPr>
        <w:noProof/>
      </w:rPr>
      <w:fldChar w:fldCharType="end"/>
    </w:r>
    <w:r w:rsidRPr="00F2313E">
      <w:rPr>
        <w:lang w:val="es-ES"/>
      </w:rPr>
      <w:t xml:space="preserve"> </w:t>
    </w:r>
    <w:r w:rsidRPr="00E704D8">
      <w:rPr>
        <w:lang w:val="es-ES"/>
      </w:rPr>
      <w:t xml:space="preserve">|  </w:t>
    </w:r>
    <w:r>
      <w:rPr>
        <w:rStyle w:val="Nmerodepgina"/>
      </w:rPr>
      <w:fldChar w:fldCharType="begin"/>
    </w:r>
    <w:r w:rsidRPr="00E704D8">
      <w:rPr>
        <w:rStyle w:val="Nmerodepgina"/>
        <w:lang w:val="es-ES"/>
      </w:rPr>
      <w:instrText xml:space="preserve"> PAGE </w:instrText>
    </w:r>
    <w:r>
      <w:rPr>
        <w:rStyle w:val="Nmerodepgina"/>
      </w:rPr>
      <w:fldChar w:fldCharType="separate"/>
    </w:r>
    <w:r>
      <w:rPr>
        <w:rStyle w:val="Nmerodepgina"/>
      </w:rPr>
      <w:t>1</w:t>
    </w:r>
    <w:r>
      <w:rPr>
        <w:rStyle w:val="Nmerodepgina"/>
      </w:rPr>
      <w:fldChar w:fldCharType="end"/>
    </w:r>
  </w:p>
  <w:p w14:paraId="201BACAC" w14:textId="00056688" w:rsidR="003E3F62" w:rsidRPr="008B7633" w:rsidRDefault="003E3F62" w:rsidP="008B76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428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6E63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403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B24F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6C09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A29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783C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8A80A08"/>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7F64B16A"/>
    <w:lvl w:ilvl="0">
      <w:start w:val="1"/>
      <w:numFmt w:val="bullet"/>
      <w:pStyle w:val="Listaconvietas"/>
      <w:lvlText w:val=""/>
      <w:lvlJc w:val="left"/>
      <w:pPr>
        <w:ind w:left="360" w:hanging="360"/>
      </w:pPr>
      <w:rPr>
        <w:rFonts w:ascii="Symbol" w:hAnsi="Symbol" w:hint="default"/>
        <w:b w:val="0"/>
        <w:i w:val="0"/>
        <w:sz w:val="20"/>
      </w:rPr>
    </w:lvl>
  </w:abstractNum>
  <w:abstractNum w:abstractNumId="9" w15:restartNumberingAfterBreak="0">
    <w:nsid w:val="06092AC8"/>
    <w:multiLevelType w:val="hybridMultilevel"/>
    <w:tmpl w:val="03E00438"/>
    <w:lvl w:ilvl="0" w:tplc="4D4262F8">
      <w:start w:val="1"/>
      <w:numFmt w:val="bullet"/>
      <w:lvlText w:val=""/>
      <w:lvlJc w:val="left"/>
      <w:pPr>
        <w:tabs>
          <w:tab w:val="num" w:pos="720"/>
        </w:tabs>
        <w:ind w:left="720" w:hanging="360"/>
      </w:pPr>
      <w:rPr>
        <w:rFonts w:ascii="Wingdings" w:hAnsi="Wingdings" w:hint="default"/>
      </w:rPr>
    </w:lvl>
    <w:lvl w:ilvl="1" w:tplc="52A87354" w:tentative="1">
      <w:start w:val="1"/>
      <w:numFmt w:val="bullet"/>
      <w:lvlText w:val=""/>
      <w:lvlJc w:val="left"/>
      <w:pPr>
        <w:tabs>
          <w:tab w:val="num" w:pos="1440"/>
        </w:tabs>
        <w:ind w:left="1440" w:hanging="360"/>
      </w:pPr>
      <w:rPr>
        <w:rFonts w:ascii="Wingdings" w:hAnsi="Wingdings" w:hint="default"/>
      </w:rPr>
    </w:lvl>
    <w:lvl w:ilvl="2" w:tplc="B7326862" w:tentative="1">
      <w:start w:val="1"/>
      <w:numFmt w:val="bullet"/>
      <w:lvlText w:val=""/>
      <w:lvlJc w:val="left"/>
      <w:pPr>
        <w:tabs>
          <w:tab w:val="num" w:pos="2160"/>
        </w:tabs>
        <w:ind w:left="2160" w:hanging="360"/>
      </w:pPr>
      <w:rPr>
        <w:rFonts w:ascii="Wingdings" w:hAnsi="Wingdings" w:hint="default"/>
      </w:rPr>
    </w:lvl>
    <w:lvl w:ilvl="3" w:tplc="E8CA25D2" w:tentative="1">
      <w:start w:val="1"/>
      <w:numFmt w:val="bullet"/>
      <w:lvlText w:val=""/>
      <w:lvlJc w:val="left"/>
      <w:pPr>
        <w:tabs>
          <w:tab w:val="num" w:pos="2880"/>
        </w:tabs>
        <w:ind w:left="2880" w:hanging="360"/>
      </w:pPr>
      <w:rPr>
        <w:rFonts w:ascii="Wingdings" w:hAnsi="Wingdings" w:hint="default"/>
      </w:rPr>
    </w:lvl>
    <w:lvl w:ilvl="4" w:tplc="71B6E210" w:tentative="1">
      <w:start w:val="1"/>
      <w:numFmt w:val="bullet"/>
      <w:lvlText w:val=""/>
      <w:lvlJc w:val="left"/>
      <w:pPr>
        <w:tabs>
          <w:tab w:val="num" w:pos="3600"/>
        </w:tabs>
        <w:ind w:left="3600" w:hanging="360"/>
      </w:pPr>
      <w:rPr>
        <w:rFonts w:ascii="Wingdings" w:hAnsi="Wingdings" w:hint="default"/>
      </w:rPr>
    </w:lvl>
    <w:lvl w:ilvl="5" w:tplc="401E4A2A" w:tentative="1">
      <w:start w:val="1"/>
      <w:numFmt w:val="bullet"/>
      <w:lvlText w:val=""/>
      <w:lvlJc w:val="left"/>
      <w:pPr>
        <w:tabs>
          <w:tab w:val="num" w:pos="4320"/>
        </w:tabs>
        <w:ind w:left="4320" w:hanging="360"/>
      </w:pPr>
      <w:rPr>
        <w:rFonts w:ascii="Wingdings" w:hAnsi="Wingdings" w:hint="default"/>
      </w:rPr>
    </w:lvl>
    <w:lvl w:ilvl="6" w:tplc="90A207FA" w:tentative="1">
      <w:start w:val="1"/>
      <w:numFmt w:val="bullet"/>
      <w:lvlText w:val=""/>
      <w:lvlJc w:val="left"/>
      <w:pPr>
        <w:tabs>
          <w:tab w:val="num" w:pos="5040"/>
        </w:tabs>
        <w:ind w:left="5040" w:hanging="360"/>
      </w:pPr>
      <w:rPr>
        <w:rFonts w:ascii="Wingdings" w:hAnsi="Wingdings" w:hint="default"/>
      </w:rPr>
    </w:lvl>
    <w:lvl w:ilvl="7" w:tplc="85F4619A" w:tentative="1">
      <w:start w:val="1"/>
      <w:numFmt w:val="bullet"/>
      <w:lvlText w:val=""/>
      <w:lvlJc w:val="left"/>
      <w:pPr>
        <w:tabs>
          <w:tab w:val="num" w:pos="5760"/>
        </w:tabs>
        <w:ind w:left="5760" w:hanging="360"/>
      </w:pPr>
      <w:rPr>
        <w:rFonts w:ascii="Wingdings" w:hAnsi="Wingdings" w:hint="default"/>
      </w:rPr>
    </w:lvl>
    <w:lvl w:ilvl="8" w:tplc="ED7670F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4B1BE6"/>
    <w:multiLevelType w:val="hybridMultilevel"/>
    <w:tmpl w:val="2124C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172DCD"/>
    <w:multiLevelType w:val="hybridMultilevel"/>
    <w:tmpl w:val="A59C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B6421E"/>
    <w:multiLevelType w:val="hybridMultilevel"/>
    <w:tmpl w:val="2E827ED8"/>
    <w:lvl w:ilvl="0" w:tplc="422E6672">
      <w:start w:val="1"/>
      <w:numFmt w:val="bullet"/>
      <w:pStyle w:val="Listaconvietas2"/>
      <w:lvlText w:val="–"/>
      <w:lvlJc w:val="left"/>
      <w:pPr>
        <w:ind w:left="717" w:hanging="360"/>
      </w:pPr>
      <w:rPr>
        <w:rFonts w:ascii="Times New Roman" w:hAnsi="Times New Roman" w:hint="default"/>
        <w:b w:val="0"/>
        <w:i w:val="0"/>
        <w:color w:val="auto"/>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0F3C2990"/>
    <w:multiLevelType w:val="hybridMultilevel"/>
    <w:tmpl w:val="AC68B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E449AC"/>
    <w:multiLevelType w:val="hybridMultilevel"/>
    <w:tmpl w:val="2FF64C90"/>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13A172E"/>
    <w:multiLevelType w:val="hybridMultilevel"/>
    <w:tmpl w:val="05C81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7E134E"/>
    <w:multiLevelType w:val="hybridMultilevel"/>
    <w:tmpl w:val="BA9C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BC78E0"/>
    <w:multiLevelType w:val="hybridMultilevel"/>
    <w:tmpl w:val="DAB05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FD746D"/>
    <w:multiLevelType w:val="hybridMultilevel"/>
    <w:tmpl w:val="76A0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1200D3"/>
    <w:multiLevelType w:val="hybridMultilevel"/>
    <w:tmpl w:val="87DC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362D84"/>
    <w:multiLevelType w:val="hybridMultilevel"/>
    <w:tmpl w:val="173219C6"/>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6A54F6"/>
    <w:multiLevelType w:val="hybridMultilevel"/>
    <w:tmpl w:val="6234D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29695B"/>
    <w:multiLevelType w:val="multilevel"/>
    <w:tmpl w:val="C6DA4D1C"/>
    <w:lvl w:ilvl="0">
      <w:start w:val="1"/>
      <w:numFmt w:val="upperLetter"/>
      <w:pStyle w:val="Annex1"/>
      <w:lvlText w:val="Annex %1"/>
      <w:lvlJc w:val="left"/>
      <w:pPr>
        <w:tabs>
          <w:tab w:val="num" w:pos="1134"/>
        </w:tabs>
        <w:ind w:left="0" w:hanging="499"/>
      </w:pPr>
      <w:rPr>
        <w:rFonts w:ascii="Times New Roman" w:hAnsi="Times New Roman" w:hint="default"/>
        <w:b w:val="0"/>
        <w:i w:val="0"/>
        <w:sz w:val="36"/>
      </w:rPr>
    </w:lvl>
    <w:lvl w:ilvl="1">
      <w:start w:val="1"/>
      <w:numFmt w:val="decimal"/>
      <w:pStyle w:val="Annex2"/>
      <w:lvlText w:val="%1.%2"/>
      <w:lvlJc w:val="left"/>
      <w:pPr>
        <w:tabs>
          <w:tab w:val="num" w:pos="1134"/>
        </w:tabs>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3" w15:restartNumberingAfterBreak="0">
    <w:nsid w:val="2E3735F4"/>
    <w:multiLevelType w:val="multilevel"/>
    <w:tmpl w:val="89E461CC"/>
    <w:lvl w:ilvl="0">
      <w:start w:val="1"/>
      <w:numFmt w:val="decimal"/>
      <w:pStyle w:val="Ttulo1"/>
      <w:lvlText w:val="%1"/>
      <w:lvlJc w:val="left"/>
      <w:pPr>
        <w:ind w:left="0" w:hanging="499"/>
      </w:pPr>
      <w:rPr>
        <w:rFonts w:ascii="Times New Roman" w:hAnsi="Times New Roman" w:hint="default"/>
        <w:b w:val="0"/>
        <w:i w:val="0"/>
        <w:sz w:val="36"/>
      </w:rPr>
    </w:lvl>
    <w:lvl w:ilvl="1">
      <w:start w:val="1"/>
      <w:numFmt w:val="decimal"/>
      <w:pStyle w:val="Ttulo2"/>
      <w:lvlText w:val="%1.%2"/>
      <w:lvlJc w:val="left"/>
      <w:pPr>
        <w:ind w:left="0" w:hanging="499"/>
      </w:pPr>
      <w:rPr>
        <w:rFonts w:ascii="Times New Roman Bold" w:hAnsi="Times New Roman Bold" w:hint="default"/>
        <w:b/>
        <w:i w:val="0"/>
        <w:sz w:val="24"/>
      </w:rPr>
    </w:lvl>
    <w:lvl w:ilvl="2">
      <w:start w:val="1"/>
      <w:numFmt w:val="decimal"/>
      <w:pStyle w:val="Ttulo3"/>
      <w:lvlText w:val="%1.%2.%3"/>
      <w:lvlJc w:val="left"/>
      <w:pPr>
        <w:ind w:left="0" w:hanging="499"/>
      </w:pPr>
      <w:rPr>
        <w:rFonts w:ascii="Times New Roman Bold" w:hAnsi="Times New Roman Bold" w:hint="default"/>
        <w:b/>
        <w:i w:val="0"/>
        <w:sz w:val="22"/>
      </w:rPr>
    </w:lvl>
    <w:lvl w:ilvl="3">
      <w:start w:val="1"/>
      <w:numFmt w:val="none"/>
      <w:pStyle w:val="Ttulo4"/>
      <w:suff w:val="nothing"/>
      <w:lvlText w:val=""/>
      <w:lvlJc w:val="left"/>
      <w:pPr>
        <w:ind w:left="0" w:firstLine="0"/>
      </w:pPr>
      <w:rPr>
        <w:rFonts w:ascii="Times New Roman" w:hAnsi="Times New Roman" w:hint="default"/>
        <w:b w:val="0"/>
        <w:i/>
        <w:sz w:val="22"/>
      </w:rPr>
    </w:lvl>
    <w:lvl w:ilvl="4">
      <w:start w:val="1"/>
      <w:numFmt w:val="none"/>
      <w:lvlText w:val=""/>
      <w:lvlJc w:val="left"/>
      <w:pPr>
        <w:ind w:left="0" w:hanging="499"/>
      </w:pPr>
      <w:rPr>
        <w:rFonts w:hint="default"/>
      </w:rPr>
    </w:lvl>
    <w:lvl w:ilvl="5">
      <w:start w:val="1"/>
      <w:numFmt w:val="none"/>
      <w:lvlText w:val=""/>
      <w:lvlJc w:val="left"/>
      <w:pPr>
        <w:ind w:left="0" w:hanging="499"/>
      </w:pPr>
      <w:rPr>
        <w:rFonts w:hint="default"/>
      </w:rPr>
    </w:lvl>
    <w:lvl w:ilvl="6">
      <w:start w:val="1"/>
      <w:numFmt w:val="none"/>
      <w:lvlText w:val=""/>
      <w:lvlJc w:val="left"/>
      <w:pPr>
        <w:ind w:left="0" w:hanging="499"/>
      </w:pPr>
      <w:rPr>
        <w:rFonts w:hint="default"/>
      </w:rPr>
    </w:lvl>
    <w:lvl w:ilvl="7">
      <w:start w:val="1"/>
      <w:numFmt w:val="none"/>
      <w:lvlText w:val=""/>
      <w:lvlJc w:val="left"/>
      <w:pPr>
        <w:ind w:left="0" w:hanging="499"/>
      </w:pPr>
      <w:rPr>
        <w:rFonts w:hint="default"/>
      </w:rPr>
    </w:lvl>
    <w:lvl w:ilvl="8">
      <w:start w:val="1"/>
      <w:numFmt w:val="none"/>
      <w:lvlText w:val=""/>
      <w:lvlJc w:val="left"/>
      <w:pPr>
        <w:ind w:left="0" w:hanging="499"/>
      </w:pPr>
      <w:rPr>
        <w:rFonts w:hint="default"/>
      </w:rPr>
    </w:lvl>
  </w:abstractNum>
  <w:abstractNum w:abstractNumId="24" w15:restartNumberingAfterBreak="0">
    <w:nsid w:val="38984C98"/>
    <w:multiLevelType w:val="hybridMultilevel"/>
    <w:tmpl w:val="5B88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D11D89"/>
    <w:multiLevelType w:val="hybridMultilevel"/>
    <w:tmpl w:val="B9CC54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44D0715"/>
    <w:multiLevelType w:val="hybridMultilevel"/>
    <w:tmpl w:val="D936AC78"/>
    <w:lvl w:ilvl="0" w:tplc="F7DA2562">
      <w:start w:val="1"/>
      <w:numFmt w:val="bullet"/>
      <w:pStyle w:val="ListBullet2Compact"/>
      <w:lvlText w:val="–"/>
      <w:lvlJc w:val="left"/>
      <w:pPr>
        <w:ind w:left="1077" w:hanging="360"/>
      </w:pPr>
      <w:rPr>
        <w:rFonts w:ascii="Times New Roman" w:hAnsi="Times New Roman" w:cs="Times New Roman" w:hint="default"/>
        <w:b w:val="0"/>
        <w:i w:val="0"/>
        <w:sz w:val="22"/>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47386C76"/>
    <w:multiLevelType w:val="hybridMultilevel"/>
    <w:tmpl w:val="8FF2A576"/>
    <w:lvl w:ilvl="0" w:tplc="1A14E202">
      <w:start w:val="1"/>
      <w:numFmt w:val="bullet"/>
      <w:lvlText w:val=""/>
      <w:lvlJc w:val="left"/>
      <w:pPr>
        <w:tabs>
          <w:tab w:val="num" w:pos="720"/>
        </w:tabs>
        <w:ind w:left="720" w:hanging="360"/>
      </w:pPr>
      <w:rPr>
        <w:rFonts w:ascii="Wingdings" w:hAnsi="Wingdings" w:hint="default"/>
      </w:rPr>
    </w:lvl>
    <w:lvl w:ilvl="1" w:tplc="1E98ECBE" w:tentative="1">
      <w:start w:val="1"/>
      <w:numFmt w:val="bullet"/>
      <w:lvlText w:val=""/>
      <w:lvlJc w:val="left"/>
      <w:pPr>
        <w:tabs>
          <w:tab w:val="num" w:pos="1440"/>
        </w:tabs>
        <w:ind w:left="1440" w:hanging="360"/>
      </w:pPr>
      <w:rPr>
        <w:rFonts w:ascii="Wingdings" w:hAnsi="Wingdings" w:hint="default"/>
      </w:rPr>
    </w:lvl>
    <w:lvl w:ilvl="2" w:tplc="B75A6ED4" w:tentative="1">
      <w:start w:val="1"/>
      <w:numFmt w:val="bullet"/>
      <w:lvlText w:val=""/>
      <w:lvlJc w:val="left"/>
      <w:pPr>
        <w:tabs>
          <w:tab w:val="num" w:pos="2160"/>
        </w:tabs>
        <w:ind w:left="2160" w:hanging="360"/>
      </w:pPr>
      <w:rPr>
        <w:rFonts w:ascii="Wingdings" w:hAnsi="Wingdings" w:hint="default"/>
      </w:rPr>
    </w:lvl>
    <w:lvl w:ilvl="3" w:tplc="29D2EBC8" w:tentative="1">
      <w:start w:val="1"/>
      <w:numFmt w:val="bullet"/>
      <w:lvlText w:val=""/>
      <w:lvlJc w:val="left"/>
      <w:pPr>
        <w:tabs>
          <w:tab w:val="num" w:pos="2880"/>
        </w:tabs>
        <w:ind w:left="2880" w:hanging="360"/>
      </w:pPr>
      <w:rPr>
        <w:rFonts w:ascii="Wingdings" w:hAnsi="Wingdings" w:hint="default"/>
      </w:rPr>
    </w:lvl>
    <w:lvl w:ilvl="4" w:tplc="D894638C" w:tentative="1">
      <w:start w:val="1"/>
      <w:numFmt w:val="bullet"/>
      <w:lvlText w:val=""/>
      <w:lvlJc w:val="left"/>
      <w:pPr>
        <w:tabs>
          <w:tab w:val="num" w:pos="3600"/>
        </w:tabs>
        <w:ind w:left="3600" w:hanging="360"/>
      </w:pPr>
      <w:rPr>
        <w:rFonts w:ascii="Wingdings" w:hAnsi="Wingdings" w:hint="default"/>
      </w:rPr>
    </w:lvl>
    <w:lvl w:ilvl="5" w:tplc="7AB27924" w:tentative="1">
      <w:start w:val="1"/>
      <w:numFmt w:val="bullet"/>
      <w:lvlText w:val=""/>
      <w:lvlJc w:val="left"/>
      <w:pPr>
        <w:tabs>
          <w:tab w:val="num" w:pos="4320"/>
        </w:tabs>
        <w:ind w:left="4320" w:hanging="360"/>
      </w:pPr>
      <w:rPr>
        <w:rFonts w:ascii="Wingdings" w:hAnsi="Wingdings" w:hint="default"/>
      </w:rPr>
    </w:lvl>
    <w:lvl w:ilvl="6" w:tplc="CC58CCBC" w:tentative="1">
      <w:start w:val="1"/>
      <w:numFmt w:val="bullet"/>
      <w:lvlText w:val=""/>
      <w:lvlJc w:val="left"/>
      <w:pPr>
        <w:tabs>
          <w:tab w:val="num" w:pos="5040"/>
        </w:tabs>
        <w:ind w:left="5040" w:hanging="360"/>
      </w:pPr>
      <w:rPr>
        <w:rFonts w:ascii="Wingdings" w:hAnsi="Wingdings" w:hint="default"/>
      </w:rPr>
    </w:lvl>
    <w:lvl w:ilvl="7" w:tplc="07F815D8" w:tentative="1">
      <w:start w:val="1"/>
      <w:numFmt w:val="bullet"/>
      <w:lvlText w:val=""/>
      <w:lvlJc w:val="left"/>
      <w:pPr>
        <w:tabs>
          <w:tab w:val="num" w:pos="5760"/>
        </w:tabs>
        <w:ind w:left="5760" w:hanging="360"/>
      </w:pPr>
      <w:rPr>
        <w:rFonts w:ascii="Wingdings" w:hAnsi="Wingdings" w:hint="default"/>
      </w:rPr>
    </w:lvl>
    <w:lvl w:ilvl="8" w:tplc="3D64768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7F20FC"/>
    <w:multiLevelType w:val="hybridMultilevel"/>
    <w:tmpl w:val="22708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526392"/>
    <w:multiLevelType w:val="hybridMultilevel"/>
    <w:tmpl w:val="6AEAF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6948EC"/>
    <w:multiLevelType w:val="hybridMultilevel"/>
    <w:tmpl w:val="A142FE4A"/>
    <w:lvl w:ilvl="0" w:tplc="26B0AA50">
      <w:start w:val="1"/>
      <w:numFmt w:val="bullet"/>
      <w:lvlText w:val="▪"/>
      <w:lvlJc w:val="left"/>
      <w:pPr>
        <w:tabs>
          <w:tab w:val="num" w:pos="720"/>
        </w:tabs>
        <w:ind w:left="720" w:hanging="360"/>
      </w:pPr>
      <w:rPr>
        <w:rFonts w:ascii="Calibri" w:hAnsi="Calibri" w:hint="default"/>
      </w:rPr>
    </w:lvl>
    <w:lvl w:ilvl="1" w:tplc="2DE62DAE" w:tentative="1">
      <w:start w:val="1"/>
      <w:numFmt w:val="bullet"/>
      <w:lvlText w:val="▪"/>
      <w:lvlJc w:val="left"/>
      <w:pPr>
        <w:tabs>
          <w:tab w:val="num" w:pos="1440"/>
        </w:tabs>
        <w:ind w:left="1440" w:hanging="360"/>
      </w:pPr>
      <w:rPr>
        <w:rFonts w:ascii="Calibri" w:hAnsi="Calibri" w:hint="default"/>
      </w:rPr>
    </w:lvl>
    <w:lvl w:ilvl="2" w:tplc="D6A054FA" w:tentative="1">
      <w:start w:val="1"/>
      <w:numFmt w:val="bullet"/>
      <w:lvlText w:val="▪"/>
      <w:lvlJc w:val="left"/>
      <w:pPr>
        <w:tabs>
          <w:tab w:val="num" w:pos="2160"/>
        </w:tabs>
        <w:ind w:left="2160" w:hanging="360"/>
      </w:pPr>
      <w:rPr>
        <w:rFonts w:ascii="Calibri" w:hAnsi="Calibri" w:hint="default"/>
      </w:rPr>
    </w:lvl>
    <w:lvl w:ilvl="3" w:tplc="76DE923A" w:tentative="1">
      <w:start w:val="1"/>
      <w:numFmt w:val="bullet"/>
      <w:lvlText w:val="▪"/>
      <w:lvlJc w:val="left"/>
      <w:pPr>
        <w:tabs>
          <w:tab w:val="num" w:pos="2880"/>
        </w:tabs>
        <w:ind w:left="2880" w:hanging="360"/>
      </w:pPr>
      <w:rPr>
        <w:rFonts w:ascii="Calibri" w:hAnsi="Calibri" w:hint="default"/>
      </w:rPr>
    </w:lvl>
    <w:lvl w:ilvl="4" w:tplc="3CA4DA26" w:tentative="1">
      <w:start w:val="1"/>
      <w:numFmt w:val="bullet"/>
      <w:lvlText w:val="▪"/>
      <w:lvlJc w:val="left"/>
      <w:pPr>
        <w:tabs>
          <w:tab w:val="num" w:pos="3600"/>
        </w:tabs>
        <w:ind w:left="3600" w:hanging="360"/>
      </w:pPr>
      <w:rPr>
        <w:rFonts w:ascii="Calibri" w:hAnsi="Calibri" w:hint="default"/>
      </w:rPr>
    </w:lvl>
    <w:lvl w:ilvl="5" w:tplc="7690E44A" w:tentative="1">
      <w:start w:val="1"/>
      <w:numFmt w:val="bullet"/>
      <w:lvlText w:val="▪"/>
      <w:lvlJc w:val="left"/>
      <w:pPr>
        <w:tabs>
          <w:tab w:val="num" w:pos="4320"/>
        </w:tabs>
        <w:ind w:left="4320" w:hanging="360"/>
      </w:pPr>
      <w:rPr>
        <w:rFonts w:ascii="Calibri" w:hAnsi="Calibri" w:hint="default"/>
      </w:rPr>
    </w:lvl>
    <w:lvl w:ilvl="6" w:tplc="6AC437E8" w:tentative="1">
      <w:start w:val="1"/>
      <w:numFmt w:val="bullet"/>
      <w:lvlText w:val="▪"/>
      <w:lvlJc w:val="left"/>
      <w:pPr>
        <w:tabs>
          <w:tab w:val="num" w:pos="5040"/>
        </w:tabs>
        <w:ind w:left="5040" w:hanging="360"/>
      </w:pPr>
      <w:rPr>
        <w:rFonts w:ascii="Calibri" w:hAnsi="Calibri" w:hint="default"/>
      </w:rPr>
    </w:lvl>
    <w:lvl w:ilvl="7" w:tplc="2B7CA8D8" w:tentative="1">
      <w:start w:val="1"/>
      <w:numFmt w:val="bullet"/>
      <w:lvlText w:val="▪"/>
      <w:lvlJc w:val="left"/>
      <w:pPr>
        <w:tabs>
          <w:tab w:val="num" w:pos="5760"/>
        </w:tabs>
        <w:ind w:left="5760" w:hanging="360"/>
      </w:pPr>
      <w:rPr>
        <w:rFonts w:ascii="Calibri" w:hAnsi="Calibri" w:hint="default"/>
      </w:rPr>
    </w:lvl>
    <w:lvl w:ilvl="8" w:tplc="010EF820"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8A90BDF"/>
    <w:multiLevelType w:val="hybridMultilevel"/>
    <w:tmpl w:val="121C1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B6893"/>
    <w:multiLevelType w:val="hybridMultilevel"/>
    <w:tmpl w:val="29585E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CF74542"/>
    <w:multiLevelType w:val="hybridMultilevel"/>
    <w:tmpl w:val="909E9C8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E90CBF"/>
    <w:multiLevelType w:val="hybridMultilevel"/>
    <w:tmpl w:val="49083E16"/>
    <w:lvl w:ilvl="0" w:tplc="2A903D2A">
      <w:start w:val="1"/>
      <w:numFmt w:val="bullet"/>
      <w:lvlText w:val="▪"/>
      <w:lvlJc w:val="left"/>
      <w:pPr>
        <w:tabs>
          <w:tab w:val="num" w:pos="720"/>
        </w:tabs>
        <w:ind w:left="720" w:hanging="360"/>
      </w:pPr>
      <w:rPr>
        <w:rFonts w:ascii="Calibri" w:hAnsi="Calibri" w:hint="default"/>
      </w:rPr>
    </w:lvl>
    <w:lvl w:ilvl="1" w:tplc="C15C6064" w:tentative="1">
      <w:start w:val="1"/>
      <w:numFmt w:val="bullet"/>
      <w:lvlText w:val="▪"/>
      <w:lvlJc w:val="left"/>
      <w:pPr>
        <w:tabs>
          <w:tab w:val="num" w:pos="1440"/>
        </w:tabs>
        <w:ind w:left="1440" w:hanging="360"/>
      </w:pPr>
      <w:rPr>
        <w:rFonts w:ascii="Calibri" w:hAnsi="Calibri" w:hint="default"/>
      </w:rPr>
    </w:lvl>
    <w:lvl w:ilvl="2" w:tplc="2FA674E8" w:tentative="1">
      <w:start w:val="1"/>
      <w:numFmt w:val="bullet"/>
      <w:lvlText w:val="▪"/>
      <w:lvlJc w:val="left"/>
      <w:pPr>
        <w:tabs>
          <w:tab w:val="num" w:pos="2160"/>
        </w:tabs>
        <w:ind w:left="2160" w:hanging="360"/>
      </w:pPr>
      <w:rPr>
        <w:rFonts w:ascii="Calibri" w:hAnsi="Calibri" w:hint="default"/>
      </w:rPr>
    </w:lvl>
    <w:lvl w:ilvl="3" w:tplc="703AF74A" w:tentative="1">
      <w:start w:val="1"/>
      <w:numFmt w:val="bullet"/>
      <w:lvlText w:val="▪"/>
      <w:lvlJc w:val="left"/>
      <w:pPr>
        <w:tabs>
          <w:tab w:val="num" w:pos="2880"/>
        </w:tabs>
        <w:ind w:left="2880" w:hanging="360"/>
      </w:pPr>
      <w:rPr>
        <w:rFonts w:ascii="Calibri" w:hAnsi="Calibri" w:hint="default"/>
      </w:rPr>
    </w:lvl>
    <w:lvl w:ilvl="4" w:tplc="586E00F6" w:tentative="1">
      <w:start w:val="1"/>
      <w:numFmt w:val="bullet"/>
      <w:lvlText w:val="▪"/>
      <w:lvlJc w:val="left"/>
      <w:pPr>
        <w:tabs>
          <w:tab w:val="num" w:pos="3600"/>
        </w:tabs>
        <w:ind w:left="3600" w:hanging="360"/>
      </w:pPr>
      <w:rPr>
        <w:rFonts w:ascii="Calibri" w:hAnsi="Calibri" w:hint="default"/>
      </w:rPr>
    </w:lvl>
    <w:lvl w:ilvl="5" w:tplc="5D0E4EC6" w:tentative="1">
      <w:start w:val="1"/>
      <w:numFmt w:val="bullet"/>
      <w:lvlText w:val="▪"/>
      <w:lvlJc w:val="left"/>
      <w:pPr>
        <w:tabs>
          <w:tab w:val="num" w:pos="4320"/>
        </w:tabs>
        <w:ind w:left="4320" w:hanging="360"/>
      </w:pPr>
      <w:rPr>
        <w:rFonts w:ascii="Calibri" w:hAnsi="Calibri" w:hint="default"/>
      </w:rPr>
    </w:lvl>
    <w:lvl w:ilvl="6" w:tplc="7A00F312" w:tentative="1">
      <w:start w:val="1"/>
      <w:numFmt w:val="bullet"/>
      <w:lvlText w:val="▪"/>
      <w:lvlJc w:val="left"/>
      <w:pPr>
        <w:tabs>
          <w:tab w:val="num" w:pos="5040"/>
        </w:tabs>
        <w:ind w:left="5040" w:hanging="360"/>
      </w:pPr>
      <w:rPr>
        <w:rFonts w:ascii="Calibri" w:hAnsi="Calibri" w:hint="default"/>
      </w:rPr>
    </w:lvl>
    <w:lvl w:ilvl="7" w:tplc="A9941D9A" w:tentative="1">
      <w:start w:val="1"/>
      <w:numFmt w:val="bullet"/>
      <w:lvlText w:val="▪"/>
      <w:lvlJc w:val="left"/>
      <w:pPr>
        <w:tabs>
          <w:tab w:val="num" w:pos="5760"/>
        </w:tabs>
        <w:ind w:left="5760" w:hanging="360"/>
      </w:pPr>
      <w:rPr>
        <w:rFonts w:ascii="Calibri" w:hAnsi="Calibri" w:hint="default"/>
      </w:rPr>
    </w:lvl>
    <w:lvl w:ilvl="8" w:tplc="0C56A96C"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604F0E60"/>
    <w:multiLevelType w:val="hybridMultilevel"/>
    <w:tmpl w:val="4512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000C9"/>
    <w:multiLevelType w:val="hybridMultilevel"/>
    <w:tmpl w:val="AF90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60B9A"/>
    <w:multiLevelType w:val="hybridMultilevel"/>
    <w:tmpl w:val="67CC895C"/>
    <w:lvl w:ilvl="0" w:tplc="16AE7E1C">
      <w:start w:val="1"/>
      <w:numFmt w:val="bullet"/>
      <w:lvlText w:val="▪"/>
      <w:lvlJc w:val="left"/>
      <w:pPr>
        <w:tabs>
          <w:tab w:val="num" w:pos="720"/>
        </w:tabs>
        <w:ind w:left="720" w:hanging="360"/>
      </w:pPr>
      <w:rPr>
        <w:rFonts w:ascii="Calibri" w:hAnsi="Calibri" w:hint="default"/>
      </w:rPr>
    </w:lvl>
    <w:lvl w:ilvl="1" w:tplc="76424D68" w:tentative="1">
      <w:start w:val="1"/>
      <w:numFmt w:val="bullet"/>
      <w:lvlText w:val="▪"/>
      <w:lvlJc w:val="left"/>
      <w:pPr>
        <w:tabs>
          <w:tab w:val="num" w:pos="1440"/>
        </w:tabs>
        <w:ind w:left="1440" w:hanging="360"/>
      </w:pPr>
      <w:rPr>
        <w:rFonts w:ascii="Calibri" w:hAnsi="Calibri" w:hint="default"/>
      </w:rPr>
    </w:lvl>
    <w:lvl w:ilvl="2" w:tplc="2494CF42" w:tentative="1">
      <w:start w:val="1"/>
      <w:numFmt w:val="bullet"/>
      <w:lvlText w:val="▪"/>
      <w:lvlJc w:val="left"/>
      <w:pPr>
        <w:tabs>
          <w:tab w:val="num" w:pos="2160"/>
        </w:tabs>
        <w:ind w:left="2160" w:hanging="360"/>
      </w:pPr>
      <w:rPr>
        <w:rFonts w:ascii="Calibri" w:hAnsi="Calibri" w:hint="default"/>
      </w:rPr>
    </w:lvl>
    <w:lvl w:ilvl="3" w:tplc="C4629BC2" w:tentative="1">
      <w:start w:val="1"/>
      <w:numFmt w:val="bullet"/>
      <w:lvlText w:val="▪"/>
      <w:lvlJc w:val="left"/>
      <w:pPr>
        <w:tabs>
          <w:tab w:val="num" w:pos="2880"/>
        </w:tabs>
        <w:ind w:left="2880" w:hanging="360"/>
      </w:pPr>
      <w:rPr>
        <w:rFonts w:ascii="Calibri" w:hAnsi="Calibri" w:hint="default"/>
      </w:rPr>
    </w:lvl>
    <w:lvl w:ilvl="4" w:tplc="020A7568" w:tentative="1">
      <w:start w:val="1"/>
      <w:numFmt w:val="bullet"/>
      <w:lvlText w:val="▪"/>
      <w:lvlJc w:val="left"/>
      <w:pPr>
        <w:tabs>
          <w:tab w:val="num" w:pos="3600"/>
        </w:tabs>
        <w:ind w:left="3600" w:hanging="360"/>
      </w:pPr>
      <w:rPr>
        <w:rFonts w:ascii="Calibri" w:hAnsi="Calibri" w:hint="default"/>
      </w:rPr>
    </w:lvl>
    <w:lvl w:ilvl="5" w:tplc="711826AA" w:tentative="1">
      <w:start w:val="1"/>
      <w:numFmt w:val="bullet"/>
      <w:lvlText w:val="▪"/>
      <w:lvlJc w:val="left"/>
      <w:pPr>
        <w:tabs>
          <w:tab w:val="num" w:pos="4320"/>
        </w:tabs>
        <w:ind w:left="4320" w:hanging="360"/>
      </w:pPr>
      <w:rPr>
        <w:rFonts w:ascii="Calibri" w:hAnsi="Calibri" w:hint="default"/>
      </w:rPr>
    </w:lvl>
    <w:lvl w:ilvl="6" w:tplc="BFE2C16A" w:tentative="1">
      <w:start w:val="1"/>
      <w:numFmt w:val="bullet"/>
      <w:lvlText w:val="▪"/>
      <w:lvlJc w:val="left"/>
      <w:pPr>
        <w:tabs>
          <w:tab w:val="num" w:pos="5040"/>
        </w:tabs>
        <w:ind w:left="5040" w:hanging="360"/>
      </w:pPr>
      <w:rPr>
        <w:rFonts w:ascii="Calibri" w:hAnsi="Calibri" w:hint="default"/>
      </w:rPr>
    </w:lvl>
    <w:lvl w:ilvl="7" w:tplc="AD0C40D6" w:tentative="1">
      <w:start w:val="1"/>
      <w:numFmt w:val="bullet"/>
      <w:lvlText w:val="▪"/>
      <w:lvlJc w:val="left"/>
      <w:pPr>
        <w:tabs>
          <w:tab w:val="num" w:pos="5760"/>
        </w:tabs>
        <w:ind w:left="5760" w:hanging="360"/>
      </w:pPr>
      <w:rPr>
        <w:rFonts w:ascii="Calibri" w:hAnsi="Calibri" w:hint="default"/>
      </w:rPr>
    </w:lvl>
    <w:lvl w:ilvl="8" w:tplc="D99CE910"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66FF1877"/>
    <w:multiLevelType w:val="multilevel"/>
    <w:tmpl w:val="5AF6E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AD529A8"/>
    <w:multiLevelType w:val="hybridMultilevel"/>
    <w:tmpl w:val="95C8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3A217D"/>
    <w:multiLevelType w:val="hybridMultilevel"/>
    <w:tmpl w:val="C9F8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A263BC"/>
    <w:multiLevelType w:val="hybridMultilevel"/>
    <w:tmpl w:val="36E8D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4B7C8F"/>
    <w:multiLevelType w:val="hybridMultilevel"/>
    <w:tmpl w:val="76541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1138C"/>
    <w:multiLevelType w:val="hybridMultilevel"/>
    <w:tmpl w:val="5AF6E5E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F43B66"/>
    <w:multiLevelType w:val="hybridMultilevel"/>
    <w:tmpl w:val="4DF068E8"/>
    <w:lvl w:ilvl="0" w:tplc="E0B4FE38">
      <w:start w:val="3"/>
      <w:numFmt w:val="bullet"/>
      <w:lvlText w:val="-"/>
      <w:lvlJc w:val="left"/>
      <w:pPr>
        <w:ind w:left="360" w:hanging="360"/>
      </w:pPr>
      <w:rPr>
        <w:rFonts w:ascii="Times New Roman" w:eastAsiaTheme="minorHAns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2"/>
  </w:num>
  <w:num w:numId="3">
    <w:abstractNumId w:val="34"/>
  </w:num>
  <w:num w:numId="4">
    <w:abstractNumId w:val="23"/>
  </w:num>
  <w:num w:numId="5">
    <w:abstractNumId w:val="12"/>
  </w:num>
  <w:num w:numId="6">
    <w:abstractNumId w:val="8"/>
  </w:num>
  <w:num w:numId="7">
    <w:abstractNumId w:val="7"/>
  </w:num>
  <w:num w:numId="8">
    <w:abstractNumId w:val="27"/>
  </w:num>
  <w:num w:numId="9">
    <w:abstractNumId w:val="20"/>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22"/>
  </w:num>
  <w:num w:numId="18">
    <w:abstractNumId w:val="22"/>
  </w:num>
  <w:num w:numId="19">
    <w:abstractNumId w:val="22"/>
  </w:num>
  <w:num w:numId="20">
    <w:abstractNumId w:val="25"/>
  </w:num>
  <w:num w:numId="21">
    <w:abstractNumId w:val="33"/>
  </w:num>
  <w:num w:numId="22">
    <w:abstractNumId w:val="29"/>
  </w:num>
  <w:num w:numId="23">
    <w:abstractNumId w:val="44"/>
  </w:num>
  <w:num w:numId="24">
    <w:abstractNumId w:val="39"/>
  </w:num>
  <w:num w:numId="25">
    <w:abstractNumId w:val="30"/>
  </w:num>
  <w:num w:numId="26">
    <w:abstractNumId w:val="35"/>
  </w:num>
  <w:num w:numId="27">
    <w:abstractNumId w:val="31"/>
  </w:num>
  <w:num w:numId="28">
    <w:abstractNumId w:val="38"/>
  </w:num>
  <w:num w:numId="29">
    <w:abstractNumId w:val="21"/>
  </w:num>
  <w:num w:numId="30">
    <w:abstractNumId w:val="14"/>
  </w:num>
  <w:num w:numId="31">
    <w:abstractNumId w:val="18"/>
  </w:num>
  <w:num w:numId="32">
    <w:abstractNumId w:val="32"/>
  </w:num>
  <w:num w:numId="33">
    <w:abstractNumId w:val="37"/>
  </w:num>
  <w:num w:numId="34">
    <w:abstractNumId w:val="17"/>
  </w:num>
  <w:num w:numId="35">
    <w:abstractNumId w:val="42"/>
  </w:num>
  <w:num w:numId="36">
    <w:abstractNumId w:val="9"/>
  </w:num>
  <w:num w:numId="37">
    <w:abstractNumId w:val="28"/>
  </w:num>
  <w:num w:numId="38">
    <w:abstractNumId w:val="19"/>
  </w:num>
  <w:num w:numId="39">
    <w:abstractNumId w:val="13"/>
  </w:num>
  <w:num w:numId="40">
    <w:abstractNumId w:val="10"/>
  </w:num>
  <w:num w:numId="41">
    <w:abstractNumId w:val="36"/>
  </w:num>
  <w:num w:numId="42">
    <w:abstractNumId w:val="24"/>
  </w:num>
  <w:num w:numId="43">
    <w:abstractNumId w:val="45"/>
  </w:num>
  <w:num w:numId="44">
    <w:abstractNumId w:val="41"/>
  </w:num>
  <w:num w:numId="45">
    <w:abstractNumId w:val="15"/>
  </w:num>
  <w:num w:numId="46">
    <w:abstractNumId w:val="43"/>
  </w:num>
  <w:num w:numId="47">
    <w:abstractNumId w:val="40"/>
  </w:num>
  <w:num w:numId="48">
    <w:abstractNumId w:val="16"/>
  </w:num>
  <w:num w:numId="4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06D"/>
    <w:rsid w:val="00000231"/>
    <w:rsid w:val="00001A63"/>
    <w:rsid w:val="00001C61"/>
    <w:rsid w:val="0000321E"/>
    <w:rsid w:val="00004533"/>
    <w:rsid w:val="00005022"/>
    <w:rsid w:val="000055D6"/>
    <w:rsid w:val="0000633C"/>
    <w:rsid w:val="00006588"/>
    <w:rsid w:val="00007561"/>
    <w:rsid w:val="000075CD"/>
    <w:rsid w:val="000076BB"/>
    <w:rsid w:val="0000770E"/>
    <w:rsid w:val="00007963"/>
    <w:rsid w:val="00011261"/>
    <w:rsid w:val="0001161E"/>
    <w:rsid w:val="00015D1D"/>
    <w:rsid w:val="00017131"/>
    <w:rsid w:val="000173FC"/>
    <w:rsid w:val="00017C31"/>
    <w:rsid w:val="000204DA"/>
    <w:rsid w:val="00020719"/>
    <w:rsid w:val="000207D2"/>
    <w:rsid w:val="00020F8B"/>
    <w:rsid w:val="000217CE"/>
    <w:rsid w:val="00021903"/>
    <w:rsid w:val="00021F8A"/>
    <w:rsid w:val="00023E52"/>
    <w:rsid w:val="00023FFE"/>
    <w:rsid w:val="000247D6"/>
    <w:rsid w:val="000249A9"/>
    <w:rsid w:val="00024CFF"/>
    <w:rsid w:val="00025EE6"/>
    <w:rsid w:val="00026E74"/>
    <w:rsid w:val="00030602"/>
    <w:rsid w:val="00031383"/>
    <w:rsid w:val="000322AF"/>
    <w:rsid w:val="00032559"/>
    <w:rsid w:val="000325C2"/>
    <w:rsid w:val="00033628"/>
    <w:rsid w:val="0003433B"/>
    <w:rsid w:val="00035113"/>
    <w:rsid w:val="000354F6"/>
    <w:rsid w:val="00036A4D"/>
    <w:rsid w:val="00041EC9"/>
    <w:rsid w:val="000427FA"/>
    <w:rsid w:val="000430D6"/>
    <w:rsid w:val="000436A9"/>
    <w:rsid w:val="00044460"/>
    <w:rsid w:val="0004741B"/>
    <w:rsid w:val="000545AE"/>
    <w:rsid w:val="00055318"/>
    <w:rsid w:val="0005581D"/>
    <w:rsid w:val="00055B8A"/>
    <w:rsid w:val="00055C3B"/>
    <w:rsid w:val="000562D5"/>
    <w:rsid w:val="0005660F"/>
    <w:rsid w:val="00056D4C"/>
    <w:rsid w:val="000574C4"/>
    <w:rsid w:val="000601A5"/>
    <w:rsid w:val="0006046E"/>
    <w:rsid w:val="000607CB"/>
    <w:rsid w:val="00061D71"/>
    <w:rsid w:val="00061DEC"/>
    <w:rsid w:val="00062BAF"/>
    <w:rsid w:val="000641E1"/>
    <w:rsid w:val="00064846"/>
    <w:rsid w:val="00064D4B"/>
    <w:rsid w:val="00064D52"/>
    <w:rsid w:val="00066589"/>
    <w:rsid w:val="00066DC3"/>
    <w:rsid w:val="00067584"/>
    <w:rsid w:val="00067B2C"/>
    <w:rsid w:val="00070091"/>
    <w:rsid w:val="000711B0"/>
    <w:rsid w:val="00071FF3"/>
    <w:rsid w:val="000721ED"/>
    <w:rsid w:val="00072481"/>
    <w:rsid w:val="000727ED"/>
    <w:rsid w:val="0007287F"/>
    <w:rsid w:val="00072BAC"/>
    <w:rsid w:val="00074FC3"/>
    <w:rsid w:val="00075C6C"/>
    <w:rsid w:val="00076769"/>
    <w:rsid w:val="00076CCF"/>
    <w:rsid w:val="00080450"/>
    <w:rsid w:val="00083660"/>
    <w:rsid w:val="0008384D"/>
    <w:rsid w:val="000844AB"/>
    <w:rsid w:val="00084EBB"/>
    <w:rsid w:val="00085D1D"/>
    <w:rsid w:val="00087A8F"/>
    <w:rsid w:val="00090BFE"/>
    <w:rsid w:val="00092650"/>
    <w:rsid w:val="00093688"/>
    <w:rsid w:val="000947B7"/>
    <w:rsid w:val="00094854"/>
    <w:rsid w:val="00094933"/>
    <w:rsid w:val="00094D0D"/>
    <w:rsid w:val="000A0B66"/>
    <w:rsid w:val="000A13E7"/>
    <w:rsid w:val="000A168A"/>
    <w:rsid w:val="000A16F7"/>
    <w:rsid w:val="000A3105"/>
    <w:rsid w:val="000A337E"/>
    <w:rsid w:val="000A3DAA"/>
    <w:rsid w:val="000A63B3"/>
    <w:rsid w:val="000A6CEC"/>
    <w:rsid w:val="000A7B61"/>
    <w:rsid w:val="000A7C0A"/>
    <w:rsid w:val="000A7C80"/>
    <w:rsid w:val="000B0772"/>
    <w:rsid w:val="000B0895"/>
    <w:rsid w:val="000B1231"/>
    <w:rsid w:val="000B1FC3"/>
    <w:rsid w:val="000B22AD"/>
    <w:rsid w:val="000B45D6"/>
    <w:rsid w:val="000B63A0"/>
    <w:rsid w:val="000C1081"/>
    <w:rsid w:val="000C137D"/>
    <w:rsid w:val="000C21E9"/>
    <w:rsid w:val="000C239C"/>
    <w:rsid w:val="000C2752"/>
    <w:rsid w:val="000C3C38"/>
    <w:rsid w:val="000C49E3"/>
    <w:rsid w:val="000C4D1E"/>
    <w:rsid w:val="000C51F7"/>
    <w:rsid w:val="000C6233"/>
    <w:rsid w:val="000C6A67"/>
    <w:rsid w:val="000C6B63"/>
    <w:rsid w:val="000C6C0D"/>
    <w:rsid w:val="000C707E"/>
    <w:rsid w:val="000D2FE5"/>
    <w:rsid w:val="000D5BF0"/>
    <w:rsid w:val="000D6087"/>
    <w:rsid w:val="000D6D17"/>
    <w:rsid w:val="000D6E95"/>
    <w:rsid w:val="000D71B7"/>
    <w:rsid w:val="000E0B13"/>
    <w:rsid w:val="000E0DA4"/>
    <w:rsid w:val="000E2943"/>
    <w:rsid w:val="000E41C4"/>
    <w:rsid w:val="000E526C"/>
    <w:rsid w:val="000E554A"/>
    <w:rsid w:val="000E5A6D"/>
    <w:rsid w:val="000E5EF7"/>
    <w:rsid w:val="000E6E79"/>
    <w:rsid w:val="000F04B3"/>
    <w:rsid w:val="000F17D6"/>
    <w:rsid w:val="000F2737"/>
    <w:rsid w:val="000F29BA"/>
    <w:rsid w:val="000F2BC4"/>
    <w:rsid w:val="000F2DF6"/>
    <w:rsid w:val="000F2E84"/>
    <w:rsid w:val="000F3498"/>
    <w:rsid w:val="000F582E"/>
    <w:rsid w:val="000F65A4"/>
    <w:rsid w:val="000F6A7A"/>
    <w:rsid w:val="000F781E"/>
    <w:rsid w:val="00100722"/>
    <w:rsid w:val="0010115D"/>
    <w:rsid w:val="001033FE"/>
    <w:rsid w:val="00103626"/>
    <w:rsid w:val="00103EA5"/>
    <w:rsid w:val="00104D1E"/>
    <w:rsid w:val="0010732D"/>
    <w:rsid w:val="00107536"/>
    <w:rsid w:val="0010782D"/>
    <w:rsid w:val="00107EE4"/>
    <w:rsid w:val="001106E9"/>
    <w:rsid w:val="00111961"/>
    <w:rsid w:val="00111FB2"/>
    <w:rsid w:val="001122FA"/>
    <w:rsid w:val="00112456"/>
    <w:rsid w:val="00112818"/>
    <w:rsid w:val="00112C80"/>
    <w:rsid w:val="001136F4"/>
    <w:rsid w:val="00114238"/>
    <w:rsid w:val="00115BED"/>
    <w:rsid w:val="00116E59"/>
    <w:rsid w:val="00117BCB"/>
    <w:rsid w:val="001203A3"/>
    <w:rsid w:val="00121500"/>
    <w:rsid w:val="00123136"/>
    <w:rsid w:val="001236D9"/>
    <w:rsid w:val="00124492"/>
    <w:rsid w:val="001244D0"/>
    <w:rsid w:val="001245D6"/>
    <w:rsid w:val="00124BE1"/>
    <w:rsid w:val="00125806"/>
    <w:rsid w:val="00125C5C"/>
    <w:rsid w:val="001278E3"/>
    <w:rsid w:val="00130FA4"/>
    <w:rsid w:val="0013213E"/>
    <w:rsid w:val="00132F89"/>
    <w:rsid w:val="00133A7B"/>
    <w:rsid w:val="00133FB3"/>
    <w:rsid w:val="001344FB"/>
    <w:rsid w:val="00135532"/>
    <w:rsid w:val="00135FC8"/>
    <w:rsid w:val="00136E3C"/>
    <w:rsid w:val="0013763A"/>
    <w:rsid w:val="0014193E"/>
    <w:rsid w:val="00142D58"/>
    <w:rsid w:val="001433F2"/>
    <w:rsid w:val="00143EAD"/>
    <w:rsid w:val="0014403D"/>
    <w:rsid w:val="00144DCE"/>
    <w:rsid w:val="00146E7F"/>
    <w:rsid w:val="00147019"/>
    <w:rsid w:val="001478A2"/>
    <w:rsid w:val="00147A51"/>
    <w:rsid w:val="00147CDD"/>
    <w:rsid w:val="00150AF9"/>
    <w:rsid w:val="0015125D"/>
    <w:rsid w:val="0015150E"/>
    <w:rsid w:val="00151583"/>
    <w:rsid w:val="0015254C"/>
    <w:rsid w:val="00152A28"/>
    <w:rsid w:val="00153CC0"/>
    <w:rsid w:val="00153F04"/>
    <w:rsid w:val="001545ED"/>
    <w:rsid w:val="00155218"/>
    <w:rsid w:val="0015567E"/>
    <w:rsid w:val="001568E1"/>
    <w:rsid w:val="00156CBA"/>
    <w:rsid w:val="00157D64"/>
    <w:rsid w:val="001605AB"/>
    <w:rsid w:val="00160D9D"/>
    <w:rsid w:val="0016165C"/>
    <w:rsid w:val="001621CD"/>
    <w:rsid w:val="00162871"/>
    <w:rsid w:val="00162D96"/>
    <w:rsid w:val="001646CF"/>
    <w:rsid w:val="00164980"/>
    <w:rsid w:val="001653D4"/>
    <w:rsid w:val="00165E9E"/>
    <w:rsid w:val="001660A1"/>
    <w:rsid w:val="0016612E"/>
    <w:rsid w:val="001665C1"/>
    <w:rsid w:val="0016730D"/>
    <w:rsid w:val="001701EA"/>
    <w:rsid w:val="00170E87"/>
    <w:rsid w:val="00171D59"/>
    <w:rsid w:val="00172242"/>
    <w:rsid w:val="00172D04"/>
    <w:rsid w:val="00174AB4"/>
    <w:rsid w:val="00175588"/>
    <w:rsid w:val="0017599D"/>
    <w:rsid w:val="001760E6"/>
    <w:rsid w:val="00177327"/>
    <w:rsid w:val="001805F1"/>
    <w:rsid w:val="00180FA4"/>
    <w:rsid w:val="00181F6C"/>
    <w:rsid w:val="001820C8"/>
    <w:rsid w:val="001843E4"/>
    <w:rsid w:val="001848A3"/>
    <w:rsid w:val="00186F12"/>
    <w:rsid w:val="00186FE1"/>
    <w:rsid w:val="00187B72"/>
    <w:rsid w:val="00193324"/>
    <w:rsid w:val="00193652"/>
    <w:rsid w:val="001937E4"/>
    <w:rsid w:val="0019384B"/>
    <w:rsid w:val="0019403C"/>
    <w:rsid w:val="0019484E"/>
    <w:rsid w:val="00195331"/>
    <w:rsid w:val="00195657"/>
    <w:rsid w:val="00195D42"/>
    <w:rsid w:val="00196558"/>
    <w:rsid w:val="001A0A2F"/>
    <w:rsid w:val="001A2685"/>
    <w:rsid w:val="001A2EC6"/>
    <w:rsid w:val="001A3833"/>
    <w:rsid w:val="001A5353"/>
    <w:rsid w:val="001A5C4C"/>
    <w:rsid w:val="001A6A82"/>
    <w:rsid w:val="001A6AF5"/>
    <w:rsid w:val="001A70A1"/>
    <w:rsid w:val="001A7752"/>
    <w:rsid w:val="001A7BCB"/>
    <w:rsid w:val="001B1B8E"/>
    <w:rsid w:val="001B2A18"/>
    <w:rsid w:val="001B3C8C"/>
    <w:rsid w:val="001B5300"/>
    <w:rsid w:val="001B761A"/>
    <w:rsid w:val="001B7711"/>
    <w:rsid w:val="001C1D1B"/>
    <w:rsid w:val="001C31EB"/>
    <w:rsid w:val="001C3265"/>
    <w:rsid w:val="001C3D90"/>
    <w:rsid w:val="001C51BD"/>
    <w:rsid w:val="001C6FBD"/>
    <w:rsid w:val="001C77C9"/>
    <w:rsid w:val="001D0CD8"/>
    <w:rsid w:val="001D0E39"/>
    <w:rsid w:val="001D2B22"/>
    <w:rsid w:val="001D3526"/>
    <w:rsid w:val="001D3C59"/>
    <w:rsid w:val="001D5389"/>
    <w:rsid w:val="001D5D4F"/>
    <w:rsid w:val="001D628C"/>
    <w:rsid w:val="001D75A0"/>
    <w:rsid w:val="001D7902"/>
    <w:rsid w:val="001E0604"/>
    <w:rsid w:val="001E0684"/>
    <w:rsid w:val="001E142D"/>
    <w:rsid w:val="001E1BD6"/>
    <w:rsid w:val="001E2193"/>
    <w:rsid w:val="001E2735"/>
    <w:rsid w:val="001E35C0"/>
    <w:rsid w:val="001E3E69"/>
    <w:rsid w:val="001E4098"/>
    <w:rsid w:val="001E4412"/>
    <w:rsid w:val="001E4F56"/>
    <w:rsid w:val="001E5438"/>
    <w:rsid w:val="001E558D"/>
    <w:rsid w:val="001E55A4"/>
    <w:rsid w:val="001E58E1"/>
    <w:rsid w:val="001E66BB"/>
    <w:rsid w:val="001E66D3"/>
    <w:rsid w:val="001E6871"/>
    <w:rsid w:val="001F1246"/>
    <w:rsid w:val="001F12EA"/>
    <w:rsid w:val="001F1A11"/>
    <w:rsid w:val="001F1A36"/>
    <w:rsid w:val="001F1C59"/>
    <w:rsid w:val="001F24DE"/>
    <w:rsid w:val="001F272D"/>
    <w:rsid w:val="001F2924"/>
    <w:rsid w:val="001F2E3B"/>
    <w:rsid w:val="001F447E"/>
    <w:rsid w:val="001F592D"/>
    <w:rsid w:val="001F5FD6"/>
    <w:rsid w:val="001F6987"/>
    <w:rsid w:val="00200449"/>
    <w:rsid w:val="00200606"/>
    <w:rsid w:val="00201563"/>
    <w:rsid w:val="002028DB"/>
    <w:rsid w:val="00203C5A"/>
    <w:rsid w:val="00205631"/>
    <w:rsid w:val="0020601C"/>
    <w:rsid w:val="002061B5"/>
    <w:rsid w:val="00207589"/>
    <w:rsid w:val="00207665"/>
    <w:rsid w:val="00207F8B"/>
    <w:rsid w:val="0021066A"/>
    <w:rsid w:val="00210F88"/>
    <w:rsid w:val="0021214D"/>
    <w:rsid w:val="002132A9"/>
    <w:rsid w:val="00213311"/>
    <w:rsid w:val="0021405F"/>
    <w:rsid w:val="00214C16"/>
    <w:rsid w:val="00214FD6"/>
    <w:rsid w:val="002169FA"/>
    <w:rsid w:val="00217224"/>
    <w:rsid w:val="002201B8"/>
    <w:rsid w:val="002209E1"/>
    <w:rsid w:val="002222A7"/>
    <w:rsid w:val="00223216"/>
    <w:rsid w:val="00225112"/>
    <w:rsid w:val="00225946"/>
    <w:rsid w:val="00225995"/>
    <w:rsid w:val="002266AA"/>
    <w:rsid w:val="00226C1F"/>
    <w:rsid w:val="00230257"/>
    <w:rsid w:val="00230784"/>
    <w:rsid w:val="00230973"/>
    <w:rsid w:val="00230C7D"/>
    <w:rsid w:val="00231194"/>
    <w:rsid w:val="0023172F"/>
    <w:rsid w:val="002334EC"/>
    <w:rsid w:val="00233750"/>
    <w:rsid w:val="00234D40"/>
    <w:rsid w:val="00234D88"/>
    <w:rsid w:val="002403AB"/>
    <w:rsid w:val="00241C99"/>
    <w:rsid w:val="00242523"/>
    <w:rsid w:val="00243927"/>
    <w:rsid w:val="00243CC0"/>
    <w:rsid w:val="002449C4"/>
    <w:rsid w:val="00245939"/>
    <w:rsid w:val="00245DFA"/>
    <w:rsid w:val="002463E7"/>
    <w:rsid w:val="00246C68"/>
    <w:rsid w:val="00246EA6"/>
    <w:rsid w:val="002508F9"/>
    <w:rsid w:val="00251AC1"/>
    <w:rsid w:val="0025290E"/>
    <w:rsid w:val="00254A05"/>
    <w:rsid w:val="002575D8"/>
    <w:rsid w:val="00257F57"/>
    <w:rsid w:val="00261069"/>
    <w:rsid w:val="00262B90"/>
    <w:rsid w:val="002631B7"/>
    <w:rsid w:val="00264458"/>
    <w:rsid w:val="00264A55"/>
    <w:rsid w:val="0026545D"/>
    <w:rsid w:val="00265599"/>
    <w:rsid w:val="0026763F"/>
    <w:rsid w:val="00267F99"/>
    <w:rsid w:val="00270B7D"/>
    <w:rsid w:val="00270BD4"/>
    <w:rsid w:val="0027158B"/>
    <w:rsid w:val="002727EE"/>
    <w:rsid w:val="00272BF2"/>
    <w:rsid w:val="002743D1"/>
    <w:rsid w:val="00274A9C"/>
    <w:rsid w:val="00274AEA"/>
    <w:rsid w:val="00274F46"/>
    <w:rsid w:val="002750D4"/>
    <w:rsid w:val="002755BA"/>
    <w:rsid w:val="00277EB9"/>
    <w:rsid w:val="00281759"/>
    <w:rsid w:val="00281CB6"/>
    <w:rsid w:val="00281E6C"/>
    <w:rsid w:val="00282176"/>
    <w:rsid w:val="00282A6F"/>
    <w:rsid w:val="00282B1C"/>
    <w:rsid w:val="00283607"/>
    <w:rsid w:val="00283D75"/>
    <w:rsid w:val="00284441"/>
    <w:rsid w:val="0028451B"/>
    <w:rsid w:val="002863DB"/>
    <w:rsid w:val="002873AE"/>
    <w:rsid w:val="0029200B"/>
    <w:rsid w:val="00292C11"/>
    <w:rsid w:val="00293BD6"/>
    <w:rsid w:val="00294847"/>
    <w:rsid w:val="00295045"/>
    <w:rsid w:val="0029640D"/>
    <w:rsid w:val="002A05A5"/>
    <w:rsid w:val="002A1711"/>
    <w:rsid w:val="002A1EB3"/>
    <w:rsid w:val="002A234A"/>
    <w:rsid w:val="002A290F"/>
    <w:rsid w:val="002A3464"/>
    <w:rsid w:val="002A350C"/>
    <w:rsid w:val="002A36F4"/>
    <w:rsid w:val="002A390E"/>
    <w:rsid w:val="002A4307"/>
    <w:rsid w:val="002A48B4"/>
    <w:rsid w:val="002A4B7B"/>
    <w:rsid w:val="002A4FF7"/>
    <w:rsid w:val="002A519E"/>
    <w:rsid w:val="002A57F3"/>
    <w:rsid w:val="002A5E04"/>
    <w:rsid w:val="002A6DCC"/>
    <w:rsid w:val="002A71F2"/>
    <w:rsid w:val="002B07B7"/>
    <w:rsid w:val="002B09EB"/>
    <w:rsid w:val="002B09F9"/>
    <w:rsid w:val="002B0D72"/>
    <w:rsid w:val="002B1504"/>
    <w:rsid w:val="002B1553"/>
    <w:rsid w:val="002B2041"/>
    <w:rsid w:val="002B2419"/>
    <w:rsid w:val="002B2A6B"/>
    <w:rsid w:val="002B3161"/>
    <w:rsid w:val="002B37A0"/>
    <w:rsid w:val="002B4751"/>
    <w:rsid w:val="002B4D55"/>
    <w:rsid w:val="002B5819"/>
    <w:rsid w:val="002B5B13"/>
    <w:rsid w:val="002B5C5B"/>
    <w:rsid w:val="002B6821"/>
    <w:rsid w:val="002C0736"/>
    <w:rsid w:val="002C2016"/>
    <w:rsid w:val="002C28F4"/>
    <w:rsid w:val="002C2AAF"/>
    <w:rsid w:val="002C468D"/>
    <w:rsid w:val="002C4D9E"/>
    <w:rsid w:val="002C4F02"/>
    <w:rsid w:val="002C522E"/>
    <w:rsid w:val="002C5922"/>
    <w:rsid w:val="002D0676"/>
    <w:rsid w:val="002D1B56"/>
    <w:rsid w:val="002D251E"/>
    <w:rsid w:val="002D2A56"/>
    <w:rsid w:val="002D36FD"/>
    <w:rsid w:val="002D524F"/>
    <w:rsid w:val="002D53F9"/>
    <w:rsid w:val="002D5F92"/>
    <w:rsid w:val="002D6F7B"/>
    <w:rsid w:val="002E00E3"/>
    <w:rsid w:val="002E0C2C"/>
    <w:rsid w:val="002E17CE"/>
    <w:rsid w:val="002E2133"/>
    <w:rsid w:val="002E2692"/>
    <w:rsid w:val="002E3A17"/>
    <w:rsid w:val="002E432D"/>
    <w:rsid w:val="002E458D"/>
    <w:rsid w:val="002E4703"/>
    <w:rsid w:val="002E5174"/>
    <w:rsid w:val="002E5D40"/>
    <w:rsid w:val="002E6534"/>
    <w:rsid w:val="002E6A70"/>
    <w:rsid w:val="002E7164"/>
    <w:rsid w:val="002F12E9"/>
    <w:rsid w:val="002F16CD"/>
    <w:rsid w:val="002F178E"/>
    <w:rsid w:val="002F27A2"/>
    <w:rsid w:val="002F4ED4"/>
    <w:rsid w:val="002F7951"/>
    <w:rsid w:val="002F7F51"/>
    <w:rsid w:val="00301626"/>
    <w:rsid w:val="00301E5C"/>
    <w:rsid w:val="00302456"/>
    <w:rsid w:val="00302580"/>
    <w:rsid w:val="003027E0"/>
    <w:rsid w:val="0030284E"/>
    <w:rsid w:val="00305042"/>
    <w:rsid w:val="00305BEE"/>
    <w:rsid w:val="00305CD8"/>
    <w:rsid w:val="00305DA9"/>
    <w:rsid w:val="00306072"/>
    <w:rsid w:val="003060F9"/>
    <w:rsid w:val="00306478"/>
    <w:rsid w:val="00306971"/>
    <w:rsid w:val="00306F56"/>
    <w:rsid w:val="00307353"/>
    <w:rsid w:val="00310610"/>
    <w:rsid w:val="00310ABA"/>
    <w:rsid w:val="003110D4"/>
    <w:rsid w:val="0031179A"/>
    <w:rsid w:val="00311FF7"/>
    <w:rsid w:val="0031295A"/>
    <w:rsid w:val="003129F9"/>
    <w:rsid w:val="00312B73"/>
    <w:rsid w:val="00313913"/>
    <w:rsid w:val="0031533B"/>
    <w:rsid w:val="003153A2"/>
    <w:rsid w:val="00316D05"/>
    <w:rsid w:val="0031712F"/>
    <w:rsid w:val="00317A5C"/>
    <w:rsid w:val="00320359"/>
    <w:rsid w:val="00320931"/>
    <w:rsid w:val="00320F3B"/>
    <w:rsid w:val="003226EB"/>
    <w:rsid w:val="00322B87"/>
    <w:rsid w:val="003238B1"/>
    <w:rsid w:val="003248CB"/>
    <w:rsid w:val="00324FAF"/>
    <w:rsid w:val="00325885"/>
    <w:rsid w:val="00326176"/>
    <w:rsid w:val="003268C0"/>
    <w:rsid w:val="003303AB"/>
    <w:rsid w:val="0033193E"/>
    <w:rsid w:val="00332B32"/>
    <w:rsid w:val="00332CC5"/>
    <w:rsid w:val="00333578"/>
    <w:rsid w:val="003346E1"/>
    <w:rsid w:val="003347B6"/>
    <w:rsid w:val="003351D3"/>
    <w:rsid w:val="003359F0"/>
    <w:rsid w:val="00336158"/>
    <w:rsid w:val="00336413"/>
    <w:rsid w:val="0033706D"/>
    <w:rsid w:val="003376D7"/>
    <w:rsid w:val="00337756"/>
    <w:rsid w:val="00340D02"/>
    <w:rsid w:val="0034306F"/>
    <w:rsid w:val="00343BBE"/>
    <w:rsid w:val="003442B0"/>
    <w:rsid w:val="003443F3"/>
    <w:rsid w:val="00344A00"/>
    <w:rsid w:val="00345215"/>
    <w:rsid w:val="003453B2"/>
    <w:rsid w:val="003459F2"/>
    <w:rsid w:val="003462A3"/>
    <w:rsid w:val="0034634C"/>
    <w:rsid w:val="0034676A"/>
    <w:rsid w:val="0035091E"/>
    <w:rsid w:val="00350A1D"/>
    <w:rsid w:val="00350B8B"/>
    <w:rsid w:val="00351443"/>
    <w:rsid w:val="00351B52"/>
    <w:rsid w:val="0035265F"/>
    <w:rsid w:val="00352CB7"/>
    <w:rsid w:val="00352E24"/>
    <w:rsid w:val="003549F8"/>
    <w:rsid w:val="0035614C"/>
    <w:rsid w:val="00357289"/>
    <w:rsid w:val="003600C5"/>
    <w:rsid w:val="00361504"/>
    <w:rsid w:val="003618C2"/>
    <w:rsid w:val="00361D06"/>
    <w:rsid w:val="00363295"/>
    <w:rsid w:val="00365195"/>
    <w:rsid w:val="00365741"/>
    <w:rsid w:val="00365841"/>
    <w:rsid w:val="00367AB6"/>
    <w:rsid w:val="00370A46"/>
    <w:rsid w:val="00370C03"/>
    <w:rsid w:val="00370F48"/>
    <w:rsid w:val="0037192E"/>
    <w:rsid w:val="00372842"/>
    <w:rsid w:val="00372A26"/>
    <w:rsid w:val="00372E2A"/>
    <w:rsid w:val="00372EA1"/>
    <w:rsid w:val="00373A8B"/>
    <w:rsid w:val="00374031"/>
    <w:rsid w:val="00374EC7"/>
    <w:rsid w:val="003752F1"/>
    <w:rsid w:val="003758EB"/>
    <w:rsid w:val="00375D16"/>
    <w:rsid w:val="00375DE8"/>
    <w:rsid w:val="00375FCD"/>
    <w:rsid w:val="00377726"/>
    <w:rsid w:val="0038074D"/>
    <w:rsid w:val="0038168D"/>
    <w:rsid w:val="00381E7C"/>
    <w:rsid w:val="003826E1"/>
    <w:rsid w:val="00382FE9"/>
    <w:rsid w:val="003830F1"/>
    <w:rsid w:val="003832BA"/>
    <w:rsid w:val="0038439A"/>
    <w:rsid w:val="00384C73"/>
    <w:rsid w:val="00387BA0"/>
    <w:rsid w:val="00387E73"/>
    <w:rsid w:val="003921D2"/>
    <w:rsid w:val="003934A0"/>
    <w:rsid w:val="0039560A"/>
    <w:rsid w:val="0039582A"/>
    <w:rsid w:val="00396AE7"/>
    <w:rsid w:val="003973BA"/>
    <w:rsid w:val="003975BC"/>
    <w:rsid w:val="003A0886"/>
    <w:rsid w:val="003A1F6A"/>
    <w:rsid w:val="003A20A1"/>
    <w:rsid w:val="003A33A3"/>
    <w:rsid w:val="003A370A"/>
    <w:rsid w:val="003A41DB"/>
    <w:rsid w:val="003A44D4"/>
    <w:rsid w:val="003A6667"/>
    <w:rsid w:val="003A6C5F"/>
    <w:rsid w:val="003A7E85"/>
    <w:rsid w:val="003B0886"/>
    <w:rsid w:val="003B0B75"/>
    <w:rsid w:val="003B12D8"/>
    <w:rsid w:val="003B2374"/>
    <w:rsid w:val="003B2E4C"/>
    <w:rsid w:val="003B372F"/>
    <w:rsid w:val="003B3994"/>
    <w:rsid w:val="003B3E69"/>
    <w:rsid w:val="003B6276"/>
    <w:rsid w:val="003B652B"/>
    <w:rsid w:val="003B72F9"/>
    <w:rsid w:val="003B7570"/>
    <w:rsid w:val="003B7C3B"/>
    <w:rsid w:val="003C1186"/>
    <w:rsid w:val="003C1F76"/>
    <w:rsid w:val="003C3388"/>
    <w:rsid w:val="003C4D9E"/>
    <w:rsid w:val="003C5547"/>
    <w:rsid w:val="003C5D2B"/>
    <w:rsid w:val="003C6172"/>
    <w:rsid w:val="003C635B"/>
    <w:rsid w:val="003C646A"/>
    <w:rsid w:val="003D06BC"/>
    <w:rsid w:val="003D38FD"/>
    <w:rsid w:val="003D42BF"/>
    <w:rsid w:val="003D4620"/>
    <w:rsid w:val="003D4AAC"/>
    <w:rsid w:val="003D632D"/>
    <w:rsid w:val="003D65C0"/>
    <w:rsid w:val="003D6DF7"/>
    <w:rsid w:val="003D7C00"/>
    <w:rsid w:val="003D7D72"/>
    <w:rsid w:val="003D7DEF"/>
    <w:rsid w:val="003E0221"/>
    <w:rsid w:val="003E2899"/>
    <w:rsid w:val="003E3F62"/>
    <w:rsid w:val="003E4437"/>
    <w:rsid w:val="003E5DBF"/>
    <w:rsid w:val="003F0BDB"/>
    <w:rsid w:val="003F0D4C"/>
    <w:rsid w:val="003F2D1A"/>
    <w:rsid w:val="003F3196"/>
    <w:rsid w:val="003F3C43"/>
    <w:rsid w:val="003F4CCB"/>
    <w:rsid w:val="003F4D46"/>
    <w:rsid w:val="003F6917"/>
    <w:rsid w:val="003F6B68"/>
    <w:rsid w:val="00401F63"/>
    <w:rsid w:val="0040228C"/>
    <w:rsid w:val="00402E56"/>
    <w:rsid w:val="0040354E"/>
    <w:rsid w:val="00403DC0"/>
    <w:rsid w:val="004049DF"/>
    <w:rsid w:val="00404F1C"/>
    <w:rsid w:val="004056A4"/>
    <w:rsid w:val="0040626A"/>
    <w:rsid w:val="00411E59"/>
    <w:rsid w:val="00412972"/>
    <w:rsid w:val="00412D75"/>
    <w:rsid w:val="00413391"/>
    <w:rsid w:val="00414199"/>
    <w:rsid w:val="004144C8"/>
    <w:rsid w:val="00414F84"/>
    <w:rsid w:val="004162BC"/>
    <w:rsid w:val="00417733"/>
    <w:rsid w:val="00417CB6"/>
    <w:rsid w:val="00420DEC"/>
    <w:rsid w:val="00423219"/>
    <w:rsid w:val="004241B0"/>
    <w:rsid w:val="0042437F"/>
    <w:rsid w:val="0042439F"/>
    <w:rsid w:val="00425F86"/>
    <w:rsid w:val="004269DB"/>
    <w:rsid w:val="00427A04"/>
    <w:rsid w:val="004305D0"/>
    <w:rsid w:val="0043178C"/>
    <w:rsid w:val="00431FCA"/>
    <w:rsid w:val="004332D1"/>
    <w:rsid w:val="00436C5D"/>
    <w:rsid w:val="00436C87"/>
    <w:rsid w:val="004371AF"/>
    <w:rsid w:val="004405B1"/>
    <w:rsid w:val="00441252"/>
    <w:rsid w:val="0044150E"/>
    <w:rsid w:val="00441832"/>
    <w:rsid w:val="00442159"/>
    <w:rsid w:val="004424A8"/>
    <w:rsid w:val="00442999"/>
    <w:rsid w:val="00443189"/>
    <w:rsid w:val="00444DA5"/>
    <w:rsid w:val="00447069"/>
    <w:rsid w:val="0044720F"/>
    <w:rsid w:val="004473E8"/>
    <w:rsid w:val="0044768F"/>
    <w:rsid w:val="004504A7"/>
    <w:rsid w:val="00450F4F"/>
    <w:rsid w:val="00451E5F"/>
    <w:rsid w:val="00453073"/>
    <w:rsid w:val="0045314F"/>
    <w:rsid w:val="00455438"/>
    <w:rsid w:val="004568A7"/>
    <w:rsid w:val="0045763A"/>
    <w:rsid w:val="0046186B"/>
    <w:rsid w:val="00461B4B"/>
    <w:rsid w:val="00461BE0"/>
    <w:rsid w:val="0046209C"/>
    <w:rsid w:val="004626E5"/>
    <w:rsid w:val="004628D2"/>
    <w:rsid w:val="004629E5"/>
    <w:rsid w:val="00462EEB"/>
    <w:rsid w:val="004631FA"/>
    <w:rsid w:val="004640D5"/>
    <w:rsid w:val="00465D7C"/>
    <w:rsid w:val="00466E56"/>
    <w:rsid w:val="0046799A"/>
    <w:rsid w:val="00467A21"/>
    <w:rsid w:val="00470682"/>
    <w:rsid w:val="00470E69"/>
    <w:rsid w:val="00471860"/>
    <w:rsid w:val="00471887"/>
    <w:rsid w:val="00471BFE"/>
    <w:rsid w:val="00471F32"/>
    <w:rsid w:val="004727D7"/>
    <w:rsid w:val="00474DB4"/>
    <w:rsid w:val="0047582F"/>
    <w:rsid w:val="004766A1"/>
    <w:rsid w:val="00476A33"/>
    <w:rsid w:val="0047708C"/>
    <w:rsid w:val="00483E5E"/>
    <w:rsid w:val="00483FEE"/>
    <w:rsid w:val="00485A7B"/>
    <w:rsid w:val="00486181"/>
    <w:rsid w:val="00486261"/>
    <w:rsid w:val="004862EF"/>
    <w:rsid w:val="0048797B"/>
    <w:rsid w:val="00490156"/>
    <w:rsid w:val="004911DB"/>
    <w:rsid w:val="00491330"/>
    <w:rsid w:val="00491772"/>
    <w:rsid w:val="00491F91"/>
    <w:rsid w:val="004924A5"/>
    <w:rsid w:val="00493FF0"/>
    <w:rsid w:val="00495930"/>
    <w:rsid w:val="00495BBE"/>
    <w:rsid w:val="0049629D"/>
    <w:rsid w:val="004968DE"/>
    <w:rsid w:val="004A13D2"/>
    <w:rsid w:val="004A140E"/>
    <w:rsid w:val="004A19A2"/>
    <w:rsid w:val="004A1B24"/>
    <w:rsid w:val="004A233B"/>
    <w:rsid w:val="004A31A5"/>
    <w:rsid w:val="004A45FA"/>
    <w:rsid w:val="004A4699"/>
    <w:rsid w:val="004A4A35"/>
    <w:rsid w:val="004A4BA6"/>
    <w:rsid w:val="004A65FF"/>
    <w:rsid w:val="004A6E5B"/>
    <w:rsid w:val="004B02A9"/>
    <w:rsid w:val="004B09E8"/>
    <w:rsid w:val="004B1AE6"/>
    <w:rsid w:val="004B1BBC"/>
    <w:rsid w:val="004B223C"/>
    <w:rsid w:val="004B28E0"/>
    <w:rsid w:val="004B57FE"/>
    <w:rsid w:val="004B634B"/>
    <w:rsid w:val="004B737E"/>
    <w:rsid w:val="004B7F89"/>
    <w:rsid w:val="004C0264"/>
    <w:rsid w:val="004C158C"/>
    <w:rsid w:val="004C27D7"/>
    <w:rsid w:val="004C36B0"/>
    <w:rsid w:val="004C4556"/>
    <w:rsid w:val="004C69BE"/>
    <w:rsid w:val="004C70C8"/>
    <w:rsid w:val="004C766E"/>
    <w:rsid w:val="004C7E1B"/>
    <w:rsid w:val="004D1A28"/>
    <w:rsid w:val="004D1D8D"/>
    <w:rsid w:val="004D2F36"/>
    <w:rsid w:val="004D3566"/>
    <w:rsid w:val="004D3A14"/>
    <w:rsid w:val="004D4178"/>
    <w:rsid w:val="004D4583"/>
    <w:rsid w:val="004D4AAD"/>
    <w:rsid w:val="004D4FDE"/>
    <w:rsid w:val="004D57BE"/>
    <w:rsid w:val="004D5BC9"/>
    <w:rsid w:val="004D5CCA"/>
    <w:rsid w:val="004D6F9D"/>
    <w:rsid w:val="004D7AD6"/>
    <w:rsid w:val="004D7FCD"/>
    <w:rsid w:val="004E0FAB"/>
    <w:rsid w:val="004E1491"/>
    <w:rsid w:val="004E1A8D"/>
    <w:rsid w:val="004E3222"/>
    <w:rsid w:val="004E3F0B"/>
    <w:rsid w:val="004E46AA"/>
    <w:rsid w:val="004E4E70"/>
    <w:rsid w:val="004E5862"/>
    <w:rsid w:val="004E656B"/>
    <w:rsid w:val="004E6A70"/>
    <w:rsid w:val="004E7600"/>
    <w:rsid w:val="004E7920"/>
    <w:rsid w:val="004F05ED"/>
    <w:rsid w:val="004F0856"/>
    <w:rsid w:val="004F0BC2"/>
    <w:rsid w:val="004F1D6B"/>
    <w:rsid w:val="004F33DB"/>
    <w:rsid w:val="004F34DF"/>
    <w:rsid w:val="004F3BAF"/>
    <w:rsid w:val="004F3E42"/>
    <w:rsid w:val="004F487A"/>
    <w:rsid w:val="004F68DE"/>
    <w:rsid w:val="004F693C"/>
    <w:rsid w:val="004F6E2A"/>
    <w:rsid w:val="004F7800"/>
    <w:rsid w:val="004F7E9A"/>
    <w:rsid w:val="00500BFE"/>
    <w:rsid w:val="005019B2"/>
    <w:rsid w:val="00502917"/>
    <w:rsid w:val="00503173"/>
    <w:rsid w:val="0050353B"/>
    <w:rsid w:val="0050375E"/>
    <w:rsid w:val="0050413D"/>
    <w:rsid w:val="00504C32"/>
    <w:rsid w:val="00505C81"/>
    <w:rsid w:val="0050657C"/>
    <w:rsid w:val="00507B85"/>
    <w:rsid w:val="00510638"/>
    <w:rsid w:val="005130EC"/>
    <w:rsid w:val="005133CC"/>
    <w:rsid w:val="00513D81"/>
    <w:rsid w:val="00514099"/>
    <w:rsid w:val="00514EB3"/>
    <w:rsid w:val="005160F0"/>
    <w:rsid w:val="00517391"/>
    <w:rsid w:val="005201D1"/>
    <w:rsid w:val="00520D0C"/>
    <w:rsid w:val="005215B1"/>
    <w:rsid w:val="00521AA4"/>
    <w:rsid w:val="00523474"/>
    <w:rsid w:val="005240AA"/>
    <w:rsid w:val="00525413"/>
    <w:rsid w:val="005275E3"/>
    <w:rsid w:val="005306A2"/>
    <w:rsid w:val="00530F43"/>
    <w:rsid w:val="0053181C"/>
    <w:rsid w:val="00531D95"/>
    <w:rsid w:val="005325C4"/>
    <w:rsid w:val="0053297D"/>
    <w:rsid w:val="0053372E"/>
    <w:rsid w:val="005342AF"/>
    <w:rsid w:val="00535BA8"/>
    <w:rsid w:val="0053601C"/>
    <w:rsid w:val="005363FC"/>
    <w:rsid w:val="00536950"/>
    <w:rsid w:val="00537766"/>
    <w:rsid w:val="00537B32"/>
    <w:rsid w:val="00540147"/>
    <w:rsid w:val="00542BDB"/>
    <w:rsid w:val="005430A9"/>
    <w:rsid w:val="00543622"/>
    <w:rsid w:val="005436A4"/>
    <w:rsid w:val="00543D61"/>
    <w:rsid w:val="00544101"/>
    <w:rsid w:val="00545914"/>
    <w:rsid w:val="00546731"/>
    <w:rsid w:val="00546E03"/>
    <w:rsid w:val="005471A0"/>
    <w:rsid w:val="00551E71"/>
    <w:rsid w:val="00552C38"/>
    <w:rsid w:val="00552D3B"/>
    <w:rsid w:val="00554119"/>
    <w:rsid w:val="00554BC8"/>
    <w:rsid w:val="00554DC4"/>
    <w:rsid w:val="00554F01"/>
    <w:rsid w:val="0055543D"/>
    <w:rsid w:val="005569FF"/>
    <w:rsid w:val="005579A2"/>
    <w:rsid w:val="00560BE4"/>
    <w:rsid w:val="00561079"/>
    <w:rsid w:val="0056168E"/>
    <w:rsid w:val="00562975"/>
    <w:rsid w:val="00562B25"/>
    <w:rsid w:val="00562F48"/>
    <w:rsid w:val="00563F6B"/>
    <w:rsid w:val="005657B6"/>
    <w:rsid w:val="00565B27"/>
    <w:rsid w:val="005662FB"/>
    <w:rsid w:val="00566B02"/>
    <w:rsid w:val="0056713B"/>
    <w:rsid w:val="00567753"/>
    <w:rsid w:val="0057023B"/>
    <w:rsid w:val="00570D85"/>
    <w:rsid w:val="00571EB0"/>
    <w:rsid w:val="005725DA"/>
    <w:rsid w:val="00572CDC"/>
    <w:rsid w:val="0057507D"/>
    <w:rsid w:val="0057521B"/>
    <w:rsid w:val="005753A0"/>
    <w:rsid w:val="00575FE0"/>
    <w:rsid w:val="005801D5"/>
    <w:rsid w:val="0058057E"/>
    <w:rsid w:val="00581B3D"/>
    <w:rsid w:val="00581C5C"/>
    <w:rsid w:val="00582682"/>
    <w:rsid w:val="0058351C"/>
    <w:rsid w:val="00583A74"/>
    <w:rsid w:val="005850E0"/>
    <w:rsid w:val="00585B2F"/>
    <w:rsid w:val="00587AEF"/>
    <w:rsid w:val="005918CE"/>
    <w:rsid w:val="00591CCD"/>
    <w:rsid w:val="0059232F"/>
    <w:rsid w:val="005939A1"/>
    <w:rsid w:val="00593F2C"/>
    <w:rsid w:val="00594C8E"/>
    <w:rsid w:val="00597EFC"/>
    <w:rsid w:val="005A16EF"/>
    <w:rsid w:val="005A290F"/>
    <w:rsid w:val="005A3AAF"/>
    <w:rsid w:val="005A488E"/>
    <w:rsid w:val="005A5A2A"/>
    <w:rsid w:val="005A6A21"/>
    <w:rsid w:val="005A7C11"/>
    <w:rsid w:val="005A7C56"/>
    <w:rsid w:val="005B04C4"/>
    <w:rsid w:val="005B0AC3"/>
    <w:rsid w:val="005B1628"/>
    <w:rsid w:val="005B1B01"/>
    <w:rsid w:val="005B3D9A"/>
    <w:rsid w:val="005B4853"/>
    <w:rsid w:val="005B4A2A"/>
    <w:rsid w:val="005B6A22"/>
    <w:rsid w:val="005B6C5C"/>
    <w:rsid w:val="005B6D53"/>
    <w:rsid w:val="005B7376"/>
    <w:rsid w:val="005C03DB"/>
    <w:rsid w:val="005C2186"/>
    <w:rsid w:val="005C76C7"/>
    <w:rsid w:val="005D0C3C"/>
    <w:rsid w:val="005D3FFD"/>
    <w:rsid w:val="005D4B04"/>
    <w:rsid w:val="005D5D8B"/>
    <w:rsid w:val="005D6902"/>
    <w:rsid w:val="005D6FA4"/>
    <w:rsid w:val="005D7802"/>
    <w:rsid w:val="005E08C4"/>
    <w:rsid w:val="005E09EB"/>
    <w:rsid w:val="005E0B1D"/>
    <w:rsid w:val="005E0C1A"/>
    <w:rsid w:val="005E0D50"/>
    <w:rsid w:val="005E1918"/>
    <w:rsid w:val="005E2E29"/>
    <w:rsid w:val="005E365D"/>
    <w:rsid w:val="005E4283"/>
    <w:rsid w:val="005E475A"/>
    <w:rsid w:val="005F1913"/>
    <w:rsid w:val="005F44EF"/>
    <w:rsid w:val="005F4635"/>
    <w:rsid w:val="005F4C1D"/>
    <w:rsid w:val="005F4FDD"/>
    <w:rsid w:val="005F50F2"/>
    <w:rsid w:val="005F62B0"/>
    <w:rsid w:val="00600FC7"/>
    <w:rsid w:val="00604D0A"/>
    <w:rsid w:val="00605EB2"/>
    <w:rsid w:val="006062A9"/>
    <w:rsid w:val="00607C66"/>
    <w:rsid w:val="00610A97"/>
    <w:rsid w:val="00610C60"/>
    <w:rsid w:val="00610F2B"/>
    <w:rsid w:val="006120D8"/>
    <w:rsid w:val="00613411"/>
    <w:rsid w:val="00613648"/>
    <w:rsid w:val="006136E6"/>
    <w:rsid w:val="00614443"/>
    <w:rsid w:val="00614686"/>
    <w:rsid w:val="0061545A"/>
    <w:rsid w:val="00616AF9"/>
    <w:rsid w:val="006177F0"/>
    <w:rsid w:val="00620C51"/>
    <w:rsid w:val="006215BC"/>
    <w:rsid w:val="006225D2"/>
    <w:rsid w:val="00623186"/>
    <w:rsid w:val="006232D1"/>
    <w:rsid w:val="0062388C"/>
    <w:rsid w:val="00623F26"/>
    <w:rsid w:val="00625D84"/>
    <w:rsid w:val="00626169"/>
    <w:rsid w:val="0062621A"/>
    <w:rsid w:val="00627D0E"/>
    <w:rsid w:val="00630163"/>
    <w:rsid w:val="00631715"/>
    <w:rsid w:val="006319B8"/>
    <w:rsid w:val="006325A4"/>
    <w:rsid w:val="00632773"/>
    <w:rsid w:val="00634290"/>
    <w:rsid w:val="0063527D"/>
    <w:rsid w:val="006357AE"/>
    <w:rsid w:val="00636596"/>
    <w:rsid w:val="0063701A"/>
    <w:rsid w:val="006376F9"/>
    <w:rsid w:val="00637B9E"/>
    <w:rsid w:val="00640278"/>
    <w:rsid w:val="006407D4"/>
    <w:rsid w:val="00641CB9"/>
    <w:rsid w:val="00642FBA"/>
    <w:rsid w:val="00642FF5"/>
    <w:rsid w:val="006432BB"/>
    <w:rsid w:val="00644B76"/>
    <w:rsid w:val="006469A4"/>
    <w:rsid w:val="00646D7A"/>
    <w:rsid w:val="00647B4E"/>
    <w:rsid w:val="00647D4E"/>
    <w:rsid w:val="006500F6"/>
    <w:rsid w:val="0065178A"/>
    <w:rsid w:val="0065263D"/>
    <w:rsid w:val="006526FD"/>
    <w:rsid w:val="00653249"/>
    <w:rsid w:val="00655DF2"/>
    <w:rsid w:val="006569E0"/>
    <w:rsid w:val="00656A6F"/>
    <w:rsid w:val="00656D6E"/>
    <w:rsid w:val="006577D9"/>
    <w:rsid w:val="006578D6"/>
    <w:rsid w:val="006603FC"/>
    <w:rsid w:val="0066051C"/>
    <w:rsid w:val="00660619"/>
    <w:rsid w:val="006610FA"/>
    <w:rsid w:val="00662052"/>
    <w:rsid w:val="006623D4"/>
    <w:rsid w:val="006634AE"/>
    <w:rsid w:val="00663FE0"/>
    <w:rsid w:val="00665D6C"/>
    <w:rsid w:val="0066620B"/>
    <w:rsid w:val="00666371"/>
    <w:rsid w:val="0066641F"/>
    <w:rsid w:val="0067149E"/>
    <w:rsid w:val="00671E0A"/>
    <w:rsid w:val="00673470"/>
    <w:rsid w:val="006744F6"/>
    <w:rsid w:val="006760DB"/>
    <w:rsid w:val="00677686"/>
    <w:rsid w:val="0068046B"/>
    <w:rsid w:val="006817A2"/>
    <w:rsid w:val="00682807"/>
    <w:rsid w:val="006828B4"/>
    <w:rsid w:val="00682B77"/>
    <w:rsid w:val="00683AFF"/>
    <w:rsid w:val="00684A81"/>
    <w:rsid w:val="00684FE7"/>
    <w:rsid w:val="00685F22"/>
    <w:rsid w:val="00690CF8"/>
    <w:rsid w:val="006913FB"/>
    <w:rsid w:val="00691674"/>
    <w:rsid w:val="006937A9"/>
    <w:rsid w:val="00694007"/>
    <w:rsid w:val="0069421D"/>
    <w:rsid w:val="006942BF"/>
    <w:rsid w:val="0069500B"/>
    <w:rsid w:val="00695327"/>
    <w:rsid w:val="006966DB"/>
    <w:rsid w:val="00696966"/>
    <w:rsid w:val="00696B51"/>
    <w:rsid w:val="00696D9E"/>
    <w:rsid w:val="00696DF5"/>
    <w:rsid w:val="0069780A"/>
    <w:rsid w:val="006A1C1E"/>
    <w:rsid w:val="006A210F"/>
    <w:rsid w:val="006A218B"/>
    <w:rsid w:val="006A29E0"/>
    <w:rsid w:val="006A3C9D"/>
    <w:rsid w:val="006A3E16"/>
    <w:rsid w:val="006A424C"/>
    <w:rsid w:val="006A42D3"/>
    <w:rsid w:val="006A4FBE"/>
    <w:rsid w:val="006A5FA0"/>
    <w:rsid w:val="006A65BA"/>
    <w:rsid w:val="006A73BF"/>
    <w:rsid w:val="006A7592"/>
    <w:rsid w:val="006A78DF"/>
    <w:rsid w:val="006B0302"/>
    <w:rsid w:val="006B1914"/>
    <w:rsid w:val="006B1D26"/>
    <w:rsid w:val="006B1EBF"/>
    <w:rsid w:val="006B25FB"/>
    <w:rsid w:val="006B2C12"/>
    <w:rsid w:val="006B3A81"/>
    <w:rsid w:val="006B41A4"/>
    <w:rsid w:val="006B4B32"/>
    <w:rsid w:val="006B5883"/>
    <w:rsid w:val="006B6598"/>
    <w:rsid w:val="006B7239"/>
    <w:rsid w:val="006B73BA"/>
    <w:rsid w:val="006B77C7"/>
    <w:rsid w:val="006C02D7"/>
    <w:rsid w:val="006C084D"/>
    <w:rsid w:val="006C1265"/>
    <w:rsid w:val="006C13C1"/>
    <w:rsid w:val="006C191E"/>
    <w:rsid w:val="006C22B6"/>
    <w:rsid w:val="006C316B"/>
    <w:rsid w:val="006C343A"/>
    <w:rsid w:val="006C3B41"/>
    <w:rsid w:val="006C5F4F"/>
    <w:rsid w:val="006C7F71"/>
    <w:rsid w:val="006D0FAA"/>
    <w:rsid w:val="006D13B0"/>
    <w:rsid w:val="006D17DC"/>
    <w:rsid w:val="006D246E"/>
    <w:rsid w:val="006D298D"/>
    <w:rsid w:val="006D39B9"/>
    <w:rsid w:val="006D44F0"/>
    <w:rsid w:val="006D56AD"/>
    <w:rsid w:val="006D5BA7"/>
    <w:rsid w:val="006D5C0A"/>
    <w:rsid w:val="006D7134"/>
    <w:rsid w:val="006E1A14"/>
    <w:rsid w:val="006E1C37"/>
    <w:rsid w:val="006E2500"/>
    <w:rsid w:val="006E29E6"/>
    <w:rsid w:val="006E3579"/>
    <w:rsid w:val="006E3932"/>
    <w:rsid w:val="006E3E0F"/>
    <w:rsid w:val="006E40F6"/>
    <w:rsid w:val="006E4238"/>
    <w:rsid w:val="006E4E24"/>
    <w:rsid w:val="006E533A"/>
    <w:rsid w:val="006E5748"/>
    <w:rsid w:val="006E6068"/>
    <w:rsid w:val="006E7293"/>
    <w:rsid w:val="006E7AB6"/>
    <w:rsid w:val="006F29AF"/>
    <w:rsid w:val="006F2BE3"/>
    <w:rsid w:val="006F32BC"/>
    <w:rsid w:val="006F33E0"/>
    <w:rsid w:val="006F3B8A"/>
    <w:rsid w:val="006F4BFE"/>
    <w:rsid w:val="006F4CFC"/>
    <w:rsid w:val="006F64CB"/>
    <w:rsid w:val="007000AC"/>
    <w:rsid w:val="00700875"/>
    <w:rsid w:val="00700C98"/>
    <w:rsid w:val="0070247B"/>
    <w:rsid w:val="00702D5C"/>
    <w:rsid w:val="00703750"/>
    <w:rsid w:val="007041AD"/>
    <w:rsid w:val="0070427D"/>
    <w:rsid w:val="00704AEF"/>
    <w:rsid w:val="0070518A"/>
    <w:rsid w:val="007059F4"/>
    <w:rsid w:val="00705C6F"/>
    <w:rsid w:val="00711326"/>
    <w:rsid w:val="0071255B"/>
    <w:rsid w:val="00712E0D"/>
    <w:rsid w:val="0071391A"/>
    <w:rsid w:val="00714456"/>
    <w:rsid w:val="007175AD"/>
    <w:rsid w:val="00717CCD"/>
    <w:rsid w:val="007206E9"/>
    <w:rsid w:val="00720A34"/>
    <w:rsid w:val="00721623"/>
    <w:rsid w:val="00721F6C"/>
    <w:rsid w:val="007230D1"/>
    <w:rsid w:val="007236F8"/>
    <w:rsid w:val="0072388B"/>
    <w:rsid w:val="007254B2"/>
    <w:rsid w:val="0072784A"/>
    <w:rsid w:val="0072796F"/>
    <w:rsid w:val="00727FF4"/>
    <w:rsid w:val="00732790"/>
    <w:rsid w:val="00732B7A"/>
    <w:rsid w:val="00732F30"/>
    <w:rsid w:val="007346E2"/>
    <w:rsid w:val="00737891"/>
    <w:rsid w:val="00737C30"/>
    <w:rsid w:val="00741A07"/>
    <w:rsid w:val="00741BC5"/>
    <w:rsid w:val="00741E3F"/>
    <w:rsid w:val="00741E79"/>
    <w:rsid w:val="00742EF7"/>
    <w:rsid w:val="00743DCD"/>
    <w:rsid w:val="007440C6"/>
    <w:rsid w:val="00744FCC"/>
    <w:rsid w:val="00746902"/>
    <w:rsid w:val="00746CEE"/>
    <w:rsid w:val="007471E3"/>
    <w:rsid w:val="007478B5"/>
    <w:rsid w:val="007479E3"/>
    <w:rsid w:val="00747AC1"/>
    <w:rsid w:val="00750440"/>
    <w:rsid w:val="00750957"/>
    <w:rsid w:val="0075138A"/>
    <w:rsid w:val="007516D7"/>
    <w:rsid w:val="00752327"/>
    <w:rsid w:val="00753DC4"/>
    <w:rsid w:val="00756F68"/>
    <w:rsid w:val="007604A5"/>
    <w:rsid w:val="00760C0D"/>
    <w:rsid w:val="00760C24"/>
    <w:rsid w:val="007619A2"/>
    <w:rsid w:val="00763A01"/>
    <w:rsid w:val="00764CBA"/>
    <w:rsid w:val="00764CC9"/>
    <w:rsid w:val="0076533A"/>
    <w:rsid w:val="0076581D"/>
    <w:rsid w:val="007668C1"/>
    <w:rsid w:val="00767E01"/>
    <w:rsid w:val="00771607"/>
    <w:rsid w:val="007719B3"/>
    <w:rsid w:val="00772FAA"/>
    <w:rsid w:val="007732AE"/>
    <w:rsid w:val="0077339D"/>
    <w:rsid w:val="007739D8"/>
    <w:rsid w:val="00773B26"/>
    <w:rsid w:val="007745B7"/>
    <w:rsid w:val="00775253"/>
    <w:rsid w:val="0077700B"/>
    <w:rsid w:val="007801EE"/>
    <w:rsid w:val="00780CBC"/>
    <w:rsid w:val="007818F7"/>
    <w:rsid w:val="00781CCC"/>
    <w:rsid w:val="00781EE4"/>
    <w:rsid w:val="0078223D"/>
    <w:rsid w:val="00782C32"/>
    <w:rsid w:val="00783026"/>
    <w:rsid w:val="00783282"/>
    <w:rsid w:val="00785957"/>
    <w:rsid w:val="007918F8"/>
    <w:rsid w:val="00791C04"/>
    <w:rsid w:val="00792576"/>
    <w:rsid w:val="0079259E"/>
    <w:rsid w:val="0079277F"/>
    <w:rsid w:val="00792AAC"/>
    <w:rsid w:val="00792C35"/>
    <w:rsid w:val="00792DA6"/>
    <w:rsid w:val="00793201"/>
    <w:rsid w:val="007935DE"/>
    <w:rsid w:val="00794FA9"/>
    <w:rsid w:val="007A0A31"/>
    <w:rsid w:val="007A0EA6"/>
    <w:rsid w:val="007A11BF"/>
    <w:rsid w:val="007A2BB9"/>
    <w:rsid w:val="007A2CF2"/>
    <w:rsid w:val="007A3A23"/>
    <w:rsid w:val="007A5370"/>
    <w:rsid w:val="007A5CF1"/>
    <w:rsid w:val="007A68B4"/>
    <w:rsid w:val="007A72CA"/>
    <w:rsid w:val="007B1838"/>
    <w:rsid w:val="007B1CBC"/>
    <w:rsid w:val="007B28EB"/>
    <w:rsid w:val="007B41BC"/>
    <w:rsid w:val="007B4254"/>
    <w:rsid w:val="007B498E"/>
    <w:rsid w:val="007B5207"/>
    <w:rsid w:val="007B6224"/>
    <w:rsid w:val="007B66E0"/>
    <w:rsid w:val="007B6A17"/>
    <w:rsid w:val="007B6E8A"/>
    <w:rsid w:val="007B726D"/>
    <w:rsid w:val="007C127D"/>
    <w:rsid w:val="007C173B"/>
    <w:rsid w:val="007C1C6D"/>
    <w:rsid w:val="007C25DA"/>
    <w:rsid w:val="007C3292"/>
    <w:rsid w:val="007C378B"/>
    <w:rsid w:val="007C3C5E"/>
    <w:rsid w:val="007C5264"/>
    <w:rsid w:val="007C54D9"/>
    <w:rsid w:val="007C5D0C"/>
    <w:rsid w:val="007C6FB3"/>
    <w:rsid w:val="007C7623"/>
    <w:rsid w:val="007D13BF"/>
    <w:rsid w:val="007D382C"/>
    <w:rsid w:val="007D470F"/>
    <w:rsid w:val="007D593F"/>
    <w:rsid w:val="007D69BA"/>
    <w:rsid w:val="007D6C83"/>
    <w:rsid w:val="007E1720"/>
    <w:rsid w:val="007E272E"/>
    <w:rsid w:val="007E28D4"/>
    <w:rsid w:val="007E2E1D"/>
    <w:rsid w:val="007E5055"/>
    <w:rsid w:val="007E5960"/>
    <w:rsid w:val="007E5DCF"/>
    <w:rsid w:val="007E5E8A"/>
    <w:rsid w:val="007F2EDB"/>
    <w:rsid w:val="007F334C"/>
    <w:rsid w:val="00800F93"/>
    <w:rsid w:val="00802222"/>
    <w:rsid w:val="00803E97"/>
    <w:rsid w:val="0080489E"/>
    <w:rsid w:val="0080763C"/>
    <w:rsid w:val="00810BAD"/>
    <w:rsid w:val="00810F5B"/>
    <w:rsid w:val="00811283"/>
    <w:rsid w:val="008116D0"/>
    <w:rsid w:val="00811702"/>
    <w:rsid w:val="0081228E"/>
    <w:rsid w:val="00812812"/>
    <w:rsid w:val="008148CE"/>
    <w:rsid w:val="008163D4"/>
    <w:rsid w:val="00816699"/>
    <w:rsid w:val="00816B3D"/>
    <w:rsid w:val="00816EC3"/>
    <w:rsid w:val="00817BA7"/>
    <w:rsid w:val="00821346"/>
    <w:rsid w:val="00821538"/>
    <w:rsid w:val="00821E24"/>
    <w:rsid w:val="00822063"/>
    <w:rsid w:val="00822214"/>
    <w:rsid w:val="00822DFB"/>
    <w:rsid w:val="00823C08"/>
    <w:rsid w:val="00823C39"/>
    <w:rsid w:val="008248D8"/>
    <w:rsid w:val="008251FB"/>
    <w:rsid w:val="008262C4"/>
    <w:rsid w:val="00830592"/>
    <w:rsid w:val="00830812"/>
    <w:rsid w:val="00830B7D"/>
    <w:rsid w:val="00832015"/>
    <w:rsid w:val="00832191"/>
    <w:rsid w:val="008324AB"/>
    <w:rsid w:val="00834343"/>
    <w:rsid w:val="00835111"/>
    <w:rsid w:val="008374DF"/>
    <w:rsid w:val="0083751B"/>
    <w:rsid w:val="0083791B"/>
    <w:rsid w:val="00837E81"/>
    <w:rsid w:val="0084075C"/>
    <w:rsid w:val="0084127C"/>
    <w:rsid w:val="0084170D"/>
    <w:rsid w:val="00841FF7"/>
    <w:rsid w:val="0084237C"/>
    <w:rsid w:val="00842DBB"/>
    <w:rsid w:val="00843161"/>
    <w:rsid w:val="00843894"/>
    <w:rsid w:val="0084655D"/>
    <w:rsid w:val="00850926"/>
    <w:rsid w:val="00851118"/>
    <w:rsid w:val="00851AAE"/>
    <w:rsid w:val="0085249A"/>
    <w:rsid w:val="00853D84"/>
    <w:rsid w:val="0085485E"/>
    <w:rsid w:val="00854B12"/>
    <w:rsid w:val="00854B3C"/>
    <w:rsid w:val="00854FBF"/>
    <w:rsid w:val="008554BA"/>
    <w:rsid w:val="0085611C"/>
    <w:rsid w:val="00856312"/>
    <w:rsid w:val="00856B0F"/>
    <w:rsid w:val="00862410"/>
    <w:rsid w:val="00863E6A"/>
    <w:rsid w:val="0086457E"/>
    <w:rsid w:val="00865FAC"/>
    <w:rsid w:val="008661D3"/>
    <w:rsid w:val="00866D58"/>
    <w:rsid w:val="00867FA3"/>
    <w:rsid w:val="00871454"/>
    <w:rsid w:val="00871A46"/>
    <w:rsid w:val="008723BC"/>
    <w:rsid w:val="00872688"/>
    <w:rsid w:val="00874278"/>
    <w:rsid w:val="0087468D"/>
    <w:rsid w:val="00874A54"/>
    <w:rsid w:val="00874D20"/>
    <w:rsid w:val="00874DAC"/>
    <w:rsid w:val="00875A22"/>
    <w:rsid w:val="008762DE"/>
    <w:rsid w:val="00880812"/>
    <w:rsid w:val="00880D5C"/>
    <w:rsid w:val="00880F39"/>
    <w:rsid w:val="00882B44"/>
    <w:rsid w:val="0088327F"/>
    <w:rsid w:val="00883EF2"/>
    <w:rsid w:val="00885075"/>
    <w:rsid w:val="008854BA"/>
    <w:rsid w:val="00885AB4"/>
    <w:rsid w:val="00887086"/>
    <w:rsid w:val="008904E0"/>
    <w:rsid w:val="0089089F"/>
    <w:rsid w:val="0089167F"/>
    <w:rsid w:val="00892216"/>
    <w:rsid w:val="00893309"/>
    <w:rsid w:val="008934F3"/>
    <w:rsid w:val="00893D5F"/>
    <w:rsid w:val="0089450D"/>
    <w:rsid w:val="008961DC"/>
    <w:rsid w:val="0089653C"/>
    <w:rsid w:val="00897A09"/>
    <w:rsid w:val="008A0050"/>
    <w:rsid w:val="008A09E8"/>
    <w:rsid w:val="008A159B"/>
    <w:rsid w:val="008A1D19"/>
    <w:rsid w:val="008A28BF"/>
    <w:rsid w:val="008A2C89"/>
    <w:rsid w:val="008A2D81"/>
    <w:rsid w:val="008A3CEE"/>
    <w:rsid w:val="008A3D41"/>
    <w:rsid w:val="008A4179"/>
    <w:rsid w:val="008A456A"/>
    <w:rsid w:val="008A515A"/>
    <w:rsid w:val="008A5931"/>
    <w:rsid w:val="008A605F"/>
    <w:rsid w:val="008A7ED7"/>
    <w:rsid w:val="008B035E"/>
    <w:rsid w:val="008B0807"/>
    <w:rsid w:val="008B1997"/>
    <w:rsid w:val="008B1B1B"/>
    <w:rsid w:val="008B1D5C"/>
    <w:rsid w:val="008B233E"/>
    <w:rsid w:val="008B2D63"/>
    <w:rsid w:val="008B3A51"/>
    <w:rsid w:val="008B3F33"/>
    <w:rsid w:val="008B4290"/>
    <w:rsid w:val="008B4BFB"/>
    <w:rsid w:val="008B5BB1"/>
    <w:rsid w:val="008B651A"/>
    <w:rsid w:val="008B7633"/>
    <w:rsid w:val="008B777D"/>
    <w:rsid w:val="008B7CA7"/>
    <w:rsid w:val="008C00C0"/>
    <w:rsid w:val="008C0174"/>
    <w:rsid w:val="008C0ED7"/>
    <w:rsid w:val="008C204A"/>
    <w:rsid w:val="008C2302"/>
    <w:rsid w:val="008C47A6"/>
    <w:rsid w:val="008C60DC"/>
    <w:rsid w:val="008C64D0"/>
    <w:rsid w:val="008C75F8"/>
    <w:rsid w:val="008C7668"/>
    <w:rsid w:val="008D0A8B"/>
    <w:rsid w:val="008D0F42"/>
    <w:rsid w:val="008D1573"/>
    <w:rsid w:val="008D18D7"/>
    <w:rsid w:val="008D1BDF"/>
    <w:rsid w:val="008D35F3"/>
    <w:rsid w:val="008D38A7"/>
    <w:rsid w:val="008D3F8A"/>
    <w:rsid w:val="008D4D4D"/>
    <w:rsid w:val="008D4D97"/>
    <w:rsid w:val="008D52C8"/>
    <w:rsid w:val="008D55B9"/>
    <w:rsid w:val="008D5B85"/>
    <w:rsid w:val="008D5F49"/>
    <w:rsid w:val="008D7288"/>
    <w:rsid w:val="008D76D2"/>
    <w:rsid w:val="008E2B21"/>
    <w:rsid w:val="008E34A8"/>
    <w:rsid w:val="008E372C"/>
    <w:rsid w:val="008E41CB"/>
    <w:rsid w:val="008E492C"/>
    <w:rsid w:val="008E4A55"/>
    <w:rsid w:val="008E5757"/>
    <w:rsid w:val="008E6365"/>
    <w:rsid w:val="008E6627"/>
    <w:rsid w:val="008E675B"/>
    <w:rsid w:val="008E6F48"/>
    <w:rsid w:val="008E78EB"/>
    <w:rsid w:val="008F1168"/>
    <w:rsid w:val="008F1846"/>
    <w:rsid w:val="008F24FD"/>
    <w:rsid w:val="008F52C7"/>
    <w:rsid w:val="008F58F1"/>
    <w:rsid w:val="00900264"/>
    <w:rsid w:val="009006CD"/>
    <w:rsid w:val="0090075A"/>
    <w:rsid w:val="0090119A"/>
    <w:rsid w:val="00901429"/>
    <w:rsid w:val="009022B5"/>
    <w:rsid w:val="0090292A"/>
    <w:rsid w:val="0090349D"/>
    <w:rsid w:val="00903887"/>
    <w:rsid w:val="00903943"/>
    <w:rsid w:val="00903D48"/>
    <w:rsid w:val="00904823"/>
    <w:rsid w:val="00905EEC"/>
    <w:rsid w:val="00906C5E"/>
    <w:rsid w:val="009123B1"/>
    <w:rsid w:val="00912401"/>
    <w:rsid w:val="00912414"/>
    <w:rsid w:val="00912E4E"/>
    <w:rsid w:val="0091342C"/>
    <w:rsid w:val="00914DFA"/>
    <w:rsid w:val="00915926"/>
    <w:rsid w:val="009163BB"/>
    <w:rsid w:val="00916AC6"/>
    <w:rsid w:val="00916D96"/>
    <w:rsid w:val="00916E03"/>
    <w:rsid w:val="009170B9"/>
    <w:rsid w:val="00921441"/>
    <w:rsid w:val="00921579"/>
    <w:rsid w:val="00922156"/>
    <w:rsid w:val="009229AF"/>
    <w:rsid w:val="009275D8"/>
    <w:rsid w:val="00930B1F"/>
    <w:rsid w:val="0093235D"/>
    <w:rsid w:val="009323CC"/>
    <w:rsid w:val="009325FF"/>
    <w:rsid w:val="0093389C"/>
    <w:rsid w:val="00937BC2"/>
    <w:rsid w:val="009425A2"/>
    <w:rsid w:val="0094276A"/>
    <w:rsid w:val="00944BB1"/>
    <w:rsid w:val="00945A0C"/>
    <w:rsid w:val="00946A49"/>
    <w:rsid w:val="00947B1C"/>
    <w:rsid w:val="00947B21"/>
    <w:rsid w:val="009500D2"/>
    <w:rsid w:val="00950628"/>
    <w:rsid w:val="0095099E"/>
    <w:rsid w:val="009517EC"/>
    <w:rsid w:val="00951A41"/>
    <w:rsid w:val="00952B49"/>
    <w:rsid w:val="00953859"/>
    <w:rsid w:val="00955B13"/>
    <w:rsid w:val="00955CFD"/>
    <w:rsid w:val="00956375"/>
    <w:rsid w:val="00956711"/>
    <w:rsid w:val="0096004B"/>
    <w:rsid w:val="00960B1C"/>
    <w:rsid w:val="00960F17"/>
    <w:rsid w:val="00960F3A"/>
    <w:rsid w:val="009623E1"/>
    <w:rsid w:val="009626B3"/>
    <w:rsid w:val="00962FEA"/>
    <w:rsid w:val="00963284"/>
    <w:rsid w:val="0096329F"/>
    <w:rsid w:val="00963BE6"/>
    <w:rsid w:val="00964532"/>
    <w:rsid w:val="00964571"/>
    <w:rsid w:val="0096466A"/>
    <w:rsid w:val="00964C88"/>
    <w:rsid w:val="009667F2"/>
    <w:rsid w:val="00967BE5"/>
    <w:rsid w:val="00967D24"/>
    <w:rsid w:val="009707AD"/>
    <w:rsid w:val="00971188"/>
    <w:rsid w:val="0097166D"/>
    <w:rsid w:val="00973B63"/>
    <w:rsid w:val="00973E91"/>
    <w:rsid w:val="00974180"/>
    <w:rsid w:val="009748FB"/>
    <w:rsid w:val="00974A2E"/>
    <w:rsid w:val="00975AC1"/>
    <w:rsid w:val="00975E24"/>
    <w:rsid w:val="00977898"/>
    <w:rsid w:val="00981096"/>
    <w:rsid w:val="0098164B"/>
    <w:rsid w:val="00981BA6"/>
    <w:rsid w:val="00981DD2"/>
    <w:rsid w:val="00982A3D"/>
    <w:rsid w:val="00983592"/>
    <w:rsid w:val="00984255"/>
    <w:rsid w:val="00985537"/>
    <w:rsid w:val="00990083"/>
    <w:rsid w:val="00993C80"/>
    <w:rsid w:val="009956F9"/>
    <w:rsid w:val="00995E7E"/>
    <w:rsid w:val="00996ED5"/>
    <w:rsid w:val="00996FE8"/>
    <w:rsid w:val="00997D19"/>
    <w:rsid w:val="009A243D"/>
    <w:rsid w:val="009A2CC3"/>
    <w:rsid w:val="009A380C"/>
    <w:rsid w:val="009A3AB7"/>
    <w:rsid w:val="009A42D0"/>
    <w:rsid w:val="009A50F0"/>
    <w:rsid w:val="009A62FD"/>
    <w:rsid w:val="009A7906"/>
    <w:rsid w:val="009B0371"/>
    <w:rsid w:val="009B1CE6"/>
    <w:rsid w:val="009B1EA2"/>
    <w:rsid w:val="009B1EEC"/>
    <w:rsid w:val="009B26CF"/>
    <w:rsid w:val="009B30A8"/>
    <w:rsid w:val="009B5692"/>
    <w:rsid w:val="009B5BF0"/>
    <w:rsid w:val="009B5DC0"/>
    <w:rsid w:val="009B63AF"/>
    <w:rsid w:val="009B6E56"/>
    <w:rsid w:val="009B7153"/>
    <w:rsid w:val="009B793F"/>
    <w:rsid w:val="009B7EA2"/>
    <w:rsid w:val="009C0347"/>
    <w:rsid w:val="009C16F1"/>
    <w:rsid w:val="009C19DD"/>
    <w:rsid w:val="009C32F8"/>
    <w:rsid w:val="009C4A7C"/>
    <w:rsid w:val="009C549B"/>
    <w:rsid w:val="009C6780"/>
    <w:rsid w:val="009C7533"/>
    <w:rsid w:val="009D02E6"/>
    <w:rsid w:val="009D10FE"/>
    <w:rsid w:val="009D19A2"/>
    <w:rsid w:val="009D1D65"/>
    <w:rsid w:val="009D245F"/>
    <w:rsid w:val="009D2F6A"/>
    <w:rsid w:val="009D33F2"/>
    <w:rsid w:val="009D3D31"/>
    <w:rsid w:val="009D413E"/>
    <w:rsid w:val="009D527C"/>
    <w:rsid w:val="009D5393"/>
    <w:rsid w:val="009D5B4E"/>
    <w:rsid w:val="009D6271"/>
    <w:rsid w:val="009E07DA"/>
    <w:rsid w:val="009E170D"/>
    <w:rsid w:val="009E1ADD"/>
    <w:rsid w:val="009E28D4"/>
    <w:rsid w:val="009E2DFE"/>
    <w:rsid w:val="009E4091"/>
    <w:rsid w:val="009E4A74"/>
    <w:rsid w:val="009E5087"/>
    <w:rsid w:val="009E6235"/>
    <w:rsid w:val="009E7E7D"/>
    <w:rsid w:val="009F059E"/>
    <w:rsid w:val="009F0AA8"/>
    <w:rsid w:val="009F1773"/>
    <w:rsid w:val="009F20B3"/>
    <w:rsid w:val="009F21F1"/>
    <w:rsid w:val="009F2697"/>
    <w:rsid w:val="009F2C81"/>
    <w:rsid w:val="009F3FDF"/>
    <w:rsid w:val="009F7B02"/>
    <w:rsid w:val="009F7CC8"/>
    <w:rsid w:val="00A0106B"/>
    <w:rsid w:val="00A01C8E"/>
    <w:rsid w:val="00A033E6"/>
    <w:rsid w:val="00A03DAA"/>
    <w:rsid w:val="00A03E4C"/>
    <w:rsid w:val="00A05884"/>
    <w:rsid w:val="00A06F88"/>
    <w:rsid w:val="00A103B2"/>
    <w:rsid w:val="00A11039"/>
    <w:rsid w:val="00A118DE"/>
    <w:rsid w:val="00A12D39"/>
    <w:rsid w:val="00A149C3"/>
    <w:rsid w:val="00A15173"/>
    <w:rsid w:val="00A152AF"/>
    <w:rsid w:val="00A162C2"/>
    <w:rsid w:val="00A1673B"/>
    <w:rsid w:val="00A16D4A"/>
    <w:rsid w:val="00A173DE"/>
    <w:rsid w:val="00A1760B"/>
    <w:rsid w:val="00A17D86"/>
    <w:rsid w:val="00A200F8"/>
    <w:rsid w:val="00A20173"/>
    <w:rsid w:val="00A2018C"/>
    <w:rsid w:val="00A214F2"/>
    <w:rsid w:val="00A21DC7"/>
    <w:rsid w:val="00A2245B"/>
    <w:rsid w:val="00A22DAF"/>
    <w:rsid w:val="00A2354D"/>
    <w:rsid w:val="00A23886"/>
    <w:rsid w:val="00A23D63"/>
    <w:rsid w:val="00A23DBE"/>
    <w:rsid w:val="00A24106"/>
    <w:rsid w:val="00A2645C"/>
    <w:rsid w:val="00A27836"/>
    <w:rsid w:val="00A27AE5"/>
    <w:rsid w:val="00A27D37"/>
    <w:rsid w:val="00A27E6C"/>
    <w:rsid w:val="00A301BC"/>
    <w:rsid w:val="00A30AB8"/>
    <w:rsid w:val="00A335B3"/>
    <w:rsid w:val="00A33944"/>
    <w:rsid w:val="00A33EE9"/>
    <w:rsid w:val="00A34D86"/>
    <w:rsid w:val="00A35646"/>
    <w:rsid w:val="00A36856"/>
    <w:rsid w:val="00A3706A"/>
    <w:rsid w:val="00A371E8"/>
    <w:rsid w:val="00A378C7"/>
    <w:rsid w:val="00A379D7"/>
    <w:rsid w:val="00A37D91"/>
    <w:rsid w:val="00A37F28"/>
    <w:rsid w:val="00A4054D"/>
    <w:rsid w:val="00A41075"/>
    <w:rsid w:val="00A430FA"/>
    <w:rsid w:val="00A432F3"/>
    <w:rsid w:val="00A443FE"/>
    <w:rsid w:val="00A45B7F"/>
    <w:rsid w:val="00A46267"/>
    <w:rsid w:val="00A46461"/>
    <w:rsid w:val="00A511D6"/>
    <w:rsid w:val="00A53636"/>
    <w:rsid w:val="00A5385C"/>
    <w:rsid w:val="00A53AB2"/>
    <w:rsid w:val="00A54359"/>
    <w:rsid w:val="00A555CE"/>
    <w:rsid w:val="00A57379"/>
    <w:rsid w:val="00A574BA"/>
    <w:rsid w:val="00A60E76"/>
    <w:rsid w:val="00A61098"/>
    <w:rsid w:val="00A62A20"/>
    <w:rsid w:val="00A63C83"/>
    <w:rsid w:val="00A644E1"/>
    <w:rsid w:val="00A64C5B"/>
    <w:rsid w:val="00A654F0"/>
    <w:rsid w:val="00A65C70"/>
    <w:rsid w:val="00A662B0"/>
    <w:rsid w:val="00A6672F"/>
    <w:rsid w:val="00A66C8F"/>
    <w:rsid w:val="00A66E35"/>
    <w:rsid w:val="00A678BC"/>
    <w:rsid w:val="00A705E9"/>
    <w:rsid w:val="00A71067"/>
    <w:rsid w:val="00A7160A"/>
    <w:rsid w:val="00A72DCF"/>
    <w:rsid w:val="00A73836"/>
    <w:rsid w:val="00A73A06"/>
    <w:rsid w:val="00A73CEF"/>
    <w:rsid w:val="00A73F37"/>
    <w:rsid w:val="00A7469B"/>
    <w:rsid w:val="00A76100"/>
    <w:rsid w:val="00A76255"/>
    <w:rsid w:val="00A766D9"/>
    <w:rsid w:val="00A767B9"/>
    <w:rsid w:val="00A76D9F"/>
    <w:rsid w:val="00A76E73"/>
    <w:rsid w:val="00A775C5"/>
    <w:rsid w:val="00A81CD7"/>
    <w:rsid w:val="00A820A5"/>
    <w:rsid w:val="00A82210"/>
    <w:rsid w:val="00A827E5"/>
    <w:rsid w:val="00A838C4"/>
    <w:rsid w:val="00A839AE"/>
    <w:rsid w:val="00A83B77"/>
    <w:rsid w:val="00A83BE4"/>
    <w:rsid w:val="00A855BF"/>
    <w:rsid w:val="00A862DF"/>
    <w:rsid w:val="00A86740"/>
    <w:rsid w:val="00A869AF"/>
    <w:rsid w:val="00A86EA8"/>
    <w:rsid w:val="00A87EBC"/>
    <w:rsid w:val="00A90AD1"/>
    <w:rsid w:val="00A90FC3"/>
    <w:rsid w:val="00A914ED"/>
    <w:rsid w:val="00A92318"/>
    <w:rsid w:val="00A92D1F"/>
    <w:rsid w:val="00A92F2C"/>
    <w:rsid w:val="00A93019"/>
    <w:rsid w:val="00A95662"/>
    <w:rsid w:val="00A96523"/>
    <w:rsid w:val="00AA027A"/>
    <w:rsid w:val="00AA02E1"/>
    <w:rsid w:val="00AA072C"/>
    <w:rsid w:val="00AA0857"/>
    <w:rsid w:val="00AA267D"/>
    <w:rsid w:val="00AA30E4"/>
    <w:rsid w:val="00AA32DD"/>
    <w:rsid w:val="00AA3807"/>
    <w:rsid w:val="00AA4141"/>
    <w:rsid w:val="00AA6B8D"/>
    <w:rsid w:val="00AA776F"/>
    <w:rsid w:val="00AB052B"/>
    <w:rsid w:val="00AB0FAB"/>
    <w:rsid w:val="00AB1C4A"/>
    <w:rsid w:val="00AB3556"/>
    <w:rsid w:val="00AB63C1"/>
    <w:rsid w:val="00AC082E"/>
    <w:rsid w:val="00AC1FF6"/>
    <w:rsid w:val="00AC30B1"/>
    <w:rsid w:val="00AC3498"/>
    <w:rsid w:val="00AC3E8B"/>
    <w:rsid w:val="00AC514F"/>
    <w:rsid w:val="00AC55E0"/>
    <w:rsid w:val="00AC58A3"/>
    <w:rsid w:val="00AC6166"/>
    <w:rsid w:val="00AC67EB"/>
    <w:rsid w:val="00AC6FA7"/>
    <w:rsid w:val="00AD06B7"/>
    <w:rsid w:val="00AD1F0E"/>
    <w:rsid w:val="00AD42F3"/>
    <w:rsid w:val="00AD47F3"/>
    <w:rsid w:val="00AD52B1"/>
    <w:rsid w:val="00AD72CC"/>
    <w:rsid w:val="00AD7E0E"/>
    <w:rsid w:val="00AE0F00"/>
    <w:rsid w:val="00AE138C"/>
    <w:rsid w:val="00AE17FE"/>
    <w:rsid w:val="00AE185D"/>
    <w:rsid w:val="00AE2D06"/>
    <w:rsid w:val="00AE3091"/>
    <w:rsid w:val="00AE33A4"/>
    <w:rsid w:val="00AE3734"/>
    <w:rsid w:val="00AE37F8"/>
    <w:rsid w:val="00AE46BB"/>
    <w:rsid w:val="00AE5056"/>
    <w:rsid w:val="00AE762A"/>
    <w:rsid w:val="00AE7634"/>
    <w:rsid w:val="00AF0971"/>
    <w:rsid w:val="00AF1727"/>
    <w:rsid w:val="00AF1C8E"/>
    <w:rsid w:val="00AF1EA6"/>
    <w:rsid w:val="00AF39B5"/>
    <w:rsid w:val="00AF3A77"/>
    <w:rsid w:val="00AF48BF"/>
    <w:rsid w:val="00AF4C57"/>
    <w:rsid w:val="00AF4EEC"/>
    <w:rsid w:val="00AF5000"/>
    <w:rsid w:val="00AF5AA0"/>
    <w:rsid w:val="00AF5D34"/>
    <w:rsid w:val="00B001F8"/>
    <w:rsid w:val="00B0087B"/>
    <w:rsid w:val="00B00ED0"/>
    <w:rsid w:val="00B013D5"/>
    <w:rsid w:val="00B029F2"/>
    <w:rsid w:val="00B02CD5"/>
    <w:rsid w:val="00B04556"/>
    <w:rsid w:val="00B050B8"/>
    <w:rsid w:val="00B05A91"/>
    <w:rsid w:val="00B0696B"/>
    <w:rsid w:val="00B06B4F"/>
    <w:rsid w:val="00B06E66"/>
    <w:rsid w:val="00B06E9C"/>
    <w:rsid w:val="00B06F5C"/>
    <w:rsid w:val="00B07286"/>
    <w:rsid w:val="00B077E2"/>
    <w:rsid w:val="00B10555"/>
    <w:rsid w:val="00B109CB"/>
    <w:rsid w:val="00B113C7"/>
    <w:rsid w:val="00B13207"/>
    <w:rsid w:val="00B139E9"/>
    <w:rsid w:val="00B14DBC"/>
    <w:rsid w:val="00B152E1"/>
    <w:rsid w:val="00B1694D"/>
    <w:rsid w:val="00B16ACE"/>
    <w:rsid w:val="00B16CB5"/>
    <w:rsid w:val="00B210BC"/>
    <w:rsid w:val="00B2135F"/>
    <w:rsid w:val="00B21C3D"/>
    <w:rsid w:val="00B220FC"/>
    <w:rsid w:val="00B236C0"/>
    <w:rsid w:val="00B2399B"/>
    <w:rsid w:val="00B239AB"/>
    <w:rsid w:val="00B2530D"/>
    <w:rsid w:val="00B2675A"/>
    <w:rsid w:val="00B30F4F"/>
    <w:rsid w:val="00B33327"/>
    <w:rsid w:val="00B333E9"/>
    <w:rsid w:val="00B3388D"/>
    <w:rsid w:val="00B3418C"/>
    <w:rsid w:val="00B3526C"/>
    <w:rsid w:val="00B3563A"/>
    <w:rsid w:val="00B36E72"/>
    <w:rsid w:val="00B37A25"/>
    <w:rsid w:val="00B37CB8"/>
    <w:rsid w:val="00B420CA"/>
    <w:rsid w:val="00B4246E"/>
    <w:rsid w:val="00B43DAA"/>
    <w:rsid w:val="00B453E4"/>
    <w:rsid w:val="00B4625D"/>
    <w:rsid w:val="00B462D0"/>
    <w:rsid w:val="00B51096"/>
    <w:rsid w:val="00B510E6"/>
    <w:rsid w:val="00B51379"/>
    <w:rsid w:val="00B5216E"/>
    <w:rsid w:val="00B52583"/>
    <w:rsid w:val="00B52898"/>
    <w:rsid w:val="00B5325C"/>
    <w:rsid w:val="00B54BC5"/>
    <w:rsid w:val="00B557ED"/>
    <w:rsid w:val="00B5633E"/>
    <w:rsid w:val="00B56F2E"/>
    <w:rsid w:val="00B575D8"/>
    <w:rsid w:val="00B57622"/>
    <w:rsid w:val="00B60815"/>
    <w:rsid w:val="00B60A21"/>
    <w:rsid w:val="00B626A5"/>
    <w:rsid w:val="00B62EC2"/>
    <w:rsid w:val="00B63BF4"/>
    <w:rsid w:val="00B640DB"/>
    <w:rsid w:val="00B645C8"/>
    <w:rsid w:val="00B652D6"/>
    <w:rsid w:val="00B65DF5"/>
    <w:rsid w:val="00B6679E"/>
    <w:rsid w:val="00B66CBD"/>
    <w:rsid w:val="00B66DC0"/>
    <w:rsid w:val="00B66EEA"/>
    <w:rsid w:val="00B70AFD"/>
    <w:rsid w:val="00B71F61"/>
    <w:rsid w:val="00B73122"/>
    <w:rsid w:val="00B7574C"/>
    <w:rsid w:val="00B75A46"/>
    <w:rsid w:val="00B7730F"/>
    <w:rsid w:val="00B81A31"/>
    <w:rsid w:val="00B8335E"/>
    <w:rsid w:val="00B834D3"/>
    <w:rsid w:val="00B835F2"/>
    <w:rsid w:val="00B90135"/>
    <w:rsid w:val="00B913C1"/>
    <w:rsid w:val="00B913F7"/>
    <w:rsid w:val="00B91953"/>
    <w:rsid w:val="00B91A6F"/>
    <w:rsid w:val="00B9264E"/>
    <w:rsid w:val="00B93D91"/>
    <w:rsid w:val="00B94059"/>
    <w:rsid w:val="00B94A00"/>
    <w:rsid w:val="00B94D78"/>
    <w:rsid w:val="00B95112"/>
    <w:rsid w:val="00B9622F"/>
    <w:rsid w:val="00BA0691"/>
    <w:rsid w:val="00BA0C4D"/>
    <w:rsid w:val="00BA1537"/>
    <w:rsid w:val="00BA3577"/>
    <w:rsid w:val="00BA35D7"/>
    <w:rsid w:val="00BA3738"/>
    <w:rsid w:val="00BA3F70"/>
    <w:rsid w:val="00BA6E4C"/>
    <w:rsid w:val="00BA746C"/>
    <w:rsid w:val="00BA79FF"/>
    <w:rsid w:val="00BA7B8D"/>
    <w:rsid w:val="00BB05A5"/>
    <w:rsid w:val="00BB0F20"/>
    <w:rsid w:val="00BB15B2"/>
    <w:rsid w:val="00BB2169"/>
    <w:rsid w:val="00BB2B05"/>
    <w:rsid w:val="00BB2DD4"/>
    <w:rsid w:val="00BB32B6"/>
    <w:rsid w:val="00BB42F7"/>
    <w:rsid w:val="00BB439D"/>
    <w:rsid w:val="00BB4B81"/>
    <w:rsid w:val="00BB5440"/>
    <w:rsid w:val="00BB59E0"/>
    <w:rsid w:val="00BB680C"/>
    <w:rsid w:val="00BB6A5C"/>
    <w:rsid w:val="00BC15D7"/>
    <w:rsid w:val="00BC2CA8"/>
    <w:rsid w:val="00BC34C8"/>
    <w:rsid w:val="00BC3BCF"/>
    <w:rsid w:val="00BC431E"/>
    <w:rsid w:val="00BC4A69"/>
    <w:rsid w:val="00BC5A3B"/>
    <w:rsid w:val="00BC5F85"/>
    <w:rsid w:val="00BC60D6"/>
    <w:rsid w:val="00BC6BC4"/>
    <w:rsid w:val="00BD03D3"/>
    <w:rsid w:val="00BD3064"/>
    <w:rsid w:val="00BD3434"/>
    <w:rsid w:val="00BD35B9"/>
    <w:rsid w:val="00BD4340"/>
    <w:rsid w:val="00BD466B"/>
    <w:rsid w:val="00BD4FF0"/>
    <w:rsid w:val="00BD56B5"/>
    <w:rsid w:val="00BD5732"/>
    <w:rsid w:val="00BD59A7"/>
    <w:rsid w:val="00BD5AE4"/>
    <w:rsid w:val="00BD64BC"/>
    <w:rsid w:val="00BD7398"/>
    <w:rsid w:val="00BD77F2"/>
    <w:rsid w:val="00BE0B49"/>
    <w:rsid w:val="00BE0C61"/>
    <w:rsid w:val="00BE12D3"/>
    <w:rsid w:val="00BE1DF8"/>
    <w:rsid w:val="00BE1FE6"/>
    <w:rsid w:val="00BE208D"/>
    <w:rsid w:val="00BE2E14"/>
    <w:rsid w:val="00BE394C"/>
    <w:rsid w:val="00BE4026"/>
    <w:rsid w:val="00BE4C7B"/>
    <w:rsid w:val="00BE506D"/>
    <w:rsid w:val="00BE54FC"/>
    <w:rsid w:val="00BE6592"/>
    <w:rsid w:val="00BE6C02"/>
    <w:rsid w:val="00BE7C5E"/>
    <w:rsid w:val="00BF02F9"/>
    <w:rsid w:val="00BF035D"/>
    <w:rsid w:val="00BF2F3D"/>
    <w:rsid w:val="00BF40C6"/>
    <w:rsid w:val="00BF424B"/>
    <w:rsid w:val="00BF4EB4"/>
    <w:rsid w:val="00BF4F07"/>
    <w:rsid w:val="00BF52D8"/>
    <w:rsid w:val="00BF6E92"/>
    <w:rsid w:val="00BF6EFE"/>
    <w:rsid w:val="00BF710A"/>
    <w:rsid w:val="00C00694"/>
    <w:rsid w:val="00C01658"/>
    <w:rsid w:val="00C02A04"/>
    <w:rsid w:val="00C0301D"/>
    <w:rsid w:val="00C03349"/>
    <w:rsid w:val="00C0337C"/>
    <w:rsid w:val="00C036A6"/>
    <w:rsid w:val="00C051CA"/>
    <w:rsid w:val="00C06535"/>
    <w:rsid w:val="00C06EF3"/>
    <w:rsid w:val="00C10978"/>
    <w:rsid w:val="00C10A89"/>
    <w:rsid w:val="00C118BD"/>
    <w:rsid w:val="00C1202A"/>
    <w:rsid w:val="00C12D54"/>
    <w:rsid w:val="00C13259"/>
    <w:rsid w:val="00C14ABC"/>
    <w:rsid w:val="00C14FB2"/>
    <w:rsid w:val="00C164D3"/>
    <w:rsid w:val="00C17002"/>
    <w:rsid w:val="00C20A3C"/>
    <w:rsid w:val="00C211CE"/>
    <w:rsid w:val="00C21EFE"/>
    <w:rsid w:val="00C21F9B"/>
    <w:rsid w:val="00C225CB"/>
    <w:rsid w:val="00C225DC"/>
    <w:rsid w:val="00C238B6"/>
    <w:rsid w:val="00C23EFE"/>
    <w:rsid w:val="00C24137"/>
    <w:rsid w:val="00C24ADD"/>
    <w:rsid w:val="00C25AE9"/>
    <w:rsid w:val="00C25B6F"/>
    <w:rsid w:val="00C26B0E"/>
    <w:rsid w:val="00C27A09"/>
    <w:rsid w:val="00C3135D"/>
    <w:rsid w:val="00C31E4A"/>
    <w:rsid w:val="00C33DDE"/>
    <w:rsid w:val="00C348C3"/>
    <w:rsid w:val="00C34D0C"/>
    <w:rsid w:val="00C358CD"/>
    <w:rsid w:val="00C36536"/>
    <w:rsid w:val="00C36916"/>
    <w:rsid w:val="00C4016F"/>
    <w:rsid w:val="00C41DF5"/>
    <w:rsid w:val="00C42E3F"/>
    <w:rsid w:val="00C43322"/>
    <w:rsid w:val="00C4425A"/>
    <w:rsid w:val="00C45082"/>
    <w:rsid w:val="00C45414"/>
    <w:rsid w:val="00C45FAC"/>
    <w:rsid w:val="00C461C4"/>
    <w:rsid w:val="00C47812"/>
    <w:rsid w:val="00C47AB2"/>
    <w:rsid w:val="00C47E1B"/>
    <w:rsid w:val="00C50140"/>
    <w:rsid w:val="00C508AF"/>
    <w:rsid w:val="00C520D7"/>
    <w:rsid w:val="00C52792"/>
    <w:rsid w:val="00C52B83"/>
    <w:rsid w:val="00C536EB"/>
    <w:rsid w:val="00C53FDC"/>
    <w:rsid w:val="00C5450D"/>
    <w:rsid w:val="00C54D79"/>
    <w:rsid w:val="00C54EC8"/>
    <w:rsid w:val="00C556AB"/>
    <w:rsid w:val="00C56480"/>
    <w:rsid w:val="00C568D3"/>
    <w:rsid w:val="00C569BC"/>
    <w:rsid w:val="00C57384"/>
    <w:rsid w:val="00C60AF0"/>
    <w:rsid w:val="00C61ECD"/>
    <w:rsid w:val="00C624B0"/>
    <w:rsid w:val="00C62E7F"/>
    <w:rsid w:val="00C62EE0"/>
    <w:rsid w:val="00C632E0"/>
    <w:rsid w:val="00C635E5"/>
    <w:rsid w:val="00C63B97"/>
    <w:rsid w:val="00C63C9D"/>
    <w:rsid w:val="00C64CB7"/>
    <w:rsid w:val="00C6574F"/>
    <w:rsid w:val="00C673D0"/>
    <w:rsid w:val="00C67D75"/>
    <w:rsid w:val="00C67F58"/>
    <w:rsid w:val="00C703A7"/>
    <w:rsid w:val="00C7046E"/>
    <w:rsid w:val="00C743CC"/>
    <w:rsid w:val="00C74EC0"/>
    <w:rsid w:val="00C76991"/>
    <w:rsid w:val="00C77CA6"/>
    <w:rsid w:val="00C77CB3"/>
    <w:rsid w:val="00C80A3D"/>
    <w:rsid w:val="00C818FF"/>
    <w:rsid w:val="00C81EAF"/>
    <w:rsid w:val="00C8302C"/>
    <w:rsid w:val="00C83379"/>
    <w:rsid w:val="00C84C78"/>
    <w:rsid w:val="00C856C2"/>
    <w:rsid w:val="00C85B9C"/>
    <w:rsid w:val="00C86132"/>
    <w:rsid w:val="00C87538"/>
    <w:rsid w:val="00C87585"/>
    <w:rsid w:val="00C87706"/>
    <w:rsid w:val="00C87D19"/>
    <w:rsid w:val="00C90F69"/>
    <w:rsid w:val="00C911BF"/>
    <w:rsid w:val="00C916AF"/>
    <w:rsid w:val="00C91E07"/>
    <w:rsid w:val="00C92556"/>
    <w:rsid w:val="00C93029"/>
    <w:rsid w:val="00C93B9D"/>
    <w:rsid w:val="00C93D4B"/>
    <w:rsid w:val="00C93F80"/>
    <w:rsid w:val="00C962C7"/>
    <w:rsid w:val="00C9719D"/>
    <w:rsid w:val="00C97637"/>
    <w:rsid w:val="00CA1200"/>
    <w:rsid w:val="00CA14B8"/>
    <w:rsid w:val="00CA203B"/>
    <w:rsid w:val="00CA205D"/>
    <w:rsid w:val="00CA68BA"/>
    <w:rsid w:val="00CA69D4"/>
    <w:rsid w:val="00CA7082"/>
    <w:rsid w:val="00CA7634"/>
    <w:rsid w:val="00CA781F"/>
    <w:rsid w:val="00CB05AB"/>
    <w:rsid w:val="00CB0600"/>
    <w:rsid w:val="00CB34A5"/>
    <w:rsid w:val="00CB37AC"/>
    <w:rsid w:val="00CB3E68"/>
    <w:rsid w:val="00CB4749"/>
    <w:rsid w:val="00CB4C3F"/>
    <w:rsid w:val="00CB50B4"/>
    <w:rsid w:val="00CB58AF"/>
    <w:rsid w:val="00CB5BF5"/>
    <w:rsid w:val="00CB5BF7"/>
    <w:rsid w:val="00CB5EFF"/>
    <w:rsid w:val="00CB61FF"/>
    <w:rsid w:val="00CB62E7"/>
    <w:rsid w:val="00CB69A2"/>
    <w:rsid w:val="00CB6D69"/>
    <w:rsid w:val="00CB6DD3"/>
    <w:rsid w:val="00CB7626"/>
    <w:rsid w:val="00CB7719"/>
    <w:rsid w:val="00CB7BCC"/>
    <w:rsid w:val="00CC0F2B"/>
    <w:rsid w:val="00CC1783"/>
    <w:rsid w:val="00CC1F28"/>
    <w:rsid w:val="00CC2310"/>
    <w:rsid w:val="00CC28CC"/>
    <w:rsid w:val="00CC4951"/>
    <w:rsid w:val="00CC506D"/>
    <w:rsid w:val="00CC579B"/>
    <w:rsid w:val="00CC5BF0"/>
    <w:rsid w:val="00CC6204"/>
    <w:rsid w:val="00CC6509"/>
    <w:rsid w:val="00CD09B7"/>
    <w:rsid w:val="00CD0B26"/>
    <w:rsid w:val="00CD1DDC"/>
    <w:rsid w:val="00CD26D9"/>
    <w:rsid w:val="00CD58FE"/>
    <w:rsid w:val="00CD5C23"/>
    <w:rsid w:val="00CD6581"/>
    <w:rsid w:val="00CD662B"/>
    <w:rsid w:val="00CD680D"/>
    <w:rsid w:val="00CD7C53"/>
    <w:rsid w:val="00CE00E2"/>
    <w:rsid w:val="00CE0B3A"/>
    <w:rsid w:val="00CE1386"/>
    <w:rsid w:val="00CE1828"/>
    <w:rsid w:val="00CE25B8"/>
    <w:rsid w:val="00CE339D"/>
    <w:rsid w:val="00CE4199"/>
    <w:rsid w:val="00CF04F9"/>
    <w:rsid w:val="00CF096D"/>
    <w:rsid w:val="00CF2F59"/>
    <w:rsid w:val="00CF5D18"/>
    <w:rsid w:val="00CF5E3A"/>
    <w:rsid w:val="00CF61B9"/>
    <w:rsid w:val="00CF7277"/>
    <w:rsid w:val="00CF7292"/>
    <w:rsid w:val="00CF7928"/>
    <w:rsid w:val="00CF799D"/>
    <w:rsid w:val="00CF7AD6"/>
    <w:rsid w:val="00CF7CF0"/>
    <w:rsid w:val="00CF7F8F"/>
    <w:rsid w:val="00D010BF"/>
    <w:rsid w:val="00D034EB"/>
    <w:rsid w:val="00D03815"/>
    <w:rsid w:val="00D03A4A"/>
    <w:rsid w:val="00D03E96"/>
    <w:rsid w:val="00D04143"/>
    <w:rsid w:val="00D0428B"/>
    <w:rsid w:val="00D04E5E"/>
    <w:rsid w:val="00D05F54"/>
    <w:rsid w:val="00D10805"/>
    <w:rsid w:val="00D116FD"/>
    <w:rsid w:val="00D132C5"/>
    <w:rsid w:val="00D13DEC"/>
    <w:rsid w:val="00D140BA"/>
    <w:rsid w:val="00D14688"/>
    <w:rsid w:val="00D14E1F"/>
    <w:rsid w:val="00D154DF"/>
    <w:rsid w:val="00D15E8B"/>
    <w:rsid w:val="00D179BA"/>
    <w:rsid w:val="00D207D6"/>
    <w:rsid w:val="00D21131"/>
    <w:rsid w:val="00D21CA9"/>
    <w:rsid w:val="00D22117"/>
    <w:rsid w:val="00D238AF"/>
    <w:rsid w:val="00D23F0B"/>
    <w:rsid w:val="00D24501"/>
    <w:rsid w:val="00D26410"/>
    <w:rsid w:val="00D26B61"/>
    <w:rsid w:val="00D2716A"/>
    <w:rsid w:val="00D30529"/>
    <w:rsid w:val="00D319F6"/>
    <w:rsid w:val="00D32010"/>
    <w:rsid w:val="00D3223D"/>
    <w:rsid w:val="00D33CDF"/>
    <w:rsid w:val="00D33FA3"/>
    <w:rsid w:val="00D33FA9"/>
    <w:rsid w:val="00D3461E"/>
    <w:rsid w:val="00D34DD3"/>
    <w:rsid w:val="00D34F31"/>
    <w:rsid w:val="00D364B6"/>
    <w:rsid w:val="00D369C8"/>
    <w:rsid w:val="00D36F27"/>
    <w:rsid w:val="00D3724C"/>
    <w:rsid w:val="00D4290E"/>
    <w:rsid w:val="00D42DA0"/>
    <w:rsid w:val="00D437F1"/>
    <w:rsid w:val="00D4381C"/>
    <w:rsid w:val="00D43B88"/>
    <w:rsid w:val="00D443C7"/>
    <w:rsid w:val="00D44833"/>
    <w:rsid w:val="00D459A9"/>
    <w:rsid w:val="00D4652B"/>
    <w:rsid w:val="00D47033"/>
    <w:rsid w:val="00D47ACE"/>
    <w:rsid w:val="00D52D3D"/>
    <w:rsid w:val="00D5435C"/>
    <w:rsid w:val="00D545A9"/>
    <w:rsid w:val="00D54936"/>
    <w:rsid w:val="00D55E5D"/>
    <w:rsid w:val="00D55FA9"/>
    <w:rsid w:val="00D56DD8"/>
    <w:rsid w:val="00D57B8B"/>
    <w:rsid w:val="00D608AE"/>
    <w:rsid w:val="00D60E8C"/>
    <w:rsid w:val="00D61116"/>
    <w:rsid w:val="00D611AD"/>
    <w:rsid w:val="00D618B2"/>
    <w:rsid w:val="00D637FE"/>
    <w:rsid w:val="00D63C23"/>
    <w:rsid w:val="00D63DCC"/>
    <w:rsid w:val="00D65170"/>
    <w:rsid w:val="00D65673"/>
    <w:rsid w:val="00D65F91"/>
    <w:rsid w:val="00D6719E"/>
    <w:rsid w:val="00D67DCE"/>
    <w:rsid w:val="00D70466"/>
    <w:rsid w:val="00D7097B"/>
    <w:rsid w:val="00D71786"/>
    <w:rsid w:val="00D71D55"/>
    <w:rsid w:val="00D721DC"/>
    <w:rsid w:val="00D723ED"/>
    <w:rsid w:val="00D7338C"/>
    <w:rsid w:val="00D73C33"/>
    <w:rsid w:val="00D7491B"/>
    <w:rsid w:val="00D74ADC"/>
    <w:rsid w:val="00D74D08"/>
    <w:rsid w:val="00D764D3"/>
    <w:rsid w:val="00D766AD"/>
    <w:rsid w:val="00D766C5"/>
    <w:rsid w:val="00D76E17"/>
    <w:rsid w:val="00D77956"/>
    <w:rsid w:val="00D77C8F"/>
    <w:rsid w:val="00D800D7"/>
    <w:rsid w:val="00D81D2C"/>
    <w:rsid w:val="00D83ABA"/>
    <w:rsid w:val="00D86A99"/>
    <w:rsid w:val="00D90997"/>
    <w:rsid w:val="00D91616"/>
    <w:rsid w:val="00D91904"/>
    <w:rsid w:val="00D9215D"/>
    <w:rsid w:val="00D92B1F"/>
    <w:rsid w:val="00D93157"/>
    <w:rsid w:val="00D936BA"/>
    <w:rsid w:val="00D93BE6"/>
    <w:rsid w:val="00D94C0D"/>
    <w:rsid w:val="00D95EF3"/>
    <w:rsid w:val="00D962CE"/>
    <w:rsid w:val="00DA04E4"/>
    <w:rsid w:val="00DA0D2F"/>
    <w:rsid w:val="00DA178E"/>
    <w:rsid w:val="00DA2283"/>
    <w:rsid w:val="00DA2EA2"/>
    <w:rsid w:val="00DA33EC"/>
    <w:rsid w:val="00DA33FD"/>
    <w:rsid w:val="00DA4E2F"/>
    <w:rsid w:val="00DA65A7"/>
    <w:rsid w:val="00DA69E2"/>
    <w:rsid w:val="00DA6D61"/>
    <w:rsid w:val="00DA7139"/>
    <w:rsid w:val="00DA790E"/>
    <w:rsid w:val="00DB16CA"/>
    <w:rsid w:val="00DB2804"/>
    <w:rsid w:val="00DB3479"/>
    <w:rsid w:val="00DB3E71"/>
    <w:rsid w:val="00DB4001"/>
    <w:rsid w:val="00DB5830"/>
    <w:rsid w:val="00DB5BC3"/>
    <w:rsid w:val="00DB68E8"/>
    <w:rsid w:val="00DB6DA0"/>
    <w:rsid w:val="00DB71E7"/>
    <w:rsid w:val="00DB7718"/>
    <w:rsid w:val="00DB7A6C"/>
    <w:rsid w:val="00DC0496"/>
    <w:rsid w:val="00DC1101"/>
    <w:rsid w:val="00DC1527"/>
    <w:rsid w:val="00DC174B"/>
    <w:rsid w:val="00DC28E2"/>
    <w:rsid w:val="00DC2DB6"/>
    <w:rsid w:val="00DC3273"/>
    <w:rsid w:val="00DC4F4E"/>
    <w:rsid w:val="00DC5396"/>
    <w:rsid w:val="00DC5DA9"/>
    <w:rsid w:val="00DC616F"/>
    <w:rsid w:val="00DC691C"/>
    <w:rsid w:val="00DC72B6"/>
    <w:rsid w:val="00DC7DBC"/>
    <w:rsid w:val="00DD091C"/>
    <w:rsid w:val="00DD1F1D"/>
    <w:rsid w:val="00DD26AE"/>
    <w:rsid w:val="00DD2B17"/>
    <w:rsid w:val="00DD2C65"/>
    <w:rsid w:val="00DD3595"/>
    <w:rsid w:val="00DD3B07"/>
    <w:rsid w:val="00DD4367"/>
    <w:rsid w:val="00DD468D"/>
    <w:rsid w:val="00DD604F"/>
    <w:rsid w:val="00DD69FE"/>
    <w:rsid w:val="00DD6BAD"/>
    <w:rsid w:val="00DD6E81"/>
    <w:rsid w:val="00DD7C39"/>
    <w:rsid w:val="00DE1CA5"/>
    <w:rsid w:val="00DE1CFD"/>
    <w:rsid w:val="00DE24B5"/>
    <w:rsid w:val="00DE28D1"/>
    <w:rsid w:val="00DE301F"/>
    <w:rsid w:val="00DE3D09"/>
    <w:rsid w:val="00DE4203"/>
    <w:rsid w:val="00DE4266"/>
    <w:rsid w:val="00DE5949"/>
    <w:rsid w:val="00DE752E"/>
    <w:rsid w:val="00DF0117"/>
    <w:rsid w:val="00DF02A5"/>
    <w:rsid w:val="00DF03E2"/>
    <w:rsid w:val="00DF097D"/>
    <w:rsid w:val="00DF26CF"/>
    <w:rsid w:val="00DF26F5"/>
    <w:rsid w:val="00DF2C83"/>
    <w:rsid w:val="00DF2CA9"/>
    <w:rsid w:val="00DF3509"/>
    <w:rsid w:val="00DF3ADD"/>
    <w:rsid w:val="00DF3B88"/>
    <w:rsid w:val="00DF412B"/>
    <w:rsid w:val="00DF43CC"/>
    <w:rsid w:val="00DF4827"/>
    <w:rsid w:val="00DF4C55"/>
    <w:rsid w:val="00DF633C"/>
    <w:rsid w:val="00DF6E90"/>
    <w:rsid w:val="00E0228E"/>
    <w:rsid w:val="00E031A9"/>
    <w:rsid w:val="00E032A3"/>
    <w:rsid w:val="00E033AB"/>
    <w:rsid w:val="00E033B8"/>
    <w:rsid w:val="00E03948"/>
    <w:rsid w:val="00E03F20"/>
    <w:rsid w:val="00E04AB9"/>
    <w:rsid w:val="00E055C8"/>
    <w:rsid w:val="00E06657"/>
    <w:rsid w:val="00E078E3"/>
    <w:rsid w:val="00E07B85"/>
    <w:rsid w:val="00E12046"/>
    <w:rsid w:val="00E12DCA"/>
    <w:rsid w:val="00E138C4"/>
    <w:rsid w:val="00E13C0A"/>
    <w:rsid w:val="00E13FEE"/>
    <w:rsid w:val="00E15904"/>
    <w:rsid w:val="00E165D0"/>
    <w:rsid w:val="00E1711F"/>
    <w:rsid w:val="00E173CD"/>
    <w:rsid w:val="00E202A9"/>
    <w:rsid w:val="00E206B9"/>
    <w:rsid w:val="00E207D3"/>
    <w:rsid w:val="00E22040"/>
    <w:rsid w:val="00E22269"/>
    <w:rsid w:val="00E2425E"/>
    <w:rsid w:val="00E24328"/>
    <w:rsid w:val="00E26BCB"/>
    <w:rsid w:val="00E27871"/>
    <w:rsid w:val="00E279D2"/>
    <w:rsid w:val="00E27DF9"/>
    <w:rsid w:val="00E305F4"/>
    <w:rsid w:val="00E307E3"/>
    <w:rsid w:val="00E3125D"/>
    <w:rsid w:val="00E321C5"/>
    <w:rsid w:val="00E32A26"/>
    <w:rsid w:val="00E338D6"/>
    <w:rsid w:val="00E34844"/>
    <w:rsid w:val="00E3519A"/>
    <w:rsid w:val="00E35C98"/>
    <w:rsid w:val="00E35E1C"/>
    <w:rsid w:val="00E36402"/>
    <w:rsid w:val="00E36F1E"/>
    <w:rsid w:val="00E377A7"/>
    <w:rsid w:val="00E401BF"/>
    <w:rsid w:val="00E415C3"/>
    <w:rsid w:val="00E41DB8"/>
    <w:rsid w:val="00E43A41"/>
    <w:rsid w:val="00E43DB9"/>
    <w:rsid w:val="00E43F7F"/>
    <w:rsid w:val="00E44139"/>
    <w:rsid w:val="00E460A7"/>
    <w:rsid w:val="00E46224"/>
    <w:rsid w:val="00E474E4"/>
    <w:rsid w:val="00E476D2"/>
    <w:rsid w:val="00E50003"/>
    <w:rsid w:val="00E507C5"/>
    <w:rsid w:val="00E510DF"/>
    <w:rsid w:val="00E53325"/>
    <w:rsid w:val="00E537CB"/>
    <w:rsid w:val="00E55AE8"/>
    <w:rsid w:val="00E55DBC"/>
    <w:rsid w:val="00E5613A"/>
    <w:rsid w:val="00E561D0"/>
    <w:rsid w:val="00E567B5"/>
    <w:rsid w:val="00E56CB6"/>
    <w:rsid w:val="00E56DEA"/>
    <w:rsid w:val="00E56FFA"/>
    <w:rsid w:val="00E570FE"/>
    <w:rsid w:val="00E57A26"/>
    <w:rsid w:val="00E57F5D"/>
    <w:rsid w:val="00E57F86"/>
    <w:rsid w:val="00E60F3A"/>
    <w:rsid w:val="00E61277"/>
    <w:rsid w:val="00E653A3"/>
    <w:rsid w:val="00E65B75"/>
    <w:rsid w:val="00E65D94"/>
    <w:rsid w:val="00E664A5"/>
    <w:rsid w:val="00E669FB"/>
    <w:rsid w:val="00E67C6C"/>
    <w:rsid w:val="00E73421"/>
    <w:rsid w:val="00E75892"/>
    <w:rsid w:val="00E764AB"/>
    <w:rsid w:val="00E775B8"/>
    <w:rsid w:val="00E77751"/>
    <w:rsid w:val="00E77F73"/>
    <w:rsid w:val="00E82C95"/>
    <w:rsid w:val="00E830E0"/>
    <w:rsid w:val="00E83D0B"/>
    <w:rsid w:val="00E83EEC"/>
    <w:rsid w:val="00E84D22"/>
    <w:rsid w:val="00E84E57"/>
    <w:rsid w:val="00E84F6F"/>
    <w:rsid w:val="00E8508D"/>
    <w:rsid w:val="00E86AD9"/>
    <w:rsid w:val="00E9005A"/>
    <w:rsid w:val="00E91A48"/>
    <w:rsid w:val="00E9269C"/>
    <w:rsid w:val="00E92DAC"/>
    <w:rsid w:val="00E93A2A"/>
    <w:rsid w:val="00E93D33"/>
    <w:rsid w:val="00E9498D"/>
    <w:rsid w:val="00E95A45"/>
    <w:rsid w:val="00EA06C1"/>
    <w:rsid w:val="00EA0F84"/>
    <w:rsid w:val="00EA6423"/>
    <w:rsid w:val="00EA7B6F"/>
    <w:rsid w:val="00EA7FF5"/>
    <w:rsid w:val="00EB0289"/>
    <w:rsid w:val="00EB050F"/>
    <w:rsid w:val="00EB0CBE"/>
    <w:rsid w:val="00EB147A"/>
    <w:rsid w:val="00EB1971"/>
    <w:rsid w:val="00EB34BA"/>
    <w:rsid w:val="00EB3975"/>
    <w:rsid w:val="00EB3D7D"/>
    <w:rsid w:val="00EB5E49"/>
    <w:rsid w:val="00EB619C"/>
    <w:rsid w:val="00EC18D8"/>
    <w:rsid w:val="00EC1AD4"/>
    <w:rsid w:val="00EC21B4"/>
    <w:rsid w:val="00EC3690"/>
    <w:rsid w:val="00EC3F78"/>
    <w:rsid w:val="00EC3FD7"/>
    <w:rsid w:val="00EC580C"/>
    <w:rsid w:val="00EC5867"/>
    <w:rsid w:val="00EC6EA1"/>
    <w:rsid w:val="00EC7EA0"/>
    <w:rsid w:val="00ED0839"/>
    <w:rsid w:val="00ED153F"/>
    <w:rsid w:val="00ED25F0"/>
    <w:rsid w:val="00ED2E4A"/>
    <w:rsid w:val="00ED32F5"/>
    <w:rsid w:val="00ED3522"/>
    <w:rsid w:val="00ED3557"/>
    <w:rsid w:val="00ED355D"/>
    <w:rsid w:val="00ED364E"/>
    <w:rsid w:val="00ED4390"/>
    <w:rsid w:val="00ED52A1"/>
    <w:rsid w:val="00ED666C"/>
    <w:rsid w:val="00EE048B"/>
    <w:rsid w:val="00EE0F68"/>
    <w:rsid w:val="00EE1EB4"/>
    <w:rsid w:val="00EE1ED3"/>
    <w:rsid w:val="00EE2A0A"/>
    <w:rsid w:val="00EE4F6D"/>
    <w:rsid w:val="00EE5B10"/>
    <w:rsid w:val="00EE5B42"/>
    <w:rsid w:val="00EE6BAF"/>
    <w:rsid w:val="00EE6F92"/>
    <w:rsid w:val="00EE6FED"/>
    <w:rsid w:val="00EE74BA"/>
    <w:rsid w:val="00EE7A9B"/>
    <w:rsid w:val="00EE7ED1"/>
    <w:rsid w:val="00EF0F7B"/>
    <w:rsid w:val="00EF13D6"/>
    <w:rsid w:val="00EF1575"/>
    <w:rsid w:val="00EF1678"/>
    <w:rsid w:val="00EF17F8"/>
    <w:rsid w:val="00EF22AF"/>
    <w:rsid w:val="00EF23F1"/>
    <w:rsid w:val="00EF2645"/>
    <w:rsid w:val="00EF34CE"/>
    <w:rsid w:val="00EF3621"/>
    <w:rsid w:val="00EF485F"/>
    <w:rsid w:val="00EF543E"/>
    <w:rsid w:val="00EF65ED"/>
    <w:rsid w:val="00EF72B2"/>
    <w:rsid w:val="00EF72CC"/>
    <w:rsid w:val="00F01436"/>
    <w:rsid w:val="00F01910"/>
    <w:rsid w:val="00F03154"/>
    <w:rsid w:val="00F0344A"/>
    <w:rsid w:val="00F036DD"/>
    <w:rsid w:val="00F04BB5"/>
    <w:rsid w:val="00F06017"/>
    <w:rsid w:val="00F0672D"/>
    <w:rsid w:val="00F06F1F"/>
    <w:rsid w:val="00F0730B"/>
    <w:rsid w:val="00F12AD0"/>
    <w:rsid w:val="00F12D97"/>
    <w:rsid w:val="00F13C73"/>
    <w:rsid w:val="00F1470B"/>
    <w:rsid w:val="00F14B99"/>
    <w:rsid w:val="00F15172"/>
    <w:rsid w:val="00F1570E"/>
    <w:rsid w:val="00F16909"/>
    <w:rsid w:val="00F1794C"/>
    <w:rsid w:val="00F20E92"/>
    <w:rsid w:val="00F21D1E"/>
    <w:rsid w:val="00F22E64"/>
    <w:rsid w:val="00F2313E"/>
    <w:rsid w:val="00F237F1"/>
    <w:rsid w:val="00F23B63"/>
    <w:rsid w:val="00F23C48"/>
    <w:rsid w:val="00F2407E"/>
    <w:rsid w:val="00F240C8"/>
    <w:rsid w:val="00F247A3"/>
    <w:rsid w:val="00F24CA9"/>
    <w:rsid w:val="00F2510D"/>
    <w:rsid w:val="00F25796"/>
    <w:rsid w:val="00F25973"/>
    <w:rsid w:val="00F278BD"/>
    <w:rsid w:val="00F304EE"/>
    <w:rsid w:val="00F316CB"/>
    <w:rsid w:val="00F34581"/>
    <w:rsid w:val="00F346DD"/>
    <w:rsid w:val="00F3511D"/>
    <w:rsid w:val="00F35641"/>
    <w:rsid w:val="00F3609D"/>
    <w:rsid w:val="00F366FF"/>
    <w:rsid w:val="00F372C8"/>
    <w:rsid w:val="00F37574"/>
    <w:rsid w:val="00F3788F"/>
    <w:rsid w:val="00F40354"/>
    <w:rsid w:val="00F4150A"/>
    <w:rsid w:val="00F422FB"/>
    <w:rsid w:val="00F43F07"/>
    <w:rsid w:val="00F44F83"/>
    <w:rsid w:val="00F45224"/>
    <w:rsid w:val="00F4661C"/>
    <w:rsid w:val="00F46F36"/>
    <w:rsid w:val="00F50E3F"/>
    <w:rsid w:val="00F50FF1"/>
    <w:rsid w:val="00F515C1"/>
    <w:rsid w:val="00F53B7A"/>
    <w:rsid w:val="00F53BAE"/>
    <w:rsid w:val="00F545DD"/>
    <w:rsid w:val="00F547DC"/>
    <w:rsid w:val="00F5583B"/>
    <w:rsid w:val="00F5620B"/>
    <w:rsid w:val="00F57E61"/>
    <w:rsid w:val="00F6077F"/>
    <w:rsid w:val="00F62015"/>
    <w:rsid w:val="00F62475"/>
    <w:rsid w:val="00F62676"/>
    <w:rsid w:val="00F656B7"/>
    <w:rsid w:val="00F65A29"/>
    <w:rsid w:val="00F6716A"/>
    <w:rsid w:val="00F71861"/>
    <w:rsid w:val="00F729EF"/>
    <w:rsid w:val="00F72F14"/>
    <w:rsid w:val="00F72FE4"/>
    <w:rsid w:val="00F7376A"/>
    <w:rsid w:val="00F765CD"/>
    <w:rsid w:val="00F772C9"/>
    <w:rsid w:val="00F77B4B"/>
    <w:rsid w:val="00F8143C"/>
    <w:rsid w:val="00F81539"/>
    <w:rsid w:val="00F81F50"/>
    <w:rsid w:val="00F81FBE"/>
    <w:rsid w:val="00F82EC0"/>
    <w:rsid w:val="00F82FBB"/>
    <w:rsid w:val="00F83CDA"/>
    <w:rsid w:val="00F83D7B"/>
    <w:rsid w:val="00F848CC"/>
    <w:rsid w:val="00F862E2"/>
    <w:rsid w:val="00F86B41"/>
    <w:rsid w:val="00F87FD0"/>
    <w:rsid w:val="00F9049F"/>
    <w:rsid w:val="00F9074A"/>
    <w:rsid w:val="00F90997"/>
    <w:rsid w:val="00F90D4E"/>
    <w:rsid w:val="00F911A3"/>
    <w:rsid w:val="00F91A02"/>
    <w:rsid w:val="00F9279F"/>
    <w:rsid w:val="00F93082"/>
    <w:rsid w:val="00F935AE"/>
    <w:rsid w:val="00F93983"/>
    <w:rsid w:val="00F95FE7"/>
    <w:rsid w:val="00F9610C"/>
    <w:rsid w:val="00F9647E"/>
    <w:rsid w:val="00F96BFE"/>
    <w:rsid w:val="00FA0360"/>
    <w:rsid w:val="00FA07AF"/>
    <w:rsid w:val="00FA14D6"/>
    <w:rsid w:val="00FA2739"/>
    <w:rsid w:val="00FA2DE8"/>
    <w:rsid w:val="00FA40A3"/>
    <w:rsid w:val="00FA5DBE"/>
    <w:rsid w:val="00FB20D6"/>
    <w:rsid w:val="00FB321F"/>
    <w:rsid w:val="00FB3360"/>
    <w:rsid w:val="00FB37DA"/>
    <w:rsid w:val="00FB43F3"/>
    <w:rsid w:val="00FB54DF"/>
    <w:rsid w:val="00FB5B7C"/>
    <w:rsid w:val="00FB63F8"/>
    <w:rsid w:val="00FB684B"/>
    <w:rsid w:val="00FB6CFC"/>
    <w:rsid w:val="00FB70B1"/>
    <w:rsid w:val="00FB7EBD"/>
    <w:rsid w:val="00FC102D"/>
    <w:rsid w:val="00FC1AA8"/>
    <w:rsid w:val="00FC20E1"/>
    <w:rsid w:val="00FC420F"/>
    <w:rsid w:val="00FC49A2"/>
    <w:rsid w:val="00FC4CAA"/>
    <w:rsid w:val="00FC507A"/>
    <w:rsid w:val="00FC50FA"/>
    <w:rsid w:val="00FC55AD"/>
    <w:rsid w:val="00FC5BBC"/>
    <w:rsid w:val="00FC613D"/>
    <w:rsid w:val="00FD0B8C"/>
    <w:rsid w:val="00FD1DF7"/>
    <w:rsid w:val="00FD238F"/>
    <w:rsid w:val="00FD30AE"/>
    <w:rsid w:val="00FD317D"/>
    <w:rsid w:val="00FD407F"/>
    <w:rsid w:val="00FD45F2"/>
    <w:rsid w:val="00FD573A"/>
    <w:rsid w:val="00FD5F29"/>
    <w:rsid w:val="00FE0DD0"/>
    <w:rsid w:val="00FE0F1C"/>
    <w:rsid w:val="00FE107E"/>
    <w:rsid w:val="00FE2DF0"/>
    <w:rsid w:val="00FE3182"/>
    <w:rsid w:val="00FE41EB"/>
    <w:rsid w:val="00FE5649"/>
    <w:rsid w:val="00FE5BAC"/>
    <w:rsid w:val="00FE65F0"/>
    <w:rsid w:val="00FE7CE9"/>
    <w:rsid w:val="00FF28FA"/>
    <w:rsid w:val="00FF33A0"/>
    <w:rsid w:val="00FF3D52"/>
    <w:rsid w:val="00FF3F43"/>
    <w:rsid w:val="00FF5185"/>
    <w:rsid w:val="00FF51CB"/>
    <w:rsid w:val="00FF5895"/>
    <w:rsid w:val="00FF597D"/>
    <w:rsid w:val="00FF5F78"/>
    <w:rsid w:val="00FF6D18"/>
    <w:rsid w:val="00FF6D93"/>
    <w:rsid w:val="00FF7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91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4238"/>
    <w:pPr>
      <w:spacing w:after="240" w:line="320" w:lineRule="atLeast"/>
      <w:jc w:val="both"/>
    </w:pPr>
    <w:rPr>
      <w:rFonts w:ascii="Times New Roman" w:hAnsi="Times New Roman"/>
    </w:rPr>
  </w:style>
  <w:style w:type="paragraph" w:styleId="Ttulo1">
    <w:name w:val="heading 1"/>
    <w:next w:val="Normal"/>
    <w:link w:val="Ttulo1Car"/>
    <w:uiPriority w:val="9"/>
    <w:qFormat/>
    <w:rsid w:val="006E4238"/>
    <w:pPr>
      <w:keepNext/>
      <w:keepLines/>
      <w:pageBreakBefore/>
      <w:numPr>
        <w:numId w:val="4"/>
      </w:numPr>
      <w:spacing w:after="600" w:line="560" w:lineRule="exact"/>
      <w:outlineLvl w:val="0"/>
    </w:pPr>
    <w:rPr>
      <w:rFonts w:ascii="Times New Roman" w:eastAsiaTheme="majorEastAsia" w:hAnsi="Times New Roman" w:cstheme="majorBidi"/>
      <w:bCs/>
      <w:sz w:val="36"/>
      <w:szCs w:val="28"/>
    </w:rPr>
  </w:style>
  <w:style w:type="paragraph" w:styleId="Ttulo2">
    <w:name w:val="heading 2"/>
    <w:basedOn w:val="Normal"/>
    <w:next w:val="Normal"/>
    <w:link w:val="Ttulo2Car"/>
    <w:uiPriority w:val="9"/>
    <w:unhideWhenUsed/>
    <w:qFormat/>
    <w:rsid w:val="006E4238"/>
    <w:pPr>
      <w:keepNext/>
      <w:keepLines/>
      <w:numPr>
        <w:ilvl w:val="1"/>
        <w:numId w:val="4"/>
      </w:numPr>
      <w:spacing w:before="360"/>
      <w:outlineLvl w:val="1"/>
    </w:pPr>
    <w:rPr>
      <w:rFonts w:eastAsiaTheme="majorEastAsia" w:cstheme="majorBidi"/>
      <w:b/>
      <w:bCs/>
      <w:sz w:val="24"/>
      <w:szCs w:val="26"/>
    </w:rPr>
  </w:style>
  <w:style w:type="paragraph" w:styleId="Ttulo3">
    <w:name w:val="heading 3"/>
    <w:basedOn w:val="Normal"/>
    <w:next w:val="Normal"/>
    <w:link w:val="Ttulo3Car"/>
    <w:uiPriority w:val="9"/>
    <w:unhideWhenUsed/>
    <w:qFormat/>
    <w:rsid w:val="006E4238"/>
    <w:pPr>
      <w:keepNext/>
      <w:keepLines/>
      <w:numPr>
        <w:ilvl w:val="2"/>
        <w:numId w:val="4"/>
      </w:numPr>
      <w:spacing w:before="360"/>
      <w:outlineLvl w:val="2"/>
    </w:pPr>
    <w:rPr>
      <w:rFonts w:eastAsiaTheme="majorEastAsia" w:cstheme="majorBidi"/>
      <w:b/>
      <w:bCs/>
    </w:rPr>
  </w:style>
  <w:style w:type="paragraph" w:styleId="Ttulo4">
    <w:name w:val="heading 4"/>
    <w:basedOn w:val="Normal"/>
    <w:next w:val="Normal"/>
    <w:link w:val="Ttulo4Car"/>
    <w:uiPriority w:val="9"/>
    <w:unhideWhenUsed/>
    <w:qFormat/>
    <w:rsid w:val="006E4238"/>
    <w:pPr>
      <w:keepNext/>
      <w:keepLines/>
      <w:numPr>
        <w:ilvl w:val="3"/>
        <w:numId w:val="4"/>
      </w:numPr>
      <w:spacing w:before="360"/>
      <w:outlineLvl w:val="3"/>
    </w:pPr>
    <w:rPr>
      <w:rFonts w:eastAsiaTheme="majorEastAsia" w:cstheme="majorBidi"/>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2">
    <w:name w:val="List Bullet 2"/>
    <w:basedOn w:val="Listaconvietas"/>
    <w:link w:val="Listaconvietas2Car"/>
    <w:uiPriority w:val="99"/>
    <w:unhideWhenUsed/>
    <w:qFormat/>
    <w:rsid w:val="006E4238"/>
    <w:pPr>
      <w:keepLines/>
      <w:numPr>
        <w:numId w:val="5"/>
      </w:numPr>
    </w:pPr>
  </w:style>
  <w:style w:type="paragraph" w:styleId="Encabezado">
    <w:name w:val="header"/>
    <w:link w:val="EncabezadoCar"/>
    <w:uiPriority w:val="99"/>
    <w:unhideWhenUsed/>
    <w:rsid w:val="006E4238"/>
    <w:pPr>
      <w:tabs>
        <w:tab w:val="right" w:pos="9214"/>
      </w:tabs>
      <w:spacing w:after="0" w:line="260" w:lineRule="atLeast"/>
      <w:ind w:left="-499" w:right="-499"/>
      <w:jc w:val="right"/>
    </w:pPr>
    <w:rPr>
      <w:rFonts w:ascii="Franklin Gothic Book" w:hAnsi="Franklin Gothic Book"/>
      <w:sz w:val="18"/>
    </w:rPr>
  </w:style>
  <w:style w:type="character" w:customStyle="1" w:styleId="EncabezadoCar">
    <w:name w:val="Encabezado Car"/>
    <w:basedOn w:val="Fuentedeprrafopredeter"/>
    <w:link w:val="Encabezado"/>
    <w:uiPriority w:val="99"/>
    <w:rsid w:val="006E4238"/>
    <w:rPr>
      <w:rFonts w:ascii="Franklin Gothic Book" w:hAnsi="Franklin Gothic Book"/>
      <w:sz w:val="18"/>
    </w:rPr>
  </w:style>
  <w:style w:type="paragraph" w:customStyle="1" w:styleId="Border">
    <w:name w:val="Border"/>
    <w:next w:val="Normal"/>
    <w:qFormat/>
    <w:rsid w:val="006E4238"/>
    <w:pPr>
      <w:spacing w:after="360" w:line="320" w:lineRule="atLeast"/>
      <w:jc w:val="center"/>
    </w:pPr>
    <w:rPr>
      <w:rFonts w:ascii="Times New Roman" w:hAnsi="Times New Roman"/>
    </w:rPr>
  </w:style>
  <w:style w:type="paragraph" w:styleId="Descripcin">
    <w:name w:val="caption"/>
    <w:next w:val="Border"/>
    <w:uiPriority w:val="35"/>
    <w:qFormat/>
    <w:rsid w:val="006E4238"/>
    <w:pPr>
      <w:keepNext/>
      <w:pBdr>
        <w:bottom w:val="single" w:sz="6" w:space="3" w:color="A6A6A6" w:themeColor="background1" w:themeShade="A6"/>
      </w:pBdr>
      <w:tabs>
        <w:tab w:val="left" w:pos="2041"/>
      </w:tabs>
      <w:spacing w:after="160" w:line="320" w:lineRule="atLeast"/>
    </w:pPr>
    <w:rPr>
      <w:rFonts w:ascii="Franklin Gothic Book" w:hAnsi="Franklin Gothic Book" w:cs="Arial"/>
      <w:bCs/>
      <w:i/>
      <w:sz w:val="20"/>
      <w:szCs w:val="18"/>
    </w:rPr>
  </w:style>
  <w:style w:type="paragraph" w:customStyle="1" w:styleId="Captionsmall">
    <w:name w:val="Caption: small"/>
    <w:basedOn w:val="Descripcin"/>
    <w:next w:val="Normal"/>
    <w:qFormat/>
    <w:rsid w:val="006E4238"/>
    <w:pPr>
      <w:pBdr>
        <w:bottom w:val="none" w:sz="0" w:space="0" w:color="auto"/>
      </w:pBdr>
      <w:spacing w:after="0"/>
      <w:ind w:left="113" w:right="113"/>
    </w:pPr>
  </w:style>
  <w:style w:type="paragraph" w:customStyle="1" w:styleId="Bordersmall">
    <w:name w:val="Border: small"/>
    <w:basedOn w:val="Border"/>
    <w:qFormat/>
    <w:rsid w:val="006E4238"/>
    <w:pPr>
      <w:spacing w:after="0"/>
    </w:pPr>
  </w:style>
  <w:style w:type="paragraph" w:customStyle="1" w:styleId="Emphasised">
    <w:name w:val="Emphasised"/>
    <w:basedOn w:val="Normal"/>
    <w:qFormat/>
    <w:rsid w:val="006E4238"/>
    <w:pPr>
      <w:keepLines/>
      <w:shd w:val="clear" w:color="auto" w:fill="B8CCE4" w:themeFill="accent1" w:themeFillTint="66"/>
      <w:spacing w:line="320" w:lineRule="exact"/>
    </w:pPr>
  </w:style>
  <w:style w:type="character" w:customStyle="1" w:styleId="HeaderChar">
    <w:name w:val="Header Char"/>
    <w:basedOn w:val="Fuentedeprrafopredeter"/>
    <w:uiPriority w:val="99"/>
    <w:semiHidden/>
    <w:rsid w:val="006E4238"/>
    <w:rPr>
      <w:rFonts w:ascii="Arial" w:hAnsi="Arial"/>
      <w:sz w:val="16"/>
    </w:rPr>
  </w:style>
  <w:style w:type="character" w:customStyle="1" w:styleId="Listaconvietas2Car">
    <w:name w:val="Lista con viñetas 2 Car"/>
    <w:basedOn w:val="Fuentedeprrafopredeter"/>
    <w:link w:val="Listaconvietas2"/>
    <w:uiPriority w:val="99"/>
    <w:rsid w:val="006E4238"/>
    <w:rPr>
      <w:rFonts w:ascii="Times New Roman" w:hAnsi="Times New Roman"/>
    </w:rPr>
  </w:style>
  <w:style w:type="paragraph" w:styleId="Textonotapie">
    <w:name w:val="footnote text"/>
    <w:link w:val="TextonotapieCar"/>
    <w:uiPriority w:val="99"/>
    <w:unhideWhenUsed/>
    <w:rsid w:val="006E4238"/>
    <w:pPr>
      <w:spacing w:after="100" w:line="240" w:lineRule="auto"/>
      <w:ind w:left="499" w:hanging="499"/>
    </w:pPr>
    <w:rPr>
      <w:rFonts w:ascii="Franklin Gothic Book" w:hAnsi="Franklin Gothic Book"/>
      <w:sz w:val="18"/>
      <w:szCs w:val="20"/>
    </w:rPr>
  </w:style>
  <w:style w:type="character" w:customStyle="1" w:styleId="FooterChar">
    <w:name w:val="Footer Char"/>
    <w:basedOn w:val="Fuentedeprrafopredeter"/>
    <w:uiPriority w:val="99"/>
    <w:rsid w:val="006E4238"/>
    <w:rPr>
      <w:rFonts w:ascii="Arial" w:hAnsi="Arial"/>
      <w:sz w:val="16"/>
    </w:rPr>
  </w:style>
  <w:style w:type="character" w:styleId="Hipervnculo">
    <w:name w:val="Hyperlink"/>
    <w:basedOn w:val="Fuentedeprrafopredeter"/>
    <w:uiPriority w:val="99"/>
    <w:unhideWhenUsed/>
    <w:rsid w:val="006E4238"/>
    <w:rPr>
      <w:color w:val="auto"/>
      <w:u w:val="none"/>
    </w:rPr>
  </w:style>
  <w:style w:type="character" w:styleId="Hipervnculovisitado">
    <w:name w:val="FollowedHyperlink"/>
    <w:basedOn w:val="Fuentedeprrafopredeter"/>
    <w:uiPriority w:val="99"/>
    <w:semiHidden/>
    <w:unhideWhenUsed/>
    <w:rsid w:val="006E4238"/>
    <w:rPr>
      <w:color w:val="800080" w:themeColor="followedHyperlink"/>
      <w:u w:val="single"/>
    </w:rPr>
  </w:style>
  <w:style w:type="paragraph" w:styleId="Listaconvietas">
    <w:name w:val="List Bullet"/>
    <w:basedOn w:val="Normal"/>
    <w:uiPriority w:val="99"/>
    <w:unhideWhenUsed/>
    <w:qFormat/>
    <w:rsid w:val="006E4238"/>
    <w:pPr>
      <w:numPr>
        <w:numId w:val="6"/>
      </w:numPr>
    </w:pPr>
  </w:style>
  <w:style w:type="paragraph" w:customStyle="1" w:styleId="ListBulletCompact">
    <w:name w:val="List Bullet Compact"/>
    <w:basedOn w:val="Listaconvietas"/>
    <w:qFormat/>
    <w:rsid w:val="006E4238"/>
    <w:pPr>
      <w:ind w:left="357" w:hanging="357"/>
      <w:contextualSpacing/>
    </w:pPr>
  </w:style>
  <w:style w:type="paragraph" w:customStyle="1" w:styleId="ListBullet2Compact">
    <w:name w:val="List Bullet 2 Compact"/>
    <w:basedOn w:val="Listaconvietas2"/>
    <w:qFormat/>
    <w:rsid w:val="006E4238"/>
    <w:pPr>
      <w:numPr>
        <w:numId w:val="8"/>
      </w:numPr>
      <w:contextualSpacing/>
    </w:pPr>
  </w:style>
  <w:style w:type="paragraph" w:styleId="Listaconnmeros">
    <w:name w:val="List Number"/>
    <w:basedOn w:val="Normal"/>
    <w:uiPriority w:val="99"/>
    <w:semiHidden/>
    <w:unhideWhenUsed/>
    <w:rsid w:val="006E4238"/>
    <w:pPr>
      <w:numPr>
        <w:numId w:val="7"/>
      </w:numPr>
      <w:contextualSpacing/>
    </w:pPr>
  </w:style>
  <w:style w:type="paragraph" w:customStyle="1" w:styleId="Annex1">
    <w:name w:val="Annex 1"/>
    <w:next w:val="Normal"/>
    <w:qFormat/>
    <w:rsid w:val="006E4238"/>
    <w:pPr>
      <w:keepNext/>
      <w:pageBreakBefore/>
      <w:numPr>
        <w:numId w:val="2"/>
      </w:numPr>
      <w:spacing w:after="600" w:line="560" w:lineRule="exact"/>
      <w:outlineLvl w:val="0"/>
    </w:pPr>
    <w:rPr>
      <w:rFonts w:ascii="Times New Roman" w:hAnsi="Times New Roman"/>
      <w:sz w:val="36"/>
    </w:rPr>
  </w:style>
  <w:style w:type="paragraph" w:styleId="Sangradetextonormal">
    <w:name w:val="Body Text Indent"/>
    <w:basedOn w:val="Normal"/>
    <w:link w:val="SangradetextonormalCar"/>
    <w:uiPriority w:val="99"/>
    <w:semiHidden/>
    <w:unhideWhenUsed/>
    <w:rsid w:val="006E4238"/>
    <w:pPr>
      <w:spacing w:after="120"/>
      <w:ind w:left="283"/>
    </w:pPr>
  </w:style>
  <w:style w:type="character" w:customStyle="1" w:styleId="SangradetextonormalCar">
    <w:name w:val="Sangría de texto normal Car"/>
    <w:basedOn w:val="Fuentedeprrafopredeter"/>
    <w:link w:val="Sangradetextonormal"/>
    <w:uiPriority w:val="99"/>
    <w:semiHidden/>
    <w:rsid w:val="006E4238"/>
    <w:rPr>
      <w:rFonts w:ascii="Times New Roman" w:hAnsi="Times New Roman"/>
    </w:rPr>
  </w:style>
  <w:style w:type="character" w:customStyle="1" w:styleId="Ttulo1Car">
    <w:name w:val="Título 1 Car"/>
    <w:basedOn w:val="Fuentedeprrafopredeter"/>
    <w:link w:val="Ttulo1"/>
    <w:uiPriority w:val="9"/>
    <w:rsid w:val="006E4238"/>
    <w:rPr>
      <w:rFonts w:ascii="Times New Roman" w:eastAsiaTheme="majorEastAsia" w:hAnsi="Times New Roman" w:cstheme="majorBidi"/>
      <w:bCs/>
      <w:sz w:val="36"/>
      <w:szCs w:val="28"/>
    </w:rPr>
  </w:style>
  <w:style w:type="character" w:customStyle="1" w:styleId="Ttulo2Car">
    <w:name w:val="Título 2 Car"/>
    <w:basedOn w:val="Fuentedeprrafopredeter"/>
    <w:link w:val="Ttulo2"/>
    <w:uiPriority w:val="9"/>
    <w:rsid w:val="006E4238"/>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6E4238"/>
    <w:rPr>
      <w:rFonts w:ascii="Times New Roman" w:eastAsiaTheme="majorEastAsia" w:hAnsi="Times New Roman" w:cstheme="majorBidi"/>
      <w:b/>
      <w:bCs/>
    </w:rPr>
  </w:style>
  <w:style w:type="numbering" w:styleId="1ai">
    <w:name w:val="Outline List 1"/>
    <w:basedOn w:val="Sinlista"/>
    <w:uiPriority w:val="99"/>
    <w:semiHidden/>
    <w:unhideWhenUsed/>
    <w:rsid w:val="006E4238"/>
    <w:pPr>
      <w:numPr>
        <w:numId w:val="1"/>
      </w:numPr>
    </w:pPr>
  </w:style>
  <w:style w:type="character" w:customStyle="1" w:styleId="TextonotapieCar">
    <w:name w:val="Texto nota pie Car"/>
    <w:basedOn w:val="Fuentedeprrafopredeter"/>
    <w:link w:val="Textonotapie"/>
    <w:uiPriority w:val="99"/>
    <w:rsid w:val="006E4238"/>
    <w:rPr>
      <w:rFonts w:ascii="Franklin Gothic Book" w:hAnsi="Franklin Gothic Book"/>
      <w:sz w:val="18"/>
      <w:szCs w:val="20"/>
    </w:rPr>
  </w:style>
  <w:style w:type="character" w:styleId="Refdenotaalpie">
    <w:name w:val="footnote reference"/>
    <w:basedOn w:val="Fuentedeprrafopredeter"/>
    <w:uiPriority w:val="99"/>
    <w:unhideWhenUsed/>
    <w:rsid w:val="006E4238"/>
    <w:rPr>
      <w:rFonts w:ascii="Franklin Gothic Book" w:hAnsi="Franklin Gothic Book"/>
      <w:b w:val="0"/>
      <w:i w:val="0"/>
      <w:sz w:val="22"/>
      <w:vertAlign w:val="superscript"/>
    </w:rPr>
  </w:style>
  <w:style w:type="paragraph" w:styleId="Piedepgina">
    <w:name w:val="footer"/>
    <w:link w:val="PiedepginaCar"/>
    <w:uiPriority w:val="99"/>
    <w:unhideWhenUsed/>
    <w:rsid w:val="006E4238"/>
    <w:pPr>
      <w:tabs>
        <w:tab w:val="center" w:pos="4394"/>
        <w:tab w:val="right" w:pos="9214"/>
      </w:tabs>
      <w:spacing w:after="0" w:line="260" w:lineRule="atLeast"/>
      <w:ind w:left="-499" w:right="-499"/>
    </w:pPr>
    <w:rPr>
      <w:rFonts w:ascii="Franklin Gothic Book" w:hAnsi="Franklin Gothic Book"/>
      <w:sz w:val="18"/>
    </w:rPr>
  </w:style>
  <w:style w:type="character" w:customStyle="1" w:styleId="PiedepginaCar">
    <w:name w:val="Pie de página Car"/>
    <w:basedOn w:val="Fuentedeprrafopredeter"/>
    <w:link w:val="Piedepgina"/>
    <w:uiPriority w:val="99"/>
    <w:rsid w:val="006E4238"/>
    <w:rPr>
      <w:rFonts w:ascii="Franklin Gothic Book" w:hAnsi="Franklin Gothic Book"/>
      <w:sz w:val="18"/>
    </w:rPr>
  </w:style>
  <w:style w:type="character" w:styleId="Nmerodepgina">
    <w:name w:val="page number"/>
    <w:basedOn w:val="Fuentedeprrafopredeter"/>
    <w:unhideWhenUsed/>
    <w:rsid w:val="006E4238"/>
  </w:style>
  <w:style w:type="paragraph" w:customStyle="1" w:styleId="I1">
    <w:name w:val="I1"/>
    <w:basedOn w:val="Listaconvietas"/>
    <w:rsid w:val="006E4238"/>
  </w:style>
  <w:style w:type="paragraph" w:customStyle="1" w:styleId="II">
    <w:name w:val="II"/>
    <w:basedOn w:val="Listaconvietas2"/>
    <w:link w:val="IIChar"/>
    <w:qFormat/>
    <w:rsid w:val="006E4238"/>
  </w:style>
  <w:style w:type="character" w:customStyle="1" w:styleId="IIChar">
    <w:name w:val="II Char"/>
    <w:basedOn w:val="Listaconvietas2Car"/>
    <w:link w:val="II"/>
    <w:rsid w:val="006E4238"/>
    <w:rPr>
      <w:rFonts w:ascii="Times New Roman" w:hAnsi="Times New Roman"/>
    </w:rPr>
  </w:style>
  <w:style w:type="paragraph" w:customStyle="1" w:styleId="LL">
    <w:name w:val="LL"/>
    <w:basedOn w:val="ListBullet2Compact"/>
    <w:rsid w:val="006E4238"/>
    <w:pPr>
      <w:ind w:left="714" w:hanging="357"/>
    </w:pPr>
  </w:style>
  <w:style w:type="paragraph" w:customStyle="1" w:styleId="SBSheader">
    <w:name w:val="SBS: header"/>
    <w:basedOn w:val="Normal"/>
    <w:qFormat/>
    <w:rsid w:val="006E4238"/>
    <w:pPr>
      <w:jc w:val="left"/>
    </w:pPr>
    <w:rPr>
      <w:i/>
    </w:rPr>
  </w:style>
  <w:style w:type="paragraph" w:customStyle="1" w:styleId="Tablecells">
    <w:name w:val="Table: cells"/>
    <w:qFormat/>
    <w:rsid w:val="006E4238"/>
    <w:pPr>
      <w:spacing w:before="40" w:after="40" w:line="240" w:lineRule="exact"/>
      <w:ind w:right="113"/>
    </w:pPr>
    <w:rPr>
      <w:rFonts w:ascii="Franklin Gothic Book" w:hAnsi="Franklin Gothic Book"/>
      <w:sz w:val="20"/>
    </w:rPr>
  </w:style>
  <w:style w:type="paragraph" w:customStyle="1" w:styleId="Tableheading">
    <w:name w:val="Table: heading"/>
    <w:basedOn w:val="Tablecells"/>
    <w:next w:val="Tablecells"/>
    <w:qFormat/>
    <w:rsid w:val="006E4238"/>
    <w:pPr>
      <w:keepNext/>
    </w:pPr>
    <w:rPr>
      <w:b/>
      <w:color w:val="FFFFFF"/>
    </w:rPr>
  </w:style>
  <w:style w:type="paragraph" w:customStyle="1" w:styleId="Tablenote">
    <w:name w:val="Table: note"/>
    <w:basedOn w:val="Tablecells"/>
    <w:qFormat/>
    <w:rsid w:val="006E4238"/>
    <w:pPr>
      <w:pBdr>
        <w:bottom w:val="single" w:sz="4" w:space="9" w:color="auto"/>
      </w:pBdr>
      <w:tabs>
        <w:tab w:val="left" w:pos="567"/>
      </w:tabs>
      <w:spacing w:before="100" w:after="0"/>
      <w:ind w:left="567" w:right="0" w:hanging="567"/>
    </w:pPr>
  </w:style>
  <w:style w:type="paragraph" w:customStyle="1" w:styleId="Tablebullet">
    <w:name w:val="Table: bullet"/>
    <w:basedOn w:val="Tablecells"/>
    <w:qFormat/>
    <w:rsid w:val="006E4238"/>
    <w:pPr>
      <w:numPr>
        <w:numId w:val="9"/>
      </w:numPr>
    </w:pPr>
  </w:style>
  <w:style w:type="paragraph" w:styleId="TDC2">
    <w:name w:val="toc 2"/>
    <w:basedOn w:val="TDC1"/>
    <w:next w:val="Normal"/>
    <w:autoRedefine/>
    <w:uiPriority w:val="39"/>
    <w:unhideWhenUsed/>
    <w:rsid w:val="006E4238"/>
    <w:pPr>
      <w:keepNext w:val="0"/>
      <w:spacing w:before="0"/>
    </w:pPr>
    <w:rPr>
      <w:b w:val="0"/>
      <w:noProof/>
    </w:rPr>
  </w:style>
  <w:style w:type="paragraph" w:styleId="Textocomentario">
    <w:name w:val="annotation text"/>
    <w:basedOn w:val="Normal"/>
    <w:link w:val="TextocomentarioCar"/>
    <w:uiPriority w:val="99"/>
    <w:unhideWhenUsed/>
    <w:rsid w:val="006E4238"/>
    <w:pPr>
      <w:spacing w:line="240" w:lineRule="auto"/>
    </w:pPr>
    <w:rPr>
      <w:sz w:val="20"/>
      <w:szCs w:val="20"/>
    </w:rPr>
  </w:style>
  <w:style w:type="character" w:customStyle="1" w:styleId="TextocomentarioCar">
    <w:name w:val="Texto comentario Car"/>
    <w:basedOn w:val="Fuentedeprrafopredeter"/>
    <w:link w:val="Textocomentario"/>
    <w:uiPriority w:val="99"/>
    <w:rsid w:val="006E4238"/>
    <w:rPr>
      <w:rFonts w:ascii="Times New Roman" w:hAnsi="Times New Roman"/>
      <w:sz w:val="20"/>
      <w:szCs w:val="20"/>
    </w:rPr>
  </w:style>
  <w:style w:type="character" w:customStyle="1" w:styleId="ConfidentialFooter">
    <w:name w:val="ConfidentialFooter"/>
    <w:basedOn w:val="Fuentedeprrafopredeter"/>
    <w:rsid w:val="006E4238"/>
    <w:rPr>
      <w:color w:val="FFFFFF"/>
      <w:sz w:val="2"/>
    </w:rPr>
  </w:style>
  <w:style w:type="paragraph" w:customStyle="1" w:styleId="ConfidentialFront">
    <w:name w:val="ConfidentialFront"/>
    <w:basedOn w:val="Normal"/>
    <w:qFormat/>
    <w:rsid w:val="006E4238"/>
    <w:pPr>
      <w:spacing w:before="960"/>
      <w:ind w:left="5103" w:right="-397"/>
    </w:pPr>
    <w:rPr>
      <w:rFonts w:ascii="Arial" w:hAnsi="Arial"/>
      <w:color w:val="FFFFFF"/>
      <w:sz w:val="2"/>
    </w:rPr>
  </w:style>
  <w:style w:type="paragraph" w:customStyle="1" w:styleId="H5">
    <w:name w:val="H5"/>
    <w:basedOn w:val="Normal"/>
    <w:next w:val="Normal"/>
    <w:link w:val="H5Char"/>
    <w:qFormat/>
    <w:rsid w:val="006E4238"/>
    <w:pPr>
      <w:keepNext/>
      <w:numPr>
        <w:numId w:val="3"/>
      </w:numPr>
      <w:spacing w:after="200"/>
    </w:pPr>
    <w:rPr>
      <w:i/>
    </w:rPr>
  </w:style>
  <w:style w:type="character" w:customStyle="1" w:styleId="H5Char">
    <w:name w:val="H5 Char"/>
    <w:basedOn w:val="Fuentedeprrafopredeter"/>
    <w:link w:val="H5"/>
    <w:rsid w:val="006E4238"/>
    <w:rPr>
      <w:rFonts w:ascii="Times New Roman" w:hAnsi="Times New Roman"/>
      <w:i/>
    </w:rPr>
  </w:style>
  <w:style w:type="paragraph" w:styleId="TDC1">
    <w:name w:val="toc 1"/>
    <w:basedOn w:val="Normal"/>
    <w:next w:val="Normal"/>
    <w:autoRedefine/>
    <w:uiPriority w:val="39"/>
    <w:unhideWhenUsed/>
    <w:rsid w:val="006E4238"/>
    <w:pPr>
      <w:keepNext/>
      <w:tabs>
        <w:tab w:val="left" w:pos="635"/>
        <w:tab w:val="right" w:pos="8789"/>
      </w:tabs>
      <w:spacing w:before="240" w:after="0"/>
    </w:pPr>
    <w:rPr>
      <w:b/>
    </w:rPr>
  </w:style>
  <w:style w:type="paragraph" w:styleId="TDC3">
    <w:name w:val="toc 3"/>
    <w:basedOn w:val="TDC2"/>
    <w:next w:val="Normal"/>
    <w:autoRedefine/>
    <w:uiPriority w:val="39"/>
    <w:unhideWhenUsed/>
    <w:rsid w:val="006E4238"/>
    <w:rPr>
      <w:sz w:val="20"/>
    </w:rPr>
  </w:style>
  <w:style w:type="paragraph" w:styleId="TDC4">
    <w:name w:val="toc 4"/>
    <w:basedOn w:val="TDC3"/>
    <w:next w:val="Normal"/>
    <w:autoRedefine/>
    <w:uiPriority w:val="39"/>
    <w:unhideWhenUsed/>
    <w:rsid w:val="006E4238"/>
  </w:style>
  <w:style w:type="character" w:customStyle="1" w:styleId="Ttulo4Car">
    <w:name w:val="Título 4 Car"/>
    <w:basedOn w:val="Fuentedeprrafopredeter"/>
    <w:link w:val="Ttulo4"/>
    <w:uiPriority w:val="9"/>
    <w:rsid w:val="006E4238"/>
    <w:rPr>
      <w:rFonts w:ascii="Times New Roman" w:eastAsiaTheme="majorEastAsia" w:hAnsi="Times New Roman" w:cstheme="majorBidi"/>
      <w:bCs/>
      <w:i/>
      <w:iCs/>
    </w:rPr>
  </w:style>
  <w:style w:type="paragraph" w:customStyle="1" w:styleId="Annex2">
    <w:name w:val="Annex 2"/>
    <w:next w:val="Normal"/>
    <w:qFormat/>
    <w:rsid w:val="006E4238"/>
    <w:pPr>
      <w:keepNext/>
      <w:numPr>
        <w:ilvl w:val="1"/>
        <w:numId w:val="2"/>
      </w:numPr>
      <w:spacing w:before="360" w:line="320" w:lineRule="atLeast"/>
      <w:outlineLvl w:val="1"/>
    </w:pPr>
    <w:rPr>
      <w:rFonts w:ascii="Times New Roman" w:hAnsi="Times New Roman"/>
      <w:b/>
      <w:sz w:val="24"/>
    </w:rPr>
  </w:style>
  <w:style w:type="paragraph" w:customStyle="1" w:styleId="Annex3">
    <w:name w:val="Annex 3"/>
    <w:next w:val="Normal"/>
    <w:qFormat/>
    <w:rsid w:val="006E4238"/>
    <w:pPr>
      <w:keepNext/>
      <w:numPr>
        <w:ilvl w:val="2"/>
        <w:numId w:val="2"/>
      </w:numPr>
      <w:spacing w:before="360" w:after="240" w:line="320" w:lineRule="atLeast"/>
      <w:outlineLvl w:val="2"/>
    </w:pPr>
    <w:rPr>
      <w:rFonts w:ascii="Times New Roman" w:hAnsi="Times New Roman"/>
      <w:b/>
    </w:rPr>
  </w:style>
  <w:style w:type="paragraph" w:customStyle="1" w:styleId="Annex4">
    <w:name w:val="Annex 4"/>
    <w:next w:val="Normal"/>
    <w:qFormat/>
    <w:rsid w:val="006E4238"/>
    <w:pPr>
      <w:keepNext/>
      <w:numPr>
        <w:ilvl w:val="3"/>
        <w:numId w:val="2"/>
      </w:numPr>
      <w:spacing w:before="360" w:after="240" w:line="320" w:lineRule="atLeast"/>
      <w:outlineLvl w:val="3"/>
    </w:pPr>
    <w:rPr>
      <w:rFonts w:ascii="Times New Roman" w:hAnsi="Times New Roman"/>
      <w:i/>
    </w:rPr>
  </w:style>
  <w:style w:type="paragraph" w:customStyle="1" w:styleId="cvcont">
    <w:name w:val="cvcont"/>
    <w:basedOn w:val="Normal"/>
    <w:next w:val="Normal"/>
    <w:qFormat/>
    <w:rsid w:val="006E4238"/>
    <w:pPr>
      <w:spacing w:before="300" w:line="240" w:lineRule="exact"/>
      <w:ind w:left="-499" w:right="-499"/>
      <w:jc w:val="left"/>
    </w:pPr>
    <w:rPr>
      <w:b/>
      <w:sz w:val="18"/>
    </w:rPr>
  </w:style>
  <w:style w:type="paragraph" w:customStyle="1" w:styleId="Titletype">
    <w:name w:val="Title: type"/>
    <w:next w:val="Titlemain"/>
    <w:qFormat/>
    <w:rsid w:val="006E4238"/>
    <w:pPr>
      <w:spacing w:before="6800" w:after="240" w:line="320" w:lineRule="atLeast"/>
    </w:pPr>
    <w:rPr>
      <w:rFonts w:ascii="Franklin Gothic Book" w:eastAsiaTheme="majorEastAsia" w:hAnsi="Franklin Gothic Book" w:cstheme="majorBidi"/>
      <w:bCs/>
      <w:color w:val="FFFFFF" w:themeColor="background1"/>
      <w:sz w:val="24"/>
      <w:szCs w:val="24"/>
    </w:rPr>
  </w:style>
  <w:style w:type="paragraph" w:customStyle="1" w:styleId="Titlemain">
    <w:name w:val="Title: main"/>
    <w:next w:val="Normal"/>
    <w:qFormat/>
    <w:rsid w:val="006E4238"/>
    <w:pPr>
      <w:spacing w:after="280" w:line="280" w:lineRule="atLeast"/>
      <w:ind w:right="2268"/>
    </w:pPr>
    <w:rPr>
      <w:rFonts w:ascii="Franklin Gothic Book" w:eastAsiaTheme="majorEastAsia" w:hAnsi="Franklin Gothic Book" w:cstheme="majorBidi"/>
      <w:bCs/>
      <w:color w:val="FFFFFF"/>
      <w:spacing w:val="8"/>
      <w:sz w:val="48"/>
      <w:szCs w:val="34"/>
    </w:rPr>
  </w:style>
  <w:style w:type="paragraph" w:customStyle="1" w:styleId="Titleauthor">
    <w:name w:val="Title: author"/>
    <w:basedOn w:val="Normal"/>
    <w:next w:val="Titledate"/>
    <w:qFormat/>
    <w:rsid w:val="006E4238"/>
    <w:pPr>
      <w:spacing w:after="160" w:line="259" w:lineRule="auto"/>
      <w:jc w:val="left"/>
    </w:pPr>
    <w:rPr>
      <w:rFonts w:ascii="Franklin Gothic Book" w:eastAsiaTheme="majorEastAsia" w:hAnsi="Franklin Gothic Book" w:cstheme="majorBidi"/>
      <w:bCs/>
      <w:color w:val="FFFFFF" w:themeColor="background1"/>
      <w:sz w:val="24"/>
      <w:szCs w:val="19"/>
    </w:rPr>
  </w:style>
  <w:style w:type="paragraph" w:customStyle="1" w:styleId="Titledate">
    <w:name w:val="Title: date"/>
    <w:basedOn w:val="Titlemain"/>
    <w:next w:val="TitleRefNo"/>
    <w:qFormat/>
    <w:rsid w:val="006E4238"/>
    <w:pPr>
      <w:spacing w:after="160" w:line="259" w:lineRule="auto"/>
      <w:ind w:right="0"/>
    </w:pPr>
    <w:rPr>
      <w:i/>
      <w:color w:val="FFFFFF" w:themeColor="background1"/>
      <w:spacing w:val="0"/>
      <w:sz w:val="24"/>
      <w:szCs w:val="24"/>
    </w:rPr>
  </w:style>
  <w:style w:type="paragraph" w:customStyle="1" w:styleId="TitleRefNo">
    <w:name w:val="Title: RefNo"/>
    <w:basedOn w:val="Titledate"/>
    <w:next w:val="Normal"/>
    <w:qFormat/>
    <w:rsid w:val="006E4238"/>
    <w:rPr>
      <w:szCs w:val="18"/>
    </w:rPr>
  </w:style>
  <w:style w:type="paragraph" w:customStyle="1" w:styleId="B1">
    <w:name w:val="B1"/>
    <w:basedOn w:val="Emphasised"/>
    <w:qFormat/>
    <w:rsid w:val="006E4238"/>
  </w:style>
  <w:style w:type="paragraph" w:customStyle="1" w:styleId="Contentsheading">
    <w:name w:val="Contents: heading"/>
    <w:basedOn w:val="Normal"/>
    <w:next w:val="TDC1"/>
    <w:qFormat/>
    <w:rsid w:val="006E4238"/>
    <w:pPr>
      <w:spacing w:after="560" w:line="720" w:lineRule="exact"/>
    </w:pPr>
    <w:rPr>
      <w:sz w:val="40"/>
    </w:rPr>
  </w:style>
  <w:style w:type="paragraph" w:customStyle="1" w:styleId="Contentssubsection">
    <w:name w:val="Contents: subsection"/>
    <w:basedOn w:val="Normal"/>
    <w:next w:val="TDC1"/>
    <w:qFormat/>
    <w:rsid w:val="006E4238"/>
    <w:pPr>
      <w:spacing w:before="360" w:after="0"/>
    </w:pPr>
    <w:rPr>
      <w:b/>
      <w:sz w:val="26"/>
    </w:rPr>
  </w:style>
  <w:style w:type="paragraph" w:customStyle="1" w:styleId="cvhead">
    <w:name w:val="cvhead"/>
    <w:basedOn w:val="Normal"/>
    <w:next w:val="Normal"/>
    <w:qFormat/>
    <w:rsid w:val="006E4238"/>
    <w:pPr>
      <w:keepNext/>
      <w:spacing w:after="400" w:line="400" w:lineRule="exact"/>
      <w:ind w:left="-499"/>
    </w:pPr>
    <w:rPr>
      <w:b/>
      <w:sz w:val="30"/>
    </w:rPr>
  </w:style>
  <w:style w:type="paragraph" w:customStyle="1" w:styleId="cvsec">
    <w:name w:val="cvsec"/>
    <w:basedOn w:val="Normal"/>
    <w:next w:val="Normal"/>
    <w:qFormat/>
    <w:rsid w:val="006E4238"/>
    <w:pPr>
      <w:keepNext/>
      <w:spacing w:before="240"/>
      <w:ind w:left="-499"/>
    </w:pPr>
    <w:rPr>
      <w:b/>
    </w:rPr>
  </w:style>
  <w:style w:type="paragraph" w:customStyle="1" w:styleId="01">
    <w:name w:val="01"/>
    <w:basedOn w:val="Normal"/>
    <w:qFormat/>
    <w:rsid w:val="006E4238"/>
    <w:pPr>
      <w:spacing w:after="0"/>
    </w:pPr>
  </w:style>
  <w:style w:type="paragraph" w:customStyle="1" w:styleId="Titleaddress">
    <w:name w:val="Title: address"/>
    <w:basedOn w:val="01"/>
    <w:qFormat/>
    <w:rsid w:val="006E4238"/>
    <w:pPr>
      <w:ind w:left="567"/>
    </w:pPr>
  </w:style>
  <w:style w:type="paragraph" w:customStyle="1" w:styleId="L1">
    <w:name w:val="L1"/>
    <w:basedOn w:val="ListBulletCompact"/>
    <w:rsid w:val="006E4238"/>
  </w:style>
  <w:style w:type="paragraph" w:customStyle="1" w:styleId="Titleversion">
    <w:name w:val="Title: version"/>
    <w:basedOn w:val="Normal"/>
    <w:rsid w:val="006E4238"/>
    <w:pPr>
      <w:jc w:val="center"/>
    </w:pPr>
    <w:rPr>
      <w:rFonts w:eastAsia="Times New Roman" w:cs="Times New Roman"/>
      <w:szCs w:val="20"/>
    </w:rPr>
  </w:style>
  <w:style w:type="paragraph" w:customStyle="1" w:styleId="01-reference">
    <w:name w:val="01-reference"/>
    <w:basedOn w:val="TitleRefNo"/>
    <w:rsid w:val="006E42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pPr>
    <w:rPr>
      <w:rFonts w:ascii="Times New Roman" w:eastAsia="Times New Roman" w:hAnsi="Times New Roman" w:cs="Times New Roman"/>
      <w:bCs w:val="0"/>
      <w:i w:val="0"/>
      <w:sz w:val="30"/>
      <w:szCs w:val="20"/>
      <w:lang w:val="es-ES"/>
    </w:rPr>
  </w:style>
  <w:style w:type="table" w:styleId="Sombreadomedio2-nfasis1">
    <w:name w:val="Medium Shading 2 Accent 1"/>
    <w:basedOn w:val="Tablanormal"/>
    <w:uiPriority w:val="64"/>
    <w:unhideWhenUsed/>
    <w:rsid w:val="006E4238"/>
    <w:pPr>
      <w:spacing w:after="0" w:line="240" w:lineRule="auto"/>
    </w:pPr>
    <w:rPr>
      <w:rFonts w:ascii="Franklin Gothic Book" w:hAnsi="Franklin Gothic Book"/>
      <w:sz w:val="20"/>
    </w:rPr>
    <w:tblPr>
      <w:tblStyleRowBandSize w:val="1"/>
      <w:tblStyleColBandSize w:val="1"/>
    </w:tblPr>
    <w:tcPr>
      <w:shd w:val="clear" w:color="auto" w:fill="D9D9D9" w:themeFill="background1" w:themeFillShade="D9"/>
    </w:tcPr>
    <w:tblStylePr w:type="firstRow">
      <w:pPr>
        <w:spacing w:before="0" w:after="0" w:line="240" w:lineRule="auto"/>
      </w:pPr>
      <w:rPr>
        <w:b/>
        <w:bCs/>
        <w:color w:val="FFFFFF" w:themeColor="background1"/>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Horz">
      <w:tbl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9D9D9"/>
      </w:tcPr>
    </w:tblStylePr>
    <w:tblStylePr w:type="band2Horz">
      <w:tbl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TableCaption">
    <w:name w:val="Table Caption"/>
    <w:basedOn w:val="Descripcin"/>
    <w:qFormat/>
    <w:rsid w:val="006E4238"/>
    <w:pPr>
      <w:pBdr>
        <w:bottom w:val="none" w:sz="0" w:space="0" w:color="auto"/>
      </w:pBdr>
    </w:pPr>
  </w:style>
  <w:style w:type="paragraph" w:styleId="Textodeglobo">
    <w:name w:val="Balloon Text"/>
    <w:basedOn w:val="Normal"/>
    <w:link w:val="TextodegloboCar"/>
    <w:uiPriority w:val="99"/>
    <w:semiHidden/>
    <w:unhideWhenUsed/>
    <w:rsid w:val="006E42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4238"/>
    <w:rPr>
      <w:rFonts w:ascii="Segoe UI" w:hAnsi="Segoe UI" w:cs="Segoe UI"/>
      <w:sz w:val="18"/>
      <w:szCs w:val="18"/>
    </w:rPr>
  </w:style>
  <w:style w:type="character" w:styleId="nfasis">
    <w:name w:val="Emphasis"/>
    <w:basedOn w:val="Fuentedeprrafopredeter"/>
    <w:uiPriority w:val="20"/>
    <w:qFormat/>
    <w:rsid w:val="006E4238"/>
    <w:rPr>
      <w:i/>
      <w:iCs/>
    </w:rPr>
  </w:style>
  <w:style w:type="paragraph" w:styleId="Prrafodelista">
    <w:name w:val="List Paragraph"/>
    <w:basedOn w:val="Normal"/>
    <w:uiPriority w:val="34"/>
    <w:qFormat/>
    <w:rsid w:val="006E4238"/>
    <w:pPr>
      <w:ind w:left="720"/>
      <w:contextualSpacing/>
    </w:pPr>
  </w:style>
  <w:style w:type="paragraph" w:styleId="Cita">
    <w:name w:val="Quote"/>
    <w:basedOn w:val="Normal"/>
    <w:link w:val="CitaCar"/>
    <w:uiPriority w:val="29"/>
    <w:qFormat/>
    <w:rsid w:val="006E4238"/>
    <w:pPr>
      <w:ind w:left="284" w:right="284"/>
    </w:pPr>
    <w:rPr>
      <w:i/>
      <w:iCs/>
      <w:color w:val="000000" w:themeColor="text1"/>
    </w:rPr>
  </w:style>
  <w:style w:type="character" w:customStyle="1" w:styleId="CitaCar">
    <w:name w:val="Cita Car"/>
    <w:basedOn w:val="Fuentedeprrafopredeter"/>
    <w:link w:val="Cita"/>
    <w:uiPriority w:val="29"/>
    <w:rsid w:val="006E4238"/>
    <w:rPr>
      <w:rFonts w:ascii="Times New Roman" w:hAnsi="Times New Roman"/>
      <w:i/>
      <w:iCs/>
      <w:color w:val="000000" w:themeColor="text1"/>
    </w:rPr>
  </w:style>
  <w:style w:type="table" w:styleId="Tablaconcuadrcula">
    <w:name w:val="Table Grid"/>
    <w:basedOn w:val="Tablanormal"/>
    <w:uiPriority w:val="59"/>
    <w:unhideWhenUsed/>
    <w:rsid w:val="006E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iller">
    <w:name w:val="Title: filler"/>
    <w:basedOn w:val="Titlemain"/>
    <w:qFormat/>
    <w:rsid w:val="006E4238"/>
    <w:pPr>
      <w:spacing w:after="0" w:line="259" w:lineRule="auto"/>
    </w:pPr>
    <w:rPr>
      <w:sz w:val="36"/>
    </w:rPr>
  </w:style>
  <w:style w:type="character" w:styleId="Refdecomentario">
    <w:name w:val="annotation reference"/>
    <w:basedOn w:val="Fuentedeprrafopredeter"/>
    <w:uiPriority w:val="99"/>
    <w:semiHidden/>
    <w:unhideWhenUsed/>
    <w:rsid w:val="0033706D"/>
    <w:rPr>
      <w:sz w:val="16"/>
      <w:szCs w:val="16"/>
    </w:rPr>
  </w:style>
  <w:style w:type="paragraph" w:styleId="Asuntodelcomentario">
    <w:name w:val="annotation subject"/>
    <w:basedOn w:val="Textocomentario"/>
    <w:next w:val="Textocomentario"/>
    <w:link w:val="AsuntodelcomentarioCar"/>
    <w:uiPriority w:val="99"/>
    <w:semiHidden/>
    <w:unhideWhenUsed/>
    <w:rsid w:val="0033706D"/>
    <w:rPr>
      <w:b/>
      <w:bCs/>
    </w:rPr>
  </w:style>
  <w:style w:type="character" w:customStyle="1" w:styleId="AsuntodelcomentarioCar">
    <w:name w:val="Asunto del comentario Car"/>
    <w:basedOn w:val="TextocomentarioCar"/>
    <w:link w:val="Asuntodelcomentario"/>
    <w:uiPriority w:val="99"/>
    <w:semiHidden/>
    <w:rsid w:val="0033706D"/>
    <w:rPr>
      <w:rFonts w:ascii="Times New Roman" w:hAnsi="Times New Roman"/>
      <w:b/>
      <w:bCs/>
      <w:sz w:val="20"/>
      <w:szCs w:val="20"/>
    </w:rPr>
  </w:style>
  <w:style w:type="paragraph" w:styleId="NormalWeb">
    <w:name w:val="Normal (Web)"/>
    <w:basedOn w:val="Normal"/>
    <w:uiPriority w:val="99"/>
    <w:semiHidden/>
    <w:unhideWhenUsed/>
    <w:rsid w:val="008D5B85"/>
    <w:pPr>
      <w:spacing w:before="100" w:beforeAutospacing="1" w:after="100" w:afterAutospacing="1" w:line="240" w:lineRule="auto"/>
      <w:jc w:val="left"/>
    </w:pPr>
    <w:rPr>
      <w:rFonts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4023">
      <w:bodyDiv w:val="1"/>
      <w:marLeft w:val="0"/>
      <w:marRight w:val="0"/>
      <w:marTop w:val="0"/>
      <w:marBottom w:val="0"/>
      <w:divBdr>
        <w:top w:val="none" w:sz="0" w:space="0" w:color="auto"/>
        <w:left w:val="none" w:sz="0" w:space="0" w:color="auto"/>
        <w:bottom w:val="none" w:sz="0" w:space="0" w:color="auto"/>
        <w:right w:val="none" w:sz="0" w:space="0" w:color="auto"/>
      </w:divBdr>
    </w:div>
    <w:div w:id="27948322">
      <w:bodyDiv w:val="1"/>
      <w:marLeft w:val="0"/>
      <w:marRight w:val="0"/>
      <w:marTop w:val="0"/>
      <w:marBottom w:val="0"/>
      <w:divBdr>
        <w:top w:val="none" w:sz="0" w:space="0" w:color="auto"/>
        <w:left w:val="none" w:sz="0" w:space="0" w:color="auto"/>
        <w:bottom w:val="none" w:sz="0" w:space="0" w:color="auto"/>
        <w:right w:val="none" w:sz="0" w:space="0" w:color="auto"/>
      </w:divBdr>
    </w:div>
    <w:div w:id="64838463">
      <w:bodyDiv w:val="1"/>
      <w:marLeft w:val="0"/>
      <w:marRight w:val="0"/>
      <w:marTop w:val="0"/>
      <w:marBottom w:val="0"/>
      <w:divBdr>
        <w:top w:val="none" w:sz="0" w:space="0" w:color="auto"/>
        <w:left w:val="none" w:sz="0" w:space="0" w:color="auto"/>
        <w:bottom w:val="none" w:sz="0" w:space="0" w:color="auto"/>
        <w:right w:val="none" w:sz="0" w:space="0" w:color="auto"/>
      </w:divBdr>
    </w:div>
    <w:div w:id="72438024">
      <w:bodyDiv w:val="1"/>
      <w:marLeft w:val="0"/>
      <w:marRight w:val="0"/>
      <w:marTop w:val="0"/>
      <w:marBottom w:val="0"/>
      <w:divBdr>
        <w:top w:val="none" w:sz="0" w:space="0" w:color="auto"/>
        <w:left w:val="none" w:sz="0" w:space="0" w:color="auto"/>
        <w:bottom w:val="none" w:sz="0" w:space="0" w:color="auto"/>
        <w:right w:val="none" w:sz="0" w:space="0" w:color="auto"/>
      </w:divBdr>
    </w:div>
    <w:div w:id="104272003">
      <w:bodyDiv w:val="1"/>
      <w:marLeft w:val="0"/>
      <w:marRight w:val="0"/>
      <w:marTop w:val="0"/>
      <w:marBottom w:val="0"/>
      <w:divBdr>
        <w:top w:val="none" w:sz="0" w:space="0" w:color="auto"/>
        <w:left w:val="none" w:sz="0" w:space="0" w:color="auto"/>
        <w:bottom w:val="none" w:sz="0" w:space="0" w:color="auto"/>
        <w:right w:val="none" w:sz="0" w:space="0" w:color="auto"/>
      </w:divBdr>
    </w:div>
    <w:div w:id="129984697">
      <w:bodyDiv w:val="1"/>
      <w:marLeft w:val="0"/>
      <w:marRight w:val="0"/>
      <w:marTop w:val="0"/>
      <w:marBottom w:val="0"/>
      <w:divBdr>
        <w:top w:val="none" w:sz="0" w:space="0" w:color="auto"/>
        <w:left w:val="none" w:sz="0" w:space="0" w:color="auto"/>
        <w:bottom w:val="none" w:sz="0" w:space="0" w:color="auto"/>
        <w:right w:val="none" w:sz="0" w:space="0" w:color="auto"/>
      </w:divBdr>
    </w:div>
    <w:div w:id="145125139">
      <w:bodyDiv w:val="1"/>
      <w:marLeft w:val="0"/>
      <w:marRight w:val="0"/>
      <w:marTop w:val="0"/>
      <w:marBottom w:val="0"/>
      <w:divBdr>
        <w:top w:val="none" w:sz="0" w:space="0" w:color="auto"/>
        <w:left w:val="none" w:sz="0" w:space="0" w:color="auto"/>
        <w:bottom w:val="none" w:sz="0" w:space="0" w:color="auto"/>
        <w:right w:val="none" w:sz="0" w:space="0" w:color="auto"/>
      </w:divBdr>
      <w:divsChild>
        <w:div w:id="622619842">
          <w:marLeft w:val="274"/>
          <w:marRight w:val="0"/>
          <w:marTop w:val="0"/>
          <w:marBottom w:val="160"/>
          <w:divBdr>
            <w:top w:val="none" w:sz="0" w:space="0" w:color="auto"/>
            <w:left w:val="none" w:sz="0" w:space="0" w:color="auto"/>
            <w:bottom w:val="none" w:sz="0" w:space="0" w:color="auto"/>
            <w:right w:val="none" w:sz="0" w:space="0" w:color="auto"/>
          </w:divBdr>
        </w:div>
        <w:div w:id="1097675354">
          <w:marLeft w:val="562"/>
          <w:marRight w:val="0"/>
          <w:marTop w:val="0"/>
          <w:marBottom w:val="160"/>
          <w:divBdr>
            <w:top w:val="none" w:sz="0" w:space="0" w:color="auto"/>
            <w:left w:val="none" w:sz="0" w:space="0" w:color="auto"/>
            <w:bottom w:val="none" w:sz="0" w:space="0" w:color="auto"/>
            <w:right w:val="none" w:sz="0" w:space="0" w:color="auto"/>
          </w:divBdr>
        </w:div>
        <w:div w:id="1766075612">
          <w:marLeft w:val="274"/>
          <w:marRight w:val="0"/>
          <w:marTop w:val="0"/>
          <w:marBottom w:val="160"/>
          <w:divBdr>
            <w:top w:val="none" w:sz="0" w:space="0" w:color="auto"/>
            <w:left w:val="none" w:sz="0" w:space="0" w:color="auto"/>
            <w:bottom w:val="none" w:sz="0" w:space="0" w:color="auto"/>
            <w:right w:val="none" w:sz="0" w:space="0" w:color="auto"/>
          </w:divBdr>
        </w:div>
        <w:div w:id="1872768530">
          <w:marLeft w:val="274"/>
          <w:marRight w:val="0"/>
          <w:marTop w:val="0"/>
          <w:marBottom w:val="160"/>
          <w:divBdr>
            <w:top w:val="none" w:sz="0" w:space="0" w:color="auto"/>
            <w:left w:val="none" w:sz="0" w:space="0" w:color="auto"/>
            <w:bottom w:val="none" w:sz="0" w:space="0" w:color="auto"/>
            <w:right w:val="none" w:sz="0" w:space="0" w:color="auto"/>
          </w:divBdr>
        </w:div>
      </w:divsChild>
    </w:div>
    <w:div w:id="164319985">
      <w:bodyDiv w:val="1"/>
      <w:marLeft w:val="0"/>
      <w:marRight w:val="0"/>
      <w:marTop w:val="0"/>
      <w:marBottom w:val="0"/>
      <w:divBdr>
        <w:top w:val="none" w:sz="0" w:space="0" w:color="auto"/>
        <w:left w:val="none" w:sz="0" w:space="0" w:color="auto"/>
        <w:bottom w:val="none" w:sz="0" w:space="0" w:color="auto"/>
        <w:right w:val="none" w:sz="0" w:space="0" w:color="auto"/>
      </w:divBdr>
      <w:divsChild>
        <w:div w:id="1686979525">
          <w:marLeft w:val="274"/>
          <w:marRight w:val="0"/>
          <w:marTop w:val="0"/>
          <w:marBottom w:val="160"/>
          <w:divBdr>
            <w:top w:val="none" w:sz="0" w:space="0" w:color="auto"/>
            <w:left w:val="none" w:sz="0" w:space="0" w:color="auto"/>
            <w:bottom w:val="none" w:sz="0" w:space="0" w:color="auto"/>
            <w:right w:val="none" w:sz="0" w:space="0" w:color="auto"/>
          </w:divBdr>
        </w:div>
      </w:divsChild>
    </w:div>
    <w:div w:id="177237817">
      <w:bodyDiv w:val="1"/>
      <w:marLeft w:val="0"/>
      <w:marRight w:val="0"/>
      <w:marTop w:val="0"/>
      <w:marBottom w:val="0"/>
      <w:divBdr>
        <w:top w:val="none" w:sz="0" w:space="0" w:color="auto"/>
        <w:left w:val="none" w:sz="0" w:space="0" w:color="auto"/>
        <w:bottom w:val="none" w:sz="0" w:space="0" w:color="auto"/>
        <w:right w:val="none" w:sz="0" w:space="0" w:color="auto"/>
      </w:divBdr>
    </w:div>
    <w:div w:id="184828446">
      <w:bodyDiv w:val="1"/>
      <w:marLeft w:val="0"/>
      <w:marRight w:val="0"/>
      <w:marTop w:val="0"/>
      <w:marBottom w:val="0"/>
      <w:divBdr>
        <w:top w:val="none" w:sz="0" w:space="0" w:color="auto"/>
        <w:left w:val="none" w:sz="0" w:space="0" w:color="auto"/>
        <w:bottom w:val="none" w:sz="0" w:space="0" w:color="auto"/>
        <w:right w:val="none" w:sz="0" w:space="0" w:color="auto"/>
      </w:divBdr>
    </w:div>
    <w:div w:id="194853799">
      <w:bodyDiv w:val="1"/>
      <w:marLeft w:val="0"/>
      <w:marRight w:val="0"/>
      <w:marTop w:val="0"/>
      <w:marBottom w:val="0"/>
      <w:divBdr>
        <w:top w:val="none" w:sz="0" w:space="0" w:color="auto"/>
        <w:left w:val="none" w:sz="0" w:space="0" w:color="auto"/>
        <w:bottom w:val="none" w:sz="0" w:space="0" w:color="auto"/>
        <w:right w:val="none" w:sz="0" w:space="0" w:color="auto"/>
      </w:divBdr>
    </w:div>
    <w:div w:id="229778215">
      <w:bodyDiv w:val="1"/>
      <w:marLeft w:val="0"/>
      <w:marRight w:val="0"/>
      <w:marTop w:val="0"/>
      <w:marBottom w:val="0"/>
      <w:divBdr>
        <w:top w:val="none" w:sz="0" w:space="0" w:color="auto"/>
        <w:left w:val="none" w:sz="0" w:space="0" w:color="auto"/>
        <w:bottom w:val="none" w:sz="0" w:space="0" w:color="auto"/>
        <w:right w:val="none" w:sz="0" w:space="0" w:color="auto"/>
      </w:divBdr>
      <w:divsChild>
        <w:div w:id="227888627">
          <w:marLeft w:val="274"/>
          <w:marRight w:val="0"/>
          <w:marTop w:val="0"/>
          <w:marBottom w:val="120"/>
          <w:divBdr>
            <w:top w:val="none" w:sz="0" w:space="0" w:color="auto"/>
            <w:left w:val="none" w:sz="0" w:space="0" w:color="auto"/>
            <w:bottom w:val="none" w:sz="0" w:space="0" w:color="auto"/>
            <w:right w:val="none" w:sz="0" w:space="0" w:color="auto"/>
          </w:divBdr>
        </w:div>
      </w:divsChild>
    </w:div>
    <w:div w:id="242304953">
      <w:bodyDiv w:val="1"/>
      <w:marLeft w:val="0"/>
      <w:marRight w:val="0"/>
      <w:marTop w:val="0"/>
      <w:marBottom w:val="0"/>
      <w:divBdr>
        <w:top w:val="none" w:sz="0" w:space="0" w:color="auto"/>
        <w:left w:val="none" w:sz="0" w:space="0" w:color="auto"/>
        <w:bottom w:val="none" w:sz="0" w:space="0" w:color="auto"/>
        <w:right w:val="none" w:sz="0" w:space="0" w:color="auto"/>
      </w:divBdr>
      <w:divsChild>
        <w:div w:id="691371824">
          <w:marLeft w:val="274"/>
          <w:marRight w:val="0"/>
          <w:marTop w:val="0"/>
          <w:marBottom w:val="160"/>
          <w:divBdr>
            <w:top w:val="none" w:sz="0" w:space="0" w:color="auto"/>
            <w:left w:val="none" w:sz="0" w:space="0" w:color="auto"/>
            <w:bottom w:val="none" w:sz="0" w:space="0" w:color="auto"/>
            <w:right w:val="none" w:sz="0" w:space="0" w:color="auto"/>
          </w:divBdr>
        </w:div>
      </w:divsChild>
    </w:div>
    <w:div w:id="262688333">
      <w:bodyDiv w:val="1"/>
      <w:marLeft w:val="0"/>
      <w:marRight w:val="0"/>
      <w:marTop w:val="0"/>
      <w:marBottom w:val="0"/>
      <w:divBdr>
        <w:top w:val="none" w:sz="0" w:space="0" w:color="auto"/>
        <w:left w:val="none" w:sz="0" w:space="0" w:color="auto"/>
        <w:bottom w:val="none" w:sz="0" w:space="0" w:color="auto"/>
        <w:right w:val="none" w:sz="0" w:space="0" w:color="auto"/>
      </w:divBdr>
      <w:divsChild>
        <w:div w:id="1496334761">
          <w:marLeft w:val="274"/>
          <w:marRight w:val="0"/>
          <w:marTop w:val="0"/>
          <w:marBottom w:val="120"/>
          <w:divBdr>
            <w:top w:val="none" w:sz="0" w:space="0" w:color="auto"/>
            <w:left w:val="none" w:sz="0" w:space="0" w:color="auto"/>
            <w:bottom w:val="none" w:sz="0" w:space="0" w:color="auto"/>
            <w:right w:val="none" w:sz="0" w:space="0" w:color="auto"/>
          </w:divBdr>
        </w:div>
        <w:div w:id="1500729799">
          <w:marLeft w:val="274"/>
          <w:marRight w:val="0"/>
          <w:marTop w:val="0"/>
          <w:marBottom w:val="120"/>
          <w:divBdr>
            <w:top w:val="none" w:sz="0" w:space="0" w:color="auto"/>
            <w:left w:val="none" w:sz="0" w:space="0" w:color="auto"/>
            <w:bottom w:val="none" w:sz="0" w:space="0" w:color="auto"/>
            <w:right w:val="none" w:sz="0" w:space="0" w:color="auto"/>
          </w:divBdr>
        </w:div>
        <w:div w:id="1536112263">
          <w:marLeft w:val="274"/>
          <w:marRight w:val="0"/>
          <w:marTop w:val="0"/>
          <w:marBottom w:val="120"/>
          <w:divBdr>
            <w:top w:val="none" w:sz="0" w:space="0" w:color="auto"/>
            <w:left w:val="none" w:sz="0" w:space="0" w:color="auto"/>
            <w:bottom w:val="none" w:sz="0" w:space="0" w:color="auto"/>
            <w:right w:val="none" w:sz="0" w:space="0" w:color="auto"/>
          </w:divBdr>
        </w:div>
      </w:divsChild>
    </w:div>
    <w:div w:id="271740618">
      <w:bodyDiv w:val="1"/>
      <w:marLeft w:val="0"/>
      <w:marRight w:val="0"/>
      <w:marTop w:val="0"/>
      <w:marBottom w:val="0"/>
      <w:divBdr>
        <w:top w:val="none" w:sz="0" w:space="0" w:color="auto"/>
        <w:left w:val="none" w:sz="0" w:space="0" w:color="auto"/>
        <w:bottom w:val="none" w:sz="0" w:space="0" w:color="auto"/>
        <w:right w:val="none" w:sz="0" w:space="0" w:color="auto"/>
      </w:divBdr>
      <w:divsChild>
        <w:div w:id="436484438">
          <w:marLeft w:val="562"/>
          <w:marRight w:val="0"/>
          <w:marTop w:val="0"/>
          <w:marBottom w:val="160"/>
          <w:divBdr>
            <w:top w:val="none" w:sz="0" w:space="0" w:color="auto"/>
            <w:left w:val="none" w:sz="0" w:space="0" w:color="auto"/>
            <w:bottom w:val="none" w:sz="0" w:space="0" w:color="auto"/>
            <w:right w:val="none" w:sz="0" w:space="0" w:color="auto"/>
          </w:divBdr>
        </w:div>
        <w:div w:id="535892924">
          <w:marLeft w:val="274"/>
          <w:marRight w:val="0"/>
          <w:marTop w:val="0"/>
          <w:marBottom w:val="160"/>
          <w:divBdr>
            <w:top w:val="none" w:sz="0" w:space="0" w:color="auto"/>
            <w:left w:val="none" w:sz="0" w:space="0" w:color="auto"/>
            <w:bottom w:val="none" w:sz="0" w:space="0" w:color="auto"/>
            <w:right w:val="none" w:sz="0" w:space="0" w:color="auto"/>
          </w:divBdr>
        </w:div>
        <w:div w:id="1144004202">
          <w:marLeft w:val="274"/>
          <w:marRight w:val="0"/>
          <w:marTop w:val="0"/>
          <w:marBottom w:val="160"/>
          <w:divBdr>
            <w:top w:val="none" w:sz="0" w:space="0" w:color="auto"/>
            <w:left w:val="none" w:sz="0" w:space="0" w:color="auto"/>
            <w:bottom w:val="none" w:sz="0" w:space="0" w:color="auto"/>
            <w:right w:val="none" w:sz="0" w:space="0" w:color="auto"/>
          </w:divBdr>
        </w:div>
        <w:div w:id="2034109487">
          <w:marLeft w:val="562"/>
          <w:marRight w:val="0"/>
          <w:marTop w:val="0"/>
          <w:marBottom w:val="160"/>
          <w:divBdr>
            <w:top w:val="none" w:sz="0" w:space="0" w:color="auto"/>
            <w:left w:val="none" w:sz="0" w:space="0" w:color="auto"/>
            <w:bottom w:val="none" w:sz="0" w:space="0" w:color="auto"/>
            <w:right w:val="none" w:sz="0" w:space="0" w:color="auto"/>
          </w:divBdr>
        </w:div>
      </w:divsChild>
    </w:div>
    <w:div w:id="294022601">
      <w:bodyDiv w:val="1"/>
      <w:marLeft w:val="0"/>
      <w:marRight w:val="0"/>
      <w:marTop w:val="0"/>
      <w:marBottom w:val="0"/>
      <w:divBdr>
        <w:top w:val="none" w:sz="0" w:space="0" w:color="auto"/>
        <w:left w:val="none" w:sz="0" w:space="0" w:color="auto"/>
        <w:bottom w:val="none" w:sz="0" w:space="0" w:color="auto"/>
        <w:right w:val="none" w:sz="0" w:space="0" w:color="auto"/>
      </w:divBdr>
      <w:divsChild>
        <w:div w:id="1002318454">
          <w:marLeft w:val="562"/>
          <w:marRight w:val="0"/>
          <w:marTop w:val="0"/>
          <w:marBottom w:val="160"/>
          <w:divBdr>
            <w:top w:val="none" w:sz="0" w:space="0" w:color="auto"/>
            <w:left w:val="none" w:sz="0" w:space="0" w:color="auto"/>
            <w:bottom w:val="none" w:sz="0" w:space="0" w:color="auto"/>
            <w:right w:val="none" w:sz="0" w:space="0" w:color="auto"/>
          </w:divBdr>
        </w:div>
      </w:divsChild>
    </w:div>
    <w:div w:id="330449738">
      <w:bodyDiv w:val="1"/>
      <w:marLeft w:val="0"/>
      <w:marRight w:val="0"/>
      <w:marTop w:val="0"/>
      <w:marBottom w:val="0"/>
      <w:divBdr>
        <w:top w:val="none" w:sz="0" w:space="0" w:color="auto"/>
        <w:left w:val="none" w:sz="0" w:space="0" w:color="auto"/>
        <w:bottom w:val="none" w:sz="0" w:space="0" w:color="auto"/>
        <w:right w:val="none" w:sz="0" w:space="0" w:color="auto"/>
      </w:divBdr>
    </w:div>
    <w:div w:id="335966083">
      <w:bodyDiv w:val="1"/>
      <w:marLeft w:val="0"/>
      <w:marRight w:val="0"/>
      <w:marTop w:val="0"/>
      <w:marBottom w:val="0"/>
      <w:divBdr>
        <w:top w:val="none" w:sz="0" w:space="0" w:color="auto"/>
        <w:left w:val="none" w:sz="0" w:space="0" w:color="auto"/>
        <w:bottom w:val="none" w:sz="0" w:space="0" w:color="auto"/>
        <w:right w:val="none" w:sz="0" w:space="0" w:color="auto"/>
      </w:divBdr>
    </w:div>
    <w:div w:id="372538913">
      <w:bodyDiv w:val="1"/>
      <w:marLeft w:val="0"/>
      <w:marRight w:val="0"/>
      <w:marTop w:val="0"/>
      <w:marBottom w:val="0"/>
      <w:divBdr>
        <w:top w:val="none" w:sz="0" w:space="0" w:color="auto"/>
        <w:left w:val="none" w:sz="0" w:space="0" w:color="auto"/>
        <w:bottom w:val="none" w:sz="0" w:space="0" w:color="auto"/>
        <w:right w:val="none" w:sz="0" w:space="0" w:color="auto"/>
      </w:divBdr>
    </w:div>
    <w:div w:id="377360380">
      <w:bodyDiv w:val="1"/>
      <w:marLeft w:val="0"/>
      <w:marRight w:val="0"/>
      <w:marTop w:val="0"/>
      <w:marBottom w:val="0"/>
      <w:divBdr>
        <w:top w:val="none" w:sz="0" w:space="0" w:color="auto"/>
        <w:left w:val="none" w:sz="0" w:space="0" w:color="auto"/>
        <w:bottom w:val="none" w:sz="0" w:space="0" w:color="auto"/>
        <w:right w:val="none" w:sz="0" w:space="0" w:color="auto"/>
      </w:divBdr>
    </w:div>
    <w:div w:id="378551177">
      <w:bodyDiv w:val="1"/>
      <w:marLeft w:val="0"/>
      <w:marRight w:val="0"/>
      <w:marTop w:val="0"/>
      <w:marBottom w:val="0"/>
      <w:divBdr>
        <w:top w:val="none" w:sz="0" w:space="0" w:color="auto"/>
        <w:left w:val="none" w:sz="0" w:space="0" w:color="auto"/>
        <w:bottom w:val="none" w:sz="0" w:space="0" w:color="auto"/>
        <w:right w:val="none" w:sz="0" w:space="0" w:color="auto"/>
      </w:divBdr>
      <w:divsChild>
        <w:div w:id="56900948">
          <w:marLeft w:val="274"/>
          <w:marRight w:val="0"/>
          <w:marTop w:val="0"/>
          <w:marBottom w:val="160"/>
          <w:divBdr>
            <w:top w:val="none" w:sz="0" w:space="0" w:color="auto"/>
            <w:left w:val="none" w:sz="0" w:space="0" w:color="auto"/>
            <w:bottom w:val="none" w:sz="0" w:space="0" w:color="auto"/>
            <w:right w:val="none" w:sz="0" w:space="0" w:color="auto"/>
          </w:divBdr>
        </w:div>
        <w:div w:id="405539000">
          <w:marLeft w:val="562"/>
          <w:marRight w:val="0"/>
          <w:marTop w:val="0"/>
          <w:marBottom w:val="160"/>
          <w:divBdr>
            <w:top w:val="none" w:sz="0" w:space="0" w:color="auto"/>
            <w:left w:val="none" w:sz="0" w:space="0" w:color="auto"/>
            <w:bottom w:val="none" w:sz="0" w:space="0" w:color="auto"/>
            <w:right w:val="none" w:sz="0" w:space="0" w:color="auto"/>
          </w:divBdr>
        </w:div>
        <w:div w:id="577178231">
          <w:marLeft w:val="274"/>
          <w:marRight w:val="0"/>
          <w:marTop w:val="0"/>
          <w:marBottom w:val="160"/>
          <w:divBdr>
            <w:top w:val="none" w:sz="0" w:space="0" w:color="auto"/>
            <w:left w:val="none" w:sz="0" w:space="0" w:color="auto"/>
            <w:bottom w:val="none" w:sz="0" w:space="0" w:color="auto"/>
            <w:right w:val="none" w:sz="0" w:space="0" w:color="auto"/>
          </w:divBdr>
        </w:div>
      </w:divsChild>
    </w:div>
    <w:div w:id="401220484">
      <w:bodyDiv w:val="1"/>
      <w:marLeft w:val="0"/>
      <w:marRight w:val="0"/>
      <w:marTop w:val="0"/>
      <w:marBottom w:val="0"/>
      <w:divBdr>
        <w:top w:val="none" w:sz="0" w:space="0" w:color="auto"/>
        <w:left w:val="none" w:sz="0" w:space="0" w:color="auto"/>
        <w:bottom w:val="none" w:sz="0" w:space="0" w:color="auto"/>
        <w:right w:val="none" w:sz="0" w:space="0" w:color="auto"/>
      </w:divBdr>
    </w:div>
    <w:div w:id="513223654">
      <w:bodyDiv w:val="1"/>
      <w:marLeft w:val="0"/>
      <w:marRight w:val="0"/>
      <w:marTop w:val="0"/>
      <w:marBottom w:val="0"/>
      <w:divBdr>
        <w:top w:val="none" w:sz="0" w:space="0" w:color="auto"/>
        <w:left w:val="none" w:sz="0" w:space="0" w:color="auto"/>
        <w:bottom w:val="none" w:sz="0" w:space="0" w:color="auto"/>
        <w:right w:val="none" w:sz="0" w:space="0" w:color="auto"/>
      </w:divBdr>
      <w:divsChild>
        <w:div w:id="1800950964">
          <w:marLeft w:val="274"/>
          <w:marRight w:val="0"/>
          <w:marTop w:val="0"/>
          <w:marBottom w:val="120"/>
          <w:divBdr>
            <w:top w:val="none" w:sz="0" w:space="0" w:color="auto"/>
            <w:left w:val="none" w:sz="0" w:space="0" w:color="auto"/>
            <w:bottom w:val="none" w:sz="0" w:space="0" w:color="auto"/>
            <w:right w:val="none" w:sz="0" w:space="0" w:color="auto"/>
          </w:divBdr>
        </w:div>
      </w:divsChild>
    </w:div>
    <w:div w:id="525406909">
      <w:bodyDiv w:val="1"/>
      <w:marLeft w:val="0"/>
      <w:marRight w:val="0"/>
      <w:marTop w:val="0"/>
      <w:marBottom w:val="0"/>
      <w:divBdr>
        <w:top w:val="none" w:sz="0" w:space="0" w:color="auto"/>
        <w:left w:val="none" w:sz="0" w:space="0" w:color="auto"/>
        <w:bottom w:val="none" w:sz="0" w:space="0" w:color="auto"/>
        <w:right w:val="none" w:sz="0" w:space="0" w:color="auto"/>
      </w:divBdr>
    </w:div>
    <w:div w:id="563486721">
      <w:bodyDiv w:val="1"/>
      <w:marLeft w:val="0"/>
      <w:marRight w:val="0"/>
      <w:marTop w:val="0"/>
      <w:marBottom w:val="0"/>
      <w:divBdr>
        <w:top w:val="none" w:sz="0" w:space="0" w:color="auto"/>
        <w:left w:val="none" w:sz="0" w:space="0" w:color="auto"/>
        <w:bottom w:val="none" w:sz="0" w:space="0" w:color="auto"/>
        <w:right w:val="none" w:sz="0" w:space="0" w:color="auto"/>
      </w:divBdr>
    </w:div>
    <w:div w:id="581573468">
      <w:bodyDiv w:val="1"/>
      <w:marLeft w:val="0"/>
      <w:marRight w:val="0"/>
      <w:marTop w:val="0"/>
      <w:marBottom w:val="0"/>
      <w:divBdr>
        <w:top w:val="none" w:sz="0" w:space="0" w:color="auto"/>
        <w:left w:val="none" w:sz="0" w:space="0" w:color="auto"/>
        <w:bottom w:val="none" w:sz="0" w:space="0" w:color="auto"/>
        <w:right w:val="none" w:sz="0" w:space="0" w:color="auto"/>
      </w:divBdr>
    </w:div>
    <w:div w:id="584415830">
      <w:bodyDiv w:val="1"/>
      <w:marLeft w:val="0"/>
      <w:marRight w:val="0"/>
      <w:marTop w:val="0"/>
      <w:marBottom w:val="0"/>
      <w:divBdr>
        <w:top w:val="none" w:sz="0" w:space="0" w:color="auto"/>
        <w:left w:val="none" w:sz="0" w:space="0" w:color="auto"/>
        <w:bottom w:val="none" w:sz="0" w:space="0" w:color="auto"/>
        <w:right w:val="none" w:sz="0" w:space="0" w:color="auto"/>
      </w:divBdr>
    </w:div>
    <w:div w:id="617373266">
      <w:bodyDiv w:val="1"/>
      <w:marLeft w:val="0"/>
      <w:marRight w:val="0"/>
      <w:marTop w:val="0"/>
      <w:marBottom w:val="0"/>
      <w:divBdr>
        <w:top w:val="none" w:sz="0" w:space="0" w:color="auto"/>
        <w:left w:val="none" w:sz="0" w:space="0" w:color="auto"/>
        <w:bottom w:val="none" w:sz="0" w:space="0" w:color="auto"/>
        <w:right w:val="none" w:sz="0" w:space="0" w:color="auto"/>
      </w:divBdr>
      <w:divsChild>
        <w:div w:id="798768633">
          <w:marLeft w:val="562"/>
          <w:marRight w:val="0"/>
          <w:marTop w:val="0"/>
          <w:marBottom w:val="160"/>
          <w:divBdr>
            <w:top w:val="none" w:sz="0" w:space="0" w:color="auto"/>
            <w:left w:val="none" w:sz="0" w:space="0" w:color="auto"/>
            <w:bottom w:val="none" w:sz="0" w:space="0" w:color="auto"/>
            <w:right w:val="none" w:sz="0" w:space="0" w:color="auto"/>
          </w:divBdr>
        </w:div>
        <w:div w:id="1724870264">
          <w:marLeft w:val="562"/>
          <w:marRight w:val="0"/>
          <w:marTop w:val="0"/>
          <w:marBottom w:val="160"/>
          <w:divBdr>
            <w:top w:val="none" w:sz="0" w:space="0" w:color="auto"/>
            <w:left w:val="none" w:sz="0" w:space="0" w:color="auto"/>
            <w:bottom w:val="none" w:sz="0" w:space="0" w:color="auto"/>
            <w:right w:val="none" w:sz="0" w:space="0" w:color="auto"/>
          </w:divBdr>
        </w:div>
        <w:div w:id="1737580698">
          <w:marLeft w:val="562"/>
          <w:marRight w:val="0"/>
          <w:marTop w:val="0"/>
          <w:marBottom w:val="160"/>
          <w:divBdr>
            <w:top w:val="none" w:sz="0" w:space="0" w:color="auto"/>
            <w:left w:val="none" w:sz="0" w:space="0" w:color="auto"/>
            <w:bottom w:val="none" w:sz="0" w:space="0" w:color="auto"/>
            <w:right w:val="none" w:sz="0" w:space="0" w:color="auto"/>
          </w:divBdr>
        </w:div>
      </w:divsChild>
    </w:div>
    <w:div w:id="621424444">
      <w:bodyDiv w:val="1"/>
      <w:marLeft w:val="0"/>
      <w:marRight w:val="0"/>
      <w:marTop w:val="0"/>
      <w:marBottom w:val="0"/>
      <w:divBdr>
        <w:top w:val="none" w:sz="0" w:space="0" w:color="auto"/>
        <w:left w:val="none" w:sz="0" w:space="0" w:color="auto"/>
        <w:bottom w:val="none" w:sz="0" w:space="0" w:color="auto"/>
        <w:right w:val="none" w:sz="0" w:space="0" w:color="auto"/>
      </w:divBdr>
    </w:div>
    <w:div w:id="628979960">
      <w:bodyDiv w:val="1"/>
      <w:marLeft w:val="0"/>
      <w:marRight w:val="0"/>
      <w:marTop w:val="0"/>
      <w:marBottom w:val="0"/>
      <w:divBdr>
        <w:top w:val="none" w:sz="0" w:space="0" w:color="auto"/>
        <w:left w:val="none" w:sz="0" w:space="0" w:color="auto"/>
        <w:bottom w:val="none" w:sz="0" w:space="0" w:color="auto"/>
        <w:right w:val="none" w:sz="0" w:space="0" w:color="auto"/>
      </w:divBdr>
    </w:div>
    <w:div w:id="635260308">
      <w:bodyDiv w:val="1"/>
      <w:marLeft w:val="0"/>
      <w:marRight w:val="0"/>
      <w:marTop w:val="0"/>
      <w:marBottom w:val="0"/>
      <w:divBdr>
        <w:top w:val="none" w:sz="0" w:space="0" w:color="auto"/>
        <w:left w:val="none" w:sz="0" w:space="0" w:color="auto"/>
        <w:bottom w:val="none" w:sz="0" w:space="0" w:color="auto"/>
        <w:right w:val="none" w:sz="0" w:space="0" w:color="auto"/>
      </w:divBdr>
      <w:divsChild>
        <w:div w:id="321549112">
          <w:marLeft w:val="274"/>
          <w:marRight w:val="0"/>
          <w:marTop w:val="0"/>
          <w:marBottom w:val="160"/>
          <w:divBdr>
            <w:top w:val="none" w:sz="0" w:space="0" w:color="auto"/>
            <w:left w:val="none" w:sz="0" w:space="0" w:color="auto"/>
            <w:bottom w:val="none" w:sz="0" w:space="0" w:color="auto"/>
            <w:right w:val="none" w:sz="0" w:space="0" w:color="auto"/>
          </w:divBdr>
        </w:div>
        <w:div w:id="1566329342">
          <w:marLeft w:val="562"/>
          <w:marRight w:val="0"/>
          <w:marTop w:val="0"/>
          <w:marBottom w:val="160"/>
          <w:divBdr>
            <w:top w:val="none" w:sz="0" w:space="0" w:color="auto"/>
            <w:left w:val="none" w:sz="0" w:space="0" w:color="auto"/>
            <w:bottom w:val="none" w:sz="0" w:space="0" w:color="auto"/>
            <w:right w:val="none" w:sz="0" w:space="0" w:color="auto"/>
          </w:divBdr>
        </w:div>
        <w:div w:id="2060275227">
          <w:marLeft w:val="562"/>
          <w:marRight w:val="0"/>
          <w:marTop w:val="0"/>
          <w:marBottom w:val="160"/>
          <w:divBdr>
            <w:top w:val="none" w:sz="0" w:space="0" w:color="auto"/>
            <w:left w:val="none" w:sz="0" w:space="0" w:color="auto"/>
            <w:bottom w:val="none" w:sz="0" w:space="0" w:color="auto"/>
            <w:right w:val="none" w:sz="0" w:space="0" w:color="auto"/>
          </w:divBdr>
        </w:div>
        <w:div w:id="2090031355">
          <w:marLeft w:val="274"/>
          <w:marRight w:val="0"/>
          <w:marTop w:val="0"/>
          <w:marBottom w:val="160"/>
          <w:divBdr>
            <w:top w:val="none" w:sz="0" w:space="0" w:color="auto"/>
            <w:left w:val="none" w:sz="0" w:space="0" w:color="auto"/>
            <w:bottom w:val="none" w:sz="0" w:space="0" w:color="auto"/>
            <w:right w:val="none" w:sz="0" w:space="0" w:color="auto"/>
          </w:divBdr>
        </w:div>
      </w:divsChild>
    </w:div>
    <w:div w:id="657420668">
      <w:bodyDiv w:val="1"/>
      <w:marLeft w:val="0"/>
      <w:marRight w:val="0"/>
      <w:marTop w:val="0"/>
      <w:marBottom w:val="0"/>
      <w:divBdr>
        <w:top w:val="none" w:sz="0" w:space="0" w:color="auto"/>
        <w:left w:val="none" w:sz="0" w:space="0" w:color="auto"/>
        <w:bottom w:val="none" w:sz="0" w:space="0" w:color="auto"/>
        <w:right w:val="none" w:sz="0" w:space="0" w:color="auto"/>
      </w:divBdr>
    </w:div>
    <w:div w:id="685642271">
      <w:bodyDiv w:val="1"/>
      <w:marLeft w:val="0"/>
      <w:marRight w:val="0"/>
      <w:marTop w:val="0"/>
      <w:marBottom w:val="0"/>
      <w:divBdr>
        <w:top w:val="none" w:sz="0" w:space="0" w:color="auto"/>
        <w:left w:val="none" w:sz="0" w:space="0" w:color="auto"/>
        <w:bottom w:val="none" w:sz="0" w:space="0" w:color="auto"/>
        <w:right w:val="none" w:sz="0" w:space="0" w:color="auto"/>
      </w:divBdr>
    </w:div>
    <w:div w:id="686098312">
      <w:bodyDiv w:val="1"/>
      <w:marLeft w:val="0"/>
      <w:marRight w:val="0"/>
      <w:marTop w:val="0"/>
      <w:marBottom w:val="0"/>
      <w:divBdr>
        <w:top w:val="none" w:sz="0" w:space="0" w:color="auto"/>
        <w:left w:val="none" w:sz="0" w:space="0" w:color="auto"/>
        <w:bottom w:val="none" w:sz="0" w:space="0" w:color="auto"/>
        <w:right w:val="none" w:sz="0" w:space="0" w:color="auto"/>
      </w:divBdr>
      <w:divsChild>
        <w:div w:id="296960286">
          <w:marLeft w:val="562"/>
          <w:marRight w:val="0"/>
          <w:marTop w:val="0"/>
          <w:marBottom w:val="120"/>
          <w:divBdr>
            <w:top w:val="none" w:sz="0" w:space="0" w:color="auto"/>
            <w:left w:val="none" w:sz="0" w:space="0" w:color="auto"/>
            <w:bottom w:val="none" w:sz="0" w:space="0" w:color="auto"/>
            <w:right w:val="none" w:sz="0" w:space="0" w:color="auto"/>
          </w:divBdr>
        </w:div>
        <w:div w:id="361395338">
          <w:marLeft w:val="274"/>
          <w:marRight w:val="0"/>
          <w:marTop w:val="0"/>
          <w:marBottom w:val="120"/>
          <w:divBdr>
            <w:top w:val="none" w:sz="0" w:space="0" w:color="auto"/>
            <w:left w:val="none" w:sz="0" w:space="0" w:color="auto"/>
            <w:bottom w:val="none" w:sz="0" w:space="0" w:color="auto"/>
            <w:right w:val="none" w:sz="0" w:space="0" w:color="auto"/>
          </w:divBdr>
        </w:div>
        <w:div w:id="591015907">
          <w:marLeft w:val="274"/>
          <w:marRight w:val="0"/>
          <w:marTop w:val="0"/>
          <w:marBottom w:val="120"/>
          <w:divBdr>
            <w:top w:val="none" w:sz="0" w:space="0" w:color="auto"/>
            <w:left w:val="none" w:sz="0" w:space="0" w:color="auto"/>
            <w:bottom w:val="none" w:sz="0" w:space="0" w:color="auto"/>
            <w:right w:val="none" w:sz="0" w:space="0" w:color="auto"/>
          </w:divBdr>
        </w:div>
        <w:div w:id="648052663">
          <w:marLeft w:val="562"/>
          <w:marRight w:val="0"/>
          <w:marTop w:val="0"/>
          <w:marBottom w:val="120"/>
          <w:divBdr>
            <w:top w:val="none" w:sz="0" w:space="0" w:color="auto"/>
            <w:left w:val="none" w:sz="0" w:space="0" w:color="auto"/>
            <w:bottom w:val="none" w:sz="0" w:space="0" w:color="auto"/>
            <w:right w:val="none" w:sz="0" w:space="0" w:color="auto"/>
          </w:divBdr>
        </w:div>
        <w:div w:id="936134082">
          <w:marLeft w:val="562"/>
          <w:marRight w:val="0"/>
          <w:marTop w:val="0"/>
          <w:marBottom w:val="120"/>
          <w:divBdr>
            <w:top w:val="none" w:sz="0" w:space="0" w:color="auto"/>
            <w:left w:val="none" w:sz="0" w:space="0" w:color="auto"/>
            <w:bottom w:val="none" w:sz="0" w:space="0" w:color="auto"/>
            <w:right w:val="none" w:sz="0" w:space="0" w:color="auto"/>
          </w:divBdr>
        </w:div>
        <w:div w:id="1919754112">
          <w:marLeft w:val="562"/>
          <w:marRight w:val="0"/>
          <w:marTop w:val="0"/>
          <w:marBottom w:val="120"/>
          <w:divBdr>
            <w:top w:val="none" w:sz="0" w:space="0" w:color="auto"/>
            <w:left w:val="none" w:sz="0" w:space="0" w:color="auto"/>
            <w:bottom w:val="none" w:sz="0" w:space="0" w:color="auto"/>
            <w:right w:val="none" w:sz="0" w:space="0" w:color="auto"/>
          </w:divBdr>
        </w:div>
        <w:div w:id="1954828309">
          <w:marLeft w:val="274"/>
          <w:marRight w:val="0"/>
          <w:marTop w:val="0"/>
          <w:marBottom w:val="120"/>
          <w:divBdr>
            <w:top w:val="none" w:sz="0" w:space="0" w:color="auto"/>
            <w:left w:val="none" w:sz="0" w:space="0" w:color="auto"/>
            <w:bottom w:val="none" w:sz="0" w:space="0" w:color="auto"/>
            <w:right w:val="none" w:sz="0" w:space="0" w:color="auto"/>
          </w:divBdr>
        </w:div>
      </w:divsChild>
    </w:div>
    <w:div w:id="690960011">
      <w:bodyDiv w:val="1"/>
      <w:marLeft w:val="0"/>
      <w:marRight w:val="0"/>
      <w:marTop w:val="0"/>
      <w:marBottom w:val="0"/>
      <w:divBdr>
        <w:top w:val="none" w:sz="0" w:space="0" w:color="auto"/>
        <w:left w:val="none" w:sz="0" w:space="0" w:color="auto"/>
        <w:bottom w:val="none" w:sz="0" w:space="0" w:color="auto"/>
        <w:right w:val="none" w:sz="0" w:space="0" w:color="auto"/>
      </w:divBdr>
    </w:div>
    <w:div w:id="691421549">
      <w:bodyDiv w:val="1"/>
      <w:marLeft w:val="0"/>
      <w:marRight w:val="0"/>
      <w:marTop w:val="0"/>
      <w:marBottom w:val="0"/>
      <w:divBdr>
        <w:top w:val="none" w:sz="0" w:space="0" w:color="auto"/>
        <w:left w:val="none" w:sz="0" w:space="0" w:color="auto"/>
        <w:bottom w:val="none" w:sz="0" w:space="0" w:color="auto"/>
        <w:right w:val="none" w:sz="0" w:space="0" w:color="auto"/>
      </w:divBdr>
      <w:divsChild>
        <w:div w:id="1976258063">
          <w:marLeft w:val="274"/>
          <w:marRight w:val="0"/>
          <w:marTop w:val="0"/>
          <w:marBottom w:val="160"/>
          <w:divBdr>
            <w:top w:val="none" w:sz="0" w:space="0" w:color="auto"/>
            <w:left w:val="none" w:sz="0" w:space="0" w:color="auto"/>
            <w:bottom w:val="none" w:sz="0" w:space="0" w:color="auto"/>
            <w:right w:val="none" w:sz="0" w:space="0" w:color="auto"/>
          </w:divBdr>
        </w:div>
      </w:divsChild>
    </w:div>
    <w:div w:id="692653813">
      <w:bodyDiv w:val="1"/>
      <w:marLeft w:val="0"/>
      <w:marRight w:val="0"/>
      <w:marTop w:val="0"/>
      <w:marBottom w:val="0"/>
      <w:divBdr>
        <w:top w:val="none" w:sz="0" w:space="0" w:color="auto"/>
        <w:left w:val="none" w:sz="0" w:space="0" w:color="auto"/>
        <w:bottom w:val="none" w:sz="0" w:space="0" w:color="auto"/>
        <w:right w:val="none" w:sz="0" w:space="0" w:color="auto"/>
      </w:divBdr>
      <w:divsChild>
        <w:div w:id="1653675441">
          <w:marLeft w:val="274"/>
          <w:marRight w:val="0"/>
          <w:marTop w:val="0"/>
          <w:marBottom w:val="160"/>
          <w:divBdr>
            <w:top w:val="none" w:sz="0" w:space="0" w:color="auto"/>
            <w:left w:val="none" w:sz="0" w:space="0" w:color="auto"/>
            <w:bottom w:val="none" w:sz="0" w:space="0" w:color="auto"/>
            <w:right w:val="none" w:sz="0" w:space="0" w:color="auto"/>
          </w:divBdr>
        </w:div>
      </w:divsChild>
    </w:div>
    <w:div w:id="702290120">
      <w:bodyDiv w:val="1"/>
      <w:marLeft w:val="0"/>
      <w:marRight w:val="0"/>
      <w:marTop w:val="0"/>
      <w:marBottom w:val="0"/>
      <w:divBdr>
        <w:top w:val="none" w:sz="0" w:space="0" w:color="auto"/>
        <w:left w:val="none" w:sz="0" w:space="0" w:color="auto"/>
        <w:bottom w:val="none" w:sz="0" w:space="0" w:color="auto"/>
        <w:right w:val="none" w:sz="0" w:space="0" w:color="auto"/>
      </w:divBdr>
    </w:div>
    <w:div w:id="731661529">
      <w:bodyDiv w:val="1"/>
      <w:marLeft w:val="0"/>
      <w:marRight w:val="0"/>
      <w:marTop w:val="0"/>
      <w:marBottom w:val="0"/>
      <w:divBdr>
        <w:top w:val="none" w:sz="0" w:space="0" w:color="auto"/>
        <w:left w:val="none" w:sz="0" w:space="0" w:color="auto"/>
        <w:bottom w:val="none" w:sz="0" w:space="0" w:color="auto"/>
        <w:right w:val="none" w:sz="0" w:space="0" w:color="auto"/>
      </w:divBdr>
    </w:div>
    <w:div w:id="740754433">
      <w:bodyDiv w:val="1"/>
      <w:marLeft w:val="0"/>
      <w:marRight w:val="0"/>
      <w:marTop w:val="0"/>
      <w:marBottom w:val="0"/>
      <w:divBdr>
        <w:top w:val="none" w:sz="0" w:space="0" w:color="auto"/>
        <w:left w:val="none" w:sz="0" w:space="0" w:color="auto"/>
        <w:bottom w:val="none" w:sz="0" w:space="0" w:color="auto"/>
        <w:right w:val="none" w:sz="0" w:space="0" w:color="auto"/>
      </w:divBdr>
      <w:divsChild>
        <w:div w:id="222105947">
          <w:marLeft w:val="562"/>
          <w:marRight w:val="0"/>
          <w:marTop w:val="0"/>
          <w:marBottom w:val="160"/>
          <w:divBdr>
            <w:top w:val="none" w:sz="0" w:space="0" w:color="auto"/>
            <w:left w:val="none" w:sz="0" w:space="0" w:color="auto"/>
            <w:bottom w:val="none" w:sz="0" w:space="0" w:color="auto"/>
            <w:right w:val="none" w:sz="0" w:space="0" w:color="auto"/>
          </w:divBdr>
        </w:div>
        <w:div w:id="531308070">
          <w:marLeft w:val="274"/>
          <w:marRight w:val="0"/>
          <w:marTop w:val="0"/>
          <w:marBottom w:val="160"/>
          <w:divBdr>
            <w:top w:val="none" w:sz="0" w:space="0" w:color="auto"/>
            <w:left w:val="none" w:sz="0" w:space="0" w:color="auto"/>
            <w:bottom w:val="none" w:sz="0" w:space="0" w:color="auto"/>
            <w:right w:val="none" w:sz="0" w:space="0" w:color="auto"/>
          </w:divBdr>
        </w:div>
        <w:div w:id="673654240">
          <w:marLeft w:val="274"/>
          <w:marRight w:val="0"/>
          <w:marTop w:val="0"/>
          <w:marBottom w:val="160"/>
          <w:divBdr>
            <w:top w:val="none" w:sz="0" w:space="0" w:color="auto"/>
            <w:left w:val="none" w:sz="0" w:space="0" w:color="auto"/>
            <w:bottom w:val="none" w:sz="0" w:space="0" w:color="auto"/>
            <w:right w:val="none" w:sz="0" w:space="0" w:color="auto"/>
          </w:divBdr>
        </w:div>
        <w:div w:id="914627185">
          <w:marLeft w:val="850"/>
          <w:marRight w:val="0"/>
          <w:marTop w:val="0"/>
          <w:marBottom w:val="160"/>
          <w:divBdr>
            <w:top w:val="none" w:sz="0" w:space="0" w:color="auto"/>
            <w:left w:val="none" w:sz="0" w:space="0" w:color="auto"/>
            <w:bottom w:val="none" w:sz="0" w:space="0" w:color="auto"/>
            <w:right w:val="none" w:sz="0" w:space="0" w:color="auto"/>
          </w:divBdr>
        </w:div>
        <w:div w:id="1143424556">
          <w:marLeft w:val="562"/>
          <w:marRight w:val="0"/>
          <w:marTop w:val="0"/>
          <w:marBottom w:val="160"/>
          <w:divBdr>
            <w:top w:val="none" w:sz="0" w:space="0" w:color="auto"/>
            <w:left w:val="none" w:sz="0" w:space="0" w:color="auto"/>
            <w:bottom w:val="none" w:sz="0" w:space="0" w:color="auto"/>
            <w:right w:val="none" w:sz="0" w:space="0" w:color="auto"/>
          </w:divBdr>
        </w:div>
        <w:div w:id="1865555141">
          <w:marLeft w:val="562"/>
          <w:marRight w:val="0"/>
          <w:marTop w:val="0"/>
          <w:marBottom w:val="160"/>
          <w:divBdr>
            <w:top w:val="none" w:sz="0" w:space="0" w:color="auto"/>
            <w:left w:val="none" w:sz="0" w:space="0" w:color="auto"/>
            <w:bottom w:val="none" w:sz="0" w:space="0" w:color="auto"/>
            <w:right w:val="none" w:sz="0" w:space="0" w:color="auto"/>
          </w:divBdr>
        </w:div>
        <w:div w:id="2068215146">
          <w:marLeft w:val="562"/>
          <w:marRight w:val="0"/>
          <w:marTop w:val="0"/>
          <w:marBottom w:val="160"/>
          <w:divBdr>
            <w:top w:val="none" w:sz="0" w:space="0" w:color="auto"/>
            <w:left w:val="none" w:sz="0" w:space="0" w:color="auto"/>
            <w:bottom w:val="none" w:sz="0" w:space="0" w:color="auto"/>
            <w:right w:val="none" w:sz="0" w:space="0" w:color="auto"/>
          </w:divBdr>
        </w:div>
        <w:div w:id="2111464972">
          <w:marLeft w:val="562"/>
          <w:marRight w:val="0"/>
          <w:marTop w:val="0"/>
          <w:marBottom w:val="160"/>
          <w:divBdr>
            <w:top w:val="none" w:sz="0" w:space="0" w:color="auto"/>
            <w:left w:val="none" w:sz="0" w:space="0" w:color="auto"/>
            <w:bottom w:val="none" w:sz="0" w:space="0" w:color="auto"/>
            <w:right w:val="none" w:sz="0" w:space="0" w:color="auto"/>
          </w:divBdr>
        </w:div>
      </w:divsChild>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71127969">
      <w:bodyDiv w:val="1"/>
      <w:marLeft w:val="0"/>
      <w:marRight w:val="0"/>
      <w:marTop w:val="0"/>
      <w:marBottom w:val="0"/>
      <w:divBdr>
        <w:top w:val="none" w:sz="0" w:space="0" w:color="auto"/>
        <w:left w:val="none" w:sz="0" w:space="0" w:color="auto"/>
        <w:bottom w:val="none" w:sz="0" w:space="0" w:color="auto"/>
        <w:right w:val="none" w:sz="0" w:space="0" w:color="auto"/>
      </w:divBdr>
    </w:div>
    <w:div w:id="786317746">
      <w:bodyDiv w:val="1"/>
      <w:marLeft w:val="0"/>
      <w:marRight w:val="0"/>
      <w:marTop w:val="0"/>
      <w:marBottom w:val="0"/>
      <w:divBdr>
        <w:top w:val="none" w:sz="0" w:space="0" w:color="auto"/>
        <w:left w:val="none" w:sz="0" w:space="0" w:color="auto"/>
        <w:bottom w:val="none" w:sz="0" w:space="0" w:color="auto"/>
        <w:right w:val="none" w:sz="0" w:space="0" w:color="auto"/>
      </w:divBdr>
      <w:divsChild>
        <w:div w:id="763957909">
          <w:marLeft w:val="274"/>
          <w:marRight w:val="0"/>
          <w:marTop w:val="0"/>
          <w:marBottom w:val="120"/>
          <w:divBdr>
            <w:top w:val="none" w:sz="0" w:space="0" w:color="auto"/>
            <w:left w:val="none" w:sz="0" w:space="0" w:color="auto"/>
            <w:bottom w:val="none" w:sz="0" w:space="0" w:color="auto"/>
            <w:right w:val="none" w:sz="0" w:space="0" w:color="auto"/>
          </w:divBdr>
        </w:div>
        <w:div w:id="1010332546">
          <w:marLeft w:val="274"/>
          <w:marRight w:val="0"/>
          <w:marTop w:val="0"/>
          <w:marBottom w:val="120"/>
          <w:divBdr>
            <w:top w:val="none" w:sz="0" w:space="0" w:color="auto"/>
            <w:left w:val="none" w:sz="0" w:space="0" w:color="auto"/>
            <w:bottom w:val="none" w:sz="0" w:space="0" w:color="auto"/>
            <w:right w:val="none" w:sz="0" w:space="0" w:color="auto"/>
          </w:divBdr>
        </w:div>
        <w:div w:id="1929775713">
          <w:marLeft w:val="562"/>
          <w:marRight w:val="0"/>
          <w:marTop w:val="0"/>
          <w:marBottom w:val="120"/>
          <w:divBdr>
            <w:top w:val="none" w:sz="0" w:space="0" w:color="auto"/>
            <w:left w:val="none" w:sz="0" w:space="0" w:color="auto"/>
            <w:bottom w:val="none" w:sz="0" w:space="0" w:color="auto"/>
            <w:right w:val="none" w:sz="0" w:space="0" w:color="auto"/>
          </w:divBdr>
        </w:div>
        <w:div w:id="1977759686">
          <w:marLeft w:val="562"/>
          <w:marRight w:val="0"/>
          <w:marTop w:val="0"/>
          <w:marBottom w:val="120"/>
          <w:divBdr>
            <w:top w:val="none" w:sz="0" w:space="0" w:color="auto"/>
            <w:left w:val="none" w:sz="0" w:space="0" w:color="auto"/>
            <w:bottom w:val="none" w:sz="0" w:space="0" w:color="auto"/>
            <w:right w:val="none" w:sz="0" w:space="0" w:color="auto"/>
          </w:divBdr>
        </w:div>
      </w:divsChild>
    </w:div>
    <w:div w:id="807279455">
      <w:bodyDiv w:val="1"/>
      <w:marLeft w:val="0"/>
      <w:marRight w:val="0"/>
      <w:marTop w:val="0"/>
      <w:marBottom w:val="0"/>
      <w:divBdr>
        <w:top w:val="none" w:sz="0" w:space="0" w:color="auto"/>
        <w:left w:val="none" w:sz="0" w:space="0" w:color="auto"/>
        <w:bottom w:val="none" w:sz="0" w:space="0" w:color="auto"/>
        <w:right w:val="none" w:sz="0" w:space="0" w:color="auto"/>
      </w:divBdr>
    </w:div>
    <w:div w:id="814372538">
      <w:bodyDiv w:val="1"/>
      <w:marLeft w:val="0"/>
      <w:marRight w:val="0"/>
      <w:marTop w:val="0"/>
      <w:marBottom w:val="0"/>
      <w:divBdr>
        <w:top w:val="none" w:sz="0" w:space="0" w:color="auto"/>
        <w:left w:val="none" w:sz="0" w:space="0" w:color="auto"/>
        <w:bottom w:val="none" w:sz="0" w:space="0" w:color="auto"/>
        <w:right w:val="none" w:sz="0" w:space="0" w:color="auto"/>
      </w:divBdr>
    </w:div>
    <w:div w:id="824472572">
      <w:bodyDiv w:val="1"/>
      <w:marLeft w:val="0"/>
      <w:marRight w:val="0"/>
      <w:marTop w:val="0"/>
      <w:marBottom w:val="0"/>
      <w:divBdr>
        <w:top w:val="none" w:sz="0" w:space="0" w:color="auto"/>
        <w:left w:val="none" w:sz="0" w:space="0" w:color="auto"/>
        <w:bottom w:val="none" w:sz="0" w:space="0" w:color="auto"/>
        <w:right w:val="none" w:sz="0" w:space="0" w:color="auto"/>
      </w:divBdr>
    </w:div>
    <w:div w:id="844176807">
      <w:bodyDiv w:val="1"/>
      <w:marLeft w:val="0"/>
      <w:marRight w:val="0"/>
      <w:marTop w:val="0"/>
      <w:marBottom w:val="0"/>
      <w:divBdr>
        <w:top w:val="none" w:sz="0" w:space="0" w:color="auto"/>
        <w:left w:val="none" w:sz="0" w:space="0" w:color="auto"/>
        <w:bottom w:val="none" w:sz="0" w:space="0" w:color="auto"/>
        <w:right w:val="none" w:sz="0" w:space="0" w:color="auto"/>
      </w:divBdr>
    </w:div>
    <w:div w:id="859047925">
      <w:bodyDiv w:val="1"/>
      <w:marLeft w:val="0"/>
      <w:marRight w:val="0"/>
      <w:marTop w:val="0"/>
      <w:marBottom w:val="0"/>
      <w:divBdr>
        <w:top w:val="none" w:sz="0" w:space="0" w:color="auto"/>
        <w:left w:val="none" w:sz="0" w:space="0" w:color="auto"/>
        <w:bottom w:val="none" w:sz="0" w:space="0" w:color="auto"/>
        <w:right w:val="none" w:sz="0" w:space="0" w:color="auto"/>
      </w:divBdr>
      <w:divsChild>
        <w:div w:id="196048750">
          <w:marLeft w:val="562"/>
          <w:marRight w:val="0"/>
          <w:marTop w:val="0"/>
          <w:marBottom w:val="160"/>
          <w:divBdr>
            <w:top w:val="none" w:sz="0" w:space="0" w:color="auto"/>
            <w:left w:val="none" w:sz="0" w:space="0" w:color="auto"/>
            <w:bottom w:val="none" w:sz="0" w:space="0" w:color="auto"/>
            <w:right w:val="none" w:sz="0" w:space="0" w:color="auto"/>
          </w:divBdr>
        </w:div>
        <w:div w:id="220602210">
          <w:marLeft w:val="562"/>
          <w:marRight w:val="0"/>
          <w:marTop w:val="0"/>
          <w:marBottom w:val="160"/>
          <w:divBdr>
            <w:top w:val="none" w:sz="0" w:space="0" w:color="auto"/>
            <w:left w:val="none" w:sz="0" w:space="0" w:color="auto"/>
            <w:bottom w:val="none" w:sz="0" w:space="0" w:color="auto"/>
            <w:right w:val="none" w:sz="0" w:space="0" w:color="auto"/>
          </w:divBdr>
        </w:div>
        <w:div w:id="862790063">
          <w:marLeft w:val="274"/>
          <w:marRight w:val="0"/>
          <w:marTop w:val="0"/>
          <w:marBottom w:val="160"/>
          <w:divBdr>
            <w:top w:val="none" w:sz="0" w:space="0" w:color="auto"/>
            <w:left w:val="none" w:sz="0" w:space="0" w:color="auto"/>
            <w:bottom w:val="none" w:sz="0" w:space="0" w:color="auto"/>
            <w:right w:val="none" w:sz="0" w:space="0" w:color="auto"/>
          </w:divBdr>
        </w:div>
        <w:div w:id="999238575">
          <w:marLeft w:val="274"/>
          <w:marRight w:val="0"/>
          <w:marTop w:val="0"/>
          <w:marBottom w:val="160"/>
          <w:divBdr>
            <w:top w:val="none" w:sz="0" w:space="0" w:color="auto"/>
            <w:left w:val="none" w:sz="0" w:space="0" w:color="auto"/>
            <w:bottom w:val="none" w:sz="0" w:space="0" w:color="auto"/>
            <w:right w:val="none" w:sz="0" w:space="0" w:color="auto"/>
          </w:divBdr>
        </w:div>
        <w:div w:id="1173494029">
          <w:marLeft w:val="562"/>
          <w:marRight w:val="0"/>
          <w:marTop w:val="0"/>
          <w:marBottom w:val="160"/>
          <w:divBdr>
            <w:top w:val="none" w:sz="0" w:space="0" w:color="auto"/>
            <w:left w:val="none" w:sz="0" w:space="0" w:color="auto"/>
            <w:bottom w:val="none" w:sz="0" w:space="0" w:color="auto"/>
            <w:right w:val="none" w:sz="0" w:space="0" w:color="auto"/>
          </w:divBdr>
        </w:div>
        <w:div w:id="1230723858">
          <w:marLeft w:val="274"/>
          <w:marRight w:val="0"/>
          <w:marTop w:val="0"/>
          <w:marBottom w:val="160"/>
          <w:divBdr>
            <w:top w:val="none" w:sz="0" w:space="0" w:color="auto"/>
            <w:left w:val="none" w:sz="0" w:space="0" w:color="auto"/>
            <w:bottom w:val="none" w:sz="0" w:space="0" w:color="auto"/>
            <w:right w:val="none" w:sz="0" w:space="0" w:color="auto"/>
          </w:divBdr>
        </w:div>
        <w:div w:id="1459567045">
          <w:marLeft w:val="274"/>
          <w:marRight w:val="0"/>
          <w:marTop w:val="0"/>
          <w:marBottom w:val="160"/>
          <w:divBdr>
            <w:top w:val="none" w:sz="0" w:space="0" w:color="auto"/>
            <w:left w:val="none" w:sz="0" w:space="0" w:color="auto"/>
            <w:bottom w:val="none" w:sz="0" w:space="0" w:color="auto"/>
            <w:right w:val="none" w:sz="0" w:space="0" w:color="auto"/>
          </w:divBdr>
        </w:div>
        <w:div w:id="1464349299">
          <w:marLeft w:val="274"/>
          <w:marRight w:val="0"/>
          <w:marTop w:val="0"/>
          <w:marBottom w:val="160"/>
          <w:divBdr>
            <w:top w:val="none" w:sz="0" w:space="0" w:color="auto"/>
            <w:left w:val="none" w:sz="0" w:space="0" w:color="auto"/>
            <w:bottom w:val="none" w:sz="0" w:space="0" w:color="auto"/>
            <w:right w:val="none" w:sz="0" w:space="0" w:color="auto"/>
          </w:divBdr>
        </w:div>
        <w:div w:id="1607345771">
          <w:marLeft w:val="274"/>
          <w:marRight w:val="0"/>
          <w:marTop w:val="0"/>
          <w:marBottom w:val="160"/>
          <w:divBdr>
            <w:top w:val="none" w:sz="0" w:space="0" w:color="auto"/>
            <w:left w:val="none" w:sz="0" w:space="0" w:color="auto"/>
            <w:bottom w:val="none" w:sz="0" w:space="0" w:color="auto"/>
            <w:right w:val="none" w:sz="0" w:space="0" w:color="auto"/>
          </w:divBdr>
        </w:div>
        <w:div w:id="1967659038">
          <w:marLeft w:val="274"/>
          <w:marRight w:val="0"/>
          <w:marTop w:val="0"/>
          <w:marBottom w:val="160"/>
          <w:divBdr>
            <w:top w:val="none" w:sz="0" w:space="0" w:color="auto"/>
            <w:left w:val="none" w:sz="0" w:space="0" w:color="auto"/>
            <w:bottom w:val="none" w:sz="0" w:space="0" w:color="auto"/>
            <w:right w:val="none" w:sz="0" w:space="0" w:color="auto"/>
          </w:divBdr>
        </w:div>
      </w:divsChild>
    </w:div>
    <w:div w:id="863517707">
      <w:bodyDiv w:val="1"/>
      <w:marLeft w:val="0"/>
      <w:marRight w:val="0"/>
      <w:marTop w:val="0"/>
      <w:marBottom w:val="0"/>
      <w:divBdr>
        <w:top w:val="none" w:sz="0" w:space="0" w:color="auto"/>
        <w:left w:val="none" w:sz="0" w:space="0" w:color="auto"/>
        <w:bottom w:val="none" w:sz="0" w:space="0" w:color="auto"/>
        <w:right w:val="none" w:sz="0" w:space="0" w:color="auto"/>
      </w:divBdr>
      <w:divsChild>
        <w:div w:id="857964464">
          <w:marLeft w:val="274"/>
          <w:marRight w:val="0"/>
          <w:marTop w:val="0"/>
          <w:marBottom w:val="160"/>
          <w:divBdr>
            <w:top w:val="none" w:sz="0" w:space="0" w:color="auto"/>
            <w:left w:val="none" w:sz="0" w:space="0" w:color="auto"/>
            <w:bottom w:val="none" w:sz="0" w:space="0" w:color="auto"/>
            <w:right w:val="none" w:sz="0" w:space="0" w:color="auto"/>
          </w:divBdr>
        </w:div>
      </w:divsChild>
    </w:div>
    <w:div w:id="870343481">
      <w:bodyDiv w:val="1"/>
      <w:marLeft w:val="0"/>
      <w:marRight w:val="0"/>
      <w:marTop w:val="0"/>
      <w:marBottom w:val="0"/>
      <w:divBdr>
        <w:top w:val="none" w:sz="0" w:space="0" w:color="auto"/>
        <w:left w:val="none" w:sz="0" w:space="0" w:color="auto"/>
        <w:bottom w:val="none" w:sz="0" w:space="0" w:color="auto"/>
        <w:right w:val="none" w:sz="0" w:space="0" w:color="auto"/>
      </w:divBdr>
    </w:div>
    <w:div w:id="881748654">
      <w:bodyDiv w:val="1"/>
      <w:marLeft w:val="0"/>
      <w:marRight w:val="0"/>
      <w:marTop w:val="0"/>
      <w:marBottom w:val="0"/>
      <w:divBdr>
        <w:top w:val="none" w:sz="0" w:space="0" w:color="auto"/>
        <w:left w:val="none" w:sz="0" w:space="0" w:color="auto"/>
        <w:bottom w:val="none" w:sz="0" w:space="0" w:color="auto"/>
        <w:right w:val="none" w:sz="0" w:space="0" w:color="auto"/>
      </w:divBdr>
    </w:div>
    <w:div w:id="886918821">
      <w:bodyDiv w:val="1"/>
      <w:marLeft w:val="0"/>
      <w:marRight w:val="0"/>
      <w:marTop w:val="0"/>
      <w:marBottom w:val="0"/>
      <w:divBdr>
        <w:top w:val="none" w:sz="0" w:space="0" w:color="auto"/>
        <w:left w:val="none" w:sz="0" w:space="0" w:color="auto"/>
        <w:bottom w:val="none" w:sz="0" w:space="0" w:color="auto"/>
        <w:right w:val="none" w:sz="0" w:space="0" w:color="auto"/>
      </w:divBdr>
    </w:div>
    <w:div w:id="896235729">
      <w:bodyDiv w:val="1"/>
      <w:marLeft w:val="0"/>
      <w:marRight w:val="0"/>
      <w:marTop w:val="0"/>
      <w:marBottom w:val="0"/>
      <w:divBdr>
        <w:top w:val="none" w:sz="0" w:space="0" w:color="auto"/>
        <w:left w:val="none" w:sz="0" w:space="0" w:color="auto"/>
        <w:bottom w:val="none" w:sz="0" w:space="0" w:color="auto"/>
        <w:right w:val="none" w:sz="0" w:space="0" w:color="auto"/>
      </w:divBdr>
    </w:div>
    <w:div w:id="902451421">
      <w:bodyDiv w:val="1"/>
      <w:marLeft w:val="0"/>
      <w:marRight w:val="0"/>
      <w:marTop w:val="0"/>
      <w:marBottom w:val="0"/>
      <w:divBdr>
        <w:top w:val="none" w:sz="0" w:space="0" w:color="auto"/>
        <w:left w:val="none" w:sz="0" w:space="0" w:color="auto"/>
        <w:bottom w:val="none" w:sz="0" w:space="0" w:color="auto"/>
        <w:right w:val="none" w:sz="0" w:space="0" w:color="auto"/>
      </w:divBdr>
    </w:div>
    <w:div w:id="920723639">
      <w:bodyDiv w:val="1"/>
      <w:marLeft w:val="0"/>
      <w:marRight w:val="0"/>
      <w:marTop w:val="0"/>
      <w:marBottom w:val="0"/>
      <w:divBdr>
        <w:top w:val="none" w:sz="0" w:space="0" w:color="auto"/>
        <w:left w:val="none" w:sz="0" w:space="0" w:color="auto"/>
        <w:bottom w:val="none" w:sz="0" w:space="0" w:color="auto"/>
        <w:right w:val="none" w:sz="0" w:space="0" w:color="auto"/>
      </w:divBdr>
    </w:div>
    <w:div w:id="956108918">
      <w:bodyDiv w:val="1"/>
      <w:marLeft w:val="0"/>
      <w:marRight w:val="0"/>
      <w:marTop w:val="0"/>
      <w:marBottom w:val="0"/>
      <w:divBdr>
        <w:top w:val="none" w:sz="0" w:space="0" w:color="auto"/>
        <w:left w:val="none" w:sz="0" w:space="0" w:color="auto"/>
        <w:bottom w:val="none" w:sz="0" w:space="0" w:color="auto"/>
        <w:right w:val="none" w:sz="0" w:space="0" w:color="auto"/>
      </w:divBdr>
    </w:div>
    <w:div w:id="961495043">
      <w:bodyDiv w:val="1"/>
      <w:marLeft w:val="0"/>
      <w:marRight w:val="0"/>
      <w:marTop w:val="0"/>
      <w:marBottom w:val="0"/>
      <w:divBdr>
        <w:top w:val="none" w:sz="0" w:space="0" w:color="auto"/>
        <w:left w:val="none" w:sz="0" w:space="0" w:color="auto"/>
        <w:bottom w:val="none" w:sz="0" w:space="0" w:color="auto"/>
        <w:right w:val="none" w:sz="0" w:space="0" w:color="auto"/>
      </w:divBdr>
      <w:divsChild>
        <w:div w:id="957295715">
          <w:marLeft w:val="274"/>
          <w:marRight w:val="0"/>
          <w:marTop w:val="0"/>
          <w:marBottom w:val="160"/>
          <w:divBdr>
            <w:top w:val="none" w:sz="0" w:space="0" w:color="auto"/>
            <w:left w:val="none" w:sz="0" w:space="0" w:color="auto"/>
            <w:bottom w:val="none" w:sz="0" w:space="0" w:color="auto"/>
            <w:right w:val="none" w:sz="0" w:space="0" w:color="auto"/>
          </w:divBdr>
        </w:div>
        <w:div w:id="1318461207">
          <w:marLeft w:val="274"/>
          <w:marRight w:val="0"/>
          <w:marTop w:val="0"/>
          <w:marBottom w:val="160"/>
          <w:divBdr>
            <w:top w:val="none" w:sz="0" w:space="0" w:color="auto"/>
            <w:left w:val="none" w:sz="0" w:space="0" w:color="auto"/>
            <w:bottom w:val="none" w:sz="0" w:space="0" w:color="auto"/>
            <w:right w:val="none" w:sz="0" w:space="0" w:color="auto"/>
          </w:divBdr>
        </w:div>
        <w:div w:id="1403715876">
          <w:marLeft w:val="274"/>
          <w:marRight w:val="0"/>
          <w:marTop w:val="0"/>
          <w:marBottom w:val="160"/>
          <w:divBdr>
            <w:top w:val="none" w:sz="0" w:space="0" w:color="auto"/>
            <w:left w:val="none" w:sz="0" w:space="0" w:color="auto"/>
            <w:bottom w:val="none" w:sz="0" w:space="0" w:color="auto"/>
            <w:right w:val="none" w:sz="0" w:space="0" w:color="auto"/>
          </w:divBdr>
        </w:div>
      </w:divsChild>
    </w:div>
    <w:div w:id="1048577966">
      <w:bodyDiv w:val="1"/>
      <w:marLeft w:val="0"/>
      <w:marRight w:val="0"/>
      <w:marTop w:val="0"/>
      <w:marBottom w:val="0"/>
      <w:divBdr>
        <w:top w:val="none" w:sz="0" w:space="0" w:color="auto"/>
        <w:left w:val="none" w:sz="0" w:space="0" w:color="auto"/>
        <w:bottom w:val="none" w:sz="0" w:space="0" w:color="auto"/>
        <w:right w:val="none" w:sz="0" w:space="0" w:color="auto"/>
      </w:divBdr>
    </w:div>
    <w:div w:id="1072702619">
      <w:bodyDiv w:val="1"/>
      <w:marLeft w:val="0"/>
      <w:marRight w:val="0"/>
      <w:marTop w:val="0"/>
      <w:marBottom w:val="0"/>
      <w:divBdr>
        <w:top w:val="none" w:sz="0" w:space="0" w:color="auto"/>
        <w:left w:val="none" w:sz="0" w:space="0" w:color="auto"/>
        <w:bottom w:val="none" w:sz="0" w:space="0" w:color="auto"/>
        <w:right w:val="none" w:sz="0" w:space="0" w:color="auto"/>
      </w:divBdr>
      <w:divsChild>
        <w:div w:id="2100827085">
          <w:marLeft w:val="274"/>
          <w:marRight w:val="0"/>
          <w:marTop w:val="0"/>
          <w:marBottom w:val="86"/>
          <w:divBdr>
            <w:top w:val="none" w:sz="0" w:space="0" w:color="auto"/>
            <w:left w:val="none" w:sz="0" w:space="0" w:color="auto"/>
            <w:bottom w:val="none" w:sz="0" w:space="0" w:color="auto"/>
            <w:right w:val="none" w:sz="0" w:space="0" w:color="auto"/>
          </w:divBdr>
        </w:div>
      </w:divsChild>
    </w:div>
    <w:div w:id="1081374013">
      <w:bodyDiv w:val="1"/>
      <w:marLeft w:val="0"/>
      <w:marRight w:val="0"/>
      <w:marTop w:val="0"/>
      <w:marBottom w:val="0"/>
      <w:divBdr>
        <w:top w:val="none" w:sz="0" w:space="0" w:color="auto"/>
        <w:left w:val="none" w:sz="0" w:space="0" w:color="auto"/>
        <w:bottom w:val="none" w:sz="0" w:space="0" w:color="auto"/>
        <w:right w:val="none" w:sz="0" w:space="0" w:color="auto"/>
      </w:divBdr>
    </w:div>
    <w:div w:id="1126773095">
      <w:bodyDiv w:val="1"/>
      <w:marLeft w:val="0"/>
      <w:marRight w:val="0"/>
      <w:marTop w:val="0"/>
      <w:marBottom w:val="0"/>
      <w:divBdr>
        <w:top w:val="none" w:sz="0" w:space="0" w:color="auto"/>
        <w:left w:val="none" w:sz="0" w:space="0" w:color="auto"/>
        <w:bottom w:val="none" w:sz="0" w:space="0" w:color="auto"/>
        <w:right w:val="none" w:sz="0" w:space="0" w:color="auto"/>
      </w:divBdr>
    </w:div>
    <w:div w:id="1132746644">
      <w:bodyDiv w:val="1"/>
      <w:marLeft w:val="0"/>
      <w:marRight w:val="0"/>
      <w:marTop w:val="0"/>
      <w:marBottom w:val="0"/>
      <w:divBdr>
        <w:top w:val="none" w:sz="0" w:space="0" w:color="auto"/>
        <w:left w:val="none" w:sz="0" w:space="0" w:color="auto"/>
        <w:bottom w:val="none" w:sz="0" w:space="0" w:color="auto"/>
        <w:right w:val="none" w:sz="0" w:space="0" w:color="auto"/>
      </w:divBdr>
    </w:div>
    <w:div w:id="1136722590">
      <w:bodyDiv w:val="1"/>
      <w:marLeft w:val="0"/>
      <w:marRight w:val="0"/>
      <w:marTop w:val="0"/>
      <w:marBottom w:val="0"/>
      <w:divBdr>
        <w:top w:val="none" w:sz="0" w:space="0" w:color="auto"/>
        <w:left w:val="none" w:sz="0" w:space="0" w:color="auto"/>
        <w:bottom w:val="none" w:sz="0" w:space="0" w:color="auto"/>
        <w:right w:val="none" w:sz="0" w:space="0" w:color="auto"/>
      </w:divBdr>
    </w:div>
    <w:div w:id="1144464686">
      <w:bodyDiv w:val="1"/>
      <w:marLeft w:val="0"/>
      <w:marRight w:val="0"/>
      <w:marTop w:val="0"/>
      <w:marBottom w:val="0"/>
      <w:divBdr>
        <w:top w:val="none" w:sz="0" w:space="0" w:color="auto"/>
        <w:left w:val="none" w:sz="0" w:space="0" w:color="auto"/>
        <w:bottom w:val="none" w:sz="0" w:space="0" w:color="auto"/>
        <w:right w:val="none" w:sz="0" w:space="0" w:color="auto"/>
      </w:divBdr>
      <w:divsChild>
        <w:div w:id="1404182222">
          <w:marLeft w:val="274"/>
          <w:marRight w:val="0"/>
          <w:marTop w:val="0"/>
          <w:marBottom w:val="160"/>
          <w:divBdr>
            <w:top w:val="none" w:sz="0" w:space="0" w:color="auto"/>
            <w:left w:val="none" w:sz="0" w:space="0" w:color="auto"/>
            <w:bottom w:val="none" w:sz="0" w:space="0" w:color="auto"/>
            <w:right w:val="none" w:sz="0" w:space="0" w:color="auto"/>
          </w:divBdr>
        </w:div>
      </w:divsChild>
    </w:div>
    <w:div w:id="1258751504">
      <w:bodyDiv w:val="1"/>
      <w:marLeft w:val="0"/>
      <w:marRight w:val="0"/>
      <w:marTop w:val="0"/>
      <w:marBottom w:val="0"/>
      <w:divBdr>
        <w:top w:val="none" w:sz="0" w:space="0" w:color="auto"/>
        <w:left w:val="none" w:sz="0" w:space="0" w:color="auto"/>
        <w:bottom w:val="none" w:sz="0" w:space="0" w:color="auto"/>
        <w:right w:val="none" w:sz="0" w:space="0" w:color="auto"/>
      </w:divBdr>
      <w:divsChild>
        <w:div w:id="434643152">
          <w:marLeft w:val="274"/>
          <w:marRight w:val="0"/>
          <w:marTop w:val="0"/>
          <w:marBottom w:val="160"/>
          <w:divBdr>
            <w:top w:val="none" w:sz="0" w:space="0" w:color="auto"/>
            <w:left w:val="none" w:sz="0" w:space="0" w:color="auto"/>
            <w:bottom w:val="none" w:sz="0" w:space="0" w:color="auto"/>
            <w:right w:val="none" w:sz="0" w:space="0" w:color="auto"/>
          </w:divBdr>
        </w:div>
      </w:divsChild>
    </w:div>
    <w:div w:id="1264218266">
      <w:bodyDiv w:val="1"/>
      <w:marLeft w:val="0"/>
      <w:marRight w:val="0"/>
      <w:marTop w:val="0"/>
      <w:marBottom w:val="0"/>
      <w:divBdr>
        <w:top w:val="none" w:sz="0" w:space="0" w:color="auto"/>
        <w:left w:val="none" w:sz="0" w:space="0" w:color="auto"/>
        <w:bottom w:val="none" w:sz="0" w:space="0" w:color="auto"/>
        <w:right w:val="none" w:sz="0" w:space="0" w:color="auto"/>
      </w:divBdr>
    </w:div>
    <w:div w:id="1265380924">
      <w:bodyDiv w:val="1"/>
      <w:marLeft w:val="0"/>
      <w:marRight w:val="0"/>
      <w:marTop w:val="0"/>
      <w:marBottom w:val="0"/>
      <w:divBdr>
        <w:top w:val="none" w:sz="0" w:space="0" w:color="auto"/>
        <w:left w:val="none" w:sz="0" w:space="0" w:color="auto"/>
        <w:bottom w:val="none" w:sz="0" w:space="0" w:color="auto"/>
        <w:right w:val="none" w:sz="0" w:space="0" w:color="auto"/>
      </w:divBdr>
      <w:divsChild>
        <w:div w:id="489636143">
          <w:marLeft w:val="562"/>
          <w:marRight w:val="0"/>
          <w:marTop w:val="0"/>
          <w:marBottom w:val="160"/>
          <w:divBdr>
            <w:top w:val="none" w:sz="0" w:space="0" w:color="auto"/>
            <w:left w:val="none" w:sz="0" w:space="0" w:color="auto"/>
            <w:bottom w:val="none" w:sz="0" w:space="0" w:color="auto"/>
            <w:right w:val="none" w:sz="0" w:space="0" w:color="auto"/>
          </w:divBdr>
        </w:div>
        <w:div w:id="1333801288">
          <w:marLeft w:val="274"/>
          <w:marRight w:val="0"/>
          <w:marTop w:val="0"/>
          <w:marBottom w:val="160"/>
          <w:divBdr>
            <w:top w:val="none" w:sz="0" w:space="0" w:color="auto"/>
            <w:left w:val="none" w:sz="0" w:space="0" w:color="auto"/>
            <w:bottom w:val="none" w:sz="0" w:space="0" w:color="auto"/>
            <w:right w:val="none" w:sz="0" w:space="0" w:color="auto"/>
          </w:divBdr>
        </w:div>
        <w:div w:id="1790010734">
          <w:marLeft w:val="562"/>
          <w:marRight w:val="0"/>
          <w:marTop w:val="0"/>
          <w:marBottom w:val="160"/>
          <w:divBdr>
            <w:top w:val="none" w:sz="0" w:space="0" w:color="auto"/>
            <w:left w:val="none" w:sz="0" w:space="0" w:color="auto"/>
            <w:bottom w:val="none" w:sz="0" w:space="0" w:color="auto"/>
            <w:right w:val="none" w:sz="0" w:space="0" w:color="auto"/>
          </w:divBdr>
        </w:div>
      </w:divsChild>
    </w:div>
    <w:div w:id="1270510995">
      <w:bodyDiv w:val="1"/>
      <w:marLeft w:val="0"/>
      <w:marRight w:val="0"/>
      <w:marTop w:val="0"/>
      <w:marBottom w:val="0"/>
      <w:divBdr>
        <w:top w:val="none" w:sz="0" w:space="0" w:color="auto"/>
        <w:left w:val="none" w:sz="0" w:space="0" w:color="auto"/>
        <w:bottom w:val="none" w:sz="0" w:space="0" w:color="auto"/>
        <w:right w:val="none" w:sz="0" w:space="0" w:color="auto"/>
      </w:divBdr>
      <w:divsChild>
        <w:div w:id="604583508">
          <w:marLeft w:val="850"/>
          <w:marRight w:val="0"/>
          <w:marTop w:val="0"/>
          <w:marBottom w:val="160"/>
          <w:divBdr>
            <w:top w:val="none" w:sz="0" w:space="0" w:color="auto"/>
            <w:left w:val="none" w:sz="0" w:space="0" w:color="auto"/>
            <w:bottom w:val="none" w:sz="0" w:space="0" w:color="auto"/>
            <w:right w:val="none" w:sz="0" w:space="0" w:color="auto"/>
          </w:divBdr>
        </w:div>
        <w:div w:id="616717697">
          <w:marLeft w:val="850"/>
          <w:marRight w:val="0"/>
          <w:marTop w:val="0"/>
          <w:marBottom w:val="160"/>
          <w:divBdr>
            <w:top w:val="none" w:sz="0" w:space="0" w:color="auto"/>
            <w:left w:val="none" w:sz="0" w:space="0" w:color="auto"/>
            <w:bottom w:val="none" w:sz="0" w:space="0" w:color="auto"/>
            <w:right w:val="none" w:sz="0" w:space="0" w:color="auto"/>
          </w:divBdr>
        </w:div>
        <w:div w:id="1609502465">
          <w:marLeft w:val="850"/>
          <w:marRight w:val="0"/>
          <w:marTop w:val="0"/>
          <w:marBottom w:val="160"/>
          <w:divBdr>
            <w:top w:val="none" w:sz="0" w:space="0" w:color="auto"/>
            <w:left w:val="none" w:sz="0" w:space="0" w:color="auto"/>
            <w:bottom w:val="none" w:sz="0" w:space="0" w:color="auto"/>
            <w:right w:val="none" w:sz="0" w:space="0" w:color="auto"/>
          </w:divBdr>
        </w:div>
      </w:divsChild>
    </w:div>
    <w:div w:id="1292781123">
      <w:bodyDiv w:val="1"/>
      <w:marLeft w:val="0"/>
      <w:marRight w:val="0"/>
      <w:marTop w:val="0"/>
      <w:marBottom w:val="0"/>
      <w:divBdr>
        <w:top w:val="none" w:sz="0" w:space="0" w:color="auto"/>
        <w:left w:val="none" w:sz="0" w:space="0" w:color="auto"/>
        <w:bottom w:val="none" w:sz="0" w:space="0" w:color="auto"/>
        <w:right w:val="none" w:sz="0" w:space="0" w:color="auto"/>
      </w:divBdr>
    </w:div>
    <w:div w:id="1297833464">
      <w:bodyDiv w:val="1"/>
      <w:marLeft w:val="0"/>
      <w:marRight w:val="0"/>
      <w:marTop w:val="0"/>
      <w:marBottom w:val="0"/>
      <w:divBdr>
        <w:top w:val="none" w:sz="0" w:space="0" w:color="auto"/>
        <w:left w:val="none" w:sz="0" w:space="0" w:color="auto"/>
        <w:bottom w:val="none" w:sz="0" w:space="0" w:color="auto"/>
        <w:right w:val="none" w:sz="0" w:space="0" w:color="auto"/>
      </w:divBdr>
    </w:div>
    <w:div w:id="1362433998">
      <w:bodyDiv w:val="1"/>
      <w:marLeft w:val="0"/>
      <w:marRight w:val="0"/>
      <w:marTop w:val="0"/>
      <w:marBottom w:val="0"/>
      <w:divBdr>
        <w:top w:val="none" w:sz="0" w:space="0" w:color="auto"/>
        <w:left w:val="none" w:sz="0" w:space="0" w:color="auto"/>
        <w:bottom w:val="none" w:sz="0" w:space="0" w:color="auto"/>
        <w:right w:val="none" w:sz="0" w:space="0" w:color="auto"/>
      </w:divBdr>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1824926271">
          <w:marLeft w:val="274"/>
          <w:marRight w:val="0"/>
          <w:marTop w:val="0"/>
          <w:marBottom w:val="120"/>
          <w:divBdr>
            <w:top w:val="none" w:sz="0" w:space="0" w:color="auto"/>
            <w:left w:val="none" w:sz="0" w:space="0" w:color="auto"/>
            <w:bottom w:val="none" w:sz="0" w:space="0" w:color="auto"/>
            <w:right w:val="none" w:sz="0" w:space="0" w:color="auto"/>
          </w:divBdr>
        </w:div>
      </w:divsChild>
    </w:div>
    <w:div w:id="1381049588">
      <w:bodyDiv w:val="1"/>
      <w:marLeft w:val="0"/>
      <w:marRight w:val="0"/>
      <w:marTop w:val="0"/>
      <w:marBottom w:val="0"/>
      <w:divBdr>
        <w:top w:val="none" w:sz="0" w:space="0" w:color="auto"/>
        <w:left w:val="none" w:sz="0" w:space="0" w:color="auto"/>
        <w:bottom w:val="none" w:sz="0" w:space="0" w:color="auto"/>
        <w:right w:val="none" w:sz="0" w:space="0" w:color="auto"/>
      </w:divBdr>
      <w:divsChild>
        <w:div w:id="1841114814">
          <w:marLeft w:val="274"/>
          <w:marRight w:val="0"/>
          <w:marTop w:val="0"/>
          <w:marBottom w:val="160"/>
          <w:divBdr>
            <w:top w:val="none" w:sz="0" w:space="0" w:color="auto"/>
            <w:left w:val="none" w:sz="0" w:space="0" w:color="auto"/>
            <w:bottom w:val="none" w:sz="0" w:space="0" w:color="auto"/>
            <w:right w:val="none" w:sz="0" w:space="0" w:color="auto"/>
          </w:divBdr>
        </w:div>
      </w:divsChild>
    </w:div>
    <w:div w:id="1414744531">
      <w:bodyDiv w:val="1"/>
      <w:marLeft w:val="0"/>
      <w:marRight w:val="0"/>
      <w:marTop w:val="0"/>
      <w:marBottom w:val="0"/>
      <w:divBdr>
        <w:top w:val="none" w:sz="0" w:space="0" w:color="auto"/>
        <w:left w:val="none" w:sz="0" w:space="0" w:color="auto"/>
        <w:bottom w:val="none" w:sz="0" w:space="0" w:color="auto"/>
        <w:right w:val="none" w:sz="0" w:space="0" w:color="auto"/>
      </w:divBdr>
    </w:div>
    <w:div w:id="1419980048">
      <w:bodyDiv w:val="1"/>
      <w:marLeft w:val="0"/>
      <w:marRight w:val="0"/>
      <w:marTop w:val="0"/>
      <w:marBottom w:val="0"/>
      <w:divBdr>
        <w:top w:val="none" w:sz="0" w:space="0" w:color="auto"/>
        <w:left w:val="none" w:sz="0" w:space="0" w:color="auto"/>
        <w:bottom w:val="none" w:sz="0" w:space="0" w:color="auto"/>
        <w:right w:val="none" w:sz="0" w:space="0" w:color="auto"/>
      </w:divBdr>
    </w:div>
    <w:div w:id="1443838928">
      <w:bodyDiv w:val="1"/>
      <w:marLeft w:val="0"/>
      <w:marRight w:val="0"/>
      <w:marTop w:val="0"/>
      <w:marBottom w:val="0"/>
      <w:divBdr>
        <w:top w:val="none" w:sz="0" w:space="0" w:color="auto"/>
        <w:left w:val="none" w:sz="0" w:space="0" w:color="auto"/>
        <w:bottom w:val="none" w:sz="0" w:space="0" w:color="auto"/>
        <w:right w:val="none" w:sz="0" w:space="0" w:color="auto"/>
      </w:divBdr>
    </w:div>
    <w:div w:id="1452088857">
      <w:bodyDiv w:val="1"/>
      <w:marLeft w:val="0"/>
      <w:marRight w:val="0"/>
      <w:marTop w:val="0"/>
      <w:marBottom w:val="0"/>
      <w:divBdr>
        <w:top w:val="none" w:sz="0" w:space="0" w:color="auto"/>
        <w:left w:val="none" w:sz="0" w:space="0" w:color="auto"/>
        <w:bottom w:val="none" w:sz="0" w:space="0" w:color="auto"/>
        <w:right w:val="none" w:sz="0" w:space="0" w:color="auto"/>
      </w:divBdr>
    </w:div>
    <w:div w:id="1469322222">
      <w:bodyDiv w:val="1"/>
      <w:marLeft w:val="0"/>
      <w:marRight w:val="0"/>
      <w:marTop w:val="0"/>
      <w:marBottom w:val="0"/>
      <w:divBdr>
        <w:top w:val="none" w:sz="0" w:space="0" w:color="auto"/>
        <w:left w:val="none" w:sz="0" w:space="0" w:color="auto"/>
        <w:bottom w:val="none" w:sz="0" w:space="0" w:color="auto"/>
        <w:right w:val="none" w:sz="0" w:space="0" w:color="auto"/>
      </w:divBdr>
      <w:divsChild>
        <w:div w:id="200750947">
          <w:marLeft w:val="274"/>
          <w:marRight w:val="0"/>
          <w:marTop w:val="0"/>
          <w:marBottom w:val="160"/>
          <w:divBdr>
            <w:top w:val="none" w:sz="0" w:space="0" w:color="auto"/>
            <w:left w:val="none" w:sz="0" w:space="0" w:color="auto"/>
            <w:bottom w:val="none" w:sz="0" w:space="0" w:color="auto"/>
            <w:right w:val="none" w:sz="0" w:space="0" w:color="auto"/>
          </w:divBdr>
        </w:div>
        <w:div w:id="996569932">
          <w:marLeft w:val="274"/>
          <w:marRight w:val="0"/>
          <w:marTop w:val="0"/>
          <w:marBottom w:val="160"/>
          <w:divBdr>
            <w:top w:val="none" w:sz="0" w:space="0" w:color="auto"/>
            <w:left w:val="none" w:sz="0" w:space="0" w:color="auto"/>
            <w:bottom w:val="none" w:sz="0" w:space="0" w:color="auto"/>
            <w:right w:val="none" w:sz="0" w:space="0" w:color="auto"/>
          </w:divBdr>
        </w:div>
        <w:div w:id="1199855146">
          <w:marLeft w:val="274"/>
          <w:marRight w:val="0"/>
          <w:marTop w:val="0"/>
          <w:marBottom w:val="160"/>
          <w:divBdr>
            <w:top w:val="none" w:sz="0" w:space="0" w:color="auto"/>
            <w:left w:val="none" w:sz="0" w:space="0" w:color="auto"/>
            <w:bottom w:val="none" w:sz="0" w:space="0" w:color="auto"/>
            <w:right w:val="none" w:sz="0" w:space="0" w:color="auto"/>
          </w:divBdr>
        </w:div>
        <w:div w:id="1203059124">
          <w:marLeft w:val="562"/>
          <w:marRight w:val="0"/>
          <w:marTop w:val="0"/>
          <w:marBottom w:val="160"/>
          <w:divBdr>
            <w:top w:val="none" w:sz="0" w:space="0" w:color="auto"/>
            <w:left w:val="none" w:sz="0" w:space="0" w:color="auto"/>
            <w:bottom w:val="none" w:sz="0" w:space="0" w:color="auto"/>
            <w:right w:val="none" w:sz="0" w:space="0" w:color="auto"/>
          </w:divBdr>
        </w:div>
        <w:div w:id="1287421204">
          <w:marLeft w:val="562"/>
          <w:marRight w:val="0"/>
          <w:marTop w:val="0"/>
          <w:marBottom w:val="160"/>
          <w:divBdr>
            <w:top w:val="none" w:sz="0" w:space="0" w:color="auto"/>
            <w:left w:val="none" w:sz="0" w:space="0" w:color="auto"/>
            <w:bottom w:val="none" w:sz="0" w:space="0" w:color="auto"/>
            <w:right w:val="none" w:sz="0" w:space="0" w:color="auto"/>
          </w:divBdr>
        </w:div>
      </w:divsChild>
    </w:div>
    <w:div w:id="1484735278">
      <w:bodyDiv w:val="1"/>
      <w:marLeft w:val="0"/>
      <w:marRight w:val="0"/>
      <w:marTop w:val="0"/>
      <w:marBottom w:val="0"/>
      <w:divBdr>
        <w:top w:val="none" w:sz="0" w:space="0" w:color="auto"/>
        <w:left w:val="none" w:sz="0" w:space="0" w:color="auto"/>
        <w:bottom w:val="none" w:sz="0" w:space="0" w:color="auto"/>
        <w:right w:val="none" w:sz="0" w:space="0" w:color="auto"/>
      </w:divBdr>
      <w:divsChild>
        <w:div w:id="1961911976">
          <w:marLeft w:val="274"/>
          <w:marRight w:val="0"/>
          <w:marTop w:val="0"/>
          <w:marBottom w:val="120"/>
          <w:divBdr>
            <w:top w:val="none" w:sz="0" w:space="0" w:color="auto"/>
            <w:left w:val="none" w:sz="0" w:space="0" w:color="auto"/>
            <w:bottom w:val="none" w:sz="0" w:space="0" w:color="auto"/>
            <w:right w:val="none" w:sz="0" w:space="0" w:color="auto"/>
          </w:divBdr>
        </w:div>
      </w:divsChild>
    </w:div>
    <w:div w:id="1500121753">
      <w:bodyDiv w:val="1"/>
      <w:marLeft w:val="0"/>
      <w:marRight w:val="0"/>
      <w:marTop w:val="0"/>
      <w:marBottom w:val="0"/>
      <w:divBdr>
        <w:top w:val="none" w:sz="0" w:space="0" w:color="auto"/>
        <w:left w:val="none" w:sz="0" w:space="0" w:color="auto"/>
        <w:bottom w:val="none" w:sz="0" w:space="0" w:color="auto"/>
        <w:right w:val="none" w:sz="0" w:space="0" w:color="auto"/>
      </w:divBdr>
    </w:div>
    <w:div w:id="1503818380">
      <w:bodyDiv w:val="1"/>
      <w:marLeft w:val="0"/>
      <w:marRight w:val="0"/>
      <w:marTop w:val="0"/>
      <w:marBottom w:val="0"/>
      <w:divBdr>
        <w:top w:val="none" w:sz="0" w:space="0" w:color="auto"/>
        <w:left w:val="none" w:sz="0" w:space="0" w:color="auto"/>
        <w:bottom w:val="none" w:sz="0" w:space="0" w:color="auto"/>
        <w:right w:val="none" w:sz="0" w:space="0" w:color="auto"/>
      </w:divBdr>
      <w:divsChild>
        <w:div w:id="291832066">
          <w:marLeft w:val="274"/>
          <w:marRight w:val="0"/>
          <w:marTop w:val="0"/>
          <w:marBottom w:val="160"/>
          <w:divBdr>
            <w:top w:val="none" w:sz="0" w:space="0" w:color="auto"/>
            <w:left w:val="none" w:sz="0" w:space="0" w:color="auto"/>
            <w:bottom w:val="none" w:sz="0" w:space="0" w:color="auto"/>
            <w:right w:val="none" w:sz="0" w:space="0" w:color="auto"/>
          </w:divBdr>
        </w:div>
        <w:div w:id="662469906">
          <w:marLeft w:val="274"/>
          <w:marRight w:val="0"/>
          <w:marTop w:val="0"/>
          <w:marBottom w:val="160"/>
          <w:divBdr>
            <w:top w:val="none" w:sz="0" w:space="0" w:color="auto"/>
            <w:left w:val="none" w:sz="0" w:space="0" w:color="auto"/>
            <w:bottom w:val="none" w:sz="0" w:space="0" w:color="auto"/>
            <w:right w:val="none" w:sz="0" w:space="0" w:color="auto"/>
          </w:divBdr>
        </w:div>
        <w:div w:id="1073426212">
          <w:marLeft w:val="274"/>
          <w:marRight w:val="0"/>
          <w:marTop w:val="0"/>
          <w:marBottom w:val="160"/>
          <w:divBdr>
            <w:top w:val="none" w:sz="0" w:space="0" w:color="auto"/>
            <w:left w:val="none" w:sz="0" w:space="0" w:color="auto"/>
            <w:bottom w:val="none" w:sz="0" w:space="0" w:color="auto"/>
            <w:right w:val="none" w:sz="0" w:space="0" w:color="auto"/>
          </w:divBdr>
        </w:div>
        <w:div w:id="1187669212">
          <w:marLeft w:val="562"/>
          <w:marRight w:val="0"/>
          <w:marTop w:val="0"/>
          <w:marBottom w:val="160"/>
          <w:divBdr>
            <w:top w:val="none" w:sz="0" w:space="0" w:color="auto"/>
            <w:left w:val="none" w:sz="0" w:space="0" w:color="auto"/>
            <w:bottom w:val="none" w:sz="0" w:space="0" w:color="auto"/>
            <w:right w:val="none" w:sz="0" w:space="0" w:color="auto"/>
          </w:divBdr>
        </w:div>
        <w:div w:id="1606157956">
          <w:marLeft w:val="562"/>
          <w:marRight w:val="0"/>
          <w:marTop w:val="0"/>
          <w:marBottom w:val="160"/>
          <w:divBdr>
            <w:top w:val="none" w:sz="0" w:space="0" w:color="auto"/>
            <w:left w:val="none" w:sz="0" w:space="0" w:color="auto"/>
            <w:bottom w:val="none" w:sz="0" w:space="0" w:color="auto"/>
            <w:right w:val="none" w:sz="0" w:space="0" w:color="auto"/>
          </w:divBdr>
        </w:div>
        <w:div w:id="2017685723">
          <w:marLeft w:val="274"/>
          <w:marRight w:val="0"/>
          <w:marTop w:val="0"/>
          <w:marBottom w:val="160"/>
          <w:divBdr>
            <w:top w:val="none" w:sz="0" w:space="0" w:color="auto"/>
            <w:left w:val="none" w:sz="0" w:space="0" w:color="auto"/>
            <w:bottom w:val="none" w:sz="0" w:space="0" w:color="auto"/>
            <w:right w:val="none" w:sz="0" w:space="0" w:color="auto"/>
          </w:divBdr>
        </w:div>
      </w:divsChild>
    </w:div>
    <w:div w:id="1509979431">
      <w:bodyDiv w:val="1"/>
      <w:marLeft w:val="0"/>
      <w:marRight w:val="0"/>
      <w:marTop w:val="0"/>
      <w:marBottom w:val="0"/>
      <w:divBdr>
        <w:top w:val="none" w:sz="0" w:space="0" w:color="auto"/>
        <w:left w:val="none" w:sz="0" w:space="0" w:color="auto"/>
        <w:bottom w:val="none" w:sz="0" w:space="0" w:color="auto"/>
        <w:right w:val="none" w:sz="0" w:space="0" w:color="auto"/>
      </w:divBdr>
    </w:div>
    <w:div w:id="1546864556">
      <w:bodyDiv w:val="1"/>
      <w:marLeft w:val="0"/>
      <w:marRight w:val="0"/>
      <w:marTop w:val="0"/>
      <w:marBottom w:val="0"/>
      <w:divBdr>
        <w:top w:val="none" w:sz="0" w:space="0" w:color="auto"/>
        <w:left w:val="none" w:sz="0" w:space="0" w:color="auto"/>
        <w:bottom w:val="none" w:sz="0" w:space="0" w:color="auto"/>
        <w:right w:val="none" w:sz="0" w:space="0" w:color="auto"/>
      </w:divBdr>
    </w:div>
    <w:div w:id="1624190471">
      <w:bodyDiv w:val="1"/>
      <w:marLeft w:val="0"/>
      <w:marRight w:val="0"/>
      <w:marTop w:val="0"/>
      <w:marBottom w:val="0"/>
      <w:divBdr>
        <w:top w:val="none" w:sz="0" w:space="0" w:color="auto"/>
        <w:left w:val="none" w:sz="0" w:space="0" w:color="auto"/>
        <w:bottom w:val="none" w:sz="0" w:space="0" w:color="auto"/>
        <w:right w:val="none" w:sz="0" w:space="0" w:color="auto"/>
      </w:divBdr>
      <w:divsChild>
        <w:div w:id="234970216">
          <w:marLeft w:val="562"/>
          <w:marRight w:val="0"/>
          <w:marTop w:val="0"/>
          <w:marBottom w:val="160"/>
          <w:divBdr>
            <w:top w:val="none" w:sz="0" w:space="0" w:color="auto"/>
            <w:left w:val="none" w:sz="0" w:space="0" w:color="auto"/>
            <w:bottom w:val="none" w:sz="0" w:space="0" w:color="auto"/>
            <w:right w:val="none" w:sz="0" w:space="0" w:color="auto"/>
          </w:divBdr>
        </w:div>
        <w:div w:id="470169536">
          <w:marLeft w:val="562"/>
          <w:marRight w:val="0"/>
          <w:marTop w:val="0"/>
          <w:marBottom w:val="160"/>
          <w:divBdr>
            <w:top w:val="none" w:sz="0" w:space="0" w:color="auto"/>
            <w:left w:val="none" w:sz="0" w:space="0" w:color="auto"/>
            <w:bottom w:val="none" w:sz="0" w:space="0" w:color="auto"/>
            <w:right w:val="none" w:sz="0" w:space="0" w:color="auto"/>
          </w:divBdr>
        </w:div>
        <w:div w:id="1315793783">
          <w:marLeft w:val="274"/>
          <w:marRight w:val="0"/>
          <w:marTop w:val="0"/>
          <w:marBottom w:val="160"/>
          <w:divBdr>
            <w:top w:val="none" w:sz="0" w:space="0" w:color="auto"/>
            <w:left w:val="none" w:sz="0" w:space="0" w:color="auto"/>
            <w:bottom w:val="none" w:sz="0" w:space="0" w:color="auto"/>
            <w:right w:val="none" w:sz="0" w:space="0" w:color="auto"/>
          </w:divBdr>
        </w:div>
      </w:divsChild>
    </w:div>
    <w:div w:id="1627193903">
      <w:bodyDiv w:val="1"/>
      <w:marLeft w:val="0"/>
      <w:marRight w:val="0"/>
      <w:marTop w:val="0"/>
      <w:marBottom w:val="0"/>
      <w:divBdr>
        <w:top w:val="none" w:sz="0" w:space="0" w:color="auto"/>
        <w:left w:val="none" w:sz="0" w:space="0" w:color="auto"/>
        <w:bottom w:val="none" w:sz="0" w:space="0" w:color="auto"/>
        <w:right w:val="none" w:sz="0" w:space="0" w:color="auto"/>
      </w:divBdr>
      <w:divsChild>
        <w:div w:id="1929583477">
          <w:marLeft w:val="274"/>
          <w:marRight w:val="0"/>
          <w:marTop w:val="0"/>
          <w:marBottom w:val="160"/>
          <w:divBdr>
            <w:top w:val="none" w:sz="0" w:space="0" w:color="auto"/>
            <w:left w:val="none" w:sz="0" w:space="0" w:color="auto"/>
            <w:bottom w:val="none" w:sz="0" w:space="0" w:color="auto"/>
            <w:right w:val="none" w:sz="0" w:space="0" w:color="auto"/>
          </w:divBdr>
        </w:div>
      </w:divsChild>
    </w:div>
    <w:div w:id="1631590388">
      <w:bodyDiv w:val="1"/>
      <w:marLeft w:val="0"/>
      <w:marRight w:val="0"/>
      <w:marTop w:val="0"/>
      <w:marBottom w:val="0"/>
      <w:divBdr>
        <w:top w:val="none" w:sz="0" w:space="0" w:color="auto"/>
        <w:left w:val="none" w:sz="0" w:space="0" w:color="auto"/>
        <w:bottom w:val="none" w:sz="0" w:space="0" w:color="auto"/>
        <w:right w:val="none" w:sz="0" w:space="0" w:color="auto"/>
      </w:divBdr>
    </w:div>
    <w:div w:id="1641377607">
      <w:bodyDiv w:val="1"/>
      <w:marLeft w:val="0"/>
      <w:marRight w:val="0"/>
      <w:marTop w:val="0"/>
      <w:marBottom w:val="0"/>
      <w:divBdr>
        <w:top w:val="none" w:sz="0" w:space="0" w:color="auto"/>
        <w:left w:val="none" w:sz="0" w:space="0" w:color="auto"/>
        <w:bottom w:val="none" w:sz="0" w:space="0" w:color="auto"/>
        <w:right w:val="none" w:sz="0" w:space="0" w:color="auto"/>
      </w:divBdr>
      <w:divsChild>
        <w:div w:id="1886526038">
          <w:marLeft w:val="720"/>
          <w:marRight w:val="0"/>
          <w:marTop w:val="0"/>
          <w:marBottom w:val="120"/>
          <w:divBdr>
            <w:top w:val="none" w:sz="0" w:space="0" w:color="auto"/>
            <w:left w:val="none" w:sz="0" w:space="0" w:color="auto"/>
            <w:bottom w:val="none" w:sz="0" w:space="0" w:color="auto"/>
            <w:right w:val="none" w:sz="0" w:space="0" w:color="auto"/>
          </w:divBdr>
        </w:div>
      </w:divsChild>
    </w:div>
    <w:div w:id="1650012626">
      <w:bodyDiv w:val="1"/>
      <w:marLeft w:val="0"/>
      <w:marRight w:val="0"/>
      <w:marTop w:val="0"/>
      <w:marBottom w:val="0"/>
      <w:divBdr>
        <w:top w:val="none" w:sz="0" w:space="0" w:color="auto"/>
        <w:left w:val="none" w:sz="0" w:space="0" w:color="auto"/>
        <w:bottom w:val="none" w:sz="0" w:space="0" w:color="auto"/>
        <w:right w:val="none" w:sz="0" w:space="0" w:color="auto"/>
      </w:divBdr>
    </w:div>
    <w:div w:id="1686635889">
      <w:bodyDiv w:val="1"/>
      <w:marLeft w:val="0"/>
      <w:marRight w:val="0"/>
      <w:marTop w:val="0"/>
      <w:marBottom w:val="0"/>
      <w:divBdr>
        <w:top w:val="none" w:sz="0" w:space="0" w:color="auto"/>
        <w:left w:val="none" w:sz="0" w:space="0" w:color="auto"/>
        <w:bottom w:val="none" w:sz="0" w:space="0" w:color="auto"/>
        <w:right w:val="none" w:sz="0" w:space="0" w:color="auto"/>
      </w:divBdr>
      <w:divsChild>
        <w:div w:id="227112371">
          <w:marLeft w:val="274"/>
          <w:marRight w:val="0"/>
          <w:marTop w:val="0"/>
          <w:marBottom w:val="160"/>
          <w:divBdr>
            <w:top w:val="none" w:sz="0" w:space="0" w:color="auto"/>
            <w:left w:val="none" w:sz="0" w:space="0" w:color="auto"/>
            <w:bottom w:val="none" w:sz="0" w:space="0" w:color="auto"/>
            <w:right w:val="none" w:sz="0" w:space="0" w:color="auto"/>
          </w:divBdr>
        </w:div>
        <w:div w:id="260721448">
          <w:marLeft w:val="274"/>
          <w:marRight w:val="0"/>
          <w:marTop w:val="0"/>
          <w:marBottom w:val="160"/>
          <w:divBdr>
            <w:top w:val="none" w:sz="0" w:space="0" w:color="auto"/>
            <w:left w:val="none" w:sz="0" w:space="0" w:color="auto"/>
            <w:bottom w:val="none" w:sz="0" w:space="0" w:color="auto"/>
            <w:right w:val="none" w:sz="0" w:space="0" w:color="auto"/>
          </w:divBdr>
        </w:div>
        <w:div w:id="462504848">
          <w:marLeft w:val="274"/>
          <w:marRight w:val="0"/>
          <w:marTop w:val="0"/>
          <w:marBottom w:val="160"/>
          <w:divBdr>
            <w:top w:val="none" w:sz="0" w:space="0" w:color="auto"/>
            <w:left w:val="none" w:sz="0" w:space="0" w:color="auto"/>
            <w:bottom w:val="none" w:sz="0" w:space="0" w:color="auto"/>
            <w:right w:val="none" w:sz="0" w:space="0" w:color="auto"/>
          </w:divBdr>
        </w:div>
        <w:div w:id="629828257">
          <w:marLeft w:val="562"/>
          <w:marRight w:val="0"/>
          <w:marTop w:val="0"/>
          <w:marBottom w:val="160"/>
          <w:divBdr>
            <w:top w:val="none" w:sz="0" w:space="0" w:color="auto"/>
            <w:left w:val="none" w:sz="0" w:space="0" w:color="auto"/>
            <w:bottom w:val="none" w:sz="0" w:space="0" w:color="auto"/>
            <w:right w:val="none" w:sz="0" w:space="0" w:color="auto"/>
          </w:divBdr>
        </w:div>
        <w:div w:id="634679521">
          <w:marLeft w:val="274"/>
          <w:marRight w:val="0"/>
          <w:marTop w:val="0"/>
          <w:marBottom w:val="160"/>
          <w:divBdr>
            <w:top w:val="none" w:sz="0" w:space="0" w:color="auto"/>
            <w:left w:val="none" w:sz="0" w:space="0" w:color="auto"/>
            <w:bottom w:val="none" w:sz="0" w:space="0" w:color="auto"/>
            <w:right w:val="none" w:sz="0" w:space="0" w:color="auto"/>
          </w:divBdr>
        </w:div>
        <w:div w:id="792865360">
          <w:marLeft w:val="274"/>
          <w:marRight w:val="0"/>
          <w:marTop w:val="0"/>
          <w:marBottom w:val="160"/>
          <w:divBdr>
            <w:top w:val="none" w:sz="0" w:space="0" w:color="auto"/>
            <w:left w:val="none" w:sz="0" w:space="0" w:color="auto"/>
            <w:bottom w:val="none" w:sz="0" w:space="0" w:color="auto"/>
            <w:right w:val="none" w:sz="0" w:space="0" w:color="auto"/>
          </w:divBdr>
        </w:div>
        <w:div w:id="937373975">
          <w:marLeft w:val="562"/>
          <w:marRight w:val="0"/>
          <w:marTop w:val="0"/>
          <w:marBottom w:val="160"/>
          <w:divBdr>
            <w:top w:val="none" w:sz="0" w:space="0" w:color="auto"/>
            <w:left w:val="none" w:sz="0" w:space="0" w:color="auto"/>
            <w:bottom w:val="none" w:sz="0" w:space="0" w:color="auto"/>
            <w:right w:val="none" w:sz="0" w:space="0" w:color="auto"/>
          </w:divBdr>
        </w:div>
        <w:div w:id="1121190242">
          <w:marLeft w:val="274"/>
          <w:marRight w:val="0"/>
          <w:marTop w:val="0"/>
          <w:marBottom w:val="160"/>
          <w:divBdr>
            <w:top w:val="none" w:sz="0" w:space="0" w:color="auto"/>
            <w:left w:val="none" w:sz="0" w:space="0" w:color="auto"/>
            <w:bottom w:val="none" w:sz="0" w:space="0" w:color="auto"/>
            <w:right w:val="none" w:sz="0" w:space="0" w:color="auto"/>
          </w:divBdr>
        </w:div>
        <w:div w:id="1183783571">
          <w:marLeft w:val="562"/>
          <w:marRight w:val="0"/>
          <w:marTop w:val="0"/>
          <w:marBottom w:val="160"/>
          <w:divBdr>
            <w:top w:val="none" w:sz="0" w:space="0" w:color="auto"/>
            <w:left w:val="none" w:sz="0" w:space="0" w:color="auto"/>
            <w:bottom w:val="none" w:sz="0" w:space="0" w:color="auto"/>
            <w:right w:val="none" w:sz="0" w:space="0" w:color="auto"/>
          </w:divBdr>
        </w:div>
        <w:div w:id="2093770357">
          <w:marLeft w:val="274"/>
          <w:marRight w:val="0"/>
          <w:marTop w:val="0"/>
          <w:marBottom w:val="160"/>
          <w:divBdr>
            <w:top w:val="none" w:sz="0" w:space="0" w:color="auto"/>
            <w:left w:val="none" w:sz="0" w:space="0" w:color="auto"/>
            <w:bottom w:val="none" w:sz="0" w:space="0" w:color="auto"/>
            <w:right w:val="none" w:sz="0" w:space="0" w:color="auto"/>
          </w:divBdr>
        </w:div>
      </w:divsChild>
    </w:div>
    <w:div w:id="1718318553">
      <w:bodyDiv w:val="1"/>
      <w:marLeft w:val="0"/>
      <w:marRight w:val="0"/>
      <w:marTop w:val="0"/>
      <w:marBottom w:val="0"/>
      <w:divBdr>
        <w:top w:val="none" w:sz="0" w:space="0" w:color="auto"/>
        <w:left w:val="none" w:sz="0" w:space="0" w:color="auto"/>
        <w:bottom w:val="none" w:sz="0" w:space="0" w:color="auto"/>
        <w:right w:val="none" w:sz="0" w:space="0" w:color="auto"/>
      </w:divBdr>
    </w:div>
    <w:div w:id="1727947949">
      <w:bodyDiv w:val="1"/>
      <w:marLeft w:val="0"/>
      <w:marRight w:val="0"/>
      <w:marTop w:val="0"/>
      <w:marBottom w:val="0"/>
      <w:divBdr>
        <w:top w:val="none" w:sz="0" w:space="0" w:color="auto"/>
        <w:left w:val="none" w:sz="0" w:space="0" w:color="auto"/>
        <w:bottom w:val="none" w:sz="0" w:space="0" w:color="auto"/>
        <w:right w:val="none" w:sz="0" w:space="0" w:color="auto"/>
      </w:divBdr>
    </w:div>
    <w:div w:id="1758404024">
      <w:bodyDiv w:val="1"/>
      <w:marLeft w:val="0"/>
      <w:marRight w:val="0"/>
      <w:marTop w:val="0"/>
      <w:marBottom w:val="0"/>
      <w:divBdr>
        <w:top w:val="none" w:sz="0" w:space="0" w:color="auto"/>
        <w:left w:val="none" w:sz="0" w:space="0" w:color="auto"/>
        <w:bottom w:val="none" w:sz="0" w:space="0" w:color="auto"/>
        <w:right w:val="none" w:sz="0" w:space="0" w:color="auto"/>
      </w:divBdr>
      <w:divsChild>
        <w:div w:id="974063339">
          <w:marLeft w:val="274"/>
          <w:marRight w:val="0"/>
          <w:marTop w:val="0"/>
          <w:marBottom w:val="160"/>
          <w:divBdr>
            <w:top w:val="none" w:sz="0" w:space="0" w:color="auto"/>
            <w:left w:val="none" w:sz="0" w:space="0" w:color="auto"/>
            <w:bottom w:val="none" w:sz="0" w:space="0" w:color="auto"/>
            <w:right w:val="none" w:sz="0" w:space="0" w:color="auto"/>
          </w:divBdr>
        </w:div>
      </w:divsChild>
    </w:div>
    <w:div w:id="1800488971">
      <w:bodyDiv w:val="1"/>
      <w:marLeft w:val="0"/>
      <w:marRight w:val="0"/>
      <w:marTop w:val="0"/>
      <w:marBottom w:val="0"/>
      <w:divBdr>
        <w:top w:val="none" w:sz="0" w:space="0" w:color="auto"/>
        <w:left w:val="none" w:sz="0" w:space="0" w:color="auto"/>
        <w:bottom w:val="none" w:sz="0" w:space="0" w:color="auto"/>
        <w:right w:val="none" w:sz="0" w:space="0" w:color="auto"/>
      </w:divBdr>
    </w:div>
    <w:div w:id="1809592788">
      <w:bodyDiv w:val="1"/>
      <w:marLeft w:val="0"/>
      <w:marRight w:val="0"/>
      <w:marTop w:val="0"/>
      <w:marBottom w:val="0"/>
      <w:divBdr>
        <w:top w:val="none" w:sz="0" w:space="0" w:color="auto"/>
        <w:left w:val="none" w:sz="0" w:space="0" w:color="auto"/>
        <w:bottom w:val="none" w:sz="0" w:space="0" w:color="auto"/>
        <w:right w:val="none" w:sz="0" w:space="0" w:color="auto"/>
      </w:divBdr>
      <w:divsChild>
        <w:div w:id="1280185261">
          <w:marLeft w:val="274"/>
          <w:marRight w:val="0"/>
          <w:marTop w:val="0"/>
          <w:marBottom w:val="120"/>
          <w:divBdr>
            <w:top w:val="none" w:sz="0" w:space="0" w:color="auto"/>
            <w:left w:val="none" w:sz="0" w:space="0" w:color="auto"/>
            <w:bottom w:val="none" w:sz="0" w:space="0" w:color="auto"/>
            <w:right w:val="none" w:sz="0" w:space="0" w:color="auto"/>
          </w:divBdr>
        </w:div>
      </w:divsChild>
    </w:div>
    <w:div w:id="1816875992">
      <w:bodyDiv w:val="1"/>
      <w:marLeft w:val="0"/>
      <w:marRight w:val="0"/>
      <w:marTop w:val="0"/>
      <w:marBottom w:val="0"/>
      <w:divBdr>
        <w:top w:val="none" w:sz="0" w:space="0" w:color="auto"/>
        <w:left w:val="none" w:sz="0" w:space="0" w:color="auto"/>
        <w:bottom w:val="none" w:sz="0" w:space="0" w:color="auto"/>
        <w:right w:val="none" w:sz="0" w:space="0" w:color="auto"/>
      </w:divBdr>
    </w:div>
    <w:div w:id="1823111476">
      <w:bodyDiv w:val="1"/>
      <w:marLeft w:val="0"/>
      <w:marRight w:val="0"/>
      <w:marTop w:val="0"/>
      <w:marBottom w:val="0"/>
      <w:divBdr>
        <w:top w:val="none" w:sz="0" w:space="0" w:color="auto"/>
        <w:left w:val="none" w:sz="0" w:space="0" w:color="auto"/>
        <w:bottom w:val="none" w:sz="0" w:space="0" w:color="auto"/>
        <w:right w:val="none" w:sz="0" w:space="0" w:color="auto"/>
      </w:divBdr>
      <w:divsChild>
        <w:div w:id="611135187">
          <w:marLeft w:val="562"/>
          <w:marRight w:val="0"/>
          <w:marTop w:val="0"/>
          <w:marBottom w:val="160"/>
          <w:divBdr>
            <w:top w:val="none" w:sz="0" w:space="0" w:color="auto"/>
            <w:left w:val="none" w:sz="0" w:space="0" w:color="auto"/>
            <w:bottom w:val="none" w:sz="0" w:space="0" w:color="auto"/>
            <w:right w:val="none" w:sz="0" w:space="0" w:color="auto"/>
          </w:divBdr>
        </w:div>
        <w:div w:id="629629451">
          <w:marLeft w:val="274"/>
          <w:marRight w:val="0"/>
          <w:marTop w:val="0"/>
          <w:marBottom w:val="160"/>
          <w:divBdr>
            <w:top w:val="none" w:sz="0" w:space="0" w:color="auto"/>
            <w:left w:val="none" w:sz="0" w:space="0" w:color="auto"/>
            <w:bottom w:val="none" w:sz="0" w:space="0" w:color="auto"/>
            <w:right w:val="none" w:sz="0" w:space="0" w:color="auto"/>
          </w:divBdr>
        </w:div>
      </w:divsChild>
    </w:div>
    <w:div w:id="1825468665">
      <w:bodyDiv w:val="1"/>
      <w:marLeft w:val="0"/>
      <w:marRight w:val="0"/>
      <w:marTop w:val="0"/>
      <w:marBottom w:val="0"/>
      <w:divBdr>
        <w:top w:val="none" w:sz="0" w:space="0" w:color="auto"/>
        <w:left w:val="none" w:sz="0" w:space="0" w:color="auto"/>
        <w:bottom w:val="none" w:sz="0" w:space="0" w:color="auto"/>
        <w:right w:val="none" w:sz="0" w:space="0" w:color="auto"/>
      </w:divBdr>
    </w:div>
    <w:div w:id="1845432013">
      <w:bodyDiv w:val="1"/>
      <w:marLeft w:val="0"/>
      <w:marRight w:val="0"/>
      <w:marTop w:val="0"/>
      <w:marBottom w:val="0"/>
      <w:divBdr>
        <w:top w:val="none" w:sz="0" w:space="0" w:color="auto"/>
        <w:left w:val="none" w:sz="0" w:space="0" w:color="auto"/>
        <w:bottom w:val="none" w:sz="0" w:space="0" w:color="auto"/>
        <w:right w:val="none" w:sz="0" w:space="0" w:color="auto"/>
      </w:divBdr>
      <w:divsChild>
        <w:div w:id="524288830">
          <w:marLeft w:val="562"/>
          <w:marRight w:val="0"/>
          <w:marTop w:val="0"/>
          <w:marBottom w:val="160"/>
          <w:divBdr>
            <w:top w:val="none" w:sz="0" w:space="0" w:color="auto"/>
            <w:left w:val="none" w:sz="0" w:space="0" w:color="auto"/>
            <w:bottom w:val="none" w:sz="0" w:space="0" w:color="auto"/>
            <w:right w:val="none" w:sz="0" w:space="0" w:color="auto"/>
          </w:divBdr>
        </w:div>
        <w:div w:id="718549949">
          <w:marLeft w:val="274"/>
          <w:marRight w:val="0"/>
          <w:marTop w:val="0"/>
          <w:marBottom w:val="160"/>
          <w:divBdr>
            <w:top w:val="none" w:sz="0" w:space="0" w:color="auto"/>
            <w:left w:val="none" w:sz="0" w:space="0" w:color="auto"/>
            <w:bottom w:val="none" w:sz="0" w:space="0" w:color="auto"/>
            <w:right w:val="none" w:sz="0" w:space="0" w:color="auto"/>
          </w:divBdr>
        </w:div>
      </w:divsChild>
    </w:div>
    <w:div w:id="1887986223">
      <w:bodyDiv w:val="1"/>
      <w:marLeft w:val="0"/>
      <w:marRight w:val="0"/>
      <w:marTop w:val="0"/>
      <w:marBottom w:val="0"/>
      <w:divBdr>
        <w:top w:val="none" w:sz="0" w:space="0" w:color="auto"/>
        <w:left w:val="none" w:sz="0" w:space="0" w:color="auto"/>
        <w:bottom w:val="none" w:sz="0" w:space="0" w:color="auto"/>
        <w:right w:val="none" w:sz="0" w:space="0" w:color="auto"/>
      </w:divBdr>
      <w:divsChild>
        <w:div w:id="1131750102">
          <w:marLeft w:val="274"/>
          <w:marRight w:val="0"/>
          <w:marTop w:val="0"/>
          <w:marBottom w:val="160"/>
          <w:divBdr>
            <w:top w:val="none" w:sz="0" w:space="0" w:color="auto"/>
            <w:left w:val="none" w:sz="0" w:space="0" w:color="auto"/>
            <w:bottom w:val="none" w:sz="0" w:space="0" w:color="auto"/>
            <w:right w:val="none" w:sz="0" w:space="0" w:color="auto"/>
          </w:divBdr>
        </w:div>
      </w:divsChild>
    </w:div>
    <w:div w:id="1930386586">
      <w:bodyDiv w:val="1"/>
      <w:marLeft w:val="0"/>
      <w:marRight w:val="0"/>
      <w:marTop w:val="0"/>
      <w:marBottom w:val="0"/>
      <w:divBdr>
        <w:top w:val="none" w:sz="0" w:space="0" w:color="auto"/>
        <w:left w:val="none" w:sz="0" w:space="0" w:color="auto"/>
        <w:bottom w:val="none" w:sz="0" w:space="0" w:color="auto"/>
        <w:right w:val="none" w:sz="0" w:space="0" w:color="auto"/>
      </w:divBdr>
      <w:divsChild>
        <w:div w:id="1183279011">
          <w:marLeft w:val="562"/>
          <w:marRight w:val="0"/>
          <w:marTop w:val="0"/>
          <w:marBottom w:val="160"/>
          <w:divBdr>
            <w:top w:val="none" w:sz="0" w:space="0" w:color="auto"/>
            <w:left w:val="none" w:sz="0" w:space="0" w:color="auto"/>
            <w:bottom w:val="none" w:sz="0" w:space="0" w:color="auto"/>
            <w:right w:val="none" w:sz="0" w:space="0" w:color="auto"/>
          </w:divBdr>
        </w:div>
      </w:divsChild>
    </w:div>
    <w:div w:id="1934774899">
      <w:bodyDiv w:val="1"/>
      <w:marLeft w:val="0"/>
      <w:marRight w:val="0"/>
      <w:marTop w:val="0"/>
      <w:marBottom w:val="0"/>
      <w:divBdr>
        <w:top w:val="none" w:sz="0" w:space="0" w:color="auto"/>
        <w:left w:val="none" w:sz="0" w:space="0" w:color="auto"/>
        <w:bottom w:val="none" w:sz="0" w:space="0" w:color="auto"/>
        <w:right w:val="none" w:sz="0" w:space="0" w:color="auto"/>
      </w:divBdr>
    </w:div>
    <w:div w:id="1993214248">
      <w:bodyDiv w:val="1"/>
      <w:marLeft w:val="0"/>
      <w:marRight w:val="0"/>
      <w:marTop w:val="0"/>
      <w:marBottom w:val="0"/>
      <w:divBdr>
        <w:top w:val="none" w:sz="0" w:space="0" w:color="auto"/>
        <w:left w:val="none" w:sz="0" w:space="0" w:color="auto"/>
        <w:bottom w:val="none" w:sz="0" w:space="0" w:color="auto"/>
        <w:right w:val="none" w:sz="0" w:space="0" w:color="auto"/>
      </w:divBdr>
    </w:div>
    <w:div w:id="2014061988">
      <w:bodyDiv w:val="1"/>
      <w:marLeft w:val="0"/>
      <w:marRight w:val="0"/>
      <w:marTop w:val="0"/>
      <w:marBottom w:val="0"/>
      <w:divBdr>
        <w:top w:val="none" w:sz="0" w:space="0" w:color="auto"/>
        <w:left w:val="none" w:sz="0" w:space="0" w:color="auto"/>
        <w:bottom w:val="none" w:sz="0" w:space="0" w:color="auto"/>
        <w:right w:val="none" w:sz="0" w:space="0" w:color="auto"/>
      </w:divBdr>
      <w:divsChild>
        <w:div w:id="110437849">
          <w:marLeft w:val="562"/>
          <w:marRight w:val="0"/>
          <w:marTop w:val="0"/>
          <w:marBottom w:val="120"/>
          <w:divBdr>
            <w:top w:val="none" w:sz="0" w:space="0" w:color="auto"/>
            <w:left w:val="none" w:sz="0" w:space="0" w:color="auto"/>
            <w:bottom w:val="none" w:sz="0" w:space="0" w:color="auto"/>
            <w:right w:val="none" w:sz="0" w:space="0" w:color="auto"/>
          </w:divBdr>
        </w:div>
      </w:divsChild>
    </w:div>
    <w:div w:id="2062707820">
      <w:bodyDiv w:val="1"/>
      <w:marLeft w:val="0"/>
      <w:marRight w:val="0"/>
      <w:marTop w:val="0"/>
      <w:marBottom w:val="0"/>
      <w:divBdr>
        <w:top w:val="none" w:sz="0" w:space="0" w:color="auto"/>
        <w:left w:val="none" w:sz="0" w:space="0" w:color="auto"/>
        <w:bottom w:val="none" w:sz="0" w:space="0" w:color="auto"/>
        <w:right w:val="none" w:sz="0" w:space="0" w:color="auto"/>
      </w:divBdr>
    </w:div>
    <w:div w:id="2064284155">
      <w:bodyDiv w:val="1"/>
      <w:marLeft w:val="0"/>
      <w:marRight w:val="0"/>
      <w:marTop w:val="0"/>
      <w:marBottom w:val="0"/>
      <w:divBdr>
        <w:top w:val="none" w:sz="0" w:space="0" w:color="auto"/>
        <w:left w:val="none" w:sz="0" w:space="0" w:color="auto"/>
        <w:bottom w:val="none" w:sz="0" w:space="0" w:color="auto"/>
        <w:right w:val="none" w:sz="0" w:space="0" w:color="auto"/>
      </w:divBdr>
    </w:div>
    <w:div w:id="2066752758">
      <w:bodyDiv w:val="1"/>
      <w:marLeft w:val="0"/>
      <w:marRight w:val="0"/>
      <w:marTop w:val="0"/>
      <w:marBottom w:val="0"/>
      <w:divBdr>
        <w:top w:val="none" w:sz="0" w:space="0" w:color="auto"/>
        <w:left w:val="none" w:sz="0" w:space="0" w:color="auto"/>
        <w:bottom w:val="none" w:sz="0" w:space="0" w:color="auto"/>
        <w:right w:val="none" w:sz="0" w:space="0" w:color="auto"/>
      </w:divBdr>
    </w:div>
    <w:div w:id="2071684085">
      <w:bodyDiv w:val="1"/>
      <w:marLeft w:val="0"/>
      <w:marRight w:val="0"/>
      <w:marTop w:val="0"/>
      <w:marBottom w:val="0"/>
      <w:divBdr>
        <w:top w:val="none" w:sz="0" w:space="0" w:color="auto"/>
        <w:left w:val="none" w:sz="0" w:space="0" w:color="auto"/>
        <w:bottom w:val="none" w:sz="0" w:space="0" w:color="auto"/>
        <w:right w:val="none" w:sz="0" w:space="0" w:color="auto"/>
      </w:divBdr>
      <w:divsChild>
        <w:div w:id="739524819">
          <w:marLeft w:val="274"/>
          <w:marRight w:val="0"/>
          <w:marTop w:val="0"/>
          <w:marBottom w:val="160"/>
          <w:divBdr>
            <w:top w:val="none" w:sz="0" w:space="0" w:color="auto"/>
            <w:left w:val="none" w:sz="0" w:space="0" w:color="auto"/>
            <w:bottom w:val="none" w:sz="0" w:space="0" w:color="auto"/>
            <w:right w:val="none" w:sz="0" w:space="0" w:color="auto"/>
          </w:divBdr>
        </w:div>
      </w:divsChild>
    </w:div>
    <w:div w:id="2078239337">
      <w:bodyDiv w:val="1"/>
      <w:marLeft w:val="0"/>
      <w:marRight w:val="0"/>
      <w:marTop w:val="0"/>
      <w:marBottom w:val="0"/>
      <w:divBdr>
        <w:top w:val="none" w:sz="0" w:space="0" w:color="auto"/>
        <w:left w:val="none" w:sz="0" w:space="0" w:color="auto"/>
        <w:bottom w:val="none" w:sz="0" w:space="0" w:color="auto"/>
        <w:right w:val="none" w:sz="0" w:space="0" w:color="auto"/>
      </w:divBdr>
      <w:divsChild>
        <w:div w:id="1406025849">
          <w:marLeft w:val="274"/>
          <w:marRight w:val="0"/>
          <w:marTop w:val="0"/>
          <w:marBottom w:val="160"/>
          <w:divBdr>
            <w:top w:val="none" w:sz="0" w:space="0" w:color="auto"/>
            <w:left w:val="none" w:sz="0" w:space="0" w:color="auto"/>
            <w:bottom w:val="none" w:sz="0" w:space="0" w:color="auto"/>
            <w:right w:val="none" w:sz="0" w:space="0" w:color="auto"/>
          </w:divBdr>
        </w:div>
      </w:divsChild>
    </w:div>
    <w:div w:id="2091808564">
      <w:bodyDiv w:val="1"/>
      <w:marLeft w:val="0"/>
      <w:marRight w:val="0"/>
      <w:marTop w:val="0"/>
      <w:marBottom w:val="0"/>
      <w:divBdr>
        <w:top w:val="none" w:sz="0" w:space="0" w:color="auto"/>
        <w:left w:val="none" w:sz="0" w:space="0" w:color="auto"/>
        <w:bottom w:val="none" w:sz="0" w:space="0" w:color="auto"/>
        <w:right w:val="none" w:sz="0" w:space="0" w:color="auto"/>
      </w:divBdr>
    </w:div>
    <w:div w:id="2093232251">
      <w:bodyDiv w:val="1"/>
      <w:marLeft w:val="0"/>
      <w:marRight w:val="0"/>
      <w:marTop w:val="0"/>
      <w:marBottom w:val="0"/>
      <w:divBdr>
        <w:top w:val="none" w:sz="0" w:space="0" w:color="auto"/>
        <w:left w:val="none" w:sz="0" w:space="0" w:color="auto"/>
        <w:bottom w:val="none" w:sz="0" w:space="0" w:color="auto"/>
        <w:right w:val="none" w:sz="0" w:space="0" w:color="auto"/>
      </w:divBdr>
    </w:div>
    <w:div w:id="2124373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10.wmf"/><Relationship Id="rId39" Type="http://schemas.openxmlformats.org/officeDocument/2006/relationships/image" Target="media/image23.wmf"/><Relationship Id="rId21" Type="http://schemas.openxmlformats.org/officeDocument/2006/relationships/image" Target="media/image5.wmf"/><Relationship Id="rId34" Type="http://schemas.openxmlformats.org/officeDocument/2006/relationships/image" Target="media/image18.wmf"/><Relationship Id="rId42" Type="http://schemas.openxmlformats.org/officeDocument/2006/relationships/image" Target="media/image26.wmf"/><Relationship Id="rId47" Type="http://schemas.openxmlformats.org/officeDocument/2006/relationships/image" Target="media/image31.wmf"/><Relationship Id="rId50" Type="http://schemas.openxmlformats.org/officeDocument/2006/relationships/image" Target="media/image34.wmf"/><Relationship Id="rId55" Type="http://schemas.openxmlformats.org/officeDocument/2006/relationships/image" Target="media/image3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wmf"/><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wmf"/><Relationship Id="rId53" Type="http://schemas.openxmlformats.org/officeDocument/2006/relationships/image" Target="media/image37.wmf"/><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image" Target="media/image32.wmf"/><Relationship Id="rId56" Type="http://schemas.openxmlformats.org/officeDocument/2006/relationships/image" Target="media/image40.wmf"/><Relationship Id="rId8" Type="http://schemas.openxmlformats.org/officeDocument/2006/relationships/header" Target="header1.xml"/><Relationship Id="rId51"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wmf"/><Relationship Id="rId59"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image" Target="media/image25.wmf"/><Relationship Id="rId54"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header" Target="header7.xml"/><Relationship Id="rId10" Type="http://schemas.openxmlformats.org/officeDocument/2006/relationships/footer" Target="footer1.xml"/><Relationship Id="rId31" Type="http://schemas.openxmlformats.org/officeDocument/2006/relationships/image" Target="media/image15.wmf"/><Relationship Id="rId44" Type="http://schemas.openxmlformats.org/officeDocument/2006/relationships/image" Target="media/image28.wmf"/><Relationship Id="rId52" Type="http://schemas.openxmlformats.org/officeDocument/2006/relationships/image" Target="media/image36.wmf"/><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6FAEA-D4D2-4C5A-8F2C-661D4BB4AE61}">
  <ds:schemaRefs>
    <ds:schemaRef ds:uri="http://schemas.openxmlformats.org/officeDocument/2006/bibliography"/>
  </ds:schemaRefs>
</ds:datastoreItem>
</file>

<file path=docMetadata/LabelInfo.xml><?xml version="1.0" encoding="utf-8"?>
<clbl:labelList xmlns:clbl="http://schemas.microsoft.com/office/2020/mipLabelMetadata">
  <clbl:label id="{f2d06fff-1cf9-44fc-a24c-977797e9de2e}" enabled="1" method="Standard" siteId="{090837fc-2949-4d3c-b475-8fe9817d6f79}"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13613</Words>
  <Characters>74876</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88313</CharactersWithSpaces>
  <SharedDoc>false</SharedDoc>
  <HLinks>
    <vt:vector size="90" baseType="variant">
      <vt:variant>
        <vt:i4>1572914</vt:i4>
      </vt:variant>
      <vt:variant>
        <vt:i4>89</vt:i4>
      </vt:variant>
      <vt:variant>
        <vt:i4>0</vt:i4>
      </vt:variant>
      <vt:variant>
        <vt:i4>5</vt:i4>
      </vt:variant>
      <vt:variant>
        <vt:lpwstr/>
      </vt:variant>
      <vt:variant>
        <vt:lpwstr>_Toc135835511</vt:lpwstr>
      </vt:variant>
      <vt:variant>
        <vt:i4>1310771</vt:i4>
      </vt:variant>
      <vt:variant>
        <vt:i4>80</vt:i4>
      </vt:variant>
      <vt:variant>
        <vt:i4>0</vt:i4>
      </vt:variant>
      <vt:variant>
        <vt:i4>5</vt:i4>
      </vt:variant>
      <vt:variant>
        <vt:lpwstr/>
      </vt:variant>
      <vt:variant>
        <vt:lpwstr>_Toc135133420</vt:lpwstr>
      </vt:variant>
      <vt:variant>
        <vt:i4>1507379</vt:i4>
      </vt:variant>
      <vt:variant>
        <vt:i4>74</vt:i4>
      </vt:variant>
      <vt:variant>
        <vt:i4>0</vt:i4>
      </vt:variant>
      <vt:variant>
        <vt:i4>5</vt:i4>
      </vt:variant>
      <vt:variant>
        <vt:lpwstr/>
      </vt:variant>
      <vt:variant>
        <vt:lpwstr>_Toc135133419</vt:lpwstr>
      </vt:variant>
      <vt:variant>
        <vt:i4>1507379</vt:i4>
      </vt:variant>
      <vt:variant>
        <vt:i4>68</vt:i4>
      </vt:variant>
      <vt:variant>
        <vt:i4>0</vt:i4>
      </vt:variant>
      <vt:variant>
        <vt:i4>5</vt:i4>
      </vt:variant>
      <vt:variant>
        <vt:lpwstr/>
      </vt:variant>
      <vt:variant>
        <vt:lpwstr>_Toc135133418</vt:lpwstr>
      </vt:variant>
      <vt:variant>
        <vt:i4>1507379</vt:i4>
      </vt:variant>
      <vt:variant>
        <vt:i4>62</vt:i4>
      </vt:variant>
      <vt:variant>
        <vt:i4>0</vt:i4>
      </vt:variant>
      <vt:variant>
        <vt:i4>5</vt:i4>
      </vt:variant>
      <vt:variant>
        <vt:lpwstr/>
      </vt:variant>
      <vt:variant>
        <vt:lpwstr>_Toc135133417</vt:lpwstr>
      </vt:variant>
      <vt:variant>
        <vt:i4>1507379</vt:i4>
      </vt:variant>
      <vt:variant>
        <vt:i4>56</vt:i4>
      </vt:variant>
      <vt:variant>
        <vt:i4>0</vt:i4>
      </vt:variant>
      <vt:variant>
        <vt:i4>5</vt:i4>
      </vt:variant>
      <vt:variant>
        <vt:lpwstr/>
      </vt:variant>
      <vt:variant>
        <vt:lpwstr>_Toc135133416</vt:lpwstr>
      </vt:variant>
      <vt:variant>
        <vt:i4>1507379</vt:i4>
      </vt:variant>
      <vt:variant>
        <vt:i4>50</vt:i4>
      </vt:variant>
      <vt:variant>
        <vt:i4>0</vt:i4>
      </vt:variant>
      <vt:variant>
        <vt:i4>5</vt:i4>
      </vt:variant>
      <vt:variant>
        <vt:lpwstr/>
      </vt:variant>
      <vt:variant>
        <vt:lpwstr>_Toc135133415</vt:lpwstr>
      </vt:variant>
      <vt:variant>
        <vt:i4>1507379</vt:i4>
      </vt:variant>
      <vt:variant>
        <vt:i4>44</vt:i4>
      </vt:variant>
      <vt:variant>
        <vt:i4>0</vt:i4>
      </vt:variant>
      <vt:variant>
        <vt:i4>5</vt:i4>
      </vt:variant>
      <vt:variant>
        <vt:lpwstr/>
      </vt:variant>
      <vt:variant>
        <vt:lpwstr>_Toc135133414</vt:lpwstr>
      </vt:variant>
      <vt:variant>
        <vt:i4>1507379</vt:i4>
      </vt:variant>
      <vt:variant>
        <vt:i4>38</vt:i4>
      </vt:variant>
      <vt:variant>
        <vt:i4>0</vt:i4>
      </vt:variant>
      <vt:variant>
        <vt:i4>5</vt:i4>
      </vt:variant>
      <vt:variant>
        <vt:lpwstr/>
      </vt:variant>
      <vt:variant>
        <vt:lpwstr>_Toc135133413</vt:lpwstr>
      </vt:variant>
      <vt:variant>
        <vt:i4>1507379</vt:i4>
      </vt:variant>
      <vt:variant>
        <vt:i4>32</vt:i4>
      </vt:variant>
      <vt:variant>
        <vt:i4>0</vt:i4>
      </vt:variant>
      <vt:variant>
        <vt:i4>5</vt:i4>
      </vt:variant>
      <vt:variant>
        <vt:lpwstr/>
      </vt:variant>
      <vt:variant>
        <vt:lpwstr>_Toc135133412</vt:lpwstr>
      </vt:variant>
      <vt:variant>
        <vt:i4>1507379</vt:i4>
      </vt:variant>
      <vt:variant>
        <vt:i4>26</vt:i4>
      </vt:variant>
      <vt:variant>
        <vt:i4>0</vt:i4>
      </vt:variant>
      <vt:variant>
        <vt:i4>5</vt:i4>
      </vt:variant>
      <vt:variant>
        <vt:lpwstr/>
      </vt:variant>
      <vt:variant>
        <vt:lpwstr>_Toc135133411</vt:lpwstr>
      </vt:variant>
      <vt:variant>
        <vt:i4>1507379</vt:i4>
      </vt:variant>
      <vt:variant>
        <vt:i4>20</vt:i4>
      </vt:variant>
      <vt:variant>
        <vt:i4>0</vt:i4>
      </vt:variant>
      <vt:variant>
        <vt:i4>5</vt:i4>
      </vt:variant>
      <vt:variant>
        <vt:lpwstr/>
      </vt:variant>
      <vt:variant>
        <vt:lpwstr>_Toc135133410</vt:lpwstr>
      </vt:variant>
      <vt:variant>
        <vt:i4>1441843</vt:i4>
      </vt:variant>
      <vt:variant>
        <vt:i4>14</vt:i4>
      </vt:variant>
      <vt:variant>
        <vt:i4>0</vt:i4>
      </vt:variant>
      <vt:variant>
        <vt:i4>5</vt:i4>
      </vt:variant>
      <vt:variant>
        <vt:lpwstr/>
      </vt:variant>
      <vt:variant>
        <vt:lpwstr>_Toc135133409</vt:lpwstr>
      </vt:variant>
      <vt:variant>
        <vt:i4>1441843</vt:i4>
      </vt:variant>
      <vt:variant>
        <vt:i4>8</vt:i4>
      </vt:variant>
      <vt:variant>
        <vt:i4>0</vt:i4>
      </vt:variant>
      <vt:variant>
        <vt:i4>5</vt:i4>
      </vt:variant>
      <vt:variant>
        <vt:lpwstr/>
      </vt:variant>
      <vt:variant>
        <vt:lpwstr>_Toc135133408</vt:lpwstr>
      </vt:variant>
      <vt:variant>
        <vt:i4>1441843</vt:i4>
      </vt:variant>
      <vt:variant>
        <vt:i4>2</vt:i4>
      </vt:variant>
      <vt:variant>
        <vt:i4>0</vt:i4>
      </vt:variant>
      <vt:variant>
        <vt:i4>5</vt:i4>
      </vt:variant>
      <vt:variant>
        <vt:lpwstr/>
      </vt:variant>
      <vt:variant>
        <vt:lpwstr>_Toc135133407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2023-05-31T15:52:00Z</dcterms:created>
  <dcterms:modified xsi:type="dcterms:W3CDTF">2023-06-06T17:51:00Z</dcterms:modified>
</cp:coreProperties>
</file>