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0EF45" w14:textId="03179F17" w:rsidR="008A5A92" w:rsidRDefault="00BC09A3" w:rsidP="7742B270">
      <w:pPr>
        <w:spacing w:after="0" w:line="276" w:lineRule="auto"/>
        <w:ind w:right="0"/>
        <w:rPr>
          <w:rFonts w:ascii="ITC Avant Garde" w:hAnsi="ITC Avant Garde"/>
          <w:b/>
          <w:bCs/>
        </w:rPr>
      </w:pPr>
      <w:bookmarkStart w:id="0" w:name="_GoBack"/>
      <w:bookmarkEnd w:id="0"/>
      <w:r w:rsidRPr="58E23F00">
        <w:rPr>
          <w:rFonts w:ascii="ITC Avant Garde" w:hAnsi="ITC Avant Garde"/>
          <w:b/>
          <w:bCs/>
        </w:rPr>
        <w:t xml:space="preserve">RESPUESTAS GENERALES QUE BRINDA EL </w:t>
      </w:r>
      <w:r w:rsidR="647786AF" w:rsidRPr="58E23F00">
        <w:rPr>
          <w:rFonts w:ascii="ITC Avant Garde" w:hAnsi="ITC Avant Garde"/>
          <w:b/>
          <w:bCs/>
        </w:rPr>
        <w:t>INSTITUTO</w:t>
      </w:r>
      <w:r w:rsidRPr="58E23F00">
        <w:rPr>
          <w:rFonts w:ascii="ITC Avant Garde" w:hAnsi="ITC Avant Garde"/>
          <w:b/>
          <w:bCs/>
        </w:rPr>
        <w:t xml:space="preserve"> FEDERAL DE TELECOMUNICACIONES A LAS MANIFESTACIONES, OPINIONES, COMENTARIOS Y PROPUESTAS CONCRETAS, PRESENTADAS DURANTE LA CONSULTA </w:t>
      </w:r>
      <w:r w:rsidR="00C3485A" w:rsidRPr="58E23F00">
        <w:rPr>
          <w:rFonts w:ascii="ITC Avant Garde" w:hAnsi="ITC Avant Garde"/>
          <w:b/>
          <w:bCs/>
        </w:rPr>
        <w:t>PÚBLICA</w:t>
      </w:r>
      <w:r w:rsidR="008A4535" w:rsidRPr="58E23F00">
        <w:rPr>
          <w:rFonts w:ascii="ITC Avant Garde" w:hAnsi="ITC Avant Garde"/>
          <w:b/>
          <w:bCs/>
        </w:rPr>
        <w:t xml:space="preserve"> </w:t>
      </w:r>
      <w:r w:rsidR="00887B27" w:rsidRPr="58E23F00">
        <w:rPr>
          <w:rFonts w:ascii="ITC Avant Garde" w:hAnsi="ITC Avant Garde"/>
          <w:b/>
          <w:bCs/>
        </w:rPr>
        <w:t>SOBRE LOS “</w:t>
      </w:r>
      <w:r w:rsidR="00887B27" w:rsidRPr="58E23F00">
        <w:rPr>
          <w:rFonts w:ascii="ITC Avant Garde" w:hAnsi="ITC Avant Garde"/>
          <w:b/>
          <w:bCs/>
          <w:caps/>
        </w:rPr>
        <w:t>Modelos de Costos para la determinación de tarifas de Interconexión; Enlaces Dedicados; Usuario Visitante y Servicio de Concentración y Distribución asociado al Servicio de Acceso Indirecto al Bucle Local 2024-2026</w:t>
      </w:r>
      <w:r w:rsidR="00887B27" w:rsidRPr="58E23F00">
        <w:rPr>
          <w:rFonts w:ascii="ITC Avant Garde" w:hAnsi="ITC Avant Garde"/>
          <w:b/>
          <w:bCs/>
        </w:rPr>
        <w:t>”.</w:t>
      </w:r>
    </w:p>
    <w:p w14:paraId="0AA38945" w14:textId="77777777" w:rsidR="00A308FC" w:rsidRPr="003A26FF" w:rsidRDefault="00A308FC" w:rsidP="0080349A">
      <w:pPr>
        <w:spacing w:after="0" w:line="276" w:lineRule="auto"/>
        <w:ind w:right="0"/>
        <w:rPr>
          <w:rFonts w:ascii="ITC Avant Garde" w:hAnsi="ITC Avant Garde" w:cs="Arial"/>
          <w:b/>
        </w:rPr>
      </w:pPr>
    </w:p>
    <w:p w14:paraId="00690CFA" w14:textId="520089B1" w:rsidR="004D77CC" w:rsidRPr="003A26FF" w:rsidRDefault="004D77CC" w:rsidP="0080349A">
      <w:pPr>
        <w:spacing w:after="0" w:line="276" w:lineRule="auto"/>
        <w:ind w:left="-6" w:hanging="11"/>
        <w:rPr>
          <w:rFonts w:ascii="ITC Avant Garde" w:hAnsi="ITC Avant Garde" w:cs="ITC Avant Garde"/>
        </w:rPr>
      </w:pPr>
      <w:r w:rsidRPr="4B922FC5">
        <w:rPr>
          <w:rFonts w:ascii="ITC Avant Garde" w:hAnsi="ITC Avant Garde" w:cs="ITC Avant Garde"/>
          <w:b/>
          <w:bCs/>
        </w:rPr>
        <w:t xml:space="preserve">Fecha de Elaboración del Informe de Consideraciones sobre los comentarios, opiniones y aportaciones recibidos </w:t>
      </w:r>
      <w:r w:rsidR="00261B06" w:rsidRPr="4B922FC5">
        <w:rPr>
          <w:rFonts w:ascii="ITC Avant Garde" w:hAnsi="ITC Avant Garde" w:cs="ITC Avant Garde"/>
          <w:b/>
          <w:bCs/>
        </w:rPr>
        <w:t>con relación a</w:t>
      </w:r>
      <w:r w:rsidRPr="4B922FC5">
        <w:rPr>
          <w:rFonts w:ascii="ITC Avant Garde" w:hAnsi="ITC Avant Garde" w:cs="ITC Avant Garde"/>
          <w:b/>
          <w:bCs/>
        </w:rPr>
        <w:t xml:space="preserve"> la presente Consulta Pública: </w:t>
      </w:r>
      <w:r w:rsidR="0075027B">
        <w:rPr>
          <w:rFonts w:ascii="ITC Avant Garde" w:hAnsi="ITC Avant Garde" w:cs="ITC Avant Garde"/>
        </w:rPr>
        <w:t xml:space="preserve">1 de marzo de </w:t>
      </w:r>
      <w:r w:rsidR="00887B27" w:rsidRPr="4B922FC5">
        <w:rPr>
          <w:rFonts w:ascii="ITC Avant Garde" w:hAnsi="ITC Avant Garde" w:cs="ITC Avant Garde"/>
        </w:rPr>
        <w:t>2024</w:t>
      </w:r>
      <w:r w:rsidRPr="4B922FC5">
        <w:rPr>
          <w:rFonts w:ascii="ITC Avant Garde" w:hAnsi="ITC Avant Garde" w:cs="ITC Avant Garde"/>
        </w:rPr>
        <w:t>.</w:t>
      </w:r>
    </w:p>
    <w:p w14:paraId="6F16A288" w14:textId="0104178E" w:rsidR="007E5187" w:rsidRPr="003A26FF" w:rsidRDefault="007E5187" w:rsidP="0080349A">
      <w:pPr>
        <w:spacing w:after="0" w:line="276" w:lineRule="auto"/>
        <w:ind w:left="-6" w:hanging="11"/>
        <w:rPr>
          <w:rFonts w:ascii="ITC Avant Garde" w:hAnsi="ITC Avant Garde" w:cs="ITC Avant Garde"/>
        </w:rPr>
      </w:pPr>
    </w:p>
    <w:p w14:paraId="2DB7021D" w14:textId="32872FE9" w:rsidR="007E5187" w:rsidRDefault="007E5187" w:rsidP="0080349A">
      <w:pPr>
        <w:spacing w:after="0" w:line="276" w:lineRule="auto"/>
        <w:ind w:left="-6" w:hanging="11"/>
        <w:rPr>
          <w:rFonts w:ascii="ITC Avant Garde" w:hAnsi="ITC Avant Garde" w:cs="ITC Avant Garde"/>
          <w:b/>
        </w:rPr>
      </w:pPr>
      <w:r w:rsidRPr="003A26FF">
        <w:rPr>
          <w:rFonts w:ascii="ITC Avant Garde" w:hAnsi="ITC Avant Garde" w:cs="ITC Avant Garde"/>
          <w:b/>
        </w:rPr>
        <w:t>Descripción de la Consulta Pública:</w:t>
      </w:r>
    </w:p>
    <w:p w14:paraId="0745CA4D" w14:textId="77777777" w:rsidR="00876059" w:rsidRPr="003A26FF" w:rsidRDefault="00876059" w:rsidP="0080349A">
      <w:pPr>
        <w:spacing w:after="0" w:line="276" w:lineRule="auto"/>
        <w:ind w:left="-6" w:hanging="11"/>
        <w:rPr>
          <w:rFonts w:ascii="ITC Avant Garde" w:hAnsi="ITC Avant Garde" w:cs="ITC Avant Garde"/>
          <w:b/>
        </w:rPr>
      </w:pPr>
    </w:p>
    <w:p w14:paraId="60D8DBBD" w14:textId="4BC13469" w:rsidR="007E5187" w:rsidRPr="003A26FF" w:rsidRDefault="007E5187" w:rsidP="7742B270">
      <w:pPr>
        <w:spacing w:after="0" w:line="276" w:lineRule="auto"/>
        <w:ind w:left="-6" w:right="0" w:hanging="11"/>
        <w:rPr>
          <w:rFonts w:ascii="ITC Avant Garde" w:eastAsiaTheme="minorEastAsia" w:hAnsi="ITC Avant Garde" w:cs="ITC Avant Garde"/>
          <w:lang w:eastAsia="en-US"/>
        </w:rPr>
      </w:pPr>
      <w:r w:rsidRPr="58E23F00">
        <w:rPr>
          <w:rFonts w:ascii="ITC Avant Garde" w:hAnsi="ITC Avant Garde"/>
        </w:rPr>
        <w:t xml:space="preserve">El </w:t>
      </w:r>
      <w:r w:rsidR="647786AF" w:rsidRPr="58E23F00">
        <w:rPr>
          <w:rFonts w:ascii="ITC Avant Garde" w:hAnsi="ITC Avant Garde"/>
        </w:rPr>
        <w:t>Instituto</w:t>
      </w:r>
      <w:r w:rsidRPr="58E23F00">
        <w:rPr>
          <w:rFonts w:ascii="ITC Avant Garde" w:hAnsi="ITC Avant Garde"/>
        </w:rPr>
        <w:t xml:space="preserve"> Federal de Telecomunicaciones (en lo sucesivo, “</w:t>
      </w:r>
      <w:r w:rsidR="647786AF" w:rsidRPr="58E23F00">
        <w:rPr>
          <w:rFonts w:ascii="ITC Avant Garde" w:hAnsi="ITC Avant Garde"/>
        </w:rPr>
        <w:t>Instituto</w:t>
      </w:r>
      <w:r w:rsidRPr="58E23F00">
        <w:rPr>
          <w:rFonts w:ascii="ITC Avant Garde" w:hAnsi="ITC Avant Garde"/>
        </w:rPr>
        <w:t xml:space="preserve">”) </w:t>
      </w:r>
      <w:r w:rsidRPr="58E23F00">
        <w:rPr>
          <w:rFonts w:ascii="ITC Avant Garde" w:eastAsiaTheme="minorEastAsia" w:hAnsi="ITC Avant Garde" w:cs="ITC Avant Garde"/>
          <w:lang w:eastAsia="en-US"/>
        </w:rPr>
        <w:t>recibió los comentarios, opiniones y aportaciones que se tuvieron con relación al contenido de</w:t>
      </w:r>
      <w:r w:rsidR="008F2BF8" w:rsidRPr="58E23F00">
        <w:rPr>
          <w:rFonts w:ascii="ITC Avant Garde" w:eastAsiaTheme="minorEastAsia" w:hAnsi="ITC Avant Garde" w:cs="ITC Avant Garde"/>
          <w:lang w:eastAsia="en-US"/>
        </w:rPr>
        <w:t xml:space="preserve"> </w:t>
      </w:r>
      <w:r w:rsidRPr="58E23F00">
        <w:rPr>
          <w:rFonts w:ascii="ITC Avant Garde" w:eastAsiaTheme="minorEastAsia" w:hAnsi="ITC Avant Garde" w:cs="ITC Avant Garde"/>
          <w:lang w:eastAsia="en-US"/>
        </w:rPr>
        <w:t>l</w:t>
      </w:r>
      <w:r w:rsidR="008F2BF8" w:rsidRPr="58E23F00">
        <w:rPr>
          <w:rFonts w:ascii="ITC Avant Garde" w:eastAsiaTheme="minorEastAsia" w:hAnsi="ITC Avant Garde" w:cs="ITC Avant Garde"/>
          <w:lang w:eastAsia="en-US"/>
        </w:rPr>
        <w:t>os</w:t>
      </w:r>
      <w:r w:rsidRPr="58E23F00">
        <w:rPr>
          <w:rFonts w:ascii="ITC Avant Garde" w:eastAsiaTheme="minorEastAsia" w:hAnsi="ITC Avant Garde" w:cs="ITC Avant Garde"/>
          <w:lang w:eastAsia="en-US"/>
        </w:rPr>
        <w:t xml:space="preserve"> </w:t>
      </w:r>
      <w:r w:rsidRPr="58E23F00">
        <w:rPr>
          <w:rFonts w:ascii="ITC Avant Garde" w:eastAsiaTheme="minorEastAsia" w:hAnsi="ITC Avant Garde" w:cs="ITC Avant Garde"/>
          <w:b/>
          <w:bCs/>
          <w:lang w:eastAsia="en-US"/>
        </w:rPr>
        <w:t>“</w:t>
      </w:r>
      <w:r w:rsidR="008F2BF8" w:rsidRPr="58E23F00">
        <w:rPr>
          <w:rFonts w:ascii="ITC Avant Garde" w:eastAsiaTheme="minorEastAsia" w:hAnsi="ITC Avant Garde" w:cs="ITC Avant Garde"/>
          <w:b/>
          <w:bCs/>
          <w:i/>
          <w:iCs/>
          <w:lang w:eastAsia="en-US"/>
        </w:rPr>
        <w:t xml:space="preserve">Modelos de Costos para la determinación de tarifas de los Servicios de Interconexión, de los Servicios Mayoristas de arrendamiento de Enlaces Dedicados, de Usuario Visitante, </w:t>
      </w:r>
      <w:r w:rsidR="00C3485A" w:rsidRPr="58E23F00">
        <w:rPr>
          <w:rFonts w:ascii="ITC Avant Garde" w:eastAsiaTheme="minorEastAsia" w:hAnsi="ITC Avant Garde" w:cs="ITC Avant Garde"/>
          <w:b/>
          <w:bCs/>
          <w:i/>
          <w:iCs/>
          <w:lang w:eastAsia="en-US"/>
        </w:rPr>
        <w:t>así</w:t>
      </w:r>
      <w:r w:rsidR="008F2BF8" w:rsidRPr="58E23F00">
        <w:rPr>
          <w:rFonts w:ascii="ITC Avant Garde" w:eastAsiaTheme="minorEastAsia" w:hAnsi="ITC Avant Garde" w:cs="ITC Avant Garde"/>
          <w:b/>
          <w:bCs/>
          <w:i/>
          <w:iCs/>
          <w:lang w:eastAsia="en-US"/>
        </w:rPr>
        <w:t xml:space="preserve"> como el Servicio de Concentración y Distribución asociado al Servicio de Acceso Indirecto al Bucle Local 2024-2026</w:t>
      </w:r>
      <w:r w:rsidRPr="58E23F00">
        <w:rPr>
          <w:rFonts w:ascii="ITC Avant Garde" w:eastAsiaTheme="minorEastAsia" w:hAnsi="ITC Avant Garde" w:cs="ITC Avant Garde"/>
          <w:b/>
          <w:bCs/>
          <w:i/>
          <w:iCs/>
          <w:lang w:eastAsia="en-US"/>
        </w:rPr>
        <w:t>”</w:t>
      </w:r>
      <w:r w:rsidR="006C1398" w:rsidRPr="58E23F00">
        <w:rPr>
          <w:rFonts w:ascii="ITC Avant Garde" w:eastAsiaTheme="minorEastAsia" w:hAnsi="ITC Avant Garde" w:cs="ITC Avant Garde"/>
          <w:lang w:eastAsia="en-US"/>
        </w:rPr>
        <w:t xml:space="preserve"> (en lo sucesivo, </w:t>
      </w:r>
      <w:r w:rsidR="008F2BF8" w:rsidRPr="58E23F00">
        <w:rPr>
          <w:rFonts w:ascii="ITC Avant Garde" w:eastAsiaTheme="minorEastAsia" w:hAnsi="ITC Avant Garde" w:cs="ITC Avant Garde"/>
          <w:lang w:eastAsia="en-US"/>
        </w:rPr>
        <w:t xml:space="preserve">los </w:t>
      </w:r>
      <w:r w:rsidR="006C1398" w:rsidRPr="58E23F00">
        <w:rPr>
          <w:rFonts w:ascii="ITC Avant Garde" w:eastAsiaTheme="minorEastAsia" w:hAnsi="ITC Avant Garde" w:cs="ITC Avant Garde"/>
          <w:lang w:eastAsia="en-US"/>
        </w:rPr>
        <w:t>“</w:t>
      </w:r>
      <w:r w:rsidR="008F2BF8" w:rsidRPr="58E23F00">
        <w:rPr>
          <w:rFonts w:ascii="ITC Avant Garde" w:eastAsiaTheme="minorEastAsia" w:hAnsi="ITC Avant Garde" w:cs="ITC Avant Garde"/>
          <w:lang w:eastAsia="en-US"/>
        </w:rPr>
        <w:t>Modelos de Costos</w:t>
      </w:r>
      <w:r w:rsidRPr="58E23F00">
        <w:rPr>
          <w:rFonts w:ascii="ITC Avant Garde" w:eastAsiaTheme="minorEastAsia" w:hAnsi="ITC Avant Garde" w:cs="ITC Avant Garde"/>
          <w:lang w:eastAsia="en-US"/>
        </w:rPr>
        <w:t>”) materia de la consulta públi</w:t>
      </w:r>
      <w:r w:rsidR="00C3485A" w:rsidRPr="58E23F00">
        <w:rPr>
          <w:rFonts w:ascii="ITC Avant Garde" w:eastAsiaTheme="minorEastAsia" w:hAnsi="ITC Avant Garde" w:cs="ITC Avant Garde"/>
          <w:lang w:eastAsia="en-US"/>
        </w:rPr>
        <w:t>ca</w:t>
      </w:r>
      <w:r w:rsidR="008A4535" w:rsidRPr="58E23F00">
        <w:rPr>
          <w:rFonts w:ascii="ITC Avant Garde" w:eastAsiaTheme="minorEastAsia" w:hAnsi="ITC Avant Garde" w:cs="ITC Avant Garde"/>
          <w:lang w:eastAsia="en-US"/>
        </w:rPr>
        <w:t xml:space="preserve"> </w:t>
      </w:r>
      <w:r w:rsidRPr="58E23F00">
        <w:rPr>
          <w:rFonts w:ascii="ITC Avant Garde" w:eastAsiaTheme="minorEastAsia" w:hAnsi="ITC Avant Garde" w:cs="ITC Avant Garde"/>
          <w:lang w:eastAsia="en-US"/>
        </w:rPr>
        <w:t xml:space="preserve">de mérito, recibidas durante el periodo comprendido </w:t>
      </w:r>
      <w:r w:rsidR="00876059" w:rsidRPr="58E23F00">
        <w:rPr>
          <w:rFonts w:ascii="ITC Avant Garde" w:eastAsiaTheme="minorEastAsia" w:hAnsi="ITC Avant Garde" w:cs="ITC Avant Garde"/>
          <w:lang w:eastAsia="en-US"/>
        </w:rPr>
        <w:t>del 12 de junio de 2023 al 31 de julio de 2023</w:t>
      </w:r>
      <w:r w:rsidRPr="58E23F00">
        <w:rPr>
          <w:rFonts w:ascii="ITC Avant Garde" w:eastAsiaTheme="minorEastAsia" w:hAnsi="ITC Avant Garde" w:cs="ITC Avant Garde"/>
          <w:lang w:eastAsia="en-US"/>
        </w:rPr>
        <w:t xml:space="preserve"> a través de la dirección de correo electrónico </w:t>
      </w:r>
      <w:hyperlink r:id="rId8">
        <w:r w:rsidR="00876059" w:rsidRPr="58E23F00">
          <w:rPr>
            <w:rStyle w:val="Hipervnculo"/>
            <w:rFonts w:ascii="ITC Avant Garde" w:hAnsi="ITC Avant Garde"/>
          </w:rPr>
          <w:t>modelo.costos@ift.org.mx</w:t>
        </w:r>
      </w:hyperlink>
      <w:r w:rsidRPr="58E23F00">
        <w:rPr>
          <w:rFonts w:ascii="ITC Avant Garde" w:eastAsiaTheme="minorEastAsia" w:hAnsi="ITC Avant Garde" w:cs="ITC Avant Garde"/>
          <w:lang w:eastAsia="en-US"/>
        </w:rPr>
        <w:t xml:space="preserve">, o bien, mediante escrito presentado en la Oficialía de Partes Común del </w:t>
      </w:r>
      <w:r w:rsidR="647786AF" w:rsidRPr="58E23F00">
        <w:rPr>
          <w:rFonts w:ascii="ITC Avant Garde" w:eastAsiaTheme="minorEastAsia" w:hAnsi="ITC Avant Garde" w:cs="ITC Avant Garde"/>
          <w:lang w:eastAsia="en-US"/>
        </w:rPr>
        <w:t>Instituto</w:t>
      </w:r>
      <w:r w:rsidRPr="58E23F00">
        <w:rPr>
          <w:rFonts w:ascii="ITC Avant Garde" w:eastAsiaTheme="minorEastAsia" w:hAnsi="ITC Avant Garde" w:cs="ITC Avant Garde"/>
          <w:lang w:eastAsia="en-US"/>
        </w:rPr>
        <w:t xml:space="preserve"> ubicada en Insurgentes Sur 1143, colonia Nochebuena, Delegación Benito Juárez, C.P. 03720, Ciudad de México.</w:t>
      </w:r>
    </w:p>
    <w:p w14:paraId="4F093382" w14:textId="59B99B55" w:rsidR="009704D0" w:rsidRPr="003A26FF" w:rsidRDefault="009704D0" w:rsidP="0080349A">
      <w:pPr>
        <w:spacing w:after="0" w:line="276" w:lineRule="auto"/>
        <w:ind w:left="-6" w:right="0" w:hanging="11"/>
        <w:rPr>
          <w:rFonts w:ascii="ITC Avant Garde" w:eastAsiaTheme="minorHAnsi" w:hAnsi="ITC Avant Garde" w:cs="ITC Avant Garde"/>
          <w:lang w:eastAsia="en-US"/>
        </w:rPr>
      </w:pPr>
    </w:p>
    <w:p w14:paraId="4DF2462A" w14:textId="45580100" w:rsidR="009704D0" w:rsidRPr="003A26FF" w:rsidRDefault="009704D0" w:rsidP="0080349A">
      <w:pPr>
        <w:spacing w:after="0" w:line="276" w:lineRule="auto"/>
        <w:ind w:left="-5"/>
        <w:rPr>
          <w:rFonts w:ascii="ITC Avant Garde" w:hAnsi="ITC Avant Garde" w:cs="ITC Avant Garde"/>
          <w:b/>
        </w:rPr>
      </w:pPr>
      <w:r w:rsidRPr="003A26FF">
        <w:rPr>
          <w:rFonts w:ascii="ITC Avant Garde" w:hAnsi="ITC Avant Garde" w:cs="ITC Avant Garde"/>
          <w:b/>
        </w:rPr>
        <w:t>Objetivo de la Consulta Pública:</w:t>
      </w:r>
    </w:p>
    <w:p w14:paraId="5C2B473F" w14:textId="77777777" w:rsidR="00BB6648" w:rsidRPr="003A26FF" w:rsidRDefault="00BB6648" w:rsidP="0080349A">
      <w:pPr>
        <w:spacing w:after="0" w:line="276" w:lineRule="auto"/>
        <w:ind w:left="-5"/>
        <w:rPr>
          <w:rFonts w:ascii="ITC Avant Garde" w:hAnsi="ITC Avant Garde" w:cs="ITC Avant Garde"/>
          <w:b/>
        </w:rPr>
      </w:pPr>
    </w:p>
    <w:p w14:paraId="65DDAC8D" w14:textId="1EF1CD9F" w:rsidR="00B50DEA" w:rsidRDefault="00B50DEA" w:rsidP="0080349A">
      <w:pPr>
        <w:spacing w:after="0" w:line="276" w:lineRule="auto"/>
        <w:ind w:left="-5" w:right="0"/>
        <w:rPr>
          <w:rFonts w:ascii="ITC Avant Garde" w:hAnsi="ITC Avant Garde"/>
        </w:rPr>
      </w:pPr>
      <w:r>
        <w:rPr>
          <w:rFonts w:ascii="ITC Avant Garde" w:hAnsi="ITC Avant Garde"/>
        </w:rPr>
        <w:t xml:space="preserve">La </w:t>
      </w:r>
      <w:r w:rsidRPr="00B50DEA">
        <w:rPr>
          <w:rFonts w:ascii="ITC Avant Garde" w:hAnsi="ITC Avant Garde"/>
        </w:rPr>
        <w:t>Consulta Públi</w:t>
      </w:r>
      <w:r w:rsidR="00C3485A">
        <w:rPr>
          <w:rFonts w:ascii="ITC Avant Garde" w:hAnsi="ITC Avant Garde"/>
        </w:rPr>
        <w:t>ca</w:t>
      </w:r>
      <w:r w:rsidR="008A4535">
        <w:rPr>
          <w:rFonts w:ascii="ITC Avant Garde" w:hAnsi="ITC Avant Garde"/>
        </w:rPr>
        <w:t xml:space="preserve"> </w:t>
      </w:r>
      <w:r w:rsidRPr="00B50DEA">
        <w:rPr>
          <w:rFonts w:ascii="ITC Avant Garde" w:hAnsi="ITC Avant Garde"/>
        </w:rPr>
        <w:t>t</w:t>
      </w:r>
      <w:r>
        <w:rPr>
          <w:rFonts w:ascii="ITC Avant Garde" w:hAnsi="ITC Avant Garde"/>
        </w:rPr>
        <w:t xml:space="preserve">uvo </w:t>
      </w:r>
      <w:r w:rsidRPr="00B50DEA">
        <w:rPr>
          <w:rFonts w:ascii="ITC Avant Garde" w:hAnsi="ITC Avant Garde"/>
        </w:rPr>
        <w:t>como objeto de análisis todas las cuestiones</w:t>
      </w:r>
      <w:r>
        <w:rPr>
          <w:rFonts w:ascii="ITC Avant Garde" w:hAnsi="ITC Avant Garde"/>
        </w:rPr>
        <w:t xml:space="preserve"> </w:t>
      </w:r>
      <w:r w:rsidRPr="00B50DEA">
        <w:rPr>
          <w:rFonts w:ascii="ITC Avant Garde" w:hAnsi="ITC Avant Garde"/>
        </w:rPr>
        <w:t>relacionadas con:</w:t>
      </w:r>
    </w:p>
    <w:p w14:paraId="66C27344" w14:textId="0BACAD8B" w:rsidR="00B50DEA" w:rsidRPr="00B50DEA" w:rsidRDefault="00B50DEA" w:rsidP="0080349A">
      <w:pPr>
        <w:pStyle w:val="Prrafodelista"/>
        <w:spacing w:after="0" w:line="276" w:lineRule="auto"/>
        <w:ind w:left="2875" w:right="0" w:firstLine="0"/>
        <w:rPr>
          <w:rFonts w:ascii="ITC Avant Garde" w:hAnsi="ITC Avant Garde"/>
        </w:rPr>
      </w:pPr>
    </w:p>
    <w:p w14:paraId="45F9DCB9" w14:textId="260B2F8D" w:rsidR="00B50DEA" w:rsidRDefault="00B50DEA" w:rsidP="0080349A">
      <w:pPr>
        <w:pStyle w:val="Prrafodelista"/>
        <w:numPr>
          <w:ilvl w:val="3"/>
          <w:numId w:val="31"/>
        </w:numPr>
        <w:spacing w:after="0" w:line="276" w:lineRule="auto"/>
        <w:ind w:left="709" w:right="0"/>
        <w:rPr>
          <w:rFonts w:ascii="ITC Avant Garde" w:hAnsi="ITC Avant Garde"/>
        </w:rPr>
      </w:pPr>
      <w:r w:rsidRPr="00B50DEA">
        <w:rPr>
          <w:rFonts w:ascii="ITC Avant Garde" w:hAnsi="ITC Avant Garde"/>
        </w:rPr>
        <w:t xml:space="preserve">La implementación de los principios conceptuales utilizados en la elaboración de los Modelos de Costos para la determinación de tarifas de los Servicios de Interconexión; de los Servicios Mayoristas de Enlaces Dedicados; de Usuario Visitante, </w:t>
      </w:r>
      <w:r w:rsidR="00C3485A" w:rsidRPr="00B50DEA">
        <w:rPr>
          <w:rFonts w:ascii="ITC Avant Garde" w:hAnsi="ITC Avant Garde"/>
        </w:rPr>
        <w:t>a</w:t>
      </w:r>
      <w:r w:rsidR="00C3485A">
        <w:rPr>
          <w:rFonts w:ascii="ITC Avant Garde" w:hAnsi="ITC Avant Garde"/>
        </w:rPr>
        <w:t>sí</w:t>
      </w:r>
      <w:r w:rsidRPr="00B50DEA">
        <w:rPr>
          <w:rFonts w:ascii="ITC Avant Garde" w:hAnsi="ITC Avant Garde"/>
        </w:rPr>
        <w:t xml:space="preserve"> como del Servicio de Concentración y Distribución asociado al Servicio de Acceso Indirecto al Bucle Local para el periodo de 2024 a 2026.</w:t>
      </w:r>
    </w:p>
    <w:p w14:paraId="3D50E06E" w14:textId="77777777" w:rsidR="00B50DEA" w:rsidRDefault="00B50DEA" w:rsidP="0080349A">
      <w:pPr>
        <w:pStyle w:val="Prrafodelista"/>
        <w:numPr>
          <w:ilvl w:val="0"/>
          <w:numId w:val="31"/>
        </w:numPr>
        <w:spacing w:after="0" w:line="276" w:lineRule="auto"/>
        <w:ind w:left="709" w:right="0"/>
        <w:rPr>
          <w:rFonts w:ascii="ITC Avant Garde" w:hAnsi="ITC Avant Garde"/>
        </w:rPr>
      </w:pPr>
      <w:r w:rsidRPr="00B50DEA">
        <w:rPr>
          <w:rFonts w:ascii="ITC Avant Garde" w:hAnsi="ITC Avant Garde"/>
        </w:rPr>
        <w:t>La estructura, arquitectura y algoritmos utilizados en los Modelos de Costos antes referidos.</w:t>
      </w:r>
    </w:p>
    <w:p w14:paraId="0D329A25" w14:textId="0F2C9B5C" w:rsidR="00B50DEA" w:rsidRPr="00B50DEA" w:rsidRDefault="00B50DEA" w:rsidP="0080349A">
      <w:pPr>
        <w:pStyle w:val="Prrafodelista"/>
        <w:numPr>
          <w:ilvl w:val="0"/>
          <w:numId w:val="31"/>
        </w:numPr>
        <w:spacing w:after="0" w:line="276" w:lineRule="auto"/>
        <w:ind w:left="709" w:right="0"/>
        <w:rPr>
          <w:rFonts w:ascii="ITC Avant Garde" w:hAnsi="ITC Avant Garde"/>
        </w:rPr>
      </w:pPr>
      <w:r w:rsidRPr="00B50DEA">
        <w:rPr>
          <w:rFonts w:ascii="ITC Avant Garde" w:hAnsi="ITC Avant Garde"/>
        </w:rPr>
        <w:t>Los parámetros de entrada de los Modelos de Costos señalados.</w:t>
      </w:r>
    </w:p>
    <w:p w14:paraId="0755765E" w14:textId="79DAF255" w:rsidR="006D7DB3" w:rsidRPr="003A26FF" w:rsidRDefault="00B50DEA" w:rsidP="0080349A">
      <w:pPr>
        <w:spacing w:after="0" w:line="276" w:lineRule="auto"/>
        <w:ind w:left="-5" w:right="0"/>
        <w:rPr>
          <w:rFonts w:ascii="ITC Avant Garde" w:hAnsi="ITC Avant Garde"/>
        </w:rPr>
      </w:pPr>
      <w:r w:rsidRPr="58E23F00">
        <w:rPr>
          <w:rFonts w:ascii="ITC Avant Garde" w:hAnsi="ITC Avant Garde"/>
        </w:rPr>
        <w:lastRenderedPageBreak/>
        <w:t xml:space="preserve">Todo lo anterior con el objetivo último de robustecer los Modelos de Costos y tener un diálogo abierto entre el </w:t>
      </w:r>
      <w:r w:rsidR="647786AF" w:rsidRPr="58E23F00">
        <w:rPr>
          <w:rFonts w:ascii="ITC Avant Garde" w:hAnsi="ITC Avant Garde"/>
        </w:rPr>
        <w:t>Instituto</w:t>
      </w:r>
      <w:r w:rsidRPr="58E23F00">
        <w:rPr>
          <w:rFonts w:ascii="ITC Avant Garde" w:hAnsi="ITC Avant Garde"/>
        </w:rPr>
        <w:t xml:space="preserve"> y los regulados</w:t>
      </w:r>
      <w:r w:rsidR="006D7DB3" w:rsidRPr="58E23F00">
        <w:rPr>
          <w:rFonts w:ascii="ITC Avant Garde" w:hAnsi="ITC Avant Garde"/>
        </w:rPr>
        <w:t>.</w:t>
      </w:r>
    </w:p>
    <w:p w14:paraId="22A246EC" w14:textId="3A9BBD07" w:rsidR="006D7DB3" w:rsidRPr="003A26FF" w:rsidRDefault="006D7DB3" w:rsidP="0080349A">
      <w:pPr>
        <w:spacing w:after="0" w:line="276" w:lineRule="auto"/>
        <w:ind w:left="-5" w:right="0"/>
        <w:rPr>
          <w:rFonts w:ascii="ITC Avant Garde" w:hAnsi="ITC Avant Garde"/>
        </w:rPr>
      </w:pPr>
    </w:p>
    <w:p w14:paraId="17952040" w14:textId="0DCEA252" w:rsidR="006D7DB3" w:rsidRPr="003A26FF" w:rsidRDefault="006D7DB3" w:rsidP="0080349A">
      <w:pPr>
        <w:spacing w:after="0" w:line="276" w:lineRule="auto"/>
        <w:ind w:left="-5"/>
        <w:rPr>
          <w:rFonts w:ascii="ITC Avant Garde" w:hAnsi="ITC Avant Garde" w:cs="ITC Avant Garde"/>
          <w:b/>
        </w:rPr>
      </w:pPr>
      <w:r w:rsidRPr="003A26FF">
        <w:rPr>
          <w:rFonts w:ascii="ITC Avant Garde" w:hAnsi="ITC Avant Garde" w:cs="ITC Avant Garde"/>
          <w:b/>
        </w:rPr>
        <w:t xml:space="preserve">Unidad Administrativa que promueve el proyecto: </w:t>
      </w:r>
      <w:r w:rsidRPr="003A26FF">
        <w:rPr>
          <w:rFonts w:ascii="ITC Avant Garde" w:hAnsi="ITC Avant Garde" w:cs="ITC Avant Garde"/>
        </w:rPr>
        <w:t>Unidad de Políti</w:t>
      </w:r>
      <w:r w:rsidR="00C3485A">
        <w:rPr>
          <w:rFonts w:ascii="ITC Avant Garde" w:hAnsi="ITC Avant Garde" w:cs="ITC Avant Garde"/>
        </w:rPr>
        <w:t>ca</w:t>
      </w:r>
      <w:r w:rsidR="008A4535">
        <w:rPr>
          <w:rFonts w:ascii="ITC Avant Garde" w:hAnsi="ITC Avant Garde" w:cs="ITC Avant Garde"/>
        </w:rPr>
        <w:t xml:space="preserve"> </w:t>
      </w:r>
      <w:r w:rsidRPr="003A26FF">
        <w:rPr>
          <w:rFonts w:ascii="ITC Avant Garde" w:hAnsi="ITC Avant Garde" w:cs="ITC Avant Garde"/>
        </w:rPr>
        <w:t>Regulatoria.</w:t>
      </w:r>
    </w:p>
    <w:p w14:paraId="4F02E674" w14:textId="77777777" w:rsidR="006D7DB3" w:rsidRPr="003A26FF" w:rsidRDefault="006D7DB3" w:rsidP="0080349A">
      <w:pPr>
        <w:spacing w:after="0" w:line="276" w:lineRule="auto"/>
        <w:ind w:left="0" w:right="0" w:firstLine="0"/>
        <w:jc w:val="left"/>
        <w:rPr>
          <w:rFonts w:ascii="ITC Avant Garde" w:hAnsi="ITC Avant Garde"/>
        </w:rPr>
      </w:pPr>
    </w:p>
    <w:p w14:paraId="3D4FDA9D" w14:textId="77777777" w:rsidR="006D7DB3" w:rsidRPr="003A26FF" w:rsidRDefault="006D7DB3" w:rsidP="0080349A">
      <w:pPr>
        <w:spacing w:after="0" w:line="276" w:lineRule="auto"/>
        <w:ind w:left="-6" w:hanging="11"/>
        <w:rPr>
          <w:rFonts w:ascii="ITC Avant Garde" w:hAnsi="ITC Avant Garde" w:cs="ITC Avant Garde"/>
        </w:rPr>
      </w:pPr>
      <w:r w:rsidRPr="003A26FF">
        <w:rPr>
          <w:rFonts w:ascii="ITC Avant Garde" w:hAnsi="ITC Avant Garde" w:cs="ITC Avant Garde"/>
          <w:b/>
        </w:rPr>
        <w:t>Participantes de la Consulta Pública:</w:t>
      </w:r>
    </w:p>
    <w:p w14:paraId="3B829725" w14:textId="0293BBE7" w:rsidR="006D7DB3" w:rsidRPr="003A26FF" w:rsidRDefault="006D7DB3" w:rsidP="0080349A">
      <w:pPr>
        <w:spacing w:after="0" w:line="276" w:lineRule="auto"/>
        <w:ind w:left="-5" w:right="0"/>
        <w:rPr>
          <w:rFonts w:ascii="ITC Avant Garde" w:hAnsi="ITC Avant Garde"/>
        </w:rPr>
      </w:pPr>
      <w:r w:rsidRPr="003A26FF">
        <w:rPr>
          <w:rFonts w:ascii="ITC Avant Garde" w:hAnsi="ITC Avant Garde"/>
        </w:rPr>
        <w:t xml:space="preserve">Durante el periodo de la consulta </w:t>
      </w:r>
      <w:r w:rsidR="00C3485A">
        <w:rPr>
          <w:rFonts w:ascii="ITC Avant Garde" w:hAnsi="ITC Avant Garde"/>
        </w:rPr>
        <w:t>pública</w:t>
      </w:r>
      <w:r w:rsidR="008A4535">
        <w:rPr>
          <w:rFonts w:ascii="ITC Avant Garde" w:hAnsi="ITC Avant Garde"/>
        </w:rPr>
        <w:t xml:space="preserve"> </w:t>
      </w:r>
      <w:r w:rsidRPr="003A26FF">
        <w:rPr>
          <w:rFonts w:ascii="ITC Avant Garde" w:hAnsi="ITC Avant Garde"/>
        </w:rPr>
        <w:t xml:space="preserve">de mérito, se recibieron </w:t>
      </w:r>
      <w:r w:rsidR="007C7915">
        <w:rPr>
          <w:rFonts w:ascii="ITC Avant Garde" w:hAnsi="ITC Avant Garde"/>
        </w:rPr>
        <w:t>7</w:t>
      </w:r>
      <w:r w:rsidRPr="003A26FF">
        <w:rPr>
          <w:rFonts w:ascii="ITC Avant Garde" w:hAnsi="ITC Avant Garde"/>
        </w:rPr>
        <w:t xml:space="preserve"> participaciones por parte de las siguientes personas</w:t>
      </w:r>
      <w:r w:rsidR="007C7915">
        <w:rPr>
          <w:rFonts w:ascii="ITC Avant Garde" w:hAnsi="ITC Avant Garde"/>
        </w:rPr>
        <w:t xml:space="preserve"> (físicas y morales)</w:t>
      </w:r>
      <w:r w:rsidRPr="003A26FF">
        <w:rPr>
          <w:rFonts w:ascii="ITC Avant Garde" w:hAnsi="ITC Avant Garde"/>
        </w:rPr>
        <w:t>:</w:t>
      </w:r>
    </w:p>
    <w:p w14:paraId="30D7AFD0" w14:textId="77777777" w:rsidR="00442091" w:rsidRPr="003A26FF" w:rsidRDefault="00442091" w:rsidP="0080349A">
      <w:pPr>
        <w:spacing w:after="0" w:line="276" w:lineRule="auto"/>
        <w:ind w:left="-5" w:right="0"/>
        <w:rPr>
          <w:rFonts w:ascii="ITC Avant Garde" w:eastAsiaTheme="minorHAnsi" w:hAnsi="ITC Avant Garde" w:cs="ITC Avant Garde"/>
          <w:lang w:eastAsia="en-US"/>
        </w:rPr>
      </w:pPr>
    </w:p>
    <w:p w14:paraId="4E31B706" w14:textId="4B494357" w:rsidR="00BB6648" w:rsidRPr="003A26FF" w:rsidRDefault="00BB6648" w:rsidP="0080349A">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3A26FF">
        <w:rPr>
          <w:rFonts w:ascii="ITC Avant Garde" w:eastAsiaTheme="minorHAnsi" w:hAnsi="ITC Avant Garde" w:cs="ITC Avant Garde"/>
          <w:lang w:eastAsia="en-US"/>
        </w:rPr>
        <w:t>Pegaso PCS, S.A. de C.V.</w:t>
      </w:r>
      <w:r w:rsidR="005A23B5">
        <w:rPr>
          <w:rFonts w:ascii="ITC Avant Garde" w:eastAsiaTheme="minorHAnsi" w:hAnsi="ITC Avant Garde" w:cs="ITC Avant Garde"/>
          <w:lang w:eastAsia="en-US"/>
        </w:rPr>
        <w:t>,</w:t>
      </w:r>
      <w:r w:rsidRPr="003A26FF">
        <w:rPr>
          <w:rFonts w:ascii="ITC Avant Garde" w:eastAsiaTheme="minorHAnsi" w:hAnsi="ITC Avant Garde" w:cs="ITC Avant Garde"/>
          <w:lang w:eastAsia="en-US"/>
        </w:rPr>
        <w:t xml:space="preserve"> </w:t>
      </w:r>
      <w:r w:rsidRPr="003A26FF">
        <w:rPr>
          <w:rFonts w:ascii="ITC Avant Garde" w:hAnsi="ITC Avant Garde"/>
        </w:rPr>
        <w:t>(en lo sucesivo, “Telefónica”);</w:t>
      </w:r>
    </w:p>
    <w:p w14:paraId="54E4B031" w14:textId="54A933A0" w:rsidR="007C7915" w:rsidRPr="007C7915" w:rsidRDefault="007C7915" w:rsidP="0080349A">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7C7915">
        <w:rPr>
          <w:rFonts w:ascii="ITC Avant Garde" w:eastAsiaTheme="minorHAnsi" w:hAnsi="ITC Avant Garde" w:cs="ITC Avant Garde"/>
          <w:lang w:eastAsia="en-US"/>
        </w:rPr>
        <w:t>Cámara Nacional de la Industria Electrónica, de Telecomunicaciones y Tecnologías de la Información.</w:t>
      </w:r>
      <w:r w:rsidR="005A23B5">
        <w:rPr>
          <w:rFonts w:ascii="ITC Avant Garde" w:eastAsiaTheme="minorHAnsi" w:hAnsi="ITC Avant Garde" w:cs="ITC Avant Garde"/>
          <w:lang w:eastAsia="en-US"/>
        </w:rPr>
        <w:t>,</w:t>
      </w:r>
      <w:r>
        <w:rPr>
          <w:rFonts w:ascii="ITC Avant Garde" w:eastAsiaTheme="minorHAnsi" w:hAnsi="ITC Avant Garde" w:cs="ITC Avant Garde"/>
          <w:lang w:eastAsia="en-US"/>
        </w:rPr>
        <w:t xml:space="preserve"> (en lo sucesivo, “CANIETI”);</w:t>
      </w:r>
    </w:p>
    <w:p w14:paraId="49CF3357" w14:textId="7A2E64DA" w:rsidR="00641CEF" w:rsidRPr="005A23B5" w:rsidRDefault="007C7915" w:rsidP="0080349A">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7C7915">
        <w:rPr>
          <w:rFonts w:ascii="ITC Avant Garde" w:hAnsi="ITC Avant Garde"/>
        </w:rPr>
        <w:t>AT&amp;T Comunicaciones Digitales, S. de R.L. de C.V., Grupo AT&amp;T Celullar, S. de R.L. de C.V., y AT&amp;T Comercialización Móvil, S. de R.L. de C.V.</w:t>
      </w:r>
      <w:r w:rsidR="005A23B5">
        <w:rPr>
          <w:rFonts w:ascii="ITC Avant Garde" w:hAnsi="ITC Avant Garde"/>
        </w:rPr>
        <w:t>,</w:t>
      </w:r>
      <w:r>
        <w:rPr>
          <w:rFonts w:ascii="ITC Avant Garde" w:hAnsi="ITC Avant Garde"/>
        </w:rPr>
        <w:t xml:space="preserve"> (</w:t>
      </w:r>
      <w:r w:rsidR="00641CEF" w:rsidRPr="003A26FF">
        <w:rPr>
          <w:rFonts w:ascii="ITC Avant Garde" w:hAnsi="ITC Avant Garde"/>
        </w:rPr>
        <w:t>en lo sucesivo, “</w:t>
      </w:r>
      <w:r>
        <w:rPr>
          <w:rFonts w:ascii="ITC Avant Garde" w:hAnsi="ITC Avant Garde"/>
        </w:rPr>
        <w:t>AT&amp;T”)</w:t>
      </w:r>
      <w:r w:rsidR="00BB6648" w:rsidRPr="003A26FF">
        <w:rPr>
          <w:rFonts w:ascii="ITC Avant Garde" w:hAnsi="ITC Avant Garde"/>
        </w:rPr>
        <w:t>;</w:t>
      </w:r>
    </w:p>
    <w:p w14:paraId="7D26D356" w14:textId="0AF9ED87" w:rsidR="005A23B5" w:rsidRDefault="005A23B5" w:rsidP="0080349A">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5A23B5">
        <w:rPr>
          <w:rFonts w:ascii="ITC Avant Garde" w:eastAsiaTheme="minorHAnsi" w:hAnsi="ITC Avant Garde" w:cs="ITC Avant Garde"/>
          <w:lang w:eastAsia="en-US"/>
        </w:rPr>
        <w:t>Axtel, S.A.B. de C.V.</w:t>
      </w:r>
      <w:r>
        <w:rPr>
          <w:rFonts w:ascii="ITC Avant Garde" w:eastAsiaTheme="minorHAnsi" w:hAnsi="ITC Avant Garde" w:cs="ITC Avant Garde"/>
          <w:lang w:eastAsia="en-US"/>
        </w:rPr>
        <w:t>, (en lo sucesivo, “Axtel”);</w:t>
      </w:r>
    </w:p>
    <w:p w14:paraId="7B5C53BE" w14:textId="02DBC871" w:rsidR="005A23B5" w:rsidRDefault="005A23B5" w:rsidP="0080349A">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5A23B5">
        <w:rPr>
          <w:rFonts w:ascii="ITC Avant Garde" w:eastAsiaTheme="minorHAnsi" w:hAnsi="ITC Avant Garde" w:cs="ITC Avant Garde"/>
          <w:lang w:eastAsia="en-US"/>
        </w:rPr>
        <w:t>Juan Antonio González Cruz</w:t>
      </w:r>
      <w:r>
        <w:rPr>
          <w:rFonts w:ascii="ITC Avant Garde" w:eastAsiaTheme="minorHAnsi" w:hAnsi="ITC Avant Garde" w:cs="ITC Avant Garde"/>
          <w:lang w:eastAsia="en-US"/>
        </w:rPr>
        <w:t>;</w:t>
      </w:r>
    </w:p>
    <w:p w14:paraId="3EFEE9A2" w14:textId="42CD8C81" w:rsidR="005A23B5" w:rsidRDefault="005A23B5" w:rsidP="0080349A">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5A23B5">
        <w:rPr>
          <w:rFonts w:ascii="ITC Avant Garde" w:eastAsiaTheme="minorHAnsi" w:hAnsi="ITC Avant Garde" w:cs="ITC Avant Garde"/>
          <w:lang w:eastAsia="en-US"/>
        </w:rPr>
        <w:t>Operbes, S.A. de C.V., Cablevisión, S.A. de C.V., Cablemás Telecomunicaciones, S.A. de C.V., Cablevisión Red, S.A. de C.V., Televisión Internacional, S.A. de C.V., México Red de Telecomunicaciones, S. de R.L. de C.V. y TV Cable de Oriente, S.A. de C.V.</w:t>
      </w:r>
      <w:r>
        <w:rPr>
          <w:rFonts w:ascii="ITC Avant Garde" w:eastAsiaTheme="minorHAnsi" w:hAnsi="ITC Avant Garde" w:cs="ITC Avant Garde"/>
          <w:lang w:eastAsia="en-US"/>
        </w:rPr>
        <w:t>, (en lo sucesivo “Televisa”</w:t>
      </w:r>
      <w:r w:rsidR="00E50BC6">
        <w:rPr>
          <w:rFonts w:ascii="ITC Avant Garde" w:eastAsiaTheme="minorHAnsi" w:hAnsi="ITC Avant Garde" w:cs="ITC Avant Garde"/>
          <w:lang w:eastAsia="en-US"/>
        </w:rPr>
        <w:t>, o indistintamente “GTV”</w:t>
      </w:r>
      <w:r>
        <w:rPr>
          <w:rFonts w:ascii="ITC Avant Garde" w:eastAsiaTheme="minorHAnsi" w:hAnsi="ITC Avant Garde" w:cs="ITC Avant Garde"/>
          <w:lang w:eastAsia="en-US"/>
        </w:rPr>
        <w:t>);</w:t>
      </w:r>
    </w:p>
    <w:p w14:paraId="42902521" w14:textId="23D5FB24" w:rsidR="005A23B5" w:rsidRPr="003A26FF" w:rsidRDefault="005A23B5" w:rsidP="0080349A">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5A23B5">
        <w:rPr>
          <w:rFonts w:ascii="ITC Avant Garde" w:eastAsiaTheme="minorHAnsi" w:hAnsi="ITC Avant Garde" w:cs="ITC Avant Garde"/>
          <w:lang w:eastAsia="en-US"/>
        </w:rPr>
        <w:t>Mega Cable, S.A. de C.V.</w:t>
      </w:r>
      <w:r>
        <w:rPr>
          <w:rFonts w:ascii="ITC Avant Garde" w:eastAsiaTheme="minorHAnsi" w:hAnsi="ITC Avant Garde" w:cs="ITC Avant Garde"/>
          <w:lang w:eastAsia="en-US"/>
        </w:rPr>
        <w:t>, (en lo sucesivo “Mega</w:t>
      </w:r>
      <w:r w:rsidR="00E50BC6">
        <w:rPr>
          <w:rFonts w:ascii="ITC Avant Garde" w:eastAsiaTheme="minorHAnsi" w:hAnsi="ITC Avant Garde" w:cs="ITC Avant Garde"/>
          <w:lang w:eastAsia="en-US"/>
        </w:rPr>
        <w:t xml:space="preserve"> C</w:t>
      </w:r>
      <w:r>
        <w:rPr>
          <w:rFonts w:ascii="ITC Avant Garde" w:eastAsiaTheme="minorHAnsi" w:hAnsi="ITC Avant Garde" w:cs="ITC Avant Garde"/>
          <w:lang w:eastAsia="en-US"/>
        </w:rPr>
        <w:t>able”).</w:t>
      </w:r>
    </w:p>
    <w:p w14:paraId="4D75981A" w14:textId="77777777" w:rsidR="000B5810" w:rsidRPr="003A26FF" w:rsidRDefault="000B5810" w:rsidP="0080349A">
      <w:pPr>
        <w:autoSpaceDE w:val="0"/>
        <w:autoSpaceDN w:val="0"/>
        <w:adjustRightInd w:val="0"/>
        <w:spacing w:after="0" w:line="276" w:lineRule="auto"/>
        <w:ind w:left="0" w:right="0" w:firstLine="0"/>
        <w:rPr>
          <w:rFonts w:ascii="ITC Avant Garde" w:eastAsiaTheme="minorHAnsi" w:hAnsi="ITC Avant Garde" w:cs="ITC Avant Garde"/>
          <w:lang w:eastAsia="en-US"/>
        </w:rPr>
      </w:pPr>
    </w:p>
    <w:p w14:paraId="02A781AE" w14:textId="2B1D6F20" w:rsidR="00BC09A3" w:rsidRPr="003A26FF" w:rsidRDefault="00415276" w:rsidP="0080349A">
      <w:pPr>
        <w:spacing w:after="0" w:line="276" w:lineRule="auto"/>
        <w:ind w:left="0" w:right="0" w:firstLine="0"/>
        <w:rPr>
          <w:rFonts w:ascii="ITC Avant Garde" w:eastAsia="Calibri" w:hAnsi="ITC Avant Garde" w:cs="Arial"/>
          <w:color w:val="auto"/>
          <w:lang w:eastAsia="en-US"/>
        </w:rPr>
      </w:pPr>
      <w:r w:rsidRPr="58E23F00">
        <w:rPr>
          <w:rFonts w:ascii="ITC Avant Garde" w:eastAsia="Calibri" w:hAnsi="ITC Avant Garde" w:cs="Arial"/>
          <w:color w:val="auto"/>
          <w:lang w:eastAsia="en-US"/>
        </w:rPr>
        <w:t>E</w:t>
      </w:r>
      <w:r w:rsidR="00BC09A3" w:rsidRPr="58E23F00">
        <w:rPr>
          <w:rFonts w:ascii="ITC Avant Garde" w:eastAsia="Calibri" w:hAnsi="ITC Avant Garde" w:cs="Arial"/>
          <w:color w:val="auto"/>
          <w:lang w:eastAsia="en-US"/>
        </w:rPr>
        <w:t xml:space="preserve">l </w:t>
      </w:r>
      <w:r w:rsidR="647786AF" w:rsidRPr="58E23F00">
        <w:rPr>
          <w:rFonts w:ascii="ITC Avant Garde" w:eastAsia="Calibri" w:hAnsi="ITC Avant Garde" w:cs="Arial"/>
          <w:color w:val="auto"/>
          <w:lang w:eastAsia="en-US"/>
        </w:rPr>
        <w:t>Instituto</w:t>
      </w:r>
      <w:r w:rsidR="00BC09A3" w:rsidRPr="58E23F00">
        <w:rPr>
          <w:rFonts w:ascii="ITC Avant Garde" w:eastAsia="Calibri" w:hAnsi="ITC Avant Garde" w:cs="Arial"/>
          <w:color w:val="auto"/>
          <w:lang w:eastAsia="en-US"/>
        </w:rPr>
        <w:t xml:space="preserve"> emite las siguientes respuestas y con</w:t>
      </w:r>
      <w:r w:rsidR="007B0E47" w:rsidRPr="58E23F00">
        <w:rPr>
          <w:rFonts w:ascii="ITC Avant Garde" w:eastAsia="Calibri" w:hAnsi="ITC Avant Garde" w:cs="Arial"/>
          <w:color w:val="auto"/>
          <w:lang w:eastAsia="en-US"/>
        </w:rPr>
        <w:t>sideraciones para cada una de la</w:t>
      </w:r>
      <w:r w:rsidR="00BC09A3" w:rsidRPr="58E23F00">
        <w:rPr>
          <w:rFonts w:ascii="ITC Avant Garde" w:eastAsia="Calibri" w:hAnsi="ITC Avant Garde" w:cs="Arial"/>
          <w:color w:val="auto"/>
          <w:lang w:eastAsia="en-US"/>
        </w:rPr>
        <w:t>s</w:t>
      </w:r>
      <w:r w:rsidR="007B0E47" w:rsidRPr="58E23F00">
        <w:rPr>
          <w:rFonts w:ascii="ITC Avant Garde" w:eastAsia="Calibri" w:hAnsi="ITC Avant Garde" w:cs="Arial"/>
          <w:color w:val="auto"/>
          <w:lang w:eastAsia="en-US"/>
        </w:rPr>
        <w:t xml:space="preserve"> participaciones</w:t>
      </w:r>
      <w:r w:rsidR="004B5491" w:rsidRPr="58E23F00">
        <w:rPr>
          <w:rFonts w:ascii="ITC Avant Garde" w:eastAsia="Calibri" w:hAnsi="ITC Avant Garde" w:cs="Arial"/>
          <w:color w:val="auto"/>
          <w:lang w:eastAsia="en-US"/>
        </w:rPr>
        <w:t xml:space="preserve"> recibidas</w:t>
      </w:r>
      <w:r w:rsidR="00BC09A3" w:rsidRPr="58E23F00">
        <w:rPr>
          <w:rFonts w:ascii="ITC Avant Garde" w:eastAsia="Calibri" w:hAnsi="ITC Avant Garde" w:cs="Arial"/>
          <w:color w:val="auto"/>
          <w:lang w:eastAsia="en-US"/>
        </w:rPr>
        <w:t xml:space="preserve">:  </w:t>
      </w:r>
    </w:p>
    <w:p w14:paraId="7B71C229" w14:textId="4DE1CACF" w:rsidR="00192F9F" w:rsidRDefault="00192F9F" w:rsidP="0080349A">
      <w:pPr>
        <w:spacing w:after="0" w:line="276" w:lineRule="auto"/>
        <w:ind w:left="0" w:right="0" w:firstLine="0"/>
        <w:rPr>
          <w:rFonts w:ascii="ITC Avant Garde" w:hAnsi="ITC Avant Garde"/>
        </w:rPr>
      </w:pPr>
    </w:p>
    <w:p w14:paraId="59E9FD6A" w14:textId="75CFF105" w:rsidR="00541685" w:rsidRPr="0027252C" w:rsidRDefault="00541685" w:rsidP="0080349A">
      <w:pPr>
        <w:spacing w:after="0" w:line="276" w:lineRule="auto"/>
        <w:ind w:left="0" w:right="0" w:firstLine="0"/>
        <w:rPr>
          <w:rFonts w:ascii="ITC Avant Garde" w:hAnsi="ITC Avant Garde"/>
          <w:b/>
          <w:u w:val="single"/>
          <w:lang w:val="es-ES"/>
        </w:rPr>
      </w:pPr>
      <w:r w:rsidRPr="0027252C">
        <w:rPr>
          <w:rFonts w:ascii="ITC Avant Garde" w:hAnsi="ITC Avant Garde"/>
          <w:b/>
          <w:u w:val="single"/>
          <w:lang w:val="es-ES"/>
        </w:rPr>
        <w:t>Comentarios generales</w:t>
      </w:r>
    </w:p>
    <w:p w14:paraId="455E36D7" w14:textId="77777777" w:rsidR="0027252C" w:rsidRPr="00541685" w:rsidRDefault="0027252C" w:rsidP="0080349A">
      <w:pPr>
        <w:spacing w:after="0" w:line="276" w:lineRule="auto"/>
        <w:ind w:left="0" w:right="0" w:firstLine="0"/>
        <w:rPr>
          <w:rFonts w:ascii="ITC Avant Garde" w:hAnsi="ITC Avant Garde"/>
          <w:lang w:val="es-ES"/>
        </w:rPr>
      </w:pPr>
    </w:p>
    <w:p w14:paraId="422D7CFB" w14:textId="49B33F6C" w:rsidR="0027252C"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Esta sección presenta los comentarios, opiniones y aportaciones de los </w:t>
      </w:r>
      <w:r w:rsidR="0027252C">
        <w:rPr>
          <w:rFonts w:ascii="ITC Avant Garde" w:hAnsi="ITC Avant Garde"/>
          <w:lang w:val="es-ES"/>
        </w:rPr>
        <w:t>concesionarios</w:t>
      </w:r>
      <w:r w:rsidRPr="00541685">
        <w:rPr>
          <w:rFonts w:ascii="ITC Avant Garde" w:hAnsi="ITC Avant Garde"/>
          <w:lang w:val="es-ES"/>
        </w:rPr>
        <w:t xml:space="preserve"> sobre los principios metodológicos aplicados a los distintos modelos sometidos a consulta, cuando dichos principios </w:t>
      </w:r>
      <w:r w:rsidR="0027252C">
        <w:rPr>
          <w:rFonts w:ascii="ITC Avant Garde" w:hAnsi="ITC Avant Garde"/>
          <w:lang w:val="es-ES"/>
        </w:rPr>
        <w:t xml:space="preserve">son comunes </w:t>
      </w:r>
      <w:r w:rsidRPr="00541685">
        <w:rPr>
          <w:rFonts w:ascii="ITC Avant Garde" w:hAnsi="ITC Avant Garde"/>
          <w:lang w:val="es-ES"/>
        </w:rPr>
        <w:t>a varios de los modelos</w:t>
      </w:r>
      <w:r w:rsidR="005E29C9">
        <w:rPr>
          <w:rFonts w:ascii="ITC Avant Garde" w:hAnsi="ITC Avant Garde"/>
          <w:lang w:val="es-ES"/>
        </w:rPr>
        <w:t>.</w:t>
      </w:r>
    </w:p>
    <w:p w14:paraId="0912C610" w14:textId="77777777" w:rsidR="0027252C" w:rsidRDefault="0027252C" w:rsidP="0080349A">
      <w:pPr>
        <w:spacing w:after="0" w:line="276" w:lineRule="auto"/>
        <w:ind w:left="0" w:right="0" w:firstLine="0"/>
        <w:rPr>
          <w:rFonts w:ascii="ITC Avant Garde" w:hAnsi="ITC Avant Garde"/>
          <w:lang w:val="es-ES"/>
        </w:rPr>
      </w:pPr>
    </w:p>
    <w:p w14:paraId="6C7E1004" w14:textId="7B422699" w:rsidR="00541685" w:rsidRPr="005E29C9" w:rsidRDefault="00541685" w:rsidP="0080349A">
      <w:pPr>
        <w:spacing w:after="0" w:line="276" w:lineRule="auto"/>
        <w:ind w:left="0" w:right="0" w:firstLine="0"/>
        <w:rPr>
          <w:rFonts w:ascii="ITC Avant Garde" w:hAnsi="ITC Avant Garde"/>
          <w:i/>
          <w:lang w:val="es-ES"/>
        </w:rPr>
      </w:pPr>
      <w:r w:rsidRPr="005E29C9">
        <w:rPr>
          <w:rFonts w:ascii="ITC Avant Garde" w:hAnsi="ITC Avant Garde"/>
          <w:i/>
          <w:lang w:val="es-ES"/>
        </w:rPr>
        <w:t>Convergencia entre redes fijas y redes móviles</w:t>
      </w:r>
    </w:p>
    <w:p w14:paraId="33CFAB60" w14:textId="77777777" w:rsidR="005E29C9" w:rsidRPr="00541685" w:rsidRDefault="005E29C9" w:rsidP="0080349A">
      <w:pPr>
        <w:spacing w:after="0" w:line="276" w:lineRule="auto"/>
        <w:ind w:left="0" w:right="0" w:firstLine="0"/>
        <w:rPr>
          <w:rFonts w:ascii="ITC Avant Garde" w:hAnsi="ITC Avant Garde"/>
          <w:lang w:val="es-ES"/>
        </w:rPr>
      </w:pPr>
    </w:p>
    <w:p w14:paraId="1045329C" w14:textId="2772F0B9" w:rsidR="005E29C9" w:rsidRDefault="005E29C9" w:rsidP="0080349A">
      <w:pPr>
        <w:spacing w:after="0" w:line="276" w:lineRule="auto"/>
        <w:ind w:left="0" w:right="0" w:firstLine="0"/>
        <w:rPr>
          <w:rFonts w:ascii="ITC Avant Garde" w:hAnsi="ITC Avant Garde"/>
          <w:lang w:val="es-ES"/>
        </w:rPr>
      </w:pPr>
      <w:r>
        <w:rPr>
          <w:rFonts w:ascii="ITC Avant Garde" w:hAnsi="ITC Avant Garde"/>
          <w:lang w:val="es-ES"/>
        </w:rPr>
        <w:t>Mega</w:t>
      </w:r>
      <w:r w:rsidR="00E50BC6">
        <w:rPr>
          <w:rFonts w:ascii="ITC Avant Garde" w:hAnsi="ITC Avant Garde"/>
          <w:lang w:val="es-ES"/>
        </w:rPr>
        <w:t xml:space="preserve"> C</w:t>
      </w:r>
      <w:r>
        <w:rPr>
          <w:rFonts w:ascii="ITC Avant Garde" w:hAnsi="ITC Avant Garde"/>
          <w:lang w:val="es-ES"/>
        </w:rPr>
        <w:t>able</w:t>
      </w:r>
    </w:p>
    <w:p w14:paraId="089E75F1" w14:textId="77777777" w:rsidR="005E29C9" w:rsidRDefault="005E29C9" w:rsidP="0080349A">
      <w:pPr>
        <w:spacing w:after="0" w:line="276" w:lineRule="auto"/>
        <w:ind w:left="0" w:right="0" w:firstLine="0"/>
        <w:rPr>
          <w:rFonts w:ascii="ITC Avant Garde" w:hAnsi="ITC Avant Garde"/>
          <w:lang w:val="es-ES"/>
        </w:rPr>
      </w:pPr>
    </w:p>
    <w:p w14:paraId="3B394DEF" w14:textId="0AEC6173" w:rsidR="00541685" w:rsidRDefault="005E29C9" w:rsidP="0080349A">
      <w:pPr>
        <w:spacing w:after="0" w:line="276" w:lineRule="auto"/>
        <w:ind w:left="0" w:right="0" w:firstLine="0"/>
        <w:rPr>
          <w:rFonts w:ascii="ITC Avant Garde" w:hAnsi="ITC Avant Garde"/>
          <w:lang w:val="es-ES"/>
        </w:rPr>
      </w:pPr>
      <w:r>
        <w:rPr>
          <w:rFonts w:ascii="ITC Avant Garde" w:hAnsi="ITC Avant Garde"/>
          <w:lang w:val="es-ES"/>
        </w:rPr>
        <w:t>La</w:t>
      </w:r>
      <w:r w:rsidR="00541685" w:rsidRPr="00541685">
        <w:rPr>
          <w:rFonts w:ascii="ITC Avant Garde" w:hAnsi="ITC Avant Garde"/>
          <w:lang w:val="es-ES"/>
        </w:rPr>
        <w:t xml:space="preserve"> diferenciación entre las redes fijas y móviles que se propone en los modelos de costos no refleja la realidad actual de alta convergencia e integración. </w:t>
      </w:r>
      <w:r>
        <w:rPr>
          <w:rFonts w:ascii="ITC Avant Garde" w:hAnsi="ITC Avant Garde"/>
          <w:lang w:val="es-ES"/>
        </w:rPr>
        <w:t>L</w:t>
      </w:r>
      <w:r w:rsidR="00541685" w:rsidRPr="00541685">
        <w:rPr>
          <w:rFonts w:ascii="ITC Avant Garde" w:hAnsi="ITC Avant Garde"/>
          <w:lang w:val="es-ES"/>
        </w:rPr>
        <w:t xml:space="preserve">as redes de transporte y conmutación son muy similares en entornos fijos y móviles, y cada </w:t>
      </w:r>
      <w:r w:rsidR="00541685" w:rsidRPr="00541685">
        <w:rPr>
          <w:rFonts w:ascii="ITC Avant Garde" w:hAnsi="ITC Avant Garde"/>
          <w:lang w:val="es-ES"/>
        </w:rPr>
        <w:lastRenderedPageBreak/>
        <w:t xml:space="preserve">vez hay más similitud y complementariedad en la capa de acceso de ambos tipos de redes. Adicionalmente, en otros países existen servicios </w:t>
      </w:r>
      <w:r>
        <w:rPr>
          <w:rFonts w:ascii="ITC Avant Garde" w:hAnsi="ITC Avant Garde"/>
          <w:lang w:val="es-ES"/>
        </w:rPr>
        <w:t>“</w:t>
      </w:r>
      <w:r w:rsidR="00541685" w:rsidRPr="00541685">
        <w:rPr>
          <w:rFonts w:ascii="ITC Avant Garde" w:hAnsi="ITC Avant Garde"/>
          <w:lang w:val="es-ES"/>
        </w:rPr>
        <w:t>híbridos</w:t>
      </w:r>
      <w:r>
        <w:rPr>
          <w:rFonts w:ascii="ITC Avant Garde" w:hAnsi="ITC Avant Garde"/>
          <w:lang w:val="es-ES"/>
        </w:rPr>
        <w:t>”</w:t>
      </w:r>
      <w:r w:rsidR="00541685" w:rsidRPr="00541685">
        <w:rPr>
          <w:rFonts w:ascii="ITC Avant Garde" w:hAnsi="ITC Avant Garde"/>
          <w:lang w:val="es-ES"/>
        </w:rPr>
        <w:t xml:space="preserve"> o </w:t>
      </w:r>
      <w:r>
        <w:rPr>
          <w:rFonts w:ascii="ITC Avant Garde" w:hAnsi="ITC Avant Garde"/>
          <w:lang w:val="es-ES"/>
        </w:rPr>
        <w:t>“</w:t>
      </w:r>
      <w:r w:rsidR="00541685" w:rsidRPr="00541685">
        <w:rPr>
          <w:rFonts w:ascii="ITC Avant Garde" w:hAnsi="ITC Avant Garde"/>
          <w:lang w:val="es-ES"/>
        </w:rPr>
        <w:t>convergentes</w:t>
      </w:r>
      <w:r>
        <w:rPr>
          <w:rFonts w:ascii="ITC Avant Garde" w:hAnsi="ITC Avant Garde"/>
          <w:lang w:val="es-ES"/>
        </w:rPr>
        <w:t>”</w:t>
      </w:r>
      <w:r w:rsidR="00541685" w:rsidRPr="00541685">
        <w:rPr>
          <w:rFonts w:ascii="ITC Avant Garde" w:hAnsi="ITC Avant Garde"/>
          <w:lang w:val="es-ES"/>
        </w:rPr>
        <w:t>, donde la voz se presta mediante redes móviles y fijas combinadas, lo que hace que las líneas entre el uso de voz fija y móvil, y la forma en que se prestan dichos, servicios sean muy similares.</w:t>
      </w:r>
    </w:p>
    <w:p w14:paraId="29633B17" w14:textId="5EDEB1AD" w:rsidR="005E29C9" w:rsidRDefault="005E29C9" w:rsidP="0080349A">
      <w:pPr>
        <w:spacing w:after="0" w:line="276" w:lineRule="auto"/>
        <w:ind w:left="0" w:right="0" w:firstLine="0"/>
        <w:rPr>
          <w:rFonts w:ascii="ITC Avant Garde" w:hAnsi="ITC Avant Garde"/>
          <w:lang w:val="es-ES"/>
        </w:rPr>
      </w:pPr>
    </w:p>
    <w:p w14:paraId="20532F43" w14:textId="25FF6741" w:rsidR="005E29C9" w:rsidRDefault="005E29C9"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322029D4" w14:textId="77777777" w:rsidR="005E29C9" w:rsidRPr="00541685" w:rsidRDefault="005E29C9" w:rsidP="0080349A">
      <w:pPr>
        <w:spacing w:after="0" w:line="276" w:lineRule="auto"/>
        <w:ind w:left="0" w:right="0" w:firstLine="0"/>
        <w:rPr>
          <w:rFonts w:ascii="ITC Avant Garde" w:hAnsi="ITC Avant Garde"/>
          <w:lang w:val="es-ES"/>
        </w:rPr>
      </w:pPr>
    </w:p>
    <w:p w14:paraId="206F93A1" w14:textId="5A5C5B67" w:rsidR="00541685" w:rsidRDefault="005E29C9" w:rsidP="0080349A">
      <w:pPr>
        <w:spacing w:after="0" w:line="276" w:lineRule="auto"/>
        <w:ind w:left="0" w:right="0" w:firstLine="0"/>
        <w:rPr>
          <w:rFonts w:ascii="ITC Avant Garde" w:hAnsi="ITC Avant Garde"/>
          <w:lang w:val="es-ES"/>
        </w:rPr>
      </w:pPr>
      <w:r>
        <w:rPr>
          <w:rFonts w:ascii="ITC Avant Garde" w:hAnsi="ITC Avant Garde"/>
          <w:lang w:val="es-ES"/>
        </w:rPr>
        <w:t>S</w:t>
      </w:r>
      <w:r w:rsidR="00541685" w:rsidRPr="00541685">
        <w:rPr>
          <w:rFonts w:ascii="ITC Avant Garde" w:hAnsi="ITC Avant Garde"/>
          <w:lang w:val="es-ES"/>
        </w:rPr>
        <w:t xml:space="preserve">i bien es cierto que existe una creciente similitud y convergencia entre las redes fijas y las redes móviles, cabe señalar que siguen existiendo diferencias notables entre ambos tipos de redes que justifican el trato diferenciado entre ellas mediante la implantación de tarifas asimétricas. Adicionalmente, en el caso concreto de México, dicha convergencia ha alcanzado una materialidad relevante a nivel de red, ya que existen empresas distintas que operan redes fijas y redes móviles que ofrecen sus servicios de forma diferenciada. Por este motivo, no </w:t>
      </w:r>
      <w:r>
        <w:rPr>
          <w:rFonts w:ascii="ITC Avant Garde" w:hAnsi="ITC Avant Garde"/>
          <w:lang w:val="es-ES"/>
        </w:rPr>
        <w:t xml:space="preserve">se considera </w:t>
      </w:r>
      <w:r w:rsidR="00541685" w:rsidRPr="00541685">
        <w:rPr>
          <w:rFonts w:ascii="ITC Avant Garde" w:hAnsi="ITC Avant Garde"/>
          <w:lang w:val="es-ES"/>
        </w:rPr>
        <w:t>oportuno reflejar dicha potencial convergencia en los modelos de costos sometidos a consulta.</w:t>
      </w:r>
    </w:p>
    <w:p w14:paraId="242B594F" w14:textId="77777777" w:rsidR="005E29C9" w:rsidRPr="00541685" w:rsidRDefault="005E29C9" w:rsidP="0080349A">
      <w:pPr>
        <w:spacing w:after="0" w:line="276" w:lineRule="auto"/>
        <w:ind w:left="0" w:right="0" w:firstLine="0"/>
        <w:rPr>
          <w:rFonts w:ascii="ITC Avant Garde" w:hAnsi="ITC Avant Garde"/>
          <w:lang w:val="es-ES"/>
        </w:rPr>
      </w:pPr>
    </w:p>
    <w:p w14:paraId="737F5E1A" w14:textId="62941830" w:rsidR="00541685" w:rsidRPr="00E50BC6" w:rsidRDefault="00541685" w:rsidP="0080349A">
      <w:pPr>
        <w:spacing w:after="0" w:line="276" w:lineRule="auto"/>
        <w:ind w:left="0" w:right="0" w:firstLine="0"/>
        <w:rPr>
          <w:rFonts w:ascii="ITC Avant Garde" w:hAnsi="ITC Avant Garde"/>
          <w:i/>
          <w:lang w:val="es-ES"/>
        </w:rPr>
      </w:pPr>
      <w:r w:rsidRPr="00E50BC6">
        <w:rPr>
          <w:rFonts w:ascii="ITC Avant Garde" w:hAnsi="ITC Avant Garde"/>
          <w:i/>
          <w:lang w:val="es-ES"/>
        </w:rPr>
        <w:t>Criterio de eficiencia desigual entre redes fijas y móviles</w:t>
      </w:r>
    </w:p>
    <w:p w14:paraId="6670D5C8" w14:textId="77777777" w:rsidR="00E50BC6" w:rsidRPr="00541685" w:rsidRDefault="00E50BC6" w:rsidP="0080349A">
      <w:pPr>
        <w:spacing w:after="0" w:line="276" w:lineRule="auto"/>
        <w:ind w:left="0" w:right="0" w:firstLine="0"/>
        <w:rPr>
          <w:rFonts w:ascii="ITC Avant Garde" w:hAnsi="ITC Avant Garde"/>
          <w:lang w:val="es-ES"/>
        </w:rPr>
      </w:pPr>
    </w:p>
    <w:p w14:paraId="1F184F80" w14:textId="5126F507" w:rsidR="00E50BC6" w:rsidRPr="000213F2" w:rsidRDefault="00541685" w:rsidP="0080349A">
      <w:pPr>
        <w:spacing w:after="0" w:line="276" w:lineRule="auto"/>
        <w:ind w:left="0" w:right="0" w:firstLine="0"/>
        <w:rPr>
          <w:rFonts w:ascii="ITC Avant Garde" w:hAnsi="ITC Avant Garde"/>
          <w:color w:val="auto"/>
          <w:lang w:val="es-ES"/>
        </w:rPr>
      </w:pPr>
      <w:r w:rsidRPr="000213F2">
        <w:rPr>
          <w:rFonts w:ascii="ITC Avant Garde" w:hAnsi="ITC Avant Garde"/>
          <w:color w:val="auto"/>
          <w:lang w:val="es-ES"/>
        </w:rPr>
        <w:t>Mega</w:t>
      </w:r>
      <w:r w:rsidR="00E50BC6" w:rsidRPr="000213F2">
        <w:rPr>
          <w:rFonts w:ascii="ITC Avant Garde" w:hAnsi="ITC Avant Garde"/>
          <w:color w:val="auto"/>
          <w:lang w:val="es-ES"/>
        </w:rPr>
        <w:t xml:space="preserve"> C</w:t>
      </w:r>
      <w:r w:rsidRPr="000213F2">
        <w:rPr>
          <w:rFonts w:ascii="ITC Avant Garde" w:hAnsi="ITC Avant Garde"/>
          <w:color w:val="auto"/>
          <w:lang w:val="es-ES"/>
        </w:rPr>
        <w:t>able</w:t>
      </w:r>
    </w:p>
    <w:p w14:paraId="7F5F4370" w14:textId="77777777" w:rsidR="00E50BC6" w:rsidRDefault="00E50BC6" w:rsidP="0080349A">
      <w:pPr>
        <w:spacing w:after="0" w:line="276" w:lineRule="auto"/>
        <w:ind w:left="0" w:right="0" w:firstLine="0"/>
        <w:rPr>
          <w:rFonts w:ascii="ITC Avant Garde" w:hAnsi="ITC Avant Garde"/>
          <w:lang w:val="es-ES"/>
        </w:rPr>
      </w:pPr>
    </w:p>
    <w:p w14:paraId="784A0ABF" w14:textId="2A0EF743" w:rsidR="00541685" w:rsidRDefault="00E50BC6" w:rsidP="0080349A">
      <w:pPr>
        <w:spacing w:after="0" w:line="276" w:lineRule="auto"/>
        <w:ind w:left="0" w:right="0" w:firstLine="0"/>
        <w:rPr>
          <w:rFonts w:ascii="ITC Avant Garde" w:hAnsi="ITC Avant Garde"/>
          <w:lang w:val="es-ES"/>
        </w:rPr>
      </w:pPr>
      <w:r>
        <w:rPr>
          <w:rFonts w:ascii="ITC Avant Garde" w:hAnsi="ITC Avant Garde"/>
          <w:lang w:val="es-ES"/>
        </w:rPr>
        <w:t>E</w:t>
      </w:r>
      <w:r w:rsidR="00541685" w:rsidRPr="00541685">
        <w:rPr>
          <w:rFonts w:ascii="ITC Avant Garde" w:hAnsi="ITC Avant Garde"/>
          <w:lang w:val="es-ES"/>
        </w:rPr>
        <w:t xml:space="preserve">n los modelos de costos para el periodo regulatorio 2024–26 se </w:t>
      </w:r>
      <w:r w:rsidR="00376355">
        <w:rPr>
          <w:rFonts w:ascii="ITC Avant Garde" w:hAnsi="ITC Avant Garde"/>
          <w:lang w:val="es-ES"/>
        </w:rPr>
        <w:t>aplica</w:t>
      </w:r>
      <w:r w:rsidR="008A4535">
        <w:rPr>
          <w:rFonts w:ascii="ITC Avant Garde" w:hAnsi="ITC Avant Garde"/>
          <w:lang w:val="es-ES"/>
        </w:rPr>
        <w:t xml:space="preserve"> </w:t>
      </w:r>
      <w:r w:rsidR="00541685" w:rsidRPr="00541685">
        <w:rPr>
          <w:rFonts w:ascii="ITC Avant Garde" w:hAnsi="ITC Avant Garde"/>
          <w:lang w:val="es-ES"/>
        </w:rPr>
        <w:t xml:space="preserve">un criterio de eficiencia desigual entre redes fijas y móviles. </w:t>
      </w:r>
      <w:r>
        <w:rPr>
          <w:rFonts w:ascii="ITC Avant Garde" w:hAnsi="ITC Avant Garde"/>
          <w:lang w:val="es-ES"/>
        </w:rPr>
        <w:t>L</w:t>
      </w:r>
      <w:r w:rsidR="00541685" w:rsidRPr="00541685">
        <w:rPr>
          <w:rFonts w:ascii="ITC Avant Garde" w:hAnsi="ITC Avant Garde"/>
          <w:lang w:val="es-ES"/>
        </w:rPr>
        <w:t xml:space="preserve">as redes fijas se benefician de elementos y tecnologías modernas de redes de nueva generación (NGN, por sus siglas en inglés) que no corresponden a las arquitecturas de los </w:t>
      </w:r>
      <w:r w:rsidR="00A94546">
        <w:rPr>
          <w:rFonts w:ascii="ITC Avant Garde" w:hAnsi="ITC Avant Garde"/>
          <w:lang w:val="es-ES"/>
        </w:rPr>
        <w:t>concesionarios</w:t>
      </w:r>
      <w:r w:rsidR="00541685" w:rsidRPr="00541685">
        <w:rPr>
          <w:rFonts w:ascii="ITC Avant Garde" w:hAnsi="ITC Avant Garde"/>
          <w:lang w:val="es-ES"/>
        </w:rPr>
        <w:t xml:space="preserve"> fijos, especialmente los no preponderantes. Mientras, en el caso de las redes móviles se consideran diversos elementos que reflejan la realidad actual de los </w:t>
      </w:r>
      <w:r w:rsidR="00A94546">
        <w:rPr>
          <w:rFonts w:ascii="ITC Avant Garde" w:hAnsi="ITC Avant Garde"/>
          <w:lang w:val="es-ES"/>
        </w:rPr>
        <w:t>concesionarios</w:t>
      </w:r>
      <w:r w:rsidR="00541685" w:rsidRPr="00541685">
        <w:rPr>
          <w:rFonts w:ascii="ITC Avant Garde" w:hAnsi="ITC Avant Garde"/>
          <w:lang w:val="es-ES"/>
        </w:rPr>
        <w:t xml:space="preserve"> móviles (tecnologías de capa de acceso, uso del espectro, tecnologías de transmisión, etc.) que no cumplen con el principio de modelar un </w:t>
      </w:r>
      <w:r w:rsidR="00A94546">
        <w:rPr>
          <w:rFonts w:ascii="ITC Avant Garde" w:hAnsi="ITC Avant Garde"/>
          <w:lang w:val="es-ES"/>
        </w:rPr>
        <w:t>operador eficiente</w:t>
      </w:r>
      <w:r w:rsidR="00541685" w:rsidRPr="00541685">
        <w:rPr>
          <w:rFonts w:ascii="ITC Avant Garde" w:hAnsi="ITC Avant Garde"/>
          <w:lang w:val="es-ES"/>
        </w:rPr>
        <w:t xml:space="preserve"> con una red tecnológicamente moderna y, además, potencialmente transfieren ineficiencias derivadas de la </w:t>
      </w:r>
      <w:r w:rsidR="00C3485A">
        <w:rPr>
          <w:rFonts w:ascii="ITC Avant Garde" w:hAnsi="ITC Avant Garde"/>
          <w:lang w:val="es-ES"/>
        </w:rPr>
        <w:t>práctica</w:t>
      </w:r>
      <w:r w:rsidR="008A4535">
        <w:rPr>
          <w:rFonts w:ascii="ITC Avant Garde" w:hAnsi="ITC Avant Garde"/>
          <w:lang w:val="es-ES"/>
        </w:rPr>
        <w:t xml:space="preserve"> </w:t>
      </w:r>
      <w:r w:rsidR="00541685" w:rsidRPr="00541685">
        <w:rPr>
          <w:rFonts w:ascii="ITC Avant Garde" w:hAnsi="ITC Avant Garde"/>
          <w:lang w:val="es-ES"/>
        </w:rPr>
        <w:t xml:space="preserve">real de los </w:t>
      </w:r>
      <w:r w:rsidR="00A94546">
        <w:rPr>
          <w:rFonts w:ascii="ITC Avant Garde" w:hAnsi="ITC Avant Garde"/>
          <w:lang w:val="es-ES"/>
        </w:rPr>
        <w:t>concesionarios</w:t>
      </w:r>
      <w:r w:rsidR="00541685" w:rsidRPr="00541685">
        <w:rPr>
          <w:rFonts w:ascii="ITC Avant Garde" w:hAnsi="ITC Avant Garde"/>
          <w:lang w:val="es-ES"/>
        </w:rPr>
        <w:t xml:space="preserve"> móviles.</w:t>
      </w:r>
    </w:p>
    <w:p w14:paraId="6046A34A" w14:textId="10F3416D" w:rsidR="00E50BC6" w:rsidRDefault="00E50BC6" w:rsidP="0080349A">
      <w:pPr>
        <w:spacing w:after="0" w:line="276" w:lineRule="auto"/>
        <w:ind w:left="0" w:right="0" w:firstLine="0"/>
        <w:rPr>
          <w:rFonts w:ascii="ITC Avant Garde" w:hAnsi="ITC Avant Garde"/>
          <w:lang w:val="es-ES"/>
        </w:rPr>
      </w:pPr>
    </w:p>
    <w:p w14:paraId="5F21A985" w14:textId="5D6D530B" w:rsidR="00E50BC6" w:rsidRDefault="00E50BC6"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76AFFFC2" w14:textId="77777777" w:rsidR="00E50BC6" w:rsidRPr="00541685" w:rsidRDefault="00E50BC6" w:rsidP="0080349A">
      <w:pPr>
        <w:spacing w:after="0" w:line="276" w:lineRule="auto"/>
        <w:ind w:left="0" w:right="0" w:firstLine="0"/>
        <w:rPr>
          <w:rFonts w:ascii="ITC Avant Garde" w:hAnsi="ITC Avant Garde"/>
          <w:lang w:val="es-ES"/>
        </w:rPr>
      </w:pPr>
    </w:p>
    <w:p w14:paraId="4B8B329A" w14:textId="773B5ED4" w:rsidR="00541685" w:rsidRDefault="00E50BC6" w:rsidP="0080349A">
      <w:pPr>
        <w:spacing w:after="0" w:line="276" w:lineRule="auto"/>
        <w:ind w:left="0" w:right="0" w:firstLine="0"/>
        <w:rPr>
          <w:rFonts w:ascii="ITC Avant Garde" w:hAnsi="ITC Avant Garde"/>
          <w:lang w:val="es-ES"/>
        </w:rPr>
      </w:pPr>
      <w:r>
        <w:rPr>
          <w:rFonts w:ascii="ITC Avant Garde" w:hAnsi="ITC Avant Garde"/>
          <w:lang w:val="es-ES"/>
        </w:rPr>
        <w:t>E</w:t>
      </w:r>
      <w:r w:rsidR="00541685" w:rsidRPr="00541685">
        <w:rPr>
          <w:rFonts w:ascii="ITC Avant Garde" w:hAnsi="ITC Avant Garde"/>
          <w:lang w:val="es-ES"/>
        </w:rPr>
        <w:t xml:space="preserve">n los modelos de costos se emplea un criterio de eficiencia similar para las redes fijas y móviles. Las potenciales ineficiencias descritas por </w:t>
      </w:r>
      <w:r>
        <w:rPr>
          <w:rFonts w:ascii="ITC Avant Garde" w:hAnsi="ITC Avant Garde"/>
          <w:lang w:val="es-ES"/>
        </w:rPr>
        <w:t>Mega Cable</w:t>
      </w:r>
      <w:r w:rsidR="00541685" w:rsidRPr="00541685">
        <w:rPr>
          <w:rFonts w:ascii="ITC Avant Garde" w:hAnsi="ITC Avant Garde"/>
          <w:lang w:val="es-ES"/>
        </w:rPr>
        <w:t xml:space="preserve"> en el caso del modelo móvil no son tales, o están justificadas con base a la operación real de los </w:t>
      </w:r>
      <w:r w:rsidR="00A94546">
        <w:rPr>
          <w:rFonts w:ascii="ITC Avant Garde" w:hAnsi="ITC Avant Garde"/>
          <w:lang w:val="es-ES"/>
        </w:rPr>
        <w:t>concesionarios</w:t>
      </w:r>
      <w:r w:rsidR="00541685" w:rsidRPr="00541685">
        <w:rPr>
          <w:rFonts w:ascii="ITC Avant Garde" w:hAnsi="ITC Avant Garde"/>
          <w:lang w:val="es-ES"/>
        </w:rPr>
        <w:t xml:space="preserve"> móviles en México. Por ejemplo, como se expli</w:t>
      </w:r>
      <w:r w:rsidR="00C3485A">
        <w:rPr>
          <w:rFonts w:ascii="ITC Avant Garde" w:hAnsi="ITC Avant Garde"/>
          <w:lang w:val="es-ES"/>
        </w:rPr>
        <w:t>ca</w:t>
      </w:r>
      <w:r w:rsidR="008A4535">
        <w:rPr>
          <w:rFonts w:ascii="ITC Avant Garde" w:hAnsi="ITC Avant Garde"/>
          <w:lang w:val="es-ES"/>
        </w:rPr>
        <w:t xml:space="preserve"> </w:t>
      </w:r>
      <w:r w:rsidR="00541685" w:rsidRPr="00541685">
        <w:rPr>
          <w:rFonts w:ascii="ITC Avant Garde" w:hAnsi="ITC Avant Garde"/>
          <w:lang w:val="es-ES"/>
        </w:rPr>
        <w:t xml:space="preserve">en la documentación sometida a consulta, la red de transporte modelada considera únicamente la tecnología ethernet en ambos casos. Por otra parte, la red de </w:t>
      </w:r>
      <w:r w:rsidR="00541685" w:rsidRPr="00541685">
        <w:rPr>
          <w:rFonts w:ascii="ITC Avant Garde" w:hAnsi="ITC Avant Garde"/>
          <w:lang w:val="es-ES"/>
        </w:rPr>
        <w:lastRenderedPageBreak/>
        <w:t xml:space="preserve">acceso modelada en el modelo móvil considera una aproximación de red eficiente con base en la </w:t>
      </w:r>
      <w:r w:rsidR="000213F2">
        <w:rPr>
          <w:rFonts w:ascii="ITC Avant Garde" w:hAnsi="ITC Avant Garde"/>
          <w:lang w:val="es-ES"/>
        </w:rPr>
        <w:t xml:space="preserve">mejor </w:t>
      </w:r>
      <w:r w:rsidR="00541685" w:rsidRPr="00541685">
        <w:rPr>
          <w:rFonts w:ascii="ITC Avant Garde" w:hAnsi="ITC Avant Garde"/>
          <w:lang w:val="es-ES"/>
        </w:rPr>
        <w:t>información disponible</w:t>
      </w:r>
      <w:r w:rsidR="005B1715">
        <w:rPr>
          <w:rFonts w:ascii="ITC Avant Garde" w:hAnsi="ITC Avant Garde"/>
          <w:lang w:val="es-ES"/>
        </w:rPr>
        <w:t xml:space="preserve"> y suponiendo una </w:t>
      </w:r>
      <w:r w:rsidR="002B633A">
        <w:rPr>
          <w:rFonts w:ascii="ITC Avant Garde" w:hAnsi="ITC Avant Garde"/>
          <w:lang w:val="es-ES"/>
        </w:rPr>
        <w:t>tendencia de costos que refleje los cambios en eficiencia</w:t>
      </w:r>
      <w:r w:rsidR="00541685" w:rsidRPr="00541685">
        <w:rPr>
          <w:rFonts w:ascii="ITC Avant Garde" w:hAnsi="ITC Avant Garde"/>
          <w:lang w:val="es-ES"/>
        </w:rPr>
        <w:t>.</w:t>
      </w:r>
    </w:p>
    <w:p w14:paraId="645C32D6" w14:textId="40171967" w:rsidR="00E50BC6" w:rsidRDefault="00E50BC6" w:rsidP="0080349A">
      <w:pPr>
        <w:spacing w:after="0" w:line="276" w:lineRule="auto"/>
        <w:ind w:left="0" w:right="0" w:firstLine="0"/>
        <w:rPr>
          <w:rFonts w:ascii="ITC Avant Garde" w:hAnsi="ITC Avant Garde"/>
          <w:lang w:val="es-ES"/>
        </w:rPr>
      </w:pPr>
    </w:p>
    <w:p w14:paraId="36212978" w14:textId="4CBB728D" w:rsidR="00541685" w:rsidRPr="0080349A" w:rsidRDefault="00541685" w:rsidP="0080349A">
      <w:pPr>
        <w:spacing w:after="0" w:line="276" w:lineRule="auto"/>
        <w:ind w:left="0" w:right="0" w:firstLine="0"/>
        <w:rPr>
          <w:rFonts w:ascii="ITC Avant Garde" w:hAnsi="ITC Avant Garde"/>
          <w:i/>
          <w:lang w:val="es-ES"/>
        </w:rPr>
      </w:pPr>
      <w:r w:rsidRPr="0080349A">
        <w:rPr>
          <w:rFonts w:ascii="ITC Avant Garde" w:hAnsi="ITC Avant Garde"/>
          <w:i/>
          <w:lang w:val="es-ES"/>
        </w:rPr>
        <w:t>Cálculo de la demanda de banda ancha</w:t>
      </w:r>
    </w:p>
    <w:p w14:paraId="4E265B9F" w14:textId="77777777" w:rsidR="000213F2" w:rsidRPr="00541685" w:rsidRDefault="000213F2" w:rsidP="0080349A">
      <w:pPr>
        <w:spacing w:after="0" w:line="276" w:lineRule="auto"/>
        <w:ind w:left="0" w:right="0" w:firstLine="0"/>
        <w:rPr>
          <w:rFonts w:ascii="ITC Avant Garde" w:hAnsi="ITC Avant Garde"/>
          <w:lang w:val="es-ES"/>
        </w:rPr>
      </w:pPr>
    </w:p>
    <w:p w14:paraId="554DA283" w14:textId="77777777" w:rsidR="0080349A"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GTV</w:t>
      </w:r>
    </w:p>
    <w:p w14:paraId="74AF7101" w14:textId="77777777" w:rsidR="0080349A" w:rsidRDefault="0080349A" w:rsidP="0080349A">
      <w:pPr>
        <w:spacing w:after="0" w:line="276" w:lineRule="auto"/>
        <w:ind w:left="0" w:right="0" w:firstLine="0"/>
        <w:rPr>
          <w:rFonts w:ascii="ITC Avant Garde" w:hAnsi="ITC Avant Garde"/>
          <w:lang w:val="es-ES"/>
        </w:rPr>
      </w:pPr>
    </w:p>
    <w:p w14:paraId="3140AD2C" w14:textId="2FC461A1" w:rsidR="00541685" w:rsidRDefault="0080349A" w:rsidP="0080349A">
      <w:pPr>
        <w:spacing w:after="0" w:line="276" w:lineRule="auto"/>
        <w:ind w:left="0" w:right="0" w:firstLine="0"/>
        <w:rPr>
          <w:rFonts w:ascii="ITC Avant Garde" w:hAnsi="ITC Avant Garde"/>
          <w:lang w:val="es-ES"/>
        </w:rPr>
      </w:pPr>
      <w:r w:rsidRPr="58E23F00">
        <w:rPr>
          <w:rFonts w:ascii="ITC Avant Garde" w:hAnsi="ITC Avant Garde"/>
          <w:lang w:val="es-ES"/>
        </w:rPr>
        <w:t>Se</w:t>
      </w:r>
      <w:r w:rsidR="00541685" w:rsidRPr="58E23F00">
        <w:rPr>
          <w:rFonts w:ascii="ITC Avant Garde" w:hAnsi="ITC Avant Garde"/>
          <w:lang w:val="es-ES"/>
        </w:rPr>
        <w:t xml:space="preserve"> solicita al </w:t>
      </w:r>
      <w:r w:rsidR="647786AF" w:rsidRPr="58E23F00">
        <w:rPr>
          <w:rFonts w:ascii="ITC Avant Garde" w:hAnsi="ITC Avant Garde"/>
          <w:lang w:val="es-ES"/>
        </w:rPr>
        <w:t>Instituto</w:t>
      </w:r>
      <w:r w:rsidR="0AF39D56" w:rsidRPr="58E23F00">
        <w:rPr>
          <w:rFonts w:ascii="ITC Avant Garde" w:hAnsi="ITC Avant Garde"/>
          <w:lang w:val="es-ES"/>
        </w:rPr>
        <w:t xml:space="preserve"> </w:t>
      </w:r>
      <w:r w:rsidR="00541685" w:rsidRPr="58E23F00">
        <w:rPr>
          <w:rFonts w:ascii="ITC Avant Garde" w:hAnsi="ITC Avant Garde"/>
          <w:lang w:val="es-ES"/>
        </w:rPr>
        <w:t>ajustar las proyecciones de demanda de internet móvil, en términos de tráfico y suscriptores, en tanto que considera que dichas proyecciones deberían calcularse a partir de la cuota de mercado de internet móvil y no a partir de la cuota de mercado de telefonía.</w:t>
      </w:r>
    </w:p>
    <w:p w14:paraId="4BF6852F" w14:textId="578CD1B2" w:rsidR="0080349A" w:rsidRDefault="0080349A" w:rsidP="0080349A">
      <w:pPr>
        <w:spacing w:after="0" w:line="276" w:lineRule="auto"/>
        <w:ind w:left="0" w:right="0" w:firstLine="0"/>
        <w:rPr>
          <w:rFonts w:ascii="ITC Avant Garde" w:hAnsi="ITC Avant Garde"/>
          <w:lang w:val="es-ES"/>
        </w:rPr>
      </w:pPr>
    </w:p>
    <w:p w14:paraId="7D16E12C" w14:textId="4DC4310B" w:rsidR="0080349A" w:rsidRDefault="0080349A"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4DF8A989" w14:textId="77777777" w:rsidR="0080349A" w:rsidRPr="00541685" w:rsidRDefault="0080349A" w:rsidP="0080349A">
      <w:pPr>
        <w:spacing w:after="0" w:line="276" w:lineRule="auto"/>
        <w:ind w:left="0" w:right="0" w:firstLine="0"/>
        <w:rPr>
          <w:rFonts w:ascii="ITC Avant Garde" w:hAnsi="ITC Avant Garde"/>
          <w:lang w:val="es-ES"/>
        </w:rPr>
      </w:pPr>
    </w:p>
    <w:p w14:paraId="19403CE4" w14:textId="4EAE8565"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Es cierto que pueden existir diferencias significativas en las cuotas de mercado de los distintos </w:t>
      </w:r>
      <w:r w:rsidR="00A94546">
        <w:rPr>
          <w:rFonts w:ascii="ITC Avant Garde" w:hAnsi="ITC Avant Garde"/>
          <w:lang w:val="es-ES"/>
        </w:rPr>
        <w:t>concesionarios</w:t>
      </w:r>
      <w:r w:rsidRPr="00541685">
        <w:rPr>
          <w:rFonts w:ascii="ITC Avant Garde" w:hAnsi="ITC Avant Garde"/>
          <w:lang w:val="es-ES"/>
        </w:rPr>
        <w:t xml:space="preserve"> medidas en términos de usuarios de voz y de usuarios de datos. No obstante, si se tomasen cuotas de mercado específicas de cada uno de los servicios modelados, esto equivaldría a modelar la demanda exacta del </w:t>
      </w:r>
      <w:r w:rsidR="00A94546">
        <w:rPr>
          <w:rFonts w:ascii="ITC Avant Garde" w:hAnsi="ITC Avant Garde"/>
          <w:lang w:val="es-ES"/>
        </w:rPr>
        <w:t>concesionario</w:t>
      </w:r>
      <w:r w:rsidRPr="00541685">
        <w:rPr>
          <w:rFonts w:ascii="ITC Avant Garde" w:hAnsi="ITC Avant Garde"/>
          <w:lang w:val="es-ES"/>
        </w:rPr>
        <w:t xml:space="preserve"> cuya cuota </w:t>
      </w:r>
      <w:r w:rsidR="00325634">
        <w:rPr>
          <w:rFonts w:ascii="ITC Avant Garde" w:hAnsi="ITC Avant Garde"/>
          <w:lang w:val="es-ES"/>
        </w:rPr>
        <w:t>se esté</w:t>
      </w:r>
      <w:r w:rsidRPr="00541685">
        <w:rPr>
          <w:rFonts w:ascii="ITC Avant Garde" w:hAnsi="ITC Avant Garde"/>
          <w:lang w:val="es-ES"/>
        </w:rPr>
        <w:t xml:space="preserve"> tomando. Este enfoque iría en contra de la metodología definida para el </w:t>
      </w:r>
      <w:r w:rsidR="00A94546">
        <w:rPr>
          <w:rFonts w:ascii="ITC Avant Garde" w:hAnsi="ITC Avant Garde"/>
          <w:lang w:val="es-ES"/>
        </w:rPr>
        <w:t>concesionario</w:t>
      </w:r>
      <w:r w:rsidRPr="00541685">
        <w:rPr>
          <w:rFonts w:ascii="ITC Avant Garde" w:hAnsi="ITC Avant Garde"/>
          <w:lang w:val="es-ES"/>
        </w:rPr>
        <w:t xml:space="preserve"> modelado, la cual estipula que se debe modelar un </w:t>
      </w:r>
      <w:r w:rsidR="00A94546">
        <w:rPr>
          <w:rFonts w:ascii="ITC Avant Garde" w:hAnsi="ITC Avant Garde"/>
          <w:lang w:val="es-ES"/>
        </w:rPr>
        <w:t>operador hipotético</w:t>
      </w:r>
      <w:r w:rsidRPr="00541685">
        <w:rPr>
          <w:rFonts w:ascii="ITC Avant Garde" w:hAnsi="ITC Avant Garde"/>
          <w:lang w:val="es-ES"/>
        </w:rPr>
        <w:t xml:space="preserve">. En este sentido, la definición del </w:t>
      </w:r>
      <w:r w:rsidR="00A94546">
        <w:rPr>
          <w:rFonts w:ascii="ITC Avant Garde" w:hAnsi="ITC Avant Garde"/>
          <w:lang w:val="es-ES"/>
        </w:rPr>
        <w:t>concesionario</w:t>
      </w:r>
      <w:r w:rsidRPr="00541685">
        <w:rPr>
          <w:rFonts w:ascii="ITC Avant Garde" w:hAnsi="ITC Avant Garde"/>
          <w:lang w:val="es-ES"/>
        </w:rPr>
        <w:t xml:space="preserve"> modelado, tal y como se expone en el documento que recoge los principios metodológicos que rigen los modelos, está orientada a que, a partir de los volúmenes totales del mercado, se defina una </w:t>
      </w:r>
      <w:r w:rsidR="00450E15">
        <w:rPr>
          <w:rFonts w:ascii="ITC Avant Garde" w:hAnsi="ITC Avant Garde"/>
          <w:lang w:val="es-ES"/>
        </w:rPr>
        <w:t>única</w:t>
      </w:r>
      <w:r w:rsidR="008A4535">
        <w:rPr>
          <w:rFonts w:ascii="ITC Avant Garde" w:hAnsi="ITC Avant Garde"/>
          <w:lang w:val="es-ES"/>
        </w:rPr>
        <w:t xml:space="preserve"> </w:t>
      </w:r>
      <w:r w:rsidRPr="00541685">
        <w:rPr>
          <w:rFonts w:ascii="ITC Avant Garde" w:hAnsi="ITC Avant Garde"/>
          <w:lang w:val="es-ES"/>
        </w:rPr>
        <w:t xml:space="preserve">cuota de mercado, representativa del tamaño del </w:t>
      </w:r>
      <w:r w:rsidR="00A94546">
        <w:rPr>
          <w:rFonts w:ascii="ITC Avant Garde" w:hAnsi="ITC Avant Garde"/>
          <w:lang w:val="es-ES"/>
        </w:rPr>
        <w:t>operador hipotético</w:t>
      </w:r>
      <w:r w:rsidRPr="00541685">
        <w:rPr>
          <w:rFonts w:ascii="ITC Avant Garde" w:hAnsi="ITC Avant Garde"/>
          <w:lang w:val="es-ES"/>
        </w:rPr>
        <w:t xml:space="preserve"> modelado.</w:t>
      </w:r>
    </w:p>
    <w:p w14:paraId="127B7C63" w14:textId="77777777" w:rsidR="0080349A" w:rsidRPr="00541685" w:rsidRDefault="0080349A" w:rsidP="0080349A">
      <w:pPr>
        <w:spacing w:after="0" w:line="276" w:lineRule="auto"/>
        <w:ind w:left="0" w:right="0" w:firstLine="0"/>
        <w:rPr>
          <w:rFonts w:ascii="ITC Avant Garde" w:hAnsi="ITC Avant Garde"/>
          <w:lang w:val="es-ES"/>
        </w:rPr>
      </w:pPr>
    </w:p>
    <w:p w14:paraId="506CAA61" w14:textId="076D60E8" w:rsidR="00541685" w:rsidRDefault="0080349A" w:rsidP="0080349A">
      <w:pPr>
        <w:spacing w:after="0" w:line="276" w:lineRule="auto"/>
        <w:ind w:left="0" w:right="0" w:firstLine="0"/>
        <w:rPr>
          <w:rFonts w:ascii="ITC Avant Garde" w:hAnsi="ITC Avant Garde"/>
          <w:lang w:val="es-ES"/>
        </w:rPr>
      </w:pPr>
      <w:r w:rsidRPr="58E23F00">
        <w:rPr>
          <w:rFonts w:ascii="ITC Avant Garde" w:hAnsi="ITC Avant Garde"/>
          <w:lang w:val="es-ES"/>
        </w:rPr>
        <w:t>L</w:t>
      </w:r>
      <w:r w:rsidR="00541685" w:rsidRPr="58E23F00">
        <w:rPr>
          <w:rFonts w:ascii="ITC Avant Garde" w:hAnsi="ITC Avant Garde"/>
          <w:lang w:val="es-ES"/>
        </w:rPr>
        <w:t>as líneas de voz ofrecen una representación más fiel del mercado que las líneas de datos, ya que por lo general la mayoría de las líneas de datos incorporan servicios de voz, mientras que a</w:t>
      </w:r>
      <w:r w:rsidRPr="58E23F00">
        <w:rPr>
          <w:rFonts w:ascii="ITC Avant Garde" w:hAnsi="ITC Avant Garde"/>
          <w:lang w:val="es-ES"/>
        </w:rPr>
        <w:t>l</w:t>
      </w:r>
      <w:r w:rsidR="00541685" w:rsidRPr="58E23F00">
        <w:rPr>
          <w:rFonts w:ascii="ITC Avant Garde" w:hAnsi="ITC Avant Garde"/>
          <w:lang w:val="es-ES"/>
        </w:rPr>
        <w:t xml:space="preserve"> día de hoy existe un número bastante relevante de líneas de voz que todavía no agregan servicios de datos. Adicionalmente, el modelo de costos tiene como objetivo principal calcular los costos asociados a los servicios de interconexión de voz en redes móviles. Por tanto, es más apropiado que las cuotas de mercado planteadas por el </w:t>
      </w:r>
      <w:r w:rsidR="647786AF" w:rsidRPr="58E23F00">
        <w:rPr>
          <w:rFonts w:ascii="ITC Avant Garde" w:hAnsi="ITC Avant Garde"/>
          <w:lang w:val="es-ES"/>
        </w:rPr>
        <w:t>Instituto</w:t>
      </w:r>
      <w:r w:rsidR="00541685" w:rsidRPr="58E23F00">
        <w:rPr>
          <w:rFonts w:ascii="ITC Avant Garde" w:hAnsi="ITC Avant Garde"/>
          <w:lang w:val="es-ES"/>
        </w:rPr>
        <w:t xml:space="preserve"> para el modelo costos se determinen a partir de las líneas de voz, en lugar de las líneas de datos.</w:t>
      </w:r>
    </w:p>
    <w:p w14:paraId="67944F53" w14:textId="77777777" w:rsidR="0080349A" w:rsidRPr="00541685" w:rsidRDefault="0080349A" w:rsidP="0080349A">
      <w:pPr>
        <w:spacing w:after="0" w:line="276" w:lineRule="auto"/>
        <w:ind w:left="0" w:right="0" w:firstLine="0"/>
        <w:rPr>
          <w:rFonts w:ascii="ITC Avant Garde" w:hAnsi="ITC Avant Garde"/>
          <w:lang w:val="es-ES"/>
        </w:rPr>
      </w:pPr>
    </w:p>
    <w:p w14:paraId="73D123E0" w14:textId="3770C130" w:rsidR="00541685" w:rsidRPr="0080349A" w:rsidRDefault="00541685" w:rsidP="4B922FC5">
      <w:pPr>
        <w:spacing w:after="0" w:line="276" w:lineRule="auto"/>
        <w:ind w:left="0" w:right="0" w:firstLine="0"/>
        <w:rPr>
          <w:rFonts w:ascii="ITC Avant Garde" w:hAnsi="ITC Avant Garde"/>
          <w:i/>
          <w:iCs/>
          <w:lang w:val="es-ES"/>
        </w:rPr>
      </w:pPr>
      <w:r w:rsidRPr="4B922FC5">
        <w:rPr>
          <w:rFonts w:ascii="ITC Avant Garde" w:hAnsi="ITC Avant Garde"/>
          <w:i/>
          <w:iCs/>
          <w:lang w:val="es-ES"/>
        </w:rPr>
        <w:t xml:space="preserve">Relación de la provisión de servicios entre partes del </w:t>
      </w:r>
      <w:r w:rsidR="04B399F5" w:rsidRPr="4B922FC5">
        <w:rPr>
          <w:rFonts w:ascii="ITC Avant Garde" w:hAnsi="ITC Avant Garde"/>
          <w:i/>
          <w:iCs/>
          <w:lang w:val="es-ES"/>
        </w:rPr>
        <w:t xml:space="preserve">Agente Económico Preponderante (en </w:t>
      </w:r>
      <w:r w:rsidR="621E41BC" w:rsidRPr="4B922FC5">
        <w:rPr>
          <w:rFonts w:ascii="ITC Avant Garde" w:hAnsi="ITC Avant Garde"/>
          <w:i/>
          <w:iCs/>
          <w:lang w:val="es-ES"/>
        </w:rPr>
        <w:t>lo sucesivo, “</w:t>
      </w:r>
      <w:r w:rsidRPr="4B922FC5">
        <w:rPr>
          <w:rFonts w:ascii="ITC Avant Garde" w:hAnsi="ITC Avant Garde"/>
          <w:i/>
          <w:iCs/>
          <w:lang w:val="es-ES"/>
        </w:rPr>
        <w:t>AEP</w:t>
      </w:r>
      <w:r w:rsidR="30A8EE1C" w:rsidRPr="4B922FC5">
        <w:rPr>
          <w:rFonts w:ascii="ITC Avant Garde" w:hAnsi="ITC Avant Garde"/>
          <w:i/>
          <w:iCs/>
          <w:lang w:val="es-ES"/>
        </w:rPr>
        <w:t>”</w:t>
      </w:r>
      <w:r w:rsidR="34C84543" w:rsidRPr="4B922FC5">
        <w:rPr>
          <w:rFonts w:ascii="ITC Avant Garde" w:hAnsi="ITC Avant Garde"/>
          <w:i/>
          <w:iCs/>
          <w:lang w:val="es-ES"/>
        </w:rPr>
        <w:t>)</w:t>
      </w:r>
    </w:p>
    <w:p w14:paraId="7A7885DA" w14:textId="77777777" w:rsidR="0080349A" w:rsidRDefault="0080349A" w:rsidP="0080349A">
      <w:pPr>
        <w:spacing w:after="0" w:line="276" w:lineRule="auto"/>
        <w:ind w:left="0" w:right="0" w:firstLine="0"/>
        <w:rPr>
          <w:rFonts w:ascii="ITC Avant Garde" w:hAnsi="ITC Avant Garde"/>
          <w:lang w:val="es-ES"/>
        </w:rPr>
      </w:pPr>
    </w:p>
    <w:p w14:paraId="64F90824" w14:textId="453A72F9" w:rsidR="0080349A" w:rsidRDefault="005075FE" w:rsidP="0080349A">
      <w:pPr>
        <w:spacing w:after="0" w:line="276" w:lineRule="auto"/>
        <w:ind w:left="0" w:right="0" w:firstLine="0"/>
        <w:rPr>
          <w:rFonts w:ascii="ITC Avant Garde" w:hAnsi="ITC Avant Garde"/>
          <w:lang w:val="es-ES"/>
        </w:rPr>
      </w:pPr>
      <w:r>
        <w:rPr>
          <w:rFonts w:ascii="ITC Avant Garde" w:hAnsi="ITC Avant Garde"/>
          <w:lang w:val="es-ES"/>
        </w:rPr>
        <w:t>Mega Cable</w:t>
      </w:r>
    </w:p>
    <w:p w14:paraId="58235B95" w14:textId="77777777" w:rsidR="00C3485A" w:rsidRDefault="00C3485A" w:rsidP="0080349A">
      <w:pPr>
        <w:spacing w:after="0" w:line="276" w:lineRule="auto"/>
        <w:ind w:left="0" w:right="0" w:firstLine="0"/>
        <w:rPr>
          <w:rFonts w:ascii="ITC Avant Garde" w:hAnsi="ITC Avant Garde"/>
          <w:lang w:val="es-ES"/>
        </w:rPr>
      </w:pPr>
    </w:p>
    <w:p w14:paraId="395A4402" w14:textId="673C8522" w:rsidR="00541685" w:rsidRPr="00541685" w:rsidRDefault="0080349A" w:rsidP="0080349A">
      <w:pPr>
        <w:spacing w:after="0" w:line="276" w:lineRule="auto"/>
        <w:ind w:left="0" w:right="0" w:firstLine="0"/>
        <w:rPr>
          <w:rFonts w:ascii="ITC Avant Garde" w:hAnsi="ITC Avant Garde"/>
          <w:lang w:val="es-ES"/>
        </w:rPr>
      </w:pPr>
      <w:r>
        <w:rPr>
          <w:rFonts w:ascii="ITC Avant Garde" w:hAnsi="ITC Avant Garde"/>
          <w:lang w:val="es-ES"/>
        </w:rPr>
        <w:lastRenderedPageBreak/>
        <w:t>D</w:t>
      </w:r>
      <w:r w:rsidR="00541685" w:rsidRPr="00541685">
        <w:rPr>
          <w:rFonts w:ascii="ITC Avant Garde" w:hAnsi="ITC Avant Garde"/>
          <w:lang w:val="es-ES"/>
        </w:rPr>
        <w:t>el análisis de la documentación y los distintos módulos asociados a los modelos de costos no se desprende que se haya realizado un análisis sobre la provisión de servicios entre partes relacionadas del AEP (en concreto, con Red Nacional Última Milla) y las implicaciones que ello pueda tener para los modelos fijo y móvil del AEP.</w:t>
      </w:r>
    </w:p>
    <w:p w14:paraId="17480647" w14:textId="41259E25" w:rsidR="0080349A" w:rsidRDefault="0080349A" w:rsidP="0080349A">
      <w:pPr>
        <w:spacing w:after="0" w:line="276" w:lineRule="auto"/>
        <w:ind w:left="0" w:right="0" w:firstLine="0"/>
        <w:rPr>
          <w:rFonts w:ascii="ITC Avant Garde" w:hAnsi="ITC Avant Garde"/>
          <w:lang w:val="es-ES"/>
        </w:rPr>
      </w:pPr>
    </w:p>
    <w:p w14:paraId="444C2D89" w14:textId="3BF39ACE" w:rsidR="0080349A" w:rsidRDefault="0080349A"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46DDC144" w14:textId="77777777" w:rsidR="0080349A" w:rsidRDefault="0080349A" w:rsidP="0080349A">
      <w:pPr>
        <w:spacing w:after="0" w:line="276" w:lineRule="auto"/>
        <w:ind w:left="0" w:right="0" w:firstLine="0"/>
        <w:rPr>
          <w:rFonts w:ascii="ITC Avant Garde" w:hAnsi="ITC Avant Garde"/>
          <w:lang w:val="es-ES"/>
        </w:rPr>
      </w:pPr>
    </w:p>
    <w:p w14:paraId="4E6476D1" w14:textId="38CC1F29" w:rsidR="0080349A"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Al respecto, cabe señalar que se ha realizado un análisis de la demanda del AEP que tiene en cuenta la provisión de servicios entre empresas del AEP. El módulo de mercado excluye el tráfico y las líneas de banda ancha comercializadas en favor de otras empresas del AEP (esto es, líneas vendidas por Red Nacional Última Milla a Telmex), ya que las mismas se consideran como parte de las líneas minoristas comercializadas por el AEP modelado.</w:t>
      </w:r>
    </w:p>
    <w:p w14:paraId="09D4287D" w14:textId="77777777" w:rsidR="0080349A" w:rsidRPr="00541685" w:rsidRDefault="0080349A" w:rsidP="0080349A">
      <w:pPr>
        <w:spacing w:after="0" w:line="276" w:lineRule="auto"/>
        <w:ind w:left="0" w:right="0" w:firstLine="0"/>
        <w:rPr>
          <w:rFonts w:ascii="ITC Avant Garde" w:hAnsi="ITC Avant Garde"/>
          <w:lang w:val="es-ES"/>
        </w:rPr>
      </w:pPr>
    </w:p>
    <w:p w14:paraId="48F7517D" w14:textId="2B21E68E"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Asimismo, también se realizó un análisis similar con las líneas minoristas de enlaces dedicados locales comercializados por Telmex, a fin de asegurar la representatividad de los volúmenes incluidos en el modelo de costos.</w:t>
      </w:r>
    </w:p>
    <w:p w14:paraId="4E969054" w14:textId="77777777" w:rsidR="0080349A" w:rsidRPr="00541685" w:rsidRDefault="0080349A" w:rsidP="0080349A">
      <w:pPr>
        <w:spacing w:after="0" w:line="276" w:lineRule="auto"/>
        <w:ind w:left="0" w:right="0" w:firstLine="0"/>
        <w:rPr>
          <w:rFonts w:ascii="ITC Avant Garde" w:hAnsi="ITC Avant Garde"/>
          <w:lang w:val="es-ES"/>
        </w:rPr>
      </w:pPr>
    </w:p>
    <w:p w14:paraId="52FDFDE7" w14:textId="77777777" w:rsidR="00541685" w:rsidRPr="00614D11" w:rsidRDefault="00541685" w:rsidP="0080349A">
      <w:pPr>
        <w:spacing w:after="0" w:line="276" w:lineRule="auto"/>
        <w:ind w:left="0" w:right="0" w:firstLine="0"/>
        <w:rPr>
          <w:rFonts w:ascii="ITC Avant Garde" w:hAnsi="ITC Avant Garde"/>
          <w:i/>
          <w:lang w:val="es-ES"/>
        </w:rPr>
      </w:pPr>
      <w:r w:rsidRPr="00614D11">
        <w:rPr>
          <w:rFonts w:ascii="ITC Avant Garde" w:hAnsi="ITC Avant Garde"/>
          <w:i/>
          <w:lang w:val="es-ES"/>
        </w:rPr>
        <w:t>Uso de la metodología scorched earth</w:t>
      </w:r>
    </w:p>
    <w:p w14:paraId="08D519D6" w14:textId="77777777" w:rsidR="0080349A" w:rsidRDefault="0080349A" w:rsidP="0080349A">
      <w:pPr>
        <w:spacing w:after="0" w:line="276" w:lineRule="auto"/>
        <w:ind w:left="0" w:right="0" w:firstLine="0"/>
        <w:rPr>
          <w:rFonts w:ascii="ITC Avant Garde" w:hAnsi="ITC Avant Garde"/>
          <w:lang w:val="es-ES"/>
        </w:rPr>
      </w:pPr>
    </w:p>
    <w:p w14:paraId="432652C1" w14:textId="4A8EEDA9" w:rsidR="00614D11" w:rsidRDefault="005075FE" w:rsidP="0080349A">
      <w:pPr>
        <w:spacing w:after="0" w:line="276" w:lineRule="auto"/>
        <w:ind w:left="0" w:right="0" w:firstLine="0"/>
        <w:rPr>
          <w:rFonts w:ascii="ITC Avant Garde" w:hAnsi="ITC Avant Garde"/>
          <w:lang w:val="es-ES"/>
        </w:rPr>
      </w:pPr>
      <w:r>
        <w:rPr>
          <w:rFonts w:ascii="ITC Avant Garde" w:hAnsi="ITC Avant Garde"/>
          <w:lang w:val="es-ES"/>
        </w:rPr>
        <w:t>Mega Cable</w:t>
      </w:r>
    </w:p>
    <w:p w14:paraId="5E92916E" w14:textId="77777777" w:rsidR="00614D11" w:rsidRDefault="00614D11" w:rsidP="0080349A">
      <w:pPr>
        <w:spacing w:after="0" w:line="276" w:lineRule="auto"/>
        <w:ind w:left="0" w:right="0" w:firstLine="0"/>
        <w:rPr>
          <w:rFonts w:ascii="ITC Avant Garde" w:hAnsi="ITC Avant Garde"/>
          <w:lang w:val="es-ES"/>
        </w:rPr>
      </w:pPr>
    </w:p>
    <w:p w14:paraId="75026A6B" w14:textId="4FD1ED9B" w:rsidR="00541685" w:rsidRDefault="00614D11" w:rsidP="0080349A">
      <w:pPr>
        <w:spacing w:after="0" w:line="276" w:lineRule="auto"/>
        <w:ind w:left="0" w:right="0" w:firstLine="0"/>
        <w:rPr>
          <w:rFonts w:ascii="ITC Avant Garde" w:hAnsi="ITC Avant Garde"/>
          <w:lang w:val="es-ES"/>
        </w:rPr>
      </w:pPr>
      <w:r>
        <w:rPr>
          <w:rFonts w:ascii="ITC Avant Garde" w:hAnsi="ITC Avant Garde"/>
          <w:lang w:val="es-ES"/>
        </w:rPr>
        <w:t>E</w:t>
      </w:r>
      <w:r w:rsidR="00541685" w:rsidRPr="00541685">
        <w:rPr>
          <w:rFonts w:ascii="ITC Avant Garde" w:hAnsi="ITC Avant Garde"/>
          <w:lang w:val="es-ES"/>
        </w:rPr>
        <w:t xml:space="preserve">n los modelos de costos para el periodo regulatorio 2024–26 se utiliza el enfoque de </w:t>
      </w:r>
      <w:r>
        <w:rPr>
          <w:rFonts w:ascii="ITC Avant Garde" w:hAnsi="ITC Avant Garde"/>
          <w:lang w:val="es-ES"/>
        </w:rPr>
        <w:t>“</w:t>
      </w:r>
      <w:r w:rsidR="00541685" w:rsidRPr="00541685">
        <w:rPr>
          <w:rFonts w:ascii="ITC Avant Garde" w:hAnsi="ITC Avant Garde"/>
          <w:lang w:val="es-ES"/>
        </w:rPr>
        <w:t>scorched earth calibrado</w:t>
      </w:r>
      <w:r>
        <w:rPr>
          <w:rFonts w:ascii="ITC Avant Garde" w:hAnsi="ITC Avant Garde"/>
          <w:lang w:val="es-ES"/>
        </w:rPr>
        <w:t>”</w:t>
      </w:r>
      <w:r w:rsidR="00541685" w:rsidRPr="00541685">
        <w:rPr>
          <w:rFonts w:ascii="ITC Avant Garde" w:hAnsi="ITC Avant Garde"/>
          <w:lang w:val="es-ES"/>
        </w:rPr>
        <w:t xml:space="preserve"> para modelar las redes fijas y móviles, que es el mismo enfoque utilizado en modelos anteriores. Sin embargo, el </w:t>
      </w:r>
      <w:r>
        <w:rPr>
          <w:rFonts w:ascii="ITC Avant Garde" w:hAnsi="ITC Avant Garde"/>
          <w:lang w:val="es-ES"/>
        </w:rPr>
        <w:t>concesionario</w:t>
      </w:r>
      <w:r w:rsidR="00541685" w:rsidRPr="00541685">
        <w:rPr>
          <w:rFonts w:ascii="ITC Avant Garde" w:hAnsi="ITC Avant Garde"/>
          <w:lang w:val="es-ES"/>
        </w:rPr>
        <w:t xml:space="preserve"> plantea que nun</w:t>
      </w:r>
      <w:r w:rsidR="00C3485A">
        <w:rPr>
          <w:rFonts w:ascii="ITC Avant Garde" w:hAnsi="ITC Avant Garde"/>
          <w:lang w:val="es-ES"/>
        </w:rPr>
        <w:t>ca</w:t>
      </w:r>
      <w:r w:rsidR="008A4535">
        <w:rPr>
          <w:rFonts w:ascii="ITC Avant Garde" w:hAnsi="ITC Avant Garde"/>
          <w:lang w:val="es-ES"/>
        </w:rPr>
        <w:t xml:space="preserve"> </w:t>
      </w:r>
      <w:r w:rsidR="00541685" w:rsidRPr="00541685">
        <w:rPr>
          <w:rFonts w:ascii="ITC Avant Garde" w:hAnsi="ITC Avant Garde"/>
          <w:lang w:val="es-ES"/>
        </w:rPr>
        <w:t xml:space="preserve">ha habido claridad ni transparencia en la forma en que se ha realizado la </w:t>
      </w:r>
      <w:r w:rsidR="00FD4706">
        <w:rPr>
          <w:rFonts w:ascii="ITC Avant Garde" w:hAnsi="ITC Avant Garde"/>
          <w:lang w:val="es-ES"/>
        </w:rPr>
        <w:t>“</w:t>
      </w:r>
      <w:r w:rsidR="00541685" w:rsidRPr="00541685">
        <w:rPr>
          <w:rFonts w:ascii="ITC Avant Garde" w:hAnsi="ITC Avant Garde"/>
          <w:lang w:val="es-ES"/>
        </w:rPr>
        <w:t>calibración</w:t>
      </w:r>
      <w:r w:rsidR="00FD4706">
        <w:rPr>
          <w:rFonts w:ascii="ITC Avant Garde" w:hAnsi="ITC Avant Garde"/>
          <w:lang w:val="es-ES"/>
        </w:rPr>
        <w:t>”</w:t>
      </w:r>
      <w:r w:rsidR="00541685" w:rsidRPr="00541685">
        <w:rPr>
          <w:rFonts w:ascii="ITC Avant Garde" w:hAnsi="ITC Avant Garde"/>
          <w:lang w:val="es-ES"/>
        </w:rPr>
        <w:t xml:space="preserve"> de las redes bajo este enfoque, y que no se ha proporcionado información clara sobre qué datos se han utilizado para dicha calibración y de qué </w:t>
      </w:r>
      <w:r w:rsidR="00FD4706">
        <w:rPr>
          <w:rFonts w:ascii="ITC Avant Garde" w:hAnsi="ITC Avant Garde"/>
          <w:lang w:val="es-ES"/>
        </w:rPr>
        <w:t>concesionarios</w:t>
      </w:r>
      <w:r w:rsidR="00541685" w:rsidRPr="00541685">
        <w:rPr>
          <w:rFonts w:ascii="ITC Avant Garde" w:hAnsi="ITC Avant Garde"/>
          <w:lang w:val="es-ES"/>
        </w:rPr>
        <w:t xml:space="preserve">, y cómo se ha modificado el diseño original de las redes. El </w:t>
      </w:r>
      <w:r w:rsidR="00FD4706">
        <w:rPr>
          <w:rFonts w:ascii="ITC Avant Garde" w:hAnsi="ITC Avant Garde"/>
          <w:lang w:val="es-ES"/>
        </w:rPr>
        <w:t>concesionario</w:t>
      </w:r>
      <w:r w:rsidR="00541685" w:rsidRPr="00541685">
        <w:rPr>
          <w:rFonts w:ascii="ITC Avant Garde" w:hAnsi="ITC Avant Garde"/>
          <w:lang w:val="es-ES"/>
        </w:rPr>
        <w:t xml:space="preserve"> solicita que en los modelos de costos sometidos a consulta se brinde mayor transparencia y claridad en este aspecto.</w:t>
      </w:r>
    </w:p>
    <w:p w14:paraId="41D0EBFD" w14:textId="279808E2" w:rsidR="00FD4706" w:rsidRDefault="00FD4706" w:rsidP="0080349A">
      <w:pPr>
        <w:spacing w:after="0" w:line="276" w:lineRule="auto"/>
        <w:ind w:left="0" w:right="0" w:firstLine="0"/>
        <w:rPr>
          <w:rFonts w:ascii="ITC Avant Garde" w:hAnsi="ITC Avant Garde"/>
          <w:lang w:val="es-ES"/>
        </w:rPr>
      </w:pPr>
    </w:p>
    <w:p w14:paraId="33639736" w14:textId="5AD57627" w:rsidR="00FD4706" w:rsidRDefault="00FD4706" w:rsidP="00FD4706">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427BEF4C" w14:textId="77777777" w:rsidR="00FD4706" w:rsidRPr="00541685" w:rsidRDefault="00FD4706" w:rsidP="0080349A">
      <w:pPr>
        <w:spacing w:after="0" w:line="276" w:lineRule="auto"/>
        <w:ind w:left="0" w:right="0" w:firstLine="0"/>
        <w:rPr>
          <w:rFonts w:ascii="ITC Avant Garde" w:hAnsi="ITC Avant Garde"/>
          <w:lang w:val="es-ES"/>
        </w:rPr>
      </w:pPr>
    </w:p>
    <w:p w14:paraId="78B99376" w14:textId="342FA7B5" w:rsidR="00541685" w:rsidRDefault="00325634" w:rsidP="0080349A">
      <w:pPr>
        <w:spacing w:after="0" w:line="276" w:lineRule="auto"/>
        <w:ind w:left="0" w:right="0" w:firstLine="0"/>
        <w:rPr>
          <w:rFonts w:ascii="ITC Avant Garde" w:hAnsi="ITC Avant Garde"/>
          <w:lang w:val="es-ES"/>
        </w:rPr>
      </w:pPr>
      <w:r w:rsidRPr="4B922FC5">
        <w:rPr>
          <w:rFonts w:ascii="ITC Avant Garde" w:hAnsi="ITC Avant Garde"/>
          <w:lang w:val="es-ES"/>
        </w:rPr>
        <w:t>Se s</w:t>
      </w:r>
      <w:r w:rsidR="00541685" w:rsidRPr="4B922FC5">
        <w:rPr>
          <w:rFonts w:ascii="ITC Avant Garde" w:hAnsi="ITC Avant Garde"/>
          <w:lang w:val="es-ES"/>
        </w:rPr>
        <w:t xml:space="preserve">ubraya que el propósito fundamental del proceso de calibración que entraña el enfoque scorched earth es garantizar que los resultados del modelo no se desvíen de manera sustancial de las cifras reales de los concesionarios. Para realizar dicha calibración se emplean los datos proporcionados por los </w:t>
      </w:r>
      <w:r w:rsidR="00FD4706" w:rsidRPr="4B922FC5">
        <w:rPr>
          <w:rFonts w:ascii="ITC Avant Garde" w:hAnsi="ITC Avant Garde"/>
          <w:lang w:val="es-ES"/>
        </w:rPr>
        <w:t>concesionarios</w:t>
      </w:r>
      <w:r w:rsidR="00541685" w:rsidRPr="4B922FC5">
        <w:rPr>
          <w:rFonts w:ascii="ITC Avant Garde" w:hAnsi="ITC Avant Garde"/>
          <w:lang w:val="es-ES"/>
        </w:rPr>
        <w:t xml:space="preserve"> en respuesta al requerimiento de información, </w:t>
      </w:r>
      <w:r w:rsidR="00C3485A" w:rsidRPr="4B922FC5">
        <w:rPr>
          <w:rFonts w:ascii="ITC Avant Garde" w:hAnsi="ITC Avant Garde"/>
          <w:lang w:val="es-ES"/>
        </w:rPr>
        <w:t>así</w:t>
      </w:r>
      <w:r w:rsidR="00541685" w:rsidRPr="4B922FC5">
        <w:rPr>
          <w:rFonts w:ascii="ITC Avant Garde" w:hAnsi="ITC Avant Garde"/>
          <w:lang w:val="es-ES"/>
        </w:rPr>
        <w:t xml:space="preserve"> como otra información que obra en disposición del </w:t>
      </w:r>
      <w:r w:rsidR="647786AF" w:rsidRPr="4B922FC5">
        <w:rPr>
          <w:rFonts w:ascii="ITC Avant Garde" w:hAnsi="ITC Avant Garde"/>
          <w:lang w:val="es-ES"/>
        </w:rPr>
        <w:t>I</w:t>
      </w:r>
      <w:r w:rsidR="1470F8E7" w:rsidRPr="4B922FC5">
        <w:rPr>
          <w:rFonts w:ascii="ITC Avant Garde" w:hAnsi="ITC Avant Garde"/>
          <w:lang w:val="es-ES"/>
        </w:rPr>
        <w:t>nstituto</w:t>
      </w:r>
      <w:r w:rsidR="0AF39D56" w:rsidRPr="4B922FC5">
        <w:rPr>
          <w:rFonts w:ascii="ITC Avant Garde" w:hAnsi="ITC Avant Garde"/>
          <w:lang w:val="es-ES"/>
        </w:rPr>
        <w:t xml:space="preserve"> </w:t>
      </w:r>
      <w:r w:rsidR="00541685" w:rsidRPr="4B922FC5">
        <w:rPr>
          <w:rFonts w:ascii="ITC Avant Garde" w:hAnsi="ITC Avant Garde"/>
          <w:lang w:val="es-ES"/>
        </w:rPr>
        <w:t xml:space="preserve">(por ejemplo, la separación contable del AEP). Algunos aspectos que han formado parte del proceso de calibración incluyen los </w:t>
      </w:r>
      <w:r w:rsidR="00541685" w:rsidRPr="4B922FC5">
        <w:rPr>
          <w:rFonts w:ascii="ITC Avant Garde" w:hAnsi="ITC Avant Garde"/>
          <w:lang w:val="es-ES"/>
        </w:rPr>
        <w:lastRenderedPageBreak/>
        <w:t xml:space="preserve">volúmenes de emplazamientos fijos y móviles y las bases de costos de los </w:t>
      </w:r>
      <w:r w:rsidR="00A12569" w:rsidRPr="4B922FC5">
        <w:rPr>
          <w:rFonts w:ascii="ITC Avant Garde" w:hAnsi="ITC Avant Garde"/>
          <w:lang w:val="es-ES"/>
        </w:rPr>
        <w:t>concesionarios</w:t>
      </w:r>
      <w:r w:rsidR="00541685" w:rsidRPr="4B922FC5">
        <w:rPr>
          <w:rFonts w:ascii="ITC Avant Garde" w:hAnsi="ITC Avant Garde"/>
          <w:lang w:val="es-ES"/>
        </w:rPr>
        <w:t>.</w:t>
      </w:r>
    </w:p>
    <w:p w14:paraId="4FB6A580" w14:textId="77777777" w:rsidR="00FD4706" w:rsidRPr="00541685" w:rsidRDefault="00FD4706" w:rsidP="0080349A">
      <w:pPr>
        <w:spacing w:after="0" w:line="276" w:lineRule="auto"/>
        <w:ind w:left="0" w:right="0" w:firstLine="0"/>
        <w:rPr>
          <w:rFonts w:ascii="ITC Avant Garde" w:hAnsi="ITC Avant Garde"/>
          <w:lang w:val="es-ES"/>
        </w:rPr>
      </w:pPr>
    </w:p>
    <w:p w14:paraId="025B1B2B" w14:textId="1956B1C6"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No obstante, cabe aclarar que este proceso de calibración representa una simple comprobación de los resultados del modelo, con el objetivo de identificar posibles desviaciones que puedan ser corregidas a través de un mejor entendimiento y alinea</w:t>
      </w:r>
      <w:r w:rsidR="00A12569">
        <w:rPr>
          <w:rFonts w:ascii="ITC Avant Garde" w:hAnsi="ITC Avant Garde"/>
          <w:lang w:val="es-ES"/>
        </w:rPr>
        <w:t xml:space="preserve">ción </w:t>
      </w:r>
      <w:r w:rsidRPr="00541685">
        <w:rPr>
          <w:rFonts w:ascii="ITC Avant Garde" w:hAnsi="ITC Avant Garde"/>
          <w:lang w:val="es-ES"/>
        </w:rPr>
        <w:t>de los insumos que alimentan al modelo y los algoritmos definidos en el mismo a la realidad del mercado mexicano.</w:t>
      </w:r>
    </w:p>
    <w:p w14:paraId="2DEEC6EE" w14:textId="77777777" w:rsidR="00A12569" w:rsidRPr="00541685" w:rsidRDefault="00A12569" w:rsidP="0080349A">
      <w:pPr>
        <w:spacing w:after="0" w:line="276" w:lineRule="auto"/>
        <w:ind w:left="0" w:right="0" w:firstLine="0"/>
        <w:rPr>
          <w:rFonts w:ascii="ITC Avant Garde" w:hAnsi="ITC Avant Garde"/>
          <w:lang w:val="es-ES"/>
        </w:rPr>
      </w:pPr>
    </w:p>
    <w:p w14:paraId="7C2DF97D" w14:textId="3C5275AC" w:rsidR="00541685" w:rsidRPr="00A12569" w:rsidRDefault="00541685" w:rsidP="0080349A">
      <w:pPr>
        <w:spacing w:after="0" w:line="276" w:lineRule="auto"/>
        <w:ind w:left="0" w:right="0" w:firstLine="0"/>
        <w:rPr>
          <w:rFonts w:ascii="ITC Avant Garde" w:hAnsi="ITC Avant Garde"/>
          <w:i/>
          <w:lang w:val="es-ES"/>
        </w:rPr>
      </w:pPr>
      <w:r w:rsidRPr="00A12569">
        <w:rPr>
          <w:rFonts w:ascii="ITC Avant Garde" w:hAnsi="ITC Avant Garde"/>
          <w:i/>
          <w:lang w:val="es-ES"/>
        </w:rPr>
        <w:t>Actualización de la metodología de modelado</w:t>
      </w:r>
    </w:p>
    <w:p w14:paraId="6D6588B7" w14:textId="77777777" w:rsidR="00A12569" w:rsidRDefault="00A12569" w:rsidP="0080349A">
      <w:pPr>
        <w:spacing w:after="0" w:line="276" w:lineRule="auto"/>
        <w:ind w:left="0" w:right="0" w:firstLine="0"/>
        <w:rPr>
          <w:rFonts w:ascii="ITC Avant Garde" w:hAnsi="ITC Avant Garde"/>
          <w:lang w:val="es-ES"/>
        </w:rPr>
      </w:pPr>
    </w:p>
    <w:p w14:paraId="2BF2AD9D" w14:textId="04FB7BA9" w:rsidR="00A12569" w:rsidRDefault="005075FE" w:rsidP="0080349A">
      <w:pPr>
        <w:spacing w:after="0" w:line="276" w:lineRule="auto"/>
        <w:ind w:left="0" w:right="0" w:firstLine="0"/>
        <w:rPr>
          <w:rFonts w:ascii="ITC Avant Garde" w:hAnsi="ITC Avant Garde"/>
          <w:lang w:val="es-ES"/>
        </w:rPr>
      </w:pPr>
      <w:r>
        <w:rPr>
          <w:rFonts w:ascii="ITC Avant Garde" w:hAnsi="ITC Avant Garde"/>
          <w:lang w:val="es-ES"/>
        </w:rPr>
        <w:t>Mega Cable</w:t>
      </w:r>
    </w:p>
    <w:p w14:paraId="1ACB84DA" w14:textId="77777777" w:rsidR="00A12569" w:rsidRDefault="00A12569" w:rsidP="0080349A">
      <w:pPr>
        <w:spacing w:after="0" w:line="276" w:lineRule="auto"/>
        <w:ind w:left="0" w:right="0" w:firstLine="0"/>
        <w:rPr>
          <w:rFonts w:ascii="ITC Avant Garde" w:hAnsi="ITC Avant Garde"/>
          <w:lang w:val="es-ES"/>
        </w:rPr>
      </w:pPr>
    </w:p>
    <w:p w14:paraId="0AC92B73" w14:textId="31780120" w:rsidR="00541685" w:rsidRDefault="00A12569" w:rsidP="0080349A">
      <w:pPr>
        <w:spacing w:after="0" w:line="276" w:lineRule="auto"/>
        <w:ind w:left="0" w:right="0" w:firstLine="0"/>
        <w:rPr>
          <w:rFonts w:ascii="ITC Avant Garde" w:hAnsi="ITC Avant Garde"/>
          <w:lang w:val="es-ES"/>
        </w:rPr>
      </w:pPr>
      <w:r>
        <w:rPr>
          <w:rFonts w:ascii="ITC Avant Garde" w:hAnsi="ITC Avant Garde"/>
          <w:lang w:val="es-ES"/>
        </w:rPr>
        <w:t>L</w:t>
      </w:r>
      <w:r w:rsidR="00541685" w:rsidRPr="00541685">
        <w:rPr>
          <w:rFonts w:ascii="ITC Avant Garde" w:hAnsi="ITC Avant Garde"/>
          <w:lang w:val="es-ES"/>
        </w:rPr>
        <w:t xml:space="preserve">os modelos de costos sujetos a consulta son muy similares a los modelos anteriores, y solo incluyen cambios incrementales en algunos aspectos, como la vinculación de los </w:t>
      </w:r>
      <w:r>
        <w:rPr>
          <w:rFonts w:ascii="ITC Avant Garde" w:hAnsi="ITC Avant Garde"/>
          <w:lang w:val="es-ES"/>
        </w:rPr>
        <w:t>“</w:t>
      </w:r>
      <w:r w:rsidR="00541685" w:rsidRPr="00541685">
        <w:rPr>
          <w:rFonts w:ascii="ITC Avant Garde" w:hAnsi="ITC Avant Garde"/>
          <w:lang w:val="es-ES"/>
        </w:rPr>
        <w:t>módulos</w:t>
      </w:r>
      <w:r>
        <w:rPr>
          <w:rFonts w:ascii="ITC Avant Garde" w:hAnsi="ITC Avant Garde"/>
          <w:lang w:val="es-ES"/>
        </w:rPr>
        <w:t>”</w:t>
      </w:r>
      <w:r w:rsidR="00541685" w:rsidRPr="00541685">
        <w:rPr>
          <w:rFonts w:ascii="ITC Avant Garde" w:hAnsi="ITC Avant Garde"/>
          <w:lang w:val="es-ES"/>
        </w:rPr>
        <w:t xml:space="preserve"> para cada servicio y la inclusión cautelosa de algunos cambios tecnológicos. Sin embargo, el </w:t>
      </w:r>
      <w:r>
        <w:rPr>
          <w:rFonts w:ascii="ITC Avant Garde" w:hAnsi="ITC Avant Garde"/>
          <w:lang w:val="es-ES"/>
        </w:rPr>
        <w:t>concesionario</w:t>
      </w:r>
      <w:r w:rsidR="00541685" w:rsidRPr="00541685">
        <w:rPr>
          <w:rFonts w:ascii="ITC Avant Garde" w:hAnsi="ITC Avant Garde"/>
          <w:lang w:val="es-ES"/>
        </w:rPr>
        <w:t xml:space="preserve"> considera que los cambios drásticos que ha experimentado el sector de las telecomunicaciones mexicano en la última década demandan una revisión y actualización integral de los modelos de costos. No obstante, el </w:t>
      </w:r>
      <w:r>
        <w:rPr>
          <w:rFonts w:ascii="ITC Avant Garde" w:hAnsi="ITC Avant Garde"/>
          <w:lang w:val="es-ES"/>
        </w:rPr>
        <w:t>concesionario</w:t>
      </w:r>
      <w:r w:rsidR="00541685" w:rsidRPr="00541685">
        <w:rPr>
          <w:rFonts w:ascii="ITC Avant Garde" w:hAnsi="ITC Avant Garde"/>
          <w:lang w:val="es-ES"/>
        </w:rPr>
        <w:t xml:space="preserve"> no clarifi</w:t>
      </w:r>
      <w:r w:rsidR="00C3485A">
        <w:rPr>
          <w:rFonts w:ascii="ITC Avant Garde" w:hAnsi="ITC Avant Garde"/>
          <w:lang w:val="es-ES"/>
        </w:rPr>
        <w:t>ca</w:t>
      </w:r>
      <w:r w:rsidR="008A4535">
        <w:rPr>
          <w:rFonts w:ascii="ITC Avant Garde" w:hAnsi="ITC Avant Garde"/>
          <w:lang w:val="es-ES"/>
        </w:rPr>
        <w:t xml:space="preserve"> </w:t>
      </w:r>
      <w:r w:rsidR="00541685" w:rsidRPr="00541685">
        <w:rPr>
          <w:rFonts w:ascii="ITC Avant Garde" w:hAnsi="ITC Avant Garde"/>
          <w:lang w:val="es-ES"/>
        </w:rPr>
        <w:t>cuáles son los cambios que no han sido incorporados en los modelos.</w:t>
      </w:r>
    </w:p>
    <w:p w14:paraId="4D4F4740" w14:textId="77777777" w:rsidR="00A12569" w:rsidRPr="00541685" w:rsidRDefault="00A12569" w:rsidP="0080349A">
      <w:pPr>
        <w:spacing w:after="0" w:line="276" w:lineRule="auto"/>
        <w:ind w:left="0" w:right="0" w:firstLine="0"/>
        <w:rPr>
          <w:rFonts w:ascii="ITC Avant Garde" w:hAnsi="ITC Avant Garde"/>
          <w:lang w:val="es-ES"/>
        </w:rPr>
      </w:pPr>
    </w:p>
    <w:p w14:paraId="060ADF0F" w14:textId="77777777" w:rsidR="00A12569"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Telefónica</w:t>
      </w:r>
    </w:p>
    <w:p w14:paraId="4D8578F8" w14:textId="77777777" w:rsidR="00A12569" w:rsidRDefault="00A12569" w:rsidP="0080349A">
      <w:pPr>
        <w:spacing w:after="0" w:line="276" w:lineRule="auto"/>
        <w:ind w:left="0" w:right="0" w:firstLine="0"/>
        <w:rPr>
          <w:rFonts w:ascii="ITC Avant Garde" w:hAnsi="ITC Avant Garde"/>
          <w:lang w:val="es-ES"/>
        </w:rPr>
      </w:pPr>
    </w:p>
    <w:p w14:paraId="629488B5" w14:textId="1D2B76B2" w:rsidR="00541685" w:rsidRDefault="00376355" w:rsidP="0080349A">
      <w:pPr>
        <w:spacing w:after="0" w:line="276" w:lineRule="auto"/>
        <w:ind w:left="0" w:right="0" w:firstLine="0"/>
        <w:rPr>
          <w:rFonts w:ascii="ITC Avant Garde" w:hAnsi="ITC Avant Garde"/>
          <w:lang w:val="es-ES"/>
        </w:rPr>
      </w:pPr>
      <w:r>
        <w:rPr>
          <w:rFonts w:ascii="ITC Avant Garde" w:hAnsi="ITC Avant Garde"/>
          <w:lang w:val="es-ES"/>
        </w:rPr>
        <w:t>Indica</w:t>
      </w:r>
      <w:r w:rsidR="008A4535">
        <w:rPr>
          <w:rFonts w:ascii="ITC Avant Garde" w:hAnsi="ITC Avant Garde"/>
          <w:lang w:val="es-ES"/>
        </w:rPr>
        <w:t xml:space="preserve"> </w:t>
      </w:r>
      <w:r w:rsidR="00541685" w:rsidRPr="00541685">
        <w:rPr>
          <w:rFonts w:ascii="ITC Avant Garde" w:hAnsi="ITC Avant Garde"/>
          <w:lang w:val="es-ES"/>
        </w:rPr>
        <w:t xml:space="preserve">que los nuevos modelos de costos sometidos a consulta </w:t>
      </w:r>
      <w:r w:rsidR="00C3485A">
        <w:rPr>
          <w:rFonts w:ascii="ITC Avant Garde" w:hAnsi="ITC Avant Garde"/>
          <w:lang w:val="es-ES"/>
        </w:rPr>
        <w:t>pública</w:t>
      </w:r>
      <w:r w:rsidR="008A4535">
        <w:rPr>
          <w:rFonts w:ascii="ITC Avant Garde" w:hAnsi="ITC Avant Garde"/>
          <w:lang w:val="es-ES"/>
        </w:rPr>
        <w:t xml:space="preserve"> </w:t>
      </w:r>
      <w:r w:rsidR="00541685" w:rsidRPr="00541685">
        <w:rPr>
          <w:rFonts w:ascii="ITC Avant Garde" w:hAnsi="ITC Avant Garde"/>
          <w:lang w:val="es-ES"/>
        </w:rPr>
        <w:t>se habrían ajustado para resolver los problemas, en términos de estructura, que fueron identificados en su momento.</w:t>
      </w:r>
    </w:p>
    <w:p w14:paraId="63EAE91F" w14:textId="45FE3170" w:rsidR="00A12569" w:rsidRDefault="00A12569" w:rsidP="0080349A">
      <w:pPr>
        <w:spacing w:after="0" w:line="276" w:lineRule="auto"/>
        <w:ind w:left="0" w:right="0" w:firstLine="0"/>
        <w:rPr>
          <w:rFonts w:ascii="ITC Avant Garde" w:hAnsi="ITC Avant Garde"/>
          <w:lang w:val="es-ES"/>
        </w:rPr>
      </w:pPr>
    </w:p>
    <w:p w14:paraId="43BB7419" w14:textId="5EE19A05" w:rsidR="00A12569" w:rsidRDefault="00A12569"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04D60434" w14:textId="77777777" w:rsidR="00A12569" w:rsidRPr="00541685" w:rsidRDefault="00A12569" w:rsidP="0080349A">
      <w:pPr>
        <w:spacing w:after="0" w:line="276" w:lineRule="auto"/>
        <w:ind w:left="0" w:right="0" w:firstLine="0"/>
        <w:rPr>
          <w:rFonts w:ascii="ITC Avant Garde" w:hAnsi="ITC Avant Garde"/>
          <w:lang w:val="es-ES"/>
        </w:rPr>
      </w:pPr>
    </w:p>
    <w:p w14:paraId="0440D992" w14:textId="44544613" w:rsidR="54E74FCA" w:rsidRDefault="54E74FCA" w:rsidP="4B922FC5">
      <w:pPr>
        <w:spacing w:after="0" w:line="276" w:lineRule="auto"/>
        <w:ind w:left="0" w:right="0" w:firstLine="0"/>
        <w:rPr>
          <w:rFonts w:ascii="ITC Avant Garde" w:eastAsia="ITC Avant Garde" w:hAnsi="ITC Avant Garde" w:cs="ITC Avant Garde"/>
          <w:lang w:val="es-ES"/>
        </w:rPr>
      </w:pPr>
      <w:r w:rsidRPr="4B922FC5">
        <w:rPr>
          <w:rFonts w:ascii="ITC Avant Garde" w:hAnsi="ITC Avant Garde"/>
          <w:lang w:val="es-ES"/>
        </w:rPr>
        <w:t>Como parte de la</w:t>
      </w:r>
      <w:r w:rsidR="51D37D47" w:rsidRPr="4B922FC5">
        <w:rPr>
          <w:rFonts w:ascii="ITC Avant Garde" w:hAnsi="ITC Avant Garde"/>
          <w:lang w:val="es-ES"/>
        </w:rPr>
        <w:t xml:space="preserve"> actividad regulatoria del Instituto, se </w:t>
      </w:r>
      <w:r w:rsidR="6D0D6F16" w:rsidRPr="4B922FC5">
        <w:rPr>
          <w:rFonts w:ascii="ITC Avant Garde" w:hAnsi="ITC Avant Garde"/>
          <w:lang w:val="es-ES"/>
        </w:rPr>
        <w:t xml:space="preserve">lleva a cabo </w:t>
      </w:r>
      <w:r w:rsidR="001537FF">
        <w:rPr>
          <w:rFonts w:ascii="ITC Avant Garde" w:hAnsi="ITC Avant Garde"/>
          <w:lang w:val="es-ES"/>
        </w:rPr>
        <w:t>el desarr</w:t>
      </w:r>
      <w:r w:rsidR="00E65393">
        <w:rPr>
          <w:rFonts w:ascii="ITC Avant Garde" w:hAnsi="ITC Avant Garde"/>
          <w:lang w:val="es-ES"/>
        </w:rPr>
        <w:t>ollo</w:t>
      </w:r>
      <w:r w:rsidR="6D0D6F16" w:rsidRPr="4B922FC5">
        <w:rPr>
          <w:rFonts w:ascii="ITC Avant Garde" w:hAnsi="ITC Avant Garde"/>
          <w:lang w:val="es-ES"/>
        </w:rPr>
        <w:t xml:space="preserve"> de los modelos de costos para obtener las tarifas de</w:t>
      </w:r>
      <w:r w:rsidR="00E65393">
        <w:rPr>
          <w:rFonts w:ascii="ITC Avant Garde" w:hAnsi="ITC Avant Garde"/>
          <w:lang w:val="es-ES"/>
        </w:rPr>
        <w:t xml:space="preserve"> distintos</w:t>
      </w:r>
      <w:r w:rsidR="6D0D6F16" w:rsidRPr="4B922FC5">
        <w:rPr>
          <w:rFonts w:ascii="ITC Avant Garde" w:hAnsi="ITC Avant Garde"/>
          <w:lang w:val="es-ES"/>
        </w:rPr>
        <w:t xml:space="preserve"> servicios mayoristas regulados</w:t>
      </w:r>
      <w:r w:rsidR="7530378F" w:rsidRPr="4B922FC5">
        <w:rPr>
          <w:rFonts w:ascii="ITC Avant Garde" w:hAnsi="ITC Avant Garde"/>
          <w:lang w:val="es-ES"/>
        </w:rPr>
        <w:t xml:space="preserve">. Así se cumple con el propósito de </w:t>
      </w:r>
      <w:r w:rsidR="48B6B146" w:rsidRPr="4B922FC5">
        <w:rPr>
          <w:rFonts w:ascii="ITC Avant Garde" w:eastAsia="ITC Avant Garde" w:hAnsi="ITC Avant Garde" w:cs="ITC Avant Garde"/>
          <w:lang w:val="es-ES"/>
        </w:rPr>
        <w:t>que los servicios mayoristas se presten de manera eficiente, promoviendo la competencia y el desarrollo de la industria</w:t>
      </w:r>
      <w:r w:rsidR="6D149F74" w:rsidRPr="4B922FC5">
        <w:rPr>
          <w:rFonts w:ascii="ITC Avant Garde" w:eastAsia="ITC Avant Garde" w:hAnsi="ITC Avant Garde" w:cs="ITC Avant Garde"/>
          <w:lang w:val="es-ES"/>
        </w:rPr>
        <w:t xml:space="preserve">. Los modelos de costos que ha desarrollado el Instituto siempre han seguido las mejores prácticas internacionales </w:t>
      </w:r>
      <w:r w:rsidR="00012795" w:rsidRPr="4B922FC5">
        <w:rPr>
          <w:rFonts w:ascii="ITC Avant Garde" w:eastAsia="ITC Avant Garde" w:hAnsi="ITC Avant Garde" w:cs="ITC Avant Garde"/>
          <w:lang w:val="es-ES"/>
        </w:rPr>
        <w:t>y,</w:t>
      </w:r>
      <w:r w:rsidR="6D149F74" w:rsidRPr="4B922FC5">
        <w:rPr>
          <w:rFonts w:ascii="ITC Avant Garde" w:eastAsia="ITC Avant Garde" w:hAnsi="ITC Avant Garde" w:cs="ITC Avant Garde"/>
          <w:lang w:val="es-ES"/>
        </w:rPr>
        <w:t xml:space="preserve"> </w:t>
      </w:r>
      <w:r w:rsidR="534AD1D7" w:rsidRPr="4B922FC5">
        <w:rPr>
          <w:rFonts w:ascii="ITC Avant Garde" w:eastAsia="ITC Avant Garde" w:hAnsi="ITC Avant Garde" w:cs="ITC Avant Garde"/>
          <w:lang w:val="es-ES"/>
        </w:rPr>
        <w:t>en consecuencia, las metodologías que se han seguido han sido siempre las mejores disponibles.</w:t>
      </w:r>
    </w:p>
    <w:p w14:paraId="51716C1F" w14:textId="298A4DC2" w:rsidR="4B922FC5" w:rsidRDefault="4B922FC5" w:rsidP="4B922FC5">
      <w:pPr>
        <w:spacing w:after="0" w:line="276" w:lineRule="auto"/>
        <w:ind w:left="0" w:right="0" w:firstLine="0"/>
        <w:rPr>
          <w:rFonts w:ascii="ITC Avant Garde" w:eastAsia="ITC Avant Garde" w:hAnsi="ITC Avant Garde" w:cs="ITC Avant Garde"/>
          <w:lang w:val="es-ES"/>
        </w:rPr>
      </w:pPr>
    </w:p>
    <w:p w14:paraId="688494C8" w14:textId="33F37DBA" w:rsidR="534AD1D7" w:rsidRDefault="00111DDC" w:rsidP="4B922FC5">
      <w:pPr>
        <w:spacing w:after="0" w:line="276" w:lineRule="auto"/>
        <w:ind w:left="0" w:right="0" w:firstLine="0"/>
        <w:rPr>
          <w:rFonts w:ascii="ITC Avant Garde" w:hAnsi="ITC Avant Garde"/>
          <w:lang w:val="es-ES"/>
        </w:rPr>
      </w:pPr>
      <w:r>
        <w:rPr>
          <w:rFonts w:ascii="ITC Avant Garde" w:eastAsia="ITC Avant Garde" w:hAnsi="ITC Avant Garde" w:cs="ITC Avant Garde"/>
          <w:lang w:val="es-ES"/>
        </w:rPr>
        <w:t xml:space="preserve">El Instituto ha desarrollado distintos modelos de costos </w:t>
      </w:r>
      <w:r w:rsidR="00A80D38">
        <w:rPr>
          <w:rFonts w:ascii="ITC Avant Garde" w:eastAsia="ITC Avant Garde" w:hAnsi="ITC Avant Garde" w:cs="ITC Avant Garde"/>
          <w:lang w:val="es-ES"/>
        </w:rPr>
        <w:t>en la última década, los cuales</w:t>
      </w:r>
      <w:r w:rsidR="00A32001">
        <w:rPr>
          <w:rFonts w:ascii="ITC Avant Garde" w:eastAsia="ITC Avant Garde" w:hAnsi="ITC Avant Garde" w:cs="ITC Avant Garde"/>
          <w:lang w:val="es-ES"/>
        </w:rPr>
        <w:t>,</w:t>
      </w:r>
      <w:r w:rsidR="00A80D38">
        <w:rPr>
          <w:rFonts w:ascii="ITC Avant Garde" w:eastAsia="ITC Avant Garde" w:hAnsi="ITC Avant Garde" w:cs="ITC Avant Garde"/>
          <w:lang w:val="es-ES"/>
        </w:rPr>
        <w:t xml:space="preserve"> aunque se presenten </w:t>
      </w:r>
      <w:r w:rsidR="00A32001">
        <w:rPr>
          <w:rFonts w:ascii="ITC Avant Garde" w:eastAsia="ITC Avant Garde" w:hAnsi="ITC Avant Garde" w:cs="ITC Avant Garde"/>
          <w:lang w:val="es-ES"/>
        </w:rPr>
        <w:t>en un mismo formato, son modelos</w:t>
      </w:r>
      <w:r w:rsidR="0012765C">
        <w:rPr>
          <w:rFonts w:ascii="ITC Avant Garde" w:eastAsia="ITC Avant Garde" w:hAnsi="ITC Avant Garde" w:cs="ITC Avant Garde"/>
          <w:lang w:val="es-ES"/>
        </w:rPr>
        <w:t xml:space="preserve"> distintos</w:t>
      </w:r>
      <w:r w:rsidR="00EC6186">
        <w:rPr>
          <w:rFonts w:ascii="ITC Avant Garde" w:eastAsia="ITC Avant Garde" w:hAnsi="ITC Avant Garde" w:cs="ITC Avant Garde"/>
          <w:lang w:val="es-ES"/>
        </w:rPr>
        <w:t>,</w:t>
      </w:r>
      <w:r w:rsidR="00A32001">
        <w:rPr>
          <w:rFonts w:ascii="ITC Avant Garde" w:eastAsia="ITC Avant Garde" w:hAnsi="ITC Avant Garde" w:cs="ITC Avant Garde"/>
          <w:lang w:val="es-ES"/>
        </w:rPr>
        <w:t xml:space="preserve"> </w:t>
      </w:r>
      <w:r w:rsidR="00120A31">
        <w:rPr>
          <w:rFonts w:ascii="ITC Avant Garde" w:eastAsia="ITC Avant Garde" w:hAnsi="ITC Avant Garde" w:cs="ITC Avant Garde"/>
          <w:lang w:val="es-ES"/>
        </w:rPr>
        <w:t xml:space="preserve">donde en cada periodo regulatorio se han </w:t>
      </w:r>
      <w:r w:rsidR="0012765C">
        <w:rPr>
          <w:rFonts w:ascii="ITC Avant Garde" w:eastAsia="ITC Avant Garde" w:hAnsi="ITC Avant Garde" w:cs="ITC Avant Garde"/>
          <w:lang w:val="es-ES"/>
        </w:rPr>
        <w:t xml:space="preserve">modificado </w:t>
      </w:r>
      <w:r w:rsidR="47D4D5D4" w:rsidRPr="4B922FC5">
        <w:rPr>
          <w:rFonts w:ascii="ITC Avant Garde" w:hAnsi="ITC Avant Garde"/>
          <w:lang w:val="es-ES"/>
        </w:rPr>
        <w:t xml:space="preserve">diversos elementos en el diseño </w:t>
      </w:r>
      <w:r w:rsidR="47D4D5D4" w:rsidRPr="4B922FC5">
        <w:rPr>
          <w:rFonts w:ascii="ITC Avant Garde" w:hAnsi="ITC Avant Garde"/>
          <w:lang w:val="es-ES"/>
        </w:rPr>
        <w:lastRenderedPageBreak/>
        <w:t>específico de los mismos. La consulta pública de mérito consiste en el desarrollo de nuevos modelos de costos, que siguen la metodología ya d</w:t>
      </w:r>
      <w:r w:rsidR="2C8DFB8C" w:rsidRPr="4B922FC5">
        <w:rPr>
          <w:rFonts w:ascii="ITC Avant Garde" w:hAnsi="ITC Avant Garde"/>
          <w:lang w:val="es-ES"/>
        </w:rPr>
        <w:t>efinida por el Instituto.</w:t>
      </w:r>
    </w:p>
    <w:p w14:paraId="478EE87F" w14:textId="532BBE4F" w:rsidR="4B922FC5" w:rsidRDefault="4B922FC5" w:rsidP="4B922FC5">
      <w:pPr>
        <w:spacing w:after="0" w:line="276" w:lineRule="auto"/>
        <w:ind w:left="0" w:right="0" w:firstLine="0"/>
        <w:rPr>
          <w:rFonts w:ascii="ITC Avant Garde" w:hAnsi="ITC Avant Garde"/>
          <w:lang w:val="es-ES"/>
        </w:rPr>
      </w:pPr>
    </w:p>
    <w:p w14:paraId="50B686A0" w14:textId="76D4AC98" w:rsidR="28093D2D" w:rsidRDefault="28093D2D" w:rsidP="4B922FC5">
      <w:pPr>
        <w:spacing w:after="0" w:line="276" w:lineRule="auto"/>
        <w:ind w:left="0" w:right="0" w:firstLine="0"/>
        <w:rPr>
          <w:rFonts w:ascii="ITC Avant Garde" w:hAnsi="ITC Avant Garde"/>
          <w:lang w:val="es-ES"/>
        </w:rPr>
      </w:pPr>
      <w:r w:rsidRPr="4B922FC5">
        <w:rPr>
          <w:rFonts w:ascii="ITC Avant Garde" w:hAnsi="ITC Avant Garde"/>
          <w:lang w:val="es-ES"/>
        </w:rPr>
        <w:t xml:space="preserve">Cabe destacar que </w:t>
      </w:r>
      <w:r w:rsidR="15A15F31" w:rsidRPr="4B922FC5">
        <w:rPr>
          <w:rFonts w:ascii="ITC Avant Garde" w:hAnsi="ITC Avant Garde"/>
          <w:lang w:val="es-ES"/>
        </w:rPr>
        <w:t xml:space="preserve">los modelos de costos nuevos no son comparables con los modelos anteriores, </w:t>
      </w:r>
      <w:r w:rsidR="4657F0CB" w:rsidRPr="4B922FC5">
        <w:rPr>
          <w:rFonts w:ascii="ITC Avant Garde" w:hAnsi="ITC Avant Garde"/>
          <w:lang w:val="es-ES"/>
        </w:rPr>
        <w:t>ya que,</w:t>
      </w:r>
      <w:r w:rsidR="15A15F31" w:rsidRPr="4B922FC5">
        <w:rPr>
          <w:rFonts w:ascii="ITC Avant Garde" w:hAnsi="ITC Avant Garde"/>
          <w:lang w:val="es-ES"/>
        </w:rPr>
        <w:t xml:space="preserve"> si bien comparten elementos metodológicos, el dise</w:t>
      </w:r>
      <w:r w:rsidR="19E659FC" w:rsidRPr="4B922FC5">
        <w:rPr>
          <w:rFonts w:ascii="ITC Avant Garde" w:hAnsi="ITC Avant Garde"/>
          <w:lang w:val="es-ES"/>
        </w:rPr>
        <w:t>ño</w:t>
      </w:r>
      <w:r w:rsidR="00973E8D">
        <w:rPr>
          <w:rFonts w:ascii="ITC Avant Garde" w:hAnsi="ITC Avant Garde"/>
          <w:lang w:val="es-ES"/>
        </w:rPr>
        <w:t xml:space="preserve"> y construcción son nuevos</w:t>
      </w:r>
      <w:r w:rsidR="00223317">
        <w:rPr>
          <w:rFonts w:ascii="ITC Avant Garde" w:hAnsi="ITC Avant Garde"/>
          <w:lang w:val="es-ES"/>
        </w:rPr>
        <w:t>, lo cual se puede constatar en los diversos documentos metodológicos que han acompañado las distintas consultas públicas de los diferentes modelos.</w:t>
      </w:r>
    </w:p>
    <w:p w14:paraId="0F77370C" w14:textId="50CE2BBE" w:rsidR="4B922FC5" w:rsidRDefault="4B922FC5" w:rsidP="4B922FC5">
      <w:pPr>
        <w:spacing w:after="0" w:line="276" w:lineRule="auto"/>
        <w:ind w:left="0" w:right="0" w:firstLine="0"/>
        <w:rPr>
          <w:rFonts w:ascii="ITC Avant Garde" w:hAnsi="ITC Avant Garde"/>
          <w:lang w:val="es-ES"/>
        </w:rPr>
      </w:pPr>
    </w:p>
    <w:p w14:paraId="28F0D2D1" w14:textId="78ABE546" w:rsidR="00541685" w:rsidRPr="00415276" w:rsidRDefault="00541685" w:rsidP="0080349A">
      <w:pPr>
        <w:spacing w:after="0" w:line="276" w:lineRule="auto"/>
        <w:ind w:left="0" w:right="0" w:firstLine="0"/>
        <w:rPr>
          <w:rFonts w:ascii="ITC Avant Garde" w:hAnsi="ITC Avant Garde"/>
          <w:i/>
          <w:lang w:val="es-ES"/>
        </w:rPr>
      </w:pPr>
      <w:r w:rsidRPr="00415276">
        <w:rPr>
          <w:rFonts w:ascii="ITC Avant Garde" w:hAnsi="ITC Avant Garde"/>
          <w:i/>
          <w:lang w:val="es-ES"/>
        </w:rPr>
        <w:t>Periodo de modelado</w:t>
      </w:r>
    </w:p>
    <w:p w14:paraId="2F6303DA" w14:textId="77777777" w:rsidR="00415276" w:rsidRDefault="00415276" w:rsidP="0080349A">
      <w:pPr>
        <w:spacing w:after="0" w:line="276" w:lineRule="auto"/>
        <w:ind w:left="0" w:right="0" w:firstLine="0"/>
        <w:rPr>
          <w:rFonts w:ascii="ITC Avant Garde" w:hAnsi="ITC Avant Garde"/>
          <w:lang w:val="es-ES"/>
        </w:rPr>
      </w:pPr>
    </w:p>
    <w:p w14:paraId="22B2E8A0" w14:textId="6835E928" w:rsidR="00415276"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Telefóni</w:t>
      </w:r>
      <w:r w:rsidR="00C3485A">
        <w:rPr>
          <w:rFonts w:ascii="ITC Avant Garde" w:hAnsi="ITC Avant Garde"/>
          <w:lang w:val="es-ES"/>
        </w:rPr>
        <w:t>ca</w:t>
      </w:r>
      <w:r w:rsidR="008A4535">
        <w:rPr>
          <w:rFonts w:ascii="ITC Avant Garde" w:hAnsi="ITC Avant Garde"/>
          <w:lang w:val="es-ES"/>
        </w:rPr>
        <w:t xml:space="preserve"> </w:t>
      </w:r>
      <w:r w:rsidRPr="00541685">
        <w:rPr>
          <w:rFonts w:ascii="ITC Avant Garde" w:hAnsi="ITC Avant Garde"/>
          <w:lang w:val="es-ES"/>
        </w:rPr>
        <w:t>y AT&amp;T</w:t>
      </w:r>
    </w:p>
    <w:p w14:paraId="5654D610" w14:textId="77777777" w:rsidR="00415276" w:rsidRDefault="00415276" w:rsidP="0080349A">
      <w:pPr>
        <w:spacing w:after="0" w:line="276" w:lineRule="auto"/>
        <w:ind w:left="0" w:right="0" w:firstLine="0"/>
        <w:rPr>
          <w:rFonts w:ascii="ITC Avant Garde" w:hAnsi="ITC Avant Garde"/>
          <w:lang w:val="es-ES"/>
        </w:rPr>
      </w:pPr>
    </w:p>
    <w:p w14:paraId="39D47431" w14:textId="30E73BE0" w:rsidR="00541685" w:rsidRDefault="00415276" w:rsidP="0080349A">
      <w:pPr>
        <w:spacing w:after="0" w:line="276" w:lineRule="auto"/>
        <w:ind w:left="0" w:right="0" w:firstLine="0"/>
        <w:rPr>
          <w:rFonts w:ascii="ITC Avant Garde" w:hAnsi="ITC Avant Garde"/>
          <w:lang w:val="es-ES"/>
        </w:rPr>
      </w:pPr>
      <w:r>
        <w:rPr>
          <w:rFonts w:ascii="ITC Avant Garde" w:hAnsi="ITC Avant Garde"/>
          <w:lang w:val="es-ES"/>
        </w:rPr>
        <w:t xml:space="preserve">Se expresan de acuerdo con </w:t>
      </w:r>
      <w:r w:rsidR="00541685" w:rsidRPr="00541685">
        <w:rPr>
          <w:rFonts w:ascii="ITC Avant Garde" w:hAnsi="ITC Avant Garde"/>
          <w:lang w:val="es-ES"/>
        </w:rPr>
        <w:t>que los modelos de costos sean multianuales, tanto para las tarifas de interconexión como para el servicio de usuario visitante, ya que permiten más certidumbre, predictibilidad y transparencia de la políti</w:t>
      </w:r>
      <w:r w:rsidR="00C3485A">
        <w:rPr>
          <w:rFonts w:ascii="ITC Avant Garde" w:hAnsi="ITC Avant Garde"/>
          <w:lang w:val="es-ES"/>
        </w:rPr>
        <w:t>ca</w:t>
      </w:r>
      <w:r w:rsidR="008A4535">
        <w:rPr>
          <w:rFonts w:ascii="ITC Avant Garde" w:hAnsi="ITC Avant Garde"/>
          <w:lang w:val="es-ES"/>
        </w:rPr>
        <w:t xml:space="preserve"> </w:t>
      </w:r>
      <w:r w:rsidR="00541685" w:rsidRPr="00541685">
        <w:rPr>
          <w:rFonts w:ascii="ITC Avant Garde" w:hAnsi="ITC Avant Garde"/>
          <w:lang w:val="es-ES"/>
        </w:rPr>
        <w:t>tarifaria.</w:t>
      </w:r>
    </w:p>
    <w:p w14:paraId="683B554E" w14:textId="3735946F" w:rsidR="00415276" w:rsidRDefault="00415276" w:rsidP="0080349A">
      <w:pPr>
        <w:spacing w:after="0" w:line="276" w:lineRule="auto"/>
        <w:ind w:left="0" w:right="0" w:firstLine="0"/>
        <w:rPr>
          <w:rFonts w:ascii="ITC Avant Garde" w:hAnsi="ITC Avant Garde"/>
          <w:lang w:val="es-ES"/>
        </w:rPr>
      </w:pPr>
    </w:p>
    <w:p w14:paraId="2EA08ABE" w14:textId="4A82E678" w:rsidR="00415276" w:rsidRDefault="00415276" w:rsidP="00415276">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3C4498A3" w14:textId="77777777" w:rsidR="00415276" w:rsidRPr="00541685" w:rsidRDefault="00415276" w:rsidP="0080349A">
      <w:pPr>
        <w:spacing w:after="0" w:line="276" w:lineRule="auto"/>
        <w:ind w:left="0" w:right="0" w:firstLine="0"/>
        <w:rPr>
          <w:rFonts w:ascii="ITC Avant Garde" w:hAnsi="ITC Avant Garde"/>
          <w:lang w:val="es-ES"/>
        </w:rPr>
      </w:pPr>
    </w:p>
    <w:p w14:paraId="267A5498" w14:textId="11F8E5DE" w:rsidR="00541685" w:rsidRDefault="00325634" w:rsidP="0080349A">
      <w:pPr>
        <w:spacing w:after="0" w:line="276" w:lineRule="auto"/>
        <w:ind w:left="0" w:right="0" w:firstLine="0"/>
        <w:rPr>
          <w:rFonts w:ascii="ITC Avant Garde" w:hAnsi="ITC Avant Garde"/>
          <w:lang w:val="es-ES"/>
        </w:rPr>
      </w:pPr>
      <w:r>
        <w:rPr>
          <w:rFonts w:ascii="ITC Avant Garde" w:hAnsi="ITC Avant Garde"/>
          <w:lang w:val="es-ES"/>
        </w:rPr>
        <w:t>Se concuerda</w:t>
      </w:r>
      <w:r w:rsidR="00541685" w:rsidRPr="00541685">
        <w:rPr>
          <w:rFonts w:ascii="ITC Avant Garde" w:hAnsi="ITC Avant Garde"/>
          <w:lang w:val="es-ES"/>
        </w:rPr>
        <w:t xml:space="preserve"> con los comentarios vertidos por ambos </w:t>
      </w:r>
      <w:r w:rsidR="00415276">
        <w:rPr>
          <w:rFonts w:ascii="ITC Avant Garde" w:hAnsi="ITC Avant Garde"/>
          <w:lang w:val="es-ES"/>
        </w:rPr>
        <w:t>concesionarios</w:t>
      </w:r>
      <w:r w:rsidR="00541685" w:rsidRPr="00541685">
        <w:rPr>
          <w:rFonts w:ascii="ITC Avant Garde" w:hAnsi="ITC Avant Garde"/>
          <w:lang w:val="es-ES"/>
        </w:rPr>
        <w:t xml:space="preserve"> en tanto que </w:t>
      </w:r>
      <w:r w:rsidR="00856A78">
        <w:rPr>
          <w:rFonts w:ascii="ITC Avant Garde" w:hAnsi="ITC Avant Garde"/>
          <w:lang w:val="es-ES"/>
        </w:rPr>
        <w:t>se considera</w:t>
      </w:r>
      <w:r w:rsidR="00541685" w:rsidRPr="00541685">
        <w:rPr>
          <w:rFonts w:ascii="ITC Avant Garde" w:hAnsi="ITC Avant Garde"/>
          <w:lang w:val="es-ES"/>
        </w:rPr>
        <w:t xml:space="preserve"> que la provisión de modelos de costos multianuales a la industria es la metodología más apropiada para dotar de certidumbre regulatoria a los </w:t>
      </w:r>
      <w:r w:rsidR="00A94546">
        <w:rPr>
          <w:rFonts w:ascii="ITC Avant Garde" w:hAnsi="ITC Avant Garde"/>
          <w:lang w:val="es-ES"/>
        </w:rPr>
        <w:t>concesionarios</w:t>
      </w:r>
      <w:r w:rsidR="00541685" w:rsidRPr="00541685">
        <w:rPr>
          <w:rFonts w:ascii="ITC Avant Garde" w:hAnsi="ITC Avant Garde"/>
          <w:lang w:val="es-ES"/>
        </w:rPr>
        <w:t xml:space="preserve"> y otorgar visibilidad completa de los precios mayoristas para los próximos años.</w:t>
      </w:r>
    </w:p>
    <w:p w14:paraId="27C1E428" w14:textId="545AAB05" w:rsidR="00415276" w:rsidRDefault="00415276" w:rsidP="0080349A">
      <w:pPr>
        <w:spacing w:after="0" w:line="276" w:lineRule="auto"/>
        <w:ind w:left="0" w:right="0" w:firstLine="0"/>
        <w:rPr>
          <w:rFonts w:ascii="ITC Avant Garde" w:hAnsi="ITC Avant Garde"/>
          <w:lang w:val="es-ES"/>
        </w:rPr>
      </w:pPr>
    </w:p>
    <w:p w14:paraId="3E0C0810" w14:textId="77777777" w:rsidR="00541685" w:rsidRPr="00415276" w:rsidRDefault="00541685" w:rsidP="0080349A">
      <w:pPr>
        <w:spacing w:after="0" w:line="276" w:lineRule="auto"/>
        <w:ind w:left="0" w:right="0" w:firstLine="0"/>
        <w:rPr>
          <w:rFonts w:ascii="ITC Avant Garde" w:hAnsi="ITC Avant Garde"/>
          <w:i/>
          <w:lang w:val="es-ES"/>
        </w:rPr>
      </w:pPr>
      <w:r w:rsidRPr="00415276">
        <w:rPr>
          <w:rFonts w:ascii="ITC Avant Garde" w:hAnsi="ITC Avant Garde"/>
          <w:i/>
          <w:lang w:val="es-ES"/>
        </w:rPr>
        <w:t>Análisis de sensibilidad de la demanda</w:t>
      </w:r>
    </w:p>
    <w:p w14:paraId="2CEDECF8" w14:textId="77777777" w:rsidR="00415276" w:rsidRDefault="00415276" w:rsidP="0080349A">
      <w:pPr>
        <w:spacing w:after="0" w:line="276" w:lineRule="auto"/>
        <w:ind w:left="0" w:right="0" w:firstLine="0"/>
        <w:rPr>
          <w:rFonts w:ascii="ITC Avant Garde" w:hAnsi="ITC Avant Garde"/>
          <w:lang w:val="es-ES"/>
        </w:rPr>
      </w:pPr>
    </w:p>
    <w:p w14:paraId="347DBA83" w14:textId="77EDDD9C" w:rsidR="00415276" w:rsidRDefault="005075FE" w:rsidP="0080349A">
      <w:pPr>
        <w:spacing w:after="0" w:line="276" w:lineRule="auto"/>
        <w:ind w:left="0" w:right="0" w:firstLine="0"/>
        <w:rPr>
          <w:rFonts w:ascii="ITC Avant Garde" w:hAnsi="ITC Avant Garde"/>
          <w:lang w:val="es-ES"/>
        </w:rPr>
      </w:pPr>
      <w:r>
        <w:rPr>
          <w:rFonts w:ascii="ITC Avant Garde" w:hAnsi="ITC Avant Garde"/>
          <w:lang w:val="es-ES"/>
        </w:rPr>
        <w:t>Mega Cable</w:t>
      </w:r>
    </w:p>
    <w:p w14:paraId="17B0A113" w14:textId="77777777" w:rsidR="00415276" w:rsidRDefault="00415276" w:rsidP="0080349A">
      <w:pPr>
        <w:spacing w:after="0" w:line="276" w:lineRule="auto"/>
        <w:ind w:left="0" w:right="0" w:firstLine="0"/>
        <w:rPr>
          <w:rFonts w:ascii="ITC Avant Garde" w:hAnsi="ITC Avant Garde"/>
          <w:lang w:val="es-ES"/>
        </w:rPr>
      </w:pPr>
    </w:p>
    <w:p w14:paraId="6E9E142B" w14:textId="05BCA601" w:rsidR="00541685" w:rsidRDefault="00415276" w:rsidP="0080349A">
      <w:pPr>
        <w:spacing w:after="0" w:line="276" w:lineRule="auto"/>
        <w:ind w:left="0" w:right="0" w:firstLine="0"/>
        <w:rPr>
          <w:rFonts w:ascii="ITC Avant Garde" w:hAnsi="ITC Avant Garde"/>
          <w:lang w:val="es-ES"/>
        </w:rPr>
      </w:pPr>
      <w:r w:rsidRPr="58E23F00">
        <w:rPr>
          <w:rFonts w:ascii="ITC Avant Garde" w:hAnsi="ITC Avant Garde"/>
          <w:lang w:val="es-ES"/>
        </w:rPr>
        <w:t>S</w:t>
      </w:r>
      <w:r w:rsidR="00541685" w:rsidRPr="58E23F00">
        <w:rPr>
          <w:rFonts w:ascii="ITC Avant Garde" w:hAnsi="ITC Avant Garde"/>
          <w:lang w:val="es-ES"/>
        </w:rPr>
        <w:t xml:space="preserve">olicita al </w:t>
      </w:r>
      <w:r w:rsidR="647786AF" w:rsidRPr="58E23F00">
        <w:rPr>
          <w:rFonts w:ascii="ITC Avant Garde" w:hAnsi="ITC Avant Garde"/>
          <w:lang w:val="es-ES"/>
        </w:rPr>
        <w:t>I</w:t>
      </w:r>
      <w:r w:rsidR="2010595F"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mayor claridad sobre el análisis de sensibilidad por el cual se ajustan distintas variables de demanda con base en tres escenarios distintos (base, conservador y agresivo). Asimismo,</w:t>
      </w:r>
      <w:r w:rsidRPr="58E23F00">
        <w:rPr>
          <w:rFonts w:ascii="ITC Avant Garde" w:hAnsi="ITC Avant Garde"/>
          <w:lang w:val="es-ES"/>
        </w:rPr>
        <w:t xml:space="preserve"> </w:t>
      </w:r>
      <w:r w:rsidR="00541685" w:rsidRPr="58E23F00">
        <w:rPr>
          <w:rFonts w:ascii="ITC Avant Garde" w:hAnsi="ITC Avant Garde"/>
          <w:lang w:val="es-ES"/>
        </w:rPr>
        <w:t xml:space="preserve">solicita al </w:t>
      </w:r>
      <w:r w:rsidR="647786AF" w:rsidRPr="58E23F00">
        <w:rPr>
          <w:rFonts w:ascii="ITC Avant Garde" w:hAnsi="ITC Avant Garde"/>
          <w:lang w:val="es-ES"/>
        </w:rPr>
        <w:t>I</w:t>
      </w:r>
      <w:r w:rsidR="5AF0628F"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que proporcione una conclusión sobre qué escenario se debería utilizar para determinar las tarifas de los distintos servicios modelados.</w:t>
      </w:r>
    </w:p>
    <w:p w14:paraId="31EECEBD" w14:textId="317DEA60" w:rsidR="00415276" w:rsidRDefault="00415276" w:rsidP="0080349A">
      <w:pPr>
        <w:spacing w:after="0" w:line="276" w:lineRule="auto"/>
        <w:ind w:left="0" w:right="0" w:firstLine="0"/>
        <w:rPr>
          <w:rFonts w:ascii="ITC Avant Garde" w:hAnsi="ITC Avant Garde"/>
          <w:lang w:val="es-ES"/>
        </w:rPr>
      </w:pPr>
    </w:p>
    <w:p w14:paraId="74E6F461" w14:textId="3DC7952A" w:rsidR="00415276" w:rsidRDefault="00415276" w:rsidP="00415276">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291A66D0" w14:textId="77777777" w:rsidR="00415276" w:rsidRPr="00541685" w:rsidRDefault="00415276" w:rsidP="0080349A">
      <w:pPr>
        <w:spacing w:after="0" w:line="276" w:lineRule="auto"/>
        <w:ind w:left="0" w:right="0" w:firstLine="0"/>
        <w:rPr>
          <w:rFonts w:ascii="ITC Avant Garde" w:hAnsi="ITC Avant Garde"/>
          <w:lang w:val="es-ES"/>
        </w:rPr>
      </w:pPr>
    </w:p>
    <w:p w14:paraId="4178A4F7" w14:textId="0B2A5C19"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El análisis de sensibilidad de demanda que se realiza en el módulo de mercado se emplea con el fin de validar los resultados de los modelos de costos, y ayuda a comprobar que los resultados se comportan correctamente ante posibles cambios en la demanda (y otros insumos también considerados como parte del análisis de </w:t>
      </w:r>
      <w:r w:rsidRPr="00541685">
        <w:rPr>
          <w:rFonts w:ascii="ITC Avant Garde" w:hAnsi="ITC Avant Garde"/>
          <w:lang w:val="es-ES"/>
        </w:rPr>
        <w:lastRenderedPageBreak/>
        <w:t>sensibilidad). Dicho esto, los resultados generados por los modelos de costos se basan en el escenario denominado ‘base</w:t>
      </w:r>
      <w:r w:rsidR="00A12569">
        <w:rPr>
          <w:rFonts w:ascii="ITC Avant Garde" w:hAnsi="ITC Avant Garde"/>
          <w:lang w:val="es-ES"/>
        </w:rPr>
        <w:t>”</w:t>
      </w:r>
      <w:r w:rsidRPr="00541685">
        <w:rPr>
          <w:rFonts w:ascii="ITC Avant Garde" w:hAnsi="ITC Avant Garde"/>
          <w:lang w:val="es-ES"/>
        </w:rPr>
        <w:t>.</w:t>
      </w:r>
    </w:p>
    <w:p w14:paraId="731BDD5B" w14:textId="77777777" w:rsidR="00415276" w:rsidRPr="00541685" w:rsidRDefault="00415276" w:rsidP="0080349A">
      <w:pPr>
        <w:spacing w:after="0" w:line="276" w:lineRule="auto"/>
        <w:ind w:left="0" w:right="0" w:firstLine="0"/>
        <w:rPr>
          <w:rFonts w:ascii="ITC Avant Garde" w:hAnsi="ITC Avant Garde"/>
          <w:lang w:val="es-ES"/>
        </w:rPr>
      </w:pPr>
    </w:p>
    <w:p w14:paraId="4C5D6E92" w14:textId="77777777" w:rsidR="00541685" w:rsidRPr="00415276" w:rsidRDefault="00541685" w:rsidP="0080349A">
      <w:pPr>
        <w:spacing w:after="0" w:line="276" w:lineRule="auto"/>
        <w:ind w:left="0" w:right="0" w:firstLine="0"/>
        <w:rPr>
          <w:rFonts w:ascii="ITC Avant Garde" w:hAnsi="ITC Avant Garde"/>
          <w:b/>
          <w:u w:val="single"/>
          <w:lang w:val="es-ES"/>
        </w:rPr>
      </w:pPr>
      <w:r w:rsidRPr="00415276">
        <w:rPr>
          <w:rFonts w:ascii="ITC Avant Garde" w:hAnsi="ITC Avant Garde"/>
          <w:b/>
          <w:u w:val="single"/>
          <w:lang w:val="es-ES"/>
        </w:rPr>
        <w:t>Comentarios sobre la transparencia de información</w:t>
      </w:r>
    </w:p>
    <w:p w14:paraId="3D50400D" w14:textId="77777777" w:rsidR="00415276" w:rsidRDefault="00415276" w:rsidP="0080349A">
      <w:pPr>
        <w:spacing w:after="0" w:line="276" w:lineRule="auto"/>
        <w:ind w:left="0" w:right="0" w:firstLine="0"/>
        <w:rPr>
          <w:rFonts w:ascii="ITC Avant Garde" w:hAnsi="ITC Avant Garde"/>
          <w:lang w:val="es-ES"/>
        </w:rPr>
      </w:pPr>
    </w:p>
    <w:p w14:paraId="3767C4E3" w14:textId="447FE852" w:rsidR="00541685" w:rsidRDefault="00541685" w:rsidP="0080349A">
      <w:pPr>
        <w:spacing w:after="0" w:line="276" w:lineRule="auto"/>
        <w:ind w:left="0" w:right="0" w:firstLine="0"/>
        <w:rPr>
          <w:rFonts w:ascii="ITC Avant Garde" w:hAnsi="ITC Avant Garde"/>
          <w:i/>
          <w:lang w:val="es-ES"/>
        </w:rPr>
      </w:pPr>
      <w:r w:rsidRPr="00415276">
        <w:rPr>
          <w:rFonts w:ascii="ITC Avant Garde" w:hAnsi="ITC Avant Garde"/>
          <w:i/>
          <w:lang w:val="es-ES"/>
        </w:rPr>
        <w:t>Transparencia en la documentación</w:t>
      </w:r>
    </w:p>
    <w:p w14:paraId="7A00754A" w14:textId="77777777" w:rsidR="00415276" w:rsidRPr="00415276" w:rsidRDefault="00415276" w:rsidP="0080349A">
      <w:pPr>
        <w:spacing w:after="0" w:line="276" w:lineRule="auto"/>
        <w:ind w:left="0" w:right="0" w:firstLine="0"/>
        <w:rPr>
          <w:rFonts w:ascii="ITC Avant Garde" w:hAnsi="ITC Avant Garde"/>
          <w:i/>
          <w:lang w:val="es-ES"/>
        </w:rPr>
      </w:pPr>
    </w:p>
    <w:p w14:paraId="14552607" w14:textId="77777777" w:rsidR="00415276"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CANIETI</w:t>
      </w:r>
    </w:p>
    <w:p w14:paraId="2A2FA810" w14:textId="77777777" w:rsidR="00415276" w:rsidRDefault="00415276" w:rsidP="0080349A">
      <w:pPr>
        <w:spacing w:after="0" w:line="276" w:lineRule="auto"/>
        <w:ind w:left="0" w:right="0" w:firstLine="0"/>
        <w:rPr>
          <w:rFonts w:ascii="ITC Avant Garde" w:hAnsi="ITC Avant Garde"/>
          <w:lang w:val="es-ES"/>
        </w:rPr>
      </w:pPr>
    </w:p>
    <w:p w14:paraId="22F8F6E2" w14:textId="16D7F4FF" w:rsidR="00541685" w:rsidRDefault="00415276" w:rsidP="0080349A">
      <w:pPr>
        <w:spacing w:after="0" w:line="276" w:lineRule="auto"/>
        <w:ind w:left="0" w:right="0" w:firstLine="0"/>
        <w:rPr>
          <w:rFonts w:ascii="ITC Avant Garde" w:hAnsi="ITC Avant Garde"/>
          <w:lang w:val="es-ES"/>
        </w:rPr>
      </w:pPr>
      <w:r>
        <w:rPr>
          <w:rFonts w:ascii="ITC Avant Garde" w:hAnsi="ITC Avant Garde"/>
          <w:lang w:val="es-ES"/>
        </w:rPr>
        <w:t>Ha</w:t>
      </w:r>
      <w:r w:rsidR="00541685" w:rsidRPr="00541685">
        <w:rPr>
          <w:rFonts w:ascii="ITC Avant Garde" w:hAnsi="ITC Avant Garde"/>
          <w:lang w:val="es-ES"/>
        </w:rPr>
        <w:t>y ocasiones donde la falta de fórmulas y el uso de valores dificulta el análisis y comprensión de los modelos. Según CANIETI, este es el caso para el perfil de carga de red para los servicios de voz, SMS y datos. Asimismo, señala que en el documento metodológico existen ciertos parámetros que carecen de sustento, como la tasa a la que decrece el tráfico de voz por usuario.</w:t>
      </w:r>
    </w:p>
    <w:p w14:paraId="75DE8B90" w14:textId="759D049A" w:rsidR="00415276" w:rsidRDefault="00415276" w:rsidP="0080349A">
      <w:pPr>
        <w:spacing w:after="0" w:line="276" w:lineRule="auto"/>
        <w:ind w:left="0" w:right="0" w:firstLine="0"/>
        <w:rPr>
          <w:rFonts w:ascii="ITC Avant Garde" w:hAnsi="ITC Avant Garde"/>
          <w:lang w:val="es-ES"/>
        </w:rPr>
      </w:pPr>
    </w:p>
    <w:p w14:paraId="322A58ED" w14:textId="5065F0DB" w:rsidR="00415276" w:rsidRDefault="00415276" w:rsidP="00415276">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0EFA44B4" w14:textId="77777777" w:rsidR="00415276" w:rsidRPr="00541685" w:rsidRDefault="00415276" w:rsidP="0080349A">
      <w:pPr>
        <w:spacing w:after="0" w:line="276" w:lineRule="auto"/>
        <w:ind w:left="0" w:right="0" w:firstLine="0"/>
        <w:rPr>
          <w:rFonts w:ascii="ITC Avant Garde" w:hAnsi="ITC Avant Garde"/>
          <w:lang w:val="es-ES"/>
        </w:rPr>
      </w:pPr>
    </w:p>
    <w:p w14:paraId="4423FB57" w14:textId="2BA7BABC"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Los distintos insumos incluidos en los modelos son los necesarios para poder llevar a ca</w:t>
      </w:r>
      <w:r w:rsidR="00415276">
        <w:rPr>
          <w:rFonts w:ascii="ITC Avant Garde" w:hAnsi="ITC Avant Garde"/>
          <w:lang w:val="es-ES"/>
        </w:rPr>
        <w:t>bo</w:t>
      </w:r>
      <w:r w:rsidRPr="00541685">
        <w:rPr>
          <w:rFonts w:ascii="ITC Avant Garde" w:hAnsi="ITC Avant Garde"/>
          <w:lang w:val="es-ES"/>
        </w:rPr>
        <w:t xml:space="preserve"> todos los cálculos relevantes para determinar las tarifas mayoristas de los distintos servicios. Por lo general, se ha limitado el uso de cifras pegadas como valores exclusivamente a ciertos insumos, a fin de mantener la mayor transparencia posible de los modelos de costos. En estos casos, el origen de dichos insumos se especifi</w:t>
      </w:r>
      <w:r w:rsidR="00C3485A">
        <w:rPr>
          <w:rFonts w:ascii="ITC Avant Garde" w:hAnsi="ITC Avant Garde"/>
          <w:lang w:val="es-ES"/>
        </w:rPr>
        <w:t>ca</w:t>
      </w:r>
      <w:r w:rsidR="008A4535">
        <w:rPr>
          <w:rFonts w:ascii="ITC Avant Garde" w:hAnsi="ITC Avant Garde"/>
          <w:lang w:val="es-ES"/>
        </w:rPr>
        <w:t xml:space="preserve"> </w:t>
      </w:r>
      <w:r w:rsidRPr="00541685">
        <w:rPr>
          <w:rFonts w:ascii="ITC Avant Garde" w:hAnsi="ITC Avant Garde"/>
          <w:lang w:val="es-ES"/>
        </w:rPr>
        <w:t xml:space="preserve">en la columna denominada </w:t>
      </w:r>
      <w:r w:rsidR="00415276">
        <w:rPr>
          <w:rFonts w:ascii="ITC Avant Garde" w:hAnsi="ITC Avant Garde"/>
          <w:lang w:val="es-ES"/>
        </w:rPr>
        <w:t>“</w:t>
      </w:r>
      <w:r w:rsidRPr="00541685">
        <w:rPr>
          <w:rFonts w:ascii="ITC Avant Garde" w:hAnsi="ITC Avant Garde"/>
          <w:lang w:val="es-ES"/>
        </w:rPr>
        <w:t>Fuentes</w:t>
      </w:r>
      <w:r w:rsidR="00A12569">
        <w:rPr>
          <w:rFonts w:ascii="ITC Avant Garde" w:hAnsi="ITC Avant Garde"/>
          <w:lang w:val="es-ES"/>
        </w:rPr>
        <w:t>”</w:t>
      </w:r>
      <w:r w:rsidRPr="00541685">
        <w:rPr>
          <w:rFonts w:ascii="ITC Avant Garde" w:hAnsi="ITC Avant Garde"/>
          <w:lang w:val="es-ES"/>
        </w:rPr>
        <w:t>, marcada en color rojo.</w:t>
      </w:r>
    </w:p>
    <w:p w14:paraId="6C8759C7" w14:textId="77777777" w:rsidR="00415276" w:rsidRPr="00541685" w:rsidRDefault="00415276" w:rsidP="0080349A">
      <w:pPr>
        <w:spacing w:after="0" w:line="276" w:lineRule="auto"/>
        <w:ind w:left="0" w:right="0" w:firstLine="0"/>
        <w:rPr>
          <w:rFonts w:ascii="ITC Avant Garde" w:hAnsi="ITC Avant Garde"/>
          <w:lang w:val="es-ES"/>
        </w:rPr>
      </w:pPr>
    </w:p>
    <w:p w14:paraId="336E1E22" w14:textId="4CB60E54"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Con respecto al comentario sobre el perfil de carga de la red para los servicios de voz, SMS y datos para el AEP, la información procede del requerimiento de datos realizado a los </w:t>
      </w:r>
      <w:r w:rsidR="00415276">
        <w:rPr>
          <w:rFonts w:ascii="ITC Avant Garde" w:hAnsi="ITC Avant Garde"/>
          <w:lang w:val="es-ES"/>
        </w:rPr>
        <w:t>concesionarios</w:t>
      </w:r>
      <w:r w:rsidRPr="00541685">
        <w:rPr>
          <w:rFonts w:ascii="ITC Avant Garde" w:hAnsi="ITC Avant Garde"/>
          <w:lang w:val="es-ES"/>
        </w:rPr>
        <w:t xml:space="preserve">. De manera similar, la tasa de crecimiento asumida para el tráfico de voz parte de las estimaciones proporcionadas por los </w:t>
      </w:r>
      <w:r w:rsidR="00415276">
        <w:rPr>
          <w:rFonts w:ascii="ITC Avant Garde" w:hAnsi="ITC Avant Garde"/>
          <w:lang w:val="es-ES"/>
        </w:rPr>
        <w:t>concesionarios</w:t>
      </w:r>
      <w:r w:rsidRPr="00541685">
        <w:rPr>
          <w:rFonts w:ascii="ITC Avant Garde" w:hAnsi="ITC Avant Garde"/>
          <w:lang w:val="es-ES"/>
        </w:rPr>
        <w:t xml:space="preserve"> para los próximos años. Estos supuestos se incluyen directamente en el módulo de mercado.</w:t>
      </w:r>
    </w:p>
    <w:p w14:paraId="7F5091BD" w14:textId="77777777" w:rsidR="00415276" w:rsidRPr="00541685" w:rsidRDefault="00415276" w:rsidP="0080349A">
      <w:pPr>
        <w:spacing w:after="0" w:line="276" w:lineRule="auto"/>
        <w:ind w:left="0" w:right="0" w:firstLine="0"/>
        <w:rPr>
          <w:rFonts w:ascii="ITC Avant Garde" w:hAnsi="ITC Avant Garde"/>
          <w:lang w:val="es-ES"/>
        </w:rPr>
      </w:pPr>
    </w:p>
    <w:p w14:paraId="2286DCEA" w14:textId="03C30174"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Por otro lado, todos los cálculos realizados por los modelos se realizan íntegramente dentro del </w:t>
      </w:r>
      <w:r w:rsidR="00415276">
        <w:rPr>
          <w:rFonts w:ascii="ITC Avant Garde" w:hAnsi="ITC Avant Garde"/>
          <w:lang w:val="es-ES"/>
        </w:rPr>
        <w:t>archivo de</w:t>
      </w:r>
      <w:r w:rsidRPr="00541685">
        <w:rPr>
          <w:rFonts w:ascii="ITC Avant Garde" w:hAnsi="ITC Avant Garde"/>
          <w:lang w:val="es-ES"/>
        </w:rPr>
        <w:t xml:space="preserve"> Excel. En ciertos casos (como por ejemplo en lo que respecta a los cálculos de los costos CILP puros) existen parámetros pegados por valor sin formulas. No obstante, esto se debe a que algunos resultados provienen de la ejecución del código VBA, que permite automatizar el cálculo de las tarifas resultantes de los modelos, lo cual se ha utilizado ya en modelos anteriores. A pesar de esto, todos los cálculos quedan detallados en las distintas hojas de cálculo que conforman el modelo.</w:t>
      </w:r>
    </w:p>
    <w:p w14:paraId="6B1B6521" w14:textId="77777777" w:rsidR="00415276" w:rsidRPr="00541685" w:rsidRDefault="00415276" w:rsidP="0080349A">
      <w:pPr>
        <w:spacing w:after="0" w:line="276" w:lineRule="auto"/>
        <w:ind w:left="0" w:right="0" w:firstLine="0"/>
        <w:rPr>
          <w:rFonts w:ascii="ITC Avant Garde" w:hAnsi="ITC Avant Garde"/>
          <w:lang w:val="es-ES"/>
        </w:rPr>
      </w:pPr>
    </w:p>
    <w:p w14:paraId="2AD5B954" w14:textId="77777777" w:rsidR="00541685" w:rsidRP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lastRenderedPageBreak/>
        <w:t xml:space="preserve">Finalmente, el marco metodológico y la documentación de los modelos de costos clarifican la manera en que se ha realizado el cálculo de los principales insumos de los modelos. Si bien es cierto que ciertos insumos no se detallan en los documentos sometidos a consulta, dichos insumos son de relevancia menor y suelen provenir de datos estándares empleados en otros modelos de costos empleados por reguladores en otros países. </w:t>
      </w:r>
    </w:p>
    <w:p w14:paraId="64338775" w14:textId="28A58E02"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En cualquier caso, la fuente original empleada para cada uno de los insumos clave de los modelos está adecuadamente referenciada en la documentación que acompaña a los modelos. No obstante, </w:t>
      </w:r>
      <w:r w:rsidR="00325634">
        <w:rPr>
          <w:rFonts w:ascii="ITC Avant Garde" w:hAnsi="ITC Avant Garde"/>
          <w:lang w:val="es-ES"/>
        </w:rPr>
        <w:t xml:space="preserve">se han </w:t>
      </w:r>
      <w:r w:rsidRPr="00541685">
        <w:rPr>
          <w:rFonts w:ascii="ITC Avant Garde" w:hAnsi="ITC Avant Garde"/>
          <w:lang w:val="es-ES"/>
        </w:rPr>
        <w:t>revisado las fuentes incluidas en los modelos con el fin de proporcionar una mayor claridad y transparencia sobre todos los insumos empleados.</w:t>
      </w:r>
    </w:p>
    <w:p w14:paraId="0F7DA5E7" w14:textId="77777777" w:rsidR="002569F8" w:rsidRPr="00541685" w:rsidRDefault="002569F8" w:rsidP="0080349A">
      <w:pPr>
        <w:spacing w:after="0" w:line="276" w:lineRule="auto"/>
        <w:ind w:left="0" w:right="0" w:firstLine="0"/>
        <w:rPr>
          <w:rFonts w:ascii="ITC Avant Garde" w:hAnsi="ITC Avant Garde"/>
          <w:lang w:val="es-ES"/>
        </w:rPr>
      </w:pPr>
    </w:p>
    <w:p w14:paraId="27E07955" w14:textId="77777777" w:rsidR="00541685" w:rsidRPr="002569F8" w:rsidRDefault="00541685" w:rsidP="0080349A">
      <w:pPr>
        <w:spacing w:after="0" w:line="276" w:lineRule="auto"/>
        <w:ind w:left="0" w:right="0" w:firstLine="0"/>
        <w:rPr>
          <w:rFonts w:ascii="ITC Avant Garde" w:hAnsi="ITC Avant Garde"/>
          <w:i/>
          <w:lang w:val="es-ES"/>
        </w:rPr>
      </w:pPr>
      <w:r w:rsidRPr="002569F8">
        <w:rPr>
          <w:rFonts w:ascii="ITC Avant Garde" w:hAnsi="ITC Avant Garde"/>
          <w:i/>
          <w:lang w:val="es-ES"/>
        </w:rPr>
        <w:t>Proceso de anonimización de los modelos</w:t>
      </w:r>
    </w:p>
    <w:p w14:paraId="0BACAD21" w14:textId="77777777" w:rsidR="002569F8" w:rsidRDefault="002569F8" w:rsidP="0080349A">
      <w:pPr>
        <w:spacing w:after="0" w:line="276" w:lineRule="auto"/>
        <w:ind w:left="0" w:right="0" w:firstLine="0"/>
        <w:rPr>
          <w:rFonts w:ascii="ITC Avant Garde" w:hAnsi="ITC Avant Garde"/>
          <w:lang w:val="es-ES"/>
        </w:rPr>
      </w:pPr>
    </w:p>
    <w:p w14:paraId="1CCB5C10" w14:textId="77CC475A" w:rsidR="002569F8"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CANIETI</w:t>
      </w:r>
    </w:p>
    <w:p w14:paraId="1461E5B3" w14:textId="77777777" w:rsidR="002569F8" w:rsidRDefault="002569F8" w:rsidP="0080349A">
      <w:pPr>
        <w:spacing w:after="0" w:line="276" w:lineRule="auto"/>
        <w:ind w:left="0" w:right="0" w:firstLine="0"/>
        <w:rPr>
          <w:rFonts w:ascii="ITC Avant Garde" w:hAnsi="ITC Avant Garde"/>
          <w:lang w:val="es-ES"/>
        </w:rPr>
      </w:pPr>
    </w:p>
    <w:p w14:paraId="699B85F2" w14:textId="42A675B7" w:rsidR="00541685" w:rsidRDefault="002569F8" w:rsidP="0080349A">
      <w:pPr>
        <w:spacing w:after="0" w:line="276" w:lineRule="auto"/>
        <w:ind w:left="0" w:right="0" w:firstLine="0"/>
        <w:rPr>
          <w:rFonts w:ascii="ITC Avant Garde" w:hAnsi="ITC Avant Garde"/>
          <w:lang w:val="es-ES"/>
        </w:rPr>
      </w:pPr>
      <w:r>
        <w:rPr>
          <w:rFonts w:ascii="ITC Avant Garde" w:hAnsi="ITC Avant Garde"/>
          <w:lang w:val="es-ES"/>
        </w:rPr>
        <w:t>S</w:t>
      </w:r>
      <w:r w:rsidR="00541685" w:rsidRPr="00541685">
        <w:rPr>
          <w:rFonts w:ascii="ITC Avant Garde" w:hAnsi="ITC Avant Garde"/>
          <w:lang w:val="es-ES"/>
        </w:rPr>
        <w:t xml:space="preserve">olicita mayor transparencia respecto a qué parámetros se anonimizan, </w:t>
      </w:r>
      <w:r w:rsidR="00C3485A" w:rsidRPr="00541685">
        <w:rPr>
          <w:rFonts w:ascii="ITC Avant Garde" w:hAnsi="ITC Avant Garde"/>
          <w:lang w:val="es-ES"/>
        </w:rPr>
        <w:t>a</w:t>
      </w:r>
      <w:r w:rsidR="00C3485A">
        <w:rPr>
          <w:rFonts w:ascii="ITC Avant Garde" w:hAnsi="ITC Avant Garde"/>
          <w:lang w:val="es-ES"/>
        </w:rPr>
        <w:t>sí</w:t>
      </w:r>
      <w:r w:rsidR="00541685" w:rsidRPr="00541685">
        <w:rPr>
          <w:rFonts w:ascii="ITC Avant Garde" w:hAnsi="ITC Avant Garde"/>
          <w:lang w:val="es-ES"/>
        </w:rPr>
        <w:t xml:space="preserve"> como mayor transparencia sobre el proceso de anonimización correspondiente, con el objetivo de poder medir el impacto que tienen dichos parámetros sobre las tarifas resultantes.</w:t>
      </w:r>
    </w:p>
    <w:p w14:paraId="7B10B082" w14:textId="77777777" w:rsidR="002569F8" w:rsidRPr="00541685" w:rsidRDefault="002569F8" w:rsidP="0080349A">
      <w:pPr>
        <w:spacing w:after="0" w:line="276" w:lineRule="auto"/>
        <w:ind w:left="0" w:right="0" w:firstLine="0"/>
        <w:rPr>
          <w:rFonts w:ascii="ITC Avant Garde" w:hAnsi="ITC Avant Garde"/>
          <w:lang w:val="es-ES"/>
        </w:rPr>
      </w:pPr>
    </w:p>
    <w:p w14:paraId="5C2A1FED" w14:textId="030C46DF" w:rsidR="3859F46E" w:rsidRDefault="3859F46E" w:rsidP="4B922FC5">
      <w:pPr>
        <w:spacing w:after="0" w:line="276" w:lineRule="auto"/>
        <w:ind w:left="0" w:right="0" w:firstLine="0"/>
        <w:rPr>
          <w:rFonts w:ascii="ITC Avant Garde" w:hAnsi="ITC Avant Garde"/>
          <w:lang w:val="es-ES"/>
        </w:rPr>
      </w:pPr>
      <w:r w:rsidRPr="4B922FC5">
        <w:rPr>
          <w:rFonts w:ascii="ITC Avant Garde" w:hAnsi="ITC Avant Garde"/>
          <w:lang w:val="es-ES"/>
        </w:rPr>
        <w:t>Consideraciones del Instituto</w:t>
      </w:r>
    </w:p>
    <w:p w14:paraId="64F90492" w14:textId="451F0CD6" w:rsidR="4B922FC5" w:rsidRDefault="4B922FC5" w:rsidP="4B922FC5">
      <w:pPr>
        <w:spacing w:after="0" w:line="276" w:lineRule="auto"/>
        <w:ind w:left="0" w:right="0" w:firstLine="0"/>
        <w:rPr>
          <w:rFonts w:ascii="ITC Avant Garde" w:hAnsi="ITC Avant Garde"/>
          <w:lang w:val="es-ES"/>
        </w:rPr>
      </w:pPr>
    </w:p>
    <w:p w14:paraId="0E6E8D7A" w14:textId="2E11F580" w:rsidR="00541685" w:rsidRDefault="41C29FDD" w:rsidP="0080349A">
      <w:pPr>
        <w:spacing w:after="0" w:line="276" w:lineRule="auto"/>
        <w:ind w:left="0" w:right="0" w:firstLine="0"/>
        <w:rPr>
          <w:rFonts w:ascii="ITC Avant Garde" w:hAnsi="ITC Avant Garde"/>
          <w:lang w:val="es-ES"/>
        </w:rPr>
      </w:pPr>
      <w:r w:rsidRPr="4B922FC5">
        <w:rPr>
          <w:rFonts w:ascii="ITC Avant Garde" w:hAnsi="ITC Avant Garde"/>
          <w:lang w:val="es-ES"/>
        </w:rPr>
        <w:t xml:space="preserve">Para facilitar claridad sobre los parámetros de los modelos anónimos, se han señalado en color </w:t>
      </w:r>
      <w:r w:rsidR="00A34051">
        <w:rPr>
          <w:rFonts w:ascii="ITC Avant Garde" w:hAnsi="ITC Avant Garde"/>
          <w:lang w:val="es-ES"/>
        </w:rPr>
        <w:t>específico</w:t>
      </w:r>
      <w:r w:rsidRPr="4B922FC5">
        <w:rPr>
          <w:rFonts w:ascii="ITC Avant Garde" w:hAnsi="ITC Avant Garde"/>
          <w:lang w:val="es-ES"/>
        </w:rPr>
        <w:t xml:space="preserve"> las celdas correspondientes, siguiendo los códigos de colores y formatos listados en la hoja S de los modelos.</w:t>
      </w:r>
      <w:r w:rsidR="00541685" w:rsidRPr="4B922FC5">
        <w:rPr>
          <w:rFonts w:ascii="ITC Avant Garde" w:hAnsi="ITC Avant Garde"/>
          <w:lang w:val="es-ES"/>
        </w:rPr>
        <w:t xml:space="preserve"> El proceso de anonimización impli</w:t>
      </w:r>
      <w:r w:rsidR="00C3485A" w:rsidRPr="4B922FC5">
        <w:rPr>
          <w:rFonts w:ascii="ITC Avant Garde" w:hAnsi="ITC Avant Garde"/>
          <w:lang w:val="es-ES"/>
        </w:rPr>
        <w:t>ca</w:t>
      </w:r>
      <w:r w:rsidR="008A4535" w:rsidRPr="4B922FC5">
        <w:rPr>
          <w:rFonts w:ascii="ITC Avant Garde" w:hAnsi="ITC Avant Garde"/>
          <w:lang w:val="es-ES"/>
        </w:rPr>
        <w:t xml:space="preserve"> </w:t>
      </w:r>
      <w:r w:rsidR="00541685" w:rsidRPr="4B922FC5">
        <w:rPr>
          <w:rFonts w:ascii="ITC Avant Garde" w:hAnsi="ITC Avant Garde"/>
          <w:lang w:val="es-ES"/>
        </w:rPr>
        <w:t>la multiplicación del valor real por un factor aleatorio –dentro de un margen razonable para asegurar la representatividad de los resultados finales–.</w:t>
      </w:r>
    </w:p>
    <w:p w14:paraId="265056E4" w14:textId="77777777" w:rsidR="002569F8" w:rsidRPr="00541685" w:rsidRDefault="002569F8" w:rsidP="0080349A">
      <w:pPr>
        <w:spacing w:after="0" w:line="276" w:lineRule="auto"/>
        <w:ind w:left="0" w:right="0" w:firstLine="0"/>
        <w:rPr>
          <w:rFonts w:ascii="ITC Avant Garde" w:hAnsi="ITC Avant Garde"/>
          <w:lang w:val="es-ES"/>
        </w:rPr>
      </w:pPr>
    </w:p>
    <w:p w14:paraId="42363EC3" w14:textId="54B844C2" w:rsidR="00541685" w:rsidRPr="00541685" w:rsidRDefault="00541685" w:rsidP="4B922FC5">
      <w:pPr>
        <w:spacing w:after="0" w:line="276" w:lineRule="auto"/>
        <w:ind w:left="0" w:right="0" w:firstLine="0"/>
        <w:rPr>
          <w:rFonts w:ascii="ITC Avant Garde" w:hAnsi="ITC Avant Garde"/>
          <w:lang w:val="es-ES"/>
        </w:rPr>
      </w:pPr>
      <w:r w:rsidRPr="4B922FC5">
        <w:rPr>
          <w:rFonts w:ascii="ITC Avant Garde" w:hAnsi="ITC Avant Garde"/>
          <w:lang w:val="es-ES"/>
        </w:rPr>
        <w:t>Específicamente, se han anonimizado los parámetros de demanda</w:t>
      </w:r>
      <w:r w:rsidR="4A68D262" w:rsidRPr="4B922FC5">
        <w:rPr>
          <w:rFonts w:ascii="ITC Avant Garde" w:hAnsi="ITC Avant Garde"/>
          <w:lang w:val="es-ES"/>
        </w:rPr>
        <w:t>,</w:t>
      </w:r>
      <w:r w:rsidRPr="4B922FC5">
        <w:rPr>
          <w:rFonts w:ascii="ITC Avant Garde" w:hAnsi="ITC Avant Garde"/>
          <w:lang w:val="es-ES"/>
        </w:rPr>
        <w:t xml:space="preserve"> los costos de los equipos y el costo de mano de obra que alimentan el modelo de enlaces dedicados. Los datos anonimizados se encuentran en la hoja de cálculo Demanda y Costos de equipos del modelo correspondiente, con las celdas marcadas en color </w:t>
      </w:r>
      <w:r w:rsidR="00B56FA3">
        <w:rPr>
          <w:rFonts w:ascii="ITC Avant Garde" w:hAnsi="ITC Avant Garde"/>
          <w:lang w:val="es-ES"/>
        </w:rPr>
        <w:t>específico</w:t>
      </w:r>
      <w:r w:rsidRPr="4B922FC5">
        <w:rPr>
          <w:rFonts w:ascii="ITC Avant Garde" w:hAnsi="ITC Avant Garde"/>
          <w:lang w:val="es-ES"/>
        </w:rPr>
        <w:t xml:space="preserve">. </w:t>
      </w:r>
      <w:r w:rsidR="002128DA" w:rsidRPr="4B922FC5">
        <w:rPr>
          <w:rFonts w:ascii="ITC Avant Garde" w:hAnsi="ITC Avant Garde"/>
          <w:lang w:val="es-ES"/>
        </w:rPr>
        <w:t>También se ha anonimizado el modelo de mercado (que proporciona insumos tanto al modelo de costos de interconexión como al modelo de costos de enlaces dedicados)</w:t>
      </w:r>
      <w:r w:rsidR="002128DA">
        <w:rPr>
          <w:rFonts w:ascii="ITC Avant Garde" w:hAnsi="ITC Avant Garde"/>
          <w:lang w:val="es-ES"/>
        </w:rPr>
        <w:t xml:space="preserve"> específicamente </w:t>
      </w:r>
      <w:r w:rsidR="001312F4">
        <w:rPr>
          <w:rFonts w:ascii="ITC Avant Garde" w:hAnsi="ITC Avant Garde"/>
          <w:lang w:val="es-ES"/>
        </w:rPr>
        <w:t>para los datos relacionados a enlaces dedicados</w:t>
      </w:r>
      <w:r w:rsidR="002128DA" w:rsidRPr="4B922FC5">
        <w:rPr>
          <w:rFonts w:ascii="ITC Avant Garde" w:hAnsi="ITC Avant Garde"/>
          <w:lang w:val="es-ES"/>
        </w:rPr>
        <w:t>.</w:t>
      </w:r>
      <w:r w:rsidR="00962C37">
        <w:rPr>
          <w:rFonts w:ascii="ITC Avant Garde" w:hAnsi="ITC Avant Garde"/>
          <w:lang w:val="es-ES"/>
        </w:rPr>
        <w:t xml:space="preserve"> </w:t>
      </w:r>
      <w:r w:rsidRPr="4B922FC5">
        <w:rPr>
          <w:rFonts w:ascii="ITC Avant Garde" w:hAnsi="ITC Avant Garde"/>
          <w:lang w:val="es-ES"/>
        </w:rPr>
        <w:t>Por otro lado, el resto de los modelos no contienen valores anonimizados.</w:t>
      </w:r>
      <w:r w:rsidR="50C9007E" w:rsidRPr="4B922FC5">
        <w:rPr>
          <w:rFonts w:ascii="ITC Avant Garde" w:hAnsi="ITC Avant Garde"/>
          <w:lang w:val="es-ES"/>
        </w:rPr>
        <w:t xml:space="preserve"> </w:t>
      </w:r>
    </w:p>
    <w:p w14:paraId="044D6CD5" w14:textId="77777777" w:rsidR="002569F8" w:rsidRDefault="002569F8" w:rsidP="0080349A">
      <w:pPr>
        <w:spacing w:after="0" w:line="276" w:lineRule="auto"/>
        <w:ind w:left="0" w:right="0" w:firstLine="0"/>
        <w:rPr>
          <w:rFonts w:ascii="ITC Avant Garde" w:hAnsi="ITC Avant Garde"/>
          <w:lang w:val="es-ES"/>
        </w:rPr>
      </w:pPr>
    </w:p>
    <w:p w14:paraId="36129695" w14:textId="4442AC2F" w:rsidR="00541685" w:rsidRPr="002569F8" w:rsidRDefault="00541685" w:rsidP="4B922FC5">
      <w:pPr>
        <w:spacing w:after="0" w:line="276" w:lineRule="auto"/>
        <w:ind w:left="0" w:right="0" w:firstLine="0"/>
        <w:rPr>
          <w:rFonts w:ascii="ITC Avant Garde" w:hAnsi="ITC Avant Garde"/>
          <w:i/>
          <w:iCs/>
          <w:lang w:val="es-ES"/>
        </w:rPr>
      </w:pPr>
      <w:r w:rsidRPr="4B922FC5">
        <w:rPr>
          <w:rFonts w:ascii="ITC Avant Garde" w:hAnsi="ITC Avant Garde"/>
          <w:i/>
          <w:iCs/>
          <w:lang w:val="es-ES"/>
        </w:rPr>
        <w:t>Transparencia de los factores de enrutamiento empleados</w:t>
      </w:r>
    </w:p>
    <w:p w14:paraId="36825F0F" w14:textId="77777777" w:rsidR="002569F8" w:rsidRDefault="002569F8" w:rsidP="0080349A">
      <w:pPr>
        <w:spacing w:after="0" w:line="276" w:lineRule="auto"/>
        <w:ind w:left="0" w:right="0" w:firstLine="0"/>
        <w:rPr>
          <w:rFonts w:ascii="ITC Avant Garde" w:hAnsi="ITC Avant Garde"/>
          <w:lang w:val="es-ES"/>
        </w:rPr>
      </w:pPr>
    </w:p>
    <w:p w14:paraId="4F2188DC" w14:textId="02D0B352" w:rsidR="002569F8" w:rsidRDefault="005075FE" w:rsidP="0080349A">
      <w:pPr>
        <w:spacing w:after="0" w:line="276" w:lineRule="auto"/>
        <w:ind w:left="0" w:right="0" w:firstLine="0"/>
        <w:rPr>
          <w:rFonts w:ascii="ITC Avant Garde" w:hAnsi="ITC Avant Garde"/>
          <w:lang w:val="es-ES"/>
        </w:rPr>
      </w:pPr>
      <w:r>
        <w:rPr>
          <w:rFonts w:ascii="ITC Avant Garde" w:hAnsi="ITC Avant Garde"/>
          <w:lang w:val="es-ES"/>
        </w:rPr>
        <w:lastRenderedPageBreak/>
        <w:t>Mega Cable</w:t>
      </w:r>
    </w:p>
    <w:p w14:paraId="25486037" w14:textId="77777777" w:rsidR="002569F8" w:rsidRDefault="002569F8" w:rsidP="0080349A">
      <w:pPr>
        <w:spacing w:after="0" w:line="276" w:lineRule="auto"/>
        <w:ind w:left="0" w:right="0" w:firstLine="0"/>
        <w:rPr>
          <w:rFonts w:ascii="ITC Avant Garde" w:hAnsi="ITC Avant Garde"/>
          <w:lang w:val="es-ES"/>
        </w:rPr>
      </w:pPr>
    </w:p>
    <w:p w14:paraId="0227A082" w14:textId="38C0FB01" w:rsidR="00541685" w:rsidRPr="00541685" w:rsidRDefault="002569F8" w:rsidP="0080349A">
      <w:pPr>
        <w:spacing w:after="0" w:line="276" w:lineRule="auto"/>
        <w:ind w:left="0" w:right="0" w:firstLine="0"/>
        <w:rPr>
          <w:rFonts w:ascii="ITC Avant Garde" w:hAnsi="ITC Avant Garde"/>
          <w:lang w:val="es-ES"/>
        </w:rPr>
      </w:pPr>
      <w:r>
        <w:rPr>
          <w:rFonts w:ascii="ITC Avant Garde" w:hAnsi="ITC Avant Garde"/>
          <w:lang w:val="es-ES"/>
        </w:rPr>
        <w:t>S</w:t>
      </w:r>
      <w:r w:rsidR="00541685" w:rsidRPr="00541685">
        <w:rPr>
          <w:rFonts w:ascii="ITC Avant Garde" w:hAnsi="ITC Avant Garde"/>
          <w:lang w:val="es-ES"/>
        </w:rPr>
        <w:t xml:space="preserve">olicita más información sobre el diseño de los factores de enrutamiento (RF, por sus siglas en inglés) para </w:t>
      </w:r>
      <w:r w:rsidR="00C3485A" w:rsidRPr="00541685">
        <w:rPr>
          <w:rFonts w:ascii="ITC Avant Garde" w:hAnsi="ITC Avant Garde"/>
          <w:lang w:val="es-ES"/>
        </w:rPr>
        <w:t>a</w:t>
      </w:r>
      <w:r w:rsidR="00C3485A">
        <w:rPr>
          <w:rFonts w:ascii="ITC Avant Garde" w:hAnsi="ITC Avant Garde"/>
          <w:lang w:val="es-ES"/>
        </w:rPr>
        <w:t>sí</w:t>
      </w:r>
      <w:r w:rsidR="00541685" w:rsidRPr="00541685">
        <w:rPr>
          <w:rFonts w:ascii="ITC Avant Garde" w:hAnsi="ITC Avant Garde"/>
          <w:lang w:val="es-ES"/>
        </w:rPr>
        <w:t xml:space="preserve"> poder entender mejor el dimensionamiento y funcionamiento de los modelos de costos para el periodo regulatorio 2024–26.</w:t>
      </w:r>
    </w:p>
    <w:p w14:paraId="1C5FC1AB" w14:textId="77777777" w:rsidR="002569F8" w:rsidRDefault="002569F8" w:rsidP="0080349A">
      <w:pPr>
        <w:spacing w:after="0" w:line="276" w:lineRule="auto"/>
        <w:ind w:left="0" w:right="0" w:firstLine="0"/>
        <w:rPr>
          <w:rFonts w:ascii="ITC Avant Garde" w:hAnsi="ITC Avant Garde"/>
          <w:lang w:val="es-ES"/>
        </w:rPr>
      </w:pPr>
    </w:p>
    <w:p w14:paraId="63288806" w14:textId="7C61299B" w:rsidR="002569F8" w:rsidRDefault="002569F8" w:rsidP="002569F8">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644D384D" w14:textId="77777777" w:rsidR="002569F8" w:rsidRDefault="002569F8" w:rsidP="0080349A">
      <w:pPr>
        <w:spacing w:after="0" w:line="276" w:lineRule="auto"/>
        <w:ind w:left="0" w:right="0" w:firstLine="0"/>
        <w:rPr>
          <w:rFonts w:ascii="ITC Avant Garde" w:hAnsi="ITC Avant Garde"/>
          <w:lang w:val="es-ES"/>
        </w:rPr>
      </w:pPr>
    </w:p>
    <w:p w14:paraId="45454E8D" w14:textId="19B06C6D"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Como se expli</w:t>
      </w:r>
      <w:r w:rsidR="00C3485A">
        <w:rPr>
          <w:rFonts w:ascii="ITC Avant Garde" w:hAnsi="ITC Avant Garde"/>
          <w:lang w:val="es-ES"/>
        </w:rPr>
        <w:t>ca</w:t>
      </w:r>
      <w:r w:rsidR="008A4535">
        <w:rPr>
          <w:rFonts w:ascii="ITC Avant Garde" w:hAnsi="ITC Avant Garde"/>
          <w:lang w:val="es-ES"/>
        </w:rPr>
        <w:t xml:space="preserve"> </w:t>
      </w:r>
      <w:r w:rsidRPr="00541685">
        <w:rPr>
          <w:rFonts w:ascii="ITC Avant Garde" w:hAnsi="ITC Avant Garde"/>
          <w:lang w:val="es-ES"/>
        </w:rPr>
        <w:t xml:space="preserve">en la documentación de los modelos, los factores de enrutamiento miden el número de veces que un servicio particular hace uso de un elemento de red, por cada unidad de tráfico del servicio. El modelo contiene una matriz de factores de enrutamiento en la hoja InRF, donde cada fila contiene un elemento de red y cada columna tiene un servicio modelado, relacionados entre </w:t>
      </w:r>
      <w:r w:rsidR="00C3485A" w:rsidRPr="00541685">
        <w:rPr>
          <w:rFonts w:ascii="ITC Avant Garde" w:hAnsi="ITC Avant Garde"/>
          <w:lang w:val="es-ES"/>
        </w:rPr>
        <w:t>s</w:t>
      </w:r>
      <w:r w:rsidR="00C3485A">
        <w:rPr>
          <w:rFonts w:ascii="ITC Avant Garde" w:hAnsi="ITC Avant Garde"/>
          <w:lang w:val="es-ES"/>
        </w:rPr>
        <w:t>í</w:t>
      </w:r>
      <w:r w:rsidRPr="00541685">
        <w:rPr>
          <w:rFonts w:ascii="ITC Avant Garde" w:hAnsi="ITC Avant Garde"/>
          <w:lang w:val="es-ES"/>
        </w:rPr>
        <w:t xml:space="preserve"> mediante un factor de enrutamiento, que puede ser cero en algunos casos. Los factores de enrutamiento son necesarios para poder unificar las unidades de los distintos servicios y poder reconocer el uso que hacen de un mismo elemento los distintos servicios. De esta forma, los factores de enrutamiento permiten asociar los distintos elementos de red con los servicios modelados. </w:t>
      </w:r>
    </w:p>
    <w:p w14:paraId="47CE12A5" w14:textId="77777777" w:rsidR="00665CBA" w:rsidRPr="00541685" w:rsidRDefault="00665CBA" w:rsidP="0080349A">
      <w:pPr>
        <w:spacing w:after="0" w:line="276" w:lineRule="auto"/>
        <w:ind w:left="0" w:right="0" w:firstLine="0"/>
        <w:rPr>
          <w:rFonts w:ascii="ITC Avant Garde" w:hAnsi="ITC Avant Garde"/>
          <w:lang w:val="es-ES"/>
        </w:rPr>
      </w:pPr>
    </w:p>
    <w:p w14:paraId="0EE36154" w14:textId="19B311D7"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Los factores de enrutamiento se han diseñado siguiendo una serie de cálculos y parámetros técnicos, ilustrados a continuación en la siguiente gráfi</w:t>
      </w:r>
      <w:r w:rsidR="00C3485A">
        <w:rPr>
          <w:rFonts w:ascii="ITC Avant Garde" w:hAnsi="ITC Avant Garde"/>
          <w:lang w:val="es-ES"/>
        </w:rPr>
        <w:t>ca</w:t>
      </w:r>
      <w:r w:rsidR="00376355">
        <w:rPr>
          <w:rFonts w:ascii="ITC Avant Garde" w:hAnsi="ITC Avant Garde"/>
          <w:lang w:val="es-ES"/>
        </w:rPr>
        <w:t>.</w:t>
      </w:r>
    </w:p>
    <w:p w14:paraId="7BCAE992" w14:textId="77777777" w:rsidR="00665CBA" w:rsidRPr="00541685" w:rsidRDefault="00665CBA" w:rsidP="0080349A">
      <w:pPr>
        <w:spacing w:after="0" w:line="276" w:lineRule="auto"/>
        <w:ind w:left="0" w:right="0" w:firstLine="0"/>
        <w:rPr>
          <w:rFonts w:ascii="ITC Avant Garde" w:hAnsi="ITC Avant Garde"/>
          <w:lang w:val="es-ES"/>
        </w:rPr>
      </w:pPr>
    </w:p>
    <w:p w14:paraId="44197F6C" w14:textId="47D540C2" w:rsidR="00541685" w:rsidRP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Figura 1: Cálculo de factores de enrutamiento [Fuente: Analysys Mason, 2023]</w:t>
      </w:r>
    </w:p>
    <w:p w14:paraId="213A3D02" w14:textId="7B186CAB" w:rsidR="00541685" w:rsidRDefault="00541685" w:rsidP="0080349A">
      <w:pPr>
        <w:spacing w:after="0" w:line="276" w:lineRule="auto"/>
        <w:ind w:left="0" w:right="0" w:firstLine="0"/>
        <w:rPr>
          <w:rFonts w:ascii="ITC Avant Garde" w:hAnsi="ITC Avant Garde"/>
          <w:lang w:val="es-ES"/>
        </w:rPr>
      </w:pPr>
    </w:p>
    <w:p w14:paraId="730DDBF2" w14:textId="75BBCE9E" w:rsidR="00665CBA" w:rsidRDefault="00665CBA" w:rsidP="0080349A">
      <w:pPr>
        <w:spacing w:after="0" w:line="276" w:lineRule="auto"/>
        <w:ind w:left="0" w:right="0" w:firstLine="0"/>
        <w:rPr>
          <w:rFonts w:ascii="ITC Avant Garde" w:hAnsi="ITC Avant Garde"/>
          <w:lang w:val="es-ES"/>
        </w:rPr>
      </w:pPr>
      <w:r w:rsidRPr="006207ED">
        <w:rPr>
          <w:noProof/>
          <w:lang w:val="es-ES"/>
        </w:rPr>
        <w:drawing>
          <wp:inline distT="0" distB="0" distL="0" distR="0" wp14:anchorId="40F27F68" wp14:editId="320E83EF">
            <wp:extent cx="5392420" cy="2022475"/>
            <wp:effectExtent l="0" t="0" r="0" b="0"/>
            <wp:docPr id="652679891" name="Picture 652679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2420" cy="2022475"/>
                    </a:xfrm>
                    <a:prstGeom prst="rect">
                      <a:avLst/>
                    </a:prstGeom>
                    <a:noFill/>
                    <a:ln>
                      <a:noFill/>
                    </a:ln>
                  </pic:spPr>
                </pic:pic>
              </a:graphicData>
            </a:graphic>
          </wp:inline>
        </w:drawing>
      </w:r>
    </w:p>
    <w:p w14:paraId="4E1447EF" w14:textId="77777777" w:rsidR="00665CBA" w:rsidRPr="00541685" w:rsidRDefault="00665CBA" w:rsidP="0080349A">
      <w:pPr>
        <w:spacing w:after="0" w:line="276" w:lineRule="auto"/>
        <w:ind w:left="0" w:right="0" w:firstLine="0"/>
        <w:rPr>
          <w:rFonts w:ascii="ITC Avant Garde" w:hAnsi="ITC Avant Garde"/>
          <w:lang w:val="es-ES"/>
        </w:rPr>
      </w:pPr>
    </w:p>
    <w:p w14:paraId="52434959" w14:textId="554376DC" w:rsidR="00541685" w:rsidRP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En la siguiente gráfi</w:t>
      </w:r>
      <w:r w:rsidR="00C3485A">
        <w:rPr>
          <w:rFonts w:ascii="ITC Avant Garde" w:hAnsi="ITC Avant Garde"/>
          <w:lang w:val="es-ES"/>
        </w:rPr>
        <w:t>ca</w:t>
      </w:r>
      <w:r w:rsidR="008A4535">
        <w:rPr>
          <w:rFonts w:ascii="ITC Avant Garde" w:hAnsi="ITC Avant Garde"/>
          <w:lang w:val="es-ES"/>
        </w:rPr>
        <w:t xml:space="preserve"> </w:t>
      </w:r>
      <w:r w:rsidRPr="00541685">
        <w:rPr>
          <w:rFonts w:ascii="ITC Avant Garde" w:hAnsi="ITC Avant Garde"/>
          <w:lang w:val="es-ES"/>
        </w:rPr>
        <w:t>se muestra una sección de la matriz de factores de enrutamiento aplicada a los servicios móviles 2G y de datos.</w:t>
      </w:r>
    </w:p>
    <w:p w14:paraId="548F9936" w14:textId="77777777" w:rsidR="00665CBA" w:rsidRDefault="00665CBA" w:rsidP="0080349A">
      <w:pPr>
        <w:spacing w:after="0" w:line="276" w:lineRule="auto"/>
        <w:ind w:left="0" w:right="0" w:firstLine="0"/>
        <w:rPr>
          <w:rFonts w:ascii="ITC Avant Garde" w:hAnsi="ITC Avant Garde"/>
          <w:lang w:val="es-ES"/>
        </w:rPr>
      </w:pPr>
    </w:p>
    <w:p w14:paraId="7A61AA14" w14:textId="1F44F062" w:rsidR="00541685" w:rsidRP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Figura 2: Factores de enrutamiento utilizados en el modelo de red móvil para algunos elementos de red [Fuente: Analysys Mason, 2023]</w:t>
      </w:r>
    </w:p>
    <w:p w14:paraId="0FC6BDCD" w14:textId="32C69B9F"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 </w:t>
      </w:r>
    </w:p>
    <w:p w14:paraId="084CE933" w14:textId="39BF5618" w:rsidR="00665CBA" w:rsidRDefault="00665CBA" w:rsidP="0080349A">
      <w:pPr>
        <w:spacing w:after="0" w:line="276" w:lineRule="auto"/>
        <w:ind w:left="0" w:right="0" w:firstLine="0"/>
        <w:rPr>
          <w:rFonts w:ascii="ITC Avant Garde" w:hAnsi="ITC Avant Garde"/>
          <w:lang w:val="es-ES"/>
        </w:rPr>
      </w:pPr>
      <w:r>
        <w:rPr>
          <w:noProof/>
        </w:rPr>
        <w:lastRenderedPageBreak/>
        <w:drawing>
          <wp:inline distT="0" distB="0" distL="0" distR="0" wp14:anchorId="7C5699DA" wp14:editId="215936CF">
            <wp:extent cx="5400675" cy="1072515"/>
            <wp:effectExtent l="0" t="0" r="9525" b="0"/>
            <wp:docPr id="1421365546" name="Picture 1421365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65546" name=""/>
                    <pic:cNvPicPr/>
                  </pic:nvPicPr>
                  <pic:blipFill>
                    <a:blip r:embed="rId10"/>
                    <a:stretch>
                      <a:fillRect/>
                    </a:stretch>
                  </pic:blipFill>
                  <pic:spPr>
                    <a:xfrm>
                      <a:off x="0" y="0"/>
                      <a:ext cx="5400675" cy="1072515"/>
                    </a:xfrm>
                    <a:prstGeom prst="rect">
                      <a:avLst/>
                    </a:prstGeom>
                  </pic:spPr>
                </pic:pic>
              </a:graphicData>
            </a:graphic>
          </wp:inline>
        </w:drawing>
      </w:r>
    </w:p>
    <w:p w14:paraId="186D721C" w14:textId="77777777" w:rsidR="00665CBA" w:rsidRPr="00541685" w:rsidRDefault="00665CBA" w:rsidP="0080349A">
      <w:pPr>
        <w:spacing w:after="0" w:line="276" w:lineRule="auto"/>
        <w:ind w:left="0" w:right="0" w:firstLine="0"/>
        <w:rPr>
          <w:rFonts w:ascii="ITC Avant Garde" w:hAnsi="ITC Avant Garde"/>
          <w:lang w:val="es-ES"/>
        </w:rPr>
      </w:pPr>
    </w:p>
    <w:p w14:paraId="15FEE20F" w14:textId="77777777" w:rsidR="00DE3408"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En el ejemplo mostrado, se puede ver un factor de enrutamiento de 2.91 para el elemento de red ‘BTS</w:t>
      </w:r>
      <w:r w:rsidR="00A12569">
        <w:rPr>
          <w:rFonts w:ascii="ITC Avant Garde" w:hAnsi="ITC Avant Garde"/>
          <w:lang w:val="es-ES"/>
        </w:rPr>
        <w:t>”</w:t>
      </w:r>
      <w:r w:rsidRPr="00541685">
        <w:rPr>
          <w:rFonts w:ascii="ITC Avant Garde" w:hAnsi="ITC Avant Garde"/>
          <w:lang w:val="es-ES"/>
        </w:rPr>
        <w:t xml:space="preserve"> en el servicio de llamadas 2G on-net. Este valor es el resultado de multiplicar dos factores que se consideran relevantes:</w:t>
      </w:r>
    </w:p>
    <w:p w14:paraId="566C10C0" w14:textId="51E9EB90" w:rsidR="00541685" w:rsidRP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 </w:t>
      </w:r>
    </w:p>
    <w:p w14:paraId="0ACB8732" w14:textId="505B58D3"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El tiempo total de red por cada minuto real de llamada (contabilizando, por ejemplo, las llamadas fallidas y el tiempo de timbrado), estimado en 1.45 minutos de red por minuto de llamada, con base en información proporcionada por los </w:t>
      </w:r>
      <w:r w:rsidR="00A94546">
        <w:rPr>
          <w:rFonts w:ascii="ITC Avant Garde" w:hAnsi="ITC Avant Garde"/>
          <w:lang w:val="es-ES"/>
        </w:rPr>
        <w:t>concesionarios</w:t>
      </w:r>
      <w:r w:rsidRPr="00541685">
        <w:rPr>
          <w:rFonts w:ascii="ITC Avant Garde" w:hAnsi="ITC Avant Garde"/>
          <w:lang w:val="es-ES"/>
        </w:rPr>
        <w:t>.</w:t>
      </w:r>
    </w:p>
    <w:p w14:paraId="5B6B7DAD" w14:textId="77777777" w:rsidR="00665CBA" w:rsidRPr="00541685" w:rsidRDefault="00665CBA" w:rsidP="0080349A">
      <w:pPr>
        <w:spacing w:after="0" w:line="276" w:lineRule="auto"/>
        <w:ind w:left="0" w:right="0" w:firstLine="0"/>
        <w:rPr>
          <w:rFonts w:ascii="ITC Avant Garde" w:hAnsi="ITC Avant Garde"/>
          <w:lang w:val="es-ES"/>
        </w:rPr>
      </w:pPr>
    </w:p>
    <w:p w14:paraId="3D0E3CCA" w14:textId="45C14CAF"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El factor de uso doble de la red por tratarse de una llamada on-net (la cual hace un uso doble de la red de acceso comparado con una llamada entrante o una llamada off-net).</w:t>
      </w:r>
    </w:p>
    <w:p w14:paraId="23A7B290" w14:textId="77777777" w:rsidR="00665CBA" w:rsidRPr="00541685" w:rsidRDefault="00665CBA" w:rsidP="0080349A">
      <w:pPr>
        <w:spacing w:after="0" w:line="276" w:lineRule="auto"/>
        <w:ind w:left="0" w:right="0" w:firstLine="0"/>
        <w:rPr>
          <w:rFonts w:ascii="ITC Avant Garde" w:hAnsi="ITC Avant Garde"/>
          <w:lang w:val="es-ES"/>
        </w:rPr>
      </w:pPr>
    </w:p>
    <w:p w14:paraId="663EF0FD" w14:textId="2AA1E883"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El resto de los factores de enrutamiento se calculan de forma similar, con base a los parámetros pertinentes a cada par recurso-servicio. La propia hoja de cálculo InRF proporciona el detalle de los parámetros y fuentes empleados para los distintos factores. </w:t>
      </w:r>
    </w:p>
    <w:p w14:paraId="2061A144" w14:textId="77777777" w:rsidR="00665CBA" w:rsidRPr="00541685" w:rsidRDefault="00665CBA" w:rsidP="0080349A">
      <w:pPr>
        <w:spacing w:after="0" w:line="276" w:lineRule="auto"/>
        <w:ind w:left="0" w:right="0" w:firstLine="0"/>
        <w:rPr>
          <w:rFonts w:ascii="ITC Avant Garde" w:hAnsi="ITC Avant Garde"/>
          <w:lang w:val="es-ES"/>
        </w:rPr>
      </w:pPr>
    </w:p>
    <w:p w14:paraId="17B0116C" w14:textId="7D33BC97"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Una vez </w:t>
      </w:r>
      <w:r w:rsidR="00C705C8">
        <w:rPr>
          <w:rFonts w:ascii="ITC Avant Garde" w:hAnsi="ITC Avant Garde"/>
          <w:lang w:val="es-ES"/>
        </w:rPr>
        <w:t xml:space="preserve">que </w:t>
      </w:r>
      <w:r w:rsidRPr="00541685">
        <w:rPr>
          <w:rFonts w:ascii="ITC Avant Garde" w:hAnsi="ITC Avant Garde"/>
          <w:lang w:val="es-ES"/>
        </w:rPr>
        <w:t>se identifican los factores de enrutamiento relevantes, estos se emplean para atribuir los costos de los elementos de red a los distintos servicios modelados, con base en el uso que cada uno de estos servicios hace de la red. De forma simplificada, se emplean las siguientes fórmulas:</w:t>
      </w:r>
    </w:p>
    <w:p w14:paraId="6FE50A90" w14:textId="77777777" w:rsidR="00665CBA" w:rsidRDefault="00665CBA" w:rsidP="0080349A">
      <w:pPr>
        <w:spacing w:after="0" w:line="276" w:lineRule="auto"/>
        <w:ind w:left="0" w:right="0" w:firstLine="0"/>
        <w:rPr>
          <w:rFonts w:ascii="ITC Avant Garde" w:hAnsi="ITC Avant Garde"/>
          <w:lang w:val="es-ES"/>
        </w:rPr>
      </w:pPr>
    </w:p>
    <w:p w14:paraId="77849618" w14:textId="30E88A3B" w:rsidR="00665CBA" w:rsidRPr="00665CBA" w:rsidRDefault="00665CBA" w:rsidP="0080349A">
      <w:pPr>
        <w:spacing w:after="0" w:line="276" w:lineRule="auto"/>
        <w:ind w:left="0" w:right="0" w:firstLine="0"/>
        <w:rPr>
          <w:rFonts w:ascii="ITC Avant Garde" w:hAnsi="ITC Avant Garde"/>
          <w:sz w:val="18"/>
          <w:szCs w:val="18"/>
        </w:rPr>
      </w:pPr>
      <m:oMathPara>
        <m:oMath>
          <m:r>
            <w:rPr>
              <w:rFonts w:ascii="Cambria Math"/>
              <w:sz w:val="18"/>
              <w:szCs w:val="18"/>
            </w:rPr>
            <m:t xml:space="preserve">Costo por unidad </m:t>
          </m:r>
          <m:d>
            <m:dPr>
              <m:ctrlPr>
                <w:rPr>
                  <w:rFonts w:ascii="Cambria Math" w:hAnsi="Cambria Math"/>
                  <w:i/>
                  <w:sz w:val="18"/>
                  <w:szCs w:val="18"/>
                </w:rPr>
              </m:ctrlPr>
            </m:dPr>
            <m:e>
              <m:r>
                <w:rPr>
                  <w:rFonts w:ascii="Cambria Math"/>
                  <w:sz w:val="18"/>
                  <w:szCs w:val="18"/>
                </w:rPr>
                <m:t>element</m:t>
              </m:r>
              <m:sSub>
                <m:sSubPr>
                  <m:ctrlPr>
                    <w:rPr>
                      <w:rFonts w:ascii="Cambria Math" w:hAnsi="Cambria Math"/>
                      <w:i/>
                      <w:sz w:val="18"/>
                      <w:szCs w:val="18"/>
                    </w:rPr>
                  </m:ctrlPr>
                </m:sSubPr>
                <m:e>
                  <m:r>
                    <w:rPr>
                      <w:rFonts w:ascii="Cambria Math"/>
                      <w:sz w:val="18"/>
                      <w:szCs w:val="18"/>
                    </w:rPr>
                    <m:t>o</m:t>
                  </m:r>
                </m:e>
                <m:sub>
                  <m:r>
                    <w:rPr>
                      <w:rFonts w:ascii="Cambria Math"/>
                      <w:sz w:val="18"/>
                      <w:szCs w:val="18"/>
                    </w:rPr>
                    <m:t>i</m:t>
                  </m:r>
                </m:sub>
              </m:sSub>
            </m:e>
          </m:d>
          <m:r>
            <w:rPr>
              <w:rFonts w:ascii="Cambria Math"/>
              <w:sz w:val="18"/>
              <w:szCs w:val="18"/>
            </w:rPr>
            <m:t>=</m:t>
          </m:r>
          <m:f>
            <m:fPr>
              <m:ctrlPr>
                <w:rPr>
                  <w:rFonts w:ascii="Cambria Math" w:hAnsi="Cambria Math"/>
                  <w:i/>
                  <w:sz w:val="18"/>
                  <w:szCs w:val="18"/>
                </w:rPr>
              </m:ctrlPr>
            </m:fPr>
            <m:num>
              <m:r>
                <w:rPr>
                  <w:rFonts w:ascii="Cambria Math"/>
                  <w:sz w:val="18"/>
                  <w:szCs w:val="18"/>
                </w:rPr>
                <m:t xml:space="preserve">Costo </m:t>
              </m:r>
              <m:d>
                <m:dPr>
                  <m:ctrlPr>
                    <w:rPr>
                      <w:rFonts w:ascii="Cambria Math" w:hAnsi="Cambria Math"/>
                      <w:i/>
                      <w:sz w:val="18"/>
                      <w:szCs w:val="18"/>
                    </w:rPr>
                  </m:ctrlPr>
                </m:dPr>
                <m:e>
                  <m:r>
                    <w:rPr>
                      <w:rFonts w:ascii="Cambria Math"/>
                      <w:sz w:val="18"/>
                      <w:szCs w:val="18"/>
                    </w:rPr>
                    <m:t>element</m:t>
                  </m:r>
                  <m:sSub>
                    <m:sSubPr>
                      <m:ctrlPr>
                        <w:rPr>
                          <w:rFonts w:ascii="Cambria Math" w:hAnsi="Cambria Math"/>
                          <w:i/>
                          <w:sz w:val="18"/>
                          <w:szCs w:val="18"/>
                        </w:rPr>
                      </m:ctrlPr>
                    </m:sSubPr>
                    <m:e>
                      <m:r>
                        <w:rPr>
                          <w:rFonts w:ascii="Cambria Math"/>
                          <w:sz w:val="18"/>
                          <w:szCs w:val="18"/>
                        </w:rPr>
                        <m:t>o</m:t>
                      </m:r>
                    </m:e>
                    <m:sub>
                      <m:r>
                        <w:rPr>
                          <w:rFonts w:ascii="Cambria Math"/>
                          <w:sz w:val="18"/>
                          <w:szCs w:val="18"/>
                        </w:rPr>
                        <m:t>i</m:t>
                      </m:r>
                    </m:sub>
                  </m:sSub>
                </m:e>
              </m:d>
            </m:num>
            <m:den>
              <m:nary>
                <m:naryPr>
                  <m:chr m:val="∑"/>
                  <m:supHide m:val="1"/>
                  <m:ctrlPr>
                    <w:rPr>
                      <w:rFonts w:ascii="Cambria Math" w:hAnsi="Cambria Math"/>
                      <w:i/>
                      <w:sz w:val="18"/>
                      <w:szCs w:val="18"/>
                    </w:rPr>
                  </m:ctrlPr>
                </m:naryPr>
                <m:sub>
                  <m:r>
                    <w:rPr>
                      <w:rFonts w:ascii="Cambria Math"/>
                      <w:sz w:val="18"/>
                      <w:szCs w:val="18"/>
                    </w:rPr>
                    <m:t>elementos</m:t>
                  </m:r>
                </m:sub>
                <m:sup/>
                <m:e>
                  <m:r>
                    <w:rPr>
                      <w:rFonts w:ascii="Cambria Math"/>
                      <w:sz w:val="18"/>
                      <w:szCs w:val="18"/>
                    </w:rPr>
                    <m:t>Volumen (servici</m:t>
                  </m:r>
                  <m:sSub>
                    <m:sSubPr>
                      <m:ctrlPr>
                        <w:rPr>
                          <w:rFonts w:ascii="Cambria Math" w:hAnsi="Cambria Math"/>
                          <w:i/>
                          <w:sz w:val="18"/>
                          <w:szCs w:val="18"/>
                        </w:rPr>
                      </m:ctrlPr>
                    </m:sSubPr>
                    <m:e>
                      <m:r>
                        <w:rPr>
                          <w:rFonts w:ascii="Cambria Math"/>
                          <w:sz w:val="18"/>
                          <w:szCs w:val="18"/>
                        </w:rPr>
                        <m:t>o</m:t>
                      </m:r>
                    </m:e>
                    <m:sub>
                      <m:r>
                        <w:rPr>
                          <w:rFonts w:ascii="Cambria Math"/>
                          <w:sz w:val="18"/>
                          <w:szCs w:val="18"/>
                        </w:rPr>
                        <m:t>k</m:t>
                      </m:r>
                    </m:sub>
                  </m:sSub>
                  <m:r>
                    <w:rPr>
                      <w:rFonts w:ascii="Cambria Math"/>
                      <w:sz w:val="18"/>
                      <w:szCs w:val="18"/>
                    </w:rPr>
                    <m:t>)</m:t>
                  </m:r>
                </m:e>
              </m:nary>
              <m:r>
                <w:rPr>
                  <w:rFonts w:ascii="Cambria Math" w:hAnsi="Cambria Math"/>
                  <w:sz w:val="18"/>
                  <w:szCs w:val="18"/>
                </w:rPr>
                <m:t xml:space="preserve">x </m:t>
              </m:r>
              <m:r>
                <w:rPr>
                  <w:rFonts w:ascii="Cambria Math"/>
                  <w:sz w:val="18"/>
                  <w:szCs w:val="18"/>
                </w:rPr>
                <m:t xml:space="preserve">RF </m:t>
              </m:r>
              <m:d>
                <m:dPr>
                  <m:ctrlPr>
                    <w:rPr>
                      <w:rFonts w:ascii="Cambria Math" w:hAnsi="Cambria Math"/>
                      <w:i/>
                      <w:sz w:val="18"/>
                      <w:szCs w:val="18"/>
                    </w:rPr>
                  </m:ctrlPr>
                </m:dPr>
                <m:e>
                  <m:r>
                    <w:rPr>
                      <w:rFonts w:ascii="Cambria Math"/>
                      <w:sz w:val="18"/>
                      <w:szCs w:val="18"/>
                    </w:rPr>
                    <m:t>elemen</m:t>
                  </m:r>
                  <m:sSub>
                    <m:sSubPr>
                      <m:ctrlPr>
                        <w:rPr>
                          <w:rFonts w:ascii="Cambria Math" w:hAnsi="Cambria Math"/>
                          <w:i/>
                          <w:sz w:val="18"/>
                          <w:szCs w:val="18"/>
                        </w:rPr>
                      </m:ctrlPr>
                    </m:sSubPr>
                    <m:e>
                      <m:r>
                        <w:rPr>
                          <w:rFonts w:ascii="Cambria Math"/>
                          <w:sz w:val="18"/>
                          <w:szCs w:val="18"/>
                        </w:rPr>
                        <m:t>to</m:t>
                      </m:r>
                    </m:e>
                    <m:sub>
                      <m:r>
                        <w:rPr>
                          <w:rFonts w:ascii="Cambria Math"/>
                          <w:sz w:val="18"/>
                          <w:szCs w:val="18"/>
                        </w:rPr>
                        <m:t>i</m:t>
                      </m:r>
                    </m:sub>
                  </m:sSub>
                  <m:r>
                    <w:rPr>
                      <w:rFonts w:ascii="Cambria Math"/>
                      <w:sz w:val="18"/>
                      <w:szCs w:val="18"/>
                    </w:rPr>
                    <m:t>,</m:t>
                  </m:r>
                  <m:sSub>
                    <m:sSubPr>
                      <m:ctrlPr>
                        <w:rPr>
                          <w:rFonts w:ascii="Cambria Math" w:hAnsi="Cambria Math"/>
                          <w:i/>
                          <w:sz w:val="18"/>
                          <w:szCs w:val="18"/>
                        </w:rPr>
                      </m:ctrlPr>
                    </m:sSubPr>
                    <m:e>
                      <m:r>
                        <w:rPr>
                          <w:rFonts w:ascii="Cambria Math"/>
                          <w:sz w:val="18"/>
                          <w:szCs w:val="18"/>
                        </w:rPr>
                        <m:t>servicio</m:t>
                      </m:r>
                    </m:e>
                    <m:sub>
                      <m:r>
                        <w:rPr>
                          <w:rFonts w:ascii="Cambria Math"/>
                          <w:sz w:val="18"/>
                          <w:szCs w:val="18"/>
                        </w:rPr>
                        <m:t>k</m:t>
                      </m:r>
                    </m:sub>
                  </m:sSub>
                </m:e>
              </m:d>
            </m:den>
          </m:f>
        </m:oMath>
      </m:oMathPara>
    </w:p>
    <w:p w14:paraId="640BD884" w14:textId="77777777" w:rsidR="00665CBA" w:rsidRPr="00541685" w:rsidRDefault="00665CBA" w:rsidP="0080349A">
      <w:pPr>
        <w:spacing w:after="0" w:line="276" w:lineRule="auto"/>
        <w:ind w:left="0" w:right="0" w:firstLine="0"/>
        <w:rPr>
          <w:rFonts w:ascii="ITC Avant Garde" w:hAnsi="ITC Avant Garde"/>
          <w:lang w:val="es-ES"/>
        </w:rPr>
      </w:pPr>
    </w:p>
    <w:p w14:paraId="013E3EF2" w14:textId="0C0C7DAE" w:rsidR="00665CBA" w:rsidRDefault="00665CBA" w:rsidP="0080349A">
      <w:pPr>
        <w:spacing w:after="0" w:line="276" w:lineRule="auto"/>
        <w:ind w:left="0" w:right="0" w:firstLine="0"/>
        <w:rPr>
          <w:rFonts w:ascii="ITC Avant Garde" w:hAnsi="ITC Avant Garde"/>
          <w:lang w:val="es-ES"/>
        </w:rPr>
      </w:pPr>
      <m:oMathPara>
        <m:oMath>
          <m:r>
            <w:rPr>
              <w:rFonts w:ascii="Cambria Math"/>
              <w:sz w:val="18"/>
              <w:szCs w:val="18"/>
            </w:rPr>
            <m:t xml:space="preserve">Costo por unidad </m:t>
          </m:r>
          <m:d>
            <m:dPr>
              <m:ctrlPr>
                <w:rPr>
                  <w:rFonts w:ascii="Cambria Math" w:hAnsi="Cambria Math"/>
                  <w:i/>
                  <w:sz w:val="18"/>
                  <w:szCs w:val="18"/>
                </w:rPr>
              </m:ctrlPr>
            </m:dPr>
            <m:e>
              <m:r>
                <w:rPr>
                  <w:rFonts w:ascii="Cambria Math"/>
                  <w:sz w:val="18"/>
                  <w:szCs w:val="18"/>
                </w:rPr>
                <m:t>servic</m:t>
              </m:r>
              <m:sSub>
                <m:sSubPr>
                  <m:ctrlPr>
                    <w:rPr>
                      <w:rFonts w:ascii="Cambria Math" w:hAnsi="Cambria Math"/>
                      <w:i/>
                      <w:sz w:val="18"/>
                      <w:szCs w:val="18"/>
                    </w:rPr>
                  </m:ctrlPr>
                </m:sSubPr>
                <m:e>
                  <m:r>
                    <w:rPr>
                      <w:rFonts w:ascii="Cambria Math"/>
                      <w:sz w:val="18"/>
                      <w:szCs w:val="18"/>
                    </w:rPr>
                    <m:t>io</m:t>
                  </m:r>
                </m:e>
                <m:sub>
                  <m:r>
                    <w:rPr>
                      <w:rFonts w:ascii="Cambria Math"/>
                      <w:sz w:val="18"/>
                      <w:szCs w:val="18"/>
                    </w:rPr>
                    <m:t>k</m:t>
                  </m:r>
                </m:sub>
              </m:sSub>
            </m:e>
          </m:d>
          <m:r>
            <w:rPr>
              <w:rFonts w:ascii="Cambria Math"/>
              <w:sz w:val="18"/>
              <w:szCs w:val="18"/>
            </w:rPr>
            <m:t>=</m:t>
          </m:r>
          <m:nary>
            <m:naryPr>
              <m:chr m:val="∑"/>
              <m:supHide m:val="1"/>
              <m:ctrlPr>
                <w:rPr>
                  <w:rFonts w:ascii="Cambria Math" w:hAnsi="Cambria Math"/>
                  <w:i/>
                  <w:sz w:val="18"/>
                  <w:szCs w:val="18"/>
                </w:rPr>
              </m:ctrlPr>
            </m:naryPr>
            <m:sub>
              <m:r>
                <w:rPr>
                  <w:rFonts w:ascii="Cambria Math"/>
                  <w:sz w:val="18"/>
                  <w:szCs w:val="18"/>
                </w:rPr>
                <m:t>elementos</m:t>
              </m:r>
            </m:sub>
            <m:sup/>
            <m:e>
              <m:r>
                <w:rPr>
                  <w:rFonts w:ascii="Cambria Math"/>
                  <w:sz w:val="18"/>
                  <w:szCs w:val="18"/>
                </w:rPr>
                <m:t>Costo por unidad (elemen</m:t>
              </m:r>
              <m:sSub>
                <m:sSubPr>
                  <m:ctrlPr>
                    <w:rPr>
                      <w:rFonts w:ascii="Cambria Math" w:hAnsi="Cambria Math"/>
                      <w:i/>
                      <w:sz w:val="18"/>
                      <w:szCs w:val="18"/>
                    </w:rPr>
                  </m:ctrlPr>
                </m:sSubPr>
                <m:e>
                  <m:r>
                    <w:rPr>
                      <w:rFonts w:ascii="Cambria Math"/>
                      <w:sz w:val="18"/>
                      <w:szCs w:val="18"/>
                    </w:rPr>
                    <m:t>to</m:t>
                  </m:r>
                </m:e>
                <m:sub>
                  <m:r>
                    <w:rPr>
                      <w:rFonts w:ascii="Cambria Math"/>
                      <w:sz w:val="18"/>
                      <w:szCs w:val="18"/>
                    </w:rPr>
                    <m:t>i</m:t>
                  </m:r>
                </m:sub>
              </m:sSub>
              <m:r>
                <w:rPr>
                  <w:rFonts w:ascii="Cambria Math"/>
                  <w:sz w:val="18"/>
                  <w:szCs w:val="18"/>
                </w:rPr>
                <m:t>)</m:t>
              </m:r>
            </m:e>
          </m:nary>
          <m:r>
            <w:rPr>
              <w:rFonts w:ascii="Cambria Math"/>
              <w:sz w:val="18"/>
              <w:szCs w:val="18"/>
            </w:rPr>
            <m:t>×</m:t>
          </m:r>
          <m:r>
            <w:rPr>
              <w:rFonts w:ascii="Cambria Math"/>
              <w:sz w:val="18"/>
              <w:szCs w:val="18"/>
            </w:rPr>
            <m:t xml:space="preserve">RF </m:t>
          </m:r>
          <m:d>
            <m:dPr>
              <m:ctrlPr>
                <w:rPr>
                  <w:rFonts w:ascii="Cambria Math" w:hAnsi="Cambria Math"/>
                  <w:i/>
                  <w:sz w:val="18"/>
                  <w:szCs w:val="18"/>
                </w:rPr>
              </m:ctrlPr>
            </m:dPr>
            <m:e>
              <m:r>
                <w:rPr>
                  <w:rFonts w:ascii="Cambria Math"/>
                  <w:sz w:val="18"/>
                  <w:szCs w:val="18"/>
                </w:rPr>
                <m:t>elemen</m:t>
              </m:r>
              <m:sSub>
                <m:sSubPr>
                  <m:ctrlPr>
                    <w:rPr>
                      <w:rFonts w:ascii="Cambria Math" w:hAnsi="Cambria Math"/>
                      <w:i/>
                      <w:sz w:val="18"/>
                      <w:szCs w:val="18"/>
                    </w:rPr>
                  </m:ctrlPr>
                </m:sSubPr>
                <m:e>
                  <m:r>
                    <w:rPr>
                      <w:rFonts w:ascii="Cambria Math"/>
                      <w:sz w:val="18"/>
                      <w:szCs w:val="18"/>
                    </w:rPr>
                    <m:t>to</m:t>
                  </m:r>
                </m:e>
                <m:sub>
                  <m:r>
                    <w:rPr>
                      <w:rFonts w:ascii="Cambria Math"/>
                      <w:sz w:val="18"/>
                      <w:szCs w:val="18"/>
                    </w:rPr>
                    <m:t>i</m:t>
                  </m:r>
                </m:sub>
              </m:sSub>
              <m:r>
                <w:rPr>
                  <w:rFonts w:ascii="Cambria Math"/>
                  <w:sz w:val="18"/>
                  <w:szCs w:val="18"/>
                </w:rPr>
                <m:t>,</m:t>
              </m:r>
              <m:sSub>
                <m:sSubPr>
                  <m:ctrlPr>
                    <w:rPr>
                      <w:rFonts w:ascii="Cambria Math" w:hAnsi="Cambria Math"/>
                      <w:i/>
                      <w:sz w:val="18"/>
                      <w:szCs w:val="18"/>
                    </w:rPr>
                  </m:ctrlPr>
                </m:sSubPr>
                <m:e>
                  <m:r>
                    <w:rPr>
                      <w:rFonts w:ascii="Cambria Math"/>
                      <w:sz w:val="18"/>
                      <w:szCs w:val="18"/>
                    </w:rPr>
                    <m:t>servicio</m:t>
                  </m:r>
                </m:e>
                <m:sub>
                  <m:r>
                    <w:rPr>
                      <w:rFonts w:ascii="Cambria Math"/>
                      <w:sz w:val="18"/>
                      <w:szCs w:val="18"/>
                    </w:rPr>
                    <m:t>k</m:t>
                  </m:r>
                </m:sub>
              </m:sSub>
            </m:e>
          </m:d>
        </m:oMath>
      </m:oMathPara>
    </w:p>
    <w:p w14:paraId="414EFF45" w14:textId="01ED6A1D" w:rsidR="00665CBA" w:rsidRDefault="00665CBA" w:rsidP="00665CBA">
      <w:pPr>
        <w:jc w:val="center"/>
        <w:rPr>
          <w:lang w:val="es-ES"/>
        </w:rPr>
      </w:pPr>
    </w:p>
    <w:p w14:paraId="44570EA5" w14:textId="357E2D0D" w:rsidR="00541685" w:rsidRP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Con el fin de proporcionar mayor claridad y transparencia al respecto, se ha incluido un mayor nivel de detalle sobre el diseño de los factores de enrutamiento en la documentación de los modelos.</w:t>
      </w:r>
    </w:p>
    <w:p w14:paraId="5AD9B492" w14:textId="77777777" w:rsidR="00541685" w:rsidRPr="00541685" w:rsidRDefault="00541685" w:rsidP="0080349A">
      <w:pPr>
        <w:spacing w:after="0" w:line="276" w:lineRule="auto"/>
        <w:ind w:left="0" w:right="0" w:firstLine="0"/>
        <w:rPr>
          <w:rFonts w:ascii="ITC Avant Garde" w:hAnsi="ITC Avant Garde"/>
          <w:lang w:val="es-ES"/>
        </w:rPr>
      </w:pPr>
    </w:p>
    <w:p w14:paraId="6CF11CB4" w14:textId="77777777" w:rsidR="00541685" w:rsidRPr="00665CBA" w:rsidRDefault="00541685" w:rsidP="0080349A">
      <w:pPr>
        <w:spacing w:after="0" w:line="276" w:lineRule="auto"/>
        <w:ind w:left="0" w:right="0" w:firstLine="0"/>
        <w:rPr>
          <w:rFonts w:ascii="ITC Avant Garde" w:hAnsi="ITC Avant Garde"/>
          <w:b/>
          <w:u w:val="single"/>
          <w:lang w:val="es-ES"/>
        </w:rPr>
      </w:pPr>
      <w:r w:rsidRPr="00665CBA">
        <w:rPr>
          <w:rFonts w:ascii="ITC Avant Garde" w:hAnsi="ITC Avant Garde"/>
          <w:b/>
          <w:u w:val="single"/>
          <w:lang w:val="es-ES"/>
        </w:rPr>
        <w:t>Comentarios al modelo de interconexión móvil</w:t>
      </w:r>
    </w:p>
    <w:p w14:paraId="7BB7D8AC" w14:textId="77777777" w:rsidR="00665CBA" w:rsidRDefault="00665CBA" w:rsidP="0080349A">
      <w:pPr>
        <w:spacing w:after="0" w:line="276" w:lineRule="auto"/>
        <w:ind w:left="0" w:right="0" w:firstLine="0"/>
        <w:rPr>
          <w:rFonts w:ascii="ITC Avant Garde" w:hAnsi="ITC Avant Garde"/>
          <w:lang w:val="es-ES"/>
        </w:rPr>
      </w:pPr>
    </w:p>
    <w:p w14:paraId="78E71328" w14:textId="3FAE14E5"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lastRenderedPageBreak/>
        <w:t xml:space="preserve">Esta sección presenta los comentarios, opiniones y aportaciones de los </w:t>
      </w:r>
      <w:r w:rsidR="00A94546">
        <w:rPr>
          <w:rFonts w:ascii="ITC Avant Garde" w:hAnsi="ITC Avant Garde"/>
          <w:lang w:val="es-ES"/>
        </w:rPr>
        <w:t>concesionarios</w:t>
      </w:r>
      <w:r w:rsidRPr="00541685">
        <w:rPr>
          <w:rFonts w:ascii="ITC Avant Garde" w:hAnsi="ITC Avant Garde"/>
          <w:lang w:val="es-ES"/>
        </w:rPr>
        <w:t xml:space="preserve"> al modelo de costos para la determinación de las tarifas del servicio de interconexión en redes móviles.</w:t>
      </w:r>
    </w:p>
    <w:p w14:paraId="146464C5" w14:textId="77777777" w:rsidR="00665CBA" w:rsidRPr="00541685" w:rsidRDefault="00665CBA" w:rsidP="0080349A">
      <w:pPr>
        <w:spacing w:after="0" w:line="276" w:lineRule="auto"/>
        <w:ind w:left="0" w:right="0" w:firstLine="0"/>
        <w:rPr>
          <w:rFonts w:ascii="ITC Avant Garde" w:hAnsi="ITC Avant Garde"/>
          <w:lang w:val="es-ES"/>
        </w:rPr>
      </w:pPr>
    </w:p>
    <w:p w14:paraId="53D6E9C7" w14:textId="77777777" w:rsidR="00541685" w:rsidRPr="00C3485A" w:rsidRDefault="00541685" w:rsidP="0080349A">
      <w:pPr>
        <w:spacing w:after="0" w:line="276" w:lineRule="auto"/>
        <w:ind w:left="0" w:right="0" w:firstLine="0"/>
        <w:rPr>
          <w:rFonts w:ascii="ITC Avant Garde" w:hAnsi="ITC Avant Garde"/>
          <w:b/>
          <w:i/>
          <w:u w:val="single"/>
          <w:lang w:val="es-ES"/>
        </w:rPr>
      </w:pPr>
      <w:r w:rsidRPr="00C3485A">
        <w:rPr>
          <w:rFonts w:ascii="ITC Avant Garde" w:hAnsi="ITC Avant Garde"/>
          <w:b/>
          <w:i/>
          <w:u w:val="single"/>
          <w:lang w:val="es-ES"/>
        </w:rPr>
        <w:t>Comentarios al enfoque conceptual del modelo de interconexión móvil</w:t>
      </w:r>
    </w:p>
    <w:p w14:paraId="26355C08" w14:textId="77777777" w:rsidR="000D493C" w:rsidRDefault="000D493C" w:rsidP="0080349A">
      <w:pPr>
        <w:spacing w:after="0" w:line="276" w:lineRule="auto"/>
        <w:ind w:left="0" w:right="0" w:firstLine="0"/>
        <w:rPr>
          <w:rFonts w:ascii="ITC Avant Garde" w:hAnsi="ITC Avant Garde"/>
          <w:lang w:val="es-ES"/>
        </w:rPr>
      </w:pPr>
    </w:p>
    <w:p w14:paraId="76D3680F" w14:textId="577E5FFD" w:rsidR="00541685" w:rsidRPr="00957D47" w:rsidRDefault="00541685" w:rsidP="0080349A">
      <w:pPr>
        <w:spacing w:after="0" w:line="276" w:lineRule="auto"/>
        <w:ind w:left="0" w:right="0" w:firstLine="0"/>
        <w:rPr>
          <w:rFonts w:ascii="ITC Avant Garde" w:hAnsi="ITC Avant Garde"/>
          <w:i/>
          <w:lang w:val="es-ES"/>
        </w:rPr>
      </w:pPr>
      <w:r w:rsidRPr="00957D47">
        <w:rPr>
          <w:rFonts w:ascii="ITC Avant Garde" w:hAnsi="ITC Avant Garde"/>
          <w:i/>
          <w:lang w:val="es-ES"/>
        </w:rPr>
        <w:t>Consideración de tecnologías eficientes para redes móviles</w:t>
      </w:r>
    </w:p>
    <w:p w14:paraId="0A425293" w14:textId="77777777" w:rsidR="000D493C" w:rsidRDefault="000D493C" w:rsidP="0080349A">
      <w:pPr>
        <w:spacing w:after="0" w:line="276" w:lineRule="auto"/>
        <w:ind w:left="0" w:right="0" w:firstLine="0"/>
        <w:rPr>
          <w:rFonts w:ascii="ITC Avant Garde" w:hAnsi="ITC Avant Garde"/>
          <w:lang w:val="es-ES"/>
        </w:rPr>
      </w:pPr>
    </w:p>
    <w:p w14:paraId="60162137" w14:textId="00073305" w:rsidR="00511440" w:rsidRDefault="005075FE" w:rsidP="0080349A">
      <w:pPr>
        <w:spacing w:after="0" w:line="276" w:lineRule="auto"/>
        <w:ind w:left="0" w:right="0" w:firstLine="0"/>
        <w:rPr>
          <w:rFonts w:ascii="ITC Avant Garde" w:hAnsi="ITC Avant Garde"/>
          <w:lang w:val="es-ES"/>
        </w:rPr>
      </w:pPr>
      <w:r>
        <w:rPr>
          <w:rFonts w:ascii="ITC Avant Garde" w:hAnsi="ITC Avant Garde"/>
          <w:lang w:val="es-ES"/>
        </w:rPr>
        <w:t>Mega Cable</w:t>
      </w:r>
    </w:p>
    <w:p w14:paraId="7DF9000C" w14:textId="77777777" w:rsidR="00511440" w:rsidRDefault="00511440" w:rsidP="0080349A">
      <w:pPr>
        <w:spacing w:after="0" w:line="276" w:lineRule="auto"/>
        <w:ind w:left="0" w:right="0" w:firstLine="0"/>
        <w:rPr>
          <w:rFonts w:ascii="ITC Avant Garde" w:hAnsi="ITC Avant Garde"/>
          <w:lang w:val="es-ES"/>
        </w:rPr>
      </w:pPr>
    </w:p>
    <w:p w14:paraId="274BEF74" w14:textId="0003B116" w:rsidR="00541685" w:rsidRDefault="00511440" w:rsidP="0080349A">
      <w:pPr>
        <w:spacing w:after="0" w:line="276" w:lineRule="auto"/>
        <w:ind w:left="0" w:right="0" w:firstLine="0"/>
        <w:rPr>
          <w:rFonts w:ascii="ITC Avant Garde" w:hAnsi="ITC Avant Garde"/>
          <w:lang w:val="es-ES"/>
        </w:rPr>
      </w:pPr>
      <w:r>
        <w:rPr>
          <w:rFonts w:ascii="ITC Avant Garde" w:hAnsi="ITC Avant Garde"/>
          <w:lang w:val="es-ES"/>
        </w:rPr>
        <w:t>L</w:t>
      </w:r>
      <w:r w:rsidR="00541685" w:rsidRPr="00541685">
        <w:rPr>
          <w:rFonts w:ascii="ITC Avant Garde" w:hAnsi="ITC Avant Garde"/>
          <w:lang w:val="es-ES"/>
        </w:rPr>
        <w:t xml:space="preserve">os costos incurridos por el AEP no pueden considerarse eficientes. En concreto, el </w:t>
      </w:r>
      <w:r w:rsidR="00A94546">
        <w:rPr>
          <w:rFonts w:ascii="ITC Avant Garde" w:hAnsi="ITC Avant Garde"/>
          <w:lang w:val="es-ES"/>
        </w:rPr>
        <w:t>concesionario</w:t>
      </w:r>
      <w:r w:rsidR="00541685" w:rsidRPr="00541685">
        <w:rPr>
          <w:rFonts w:ascii="ITC Avant Garde" w:hAnsi="ITC Avant Garde"/>
          <w:lang w:val="es-ES"/>
        </w:rPr>
        <w:t xml:space="preserve"> sostiene que es incompatible considerar un </w:t>
      </w:r>
      <w:r w:rsidR="00A94546">
        <w:rPr>
          <w:rFonts w:ascii="ITC Avant Garde" w:hAnsi="ITC Avant Garde"/>
          <w:lang w:val="es-ES"/>
        </w:rPr>
        <w:t>concesionario</w:t>
      </w:r>
      <w:r w:rsidR="00541685" w:rsidRPr="00541685">
        <w:rPr>
          <w:rFonts w:ascii="ITC Avant Garde" w:hAnsi="ITC Avant Garde"/>
          <w:lang w:val="es-ES"/>
        </w:rPr>
        <w:t xml:space="preserve"> móvil eficiente cuando este se modela con una red que considera las tecnologías 2G hasta 2022, 3G y 4G, y que apenas comienza a operar 5G en 2023. El </w:t>
      </w:r>
      <w:r w:rsidR="00A94546">
        <w:rPr>
          <w:rFonts w:ascii="ITC Avant Garde" w:hAnsi="ITC Avant Garde"/>
          <w:lang w:val="es-ES"/>
        </w:rPr>
        <w:t>concesionario</w:t>
      </w:r>
      <w:r w:rsidR="00541685" w:rsidRPr="00541685">
        <w:rPr>
          <w:rFonts w:ascii="ITC Avant Garde" w:hAnsi="ITC Avant Garde"/>
          <w:lang w:val="es-ES"/>
        </w:rPr>
        <w:t xml:space="preserve"> opina que la existencia de múltiples tecnologías, unas menos eficientes que otras, eleva los costos de capex y opex del </w:t>
      </w:r>
      <w:r w:rsidR="00A94546">
        <w:rPr>
          <w:rFonts w:ascii="ITC Avant Garde" w:hAnsi="ITC Avant Garde"/>
          <w:lang w:val="es-ES"/>
        </w:rPr>
        <w:t>concesionario</w:t>
      </w:r>
      <w:r w:rsidR="00541685" w:rsidRPr="00541685">
        <w:rPr>
          <w:rFonts w:ascii="ITC Avant Garde" w:hAnsi="ITC Avant Garde"/>
          <w:lang w:val="es-ES"/>
        </w:rPr>
        <w:t xml:space="preserve"> modelado.</w:t>
      </w:r>
    </w:p>
    <w:p w14:paraId="28AD3C23" w14:textId="77777777" w:rsidR="00511440" w:rsidRPr="00541685" w:rsidRDefault="00511440" w:rsidP="0080349A">
      <w:pPr>
        <w:spacing w:after="0" w:line="276" w:lineRule="auto"/>
        <w:ind w:left="0" w:right="0" w:firstLine="0"/>
        <w:rPr>
          <w:rFonts w:ascii="ITC Avant Garde" w:hAnsi="ITC Avant Garde"/>
          <w:lang w:val="es-ES"/>
        </w:rPr>
      </w:pPr>
    </w:p>
    <w:p w14:paraId="272DED1D" w14:textId="18E8C576"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De forma similar, el </w:t>
      </w:r>
      <w:r w:rsidR="00A94546">
        <w:rPr>
          <w:rFonts w:ascii="ITC Avant Garde" w:hAnsi="ITC Avant Garde"/>
          <w:lang w:val="es-ES"/>
        </w:rPr>
        <w:t>concesionario</w:t>
      </w:r>
      <w:r w:rsidRPr="00541685">
        <w:rPr>
          <w:rFonts w:ascii="ITC Avant Garde" w:hAnsi="ITC Avant Garde"/>
          <w:lang w:val="es-ES"/>
        </w:rPr>
        <w:t xml:space="preserve"> opina que la consideración de las tecnologías de transmisión reales empleadas por los </w:t>
      </w:r>
      <w:r w:rsidR="00A94546">
        <w:rPr>
          <w:rFonts w:ascii="ITC Avant Garde" w:hAnsi="ITC Avant Garde"/>
          <w:lang w:val="es-ES"/>
        </w:rPr>
        <w:t>concesionarios</w:t>
      </w:r>
      <w:r w:rsidRPr="00541685">
        <w:rPr>
          <w:rFonts w:ascii="ITC Avant Garde" w:hAnsi="ITC Avant Garde"/>
          <w:lang w:val="es-ES"/>
        </w:rPr>
        <w:t xml:space="preserve"> y la diferenciación de servicios de voz y datos también generan ineficiencias en los cálculos del modelo.</w:t>
      </w:r>
    </w:p>
    <w:p w14:paraId="34EC10C1" w14:textId="5F4B85E1" w:rsidR="00511440" w:rsidRDefault="00511440" w:rsidP="0080349A">
      <w:pPr>
        <w:spacing w:after="0" w:line="276" w:lineRule="auto"/>
        <w:ind w:left="0" w:right="0" w:firstLine="0"/>
        <w:rPr>
          <w:rFonts w:ascii="ITC Avant Garde" w:hAnsi="ITC Avant Garde"/>
          <w:lang w:val="es-ES"/>
        </w:rPr>
      </w:pPr>
    </w:p>
    <w:p w14:paraId="6F5BEF0D" w14:textId="4C3A9FBA" w:rsidR="00511440" w:rsidRDefault="00511440"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44772616" w14:textId="77777777" w:rsidR="00511440" w:rsidRPr="00541685" w:rsidRDefault="00511440" w:rsidP="0080349A">
      <w:pPr>
        <w:spacing w:after="0" w:line="276" w:lineRule="auto"/>
        <w:ind w:left="0" w:right="0" w:firstLine="0"/>
        <w:rPr>
          <w:rFonts w:ascii="ITC Avant Garde" w:hAnsi="ITC Avant Garde"/>
          <w:lang w:val="es-ES"/>
        </w:rPr>
      </w:pPr>
    </w:p>
    <w:p w14:paraId="27EE3F50" w14:textId="3EF367E8"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El modelo de interconexión móvil trata de reflejar el despliegue de un </w:t>
      </w:r>
      <w:r w:rsidR="00A94546">
        <w:rPr>
          <w:rFonts w:ascii="ITC Avant Garde" w:hAnsi="ITC Avant Garde"/>
          <w:lang w:val="es-ES"/>
        </w:rPr>
        <w:t>operador eficiente</w:t>
      </w:r>
      <w:r w:rsidRPr="00541685">
        <w:rPr>
          <w:rFonts w:ascii="ITC Avant Garde" w:hAnsi="ITC Avant Garde"/>
          <w:lang w:val="es-ES"/>
        </w:rPr>
        <w:t xml:space="preserve"> dentro del contexto del mercado mexicano. Si bien es cierto que las nuevas tecnologías, como el 5G, pueden resultar más eficientes que otras tecnologías menos recientes, </w:t>
      </w:r>
      <w:r w:rsidR="00856A78">
        <w:rPr>
          <w:rFonts w:ascii="ITC Avant Garde" w:hAnsi="ITC Avant Garde"/>
          <w:lang w:val="es-ES"/>
        </w:rPr>
        <w:t>se considera</w:t>
      </w:r>
      <w:r w:rsidRPr="00541685">
        <w:rPr>
          <w:rFonts w:ascii="ITC Avant Garde" w:hAnsi="ITC Avant Garde"/>
          <w:lang w:val="es-ES"/>
        </w:rPr>
        <w:t xml:space="preserve"> que es importante reflejar de una manera razonable la situación real del mercado. Por ejemplo, las tecnologías 3G y 4G son todavía ampliamente utilizadas por una parte de la población mexicana que no tienen acceso a terminales 5G, con lo cual los </w:t>
      </w:r>
      <w:r w:rsidR="00A94546">
        <w:rPr>
          <w:rFonts w:ascii="ITC Avant Garde" w:hAnsi="ITC Avant Garde"/>
          <w:lang w:val="es-ES"/>
        </w:rPr>
        <w:t>concesionarios</w:t>
      </w:r>
      <w:r w:rsidRPr="00541685">
        <w:rPr>
          <w:rFonts w:ascii="ITC Avant Garde" w:hAnsi="ITC Avant Garde"/>
          <w:lang w:val="es-ES"/>
        </w:rPr>
        <w:t xml:space="preserve"> todavía no pueden proceder al apagado de estas tecnologías. Con respecto a la tecnología 2G, el modelo considera el apagado de la misma en el año 2022, por lo que la consideración de la tecnología 2G no tiene impacto sobre las tarifas estimadas por el modelo para el actual periodo regulatorio (2024–26).</w:t>
      </w:r>
    </w:p>
    <w:p w14:paraId="100D9AB0" w14:textId="77777777" w:rsidR="00511440" w:rsidRPr="00541685" w:rsidRDefault="00511440" w:rsidP="0080349A">
      <w:pPr>
        <w:spacing w:after="0" w:line="276" w:lineRule="auto"/>
        <w:ind w:left="0" w:right="0" w:firstLine="0"/>
        <w:rPr>
          <w:rFonts w:ascii="ITC Avant Garde" w:hAnsi="ITC Avant Garde"/>
          <w:lang w:val="es-ES"/>
        </w:rPr>
      </w:pPr>
    </w:p>
    <w:p w14:paraId="79FFA85D" w14:textId="611936CC" w:rsidR="00541685" w:rsidRDefault="00541685" w:rsidP="0080349A">
      <w:pPr>
        <w:spacing w:after="0" w:line="276" w:lineRule="auto"/>
        <w:ind w:left="0" w:right="0" w:firstLine="0"/>
        <w:rPr>
          <w:rFonts w:ascii="ITC Avant Garde" w:hAnsi="ITC Avant Garde"/>
          <w:lang w:val="es-ES"/>
        </w:rPr>
      </w:pPr>
      <w:r w:rsidRPr="4B922FC5">
        <w:rPr>
          <w:rFonts w:ascii="ITC Avant Garde" w:hAnsi="ITC Avant Garde"/>
          <w:lang w:val="es-ES"/>
        </w:rPr>
        <w:t xml:space="preserve">De manera similar, la red de transmisión empleada en el modelo trata de reflejar una tecnología eficiente y que se adapte a la realidad del mercado. Por esto, se emplea una tecnología ethernet, ya que se considera que es una tecnología escalable y resistente a futuro; y </w:t>
      </w:r>
      <w:r w:rsidR="00325634" w:rsidRPr="4B922FC5">
        <w:rPr>
          <w:rFonts w:ascii="ITC Avant Garde" w:hAnsi="ITC Avant Garde"/>
          <w:lang w:val="es-ES"/>
        </w:rPr>
        <w:t>se espera</w:t>
      </w:r>
      <w:r w:rsidRPr="4B922FC5">
        <w:rPr>
          <w:rFonts w:ascii="ITC Avant Garde" w:hAnsi="ITC Avant Garde"/>
          <w:lang w:val="es-ES"/>
        </w:rPr>
        <w:t xml:space="preserve"> que un nuevo entrante, a</w:t>
      </w:r>
      <w:r w:rsidR="0818C13C" w:rsidRPr="4B922FC5">
        <w:rPr>
          <w:rFonts w:ascii="ITC Avant Garde" w:hAnsi="ITC Avant Garde"/>
          <w:lang w:val="es-ES"/>
        </w:rPr>
        <w:t>l</w:t>
      </w:r>
      <w:r w:rsidRPr="4B922FC5">
        <w:rPr>
          <w:rFonts w:ascii="ITC Avant Garde" w:hAnsi="ITC Avant Garde"/>
          <w:lang w:val="es-ES"/>
        </w:rPr>
        <w:t xml:space="preserve"> día de hoy, tendería a optar </w:t>
      </w:r>
      <w:r w:rsidR="00511440" w:rsidRPr="4B922FC5">
        <w:rPr>
          <w:rFonts w:ascii="ITC Avant Garde" w:hAnsi="ITC Avant Garde"/>
          <w:lang w:val="es-ES"/>
        </w:rPr>
        <w:t xml:space="preserve">por </w:t>
      </w:r>
      <w:r w:rsidRPr="4B922FC5">
        <w:rPr>
          <w:rFonts w:ascii="ITC Avant Garde" w:hAnsi="ITC Avant Garde"/>
          <w:lang w:val="es-ES"/>
        </w:rPr>
        <w:t xml:space="preserve">esta tecnología. Con respecto a la tipología de enlace de transmisión en la red de backhaul (microondas, fibra o enlaces dedicados), </w:t>
      </w:r>
      <w:r w:rsidR="00665CBA" w:rsidRPr="4B922FC5">
        <w:rPr>
          <w:rFonts w:ascii="ITC Avant Garde" w:hAnsi="ITC Avant Garde"/>
          <w:lang w:val="es-ES"/>
        </w:rPr>
        <w:t>si</w:t>
      </w:r>
      <w:r w:rsidRPr="4B922FC5">
        <w:rPr>
          <w:rFonts w:ascii="ITC Avant Garde" w:hAnsi="ITC Avant Garde"/>
          <w:lang w:val="es-ES"/>
        </w:rPr>
        <w:t xml:space="preserve"> es </w:t>
      </w:r>
      <w:r w:rsidRPr="4B922FC5">
        <w:rPr>
          <w:rFonts w:ascii="ITC Avant Garde" w:hAnsi="ITC Avant Garde"/>
          <w:lang w:val="es-ES"/>
        </w:rPr>
        <w:lastRenderedPageBreak/>
        <w:t xml:space="preserve">cierto que se toman unos ciertos insumos con base a información provista por los </w:t>
      </w:r>
      <w:r w:rsidR="00A94546" w:rsidRPr="4B922FC5">
        <w:rPr>
          <w:rFonts w:ascii="ITC Avant Garde" w:hAnsi="ITC Avant Garde"/>
          <w:lang w:val="es-ES"/>
        </w:rPr>
        <w:t>concesionarios</w:t>
      </w:r>
      <w:r w:rsidRPr="4B922FC5">
        <w:rPr>
          <w:rFonts w:ascii="ITC Avant Garde" w:hAnsi="ITC Avant Garde"/>
          <w:lang w:val="es-ES"/>
        </w:rPr>
        <w:t xml:space="preserve">. </w:t>
      </w:r>
      <w:r w:rsidR="00511440" w:rsidRPr="4B922FC5">
        <w:rPr>
          <w:rFonts w:ascii="ITC Avant Garde" w:hAnsi="ITC Avant Garde"/>
          <w:lang w:val="es-ES"/>
        </w:rPr>
        <w:t>E</w:t>
      </w:r>
      <w:r w:rsidRPr="4B922FC5">
        <w:rPr>
          <w:rFonts w:ascii="ITC Avant Garde" w:hAnsi="ITC Avant Garde"/>
          <w:lang w:val="es-ES"/>
        </w:rPr>
        <w:t xml:space="preserve">sta es una aproximación razonable, ya que no existe una aproximación más eficiente que otra, si no que </w:t>
      </w:r>
      <w:r w:rsidR="00962C37">
        <w:rPr>
          <w:rFonts w:ascii="ITC Avant Garde" w:hAnsi="ITC Avant Garde"/>
          <w:lang w:val="es-ES"/>
        </w:rPr>
        <w:t>la combinación de tecnologías</w:t>
      </w:r>
      <w:r w:rsidRPr="4B922FC5">
        <w:rPr>
          <w:rFonts w:ascii="ITC Avant Garde" w:hAnsi="ITC Avant Garde"/>
          <w:lang w:val="es-ES"/>
        </w:rPr>
        <w:t xml:space="preserve"> dependerá de la casuísti</w:t>
      </w:r>
      <w:r w:rsidR="00511440" w:rsidRPr="4B922FC5">
        <w:rPr>
          <w:rFonts w:ascii="ITC Avant Garde" w:hAnsi="ITC Avant Garde"/>
          <w:lang w:val="es-ES"/>
        </w:rPr>
        <w:t>ca</w:t>
      </w:r>
      <w:r w:rsidR="008A4535" w:rsidRPr="4B922FC5">
        <w:rPr>
          <w:rFonts w:ascii="ITC Avant Garde" w:hAnsi="ITC Avant Garde"/>
          <w:lang w:val="es-ES"/>
        </w:rPr>
        <w:t xml:space="preserve"> </w:t>
      </w:r>
      <w:r w:rsidRPr="4B922FC5">
        <w:rPr>
          <w:rFonts w:ascii="ITC Avant Garde" w:hAnsi="ITC Avant Garde"/>
          <w:lang w:val="es-ES"/>
        </w:rPr>
        <w:t xml:space="preserve">de los emplazamientos a cubrir, donde los </w:t>
      </w:r>
      <w:r w:rsidR="00A94546" w:rsidRPr="4B922FC5">
        <w:rPr>
          <w:rFonts w:ascii="ITC Avant Garde" w:hAnsi="ITC Avant Garde"/>
          <w:lang w:val="es-ES"/>
        </w:rPr>
        <w:t>concesionarios</w:t>
      </w:r>
      <w:r w:rsidRPr="4B922FC5">
        <w:rPr>
          <w:rFonts w:ascii="ITC Avant Garde" w:hAnsi="ITC Avant Garde"/>
          <w:lang w:val="es-ES"/>
        </w:rPr>
        <w:t xml:space="preserve"> ya tratan de tomar la decisión óptima desde un punto de vista técnico y económico.</w:t>
      </w:r>
    </w:p>
    <w:p w14:paraId="0B676BBB" w14:textId="77777777" w:rsidR="00511440" w:rsidRPr="00541685" w:rsidRDefault="00511440" w:rsidP="0080349A">
      <w:pPr>
        <w:spacing w:after="0" w:line="276" w:lineRule="auto"/>
        <w:ind w:left="0" w:right="0" w:firstLine="0"/>
        <w:rPr>
          <w:rFonts w:ascii="ITC Avant Garde" w:hAnsi="ITC Avant Garde"/>
          <w:lang w:val="es-ES"/>
        </w:rPr>
      </w:pPr>
    </w:p>
    <w:p w14:paraId="5FEB02DA" w14:textId="199C9E8E" w:rsidR="00541685" w:rsidRPr="00511440" w:rsidRDefault="00541685" w:rsidP="0080349A">
      <w:pPr>
        <w:spacing w:after="0" w:line="276" w:lineRule="auto"/>
        <w:ind w:left="0" w:right="0" w:firstLine="0"/>
        <w:rPr>
          <w:rFonts w:ascii="ITC Avant Garde" w:hAnsi="ITC Avant Garde"/>
          <w:i/>
          <w:lang w:val="es-ES"/>
        </w:rPr>
      </w:pPr>
      <w:r w:rsidRPr="00511440">
        <w:rPr>
          <w:rFonts w:ascii="ITC Avant Garde" w:hAnsi="ITC Avant Garde"/>
          <w:i/>
          <w:lang w:val="es-ES"/>
        </w:rPr>
        <w:t xml:space="preserve">Definición del espectro correspondiente al </w:t>
      </w:r>
      <w:r w:rsidR="008A4535" w:rsidRPr="00511440">
        <w:rPr>
          <w:rFonts w:ascii="ITC Avant Garde" w:hAnsi="ITC Avant Garde"/>
          <w:i/>
          <w:lang w:val="es-ES"/>
        </w:rPr>
        <w:t xml:space="preserve">CS </w:t>
      </w:r>
      <w:r w:rsidRPr="00511440">
        <w:rPr>
          <w:rFonts w:ascii="ITC Avant Garde" w:hAnsi="ITC Avant Garde"/>
          <w:i/>
          <w:lang w:val="es-ES"/>
        </w:rPr>
        <w:t>hipotético para el modelo de interconexión móvil</w:t>
      </w:r>
    </w:p>
    <w:p w14:paraId="287B7B37" w14:textId="77777777" w:rsidR="00511440" w:rsidRPr="00541685" w:rsidRDefault="00511440" w:rsidP="0080349A">
      <w:pPr>
        <w:spacing w:after="0" w:line="276" w:lineRule="auto"/>
        <w:ind w:left="0" w:right="0" w:firstLine="0"/>
        <w:rPr>
          <w:rFonts w:ascii="ITC Avant Garde" w:hAnsi="ITC Avant Garde"/>
          <w:lang w:val="es-ES"/>
        </w:rPr>
      </w:pPr>
    </w:p>
    <w:p w14:paraId="304920F6" w14:textId="502D0E7F" w:rsidR="00511440" w:rsidRDefault="005075FE" w:rsidP="0080349A">
      <w:pPr>
        <w:spacing w:after="0" w:line="276" w:lineRule="auto"/>
        <w:ind w:left="0" w:right="0" w:firstLine="0"/>
        <w:rPr>
          <w:rFonts w:ascii="ITC Avant Garde" w:hAnsi="ITC Avant Garde"/>
          <w:lang w:val="es-ES"/>
        </w:rPr>
      </w:pPr>
      <w:r>
        <w:rPr>
          <w:rFonts w:ascii="ITC Avant Garde" w:hAnsi="ITC Avant Garde"/>
          <w:lang w:val="es-ES"/>
        </w:rPr>
        <w:t>Mega Cable</w:t>
      </w:r>
    </w:p>
    <w:p w14:paraId="20AF1C94" w14:textId="77777777" w:rsidR="00511440" w:rsidRDefault="00511440" w:rsidP="0080349A">
      <w:pPr>
        <w:spacing w:after="0" w:line="276" w:lineRule="auto"/>
        <w:ind w:left="0" w:right="0" w:firstLine="0"/>
        <w:rPr>
          <w:rFonts w:ascii="ITC Avant Garde" w:hAnsi="ITC Avant Garde"/>
          <w:lang w:val="es-ES"/>
        </w:rPr>
      </w:pPr>
    </w:p>
    <w:p w14:paraId="55D943D4" w14:textId="5D77FA3C" w:rsidR="00541685" w:rsidRDefault="00511440" w:rsidP="0080349A">
      <w:pPr>
        <w:spacing w:after="0" w:line="276" w:lineRule="auto"/>
        <w:ind w:left="0" w:right="0" w:firstLine="0"/>
        <w:rPr>
          <w:rFonts w:ascii="ITC Avant Garde" w:hAnsi="ITC Avant Garde"/>
          <w:lang w:val="es-ES"/>
        </w:rPr>
      </w:pPr>
      <w:r>
        <w:rPr>
          <w:rFonts w:ascii="ITC Avant Garde" w:hAnsi="ITC Avant Garde"/>
          <w:lang w:val="es-ES"/>
        </w:rPr>
        <w:t>E</w:t>
      </w:r>
      <w:r w:rsidR="00541685" w:rsidRPr="00541685">
        <w:rPr>
          <w:rFonts w:ascii="ITC Avant Garde" w:hAnsi="ITC Avant Garde"/>
          <w:lang w:val="es-ES"/>
        </w:rPr>
        <w:t xml:space="preserve">l criterio de modelar la red del AEP y del </w:t>
      </w:r>
      <w:r w:rsidR="00A94546">
        <w:rPr>
          <w:rFonts w:ascii="ITC Avant Garde" w:hAnsi="ITC Avant Garde"/>
          <w:lang w:val="es-ES"/>
        </w:rPr>
        <w:t>operador hipotético</w:t>
      </w:r>
      <w:r w:rsidR="00541685" w:rsidRPr="00541685">
        <w:rPr>
          <w:rFonts w:ascii="ITC Avant Garde" w:hAnsi="ITC Avant Garde"/>
          <w:lang w:val="es-ES"/>
        </w:rPr>
        <w:t xml:space="preserve"> alternativo considerando las bandas de espectro empleadas por los </w:t>
      </w:r>
      <w:r w:rsidR="00A94546">
        <w:rPr>
          <w:rFonts w:ascii="ITC Avant Garde" w:hAnsi="ITC Avant Garde"/>
          <w:lang w:val="es-ES"/>
        </w:rPr>
        <w:t>concesionarios</w:t>
      </w:r>
      <w:r w:rsidR="00541685" w:rsidRPr="00541685">
        <w:rPr>
          <w:rFonts w:ascii="ITC Avant Garde" w:hAnsi="ITC Avant Garde"/>
          <w:lang w:val="es-ES"/>
        </w:rPr>
        <w:t xml:space="preserve"> para cada una de las tecnologías va en contra del principio de eficiencia de los modelos de costos. Asimismo, sostiene que con ello se desincentiva a los </w:t>
      </w:r>
      <w:r w:rsidR="00A94546">
        <w:rPr>
          <w:rFonts w:ascii="ITC Avant Garde" w:hAnsi="ITC Avant Garde"/>
          <w:lang w:val="es-ES"/>
        </w:rPr>
        <w:t>concesionarios</w:t>
      </w:r>
      <w:r w:rsidR="00541685" w:rsidRPr="00541685">
        <w:rPr>
          <w:rFonts w:ascii="ITC Avant Garde" w:hAnsi="ITC Avant Garde"/>
          <w:lang w:val="es-ES"/>
        </w:rPr>
        <w:t xml:space="preserve"> </w:t>
      </w:r>
      <w:r>
        <w:rPr>
          <w:rFonts w:ascii="ITC Avant Garde" w:hAnsi="ITC Avant Garde"/>
          <w:lang w:val="es-ES"/>
        </w:rPr>
        <w:t>para</w:t>
      </w:r>
      <w:r w:rsidR="00541685" w:rsidRPr="00541685">
        <w:rPr>
          <w:rFonts w:ascii="ITC Avant Garde" w:hAnsi="ITC Avant Garde"/>
          <w:lang w:val="es-ES"/>
        </w:rPr>
        <w:t xml:space="preserve"> incrementar su eficiencia operativa mediante una optimización del uso del espectro que le ha sido asignado. Para sustentar su argumento, </w:t>
      </w:r>
      <w:r w:rsidR="005075FE">
        <w:rPr>
          <w:rFonts w:ascii="ITC Avant Garde" w:hAnsi="ITC Avant Garde"/>
          <w:lang w:val="es-ES"/>
        </w:rPr>
        <w:t>Mega Cable</w:t>
      </w:r>
      <w:r w:rsidR="00541685" w:rsidRPr="00541685">
        <w:rPr>
          <w:rFonts w:ascii="ITC Avant Garde" w:hAnsi="ITC Avant Garde"/>
          <w:lang w:val="es-ES"/>
        </w:rPr>
        <w:t xml:space="preserve"> se apoya en la reciente devolución de espectro, por parte de algunos </w:t>
      </w:r>
      <w:r w:rsidR="00A94546">
        <w:rPr>
          <w:rFonts w:ascii="ITC Avant Garde" w:hAnsi="ITC Avant Garde"/>
          <w:lang w:val="es-ES"/>
        </w:rPr>
        <w:t>concesionarios</w:t>
      </w:r>
      <w:r w:rsidR="00541685" w:rsidRPr="00541685">
        <w:rPr>
          <w:rFonts w:ascii="ITC Avant Garde" w:hAnsi="ITC Avant Garde"/>
          <w:lang w:val="es-ES"/>
        </w:rPr>
        <w:t xml:space="preserve"> no preponderantes.</w:t>
      </w:r>
    </w:p>
    <w:p w14:paraId="7D134F4C" w14:textId="77777777" w:rsidR="00A934A1" w:rsidRPr="00541685" w:rsidRDefault="00A934A1" w:rsidP="0080349A">
      <w:pPr>
        <w:spacing w:after="0" w:line="276" w:lineRule="auto"/>
        <w:ind w:left="0" w:right="0" w:firstLine="0"/>
        <w:rPr>
          <w:rFonts w:ascii="ITC Avant Garde" w:hAnsi="ITC Avant Garde"/>
          <w:lang w:val="es-ES"/>
        </w:rPr>
      </w:pPr>
    </w:p>
    <w:p w14:paraId="0B0C05AB" w14:textId="30EB340A" w:rsidR="00541685" w:rsidRDefault="005075FE" w:rsidP="0080349A">
      <w:pPr>
        <w:spacing w:after="0" w:line="276" w:lineRule="auto"/>
        <w:ind w:left="0" w:right="0" w:firstLine="0"/>
        <w:rPr>
          <w:rFonts w:ascii="ITC Avant Garde" w:hAnsi="ITC Avant Garde"/>
          <w:lang w:val="es-ES"/>
        </w:rPr>
      </w:pPr>
      <w:r>
        <w:rPr>
          <w:rFonts w:ascii="ITC Avant Garde" w:hAnsi="ITC Avant Garde"/>
          <w:lang w:val="es-ES"/>
        </w:rPr>
        <w:t>Mega Cable</w:t>
      </w:r>
      <w:r w:rsidR="00541685" w:rsidRPr="00541685">
        <w:rPr>
          <w:rFonts w:ascii="ITC Avant Garde" w:hAnsi="ITC Avant Garde"/>
          <w:lang w:val="es-ES"/>
        </w:rPr>
        <w:t xml:space="preserve"> también considera ineficiente calcular el costo del espectro a partir de los precios pagados por el espectro en licitaciones previas, ya que debido al número reducido de participantes estas licitaciones no podrían considerarse competitivas y eficientes. Asimismo, considera inapropiado utilizar como referencia las prórrogas de concesión otorgadas por las autoridades.</w:t>
      </w:r>
    </w:p>
    <w:p w14:paraId="44B912AC" w14:textId="0B0E3A83" w:rsidR="00A934A1" w:rsidRDefault="00A934A1" w:rsidP="0080349A">
      <w:pPr>
        <w:spacing w:after="0" w:line="276" w:lineRule="auto"/>
        <w:ind w:left="0" w:right="0" w:firstLine="0"/>
        <w:rPr>
          <w:rFonts w:ascii="ITC Avant Garde" w:hAnsi="ITC Avant Garde"/>
          <w:lang w:val="es-ES"/>
        </w:rPr>
      </w:pPr>
    </w:p>
    <w:p w14:paraId="3D39BBB7" w14:textId="413AD468" w:rsidR="00A934A1" w:rsidRDefault="00A934A1" w:rsidP="00A934A1">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2D519305" w14:textId="77777777" w:rsidR="00A934A1" w:rsidRPr="00541685" w:rsidRDefault="00A934A1" w:rsidP="0080349A">
      <w:pPr>
        <w:spacing w:after="0" w:line="276" w:lineRule="auto"/>
        <w:ind w:left="0" w:right="0" w:firstLine="0"/>
        <w:rPr>
          <w:rFonts w:ascii="ITC Avant Garde" w:hAnsi="ITC Avant Garde"/>
          <w:lang w:val="es-ES"/>
        </w:rPr>
      </w:pPr>
    </w:p>
    <w:p w14:paraId="674228F1" w14:textId="1F581CE8" w:rsidR="00541685" w:rsidRDefault="00A934A1" w:rsidP="0080349A">
      <w:pPr>
        <w:spacing w:after="0" w:line="276" w:lineRule="auto"/>
        <w:ind w:left="0" w:right="0" w:firstLine="0"/>
        <w:rPr>
          <w:rFonts w:ascii="ITC Avant Garde" w:hAnsi="ITC Avant Garde"/>
          <w:lang w:val="es-ES"/>
        </w:rPr>
      </w:pPr>
      <w:r w:rsidRPr="4B922FC5">
        <w:rPr>
          <w:rFonts w:ascii="ITC Avant Garde" w:hAnsi="ITC Avant Garde"/>
          <w:lang w:val="es-ES"/>
        </w:rPr>
        <w:t xml:space="preserve">Es de </w:t>
      </w:r>
      <w:r w:rsidR="00541685" w:rsidRPr="4B922FC5">
        <w:rPr>
          <w:rFonts w:ascii="ITC Avant Garde" w:hAnsi="ITC Avant Garde"/>
          <w:lang w:val="es-ES"/>
        </w:rPr>
        <w:t xml:space="preserve">suma importancia que el modelo de interconexión móvil sea representativo de las características del espectro empleado por los </w:t>
      </w:r>
      <w:r w:rsidR="00A94546" w:rsidRPr="4B922FC5">
        <w:rPr>
          <w:rFonts w:ascii="ITC Avant Garde" w:hAnsi="ITC Avant Garde"/>
          <w:lang w:val="es-ES"/>
        </w:rPr>
        <w:t>concesionarios</w:t>
      </w:r>
      <w:r w:rsidR="00541685" w:rsidRPr="4B922FC5">
        <w:rPr>
          <w:rFonts w:ascii="ITC Avant Garde" w:hAnsi="ITC Avant Garde"/>
          <w:lang w:val="es-ES"/>
        </w:rPr>
        <w:t xml:space="preserve"> en México</w:t>
      </w:r>
      <w:r w:rsidR="37A047C8" w:rsidRPr="4B922FC5">
        <w:rPr>
          <w:rFonts w:ascii="ITC Avant Garde" w:hAnsi="ITC Avant Garde"/>
          <w:lang w:val="es-ES"/>
        </w:rPr>
        <w:t xml:space="preserve">, </w:t>
      </w:r>
      <w:r w:rsidR="651B01F7" w:rsidRPr="4B922FC5">
        <w:rPr>
          <w:rFonts w:ascii="ITC Avant Garde" w:hAnsi="ITC Avant Garde"/>
          <w:lang w:val="es-ES"/>
        </w:rPr>
        <w:t>y en general debe reflejar características del espectro con las cuales un concesionario móvil hipotético eficiente po</w:t>
      </w:r>
      <w:r w:rsidR="61E09A38" w:rsidRPr="4B922FC5">
        <w:rPr>
          <w:rFonts w:ascii="ITC Avant Garde" w:hAnsi="ITC Avant Garde"/>
          <w:lang w:val="es-ES"/>
        </w:rPr>
        <w:t>dría operar en el mercado</w:t>
      </w:r>
      <w:r w:rsidR="00541685" w:rsidRPr="4B922FC5">
        <w:rPr>
          <w:rFonts w:ascii="ITC Avant Garde" w:hAnsi="ITC Avant Garde"/>
          <w:lang w:val="es-ES"/>
        </w:rPr>
        <w:t xml:space="preserve">. Por este motivo, el modelo debe reflejar </w:t>
      </w:r>
      <w:r w:rsidR="09EE8BB0" w:rsidRPr="4B922FC5">
        <w:rPr>
          <w:rFonts w:ascii="ITC Avant Garde" w:hAnsi="ITC Avant Garde"/>
          <w:lang w:val="es-ES"/>
        </w:rPr>
        <w:t xml:space="preserve">de manera razonable </w:t>
      </w:r>
      <w:r w:rsidR="00541685" w:rsidRPr="4B922FC5">
        <w:rPr>
          <w:rFonts w:ascii="ITC Avant Garde" w:hAnsi="ITC Avant Garde"/>
          <w:lang w:val="es-ES"/>
        </w:rPr>
        <w:t xml:space="preserve">las cantidades de espectro en uso por parte de los </w:t>
      </w:r>
      <w:r w:rsidR="00A94546" w:rsidRPr="4B922FC5">
        <w:rPr>
          <w:rFonts w:ascii="ITC Avant Garde" w:hAnsi="ITC Avant Garde"/>
          <w:lang w:val="es-ES"/>
        </w:rPr>
        <w:t>concesionarios</w:t>
      </w:r>
      <w:r w:rsidR="6C5E1A42" w:rsidRPr="4B922FC5">
        <w:rPr>
          <w:rFonts w:ascii="ITC Avant Garde" w:hAnsi="ITC Avant Garde"/>
          <w:lang w:val="es-ES"/>
        </w:rPr>
        <w:t xml:space="preserve">, o las cantidades de espectro con las que un concesionario móvil hipotético eficiente podría </w:t>
      </w:r>
      <w:r w:rsidR="356E444D" w:rsidRPr="4B922FC5">
        <w:rPr>
          <w:rFonts w:ascii="ITC Avant Garde" w:hAnsi="ITC Avant Garde"/>
          <w:lang w:val="es-ES"/>
        </w:rPr>
        <w:t>ofrecer servicios</w:t>
      </w:r>
      <w:r w:rsidR="00541685" w:rsidRPr="4B922FC5">
        <w:rPr>
          <w:rFonts w:ascii="ITC Avant Garde" w:hAnsi="ITC Avant Garde"/>
          <w:lang w:val="es-ES"/>
        </w:rPr>
        <w:t>.</w:t>
      </w:r>
    </w:p>
    <w:p w14:paraId="772023AE" w14:textId="77777777" w:rsidR="005D3F29" w:rsidRPr="00541685" w:rsidRDefault="005D3F29" w:rsidP="0080349A">
      <w:pPr>
        <w:spacing w:after="0" w:line="276" w:lineRule="auto"/>
        <w:ind w:left="0" w:right="0" w:firstLine="0"/>
        <w:rPr>
          <w:rFonts w:ascii="ITC Avant Garde" w:hAnsi="ITC Avant Garde"/>
          <w:lang w:val="es-ES"/>
        </w:rPr>
      </w:pPr>
    </w:p>
    <w:p w14:paraId="70298BC0" w14:textId="58919AF4" w:rsidR="00541685" w:rsidRPr="00541685" w:rsidRDefault="00541685" w:rsidP="0080349A">
      <w:pPr>
        <w:spacing w:after="0" w:line="276" w:lineRule="auto"/>
        <w:ind w:left="0" w:right="0" w:firstLine="0"/>
        <w:rPr>
          <w:rFonts w:ascii="ITC Avant Garde" w:hAnsi="ITC Avant Garde"/>
          <w:lang w:val="es-ES"/>
        </w:rPr>
      </w:pPr>
      <w:r w:rsidRPr="4B922FC5">
        <w:rPr>
          <w:rFonts w:ascii="ITC Avant Garde" w:hAnsi="ITC Avant Garde"/>
          <w:lang w:val="es-ES"/>
        </w:rPr>
        <w:t xml:space="preserve">El modelo de interconexión móvil considera una asignación y unos costos de espectro que están en línea con los datos proporcionados por los </w:t>
      </w:r>
      <w:r w:rsidR="00A94546" w:rsidRPr="4B922FC5">
        <w:rPr>
          <w:rFonts w:ascii="ITC Avant Garde" w:hAnsi="ITC Avant Garde"/>
          <w:lang w:val="es-ES"/>
        </w:rPr>
        <w:t>concesionarios</w:t>
      </w:r>
      <w:r w:rsidRPr="4B922FC5">
        <w:rPr>
          <w:rFonts w:ascii="ITC Avant Garde" w:hAnsi="ITC Avant Garde"/>
          <w:lang w:val="es-ES"/>
        </w:rPr>
        <w:t xml:space="preserve"> mexicanos en respuesta al requerimiento de información. </w:t>
      </w:r>
      <w:r w:rsidR="00F94BAD" w:rsidRPr="4B922FC5">
        <w:rPr>
          <w:rFonts w:ascii="ITC Avant Garde" w:hAnsi="ITC Avant Garde"/>
          <w:lang w:val="es-ES"/>
        </w:rPr>
        <w:t>L</w:t>
      </w:r>
      <w:r w:rsidRPr="4B922FC5">
        <w:rPr>
          <w:rFonts w:ascii="ITC Avant Garde" w:hAnsi="ITC Avant Garde"/>
          <w:lang w:val="es-ES"/>
        </w:rPr>
        <w:t xml:space="preserve">os precios reales que los </w:t>
      </w:r>
      <w:r w:rsidR="00A94546" w:rsidRPr="4B922FC5">
        <w:rPr>
          <w:rFonts w:ascii="ITC Avant Garde" w:hAnsi="ITC Avant Garde"/>
          <w:lang w:val="es-ES"/>
        </w:rPr>
        <w:t>concesionarios</w:t>
      </w:r>
      <w:r w:rsidRPr="4B922FC5">
        <w:rPr>
          <w:rFonts w:ascii="ITC Avant Garde" w:hAnsi="ITC Avant Garde"/>
          <w:lang w:val="es-ES"/>
        </w:rPr>
        <w:t xml:space="preserve"> han pagado por el espectro en procesos competitivos, </w:t>
      </w:r>
      <w:r w:rsidR="00D8098C" w:rsidRPr="4B922FC5">
        <w:rPr>
          <w:rFonts w:ascii="ITC Avant Garde" w:hAnsi="ITC Avant Garde"/>
          <w:lang w:val="es-ES"/>
        </w:rPr>
        <w:t>así</w:t>
      </w:r>
      <w:r w:rsidRPr="4B922FC5">
        <w:rPr>
          <w:rFonts w:ascii="ITC Avant Garde" w:hAnsi="ITC Avant Garde"/>
          <w:lang w:val="es-ES"/>
        </w:rPr>
        <w:t xml:space="preserve"> como las </w:t>
      </w:r>
      <w:r w:rsidRPr="4B922FC5">
        <w:rPr>
          <w:rFonts w:ascii="ITC Avant Garde" w:hAnsi="ITC Avant Garde"/>
          <w:lang w:val="es-ES"/>
        </w:rPr>
        <w:lastRenderedPageBreak/>
        <w:t xml:space="preserve">tasas anuales aplicables, son un fiel reflejo de la realidad de los </w:t>
      </w:r>
      <w:r w:rsidR="00A94546" w:rsidRPr="4B922FC5">
        <w:rPr>
          <w:rFonts w:ascii="ITC Avant Garde" w:hAnsi="ITC Avant Garde"/>
          <w:lang w:val="es-ES"/>
        </w:rPr>
        <w:t>concesionarios</w:t>
      </w:r>
      <w:r w:rsidRPr="4B922FC5">
        <w:rPr>
          <w:rFonts w:ascii="ITC Avant Garde" w:hAnsi="ITC Avant Garde"/>
          <w:lang w:val="es-ES"/>
        </w:rPr>
        <w:t xml:space="preserve"> mexicanos. Si no se considerar</w:t>
      </w:r>
      <w:r w:rsidR="00D8098C" w:rsidRPr="4B922FC5">
        <w:rPr>
          <w:rFonts w:ascii="ITC Avant Garde" w:hAnsi="ITC Avant Garde"/>
          <w:lang w:val="es-ES"/>
        </w:rPr>
        <w:t>an</w:t>
      </w:r>
      <w:r w:rsidRPr="4B922FC5">
        <w:rPr>
          <w:rFonts w:ascii="ITC Avant Garde" w:hAnsi="ITC Avant Garde"/>
          <w:lang w:val="es-ES"/>
        </w:rPr>
        <w:t xml:space="preserve"> estas cantidades de espectro y los costos reales de este insumo, el modelo de interconexión móvil no reflejaría correctamente el contexto del mercado mexicano y las tarifas resultantes no serían representativas</w:t>
      </w:r>
      <w:r w:rsidR="5CF130C2" w:rsidRPr="4B922FC5">
        <w:rPr>
          <w:rFonts w:ascii="ITC Avant Garde" w:hAnsi="ITC Avant Garde"/>
          <w:lang w:val="es-ES"/>
        </w:rPr>
        <w:t xml:space="preserve"> a un nivel razonable del mercado mexicano y no reflejarían de manera adecuada las condiciones bajo las cuales un concesionario</w:t>
      </w:r>
      <w:r w:rsidR="2FFAA8B5" w:rsidRPr="4B922FC5">
        <w:rPr>
          <w:rFonts w:ascii="ITC Avant Garde" w:hAnsi="ITC Avant Garde"/>
          <w:lang w:val="es-ES"/>
        </w:rPr>
        <w:t xml:space="preserve"> móvil hipotético eficiente podría operar en nuestro país</w:t>
      </w:r>
      <w:r w:rsidRPr="4B922FC5">
        <w:rPr>
          <w:rFonts w:ascii="ITC Avant Garde" w:hAnsi="ITC Avant Garde"/>
          <w:lang w:val="es-ES"/>
        </w:rPr>
        <w:t xml:space="preserve">. </w:t>
      </w:r>
    </w:p>
    <w:p w14:paraId="3968E8AF" w14:textId="08B3422B" w:rsidR="00D8098C" w:rsidRDefault="00D8098C" w:rsidP="0080349A">
      <w:pPr>
        <w:spacing w:after="0" w:line="276" w:lineRule="auto"/>
        <w:ind w:left="0" w:right="0" w:firstLine="0"/>
        <w:rPr>
          <w:rFonts w:ascii="ITC Avant Garde" w:hAnsi="ITC Avant Garde"/>
          <w:lang w:val="es-ES"/>
        </w:rPr>
      </w:pPr>
    </w:p>
    <w:p w14:paraId="1C74A66D" w14:textId="1A5DDA58" w:rsidR="00541685" w:rsidRPr="00856A78" w:rsidRDefault="00541685" w:rsidP="0080349A">
      <w:pPr>
        <w:spacing w:after="0" w:line="276" w:lineRule="auto"/>
        <w:ind w:left="0" w:right="0" w:firstLine="0"/>
        <w:rPr>
          <w:rFonts w:ascii="ITC Avant Garde" w:hAnsi="ITC Avant Garde"/>
          <w:i/>
          <w:lang w:val="es-ES"/>
        </w:rPr>
      </w:pPr>
      <w:r w:rsidRPr="00856A78">
        <w:rPr>
          <w:rFonts w:ascii="ITC Avant Garde" w:hAnsi="ITC Avant Garde"/>
          <w:i/>
          <w:lang w:val="es-ES"/>
        </w:rPr>
        <w:t xml:space="preserve">Consideración de Altán en la definición del </w:t>
      </w:r>
      <w:r w:rsidR="008A4535" w:rsidRPr="00856A78">
        <w:rPr>
          <w:rFonts w:ascii="ITC Avant Garde" w:hAnsi="ITC Avant Garde"/>
          <w:i/>
          <w:lang w:val="es-ES"/>
        </w:rPr>
        <w:t xml:space="preserve">CS </w:t>
      </w:r>
      <w:r w:rsidRPr="00856A78">
        <w:rPr>
          <w:rFonts w:ascii="ITC Avant Garde" w:hAnsi="ITC Avant Garde"/>
          <w:i/>
          <w:lang w:val="es-ES"/>
        </w:rPr>
        <w:t>de redes móviles</w:t>
      </w:r>
    </w:p>
    <w:p w14:paraId="18306A02" w14:textId="77777777" w:rsidR="00962C37" w:rsidRDefault="00962C37" w:rsidP="0080349A">
      <w:pPr>
        <w:spacing w:after="0" w:line="276" w:lineRule="auto"/>
        <w:ind w:left="0" w:right="0" w:firstLine="0"/>
        <w:rPr>
          <w:rFonts w:ascii="ITC Avant Garde" w:hAnsi="ITC Avant Garde"/>
          <w:lang w:val="es-ES"/>
        </w:rPr>
      </w:pPr>
    </w:p>
    <w:p w14:paraId="18F38DB7" w14:textId="1259C03C" w:rsidR="00856A78"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GTV y </w:t>
      </w:r>
      <w:r w:rsidR="005075FE">
        <w:rPr>
          <w:rFonts w:ascii="ITC Avant Garde" w:hAnsi="ITC Avant Garde"/>
          <w:lang w:val="es-ES"/>
        </w:rPr>
        <w:t>Mega Cable</w:t>
      </w:r>
    </w:p>
    <w:p w14:paraId="08272FDE" w14:textId="77777777" w:rsidR="00856A78" w:rsidRDefault="00856A78" w:rsidP="0080349A">
      <w:pPr>
        <w:spacing w:after="0" w:line="276" w:lineRule="auto"/>
        <w:ind w:left="0" w:right="0" w:firstLine="0"/>
        <w:rPr>
          <w:rFonts w:ascii="ITC Avant Garde" w:hAnsi="ITC Avant Garde"/>
          <w:lang w:val="es-ES"/>
        </w:rPr>
      </w:pPr>
    </w:p>
    <w:p w14:paraId="422169E1" w14:textId="0E8FFC8D" w:rsidR="00541685" w:rsidRDefault="00856A78" w:rsidP="0080349A">
      <w:pPr>
        <w:spacing w:after="0" w:line="276" w:lineRule="auto"/>
        <w:ind w:left="0" w:right="0" w:firstLine="0"/>
        <w:rPr>
          <w:rFonts w:ascii="ITC Avant Garde" w:hAnsi="ITC Avant Garde"/>
          <w:lang w:val="es-ES"/>
        </w:rPr>
      </w:pPr>
      <w:r w:rsidRPr="58E23F00">
        <w:rPr>
          <w:rFonts w:ascii="ITC Avant Garde" w:hAnsi="ITC Avant Garde"/>
          <w:lang w:val="es-ES"/>
        </w:rPr>
        <w:t>S</w:t>
      </w:r>
      <w:r w:rsidR="00541685" w:rsidRPr="58E23F00">
        <w:rPr>
          <w:rFonts w:ascii="ITC Avant Garde" w:hAnsi="ITC Avant Garde"/>
          <w:lang w:val="es-ES"/>
        </w:rPr>
        <w:t xml:space="preserve">olicitan al </w:t>
      </w:r>
      <w:r w:rsidR="647786AF" w:rsidRPr="58E23F00">
        <w:rPr>
          <w:rFonts w:ascii="ITC Avant Garde" w:hAnsi="ITC Avant Garde"/>
          <w:lang w:val="es-ES"/>
        </w:rPr>
        <w:t>I</w:t>
      </w:r>
      <w:r w:rsidR="7BC78870"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 xml:space="preserve">incorporar la oferta de Altán dentro de los modelos del AEP y </w:t>
      </w:r>
      <w:r w:rsidR="008A4535" w:rsidRPr="58E23F00">
        <w:rPr>
          <w:rFonts w:ascii="ITC Avant Garde" w:hAnsi="ITC Avant Garde"/>
          <w:lang w:val="es-ES"/>
        </w:rPr>
        <w:t xml:space="preserve">CS </w:t>
      </w:r>
      <w:r w:rsidR="00541685" w:rsidRPr="58E23F00">
        <w:rPr>
          <w:rFonts w:ascii="ITC Avant Garde" w:hAnsi="ITC Avant Garde"/>
          <w:lang w:val="es-ES"/>
        </w:rPr>
        <w:t>para reflejar de manera más precisa el sector de telecomunicaciones en México. Al mismo tiempo, GTV solicita que se considere la asignación de espectro a Altán en la banda de 700MHz para llegar a una fijación de precios de interconexión más realista.</w:t>
      </w:r>
    </w:p>
    <w:p w14:paraId="055357FD" w14:textId="69633D2E" w:rsidR="00856A78" w:rsidRDefault="00856A78" w:rsidP="0080349A">
      <w:pPr>
        <w:spacing w:after="0" w:line="276" w:lineRule="auto"/>
        <w:ind w:left="0" w:right="0" w:firstLine="0"/>
        <w:rPr>
          <w:rFonts w:ascii="ITC Avant Garde" w:hAnsi="ITC Avant Garde"/>
          <w:lang w:val="es-ES"/>
        </w:rPr>
      </w:pPr>
    </w:p>
    <w:p w14:paraId="1F2EF75D" w14:textId="5A3662C4" w:rsidR="00856A78" w:rsidRDefault="00856A78"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59D7BA82" w14:textId="77777777" w:rsidR="00856A78" w:rsidRPr="00541685" w:rsidRDefault="00856A78" w:rsidP="0080349A">
      <w:pPr>
        <w:spacing w:after="0" w:line="276" w:lineRule="auto"/>
        <w:ind w:left="0" w:right="0" w:firstLine="0"/>
        <w:rPr>
          <w:rFonts w:ascii="ITC Avant Garde" w:hAnsi="ITC Avant Garde"/>
          <w:lang w:val="es-ES"/>
        </w:rPr>
      </w:pPr>
    </w:p>
    <w:p w14:paraId="16E7C51E" w14:textId="55C1324E"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Como parte del proceso de desarrollo del modelo de interconexión móvil para el actual periodo regulatorio 2024–26, se han revisado las participaciones de los principales </w:t>
      </w:r>
      <w:r w:rsidR="00A94546">
        <w:rPr>
          <w:rFonts w:ascii="ITC Avant Garde" w:hAnsi="ITC Avant Garde"/>
          <w:lang w:val="es-ES"/>
        </w:rPr>
        <w:t>concesionarios</w:t>
      </w:r>
      <w:r w:rsidRPr="00541685">
        <w:rPr>
          <w:rFonts w:ascii="ITC Avant Garde" w:hAnsi="ITC Avant Garde"/>
          <w:lang w:val="es-ES"/>
        </w:rPr>
        <w:t xml:space="preserve"> en el mercado móvil mexicano (teniendo en cuenta los </w:t>
      </w:r>
      <w:r w:rsidR="00A94546">
        <w:rPr>
          <w:rFonts w:ascii="ITC Avant Garde" w:hAnsi="ITC Avant Garde"/>
          <w:lang w:val="es-ES"/>
        </w:rPr>
        <w:t>concesionarios</w:t>
      </w:r>
      <w:r w:rsidRPr="00541685">
        <w:rPr>
          <w:rFonts w:ascii="ITC Avant Garde" w:hAnsi="ITC Avant Garde"/>
          <w:lang w:val="es-ES"/>
        </w:rPr>
        <w:t xml:space="preserve"> móviles virtuales (OMV) que están presentes en sus redes). A partir de los datos que se muestran en las dos gráficas siguientes se observa que Altán ha logrado aumentar su cuota de mercado de líneas de telefonía móvil hasta situarse en torno al 3.1% en 2022, frente a una cuota de 0.8% un año antes, en 2021.</w:t>
      </w:r>
    </w:p>
    <w:p w14:paraId="6FB3CCE6" w14:textId="77777777" w:rsidR="00856A78" w:rsidRPr="00541685" w:rsidRDefault="00856A78" w:rsidP="0080349A">
      <w:pPr>
        <w:spacing w:after="0" w:line="276" w:lineRule="auto"/>
        <w:ind w:left="0" w:right="0" w:firstLine="0"/>
        <w:rPr>
          <w:rFonts w:ascii="ITC Avant Garde" w:hAnsi="ITC Avant Garde"/>
          <w:lang w:val="es-ES"/>
        </w:rPr>
      </w:pPr>
    </w:p>
    <w:p w14:paraId="5481C459" w14:textId="2F017489"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Figura 3: Evolución de las cuotas de mercado por líneas móviles de los principales </w:t>
      </w:r>
      <w:r w:rsidR="00A94546">
        <w:rPr>
          <w:rFonts w:ascii="ITC Avant Garde" w:hAnsi="ITC Avant Garde"/>
          <w:lang w:val="es-ES"/>
        </w:rPr>
        <w:t>concesionarios</w:t>
      </w:r>
      <w:r w:rsidRPr="00541685">
        <w:rPr>
          <w:rFonts w:ascii="ITC Avant Garde" w:hAnsi="ITC Avant Garde"/>
          <w:lang w:val="es-ES"/>
        </w:rPr>
        <w:t xml:space="preserve"> mexicanos, considerando los OMV presentes en cada red [Fuente: IFT, 2023]</w:t>
      </w:r>
    </w:p>
    <w:p w14:paraId="65E07B1E" w14:textId="6FE01572" w:rsidR="00856A78" w:rsidRDefault="00856A78" w:rsidP="0080349A">
      <w:pPr>
        <w:spacing w:after="0" w:line="276" w:lineRule="auto"/>
        <w:ind w:left="0" w:right="0" w:firstLine="0"/>
        <w:rPr>
          <w:rFonts w:ascii="ITC Avant Garde" w:hAnsi="ITC Avant Garde"/>
          <w:lang w:val="es-ES"/>
        </w:rPr>
      </w:pPr>
    </w:p>
    <w:p w14:paraId="02A3B7AB" w14:textId="5DC9DB55" w:rsidR="00856A78" w:rsidRPr="00541685" w:rsidRDefault="00856A78" w:rsidP="0080349A">
      <w:pPr>
        <w:spacing w:after="0" w:line="276" w:lineRule="auto"/>
        <w:ind w:left="0" w:right="0" w:firstLine="0"/>
        <w:rPr>
          <w:rFonts w:ascii="ITC Avant Garde" w:hAnsi="ITC Avant Garde"/>
          <w:lang w:val="es-ES"/>
        </w:rPr>
      </w:pPr>
      <w:r w:rsidRPr="00A458DB">
        <w:rPr>
          <w:noProof/>
          <w:lang w:val="es-ES"/>
        </w:rPr>
        <w:lastRenderedPageBreak/>
        <w:drawing>
          <wp:inline distT="0" distB="0" distL="0" distR="0" wp14:anchorId="23F03F46" wp14:editId="52B8206B">
            <wp:extent cx="4871720" cy="2230120"/>
            <wp:effectExtent l="0" t="0" r="0" b="0"/>
            <wp:docPr id="309902217" name="Picture 309902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1720" cy="2230120"/>
                    </a:xfrm>
                    <a:prstGeom prst="rect">
                      <a:avLst/>
                    </a:prstGeom>
                    <a:noFill/>
                    <a:ln>
                      <a:noFill/>
                    </a:ln>
                  </pic:spPr>
                </pic:pic>
              </a:graphicData>
            </a:graphic>
          </wp:inline>
        </w:drawing>
      </w:r>
    </w:p>
    <w:p w14:paraId="115669DE" w14:textId="77777777" w:rsidR="00541685" w:rsidRP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  </w:t>
      </w:r>
    </w:p>
    <w:p w14:paraId="3B2833D4" w14:textId="31E5B0C4" w:rsidR="00541685" w:rsidRPr="00541685" w:rsidRDefault="00856A78" w:rsidP="0080349A">
      <w:pPr>
        <w:spacing w:after="0" w:line="276" w:lineRule="auto"/>
        <w:ind w:left="0" w:right="0" w:firstLine="0"/>
        <w:rPr>
          <w:rFonts w:ascii="ITC Avant Garde" w:hAnsi="ITC Avant Garde"/>
          <w:lang w:val="es-ES"/>
        </w:rPr>
      </w:pPr>
      <w:r w:rsidRPr="4B922FC5">
        <w:rPr>
          <w:rFonts w:ascii="ITC Avant Garde" w:hAnsi="ITC Avant Garde"/>
          <w:lang w:val="es-ES"/>
        </w:rPr>
        <w:t>Por tanto</w:t>
      </w:r>
      <w:r w:rsidR="00541685" w:rsidRPr="4B922FC5">
        <w:rPr>
          <w:rFonts w:ascii="ITC Avant Garde" w:hAnsi="ITC Avant Garde"/>
          <w:lang w:val="es-ES"/>
        </w:rPr>
        <w:t xml:space="preserve">, Altán todavía no goza de una escala suficiente como para ser considerado un </w:t>
      </w:r>
      <w:r w:rsidR="00A94546" w:rsidRPr="4B922FC5">
        <w:rPr>
          <w:rFonts w:ascii="ITC Avant Garde" w:hAnsi="ITC Avant Garde"/>
          <w:lang w:val="es-ES"/>
        </w:rPr>
        <w:t>operador eficiente</w:t>
      </w:r>
      <w:r w:rsidR="00541685" w:rsidRPr="4B922FC5">
        <w:rPr>
          <w:rFonts w:ascii="ITC Avant Garde" w:hAnsi="ITC Avant Garde"/>
          <w:lang w:val="es-ES"/>
        </w:rPr>
        <w:t xml:space="preserve">, y de incluirse como parte del CA, esto proporcionaría incentivos inadecuados en los precios de los servicios mayoristas. </w:t>
      </w:r>
    </w:p>
    <w:p w14:paraId="217AB6B7" w14:textId="77777777" w:rsidR="00856A78" w:rsidRDefault="00856A78" w:rsidP="0080349A">
      <w:pPr>
        <w:spacing w:after="0" w:line="276" w:lineRule="auto"/>
        <w:ind w:left="0" w:right="0" w:firstLine="0"/>
        <w:rPr>
          <w:rFonts w:ascii="ITC Avant Garde" w:hAnsi="ITC Avant Garde"/>
          <w:lang w:val="es-ES"/>
        </w:rPr>
      </w:pPr>
    </w:p>
    <w:p w14:paraId="10591F1D" w14:textId="53BB0C1E" w:rsidR="00541685" w:rsidRPr="00856A78" w:rsidRDefault="00541685" w:rsidP="4B922FC5">
      <w:pPr>
        <w:spacing w:after="0" w:line="276" w:lineRule="auto"/>
        <w:ind w:left="0" w:right="0" w:firstLine="0"/>
        <w:rPr>
          <w:rFonts w:ascii="ITC Avant Garde" w:hAnsi="ITC Avant Garde"/>
          <w:i/>
          <w:iCs/>
          <w:lang w:val="es-ES"/>
        </w:rPr>
      </w:pPr>
      <w:r w:rsidRPr="4B922FC5">
        <w:rPr>
          <w:rFonts w:ascii="ITC Avant Garde" w:hAnsi="ITC Avant Garde"/>
          <w:i/>
          <w:iCs/>
          <w:lang w:val="es-ES"/>
        </w:rPr>
        <w:t>Mantenimiento de una cuota de mercado constante</w:t>
      </w:r>
    </w:p>
    <w:p w14:paraId="1AE75CBA" w14:textId="77777777" w:rsidR="00856A78" w:rsidRDefault="00856A78" w:rsidP="0080349A">
      <w:pPr>
        <w:spacing w:after="0" w:line="276" w:lineRule="auto"/>
        <w:ind w:left="0" w:right="0" w:firstLine="0"/>
        <w:rPr>
          <w:rFonts w:ascii="ITC Avant Garde" w:hAnsi="ITC Avant Garde"/>
          <w:lang w:val="es-ES"/>
        </w:rPr>
      </w:pPr>
    </w:p>
    <w:p w14:paraId="504A41CC" w14:textId="77777777" w:rsidR="00856A78"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CANIETI y GTV</w:t>
      </w:r>
    </w:p>
    <w:p w14:paraId="4A703DED" w14:textId="77777777" w:rsidR="00856A78" w:rsidRDefault="00856A78" w:rsidP="0080349A">
      <w:pPr>
        <w:spacing w:after="0" w:line="276" w:lineRule="auto"/>
        <w:ind w:left="0" w:right="0" w:firstLine="0"/>
        <w:rPr>
          <w:rFonts w:ascii="ITC Avant Garde" w:hAnsi="ITC Avant Garde"/>
          <w:lang w:val="es-ES"/>
        </w:rPr>
      </w:pPr>
    </w:p>
    <w:p w14:paraId="460B5FDF" w14:textId="3500EF85" w:rsidR="00541685" w:rsidRDefault="00856A78" w:rsidP="0080349A">
      <w:pPr>
        <w:spacing w:after="0" w:line="276" w:lineRule="auto"/>
        <w:ind w:left="0" w:right="0" w:firstLine="0"/>
        <w:rPr>
          <w:rFonts w:ascii="ITC Avant Garde" w:hAnsi="ITC Avant Garde"/>
          <w:lang w:val="es-ES"/>
        </w:rPr>
      </w:pPr>
      <w:r w:rsidRPr="58E23F00">
        <w:rPr>
          <w:rFonts w:ascii="ITC Avant Garde" w:hAnsi="ITC Avant Garde"/>
          <w:lang w:val="es-ES"/>
        </w:rPr>
        <w:t>I</w:t>
      </w:r>
      <w:r w:rsidR="00541685" w:rsidRPr="58E23F00">
        <w:rPr>
          <w:rFonts w:ascii="ITC Avant Garde" w:hAnsi="ITC Avant Garde"/>
          <w:lang w:val="es-ES"/>
        </w:rPr>
        <w:t xml:space="preserve">ndican que en el modelo de interconexión móvil las cuotas de mercado de los distintos </w:t>
      </w:r>
      <w:r w:rsidR="00A94546" w:rsidRPr="58E23F00">
        <w:rPr>
          <w:rFonts w:ascii="ITC Avant Garde" w:hAnsi="ITC Avant Garde"/>
          <w:lang w:val="es-ES"/>
        </w:rPr>
        <w:t>concesionarios</w:t>
      </w:r>
      <w:r w:rsidR="00541685" w:rsidRPr="58E23F00">
        <w:rPr>
          <w:rFonts w:ascii="ITC Avant Garde" w:hAnsi="ITC Avant Garde"/>
          <w:lang w:val="es-ES"/>
        </w:rPr>
        <w:t xml:space="preserve"> se mantienen constantes a lo largo del periodo regulatorio 2024–26. Argumentan que este enfoque va en contra de la intención del </w:t>
      </w:r>
      <w:r w:rsidR="647786AF" w:rsidRPr="58E23F00">
        <w:rPr>
          <w:rFonts w:ascii="ITC Avant Garde" w:hAnsi="ITC Avant Garde"/>
          <w:lang w:val="es-ES"/>
        </w:rPr>
        <w:t>I</w:t>
      </w:r>
      <w:r w:rsidR="31AAB569"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 xml:space="preserve">de promover la entrada de nuevos participantes en el mercado, ya que sugeriría que las tarifas establecidas no afectarían al nivel de competencia. </w:t>
      </w:r>
    </w:p>
    <w:p w14:paraId="2E02E542" w14:textId="4021E79F" w:rsidR="00856A78" w:rsidRDefault="00856A78" w:rsidP="0080349A">
      <w:pPr>
        <w:spacing w:after="0" w:line="276" w:lineRule="auto"/>
        <w:ind w:left="0" w:right="0" w:firstLine="0"/>
        <w:rPr>
          <w:rFonts w:ascii="ITC Avant Garde" w:hAnsi="ITC Avant Garde"/>
          <w:lang w:val="es-ES"/>
        </w:rPr>
      </w:pPr>
    </w:p>
    <w:p w14:paraId="6FBFA603" w14:textId="176E7625" w:rsidR="00856A78" w:rsidRDefault="00856A78"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7F0F1A4A" w14:textId="77777777" w:rsidR="00856A78" w:rsidRPr="00541685" w:rsidRDefault="00856A78" w:rsidP="0080349A">
      <w:pPr>
        <w:spacing w:after="0" w:line="276" w:lineRule="auto"/>
        <w:ind w:left="0" w:right="0" w:firstLine="0"/>
        <w:rPr>
          <w:rFonts w:ascii="ITC Avant Garde" w:hAnsi="ITC Avant Garde"/>
          <w:lang w:val="es-ES"/>
        </w:rPr>
      </w:pPr>
    </w:p>
    <w:p w14:paraId="3D69BAAA" w14:textId="222235B4" w:rsidR="00541685" w:rsidRDefault="00856A78" w:rsidP="0080349A">
      <w:pPr>
        <w:spacing w:after="0" w:line="276" w:lineRule="auto"/>
        <w:ind w:left="0" w:right="0" w:firstLine="0"/>
        <w:rPr>
          <w:rFonts w:ascii="ITC Avant Garde" w:hAnsi="ITC Avant Garde"/>
          <w:lang w:val="es-ES"/>
        </w:rPr>
      </w:pPr>
      <w:r>
        <w:rPr>
          <w:rFonts w:ascii="ITC Avant Garde" w:hAnsi="ITC Avant Garde"/>
          <w:lang w:val="es-ES"/>
        </w:rPr>
        <w:t>En</w:t>
      </w:r>
      <w:r w:rsidR="00541685" w:rsidRPr="00541685">
        <w:rPr>
          <w:rFonts w:ascii="ITC Avant Garde" w:hAnsi="ITC Avant Garde"/>
          <w:lang w:val="es-ES"/>
        </w:rPr>
        <w:t xml:space="preserve"> los próximos años cabe esperar una evolución en la estructura del mercado móvil y en las participaciones que ostentan los distintos </w:t>
      </w:r>
      <w:r w:rsidR="00A94546">
        <w:rPr>
          <w:rFonts w:ascii="ITC Avant Garde" w:hAnsi="ITC Avant Garde"/>
          <w:lang w:val="es-ES"/>
        </w:rPr>
        <w:t>concesionarios</w:t>
      </w:r>
      <w:r w:rsidR="00541685" w:rsidRPr="00541685">
        <w:rPr>
          <w:rFonts w:ascii="ITC Avant Garde" w:hAnsi="ITC Avant Garde"/>
          <w:lang w:val="es-ES"/>
        </w:rPr>
        <w:t xml:space="preserve">, con lo que </w:t>
      </w:r>
      <w:r>
        <w:rPr>
          <w:rFonts w:ascii="ITC Avant Garde" w:hAnsi="ITC Avant Garde"/>
          <w:lang w:val="es-ES"/>
        </w:rPr>
        <w:t>se considera</w:t>
      </w:r>
      <w:r w:rsidR="00541685" w:rsidRPr="00541685">
        <w:rPr>
          <w:rFonts w:ascii="ITC Avant Garde" w:hAnsi="ITC Avant Garde"/>
          <w:lang w:val="es-ES"/>
        </w:rPr>
        <w:t xml:space="preserve"> que el comentario es proporcionado. </w:t>
      </w:r>
    </w:p>
    <w:p w14:paraId="0959F202" w14:textId="77777777" w:rsidR="00856A78" w:rsidRPr="00541685" w:rsidRDefault="00856A78" w:rsidP="0080349A">
      <w:pPr>
        <w:spacing w:after="0" w:line="276" w:lineRule="auto"/>
        <w:ind w:left="0" w:right="0" w:firstLine="0"/>
        <w:rPr>
          <w:rFonts w:ascii="ITC Avant Garde" w:hAnsi="ITC Avant Garde"/>
          <w:lang w:val="es-ES"/>
        </w:rPr>
      </w:pPr>
    </w:p>
    <w:p w14:paraId="1C2ADEA2" w14:textId="27471A97"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No obstante, </w:t>
      </w:r>
      <w:r w:rsidR="00856A78">
        <w:rPr>
          <w:rFonts w:ascii="ITC Avant Garde" w:hAnsi="ITC Avant Garde"/>
          <w:lang w:val="es-ES"/>
        </w:rPr>
        <w:t>se considera</w:t>
      </w:r>
      <w:r w:rsidRPr="00541685">
        <w:rPr>
          <w:rFonts w:ascii="ITC Avant Garde" w:hAnsi="ITC Avant Garde"/>
          <w:lang w:val="es-ES"/>
        </w:rPr>
        <w:t xml:space="preserve"> que incluir en el modelo la previsible evolución de las participaciones de los </w:t>
      </w:r>
      <w:r w:rsidR="00A94546">
        <w:rPr>
          <w:rFonts w:ascii="ITC Avant Garde" w:hAnsi="ITC Avant Garde"/>
          <w:lang w:val="es-ES"/>
        </w:rPr>
        <w:t>concesionarios</w:t>
      </w:r>
      <w:r w:rsidRPr="00541685">
        <w:rPr>
          <w:rFonts w:ascii="ITC Avant Garde" w:hAnsi="ITC Avant Garde"/>
          <w:lang w:val="es-ES"/>
        </w:rPr>
        <w:t xml:space="preserve"> mexicanos en el mercado móvil implicaría la incorporación de una variable endógena, ya que tendría impacto sobre los resultados del modelo. </w:t>
      </w:r>
    </w:p>
    <w:p w14:paraId="6DD3E892" w14:textId="77777777" w:rsidR="00856A78" w:rsidRPr="00541685" w:rsidRDefault="00856A78" w:rsidP="0080349A">
      <w:pPr>
        <w:spacing w:after="0" w:line="276" w:lineRule="auto"/>
        <w:ind w:left="0" w:right="0" w:firstLine="0"/>
        <w:rPr>
          <w:rFonts w:ascii="ITC Avant Garde" w:hAnsi="ITC Avant Garde"/>
          <w:lang w:val="es-ES"/>
        </w:rPr>
      </w:pPr>
    </w:p>
    <w:p w14:paraId="0836F665" w14:textId="300A0B71" w:rsidR="00856A78" w:rsidRDefault="00541685" w:rsidP="0080349A">
      <w:pPr>
        <w:spacing w:after="0" w:line="276" w:lineRule="auto"/>
        <w:ind w:left="0" w:right="0" w:firstLine="0"/>
        <w:rPr>
          <w:rFonts w:ascii="ITC Avant Garde" w:hAnsi="ITC Avant Garde"/>
          <w:lang w:val="es-ES"/>
        </w:rPr>
      </w:pPr>
      <w:r w:rsidRPr="4B922FC5">
        <w:rPr>
          <w:rFonts w:ascii="ITC Avant Garde" w:hAnsi="ITC Avant Garde"/>
          <w:lang w:val="es-ES"/>
        </w:rPr>
        <w:t>Dado que los modelos se someten a revisiones periódicas para reflejar cambios en el mercado, se considera más prudente mantener la cuota de mercado estáti</w:t>
      </w:r>
      <w:r w:rsidR="00856A78" w:rsidRPr="4B922FC5">
        <w:rPr>
          <w:rFonts w:ascii="ITC Avant Garde" w:hAnsi="ITC Avant Garde"/>
          <w:lang w:val="es-ES"/>
        </w:rPr>
        <w:t>ca</w:t>
      </w:r>
      <w:r w:rsidR="008A4535" w:rsidRPr="4B922FC5">
        <w:rPr>
          <w:rFonts w:ascii="ITC Avant Garde" w:hAnsi="ITC Avant Garde"/>
          <w:lang w:val="es-ES"/>
        </w:rPr>
        <w:t xml:space="preserve"> </w:t>
      </w:r>
      <w:r w:rsidRPr="4B922FC5">
        <w:rPr>
          <w:rFonts w:ascii="ITC Avant Garde" w:hAnsi="ITC Avant Garde"/>
          <w:lang w:val="es-ES"/>
        </w:rPr>
        <w:t>en esta etapa.</w:t>
      </w:r>
    </w:p>
    <w:p w14:paraId="0C65BE4D" w14:textId="77777777" w:rsidR="00962C37" w:rsidRPr="00541685" w:rsidRDefault="00962C37" w:rsidP="0080349A">
      <w:pPr>
        <w:spacing w:after="0" w:line="276" w:lineRule="auto"/>
        <w:ind w:left="0" w:right="0" w:firstLine="0"/>
        <w:rPr>
          <w:rFonts w:ascii="ITC Avant Garde" w:hAnsi="ITC Avant Garde"/>
          <w:lang w:val="es-ES"/>
        </w:rPr>
      </w:pPr>
    </w:p>
    <w:p w14:paraId="59974F2B" w14:textId="77777777" w:rsidR="00541685" w:rsidRPr="00856A78" w:rsidRDefault="00541685" w:rsidP="0080349A">
      <w:pPr>
        <w:spacing w:after="0" w:line="276" w:lineRule="auto"/>
        <w:ind w:left="0" w:right="0" w:firstLine="0"/>
        <w:rPr>
          <w:rFonts w:ascii="ITC Avant Garde" w:hAnsi="ITC Avant Garde"/>
          <w:i/>
          <w:lang w:val="es-ES"/>
        </w:rPr>
      </w:pPr>
      <w:r w:rsidRPr="00856A78">
        <w:rPr>
          <w:rFonts w:ascii="ITC Avant Garde" w:hAnsi="ITC Avant Garde"/>
          <w:i/>
          <w:lang w:val="es-ES"/>
        </w:rPr>
        <w:lastRenderedPageBreak/>
        <w:t>Servicios de voz y SMS no incluidos en el modelo de interconexión móvil</w:t>
      </w:r>
    </w:p>
    <w:p w14:paraId="2690E91B" w14:textId="77777777" w:rsidR="00856A78" w:rsidRDefault="00856A78" w:rsidP="0080349A">
      <w:pPr>
        <w:spacing w:after="0" w:line="276" w:lineRule="auto"/>
        <w:ind w:left="0" w:right="0" w:firstLine="0"/>
        <w:rPr>
          <w:rFonts w:ascii="ITC Avant Garde" w:hAnsi="ITC Avant Garde"/>
          <w:lang w:val="es-ES"/>
        </w:rPr>
      </w:pPr>
    </w:p>
    <w:p w14:paraId="05DB354A" w14:textId="77777777" w:rsidR="00856A78" w:rsidRDefault="00856A78" w:rsidP="0080349A">
      <w:pPr>
        <w:spacing w:after="0" w:line="276" w:lineRule="auto"/>
        <w:ind w:left="0" w:right="0" w:firstLine="0"/>
        <w:rPr>
          <w:rFonts w:ascii="ITC Avant Garde" w:hAnsi="ITC Avant Garde"/>
          <w:lang w:val="es-ES"/>
        </w:rPr>
      </w:pPr>
      <w:r>
        <w:rPr>
          <w:rFonts w:ascii="ITC Avant Garde" w:hAnsi="ITC Avant Garde"/>
          <w:lang w:val="es-ES"/>
        </w:rPr>
        <w:t>Mega Cable</w:t>
      </w:r>
    </w:p>
    <w:p w14:paraId="7734AE03" w14:textId="77777777" w:rsidR="00856A78" w:rsidRDefault="00856A78" w:rsidP="0080349A">
      <w:pPr>
        <w:spacing w:after="0" w:line="276" w:lineRule="auto"/>
        <w:ind w:left="0" w:right="0" w:firstLine="0"/>
        <w:rPr>
          <w:rFonts w:ascii="ITC Avant Garde" w:hAnsi="ITC Avant Garde"/>
          <w:lang w:val="es-ES"/>
        </w:rPr>
      </w:pPr>
    </w:p>
    <w:p w14:paraId="1CC51CBC" w14:textId="5B261E1D" w:rsidR="00541685" w:rsidRPr="00541685" w:rsidRDefault="00856A78" w:rsidP="0080349A">
      <w:pPr>
        <w:spacing w:after="0" w:line="276" w:lineRule="auto"/>
        <w:ind w:left="0" w:right="0" w:firstLine="0"/>
        <w:rPr>
          <w:rFonts w:ascii="ITC Avant Garde" w:hAnsi="ITC Avant Garde"/>
          <w:lang w:val="es-ES"/>
        </w:rPr>
      </w:pPr>
      <w:r w:rsidRPr="58E23F00">
        <w:rPr>
          <w:rFonts w:ascii="ITC Avant Garde" w:hAnsi="ITC Avant Garde"/>
          <w:lang w:val="es-ES"/>
        </w:rPr>
        <w:t>C</w:t>
      </w:r>
      <w:r w:rsidR="00541685" w:rsidRPr="58E23F00">
        <w:rPr>
          <w:rFonts w:ascii="ITC Avant Garde" w:hAnsi="ITC Avant Garde"/>
          <w:lang w:val="es-ES"/>
        </w:rPr>
        <w:t xml:space="preserve">onsidera que es necesario modelar diversos servicios de interconexión de SMS para los que el </w:t>
      </w:r>
      <w:r w:rsidR="647786AF" w:rsidRPr="58E23F00">
        <w:rPr>
          <w:rFonts w:ascii="ITC Avant Garde" w:hAnsi="ITC Avant Garde"/>
          <w:lang w:val="es-ES"/>
        </w:rPr>
        <w:t>I</w:t>
      </w:r>
      <w:r w:rsidR="49B1C43A"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 xml:space="preserve">ha resuelto desacuerdos, como el intercambio de SMS originados en números cortos y/o enmascarados, la provisión de la funcionalidad DLR (Delivery Receipt), y las tarifas por terminación de mensajes originados con tecnología de mensajería enriquecida RCS. Además, el </w:t>
      </w:r>
      <w:r w:rsidR="00A94546" w:rsidRPr="58E23F00">
        <w:rPr>
          <w:rFonts w:ascii="ITC Avant Garde" w:hAnsi="ITC Avant Garde"/>
          <w:lang w:val="es-ES"/>
        </w:rPr>
        <w:t>concesionario</w:t>
      </w:r>
      <w:r w:rsidR="00541685" w:rsidRPr="58E23F00">
        <w:rPr>
          <w:rFonts w:ascii="ITC Avant Garde" w:hAnsi="ITC Avant Garde"/>
          <w:lang w:val="es-ES"/>
        </w:rPr>
        <w:t xml:space="preserve"> también considera necesario incluir el servicio de marcación corta de llamadas de voz a empresas. </w:t>
      </w:r>
    </w:p>
    <w:p w14:paraId="2603A937" w14:textId="77777777" w:rsidR="00856A78" w:rsidRDefault="00856A78" w:rsidP="0080349A">
      <w:pPr>
        <w:spacing w:after="0" w:line="276" w:lineRule="auto"/>
        <w:ind w:left="0" w:right="0" w:firstLine="0"/>
        <w:rPr>
          <w:rFonts w:ascii="ITC Avant Garde" w:hAnsi="ITC Avant Garde"/>
          <w:lang w:val="es-ES"/>
        </w:rPr>
      </w:pPr>
    </w:p>
    <w:p w14:paraId="50EC124A" w14:textId="55512BA1"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El </w:t>
      </w:r>
      <w:r w:rsidR="00A94546">
        <w:rPr>
          <w:rFonts w:ascii="ITC Avant Garde" w:hAnsi="ITC Avant Garde"/>
          <w:lang w:val="es-ES"/>
        </w:rPr>
        <w:t>concesionario</w:t>
      </w:r>
      <w:r w:rsidRPr="00541685">
        <w:rPr>
          <w:rFonts w:ascii="ITC Avant Garde" w:hAnsi="ITC Avant Garde"/>
          <w:lang w:val="es-ES"/>
        </w:rPr>
        <w:t xml:space="preserve"> opina que es importante incluir estos servicios de voz y SMS para que los nuevos participantes sean capaces de replicar la oferta de los proveedores incumbentes.</w:t>
      </w:r>
    </w:p>
    <w:p w14:paraId="739B4C5B" w14:textId="77777777" w:rsidR="00A04B47" w:rsidRPr="00541685" w:rsidRDefault="00A04B47" w:rsidP="0080349A">
      <w:pPr>
        <w:spacing w:after="0" w:line="276" w:lineRule="auto"/>
        <w:ind w:left="0" w:right="0" w:firstLine="0"/>
        <w:rPr>
          <w:rFonts w:ascii="ITC Avant Garde" w:hAnsi="ITC Avant Garde"/>
          <w:lang w:val="es-ES"/>
        </w:rPr>
      </w:pPr>
    </w:p>
    <w:p w14:paraId="32D6A4A6" w14:textId="38449002" w:rsidR="00856A78" w:rsidRDefault="00856A78"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4DAA8260" w14:textId="77777777" w:rsidR="00856A78" w:rsidRDefault="00856A78" w:rsidP="0080349A">
      <w:pPr>
        <w:spacing w:after="0" w:line="276" w:lineRule="auto"/>
        <w:ind w:left="0" w:right="0" w:firstLine="0"/>
        <w:rPr>
          <w:rFonts w:ascii="ITC Avant Garde" w:hAnsi="ITC Avant Garde"/>
          <w:lang w:val="es-ES"/>
        </w:rPr>
      </w:pPr>
    </w:p>
    <w:p w14:paraId="0B86915B" w14:textId="2578F690"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Los servicios SMS y de voz que menciona el </w:t>
      </w:r>
      <w:r w:rsidR="00A94546">
        <w:rPr>
          <w:rFonts w:ascii="ITC Avant Garde" w:hAnsi="ITC Avant Garde"/>
          <w:lang w:val="es-ES"/>
        </w:rPr>
        <w:t>concesionario</w:t>
      </w:r>
      <w:r w:rsidRPr="00541685">
        <w:rPr>
          <w:rFonts w:ascii="ITC Avant Garde" w:hAnsi="ITC Avant Garde"/>
          <w:lang w:val="es-ES"/>
        </w:rPr>
        <w:t xml:space="preserve"> (p.ej. intercambio de SMS originados en números cortos) quedan fuera del alcance de los modelos, ya que estos servicios no son parte de las condiciones mínimas de interconexión.</w:t>
      </w:r>
    </w:p>
    <w:p w14:paraId="64AF9557" w14:textId="77777777" w:rsidR="00856A78" w:rsidRPr="00541685" w:rsidRDefault="00856A78" w:rsidP="0080349A">
      <w:pPr>
        <w:spacing w:after="0" w:line="276" w:lineRule="auto"/>
        <w:ind w:left="0" w:right="0" w:firstLine="0"/>
        <w:rPr>
          <w:rFonts w:ascii="ITC Avant Garde" w:hAnsi="ITC Avant Garde"/>
          <w:lang w:val="es-ES"/>
        </w:rPr>
      </w:pPr>
    </w:p>
    <w:p w14:paraId="4482F5D3" w14:textId="77777777" w:rsidR="00541685" w:rsidRPr="00856A78" w:rsidRDefault="00541685" w:rsidP="0080349A">
      <w:pPr>
        <w:spacing w:after="0" w:line="276" w:lineRule="auto"/>
        <w:ind w:left="0" w:right="0" w:firstLine="0"/>
        <w:rPr>
          <w:rFonts w:ascii="ITC Avant Garde" w:hAnsi="ITC Avant Garde"/>
          <w:i/>
          <w:lang w:val="es-ES"/>
        </w:rPr>
      </w:pPr>
      <w:r w:rsidRPr="00856A78">
        <w:rPr>
          <w:rFonts w:ascii="ITC Avant Garde" w:hAnsi="ITC Avant Garde"/>
          <w:i/>
          <w:lang w:val="es-ES"/>
        </w:rPr>
        <w:t>Servicios de llamadas salientes o entrantes fijas no incluidos en el modelo móvil</w:t>
      </w:r>
    </w:p>
    <w:p w14:paraId="521058EC" w14:textId="77777777" w:rsidR="00856A78" w:rsidRDefault="00856A78" w:rsidP="0080349A">
      <w:pPr>
        <w:spacing w:after="0" w:line="276" w:lineRule="auto"/>
        <w:ind w:left="0" w:right="0" w:firstLine="0"/>
        <w:rPr>
          <w:rFonts w:ascii="ITC Avant Garde" w:hAnsi="ITC Avant Garde"/>
          <w:lang w:val="es-ES"/>
        </w:rPr>
      </w:pPr>
    </w:p>
    <w:p w14:paraId="4F4900AE" w14:textId="77777777" w:rsidR="00856A78"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GTV</w:t>
      </w:r>
    </w:p>
    <w:p w14:paraId="6375AB9E" w14:textId="77777777" w:rsidR="00856A78" w:rsidRDefault="00856A78" w:rsidP="0080349A">
      <w:pPr>
        <w:spacing w:after="0" w:line="276" w:lineRule="auto"/>
        <w:ind w:left="0" w:right="0" w:firstLine="0"/>
        <w:rPr>
          <w:rFonts w:ascii="ITC Avant Garde" w:hAnsi="ITC Avant Garde"/>
          <w:lang w:val="es-ES"/>
        </w:rPr>
      </w:pPr>
    </w:p>
    <w:p w14:paraId="6F1D681B" w14:textId="7E1486B8" w:rsidR="00541685" w:rsidRPr="00541685" w:rsidRDefault="00856A78" w:rsidP="0080349A">
      <w:pPr>
        <w:spacing w:after="0" w:line="276" w:lineRule="auto"/>
        <w:ind w:left="0" w:right="0" w:firstLine="0"/>
        <w:rPr>
          <w:rFonts w:ascii="ITC Avant Garde" w:hAnsi="ITC Avant Garde"/>
          <w:lang w:val="es-ES"/>
        </w:rPr>
      </w:pPr>
      <w:r>
        <w:rPr>
          <w:rFonts w:ascii="ITC Avant Garde" w:hAnsi="ITC Avant Garde"/>
          <w:lang w:val="es-ES"/>
        </w:rPr>
        <w:t>S</w:t>
      </w:r>
      <w:r w:rsidR="00541685" w:rsidRPr="00541685">
        <w:rPr>
          <w:rFonts w:ascii="ITC Avant Garde" w:hAnsi="ITC Avant Garde"/>
          <w:lang w:val="es-ES"/>
        </w:rPr>
        <w:t xml:space="preserve">eñala que, en el módulo de redes móviles, no se identifican explícitamente servicios de llamadas salientes o entrantes fijas y que por ello no se estarían reflejando las economías de alcance que los </w:t>
      </w:r>
      <w:r w:rsidR="00A94546">
        <w:rPr>
          <w:rFonts w:ascii="ITC Avant Garde" w:hAnsi="ITC Avant Garde"/>
          <w:lang w:val="es-ES"/>
        </w:rPr>
        <w:t>concesionarios</w:t>
      </w:r>
      <w:r w:rsidR="00541685" w:rsidRPr="00541685">
        <w:rPr>
          <w:rFonts w:ascii="ITC Avant Garde" w:hAnsi="ITC Avant Garde"/>
          <w:lang w:val="es-ES"/>
        </w:rPr>
        <w:t xml:space="preserve"> pueden obtener.</w:t>
      </w:r>
    </w:p>
    <w:p w14:paraId="1C110D79" w14:textId="553E9EC4" w:rsidR="00856A78" w:rsidRDefault="00856A78" w:rsidP="0080349A">
      <w:pPr>
        <w:spacing w:after="0" w:line="276" w:lineRule="auto"/>
        <w:ind w:left="0" w:right="0" w:firstLine="0"/>
        <w:rPr>
          <w:rFonts w:ascii="ITC Avant Garde" w:hAnsi="ITC Avant Garde"/>
          <w:lang w:val="es-ES"/>
        </w:rPr>
      </w:pPr>
    </w:p>
    <w:p w14:paraId="760CA6C2" w14:textId="578F1B5D" w:rsidR="00856A78" w:rsidRDefault="00856A78" w:rsidP="00856A78">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482607F9" w14:textId="77777777" w:rsidR="00856A78" w:rsidRDefault="00856A78" w:rsidP="0080349A">
      <w:pPr>
        <w:spacing w:after="0" w:line="276" w:lineRule="auto"/>
        <w:ind w:left="0" w:right="0" w:firstLine="0"/>
        <w:rPr>
          <w:rFonts w:ascii="ITC Avant Garde" w:hAnsi="ITC Avant Garde"/>
          <w:lang w:val="es-ES"/>
        </w:rPr>
      </w:pPr>
    </w:p>
    <w:p w14:paraId="01DD0053" w14:textId="24E72CBA"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Cabe destacar que el modelo considera todo el tráfico de interconexión, bien sea a redes móviles como a redes fijas.</w:t>
      </w:r>
      <w:r w:rsidR="00856A78">
        <w:rPr>
          <w:rFonts w:ascii="ITC Avant Garde" w:hAnsi="ITC Avant Garde"/>
          <w:lang w:val="es-ES"/>
        </w:rPr>
        <w:t xml:space="preserve"> </w:t>
      </w:r>
      <w:r w:rsidRPr="00541685">
        <w:rPr>
          <w:rFonts w:ascii="ITC Avant Garde" w:hAnsi="ITC Avant Garde"/>
          <w:lang w:val="es-ES"/>
        </w:rPr>
        <w:t xml:space="preserve">Si bien es cierto que no se separan explícitamente servicios de llamadas salientes o entrantes fijas y móviles en el módulo móvil, no </w:t>
      </w:r>
      <w:r w:rsidR="00856A78">
        <w:rPr>
          <w:rFonts w:ascii="ITC Avant Garde" w:hAnsi="ITC Avant Garde"/>
          <w:lang w:val="es-ES"/>
        </w:rPr>
        <w:t>se considera</w:t>
      </w:r>
      <w:r w:rsidRPr="00541685">
        <w:rPr>
          <w:rFonts w:ascii="ITC Avant Garde" w:hAnsi="ITC Avant Garde"/>
          <w:lang w:val="es-ES"/>
        </w:rPr>
        <w:t xml:space="preserve"> que deban existir diferencias materiales entre estos servicios, ya que el proceso de interconexión con otra red móvil y con otra red fija es relativamente similar </w:t>
      </w:r>
      <w:r w:rsidR="00FB054A">
        <w:rPr>
          <w:rFonts w:ascii="ITC Avant Garde" w:hAnsi="ITC Avant Garde"/>
          <w:lang w:val="es-ES"/>
        </w:rPr>
        <w:t xml:space="preserve">en </w:t>
      </w:r>
      <w:r w:rsidRPr="00541685">
        <w:rPr>
          <w:rFonts w:ascii="ITC Avant Garde" w:hAnsi="ITC Avant Garde"/>
          <w:lang w:val="es-ES"/>
        </w:rPr>
        <w:t>una red moderna y eficiente, ya que involucran las mismas plataformas de red para ambos tipos de servicios.</w:t>
      </w:r>
    </w:p>
    <w:p w14:paraId="03F35337" w14:textId="77777777" w:rsidR="00856A78" w:rsidRPr="00541685" w:rsidRDefault="00856A78" w:rsidP="0080349A">
      <w:pPr>
        <w:spacing w:after="0" w:line="276" w:lineRule="auto"/>
        <w:ind w:left="0" w:right="0" w:firstLine="0"/>
        <w:rPr>
          <w:rFonts w:ascii="ITC Avant Garde" w:hAnsi="ITC Avant Garde"/>
          <w:lang w:val="es-ES"/>
        </w:rPr>
      </w:pPr>
    </w:p>
    <w:p w14:paraId="16621BC3" w14:textId="77777777" w:rsidR="00541685" w:rsidRPr="00856A78" w:rsidRDefault="00541685" w:rsidP="0080349A">
      <w:pPr>
        <w:spacing w:after="0" w:line="276" w:lineRule="auto"/>
        <w:ind w:left="0" w:right="0" w:firstLine="0"/>
        <w:rPr>
          <w:rFonts w:ascii="ITC Avant Garde" w:hAnsi="ITC Avant Garde"/>
          <w:i/>
          <w:lang w:val="es-ES"/>
        </w:rPr>
      </w:pPr>
      <w:r w:rsidRPr="00856A78">
        <w:rPr>
          <w:rFonts w:ascii="ITC Avant Garde" w:hAnsi="ITC Avant Garde"/>
          <w:i/>
          <w:lang w:val="es-ES"/>
        </w:rPr>
        <w:t>Inclusión del servicio MOCN</w:t>
      </w:r>
    </w:p>
    <w:p w14:paraId="3AB03CB5" w14:textId="77777777" w:rsidR="00856A78" w:rsidRDefault="00856A78" w:rsidP="0080349A">
      <w:pPr>
        <w:spacing w:after="0" w:line="276" w:lineRule="auto"/>
        <w:ind w:left="0" w:right="0" w:firstLine="0"/>
        <w:rPr>
          <w:rFonts w:ascii="ITC Avant Garde" w:hAnsi="ITC Avant Garde"/>
          <w:lang w:val="es-ES"/>
        </w:rPr>
      </w:pPr>
    </w:p>
    <w:p w14:paraId="4B19E7CA" w14:textId="77777777" w:rsidR="00856A78"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Telefónica</w:t>
      </w:r>
    </w:p>
    <w:p w14:paraId="51E46B3D" w14:textId="77777777" w:rsidR="00856A78" w:rsidRDefault="00856A78" w:rsidP="0080349A">
      <w:pPr>
        <w:spacing w:after="0" w:line="276" w:lineRule="auto"/>
        <w:ind w:left="0" w:right="0" w:firstLine="0"/>
        <w:rPr>
          <w:rFonts w:ascii="ITC Avant Garde" w:hAnsi="ITC Avant Garde"/>
          <w:lang w:val="es-ES"/>
        </w:rPr>
      </w:pPr>
    </w:p>
    <w:p w14:paraId="4CCFD6BE" w14:textId="6F8B6F9E" w:rsidR="00541685" w:rsidRDefault="00856A78" w:rsidP="0080349A">
      <w:pPr>
        <w:spacing w:after="0" w:line="276" w:lineRule="auto"/>
        <w:ind w:left="0" w:right="0" w:firstLine="0"/>
        <w:rPr>
          <w:rFonts w:ascii="ITC Avant Garde" w:hAnsi="ITC Avant Garde"/>
          <w:lang w:val="es-ES"/>
        </w:rPr>
      </w:pPr>
      <w:r w:rsidRPr="58E23F00">
        <w:rPr>
          <w:rFonts w:ascii="ITC Avant Garde" w:hAnsi="ITC Avant Garde"/>
          <w:lang w:val="es-ES"/>
        </w:rPr>
        <w:t>S</w:t>
      </w:r>
      <w:r w:rsidR="00541685" w:rsidRPr="58E23F00">
        <w:rPr>
          <w:rFonts w:ascii="ITC Avant Garde" w:hAnsi="ITC Avant Garde"/>
          <w:lang w:val="es-ES"/>
        </w:rPr>
        <w:t xml:space="preserve">olicita al </w:t>
      </w:r>
      <w:r w:rsidR="647786AF" w:rsidRPr="58E23F00">
        <w:rPr>
          <w:rFonts w:ascii="ITC Avant Garde" w:hAnsi="ITC Avant Garde"/>
          <w:lang w:val="es-ES"/>
        </w:rPr>
        <w:t>I</w:t>
      </w:r>
      <w:r w:rsidR="760A2D99"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que considere modelar las tarifas para el servicio MOCN, determinando al menos tres niveles de entrega en la jerarquía de la red (similar a como se lleva a cabo en el SAIB del mercado de servicios fijos): nivel local, regional y nacional. Asimismo, Telefónica pide que para este servicio MOCN se calcule una tarifa por reserva de capacidad de la red, que considere por lo tanto un compromiso de volumen de uso y capacidad de la red.</w:t>
      </w:r>
    </w:p>
    <w:p w14:paraId="7B21748D" w14:textId="4D81383D" w:rsidR="00856A78" w:rsidRDefault="00856A78" w:rsidP="0080349A">
      <w:pPr>
        <w:spacing w:after="0" w:line="276" w:lineRule="auto"/>
        <w:ind w:left="0" w:right="0" w:firstLine="0"/>
        <w:rPr>
          <w:rFonts w:ascii="ITC Avant Garde" w:hAnsi="ITC Avant Garde"/>
          <w:lang w:val="es-ES"/>
        </w:rPr>
      </w:pPr>
    </w:p>
    <w:p w14:paraId="7AAAD6AF" w14:textId="0BE767E9" w:rsidR="00856A78" w:rsidRDefault="00856A78" w:rsidP="00856A78">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56970515" w14:textId="77777777" w:rsidR="00856A78" w:rsidRPr="00541685" w:rsidRDefault="00856A78" w:rsidP="0080349A">
      <w:pPr>
        <w:spacing w:after="0" w:line="276" w:lineRule="auto"/>
        <w:ind w:left="0" w:right="0" w:firstLine="0"/>
        <w:rPr>
          <w:rFonts w:ascii="ITC Avant Garde" w:hAnsi="ITC Avant Garde"/>
          <w:lang w:val="es-ES"/>
        </w:rPr>
      </w:pPr>
    </w:p>
    <w:p w14:paraId="5C6E0BC4" w14:textId="5A0E264D" w:rsidR="00541685" w:rsidRDefault="00541685" w:rsidP="0080349A">
      <w:pPr>
        <w:spacing w:after="0" w:line="276" w:lineRule="auto"/>
        <w:ind w:left="0" w:right="0" w:firstLine="0"/>
        <w:rPr>
          <w:rFonts w:ascii="ITC Avant Garde" w:hAnsi="ITC Avant Garde"/>
          <w:lang w:val="es-ES"/>
        </w:rPr>
      </w:pPr>
      <w:r w:rsidRPr="4B922FC5">
        <w:rPr>
          <w:rFonts w:ascii="ITC Avant Garde" w:hAnsi="ITC Avant Garde"/>
          <w:lang w:val="es-ES"/>
        </w:rPr>
        <w:t xml:space="preserve">Se observa que el servicio MOCN mencionado por el </w:t>
      </w:r>
      <w:r w:rsidR="00A94546" w:rsidRPr="4B922FC5">
        <w:rPr>
          <w:rFonts w:ascii="ITC Avant Garde" w:hAnsi="ITC Avant Garde"/>
          <w:lang w:val="es-ES"/>
        </w:rPr>
        <w:t>concesionario</w:t>
      </w:r>
      <w:r w:rsidRPr="4B922FC5">
        <w:rPr>
          <w:rFonts w:ascii="ITC Avant Garde" w:hAnsi="ITC Avant Garde"/>
          <w:lang w:val="es-ES"/>
        </w:rPr>
        <w:t xml:space="preserve"> no es parte de las medidas impuestas al AEP, y por lo tanto no se considera relevante su modelización en este momento. </w:t>
      </w:r>
    </w:p>
    <w:p w14:paraId="64372817" w14:textId="77777777" w:rsidR="00856A78" w:rsidRPr="00541685" w:rsidRDefault="00856A78" w:rsidP="0080349A">
      <w:pPr>
        <w:spacing w:after="0" w:line="276" w:lineRule="auto"/>
        <w:ind w:left="0" w:right="0" w:firstLine="0"/>
        <w:rPr>
          <w:rFonts w:ascii="ITC Avant Garde" w:hAnsi="ITC Avant Garde"/>
          <w:lang w:val="es-ES"/>
        </w:rPr>
      </w:pPr>
    </w:p>
    <w:p w14:paraId="04C648C1" w14:textId="5C9032AC" w:rsidR="00541685" w:rsidRP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En cualquier caso, no </w:t>
      </w:r>
      <w:r w:rsidR="00856A78">
        <w:rPr>
          <w:rFonts w:ascii="ITC Avant Garde" w:hAnsi="ITC Avant Garde"/>
          <w:lang w:val="es-ES"/>
        </w:rPr>
        <w:t>se considera</w:t>
      </w:r>
      <w:r w:rsidRPr="00541685">
        <w:rPr>
          <w:rFonts w:ascii="ITC Avant Garde" w:hAnsi="ITC Avant Garde"/>
          <w:lang w:val="es-ES"/>
        </w:rPr>
        <w:t xml:space="preserve"> adecuado incluir los costos del servicio MOCN en el módulo de interconexión móvil sometido a consulta ya que no se dispone de una definición clara de este servicio (tipología de servicios ofrecidos, nivel de desagregación, etc.), ni una visión de la posible demanda del mismo.</w:t>
      </w:r>
    </w:p>
    <w:p w14:paraId="7FB639F7" w14:textId="77777777" w:rsidR="00811EC9" w:rsidRDefault="00811EC9" w:rsidP="0080349A">
      <w:pPr>
        <w:spacing w:after="0" w:line="276" w:lineRule="auto"/>
        <w:ind w:left="0" w:right="0" w:firstLine="0"/>
        <w:rPr>
          <w:rFonts w:ascii="ITC Avant Garde" w:hAnsi="ITC Avant Garde"/>
          <w:lang w:val="es-ES"/>
        </w:rPr>
      </w:pPr>
    </w:p>
    <w:p w14:paraId="45E1D2D4" w14:textId="3E4532AF" w:rsidR="00541685" w:rsidRPr="00811EC9" w:rsidRDefault="00541685" w:rsidP="0080349A">
      <w:pPr>
        <w:spacing w:after="0" w:line="276" w:lineRule="auto"/>
        <w:ind w:left="0" w:right="0" w:firstLine="0"/>
        <w:rPr>
          <w:rFonts w:ascii="ITC Avant Garde" w:hAnsi="ITC Avant Garde"/>
          <w:i/>
          <w:lang w:val="es-ES"/>
        </w:rPr>
      </w:pPr>
      <w:r w:rsidRPr="00811EC9">
        <w:rPr>
          <w:rFonts w:ascii="ITC Avant Garde" w:hAnsi="ITC Avant Garde"/>
          <w:i/>
          <w:lang w:val="es-ES"/>
        </w:rPr>
        <w:t>Proceso de apagado de la red 2G</w:t>
      </w:r>
    </w:p>
    <w:p w14:paraId="3AB10021" w14:textId="77777777" w:rsidR="00811EC9" w:rsidRDefault="00811EC9" w:rsidP="0080349A">
      <w:pPr>
        <w:spacing w:after="0" w:line="276" w:lineRule="auto"/>
        <w:ind w:left="0" w:right="0" w:firstLine="0"/>
        <w:rPr>
          <w:rFonts w:ascii="ITC Avant Garde" w:hAnsi="ITC Avant Garde"/>
          <w:lang w:val="es-ES"/>
        </w:rPr>
      </w:pPr>
    </w:p>
    <w:p w14:paraId="242AB32C" w14:textId="3195FFA6" w:rsidR="00811EC9"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Mega</w:t>
      </w:r>
      <w:r w:rsidR="00811EC9">
        <w:rPr>
          <w:rFonts w:ascii="ITC Avant Garde" w:hAnsi="ITC Avant Garde"/>
          <w:lang w:val="es-ES"/>
        </w:rPr>
        <w:t xml:space="preserve"> C</w:t>
      </w:r>
      <w:r w:rsidRPr="00541685">
        <w:rPr>
          <w:rFonts w:ascii="ITC Avant Garde" w:hAnsi="ITC Avant Garde"/>
          <w:lang w:val="es-ES"/>
        </w:rPr>
        <w:t>able</w:t>
      </w:r>
      <w:r w:rsidR="00811EC9">
        <w:rPr>
          <w:rFonts w:ascii="ITC Avant Garde" w:hAnsi="ITC Avant Garde"/>
          <w:lang w:val="es-ES"/>
        </w:rPr>
        <w:t>, GTV y CANIETI</w:t>
      </w:r>
    </w:p>
    <w:p w14:paraId="4BBBB351" w14:textId="77777777" w:rsidR="00811EC9" w:rsidRDefault="00811EC9" w:rsidP="0080349A">
      <w:pPr>
        <w:spacing w:after="0" w:line="276" w:lineRule="auto"/>
        <w:ind w:left="0" w:right="0" w:firstLine="0"/>
        <w:rPr>
          <w:rFonts w:ascii="ITC Avant Garde" w:hAnsi="ITC Avant Garde"/>
          <w:lang w:val="es-ES"/>
        </w:rPr>
      </w:pPr>
    </w:p>
    <w:p w14:paraId="0361EA22" w14:textId="5CCE2928" w:rsidR="00541685" w:rsidRDefault="00811EC9" w:rsidP="0080349A">
      <w:pPr>
        <w:spacing w:after="0" w:line="276" w:lineRule="auto"/>
        <w:ind w:left="0" w:right="0" w:firstLine="0"/>
        <w:rPr>
          <w:rFonts w:ascii="ITC Avant Garde" w:hAnsi="ITC Avant Garde"/>
          <w:lang w:val="es-ES"/>
        </w:rPr>
      </w:pPr>
      <w:r>
        <w:rPr>
          <w:rFonts w:ascii="ITC Avant Garde" w:hAnsi="ITC Avant Garde"/>
          <w:lang w:val="es-ES"/>
        </w:rPr>
        <w:t>Mega Cable in</w:t>
      </w:r>
      <w:r w:rsidR="00541685" w:rsidRPr="00541685">
        <w:rPr>
          <w:rFonts w:ascii="ITC Avant Garde" w:hAnsi="ITC Avant Garde"/>
          <w:lang w:val="es-ES"/>
        </w:rPr>
        <w:t>di</w:t>
      </w:r>
      <w:r>
        <w:rPr>
          <w:rFonts w:ascii="ITC Avant Garde" w:hAnsi="ITC Avant Garde"/>
          <w:lang w:val="es-ES"/>
        </w:rPr>
        <w:t>ca</w:t>
      </w:r>
      <w:r w:rsidR="008A4535">
        <w:rPr>
          <w:rFonts w:ascii="ITC Avant Garde" w:hAnsi="ITC Avant Garde"/>
          <w:lang w:val="es-ES"/>
        </w:rPr>
        <w:t xml:space="preserve"> </w:t>
      </w:r>
      <w:r w:rsidR="00541685" w:rsidRPr="00541685">
        <w:rPr>
          <w:rFonts w:ascii="ITC Avant Garde" w:hAnsi="ITC Avant Garde"/>
          <w:lang w:val="es-ES"/>
        </w:rPr>
        <w:t xml:space="preserve">que el modelo de interconexión móvil no contempla el apagado de la tecnología 2G hasta el año 2023, aun cuando los </w:t>
      </w:r>
      <w:r w:rsidR="00A94546">
        <w:rPr>
          <w:rFonts w:ascii="ITC Avant Garde" w:hAnsi="ITC Avant Garde"/>
          <w:lang w:val="es-ES"/>
        </w:rPr>
        <w:t>concesionarios</w:t>
      </w:r>
      <w:r w:rsidR="00541685" w:rsidRPr="00541685">
        <w:rPr>
          <w:rFonts w:ascii="ITC Avant Garde" w:hAnsi="ITC Avant Garde"/>
          <w:lang w:val="es-ES"/>
        </w:rPr>
        <w:t xml:space="preserve"> no preponderantes ya anunciaron el apagado de sus redes 2G en 2019.</w:t>
      </w:r>
    </w:p>
    <w:p w14:paraId="016CE652" w14:textId="77777777" w:rsidR="00811EC9" w:rsidRPr="00541685" w:rsidRDefault="00811EC9" w:rsidP="0080349A">
      <w:pPr>
        <w:spacing w:after="0" w:line="276" w:lineRule="auto"/>
        <w:ind w:left="0" w:right="0" w:firstLine="0"/>
        <w:rPr>
          <w:rFonts w:ascii="ITC Avant Garde" w:hAnsi="ITC Avant Garde"/>
          <w:lang w:val="es-ES"/>
        </w:rPr>
      </w:pPr>
    </w:p>
    <w:p w14:paraId="5E5FC908" w14:textId="630C0EC6" w:rsidR="00541685" w:rsidRDefault="00541685"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GTV y CANIETI resaltan que, a pesar de que el modelo considera un apagado de la red 2G en 2023 y, por tanto, una desaparición del tráfico correspondiente a esta tecnología, continúan contabilizándose los costos relacionados con los elementos de red 2G tras el apagado. Ambas partes </w:t>
      </w:r>
      <w:r w:rsidR="00811EC9" w:rsidRPr="58E23F00">
        <w:rPr>
          <w:rFonts w:ascii="ITC Avant Garde" w:hAnsi="ITC Avant Garde"/>
          <w:lang w:val="es-ES"/>
        </w:rPr>
        <w:t>(</w:t>
      </w:r>
      <w:r w:rsidRPr="58E23F00">
        <w:rPr>
          <w:rFonts w:ascii="ITC Avant Garde" w:hAnsi="ITC Avant Garde"/>
          <w:lang w:val="es-ES"/>
        </w:rPr>
        <w:t>CANIETI y GTV</w:t>
      </w:r>
      <w:r w:rsidR="00811EC9" w:rsidRPr="58E23F00">
        <w:rPr>
          <w:rFonts w:ascii="ITC Avant Garde" w:hAnsi="ITC Avant Garde"/>
          <w:lang w:val="es-ES"/>
        </w:rPr>
        <w:t>)</w:t>
      </w:r>
      <w:r w:rsidRPr="58E23F00">
        <w:rPr>
          <w:rFonts w:ascii="ITC Avant Garde" w:hAnsi="ITC Avant Garde"/>
          <w:lang w:val="es-ES"/>
        </w:rPr>
        <w:t xml:space="preserve"> solicitan al </w:t>
      </w:r>
      <w:r w:rsidR="647786AF" w:rsidRPr="58E23F00">
        <w:rPr>
          <w:rFonts w:ascii="ITC Avant Garde" w:hAnsi="ITC Avant Garde"/>
          <w:lang w:val="es-ES"/>
        </w:rPr>
        <w:t>I</w:t>
      </w:r>
      <w:r w:rsidR="66FD7677" w:rsidRPr="58E23F00">
        <w:rPr>
          <w:rFonts w:ascii="ITC Avant Garde" w:hAnsi="ITC Avant Garde"/>
          <w:lang w:val="es-ES"/>
        </w:rPr>
        <w:t>nstituto</w:t>
      </w:r>
      <w:r w:rsidR="0AF39D56" w:rsidRPr="58E23F00">
        <w:rPr>
          <w:rFonts w:ascii="ITC Avant Garde" w:hAnsi="ITC Avant Garde"/>
          <w:lang w:val="es-ES"/>
        </w:rPr>
        <w:t xml:space="preserve"> </w:t>
      </w:r>
      <w:r w:rsidRPr="58E23F00">
        <w:rPr>
          <w:rFonts w:ascii="ITC Avant Garde" w:hAnsi="ITC Avant Garde"/>
          <w:lang w:val="es-ES"/>
        </w:rPr>
        <w:t>que ajuste el modelo de interconexión móvil para que dejen de contabilizarse estos costes tras el apagado de la tecnología 2G.</w:t>
      </w:r>
    </w:p>
    <w:p w14:paraId="352A50C8" w14:textId="3369DC21" w:rsidR="00811EC9" w:rsidRDefault="00811EC9" w:rsidP="0080349A">
      <w:pPr>
        <w:spacing w:after="0" w:line="276" w:lineRule="auto"/>
        <w:ind w:left="0" w:right="0" w:firstLine="0"/>
        <w:rPr>
          <w:rFonts w:ascii="ITC Avant Garde" w:hAnsi="ITC Avant Garde"/>
          <w:lang w:val="es-ES"/>
        </w:rPr>
      </w:pPr>
    </w:p>
    <w:p w14:paraId="77DFCF04" w14:textId="6D8EA9DC" w:rsidR="00811EC9" w:rsidRDefault="00811EC9" w:rsidP="00811EC9">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1A883ED9" w14:textId="77777777" w:rsidR="00811EC9" w:rsidRPr="00541685" w:rsidRDefault="00811EC9" w:rsidP="0080349A">
      <w:pPr>
        <w:spacing w:after="0" w:line="276" w:lineRule="auto"/>
        <w:ind w:left="0" w:right="0" w:firstLine="0"/>
        <w:rPr>
          <w:rFonts w:ascii="ITC Avant Garde" w:hAnsi="ITC Avant Garde"/>
          <w:lang w:val="es-ES"/>
        </w:rPr>
      </w:pPr>
    </w:p>
    <w:p w14:paraId="1BB017F8" w14:textId="5A86087C"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Si bien es cierto que algunos </w:t>
      </w:r>
      <w:r w:rsidR="00A94546">
        <w:rPr>
          <w:rFonts w:ascii="ITC Avant Garde" w:hAnsi="ITC Avant Garde"/>
          <w:lang w:val="es-ES"/>
        </w:rPr>
        <w:t>concesionarios</w:t>
      </w:r>
      <w:r w:rsidRPr="00541685">
        <w:rPr>
          <w:rFonts w:ascii="ITC Avant Garde" w:hAnsi="ITC Avant Garde"/>
          <w:lang w:val="es-ES"/>
        </w:rPr>
        <w:t xml:space="preserve"> alternativos anunciaron el apagado de su red 2G en 2019, otros han seguido utilizando esta tecnología entre los años 2020 y 2022. De hecho, actualmente, el </w:t>
      </w:r>
      <w:r w:rsidR="00811EC9">
        <w:rPr>
          <w:rFonts w:ascii="ITC Avant Garde" w:hAnsi="ITC Avant Garde"/>
          <w:lang w:val="es-ES"/>
        </w:rPr>
        <w:t>AEP</w:t>
      </w:r>
      <w:r w:rsidRPr="00541685">
        <w:rPr>
          <w:rFonts w:ascii="ITC Avant Garde" w:hAnsi="ITC Avant Garde"/>
          <w:lang w:val="es-ES"/>
        </w:rPr>
        <w:t xml:space="preserve"> continúa empleando parte de su </w:t>
      </w:r>
      <w:r w:rsidRPr="00541685">
        <w:rPr>
          <w:rFonts w:ascii="ITC Avant Garde" w:hAnsi="ITC Avant Garde"/>
          <w:lang w:val="es-ES"/>
        </w:rPr>
        <w:lastRenderedPageBreak/>
        <w:t>espectro radioeléctrico para ofrecer servicios 2G, aunque de forma muy limitada. Debido a esto</w:t>
      </w:r>
      <w:r w:rsidR="00325634">
        <w:rPr>
          <w:rFonts w:ascii="ITC Avant Garde" w:hAnsi="ITC Avant Garde"/>
          <w:lang w:val="es-ES"/>
        </w:rPr>
        <w:t>, es</w:t>
      </w:r>
      <w:r w:rsidRPr="00541685">
        <w:rPr>
          <w:rFonts w:ascii="ITC Avant Garde" w:hAnsi="ITC Avant Garde"/>
          <w:lang w:val="es-ES"/>
        </w:rPr>
        <w:t xml:space="preserve"> relevante incluir la tecnología 2G hasta el año 2023. De todas formas, el modelo calcula las tarifas de interconexión para el periodo 2024–26, con lo que el apagado de la red 2G un par de años antes no tendría un impacto sobre los resultados.</w:t>
      </w:r>
    </w:p>
    <w:p w14:paraId="3C0C07C6" w14:textId="77777777" w:rsidR="00811EC9" w:rsidRPr="00541685" w:rsidRDefault="00811EC9" w:rsidP="0080349A">
      <w:pPr>
        <w:spacing w:after="0" w:line="276" w:lineRule="auto"/>
        <w:ind w:left="0" w:right="0" w:firstLine="0"/>
        <w:rPr>
          <w:rFonts w:ascii="ITC Avant Garde" w:hAnsi="ITC Avant Garde"/>
          <w:lang w:val="es-ES"/>
        </w:rPr>
      </w:pPr>
    </w:p>
    <w:p w14:paraId="4D943353" w14:textId="041579F4"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Por otro lado, </w:t>
      </w:r>
      <w:r w:rsidR="00811EC9">
        <w:rPr>
          <w:rFonts w:ascii="ITC Avant Garde" w:hAnsi="ITC Avant Garde"/>
          <w:lang w:val="es-ES"/>
        </w:rPr>
        <w:t>se coincide</w:t>
      </w:r>
      <w:r w:rsidRPr="00541685">
        <w:rPr>
          <w:rFonts w:ascii="ITC Avant Garde" w:hAnsi="ITC Avant Garde"/>
          <w:lang w:val="es-ES"/>
        </w:rPr>
        <w:t xml:space="preserve"> con uno de los </w:t>
      </w:r>
      <w:r w:rsidR="00A94546">
        <w:rPr>
          <w:rFonts w:ascii="ITC Avant Garde" w:hAnsi="ITC Avant Garde"/>
          <w:lang w:val="es-ES"/>
        </w:rPr>
        <w:t>concesionarios</w:t>
      </w:r>
      <w:r w:rsidRPr="00541685">
        <w:rPr>
          <w:rFonts w:ascii="ITC Avant Garde" w:hAnsi="ITC Avant Garde"/>
          <w:lang w:val="es-ES"/>
        </w:rPr>
        <w:t xml:space="preserve"> en lo que respecta a la desinstalación de algunos de los emplazamientos tras el apagado de la red 2G. </w:t>
      </w:r>
      <w:r w:rsidR="00811EC9">
        <w:rPr>
          <w:rFonts w:ascii="ITC Avant Garde" w:hAnsi="ITC Avant Garde"/>
          <w:lang w:val="es-ES"/>
        </w:rPr>
        <w:t>Se revisó</w:t>
      </w:r>
      <w:r w:rsidRPr="00541685">
        <w:rPr>
          <w:rFonts w:ascii="ITC Avant Garde" w:hAnsi="ITC Avant Garde"/>
          <w:lang w:val="es-ES"/>
        </w:rPr>
        <w:t xml:space="preserve"> este aspecto en el modelo para asegurar que todos los emplazamientos 2G se desinstalan en el mismo año en que se apaga la red 2G (2023).</w:t>
      </w:r>
    </w:p>
    <w:p w14:paraId="46F43FD3" w14:textId="77777777" w:rsidR="00811EC9" w:rsidRPr="00541685" w:rsidRDefault="00811EC9" w:rsidP="0080349A">
      <w:pPr>
        <w:spacing w:after="0" w:line="276" w:lineRule="auto"/>
        <w:ind w:left="0" w:right="0" w:firstLine="0"/>
        <w:rPr>
          <w:rFonts w:ascii="ITC Avant Garde" w:hAnsi="ITC Avant Garde"/>
          <w:lang w:val="es-ES"/>
        </w:rPr>
      </w:pPr>
    </w:p>
    <w:p w14:paraId="4981D3C3" w14:textId="77777777" w:rsidR="00541685" w:rsidRPr="00811EC9" w:rsidRDefault="00541685" w:rsidP="0080349A">
      <w:pPr>
        <w:spacing w:after="0" w:line="276" w:lineRule="auto"/>
        <w:ind w:left="0" w:right="0" w:firstLine="0"/>
        <w:rPr>
          <w:rFonts w:ascii="ITC Avant Garde" w:hAnsi="ITC Avant Garde"/>
          <w:i/>
          <w:lang w:val="es-ES"/>
        </w:rPr>
      </w:pPr>
      <w:r w:rsidRPr="00811EC9">
        <w:rPr>
          <w:rFonts w:ascii="ITC Avant Garde" w:hAnsi="ITC Avant Garde"/>
          <w:i/>
          <w:lang w:val="es-ES"/>
        </w:rPr>
        <w:t>Implementación de la tecnología single RAN en el modelo</w:t>
      </w:r>
    </w:p>
    <w:p w14:paraId="2A38E0E3" w14:textId="77777777" w:rsidR="00962C37" w:rsidRDefault="00962C37" w:rsidP="0080349A">
      <w:pPr>
        <w:spacing w:after="0" w:line="276" w:lineRule="auto"/>
        <w:ind w:left="0" w:right="0" w:firstLine="0"/>
        <w:rPr>
          <w:rFonts w:ascii="ITC Avant Garde" w:hAnsi="ITC Avant Garde"/>
          <w:lang w:val="es-ES"/>
        </w:rPr>
      </w:pPr>
    </w:p>
    <w:p w14:paraId="4031D757" w14:textId="3642580E" w:rsidR="00811EC9"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Mega</w:t>
      </w:r>
      <w:r w:rsidR="00811EC9">
        <w:rPr>
          <w:rFonts w:ascii="ITC Avant Garde" w:hAnsi="ITC Avant Garde"/>
          <w:lang w:val="es-ES"/>
        </w:rPr>
        <w:t xml:space="preserve"> C</w:t>
      </w:r>
      <w:r w:rsidRPr="00541685">
        <w:rPr>
          <w:rFonts w:ascii="ITC Avant Garde" w:hAnsi="ITC Avant Garde"/>
          <w:lang w:val="es-ES"/>
        </w:rPr>
        <w:t>able</w:t>
      </w:r>
      <w:r w:rsidR="00811EC9">
        <w:rPr>
          <w:rFonts w:ascii="ITC Avant Garde" w:hAnsi="ITC Avant Garde"/>
          <w:lang w:val="es-ES"/>
        </w:rPr>
        <w:t xml:space="preserve"> y AT&amp;T</w:t>
      </w:r>
    </w:p>
    <w:p w14:paraId="655F40BE" w14:textId="77777777" w:rsidR="00811EC9" w:rsidRDefault="00811EC9" w:rsidP="0080349A">
      <w:pPr>
        <w:spacing w:after="0" w:line="276" w:lineRule="auto"/>
        <w:ind w:left="0" w:right="0" w:firstLine="0"/>
        <w:rPr>
          <w:rFonts w:ascii="ITC Avant Garde" w:hAnsi="ITC Avant Garde"/>
          <w:lang w:val="es-ES"/>
        </w:rPr>
      </w:pPr>
    </w:p>
    <w:p w14:paraId="14A5CD2A" w14:textId="3BB07BD3" w:rsidR="00541685" w:rsidRDefault="00811EC9" w:rsidP="7742B270">
      <w:pPr>
        <w:spacing w:after="0" w:line="276" w:lineRule="auto"/>
        <w:ind w:left="0" w:right="0" w:firstLine="0"/>
        <w:rPr>
          <w:rFonts w:ascii="ITC Avant Garde" w:hAnsi="ITC Avant Garde"/>
          <w:lang w:val="es-ES"/>
        </w:rPr>
      </w:pPr>
      <w:r w:rsidRPr="58E23F00">
        <w:rPr>
          <w:rFonts w:ascii="ITC Avant Garde" w:hAnsi="ITC Avant Garde"/>
          <w:lang w:val="es-ES"/>
        </w:rPr>
        <w:t>Mega Cable s</w:t>
      </w:r>
      <w:r w:rsidR="00541685" w:rsidRPr="58E23F00">
        <w:rPr>
          <w:rFonts w:ascii="ITC Avant Garde" w:hAnsi="ITC Avant Garde"/>
          <w:lang w:val="es-ES"/>
        </w:rPr>
        <w:t xml:space="preserve">olicita al </w:t>
      </w:r>
      <w:r w:rsidR="647786AF" w:rsidRPr="58E23F00">
        <w:rPr>
          <w:rFonts w:ascii="ITC Avant Garde" w:hAnsi="ITC Avant Garde"/>
          <w:lang w:val="es-ES"/>
        </w:rPr>
        <w:t>I</w:t>
      </w:r>
      <w:r w:rsidR="39FDA4F8"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 xml:space="preserve">incluir los equipos single-RAN en el modelo de interconexión móvil para poder reflejar adecuadamente la realidad actual de las redes de los </w:t>
      </w:r>
      <w:r w:rsidR="00A94546" w:rsidRPr="58E23F00">
        <w:rPr>
          <w:rFonts w:ascii="ITC Avant Garde" w:hAnsi="ITC Avant Garde"/>
          <w:lang w:val="es-ES"/>
        </w:rPr>
        <w:t>concesionarios</w:t>
      </w:r>
      <w:r w:rsidR="00541685" w:rsidRPr="58E23F00">
        <w:rPr>
          <w:rFonts w:ascii="ITC Avant Garde" w:hAnsi="ITC Avant Garde"/>
          <w:lang w:val="es-ES"/>
        </w:rPr>
        <w:t xml:space="preserve">. El </w:t>
      </w:r>
      <w:r w:rsidR="00A94546" w:rsidRPr="58E23F00">
        <w:rPr>
          <w:rFonts w:ascii="ITC Avant Garde" w:hAnsi="ITC Avant Garde"/>
          <w:lang w:val="es-ES"/>
        </w:rPr>
        <w:t>concesionario</w:t>
      </w:r>
      <w:r w:rsidR="00541685" w:rsidRPr="58E23F00">
        <w:rPr>
          <w:rFonts w:ascii="ITC Avant Garde" w:hAnsi="ITC Avant Garde"/>
          <w:lang w:val="es-ES"/>
        </w:rPr>
        <w:t xml:space="preserve"> afirma que la utilización de estos equipos debería derivar en una reducción de los costos para los </w:t>
      </w:r>
      <w:r w:rsidR="00A94546" w:rsidRPr="58E23F00">
        <w:rPr>
          <w:rFonts w:ascii="ITC Avant Garde" w:hAnsi="ITC Avant Garde"/>
          <w:lang w:val="es-ES"/>
        </w:rPr>
        <w:t>concesionarios</w:t>
      </w:r>
      <w:r w:rsidR="00541685" w:rsidRPr="58E23F00">
        <w:rPr>
          <w:rFonts w:ascii="ITC Avant Garde" w:hAnsi="ITC Avant Garde"/>
          <w:lang w:val="es-ES"/>
        </w:rPr>
        <w:t xml:space="preserve"> y, por lo tanto, en tarifas de terminación móvil más bajas.</w:t>
      </w:r>
    </w:p>
    <w:p w14:paraId="26C72DA6" w14:textId="77777777" w:rsidR="00811EC9" w:rsidRPr="00541685" w:rsidRDefault="00811EC9" w:rsidP="0080349A">
      <w:pPr>
        <w:spacing w:after="0" w:line="276" w:lineRule="auto"/>
        <w:ind w:left="0" w:right="0" w:firstLine="0"/>
        <w:rPr>
          <w:rFonts w:ascii="ITC Avant Garde" w:hAnsi="ITC Avant Garde"/>
          <w:lang w:val="es-ES"/>
        </w:rPr>
      </w:pPr>
    </w:p>
    <w:p w14:paraId="5CAC326A" w14:textId="77777777" w:rsidR="00811EC9"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Por otro lado, AT&amp;T señala que se requieren de grandes inversiones para el despliegue de infraestructura single-RAN, a pesar de que pueda llegar a ser una tecnología más eficiente. Es por ello que AT&amp;T señala que solamente ha extendido esta tecnología ocasionalmente de manera excepcional.</w:t>
      </w:r>
    </w:p>
    <w:p w14:paraId="6B35B68D" w14:textId="06A938E9" w:rsidR="00811EC9" w:rsidRDefault="00811EC9" w:rsidP="0080349A">
      <w:pPr>
        <w:spacing w:after="0" w:line="276" w:lineRule="auto"/>
        <w:ind w:left="0" w:right="0" w:firstLine="0"/>
        <w:rPr>
          <w:rFonts w:ascii="ITC Avant Garde" w:hAnsi="ITC Avant Garde"/>
          <w:lang w:val="es-ES"/>
        </w:rPr>
      </w:pPr>
    </w:p>
    <w:p w14:paraId="447CC0A9" w14:textId="7CE1FCCF" w:rsidR="00811EC9" w:rsidRDefault="00811EC9" w:rsidP="00811EC9">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74F05F16" w14:textId="77777777" w:rsidR="00811EC9" w:rsidRDefault="00811EC9" w:rsidP="0080349A">
      <w:pPr>
        <w:spacing w:after="0" w:line="276" w:lineRule="auto"/>
        <w:ind w:left="0" w:right="0" w:firstLine="0"/>
        <w:rPr>
          <w:rFonts w:ascii="ITC Avant Garde" w:hAnsi="ITC Avant Garde"/>
          <w:lang w:val="es-ES"/>
        </w:rPr>
      </w:pPr>
    </w:p>
    <w:p w14:paraId="545E5810" w14:textId="13274852"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Cabe </w:t>
      </w:r>
      <w:r w:rsidR="00811EC9">
        <w:rPr>
          <w:rFonts w:ascii="ITC Avant Garde" w:hAnsi="ITC Avant Garde"/>
          <w:lang w:val="es-ES"/>
        </w:rPr>
        <w:t xml:space="preserve">destacar </w:t>
      </w:r>
      <w:r w:rsidRPr="00541685">
        <w:rPr>
          <w:rFonts w:ascii="ITC Avant Garde" w:hAnsi="ITC Avant Garde"/>
          <w:lang w:val="es-ES"/>
        </w:rPr>
        <w:t xml:space="preserve">que se solicitó a los </w:t>
      </w:r>
      <w:r w:rsidR="00A94546">
        <w:rPr>
          <w:rFonts w:ascii="ITC Avant Garde" w:hAnsi="ITC Avant Garde"/>
          <w:lang w:val="es-ES"/>
        </w:rPr>
        <w:t>concesionarios</w:t>
      </w:r>
      <w:r w:rsidRPr="00541685">
        <w:rPr>
          <w:rFonts w:ascii="ITC Avant Garde" w:hAnsi="ITC Avant Garde"/>
          <w:lang w:val="es-ES"/>
        </w:rPr>
        <w:t xml:space="preserve"> información sobre los costos de los equipos single-RAN durante el proceso de recopilación de datos llevado a cabo a principios del proyecto. Sin embargo, no se obtuvo </w:t>
      </w:r>
      <w:r w:rsidR="00811EC9">
        <w:rPr>
          <w:rFonts w:ascii="ITC Avant Garde" w:hAnsi="ITC Avant Garde"/>
          <w:lang w:val="es-ES"/>
        </w:rPr>
        <w:t>suficiente</w:t>
      </w:r>
      <w:r w:rsidRPr="00541685">
        <w:rPr>
          <w:rFonts w:ascii="ITC Avant Garde" w:hAnsi="ITC Avant Garde"/>
          <w:lang w:val="es-ES"/>
        </w:rPr>
        <w:t xml:space="preserve"> información al respecto. Adicionalmente, cabe destacar que uno de los </w:t>
      </w:r>
      <w:r w:rsidR="00A94546">
        <w:rPr>
          <w:rFonts w:ascii="ITC Avant Garde" w:hAnsi="ITC Avant Garde"/>
          <w:lang w:val="es-ES"/>
        </w:rPr>
        <w:t>concesionarios</w:t>
      </w:r>
      <w:r w:rsidRPr="00541685">
        <w:rPr>
          <w:rFonts w:ascii="ITC Avant Garde" w:hAnsi="ITC Avant Garde"/>
          <w:lang w:val="es-ES"/>
        </w:rPr>
        <w:t xml:space="preserve"> que participaron en la consulta públi</w:t>
      </w:r>
      <w:r w:rsidR="00811EC9">
        <w:rPr>
          <w:rFonts w:ascii="ITC Avant Garde" w:hAnsi="ITC Avant Garde"/>
          <w:lang w:val="es-ES"/>
        </w:rPr>
        <w:t>ca</w:t>
      </w:r>
      <w:r w:rsidR="008A4535">
        <w:rPr>
          <w:rFonts w:ascii="ITC Avant Garde" w:hAnsi="ITC Avant Garde"/>
          <w:lang w:val="es-ES"/>
        </w:rPr>
        <w:t xml:space="preserve"> </w:t>
      </w:r>
      <w:r w:rsidRPr="00541685">
        <w:rPr>
          <w:rFonts w:ascii="ITC Avant Garde" w:hAnsi="ITC Avant Garde"/>
          <w:lang w:val="es-ES"/>
        </w:rPr>
        <w:t>señala que en la actualidad no ha desplegado infraestructura single-RAN de manera significativa.</w:t>
      </w:r>
    </w:p>
    <w:p w14:paraId="650E342C" w14:textId="77777777" w:rsidR="00811EC9" w:rsidRPr="00541685" w:rsidRDefault="00811EC9" w:rsidP="0080349A">
      <w:pPr>
        <w:spacing w:after="0" w:line="276" w:lineRule="auto"/>
        <w:ind w:left="0" w:right="0" w:firstLine="0"/>
        <w:rPr>
          <w:rFonts w:ascii="ITC Avant Garde" w:hAnsi="ITC Avant Garde"/>
          <w:lang w:val="es-ES"/>
        </w:rPr>
      </w:pPr>
    </w:p>
    <w:p w14:paraId="426540B8" w14:textId="77777777" w:rsidR="00541685" w:rsidRP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Teniendo en cuenta esta situación, se ha optado por mantener la aproximación existente en el modelo de interconexión móvil. Esta aproximación simula, a nivel práctico, las eficiencias de una red single-RAN a través de las tendencias de costos de los activos de red relevantes. De esta manera, el modelo es capaz de capturar los potenciales ahorros derivados de la modernización de las redes móviles al </w:t>
      </w:r>
      <w:r w:rsidRPr="00541685">
        <w:rPr>
          <w:rFonts w:ascii="ITC Avant Garde" w:hAnsi="ITC Avant Garde"/>
          <w:lang w:val="es-ES"/>
        </w:rPr>
        <w:lastRenderedPageBreak/>
        <w:t xml:space="preserve">sustituir los nodos de acceso (BTS, NodeB, eNodeB) por elementos de red single-RAN. </w:t>
      </w:r>
    </w:p>
    <w:p w14:paraId="525A43B4" w14:textId="77777777" w:rsidR="005075FE" w:rsidRDefault="005075FE" w:rsidP="0080349A">
      <w:pPr>
        <w:spacing w:after="0" w:line="276" w:lineRule="auto"/>
        <w:ind w:left="0" w:right="0" w:firstLine="0"/>
        <w:rPr>
          <w:rFonts w:ascii="ITC Avant Garde" w:hAnsi="ITC Avant Garde"/>
          <w:lang w:val="es-ES"/>
        </w:rPr>
      </w:pPr>
    </w:p>
    <w:p w14:paraId="4170A3B1" w14:textId="5897CB2C" w:rsidR="00541685" w:rsidRPr="005075FE" w:rsidRDefault="00541685" w:rsidP="0080349A">
      <w:pPr>
        <w:spacing w:after="0" w:line="276" w:lineRule="auto"/>
        <w:ind w:left="0" w:right="0" w:firstLine="0"/>
        <w:rPr>
          <w:rFonts w:ascii="ITC Avant Garde" w:hAnsi="ITC Avant Garde"/>
          <w:b/>
          <w:u w:val="single"/>
          <w:lang w:val="es-ES"/>
        </w:rPr>
      </w:pPr>
      <w:r w:rsidRPr="005075FE">
        <w:rPr>
          <w:rFonts w:ascii="ITC Avant Garde" w:hAnsi="ITC Avant Garde"/>
          <w:b/>
          <w:u w:val="single"/>
          <w:lang w:val="es-ES"/>
        </w:rPr>
        <w:t>Comentarios sobre los insumos del modelo</w:t>
      </w:r>
    </w:p>
    <w:p w14:paraId="2E6DE5FE" w14:textId="77777777" w:rsidR="005075FE" w:rsidRDefault="005075FE" w:rsidP="0080349A">
      <w:pPr>
        <w:spacing w:after="0" w:line="276" w:lineRule="auto"/>
        <w:ind w:left="0" w:right="0" w:firstLine="0"/>
        <w:rPr>
          <w:rFonts w:ascii="ITC Avant Garde" w:hAnsi="ITC Avant Garde"/>
          <w:lang w:val="es-ES"/>
        </w:rPr>
      </w:pPr>
    </w:p>
    <w:p w14:paraId="194496C5" w14:textId="6BE43FBB" w:rsidR="00541685" w:rsidRPr="005075FE" w:rsidRDefault="00541685" w:rsidP="0080349A">
      <w:pPr>
        <w:spacing w:after="0" w:line="276" w:lineRule="auto"/>
        <w:ind w:left="0" w:right="0" w:firstLine="0"/>
        <w:rPr>
          <w:rFonts w:ascii="ITC Avant Garde" w:hAnsi="ITC Avant Garde"/>
          <w:i/>
          <w:lang w:val="es-ES"/>
        </w:rPr>
      </w:pPr>
      <w:r w:rsidRPr="005075FE">
        <w:rPr>
          <w:rFonts w:ascii="ITC Avant Garde" w:hAnsi="ITC Avant Garde"/>
          <w:i/>
          <w:lang w:val="es-ES"/>
        </w:rPr>
        <w:t>Evolución del tráfico de datos móviles</w:t>
      </w:r>
    </w:p>
    <w:p w14:paraId="77D1F0D0" w14:textId="77777777" w:rsidR="005075FE" w:rsidRDefault="005075FE" w:rsidP="0080349A">
      <w:pPr>
        <w:spacing w:after="0" w:line="276" w:lineRule="auto"/>
        <w:ind w:left="0" w:right="0" w:firstLine="0"/>
        <w:rPr>
          <w:rFonts w:ascii="ITC Avant Garde" w:hAnsi="ITC Avant Garde"/>
          <w:lang w:val="es-ES"/>
        </w:rPr>
      </w:pPr>
    </w:p>
    <w:p w14:paraId="6F353622" w14:textId="3D16BD79" w:rsidR="005075FE"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Telefónica</w:t>
      </w:r>
      <w:r w:rsidR="005075FE">
        <w:rPr>
          <w:rFonts w:ascii="ITC Avant Garde" w:hAnsi="ITC Avant Garde"/>
          <w:lang w:val="es-ES"/>
        </w:rPr>
        <w:t xml:space="preserve"> y Mega Cable</w:t>
      </w:r>
    </w:p>
    <w:p w14:paraId="00AE5C95" w14:textId="77777777" w:rsidR="005075FE" w:rsidRDefault="005075FE" w:rsidP="0080349A">
      <w:pPr>
        <w:spacing w:after="0" w:line="276" w:lineRule="auto"/>
        <w:ind w:left="0" w:right="0" w:firstLine="0"/>
        <w:rPr>
          <w:rFonts w:ascii="ITC Avant Garde" w:hAnsi="ITC Avant Garde"/>
          <w:lang w:val="es-ES"/>
        </w:rPr>
      </w:pPr>
    </w:p>
    <w:p w14:paraId="7758B265" w14:textId="4EA227FC" w:rsidR="00541685" w:rsidRDefault="005075FE" w:rsidP="0080349A">
      <w:pPr>
        <w:spacing w:after="0" w:line="276" w:lineRule="auto"/>
        <w:ind w:left="0" w:right="0" w:firstLine="0"/>
        <w:rPr>
          <w:rFonts w:ascii="ITC Avant Garde" w:hAnsi="ITC Avant Garde"/>
          <w:lang w:val="es-ES"/>
        </w:rPr>
      </w:pPr>
      <w:r>
        <w:rPr>
          <w:rFonts w:ascii="ITC Avant Garde" w:hAnsi="ITC Avant Garde"/>
          <w:lang w:val="es-ES"/>
        </w:rPr>
        <w:t>Telefónica s</w:t>
      </w:r>
      <w:r w:rsidR="00541685" w:rsidRPr="00541685">
        <w:rPr>
          <w:rFonts w:ascii="ITC Avant Garde" w:hAnsi="ITC Avant Garde"/>
          <w:lang w:val="es-ES"/>
        </w:rPr>
        <w:t>olicita que se ajusten los pronósticos de demanda de datos móviles para el periodo de vigencia del modelo (2022–26), apoyándose en un informe de Ericsson (Ericsson Mobility Report) para sugerir que el crecimiento anual debería ser más alto de lo que figura en el modelo de interconexión móvil. Asimismo, Telefónica considera que la evolución de la penetración 5G del AEP debería ser mayor, argumentando que el AEP ya tiene asignadas bandas de espectro que le permiten ofrecer esta tecnología, además de tener planes para incrementar su capacidad en la banda de 3.5GHz.</w:t>
      </w:r>
    </w:p>
    <w:p w14:paraId="706CA193" w14:textId="77777777" w:rsidR="005075FE" w:rsidRPr="00541685" w:rsidRDefault="005075FE" w:rsidP="0080349A">
      <w:pPr>
        <w:spacing w:after="0" w:line="276" w:lineRule="auto"/>
        <w:ind w:left="0" w:right="0" w:firstLine="0"/>
        <w:rPr>
          <w:rFonts w:ascii="ITC Avant Garde" w:hAnsi="ITC Avant Garde"/>
          <w:lang w:val="es-ES"/>
        </w:rPr>
      </w:pPr>
    </w:p>
    <w:p w14:paraId="20C0BAB0" w14:textId="57FE7E1C" w:rsidR="00541685" w:rsidRDefault="00541685" w:rsidP="7742B270">
      <w:pPr>
        <w:spacing w:after="0" w:line="276" w:lineRule="auto"/>
        <w:ind w:left="0" w:right="0" w:firstLine="0"/>
        <w:rPr>
          <w:rFonts w:ascii="ITC Avant Garde" w:hAnsi="ITC Avant Garde"/>
          <w:lang w:val="es-ES"/>
        </w:rPr>
      </w:pPr>
      <w:r w:rsidRPr="58E23F00">
        <w:rPr>
          <w:rFonts w:ascii="ITC Avant Garde" w:hAnsi="ITC Avant Garde"/>
          <w:lang w:val="es-ES"/>
        </w:rPr>
        <w:t>Mega</w:t>
      </w:r>
      <w:r w:rsidR="005075FE" w:rsidRPr="58E23F00">
        <w:rPr>
          <w:rFonts w:ascii="ITC Avant Garde" w:hAnsi="ITC Avant Garde"/>
          <w:lang w:val="es-ES"/>
        </w:rPr>
        <w:t xml:space="preserve"> C</w:t>
      </w:r>
      <w:r w:rsidRPr="58E23F00">
        <w:rPr>
          <w:rFonts w:ascii="ITC Avant Garde" w:hAnsi="ITC Avant Garde"/>
          <w:lang w:val="es-ES"/>
        </w:rPr>
        <w:t xml:space="preserve">able solicita al </w:t>
      </w:r>
      <w:r w:rsidR="647786AF" w:rsidRPr="58E23F00">
        <w:rPr>
          <w:rFonts w:ascii="ITC Avant Garde" w:hAnsi="ITC Avant Garde"/>
          <w:lang w:val="es-ES"/>
        </w:rPr>
        <w:t>I</w:t>
      </w:r>
      <w:r w:rsidR="6A258FE2" w:rsidRPr="58E23F00">
        <w:rPr>
          <w:rFonts w:ascii="ITC Avant Garde" w:hAnsi="ITC Avant Garde"/>
          <w:lang w:val="es-ES"/>
        </w:rPr>
        <w:t>nstituto</w:t>
      </w:r>
      <w:r w:rsidR="0AF39D56" w:rsidRPr="58E23F00">
        <w:rPr>
          <w:rFonts w:ascii="ITC Avant Garde" w:hAnsi="ITC Avant Garde"/>
          <w:lang w:val="es-ES"/>
        </w:rPr>
        <w:t xml:space="preserve"> </w:t>
      </w:r>
      <w:r w:rsidRPr="58E23F00">
        <w:rPr>
          <w:rFonts w:ascii="ITC Avant Garde" w:hAnsi="ITC Avant Garde"/>
          <w:lang w:val="es-ES"/>
        </w:rPr>
        <w:t xml:space="preserve">que contemple un mecanismo para verificar que el tráfico de planes que ofrecen datos ilimitados, </w:t>
      </w:r>
      <w:r w:rsidR="00C3485A" w:rsidRPr="58E23F00">
        <w:rPr>
          <w:rFonts w:ascii="ITC Avant Garde" w:hAnsi="ITC Avant Garde"/>
          <w:lang w:val="es-ES"/>
        </w:rPr>
        <w:t>así</w:t>
      </w:r>
      <w:r w:rsidRPr="58E23F00">
        <w:rPr>
          <w:rFonts w:ascii="ITC Avant Garde" w:hAnsi="ITC Avant Garde"/>
          <w:lang w:val="es-ES"/>
        </w:rPr>
        <w:t xml:space="preserve"> como el tráfico </w:t>
      </w:r>
      <w:r w:rsidR="00A12569" w:rsidRPr="58E23F00">
        <w:rPr>
          <w:rFonts w:ascii="ITC Avant Garde" w:hAnsi="ITC Avant Garde"/>
          <w:lang w:val="es-ES"/>
        </w:rPr>
        <w:t>“</w:t>
      </w:r>
      <w:r w:rsidRPr="58E23F00">
        <w:rPr>
          <w:rFonts w:ascii="ITC Avant Garde" w:hAnsi="ITC Avant Garde"/>
          <w:lang w:val="es-ES"/>
        </w:rPr>
        <w:t>zero rating</w:t>
      </w:r>
      <w:r w:rsidR="00A12569" w:rsidRPr="58E23F00">
        <w:rPr>
          <w:rFonts w:ascii="ITC Avant Garde" w:hAnsi="ITC Avant Garde"/>
          <w:lang w:val="es-ES"/>
        </w:rPr>
        <w:t>”</w:t>
      </w:r>
      <w:r w:rsidRPr="58E23F00">
        <w:rPr>
          <w:rFonts w:ascii="ITC Avant Garde" w:hAnsi="ITC Avant Garde"/>
          <w:lang w:val="es-ES"/>
        </w:rPr>
        <w:t>, sea adecuadamente contabilizado en el modelo.</w:t>
      </w:r>
    </w:p>
    <w:p w14:paraId="525134EF" w14:textId="1BC2179C" w:rsidR="005075FE" w:rsidRDefault="005075FE" w:rsidP="0080349A">
      <w:pPr>
        <w:spacing w:after="0" w:line="276" w:lineRule="auto"/>
        <w:ind w:left="0" w:right="0" w:firstLine="0"/>
        <w:rPr>
          <w:rFonts w:ascii="ITC Avant Garde" w:hAnsi="ITC Avant Garde"/>
          <w:lang w:val="es-ES"/>
        </w:rPr>
      </w:pPr>
    </w:p>
    <w:p w14:paraId="00106B8E" w14:textId="3760CD23" w:rsidR="005075FE" w:rsidRDefault="005075FE"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02F104F7" w14:textId="77777777" w:rsidR="005075FE" w:rsidRPr="00541685" w:rsidRDefault="005075FE" w:rsidP="0080349A">
      <w:pPr>
        <w:spacing w:after="0" w:line="276" w:lineRule="auto"/>
        <w:ind w:left="0" w:right="0" w:firstLine="0"/>
        <w:rPr>
          <w:rFonts w:ascii="ITC Avant Garde" w:hAnsi="ITC Avant Garde"/>
          <w:lang w:val="es-ES"/>
        </w:rPr>
      </w:pPr>
    </w:p>
    <w:p w14:paraId="1CC6BE4B" w14:textId="55602638" w:rsidR="00541685" w:rsidRDefault="00541685"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Los valores históricos relativos al tráfico de datos se basan en los valores internos del </w:t>
      </w:r>
      <w:r w:rsidR="647786AF" w:rsidRPr="58E23F00">
        <w:rPr>
          <w:rFonts w:ascii="ITC Avant Garde" w:hAnsi="ITC Avant Garde"/>
          <w:lang w:val="es-ES"/>
        </w:rPr>
        <w:t>Instituto</w:t>
      </w:r>
      <w:r w:rsidRPr="58E23F00">
        <w:rPr>
          <w:rFonts w:ascii="ITC Avant Garde" w:hAnsi="ITC Avant Garde"/>
          <w:lang w:val="es-ES"/>
        </w:rPr>
        <w:t xml:space="preserve">, reportados por los </w:t>
      </w:r>
      <w:r w:rsidR="00A94546" w:rsidRPr="58E23F00">
        <w:rPr>
          <w:rFonts w:ascii="ITC Avant Garde" w:hAnsi="ITC Avant Garde"/>
          <w:lang w:val="es-ES"/>
        </w:rPr>
        <w:t>concesionarios</w:t>
      </w:r>
      <w:r w:rsidRPr="58E23F00">
        <w:rPr>
          <w:rFonts w:ascii="ITC Avant Garde" w:hAnsi="ITC Avant Garde"/>
          <w:lang w:val="es-ES"/>
        </w:rPr>
        <w:t>.</w:t>
      </w:r>
    </w:p>
    <w:p w14:paraId="5A08B985" w14:textId="77777777" w:rsidR="005075FE" w:rsidRPr="00541685" w:rsidRDefault="005075FE" w:rsidP="0080349A">
      <w:pPr>
        <w:spacing w:after="0" w:line="276" w:lineRule="auto"/>
        <w:ind w:left="0" w:right="0" w:firstLine="0"/>
        <w:rPr>
          <w:rFonts w:ascii="ITC Avant Garde" w:hAnsi="ITC Avant Garde"/>
          <w:lang w:val="es-ES"/>
        </w:rPr>
      </w:pPr>
    </w:p>
    <w:p w14:paraId="0F7EFA3F" w14:textId="16889FE9"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Con respecto a las proyecciones, efectivamente se ha incluido en el modelo una evolución en el tráfico de datos móviles que tiende hacia la desaceleración. Esta tendencia se basa en la evolución generalizada de reducción del ritmo de crecimiento experimentada en México y otros países latinoamericanos y europeos, incluso tras el lanzamiento de la 5G, como se aprecia en la siguiente </w:t>
      </w:r>
      <w:r w:rsidR="00C3485A" w:rsidRPr="00541685">
        <w:rPr>
          <w:rFonts w:ascii="ITC Avant Garde" w:hAnsi="ITC Avant Garde"/>
          <w:lang w:val="es-ES"/>
        </w:rPr>
        <w:t>gráfi</w:t>
      </w:r>
      <w:r w:rsidR="00C3485A">
        <w:rPr>
          <w:rFonts w:ascii="ITC Avant Garde" w:hAnsi="ITC Avant Garde"/>
          <w:lang w:val="es-ES"/>
        </w:rPr>
        <w:t>ca</w:t>
      </w:r>
      <w:r w:rsidR="00376355">
        <w:rPr>
          <w:rFonts w:ascii="ITC Avant Garde" w:hAnsi="ITC Avant Garde"/>
          <w:lang w:val="es-ES"/>
        </w:rPr>
        <w:t>.</w:t>
      </w:r>
    </w:p>
    <w:p w14:paraId="1B1A5BCC" w14:textId="77777777" w:rsidR="005075FE" w:rsidRPr="00541685" w:rsidRDefault="005075FE" w:rsidP="0080349A">
      <w:pPr>
        <w:spacing w:after="0" w:line="276" w:lineRule="auto"/>
        <w:ind w:left="0" w:right="0" w:firstLine="0"/>
        <w:rPr>
          <w:rFonts w:ascii="ITC Avant Garde" w:hAnsi="ITC Avant Garde"/>
          <w:lang w:val="es-ES"/>
        </w:rPr>
      </w:pPr>
    </w:p>
    <w:p w14:paraId="155302CE" w14:textId="71E9866B" w:rsidR="00541685" w:rsidRP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Figura </w:t>
      </w:r>
      <w:r w:rsidR="005075FE">
        <w:rPr>
          <w:rFonts w:ascii="ITC Avant Garde" w:hAnsi="ITC Avant Garde"/>
          <w:lang w:val="es-ES"/>
        </w:rPr>
        <w:t>4</w:t>
      </w:r>
      <w:r w:rsidRPr="00541685">
        <w:rPr>
          <w:rFonts w:ascii="ITC Avant Garde" w:hAnsi="ITC Avant Garde"/>
          <w:lang w:val="es-ES"/>
        </w:rPr>
        <w:t xml:space="preserve">: Tasa de crecimiento anual de datos móviles [Fuente: Modelo de mercado, Analysys Mason, 2023] </w:t>
      </w:r>
    </w:p>
    <w:p w14:paraId="2C9F49FE" w14:textId="04424831" w:rsidR="00541685" w:rsidRDefault="005075FE" w:rsidP="005075FE">
      <w:pPr>
        <w:spacing w:after="0" w:line="276" w:lineRule="auto"/>
        <w:ind w:left="0" w:right="0" w:firstLine="0"/>
        <w:jc w:val="center"/>
        <w:rPr>
          <w:rFonts w:ascii="ITC Avant Garde" w:hAnsi="ITC Avant Garde"/>
          <w:lang w:val="es-ES"/>
        </w:rPr>
      </w:pPr>
      <w:r w:rsidRPr="00B458F0">
        <w:rPr>
          <w:noProof/>
          <w:lang w:val="es-ES"/>
        </w:rPr>
        <w:lastRenderedPageBreak/>
        <w:drawing>
          <wp:inline distT="0" distB="0" distL="0" distR="0" wp14:anchorId="2CAB1211" wp14:editId="39E0E873">
            <wp:extent cx="3765176" cy="2225404"/>
            <wp:effectExtent l="0" t="0" r="0" b="0"/>
            <wp:docPr id="1907246065" name="Picture 1907246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7856" cy="2232898"/>
                    </a:xfrm>
                    <a:prstGeom prst="rect">
                      <a:avLst/>
                    </a:prstGeom>
                    <a:noFill/>
                    <a:ln>
                      <a:noFill/>
                    </a:ln>
                  </pic:spPr>
                </pic:pic>
              </a:graphicData>
            </a:graphic>
          </wp:inline>
        </w:drawing>
      </w:r>
    </w:p>
    <w:p w14:paraId="12B0AE51" w14:textId="1F1C063C" w:rsidR="005075FE" w:rsidRDefault="005075FE" w:rsidP="0080349A">
      <w:pPr>
        <w:spacing w:after="0" w:line="276" w:lineRule="auto"/>
        <w:ind w:left="0" w:right="0" w:firstLine="0"/>
        <w:rPr>
          <w:rFonts w:ascii="ITC Avant Garde" w:hAnsi="ITC Avant Garde"/>
          <w:lang w:val="es-ES"/>
        </w:rPr>
      </w:pPr>
    </w:p>
    <w:p w14:paraId="2694E5C6" w14:textId="77777777" w:rsidR="005075FE" w:rsidRDefault="005075FE" w:rsidP="0080349A">
      <w:pPr>
        <w:spacing w:after="0" w:line="276" w:lineRule="auto"/>
        <w:ind w:left="0" w:right="0" w:firstLine="0"/>
        <w:rPr>
          <w:rFonts w:ascii="ITC Avant Garde" w:hAnsi="ITC Avant Garde"/>
          <w:lang w:val="es-ES"/>
        </w:rPr>
      </w:pPr>
    </w:p>
    <w:p w14:paraId="75E64EBE" w14:textId="63182919" w:rsidR="00541685" w:rsidRDefault="005075FE" w:rsidP="0080349A">
      <w:pPr>
        <w:spacing w:after="0" w:line="276" w:lineRule="auto"/>
        <w:ind w:left="0" w:right="0" w:firstLine="0"/>
        <w:rPr>
          <w:rFonts w:ascii="ITC Avant Garde" w:hAnsi="ITC Avant Garde"/>
          <w:lang w:val="es-ES"/>
        </w:rPr>
      </w:pPr>
      <w:r>
        <w:rPr>
          <w:rFonts w:ascii="ITC Avant Garde" w:hAnsi="ITC Avant Garde"/>
          <w:lang w:val="es-ES"/>
        </w:rPr>
        <w:t xml:space="preserve">Existe </w:t>
      </w:r>
      <w:r w:rsidR="00541685" w:rsidRPr="00541685">
        <w:rPr>
          <w:rFonts w:ascii="ITC Avant Garde" w:hAnsi="ITC Avant Garde"/>
          <w:lang w:val="es-ES"/>
        </w:rPr>
        <w:t>una notable incertidumbre relativa a la potencial evolución de la demanda de datos móviles. Esta incertidumbre responde a múltiples factores, como la disponibilidad y adopción de dispositivos 5G por parte de los usuarios, el desarrollo de nuevos casos de uso de esta tecnología, y la disponibilidad de espectro para la provisión de estos servicios. Por estos motivos, se considera que es más apropiado tomar una aproximación relativamente conservadora.</w:t>
      </w:r>
    </w:p>
    <w:p w14:paraId="30ED8C9C" w14:textId="77777777" w:rsidR="00962C37" w:rsidRPr="00541685" w:rsidRDefault="00962C37" w:rsidP="0080349A">
      <w:pPr>
        <w:spacing w:after="0" w:line="276" w:lineRule="auto"/>
        <w:ind w:left="0" w:right="0" w:firstLine="0"/>
        <w:rPr>
          <w:rFonts w:ascii="ITC Avant Garde" w:hAnsi="ITC Avant Garde"/>
          <w:lang w:val="es-ES"/>
        </w:rPr>
      </w:pPr>
    </w:p>
    <w:p w14:paraId="1F67B514" w14:textId="6DE1EF55"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A este respecto, </w:t>
      </w:r>
      <w:r w:rsidR="005075FE">
        <w:rPr>
          <w:rFonts w:ascii="ITC Avant Garde" w:hAnsi="ITC Avant Garde"/>
          <w:lang w:val="es-ES"/>
        </w:rPr>
        <w:t>se asume</w:t>
      </w:r>
      <w:r w:rsidRPr="00541685">
        <w:rPr>
          <w:rFonts w:ascii="ITC Avant Garde" w:hAnsi="ITC Avant Garde"/>
          <w:lang w:val="es-ES"/>
        </w:rPr>
        <w:t xml:space="preserve"> que esta incertidumbre impli</w:t>
      </w:r>
      <w:r w:rsidR="005075FE">
        <w:rPr>
          <w:rFonts w:ascii="ITC Avant Garde" w:hAnsi="ITC Avant Garde"/>
          <w:lang w:val="es-ES"/>
        </w:rPr>
        <w:t>ca</w:t>
      </w:r>
      <w:r w:rsidR="008A4535">
        <w:rPr>
          <w:rFonts w:ascii="ITC Avant Garde" w:hAnsi="ITC Avant Garde"/>
          <w:lang w:val="es-ES"/>
        </w:rPr>
        <w:t xml:space="preserve"> </w:t>
      </w:r>
      <w:r w:rsidRPr="00541685">
        <w:rPr>
          <w:rFonts w:ascii="ITC Avant Garde" w:hAnsi="ITC Avant Garde"/>
          <w:lang w:val="es-ES"/>
        </w:rPr>
        <w:t>que es posible que las previsiones de demanda de datos 5G realizadas en el modelo sean inferiores (o superiores) a la realidad del mercado. Por este motivo,</w:t>
      </w:r>
      <w:r w:rsidR="005075FE">
        <w:rPr>
          <w:rFonts w:ascii="ITC Avant Garde" w:hAnsi="ITC Avant Garde"/>
          <w:lang w:val="es-ES"/>
        </w:rPr>
        <w:t xml:space="preserve"> se llevó a cabo</w:t>
      </w:r>
      <w:r w:rsidRPr="00541685">
        <w:rPr>
          <w:rFonts w:ascii="ITC Avant Garde" w:hAnsi="ITC Avant Garde"/>
          <w:lang w:val="es-ES"/>
        </w:rPr>
        <w:t xml:space="preserve"> un análisis de sensibilidad para determinar el impacto que tendría sobre las tarifas de terminación un aumento significativo del tráfico 5G. Los resultados del análisis de sensibilidad muestran que, si se dupli</w:t>
      </w:r>
      <w:r w:rsidR="005075FE">
        <w:rPr>
          <w:rFonts w:ascii="ITC Avant Garde" w:hAnsi="ITC Avant Garde"/>
          <w:lang w:val="es-ES"/>
        </w:rPr>
        <w:t>ca</w:t>
      </w:r>
      <w:r w:rsidR="008A4535">
        <w:rPr>
          <w:rFonts w:ascii="ITC Avant Garde" w:hAnsi="ITC Avant Garde"/>
          <w:lang w:val="es-ES"/>
        </w:rPr>
        <w:t xml:space="preserve"> </w:t>
      </w:r>
      <w:r w:rsidRPr="00541685">
        <w:rPr>
          <w:rFonts w:ascii="ITC Avant Garde" w:hAnsi="ITC Avant Garde"/>
          <w:lang w:val="es-ES"/>
        </w:rPr>
        <w:t>el tráfico de datos 5G en cada uno de los años del modelo, el impacto sobre las tarifas de terminación es mínimo (un aumento de menos del 1%).</w:t>
      </w:r>
    </w:p>
    <w:p w14:paraId="0FA7800D" w14:textId="77777777" w:rsidR="005075FE" w:rsidRPr="00541685" w:rsidRDefault="005075FE" w:rsidP="0080349A">
      <w:pPr>
        <w:spacing w:after="0" w:line="276" w:lineRule="auto"/>
        <w:ind w:left="0" w:right="0" w:firstLine="0"/>
        <w:rPr>
          <w:rFonts w:ascii="ITC Avant Garde" w:hAnsi="ITC Avant Garde"/>
          <w:lang w:val="es-ES"/>
        </w:rPr>
      </w:pPr>
    </w:p>
    <w:p w14:paraId="0AA17751" w14:textId="77777777" w:rsidR="00541685" w:rsidRPr="005075FE" w:rsidRDefault="00541685" w:rsidP="0080349A">
      <w:pPr>
        <w:spacing w:after="0" w:line="276" w:lineRule="auto"/>
        <w:ind w:left="0" w:right="0" w:firstLine="0"/>
        <w:rPr>
          <w:rFonts w:ascii="ITC Avant Garde" w:hAnsi="ITC Avant Garde"/>
          <w:i/>
          <w:lang w:val="es-ES"/>
        </w:rPr>
      </w:pPr>
      <w:r w:rsidRPr="005075FE">
        <w:rPr>
          <w:rFonts w:ascii="ITC Avant Garde" w:hAnsi="ITC Avant Garde"/>
          <w:i/>
          <w:lang w:val="es-ES"/>
        </w:rPr>
        <w:t>Evolución del tráfico de voz móvil</w:t>
      </w:r>
    </w:p>
    <w:p w14:paraId="2DB6ADFD" w14:textId="105E684B" w:rsidR="005075FE" w:rsidRDefault="005075FE" w:rsidP="0080349A">
      <w:pPr>
        <w:spacing w:after="0" w:line="276" w:lineRule="auto"/>
        <w:ind w:left="0" w:right="0" w:firstLine="0"/>
        <w:rPr>
          <w:rFonts w:ascii="ITC Avant Garde" w:hAnsi="ITC Avant Garde"/>
          <w:lang w:val="es-ES"/>
        </w:rPr>
      </w:pPr>
    </w:p>
    <w:p w14:paraId="10D3C251" w14:textId="65B87339" w:rsidR="005075FE" w:rsidRDefault="005075FE" w:rsidP="0080349A">
      <w:pPr>
        <w:spacing w:after="0" w:line="276" w:lineRule="auto"/>
        <w:ind w:left="0" w:right="0" w:firstLine="0"/>
        <w:rPr>
          <w:rFonts w:ascii="ITC Avant Garde" w:hAnsi="ITC Avant Garde"/>
          <w:lang w:val="es-ES"/>
        </w:rPr>
      </w:pPr>
      <w:r>
        <w:rPr>
          <w:rFonts w:ascii="ITC Avant Garde" w:hAnsi="ITC Avant Garde"/>
          <w:lang w:val="es-ES"/>
        </w:rPr>
        <w:t>Mega Cable y CANIETI</w:t>
      </w:r>
    </w:p>
    <w:p w14:paraId="6DAD1D21" w14:textId="77777777" w:rsidR="005075FE" w:rsidRDefault="005075FE" w:rsidP="0080349A">
      <w:pPr>
        <w:spacing w:after="0" w:line="276" w:lineRule="auto"/>
        <w:ind w:left="0" w:right="0" w:firstLine="0"/>
        <w:rPr>
          <w:rFonts w:ascii="ITC Avant Garde" w:hAnsi="ITC Avant Garde"/>
          <w:lang w:val="es-ES"/>
        </w:rPr>
      </w:pPr>
    </w:p>
    <w:p w14:paraId="6F6B14BF" w14:textId="6861CC04" w:rsidR="00541685" w:rsidRDefault="00541685" w:rsidP="7742B270">
      <w:pPr>
        <w:spacing w:after="0" w:line="276" w:lineRule="auto"/>
        <w:ind w:left="0" w:right="0" w:firstLine="0"/>
        <w:rPr>
          <w:rFonts w:ascii="ITC Avant Garde" w:hAnsi="ITC Avant Garde"/>
          <w:lang w:val="es-ES"/>
        </w:rPr>
      </w:pPr>
      <w:r w:rsidRPr="58E23F00">
        <w:rPr>
          <w:rFonts w:ascii="ITC Avant Garde" w:hAnsi="ITC Avant Garde"/>
          <w:lang w:val="es-ES"/>
        </w:rPr>
        <w:t>Mega</w:t>
      </w:r>
      <w:r w:rsidR="005075FE" w:rsidRPr="58E23F00">
        <w:rPr>
          <w:rFonts w:ascii="ITC Avant Garde" w:hAnsi="ITC Avant Garde"/>
          <w:lang w:val="es-ES"/>
        </w:rPr>
        <w:t xml:space="preserve"> C</w:t>
      </w:r>
      <w:r w:rsidRPr="58E23F00">
        <w:rPr>
          <w:rFonts w:ascii="ITC Avant Garde" w:hAnsi="ITC Avant Garde"/>
          <w:lang w:val="es-ES"/>
        </w:rPr>
        <w:t xml:space="preserve">able considera que el modelo móvil sobreestima el tráfico de voz, mientras que CANIETI considera que el mismo tráfico de voz se encuentra subestimado. CANIETI argumenta que, aunque es cierto que el servicio de datos puede sustituir al servicio de voz tradicional, esta tendencia no se ha visto evidenciada en el caso del AEP y que, sin embargo, </w:t>
      </w:r>
      <w:r w:rsidR="00665CBA" w:rsidRPr="58E23F00">
        <w:rPr>
          <w:rFonts w:ascii="ITC Avant Garde" w:hAnsi="ITC Avant Garde"/>
          <w:lang w:val="es-ES"/>
        </w:rPr>
        <w:t>si</w:t>
      </w:r>
      <w:r w:rsidRPr="58E23F00">
        <w:rPr>
          <w:rFonts w:ascii="ITC Avant Garde" w:hAnsi="ITC Avant Garde"/>
          <w:lang w:val="es-ES"/>
        </w:rPr>
        <w:t xml:space="preserve"> se ha dado una migración a servicios de voz soportados en 4G (VoLTE y VoIP) en los últimos años. De esta manera, CANIETI solicita que el </w:t>
      </w:r>
      <w:r w:rsidR="647786AF" w:rsidRPr="58E23F00">
        <w:rPr>
          <w:rFonts w:ascii="ITC Avant Garde" w:hAnsi="ITC Avant Garde"/>
          <w:lang w:val="es-ES"/>
        </w:rPr>
        <w:t>I</w:t>
      </w:r>
      <w:r w:rsidR="511F9DB4" w:rsidRPr="58E23F00">
        <w:rPr>
          <w:rFonts w:ascii="ITC Avant Garde" w:hAnsi="ITC Avant Garde"/>
          <w:lang w:val="es-ES"/>
        </w:rPr>
        <w:t>nstituto</w:t>
      </w:r>
      <w:r w:rsidR="0AF39D56" w:rsidRPr="58E23F00">
        <w:rPr>
          <w:rFonts w:ascii="ITC Avant Garde" w:hAnsi="ITC Avant Garde"/>
          <w:lang w:val="es-ES"/>
        </w:rPr>
        <w:t xml:space="preserve"> </w:t>
      </w:r>
      <w:r w:rsidRPr="58E23F00">
        <w:rPr>
          <w:rFonts w:ascii="ITC Avant Garde" w:hAnsi="ITC Avant Garde"/>
          <w:lang w:val="es-ES"/>
        </w:rPr>
        <w:t xml:space="preserve">corrija el decrecimiento asumido para el tráfico de voz por </w:t>
      </w:r>
      <w:r w:rsidRPr="58E23F00">
        <w:rPr>
          <w:rFonts w:ascii="ITC Avant Garde" w:hAnsi="ITC Avant Garde"/>
          <w:lang w:val="es-ES"/>
        </w:rPr>
        <w:lastRenderedPageBreak/>
        <w:t>usuario del AEP, adoptando enfoques diferenciados para el AEP y el C</w:t>
      </w:r>
      <w:r w:rsidR="005075FE" w:rsidRPr="58E23F00">
        <w:rPr>
          <w:rFonts w:ascii="ITC Avant Garde" w:hAnsi="ITC Avant Garde"/>
          <w:lang w:val="es-ES"/>
        </w:rPr>
        <w:t>S</w:t>
      </w:r>
      <w:r w:rsidRPr="58E23F00">
        <w:rPr>
          <w:rFonts w:ascii="ITC Avant Garde" w:hAnsi="ITC Avant Garde"/>
          <w:lang w:val="es-ES"/>
        </w:rPr>
        <w:t>, en línea con las tendencias del mercado.</w:t>
      </w:r>
    </w:p>
    <w:p w14:paraId="5167220B" w14:textId="7C91F3D5" w:rsidR="005075FE" w:rsidRDefault="005075FE" w:rsidP="0080349A">
      <w:pPr>
        <w:spacing w:after="0" w:line="276" w:lineRule="auto"/>
        <w:ind w:left="0" w:right="0" w:firstLine="0"/>
        <w:rPr>
          <w:rFonts w:ascii="ITC Avant Garde" w:hAnsi="ITC Avant Garde"/>
          <w:lang w:val="es-ES"/>
        </w:rPr>
      </w:pPr>
    </w:p>
    <w:p w14:paraId="06442B8B" w14:textId="18120CD7" w:rsidR="005075FE" w:rsidRDefault="005075FE"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430B4303" w14:textId="77777777" w:rsidR="005075FE" w:rsidRPr="00541685" w:rsidRDefault="005075FE" w:rsidP="0080349A">
      <w:pPr>
        <w:spacing w:after="0" w:line="276" w:lineRule="auto"/>
        <w:ind w:left="0" w:right="0" w:firstLine="0"/>
        <w:rPr>
          <w:rFonts w:ascii="ITC Avant Garde" w:hAnsi="ITC Avant Garde"/>
          <w:lang w:val="es-ES"/>
        </w:rPr>
      </w:pPr>
    </w:p>
    <w:p w14:paraId="7A07D7AC" w14:textId="017A9F56"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Las proyecciones de tráfico de voz incluidas en el modelo se han realizado a partir de la información facilitada por los </w:t>
      </w:r>
      <w:r w:rsidR="00A94546">
        <w:rPr>
          <w:rFonts w:ascii="ITC Avant Garde" w:hAnsi="ITC Avant Garde"/>
          <w:lang w:val="es-ES"/>
        </w:rPr>
        <w:t>concesionarios</w:t>
      </w:r>
      <w:r w:rsidRPr="00541685">
        <w:rPr>
          <w:rFonts w:ascii="ITC Avant Garde" w:hAnsi="ITC Avant Garde"/>
          <w:lang w:val="es-ES"/>
        </w:rPr>
        <w:t xml:space="preserve"> en respuesta al requerimiento de datos realizado y a partir de información del Banco de Información de Telecomunicaciones (BIT), basándo</w:t>
      </w:r>
      <w:r w:rsidR="00A77155">
        <w:rPr>
          <w:rFonts w:ascii="ITC Avant Garde" w:hAnsi="ITC Avant Garde"/>
          <w:lang w:val="es-ES"/>
        </w:rPr>
        <w:t>se</w:t>
      </w:r>
      <w:r w:rsidRPr="00541685">
        <w:rPr>
          <w:rFonts w:ascii="ITC Avant Garde" w:hAnsi="ITC Avant Garde"/>
          <w:lang w:val="es-ES"/>
        </w:rPr>
        <w:t xml:space="preserve"> en las tendencias históricas y en un análisis de la situación en otros países.</w:t>
      </w:r>
    </w:p>
    <w:p w14:paraId="583F4AA8" w14:textId="77777777" w:rsidR="00A77155" w:rsidRPr="00541685" w:rsidRDefault="00A77155" w:rsidP="0080349A">
      <w:pPr>
        <w:spacing w:after="0" w:line="276" w:lineRule="auto"/>
        <w:ind w:left="0" w:right="0" w:firstLine="0"/>
        <w:rPr>
          <w:rFonts w:ascii="ITC Avant Garde" w:hAnsi="ITC Avant Garde"/>
          <w:lang w:val="es-ES"/>
        </w:rPr>
      </w:pPr>
    </w:p>
    <w:p w14:paraId="19E9DE18" w14:textId="4B87DE3A" w:rsidR="00541685" w:rsidRP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Según los datos publicados por el BIT, el tráfico de voz por usuario se ha mantenido relativamente estable desde el año 2018. El modelo asume una leve reducción en el tráfico de voz a partir del año 2024 (a una tasa interanual del –0.7%), lo cual </w:t>
      </w:r>
      <w:r w:rsidR="00A77155">
        <w:rPr>
          <w:rFonts w:ascii="ITC Avant Garde" w:hAnsi="ITC Avant Garde"/>
          <w:lang w:val="es-ES"/>
        </w:rPr>
        <w:t>se considera</w:t>
      </w:r>
      <w:r w:rsidRPr="00541685">
        <w:rPr>
          <w:rFonts w:ascii="ITC Avant Garde" w:hAnsi="ITC Avant Garde"/>
          <w:lang w:val="es-ES"/>
        </w:rPr>
        <w:t xml:space="preserve"> razonable dada la tendencia en otros países y la información facilitada por los </w:t>
      </w:r>
      <w:r w:rsidR="00A94546">
        <w:rPr>
          <w:rFonts w:ascii="ITC Avant Garde" w:hAnsi="ITC Avant Garde"/>
          <w:lang w:val="es-ES"/>
        </w:rPr>
        <w:t>concesionarios</w:t>
      </w:r>
      <w:r w:rsidRPr="00541685">
        <w:rPr>
          <w:rFonts w:ascii="ITC Avant Garde" w:hAnsi="ITC Avant Garde"/>
          <w:lang w:val="es-ES"/>
        </w:rPr>
        <w:t xml:space="preserve"> sobre sus expectativas a futuro. </w:t>
      </w:r>
      <w:r w:rsidR="00A77155" w:rsidRPr="00541685">
        <w:rPr>
          <w:rFonts w:ascii="ITC Avant Garde" w:hAnsi="ITC Avant Garde"/>
          <w:lang w:val="es-ES"/>
        </w:rPr>
        <w:t>A</w:t>
      </w:r>
      <w:r w:rsidR="00A77155">
        <w:rPr>
          <w:rFonts w:ascii="ITC Avant Garde" w:hAnsi="ITC Avant Garde"/>
          <w:lang w:val="es-ES"/>
        </w:rPr>
        <w:t>sí</w:t>
      </w:r>
      <w:r w:rsidRPr="00541685">
        <w:rPr>
          <w:rFonts w:ascii="ITC Avant Garde" w:hAnsi="ITC Avant Garde"/>
          <w:lang w:val="es-ES"/>
        </w:rPr>
        <w:t xml:space="preserve">, debido al incremento en el número de usuarios móviles, el modelo asume que el tráfico total de voz aumenta un 1% entre 2024 y 2026, y un 5% entre 2022 y 2026. </w:t>
      </w:r>
    </w:p>
    <w:p w14:paraId="45E40786" w14:textId="45F57DC6" w:rsidR="00A77155" w:rsidRPr="00541685" w:rsidRDefault="00A77155" w:rsidP="0080349A">
      <w:pPr>
        <w:spacing w:after="0" w:line="276" w:lineRule="auto"/>
        <w:ind w:left="0" w:right="0" w:firstLine="0"/>
        <w:rPr>
          <w:rFonts w:ascii="ITC Avant Garde" w:hAnsi="ITC Avant Garde"/>
          <w:lang w:val="es-ES"/>
        </w:rPr>
      </w:pPr>
      <w:r w:rsidRPr="4B922FC5">
        <w:rPr>
          <w:rFonts w:ascii="ITC Avant Garde" w:hAnsi="ITC Avant Garde"/>
          <w:lang w:val="es-ES"/>
        </w:rPr>
        <w:t>L</w:t>
      </w:r>
      <w:r w:rsidR="00541685" w:rsidRPr="4B922FC5">
        <w:rPr>
          <w:rFonts w:ascii="ITC Avant Garde" w:hAnsi="ITC Avant Garde"/>
          <w:lang w:val="es-ES"/>
        </w:rPr>
        <w:t xml:space="preserve">a aproximación seguida en el modelo es razonablemente representativa de la realidad actual del sector. En cualquier caso, cabe </w:t>
      </w:r>
      <w:r w:rsidRPr="4B922FC5">
        <w:rPr>
          <w:rFonts w:ascii="ITC Avant Garde" w:hAnsi="ITC Avant Garde"/>
          <w:lang w:val="es-ES"/>
        </w:rPr>
        <w:t>destacar</w:t>
      </w:r>
      <w:r w:rsidR="00541685" w:rsidRPr="4B922FC5">
        <w:rPr>
          <w:rFonts w:ascii="ITC Avant Garde" w:hAnsi="ITC Avant Garde"/>
          <w:lang w:val="es-ES"/>
        </w:rPr>
        <w:t xml:space="preserve"> una vez más la incertidumbre asociada a las proyecciones de tráfico de datos y que es posible que exista un cierto margen de error por exceso o por defecto. </w:t>
      </w:r>
    </w:p>
    <w:p w14:paraId="7F34B52D" w14:textId="19D4687D"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En cuanto a la solicitud requerida por uno de los participantes en la consulta de que se corrija el decrecimiento asumido para el tráfico de voz por usuario del AEP, adoptando enfoques diferenciados para el AEP y el C</w:t>
      </w:r>
      <w:r w:rsidR="00A77155">
        <w:rPr>
          <w:rFonts w:ascii="ITC Avant Garde" w:hAnsi="ITC Avant Garde"/>
          <w:lang w:val="es-ES"/>
        </w:rPr>
        <w:t>S</w:t>
      </w:r>
      <w:r w:rsidRPr="00541685">
        <w:rPr>
          <w:rFonts w:ascii="ITC Avant Garde" w:hAnsi="ITC Avant Garde"/>
          <w:lang w:val="es-ES"/>
        </w:rPr>
        <w:t xml:space="preserve">, </w:t>
      </w:r>
      <w:r w:rsidR="00856A78">
        <w:rPr>
          <w:rFonts w:ascii="ITC Avant Garde" w:hAnsi="ITC Avant Garde"/>
          <w:lang w:val="es-ES"/>
        </w:rPr>
        <w:t>se considera</w:t>
      </w:r>
      <w:r w:rsidRPr="00541685">
        <w:rPr>
          <w:rFonts w:ascii="ITC Avant Garde" w:hAnsi="ITC Avant Garde"/>
          <w:lang w:val="es-ES"/>
        </w:rPr>
        <w:t xml:space="preserve"> que la tendencia presentada en el modelo debería ser representativa del mercado. No se ha identificado evidencia relevante que sugiera que se deban considerar tendencias diferenciadas para el </w:t>
      </w:r>
      <w:r w:rsidR="008A4535">
        <w:rPr>
          <w:rFonts w:ascii="ITC Avant Garde" w:hAnsi="ITC Avant Garde"/>
          <w:lang w:val="es-ES"/>
        </w:rPr>
        <w:t xml:space="preserve">CS </w:t>
      </w:r>
      <w:r w:rsidRPr="00541685">
        <w:rPr>
          <w:rFonts w:ascii="ITC Avant Garde" w:hAnsi="ITC Avant Garde"/>
          <w:lang w:val="es-ES"/>
        </w:rPr>
        <w:t xml:space="preserve">y el AEP, más allá de la evolución de las cuotas de mercado observadas en los últimos años, las cuales ya son explícitamente consideradas en los volúmenes de los servicios de los </w:t>
      </w:r>
      <w:r w:rsidR="00A94546">
        <w:rPr>
          <w:rFonts w:ascii="ITC Avant Garde" w:hAnsi="ITC Avant Garde"/>
          <w:lang w:val="es-ES"/>
        </w:rPr>
        <w:t>concesionarios</w:t>
      </w:r>
      <w:r w:rsidRPr="00541685">
        <w:rPr>
          <w:rFonts w:ascii="ITC Avant Garde" w:hAnsi="ITC Avant Garde"/>
          <w:lang w:val="es-ES"/>
        </w:rPr>
        <w:t xml:space="preserve"> modelados.</w:t>
      </w:r>
    </w:p>
    <w:p w14:paraId="04B9322B" w14:textId="77777777" w:rsidR="00A77155" w:rsidRPr="00541685" w:rsidRDefault="00A77155" w:rsidP="0080349A">
      <w:pPr>
        <w:spacing w:after="0" w:line="276" w:lineRule="auto"/>
        <w:ind w:left="0" w:right="0" w:firstLine="0"/>
        <w:rPr>
          <w:rFonts w:ascii="ITC Avant Garde" w:hAnsi="ITC Avant Garde"/>
          <w:lang w:val="es-ES"/>
        </w:rPr>
      </w:pPr>
    </w:p>
    <w:p w14:paraId="24178433" w14:textId="4FC65C49" w:rsidR="00541685" w:rsidRDefault="00541685" w:rsidP="0080349A">
      <w:pPr>
        <w:spacing w:after="0" w:line="276" w:lineRule="auto"/>
        <w:ind w:left="0" w:right="0" w:firstLine="0"/>
        <w:rPr>
          <w:rFonts w:ascii="ITC Avant Garde" w:hAnsi="ITC Avant Garde"/>
          <w:i/>
          <w:lang w:val="es-ES"/>
        </w:rPr>
      </w:pPr>
      <w:r w:rsidRPr="00A77155">
        <w:rPr>
          <w:rFonts w:ascii="ITC Avant Garde" w:hAnsi="ITC Avant Garde"/>
          <w:i/>
          <w:lang w:val="es-ES"/>
        </w:rPr>
        <w:t>Radios de celda</w:t>
      </w:r>
    </w:p>
    <w:p w14:paraId="07CF2CFF" w14:textId="0E66D5EC" w:rsidR="00A77155" w:rsidRDefault="00A77155" w:rsidP="0080349A">
      <w:pPr>
        <w:spacing w:after="0" w:line="276" w:lineRule="auto"/>
        <w:ind w:left="0" w:right="0" w:firstLine="0"/>
        <w:rPr>
          <w:rFonts w:ascii="ITC Avant Garde" w:hAnsi="ITC Avant Garde"/>
          <w:i/>
          <w:lang w:val="es-ES"/>
        </w:rPr>
      </w:pPr>
    </w:p>
    <w:p w14:paraId="1A296B78" w14:textId="5BFA5566" w:rsidR="00A77155" w:rsidRPr="00A77155" w:rsidRDefault="00A77155" w:rsidP="0080349A">
      <w:pPr>
        <w:spacing w:after="0" w:line="276" w:lineRule="auto"/>
        <w:ind w:left="0" w:right="0" w:firstLine="0"/>
        <w:rPr>
          <w:rFonts w:ascii="ITC Avant Garde" w:hAnsi="ITC Avant Garde"/>
          <w:lang w:val="es-ES"/>
        </w:rPr>
      </w:pPr>
      <w:r w:rsidRPr="00A77155">
        <w:rPr>
          <w:rFonts w:ascii="ITC Avant Garde" w:hAnsi="ITC Avant Garde"/>
          <w:lang w:val="es-ES"/>
        </w:rPr>
        <w:t>AT&amp;T</w:t>
      </w:r>
    </w:p>
    <w:p w14:paraId="7939DD1C" w14:textId="77777777" w:rsidR="00A77155" w:rsidRPr="00A77155" w:rsidRDefault="00A77155" w:rsidP="0080349A">
      <w:pPr>
        <w:spacing w:after="0" w:line="276" w:lineRule="auto"/>
        <w:ind w:left="0" w:right="0" w:firstLine="0"/>
        <w:rPr>
          <w:rFonts w:ascii="ITC Avant Garde" w:hAnsi="ITC Avant Garde"/>
          <w:i/>
          <w:lang w:val="es-ES"/>
        </w:rPr>
      </w:pPr>
    </w:p>
    <w:p w14:paraId="35374DF4" w14:textId="7818631B" w:rsidR="00541685" w:rsidRDefault="00A77155" w:rsidP="0080349A">
      <w:pPr>
        <w:spacing w:after="0" w:line="276" w:lineRule="auto"/>
        <w:ind w:left="0" w:right="0" w:firstLine="0"/>
        <w:rPr>
          <w:rFonts w:ascii="ITC Avant Garde" w:hAnsi="ITC Avant Garde"/>
          <w:lang w:val="es-ES"/>
        </w:rPr>
      </w:pPr>
      <w:r>
        <w:rPr>
          <w:rFonts w:ascii="ITC Avant Garde" w:hAnsi="ITC Avant Garde"/>
          <w:lang w:val="es-ES"/>
        </w:rPr>
        <w:t>AT&amp;T</w:t>
      </w:r>
      <w:r w:rsidR="00541685" w:rsidRPr="00541685">
        <w:rPr>
          <w:rFonts w:ascii="ITC Avant Garde" w:hAnsi="ITC Avant Garde"/>
          <w:lang w:val="es-ES"/>
        </w:rPr>
        <w:t xml:space="preserve"> señala que</w:t>
      </w:r>
      <w:r>
        <w:rPr>
          <w:rFonts w:ascii="ITC Avant Garde" w:hAnsi="ITC Avant Garde"/>
          <w:lang w:val="es-ES"/>
        </w:rPr>
        <w:t>,</w:t>
      </w:r>
      <w:r w:rsidR="00541685" w:rsidRPr="00541685">
        <w:rPr>
          <w:rFonts w:ascii="ITC Avant Garde" w:hAnsi="ITC Avant Garde"/>
          <w:lang w:val="es-ES"/>
        </w:rPr>
        <w:t xml:space="preserve"> en el modelo sometido a consulta, el radio de celda asumido para la banda de 2.5GHz es menor que el asumido para la banda de 3.5GHz. Según el </w:t>
      </w:r>
      <w:r w:rsidR="00A94546">
        <w:rPr>
          <w:rFonts w:ascii="ITC Avant Garde" w:hAnsi="ITC Avant Garde"/>
          <w:lang w:val="es-ES"/>
        </w:rPr>
        <w:t>concesionario</w:t>
      </w:r>
      <w:r w:rsidR="00541685" w:rsidRPr="00541685">
        <w:rPr>
          <w:rFonts w:ascii="ITC Avant Garde" w:hAnsi="ITC Avant Garde"/>
          <w:lang w:val="es-ES"/>
        </w:rPr>
        <w:t>, esto contradice lo reflejado en la documentación del modelo, donde se afirma que el radio de cobertura para la banda de 3.5GHz debería ser menor que el de la banda de 2.5GHz.</w:t>
      </w:r>
    </w:p>
    <w:p w14:paraId="5A9EF885" w14:textId="15A6302A" w:rsidR="007C441B" w:rsidRDefault="007C441B" w:rsidP="0080349A">
      <w:pPr>
        <w:spacing w:after="0" w:line="276" w:lineRule="auto"/>
        <w:ind w:left="0" w:right="0" w:firstLine="0"/>
        <w:rPr>
          <w:rFonts w:ascii="ITC Avant Garde" w:hAnsi="ITC Avant Garde"/>
          <w:lang w:val="es-ES"/>
        </w:rPr>
      </w:pPr>
    </w:p>
    <w:p w14:paraId="239281B1" w14:textId="79764EB6" w:rsidR="007C441B" w:rsidRDefault="007C441B" w:rsidP="0080349A">
      <w:pPr>
        <w:spacing w:after="0" w:line="276" w:lineRule="auto"/>
        <w:ind w:left="0" w:right="0" w:firstLine="0"/>
        <w:rPr>
          <w:rFonts w:ascii="ITC Avant Garde" w:hAnsi="ITC Avant Garde"/>
          <w:lang w:val="es-ES"/>
        </w:rPr>
      </w:pPr>
      <w:r w:rsidRPr="58E23F00">
        <w:rPr>
          <w:rFonts w:ascii="ITC Avant Garde" w:hAnsi="ITC Avant Garde"/>
          <w:lang w:val="es-ES"/>
        </w:rPr>
        <w:lastRenderedPageBreak/>
        <w:t xml:space="preserve">Consideraciones del </w:t>
      </w:r>
      <w:r w:rsidR="647786AF" w:rsidRPr="58E23F00">
        <w:rPr>
          <w:rFonts w:ascii="ITC Avant Garde" w:hAnsi="ITC Avant Garde"/>
          <w:lang w:val="es-ES"/>
        </w:rPr>
        <w:t>Instituto</w:t>
      </w:r>
    </w:p>
    <w:p w14:paraId="61A51868" w14:textId="77777777" w:rsidR="007C441B" w:rsidRPr="00541685" w:rsidRDefault="007C441B" w:rsidP="0080349A">
      <w:pPr>
        <w:spacing w:after="0" w:line="276" w:lineRule="auto"/>
        <w:ind w:left="0" w:right="0" w:firstLine="0"/>
        <w:rPr>
          <w:rFonts w:ascii="ITC Avant Garde" w:hAnsi="ITC Avant Garde"/>
          <w:lang w:val="es-ES"/>
        </w:rPr>
      </w:pPr>
    </w:p>
    <w:p w14:paraId="25B650AD" w14:textId="5A566BA9" w:rsidR="00541685" w:rsidRP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El radio de celda incluido para la banda de 3500 MHz ha sido calibrado para asegurar consistencia entre el número de emplazamientos 5G desplegados por el </w:t>
      </w:r>
      <w:r w:rsidR="00A94546">
        <w:rPr>
          <w:rFonts w:ascii="ITC Avant Garde" w:hAnsi="ITC Avant Garde"/>
          <w:lang w:val="es-ES"/>
        </w:rPr>
        <w:t>concesionario</w:t>
      </w:r>
      <w:r w:rsidRPr="00541685">
        <w:rPr>
          <w:rFonts w:ascii="ITC Avant Garde" w:hAnsi="ITC Avant Garde"/>
          <w:lang w:val="es-ES"/>
        </w:rPr>
        <w:t xml:space="preserve"> y los niveles de cobertura propuestos por el mismo en el corto, medio y largo plazo. </w:t>
      </w:r>
      <w:r w:rsidR="007C441B">
        <w:rPr>
          <w:rFonts w:ascii="ITC Avant Garde" w:hAnsi="ITC Avant Garde"/>
          <w:lang w:val="es-ES"/>
        </w:rPr>
        <w:t>Se entiende</w:t>
      </w:r>
      <w:r w:rsidRPr="00541685">
        <w:rPr>
          <w:rFonts w:ascii="ITC Avant Garde" w:hAnsi="ITC Avant Garde"/>
          <w:lang w:val="es-ES"/>
        </w:rPr>
        <w:t xml:space="preserve"> que el despliegue de la red de cobertura para la tecnología 5G podría ser ligeramente diferente al seguido en otras tecnologías de acceso y </w:t>
      </w:r>
      <w:r w:rsidR="007C441B" w:rsidRPr="00541685">
        <w:rPr>
          <w:rFonts w:ascii="ITC Avant Garde" w:hAnsi="ITC Avant Garde"/>
          <w:lang w:val="es-ES"/>
        </w:rPr>
        <w:t>a</w:t>
      </w:r>
      <w:r w:rsidR="007C441B">
        <w:rPr>
          <w:rFonts w:ascii="ITC Avant Garde" w:hAnsi="ITC Avant Garde"/>
          <w:lang w:val="es-ES"/>
        </w:rPr>
        <w:t>sí</w:t>
      </w:r>
      <w:r w:rsidRPr="00541685">
        <w:rPr>
          <w:rFonts w:ascii="ITC Avant Garde" w:hAnsi="ITC Avant Garde"/>
          <w:lang w:val="es-ES"/>
        </w:rPr>
        <w:t xml:space="preserve"> permitir hacer un uso más eficiente del espectro, extendiendo de manera efectiva el radio de celda. Reducir el radio de celda de la banda de 3</w:t>
      </w:r>
      <w:r w:rsidR="007C441B">
        <w:rPr>
          <w:rFonts w:ascii="ITC Avant Garde" w:hAnsi="ITC Avant Garde"/>
          <w:lang w:val="es-ES"/>
        </w:rPr>
        <w:t>,</w:t>
      </w:r>
      <w:r w:rsidRPr="00541685">
        <w:rPr>
          <w:rFonts w:ascii="ITC Avant Garde" w:hAnsi="ITC Avant Garde"/>
          <w:lang w:val="es-ES"/>
        </w:rPr>
        <w:t xml:space="preserve">500 MHz tal y como propone el </w:t>
      </w:r>
      <w:r w:rsidR="00A94546">
        <w:rPr>
          <w:rFonts w:ascii="ITC Avant Garde" w:hAnsi="ITC Avant Garde"/>
          <w:lang w:val="es-ES"/>
        </w:rPr>
        <w:t>concesionario</w:t>
      </w:r>
      <w:r w:rsidRPr="00541685">
        <w:rPr>
          <w:rFonts w:ascii="ITC Avant Garde" w:hAnsi="ITC Avant Garde"/>
          <w:lang w:val="es-ES"/>
        </w:rPr>
        <w:t xml:space="preserve"> implicaría sobrestimar el número de emplazamientos 5G desplegados en México por el </w:t>
      </w:r>
      <w:r w:rsidR="00A94546">
        <w:rPr>
          <w:rFonts w:ascii="ITC Avant Garde" w:hAnsi="ITC Avant Garde"/>
          <w:lang w:val="es-ES"/>
        </w:rPr>
        <w:t>concesionario</w:t>
      </w:r>
      <w:r w:rsidRPr="00541685">
        <w:rPr>
          <w:rFonts w:ascii="ITC Avant Garde" w:hAnsi="ITC Avant Garde"/>
          <w:lang w:val="es-ES"/>
        </w:rPr>
        <w:t xml:space="preserve"> modelado, y por lo tanto generar costos adicionales que no serían representativos de la realidad del mercado.</w:t>
      </w:r>
    </w:p>
    <w:p w14:paraId="34D11092" w14:textId="77777777" w:rsidR="007C441B" w:rsidRDefault="007C441B" w:rsidP="0080349A">
      <w:pPr>
        <w:spacing w:after="0" w:line="276" w:lineRule="auto"/>
        <w:ind w:left="0" w:right="0" w:firstLine="0"/>
        <w:rPr>
          <w:rFonts w:ascii="ITC Avant Garde" w:hAnsi="ITC Avant Garde"/>
          <w:lang w:val="es-ES"/>
        </w:rPr>
      </w:pPr>
    </w:p>
    <w:p w14:paraId="5E41B7D1" w14:textId="406D1BD2" w:rsidR="00541685" w:rsidRPr="007C441B" w:rsidRDefault="00541685" w:rsidP="0080349A">
      <w:pPr>
        <w:spacing w:after="0" w:line="276" w:lineRule="auto"/>
        <w:ind w:left="0" w:right="0" w:firstLine="0"/>
        <w:rPr>
          <w:rFonts w:ascii="ITC Avant Garde" w:hAnsi="ITC Avant Garde"/>
          <w:i/>
          <w:lang w:val="es-ES"/>
        </w:rPr>
      </w:pPr>
      <w:r w:rsidRPr="007C441B">
        <w:rPr>
          <w:rFonts w:ascii="ITC Avant Garde" w:hAnsi="ITC Avant Garde"/>
          <w:i/>
          <w:lang w:val="es-ES"/>
        </w:rPr>
        <w:t>Demanda de OMV</w:t>
      </w:r>
    </w:p>
    <w:p w14:paraId="1340B9BE" w14:textId="77777777" w:rsidR="00962C37" w:rsidRDefault="00962C37" w:rsidP="0080349A">
      <w:pPr>
        <w:spacing w:after="0" w:line="276" w:lineRule="auto"/>
        <w:ind w:left="0" w:right="0" w:firstLine="0"/>
        <w:rPr>
          <w:rFonts w:ascii="ITC Avant Garde" w:hAnsi="ITC Avant Garde"/>
          <w:lang w:val="es-ES"/>
        </w:rPr>
      </w:pPr>
    </w:p>
    <w:p w14:paraId="29891CCA" w14:textId="2437FF0F" w:rsidR="007C441B" w:rsidRDefault="007C441B" w:rsidP="0080349A">
      <w:pPr>
        <w:spacing w:after="0" w:line="276" w:lineRule="auto"/>
        <w:ind w:left="0" w:right="0" w:firstLine="0"/>
        <w:rPr>
          <w:rFonts w:ascii="ITC Avant Garde" w:hAnsi="ITC Avant Garde"/>
          <w:lang w:val="es-ES"/>
        </w:rPr>
      </w:pPr>
      <w:r>
        <w:rPr>
          <w:rFonts w:ascii="ITC Avant Garde" w:hAnsi="ITC Avant Garde"/>
          <w:lang w:val="es-ES"/>
        </w:rPr>
        <w:t>Telefónica y GTV</w:t>
      </w:r>
    </w:p>
    <w:p w14:paraId="15B334AC" w14:textId="77777777" w:rsidR="007C441B" w:rsidRDefault="007C441B" w:rsidP="0080349A">
      <w:pPr>
        <w:spacing w:after="0" w:line="276" w:lineRule="auto"/>
        <w:ind w:left="0" w:right="0" w:firstLine="0"/>
        <w:rPr>
          <w:rFonts w:ascii="ITC Avant Garde" w:hAnsi="ITC Avant Garde"/>
          <w:lang w:val="es-ES"/>
        </w:rPr>
      </w:pPr>
    </w:p>
    <w:p w14:paraId="1A35A4E5" w14:textId="3BFF2C63" w:rsidR="00541685" w:rsidRPr="00541685" w:rsidRDefault="007C441B" w:rsidP="0080349A">
      <w:pPr>
        <w:spacing w:after="0" w:line="276" w:lineRule="auto"/>
        <w:ind w:left="0" w:right="0" w:firstLine="0"/>
        <w:rPr>
          <w:rFonts w:ascii="ITC Avant Garde" w:hAnsi="ITC Avant Garde"/>
          <w:lang w:val="es-ES"/>
        </w:rPr>
      </w:pPr>
      <w:r>
        <w:rPr>
          <w:rFonts w:ascii="ITC Avant Garde" w:hAnsi="ITC Avant Garde"/>
          <w:lang w:val="es-ES"/>
        </w:rPr>
        <w:t>S</w:t>
      </w:r>
      <w:r w:rsidR="00541685" w:rsidRPr="00541685">
        <w:rPr>
          <w:rFonts w:ascii="ITC Avant Garde" w:hAnsi="ITC Avant Garde"/>
          <w:lang w:val="es-ES"/>
        </w:rPr>
        <w:t xml:space="preserve">eñala que actualmente el modelo sustrae la cuota de mercado de los OMV únicamente de la cuota del </w:t>
      </w:r>
      <w:r w:rsidR="00A94546">
        <w:rPr>
          <w:rFonts w:ascii="ITC Avant Garde" w:hAnsi="ITC Avant Garde"/>
          <w:lang w:val="es-ES"/>
        </w:rPr>
        <w:t>concesionario</w:t>
      </w:r>
      <w:r w:rsidR="00541685" w:rsidRPr="00541685">
        <w:rPr>
          <w:rFonts w:ascii="ITC Avant Garde" w:hAnsi="ITC Avant Garde"/>
          <w:lang w:val="es-ES"/>
        </w:rPr>
        <w:t xml:space="preserve"> no preponderante. Asimismo, </w:t>
      </w:r>
      <w:r>
        <w:rPr>
          <w:rFonts w:ascii="ITC Avant Garde" w:hAnsi="ITC Avant Garde"/>
          <w:lang w:val="es-ES"/>
        </w:rPr>
        <w:t>Telefónica</w:t>
      </w:r>
      <w:r w:rsidR="00541685" w:rsidRPr="00541685">
        <w:rPr>
          <w:rFonts w:ascii="ITC Avant Garde" w:hAnsi="ITC Avant Garde"/>
          <w:lang w:val="es-ES"/>
        </w:rPr>
        <w:t xml:space="preserve"> señala que el modelo excluye todo el tráfico OMV de los </w:t>
      </w:r>
      <w:r w:rsidR="00A94546">
        <w:rPr>
          <w:rFonts w:ascii="ITC Avant Garde" w:hAnsi="ITC Avant Garde"/>
          <w:lang w:val="es-ES"/>
        </w:rPr>
        <w:t>concesionarios</w:t>
      </w:r>
      <w:r w:rsidR="00541685" w:rsidRPr="00541685">
        <w:rPr>
          <w:rFonts w:ascii="ITC Avant Garde" w:hAnsi="ITC Avant Garde"/>
          <w:lang w:val="es-ES"/>
        </w:rPr>
        <w:t xml:space="preserve"> de red modelados. El </w:t>
      </w:r>
      <w:r w:rsidR="00A94546">
        <w:rPr>
          <w:rFonts w:ascii="ITC Avant Garde" w:hAnsi="ITC Avant Garde"/>
          <w:lang w:val="es-ES"/>
        </w:rPr>
        <w:t>concesionario</w:t>
      </w:r>
      <w:r w:rsidR="00541685" w:rsidRPr="00541685">
        <w:rPr>
          <w:rFonts w:ascii="ITC Avant Garde" w:hAnsi="ITC Avant Garde"/>
          <w:lang w:val="es-ES"/>
        </w:rPr>
        <w:t xml:space="preserve"> solicita que solamente se considere como mercado OMV el cursado por fuera de los </w:t>
      </w:r>
      <w:r w:rsidR="00A94546">
        <w:rPr>
          <w:rFonts w:ascii="ITC Avant Garde" w:hAnsi="ITC Avant Garde"/>
          <w:lang w:val="es-ES"/>
        </w:rPr>
        <w:t>concesionarios</w:t>
      </w:r>
      <w:r w:rsidR="00541685" w:rsidRPr="00541685">
        <w:rPr>
          <w:rFonts w:ascii="ITC Avant Garde" w:hAnsi="ITC Avant Garde"/>
          <w:lang w:val="es-ES"/>
        </w:rPr>
        <w:t xml:space="preserve"> de red minoristas, es decir, a través de la Red Compartida, ya que tanto el AEP como los </w:t>
      </w:r>
      <w:r w:rsidR="00A94546">
        <w:rPr>
          <w:rFonts w:ascii="ITC Avant Garde" w:hAnsi="ITC Avant Garde"/>
          <w:lang w:val="es-ES"/>
        </w:rPr>
        <w:t>concesionarios</w:t>
      </w:r>
      <w:r w:rsidR="00541685" w:rsidRPr="00541685">
        <w:rPr>
          <w:rFonts w:ascii="ITC Avant Garde" w:hAnsi="ITC Avant Garde"/>
          <w:lang w:val="es-ES"/>
        </w:rPr>
        <w:t xml:space="preserve"> no preponderantes de red móvil cursan una parte importante del tráfico de OMV.</w:t>
      </w:r>
    </w:p>
    <w:p w14:paraId="3FA9DC2C" w14:textId="77777777" w:rsidR="007C441B" w:rsidRDefault="007C441B" w:rsidP="0080349A">
      <w:pPr>
        <w:spacing w:after="0" w:line="276" w:lineRule="auto"/>
        <w:ind w:left="0" w:right="0" w:firstLine="0"/>
        <w:rPr>
          <w:rFonts w:ascii="ITC Avant Garde" w:hAnsi="ITC Avant Garde"/>
          <w:lang w:val="es-ES"/>
        </w:rPr>
      </w:pPr>
    </w:p>
    <w:p w14:paraId="1703A21C" w14:textId="4351838B" w:rsidR="00541685" w:rsidRDefault="007C441B" w:rsidP="7742B270">
      <w:pPr>
        <w:spacing w:after="0" w:line="276" w:lineRule="auto"/>
        <w:ind w:left="0" w:right="0" w:firstLine="0"/>
        <w:rPr>
          <w:rFonts w:ascii="ITC Avant Garde" w:hAnsi="ITC Avant Garde"/>
          <w:lang w:val="es-ES"/>
        </w:rPr>
      </w:pPr>
      <w:r w:rsidRPr="58E23F00">
        <w:rPr>
          <w:rFonts w:ascii="ITC Avant Garde" w:hAnsi="ITC Avant Garde"/>
          <w:lang w:val="es-ES"/>
        </w:rPr>
        <w:t>GTV</w:t>
      </w:r>
      <w:r w:rsidR="00541685" w:rsidRPr="58E23F00">
        <w:rPr>
          <w:rFonts w:ascii="ITC Avant Garde" w:hAnsi="ITC Avant Garde"/>
          <w:lang w:val="es-ES"/>
        </w:rPr>
        <w:t xml:space="preserve"> solicita al </w:t>
      </w:r>
      <w:r w:rsidR="647786AF" w:rsidRPr="58E23F00">
        <w:rPr>
          <w:rFonts w:ascii="ITC Avant Garde" w:hAnsi="ITC Avant Garde"/>
          <w:lang w:val="es-ES"/>
        </w:rPr>
        <w:t>I</w:t>
      </w:r>
      <w:r w:rsidR="6A205BAA"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reconocer a los OMV como agentes relevantes con respecto al ejercicio de determinación de las tarifas reguladas y pide que se lleve a cabo un análisis de los costos operativos de los mismos.</w:t>
      </w:r>
    </w:p>
    <w:p w14:paraId="6A31E24E" w14:textId="38AAC0E5" w:rsidR="00376355" w:rsidRDefault="00376355" w:rsidP="0080349A">
      <w:pPr>
        <w:spacing w:after="0" w:line="276" w:lineRule="auto"/>
        <w:ind w:left="0" w:right="0" w:firstLine="0"/>
        <w:rPr>
          <w:rFonts w:ascii="ITC Avant Garde" w:hAnsi="ITC Avant Garde"/>
          <w:lang w:val="es-ES"/>
        </w:rPr>
      </w:pPr>
    </w:p>
    <w:p w14:paraId="12121C6B" w14:textId="544762DE" w:rsidR="00376355" w:rsidRDefault="00376355" w:rsidP="00376355">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13392376" w14:textId="77777777" w:rsidR="00376355" w:rsidRPr="00541685" w:rsidRDefault="00376355" w:rsidP="0080349A">
      <w:pPr>
        <w:spacing w:after="0" w:line="276" w:lineRule="auto"/>
        <w:ind w:left="0" w:right="0" w:firstLine="0"/>
        <w:rPr>
          <w:rFonts w:ascii="ITC Avant Garde" w:hAnsi="ITC Avant Garde"/>
          <w:lang w:val="es-ES"/>
        </w:rPr>
      </w:pPr>
    </w:p>
    <w:p w14:paraId="016ED981" w14:textId="32FE8C2C"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De acuerdo con los comentarios aportados por los dos </w:t>
      </w:r>
      <w:r w:rsidR="00A94546">
        <w:rPr>
          <w:rFonts w:ascii="ITC Avant Garde" w:hAnsi="ITC Avant Garde"/>
          <w:lang w:val="es-ES"/>
        </w:rPr>
        <w:t>concesionarios</w:t>
      </w:r>
      <w:r w:rsidRPr="00541685">
        <w:rPr>
          <w:rFonts w:ascii="ITC Avant Garde" w:hAnsi="ITC Avant Garde"/>
          <w:lang w:val="es-ES"/>
        </w:rPr>
        <w:t xml:space="preserve">, </w:t>
      </w:r>
      <w:r w:rsidR="00376355">
        <w:rPr>
          <w:rFonts w:ascii="ITC Avant Garde" w:hAnsi="ITC Avant Garde"/>
          <w:lang w:val="es-ES"/>
        </w:rPr>
        <w:t>se ajustó</w:t>
      </w:r>
      <w:r w:rsidRPr="00541685">
        <w:rPr>
          <w:rFonts w:ascii="ITC Avant Garde" w:hAnsi="ITC Avant Garde"/>
          <w:lang w:val="es-ES"/>
        </w:rPr>
        <w:t xml:space="preserve"> la cuota del AEP modelado, de tal manera que incorpore la demanda de los OMV que operan sobre su red. Esta modificación aumenta la cuota de mercado del AEP de 62.6% a 63.5% en el año 2022.</w:t>
      </w:r>
    </w:p>
    <w:p w14:paraId="6A5431B9" w14:textId="77777777" w:rsidR="00376355" w:rsidRPr="00541685" w:rsidRDefault="00376355" w:rsidP="0080349A">
      <w:pPr>
        <w:spacing w:after="0" w:line="276" w:lineRule="auto"/>
        <w:ind w:left="0" w:right="0" w:firstLine="0"/>
        <w:rPr>
          <w:rFonts w:ascii="ITC Avant Garde" w:hAnsi="ITC Avant Garde"/>
          <w:lang w:val="es-ES"/>
        </w:rPr>
      </w:pPr>
    </w:p>
    <w:p w14:paraId="1105487E" w14:textId="77777777" w:rsidR="00541685" w:rsidRPr="00376355" w:rsidRDefault="00541685" w:rsidP="0080349A">
      <w:pPr>
        <w:spacing w:after="0" w:line="276" w:lineRule="auto"/>
        <w:ind w:left="0" w:right="0" w:firstLine="0"/>
        <w:rPr>
          <w:rFonts w:ascii="ITC Avant Garde" w:hAnsi="ITC Avant Garde"/>
          <w:i/>
          <w:lang w:val="es-ES"/>
        </w:rPr>
      </w:pPr>
      <w:r w:rsidRPr="00376355">
        <w:rPr>
          <w:rFonts w:ascii="ITC Avant Garde" w:hAnsi="ITC Avant Garde"/>
          <w:i/>
          <w:lang w:val="es-ES"/>
        </w:rPr>
        <w:t>Evolución del tráfico 4G</w:t>
      </w:r>
    </w:p>
    <w:p w14:paraId="00B9ADE0" w14:textId="77777777" w:rsidR="00376355" w:rsidRDefault="00376355" w:rsidP="0080349A">
      <w:pPr>
        <w:spacing w:after="0" w:line="276" w:lineRule="auto"/>
        <w:ind w:left="0" w:right="0" w:firstLine="0"/>
        <w:rPr>
          <w:rFonts w:ascii="ITC Avant Garde" w:hAnsi="ITC Avant Garde"/>
          <w:lang w:val="es-ES"/>
        </w:rPr>
      </w:pPr>
    </w:p>
    <w:p w14:paraId="12A4653A" w14:textId="69C5B592" w:rsidR="00376355" w:rsidRDefault="00376355" w:rsidP="0080349A">
      <w:pPr>
        <w:spacing w:after="0" w:line="276" w:lineRule="auto"/>
        <w:ind w:left="0" w:right="0" w:firstLine="0"/>
        <w:rPr>
          <w:rFonts w:ascii="ITC Avant Garde" w:hAnsi="ITC Avant Garde"/>
          <w:lang w:val="es-ES"/>
        </w:rPr>
      </w:pPr>
      <w:r>
        <w:rPr>
          <w:rFonts w:ascii="ITC Avant Garde" w:hAnsi="ITC Avant Garde"/>
          <w:lang w:val="es-ES"/>
        </w:rPr>
        <w:t>GTV</w:t>
      </w:r>
    </w:p>
    <w:p w14:paraId="12BACB4D" w14:textId="09484444" w:rsidR="00541685" w:rsidRDefault="00376355" w:rsidP="0080349A">
      <w:pPr>
        <w:spacing w:after="0" w:line="276" w:lineRule="auto"/>
        <w:ind w:left="0" w:right="0" w:firstLine="0"/>
        <w:rPr>
          <w:rFonts w:ascii="ITC Avant Garde" w:hAnsi="ITC Avant Garde"/>
          <w:lang w:val="es-ES"/>
        </w:rPr>
      </w:pPr>
      <w:r>
        <w:rPr>
          <w:rFonts w:ascii="ITC Avant Garde" w:hAnsi="ITC Avant Garde"/>
          <w:lang w:val="es-ES"/>
        </w:rPr>
        <w:lastRenderedPageBreak/>
        <w:br/>
      </w:r>
      <w:r w:rsidR="007C441B">
        <w:rPr>
          <w:rFonts w:ascii="ITC Avant Garde" w:hAnsi="ITC Avant Garde"/>
          <w:lang w:val="es-ES"/>
        </w:rPr>
        <w:t>GTV</w:t>
      </w:r>
      <w:r w:rsidR="00541685" w:rsidRPr="00541685">
        <w:rPr>
          <w:rFonts w:ascii="ITC Avant Garde" w:hAnsi="ITC Avant Garde"/>
          <w:lang w:val="es-ES"/>
        </w:rPr>
        <w:t xml:space="preserve"> señala que la proporción de tráfico de 4G en el periodo modelado (2024–26) es conservadora, y considera que la documentación sometida a consulta no aporta una justificación al respecto. Asimismo, </w:t>
      </w:r>
      <w:r w:rsidR="007C441B">
        <w:rPr>
          <w:rFonts w:ascii="ITC Avant Garde" w:hAnsi="ITC Avant Garde"/>
          <w:lang w:val="es-ES"/>
        </w:rPr>
        <w:t>GTV</w:t>
      </w:r>
      <w:r w:rsidR="00541685" w:rsidRPr="00541685">
        <w:rPr>
          <w:rFonts w:ascii="ITC Avant Garde" w:hAnsi="ITC Avant Garde"/>
          <w:lang w:val="es-ES"/>
        </w:rPr>
        <w:t xml:space="preserve"> considera que hay falta de claridad respecto al cálculo del tráfico de voz y datos por tecnología. El </w:t>
      </w:r>
      <w:r w:rsidR="00A94546">
        <w:rPr>
          <w:rFonts w:ascii="ITC Avant Garde" w:hAnsi="ITC Avant Garde"/>
          <w:lang w:val="es-ES"/>
        </w:rPr>
        <w:t>concesionario</w:t>
      </w:r>
      <w:r w:rsidR="00541685" w:rsidRPr="00541685">
        <w:rPr>
          <w:rFonts w:ascii="ITC Avant Garde" w:hAnsi="ITC Avant Garde"/>
          <w:lang w:val="es-ES"/>
        </w:rPr>
        <w:t xml:space="preserve"> señala el ejemplo de la proporción de tráfico de datos cursado por tecnología para el C</w:t>
      </w:r>
      <w:r>
        <w:rPr>
          <w:rFonts w:ascii="ITC Avant Garde" w:hAnsi="ITC Avant Garde"/>
          <w:lang w:val="es-ES"/>
        </w:rPr>
        <w:t>S</w:t>
      </w:r>
      <w:r w:rsidR="00541685" w:rsidRPr="00541685">
        <w:rPr>
          <w:rFonts w:ascii="ITC Avant Garde" w:hAnsi="ITC Avant Garde"/>
          <w:lang w:val="es-ES"/>
        </w:rPr>
        <w:t xml:space="preserve">, y sostiene que el </w:t>
      </w:r>
      <w:r w:rsidR="008A4535">
        <w:rPr>
          <w:rFonts w:ascii="ITC Avant Garde" w:hAnsi="ITC Avant Garde"/>
          <w:lang w:val="es-ES"/>
        </w:rPr>
        <w:t xml:space="preserve">CS </w:t>
      </w:r>
      <w:r w:rsidR="00541685" w:rsidRPr="00541685">
        <w:rPr>
          <w:rFonts w:ascii="ITC Avant Garde" w:hAnsi="ITC Avant Garde"/>
          <w:lang w:val="es-ES"/>
        </w:rPr>
        <w:t>cursó una mayor proporción de su tráfico (96%) a través de redes 4G en 2022</w:t>
      </w:r>
      <w:r>
        <w:rPr>
          <w:rFonts w:ascii="ITC Avant Garde" w:hAnsi="ITC Avant Garde"/>
          <w:lang w:val="es-ES"/>
        </w:rPr>
        <w:t xml:space="preserve"> </w:t>
      </w:r>
      <w:r w:rsidR="00541685" w:rsidRPr="00541685">
        <w:rPr>
          <w:rFonts w:ascii="ITC Avant Garde" w:hAnsi="ITC Avant Garde"/>
          <w:lang w:val="es-ES"/>
        </w:rPr>
        <w:t>que la estimada en el modelo (88%).</w:t>
      </w:r>
    </w:p>
    <w:p w14:paraId="346F9FF9" w14:textId="3958E0EF" w:rsidR="00376355" w:rsidRDefault="00376355" w:rsidP="0080349A">
      <w:pPr>
        <w:spacing w:after="0" w:line="276" w:lineRule="auto"/>
        <w:ind w:left="0" w:right="0" w:firstLine="0"/>
        <w:rPr>
          <w:rFonts w:ascii="ITC Avant Garde" w:hAnsi="ITC Avant Garde"/>
          <w:lang w:val="es-ES"/>
        </w:rPr>
      </w:pPr>
    </w:p>
    <w:p w14:paraId="21BA039F" w14:textId="289AF5F5" w:rsidR="00376355" w:rsidRDefault="00376355"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73C18CA0" w14:textId="77777777" w:rsidR="00376355" w:rsidRPr="00541685" w:rsidRDefault="00376355" w:rsidP="0080349A">
      <w:pPr>
        <w:spacing w:after="0" w:line="276" w:lineRule="auto"/>
        <w:ind w:left="0" w:right="0" w:firstLine="0"/>
        <w:rPr>
          <w:rFonts w:ascii="ITC Avant Garde" w:hAnsi="ITC Avant Garde"/>
          <w:lang w:val="es-ES"/>
        </w:rPr>
      </w:pPr>
    </w:p>
    <w:p w14:paraId="231609AD" w14:textId="59CE3DC5"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En cada revisión de los modelos de costos se evalúan las tendencias de tráfico de datos móviles aplicadas en modelos anteriores y se implementan cambios en los modelos con base en los nuevos datos proporcionados por los </w:t>
      </w:r>
      <w:r w:rsidR="00A94546">
        <w:rPr>
          <w:rFonts w:ascii="ITC Avant Garde" w:hAnsi="ITC Avant Garde"/>
          <w:lang w:val="es-ES"/>
        </w:rPr>
        <w:t>concesionarios</w:t>
      </w:r>
      <w:r w:rsidRPr="00541685">
        <w:rPr>
          <w:rFonts w:ascii="ITC Avant Garde" w:hAnsi="ITC Avant Garde"/>
          <w:lang w:val="es-ES"/>
        </w:rPr>
        <w:t xml:space="preserve">. En el caso de los modelos sometidos a consulta, la proporción de tráfico histórico de voz ha sido proyectada acorde con las indicaciones provistas por los </w:t>
      </w:r>
      <w:r w:rsidR="00A94546">
        <w:rPr>
          <w:rFonts w:ascii="ITC Avant Garde" w:hAnsi="ITC Avant Garde"/>
          <w:lang w:val="es-ES"/>
        </w:rPr>
        <w:t>concesionarios</w:t>
      </w:r>
      <w:r w:rsidRPr="00541685">
        <w:rPr>
          <w:rFonts w:ascii="ITC Avant Garde" w:hAnsi="ITC Avant Garde"/>
          <w:lang w:val="es-ES"/>
        </w:rPr>
        <w:t xml:space="preserve"> en el requerimiento de datos, siempre asegurando que mantuviera coherencia con la tendencia del mercado.</w:t>
      </w:r>
    </w:p>
    <w:p w14:paraId="58249212" w14:textId="77777777" w:rsidR="00376355" w:rsidRPr="00541685" w:rsidRDefault="00376355" w:rsidP="0080349A">
      <w:pPr>
        <w:spacing w:after="0" w:line="276" w:lineRule="auto"/>
        <w:ind w:left="0" w:right="0" w:firstLine="0"/>
        <w:rPr>
          <w:rFonts w:ascii="ITC Avant Garde" w:hAnsi="ITC Avant Garde"/>
          <w:lang w:val="es-ES"/>
        </w:rPr>
      </w:pPr>
    </w:p>
    <w:p w14:paraId="1F7DF2A0" w14:textId="0BDA9BCE" w:rsidR="00541685" w:rsidRP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Con respecto a la distribución del tráfico de datos por tecnología, de manera similar a lo sugerido por los </w:t>
      </w:r>
      <w:r w:rsidR="00A94546">
        <w:rPr>
          <w:rFonts w:ascii="ITC Avant Garde" w:hAnsi="ITC Avant Garde"/>
          <w:lang w:val="es-ES"/>
        </w:rPr>
        <w:t>concesionarios</w:t>
      </w:r>
      <w:r w:rsidRPr="00541685">
        <w:rPr>
          <w:rFonts w:ascii="ITC Avant Garde" w:hAnsi="ITC Avant Garde"/>
          <w:lang w:val="es-ES"/>
        </w:rPr>
        <w:t xml:space="preserve">, se ha actualizado la distribución de tráfico aplicada al </w:t>
      </w:r>
      <w:r w:rsidR="008A4535">
        <w:rPr>
          <w:rFonts w:ascii="ITC Avant Garde" w:hAnsi="ITC Avant Garde"/>
          <w:lang w:val="es-ES"/>
        </w:rPr>
        <w:t xml:space="preserve">CS </w:t>
      </w:r>
      <w:r w:rsidRPr="00541685">
        <w:rPr>
          <w:rFonts w:ascii="ITC Avant Garde" w:hAnsi="ITC Avant Garde"/>
          <w:lang w:val="es-ES"/>
        </w:rPr>
        <w:t xml:space="preserve">para que guarde consistencia con la última información disponible del BIT. En concreto, se ha tomado una proporción del tráfico de datos 4G del </w:t>
      </w:r>
      <w:r w:rsidR="008A4535">
        <w:rPr>
          <w:rFonts w:ascii="ITC Avant Garde" w:hAnsi="ITC Avant Garde"/>
          <w:lang w:val="es-ES"/>
        </w:rPr>
        <w:t xml:space="preserve">CS </w:t>
      </w:r>
      <w:r w:rsidRPr="00541685">
        <w:rPr>
          <w:rFonts w:ascii="ITC Avant Garde" w:hAnsi="ITC Avant Garde"/>
          <w:lang w:val="es-ES"/>
        </w:rPr>
        <w:t>equivalente al 95% en 2022 (la cual se ha estimado considerando tanto el tráfico de AT&amp;T como el de Telefónica, según la información del BIT).</w:t>
      </w:r>
    </w:p>
    <w:p w14:paraId="624BCA6D" w14:textId="77777777" w:rsidR="00376355" w:rsidRDefault="00376355" w:rsidP="0080349A">
      <w:pPr>
        <w:spacing w:after="0" w:line="276" w:lineRule="auto"/>
        <w:ind w:left="0" w:right="0" w:firstLine="0"/>
        <w:rPr>
          <w:rFonts w:ascii="ITC Avant Garde" w:hAnsi="ITC Avant Garde"/>
          <w:lang w:val="es-ES"/>
        </w:rPr>
      </w:pPr>
    </w:p>
    <w:p w14:paraId="3DD1ABDF" w14:textId="0E049EC6" w:rsidR="00541685" w:rsidRPr="00376355" w:rsidRDefault="00541685" w:rsidP="0080349A">
      <w:pPr>
        <w:spacing w:after="0" w:line="276" w:lineRule="auto"/>
        <w:ind w:left="0" w:right="0" w:firstLine="0"/>
        <w:rPr>
          <w:rFonts w:ascii="ITC Avant Garde" w:hAnsi="ITC Avant Garde"/>
          <w:i/>
          <w:lang w:val="es-ES"/>
        </w:rPr>
      </w:pPr>
      <w:r w:rsidRPr="00376355">
        <w:rPr>
          <w:rFonts w:ascii="ITC Avant Garde" w:hAnsi="ITC Avant Garde"/>
          <w:i/>
          <w:lang w:val="es-ES"/>
        </w:rPr>
        <w:t>Evolución del tráfico 5G</w:t>
      </w:r>
    </w:p>
    <w:p w14:paraId="21160A35" w14:textId="39B5AE54" w:rsidR="00376355" w:rsidRDefault="00376355" w:rsidP="0080349A">
      <w:pPr>
        <w:spacing w:after="0" w:line="276" w:lineRule="auto"/>
        <w:ind w:left="0" w:right="0" w:firstLine="0"/>
        <w:rPr>
          <w:rFonts w:ascii="ITC Avant Garde" w:hAnsi="ITC Avant Garde"/>
          <w:lang w:val="es-ES"/>
        </w:rPr>
      </w:pPr>
    </w:p>
    <w:p w14:paraId="09ED9905" w14:textId="6164BF89" w:rsidR="00376355" w:rsidRDefault="00376355" w:rsidP="0080349A">
      <w:pPr>
        <w:spacing w:after="0" w:line="276" w:lineRule="auto"/>
        <w:ind w:left="0" w:right="0" w:firstLine="0"/>
        <w:rPr>
          <w:rFonts w:ascii="ITC Avant Garde" w:hAnsi="ITC Avant Garde"/>
          <w:lang w:val="es-ES"/>
        </w:rPr>
      </w:pPr>
      <w:r>
        <w:rPr>
          <w:rFonts w:ascii="ITC Avant Garde" w:hAnsi="ITC Avant Garde"/>
          <w:lang w:val="es-ES"/>
        </w:rPr>
        <w:t>AT&amp;T y Mega Cable</w:t>
      </w:r>
    </w:p>
    <w:p w14:paraId="2FBB4DA3" w14:textId="5B582AA4" w:rsidR="00541685" w:rsidRDefault="00376355" w:rsidP="0080349A">
      <w:pPr>
        <w:spacing w:after="0" w:line="276" w:lineRule="auto"/>
        <w:ind w:left="0" w:right="0" w:firstLine="0"/>
        <w:rPr>
          <w:rFonts w:ascii="ITC Avant Garde" w:hAnsi="ITC Avant Garde"/>
          <w:lang w:val="es-ES"/>
        </w:rPr>
      </w:pPr>
      <w:r>
        <w:rPr>
          <w:rFonts w:ascii="ITC Avant Garde" w:hAnsi="ITC Avant Garde"/>
          <w:lang w:val="es-ES"/>
        </w:rPr>
        <w:br/>
      </w:r>
      <w:r w:rsidR="00A77155">
        <w:rPr>
          <w:rFonts w:ascii="ITC Avant Garde" w:hAnsi="ITC Avant Garde"/>
          <w:lang w:val="es-ES"/>
        </w:rPr>
        <w:t>AT&amp;T</w:t>
      </w:r>
      <w:r w:rsidR="00541685" w:rsidRPr="00541685">
        <w:rPr>
          <w:rFonts w:ascii="ITC Avant Garde" w:hAnsi="ITC Avant Garde"/>
          <w:lang w:val="es-ES"/>
        </w:rPr>
        <w:t xml:space="preserve"> se declara satisfecho con la evolución de las diferentes tecnologías de acceso y clarifi</w:t>
      </w:r>
      <w:r>
        <w:rPr>
          <w:rFonts w:ascii="ITC Avant Garde" w:hAnsi="ITC Avant Garde"/>
          <w:lang w:val="es-ES"/>
        </w:rPr>
        <w:t>ca</w:t>
      </w:r>
      <w:r w:rsidR="008A4535">
        <w:rPr>
          <w:rFonts w:ascii="ITC Avant Garde" w:hAnsi="ITC Avant Garde"/>
          <w:lang w:val="es-ES"/>
        </w:rPr>
        <w:t xml:space="preserve"> </w:t>
      </w:r>
      <w:r w:rsidR="00541685" w:rsidRPr="00541685">
        <w:rPr>
          <w:rFonts w:ascii="ITC Avant Garde" w:hAnsi="ITC Avant Garde"/>
          <w:lang w:val="es-ES"/>
        </w:rPr>
        <w:t>la importancia de enfocar la adopción del servicio de voz en las nuevas tecnologías como un proceso lento.</w:t>
      </w:r>
    </w:p>
    <w:p w14:paraId="6068B0FD" w14:textId="77777777" w:rsidR="00376355" w:rsidRPr="00541685" w:rsidRDefault="00376355" w:rsidP="0080349A">
      <w:pPr>
        <w:spacing w:after="0" w:line="276" w:lineRule="auto"/>
        <w:ind w:left="0" w:right="0" w:firstLine="0"/>
        <w:rPr>
          <w:rFonts w:ascii="ITC Avant Garde" w:hAnsi="ITC Avant Garde"/>
          <w:lang w:val="es-ES"/>
        </w:rPr>
      </w:pPr>
    </w:p>
    <w:p w14:paraId="3F9E2A40" w14:textId="0955F728" w:rsidR="00541685" w:rsidRDefault="00376355" w:rsidP="0080349A">
      <w:pPr>
        <w:spacing w:after="0" w:line="276" w:lineRule="auto"/>
        <w:ind w:left="0" w:right="0" w:firstLine="0"/>
        <w:rPr>
          <w:rFonts w:ascii="ITC Avant Garde" w:hAnsi="ITC Avant Garde"/>
          <w:lang w:val="es-ES"/>
        </w:rPr>
      </w:pPr>
      <w:r>
        <w:rPr>
          <w:rFonts w:ascii="ITC Avant Garde" w:hAnsi="ITC Avant Garde"/>
          <w:lang w:val="es-ES"/>
        </w:rPr>
        <w:t>Mega Cable</w:t>
      </w:r>
      <w:r w:rsidR="00541685" w:rsidRPr="00541685">
        <w:rPr>
          <w:rFonts w:ascii="ITC Avant Garde" w:hAnsi="ITC Avant Garde"/>
          <w:lang w:val="es-ES"/>
        </w:rPr>
        <w:t xml:space="preserve"> </w:t>
      </w:r>
      <w:r>
        <w:rPr>
          <w:rFonts w:ascii="ITC Avant Garde" w:hAnsi="ITC Avant Garde"/>
          <w:lang w:val="es-ES"/>
        </w:rPr>
        <w:t>indica</w:t>
      </w:r>
      <w:r w:rsidR="008A4535">
        <w:rPr>
          <w:rFonts w:ascii="ITC Avant Garde" w:hAnsi="ITC Avant Garde"/>
          <w:lang w:val="es-ES"/>
        </w:rPr>
        <w:t xml:space="preserve"> </w:t>
      </w:r>
      <w:r w:rsidR="00541685" w:rsidRPr="00541685">
        <w:rPr>
          <w:rFonts w:ascii="ITC Avant Garde" w:hAnsi="ITC Avant Garde"/>
          <w:lang w:val="es-ES"/>
        </w:rPr>
        <w:t xml:space="preserve">que la participación de las tecnologías 4G y 5G en el tráfico modelado es demasiado reducida en comparación con la operación real de los concesionarios móviles. En el marco metodológico se considera que el tráfico de 5G representará entre el 1% y el 3% del total del tráfico de voz en el periodo 2024–26, mientras que </w:t>
      </w:r>
      <w:r>
        <w:rPr>
          <w:rFonts w:ascii="ITC Avant Garde" w:hAnsi="ITC Avant Garde"/>
          <w:lang w:val="es-ES"/>
        </w:rPr>
        <w:t>Mega Cable</w:t>
      </w:r>
      <w:r w:rsidR="00541685" w:rsidRPr="00541685">
        <w:rPr>
          <w:rFonts w:ascii="ITC Avant Garde" w:hAnsi="ITC Avant Garde"/>
          <w:lang w:val="es-ES"/>
        </w:rPr>
        <w:t xml:space="preserve"> considera que la adopción del 5G en dicho periodo será mucho mayor, y hace hincapié en que el AEP ha anunciado que desde abril </w:t>
      </w:r>
      <w:r w:rsidR="00541685" w:rsidRPr="00541685">
        <w:rPr>
          <w:rFonts w:ascii="ITC Avant Garde" w:hAnsi="ITC Avant Garde"/>
          <w:lang w:val="es-ES"/>
        </w:rPr>
        <w:lastRenderedPageBreak/>
        <w:t>de 2023 ya ofrece servicios 5G en más de 100 ciudades a usuarios de prepago, y no solo de pospago.</w:t>
      </w:r>
    </w:p>
    <w:p w14:paraId="41F77D1E" w14:textId="4E87BB98" w:rsidR="00376355" w:rsidRDefault="00376355" w:rsidP="0080349A">
      <w:pPr>
        <w:spacing w:after="0" w:line="276" w:lineRule="auto"/>
        <w:ind w:left="0" w:right="0" w:firstLine="0"/>
        <w:rPr>
          <w:rFonts w:ascii="ITC Avant Garde" w:hAnsi="ITC Avant Garde"/>
          <w:lang w:val="es-ES"/>
        </w:rPr>
      </w:pPr>
    </w:p>
    <w:p w14:paraId="48348BF0" w14:textId="78E058E8" w:rsidR="00376355" w:rsidRDefault="00376355"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6A84FBAA" w14:textId="77777777" w:rsidR="00376355" w:rsidRPr="00541685" w:rsidRDefault="00376355" w:rsidP="0080349A">
      <w:pPr>
        <w:spacing w:after="0" w:line="276" w:lineRule="auto"/>
        <w:ind w:left="0" w:right="0" w:firstLine="0"/>
        <w:rPr>
          <w:rFonts w:ascii="ITC Avant Garde" w:hAnsi="ITC Avant Garde"/>
          <w:lang w:val="es-ES"/>
        </w:rPr>
      </w:pPr>
    </w:p>
    <w:p w14:paraId="31C7B065" w14:textId="1C1D5A58" w:rsidR="00541685" w:rsidRPr="00541685" w:rsidRDefault="00376355" w:rsidP="0080349A">
      <w:pPr>
        <w:spacing w:after="0" w:line="276" w:lineRule="auto"/>
        <w:ind w:left="0" w:right="0" w:firstLine="0"/>
        <w:rPr>
          <w:rFonts w:ascii="ITC Avant Garde" w:hAnsi="ITC Avant Garde"/>
          <w:lang w:val="es-ES"/>
        </w:rPr>
      </w:pPr>
      <w:r>
        <w:rPr>
          <w:rFonts w:ascii="ITC Avant Garde" w:hAnsi="ITC Avant Garde"/>
          <w:lang w:val="es-ES"/>
        </w:rPr>
        <w:t xml:space="preserve">Se ha </w:t>
      </w:r>
      <w:r w:rsidR="00541685" w:rsidRPr="00541685">
        <w:rPr>
          <w:rFonts w:ascii="ITC Avant Garde" w:hAnsi="ITC Avant Garde"/>
          <w:lang w:val="es-ES"/>
        </w:rPr>
        <w:t>optado por realizar una estimación conservadora, ya que la adopción de esta tecnología</w:t>
      </w:r>
      <w:r>
        <w:rPr>
          <w:rFonts w:ascii="ITC Avant Garde" w:hAnsi="ITC Avant Garde"/>
          <w:lang w:val="es-ES"/>
        </w:rPr>
        <w:t xml:space="preserve"> (5G)</w:t>
      </w:r>
      <w:r w:rsidR="00541685" w:rsidRPr="00541685">
        <w:rPr>
          <w:rFonts w:ascii="ITC Avant Garde" w:hAnsi="ITC Avant Garde"/>
          <w:lang w:val="es-ES"/>
        </w:rPr>
        <w:t xml:space="preserve"> depende de múltiples factores que podrían en cierta medida limitar el crecimiento del uso del 5G en el corto plazo, como puede ser el ecosistema de dispositivos que pueden soportar esta tecnología, el estado de madurez de aplicaciones específicas del 5G, etc.</w:t>
      </w:r>
    </w:p>
    <w:p w14:paraId="33C2B966" w14:textId="77777777" w:rsidR="00376355" w:rsidRDefault="00376355" w:rsidP="0080349A">
      <w:pPr>
        <w:spacing w:after="0" w:line="276" w:lineRule="auto"/>
        <w:ind w:left="0" w:right="0" w:firstLine="0"/>
        <w:rPr>
          <w:rFonts w:ascii="ITC Avant Garde" w:hAnsi="ITC Avant Garde"/>
          <w:lang w:val="es-ES"/>
        </w:rPr>
      </w:pPr>
    </w:p>
    <w:p w14:paraId="54C6CFAF" w14:textId="2D1FB07F" w:rsidR="00541685" w:rsidRPr="00376355" w:rsidRDefault="00541685" w:rsidP="0080349A">
      <w:pPr>
        <w:spacing w:after="0" w:line="276" w:lineRule="auto"/>
        <w:ind w:left="0" w:right="0" w:firstLine="0"/>
        <w:rPr>
          <w:rFonts w:ascii="ITC Avant Garde" w:hAnsi="ITC Avant Garde"/>
          <w:i/>
          <w:lang w:val="es-ES"/>
        </w:rPr>
      </w:pPr>
      <w:r w:rsidRPr="00376355">
        <w:rPr>
          <w:rFonts w:ascii="ITC Avant Garde" w:hAnsi="ITC Avant Garde"/>
          <w:i/>
          <w:lang w:val="es-ES"/>
        </w:rPr>
        <w:t>Relación de las tendencias de precios unitarios de los elementos de red y los costos de los servicios</w:t>
      </w:r>
    </w:p>
    <w:p w14:paraId="101F5007" w14:textId="1C4DE2FA" w:rsidR="00376355" w:rsidRDefault="00376355" w:rsidP="0080349A">
      <w:pPr>
        <w:spacing w:after="0" w:line="276" w:lineRule="auto"/>
        <w:ind w:left="0" w:right="0" w:firstLine="0"/>
        <w:rPr>
          <w:rFonts w:ascii="ITC Avant Garde" w:hAnsi="ITC Avant Garde"/>
          <w:lang w:val="es-ES"/>
        </w:rPr>
      </w:pPr>
    </w:p>
    <w:p w14:paraId="730960C4" w14:textId="49AB27D2" w:rsidR="00376355" w:rsidRDefault="00376355" w:rsidP="0080349A">
      <w:pPr>
        <w:spacing w:after="0" w:line="276" w:lineRule="auto"/>
        <w:ind w:left="0" w:right="0" w:firstLine="0"/>
        <w:rPr>
          <w:rFonts w:ascii="ITC Avant Garde" w:hAnsi="ITC Avant Garde"/>
          <w:lang w:val="es-ES"/>
        </w:rPr>
      </w:pPr>
      <w:r>
        <w:rPr>
          <w:rFonts w:ascii="ITC Avant Garde" w:hAnsi="ITC Avant Garde"/>
          <w:lang w:val="es-ES"/>
        </w:rPr>
        <w:t>Mega Cable</w:t>
      </w:r>
    </w:p>
    <w:p w14:paraId="20C07726" w14:textId="77777777" w:rsidR="00376355" w:rsidRDefault="00376355" w:rsidP="0080349A">
      <w:pPr>
        <w:spacing w:after="0" w:line="276" w:lineRule="auto"/>
        <w:ind w:left="0" w:right="0" w:firstLine="0"/>
        <w:rPr>
          <w:rFonts w:ascii="ITC Avant Garde" w:hAnsi="ITC Avant Garde"/>
          <w:lang w:val="es-ES"/>
        </w:rPr>
      </w:pPr>
    </w:p>
    <w:p w14:paraId="6A1A40DE" w14:textId="5CEB50FC" w:rsidR="00541685" w:rsidRDefault="00376355" w:rsidP="0080349A">
      <w:pPr>
        <w:spacing w:after="0" w:line="276" w:lineRule="auto"/>
        <w:ind w:left="0" w:right="0" w:firstLine="0"/>
        <w:rPr>
          <w:rFonts w:ascii="ITC Avant Garde" w:hAnsi="ITC Avant Garde"/>
          <w:lang w:val="es-ES"/>
        </w:rPr>
      </w:pPr>
      <w:r>
        <w:rPr>
          <w:rFonts w:ascii="ITC Avant Garde" w:hAnsi="ITC Avant Garde"/>
          <w:lang w:val="es-ES"/>
        </w:rPr>
        <w:t>Mega Cable</w:t>
      </w:r>
      <w:r w:rsidR="00541685" w:rsidRPr="00541685">
        <w:rPr>
          <w:rFonts w:ascii="ITC Avant Garde" w:hAnsi="ITC Avant Garde"/>
          <w:lang w:val="es-ES"/>
        </w:rPr>
        <w:t xml:space="preserve"> considera que las reducciones en las tarifas de interconexión móvil deberían ser más pronunciadas a lo largo del tiempo, argumentando que existe una tendencia decreciente en los precios unitarios de red y, además, se deberían tomar en cuenta economías de escala resultantes del incremento en el tráfico móvil.</w:t>
      </w:r>
    </w:p>
    <w:p w14:paraId="4A8EAD63" w14:textId="5E9E80A3" w:rsidR="00376355" w:rsidRDefault="00376355" w:rsidP="0080349A">
      <w:pPr>
        <w:spacing w:after="0" w:line="276" w:lineRule="auto"/>
        <w:ind w:left="0" w:right="0" w:firstLine="0"/>
        <w:rPr>
          <w:rFonts w:ascii="ITC Avant Garde" w:hAnsi="ITC Avant Garde"/>
          <w:lang w:val="es-ES"/>
        </w:rPr>
      </w:pPr>
    </w:p>
    <w:p w14:paraId="6D0085EF" w14:textId="17A64417" w:rsidR="00376355" w:rsidRDefault="00376355" w:rsidP="00376355">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0C72B187" w14:textId="77777777" w:rsidR="00376355" w:rsidRPr="00541685" w:rsidRDefault="00376355" w:rsidP="0080349A">
      <w:pPr>
        <w:spacing w:after="0" w:line="276" w:lineRule="auto"/>
        <w:ind w:left="0" w:right="0" w:firstLine="0"/>
        <w:rPr>
          <w:rFonts w:ascii="ITC Avant Garde" w:hAnsi="ITC Avant Garde"/>
          <w:lang w:val="es-ES"/>
        </w:rPr>
      </w:pPr>
    </w:p>
    <w:p w14:paraId="0C376BC1" w14:textId="4D2089A0"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El método de depreciación empleado en los modelos (depreciación </w:t>
      </w:r>
      <w:r w:rsidR="00C3485A" w:rsidRPr="00541685">
        <w:rPr>
          <w:rFonts w:ascii="ITC Avant Garde" w:hAnsi="ITC Avant Garde"/>
          <w:lang w:val="es-ES"/>
        </w:rPr>
        <w:t>económi</w:t>
      </w:r>
      <w:r w:rsidR="00C3485A">
        <w:rPr>
          <w:rFonts w:ascii="ITC Avant Garde" w:hAnsi="ITC Avant Garde"/>
          <w:lang w:val="es-ES"/>
        </w:rPr>
        <w:t>ca</w:t>
      </w:r>
      <w:r w:rsidR="00575582">
        <w:rPr>
          <w:rFonts w:ascii="ITC Avant Garde" w:hAnsi="ITC Avant Garde"/>
          <w:lang w:val="es-ES"/>
        </w:rPr>
        <w:t>)</w:t>
      </w:r>
      <w:r w:rsidRPr="00541685">
        <w:rPr>
          <w:rFonts w:ascii="ITC Avant Garde" w:hAnsi="ITC Avant Garde"/>
          <w:lang w:val="es-ES"/>
        </w:rPr>
        <w:t xml:space="preserve"> estima el costo de producir una unidad de servicio (minuto, o Mbit/s) a lo largo de la vida útil del activo. Al tener en cuenta este punto de vista multi-anual, el modelo no refleja la evolución año a año del incremento de la demanda, pero </w:t>
      </w:r>
      <w:r w:rsidR="00665CBA">
        <w:rPr>
          <w:rFonts w:ascii="ITC Avant Garde" w:hAnsi="ITC Avant Garde"/>
          <w:lang w:val="es-ES"/>
        </w:rPr>
        <w:t>si</w:t>
      </w:r>
      <w:r w:rsidRPr="00541685">
        <w:rPr>
          <w:rFonts w:ascii="ITC Avant Garde" w:hAnsi="ITC Avant Garde"/>
          <w:lang w:val="es-ES"/>
        </w:rPr>
        <w:t xml:space="preserve"> captura la evolución general de la demanda a lo largo de todo el periodo modelado. Este aspecto, </w:t>
      </w:r>
      <w:r w:rsidR="00376355" w:rsidRPr="00541685">
        <w:rPr>
          <w:rFonts w:ascii="ITC Avant Garde" w:hAnsi="ITC Avant Garde"/>
          <w:lang w:val="es-ES"/>
        </w:rPr>
        <w:t>a</w:t>
      </w:r>
      <w:r w:rsidR="00376355">
        <w:rPr>
          <w:rFonts w:ascii="ITC Avant Garde" w:hAnsi="ITC Avant Garde"/>
          <w:lang w:val="es-ES"/>
        </w:rPr>
        <w:t>sí</w:t>
      </w:r>
      <w:r w:rsidRPr="00541685">
        <w:rPr>
          <w:rFonts w:ascii="ITC Avant Garde" w:hAnsi="ITC Avant Garde"/>
          <w:lang w:val="es-ES"/>
        </w:rPr>
        <w:t xml:space="preserve"> como los motivos de selección de la depreciación económi</w:t>
      </w:r>
      <w:r w:rsidR="00376355">
        <w:rPr>
          <w:rFonts w:ascii="ITC Avant Garde" w:hAnsi="ITC Avant Garde"/>
          <w:lang w:val="es-ES"/>
        </w:rPr>
        <w:t>ca</w:t>
      </w:r>
      <w:r w:rsidR="008A4535">
        <w:rPr>
          <w:rFonts w:ascii="ITC Avant Garde" w:hAnsi="ITC Avant Garde"/>
          <w:lang w:val="es-ES"/>
        </w:rPr>
        <w:t xml:space="preserve"> </w:t>
      </w:r>
      <w:r w:rsidRPr="00541685">
        <w:rPr>
          <w:rFonts w:ascii="ITC Avant Garde" w:hAnsi="ITC Avant Garde"/>
          <w:lang w:val="es-ES"/>
        </w:rPr>
        <w:t>sobre otros métodos de depreciación se explican en el documento metodológico.</w:t>
      </w:r>
    </w:p>
    <w:p w14:paraId="5BDDD845" w14:textId="77777777" w:rsidR="00376355" w:rsidRPr="00541685" w:rsidRDefault="00376355" w:rsidP="0080349A">
      <w:pPr>
        <w:spacing w:after="0" w:line="276" w:lineRule="auto"/>
        <w:ind w:left="0" w:right="0" w:firstLine="0"/>
        <w:rPr>
          <w:rFonts w:ascii="ITC Avant Garde" w:hAnsi="ITC Avant Garde"/>
          <w:lang w:val="es-ES"/>
        </w:rPr>
      </w:pPr>
    </w:p>
    <w:p w14:paraId="452D7C31" w14:textId="228156DD"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Por otro lado, </w:t>
      </w:r>
      <w:r w:rsidR="00376355">
        <w:rPr>
          <w:rFonts w:ascii="ITC Avant Garde" w:hAnsi="ITC Avant Garde"/>
          <w:lang w:val="es-ES"/>
        </w:rPr>
        <w:t>se destaca</w:t>
      </w:r>
      <w:r w:rsidRPr="00541685">
        <w:rPr>
          <w:rFonts w:ascii="ITC Avant Garde" w:hAnsi="ITC Avant Garde"/>
          <w:lang w:val="es-ES"/>
        </w:rPr>
        <w:t xml:space="preserve"> que los precios que se incluyen en los modelos de costos siguen una tendencia similar a la evolución de los precios de los equipos y tecnologías utilizados en el sector, lo cual es consistente con el uso de la depreciación </w:t>
      </w:r>
      <w:r w:rsidR="00C3485A" w:rsidRPr="00541685">
        <w:rPr>
          <w:rFonts w:ascii="ITC Avant Garde" w:hAnsi="ITC Avant Garde"/>
          <w:lang w:val="es-ES"/>
        </w:rPr>
        <w:t>económi</w:t>
      </w:r>
      <w:r w:rsidR="00C3485A">
        <w:rPr>
          <w:rFonts w:ascii="ITC Avant Garde" w:hAnsi="ITC Avant Garde"/>
          <w:lang w:val="es-ES"/>
        </w:rPr>
        <w:t>ca</w:t>
      </w:r>
      <w:r w:rsidR="00376355">
        <w:rPr>
          <w:rFonts w:ascii="ITC Avant Garde" w:hAnsi="ITC Avant Garde"/>
          <w:lang w:val="es-ES"/>
        </w:rPr>
        <w:t>.</w:t>
      </w:r>
      <w:r w:rsidRPr="00541685">
        <w:rPr>
          <w:rFonts w:ascii="ITC Avant Garde" w:hAnsi="ITC Avant Garde"/>
          <w:lang w:val="es-ES"/>
        </w:rPr>
        <w:t xml:space="preserve"> </w:t>
      </w:r>
    </w:p>
    <w:p w14:paraId="305ED058" w14:textId="77777777" w:rsidR="00376355" w:rsidRPr="00541685" w:rsidRDefault="00376355" w:rsidP="0080349A">
      <w:pPr>
        <w:spacing w:after="0" w:line="276" w:lineRule="auto"/>
        <w:ind w:left="0" w:right="0" w:firstLine="0"/>
        <w:rPr>
          <w:rFonts w:ascii="ITC Avant Garde" w:hAnsi="ITC Avant Garde"/>
          <w:lang w:val="es-ES"/>
        </w:rPr>
      </w:pPr>
    </w:p>
    <w:p w14:paraId="7D023CAA" w14:textId="77777777" w:rsidR="00541685" w:rsidRPr="00376355" w:rsidRDefault="00541685" w:rsidP="0080349A">
      <w:pPr>
        <w:spacing w:after="0" w:line="276" w:lineRule="auto"/>
        <w:ind w:left="0" w:right="0" w:firstLine="0"/>
        <w:rPr>
          <w:rFonts w:ascii="ITC Avant Garde" w:hAnsi="ITC Avant Garde"/>
          <w:i/>
          <w:lang w:val="es-ES"/>
        </w:rPr>
      </w:pPr>
      <w:r w:rsidRPr="00376355">
        <w:rPr>
          <w:rFonts w:ascii="ITC Avant Garde" w:hAnsi="ITC Avant Garde"/>
          <w:i/>
          <w:lang w:val="es-ES"/>
        </w:rPr>
        <w:t>Diferencias en los costos unitarios de los elementos del AEP y el CA</w:t>
      </w:r>
    </w:p>
    <w:p w14:paraId="7701B985" w14:textId="68A63070" w:rsidR="00376355" w:rsidRDefault="00376355" w:rsidP="0080349A">
      <w:pPr>
        <w:spacing w:after="0" w:line="276" w:lineRule="auto"/>
        <w:ind w:left="0" w:right="0" w:firstLine="0"/>
        <w:rPr>
          <w:rFonts w:ascii="ITC Avant Garde" w:hAnsi="ITC Avant Garde"/>
          <w:lang w:val="es-ES"/>
        </w:rPr>
      </w:pPr>
    </w:p>
    <w:p w14:paraId="4A9D1BAB" w14:textId="1982C41A" w:rsidR="00376355" w:rsidRDefault="00376355" w:rsidP="0080349A">
      <w:pPr>
        <w:spacing w:after="0" w:line="276" w:lineRule="auto"/>
        <w:ind w:left="0" w:right="0" w:firstLine="0"/>
        <w:rPr>
          <w:rFonts w:ascii="ITC Avant Garde" w:hAnsi="ITC Avant Garde"/>
          <w:lang w:val="es-ES"/>
        </w:rPr>
      </w:pPr>
      <w:r>
        <w:rPr>
          <w:rFonts w:ascii="ITC Avant Garde" w:hAnsi="ITC Avant Garde"/>
          <w:lang w:val="es-ES"/>
        </w:rPr>
        <w:t>CANIETI</w:t>
      </w:r>
    </w:p>
    <w:p w14:paraId="15D35D12" w14:textId="77777777" w:rsidR="00376355" w:rsidRDefault="00376355" w:rsidP="0080349A">
      <w:pPr>
        <w:spacing w:after="0" w:line="276" w:lineRule="auto"/>
        <w:ind w:left="0" w:right="0" w:firstLine="0"/>
        <w:rPr>
          <w:rFonts w:ascii="ITC Avant Garde" w:hAnsi="ITC Avant Garde"/>
          <w:lang w:val="es-ES"/>
        </w:rPr>
      </w:pPr>
    </w:p>
    <w:p w14:paraId="59DE2FEE" w14:textId="74A81D9F" w:rsidR="00541685" w:rsidRDefault="00376355" w:rsidP="7742B270">
      <w:pPr>
        <w:spacing w:after="0" w:line="276" w:lineRule="auto"/>
        <w:ind w:left="0" w:right="0" w:firstLine="0"/>
        <w:rPr>
          <w:rFonts w:ascii="ITC Avant Garde" w:hAnsi="ITC Avant Garde"/>
          <w:lang w:val="es-ES"/>
        </w:rPr>
      </w:pPr>
      <w:r w:rsidRPr="58E23F00">
        <w:rPr>
          <w:rFonts w:ascii="ITC Avant Garde" w:hAnsi="ITC Avant Garde"/>
          <w:lang w:val="es-ES"/>
        </w:rPr>
        <w:lastRenderedPageBreak/>
        <w:t>CANIETI</w:t>
      </w:r>
      <w:r w:rsidR="00541685" w:rsidRPr="58E23F00">
        <w:rPr>
          <w:rFonts w:ascii="ITC Avant Garde" w:hAnsi="ITC Avant Garde"/>
          <w:lang w:val="es-ES"/>
        </w:rPr>
        <w:t xml:space="preserve"> solicita al </w:t>
      </w:r>
      <w:r w:rsidR="647786AF" w:rsidRPr="58E23F00">
        <w:rPr>
          <w:rFonts w:ascii="ITC Avant Garde" w:hAnsi="ITC Avant Garde"/>
          <w:lang w:val="es-ES"/>
        </w:rPr>
        <w:t>I</w:t>
      </w:r>
      <w:r w:rsidR="0FC482E6"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ajustar el modelado del opex y capex de la capa de acceso de la red del AEP, de modo que estos capturen adecuadamente las ventajas de las que, en la práctica, goza</w:t>
      </w:r>
      <w:r w:rsidRPr="58E23F00">
        <w:rPr>
          <w:rFonts w:ascii="ITC Avant Garde" w:hAnsi="ITC Avant Garde"/>
          <w:lang w:val="es-ES"/>
        </w:rPr>
        <w:t xml:space="preserve"> r</w:t>
      </w:r>
      <w:r w:rsidR="00541685" w:rsidRPr="58E23F00">
        <w:rPr>
          <w:rFonts w:ascii="ITC Avant Garde" w:hAnsi="ITC Avant Garde"/>
          <w:lang w:val="es-ES"/>
        </w:rPr>
        <w:t>especto del C</w:t>
      </w:r>
      <w:r w:rsidRPr="58E23F00">
        <w:rPr>
          <w:rFonts w:ascii="ITC Avant Garde" w:hAnsi="ITC Avant Garde"/>
          <w:lang w:val="es-ES"/>
        </w:rPr>
        <w:t>S</w:t>
      </w:r>
      <w:r w:rsidR="00541685" w:rsidRPr="58E23F00">
        <w:rPr>
          <w:rFonts w:ascii="ITC Avant Garde" w:hAnsi="ITC Avant Garde"/>
          <w:lang w:val="es-ES"/>
        </w:rPr>
        <w:t xml:space="preserve">. El </w:t>
      </w:r>
      <w:r w:rsidR="00A94546" w:rsidRPr="58E23F00">
        <w:rPr>
          <w:rFonts w:ascii="ITC Avant Garde" w:hAnsi="ITC Avant Garde"/>
          <w:lang w:val="es-ES"/>
        </w:rPr>
        <w:t>concesionario</w:t>
      </w:r>
      <w:r w:rsidR="00541685" w:rsidRPr="58E23F00">
        <w:rPr>
          <w:rFonts w:ascii="ITC Avant Garde" w:hAnsi="ITC Avant Garde"/>
          <w:lang w:val="es-ES"/>
        </w:rPr>
        <w:t xml:space="preserve"> </w:t>
      </w:r>
      <w:r w:rsidRPr="58E23F00">
        <w:rPr>
          <w:rFonts w:ascii="ITC Avant Garde" w:hAnsi="ITC Avant Garde"/>
          <w:lang w:val="es-ES"/>
        </w:rPr>
        <w:t>destaca</w:t>
      </w:r>
      <w:r w:rsidR="008A4535" w:rsidRPr="58E23F00">
        <w:rPr>
          <w:rFonts w:ascii="ITC Avant Garde" w:hAnsi="ITC Avant Garde"/>
          <w:lang w:val="es-ES"/>
        </w:rPr>
        <w:t xml:space="preserve"> </w:t>
      </w:r>
      <w:r w:rsidR="00541685" w:rsidRPr="58E23F00">
        <w:rPr>
          <w:rFonts w:ascii="ITC Avant Garde" w:hAnsi="ITC Avant Garde"/>
          <w:lang w:val="es-ES"/>
        </w:rPr>
        <w:t xml:space="preserve">la diferencia en margen EBITDA que el AEP (41% para Telcel en 2022) suele registrar frente al </w:t>
      </w:r>
      <w:r w:rsidR="008A4535" w:rsidRPr="58E23F00">
        <w:rPr>
          <w:rFonts w:ascii="ITC Avant Garde" w:hAnsi="ITC Avant Garde"/>
          <w:lang w:val="es-ES"/>
        </w:rPr>
        <w:t xml:space="preserve">CS </w:t>
      </w:r>
      <w:r w:rsidR="00541685" w:rsidRPr="58E23F00">
        <w:rPr>
          <w:rFonts w:ascii="ITC Avant Garde" w:hAnsi="ITC Avant Garde"/>
          <w:lang w:val="es-ES"/>
        </w:rPr>
        <w:t xml:space="preserve">hipotético (10% en 2022). Con el objetivo de que el </w:t>
      </w:r>
      <w:r w:rsidR="008A4535" w:rsidRPr="58E23F00">
        <w:rPr>
          <w:rFonts w:ascii="ITC Avant Garde" w:hAnsi="ITC Avant Garde"/>
          <w:lang w:val="es-ES"/>
        </w:rPr>
        <w:t xml:space="preserve">CS </w:t>
      </w:r>
      <w:r w:rsidR="00541685" w:rsidRPr="58E23F00">
        <w:rPr>
          <w:rFonts w:ascii="ITC Avant Garde" w:hAnsi="ITC Avant Garde"/>
          <w:lang w:val="es-ES"/>
        </w:rPr>
        <w:t xml:space="preserve">logre un margen EBITDA similar al del AEP, </w:t>
      </w:r>
      <w:r w:rsidRPr="58E23F00">
        <w:rPr>
          <w:rFonts w:ascii="ITC Avant Garde" w:hAnsi="ITC Avant Garde"/>
          <w:lang w:val="es-ES"/>
        </w:rPr>
        <w:t>CANIETI</w:t>
      </w:r>
      <w:r w:rsidR="00541685" w:rsidRPr="58E23F00">
        <w:rPr>
          <w:rFonts w:ascii="ITC Avant Garde" w:hAnsi="ITC Avant Garde"/>
          <w:lang w:val="es-ES"/>
        </w:rPr>
        <w:t xml:space="preserve"> solicita incrementar el porcentaje de descuento implícito en capex y opex del AEP, respecto al CA, del 25% actual al 39%.</w:t>
      </w:r>
    </w:p>
    <w:p w14:paraId="256B70C9" w14:textId="25D29B00" w:rsidR="00376355" w:rsidRDefault="00376355" w:rsidP="0080349A">
      <w:pPr>
        <w:spacing w:after="0" w:line="276" w:lineRule="auto"/>
        <w:ind w:left="0" w:right="0" w:firstLine="0"/>
        <w:rPr>
          <w:rFonts w:ascii="ITC Avant Garde" w:hAnsi="ITC Avant Garde"/>
          <w:lang w:val="es-ES"/>
        </w:rPr>
      </w:pPr>
    </w:p>
    <w:p w14:paraId="1B910986" w14:textId="22E8F3B6" w:rsidR="00376355" w:rsidRDefault="00376355"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42647263" w14:textId="77777777" w:rsidR="00376355" w:rsidRPr="00541685" w:rsidRDefault="00376355" w:rsidP="0080349A">
      <w:pPr>
        <w:spacing w:after="0" w:line="276" w:lineRule="auto"/>
        <w:ind w:left="0" w:right="0" w:firstLine="0"/>
        <w:rPr>
          <w:rFonts w:ascii="ITC Avant Garde" w:hAnsi="ITC Avant Garde"/>
          <w:lang w:val="es-ES"/>
        </w:rPr>
      </w:pPr>
    </w:p>
    <w:p w14:paraId="3BE1A623" w14:textId="6F879A88" w:rsidR="00541685" w:rsidRDefault="00376355" w:rsidP="0080349A">
      <w:pPr>
        <w:spacing w:after="0" w:line="276" w:lineRule="auto"/>
        <w:ind w:left="0" w:right="0" w:firstLine="0"/>
        <w:rPr>
          <w:rFonts w:ascii="ITC Avant Garde" w:hAnsi="ITC Avant Garde"/>
          <w:lang w:val="es-ES"/>
        </w:rPr>
      </w:pPr>
      <w:r>
        <w:rPr>
          <w:rFonts w:ascii="ITC Avant Garde" w:hAnsi="ITC Avant Garde"/>
          <w:lang w:val="es-ES"/>
        </w:rPr>
        <w:t>S</w:t>
      </w:r>
      <w:r w:rsidR="00856A78">
        <w:rPr>
          <w:rFonts w:ascii="ITC Avant Garde" w:hAnsi="ITC Avant Garde"/>
          <w:lang w:val="es-ES"/>
        </w:rPr>
        <w:t>e considera</w:t>
      </w:r>
      <w:r w:rsidR="00541685" w:rsidRPr="00541685">
        <w:rPr>
          <w:rFonts w:ascii="ITC Avant Garde" w:hAnsi="ITC Avant Garde"/>
          <w:lang w:val="es-ES"/>
        </w:rPr>
        <w:t xml:space="preserve"> que el AEP podría contar con un mayor poder de negociación y mayores economías de escala que el </w:t>
      </w:r>
      <w:r>
        <w:rPr>
          <w:rFonts w:ascii="ITC Avant Garde" w:hAnsi="ITC Avant Garde"/>
          <w:lang w:val="es-ES"/>
        </w:rPr>
        <w:t>CS.</w:t>
      </w:r>
      <w:r w:rsidR="00541685" w:rsidRPr="00541685">
        <w:rPr>
          <w:rFonts w:ascii="ITC Avant Garde" w:hAnsi="ITC Avant Garde"/>
          <w:lang w:val="es-ES"/>
        </w:rPr>
        <w:t xml:space="preserve"> Por este motivo, en el modelo se ha considerado un descuento del 25% en los costos unitarios de los equipos y emplazamientos de acceso del AEP con respecto del </w:t>
      </w:r>
      <w:r>
        <w:rPr>
          <w:rFonts w:ascii="ITC Avant Garde" w:hAnsi="ITC Avant Garde"/>
          <w:lang w:val="es-ES"/>
        </w:rPr>
        <w:t>CS.</w:t>
      </w:r>
    </w:p>
    <w:p w14:paraId="40403F3B" w14:textId="77777777" w:rsidR="00376355" w:rsidRPr="00541685" w:rsidRDefault="00376355" w:rsidP="0080349A">
      <w:pPr>
        <w:spacing w:after="0" w:line="276" w:lineRule="auto"/>
        <w:ind w:left="0" w:right="0" w:firstLine="0"/>
        <w:rPr>
          <w:rFonts w:ascii="ITC Avant Garde" w:hAnsi="ITC Avant Garde"/>
          <w:lang w:val="es-ES"/>
        </w:rPr>
      </w:pPr>
    </w:p>
    <w:p w14:paraId="5AAF5D09" w14:textId="3552EDA9"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Por otro lado, el </w:t>
      </w:r>
      <w:r w:rsidR="00A94546">
        <w:rPr>
          <w:rFonts w:ascii="ITC Avant Garde" w:hAnsi="ITC Avant Garde"/>
          <w:lang w:val="es-ES"/>
        </w:rPr>
        <w:t>concesionario</w:t>
      </w:r>
      <w:r w:rsidRPr="00541685">
        <w:rPr>
          <w:rFonts w:ascii="ITC Avant Garde" w:hAnsi="ITC Avant Garde"/>
          <w:lang w:val="es-ES"/>
        </w:rPr>
        <w:t xml:space="preserve"> menciona las diferencias en el margen EBITDA entre el AEP y el </w:t>
      </w:r>
      <w:r w:rsidR="00376355">
        <w:rPr>
          <w:rFonts w:ascii="ITC Avant Garde" w:hAnsi="ITC Avant Garde"/>
          <w:lang w:val="es-ES"/>
        </w:rPr>
        <w:t>CS.</w:t>
      </w:r>
      <w:r w:rsidRPr="00541685">
        <w:rPr>
          <w:rFonts w:ascii="ITC Avant Garde" w:hAnsi="ITC Avant Garde"/>
          <w:lang w:val="es-ES"/>
        </w:rPr>
        <w:t xml:space="preserve"> Sin embargo, </w:t>
      </w:r>
      <w:r w:rsidR="00376355">
        <w:rPr>
          <w:rFonts w:ascii="ITC Avant Garde" w:hAnsi="ITC Avant Garde"/>
          <w:lang w:val="es-ES"/>
        </w:rPr>
        <w:t>se considera</w:t>
      </w:r>
      <w:r w:rsidRPr="00541685">
        <w:rPr>
          <w:rFonts w:ascii="ITC Avant Garde" w:hAnsi="ITC Avant Garde"/>
          <w:lang w:val="es-ES"/>
        </w:rPr>
        <w:t xml:space="preserve"> que dicho parámetro no captura debidamente las diferencias en los precios de los equipos pagados, ya que el capex correspondiente queda como un costo contabilizado a nivel financiero después del EBITDA. Adicionalmente, </w:t>
      </w:r>
      <w:r w:rsidR="00856A78">
        <w:rPr>
          <w:rFonts w:ascii="ITC Avant Garde" w:hAnsi="ITC Avant Garde"/>
          <w:lang w:val="es-ES"/>
        </w:rPr>
        <w:t>se considera</w:t>
      </w:r>
      <w:r w:rsidRPr="00541685">
        <w:rPr>
          <w:rFonts w:ascii="ITC Avant Garde" w:hAnsi="ITC Avant Garde"/>
          <w:lang w:val="es-ES"/>
        </w:rPr>
        <w:t xml:space="preserve"> que la diferencia en los márgenes puede deberse a otros muchos factores que quedan fuera del análisis del modelo de costos (p.ej., estrategia de precios minorista, la escala del </w:t>
      </w:r>
      <w:r w:rsidR="00A94546">
        <w:rPr>
          <w:rFonts w:ascii="ITC Avant Garde" w:hAnsi="ITC Avant Garde"/>
          <w:lang w:val="es-ES"/>
        </w:rPr>
        <w:t>concesionario</w:t>
      </w:r>
      <w:r w:rsidRPr="00541685">
        <w:rPr>
          <w:rFonts w:ascii="ITC Avant Garde" w:hAnsi="ITC Avant Garde"/>
          <w:lang w:val="es-ES"/>
        </w:rPr>
        <w:t xml:space="preserve">, etc.). Por tanto, </w:t>
      </w:r>
      <w:r w:rsidR="00856A78">
        <w:rPr>
          <w:rFonts w:ascii="ITC Avant Garde" w:hAnsi="ITC Avant Garde"/>
          <w:lang w:val="es-ES"/>
        </w:rPr>
        <w:t>se considera</w:t>
      </w:r>
      <w:r w:rsidRPr="00541685">
        <w:rPr>
          <w:rFonts w:ascii="ITC Avant Garde" w:hAnsi="ITC Avant Garde"/>
          <w:lang w:val="es-ES"/>
        </w:rPr>
        <w:t xml:space="preserve"> que el descuento del 25% que se </w:t>
      </w:r>
      <w:r w:rsidR="00376355">
        <w:rPr>
          <w:rFonts w:ascii="ITC Avant Garde" w:hAnsi="ITC Avant Garde"/>
          <w:lang w:val="es-ES"/>
        </w:rPr>
        <w:t>aplica</w:t>
      </w:r>
      <w:r w:rsidR="008A4535">
        <w:rPr>
          <w:rFonts w:ascii="ITC Avant Garde" w:hAnsi="ITC Avant Garde"/>
          <w:lang w:val="es-ES"/>
        </w:rPr>
        <w:t xml:space="preserve"> </w:t>
      </w:r>
      <w:r w:rsidRPr="00541685">
        <w:rPr>
          <w:rFonts w:ascii="ITC Avant Garde" w:hAnsi="ITC Avant Garde"/>
          <w:lang w:val="es-ES"/>
        </w:rPr>
        <w:t xml:space="preserve">actualmente en los modelos sometidos a consulta refleja razonablemente la potencial asimetría entre el AEP y el </w:t>
      </w:r>
      <w:r w:rsidR="00376355">
        <w:rPr>
          <w:rFonts w:ascii="ITC Avant Garde" w:hAnsi="ITC Avant Garde"/>
          <w:lang w:val="es-ES"/>
        </w:rPr>
        <w:t>CS.</w:t>
      </w:r>
    </w:p>
    <w:p w14:paraId="49742AF6" w14:textId="77777777" w:rsidR="00376355" w:rsidRPr="00541685" w:rsidRDefault="00376355" w:rsidP="0080349A">
      <w:pPr>
        <w:spacing w:after="0" w:line="276" w:lineRule="auto"/>
        <w:ind w:left="0" w:right="0" w:firstLine="0"/>
        <w:rPr>
          <w:rFonts w:ascii="ITC Avant Garde" w:hAnsi="ITC Avant Garde"/>
          <w:lang w:val="es-ES"/>
        </w:rPr>
      </w:pPr>
    </w:p>
    <w:p w14:paraId="149117AF" w14:textId="77777777" w:rsidR="00541685" w:rsidRPr="00376355" w:rsidRDefault="00541685" w:rsidP="0080349A">
      <w:pPr>
        <w:spacing w:after="0" w:line="276" w:lineRule="auto"/>
        <w:ind w:left="0" w:right="0" w:firstLine="0"/>
        <w:rPr>
          <w:rFonts w:ascii="ITC Avant Garde" w:hAnsi="ITC Avant Garde"/>
          <w:i/>
          <w:lang w:val="es-ES"/>
        </w:rPr>
      </w:pPr>
      <w:r w:rsidRPr="00376355">
        <w:rPr>
          <w:rFonts w:ascii="ITC Avant Garde" w:hAnsi="ITC Avant Garde"/>
          <w:i/>
          <w:lang w:val="es-ES"/>
        </w:rPr>
        <w:t>Comparabilidad de los costos unitarios de los elementos de red con modelos anteriores</w:t>
      </w:r>
    </w:p>
    <w:p w14:paraId="209F6DC9" w14:textId="48F5E89B" w:rsidR="00376355" w:rsidRDefault="00376355" w:rsidP="0080349A">
      <w:pPr>
        <w:spacing w:after="0" w:line="276" w:lineRule="auto"/>
        <w:ind w:left="0" w:right="0" w:firstLine="0"/>
        <w:rPr>
          <w:rFonts w:ascii="ITC Avant Garde" w:hAnsi="ITC Avant Garde"/>
          <w:lang w:val="es-ES"/>
        </w:rPr>
      </w:pPr>
    </w:p>
    <w:p w14:paraId="1CE96C09" w14:textId="56C67561" w:rsidR="00376355" w:rsidRPr="0075027B" w:rsidRDefault="00376355" w:rsidP="0080349A">
      <w:pPr>
        <w:spacing w:after="0" w:line="276" w:lineRule="auto"/>
        <w:ind w:left="0" w:right="0" w:firstLine="0"/>
        <w:rPr>
          <w:rFonts w:ascii="ITC Avant Garde" w:hAnsi="ITC Avant Garde"/>
        </w:rPr>
      </w:pPr>
      <w:r w:rsidRPr="0075027B">
        <w:rPr>
          <w:rFonts w:ascii="ITC Avant Garde" w:hAnsi="ITC Avant Garde"/>
        </w:rPr>
        <w:t>AT&amp;T</w:t>
      </w:r>
      <w:r w:rsidR="00B257F6" w:rsidRPr="0075027B">
        <w:rPr>
          <w:rFonts w:ascii="ITC Avant Garde" w:hAnsi="ITC Avant Garde"/>
        </w:rPr>
        <w:t>; CANIETI y GTV</w:t>
      </w:r>
    </w:p>
    <w:p w14:paraId="79518F5D" w14:textId="77777777" w:rsidR="00376355" w:rsidRPr="0075027B" w:rsidRDefault="00376355" w:rsidP="0080349A">
      <w:pPr>
        <w:spacing w:after="0" w:line="276" w:lineRule="auto"/>
        <w:ind w:left="0" w:right="0" w:firstLine="0"/>
        <w:rPr>
          <w:rFonts w:ascii="ITC Avant Garde" w:hAnsi="ITC Avant Garde"/>
        </w:rPr>
      </w:pPr>
    </w:p>
    <w:p w14:paraId="1D466041" w14:textId="15AACC09" w:rsidR="00541685" w:rsidRDefault="00A77155" w:rsidP="0080349A">
      <w:pPr>
        <w:spacing w:after="0" w:line="276" w:lineRule="auto"/>
        <w:ind w:left="0" w:right="0" w:firstLine="0"/>
        <w:rPr>
          <w:rFonts w:ascii="ITC Avant Garde" w:hAnsi="ITC Avant Garde"/>
          <w:lang w:val="es-ES"/>
        </w:rPr>
      </w:pPr>
      <w:r>
        <w:rPr>
          <w:rFonts w:ascii="ITC Avant Garde" w:hAnsi="ITC Avant Garde"/>
          <w:lang w:val="es-ES"/>
        </w:rPr>
        <w:t>AT&amp;T</w:t>
      </w:r>
      <w:r w:rsidR="00541685" w:rsidRPr="00541685">
        <w:rPr>
          <w:rFonts w:ascii="ITC Avant Garde" w:hAnsi="ITC Avant Garde"/>
          <w:lang w:val="es-ES"/>
        </w:rPr>
        <w:t xml:space="preserve"> </w:t>
      </w:r>
      <w:r w:rsidR="00B257F6">
        <w:rPr>
          <w:rFonts w:ascii="ITC Avant Garde" w:hAnsi="ITC Avant Garde"/>
          <w:lang w:val="es-ES"/>
        </w:rPr>
        <w:t>concuerda con</w:t>
      </w:r>
      <w:r w:rsidR="00541685" w:rsidRPr="00541685">
        <w:rPr>
          <w:rFonts w:ascii="ITC Avant Garde" w:hAnsi="ITC Avant Garde"/>
          <w:lang w:val="es-ES"/>
        </w:rPr>
        <w:t xml:space="preserve"> las actualizaciones que se han llevado a cabo en el nuevo modelo con relación a los activos de red y a los parámetros del WACC, como el cambio de divisa y la inflación.</w:t>
      </w:r>
    </w:p>
    <w:p w14:paraId="54623BC7" w14:textId="77777777" w:rsidR="00B257F6" w:rsidRPr="00541685" w:rsidRDefault="00B257F6" w:rsidP="0080349A">
      <w:pPr>
        <w:spacing w:after="0" w:line="276" w:lineRule="auto"/>
        <w:ind w:left="0" w:right="0" w:firstLine="0"/>
        <w:rPr>
          <w:rFonts w:ascii="ITC Avant Garde" w:hAnsi="ITC Avant Garde"/>
          <w:lang w:val="es-ES"/>
        </w:rPr>
      </w:pPr>
    </w:p>
    <w:p w14:paraId="2FE762A0" w14:textId="13F797E3" w:rsidR="00541685" w:rsidRDefault="00376355" w:rsidP="0080349A">
      <w:pPr>
        <w:spacing w:after="0" w:line="276" w:lineRule="auto"/>
        <w:ind w:left="0" w:right="0" w:firstLine="0"/>
        <w:rPr>
          <w:rFonts w:ascii="ITC Avant Garde" w:hAnsi="ITC Avant Garde"/>
          <w:lang w:val="es-ES"/>
        </w:rPr>
      </w:pPr>
      <w:r>
        <w:rPr>
          <w:rFonts w:ascii="ITC Avant Garde" w:hAnsi="ITC Avant Garde"/>
          <w:lang w:val="es-ES"/>
        </w:rPr>
        <w:t>CANIETI</w:t>
      </w:r>
      <w:r w:rsidR="00541685" w:rsidRPr="00541685">
        <w:rPr>
          <w:rFonts w:ascii="ITC Avant Garde" w:hAnsi="ITC Avant Garde"/>
          <w:lang w:val="es-ES"/>
        </w:rPr>
        <w:t xml:space="preserve"> resalta que se presentan cambios injustificados con respecto a modelos anteriores. El </w:t>
      </w:r>
      <w:r w:rsidR="00A94546">
        <w:rPr>
          <w:rFonts w:ascii="ITC Avant Garde" w:hAnsi="ITC Avant Garde"/>
          <w:lang w:val="es-ES"/>
        </w:rPr>
        <w:t>concesionario</w:t>
      </w:r>
      <w:r w:rsidR="00541685" w:rsidRPr="00541685">
        <w:rPr>
          <w:rFonts w:ascii="ITC Avant Garde" w:hAnsi="ITC Avant Garde"/>
          <w:lang w:val="es-ES"/>
        </w:rPr>
        <w:t xml:space="preserve"> pone como ejemplo el costo de algunos elementos de red, señalando cómo estos cambios afectan a las tarifas y no existe transparencia para entender la </w:t>
      </w:r>
      <w:r w:rsidR="00B257F6">
        <w:rPr>
          <w:rFonts w:ascii="ITC Avant Garde" w:hAnsi="ITC Avant Garde"/>
          <w:lang w:val="es-ES"/>
        </w:rPr>
        <w:t>lógica</w:t>
      </w:r>
      <w:r w:rsidR="008A4535">
        <w:rPr>
          <w:rFonts w:ascii="ITC Avant Garde" w:hAnsi="ITC Avant Garde"/>
          <w:lang w:val="es-ES"/>
        </w:rPr>
        <w:t xml:space="preserve"> </w:t>
      </w:r>
      <w:r w:rsidR="00541685" w:rsidRPr="00541685">
        <w:rPr>
          <w:rFonts w:ascii="ITC Avant Garde" w:hAnsi="ITC Avant Garde"/>
          <w:lang w:val="es-ES"/>
        </w:rPr>
        <w:t xml:space="preserve">detrás de los cambios. </w:t>
      </w:r>
    </w:p>
    <w:p w14:paraId="1C8A8F7F" w14:textId="77777777" w:rsidR="00B257F6" w:rsidRPr="00541685" w:rsidRDefault="00B257F6" w:rsidP="0080349A">
      <w:pPr>
        <w:spacing w:after="0" w:line="276" w:lineRule="auto"/>
        <w:ind w:left="0" w:right="0" w:firstLine="0"/>
        <w:rPr>
          <w:rFonts w:ascii="ITC Avant Garde" w:hAnsi="ITC Avant Garde"/>
          <w:lang w:val="es-ES"/>
        </w:rPr>
      </w:pPr>
    </w:p>
    <w:p w14:paraId="5ABF52C4" w14:textId="6FA74C0A" w:rsidR="00541685" w:rsidRDefault="00541685" w:rsidP="7742B270">
      <w:pPr>
        <w:spacing w:after="0" w:line="276" w:lineRule="auto"/>
        <w:ind w:left="0" w:right="0" w:firstLine="0"/>
        <w:rPr>
          <w:rFonts w:ascii="ITC Avant Garde" w:hAnsi="ITC Avant Garde"/>
          <w:lang w:val="es-ES"/>
        </w:rPr>
      </w:pPr>
      <w:r w:rsidRPr="58E23F00">
        <w:rPr>
          <w:rFonts w:ascii="ITC Avant Garde" w:hAnsi="ITC Avant Garde"/>
          <w:lang w:val="es-ES"/>
        </w:rPr>
        <w:lastRenderedPageBreak/>
        <w:t xml:space="preserve">Por último, </w:t>
      </w:r>
      <w:r w:rsidR="007C441B" w:rsidRPr="58E23F00">
        <w:rPr>
          <w:rFonts w:ascii="ITC Avant Garde" w:hAnsi="ITC Avant Garde"/>
          <w:lang w:val="es-ES"/>
        </w:rPr>
        <w:t>GTV</w:t>
      </w:r>
      <w:r w:rsidRPr="58E23F00">
        <w:rPr>
          <w:rFonts w:ascii="ITC Avant Garde" w:hAnsi="ITC Avant Garde"/>
          <w:lang w:val="es-ES"/>
        </w:rPr>
        <w:t xml:space="preserve"> hizo un ejercicio de comparación de los costos de opex unitarios incluidos en los modelos sometidos a consulta frente a los incluidos en los modelos para el periodo regulatorio 2021–23. </w:t>
      </w:r>
      <w:r w:rsidR="00575582" w:rsidRPr="58E23F00">
        <w:rPr>
          <w:rFonts w:ascii="ITC Avant Garde" w:hAnsi="ITC Avant Garde"/>
          <w:lang w:val="es-ES"/>
        </w:rPr>
        <w:t>D</w:t>
      </w:r>
      <w:r w:rsidRPr="58E23F00">
        <w:rPr>
          <w:rFonts w:ascii="ITC Avant Garde" w:hAnsi="ITC Avant Garde"/>
          <w:lang w:val="es-ES"/>
        </w:rPr>
        <w:t xml:space="preserve">estacó que, mientras que el crecimiento en costos generalmente oscila entre un 24% y un 30%, hay elementos cuyo precio unitario ha sufrido un incremento superior al 400%. Estos elementos incluyen el sitio macro de un tercero (techo, antena) suburbano/rural/carretera (construcción) y los enlaces dedicados de 100Mbit/s, 300Mbit/s y 1Gbit/s. Con base en este ejercicio, el </w:t>
      </w:r>
      <w:r w:rsidR="00A94546" w:rsidRPr="58E23F00">
        <w:rPr>
          <w:rFonts w:ascii="ITC Avant Garde" w:hAnsi="ITC Avant Garde"/>
          <w:lang w:val="es-ES"/>
        </w:rPr>
        <w:t>concesionario</w:t>
      </w:r>
      <w:r w:rsidRPr="58E23F00">
        <w:rPr>
          <w:rFonts w:ascii="ITC Avant Garde" w:hAnsi="ITC Avant Garde"/>
          <w:lang w:val="es-ES"/>
        </w:rPr>
        <w:t xml:space="preserve"> </w:t>
      </w:r>
      <w:r w:rsidR="007C441B" w:rsidRPr="58E23F00">
        <w:rPr>
          <w:rFonts w:ascii="ITC Avant Garde" w:hAnsi="ITC Avant Garde"/>
          <w:lang w:val="es-ES"/>
        </w:rPr>
        <w:t>GTV</w:t>
      </w:r>
      <w:r w:rsidRPr="58E23F00">
        <w:rPr>
          <w:rFonts w:ascii="ITC Avant Garde" w:hAnsi="ITC Avant Garde"/>
          <w:lang w:val="es-ES"/>
        </w:rPr>
        <w:t xml:space="preserve"> solicita que el </w:t>
      </w:r>
      <w:r w:rsidR="647786AF" w:rsidRPr="58E23F00">
        <w:rPr>
          <w:rFonts w:ascii="ITC Avant Garde" w:hAnsi="ITC Avant Garde"/>
          <w:lang w:val="es-ES"/>
        </w:rPr>
        <w:t>I</w:t>
      </w:r>
      <w:r w:rsidR="7B5FF024" w:rsidRPr="58E23F00">
        <w:rPr>
          <w:rFonts w:ascii="ITC Avant Garde" w:hAnsi="ITC Avant Garde"/>
          <w:lang w:val="es-ES"/>
        </w:rPr>
        <w:t xml:space="preserve">nstituto </w:t>
      </w:r>
      <w:r w:rsidRPr="58E23F00">
        <w:rPr>
          <w:rFonts w:ascii="ITC Avant Garde" w:hAnsi="ITC Avant Garde"/>
          <w:lang w:val="es-ES"/>
        </w:rPr>
        <w:t>revise los elementos de red de opex y corrija cualquier desviación anómala.</w:t>
      </w:r>
    </w:p>
    <w:p w14:paraId="3A9E303E" w14:textId="2A7423CF" w:rsidR="00575582" w:rsidRDefault="00575582" w:rsidP="0080349A">
      <w:pPr>
        <w:spacing w:after="0" w:line="276" w:lineRule="auto"/>
        <w:ind w:left="0" w:right="0" w:firstLine="0"/>
        <w:rPr>
          <w:rFonts w:ascii="ITC Avant Garde" w:hAnsi="ITC Avant Garde"/>
          <w:lang w:val="es-ES"/>
        </w:rPr>
      </w:pPr>
    </w:p>
    <w:p w14:paraId="448E9657" w14:textId="3BF2D9C8" w:rsidR="00575582" w:rsidRDefault="00575582"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59303BD4" w14:textId="77777777" w:rsidR="00575582" w:rsidRPr="00541685" w:rsidRDefault="00575582" w:rsidP="0080349A">
      <w:pPr>
        <w:spacing w:after="0" w:line="276" w:lineRule="auto"/>
        <w:ind w:left="0" w:right="0" w:firstLine="0"/>
        <w:rPr>
          <w:rFonts w:ascii="ITC Avant Garde" w:hAnsi="ITC Avant Garde"/>
          <w:lang w:val="es-ES"/>
        </w:rPr>
      </w:pPr>
    </w:p>
    <w:p w14:paraId="78D6FD58" w14:textId="586F748B"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En general, las diferencias en los costos unitarios respecto al modelo 2021–23 se deben principalmente a la actualización que se ha realizado para tener una base de los costos correspondiente al año 2022 (comparado con la base de costos correspondiente al año 2015 que se solía tomar). El factor de ajuste se calculó de la siguiente manera:</w:t>
      </w:r>
    </w:p>
    <w:p w14:paraId="46D6D508" w14:textId="77777777" w:rsidR="00575582" w:rsidRPr="00541685" w:rsidRDefault="00575582" w:rsidP="0080349A">
      <w:pPr>
        <w:spacing w:after="0" w:line="276" w:lineRule="auto"/>
        <w:ind w:left="0" w:right="0" w:firstLine="0"/>
        <w:rPr>
          <w:rFonts w:ascii="ITC Avant Garde" w:hAnsi="ITC Avant Garde"/>
          <w:lang w:val="es-ES"/>
        </w:rPr>
      </w:pPr>
    </w:p>
    <w:p w14:paraId="6AC2187F" w14:textId="2F893F41"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Figura </w:t>
      </w:r>
      <w:r w:rsidR="00575582">
        <w:rPr>
          <w:rFonts w:ascii="ITC Avant Garde" w:hAnsi="ITC Avant Garde"/>
          <w:lang w:val="es-ES"/>
        </w:rPr>
        <w:t>5</w:t>
      </w:r>
      <w:r w:rsidRPr="00541685">
        <w:rPr>
          <w:rFonts w:ascii="ITC Avant Garde" w:hAnsi="ITC Avant Garde"/>
          <w:lang w:val="es-ES"/>
        </w:rPr>
        <w:t>: Ajuste de valores de costos al año 2022 [Fuente: Analysys Mason, 2023]</w:t>
      </w:r>
    </w:p>
    <w:p w14:paraId="3F4C7834" w14:textId="73AC49B0" w:rsidR="00575582" w:rsidRDefault="00575582" w:rsidP="0080349A">
      <w:pPr>
        <w:spacing w:after="0" w:line="276" w:lineRule="auto"/>
        <w:ind w:left="0" w:right="0" w:firstLine="0"/>
        <w:rPr>
          <w:rFonts w:ascii="ITC Avant Garde" w:hAnsi="ITC Avant Garde"/>
          <w:lang w:val="es-ES"/>
        </w:rPr>
      </w:pPr>
    </w:p>
    <w:p w14:paraId="3393ED3C" w14:textId="7F784EFC" w:rsidR="00575582" w:rsidRPr="00541685" w:rsidRDefault="00575582" w:rsidP="0080349A">
      <w:pPr>
        <w:spacing w:after="0" w:line="276" w:lineRule="auto"/>
        <w:ind w:left="0" w:right="0" w:firstLine="0"/>
        <w:rPr>
          <w:rFonts w:ascii="ITC Avant Garde" w:hAnsi="ITC Avant Garde"/>
          <w:lang w:val="es-ES"/>
        </w:rPr>
      </w:pPr>
      <w:r w:rsidRPr="00252533">
        <w:rPr>
          <w:noProof/>
          <w:lang w:val="es-ES"/>
        </w:rPr>
        <w:drawing>
          <wp:inline distT="0" distB="0" distL="0" distR="0" wp14:anchorId="457B2776" wp14:editId="20A5B4E8">
            <wp:extent cx="5396230" cy="10801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6230" cy="1080135"/>
                    </a:xfrm>
                    <a:prstGeom prst="rect">
                      <a:avLst/>
                    </a:prstGeom>
                    <a:noFill/>
                    <a:ln>
                      <a:noFill/>
                    </a:ln>
                  </pic:spPr>
                </pic:pic>
              </a:graphicData>
            </a:graphic>
          </wp:inline>
        </w:drawing>
      </w:r>
    </w:p>
    <w:p w14:paraId="33329FF9" w14:textId="77777777" w:rsidR="00541685" w:rsidRP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   </w:t>
      </w:r>
    </w:p>
    <w:p w14:paraId="382FD326" w14:textId="1019F65C"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Por otro lado, las diferencias más notables que el </w:t>
      </w:r>
      <w:r w:rsidR="00A94546">
        <w:rPr>
          <w:rFonts w:ascii="ITC Avant Garde" w:hAnsi="ITC Avant Garde"/>
          <w:lang w:val="es-ES"/>
        </w:rPr>
        <w:t>concesionario</w:t>
      </w:r>
      <w:r w:rsidRPr="00541685">
        <w:rPr>
          <w:rFonts w:ascii="ITC Avant Garde" w:hAnsi="ITC Avant Garde"/>
          <w:lang w:val="es-ES"/>
        </w:rPr>
        <w:t xml:space="preserve"> señala en el opex de los enlaces dedicados se deben a que estos costos se han actualizado para que estén alineados con la última oferta de referencia disponible. Mientras, la diferencia señalada en el opex de los sitios macro de un tercero se debe a que en esta revisión de los modelos se ha dispuesto de información más actualizada del mercado que ha permitido ajustar los costos asociados a este elemento de red.</w:t>
      </w:r>
    </w:p>
    <w:p w14:paraId="4F0CE53D" w14:textId="3CC32961" w:rsidR="00575582" w:rsidRDefault="00575582" w:rsidP="0080349A">
      <w:pPr>
        <w:spacing w:after="0" w:line="276" w:lineRule="auto"/>
        <w:ind w:left="0" w:right="0" w:firstLine="0"/>
        <w:rPr>
          <w:rFonts w:ascii="ITC Avant Garde" w:hAnsi="ITC Avant Garde"/>
          <w:lang w:val="es-ES"/>
        </w:rPr>
      </w:pPr>
    </w:p>
    <w:p w14:paraId="1DC41B6B" w14:textId="77777777" w:rsidR="00541685" w:rsidRPr="00575582" w:rsidRDefault="00541685" w:rsidP="0080349A">
      <w:pPr>
        <w:spacing w:after="0" w:line="276" w:lineRule="auto"/>
        <w:ind w:left="0" w:right="0" w:firstLine="0"/>
        <w:rPr>
          <w:rFonts w:ascii="ITC Avant Garde" w:hAnsi="ITC Avant Garde"/>
          <w:i/>
          <w:lang w:val="es-ES"/>
        </w:rPr>
      </w:pPr>
      <w:r w:rsidRPr="00575582">
        <w:rPr>
          <w:rFonts w:ascii="ITC Avant Garde" w:hAnsi="ITC Avant Garde"/>
          <w:i/>
          <w:lang w:val="es-ES"/>
        </w:rPr>
        <w:t>Comparabilidad de los costos unitarios de los elementos de red con otros países</w:t>
      </w:r>
    </w:p>
    <w:p w14:paraId="4859A764" w14:textId="32779506" w:rsidR="00575582" w:rsidRDefault="00575582" w:rsidP="0080349A">
      <w:pPr>
        <w:spacing w:after="0" w:line="276" w:lineRule="auto"/>
        <w:ind w:left="0" w:right="0" w:firstLine="0"/>
        <w:rPr>
          <w:rFonts w:ascii="ITC Avant Garde" w:hAnsi="ITC Avant Garde"/>
          <w:lang w:val="es-ES"/>
        </w:rPr>
      </w:pPr>
    </w:p>
    <w:p w14:paraId="309CDE06" w14:textId="554C3481" w:rsidR="00575582" w:rsidRDefault="00575582" w:rsidP="0080349A">
      <w:pPr>
        <w:spacing w:after="0" w:line="276" w:lineRule="auto"/>
        <w:ind w:left="0" w:right="0" w:firstLine="0"/>
        <w:rPr>
          <w:rFonts w:ascii="ITC Avant Garde" w:hAnsi="ITC Avant Garde"/>
          <w:lang w:val="es-ES"/>
        </w:rPr>
      </w:pPr>
      <w:r>
        <w:rPr>
          <w:rFonts w:ascii="ITC Avant Garde" w:hAnsi="ITC Avant Garde"/>
          <w:lang w:val="es-ES"/>
        </w:rPr>
        <w:t>GTV</w:t>
      </w:r>
    </w:p>
    <w:p w14:paraId="13DC5F2D" w14:textId="77777777" w:rsidR="00575582" w:rsidRDefault="00575582" w:rsidP="0080349A">
      <w:pPr>
        <w:spacing w:after="0" w:line="276" w:lineRule="auto"/>
        <w:ind w:left="0" w:right="0" w:firstLine="0"/>
        <w:rPr>
          <w:rFonts w:ascii="ITC Avant Garde" w:hAnsi="ITC Avant Garde"/>
          <w:lang w:val="es-ES"/>
        </w:rPr>
      </w:pPr>
    </w:p>
    <w:p w14:paraId="075C9DB5" w14:textId="6E5B079B" w:rsidR="00541685" w:rsidRDefault="007C441B" w:rsidP="0080349A">
      <w:pPr>
        <w:spacing w:after="0" w:line="276" w:lineRule="auto"/>
        <w:ind w:left="0" w:right="0" w:firstLine="0"/>
        <w:rPr>
          <w:rFonts w:ascii="ITC Avant Garde" w:hAnsi="ITC Avant Garde"/>
          <w:lang w:val="es-ES"/>
        </w:rPr>
      </w:pPr>
      <w:r w:rsidRPr="58E23F00">
        <w:rPr>
          <w:rFonts w:ascii="ITC Avant Garde" w:hAnsi="ITC Avant Garde"/>
          <w:lang w:val="es-ES"/>
        </w:rPr>
        <w:t>GTV</w:t>
      </w:r>
      <w:r w:rsidR="00541685" w:rsidRPr="58E23F00">
        <w:rPr>
          <w:rFonts w:ascii="ITC Avant Garde" w:hAnsi="ITC Avant Garde"/>
          <w:lang w:val="es-ES"/>
        </w:rPr>
        <w:t xml:space="preserve"> afirma que los precios unitarios en el modelo de costos 2024–26 son generalmente superiores a aquellos observados en otros países europeos. El </w:t>
      </w:r>
      <w:r w:rsidR="00A94546" w:rsidRPr="58E23F00">
        <w:rPr>
          <w:rFonts w:ascii="ITC Avant Garde" w:hAnsi="ITC Avant Garde"/>
          <w:lang w:val="es-ES"/>
        </w:rPr>
        <w:t>concesionario</w:t>
      </w:r>
      <w:r w:rsidR="00541685" w:rsidRPr="58E23F00">
        <w:rPr>
          <w:rFonts w:ascii="ITC Avant Garde" w:hAnsi="ITC Avant Garde"/>
          <w:lang w:val="es-ES"/>
        </w:rPr>
        <w:t xml:space="preserve"> llega a esta conclusión tras realizar un ejercicio de comparativa internacional del capex y opex unitario incluido en los modelos sujetos a consulta </w:t>
      </w:r>
      <w:r w:rsidR="00541685" w:rsidRPr="58E23F00">
        <w:rPr>
          <w:rFonts w:ascii="ITC Avant Garde" w:hAnsi="ITC Avant Garde"/>
          <w:lang w:val="es-ES"/>
        </w:rPr>
        <w:lastRenderedPageBreak/>
        <w:t xml:space="preserve">frente a los costos de interconexión móvil en Portugal (ANACOM, 2015), España (CNMC, 2018) y Francia (ARCEP, 2014). Por tanto, el </w:t>
      </w:r>
      <w:r w:rsidR="00A94546" w:rsidRPr="58E23F00">
        <w:rPr>
          <w:rFonts w:ascii="ITC Avant Garde" w:hAnsi="ITC Avant Garde"/>
          <w:lang w:val="es-ES"/>
        </w:rPr>
        <w:t>concesionario</w:t>
      </w:r>
      <w:r w:rsidR="00541685" w:rsidRPr="58E23F00">
        <w:rPr>
          <w:rFonts w:ascii="ITC Avant Garde" w:hAnsi="ITC Avant Garde"/>
          <w:lang w:val="es-ES"/>
        </w:rPr>
        <w:t xml:space="preserve"> </w:t>
      </w:r>
      <w:r w:rsidRPr="58E23F00">
        <w:rPr>
          <w:rFonts w:ascii="ITC Avant Garde" w:hAnsi="ITC Avant Garde"/>
          <w:lang w:val="es-ES"/>
        </w:rPr>
        <w:t>GTV</w:t>
      </w:r>
      <w:r w:rsidR="00541685" w:rsidRPr="58E23F00">
        <w:rPr>
          <w:rFonts w:ascii="ITC Avant Garde" w:hAnsi="ITC Avant Garde"/>
          <w:lang w:val="es-ES"/>
        </w:rPr>
        <w:t xml:space="preserve"> solicita al </w:t>
      </w:r>
      <w:r w:rsidR="647786AF" w:rsidRPr="58E23F00">
        <w:rPr>
          <w:rFonts w:ascii="ITC Avant Garde" w:hAnsi="ITC Avant Garde"/>
          <w:lang w:val="es-ES"/>
        </w:rPr>
        <w:t>I</w:t>
      </w:r>
      <w:r w:rsidR="25D8082E"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que lleve a cabo una revisión exhaustiva de los costos unitarios del modelo para alinearlos con los observados en modelos de costos de otros reguladores.</w:t>
      </w:r>
    </w:p>
    <w:p w14:paraId="43B9FC12" w14:textId="68F4EC48" w:rsidR="00575582" w:rsidRDefault="00575582" w:rsidP="0080349A">
      <w:pPr>
        <w:spacing w:after="0" w:line="276" w:lineRule="auto"/>
        <w:ind w:left="0" w:right="0" w:firstLine="0"/>
        <w:rPr>
          <w:rFonts w:ascii="ITC Avant Garde" w:hAnsi="ITC Avant Garde"/>
          <w:lang w:val="es-ES"/>
        </w:rPr>
      </w:pPr>
    </w:p>
    <w:p w14:paraId="0BE6EDE0" w14:textId="6568C04D" w:rsidR="00575582" w:rsidRDefault="00575582" w:rsidP="00575582">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3ECA10D7" w14:textId="77777777" w:rsidR="00575582" w:rsidRPr="00541685" w:rsidRDefault="00575582" w:rsidP="0080349A">
      <w:pPr>
        <w:spacing w:after="0" w:line="276" w:lineRule="auto"/>
        <w:ind w:left="0" w:right="0" w:firstLine="0"/>
        <w:rPr>
          <w:rFonts w:ascii="ITC Avant Garde" w:hAnsi="ITC Avant Garde"/>
          <w:lang w:val="es-ES"/>
        </w:rPr>
      </w:pPr>
    </w:p>
    <w:p w14:paraId="071AE753" w14:textId="7540E1BC" w:rsidR="00541685" w:rsidRDefault="00575582" w:rsidP="0080349A">
      <w:pPr>
        <w:spacing w:after="0" w:line="276" w:lineRule="auto"/>
        <w:ind w:left="0" w:right="0" w:firstLine="0"/>
        <w:rPr>
          <w:rFonts w:ascii="ITC Avant Garde" w:hAnsi="ITC Avant Garde"/>
          <w:lang w:val="es-ES"/>
        </w:rPr>
      </w:pPr>
      <w:r>
        <w:rPr>
          <w:rFonts w:ascii="ITC Avant Garde" w:hAnsi="ITC Avant Garde"/>
          <w:lang w:val="es-ES"/>
        </w:rPr>
        <w:t>Se aprecian</w:t>
      </w:r>
      <w:r w:rsidR="00541685" w:rsidRPr="00541685">
        <w:rPr>
          <w:rFonts w:ascii="ITC Avant Garde" w:hAnsi="ITC Avant Garde"/>
          <w:lang w:val="es-ES"/>
        </w:rPr>
        <w:t xml:space="preserve"> las diferencias en los costos unitarios respecto a otros países que muestra el </w:t>
      </w:r>
      <w:r w:rsidR="00A94546">
        <w:rPr>
          <w:rFonts w:ascii="ITC Avant Garde" w:hAnsi="ITC Avant Garde"/>
          <w:lang w:val="es-ES"/>
        </w:rPr>
        <w:t>concesionario</w:t>
      </w:r>
      <w:r w:rsidR="00541685" w:rsidRPr="00541685">
        <w:rPr>
          <w:rFonts w:ascii="ITC Avant Garde" w:hAnsi="ITC Avant Garde"/>
          <w:lang w:val="es-ES"/>
        </w:rPr>
        <w:t xml:space="preserve">. A este respecto, </w:t>
      </w:r>
      <w:r w:rsidR="00376355">
        <w:rPr>
          <w:rFonts w:ascii="ITC Avant Garde" w:hAnsi="ITC Avant Garde"/>
          <w:lang w:val="es-ES"/>
        </w:rPr>
        <w:t>se destaca</w:t>
      </w:r>
      <w:r w:rsidR="00541685" w:rsidRPr="00541685">
        <w:rPr>
          <w:rFonts w:ascii="ITC Avant Garde" w:hAnsi="ITC Avant Garde"/>
          <w:lang w:val="es-ES"/>
        </w:rPr>
        <w:t xml:space="preserve"> que los costos unitarios incluidos en el modelo sometido a consulta han sido fijados a raíz de la información reportada por los </w:t>
      </w:r>
      <w:r w:rsidR="00A94546">
        <w:rPr>
          <w:rFonts w:ascii="ITC Avant Garde" w:hAnsi="ITC Avant Garde"/>
          <w:lang w:val="es-ES"/>
        </w:rPr>
        <w:t>concesionarios</w:t>
      </w:r>
      <w:r w:rsidR="00541685" w:rsidRPr="00541685">
        <w:rPr>
          <w:rFonts w:ascii="ITC Avant Garde" w:hAnsi="ITC Avant Garde"/>
          <w:lang w:val="es-ES"/>
        </w:rPr>
        <w:t xml:space="preserve"> en el requerimiento de datos. </w:t>
      </w:r>
      <w:r>
        <w:rPr>
          <w:rFonts w:ascii="ITC Avant Garde" w:hAnsi="ITC Avant Garde"/>
          <w:lang w:val="es-ES"/>
        </w:rPr>
        <w:t>E</w:t>
      </w:r>
      <w:r w:rsidR="00541685" w:rsidRPr="00541685">
        <w:rPr>
          <w:rFonts w:ascii="ITC Avant Garde" w:hAnsi="ITC Avant Garde"/>
          <w:lang w:val="es-ES"/>
        </w:rPr>
        <w:t xml:space="preserve">sta es la fuente de información más apropiada, ya que las fuentes internacionales podrían no ser totalmente comparables (por ejemplo, el costo de los emplazamientos macro mencionados por el </w:t>
      </w:r>
      <w:r w:rsidR="00A94546">
        <w:rPr>
          <w:rFonts w:ascii="ITC Avant Garde" w:hAnsi="ITC Avant Garde"/>
          <w:lang w:val="es-ES"/>
        </w:rPr>
        <w:t>concesionario</w:t>
      </w:r>
      <w:r w:rsidR="00541685" w:rsidRPr="00541685">
        <w:rPr>
          <w:rFonts w:ascii="ITC Avant Garde" w:hAnsi="ITC Avant Garde"/>
          <w:lang w:val="es-ES"/>
        </w:rPr>
        <w:t xml:space="preserve"> dependerá, entre otros factores, del costo del suelo en cada país, el cual puede mostrar desviaciones sustanciales).</w:t>
      </w:r>
    </w:p>
    <w:p w14:paraId="5520DCAF" w14:textId="77777777" w:rsidR="00575582" w:rsidRPr="00541685" w:rsidRDefault="00575582" w:rsidP="0080349A">
      <w:pPr>
        <w:spacing w:after="0" w:line="276" w:lineRule="auto"/>
        <w:ind w:left="0" w:right="0" w:firstLine="0"/>
        <w:rPr>
          <w:rFonts w:ascii="ITC Avant Garde" w:hAnsi="ITC Avant Garde"/>
          <w:lang w:val="es-ES"/>
        </w:rPr>
      </w:pPr>
    </w:p>
    <w:p w14:paraId="2E2901F7" w14:textId="26EC0B1D"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En cualquier caso, cabe </w:t>
      </w:r>
      <w:r w:rsidR="00A77155">
        <w:rPr>
          <w:rFonts w:ascii="ITC Avant Garde" w:hAnsi="ITC Avant Garde"/>
          <w:lang w:val="es-ES"/>
        </w:rPr>
        <w:t>destacar</w:t>
      </w:r>
      <w:r w:rsidRPr="00541685">
        <w:rPr>
          <w:rFonts w:ascii="ITC Avant Garde" w:hAnsi="ITC Avant Garde"/>
          <w:lang w:val="es-ES"/>
        </w:rPr>
        <w:t xml:space="preserve"> que los costos unitarios de varios de los elementos listados por el </w:t>
      </w:r>
      <w:r w:rsidR="00A94546">
        <w:rPr>
          <w:rFonts w:ascii="ITC Avant Garde" w:hAnsi="ITC Avant Garde"/>
          <w:lang w:val="es-ES"/>
        </w:rPr>
        <w:t>concesionario</w:t>
      </w:r>
      <w:r w:rsidRPr="00541685">
        <w:rPr>
          <w:rFonts w:ascii="ITC Avant Garde" w:hAnsi="ITC Avant Garde"/>
          <w:lang w:val="es-ES"/>
        </w:rPr>
        <w:t xml:space="preserve"> (como puede ser el RCN, TRX o MGW) parecen estar dentro del rango de la comparativa internacional mostrada y, por lo tanto, </w:t>
      </w:r>
      <w:r w:rsidR="00575582">
        <w:rPr>
          <w:rFonts w:ascii="ITC Avant Garde" w:hAnsi="ITC Avant Garde"/>
          <w:lang w:val="es-ES"/>
        </w:rPr>
        <w:t>s</w:t>
      </w:r>
      <w:r w:rsidR="007C441B">
        <w:rPr>
          <w:rFonts w:ascii="ITC Avant Garde" w:hAnsi="ITC Avant Garde"/>
          <w:lang w:val="es-ES"/>
        </w:rPr>
        <w:t xml:space="preserve">e </w:t>
      </w:r>
      <w:r w:rsidRPr="00541685">
        <w:rPr>
          <w:rFonts w:ascii="ITC Avant Garde" w:hAnsi="ITC Avant Garde"/>
          <w:lang w:val="es-ES"/>
        </w:rPr>
        <w:t xml:space="preserve">consideran adecuados. Finalmente, </w:t>
      </w:r>
      <w:r w:rsidR="00376355">
        <w:rPr>
          <w:rFonts w:ascii="ITC Avant Garde" w:hAnsi="ITC Avant Garde"/>
          <w:lang w:val="es-ES"/>
        </w:rPr>
        <w:t>se destaca</w:t>
      </w:r>
      <w:r w:rsidRPr="00541685">
        <w:rPr>
          <w:rFonts w:ascii="ITC Avant Garde" w:hAnsi="ITC Avant Garde"/>
          <w:lang w:val="es-ES"/>
        </w:rPr>
        <w:t xml:space="preserve"> que los precios en los países incluidos por el </w:t>
      </w:r>
      <w:r w:rsidR="00A94546">
        <w:rPr>
          <w:rFonts w:ascii="ITC Avant Garde" w:hAnsi="ITC Avant Garde"/>
          <w:lang w:val="es-ES"/>
        </w:rPr>
        <w:t>concesionario</w:t>
      </w:r>
      <w:r w:rsidRPr="00541685">
        <w:rPr>
          <w:rFonts w:ascii="ITC Avant Garde" w:hAnsi="ITC Avant Garde"/>
          <w:lang w:val="es-ES"/>
        </w:rPr>
        <w:t xml:space="preserve"> en la comparativa varían notablemente entre </w:t>
      </w:r>
      <w:r w:rsidR="00665CBA">
        <w:rPr>
          <w:rFonts w:ascii="ITC Avant Garde" w:hAnsi="ITC Avant Garde"/>
          <w:lang w:val="es-ES"/>
        </w:rPr>
        <w:t>si</w:t>
      </w:r>
      <w:r w:rsidRPr="00541685">
        <w:rPr>
          <w:rFonts w:ascii="ITC Avant Garde" w:hAnsi="ITC Avant Garde"/>
          <w:lang w:val="es-ES"/>
        </w:rPr>
        <w:t xml:space="preserve"> (p.ej., según la comparativa realizada por el </w:t>
      </w:r>
      <w:r w:rsidR="00A94546">
        <w:rPr>
          <w:rFonts w:ascii="ITC Avant Garde" w:hAnsi="ITC Avant Garde"/>
          <w:lang w:val="es-ES"/>
        </w:rPr>
        <w:t>concesionario</w:t>
      </w:r>
      <w:r w:rsidRPr="00541685">
        <w:rPr>
          <w:rFonts w:ascii="ITC Avant Garde" w:hAnsi="ITC Avant Garde"/>
          <w:lang w:val="es-ES"/>
        </w:rPr>
        <w:t>, el elemento de red MGW cuesta USD516</w:t>
      </w:r>
      <w:r w:rsidR="00575582">
        <w:rPr>
          <w:rFonts w:ascii="ITC Avant Garde" w:hAnsi="ITC Avant Garde"/>
          <w:lang w:val="es-ES"/>
        </w:rPr>
        <w:t>,</w:t>
      </w:r>
      <w:r w:rsidRPr="00541685">
        <w:rPr>
          <w:rFonts w:ascii="ITC Avant Garde" w:hAnsi="ITC Avant Garde"/>
          <w:lang w:val="es-ES"/>
        </w:rPr>
        <w:t>000 en España, frente a USD1</w:t>
      </w:r>
      <w:r w:rsidR="00575582">
        <w:rPr>
          <w:rFonts w:ascii="ITC Avant Garde" w:hAnsi="ITC Avant Garde"/>
          <w:lang w:val="es-ES"/>
        </w:rPr>
        <w:t>,</w:t>
      </w:r>
      <w:r w:rsidRPr="00541685">
        <w:rPr>
          <w:rFonts w:ascii="ITC Avant Garde" w:hAnsi="ITC Avant Garde"/>
          <w:lang w:val="es-ES"/>
        </w:rPr>
        <w:t>099</w:t>
      </w:r>
      <w:r w:rsidR="00575582">
        <w:rPr>
          <w:rFonts w:ascii="ITC Avant Garde" w:hAnsi="ITC Avant Garde"/>
          <w:lang w:val="es-ES"/>
        </w:rPr>
        <w:t>,</w:t>
      </w:r>
      <w:r w:rsidRPr="00541685">
        <w:rPr>
          <w:rFonts w:ascii="ITC Avant Garde" w:hAnsi="ITC Avant Garde"/>
          <w:lang w:val="es-ES"/>
        </w:rPr>
        <w:t>000 en Francia). Esta diferencia en los precios evidencia la complejidad y limitaciones asociadas al uso de una comparativa internacional en este tipo de ejercicios.</w:t>
      </w:r>
    </w:p>
    <w:p w14:paraId="48731C65" w14:textId="77777777" w:rsidR="00575582" w:rsidRPr="00541685" w:rsidRDefault="00575582" w:rsidP="0080349A">
      <w:pPr>
        <w:spacing w:after="0" w:line="276" w:lineRule="auto"/>
        <w:ind w:left="0" w:right="0" w:firstLine="0"/>
        <w:rPr>
          <w:rFonts w:ascii="ITC Avant Garde" w:hAnsi="ITC Avant Garde"/>
          <w:lang w:val="es-ES"/>
        </w:rPr>
      </w:pPr>
    </w:p>
    <w:p w14:paraId="763D3E03" w14:textId="77777777" w:rsidR="00541685" w:rsidRPr="00575582" w:rsidRDefault="00541685" w:rsidP="0080349A">
      <w:pPr>
        <w:spacing w:after="0" w:line="276" w:lineRule="auto"/>
        <w:ind w:left="0" w:right="0" w:firstLine="0"/>
        <w:rPr>
          <w:rFonts w:ascii="ITC Avant Garde" w:hAnsi="ITC Avant Garde"/>
          <w:i/>
          <w:lang w:val="es-ES"/>
        </w:rPr>
      </w:pPr>
      <w:r w:rsidRPr="00575582">
        <w:rPr>
          <w:rFonts w:ascii="ITC Avant Garde" w:hAnsi="ITC Avant Garde"/>
          <w:i/>
          <w:lang w:val="es-ES"/>
        </w:rPr>
        <w:t>Vida útil de los sitios macro</w:t>
      </w:r>
    </w:p>
    <w:p w14:paraId="5D565FDD" w14:textId="4B1C755F" w:rsidR="00575582" w:rsidRDefault="00575582" w:rsidP="0080349A">
      <w:pPr>
        <w:spacing w:after="0" w:line="276" w:lineRule="auto"/>
        <w:ind w:left="0" w:right="0" w:firstLine="0"/>
        <w:rPr>
          <w:rFonts w:ascii="ITC Avant Garde" w:hAnsi="ITC Avant Garde"/>
          <w:lang w:val="es-ES"/>
        </w:rPr>
      </w:pPr>
    </w:p>
    <w:p w14:paraId="1DCFABCF" w14:textId="150907B7" w:rsidR="00575582" w:rsidRDefault="00575582" w:rsidP="0080349A">
      <w:pPr>
        <w:spacing w:after="0" w:line="276" w:lineRule="auto"/>
        <w:ind w:left="0" w:right="0" w:firstLine="0"/>
        <w:rPr>
          <w:rFonts w:ascii="ITC Avant Garde" w:hAnsi="ITC Avant Garde"/>
          <w:lang w:val="es-ES"/>
        </w:rPr>
      </w:pPr>
      <w:r>
        <w:rPr>
          <w:rFonts w:ascii="ITC Avant Garde" w:hAnsi="ITC Avant Garde"/>
          <w:lang w:val="es-ES"/>
        </w:rPr>
        <w:t>GTV</w:t>
      </w:r>
    </w:p>
    <w:p w14:paraId="3B51C5C2" w14:textId="77777777" w:rsidR="00575582" w:rsidRDefault="00575582" w:rsidP="0080349A">
      <w:pPr>
        <w:spacing w:after="0" w:line="276" w:lineRule="auto"/>
        <w:ind w:left="0" w:right="0" w:firstLine="0"/>
        <w:rPr>
          <w:rFonts w:ascii="ITC Avant Garde" w:hAnsi="ITC Avant Garde"/>
          <w:lang w:val="es-ES"/>
        </w:rPr>
      </w:pPr>
    </w:p>
    <w:p w14:paraId="2680FEC4" w14:textId="4A1BB968" w:rsidR="00541685" w:rsidRDefault="007C441B" w:rsidP="0080349A">
      <w:pPr>
        <w:spacing w:after="0" w:line="276" w:lineRule="auto"/>
        <w:ind w:left="0" w:right="0" w:firstLine="0"/>
        <w:rPr>
          <w:rFonts w:ascii="ITC Avant Garde" w:hAnsi="ITC Avant Garde"/>
          <w:lang w:val="es-ES"/>
        </w:rPr>
      </w:pPr>
      <w:r>
        <w:rPr>
          <w:rFonts w:ascii="ITC Avant Garde" w:hAnsi="ITC Avant Garde"/>
          <w:lang w:val="es-ES"/>
        </w:rPr>
        <w:t>GTV</w:t>
      </w:r>
      <w:r w:rsidR="00541685" w:rsidRPr="00541685">
        <w:rPr>
          <w:rFonts w:ascii="ITC Avant Garde" w:hAnsi="ITC Avant Garde"/>
          <w:lang w:val="es-ES"/>
        </w:rPr>
        <w:t xml:space="preserve"> muestra su disconformidad respecto a los valores de vida útil establecidos para los sitios macro propios. El </w:t>
      </w:r>
      <w:r w:rsidR="00A94546">
        <w:rPr>
          <w:rFonts w:ascii="ITC Avant Garde" w:hAnsi="ITC Avant Garde"/>
          <w:lang w:val="es-ES"/>
        </w:rPr>
        <w:t>concesionario</w:t>
      </w:r>
      <w:r w:rsidR="00541685" w:rsidRPr="00541685">
        <w:rPr>
          <w:rFonts w:ascii="ITC Avant Garde" w:hAnsi="ITC Avant Garde"/>
          <w:lang w:val="es-ES"/>
        </w:rPr>
        <w:t xml:space="preserve"> solicita que el valor se amplíe a 20 años para este activo apoyándose en la prácti</w:t>
      </w:r>
      <w:r w:rsidR="00575582">
        <w:rPr>
          <w:rFonts w:ascii="ITC Avant Garde" w:hAnsi="ITC Avant Garde"/>
          <w:lang w:val="es-ES"/>
        </w:rPr>
        <w:t>ca</w:t>
      </w:r>
      <w:r w:rsidR="008A4535">
        <w:rPr>
          <w:rFonts w:ascii="ITC Avant Garde" w:hAnsi="ITC Avant Garde"/>
          <w:lang w:val="es-ES"/>
        </w:rPr>
        <w:t xml:space="preserve"> </w:t>
      </w:r>
      <w:r w:rsidR="00541685" w:rsidRPr="00541685">
        <w:rPr>
          <w:rFonts w:ascii="ITC Avant Garde" w:hAnsi="ITC Avant Garde"/>
          <w:lang w:val="es-ES"/>
        </w:rPr>
        <w:t>observada en otros modelos de costos.</w:t>
      </w:r>
    </w:p>
    <w:p w14:paraId="24A4B76E" w14:textId="5E1DB8F9" w:rsidR="00575582" w:rsidRDefault="00575582" w:rsidP="0080349A">
      <w:pPr>
        <w:spacing w:after="0" w:line="276" w:lineRule="auto"/>
        <w:ind w:left="0" w:right="0" w:firstLine="0"/>
        <w:rPr>
          <w:rFonts w:ascii="ITC Avant Garde" w:hAnsi="ITC Avant Garde"/>
          <w:lang w:val="es-ES"/>
        </w:rPr>
      </w:pPr>
    </w:p>
    <w:p w14:paraId="7202B9B8" w14:textId="194BCD50" w:rsidR="00575582" w:rsidRDefault="00575582" w:rsidP="00575582">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354E0345" w14:textId="0CE04D9A" w:rsidR="00575582" w:rsidRDefault="00575582" w:rsidP="0080349A">
      <w:pPr>
        <w:spacing w:after="0" w:line="276" w:lineRule="auto"/>
        <w:ind w:left="0" w:right="0" w:firstLine="0"/>
        <w:rPr>
          <w:rFonts w:ascii="ITC Avant Garde" w:hAnsi="ITC Avant Garde"/>
          <w:lang w:val="es-ES"/>
        </w:rPr>
      </w:pPr>
    </w:p>
    <w:p w14:paraId="3DBA5A7A" w14:textId="7B2F9C66" w:rsidR="00541685" w:rsidRPr="00541685" w:rsidRDefault="00575582" w:rsidP="0080349A">
      <w:pPr>
        <w:spacing w:after="0" w:line="276" w:lineRule="auto"/>
        <w:ind w:left="0" w:right="0" w:firstLine="0"/>
        <w:rPr>
          <w:rFonts w:ascii="ITC Avant Garde" w:hAnsi="ITC Avant Garde"/>
          <w:lang w:val="es-ES"/>
        </w:rPr>
      </w:pPr>
      <w:r>
        <w:rPr>
          <w:rFonts w:ascii="ITC Avant Garde" w:hAnsi="ITC Avant Garde"/>
          <w:lang w:val="es-ES"/>
        </w:rPr>
        <w:t>E</w:t>
      </w:r>
      <w:r w:rsidR="00541685" w:rsidRPr="00541685">
        <w:rPr>
          <w:rFonts w:ascii="ITC Avant Garde" w:hAnsi="ITC Avant Garde"/>
          <w:lang w:val="es-ES"/>
        </w:rPr>
        <w:t xml:space="preserve">l valor establecido para la vida útil de los sitios macro propios se fija con base en el dato provisto por los </w:t>
      </w:r>
      <w:r w:rsidR="00A94546">
        <w:rPr>
          <w:rFonts w:ascii="ITC Avant Garde" w:hAnsi="ITC Avant Garde"/>
          <w:lang w:val="es-ES"/>
        </w:rPr>
        <w:t>concesionarios</w:t>
      </w:r>
      <w:r w:rsidR="00541685" w:rsidRPr="00541685">
        <w:rPr>
          <w:rFonts w:ascii="ITC Avant Garde" w:hAnsi="ITC Avant Garde"/>
          <w:lang w:val="es-ES"/>
        </w:rPr>
        <w:t>, el cual ha sido de 15 años. En cualquier caso, se hace notar que en ambos modelos (AEP y C</w:t>
      </w:r>
      <w:r>
        <w:rPr>
          <w:rFonts w:ascii="ITC Avant Garde" w:hAnsi="ITC Avant Garde"/>
          <w:lang w:val="es-ES"/>
        </w:rPr>
        <w:t>S</w:t>
      </w:r>
      <w:r w:rsidR="00541685" w:rsidRPr="00541685">
        <w:rPr>
          <w:rFonts w:ascii="ITC Avant Garde" w:hAnsi="ITC Avant Garde"/>
          <w:lang w:val="es-ES"/>
        </w:rPr>
        <w:t xml:space="preserve">) se asume que todos los emplazamientos son arrendados de terceras partes (en línea con la evolución del </w:t>
      </w:r>
      <w:r w:rsidR="00541685" w:rsidRPr="00541685">
        <w:rPr>
          <w:rFonts w:ascii="ITC Avant Garde" w:hAnsi="ITC Avant Garde"/>
          <w:lang w:val="es-ES"/>
        </w:rPr>
        <w:lastRenderedPageBreak/>
        <w:t>mercado en México), con lo cual la vida útil de los emplazamientos propios no tiene impacto en los resultados finales de los servicios regulados.</w:t>
      </w:r>
    </w:p>
    <w:p w14:paraId="0061D2F2" w14:textId="77777777" w:rsidR="00575582" w:rsidRDefault="00575582" w:rsidP="0080349A">
      <w:pPr>
        <w:spacing w:after="0" w:line="276" w:lineRule="auto"/>
        <w:ind w:left="0" w:right="0" w:firstLine="0"/>
        <w:rPr>
          <w:rFonts w:ascii="ITC Avant Garde" w:hAnsi="ITC Avant Garde"/>
          <w:lang w:val="es-ES"/>
        </w:rPr>
      </w:pPr>
    </w:p>
    <w:p w14:paraId="312DD9C8" w14:textId="210CBAAA" w:rsidR="00541685" w:rsidRPr="00575582" w:rsidRDefault="00541685" w:rsidP="0080349A">
      <w:pPr>
        <w:spacing w:after="0" w:line="276" w:lineRule="auto"/>
        <w:ind w:left="0" w:right="0" w:firstLine="0"/>
        <w:rPr>
          <w:rFonts w:ascii="ITC Avant Garde" w:hAnsi="ITC Avant Garde"/>
          <w:i/>
          <w:lang w:val="es-ES"/>
        </w:rPr>
      </w:pPr>
      <w:r w:rsidRPr="00575582">
        <w:rPr>
          <w:rFonts w:ascii="ITC Avant Garde" w:hAnsi="ITC Avant Garde"/>
          <w:i/>
          <w:lang w:val="es-ES"/>
        </w:rPr>
        <w:t>Tiempo de retirada de equipos</w:t>
      </w:r>
    </w:p>
    <w:p w14:paraId="70DDC83A" w14:textId="4CF316D3" w:rsidR="00575582" w:rsidRDefault="00575582" w:rsidP="0080349A">
      <w:pPr>
        <w:spacing w:after="0" w:line="276" w:lineRule="auto"/>
        <w:ind w:left="0" w:right="0" w:firstLine="0"/>
        <w:rPr>
          <w:rFonts w:ascii="ITC Avant Garde" w:hAnsi="ITC Avant Garde"/>
          <w:lang w:val="es-ES"/>
        </w:rPr>
      </w:pPr>
    </w:p>
    <w:p w14:paraId="24BF6E8D" w14:textId="56BDC691" w:rsidR="00575582" w:rsidRDefault="00575582" w:rsidP="0080349A">
      <w:pPr>
        <w:spacing w:after="0" w:line="276" w:lineRule="auto"/>
        <w:ind w:left="0" w:right="0" w:firstLine="0"/>
        <w:rPr>
          <w:rFonts w:ascii="ITC Avant Garde" w:hAnsi="ITC Avant Garde"/>
          <w:lang w:val="es-ES"/>
        </w:rPr>
      </w:pPr>
      <w:r>
        <w:rPr>
          <w:rFonts w:ascii="ITC Avant Garde" w:hAnsi="ITC Avant Garde"/>
          <w:lang w:val="es-ES"/>
        </w:rPr>
        <w:t>GTV</w:t>
      </w:r>
    </w:p>
    <w:p w14:paraId="3AF7BBF9" w14:textId="77777777" w:rsidR="00575582" w:rsidRDefault="00575582" w:rsidP="0080349A">
      <w:pPr>
        <w:spacing w:after="0" w:line="276" w:lineRule="auto"/>
        <w:ind w:left="0" w:right="0" w:firstLine="0"/>
        <w:rPr>
          <w:rFonts w:ascii="ITC Avant Garde" w:hAnsi="ITC Avant Garde"/>
          <w:lang w:val="es-ES"/>
        </w:rPr>
      </w:pPr>
    </w:p>
    <w:p w14:paraId="470890DE" w14:textId="0AED7B93" w:rsidR="00541685" w:rsidRDefault="007C441B" w:rsidP="0080349A">
      <w:pPr>
        <w:spacing w:after="0" w:line="276" w:lineRule="auto"/>
        <w:ind w:left="0" w:right="0" w:firstLine="0"/>
        <w:rPr>
          <w:rFonts w:ascii="ITC Avant Garde" w:hAnsi="ITC Avant Garde"/>
          <w:lang w:val="es-ES"/>
        </w:rPr>
      </w:pPr>
      <w:r>
        <w:rPr>
          <w:rFonts w:ascii="ITC Avant Garde" w:hAnsi="ITC Avant Garde"/>
          <w:lang w:val="es-ES"/>
        </w:rPr>
        <w:t>GTV</w:t>
      </w:r>
      <w:r w:rsidR="00541685" w:rsidRPr="00541685">
        <w:rPr>
          <w:rFonts w:ascii="ITC Avant Garde" w:hAnsi="ITC Avant Garde"/>
          <w:lang w:val="es-ES"/>
        </w:rPr>
        <w:t xml:space="preserve"> solicita una justificación del motivo por el que se utilizan como referencia los tiempos de retiro de uno, dos o 100 años.</w:t>
      </w:r>
    </w:p>
    <w:p w14:paraId="53AA6A2D" w14:textId="4BB82DE4" w:rsidR="00575582" w:rsidRDefault="00575582" w:rsidP="0080349A">
      <w:pPr>
        <w:spacing w:after="0" w:line="276" w:lineRule="auto"/>
        <w:ind w:left="0" w:right="0" w:firstLine="0"/>
        <w:rPr>
          <w:rFonts w:ascii="ITC Avant Garde" w:hAnsi="ITC Avant Garde"/>
          <w:lang w:val="es-ES"/>
        </w:rPr>
      </w:pPr>
    </w:p>
    <w:p w14:paraId="31684202" w14:textId="53EA6995" w:rsidR="00575582" w:rsidRDefault="00575582" w:rsidP="00575582">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5E31A3DD" w14:textId="77777777" w:rsidR="00575582" w:rsidRPr="00541685" w:rsidRDefault="00575582" w:rsidP="0080349A">
      <w:pPr>
        <w:spacing w:after="0" w:line="276" w:lineRule="auto"/>
        <w:ind w:left="0" w:right="0" w:firstLine="0"/>
        <w:rPr>
          <w:rFonts w:ascii="ITC Avant Garde" w:hAnsi="ITC Avant Garde"/>
          <w:lang w:val="es-ES"/>
        </w:rPr>
      </w:pPr>
    </w:p>
    <w:p w14:paraId="2EAA6BDE" w14:textId="07B90FB6"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El algoritmo de retirada de la red se emplea en el modelo para asegurar que el número de elementos que tienen que ser activados o retirados en la red se realizan de forma eficiente desde un punto de vista técnico y económico. En concreto, el algoritmo sirve para evitar que se retiren elementos de la red por un corto periodo de tiempo y que más adelante se tengan que volver a desplegar (por ejemplo, por fluctuaciones temporales que pueda haber en las necesidades de red). De no tener en cuenta este algoritmo, el modelo podría sobreestimar las necesidades de inversión futuras, reinvirtiendo en equipos que fueron retirados en el pasado, pero que seguirían estando dentro de su vida útil. Al mismo tiempo, el algoritmo asegura que los equipos que ya no vayan a ser empleados en el largo plazo son retirados, para minimizar los costos operativos de la red en la medida de lo posible</w:t>
      </w:r>
    </w:p>
    <w:p w14:paraId="619C6972" w14:textId="77777777" w:rsidR="00575582" w:rsidRPr="00541685" w:rsidRDefault="00575582" w:rsidP="0080349A">
      <w:pPr>
        <w:spacing w:after="0" w:line="276" w:lineRule="auto"/>
        <w:ind w:left="0" w:right="0" w:firstLine="0"/>
        <w:rPr>
          <w:rFonts w:ascii="ITC Avant Garde" w:hAnsi="ITC Avant Garde"/>
          <w:lang w:val="es-ES"/>
        </w:rPr>
      </w:pPr>
    </w:p>
    <w:p w14:paraId="5AF8E79B" w14:textId="48861A52"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En este sentido, el tiempo de retiro de los distintos elementos se establece en función del tipo de activo y la inversión necesaria para desactivarlos/activarlos. En general, se define un tiempo de retiro mayor para aquellos elementos de red que tienen un alto costo de adquisición comparado con su costo de mantenimiento. Los elementos activos no se retiran hasta que la demanda de dicho elemento haya disminuido y se prolongue durante un tiempo superior a su tiempo de retiro.</w:t>
      </w:r>
    </w:p>
    <w:p w14:paraId="5BACA8CF" w14:textId="77777777" w:rsidR="00575582" w:rsidRPr="00541685" w:rsidRDefault="00575582" w:rsidP="0080349A">
      <w:pPr>
        <w:spacing w:after="0" w:line="276" w:lineRule="auto"/>
        <w:ind w:left="0" w:right="0" w:firstLine="0"/>
        <w:rPr>
          <w:rFonts w:ascii="ITC Avant Garde" w:hAnsi="ITC Avant Garde"/>
          <w:lang w:val="es-ES"/>
        </w:rPr>
      </w:pPr>
    </w:p>
    <w:p w14:paraId="19DA1BD9" w14:textId="09D4F20E"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Para la mayoría de los recursos se define un periodo de guarda de 1 o 2 años. Existe alguna excepción, como los sitios macro o zanjas, que tienen un tiempo de retiro de “100” años, lo que representa que una vez se ha desplegado en ningún caso el modelo interpretará que es necesario su retiro. Esta situación tiene sentido, ya que, por regla general, un </w:t>
      </w:r>
      <w:r w:rsidR="00A94546">
        <w:rPr>
          <w:rFonts w:ascii="ITC Avant Garde" w:hAnsi="ITC Avant Garde"/>
          <w:lang w:val="es-ES"/>
        </w:rPr>
        <w:t>concesionario</w:t>
      </w:r>
      <w:r w:rsidRPr="00541685">
        <w:rPr>
          <w:rFonts w:ascii="ITC Avant Garde" w:hAnsi="ITC Avant Garde"/>
          <w:lang w:val="es-ES"/>
        </w:rPr>
        <w:t xml:space="preserve"> de red móvil no retirará sus emplazamientos móviles salvo situaciones excepcionales. Una vez más, esta situación tiene lugar por el alto costo de despliegue de los emplazamientos radio.</w:t>
      </w:r>
    </w:p>
    <w:p w14:paraId="4956C94B" w14:textId="77777777" w:rsidR="00575582" w:rsidRPr="00541685" w:rsidRDefault="00575582" w:rsidP="0080349A">
      <w:pPr>
        <w:spacing w:after="0" w:line="276" w:lineRule="auto"/>
        <w:ind w:left="0" w:right="0" w:firstLine="0"/>
        <w:rPr>
          <w:rFonts w:ascii="ITC Avant Garde" w:hAnsi="ITC Avant Garde"/>
          <w:lang w:val="es-ES"/>
        </w:rPr>
      </w:pPr>
    </w:p>
    <w:p w14:paraId="5F6B14F1" w14:textId="77777777" w:rsidR="00541685" w:rsidRPr="00575582" w:rsidRDefault="00541685" w:rsidP="0080349A">
      <w:pPr>
        <w:spacing w:after="0" w:line="276" w:lineRule="auto"/>
        <w:ind w:left="0" w:right="0" w:firstLine="0"/>
        <w:rPr>
          <w:rFonts w:ascii="ITC Avant Garde" w:hAnsi="ITC Avant Garde"/>
          <w:b/>
          <w:u w:val="single"/>
          <w:lang w:val="es-ES"/>
        </w:rPr>
      </w:pPr>
      <w:r w:rsidRPr="00575582">
        <w:rPr>
          <w:rFonts w:ascii="ITC Avant Garde" w:hAnsi="ITC Avant Garde"/>
          <w:b/>
          <w:u w:val="single"/>
          <w:lang w:val="es-ES"/>
        </w:rPr>
        <w:t xml:space="preserve">Comentarios sobre los cálculos y resultados del modelo </w:t>
      </w:r>
    </w:p>
    <w:p w14:paraId="25E59C9B" w14:textId="77777777" w:rsidR="00575582" w:rsidRDefault="00575582" w:rsidP="0080349A">
      <w:pPr>
        <w:spacing w:after="0" w:line="276" w:lineRule="auto"/>
        <w:ind w:left="0" w:right="0" w:firstLine="0"/>
        <w:rPr>
          <w:rFonts w:ascii="ITC Avant Garde" w:hAnsi="ITC Avant Garde"/>
          <w:lang w:val="es-ES"/>
        </w:rPr>
      </w:pPr>
    </w:p>
    <w:p w14:paraId="2A0F5BD6" w14:textId="217523A8" w:rsidR="00541685" w:rsidRPr="00575582" w:rsidRDefault="00541685" w:rsidP="0080349A">
      <w:pPr>
        <w:spacing w:after="0" w:line="276" w:lineRule="auto"/>
        <w:ind w:left="0" w:right="0" w:firstLine="0"/>
        <w:rPr>
          <w:rFonts w:ascii="ITC Avant Garde" w:hAnsi="ITC Avant Garde"/>
          <w:i/>
          <w:lang w:val="es-ES"/>
        </w:rPr>
      </w:pPr>
      <w:r w:rsidRPr="00575582">
        <w:rPr>
          <w:rFonts w:ascii="ITC Avant Garde" w:hAnsi="ITC Avant Garde"/>
          <w:i/>
          <w:lang w:val="es-ES"/>
        </w:rPr>
        <w:lastRenderedPageBreak/>
        <w:t>Impacto de la tecnología 5G en las tarifas de interconexión de voz</w:t>
      </w:r>
    </w:p>
    <w:p w14:paraId="76A59C82" w14:textId="77777777" w:rsidR="00575582" w:rsidRDefault="00575582" w:rsidP="0080349A">
      <w:pPr>
        <w:spacing w:after="0" w:line="276" w:lineRule="auto"/>
        <w:ind w:left="0" w:right="0" w:firstLine="0"/>
        <w:rPr>
          <w:rFonts w:ascii="ITC Avant Garde" w:hAnsi="ITC Avant Garde"/>
          <w:lang w:val="es-ES"/>
        </w:rPr>
      </w:pPr>
    </w:p>
    <w:p w14:paraId="14B662DF" w14:textId="3AE40431" w:rsidR="00575582" w:rsidRDefault="00575582" w:rsidP="0080349A">
      <w:pPr>
        <w:spacing w:after="0" w:line="276" w:lineRule="auto"/>
        <w:ind w:left="0" w:right="0" w:firstLine="0"/>
        <w:rPr>
          <w:rFonts w:ascii="ITC Avant Garde" w:hAnsi="ITC Avant Garde"/>
          <w:lang w:val="es-ES"/>
        </w:rPr>
      </w:pPr>
      <w:r>
        <w:rPr>
          <w:rFonts w:ascii="ITC Avant Garde" w:hAnsi="ITC Avant Garde"/>
          <w:lang w:val="es-ES"/>
        </w:rPr>
        <w:t>Mega Cable</w:t>
      </w:r>
    </w:p>
    <w:p w14:paraId="5BF83889" w14:textId="77777777" w:rsidR="00575582" w:rsidRDefault="00575582" w:rsidP="0080349A">
      <w:pPr>
        <w:spacing w:after="0" w:line="276" w:lineRule="auto"/>
        <w:ind w:left="0" w:right="0" w:firstLine="0"/>
        <w:rPr>
          <w:rFonts w:ascii="ITC Avant Garde" w:hAnsi="ITC Avant Garde"/>
          <w:lang w:val="es-ES"/>
        </w:rPr>
      </w:pPr>
    </w:p>
    <w:p w14:paraId="2A42E501" w14:textId="0D17846F" w:rsidR="00541685" w:rsidRDefault="00376355" w:rsidP="0080349A">
      <w:pPr>
        <w:spacing w:after="0" w:line="276" w:lineRule="auto"/>
        <w:ind w:left="0" w:right="0" w:firstLine="0"/>
        <w:rPr>
          <w:rFonts w:ascii="ITC Avant Garde" w:hAnsi="ITC Avant Garde"/>
          <w:lang w:val="es-ES"/>
        </w:rPr>
      </w:pPr>
      <w:r>
        <w:rPr>
          <w:rFonts w:ascii="ITC Avant Garde" w:hAnsi="ITC Avant Garde"/>
          <w:lang w:val="es-ES"/>
        </w:rPr>
        <w:t>Mega Cable</w:t>
      </w:r>
      <w:r w:rsidR="00541685" w:rsidRPr="00541685">
        <w:rPr>
          <w:rFonts w:ascii="ITC Avant Garde" w:hAnsi="ITC Avant Garde"/>
          <w:lang w:val="es-ES"/>
        </w:rPr>
        <w:t xml:space="preserve"> señala que las tarifas de terminación de los </w:t>
      </w:r>
      <w:r w:rsidR="00A94546">
        <w:rPr>
          <w:rFonts w:ascii="ITC Avant Garde" w:hAnsi="ITC Avant Garde"/>
          <w:lang w:val="es-ES"/>
        </w:rPr>
        <w:t>concesionarios</w:t>
      </w:r>
      <w:r w:rsidR="00541685" w:rsidRPr="00541685">
        <w:rPr>
          <w:rFonts w:ascii="ITC Avant Garde" w:hAnsi="ITC Avant Garde"/>
          <w:lang w:val="es-ES"/>
        </w:rPr>
        <w:t xml:space="preserve"> móviles y de los servicios móviles prestados por el AEP se han reducido en torno al 2% entre los modelos de costos 2021–23 y los modelos sujetos a consulta. </w:t>
      </w:r>
      <w:r w:rsidR="00575582">
        <w:rPr>
          <w:rFonts w:ascii="ITC Avant Garde" w:hAnsi="ITC Avant Garde"/>
          <w:lang w:val="es-ES"/>
        </w:rPr>
        <w:t>O</w:t>
      </w:r>
      <w:r w:rsidR="00541685" w:rsidRPr="00541685">
        <w:rPr>
          <w:rFonts w:ascii="ITC Avant Garde" w:hAnsi="ITC Avant Garde"/>
          <w:lang w:val="es-ES"/>
        </w:rPr>
        <w:t>pina que las tarifas de terminación incluidas en los modelos 2022–26 no reflejan las eficiencias y reducciones de costos que implican las nuevas tecnologías, como la red 5G y la infraestructura single-RAN.</w:t>
      </w:r>
    </w:p>
    <w:p w14:paraId="5A40400F" w14:textId="6DE65FF4" w:rsidR="00575582" w:rsidRDefault="00575582" w:rsidP="0080349A">
      <w:pPr>
        <w:spacing w:after="0" w:line="276" w:lineRule="auto"/>
        <w:ind w:left="0" w:right="0" w:firstLine="0"/>
        <w:rPr>
          <w:rFonts w:ascii="ITC Avant Garde" w:hAnsi="ITC Avant Garde"/>
          <w:lang w:val="es-ES"/>
        </w:rPr>
      </w:pPr>
    </w:p>
    <w:p w14:paraId="01C143D9" w14:textId="2D437FFB" w:rsidR="00575582" w:rsidRDefault="00575582" w:rsidP="00575582">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26F78BF7" w14:textId="77777777" w:rsidR="00575582" w:rsidRPr="00541685" w:rsidRDefault="00575582" w:rsidP="0080349A">
      <w:pPr>
        <w:spacing w:after="0" w:line="276" w:lineRule="auto"/>
        <w:ind w:left="0" w:right="0" w:firstLine="0"/>
        <w:rPr>
          <w:rFonts w:ascii="ITC Avant Garde" w:hAnsi="ITC Avant Garde"/>
          <w:lang w:val="es-ES"/>
        </w:rPr>
      </w:pPr>
    </w:p>
    <w:p w14:paraId="63581D0B" w14:textId="6E548963"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Si bien es cierto que las eficiencias derivadas de la tecnología 5G pueden conllevar a reducciones en los costos y, por lo tanto, en las tarifas de terminación, el impacto de esta tecnología en las tarifas de terminación no debería ser muy notario en el corto plazo, al menos hasta que la adopción de esta tecnología sea mayor, especialmente en servicios de voz. Más aún, cabría esperar que durante los primeros años la tecnología tenga margen de mejora y presente ineficiencias por el bajo uso de la red.</w:t>
      </w:r>
    </w:p>
    <w:p w14:paraId="3C278597" w14:textId="77777777" w:rsidR="00575582" w:rsidRPr="00541685" w:rsidRDefault="00575582" w:rsidP="0080349A">
      <w:pPr>
        <w:spacing w:after="0" w:line="276" w:lineRule="auto"/>
        <w:ind w:left="0" w:right="0" w:firstLine="0"/>
        <w:rPr>
          <w:rFonts w:ascii="ITC Avant Garde" w:hAnsi="ITC Avant Garde"/>
          <w:lang w:val="es-ES"/>
        </w:rPr>
      </w:pPr>
    </w:p>
    <w:p w14:paraId="465F2C5A" w14:textId="22D21280" w:rsidR="00541685" w:rsidRP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Con respecto al impacto de la tecnología single-RAN, el impacto en términos de resultados está adecuadamente considerado en los costos de los servicios gracias al tratamiento proporcionado a las tendencias de costos de los elementos de red de acceso asociado</w:t>
      </w:r>
      <w:r w:rsidR="00575582">
        <w:rPr>
          <w:rFonts w:ascii="ITC Avant Garde" w:hAnsi="ITC Avant Garde"/>
          <w:lang w:val="es-ES"/>
        </w:rPr>
        <w:t>s</w:t>
      </w:r>
      <w:r w:rsidRPr="00541685">
        <w:rPr>
          <w:rFonts w:ascii="ITC Avant Garde" w:hAnsi="ITC Avant Garde"/>
          <w:lang w:val="es-ES"/>
        </w:rPr>
        <w:t xml:space="preserve">. </w:t>
      </w:r>
      <w:r w:rsidRPr="00541685">
        <w:rPr>
          <w:rFonts w:ascii="ITC Avant Garde" w:hAnsi="ITC Avant Garde"/>
          <w:lang w:val="es-ES"/>
        </w:rPr>
        <w:cr/>
      </w:r>
    </w:p>
    <w:p w14:paraId="16DB79A7" w14:textId="7A411B7B" w:rsidR="4B922FC5" w:rsidRDefault="4B922FC5" w:rsidP="4B922FC5">
      <w:pPr>
        <w:spacing w:after="0" w:line="276" w:lineRule="auto"/>
        <w:ind w:left="0" w:right="0" w:firstLine="0"/>
        <w:rPr>
          <w:rFonts w:ascii="ITC Avant Garde" w:hAnsi="ITC Avant Garde"/>
          <w:b/>
          <w:bCs/>
          <w:lang w:val="es-ES"/>
        </w:rPr>
      </w:pPr>
    </w:p>
    <w:p w14:paraId="4C354E1D" w14:textId="77777777" w:rsidR="00541685" w:rsidRPr="00575582" w:rsidRDefault="00541685" w:rsidP="0080349A">
      <w:pPr>
        <w:spacing w:after="0" w:line="276" w:lineRule="auto"/>
        <w:ind w:left="0" w:right="0" w:firstLine="0"/>
        <w:rPr>
          <w:rFonts w:ascii="ITC Avant Garde" w:hAnsi="ITC Avant Garde"/>
          <w:b/>
          <w:lang w:val="es-ES"/>
        </w:rPr>
      </w:pPr>
      <w:r w:rsidRPr="00575582">
        <w:rPr>
          <w:rFonts w:ascii="ITC Avant Garde" w:hAnsi="ITC Avant Garde"/>
          <w:b/>
          <w:lang w:val="es-ES"/>
        </w:rPr>
        <w:t>Reconciliación del número de emplazamientos móviles</w:t>
      </w:r>
    </w:p>
    <w:p w14:paraId="0FD40B90" w14:textId="77777777" w:rsidR="00575582" w:rsidRDefault="00575582" w:rsidP="0080349A">
      <w:pPr>
        <w:spacing w:after="0" w:line="276" w:lineRule="auto"/>
        <w:ind w:left="0" w:right="0" w:firstLine="0"/>
        <w:rPr>
          <w:rFonts w:ascii="ITC Avant Garde" w:hAnsi="ITC Avant Garde"/>
          <w:lang w:val="es-ES"/>
        </w:rPr>
      </w:pPr>
    </w:p>
    <w:p w14:paraId="3A8E1306" w14:textId="7062B672" w:rsidR="00575582" w:rsidRDefault="00575582" w:rsidP="0080349A">
      <w:pPr>
        <w:spacing w:after="0" w:line="276" w:lineRule="auto"/>
        <w:ind w:left="0" w:right="0" w:firstLine="0"/>
        <w:rPr>
          <w:rFonts w:ascii="ITC Avant Garde" w:hAnsi="ITC Avant Garde"/>
          <w:lang w:val="es-ES"/>
        </w:rPr>
      </w:pPr>
      <w:r>
        <w:rPr>
          <w:rFonts w:ascii="ITC Avant Garde" w:hAnsi="ITC Avant Garde"/>
          <w:lang w:val="es-ES"/>
        </w:rPr>
        <w:t>AT&amp;T</w:t>
      </w:r>
    </w:p>
    <w:p w14:paraId="01C497A7" w14:textId="77777777" w:rsidR="00575582" w:rsidRDefault="00575582" w:rsidP="0080349A">
      <w:pPr>
        <w:spacing w:after="0" w:line="276" w:lineRule="auto"/>
        <w:ind w:left="0" w:right="0" w:firstLine="0"/>
        <w:rPr>
          <w:rFonts w:ascii="ITC Avant Garde" w:hAnsi="ITC Avant Garde"/>
          <w:lang w:val="es-ES"/>
        </w:rPr>
      </w:pPr>
    </w:p>
    <w:p w14:paraId="34028B13" w14:textId="26738D29" w:rsidR="00541685" w:rsidRDefault="00A77155" w:rsidP="0080349A">
      <w:pPr>
        <w:spacing w:after="0" w:line="276" w:lineRule="auto"/>
        <w:ind w:left="0" w:right="0" w:firstLine="0"/>
        <w:rPr>
          <w:rFonts w:ascii="ITC Avant Garde" w:hAnsi="ITC Avant Garde"/>
          <w:lang w:val="es-ES"/>
        </w:rPr>
      </w:pPr>
      <w:r w:rsidRPr="58E23F00">
        <w:rPr>
          <w:rFonts w:ascii="ITC Avant Garde" w:hAnsi="ITC Avant Garde"/>
          <w:lang w:val="es-ES"/>
        </w:rPr>
        <w:t>AT&amp;T</w:t>
      </w:r>
      <w:r w:rsidR="00541685" w:rsidRPr="58E23F00">
        <w:rPr>
          <w:rFonts w:ascii="ITC Avant Garde" w:hAnsi="ITC Avant Garde"/>
          <w:lang w:val="es-ES"/>
        </w:rPr>
        <w:t xml:space="preserve"> solicita que el </w:t>
      </w:r>
      <w:r w:rsidR="647786AF" w:rsidRPr="58E23F00">
        <w:rPr>
          <w:rFonts w:ascii="ITC Avant Garde" w:hAnsi="ITC Avant Garde"/>
          <w:lang w:val="es-ES"/>
        </w:rPr>
        <w:t>I</w:t>
      </w:r>
      <w:r w:rsidR="2BBA6C70"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 xml:space="preserve">revise los parámetros utilizados para el cálculo de sitios del AEP y </w:t>
      </w:r>
      <w:r w:rsidR="00376355" w:rsidRPr="58E23F00">
        <w:rPr>
          <w:rFonts w:ascii="ITC Avant Garde" w:hAnsi="ITC Avant Garde"/>
          <w:lang w:val="es-ES"/>
        </w:rPr>
        <w:t>CS.</w:t>
      </w:r>
      <w:r w:rsidR="00541685" w:rsidRPr="58E23F00">
        <w:rPr>
          <w:rFonts w:ascii="ITC Avant Garde" w:hAnsi="ITC Avant Garde"/>
          <w:lang w:val="es-ES"/>
        </w:rPr>
        <w:t xml:space="preserve"> El </w:t>
      </w:r>
      <w:r w:rsidR="00A94546" w:rsidRPr="58E23F00">
        <w:rPr>
          <w:rFonts w:ascii="ITC Avant Garde" w:hAnsi="ITC Avant Garde"/>
          <w:lang w:val="es-ES"/>
        </w:rPr>
        <w:t>concesionario</w:t>
      </w:r>
      <w:r w:rsidR="00541685" w:rsidRPr="58E23F00">
        <w:rPr>
          <w:rFonts w:ascii="ITC Avant Garde" w:hAnsi="ITC Avant Garde"/>
          <w:lang w:val="es-ES"/>
        </w:rPr>
        <w:t xml:space="preserve"> sostiene que actualmente el número de sitios estimado por el modelo, el cual está basado únicamente en la red de AT&amp;T, se aleja aparentemente del número de sitios reportado por el mismo </w:t>
      </w:r>
      <w:r w:rsidR="00A94546" w:rsidRPr="58E23F00">
        <w:rPr>
          <w:rFonts w:ascii="ITC Avant Garde" w:hAnsi="ITC Avant Garde"/>
          <w:lang w:val="es-ES"/>
        </w:rPr>
        <w:t>concesionario</w:t>
      </w:r>
      <w:r w:rsidR="00541685" w:rsidRPr="58E23F00">
        <w:rPr>
          <w:rFonts w:ascii="ITC Avant Garde" w:hAnsi="ITC Avant Garde"/>
          <w:lang w:val="es-ES"/>
        </w:rPr>
        <w:t xml:space="preserve">, y señala que esta desviación tiene lugar tanto en agregado como por tecnología. Por otro lado, el </w:t>
      </w:r>
      <w:r w:rsidR="00A94546" w:rsidRPr="58E23F00">
        <w:rPr>
          <w:rFonts w:ascii="ITC Avant Garde" w:hAnsi="ITC Avant Garde"/>
          <w:lang w:val="es-ES"/>
        </w:rPr>
        <w:t>concesionario</w:t>
      </w:r>
      <w:r w:rsidR="00541685" w:rsidRPr="58E23F00">
        <w:rPr>
          <w:rFonts w:ascii="ITC Avant Garde" w:hAnsi="ITC Avant Garde"/>
          <w:lang w:val="es-ES"/>
        </w:rPr>
        <w:t xml:space="preserve"> </w:t>
      </w:r>
      <w:r w:rsidRPr="58E23F00">
        <w:rPr>
          <w:rFonts w:ascii="ITC Avant Garde" w:hAnsi="ITC Avant Garde"/>
          <w:lang w:val="es-ES"/>
        </w:rPr>
        <w:t>AT&amp;T</w:t>
      </w:r>
      <w:r w:rsidR="00541685" w:rsidRPr="58E23F00">
        <w:rPr>
          <w:rFonts w:ascii="ITC Avant Garde" w:hAnsi="ITC Avant Garde"/>
          <w:lang w:val="es-ES"/>
        </w:rPr>
        <w:t xml:space="preserve"> resalta que los modelos del AEP y </w:t>
      </w:r>
      <w:r w:rsidR="008A4535" w:rsidRPr="58E23F00">
        <w:rPr>
          <w:rFonts w:ascii="ITC Avant Garde" w:hAnsi="ITC Avant Garde"/>
          <w:lang w:val="es-ES"/>
        </w:rPr>
        <w:t xml:space="preserve">CS </w:t>
      </w:r>
      <w:r w:rsidR="00541685" w:rsidRPr="58E23F00">
        <w:rPr>
          <w:rFonts w:ascii="ITC Avant Garde" w:hAnsi="ITC Avant Garde"/>
          <w:lang w:val="es-ES"/>
        </w:rPr>
        <w:t>utilizan el mismo despliegue de sitios interiores, y sostiene que esto no estaría justificado ya que el tamaño de la red de Telcel es mayor.</w:t>
      </w:r>
    </w:p>
    <w:p w14:paraId="696A828B" w14:textId="361F075B" w:rsidR="00575582" w:rsidRDefault="00575582" w:rsidP="0080349A">
      <w:pPr>
        <w:spacing w:after="0" w:line="276" w:lineRule="auto"/>
        <w:ind w:left="0" w:right="0" w:firstLine="0"/>
        <w:rPr>
          <w:rFonts w:ascii="ITC Avant Garde" w:hAnsi="ITC Avant Garde"/>
          <w:lang w:val="es-ES"/>
        </w:rPr>
      </w:pPr>
    </w:p>
    <w:p w14:paraId="3CE6E1AD" w14:textId="74239189" w:rsidR="00575582" w:rsidRDefault="00575582" w:rsidP="00575582">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6696A939" w14:textId="77777777" w:rsidR="00575582" w:rsidRPr="00541685" w:rsidRDefault="00575582" w:rsidP="0080349A">
      <w:pPr>
        <w:spacing w:after="0" w:line="276" w:lineRule="auto"/>
        <w:ind w:left="0" w:right="0" w:firstLine="0"/>
        <w:rPr>
          <w:rFonts w:ascii="ITC Avant Garde" w:hAnsi="ITC Avant Garde"/>
          <w:lang w:val="es-ES"/>
        </w:rPr>
      </w:pPr>
    </w:p>
    <w:p w14:paraId="609E17E4" w14:textId="25BE915E"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Cabe </w:t>
      </w:r>
      <w:r w:rsidR="00A77155">
        <w:rPr>
          <w:rFonts w:ascii="ITC Avant Garde" w:hAnsi="ITC Avant Garde"/>
          <w:lang w:val="es-ES"/>
        </w:rPr>
        <w:t>destacar</w:t>
      </w:r>
      <w:r w:rsidRPr="00541685">
        <w:rPr>
          <w:rFonts w:ascii="ITC Avant Garde" w:hAnsi="ITC Avant Garde"/>
          <w:lang w:val="es-ES"/>
        </w:rPr>
        <w:t xml:space="preserve"> que la red del </w:t>
      </w:r>
      <w:r w:rsidR="008A4535">
        <w:rPr>
          <w:rFonts w:ascii="ITC Avant Garde" w:hAnsi="ITC Avant Garde"/>
          <w:lang w:val="es-ES"/>
        </w:rPr>
        <w:t xml:space="preserve">CS </w:t>
      </w:r>
      <w:r w:rsidRPr="00541685">
        <w:rPr>
          <w:rFonts w:ascii="ITC Avant Garde" w:hAnsi="ITC Avant Garde"/>
          <w:lang w:val="es-ES"/>
        </w:rPr>
        <w:t xml:space="preserve">es representativa de los concesionarios alternativos, y que no tiene que ser necesariamente calibrada con exactitud a la de un </w:t>
      </w:r>
      <w:r w:rsidR="00A94546">
        <w:rPr>
          <w:rFonts w:ascii="ITC Avant Garde" w:hAnsi="ITC Avant Garde"/>
          <w:lang w:val="es-ES"/>
        </w:rPr>
        <w:t>concesionario</w:t>
      </w:r>
      <w:r w:rsidRPr="00541685">
        <w:rPr>
          <w:rFonts w:ascii="ITC Avant Garde" w:hAnsi="ITC Avant Garde"/>
          <w:lang w:val="es-ES"/>
        </w:rPr>
        <w:t xml:space="preserve"> concreto. No obstante, </w:t>
      </w:r>
      <w:r w:rsidR="00575582">
        <w:rPr>
          <w:rFonts w:ascii="ITC Avant Garde" w:hAnsi="ITC Avant Garde"/>
          <w:lang w:val="es-ES"/>
        </w:rPr>
        <w:t>se revisó</w:t>
      </w:r>
      <w:r w:rsidRPr="00541685">
        <w:rPr>
          <w:rFonts w:ascii="ITC Avant Garde" w:hAnsi="ITC Avant Garde"/>
          <w:lang w:val="es-ES"/>
        </w:rPr>
        <w:t xml:space="preserve"> la información proporcionada por el </w:t>
      </w:r>
      <w:r w:rsidR="00A94546">
        <w:rPr>
          <w:rFonts w:ascii="ITC Avant Garde" w:hAnsi="ITC Avant Garde"/>
          <w:lang w:val="es-ES"/>
        </w:rPr>
        <w:t>concesionario</w:t>
      </w:r>
      <w:r w:rsidRPr="00541685">
        <w:rPr>
          <w:rFonts w:ascii="ITC Avant Garde" w:hAnsi="ITC Avant Garde"/>
          <w:lang w:val="es-ES"/>
        </w:rPr>
        <w:t xml:space="preserve"> y, como resultado, </w:t>
      </w:r>
      <w:r w:rsidR="00325634">
        <w:rPr>
          <w:rFonts w:ascii="ITC Avant Garde" w:hAnsi="ITC Avant Garde"/>
          <w:lang w:val="es-ES"/>
        </w:rPr>
        <w:t>se han</w:t>
      </w:r>
      <w:r w:rsidRPr="00541685">
        <w:rPr>
          <w:rFonts w:ascii="ITC Avant Garde" w:hAnsi="ITC Avant Garde"/>
          <w:lang w:val="es-ES"/>
        </w:rPr>
        <w:t xml:space="preserve"> ajustado los radios de celda aplicados al </w:t>
      </w:r>
      <w:r w:rsidR="008A4535">
        <w:rPr>
          <w:rFonts w:ascii="ITC Avant Garde" w:hAnsi="ITC Avant Garde"/>
          <w:lang w:val="es-ES"/>
        </w:rPr>
        <w:t xml:space="preserve">CS </w:t>
      </w:r>
      <w:r w:rsidRPr="00541685">
        <w:rPr>
          <w:rFonts w:ascii="ITC Avant Garde" w:hAnsi="ITC Avant Garde"/>
          <w:lang w:val="es-ES"/>
        </w:rPr>
        <w:t xml:space="preserve">para asegurar un mayor alineamiento entre el número de emplazamientos resultantes del modelo y la realidad de los </w:t>
      </w:r>
      <w:r w:rsidR="00376355">
        <w:rPr>
          <w:rFonts w:ascii="ITC Avant Garde" w:hAnsi="ITC Avant Garde"/>
          <w:lang w:val="es-ES"/>
        </w:rPr>
        <w:t>CS.</w:t>
      </w:r>
    </w:p>
    <w:p w14:paraId="5C79579F" w14:textId="77777777" w:rsidR="00575582" w:rsidRPr="00541685" w:rsidRDefault="00575582" w:rsidP="0080349A">
      <w:pPr>
        <w:spacing w:after="0" w:line="276" w:lineRule="auto"/>
        <w:ind w:left="0" w:right="0" w:firstLine="0"/>
        <w:rPr>
          <w:rFonts w:ascii="ITC Avant Garde" w:hAnsi="ITC Avant Garde"/>
          <w:lang w:val="es-ES"/>
        </w:rPr>
      </w:pPr>
    </w:p>
    <w:p w14:paraId="2C076450" w14:textId="77777777" w:rsidR="00541685" w:rsidRPr="00575582" w:rsidRDefault="00541685" w:rsidP="0080349A">
      <w:pPr>
        <w:spacing w:after="0" w:line="276" w:lineRule="auto"/>
        <w:ind w:left="0" w:right="0" w:firstLine="0"/>
        <w:rPr>
          <w:rFonts w:ascii="ITC Avant Garde" w:hAnsi="ITC Avant Garde"/>
          <w:i/>
          <w:lang w:val="es-ES"/>
        </w:rPr>
      </w:pPr>
      <w:r w:rsidRPr="00575582">
        <w:rPr>
          <w:rFonts w:ascii="ITC Avant Garde" w:hAnsi="ITC Avant Garde"/>
          <w:i/>
          <w:lang w:val="es-ES"/>
        </w:rPr>
        <w:t>Metodología y resultados de los servicios de usuario visitante</w:t>
      </w:r>
    </w:p>
    <w:p w14:paraId="04EC935E" w14:textId="411A6896" w:rsidR="00575582" w:rsidRDefault="00575582" w:rsidP="0080349A">
      <w:pPr>
        <w:spacing w:after="0" w:line="276" w:lineRule="auto"/>
        <w:ind w:left="0" w:right="0" w:firstLine="0"/>
        <w:rPr>
          <w:rFonts w:ascii="ITC Avant Garde" w:hAnsi="ITC Avant Garde"/>
          <w:lang w:val="es-ES"/>
        </w:rPr>
      </w:pPr>
    </w:p>
    <w:p w14:paraId="2D2B16F0" w14:textId="5E3D9042" w:rsidR="00575582" w:rsidRDefault="00575582" w:rsidP="0080349A">
      <w:pPr>
        <w:spacing w:after="0" w:line="276" w:lineRule="auto"/>
        <w:ind w:left="0" w:right="0" w:firstLine="0"/>
        <w:rPr>
          <w:rFonts w:ascii="ITC Avant Garde" w:hAnsi="ITC Avant Garde"/>
          <w:lang w:val="es-ES"/>
        </w:rPr>
      </w:pPr>
      <w:r>
        <w:rPr>
          <w:rFonts w:ascii="ITC Avant Garde" w:hAnsi="ITC Avant Garde"/>
          <w:lang w:val="es-ES"/>
        </w:rPr>
        <w:t>Telefónica</w:t>
      </w:r>
    </w:p>
    <w:p w14:paraId="17235256" w14:textId="77777777" w:rsidR="00575582" w:rsidRDefault="00575582" w:rsidP="0080349A">
      <w:pPr>
        <w:spacing w:after="0" w:line="276" w:lineRule="auto"/>
        <w:ind w:left="0" w:right="0" w:firstLine="0"/>
        <w:rPr>
          <w:rFonts w:ascii="ITC Avant Garde" w:hAnsi="ITC Avant Garde"/>
          <w:lang w:val="es-ES"/>
        </w:rPr>
      </w:pPr>
    </w:p>
    <w:p w14:paraId="32A02CC7" w14:textId="2E1F29EE" w:rsidR="00541685" w:rsidRPr="00541685" w:rsidRDefault="007C441B" w:rsidP="0080349A">
      <w:pPr>
        <w:spacing w:after="0" w:line="276" w:lineRule="auto"/>
        <w:ind w:left="0" w:right="0" w:firstLine="0"/>
        <w:rPr>
          <w:rFonts w:ascii="ITC Avant Garde" w:hAnsi="ITC Avant Garde"/>
          <w:lang w:val="es-ES"/>
        </w:rPr>
      </w:pPr>
      <w:r w:rsidRPr="58E23F00">
        <w:rPr>
          <w:rFonts w:ascii="ITC Avant Garde" w:hAnsi="ITC Avant Garde"/>
          <w:lang w:val="es-ES"/>
        </w:rPr>
        <w:t>Telefónica</w:t>
      </w:r>
      <w:r w:rsidR="00541685" w:rsidRPr="58E23F00">
        <w:rPr>
          <w:rFonts w:ascii="ITC Avant Garde" w:hAnsi="ITC Avant Garde"/>
          <w:lang w:val="es-ES"/>
        </w:rPr>
        <w:t xml:space="preserve"> opina que las tarifas de usuario visitante en el pasado no han estado orientadas a costos eficientes e insta al </w:t>
      </w:r>
      <w:r w:rsidR="647786AF" w:rsidRPr="58E23F00">
        <w:rPr>
          <w:rFonts w:ascii="ITC Avant Garde" w:hAnsi="ITC Avant Garde"/>
          <w:lang w:val="es-ES"/>
        </w:rPr>
        <w:t>Instituto</w:t>
      </w:r>
      <w:r w:rsidR="00541685" w:rsidRPr="58E23F00">
        <w:rPr>
          <w:rFonts w:ascii="ITC Avant Garde" w:hAnsi="ITC Avant Garde"/>
          <w:lang w:val="es-ES"/>
        </w:rPr>
        <w:t xml:space="preserve"> a adoptar un papel proactivo obligando al AEP a trasladar las tarifas eficientes calculadas por el modelo a todos los años en sus ofertas de referencia.</w:t>
      </w:r>
    </w:p>
    <w:p w14:paraId="6A26B27A" w14:textId="77777777" w:rsidR="00575582" w:rsidRDefault="00575582" w:rsidP="00575582">
      <w:pPr>
        <w:spacing w:after="0" w:line="276" w:lineRule="auto"/>
        <w:ind w:left="0" w:right="0" w:firstLine="0"/>
        <w:rPr>
          <w:rFonts w:ascii="ITC Avant Garde" w:hAnsi="ITC Avant Garde"/>
          <w:lang w:val="es-ES"/>
        </w:rPr>
      </w:pPr>
    </w:p>
    <w:p w14:paraId="5503C52F" w14:textId="71AC8E16" w:rsidR="00575582" w:rsidRDefault="00575582" w:rsidP="00575582">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4077F521" w14:textId="77777777" w:rsidR="00575582" w:rsidRDefault="00575582" w:rsidP="0080349A">
      <w:pPr>
        <w:spacing w:after="0" w:line="276" w:lineRule="auto"/>
        <w:ind w:left="0" w:right="0" w:firstLine="0"/>
        <w:rPr>
          <w:rFonts w:ascii="ITC Avant Garde" w:hAnsi="ITC Avant Garde"/>
          <w:lang w:val="es-ES"/>
        </w:rPr>
      </w:pPr>
    </w:p>
    <w:p w14:paraId="1F7C1E84" w14:textId="0686F4B2" w:rsidR="00541685" w:rsidRDefault="00856A78" w:rsidP="0080349A">
      <w:pPr>
        <w:spacing w:after="0" w:line="276" w:lineRule="auto"/>
        <w:ind w:left="0" w:right="0" w:firstLine="0"/>
        <w:rPr>
          <w:rFonts w:ascii="ITC Avant Garde" w:hAnsi="ITC Avant Garde"/>
          <w:lang w:val="es-ES"/>
        </w:rPr>
      </w:pPr>
      <w:r w:rsidRPr="4D2B7635">
        <w:rPr>
          <w:rFonts w:ascii="ITC Avant Garde" w:hAnsi="ITC Avant Garde"/>
          <w:lang w:val="es-ES"/>
        </w:rPr>
        <w:t>Se considera</w:t>
      </w:r>
      <w:r w:rsidR="00541685" w:rsidRPr="4D2B7635">
        <w:rPr>
          <w:rFonts w:ascii="ITC Avant Garde" w:hAnsi="ITC Avant Garde"/>
          <w:lang w:val="es-ES"/>
        </w:rPr>
        <w:t xml:space="preserve"> que los argumentos </w:t>
      </w:r>
      <w:r w:rsidR="00575582" w:rsidRPr="4D2B7635">
        <w:rPr>
          <w:rFonts w:ascii="ITC Avant Garde" w:hAnsi="ITC Avant Garde"/>
          <w:lang w:val="es-ES"/>
        </w:rPr>
        <w:t>del</w:t>
      </w:r>
      <w:r w:rsidR="00541685" w:rsidRPr="4D2B7635">
        <w:rPr>
          <w:rFonts w:ascii="ITC Avant Garde" w:hAnsi="ITC Avant Garde"/>
          <w:lang w:val="es-ES"/>
        </w:rPr>
        <w:t xml:space="preserve"> </w:t>
      </w:r>
      <w:r w:rsidR="00A94546" w:rsidRPr="4D2B7635">
        <w:rPr>
          <w:rFonts w:ascii="ITC Avant Garde" w:hAnsi="ITC Avant Garde"/>
          <w:lang w:val="es-ES"/>
        </w:rPr>
        <w:t>concesionario</w:t>
      </w:r>
      <w:r w:rsidR="00541685" w:rsidRPr="4D2B7635">
        <w:rPr>
          <w:rFonts w:ascii="ITC Avant Garde" w:hAnsi="ITC Avant Garde"/>
          <w:lang w:val="es-ES"/>
        </w:rPr>
        <w:t xml:space="preserve"> ace</w:t>
      </w:r>
      <w:r w:rsidR="00575582" w:rsidRPr="4D2B7635">
        <w:rPr>
          <w:rFonts w:ascii="ITC Avant Garde" w:hAnsi="ITC Avant Garde"/>
          <w:lang w:val="es-ES"/>
        </w:rPr>
        <w:t>rca</w:t>
      </w:r>
      <w:r w:rsidR="008A4535" w:rsidRPr="4D2B7635">
        <w:rPr>
          <w:rFonts w:ascii="ITC Avant Garde" w:hAnsi="ITC Avant Garde"/>
          <w:lang w:val="es-ES"/>
        </w:rPr>
        <w:t xml:space="preserve"> </w:t>
      </w:r>
      <w:r w:rsidR="00541685" w:rsidRPr="4D2B7635">
        <w:rPr>
          <w:rFonts w:ascii="ITC Avant Garde" w:hAnsi="ITC Avant Garde"/>
          <w:lang w:val="es-ES"/>
        </w:rPr>
        <w:t>de la aplicabilidad de los costos de usuario visitante en el pasado quedan fuera del alcance de esta consulta públi</w:t>
      </w:r>
      <w:r w:rsidR="00575582" w:rsidRPr="4D2B7635">
        <w:rPr>
          <w:rFonts w:ascii="ITC Avant Garde" w:hAnsi="ITC Avant Garde"/>
          <w:lang w:val="es-ES"/>
        </w:rPr>
        <w:t>ca.</w:t>
      </w:r>
      <w:r w:rsidR="00541685" w:rsidRPr="4D2B7635">
        <w:rPr>
          <w:rFonts w:ascii="ITC Avant Garde" w:hAnsi="ITC Avant Garde"/>
          <w:lang w:val="es-ES"/>
        </w:rPr>
        <w:t xml:space="preserve"> </w:t>
      </w:r>
      <w:r w:rsidR="00541685" w:rsidRPr="476DC33C">
        <w:rPr>
          <w:rFonts w:ascii="ITC Avant Garde" w:hAnsi="ITC Avant Garde"/>
          <w:lang w:val="es-ES"/>
        </w:rPr>
        <w:t xml:space="preserve">La </w:t>
      </w:r>
      <w:r w:rsidR="1D0B1BDE" w:rsidRPr="476DC33C">
        <w:rPr>
          <w:rFonts w:ascii="ITC Avant Garde" w:hAnsi="ITC Avant Garde"/>
          <w:lang w:val="es-ES"/>
        </w:rPr>
        <w:t>actualización de los elementos en la</w:t>
      </w:r>
      <w:r w:rsidR="00541685" w:rsidRPr="476DC33C">
        <w:rPr>
          <w:rFonts w:ascii="ITC Avant Garde" w:hAnsi="ITC Avant Garde"/>
          <w:lang w:val="es-ES"/>
        </w:rPr>
        <w:t xml:space="preserve"> oferta de referencia</w:t>
      </w:r>
      <w:r w:rsidR="6DC096BF" w:rsidRPr="476DC33C">
        <w:rPr>
          <w:rFonts w:ascii="ITC Avant Garde" w:hAnsi="ITC Avant Garde"/>
          <w:lang w:val="es-ES"/>
        </w:rPr>
        <w:t xml:space="preserve"> de usuario visitante </w:t>
      </w:r>
      <w:r w:rsidR="00541685" w:rsidRPr="476DC33C">
        <w:rPr>
          <w:rFonts w:ascii="ITC Avant Garde" w:hAnsi="ITC Avant Garde"/>
          <w:lang w:val="es-ES"/>
        </w:rPr>
        <w:t xml:space="preserve">es un aspecto que deberá determinar el </w:t>
      </w:r>
      <w:r w:rsidR="647786AF" w:rsidRPr="476DC33C">
        <w:rPr>
          <w:rFonts w:ascii="ITC Avant Garde" w:hAnsi="ITC Avant Garde"/>
          <w:lang w:val="es-ES"/>
        </w:rPr>
        <w:t>Instituto</w:t>
      </w:r>
      <w:r w:rsidR="00541685" w:rsidRPr="476DC33C">
        <w:rPr>
          <w:rFonts w:ascii="ITC Avant Garde" w:hAnsi="ITC Avant Garde"/>
          <w:lang w:val="es-ES"/>
        </w:rPr>
        <w:t xml:space="preserve"> como parte del proceso de revisión bienal de las medidas impuestas al AEP.</w:t>
      </w:r>
    </w:p>
    <w:p w14:paraId="07DE7DF0" w14:textId="77777777" w:rsidR="00575582" w:rsidRPr="00541685" w:rsidRDefault="00575582" w:rsidP="0080349A">
      <w:pPr>
        <w:spacing w:after="0" w:line="276" w:lineRule="auto"/>
        <w:ind w:left="0" w:right="0" w:firstLine="0"/>
        <w:rPr>
          <w:rFonts w:ascii="ITC Avant Garde" w:hAnsi="ITC Avant Garde"/>
          <w:lang w:val="es-ES"/>
        </w:rPr>
      </w:pPr>
    </w:p>
    <w:p w14:paraId="77AB5F2E" w14:textId="77777777" w:rsidR="00541685" w:rsidRPr="00962C37" w:rsidRDefault="00541685" w:rsidP="0080349A">
      <w:pPr>
        <w:spacing w:after="0" w:line="276" w:lineRule="auto"/>
        <w:ind w:left="0" w:right="0" w:firstLine="0"/>
        <w:rPr>
          <w:rFonts w:ascii="ITC Avant Garde" w:hAnsi="ITC Avant Garde"/>
          <w:i/>
          <w:lang w:val="es-ES"/>
        </w:rPr>
      </w:pPr>
      <w:r w:rsidRPr="00962C37">
        <w:rPr>
          <w:rFonts w:ascii="ITC Avant Garde" w:hAnsi="ITC Avant Garde"/>
          <w:i/>
          <w:lang w:val="es-ES"/>
        </w:rPr>
        <w:t>Asimetría en las tarifas de terminación móvil</w:t>
      </w:r>
    </w:p>
    <w:p w14:paraId="6A481890" w14:textId="135ED028" w:rsidR="00575582" w:rsidRDefault="00575582" w:rsidP="0080349A">
      <w:pPr>
        <w:spacing w:after="0" w:line="276" w:lineRule="auto"/>
        <w:ind w:left="0" w:right="0" w:firstLine="0"/>
        <w:rPr>
          <w:rFonts w:ascii="ITC Avant Garde" w:hAnsi="ITC Avant Garde"/>
          <w:lang w:val="es-ES"/>
        </w:rPr>
      </w:pPr>
    </w:p>
    <w:p w14:paraId="37645D35" w14:textId="19EE89FC" w:rsidR="00575582" w:rsidRDefault="00575582"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Telefónica, AT&amp;T y </w:t>
      </w:r>
      <w:r>
        <w:rPr>
          <w:rFonts w:ascii="ITC Avant Garde" w:hAnsi="ITC Avant Garde"/>
          <w:lang w:val="es-ES"/>
        </w:rPr>
        <w:t>Mega Cable</w:t>
      </w:r>
    </w:p>
    <w:p w14:paraId="7F9E00C0" w14:textId="77777777" w:rsidR="00575582" w:rsidRDefault="00575582" w:rsidP="0080349A">
      <w:pPr>
        <w:spacing w:after="0" w:line="276" w:lineRule="auto"/>
        <w:ind w:left="0" w:right="0" w:firstLine="0"/>
        <w:rPr>
          <w:rFonts w:ascii="ITC Avant Garde" w:hAnsi="ITC Avant Garde"/>
          <w:lang w:val="es-ES"/>
        </w:rPr>
      </w:pPr>
    </w:p>
    <w:p w14:paraId="046F4E84" w14:textId="103ECF44" w:rsidR="00541685" w:rsidRDefault="00541685" w:rsidP="0080349A">
      <w:pPr>
        <w:spacing w:after="0" w:line="276" w:lineRule="auto"/>
        <w:ind w:left="0" w:right="0" w:firstLine="0"/>
        <w:rPr>
          <w:rFonts w:ascii="ITC Avant Garde" w:hAnsi="ITC Avant Garde"/>
          <w:lang w:val="es-ES"/>
        </w:rPr>
      </w:pPr>
      <w:r w:rsidRPr="58E23F00">
        <w:rPr>
          <w:rFonts w:ascii="ITC Avant Garde" w:hAnsi="ITC Avant Garde"/>
          <w:lang w:val="es-ES"/>
        </w:rPr>
        <w:t>Telefónica, AT&amp;T y M</w:t>
      </w:r>
      <w:r w:rsidR="00575582" w:rsidRPr="58E23F00">
        <w:rPr>
          <w:rFonts w:ascii="ITC Avant Garde" w:hAnsi="ITC Avant Garde"/>
          <w:lang w:val="es-ES"/>
        </w:rPr>
        <w:t>ega Cable</w:t>
      </w:r>
      <w:r w:rsidRPr="58E23F00">
        <w:rPr>
          <w:rFonts w:ascii="ITC Avant Garde" w:hAnsi="ITC Avant Garde"/>
          <w:lang w:val="es-ES"/>
        </w:rPr>
        <w:t xml:space="preserve"> consideran que se debe mantener la asimetría en las tarifas de terminación móvil del </w:t>
      </w:r>
      <w:r w:rsidR="008A4535" w:rsidRPr="58E23F00">
        <w:rPr>
          <w:rFonts w:ascii="ITC Avant Garde" w:hAnsi="ITC Avant Garde"/>
          <w:lang w:val="es-ES"/>
        </w:rPr>
        <w:t xml:space="preserve">CS </w:t>
      </w:r>
      <w:r w:rsidRPr="58E23F00">
        <w:rPr>
          <w:rFonts w:ascii="ITC Avant Garde" w:hAnsi="ITC Avant Garde"/>
          <w:lang w:val="es-ES"/>
        </w:rPr>
        <w:t xml:space="preserve">frente a las del AEP, e instan al </w:t>
      </w:r>
      <w:r w:rsidR="647786AF" w:rsidRPr="58E23F00">
        <w:rPr>
          <w:rFonts w:ascii="ITC Avant Garde" w:hAnsi="ITC Avant Garde"/>
          <w:lang w:val="es-ES"/>
        </w:rPr>
        <w:t>I</w:t>
      </w:r>
      <w:r w:rsidR="7ED1D287" w:rsidRPr="58E23F00">
        <w:rPr>
          <w:rFonts w:ascii="ITC Avant Garde" w:hAnsi="ITC Avant Garde"/>
          <w:lang w:val="es-ES"/>
        </w:rPr>
        <w:t>nstituto</w:t>
      </w:r>
      <w:r w:rsidR="0AF39D56" w:rsidRPr="58E23F00">
        <w:rPr>
          <w:rFonts w:ascii="ITC Avant Garde" w:hAnsi="ITC Avant Garde"/>
          <w:lang w:val="es-ES"/>
        </w:rPr>
        <w:t xml:space="preserve"> </w:t>
      </w:r>
      <w:r w:rsidRPr="58E23F00">
        <w:rPr>
          <w:rFonts w:ascii="ITC Avant Garde" w:hAnsi="ITC Avant Garde"/>
          <w:lang w:val="es-ES"/>
        </w:rPr>
        <w:t>a mantener la asimetría en el futuro.</w:t>
      </w:r>
    </w:p>
    <w:p w14:paraId="6BFF8F17" w14:textId="77777777" w:rsidR="00575582" w:rsidRPr="00541685" w:rsidRDefault="00575582" w:rsidP="0080349A">
      <w:pPr>
        <w:spacing w:after="0" w:line="276" w:lineRule="auto"/>
        <w:ind w:left="0" w:right="0" w:firstLine="0"/>
        <w:rPr>
          <w:rFonts w:ascii="ITC Avant Garde" w:hAnsi="ITC Avant Garde"/>
          <w:lang w:val="es-ES"/>
        </w:rPr>
      </w:pPr>
    </w:p>
    <w:p w14:paraId="3D23D986" w14:textId="053FEA61" w:rsidR="00541685" w:rsidRDefault="007C441B" w:rsidP="0080349A">
      <w:pPr>
        <w:spacing w:after="0" w:line="276" w:lineRule="auto"/>
        <w:ind w:left="0" w:right="0" w:firstLine="0"/>
        <w:rPr>
          <w:rFonts w:ascii="ITC Avant Garde" w:hAnsi="ITC Avant Garde"/>
          <w:lang w:val="es-ES"/>
        </w:rPr>
      </w:pPr>
      <w:r>
        <w:rPr>
          <w:rFonts w:ascii="ITC Avant Garde" w:hAnsi="ITC Avant Garde"/>
          <w:lang w:val="es-ES"/>
        </w:rPr>
        <w:t>Telefónica</w:t>
      </w:r>
      <w:r w:rsidR="00541685" w:rsidRPr="00541685">
        <w:rPr>
          <w:rFonts w:ascii="ITC Avant Garde" w:hAnsi="ITC Avant Garde"/>
          <w:lang w:val="es-ES"/>
        </w:rPr>
        <w:t xml:space="preserve"> propone que la tarifa de terminación para los </w:t>
      </w:r>
      <w:r w:rsidR="00A94546">
        <w:rPr>
          <w:rFonts w:ascii="ITC Avant Garde" w:hAnsi="ITC Avant Garde"/>
          <w:lang w:val="es-ES"/>
        </w:rPr>
        <w:t>concesionarios</w:t>
      </w:r>
      <w:r w:rsidR="00541685" w:rsidRPr="00541685">
        <w:rPr>
          <w:rFonts w:ascii="ITC Avant Garde" w:hAnsi="ITC Avant Garde"/>
          <w:lang w:val="es-ES"/>
        </w:rPr>
        <w:t xml:space="preserve"> no preponderantes móviles quede fijada a partir de una asimetría predeterminada aplicada sobre el nivel de la tarifa calculada para el AEP con su modelo de costos.</w:t>
      </w:r>
    </w:p>
    <w:p w14:paraId="000F41CA" w14:textId="77777777" w:rsidR="00575582" w:rsidRPr="00541685" w:rsidRDefault="00575582" w:rsidP="0080349A">
      <w:pPr>
        <w:spacing w:after="0" w:line="276" w:lineRule="auto"/>
        <w:ind w:left="0" w:right="0" w:firstLine="0"/>
        <w:rPr>
          <w:rFonts w:ascii="ITC Avant Garde" w:hAnsi="ITC Avant Garde"/>
          <w:lang w:val="es-ES"/>
        </w:rPr>
      </w:pPr>
    </w:p>
    <w:p w14:paraId="235CACAB" w14:textId="29E9DB14" w:rsidR="00541685" w:rsidRDefault="007C441B" w:rsidP="0080349A">
      <w:pPr>
        <w:spacing w:after="0" w:line="276" w:lineRule="auto"/>
        <w:ind w:left="0" w:right="0" w:firstLine="0"/>
        <w:rPr>
          <w:rFonts w:ascii="ITC Avant Garde" w:hAnsi="ITC Avant Garde"/>
          <w:lang w:val="es-ES"/>
        </w:rPr>
      </w:pPr>
      <w:r>
        <w:rPr>
          <w:rFonts w:ascii="ITC Avant Garde" w:hAnsi="ITC Avant Garde"/>
          <w:lang w:val="es-ES"/>
        </w:rPr>
        <w:t>GTV</w:t>
      </w:r>
      <w:r w:rsidR="00541685" w:rsidRPr="00541685">
        <w:rPr>
          <w:rFonts w:ascii="ITC Avant Garde" w:hAnsi="ITC Avant Garde"/>
          <w:lang w:val="es-ES"/>
        </w:rPr>
        <w:t xml:space="preserve"> opina que la asimetría existente es excesiva y la compara con la asimetría vigente en otros países, que es considerablemente inferior. El </w:t>
      </w:r>
      <w:r w:rsidR="00A94546">
        <w:rPr>
          <w:rFonts w:ascii="ITC Avant Garde" w:hAnsi="ITC Avant Garde"/>
          <w:lang w:val="es-ES"/>
        </w:rPr>
        <w:t>concesionario</w:t>
      </w:r>
      <w:r w:rsidR="00541685" w:rsidRPr="00541685">
        <w:rPr>
          <w:rFonts w:ascii="ITC Avant Garde" w:hAnsi="ITC Avant Garde"/>
          <w:lang w:val="es-ES"/>
        </w:rPr>
        <w:t xml:space="preserve"> argumenta que la asimetría debería mostrar una senda de reducción a futuro, aproximándose a la mostrada en la terminación fija.</w:t>
      </w:r>
    </w:p>
    <w:p w14:paraId="0B865321" w14:textId="3B2FC9B1" w:rsidR="00575582" w:rsidRDefault="00575582" w:rsidP="0080349A">
      <w:pPr>
        <w:spacing w:after="0" w:line="276" w:lineRule="auto"/>
        <w:ind w:left="0" w:right="0" w:firstLine="0"/>
        <w:rPr>
          <w:rFonts w:ascii="ITC Avant Garde" w:hAnsi="ITC Avant Garde"/>
          <w:lang w:val="es-ES"/>
        </w:rPr>
      </w:pPr>
    </w:p>
    <w:p w14:paraId="335967B0" w14:textId="6C2995FE" w:rsidR="00575582" w:rsidRDefault="00575582"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7D677CD8" w14:textId="77777777" w:rsidR="00575582" w:rsidRDefault="00575582" w:rsidP="0080349A">
      <w:pPr>
        <w:spacing w:after="0" w:line="276" w:lineRule="auto"/>
        <w:ind w:left="0" w:right="0" w:firstLine="0"/>
        <w:rPr>
          <w:rFonts w:ascii="ITC Avant Garde" w:hAnsi="ITC Avant Garde"/>
          <w:lang w:val="es-ES"/>
        </w:rPr>
      </w:pPr>
      <w:r>
        <w:rPr>
          <w:rFonts w:ascii="ITC Avant Garde" w:hAnsi="ITC Avant Garde"/>
          <w:lang w:val="es-ES"/>
        </w:rPr>
        <w:br/>
        <w:t>E</w:t>
      </w:r>
      <w:r w:rsidR="00541685" w:rsidRPr="00541685">
        <w:rPr>
          <w:rFonts w:ascii="ITC Avant Garde" w:hAnsi="ITC Avant Garde"/>
          <w:lang w:val="es-ES"/>
        </w:rPr>
        <w:t>l procedimiento más objetivo para estimar las tarifas de los servicios mayoristas (</w:t>
      </w:r>
      <w:r w:rsidRPr="00541685">
        <w:rPr>
          <w:rFonts w:ascii="ITC Avant Garde" w:hAnsi="ITC Avant Garde"/>
          <w:lang w:val="es-ES"/>
        </w:rPr>
        <w:t>a</w:t>
      </w:r>
      <w:r>
        <w:rPr>
          <w:rFonts w:ascii="ITC Avant Garde" w:hAnsi="ITC Avant Garde"/>
          <w:lang w:val="es-ES"/>
        </w:rPr>
        <w:t>sí</w:t>
      </w:r>
      <w:r w:rsidR="00541685" w:rsidRPr="00541685">
        <w:rPr>
          <w:rFonts w:ascii="ITC Avant Garde" w:hAnsi="ITC Avant Garde"/>
          <w:lang w:val="es-ES"/>
        </w:rPr>
        <w:t xml:space="preserve"> como la potencial asimetría existente entre dos </w:t>
      </w:r>
      <w:r w:rsidR="00A94546">
        <w:rPr>
          <w:rFonts w:ascii="ITC Avant Garde" w:hAnsi="ITC Avant Garde"/>
          <w:lang w:val="es-ES"/>
        </w:rPr>
        <w:t>concesionarios</w:t>
      </w:r>
      <w:r w:rsidR="00541685" w:rsidRPr="00541685">
        <w:rPr>
          <w:rFonts w:ascii="ITC Avant Garde" w:hAnsi="ITC Avant Garde"/>
          <w:lang w:val="es-ES"/>
        </w:rPr>
        <w:t xml:space="preserve"> en el mercado) es a través de un ejercicio de modelado detallado, considerando las realidades del mercado mexicano.</w:t>
      </w:r>
    </w:p>
    <w:p w14:paraId="3558DE6F" w14:textId="369B4309" w:rsidR="00541685" w:rsidRP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 </w:t>
      </w:r>
    </w:p>
    <w:p w14:paraId="2D5A18A6" w14:textId="062D5CBD"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En este sentido, si bien las comparativas internacionales podrían ser útiles para disponer de una referencia de alto nivel, su comparabilidad es limitada, ya que las mismas, por definición, no son representativas del mercado en México.</w:t>
      </w:r>
    </w:p>
    <w:p w14:paraId="154B724A" w14:textId="77777777" w:rsidR="00575582" w:rsidRPr="00541685" w:rsidRDefault="00575582" w:rsidP="0080349A">
      <w:pPr>
        <w:spacing w:after="0" w:line="276" w:lineRule="auto"/>
        <w:ind w:left="0" w:right="0" w:firstLine="0"/>
        <w:rPr>
          <w:rFonts w:ascii="ITC Avant Garde" w:hAnsi="ITC Avant Garde"/>
          <w:lang w:val="es-ES"/>
        </w:rPr>
      </w:pPr>
    </w:p>
    <w:p w14:paraId="7470675A" w14:textId="0A6C3A22"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Por este motivo, </w:t>
      </w:r>
      <w:r w:rsidR="00856A78">
        <w:rPr>
          <w:rFonts w:ascii="ITC Avant Garde" w:hAnsi="ITC Avant Garde"/>
          <w:lang w:val="es-ES"/>
        </w:rPr>
        <w:t>se considera</w:t>
      </w:r>
      <w:r w:rsidRPr="00541685">
        <w:rPr>
          <w:rFonts w:ascii="ITC Avant Garde" w:hAnsi="ITC Avant Garde"/>
          <w:lang w:val="es-ES"/>
        </w:rPr>
        <w:t xml:space="preserve"> que el nivel de asimetría de las tarifas resultantes del AEP y el </w:t>
      </w:r>
      <w:r w:rsidR="008A4535">
        <w:rPr>
          <w:rFonts w:ascii="ITC Avant Garde" w:hAnsi="ITC Avant Garde"/>
          <w:lang w:val="es-ES"/>
        </w:rPr>
        <w:t xml:space="preserve">CS </w:t>
      </w:r>
      <w:r w:rsidRPr="00541685">
        <w:rPr>
          <w:rFonts w:ascii="ITC Avant Garde" w:hAnsi="ITC Avant Garde"/>
          <w:lang w:val="es-ES"/>
        </w:rPr>
        <w:t>reflejan adecuadamente la realidad del mercado mexicano. Cabe mencionar que la asimetría muestra una cierta tendencia descendiente dentro del periodo de análisis.</w:t>
      </w:r>
    </w:p>
    <w:p w14:paraId="74FED522" w14:textId="77777777" w:rsidR="00575582" w:rsidRPr="00541685" w:rsidRDefault="00575582" w:rsidP="0080349A">
      <w:pPr>
        <w:spacing w:after="0" w:line="276" w:lineRule="auto"/>
        <w:ind w:left="0" w:right="0" w:firstLine="0"/>
        <w:rPr>
          <w:rFonts w:ascii="ITC Avant Garde" w:hAnsi="ITC Avant Garde"/>
          <w:lang w:val="es-ES"/>
        </w:rPr>
      </w:pPr>
    </w:p>
    <w:p w14:paraId="1739D9BD" w14:textId="6F436EB0"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Por otro lado, la sugerencia de un </w:t>
      </w:r>
      <w:r w:rsidR="00A94546">
        <w:rPr>
          <w:rFonts w:ascii="ITC Avant Garde" w:hAnsi="ITC Avant Garde"/>
          <w:lang w:val="es-ES"/>
        </w:rPr>
        <w:t>concesionario</w:t>
      </w:r>
      <w:r w:rsidRPr="00541685">
        <w:rPr>
          <w:rFonts w:ascii="ITC Avant Garde" w:hAnsi="ITC Avant Garde"/>
          <w:lang w:val="es-ES"/>
        </w:rPr>
        <w:t xml:space="preserve"> de predefinir un nivel de asimetría partiendo del modelo del AEP podría ser un enfoque interesante. Sin embargo, resulta complejo definir y justificar una proyección predeterminada de la asimetría a futuro sin una herramienta cuantitativa. Por este motivo, </w:t>
      </w:r>
      <w:r w:rsidR="00856A78">
        <w:rPr>
          <w:rFonts w:ascii="ITC Avant Garde" w:hAnsi="ITC Avant Garde"/>
          <w:lang w:val="es-ES"/>
        </w:rPr>
        <w:t>se considera</w:t>
      </w:r>
      <w:r w:rsidRPr="00541685">
        <w:rPr>
          <w:rFonts w:ascii="ITC Avant Garde" w:hAnsi="ITC Avant Garde"/>
          <w:lang w:val="es-ES"/>
        </w:rPr>
        <w:t xml:space="preserve"> más apropiado mantener la metodología bottom-up seguida en los modelos sometidos a consulta.</w:t>
      </w:r>
    </w:p>
    <w:p w14:paraId="08FA412A" w14:textId="77777777" w:rsidR="00575582" w:rsidRPr="00541685" w:rsidRDefault="00575582" w:rsidP="0080349A">
      <w:pPr>
        <w:spacing w:after="0" w:line="276" w:lineRule="auto"/>
        <w:ind w:left="0" w:right="0" w:firstLine="0"/>
        <w:rPr>
          <w:rFonts w:ascii="ITC Avant Garde" w:hAnsi="ITC Avant Garde"/>
          <w:lang w:val="es-ES"/>
        </w:rPr>
      </w:pPr>
    </w:p>
    <w:p w14:paraId="2162ECD2" w14:textId="77777777" w:rsidR="00541685" w:rsidRPr="00575582" w:rsidRDefault="00541685" w:rsidP="0080349A">
      <w:pPr>
        <w:spacing w:after="0" w:line="276" w:lineRule="auto"/>
        <w:ind w:left="0" w:right="0" w:firstLine="0"/>
        <w:rPr>
          <w:rFonts w:ascii="ITC Avant Garde" w:hAnsi="ITC Avant Garde"/>
          <w:i/>
          <w:lang w:val="es-ES"/>
        </w:rPr>
      </w:pPr>
      <w:r w:rsidRPr="00575582">
        <w:rPr>
          <w:rFonts w:ascii="ITC Avant Garde" w:hAnsi="ITC Avant Garde"/>
          <w:i/>
          <w:lang w:val="es-ES"/>
        </w:rPr>
        <w:t>Convergencia en las tarifas de terminación de redes fijas y móviles</w:t>
      </w:r>
    </w:p>
    <w:p w14:paraId="0FD5D1A1" w14:textId="77777777" w:rsidR="00575582" w:rsidRDefault="00575582" w:rsidP="0080349A">
      <w:pPr>
        <w:spacing w:after="0" w:line="276" w:lineRule="auto"/>
        <w:ind w:left="0" w:right="0" w:firstLine="0"/>
        <w:rPr>
          <w:rFonts w:ascii="ITC Avant Garde" w:hAnsi="ITC Avant Garde"/>
          <w:lang w:val="es-ES"/>
        </w:rPr>
      </w:pPr>
    </w:p>
    <w:p w14:paraId="50273E5B" w14:textId="77777777" w:rsidR="00575582" w:rsidRDefault="005075FE" w:rsidP="0080349A">
      <w:pPr>
        <w:spacing w:after="0" w:line="276" w:lineRule="auto"/>
        <w:ind w:left="0" w:right="0" w:firstLine="0"/>
        <w:rPr>
          <w:rFonts w:ascii="ITC Avant Garde" w:hAnsi="ITC Avant Garde"/>
          <w:lang w:val="es-ES"/>
        </w:rPr>
      </w:pPr>
      <w:r>
        <w:rPr>
          <w:rFonts w:ascii="ITC Avant Garde" w:hAnsi="ITC Avant Garde"/>
          <w:lang w:val="es-ES"/>
        </w:rPr>
        <w:t>Mega Cable</w:t>
      </w:r>
      <w:r w:rsidR="00575582">
        <w:rPr>
          <w:rFonts w:ascii="ITC Avant Garde" w:hAnsi="ITC Avant Garde"/>
          <w:lang w:val="es-ES"/>
        </w:rPr>
        <w:t xml:space="preserve"> </w:t>
      </w:r>
      <w:r w:rsidR="00541685" w:rsidRPr="00541685">
        <w:rPr>
          <w:rFonts w:ascii="ITC Avant Garde" w:hAnsi="ITC Avant Garde"/>
          <w:lang w:val="es-ES"/>
        </w:rPr>
        <w:t>y GTV</w:t>
      </w:r>
    </w:p>
    <w:p w14:paraId="0F5E1A1B" w14:textId="77777777" w:rsidR="00575582" w:rsidRDefault="00575582" w:rsidP="0080349A">
      <w:pPr>
        <w:spacing w:after="0" w:line="276" w:lineRule="auto"/>
        <w:ind w:left="0" w:right="0" w:firstLine="0"/>
        <w:rPr>
          <w:rFonts w:ascii="ITC Avant Garde" w:hAnsi="ITC Avant Garde"/>
          <w:lang w:val="es-ES"/>
        </w:rPr>
      </w:pPr>
    </w:p>
    <w:p w14:paraId="6B2400DD" w14:textId="5F93AF5A" w:rsidR="00541685" w:rsidRDefault="00323D78" w:rsidP="0080349A">
      <w:pPr>
        <w:spacing w:after="0" w:line="276" w:lineRule="auto"/>
        <w:ind w:left="0" w:right="0" w:firstLine="0"/>
        <w:rPr>
          <w:rFonts w:ascii="ITC Avant Garde" w:hAnsi="ITC Avant Garde"/>
          <w:lang w:val="es-ES"/>
        </w:rPr>
      </w:pPr>
      <w:r>
        <w:rPr>
          <w:rFonts w:ascii="ITC Avant Garde" w:hAnsi="ITC Avant Garde"/>
          <w:lang w:val="es-ES"/>
        </w:rPr>
        <w:t xml:space="preserve">Mega Cable </w:t>
      </w:r>
      <w:r w:rsidRPr="00541685">
        <w:rPr>
          <w:rFonts w:ascii="ITC Avant Garde" w:hAnsi="ITC Avant Garde"/>
          <w:lang w:val="es-ES"/>
        </w:rPr>
        <w:t>y GTV</w:t>
      </w:r>
      <w:r w:rsidR="00541685" w:rsidRPr="00541685">
        <w:rPr>
          <w:rFonts w:ascii="ITC Avant Garde" w:hAnsi="ITC Avant Garde"/>
          <w:lang w:val="es-ES"/>
        </w:rPr>
        <w:t xml:space="preserve"> opinan que los modelos no reflejan el hecho de que los servicios de voz fija y móvil son sustitutos y compiten entre </w:t>
      </w:r>
      <w:r>
        <w:rPr>
          <w:rFonts w:ascii="ITC Avant Garde" w:hAnsi="ITC Avant Garde"/>
          <w:lang w:val="es-ES"/>
        </w:rPr>
        <w:t>sí</w:t>
      </w:r>
      <w:r w:rsidR="00541685" w:rsidRPr="00541685">
        <w:rPr>
          <w:rFonts w:ascii="ITC Avant Garde" w:hAnsi="ITC Avant Garde"/>
          <w:lang w:val="es-ES"/>
        </w:rPr>
        <w:t>. En particular, destacan la intensa presión competitiva del servicio de voz móvil sobre el fijo, y que el diferencial en el costo de las tarifas de terminación entre ambas redes distorsiona esta competencia y colo</w:t>
      </w:r>
      <w:r>
        <w:rPr>
          <w:rFonts w:ascii="ITC Avant Garde" w:hAnsi="ITC Avant Garde"/>
          <w:lang w:val="es-ES"/>
        </w:rPr>
        <w:t>ca</w:t>
      </w:r>
      <w:r w:rsidR="008A4535">
        <w:rPr>
          <w:rFonts w:ascii="ITC Avant Garde" w:hAnsi="ITC Avant Garde"/>
          <w:lang w:val="es-ES"/>
        </w:rPr>
        <w:t xml:space="preserve"> </w:t>
      </w:r>
      <w:r w:rsidR="00541685" w:rsidRPr="00541685">
        <w:rPr>
          <w:rFonts w:ascii="ITC Avant Garde" w:hAnsi="ITC Avant Garde"/>
          <w:lang w:val="es-ES"/>
        </w:rPr>
        <w:t xml:space="preserve">a los proveedores de servicios de voz fijos en desventaja. </w:t>
      </w:r>
    </w:p>
    <w:p w14:paraId="3FBAE6FD" w14:textId="77777777" w:rsidR="00323D78" w:rsidRPr="00541685" w:rsidRDefault="00323D78" w:rsidP="0080349A">
      <w:pPr>
        <w:spacing w:after="0" w:line="276" w:lineRule="auto"/>
        <w:ind w:left="0" w:right="0" w:firstLine="0"/>
        <w:rPr>
          <w:rFonts w:ascii="ITC Avant Garde" w:hAnsi="ITC Avant Garde"/>
          <w:lang w:val="es-ES"/>
        </w:rPr>
      </w:pPr>
    </w:p>
    <w:p w14:paraId="5F42108D" w14:textId="003C42D8"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Los </w:t>
      </w:r>
      <w:r w:rsidR="00A94546">
        <w:rPr>
          <w:rFonts w:ascii="ITC Avant Garde" w:hAnsi="ITC Avant Garde"/>
          <w:lang w:val="es-ES"/>
        </w:rPr>
        <w:t>concesionarios</w:t>
      </w:r>
      <w:r w:rsidRPr="00541685">
        <w:rPr>
          <w:rFonts w:ascii="ITC Avant Garde" w:hAnsi="ITC Avant Garde"/>
          <w:lang w:val="es-ES"/>
        </w:rPr>
        <w:t xml:space="preserve"> señalan una asimetría superior a la de otros países referentes. Asimismo, uno de los </w:t>
      </w:r>
      <w:r w:rsidR="00A94546">
        <w:rPr>
          <w:rFonts w:ascii="ITC Avant Garde" w:hAnsi="ITC Avant Garde"/>
          <w:lang w:val="es-ES"/>
        </w:rPr>
        <w:t>concesionarios</w:t>
      </w:r>
      <w:r w:rsidRPr="00541685">
        <w:rPr>
          <w:rFonts w:ascii="ITC Avant Garde" w:hAnsi="ITC Avant Garde"/>
          <w:lang w:val="es-ES"/>
        </w:rPr>
        <w:t xml:space="preserve"> hace referencia a otros reguladores, como la Comisión Europea, Ofcom (Reino Unido) o la Comisión de Regulación de Comunicaciones (CRC (Colombia), y ejemplifican como estos organismos han iniciado procesos regulatorios para obtener una mayor convergencia en las tarifas de terminación de redes fijas y móviles.</w:t>
      </w:r>
    </w:p>
    <w:p w14:paraId="22DCFE29" w14:textId="130F2C63" w:rsidR="00323D78" w:rsidRDefault="00323D78" w:rsidP="0080349A">
      <w:pPr>
        <w:spacing w:after="0" w:line="276" w:lineRule="auto"/>
        <w:ind w:left="0" w:right="0" w:firstLine="0"/>
        <w:rPr>
          <w:rFonts w:ascii="ITC Avant Garde" w:hAnsi="ITC Avant Garde"/>
          <w:lang w:val="es-ES"/>
        </w:rPr>
      </w:pPr>
    </w:p>
    <w:p w14:paraId="1F134A59" w14:textId="60D4760A" w:rsidR="00323D78" w:rsidRDefault="00323D78" w:rsidP="00323D78">
      <w:pPr>
        <w:spacing w:after="0" w:line="276" w:lineRule="auto"/>
        <w:ind w:left="0" w:right="0" w:firstLine="0"/>
        <w:rPr>
          <w:rFonts w:ascii="ITC Avant Garde" w:hAnsi="ITC Avant Garde"/>
          <w:lang w:val="es-ES"/>
        </w:rPr>
      </w:pPr>
      <w:r w:rsidRPr="58E23F00">
        <w:rPr>
          <w:rFonts w:ascii="ITC Avant Garde" w:hAnsi="ITC Avant Garde"/>
          <w:lang w:val="es-ES"/>
        </w:rPr>
        <w:lastRenderedPageBreak/>
        <w:t xml:space="preserve">Consideraciones del </w:t>
      </w:r>
      <w:r w:rsidR="647786AF" w:rsidRPr="58E23F00">
        <w:rPr>
          <w:rFonts w:ascii="ITC Avant Garde" w:hAnsi="ITC Avant Garde"/>
          <w:lang w:val="es-ES"/>
        </w:rPr>
        <w:t>Instituto</w:t>
      </w:r>
    </w:p>
    <w:p w14:paraId="1F0E0C62" w14:textId="77777777" w:rsidR="00323D78" w:rsidRPr="00541685" w:rsidRDefault="00323D78" w:rsidP="0080349A">
      <w:pPr>
        <w:spacing w:after="0" w:line="276" w:lineRule="auto"/>
        <w:ind w:left="0" w:right="0" w:firstLine="0"/>
        <w:rPr>
          <w:rFonts w:ascii="ITC Avant Garde" w:hAnsi="ITC Avant Garde"/>
          <w:lang w:val="es-ES"/>
        </w:rPr>
      </w:pPr>
    </w:p>
    <w:p w14:paraId="0481CB37" w14:textId="103F445A" w:rsidR="00541685" w:rsidRDefault="00323D78" w:rsidP="0080349A">
      <w:pPr>
        <w:spacing w:after="0" w:line="276" w:lineRule="auto"/>
        <w:ind w:left="0" w:right="0" w:firstLine="0"/>
        <w:rPr>
          <w:rFonts w:ascii="ITC Avant Garde" w:hAnsi="ITC Avant Garde"/>
          <w:lang w:val="es-ES"/>
        </w:rPr>
      </w:pPr>
      <w:r>
        <w:rPr>
          <w:rFonts w:ascii="ITC Avant Garde" w:hAnsi="ITC Avant Garde"/>
          <w:lang w:val="es-ES"/>
        </w:rPr>
        <w:t>El</w:t>
      </w:r>
      <w:r w:rsidR="00541685" w:rsidRPr="00541685">
        <w:rPr>
          <w:rFonts w:ascii="ITC Avant Garde" w:hAnsi="ITC Avant Garde"/>
          <w:lang w:val="es-ES"/>
        </w:rPr>
        <w:t xml:space="preserve"> desarrollo de un modelo bottom-up es la forma más precisa de realizar una estimación de los costos de proveer servicios de interconexión. Si bien las comparativas internacionales son útiles, no reconocen la casuísti</w:t>
      </w:r>
      <w:r>
        <w:rPr>
          <w:rFonts w:ascii="ITC Avant Garde" w:hAnsi="ITC Avant Garde"/>
          <w:lang w:val="es-ES"/>
        </w:rPr>
        <w:t>ca</w:t>
      </w:r>
      <w:r w:rsidR="008A4535">
        <w:rPr>
          <w:rFonts w:ascii="ITC Avant Garde" w:hAnsi="ITC Avant Garde"/>
          <w:lang w:val="es-ES"/>
        </w:rPr>
        <w:t xml:space="preserve"> </w:t>
      </w:r>
      <w:r w:rsidR="00541685" w:rsidRPr="00541685">
        <w:rPr>
          <w:rFonts w:ascii="ITC Avant Garde" w:hAnsi="ITC Avant Garde"/>
          <w:lang w:val="es-ES"/>
        </w:rPr>
        <w:t>específi</w:t>
      </w:r>
      <w:r>
        <w:rPr>
          <w:rFonts w:ascii="ITC Avant Garde" w:hAnsi="ITC Avant Garde"/>
          <w:lang w:val="es-ES"/>
        </w:rPr>
        <w:t>ca</w:t>
      </w:r>
      <w:r w:rsidR="008A4535">
        <w:rPr>
          <w:rFonts w:ascii="ITC Avant Garde" w:hAnsi="ITC Avant Garde"/>
          <w:lang w:val="es-ES"/>
        </w:rPr>
        <w:t xml:space="preserve"> </w:t>
      </w:r>
      <w:r w:rsidR="00541685" w:rsidRPr="00541685">
        <w:rPr>
          <w:rFonts w:ascii="ITC Avant Garde" w:hAnsi="ITC Avant Garde"/>
          <w:lang w:val="es-ES"/>
        </w:rPr>
        <w:t>acontecida en cada país.</w:t>
      </w:r>
    </w:p>
    <w:p w14:paraId="662DFD15" w14:textId="77777777" w:rsidR="00323D78" w:rsidRPr="00541685" w:rsidRDefault="00323D78" w:rsidP="0080349A">
      <w:pPr>
        <w:spacing w:after="0" w:line="276" w:lineRule="auto"/>
        <w:ind w:left="0" w:right="0" w:firstLine="0"/>
        <w:rPr>
          <w:rFonts w:ascii="ITC Avant Garde" w:hAnsi="ITC Avant Garde"/>
          <w:lang w:val="es-ES"/>
        </w:rPr>
      </w:pPr>
    </w:p>
    <w:p w14:paraId="025DB63B" w14:textId="03E0BEE0" w:rsidR="00541685" w:rsidRP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A este respecto, se observa que en el periodo modelado se da una convergencia progresiva en los cargos de terminación fija y móvil, lo cual </w:t>
      </w:r>
      <w:r w:rsidR="00856A78">
        <w:rPr>
          <w:rFonts w:ascii="ITC Avant Garde" w:hAnsi="ITC Avant Garde"/>
          <w:lang w:val="es-ES"/>
        </w:rPr>
        <w:t>se considera</w:t>
      </w:r>
      <w:r w:rsidRPr="00541685">
        <w:rPr>
          <w:rFonts w:ascii="ITC Avant Garde" w:hAnsi="ITC Avant Garde"/>
          <w:lang w:val="es-ES"/>
        </w:rPr>
        <w:t xml:space="preserve"> que evoluciona en línea con lo esperado según la evolución del mercado en los últimos años.</w:t>
      </w:r>
    </w:p>
    <w:p w14:paraId="6024A037" w14:textId="77777777" w:rsidR="00541685" w:rsidRPr="00541685" w:rsidRDefault="00541685" w:rsidP="0080349A">
      <w:pPr>
        <w:spacing w:after="0" w:line="276" w:lineRule="auto"/>
        <w:ind w:left="0" w:right="0" w:firstLine="0"/>
        <w:rPr>
          <w:rFonts w:ascii="ITC Avant Garde" w:hAnsi="ITC Avant Garde"/>
          <w:lang w:val="es-ES"/>
        </w:rPr>
      </w:pPr>
    </w:p>
    <w:p w14:paraId="78235351" w14:textId="0D52EBA8" w:rsidR="00541685" w:rsidRDefault="00541685" w:rsidP="0080349A">
      <w:pPr>
        <w:spacing w:after="0" w:line="276" w:lineRule="auto"/>
        <w:ind w:left="0" w:right="0" w:firstLine="0"/>
        <w:rPr>
          <w:rFonts w:ascii="ITC Avant Garde" w:hAnsi="ITC Avant Garde"/>
          <w:b/>
          <w:u w:val="single"/>
          <w:lang w:val="es-ES"/>
        </w:rPr>
      </w:pPr>
      <w:r w:rsidRPr="00323D78">
        <w:rPr>
          <w:rFonts w:ascii="ITC Avant Garde" w:hAnsi="ITC Avant Garde"/>
          <w:b/>
          <w:u w:val="single"/>
          <w:lang w:val="es-ES"/>
        </w:rPr>
        <w:t>Comentarios al modelo de interconexión fijo</w:t>
      </w:r>
    </w:p>
    <w:p w14:paraId="41273FBB" w14:textId="77777777" w:rsidR="00323D78" w:rsidRPr="00323D78" w:rsidRDefault="00323D78" w:rsidP="0080349A">
      <w:pPr>
        <w:spacing w:after="0" w:line="276" w:lineRule="auto"/>
        <w:ind w:left="0" w:right="0" w:firstLine="0"/>
        <w:rPr>
          <w:rFonts w:ascii="ITC Avant Garde" w:hAnsi="ITC Avant Garde"/>
          <w:b/>
          <w:u w:val="single"/>
          <w:lang w:val="es-ES"/>
        </w:rPr>
      </w:pPr>
    </w:p>
    <w:p w14:paraId="7E404C7F" w14:textId="19C4CF83"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Esta sección ofrece un resumen de los comentarios, opiniones y aportaciones de los </w:t>
      </w:r>
      <w:r w:rsidR="00A94546">
        <w:rPr>
          <w:rFonts w:ascii="ITC Avant Garde" w:hAnsi="ITC Avant Garde"/>
          <w:lang w:val="es-ES"/>
        </w:rPr>
        <w:t>concesionarios</w:t>
      </w:r>
      <w:r w:rsidRPr="00541685">
        <w:rPr>
          <w:rFonts w:ascii="ITC Avant Garde" w:hAnsi="ITC Avant Garde"/>
          <w:lang w:val="es-ES"/>
        </w:rPr>
        <w:t xml:space="preserve"> al modelo de costos para la determinación de las tarifas del servicio de interconexión en redes fijas.</w:t>
      </w:r>
    </w:p>
    <w:p w14:paraId="2E59A19E" w14:textId="77777777" w:rsidR="00323D78" w:rsidRPr="00541685" w:rsidRDefault="00323D78" w:rsidP="0080349A">
      <w:pPr>
        <w:spacing w:after="0" w:line="276" w:lineRule="auto"/>
        <w:ind w:left="0" w:right="0" w:firstLine="0"/>
        <w:rPr>
          <w:rFonts w:ascii="ITC Avant Garde" w:hAnsi="ITC Avant Garde"/>
          <w:lang w:val="es-ES"/>
        </w:rPr>
      </w:pPr>
    </w:p>
    <w:p w14:paraId="03C3B0EE" w14:textId="3F99F9BF" w:rsidR="00541685" w:rsidRDefault="00541685" w:rsidP="0080349A">
      <w:pPr>
        <w:spacing w:after="0" w:line="276" w:lineRule="auto"/>
        <w:ind w:left="0" w:right="0" w:firstLine="0"/>
        <w:rPr>
          <w:rFonts w:ascii="ITC Avant Garde" w:hAnsi="ITC Avant Garde"/>
          <w:b/>
          <w:u w:val="single"/>
          <w:lang w:val="es-ES"/>
        </w:rPr>
      </w:pPr>
      <w:r w:rsidRPr="00323D78">
        <w:rPr>
          <w:rFonts w:ascii="ITC Avant Garde" w:hAnsi="ITC Avant Garde"/>
          <w:b/>
          <w:u w:val="single"/>
          <w:lang w:val="es-ES"/>
        </w:rPr>
        <w:t>Comentarios al enfoque conceptual del modelo de redes fijas</w:t>
      </w:r>
    </w:p>
    <w:p w14:paraId="110EFBF1" w14:textId="77777777" w:rsidR="00323D78" w:rsidRPr="00323D78" w:rsidRDefault="00323D78" w:rsidP="0080349A">
      <w:pPr>
        <w:spacing w:after="0" w:line="276" w:lineRule="auto"/>
        <w:ind w:left="0" w:right="0" w:firstLine="0"/>
        <w:rPr>
          <w:rFonts w:ascii="ITC Avant Garde" w:hAnsi="ITC Avant Garde"/>
          <w:b/>
          <w:u w:val="single"/>
          <w:lang w:val="es-ES"/>
        </w:rPr>
      </w:pPr>
    </w:p>
    <w:p w14:paraId="056759A1" w14:textId="45176500" w:rsidR="00541685" w:rsidRPr="00323D78" w:rsidRDefault="00541685" w:rsidP="0080349A">
      <w:pPr>
        <w:spacing w:after="0" w:line="276" w:lineRule="auto"/>
        <w:ind w:left="0" w:right="0" w:firstLine="0"/>
        <w:rPr>
          <w:rFonts w:ascii="ITC Avant Garde" w:hAnsi="ITC Avant Garde"/>
          <w:i/>
          <w:lang w:val="es-ES"/>
        </w:rPr>
      </w:pPr>
      <w:r w:rsidRPr="00323D78">
        <w:rPr>
          <w:rFonts w:ascii="ITC Avant Garde" w:hAnsi="ITC Avant Garde"/>
          <w:i/>
          <w:lang w:val="es-ES"/>
        </w:rPr>
        <w:t xml:space="preserve">Definición del </w:t>
      </w:r>
      <w:r w:rsidR="00A94546" w:rsidRPr="00323D78">
        <w:rPr>
          <w:rFonts w:ascii="ITC Avant Garde" w:hAnsi="ITC Avant Garde"/>
          <w:i/>
          <w:lang w:val="es-ES"/>
        </w:rPr>
        <w:t>concesionario</w:t>
      </w:r>
      <w:r w:rsidRPr="00323D78">
        <w:rPr>
          <w:rFonts w:ascii="ITC Avant Garde" w:hAnsi="ITC Avant Garde"/>
          <w:i/>
          <w:lang w:val="es-ES"/>
        </w:rPr>
        <w:t xml:space="preserve"> modelado de redes fijas</w:t>
      </w:r>
    </w:p>
    <w:p w14:paraId="740A1C67" w14:textId="209816A7" w:rsidR="00323D78" w:rsidRDefault="00323D78" w:rsidP="0080349A">
      <w:pPr>
        <w:spacing w:after="0" w:line="276" w:lineRule="auto"/>
        <w:ind w:left="0" w:right="0" w:firstLine="0"/>
        <w:rPr>
          <w:rFonts w:ascii="ITC Avant Garde" w:hAnsi="ITC Avant Garde"/>
          <w:lang w:val="es-ES"/>
        </w:rPr>
      </w:pPr>
    </w:p>
    <w:p w14:paraId="05A9CC74" w14:textId="6403B989" w:rsidR="00323D78" w:rsidRDefault="00323D78" w:rsidP="0080349A">
      <w:pPr>
        <w:spacing w:after="0" w:line="276" w:lineRule="auto"/>
        <w:ind w:left="0" w:right="0" w:firstLine="0"/>
        <w:rPr>
          <w:rFonts w:ascii="ITC Avant Garde" w:hAnsi="ITC Avant Garde"/>
          <w:lang w:val="es-ES"/>
        </w:rPr>
      </w:pPr>
      <w:r>
        <w:rPr>
          <w:rFonts w:ascii="ITC Avant Garde" w:hAnsi="ITC Avant Garde"/>
          <w:lang w:val="es-ES"/>
        </w:rPr>
        <w:t>Mega Cable</w:t>
      </w:r>
    </w:p>
    <w:p w14:paraId="6E2E8B4B" w14:textId="77777777" w:rsidR="00323D78" w:rsidRDefault="00323D78" w:rsidP="0080349A">
      <w:pPr>
        <w:spacing w:after="0" w:line="276" w:lineRule="auto"/>
        <w:ind w:left="0" w:right="0" w:firstLine="0"/>
        <w:rPr>
          <w:rFonts w:ascii="ITC Avant Garde" w:hAnsi="ITC Avant Garde"/>
          <w:lang w:val="es-ES"/>
        </w:rPr>
      </w:pPr>
    </w:p>
    <w:p w14:paraId="68E62DAF" w14:textId="387F0C98" w:rsidR="00541685" w:rsidRDefault="00376355" w:rsidP="0080349A">
      <w:pPr>
        <w:spacing w:after="0" w:line="276" w:lineRule="auto"/>
        <w:ind w:left="0" w:right="0" w:firstLine="0"/>
        <w:rPr>
          <w:rFonts w:ascii="ITC Avant Garde" w:hAnsi="ITC Avant Garde"/>
          <w:lang w:val="es-ES"/>
        </w:rPr>
      </w:pPr>
      <w:r>
        <w:rPr>
          <w:rFonts w:ascii="ITC Avant Garde" w:hAnsi="ITC Avant Garde"/>
          <w:lang w:val="es-ES"/>
        </w:rPr>
        <w:t>Mega Cable</w:t>
      </w:r>
      <w:r w:rsidR="00541685" w:rsidRPr="00541685">
        <w:rPr>
          <w:rFonts w:ascii="ITC Avant Garde" w:hAnsi="ITC Avant Garde"/>
          <w:lang w:val="es-ES"/>
        </w:rPr>
        <w:t xml:space="preserve"> señala que la escala del </w:t>
      </w:r>
      <w:r w:rsidR="00A94546">
        <w:rPr>
          <w:rFonts w:ascii="ITC Avant Garde" w:hAnsi="ITC Avant Garde"/>
          <w:lang w:val="es-ES"/>
        </w:rPr>
        <w:t>concesionario</w:t>
      </w:r>
      <w:r w:rsidR="00541685" w:rsidRPr="00541685">
        <w:rPr>
          <w:rFonts w:ascii="ITC Avant Garde" w:hAnsi="ITC Avant Garde"/>
          <w:lang w:val="es-ES"/>
        </w:rPr>
        <w:t xml:space="preserve"> fijo alternativo no representa el tamaño promedio de los principales concesionarios no preponderantes (cuya participación promedio, conforme a los datos estadísticos del BIT se situaría entre el 18% y el 20%), siendo esta inferior al valor de 25% que se utiliza en el módulo de mercado.</w:t>
      </w:r>
    </w:p>
    <w:p w14:paraId="7D12F842" w14:textId="77777777" w:rsidR="00323D78" w:rsidRPr="00541685" w:rsidRDefault="00323D78" w:rsidP="0080349A">
      <w:pPr>
        <w:spacing w:after="0" w:line="276" w:lineRule="auto"/>
        <w:ind w:left="0" w:right="0" w:firstLine="0"/>
        <w:rPr>
          <w:rFonts w:ascii="ITC Avant Garde" w:hAnsi="ITC Avant Garde"/>
          <w:lang w:val="es-ES"/>
        </w:rPr>
      </w:pPr>
    </w:p>
    <w:p w14:paraId="61737541" w14:textId="5BCB0266"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El </w:t>
      </w:r>
      <w:r w:rsidR="00A94546">
        <w:rPr>
          <w:rFonts w:ascii="ITC Avant Garde" w:hAnsi="ITC Avant Garde"/>
          <w:lang w:val="es-ES"/>
        </w:rPr>
        <w:t>concesionario</w:t>
      </w:r>
      <w:r w:rsidRPr="00541685">
        <w:rPr>
          <w:rFonts w:ascii="ITC Avant Garde" w:hAnsi="ITC Avant Garde"/>
          <w:lang w:val="es-ES"/>
        </w:rPr>
        <w:t xml:space="preserve"> cree que la utilización de un promedio ponderado por entidad federativa se puede traducir en un subsidio para </w:t>
      </w:r>
      <w:r w:rsidR="00A94546">
        <w:rPr>
          <w:rFonts w:ascii="ITC Avant Garde" w:hAnsi="ITC Avant Garde"/>
          <w:lang w:val="es-ES"/>
        </w:rPr>
        <w:t>concesionarios</w:t>
      </w:r>
      <w:r w:rsidRPr="00541685">
        <w:rPr>
          <w:rFonts w:ascii="ITC Avant Garde" w:hAnsi="ITC Avant Garde"/>
          <w:lang w:val="es-ES"/>
        </w:rPr>
        <w:t xml:space="preserve"> concentrados en grandes zonas urbanas, y en una desventaja para aquellos </w:t>
      </w:r>
      <w:r w:rsidR="00A94546">
        <w:rPr>
          <w:rFonts w:ascii="ITC Avant Garde" w:hAnsi="ITC Avant Garde"/>
          <w:lang w:val="es-ES"/>
        </w:rPr>
        <w:t>concesionarios</w:t>
      </w:r>
      <w:r w:rsidRPr="00541685">
        <w:rPr>
          <w:rFonts w:ascii="ITC Avant Garde" w:hAnsi="ITC Avant Garde"/>
          <w:lang w:val="es-ES"/>
        </w:rPr>
        <w:t xml:space="preserve"> enfocados en localidades de menor tamaño. Además, el </w:t>
      </w:r>
      <w:r w:rsidR="00A94546">
        <w:rPr>
          <w:rFonts w:ascii="ITC Avant Garde" w:hAnsi="ITC Avant Garde"/>
          <w:lang w:val="es-ES"/>
        </w:rPr>
        <w:t>concesionario</w:t>
      </w:r>
      <w:r w:rsidRPr="00541685">
        <w:rPr>
          <w:rFonts w:ascii="ITC Avant Garde" w:hAnsi="ITC Avant Garde"/>
          <w:lang w:val="es-ES"/>
        </w:rPr>
        <w:t xml:space="preserve"> considera que los supuestos respecto al </w:t>
      </w:r>
      <w:r w:rsidR="00A94546">
        <w:rPr>
          <w:rFonts w:ascii="ITC Avant Garde" w:hAnsi="ITC Avant Garde"/>
          <w:lang w:val="es-ES"/>
        </w:rPr>
        <w:t>concesionario</w:t>
      </w:r>
      <w:r w:rsidRPr="00541685">
        <w:rPr>
          <w:rFonts w:ascii="ITC Avant Garde" w:hAnsi="ITC Avant Garde"/>
          <w:lang w:val="es-ES"/>
        </w:rPr>
        <w:t xml:space="preserve"> alternativo son irreales e irrazonables, ya que ningún </w:t>
      </w:r>
      <w:r w:rsidR="00A94546">
        <w:rPr>
          <w:rFonts w:ascii="ITC Avant Garde" w:hAnsi="ITC Avant Garde"/>
          <w:lang w:val="es-ES"/>
        </w:rPr>
        <w:t>concesionario</w:t>
      </w:r>
      <w:r w:rsidRPr="00541685">
        <w:rPr>
          <w:rFonts w:ascii="ITC Avant Garde" w:hAnsi="ITC Avant Garde"/>
          <w:lang w:val="es-ES"/>
        </w:rPr>
        <w:t xml:space="preserve"> distinto al AEP cuenta con presencia nacional o semi-nacional.</w:t>
      </w:r>
    </w:p>
    <w:p w14:paraId="1627D7CD" w14:textId="118E97A9" w:rsidR="00323D78" w:rsidRDefault="00323D78" w:rsidP="0080349A">
      <w:pPr>
        <w:spacing w:after="0" w:line="276" w:lineRule="auto"/>
        <w:ind w:left="0" w:right="0" w:firstLine="0"/>
        <w:rPr>
          <w:rFonts w:ascii="ITC Avant Garde" w:hAnsi="ITC Avant Garde"/>
          <w:lang w:val="es-ES"/>
        </w:rPr>
      </w:pPr>
    </w:p>
    <w:p w14:paraId="265CED1D" w14:textId="212E870A" w:rsidR="00323D78" w:rsidRDefault="00323D78"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05269391" w14:textId="77777777" w:rsidR="00323D78" w:rsidRPr="00541685" w:rsidRDefault="00323D78" w:rsidP="0080349A">
      <w:pPr>
        <w:spacing w:after="0" w:line="276" w:lineRule="auto"/>
        <w:ind w:left="0" w:right="0" w:firstLine="0"/>
        <w:rPr>
          <w:rFonts w:ascii="ITC Avant Garde" w:hAnsi="ITC Avant Garde"/>
          <w:lang w:val="es-ES"/>
        </w:rPr>
      </w:pPr>
    </w:p>
    <w:p w14:paraId="256620EC" w14:textId="6AA9735B"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lastRenderedPageBreak/>
        <w:t xml:space="preserve">El modelo considera un </w:t>
      </w:r>
      <w:r w:rsidR="00A94546">
        <w:rPr>
          <w:rFonts w:ascii="ITC Avant Garde" w:hAnsi="ITC Avant Garde"/>
          <w:lang w:val="es-ES"/>
        </w:rPr>
        <w:t>concesionario</w:t>
      </w:r>
      <w:r w:rsidRPr="00541685">
        <w:rPr>
          <w:rFonts w:ascii="ITC Avant Garde" w:hAnsi="ITC Avant Garde"/>
          <w:lang w:val="es-ES"/>
        </w:rPr>
        <w:t xml:space="preserve"> que sería representativo de un concesionario alternativo hipotético que dispusiera de escala nacional. A este respecto, si bien </w:t>
      </w:r>
      <w:r w:rsidR="007C441B">
        <w:rPr>
          <w:rFonts w:ascii="ITC Avant Garde" w:hAnsi="ITC Avant Garde"/>
          <w:lang w:val="es-ES"/>
        </w:rPr>
        <w:t>Se entiende</w:t>
      </w:r>
      <w:r w:rsidRPr="00541685">
        <w:rPr>
          <w:rFonts w:ascii="ITC Avant Garde" w:hAnsi="ITC Avant Garde"/>
          <w:lang w:val="es-ES"/>
        </w:rPr>
        <w:t xml:space="preserve"> que los concesionarios alternativos actuales en México no disponen de dicha red a nivel nacional, es fundamental asegurar que el </w:t>
      </w:r>
      <w:r w:rsidR="00A94546">
        <w:rPr>
          <w:rFonts w:ascii="ITC Avant Garde" w:hAnsi="ITC Avant Garde"/>
          <w:lang w:val="es-ES"/>
        </w:rPr>
        <w:t>concesionario</w:t>
      </w:r>
      <w:r w:rsidRPr="00541685">
        <w:rPr>
          <w:rFonts w:ascii="ITC Avant Garde" w:hAnsi="ITC Avant Garde"/>
          <w:lang w:val="es-ES"/>
        </w:rPr>
        <w:t xml:space="preserve"> modelado disponga de escala nacional para asegurar que los resultados sean representativos, de manera general, de las realidades en conjunto del país. Un escenario contrafactual en el que el </w:t>
      </w:r>
      <w:r w:rsidR="00A94546">
        <w:rPr>
          <w:rFonts w:ascii="ITC Avant Garde" w:hAnsi="ITC Avant Garde"/>
          <w:lang w:val="es-ES"/>
        </w:rPr>
        <w:t>operador hipotético</w:t>
      </w:r>
      <w:r w:rsidRPr="00541685">
        <w:rPr>
          <w:rFonts w:ascii="ITC Avant Garde" w:hAnsi="ITC Avant Garde"/>
          <w:lang w:val="es-ES"/>
        </w:rPr>
        <w:t xml:space="preserve"> modelado se limitara a proveer servicios en un área concreta del país generaría resultados representativos únicamente para los </w:t>
      </w:r>
      <w:r w:rsidR="00A94546">
        <w:rPr>
          <w:rFonts w:ascii="ITC Avant Garde" w:hAnsi="ITC Avant Garde"/>
          <w:lang w:val="es-ES"/>
        </w:rPr>
        <w:t>concesionarios</w:t>
      </w:r>
      <w:r w:rsidRPr="00541685">
        <w:rPr>
          <w:rFonts w:ascii="ITC Avant Garde" w:hAnsi="ITC Avant Garde"/>
          <w:lang w:val="es-ES"/>
        </w:rPr>
        <w:t xml:space="preserve"> que provean servicio en esa área, pero no para el resto de concesionarios.</w:t>
      </w:r>
    </w:p>
    <w:p w14:paraId="01BB50CA" w14:textId="77777777" w:rsidR="00323D78" w:rsidRPr="00541685" w:rsidRDefault="00323D78" w:rsidP="0080349A">
      <w:pPr>
        <w:spacing w:after="0" w:line="276" w:lineRule="auto"/>
        <w:ind w:left="0" w:right="0" w:firstLine="0"/>
        <w:rPr>
          <w:rFonts w:ascii="ITC Avant Garde" w:hAnsi="ITC Avant Garde"/>
          <w:lang w:val="es-ES"/>
        </w:rPr>
      </w:pPr>
    </w:p>
    <w:p w14:paraId="5A09BD33" w14:textId="409520E6"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Bajo este supuesto, es importante asegurar que la escala en términos de usuarios del </w:t>
      </w:r>
      <w:r w:rsidR="00A94546">
        <w:rPr>
          <w:rFonts w:ascii="ITC Avant Garde" w:hAnsi="ITC Avant Garde"/>
          <w:lang w:val="es-ES"/>
        </w:rPr>
        <w:t>operador hipotético</w:t>
      </w:r>
      <w:r w:rsidRPr="00541685">
        <w:rPr>
          <w:rFonts w:ascii="ITC Avant Garde" w:hAnsi="ITC Avant Garde"/>
          <w:lang w:val="es-ES"/>
        </w:rPr>
        <w:t xml:space="preserve"> modelado también sea proporcional a esta escala nacional. Por este motivo, la escala final determinada para el </w:t>
      </w:r>
      <w:r w:rsidR="00A94546">
        <w:rPr>
          <w:rFonts w:ascii="ITC Avant Garde" w:hAnsi="ITC Avant Garde"/>
          <w:lang w:val="es-ES"/>
        </w:rPr>
        <w:t>concesionario</w:t>
      </w:r>
      <w:r w:rsidRPr="00541685">
        <w:rPr>
          <w:rFonts w:ascii="ITC Avant Garde" w:hAnsi="ITC Avant Garde"/>
          <w:lang w:val="es-ES"/>
        </w:rPr>
        <w:t xml:space="preserve"> modelado es sensiblemente superior a la cuota de mercado real que ostentan los concesionarios alternativos en México. En concreto, la cuota de mercado estimada trata de determinar, de manera sintética, cuál sería el tamaño de este </w:t>
      </w:r>
      <w:r w:rsidR="00A94546">
        <w:rPr>
          <w:rFonts w:ascii="ITC Avant Garde" w:hAnsi="ITC Avant Garde"/>
          <w:lang w:val="es-ES"/>
        </w:rPr>
        <w:t>operador hipotético</w:t>
      </w:r>
      <w:r w:rsidRPr="00541685">
        <w:rPr>
          <w:rFonts w:ascii="ITC Avant Garde" w:hAnsi="ITC Avant Garde"/>
          <w:lang w:val="es-ES"/>
        </w:rPr>
        <w:t xml:space="preserve"> a nivel nacional. A continuación, </w:t>
      </w:r>
      <w:r w:rsidR="00323D78">
        <w:rPr>
          <w:rFonts w:ascii="ITC Avant Garde" w:hAnsi="ITC Avant Garde"/>
          <w:lang w:val="es-ES"/>
        </w:rPr>
        <w:t>se presenta</w:t>
      </w:r>
      <w:r w:rsidRPr="00541685">
        <w:rPr>
          <w:rFonts w:ascii="ITC Avant Garde" w:hAnsi="ITC Avant Garde"/>
          <w:lang w:val="es-ES"/>
        </w:rPr>
        <w:t xml:space="preserve"> el ejercicio mediante el cual </w:t>
      </w:r>
      <w:r w:rsidR="00325634">
        <w:rPr>
          <w:rFonts w:ascii="ITC Avant Garde" w:hAnsi="ITC Avant Garde"/>
          <w:lang w:val="es-ES"/>
        </w:rPr>
        <w:t>se estima</w:t>
      </w:r>
      <w:r w:rsidRPr="00541685">
        <w:rPr>
          <w:rFonts w:ascii="ITC Avant Garde" w:hAnsi="ITC Avant Garde"/>
          <w:lang w:val="es-ES"/>
        </w:rPr>
        <w:t xml:space="preserve"> la cuota empleada para el </w:t>
      </w:r>
      <w:r w:rsidR="008A4535">
        <w:rPr>
          <w:rFonts w:ascii="ITC Avant Garde" w:hAnsi="ITC Avant Garde"/>
          <w:lang w:val="es-ES"/>
        </w:rPr>
        <w:t xml:space="preserve">CS </w:t>
      </w:r>
      <w:r w:rsidRPr="00541685">
        <w:rPr>
          <w:rFonts w:ascii="ITC Avant Garde" w:hAnsi="ITC Avant Garde"/>
          <w:lang w:val="es-ES"/>
        </w:rPr>
        <w:t>en el modelo de costos con el fin de aportar mayor claridad y transparencia.</w:t>
      </w:r>
    </w:p>
    <w:p w14:paraId="3FCA0424" w14:textId="77777777" w:rsidR="00323D78" w:rsidRPr="00541685" w:rsidRDefault="00323D78" w:rsidP="0080349A">
      <w:pPr>
        <w:spacing w:after="0" w:line="276" w:lineRule="auto"/>
        <w:ind w:left="0" w:right="0" w:firstLine="0"/>
        <w:rPr>
          <w:rFonts w:ascii="ITC Avant Garde" w:hAnsi="ITC Avant Garde"/>
          <w:lang w:val="es-ES"/>
        </w:rPr>
      </w:pPr>
    </w:p>
    <w:p w14:paraId="42AC2199" w14:textId="48BC0598" w:rsidR="00541685" w:rsidRP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En primer lugar</w:t>
      </w:r>
      <w:r w:rsidR="00323D78">
        <w:rPr>
          <w:rFonts w:ascii="ITC Avant Garde" w:hAnsi="ITC Avant Garde"/>
          <w:lang w:val="es-ES"/>
        </w:rPr>
        <w:t>, se analizó</w:t>
      </w:r>
      <w:r w:rsidRPr="00541685">
        <w:rPr>
          <w:rFonts w:ascii="ITC Avant Garde" w:hAnsi="ITC Avant Garde"/>
          <w:lang w:val="es-ES"/>
        </w:rPr>
        <w:t xml:space="preserve"> la cuota de mercado, en términos de usuarios de telefonía fija, de los distintos </w:t>
      </w:r>
      <w:r w:rsidR="00A94546">
        <w:rPr>
          <w:rFonts w:ascii="ITC Avant Garde" w:hAnsi="ITC Avant Garde"/>
          <w:lang w:val="es-ES"/>
        </w:rPr>
        <w:t>concesionarios</w:t>
      </w:r>
      <w:r w:rsidRPr="00541685">
        <w:rPr>
          <w:rFonts w:ascii="ITC Avant Garde" w:hAnsi="ITC Avant Garde"/>
          <w:lang w:val="es-ES"/>
        </w:rPr>
        <w:t xml:space="preserve"> en cada una de las entidades federativas, de acuerdo a los datos del BIT.</w:t>
      </w:r>
    </w:p>
    <w:p w14:paraId="64C7B72F" w14:textId="77777777" w:rsidR="00323D78" w:rsidRDefault="00323D78" w:rsidP="0080349A">
      <w:pPr>
        <w:spacing w:after="0" w:line="276" w:lineRule="auto"/>
        <w:ind w:left="0" w:right="0" w:firstLine="0"/>
        <w:rPr>
          <w:rFonts w:ascii="ITC Avant Garde" w:hAnsi="ITC Avant Garde"/>
          <w:lang w:val="es-ES"/>
        </w:rPr>
      </w:pPr>
    </w:p>
    <w:p w14:paraId="6091BCC7" w14:textId="702F61CC"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Figura </w:t>
      </w:r>
      <w:r w:rsidR="00323D78">
        <w:rPr>
          <w:rFonts w:ascii="ITC Avant Garde" w:hAnsi="ITC Avant Garde"/>
          <w:lang w:val="es-ES"/>
        </w:rPr>
        <w:t>6</w:t>
      </w:r>
      <w:r w:rsidRPr="00541685">
        <w:rPr>
          <w:rFonts w:ascii="ITC Avant Garde" w:hAnsi="ITC Avant Garde"/>
          <w:lang w:val="es-ES"/>
        </w:rPr>
        <w:t xml:space="preserve">: Cuota de usuarios de telefonía fija por </w:t>
      </w:r>
      <w:r w:rsidR="00A94546">
        <w:rPr>
          <w:rFonts w:ascii="ITC Avant Garde" w:hAnsi="ITC Avant Garde"/>
          <w:lang w:val="es-ES"/>
        </w:rPr>
        <w:t>concesionario</w:t>
      </w:r>
      <w:r w:rsidRPr="00541685">
        <w:rPr>
          <w:rFonts w:ascii="ITC Avant Garde" w:hAnsi="ITC Avant Garde"/>
          <w:lang w:val="es-ES"/>
        </w:rPr>
        <w:t xml:space="preserve"> y entidad federativa (marzo de 2022) [Fuente: BIT, 2023]</w:t>
      </w:r>
    </w:p>
    <w:tbl>
      <w:tblPr>
        <w:tblStyle w:val="Sombreadomedio2-nfasis1"/>
        <w:tblW w:w="8254" w:type="dxa"/>
        <w:jc w:val="center"/>
        <w:tblBorders>
          <w:top w:val="single" w:sz="4" w:space="0" w:color="FFFFFF"/>
          <w:bottom w:val="none" w:sz="0" w:space="0" w:color="auto"/>
          <w:insideH w:val="single" w:sz="4" w:space="0" w:color="FFFFFF"/>
          <w:insideV w:val="single" w:sz="4" w:space="0" w:color="FFFFFF"/>
        </w:tblBorders>
        <w:tblLook w:val="0620" w:firstRow="1" w:lastRow="0" w:firstColumn="0" w:lastColumn="0" w:noHBand="1" w:noVBand="1"/>
      </w:tblPr>
      <w:tblGrid>
        <w:gridCol w:w="2016"/>
        <w:gridCol w:w="1559"/>
        <w:gridCol w:w="1560"/>
        <w:gridCol w:w="1559"/>
        <w:gridCol w:w="1560"/>
      </w:tblGrid>
      <w:tr w:rsidR="00323D78" w:rsidRPr="008B5E58" w14:paraId="4E585CE6" w14:textId="77777777" w:rsidTr="00323D78">
        <w:trPr>
          <w:cnfStyle w:val="100000000000" w:firstRow="1" w:lastRow="0" w:firstColumn="0" w:lastColumn="0" w:oddVBand="0" w:evenVBand="0" w:oddHBand="0" w:evenHBand="0" w:firstRowFirstColumn="0" w:firstRowLastColumn="0" w:lastRowFirstColumn="0" w:lastRowLastColumn="0"/>
          <w:tblHeader/>
          <w:jc w:val="center"/>
        </w:trPr>
        <w:tc>
          <w:tcPr>
            <w:tcW w:w="2016" w:type="dxa"/>
            <w:tcBorders>
              <w:bottom w:val="single" w:sz="18" w:space="0" w:color="FFFFFF"/>
              <w:right w:val="single" w:sz="8" w:space="0" w:color="FFFFFF"/>
            </w:tcBorders>
            <w:shd w:val="solid" w:color="0F51B1" w:fill="0F51B1"/>
          </w:tcPr>
          <w:p w14:paraId="54690987" w14:textId="77777777" w:rsidR="00323D78" w:rsidRPr="00540C2D" w:rsidRDefault="00323D78" w:rsidP="006B0A67">
            <w:pPr>
              <w:pStyle w:val="Tableheading"/>
              <w:rPr>
                <w:b/>
                <w:lang w:val="es-ES"/>
              </w:rPr>
            </w:pPr>
          </w:p>
        </w:tc>
        <w:tc>
          <w:tcPr>
            <w:tcW w:w="1559" w:type="dxa"/>
            <w:tcBorders>
              <w:left w:val="single" w:sz="8" w:space="0" w:color="FFFFFF"/>
              <w:bottom w:val="single" w:sz="18" w:space="0" w:color="FFFFFF"/>
              <w:right w:val="single" w:sz="8" w:space="0" w:color="FFFFFF"/>
            </w:tcBorders>
            <w:shd w:val="solid" w:color="0F51B1" w:fill="0F51B1"/>
          </w:tcPr>
          <w:p w14:paraId="5C9F5456" w14:textId="77777777" w:rsidR="00323D78" w:rsidRPr="00540C2D" w:rsidRDefault="00323D78" w:rsidP="006B0A67">
            <w:pPr>
              <w:pStyle w:val="Tableheading"/>
              <w:jc w:val="right"/>
              <w:rPr>
                <w:b/>
                <w:lang w:val="es-ES"/>
              </w:rPr>
            </w:pPr>
            <w:r w:rsidRPr="00540C2D">
              <w:rPr>
                <w:b/>
                <w:lang w:val="es-ES"/>
              </w:rPr>
              <w:t>Megacable</w:t>
            </w:r>
          </w:p>
        </w:tc>
        <w:tc>
          <w:tcPr>
            <w:tcW w:w="1560" w:type="dxa"/>
            <w:tcBorders>
              <w:left w:val="single" w:sz="8" w:space="0" w:color="FFFFFF"/>
              <w:bottom w:val="single" w:sz="18" w:space="0" w:color="FFFFFF"/>
              <w:right w:val="single" w:sz="8" w:space="0" w:color="FFFFFF"/>
            </w:tcBorders>
            <w:shd w:val="solid" w:color="0F51B1" w:fill="0F51B1"/>
          </w:tcPr>
          <w:p w14:paraId="67734E57" w14:textId="77777777" w:rsidR="00323D78" w:rsidRPr="00540C2D" w:rsidRDefault="00323D78" w:rsidP="006B0A67">
            <w:pPr>
              <w:pStyle w:val="Tableheading"/>
              <w:jc w:val="right"/>
              <w:rPr>
                <w:b/>
                <w:lang w:val="es-ES"/>
              </w:rPr>
            </w:pPr>
            <w:r w:rsidRPr="00540C2D">
              <w:rPr>
                <w:b/>
                <w:lang w:val="es-ES"/>
              </w:rPr>
              <w:t>Grupo Salinas</w:t>
            </w:r>
          </w:p>
        </w:tc>
        <w:tc>
          <w:tcPr>
            <w:tcW w:w="1559" w:type="dxa"/>
            <w:tcBorders>
              <w:left w:val="single" w:sz="8" w:space="0" w:color="FFFFFF"/>
              <w:bottom w:val="single" w:sz="18" w:space="0" w:color="FFFFFF"/>
              <w:right w:val="single" w:sz="8" w:space="0" w:color="FFFFFF"/>
            </w:tcBorders>
            <w:shd w:val="solid" w:color="0F51B1" w:fill="0F51B1"/>
          </w:tcPr>
          <w:p w14:paraId="4D915D69" w14:textId="77777777" w:rsidR="00323D78" w:rsidRPr="00540C2D" w:rsidRDefault="00323D78" w:rsidP="006B0A67">
            <w:pPr>
              <w:pStyle w:val="Tableheading"/>
              <w:jc w:val="right"/>
              <w:rPr>
                <w:b/>
                <w:lang w:val="es-ES"/>
              </w:rPr>
            </w:pPr>
            <w:r w:rsidRPr="00540C2D">
              <w:rPr>
                <w:b/>
                <w:lang w:val="es-ES"/>
              </w:rPr>
              <w:t>Televisa</w:t>
            </w:r>
          </w:p>
        </w:tc>
        <w:tc>
          <w:tcPr>
            <w:tcW w:w="1560" w:type="dxa"/>
            <w:tcBorders>
              <w:left w:val="single" w:sz="8" w:space="0" w:color="FFFFFF"/>
              <w:bottom w:val="single" w:sz="18" w:space="0" w:color="FFFFFF"/>
            </w:tcBorders>
            <w:shd w:val="solid" w:color="0F51B1" w:fill="0F51B1"/>
          </w:tcPr>
          <w:p w14:paraId="5CB95E02" w14:textId="77777777" w:rsidR="00323D78" w:rsidRPr="00540C2D" w:rsidRDefault="00323D78" w:rsidP="006B0A67">
            <w:pPr>
              <w:pStyle w:val="Tableheading"/>
              <w:jc w:val="right"/>
              <w:rPr>
                <w:b/>
                <w:lang w:val="es-ES"/>
              </w:rPr>
            </w:pPr>
            <w:r w:rsidRPr="00540C2D">
              <w:rPr>
                <w:b/>
                <w:lang w:val="es-ES"/>
              </w:rPr>
              <w:t>Otros</w:t>
            </w:r>
          </w:p>
        </w:tc>
      </w:tr>
      <w:tr w:rsidR="00323D78" w:rsidRPr="008B5E58" w14:paraId="33A8F414" w14:textId="77777777" w:rsidTr="00323D78">
        <w:trPr>
          <w:jc w:val="center"/>
        </w:trPr>
        <w:tc>
          <w:tcPr>
            <w:tcW w:w="2016" w:type="dxa"/>
            <w:tcBorders>
              <w:top w:val="single" w:sz="18" w:space="0" w:color="FFFFFF"/>
            </w:tcBorders>
          </w:tcPr>
          <w:p w14:paraId="2EF0CC28" w14:textId="77777777" w:rsidR="00323D78" w:rsidRPr="00F5029D" w:rsidRDefault="00323D78" w:rsidP="006B0A67">
            <w:pPr>
              <w:pStyle w:val="Tablecells"/>
              <w:rPr>
                <w:lang w:val="es-ES"/>
              </w:rPr>
            </w:pPr>
            <w:r w:rsidRPr="00F5029D">
              <w:rPr>
                <w:lang w:val="es-ES"/>
              </w:rPr>
              <w:t>Aguascalientes</w:t>
            </w:r>
          </w:p>
        </w:tc>
        <w:tc>
          <w:tcPr>
            <w:tcW w:w="1559" w:type="dxa"/>
            <w:tcBorders>
              <w:top w:val="single" w:sz="18" w:space="0" w:color="FFFFFF"/>
            </w:tcBorders>
          </w:tcPr>
          <w:p w14:paraId="66D4E3E2" w14:textId="77777777" w:rsidR="00323D78" w:rsidRDefault="00323D78" w:rsidP="006B0A67">
            <w:pPr>
              <w:pStyle w:val="Tablecells"/>
              <w:jc w:val="right"/>
              <w:rPr>
                <w:lang w:val="es-ES"/>
              </w:rPr>
            </w:pPr>
            <w:r w:rsidRPr="00CF4E15">
              <w:rPr>
                <w:lang w:val="es-ES"/>
              </w:rPr>
              <w:t>0%</w:t>
            </w:r>
          </w:p>
        </w:tc>
        <w:tc>
          <w:tcPr>
            <w:tcW w:w="1560" w:type="dxa"/>
            <w:tcBorders>
              <w:top w:val="single" w:sz="18" w:space="0" w:color="FFFFFF"/>
            </w:tcBorders>
          </w:tcPr>
          <w:p w14:paraId="10374EA3" w14:textId="77777777" w:rsidR="00323D78" w:rsidRDefault="00323D78" w:rsidP="006B0A67">
            <w:pPr>
              <w:pStyle w:val="Tablecells"/>
              <w:jc w:val="right"/>
              <w:rPr>
                <w:lang w:val="es-ES"/>
              </w:rPr>
            </w:pPr>
            <w:r w:rsidRPr="00CF4E15">
              <w:rPr>
                <w:lang w:val="es-ES"/>
              </w:rPr>
              <w:t>24%</w:t>
            </w:r>
          </w:p>
        </w:tc>
        <w:tc>
          <w:tcPr>
            <w:tcW w:w="1559" w:type="dxa"/>
            <w:tcBorders>
              <w:top w:val="single" w:sz="18" w:space="0" w:color="FFFFFF"/>
            </w:tcBorders>
          </w:tcPr>
          <w:p w14:paraId="34D08E85" w14:textId="77777777" w:rsidR="00323D78" w:rsidRDefault="00323D78" w:rsidP="006B0A67">
            <w:pPr>
              <w:pStyle w:val="Tablecells"/>
              <w:jc w:val="right"/>
              <w:rPr>
                <w:lang w:val="es-ES"/>
              </w:rPr>
            </w:pPr>
            <w:r w:rsidRPr="00CF4E15">
              <w:rPr>
                <w:lang w:val="es-ES"/>
              </w:rPr>
              <w:t>33%</w:t>
            </w:r>
          </w:p>
        </w:tc>
        <w:tc>
          <w:tcPr>
            <w:tcW w:w="1560" w:type="dxa"/>
            <w:tcBorders>
              <w:top w:val="single" w:sz="18" w:space="0" w:color="FFFFFF"/>
            </w:tcBorders>
          </w:tcPr>
          <w:p w14:paraId="3FF84CD9" w14:textId="77777777" w:rsidR="00323D78" w:rsidRDefault="00323D78" w:rsidP="006B0A67">
            <w:pPr>
              <w:pStyle w:val="Tablecells"/>
              <w:jc w:val="right"/>
              <w:rPr>
                <w:lang w:val="es-ES"/>
              </w:rPr>
            </w:pPr>
            <w:r w:rsidRPr="00CF4E15">
              <w:rPr>
                <w:lang w:val="es-ES"/>
              </w:rPr>
              <w:t>1%</w:t>
            </w:r>
          </w:p>
        </w:tc>
      </w:tr>
      <w:tr w:rsidR="00323D78" w:rsidRPr="008B5E58" w14:paraId="028585A8" w14:textId="77777777" w:rsidTr="00323D78">
        <w:trPr>
          <w:jc w:val="center"/>
        </w:trPr>
        <w:tc>
          <w:tcPr>
            <w:tcW w:w="2016" w:type="dxa"/>
          </w:tcPr>
          <w:p w14:paraId="73A87589" w14:textId="77777777" w:rsidR="00323D78" w:rsidRPr="00F5029D" w:rsidRDefault="00323D78" w:rsidP="006B0A67">
            <w:pPr>
              <w:pStyle w:val="Tablecells"/>
              <w:rPr>
                <w:lang w:val="es-ES"/>
              </w:rPr>
            </w:pPr>
            <w:r w:rsidRPr="00F5029D">
              <w:rPr>
                <w:lang w:val="es-ES"/>
              </w:rPr>
              <w:t>Baja California</w:t>
            </w:r>
          </w:p>
        </w:tc>
        <w:tc>
          <w:tcPr>
            <w:tcW w:w="1559" w:type="dxa"/>
          </w:tcPr>
          <w:p w14:paraId="20B1F38B" w14:textId="77777777" w:rsidR="00323D78" w:rsidRDefault="00323D78" w:rsidP="006B0A67">
            <w:pPr>
              <w:pStyle w:val="Tablecells"/>
              <w:jc w:val="right"/>
              <w:rPr>
                <w:lang w:val="es-ES"/>
              </w:rPr>
            </w:pPr>
            <w:r w:rsidRPr="00CF4E15">
              <w:rPr>
                <w:lang w:val="es-ES"/>
              </w:rPr>
              <w:t>0%</w:t>
            </w:r>
          </w:p>
        </w:tc>
        <w:tc>
          <w:tcPr>
            <w:tcW w:w="1560" w:type="dxa"/>
          </w:tcPr>
          <w:p w14:paraId="65D8EF30" w14:textId="77777777" w:rsidR="00323D78" w:rsidRDefault="00323D78" w:rsidP="006B0A67">
            <w:pPr>
              <w:pStyle w:val="Tablecells"/>
              <w:jc w:val="right"/>
              <w:rPr>
                <w:lang w:val="es-ES"/>
              </w:rPr>
            </w:pPr>
            <w:r w:rsidRPr="00CF4E15">
              <w:rPr>
                <w:lang w:val="es-ES"/>
              </w:rPr>
              <w:t>22%</w:t>
            </w:r>
          </w:p>
        </w:tc>
        <w:tc>
          <w:tcPr>
            <w:tcW w:w="1559" w:type="dxa"/>
          </w:tcPr>
          <w:p w14:paraId="4E5D0085" w14:textId="77777777" w:rsidR="00323D78" w:rsidRDefault="00323D78" w:rsidP="006B0A67">
            <w:pPr>
              <w:pStyle w:val="Tablecells"/>
              <w:jc w:val="right"/>
              <w:rPr>
                <w:lang w:val="es-ES"/>
              </w:rPr>
            </w:pPr>
            <w:r w:rsidRPr="00CF4E15">
              <w:rPr>
                <w:lang w:val="es-ES"/>
              </w:rPr>
              <w:t>37%</w:t>
            </w:r>
          </w:p>
        </w:tc>
        <w:tc>
          <w:tcPr>
            <w:tcW w:w="1560" w:type="dxa"/>
          </w:tcPr>
          <w:p w14:paraId="60E9C05C" w14:textId="77777777" w:rsidR="00323D78" w:rsidRDefault="00323D78" w:rsidP="006B0A67">
            <w:pPr>
              <w:pStyle w:val="Tablecells"/>
              <w:jc w:val="right"/>
              <w:rPr>
                <w:lang w:val="es-ES"/>
              </w:rPr>
            </w:pPr>
            <w:r w:rsidRPr="00CF4E15">
              <w:rPr>
                <w:lang w:val="es-ES"/>
              </w:rPr>
              <w:t>1%</w:t>
            </w:r>
          </w:p>
        </w:tc>
      </w:tr>
      <w:tr w:rsidR="00323D78" w:rsidRPr="008B5E58" w14:paraId="640ABECD" w14:textId="77777777" w:rsidTr="00323D78">
        <w:trPr>
          <w:jc w:val="center"/>
        </w:trPr>
        <w:tc>
          <w:tcPr>
            <w:tcW w:w="2016" w:type="dxa"/>
          </w:tcPr>
          <w:p w14:paraId="576537A6" w14:textId="77777777" w:rsidR="00323D78" w:rsidRPr="00F5029D" w:rsidRDefault="00323D78" w:rsidP="006B0A67">
            <w:pPr>
              <w:pStyle w:val="Tablecells"/>
              <w:rPr>
                <w:lang w:val="es-ES"/>
              </w:rPr>
            </w:pPr>
            <w:r w:rsidRPr="00F5029D">
              <w:rPr>
                <w:lang w:val="es-ES"/>
              </w:rPr>
              <w:t>Baja California Sur</w:t>
            </w:r>
          </w:p>
        </w:tc>
        <w:tc>
          <w:tcPr>
            <w:tcW w:w="1559" w:type="dxa"/>
          </w:tcPr>
          <w:p w14:paraId="6114CF4B" w14:textId="77777777" w:rsidR="00323D78" w:rsidRDefault="00323D78" w:rsidP="006B0A67">
            <w:pPr>
              <w:pStyle w:val="Tablecells"/>
              <w:jc w:val="right"/>
              <w:rPr>
                <w:lang w:val="es-ES"/>
              </w:rPr>
            </w:pPr>
            <w:r w:rsidRPr="00CF4E15">
              <w:rPr>
                <w:lang w:val="es-ES"/>
              </w:rPr>
              <w:t>29%</w:t>
            </w:r>
          </w:p>
        </w:tc>
        <w:tc>
          <w:tcPr>
            <w:tcW w:w="1560" w:type="dxa"/>
          </w:tcPr>
          <w:p w14:paraId="766167FA" w14:textId="77777777" w:rsidR="00323D78" w:rsidRDefault="00323D78" w:rsidP="006B0A67">
            <w:pPr>
              <w:pStyle w:val="Tablecells"/>
              <w:jc w:val="right"/>
              <w:rPr>
                <w:lang w:val="es-ES"/>
              </w:rPr>
            </w:pPr>
            <w:r w:rsidRPr="00CF4E15">
              <w:rPr>
                <w:lang w:val="es-ES"/>
              </w:rPr>
              <w:t>0%</w:t>
            </w:r>
          </w:p>
        </w:tc>
        <w:tc>
          <w:tcPr>
            <w:tcW w:w="1559" w:type="dxa"/>
          </w:tcPr>
          <w:p w14:paraId="11DEEC11" w14:textId="77777777" w:rsidR="00323D78" w:rsidRDefault="00323D78" w:rsidP="006B0A67">
            <w:pPr>
              <w:pStyle w:val="Tablecells"/>
              <w:jc w:val="right"/>
              <w:rPr>
                <w:lang w:val="es-ES"/>
              </w:rPr>
            </w:pPr>
            <w:r w:rsidRPr="00CF4E15">
              <w:rPr>
                <w:lang w:val="es-ES"/>
              </w:rPr>
              <w:t>0%</w:t>
            </w:r>
          </w:p>
        </w:tc>
        <w:tc>
          <w:tcPr>
            <w:tcW w:w="1560" w:type="dxa"/>
          </w:tcPr>
          <w:p w14:paraId="30130099" w14:textId="77777777" w:rsidR="00323D78" w:rsidRDefault="00323D78" w:rsidP="006B0A67">
            <w:pPr>
              <w:pStyle w:val="Tablecells"/>
              <w:jc w:val="right"/>
              <w:rPr>
                <w:lang w:val="es-ES"/>
              </w:rPr>
            </w:pPr>
            <w:r w:rsidRPr="00CF4E15">
              <w:rPr>
                <w:lang w:val="es-ES"/>
              </w:rPr>
              <w:t>0%</w:t>
            </w:r>
          </w:p>
        </w:tc>
      </w:tr>
      <w:tr w:rsidR="00323D78" w:rsidRPr="008B5E58" w14:paraId="13B1F01C" w14:textId="77777777" w:rsidTr="00323D78">
        <w:trPr>
          <w:jc w:val="center"/>
        </w:trPr>
        <w:tc>
          <w:tcPr>
            <w:tcW w:w="2016" w:type="dxa"/>
          </w:tcPr>
          <w:p w14:paraId="0B46BAC8" w14:textId="77777777" w:rsidR="00323D78" w:rsidRPr="00F5029D" w:rsidRDefault="00323D78" w:rsidP="006B0A67">
            <w:pPr>
              <w:pStyle w:val="Tablecells"/>
              <w:rPr>
                <w:lang w:val="es-ES"/>
              </w:rPr>
            </w:pPr>
            <w:r w:rsidRPr="00F5029D">
              <w:rPr>
                <w:lang w:val="es-ES"/>
              </w:rPr>
              <w:t>Campeche</w:t>
            </w:r>
          </w:p>
        </w:tc>
        <w:tc>
          <w:tcPr>
            <w:tcW w:w="1559" w:type="dxa"/>
          </w:tcPr>
          <w:p w14:paraId="33784B3F" w14:textId="77777777" w:rsidR="00323D78" w:rsidRDefault="00323D78" w:rsidP="006B0A67">
            <w:pPr>
              <w:pStyle w:val="Tablecells"/>
              <w:jc w:val="right"/>
              <w:rPr>
                <w:lang w:val="es-ES"/>
              </w:rPr>
            </w:pPr>
            <w:r w:rsidRPr="00CF4E15">
              <w:rPr>
                <w:lang w:val="es-ES"/>
              </w:rPr>
              <w:t>2%</w:t>
            </w:r>
          </w:p>
        </w:tc>
        <w:tc>
          <w:tcPr>
            <w:tcW w:w="1560" w:type="dxa"/>
          </w:tcPr>
          <w:p w14:paraId="28EB7965" w14:textId="77777777" w:rsidR="00323D78" w:rsidRDefault="00323D78" w:rsidP="006B0A67">
            <w:pPr>
              <w:pStyle w:val="Tablecells"/>
              <w:jc w:val="right"/>
              <w:rPr>
                <w:lang w:val="es-ES"/>
              </w:rPr>
            </w:pPr>
            <w:r w:rsidRPr="00CF4E15">
              <w:rPr>
                <w:lang w:val="es-ES"/>
              </w:rPr>
              <w:t>0%</w:t>
            </w:r>
          </w:p>
        </w:tc>
        <w:tc>
          <w:tcPr>
            <w:tcW w:w="1559" w:type="dxa"/>
          </w:tcPr>
          <w:p w14:paraId="6C9CD26F" w14:textId="77777777" w:rsidR="00323D78" w:rsidRDefault="00323D78" w:rsidP="006B0A67">
            <w:pPr>
              <w:pStyle w:val="Tablecells"/>
              <w:jc w:val="right"/>
              <w:rPr>
                <w:lang w:val="es-ES"/>
              </w:rPr>
            </w:pPr>
            <w:r w:rsidRPr="00CF4E15">
              <w:rPr>
                <w:lang w:val="es-ES"/>
              </w:rPr>
              <w:t>49%</w:t>
            </w:r>
          </w:p>
        </w:tc>
        <w:tc>
          <w:tcPr>
            <w:tcW w:w="1560" w:type="dxa"/>
          </w:tcPr>
          <w:p w14:paraId="5741D5BF" w14:textId="77777777" w:rsidR="00323D78" w:rsidRDefault="00323D78" w:rsidP="006B0A67">
            <w:pPr>
              <w:pStyle w:val="Tablecells"/>
              <w:jc w:val="right"/>
              <w:rPr>
                <w:lang w:val="es-ES"/>
              </w:rPr>
            </w:pPr>
            <w:r w:rsidRPr="00CF4E15">
              <w:rPr>
                <w:lang w:val="es-ES"/>
              </w:rPr>
              <w:t>1%</w:t>
            </w:r>
          </w:p>
        </w:tc>
      </w:tr>
      <w:tr w:rsidR="00323D78" w:rsidRPr="008B5E58" w14:paraId="154DA504" w14:textId="77777777" w:rsidTr="00323D78">
        <w:trPr>
          <w:jc w:val="center"/>
        </w:trPr>
        <w:tc>
          <w:tcPr>
            <w:tcW w:w="2016" w:type="dxa"/>
          </w:tcPr>
          <w:p w14:paraId="2C550EFB" w14:textId="77777777" w:rsidR="00323D78" w:rsidRPr="00F5029D" w:rsidRDefault="00323D78" w:rsidP="006B0A67">
            <w:pPr>
              <w:pStyle w:val="Tablecells"/>
              <w:rPr>
                <w:lang w:val="es-ES"/>
              </w:rPr>
            </w:pPr>
            <w:r w:rsidRPr="00F5029D">
              <w:rPr>
                <w:lang w:val="es-ES"/>
              </w:rPr>
              <w:t>Coahuila de Zaragoza</w:t>
            </w:r>
          </w:p>
        </w:tc>
        <w:tc>
          <w:tcPr>
            <w:tcW w:w="1559" w:type="dxa"/>
          </w:tcPr>
          <w:p w14:paraId="562C7E7C" w14:textId="77777777" w:rsidR="00323D78" w:rsidRDefault="00323D78" w:rsidP="006B0A67">
            <w:pPr>
              <w:pStyle w:val="Tablecells"/>
              <w:jc w:val="right"/>
              <w:rPr>
                <w:lang w:val="es-ES"/>
              </w:rPr>
            </w:pPr>
            <w:r w:rsidRPr="00CF4E15">
              <w:rPr>
                <w:lang w:val="es-ES"/>
              </w:rPr>
              <w:t>14%</w:t>
            </w:r>
          </w:p>
        </w:tc>
        <w:tc>
          <w:tcPr>
            <w:tcW w:w="1560" w:type="dxa"/>
          </w:tcPr>
          <w:p w14:paraId="03FD49F2" w14:textId="77777777" w:rsidR="00323D78" w:rsidRDefault="00323D78" w:rsidP="006B0A67">
            <w:pPr>
              <w:pStyle w:val="Tablecells"/>
              <w:jc w:val="right"/>
              <w:rPr>
                <w:lang w:val="es-ES"/>
              </w:rPr>
            </w:pPr>
            <w:r w:rsidRPr="00CF4E15">
              <w:rPr>
                <w:lang w:val="es-ES"/>
              </w:rPr>
              <w:t>15%</w:t>
            </w:r>
          </w:p>
        </w:tc>
        <w:tc>
          <w:tcPr>
            <w:tcW w:w="1559" w:type="dxa"/>
          </w:tcPr>
          <w:p w14:paraId="270A75CC" w14:textId="77777777" w:rsidR="00323D78" w:rsidRDefault="00323D78" w:rsidP="006B0A67">
            <w:pPr>
              <w:pStyle w:val="Tablecells"/>
              <w:jc w:val="right"/>
              <w:rPr>
                <w:lang w:val="es-ES"/>
              </w:rPr>
            </w:pPr>
            <w:r w:rsidRPr="00CF4E15">
              <w:rPr>
                <w:lang w:val="es-ES"/>
              </w:rPr>
              <w:t>23%</w:t>
            </w:r>
          </w:p>
        </w:tc>
        <w:tc>
          <w:tcPr>
            <w:tcW w:w="1560" w:type="dxa"/>
          </w:tcPr>
          <w:p w14:paraId="5755E561" w14:textId="77777777" w:rsidR="00323D78" w:rsidRDefault="00323D78" w:rsidP="006B0A67">
            <w:pPr>
              <w:pStyle w:val="Tablecells"/>
              <w:jc w:val="right"/>
              <w:rPr>
                <w:lang w:val="es-ES"/>
              </w:rPr>
            </w:pPr>
            <w:r w:rsidRPr="00CF4E15">
              <w:rPr>
                <w:lang w:val="es-ES"/>
              </w:rPr>
              <w:t>1%</w:t>
            </w:r>
          </w:p>
        </w:tc>
      </w:tr>
      <w:tr w:rsidR="00323D78" w:rsidRPr="008B5E58" w14:paraId="4F6C611C" w14:textId="77777777" w:rsidTr="00323D78">
        <w:trPr>
          <w:jc w:val="center"/>
        </w:trPr>
        <w:tc>
          <w:tcPr>
            <w:tcW w:w="2016" w:type="dxa"/>
          </w:tcPr>
          <w:p w14:paraId="5EC037B5" w14:textId="77777777" w:rsidR="00323D78" w:rsidRPr="00F5029D" w:rsidRDefault="00323D78" w:rsidP="006B0A67">
            <w:pPr>
              <w:pStyle w:val="Tablecells"/>
              <w:rPr>
                <w:lang w:val="es-ES"/>
              </w:rPr>
            </w:pPr>
            <w:r w:rsidRPr="00F5029D">
              <w:rPr>
                <w:lang w:val="es-ES"/>
              </w:rPr>
              <w:t>Colima</w:t>
            </w:r>
          </w:p>
        </w:tc>
        <w:tc>
          <w:tcPr>
            <w:tcW w:w="1559" w:type="dxa"/>
          </w:tcPr>
          <w:p w14:paraId="0F260FDF" w14:textId="77777777" w:rsidR="00323D78" w:rsidRDefault="00323D78" w:rsidP="006B0A67">
            <w:pPr>
              <w:pStyle w:val="Tablecells"/>
              <w:jc w:val="right"/>
              <w:rPr>
                <w:lang w:val="es-ES"/>
              </w:rPr>
            </w:pPr>
            <w:r w:rsidRPr="00CF4E15">
              <w:rPr>
                <w:lang w:val="es-ES"/>
              </w:rPr>
              <w:t>34%</w:t>
            </w:r>
          </w:p>
        </w:tc>
        <w:tc>
          <w:tcPr>
            <w:tcW w:w="1560" w:type="dxa"/>
          </w:tcPr>
          <w:p w14:paraId="423B8DD1" w14:textId="77777777" w:rsidR="00323D78" w:rsidRDefault="00323D78" w:rsidP="006B0A67">
            <w:pPr>
              <w:pStyle w:val="Tablecells"/>
              <w:jc w:val="right"/>
              <w:rPr>
                <w:lang w:val="es-ES"/>
              </w:rPr>
            </w:pPr>
            <w:r w:rsidRPr="00CF4E15">
              <w:rPr>
                <w:lang w:val="es-ES"/>
              </w:rPr>
              <w:t>2%</w:t>
            </w:r>
          </w:p>
        </w:tc>
        <w:tc>
          <w:tcPr>
            <w:tcW w:w="1559" w:type="dxa"/>
          </w:tcPr>
          <w:p w14:paraId="01BC606C" w14:textId="77777777" w:rsidR="00323D78" w:rsidRDefault="00323D78" w:rsidP="006B0A67">
            <w:pPr>
              <w:pStyle w:val="Tablecells"/>
              <w:jc w:val="right"/>
              <w:rPr>
                <w:lang w:val="es-ES"/>
              </w:rPr>
            </w:pPr>
            <w:r w:rsidRPr="00CF4E15">
              <w:rPr>
                <w:lang w:val="es-ES"/>
              </w:rPr>
              <w:t>12%</w:t>
            </w:r>
          </w:p>
        </w:tc>
        <w:tc>
          <w:tcPr>
            <w:tcW w:w="1560" w:type="dxa"/>
          </w:tcPr>
          <w:p w14:paraId="32CBCC61" w14:textId="77777777" w:rsidR="00323D78" w:rsidRDefault="00323D78" w:rsidP="006B0A67">
            <w:pPr>
              <w:pStyle w:val="Tablecells"/>
              <w:jc w:val="right"/>
              <w:rPr>
                <w:lang w:val="es-ES"/>
              </w:rPr>
            </w:pPr>
            <w:r w:rsidRPr="00CF4E15">
              <w:rPr>
                <w:lang w:val="es-ES"/>
              </w:rPr>
              <w:t>0%</w:t>
            </w:r>
          </w:p>
        </w:tc>
      </w:tr>
      <w:tr w:rsidR="00323D78" w:rsidRPr="008B5E58" w14:paraId="0C4B6F70" w14:textId="77777777" w:rsidTr="00323D78">
        <w:trPr>
          <w:jc w:val="center"/>
        </w:trPr>
        <w:tc>
          <w:tcPr>
            <w:tcW w:w="2016" w:type="dxa"/>
          </w:tcPr>
          <w:p w14:paraId="0BD63EAD" w14:textId="77777777" w:rsidR="00323D78" w:rsidRPr="00F5029D" w:rsidRDefault="00323D78" w:rsidP="006B0A67">
            <w:pPr>
              <w:pStyle w:val="Tablecells"/>
              <w:rPr>
                <w:lang w:val="es-ES"/>
              </w:rPr>
            </w:pPr>
            <w:r w:rsidRPr="00F5029D">
              <w:rPr>
                <w:lang w:val="es-ES"/>
              </w:rPr>
              <w:t>…</w:t>
            </w:r>
          </w:p>
        </w:tc>
        <w:tc>
          <w:tcPr>
            <w:tcW w:w="1559" w:type="dxa"/>
          </w:tcPr>
          <w:p w14:paraId="352F1B9C" w14:textId="77777777" w:rsidR="00323D78" w:rsidRDefault="00323D78" w:rsidP="006B0A67">
            <w:pPr>
              <w:pStyle w:val="Tablecells"/>
              <w:jc w:val="right"/>
              <w:rPr>
                <w:lang w:val="es-ES"/>
              </w:rPr>
            </w:pPr>
          </w:p>
        </w:tc>
        <w:tc>
          <w:tcPr>
            <w:tcW w:w="1560" w:type="dxa"/>
          </w:tcPr>
          <w:p w14:paraId="6B430251" w14:textId="77777777" w:rsidR="00323D78" w:rsidRDefault="00323D78" w:rsidP="006B0A67">
            <w:pPr>
              <w:pStyle w:val="Tablecells"/>
              <w:jc w:val="right"/>
              <w:rPr>
                <w:lang w:val="es-ES"/>
              </w:rPr>
            </w:pPr>
          </w:p>
        </w:tc>
        <w:tc>
          <w:tcPr>
            <w:tcW w:w="1559" w:type="dxa"/>
          </w:tcPr>
          <w:p w14:paraId="04BCC4AE" w14:textId="77777777" w:rsidR="00323D78" w:rsidRDefault="00323D78" w:rsidP="006B0A67">
            <w:pPr>
              <w:pStyle w:val="Tablecells"/>
              <w:jc w:val="right"/>
              <w:rPr>
                <w:lang w:val="es-ES"/>
              </w:rPr>
            </w:pPr>
          </w:p>
        </w:tc>
        <w:tc>
          <w:tcPr>
            <w:tcW w:w="1560" w:type="dxa"/>
          </w:tcPr>
          <w:p w14:paraId="58D20660" w14:textId="77777777" w:rsidR="00323D78" w:rsidRDefault="00323D78" w:rsidP="006B0A67">
            <w:pPr>
              <w:pStyle w:val="Tablecells"/>
              <w:jc w:val="right"/>
              <w:rPr>
                <w:lang w:val="es-ES"/>
              </w:rPr>
            </w:pPr>
          </w:p>
        </w:tc>
      </w:tr>
      <w:tr w:rsidR="00323D78" w:rsidRPr="008B5E58" w14:paraId="2359D7E4" w14:textId="77777777" w:rsidTr="00323D78">
        <w:trPr>
          <w:jc w:val="center"/>
        </w:trPr>
        <w:tc>
          <w:tcPr>
            <w:tcW w:w="2016" w:type="dxa"/>
          </w:tcPr>
          <w:p w14:paraId="44FED801" w14:textId="77777777" w:rsidR="00323D78" w:rsidRPr="00F5029D" w:rsidRDefault="00323D78" w:rsidP="006B0A67">
            <w:pPr>
              <w:pStyle w:val="Tablecells"/>
              <w:rPr>
                <w:lang w:val="es-ES"/>
              </w:rPr>
            </w:pPr>
            <w:r w:rsidRPr="00F5029D">
              <w:rPr>
                <w:lang w:val="es-ES"/>
              </w:rPr>
              <w:t>Cuota nacional</w:t>
            </w:r>
          </w:p>
        </w:tc>
        <w:tc>
          <w:tcPr>
            <w:tcW w:w="1559" w:type="dxa"/>
          </w:tcPr>
          <w:p w14:paraId="7FB180AA" w14:textId="77777777" w:rsidR="00323D78" w:rsidRPr="003743C3" w:rsidRDefault="00323D78" w:rsidP="006B0A67">
            <w:pPr>
              <w:pStyle w:val="Tablecells"/>
              <w:jc w:val="right"/>
              <w:rPr>
                <w:b/>
                <w:bCs/>
                <w:lang w:val="es-ES"/>
              </w:rPr>
            </w:pPr>
            <w:r w:rsidRPr="00CF4E15">
              <w:rPr>
                <w:b/>
                <w:bCs/>
                <w:lang w:val="es-ES"/>
              </w:rPr>
              <w:t>13%</w:t>
            </w:r>
          </w:p>
        </w:tc>
        <w:tc>
          <w:tcPr>
            <w:tcW w:w="1560" w:type="dxa"/>
          </w:tcPr>
          <w:p w14:paraId="57A205F3" w14:textId="77777777" w:rsidR="00323D78" w:rsidRPr="003743C3" w:rsidRDefault="00323D78" w:rsidP="006B0A67">
            <w:pPr>
              <w:pStyle w:val="Tablecells"/>
              <w:jc w:val="right"/>
              <w:rPr>
                <w:b/>
                <w:bCs/>
                <w:lang w:val="es-ES"/>
              </w:rPr>
            </w:pPr>
            <w:r w:rsidRPr="00CF4E15">
              <w:rPr>
                <w:b/>
                <w:bCs/>
                <w:lang w:val="es-ES"/>
              </w:rPr>
              <w:t>16%</w:t>
            </w:r>
          </w:p>
        </w:tc>
        <w:tc>
          <w:tcPr>
            <w:tcW w:w="1559" w:type="dxa"/>
          </w:tcPr>
          <w:p w14:paraId="7DCB0F6B" w14:textId="77777777" w:rsidR="00323D78" w:rsidRPr="003743C3" w:rsidRDefault="00323D78" w:rsidP="006B0A67">
            <w:pPr>
              <w:pStyle w:val="Tablecells"/>
              <w:jc w:val="right"/>
              <w:rPr>
                <w:b/>
                <w:bCs/>
                <w:lang w:val="es-ES"/>
              </w:rPr>
            </w:pPr>
            <w:r w:rsidRPr="00CF4E15">
              <w:rPr>
                <w:b/>
                <w:bCs/>
                <w:lang w:val="es-ES"/>
              </w:rPr>
              <w:t>25%</w:t>
            </w:r>
          </w:p>
        </w:tc>
        <w:tc>
          <w:tcPr>
            <w:tcW w:w="1560" w:type="dxa"/>
          </w:tcPr>
          <w:p w14:paraId="721B7B65" w14:textId="77777777" w:rsidR="00323D78" w:rsidRPr="003743C3" w:rsidRDefault="00323D78" w:rsidP="006B0A67">
            <w:pPr>
              <w:pStyle w:val="Tablecells"/>
              <w:jc w:val="right"/>
              <w:rPr>
                <w:b/>
                <w:bCs/>
                <w:lang w:val="es-ES"/>
              </w:rPr>
            </w:pPr>
            <w:r w:rsidRPr="00CF4E15">
              <w:rPr>
                <w:b/>
                <w:bCs/>
                <w:lang w:val="es-ES"/>
              </w:rPr>
              <w:t>4%</w:t>
            </w:r>
          </w:p>
        </w:tc>
      </w:tr>
    </w:tbl>
    <w:p w14:paraId="42D0841C" w14:textId="77777777" w:rsidR="00323D78" w:rsidRPr="00541685" w:rsidRDefault="00323D78" w:rsidP="0080349A">
      <w:pPr>
        <w:spacing w:after="0" w:line="276" w:lineRule="auto"/>
        <w:ind w:left="0" w:right="0" w:firstLine="0"/>
        <w:rPr>
          <w:rFonts w:ascii="ITC Avant Garde" w:hAnsi="ITC Avant Garde"/>
          <w:lang w:val="es-ES"/>
        </w:rPr>
      </w:pPr>
    </w:p>
    <w:p w14:paraId="5AC8EE85" w14:textId="3C0F77B2"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En aras de ser consistentes con la metodología empleada en el modelo móvil, se ha considerado razonable descartar en cada entidad federativa aquellos </w:t>
      </w:r>
      <w:r w:rsidR="00A94546">
        <w:rPr>
          <w:rFonts w:ascii="ITC Avant Garde" w:hAnsi="ITC Avant Garde"/>
          <w:lang w:val="es-ES"/>
        </w:rPr>
        <w:t>concesionarios</w:t>
      </w:r>
      <w:r w:rsidRPr="00541685">
        <w:rPr>
          <w:rFonts w:ascii="ITC Avant Garde" w:hAnsi="ITC Avant Garde"/>
          <w:lang w:val="es-ES"/>
        </w:rPr>
        <w:t xml:space="preserve"> que no alcancen una cuota superior al 5–10%. Este ajuste se realiza </w:t>
      </w:r>
      <w:r w:rsidRPr="00541685">
        <w:rPr>
          <w:rFonts w:ascii="ITC Avant Garde" w:hAnsi="ITC Avant Garde"/>
          <w:lang w:val="es-ES"/>
        </w:rPr>
        <w:lastRenderedPageBreak/>
        <w:t xml:space="preserve">para asegurar que los </w:t>
      </w:r>
      <w:r w:rsidR="00A94546">
        <w:rPr>
          <w:rFonts w:ascii="ITC Avant Garde" w:hAnsi="ITC Avant Garde"/>
          <w:lang w:val="es-ES"/>
        </w:rPr>
        <w:t>concesionarios</w:t>
      </w:r>
      <w:r w:rsidRPr="00541685">
        <w:rPr>
          <w:rFonts w:ascii="ITC Avant Garde" w:hAnsi="ITC Avant Garde"/>
          <w:lang w:val="es-ES"/>
        </w:rPr>
        <w:t xml:space="preserve"> considerados disponen de una escala de eficiencia mínima. Con base a los </w:t>
      </w:r>
      <w:r w:rsidR="00A94546">
        <w:rPr>
          <w:rFonts w:ascii="ITC Avant Garde" w:hAnsi="ITC Avant Garde"/>
          <w:lang w:val="es-ES"/>
        </w:rPr>
        <w:t>concesionarios</w:t>
      </w:r>
      <w:r w:rsidRPr="00541685">
        <w:rPr>
          <w:rFonts w:ascii="ITC Avant Garde" w:hAnsi="ITC Avant Garde"/>
          <w:lang w:val="es-ES"/>
        </w:rPr>
        <w:t xml:space="preserve"> </w:t>
      </w:r>
      <w:r w:rsidR="00C3485A" w:rsidRPr="00541685">
        <w:rPr>
          <w:rFonts w:ascii="ITC Avant Garde" w:hAnsi="ITC Avant Garde"/>
          <w:lang w:val="es-ES"/>
        </w:rPr>
        <w:t>que,</w:t>
      </w:r>
      <w:r w:rsidRPr="00541685">
        <w:rPr>
          <w:rFonts w:ascii="ITC Avant Garde" w:hAnsi="ITC Avant Garde"/>
          <w:lang w:val="es-ES"/>
        </w:rPr>
        <w:t xml:space="preserve"> </w:t>
      </w:r>
      <w:r w:rsidR="00665CBA">
        <w:rPr>
          <w:rFonts w:ascii="ITC Avant Garde" w:hAnsi="ITC Avant Garde"/>
          <w:lang w:val="es-ES"/>
        </w:rPr>
        <w:t>si</w:t>
      </w:r>
      <w:r w:rsidRPr="00541685">
        <w:rPr>
          <w:rFonts w:ascii="ITC Avant Garde" w:hAnsi="ITC Avant Garde"/>
          <w:lang w:val="es-ES"/>
        </w:rPr>
        <w:t xml:space="preserve"> cumplen estos criterios, se calcula la cuota promedio para cada entidad federativa, manteniendo el rango de la cuota mínima para disponer de una sensibilidad de los valores resultantes del ejercicio.</w:t>
      </w:r>
    </w:p>
    <w:p w14:paraId="02E611C4" w14:textId="77777777" w:rsidR="00323D78" w:rsidRPr="00541685" w:rsidRDefault="00323D78" w:rsidP="0080349A">
      <w:pPr>
        <w:spacing w:after="0" w:line="276" w:lineRule="auto"/>
        <w:ind w:left="0" w:right="0" w:firstLine="0"/>
        <w:rPr>
          <w:rFonts w:ascii="ITC Avant Garde" w:hAnsi="ITC Avant Garde"/>
          <w:lang w:val="es-ES"/>
        </w:rPr>
      </w:pPr>
    </w:p>
    <w:p w14:paraId="697340EE" w14:textId="2BFE09BD"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Figura</w:t>
      </w:r>
      <w:r w:rsidR="00323D78">
        <w:rPr>
          <w:rFonts w:ascii="ITC Avant Garde" w:hAnsi="ITC Avant Garde"/>
          <w:lang w:val="es-ES"/>
        </w:rPr>
        <w:t xml:space="preserve"> 7</w:t>
      </w:r>
      <w:r w:rsidRPr="00541685">
        <w:rPr>
          <w:rFonts w:ascii="ITC Avant Garde" w:hAnsi="ITC Avant Garde"/>
          <w:lang w:val="es-ES"/>
        </w:rPr>
        <w:t xml:space="preserve">: Cuota promedio de los </w:t>
      </w:r>
      <w:r w:rsidR="00A94546">
        <w:rPr>
          <w:rFonts w:ascii="ITC Avant Garde" w:hAnsi="ITC Avant Garde"/>
          <w:lang w:val="es-ES"/>
        </w:rPr>
        <w:t>concesionarios</w:t>
      </w:r>
      <w:r w:rsidRPr="00541685">
        <w:rPr>
          <w:rFonts w:ascii="ITC Avant Garde" w:hAnsi="ITC Avant Garde"/>
          <w:lang w:val="es-ES"/>
        </w:rPr>
        <w:t xml:space="preserve"> alternativos dentro del umbral considerado, por entidad federativa [Fuente: Analysys Mason basado en datos del BIT, 2023]</w:t>
      </w:r>
    </w:p>
    <w:tbl>
      <w:tblPr>
        <w:tblStyle w:val="Sombreadomedio2-nfasis1"/>
        <w:tblW w:w="8536" w:type="dxa"/>
        <w:jc w:val="center"/>
        <w:tblBorders>
          <w:top w:val="single" w:sz="4" w:space="0" w:color="FFFFFF"/>
          <w:bottom w:val="none" w:sz="0" w:space="0" w:color="auto"/>
          <w:insideH w:val="single" w:sz="4" w:space="0" w:color="FFFFFF"/>
          <w:insideV w:val="single" w:sz="4" w:space="0" w:color="FFFFFF"/>
        </w:tblBorders>
        <w:tblLook w:val="0620" w:firstRow="1" w:lastRow="0" w:firstColumn="0" w:lastColumn="0" w:noHBand="1" w:noVBand="1"/>
      </w:tblPr>
      <w:tblGrid>
        <w:gridCol w:w="2845"/>
        <w:gridCol w:w="2845"/>
        <w:gridCol w:w="2846"/>
      </w:tblGrid>
      <w:tr w:rsidR="00323D78" w:rsidRPr="008B5E58" w14:paraId="365A1CFE" w14:textId="77777777" w:rsidTr="00323D78">
        <w:trPr>
          <w:cnfStyle w:val="100000000000" w:firstRow="1" w:lastRow="0" w:firstColumn="0" w:lastColumn="0" w:oddVBand="0" w:evenVBand="0" w:oddHBand="0" w:evenHBand="0" w:firstRowFirstColumn="0" w:firstRowLastColumn="0" w:lastRowFirstColumn="0" w:lastRowLastColumn="0"/>
          <w:tblHeader/>
          <w:jc w:val="center"/>
        </w:trPr>
        <w:tc>
          <w:tcPr>
            <w:tcW w:w="2845" w:type="dxa"/>
            <w:tcBorders>
              <w:bottom w:val="single" w:sz="18" w:space="0" w:color="FFFFFF"/>
              <w:right w:val="single" w:sz="12" w:space="0" w:color="8496B0" w:themeColor="text2" w:themeTint="99"/>
            </w:tcBorders>
            <w:shd w:val="solid" w:color="0F51B1" w:fill="0F51B1"/>
          </w:tcPr>
          <w:p w14:paraId="76A5E739" w14:textId="77777777" w:rsidR="00323D78" w:rsidRPr="00332F1F" w:rsidRDefault="00323D78" w:rsidP="006B0A67">
            <w:pPr>
              <w:pStyle w:val="Tablecells"/>
              <w:rPr>
                <w:lang w:val="es-ES"/>
              </w:rPr>
            </w:pPr>
          </w:p>
        </w:tc>
        <w:tc>
          <w:tcPr>
            <w:tcW w:w="2845" w:type="dxa"/>
            <w:tcBorders>
              <w:top w:val="single" w:sz="12" w:space="0" w:color="8496B0" w:themeColor="text2" w:themeTint="99"/>
              <w:left w:val="single" w:sz="12" w:space="0" w:color="8496B0" w:themeColor="text2" w:themeTint="99"/>
              <w:bottom w:val="single" w:sz="18" w:space="0" w:color="FFFFFF"/>
            </w:tcBorders>
            <w:vAlign w:val="center"/>
          </w:tcPr>
          <w:p w14:paraId="55A46B6B" w14:textId="77777777" w:rsidR="00323D78" w:rsidRPr="00332F1F" w:rsidRDefault="00323D78" w:rsidP="006B0A67">
            <w:pPr>
              <w:pStyle w:val="Tablecells"/>
              <w:jc w:val="right"/>
              <w:rPr>
                <w:color w:val="FFFFFF"/>
                <w:lang w:val="es-ES"/>
              </w:rPr>
            </w:pPr>
            <w:r>
              <w:rPr>
                <w:lang w:val="es-ES"/>
              </w:rPr>
              <w:t>5%</w:t>
            </w:r>
          </w:p>
        </w:tc>
        <w:tc>
          <w:tcPr>
            <w:tcW w:w="2846" w:type="dxa"/>
            <w:tcBorders>
              <w:top w:val="single" w:sz="12" w:space="0" w:color="8496B0" w:themeColor="text2" w:themeTint="99"/>
              <w:bottom w:val="single" w:sz="18" w:space="0" w:color="FFFFFF"/>
              <w:right w:val="single" w:sz="12" w:space="0" w:color="8496B0" w:themeColor="text2" w:themeTint="99"/>
            </w:tcBorders>
            <w:vAlign w:val="center"/>
          </w:tcPr>
          <w:p w14:paraId="1FB9CF80" w14:textId="77777777" w:rsidR="00323D78" w:rsidRPr="00332F1F" w:rsidRDefault="00323D78" w:rsidP="006B0A67">
            <w:pPr>
              <w:pStyle w:val="Tablecells"/>
              <w:jc w:val="right"/>
              <w:rPr>
                <w:color w:val="FFFFFF"/>
                <w:lang w:val="es-ES"/>
              </w:rPr>
            </w:pPr>
            <w:r>
              <w:rPr>
                <w:lang w:val="es-ES"/>
              </w:rPr>
              <w:t>10%</w:t>
            </w:r>
          </w:p>
        </w:tc>
      </w:tr>
      <w:tr w:rsidR="00323D78" w:rsidRPr="008B5E58" w14:paraId="0FCA0949" w14:textId="77777777" w:rsidTr="00323D78">
        <w:trPr>
          <w:jc w:val="center"/>
        </w:trPr>
        <w:tc>
          <w:tcPr>
            <w:tcW w:w="2845" w:type="dxa"/>
            <w:tcBorders>
              <w:top w:val="single" w:sz="18" w:space="0" w:color="FFFFFF"/>
              <w:right w:val="single" w:sz="12" w:space="0" w:color="8496B0" w:themeColor="text2" w:themeTint="99"/>
            </w:tcBorders>
          </w:tcPr>
          <w:p w14:paraId="3A171EA8" w14:textId="77777777" w:rsidR="00323D78" w:rsidRPr="00D2678E" w:rsidRDefault="00323D78" w:rsidP="006B0A67">
            <w:pPr>
              <w:pStyle w:val="Tablecells"/>
              <w:rPr>
                <w:lang w:val="es-ES"/>
              </w:rPr>
            </w:pPr>
            <w:r w:rsidRPr="00D2678E">
              <w:rPr>
                <w:lang w:val="es-ES"/>
              </w:rPr>
              <w:t>Aguascalientes</w:t>
            </w:r>
          </w:p>
        </w:tc>
        <w:tc>
          <w:tcPr>
            <w:tcW w:w="2845" w:type="dxa"/>
            <w:tcBorders>
              <w:top w:val="single" w:sz="18" w:space="0" w:color="FFFFFF"/>
              <w:left w:val="single" w:sz="12" w:space="0" w:color="8496B0" w:themeColor="text2" w:themeTint="99"/>
            </w:tcBorders>
            <w:shd w:val="pct12" w:color="auto" w:fill="auto"/>
            <w:vAlign w:val="center"/>
          </w:tcPr>
          <w:p w14:paraId="23FFD977" w14:textId="77777777" w:rsidR="00323D78" w:rsidRDefault="00323D78" w:rsidP="006B0A67">
            <w:pPr>
              <w:pStyle w:val="Tablecells"/>
              <w:jc w:val="right"/>
              <w:rPr>
                <w:lang w:val="es-ES"/>
              </w:rPr>
            </w:pPr>
            <w:r w:rsidRPr="00CF4E15">
              <w:rPr>
                <w:lang w:val="es-ES"/>
              </w:rPr>
              <w:t>28%</w:t>
            </w:r>
          </w:p>
        </w:tc>
        <w:tc>
          <w:tcPr>
            <w:tcW w:w="2846" w:type="dxa"/>
            <w:tcBorders>
              <w:top w:val="single" w:sz="18" w:space="0" w:color="FFFFFF"/>
              <w:right w:val="single" w:sz="12" w:space="0" w:color="8496B0" w:themeColor="text2" w:themeTint="99"/>
            </w:tcBorders>
            <w:shd w:val="pct12" w:color="auto" w:fill="auto"/>
            <w:vAlign w:val="center"/>
          </w:tcPr>
          <w:p w14:paraId="29467A2E" w14:textId="77777777" w:rsidR="00323D78" w:rsidRDefault="00323D78" w:rsidP="006B0A67">
            <w:pPr>
              <w:pStyle w:val="Tablecells"/>
              <w:jc w:val="right"/>
              <w:rPr>
                <w:lang w:val="es-ES"/>
              </w:rPr>
            </w:pPr>
            <w:r w:rsidRPr="00CF4E15">
              <w:rPr>
                <w:lang w:val="es-ES"/>
              </w:rPr>
              <w:t>28%</w:t>
            </w:r>
          </w:p>
        </w:tc>
      </w:tr>
      <w:tr w:rsidR="00323D78" w:rsidRPr="008B5E58" w14:paraId="5E22F204" w14:textId="77777777" w:rsidTr="00323D78">
        <w:trPr>
          <w:jc w:val="center"/>
        </w:trPr>
        <w:tc>
          <w:tcPr>
            <w:tcW w:w="2845" w:type="dxa"/>
            <w:tcBorders>
              <w:right w:val="single" w:sz="12" w:space="0" w:color="8496B0" w:themeColor="text2" w:themeTint="99"/>
            </w:tcBorders>
          </w:tcPr>
          <w:p w14:paraId="54D2EF70" w14:textId="77777777" w:rsidR="00323D78" w:rsidRPr="00D2678E" w:rsidRDefault="00323D78" w:rsidP="006B0A67">
            <w:pPr>
              <w:pStyle w:val="Tablecells"/>
              <w:rPr>
                <w:lang w:val="es-ES"/>
              </w:rPr>
            </w:pPr>
            <w:r w:rsidRPr="00D2678E">
              <w:rPr>
                <w:lang w:val="es-ES"/>
              </w:rPr>
              <w:t>Baja California</w:t>
            </w:r>
          </w:p>
        </w:tc>
        <w:tc>
          <w:tcPr>
            <w:tcW w:w="2845" w:type="dxa"/>
            <w:tcBorders>
              <w:left w:val="single" w:sz="12" w:space="0" w:color="8496B0" w:themeColor="text2" w:themeTint="99"/>
            </w:tcBorders>
            <w:shd w:val="pct12" w:color="auto" w:fill="auto"/>
            <w:vAlign w:val="center"/>
          </w:tcPr>
          <w:p w14:paraId="3B388530" w14:textId="77777777" w:rsidR="00323D78" w:rsidRDefault="00323D78" w:rsidP="006B0A67">
            <w:pPr>
              <w:pStyle w:val="Tablecells"/>
              <w:jc w:val="right"/>
              <w:rPr>
                <w:lang w:val="es-ES"/>
              </w:rPr>
            </w:pPr>
            <w:r w:rsidRPr="00CF4E15">
              <w:rPr>
                <w:lang w:val="es-ES"/>
              </w:rPr>
              <w:t>29%</w:t>
            </w:r>
          </w:p>
        </w:tc>
        <w:tc>
          <w:tcPr>
            <w:tcW w:w="2846" w:type="dxa"/>
            <w:tcBorders>
              <w:right w:val="single" w:sz="12" w:space="0" w:color="8496B0" w:themeColor="text2" w:themeTint="99"/>
            </w:tcBorders>
            <w:shd w:val="pct12" w:color="auto" w:fill="auto"/>
            <w:vAlign w:val="center"/>
          </w:tcPr>
          <w:p w14:paraId="025A52B1" w14:textId="77777777" w:rsidR="00323D78" w:rsidRDefault="00323D78" w:rsidP="006B0A67">
            <w:pPr>
              <w:pStyle w:val="Tablecells"/>
              <w:jc w:val="right"/>
              <w:rPr>
                <w:lang w:val="es-ES"/>
              </w:rPr>
            </w:pPr>
            <w:r w:rsidRPr="00CF4E15">
              <w:rPr>
                <w:lang w:val="es-ES"/>
              </w:rPr>
              <w:t>29%</w:t>
            </w:r>
          </w:p>
        </w:tc>
      </w:tr>
      <w:tr w:rsidR="00323D78" w:rsidRPr="008B5E58" w14:paraId="315BEF04" w14:textId="77777777" w:rsidTr="00323D78">
        <w:trPr>
          <w:jc w:val="center"/>
        </w:trPr>
        <w:tc>
          <w:tcPr>
            <w:tcW w:w="2845" w:type="dxa"/>
            <w:tcBorders>
              <w:right w:val="single" w:sz="12" w:space="0" w:color="8496B0" w:themeColor="text2" w:themeTint="99"/>
            </w:tcBorders>
          </w:tcPr>
          <w:p w14:paraId="7DAB799D" w14:textId="77777777" w:rsidR="00323D78" w:rsidRPr="00D2678E" w:rsidRDefault="00323D78" w:rsidP="006B0A67">
            <w:pPr>
              <w:pStyle w:val="Tablecells"/>
              <w:rPr>
                <w:lang w:val="es-ES"/>
              </w:rPr>
            </w:pPr>
            <w:r w:rsidRPr="00D2678E">
              <w:rPr>
                <w:lang w:val="es-ES"/>
              </w:rPr>
              <w:t>Baja California Sur</w:t>
            </w:r>
          </w:p>
        </w:tc>
        <w:tc>
          <w:tcPr>
            <w:tcW w:w="2845" w:type="dxa"/>
            <w:tcBorders>
              <w:left w:val="single" w:sz="12" w:space="0" w:color="8496B0" w:themeColor="text2" w:themeTint="99"/>
            </w:tcBorders>
            <w:shd w:val="pct12" w:color="auto" w:fill="auto"/>
            <w:vAlign w:val="center"/>
          </w:tcPr>
          <w:p w14:paraId="36657E09" w14:textId="77777777" w:rsidR="00323D78" w:rsidRDefault="00323D78" w:rsidP="006B0A67">
            <w:pPr>
              <w:pStyle w:val="Tablecells"/>
              <w:jc w:val="right"/>
              <w:rPr>
                <w:lang w:val="es-ES"/>
              </w:rPr>
            </w:pPr>
            <w:r w:rsidRPr="00CF4E15">
              <w:rPr>
                <w:lang w:val="es-ES"/>
              </w:rPr>
              <w:t>29%</w:t>
            </w:r>
          </w:p>
        </w:tc>
        <w:tc>
          <w:tcPr>
            <w:tcW w:w="2846" w:type="dxa"/>
            <w:tcBorders>
              <w:right w:val="single" w:sz="12" w:space="0" w:color="8496B0" w:themeColor="text2" w:themeTint="99"/>
            </w:tcBorders>
            <w:shd w:val="pct12" w:color="auto" w:fill="auto"/>
            <w:vAlign w:val="center"/>
          </w:tcPr>
          <w:p w14:paraId="6EA0FECD" w14:textId="77777777" w:rsidR="00323D78" w:rsidRDefault="00323D78" w:rsidP="006B0A67">
            <w:pPr>
              <w:pStyle w:val="Tablecells"/>
              <w:jc w:val="right"/>
              <w:rPr>
                <w:lang w:val="es-ES"/>
              </w:rPr>
            </w:pPr>
            <w:r w:rsidRPr="00CF4E15">
              <w:rPr>
                <w:lang w:val="es-ES"/>
              </w:rPr>
              <w:t>29%</w:t>
            </w:r>
          </w:p>
        </w:tc>
      </w:tr>
      <w:tr w:rsidR="00323D78" w:rsidRPr="008B5E58" w14:paraId="714FA138" w14:textId="77777777" w:rsidTr="00323D78">
        <w:trPr>
          <w:jc w:val="center"/>
        </w:trPr>
        <w:tc>
          <w:tcPr>
            <w:tcW w:w="2845" w:type="dxa"/>
            <w:tcBorders>
              <w:right w:val="single" w:sz="12" w:space="0" w:color="8496B0" w:themeColor="text2" w:themeTint="99"/>
            </w:tcBorders>
          </w:tcPr>
          <w:p w14:paraId="2EED3FB3" w14:textId="77777777" w:rsidR="00323D78" w:rsidRPr="00D2678E" w:rsidRDefault="00323D78" w:rsidP="006B0A67">
            <w:pPr>
              <w:pStyle w:val="Tablecells"/>
              <w:rPr>
                <w:lang w:val="es-ES"/>
              </w:rPr>
            </w:pPr>
            <w:r w:rsidRPr="00D2678E">
              <w:rPr>
                <w:lang w:val="es-ES"/>
              </w:rPr>
              <w:t>Campeche</w:t>
            </w:r>
          </w:p>
        </w:tc>
        <w:tc>
          <w:tcPr>
            <w:tcW w:w="2845" w:type="dxa"/>
            <w:tcBorders>
              <w:left w:val="single" w:sz="12" w:space="0" w:color="8496B0" w:themeColor="text2" w:themeTint="99"/>
            </w:tcBorders>
            <w:shd w:val="pct12" w:color="auto" w:fill="auto"/>
            <w:vAlign w:val="center"/>
          </w:tcPr>
          <w:p w14:paraId="5EB1884C" w14:textId="77777777" w:rsidR="00323D78" w:rsidRDefault="00323D78" w:rsidP="006B0A67">
            <w:pPr>
              <w:pStyle w:val="Tablecells"/>
              <w:jc w:val="right"/>
              <w:rPr>
                <w:lang w:val="es-ES"/>
              </w:rPr>
            </w:pPr>
            <w:r w:rsidRPr="00CF4E15">
              <w:rPr>
                <w:lang w:val="es-ES"/>
              </w:rPr>
              <w:t>49%</w:t>
            </w:r>
          </w:p>
        </w:tc>
        <w:tc>
          <w:tcPr>
            <w:tcW w:w="2846" w:type="dxa"/>
            <w:tcBorders>
              <w:right w:val="single" w:sz="12" w:space="0" w:color="8496B0" w:themeColor="text2" w:themeTint="99"/>
            </w:tcBorders>
            <w:shd w:val="pct12" w:color="auto" w:fill="auto"/>
            <w:vAlign w:val="center"/>
          </w:tcPr>
          <w:p w14:paraId="5BC6B661" w14:textId="77777777" w:rsidR="00323D78" w:rsidRDefault="00323D78" w:rsidP="006B0A67">
            <w:pPr>
              <w:pStyle w:val="Tablecells"/>
              <w:jc w:val="right"/>
              <w:rPr>
                <w:lang w:val="es-ES"/>
              </w:rPr>
            </w:pPr>
            <w:r w:rsidRPr="00CF4E15">
              <w:rPr>
                <w:lang w:val="es-ES"/>
              </w:rPr>
              <w:t>49%</w:t>
            </w:r>
          </w:p>
        </w:tc>
      </w:tr>
      <w:tr w:rsidR="00323D78" w:rsidRPr="008B5E58" w14:paraId="357B0F5E" w14:textId="77777777" w:rsidTr="00323D78">
        <w:trPr>
          <w:jc w:val="center"/>
        </w:trPr>
        <w:tc>
          <w:tcPr>
            <w:tcW w:w="2845" w:type="dxa"/>
            <w:tcBorders>
              <w:right w:val="single" w:sz="12" w:space="0" w:color="8496B0" w:themeColor="text2" w:themeTint="99"/>
            </w:tcBorders>
          </w:tcPr>
          <w:p w14:paraId="16E8D676" w14:textId="77777777" w:rsidR="00323D78" w:rsidRPr="00D2678E" w:rsidRDefault="00323D78" w:rsidP="006B0A67">
            <w:pPr>
              <w:pStyle w:val="Tablecells"/>
              <w:rPr>
                <w:lang w:val="es-ES"/>
              </w:rPr>
            </w:pPr>
            <w:r w:rsidRPr="00D2678E">
              <w:rPr>
                <w:lang w:val="es-ES"/>
              </w:rPr>
              <w:t>Coahuila de Zaragoza</w:t>
            </w:r>
          </w:p>
        </w:tc>
        <w:tc>
          <w:tcPr>
            <w:tcW w:w="2845" w:type="dxa"/>
            <w:tcBorders>
              <w:left w:val="single" w:sz="12" w:space="0" w:color="8496B0" w:themeColor="text2" w:themeTint="99"/>
            </w:tcBorders>
            <w:shd w:val="pct12" w:color="auto" w:fill="auto"/>
            <w:vAlign w:val="center"/>
          </w:tcPr>
          <w:p w14:paraId="7D781CBE" w14:textId="77777777" w:rsidR="00323D78" w:rsidRDefault="00323D78" w:rsidP="006B0A67">
            <w:pPr>
              <w:pStyle w:val="Tablecells"/>
              <w:jc w:val="right"/>
              <w:rPr>
                <w:lang w:val="es-ES"/>
              </w:rPr>
            </w:pPr>
            <w:r w:rsidRPr="00CF4E15">
              <w:rPr>
                <w:lang w:val="es-ES"/>
              </w:rPr>
              <w:t>17%</w:t>
            </w:r>
          </w:p>
        </w:tc>
        <w:tc>
          <w:tcPr>
            <w:tcW w:w="2846" w:type="dxa"/>
            <w:tcBorders>
              <w:right w:val="single" w:sz="12" w:space="0" w:color="8496B0" w:themeColor="text2" w:themeTint="99"/>
            </w:tcBorders>
            <w:shd w:val="pct12" w:color="auto" w:fill="auto"/>
            <w:vAlign w:val="center"/>
          </w:tcPr>
          <w:p w14:paraId="03F3A7DA" w14:textId="77777777" w:rsidR="00323D78" w:rsidRDefault="00323D78" w:rsidP="006B0A67">
            <w:pPr>
              <w:pStyle w:val="Tablecells"/>
              <w:jc w:val="right"/>
              <w:rPr>
                <w:lang w:val="es-ES"/>
              </w:rPr>
            </w:pPr>
            <w:r w:rsidRPr="00CF4E15">
              <w:rPr>
                <w:lang w:val="es-ES"/>
              </w:rPr>
              <w:t>17%</w:t>
            </w:r>
          </w:p>
        </w:tc>
      </w:tr>
      <w:tr w:rsidR="00323D78" w:rsidRPr="008B5E58" w14:paraId="6DEB5829" w14:textId="77777777" w:rsidTr="00323D78">
        <w:trPr>
          <w:jc w:val="center"/>
        </w:trPr>
        <w:tc>
          <w:tcPr>
            <w:tcW w:w="2845" w:type="dxa"/>
            <w:tcBorders>
              <w:right w:val="single" w:sz="12" w:space="0" w:color="8496B0" w:themeColor="text2" w:themeTint="99"/>
            </w:tcBorders>
          </w:tcPr>
          <w:p w14:paraId="4D095354" w14:textId="77777777" w:rsidR="00323D78" w:rsidRPr="00D2678E" w:rsidRDefault="00323D78" w:rsidP="006B0A67">
            <w:pPr>
              <w:pStyle w:val="Tablecells"/>
              <w:rPr>
                <w:lang w:val="es-ES"/>
              </w:rPr>
            </w:pPr>
            <w:r w:rsidRPr="00D2678E">
              <w:rPr>
                <w:lang w:val="es-ES"/>
              </w:rPr>
              <w:t>Colima</w:t>
            </w:r>
          </w:p>
        </w:tc>
        <w:tc>
          <w:tcPr>
            <w:tcW w:w="2845" w:type="dxa"/>
            <w:tcBorders>
              <w:left w:val="single" w:sz="12" w:space="0" w:color="8496B0" w:themeColor="text2" w:themeTint="99"/>
            </w:tcBorders>
            <w:shd w:val="pct12" w:color="auto" w:fill="auto"/>
            <w:vAlign w:val="center"/>
          </w:tcPr>
          <w:p w14:paraId="79CE909C" w14:textId="77777777" w:rsidR="00323D78" w:rsidRDefault="00323D78" w:rsidP="006B0A67">
            <w:pPr>
              <w:pStyle w:val="Tablecells"/>
              <w:jc w:val="right"/>
              <w:rPr>
                <w:lang w:val="es-ES"/>
              </w:rPr>
            </w:pPr>
            <w:r w:rsidRPr="00CF4E15">
              <w:rPr>
                <w:lang w:val="es-ES"/>
              </w:rPr>
              <w:t>23%</w:t>
            </w:r>
          </w:p>
        </w:tc>
        <w:tc>
          <w:tcPr>
            <w:tcW w:w="2846" w:type="dxa"/>
            <w:tcBorders>
              <w:right w:val="single" w:sz="12" w:space="0" w:color="8496B0" w:themeColor="text2" w:themeTint="99"/>
            </w:tcBorders>
            <w:shd w:val="pct12" w:color="auto" w:fill="auto"/>
            <w:vAlign w:val="center"/>
          </w:tcPr>
          <w:p w14:paraId="048E9B60" w14:textId="77777777" w:rsidR="00323D78" w:rsidRDefault="00323D78" w:rsidP="006B0A67">
            <w:pPr>
              <w:pStyle w:val="Tablecells"/>
              <w:jc w:val="right"/>
              <w:rPr>
                <w:lang w:val="es-ES"/>
              </w:rPr>
            </w:pPr>
            <w:r w:rsidRPr="00CF4E15">
              <w:rPr>
                <w:lang w:val="es-ES"/>
              </w:rPr>
              <w:t>23%</w:t>
            </w:r>
          </w:p>
        </w:tc>
      </w:tr>
      <w:tr w:rsidR="00323D78" w:rsidRPr="008B5E58" w14:paraId="2984E5F6" w14:textId="77777777" w:rsidTr="00323D78">
        <w:trPr>
          <w:jc w:val="center"/>
        </w:trPr>
        <w:tc>
          <w:tcPr>
            <w:tcW w:w="2845" w:type="dxa"/>
            <w:tcBorders>
              <w:right w:val="single" w:sz="12" w:space="0" w:color="8496B0" w:themeColor="text2" w:themeTint="99"/>
            </w:tcBorders>
            <w:shd w:val="clear" w:color="auto" w:fill="BFBFBF" w:themeFill="background1" w:themeFillShade="BF"/>
          </w:tcPr>
          <w:p w14:paraId="78A21620" w14:textId="77777777" w:rsidR="00323D78" w:rsidRPr="00D2678E" w:rsidRDefault="00323D78" w:rsidP="006B0A67">
            <w:pPr>
              <w:pStyle w:val="Tablecells"/>
              <w:rPr>
                <w:lang w:val="es-ES"/>
              </w:rPr>
            </w:pPr>
            <w:r w:rsidRPr="00D2678E">
              <w:rPr>
                <w:lang w:val="es-ES"/>
              </w:rPr>
              <w:t>…</w:t>
            </w:r>
          </w:p>
        </w:tc>
        <w:tc>
          <w:tcPr>
            <w:tcW w:w="2845" w:type="dxa"/>
            <w:tcBorders>
              <w:left w:val="single" w:sz="12" w:space="0" w:color="8496B0" w:themeColor="text2" w:themeTint="99"/>
            </w:tcBorders>
            <w:shd w:val="clear" w:color="auto" w:fill="BFBFBF" w:themeFill="background1" w:themeFillShade="BF"/>
            <w:vAlign w:val="center"/>
          </w:tcPr>
          <w:p w14:paraId="7D37C5ED" w14:textId="77777777" w:rsidR="00323D78" w:rsidRDefault="00323D78" w:rsidP="006B0A67">
            <w:pPr>
              <w:pStyle w:val="Tablecells"/>
              <w:jc w:val="right"/>
              <w:rPr>
                <w:lang w:val="es-ES"/>
              </w:rPr>
            </w:pPr>
          </w:p>
        </w:tc>
        <w:tc>
          <w:tcPr>
            <w:tcW w:w="2846" w:type="dxa"/>
            <w:tcBorders>
              <w:right w:val="single" w:sz="12" w:space="0" w:color="8496B0" w:themeColor="text2" w:themeTint="99"/>
            </w:tcBorders>
            <w:shd w:val="clear" w:color="auto" w:fill="BFBFBF" w:themeFill="background1" w:themeFillShade="BF"/>
            <w:vAlign w:val="center"/>
          </w:tcPr>
          <w:p w14:paraId="5FB1227C" w14:textId="77777777" w:rsidR="00323D78" w:rsidRDefault="00323D78" w:rsidP="006B0A67">
            <w:pPr>
              <w:pStyle w:val="Tablecells"/>
              <w:jc w:val="right"/>
              <w:rPr>
                <w:lang w:val="es-ES"/>
              </w:rPr>
            </w:pPr>
          </w:p>
        </w:tc>
      </w:tr>
      <w:tr w:rsidR="00323D78" w:rsidRPr="008B5E58" w14:paraId="54361031" w14:textId="77777777" w:rsidTr="00323D78">
        <w:trPr>
          <w:jc w:val="center"/>
        </w:trPr>
        <w:tc>
          <w:tcPr>
            <w:tcW w:w="2845" w:type="dxa"/>
            <w:tcBorders>
              <w:right w:val="single" w:sz="12" w:space="0" w:color="8496B0" w:themeColor="text2" w:themeTint="99"/>
            </w:tcBorders>
          </w:tcPr>
          <w:p w14:paraId="6A76CBF5" w14:textId="77777777" w:rsidR="00323D78" w:rsidRPr="00D2678E" w:rsidRDefault="00323D78" w:rsidP="006B0A67">
            <w:pPr>
              <w:pStyle w:val="Tablecells"/>
              <w:rPr>
                <w:lang w:val="es-ES"/>
              </w:rPr>
            </w:pPr>
            <w:r w:rsidRPr="00D2678E">
              <w:rPr>
                <w:lang w:val="es-ES"/>
              </w:rPr>
              <w:t>Cuota nacional</w:t>
            </w:r>
          </w:p>
        </w:tc>
        <w:tc>
          <w:tcPr>
            <w:tcW w:w="2845" w:type="dxa"/>
            <w:tcBorders>
              <w:left w:val="single" w:sz="12" w:space="0" w:color="8496B0" w:themeColor="text2" w:themeTint="99"/>
              <w:bottom w:val="single" w:sz="12" w:space="0" w:color="8496B0" w:themeColor="text2" w:themeTint="99"/>
            </w:tcBorders>
            <w:shd w:val="pct12" w:color="auto" w:fill="auto"/>
            <w:vAlign w:val="center"/>
          </w:tcPr>
          <w:p w14:paraId="6A7B5BAE" w14:textId="77777777" w:rsidR="00323D78" w:rsidRPr="00B362E4" w:rsidRDefault="00323D78" w:rsidP="006B0A67">
            <w:pPr>
              <w:pStyle w:val="Tablecells"/>
              <w:jc w:val="right"/>
              <w:rPr>
                <w:b/>
                <w:bCs/>
                <w:lang w:val="es-ES"/>
              </w:rPr>
            </w:pPr>
            <w:r w:rsidRPr="00B362E4">
              <w:rPr>
                <w:b/>
                <w:bCs/>
                <w:lang w:val="es-ES"/>
              </w:rPr>
              <w:t>23%</w:t>
            </w:r>
          </w:p>
        </w:tc>
        <w:tc>
          <w:tcPr>
            <w:tcW w:w="2846" w:type="dxa"/>
            <w:tcBorders>
              <w:bottom w:val="single" w:sz="12" w:space="0" w:color="8496B0" w:themeColor="text2" w:themeTint="99"/>
              <w:right w:val="single" w:sz="12" w:space="0" w:color="8496B0" w:themeColor="text2" w:themeTint="99"/>
            </w:tcBorders>
            <w:shd w:val="pct12" w:color="auto" w:fill="auto"/>
            <w:vAlign w:val="center"/>
          </w:tcPr>
          <w:p w14:paraId="19790EB6" w14:textId="77777777" w:rsidR="00323D78" w:rsidRPr="00B362E4" w:rsidRDefault="00323D78" w:rsidP="006B0A67">
            <w:pPr>
              <w:pStyle w:val="Tablecells"/>
              <w:jc w:val="right"/>
              <w:rPr>
                <w:b/>
                <w:bCs/>
                <w:lang w:val="es-ES"/>
              </w:rPr>
            </w:pPr>
            <w:r w:rsidRPr="00B362E4">
              <w:rPr>
                <w:b/>
                <w:bCs/>
                <w:lang w:val="es-ES"/>
              </w:rPr>
              <w:t>27%</w:t>
            </w:r>
          </w:p>
        </w:tc>
      </w:tr>
    </w:tbl>
    <w:p w14:paraId="4BC8576C" w14:textId="77777777" w:rsidR="00323D78" w:rsidRPr="00541685" w:rsidRDefault="00323D78" w:rsidP="0080349A">
      <w:pPr>
        <w:spacing w:after="0" w:line="276" w:lineRule="auto"/>
        <w:ind w:left="0" w:right="0" w:firstLine="0"/>
        <w:rPr>
          <w:rFonts w:ascii="ITC Avant Garde" w:hAnsi="ITC Avant Garde"/>
          <w:lang w:val="es-ES"/>
        </w:rPr>
      </w:pPr>
    </w:p>
    <w:p w14:paraId="2EF624B3" w14:textId="77777777" w:rsidR="00541685" w:rsidRPr="00541685" w:rsidRDefault="00541685" w:rsidP="0080349A">
      <w:pPr>
        <w:spacing w:after="0" w:line="276" w:lineRule="auto"/>
        <w:ind w:left="0" w:right="0" w:firstLine="0"/>
        <w:rPr>
          <w:rFonts w:ascii="ITC Avant Garde" w:hAnsi="ITC Avant Garde"/>
          <w:lang w:val="es-ES"/>
        </w:rPr>
      </w:pPr>
    </w:p>
    <w:p w14:paraId="33EABBFF" w14:textId="13AEDB7E" w:rsidR="00541685" w:rsidRP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Para aportar </w:t>
      </w:r>
      <w:r w:rsidR="00323D78">
        <w:rPr>
          <w:rFonts w:ascii="ITC Avant Garde" w:hAnsi="ITC Avant Garde"/>
          <w:lang w:val="es-ES"/>
        </w:rPr>
        <w:t>mayor claridad</w:t>
      </w:r>
      <w:r w:rsidRPr="00541685">
        <w:rPr>
          <w:rFonts w:ascii="ITC Avant Garde" w:hAnsi="ITC Avant Garde"/>
          <w:lang w:val="es-ES"/>
        </w:rPr>
        <w:t xml:space="preserve"> al análisis realizado, </w:t>
      </w:r>
      <w:r w:rsidR="00323D78">
        <w:rPr>
          <w:rFonts w:ascii="ITC Avant Garde" w:hAnsi="ITC Avant Garde"/>
          <w:lang w:val="es-ES"/>
        </w:rPr>
        <w:t>se puede</w:t>
      </w:r>
      <w:r w:rsidRPr="00541685">
        <w:rPr>
          <w:rFonts w:ascii="ITC Avant Garde" w:hAnsi="ITC Avant Garde"/>
          <w:lang w:val="es-ES"/>
        </w:rPr>
        <w:t xml:space="preserve"> tomar el ejemplo de Aguascalientes, donde hay dos </w:t>
      </w:r>
      <w:r w:rsidR="00A94546">
        <w:rPr>
          <w:rFonts w:ascii="ITC Avant Garde" w:hAnsi="ITC Avant Garde"/>
          <w:lang w:val="es-ES"/>
        </w:rPr>
        <w:t>concesionarios</w:t>
      </w:r>
      <w:r w:rsidRPr="00541685">
        <w:rPr>
          <w:rFonts w:ascii="ITC Avant Garde" w:hAnsi="ITC Avant Garde"/>
          <w:lang w:val="es-ES"/>
        </w:rPr>
        <w:t xml:space="preserve"> alternativos que superan el umbral de cuota del 10%: Grupo Salinas y Televisa, con 24% y 33% de cuota, respectivamente, obteniéndose una cuota media de 28% en esta entidad federativa. El resultado ponderado (con base en el número total de usuarios por entidad) a nivel nacional muestra una cuota promedio situada entre el 23% y el 27%, por lo que se ha considerado representativo fijar la cuota del </w:t>
      </w:r>
      <w:r w:rsidR="008A4535">
        <w:rPr>
          <w:rFonts w:ascii="ITC Avant Garde" w:hAnsi="ITC Avant Garde"/>
          <w:lang w:val="es-ES"/>
        </w:rPr>
        <w:t xml:space="preserve">CS </w:t>
      </w:r>
      <w:r w:rsidRPr="00541685">
        <w:rPr>
          <w:rFonts w:ascii="ITC Avant Garde" w:hAnsi="ITC Avant Garde"/>
          <w:lang w:val="es-ES"/>
        </w:rPr>
        <w:t xml:space="preserve">en un 25%. </w:t>
      </w:r>
    </w:p>
    <w:p w14:paraId="177293BE" w14:textId="77777777" w:rsidR="00323D78" w:rsidRDefault="00323D78" w:rsidP="0080349A">
      <w:pPr>
        <w:spacing w:after="0" w:line="276" w:lineRule="auto"/>
        <w:ind w:left="0" w:right="0" w:firstLine="0"/>
        <w:rPr>
          <w:rFonts w:ascii="ITC Avant Garde" w:hAnsi="ITC Avant Garde"/>
          <w:lang w:val="es-ES"/>
        </w:rPr>
      </w:pPr>
    </w:p>
    <w:p w14:paraId="254AFE4A" w14:textId="36272992" w:rsidR="00541685" w:rsidRPr="00323D78" w:rsidRDefault="00541685" w:rsidP="0080349A">
      <w:pPr>
        <w:spacing w:after="0" w:line="276" w:lineRule="auto"/>
        <w:ind w:left="0" w:right="0" w:firstLine="0"/>
        <w:rPr>
          <w:rFonts w:ascii="ITC Avant Garde" w:hAnsi="ITC Avant Garde"/>
          <w:i/>
          <w:lang w:val="es-ES"/>
        </w:rPr>
      </w:pPr>
      <w:r w:rsidRPr="00323D78">
        <w:rPr>
          <w:rFonts w:ascii="ITC Avant Garde" w:hAnsi="ITC Avant Garde"/>
          <w:i/>
          <w:lang w:val="es-ES"/>
        </w:rPr>
        <w:t>Consideración de tecnologías modernas y eficientes</w:t>
      </w:r>
    </w:p>
    <w:p w14:paraId="442D2F3F" w14:textId="77777777" w:rsidR="00323D78" w:rsidRDefault="00323D78" w:rsidP="0080349A">
      <w:pPr>
        <w:spacing w:after="0" w:line="276" w:lineRule="auto"/>
        <w:ind w:left="0" w:right="0" w:firstLine="0"/>
        <w:rPr>
          <w:rFonts w:ascii="ITC Avant Garde" w:hAnsi="ITC Avant Garde"/>
          <w:lang w:val="es-ES"/>
        </w:rPr>
      </w:pPr>
    </w:p>
    <w:p w14:paraId="3614129D" w14:textId="759C2501" w:rsidR="00323D78" w:rsidRDefault="00323D78" w:rsidP="0080349A">
      <w:pPr>
        <w:spacing w:after="0" w:line="276" w:lineRule="auto"/>
        <w:ind w:left="0" w:right="0" w:firstLine="0"/>
        <w:rPr>
          <w:rFonts w:ascii="ITC Avant Garde" w:hAnsi="ITC Avant Garde"/>
          <w:lang w:val="es-ES"/>
        </w:rPr>
      </w:pPr>
      <w:r>
        <w:rPr>
          <w:rFonts w:ascii="ITC Avant Garde" w:hAnsi="ITC Avant Garde"/>
          <w:lang w:val="es-ES"/>
        </w:rPr>
        <w:t>CANIETI y GTV</w:t>
      </w:r>
    </w:p>
    <w:p w14:paraId="10AEDC33" w14:textId="77777777" w:rsidR="00323D78" w:rsidRDefault="00323D78" w:rsidP="0080349A">
      <w:pPr>
        <w:spacing w:after="0" w:line="276" w:lineRule="auto"/>
        <w:ind w:left="0" w:right="0" w:firstLine="0"/>
        <w:rPr>
          <w:rFonts w:ascii="ITC Avant Garde" w:hAnsi="ITC Avant Garde"/>
          <w:lang w:val="es-ES"/>
        </w:rPr>
      </w:pPr>
    </w:p>
    <w:p w14:paraId="490A12C2" w14:textId="340CEF51" w:rsidR="00541685" w:rsidRPr="00541685" w:rsidRDefault="00376355" w:rsidP="0080349A">
      <w:pPr>
        <w:spacing w:after="0" w:line="276" w:lineRule="auto"/>
        <w:ind w:left="0" w:right="0" w:firstLine="0"/>
        <w:rPr>
          <w:rFonts w:ascii="ITC Avant Garde" w:hAnsi="ITC Avant Garde"/>
          <w:lang w:val="es-ES"/>
        </w:rPr>
      </w:pPr>
      <w:r w:rsidRPr="58E23F00">
        <w:rPr>
          <w:rFonts w:ascii="ITC Avant Garde" w:hAnsi="ITC Avant Garde"/>
          <w:lang w:val="es-ES"/>
        </w:rPr>
        <w:t>CANIETI</w:t>
      </w:r>
      <w:r w:rsidR="00541685" w:rsidRPr="58E23F00">
        <w:rPr>
          <w:rFonts w:ascii="ITC Avant Garde" w:hAnsi="ITC Avant Garde"/>
          <w:lang w:val="es-ES"/>
        </w:rPr>
        <w:t xml:space="preserve"> y </w:t>
      </w:r>
      <w:r w:rsidR="007C441B" w:rsidRPr="58E23F00">
        <w:rPr>
          <w:rFonts w:ascii="ITC Avant Garde" w:hAnsi="ITC Avant Garde"/>
          <w:lang w:val="es-ES"/>
        </w:rPr>
        <w:t>GTV</w:t>
      </w:r>
      <w:r w:rsidR="00541685" w:rsidRPr="58E23F00">
        <w:rPr>
          <w:rFonts w:ascii="ITC Avant Garde" w:hAnsi="ITC Avant Garde"/>
          <w:lang w:val="es-ES"/>
        </w:rPr>
        <w:t xml:space="preserve"> solicitan que el </w:t>
      </w:r>
      <w:r w:rsidR="647786AF" w:rsidRPr="58E23F00">
        <w:rPr>
          <w:rFonts w:ascii="ITC Avant Garde" w:hAnsi="ITC Avant Garde"/>
          <w:lang w:val="es-ES"/>
        </w:rPr>
        <w:t>I</w:t>
      </w:r>
      <w:r w:rsidR="76BC97B9"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considere en el modelo y la documentación metodo</w:t>
      </w:r>
      <w:r w:rsidR="00B257F6" w:rsidRPr="58E23F00">
        <w:rPr>
          <w:rFonts w:ascii="ITC Avant Garde" w:hAnsi="ITC Avant Garde"/>
          <w:lang w:val="es-ES"/>
        </w:rPr>
        <w:t>lógica</w:t>
      </w:r>
      <w:r w:rsidR="008A4535" w:rsidRPr="58E23F00">
        <w:rPr>
          <w:rFonts w:ascii="ITC Avant Garde" w:hAnsi="ITC Avant Garde"/>
          <w:lang w:val="es-ES"/>
        </w:rPr>
        <w:t xml:space="preserve"> </w:t>
      </w:r>
      <w:r w:rsidR="00541685" w:rsidRPr="58E23F00">
        <w:rPr>
          <w:rFonts w:ascii="ITC Avant Garde" w:hAnsi="ITC Avant Garde"/>
          <w:lang w:val="es-ES"/>
        </w:rPr>
        <w:t xml:space="preserve">los avances tecnológicos que se están produciendo en el mercado a fin de reflejar con mayor precisión el funcionamiento actual de las redes fijas y capturar mejor sus costos y nivel de eficiencia. </w:t>
      </w:r>
      <w:r w:rsidR="007C441B" w:rsidRPr="58E23F00">
        <w:rPr>
          <w:rFonts w:ascii="ITC Avant Garde" w:hAnsi="ITC Avant Garde"/>
          <w:lang w:val="es-ES"/>
        </w:rPr>
        <w:t>GTV</w:t>
      </w:r>
      <w:r w:rsidR="00541685" w:rsidRPr="58E23F00">
        <w:rPr>
          <w:rFonts w:ascii="ITC Avant Garde" w:hAnsi="ITC Avant Garde"/>
          <w:lang w:val="es-ES"/>
        </w:rPr>
        <w:t xml:space="preserve"> pone como ejemplo la adopción creciente de la red definida por software (SDN, por sus siglas en inglés) y la virtualización de las funciones de red (NFV, por sus siglas en inglés) en redes fijas.</w:t>
      </w:r>
    </w:p>
    <w:p w14:paraId="39942B78" w14:textId="2D987ECC" w:rsidR="00323D78" w:rsidRDefault="00323D78" w:rsidP="0080349A">
      <w:pPr>
        <w:spacing w:after="0" w:line="276" w:lineRule="auto"/>
        <w:ind w:left="0" w:right="0" w:firstLine="0"/>
        <w:rPr>
          <w:rFonts w:ascii="ITC Avant Garde" w:hAnsi="ITC Avant Garde"/>
          <w:lang w:val="es-ES"/>
        </w:rPr>
      </w:pPr>
    </w:p>
    <w:p w14:paraId="4E451553" w14:textId="327FEB26" w:rsidR="00323D78" w:rsidRDefault="00323D78"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37A770A0" w14:textId="77777777" w:rsidR="00323D78" w:rsidRDefault="00323D78" w:rsidP="0080349A">
      <w:pPr>
        <w:spacing w:after="0" w:line="276" w:lineRule="auto"/>
        <w:ind w:left="0" w:right="0" w:firstLine="0"/>
        <w:rPr>
          <w:rFonts w:ascii="ITC Avant Garde" w:hAnsi="ITC Avant Garde"/>
          <w:lang w:val="es-ES"/>
        </w:rPr>
      </w:pPr>
    </w:p>
    <w:p w14:paraId="227E66F5" w14:textId="28C4AE66" w:rsidR="00541685" w:rsidRPr="00541685" w:rsidRDefault="00541685" w:rsidP="0080349A">
      <w:pPr>
        <w:spacing w:after="0" w:line="276" w:lineRule="auto"/>
        <w:ind w:left="0" w:right="0" w:firstLine="0"/>
        <w:rPr>
          <w:rFonts w:ascii="ITC Avant Garde" w:hAnsi="ITC Avant Garde"/>
          <w:lang w:val="es-ES"/>
        </w:rPr>
      </w:pPr>
      <w:r w:rsidRPr="476DC33C">
        <w:rPr>
          <w:rFonts w:ascii="ITC Avant Garde" w:hAnsi="ITC Avant Garde"/>
          <w:lang w:val="es-ES"/>
        </w:rPr>
        <w:t xml:space="preserve">Si bien es cierto que existen avances tecnológicos como pueden ser la SDN y la NFV, mencionados por el </w:t>
      </w:r>
      <w:r w:rsidR="00A94546" w:rsidRPr="476DC33C">
        <w:rPr>
          <w:rFonts w:ascii="ITC Avant Garde" w:hAnsi="ITC Avant Garde"/>
          <w:lang w:val="es-ES"/>
        </w:rPr>
        <w:t>concesionario</w:t>
      </w:r>
      <w:r w:rsidRPr="476DC33C">
        <w:rPr>
          <w:rFonts w:ascii="ITC Avant Garde" w:hAnsi="ITC Avant Garde"/>
          <w:lang w:val="es-ES"/>
        </w:rPr>
        <w:t xml:space="preserve"> en su respuesta a la consulta pública, </w:t>
      </w:r>
      <w:r w:rsidR="00323D78" w:rsidRPr="476DC33C">
        <w:rPr>
          <w:rFonts w:ascii="ITC Avant Garde" w:hAnsi="ITC Avant Garde"/>
          <w:lang w:val="es-ES"/>
        </w:rPr>
        <w:t>e</w:t>
      </w:r>
      <w:r w:rsidRPr="476DC33C">
        <w:rPr>
          <w:rFonts w:ascii="ITC Avant Garde" w:hAnsi="ITC Avant Garde"/>
          <w:lang w:val="es-ES"/>
        </w:rPr>
        <w:t xml:space="preserve">l modelo refleja adecuadamente el conjunto de tecnologías que están utilizando los </w:t>
      </w:r>
      <w:r w:rsidR="00A94546" w:rsidRPr="476DC33C">
        <w:rPr>
          <w:rFonts w:ascii="ITC Avant Garde" w:hAnsi="ITC Avant Garde"/>
          <w:lang w:val="es-ES"/>
        </w:rPr>
        <w:t>concesionarios</w:t>
      </w:r>
      <w:r w:rsidRPr="476DC33C">
        <w:rPr>
          <w:rFonts w:ascii="ITC Avant Garde" w:hAnsi="ITC Avant Garde"/>
          <w:lang w:val="es-ES"/>
        </w:rPr>
        <w:t xml:space="preserve"> mexicanos a día de hoy. En el proceso de recopilación de información, ninguno de los </w:t>
      </w:r>
      <w:r w:rsidR="00A94546" w:rsidRPr="476DC33C">
        <w:rPr>
          <w:rFonts w:ascii="ITC Avant Garde" w:hAnsi="ITC Avant Garde"/>
          <w:lang w:val="es-ES"/>
        </w:rPr>
        <w:t>concesionarios</w:t>
      </w:r>
      <w:r w:rsidRPr="476DC33C">
        <w:rPr>
          <w:rFonts w:ascii="ITC Avant Garde" w:hAnsi="ITC Avant Garde"/>
          <w:lang w:val="es-ES"/>
        </w:rPr>
        <w:t xml:space="preserve"> contactados mencionó el uso o relevancia de estas tecnologías, ni su potencial impacto sobre la red o el costo de los servicios. Adicionalmente, </w:t>
      </w:r>
      <w:r w:rsidR="00856A78" w:rsidRPr="476DC33C">
        <w:rPr>
          <w:rFonts w:ascii="ITC Avant Garde" w:hAnsi="ITC Avant Garde"/>
          <w:lang w:val="es-ES"/>
        </w:rPr>
        <w:t>se considera</w:t>
      </w:r>
      <w:r w:rsidRPr="476DC33C">
        <w:rPr>
          <w:rFonts w:ascii="ITC Avant Garde" w:hAnsi="ITC Avant Garde"/>
          <w:lang w:val="es-ES"/>
        </w:rPr>
        <w:t xml:space="preserve"> que la adopción de dichas tecnologías tendría un impacto limitado sobre los servicios modelados.</w:t>
      </w:r>
    </w:p>
    <w:p w14:paraId="60A3DB9B" w14:textId="4B552200" w:rsidR="476DC33C" w:rsidRDefault="476DC33C" w:rsidP="476DC33C">
      <w:pPr>
        <w:spacing w:after="0" w:line="276" w:lineRule="auto"/>
        <w:ind w:left="0" w:right="0" w:firstLine="0"/>
        <w:rPr>
          <w:rFonts w:ascii="ITC Avant Garde" w:hAnsi="ITC Avant Garde"/>
          <w:i/>
          <w:iCs/>
          <w:lang w:val="es-ES"/>
        </w:rPr>
      </w:pPr>
    </w:p>
    <w:p w14:paraId="66408D9B" w14:textId="1C635719" w:rsidR="00541685" w:rsidRDefault="00541685" w:rsidP="0080349A">
      <w:pPr>
        <w:spacing w:after="0" w:line="276" w:lineRule="auto"/>
        <w:ind w:left="0" w:right="0" w:firstLine="0"/>
        <w:rPr>
          <w:rFonts w:ascii="ITC Avant Garde" w:hAnsi="ITC Avant Garde"/>
          <w:i/>
          <w:lang w:val="es-ES"/>
        </w:rPr>
      </w:pPr>
      <w:r w:rsidRPr="00323D78">
        <w:rPr>
          <w:rFonts w:ascii="ITC Avant Garde" w:hAnsi="ITC Avant Garde"/>
          <w:i/>
          <w:lang w:val="es-ES"/>
        </w:rPr>
        <w:t xml:space="preserve">Desagregación de la red del núcleo del </w:t>
      </w:r>
      <w:r w:rsidR="00A94546" w:rsidRPr="00323D78">
        <w:rPr>
          <w:rFonts w:ascii="ITC Avant Garde" w:hAnsi="ITC Avant Garde"/>
          <w:i/>
          <w:lang w:val="es-ES"/>
        </w:rPr>
        <w:t>concesionario</w:t>
      </w:r>
      <w:r w:rsidRPr="00323D78">
        <w:rPr>
          <w:rFonts w:ascii="ITC Avant Garde" w:hAnsi="ITC Avant Garde"/>
          <w:i/>
          <w:lang w:val="es-ES"/>
        </w:rPr>
        <w:t xml:space="preserve"> modelado</w:t>
      </w:r>
    </w:p>
    <w:p w14:paraId="2A111DF8" w14:textId="6DB77C4C" w:rsidR="00323D78" w:rsidRDefault="00323D78" w:rsidP="0080349A">
      <w:pPr>
        <w:spacing w:after="0" w:line="276" w:lineRule="auto"/>
        <w:ind w:left="0" w:right="0" w:firstLine="0"/>
        <w:rPr>
          <w:rFonts w:ascii="ITC Avant Garde" w:hAnsi="ITC Avant Garde"/>
          <w:i/>
          <w:lang w:val="es-ES"/>
        </w:rPr>
      </w:pPr>
    </w:p>
    <w:p w14:paraId="33285B35" w14:textId="22E744D1" w:rsidR="00323D78" w:rsidRDefault="00323D78" w:rsidP="0080349A">
      <w:pPr>
        <w:spacing w:after="0" w:line="276" w:lineRule="auto"/>
        <w:ind w:left="0" w:right="0" w:firstLine="0"/>
        <w:rPr>
          <w:rFonts w:ascii="ITC Avant Garde" w:hAnsi="ITC Avant Garde"/>
          <w:lang w:val="es-ES"/>
        </w:rPr>
      </w:pPr>
      <w:r>
        <w:rPr>
          <w:rFonts w:ascii="ITC Avant Garde" w:hAnsi="ITC Avant Garde"/>
          <w:lang w:val="es-ES"/>
        </w:rPr>
        <w:t>CANIETI y GTV</w:t>
      </w:r>
    </w:p>
    <w:p w14:paraId="1D47D98C" w14:textId="77777777" w:rsidR="00323D78" w:rsidRPr="00323D78" w:rsidRDefault="00323D78" w:rsidP="0080349A">
      <w:pPr>
        <w:spacing w:after="0" w:line="276" w:lineRule="auto"/>
        <w:ind w:left="0" w:right="0" w:firstLine="0"/>
        <w:rPr>
          <w:rFonts w:ascii="ITC Avant Garde" w:hAnsi="ITC Avant Garde"/>
          <w:lang w:val="es-ES"/>
        </w:rPr>
      </w:pPr>
    </w:p>
    <w:p w14:paraId="558573E2" w14:textId="2DD18D5E" w:rsidR="00541685" w:rsidRDefault="00376355" w:rsidP="0080349A">
      <w:pPr>
        <w:spacing w:after="0" w:line="276" w:lineRule="auto"/>
        <w:ind w:left="0" w:right="0" w:firstLine="0"/>
        <w:rPr>
          <w:rFonts w:ascii="ITC Avant Garde" w:hAnsi="ITC Avant Garde"/>
          <w:lang w:val="es-ES"/>
        </w:rPr>
      </w:pPr>
      <w:r w:rsidRPr="4CA8CE08">
        <w:rPr>
          <w:rFonts w:ascii="ITC Avant Garde" w:hAnsi="ITC Avant Garde"/>
          <w:lang w:val="es-ES"/>
        </w:rPr>
        <w:t>CANIETI</w:t>
      </w:r>
      <w:r w:rsidR="00541685" w:rsidRPr="4CA8CE08">
        <w:rPr>
          <w:rFonts w:ascii="ITC Avant Garde" w:hAnsi="ITC Avant Garde"/>
          <w:lang w:val="es-ES"/>
        </w:rPr>
        <w:t xml:space="preserve"> y </w:t>
      </w:r>
      <w:r w:rsidR="007C441B" w:rsidRPr="4CA8CE08">
        <w:rPr>
          <w:rFonts w:ascii="ITC Avant Garde" w:hAnsi="ITC Avant Garde"/>
          <w:lang w:val="es-ES"/>
        </w:rPr>
        <w:t>GTV</w:t>
      </w:r>
      <w:r w:rsidR="00541685" w:rsidRPr="4CA8CE08">
        <w:rPr>
          <w:rFonts w:ascii="ITC Avant Garde" w:hAnsi="ITC Avant Garde"/>
          <w:lang w:val="es-ES"/>
        </w:rPr>
        <w:t xml:space="preserve"> se muestran disconformes con que el </w:t>
      </w:r>
      <w:r w:rsidR="647786AF" w:rsidRPr="4CA8CE08">
        <w:rPr>
          <w:rFonts w:ascii="ITC Avant Garde" w:hAnsi="ITC Avant Garde"/>
          <w:lang w:val="es-ES"/>
        </w:rPr>
        <w:t>I</w:t>
      </w:r>
      <w:r w:rsidR="2FBE0B78" w:rsidRPr="4CA8CE08">
        <w:rPr>
          <w:rFonts w:ascii="ITC Avant Garde" w:hAnsi="ITC Avant Garde"/>
          <w:lang w:val="es-ES"/>
        </w:rPr>
        <w:t>nstituto</w:t>
      </w:r>
      <w:r w:rsidR="0AF39D56" w:rsidRPr="4CA8CE08">
        <w:rPr>
          <w:rFonts w:ascii="ITC Avant Garde" w:hAnsi="ITC Avant Garde"/>
          <w:lang w:val="es-ES"/>
        </w:rPr>
        <w:t xml:space="preserve"> </w:t>
      </w:r>
      <w:r w:rsidR="00541685" w:rsidRPr="4CA8CE08">
        <w:rPr>
          <w:rFonts w:ascii="ITC Avant Garde" w:hAnsi="ITC Avant Garde"/>
          <w:lang w:val="es-ES"/>
        </w:rPr>
        <w:t xml:space="preserve">modele la red core del </w:t>
      </w:r>
      <w:r w:rsidR="008A4535" w:rsidRPr="4CA8CE08">
        <w:rPr>
          <w:rFonts w:ascii="ITC Avant Garde" w:hAnsi="ITC Avant Garde"/>
          <w:lang w:val="es-ES"/>
        </w:rPr>
        <w:t xml:space="preserve">CS </w:t>
      </w:r>
      <w:r w:rsidR="00541685" w:rsidRPr="4CA8CE08">
        <w:rPr>
          <w:rFonts w:ascii="ITC Avant Garde" w:hAnsi="ITC Avant Garde"/>
          <w:lang w:val="es-ES"/>
        </w:rPr>
        <w:t xml:space="preserve">con base en la distribución de espectro de los servicios móviles. </w:t>
      </w:r>
      <w:r w:rsidR="007C441B" w:rsidRPr="4CA8CE08">
        <w:rPr>
          <w:rFonts w:ascii="ITC Avant Garde" w:hAnsi="ITC Avant Garde"/>
          <w:lang w:val="es-ES"/>
        </w:rPr>
        <w:t>GTV</w:t>
      </w:r>
      <w:r w:rsidR="00541685" w:rsidRPr="4CA8CE08">
        <w:rPr>
          <w:rFonts w:ascii="ITC Avant Garde" w:hAnsi="ITC Avant Garde"/>
          <w:lang w:val="es-ES"/>
        </w:rPr>
        <w:t xml:space="preserve"> propone que el </w:t>
      </w:r>
      <w:r w:rsidR="647786AF" w:rsidRPr="4CA8CE08">
        <w:rPr>
          <w:rFonts w:ascii="ITC Avant Garde" w:hAnsi="ITC Avant Garde"/>
          <w:lang w:val="es-ES"/>
        </w:rPr>
        <w:t>I</w:t>
      </w:r>
      <w:r w:rsidR="01B754D4" w:rsidRPr="4CA8CE08">
        <w:rPr>
          <w:rFonts w:ascii="ITC Avant Garde" w:hAnsi="ITC Avant Garde"/>
          <w:lang w:val="es-ES"/>
        </w:rPr>
        <w:t>nstituto</w:t>
      </w:r>
      <w:r w:rsidR="0AF39D56" w:rsidRPr="4CA8CE08">
        <w:rPr>
          <w:rFonts w:ascii="ITC Avant Garde" w:hAnsi="ITC Avant Garde"/>
          <w:lang w:val="es-ES"/>
        </w:rPr>
        <w:t xml:space="preserve"> </w:t>
      </w:r>
      <w:r w:rsidR="00541685" w:rsidRPr="4CA8CE08">
        <w:rPr>
          <w:rFonts w:ascii="ITC Avant Garde" w:hAnsi="ITC Avant Garde"/>
          <w:lang w:val="es-ES"/>
        </w:rPr>
        <w:t xml:space="preserve">modifique su metodología de modo que refleje de una manera más robusta la realidad operativa de las redes fijas en México, ya sea tomando la distribución de la red fija del AEP estimando las redes existentes de otros </w:t>
      </w:r>
      <w:r w:rsidR="00A94546" w:rsidRPr="4CA8CE08">
        <w:rPr>
          <w:rFonts w:ascii="ITC Avant Garde" w:hAnsi="ITC Avant Garde"/>
          <w:lang w:val="es-ES"/>
        </w:rPr>
        <w:t>concesionarios</w:t>
      </w:r>
      <w:r w:rsidR="00541685" w:rsidRPr="4CA8CE08">
        <w:rPr>
          <w:rFonts w:ascii="ITC Avant Garde" w:hAnsi="ITC Avant Garde"/>
          <w:lang w:val="es-ES"/>
        </w:rPr>
        <w:t>, o bien estimando la distribución geográfi</w:t>
      </w:r>
      <w:r w:rsidR="00323D78" w:rsidRPr="4CA8CE08">
        <w:rPr>
          <w:rFonts w:ascii="ITC Avant Garde" w:hAnsi="ITC Avant Garde"/>
          <w:lang w:val="es-ES"/>
        </w:rPr>
        <w:t>ca</w:t>
      </w:r>
      <w:r w:rsidR="008A4535" w:rsidRPr="4CA8CE08">
        <w:rPr>
          <w:rFonts w:ascii="ITC Avant Garde" w:hAnsi="ITC Avant Garde"/>
          <w:lang w:val="es-ES"/>
        </w:rPr>
        <w:t xml:space="preserve"> </w:t>
      </w:r>
      <w:r w:rsidR="00541685" w:rsidRPr="4CA8CE08">
        <w:rPr>
          <w:rFonts w:ascii="ITC Avant Garde" w:hAnsi="ITC Avant Garde"/>
          <w:lang w:val="es-ES"/>
        </w:rPr>
        <w:t>de los nodos con una metodología de clustering.</w:t>
      </w:r>
    </w:p>
    <w:p w14:paraId="5ECDF3DD" w14:textId="1E115D8C" w:rsidR="00323D78" w:rsidRDefault="00323D78" w:rsidP="0080349A">
      <w:pPr>
        <w:spacing w:after="0" w:line="276" w:lineRule="auto"/>
        <w:ind w:left="0" w:right="0" w:firstLine="0"/>
        <w:rPr>
          <w:rFonts w:ascii="ITC Avant Garde" w:hAnsi="ITC Avant Garde"/>
          <w:lang w:val="es-ES"/>
        </w:rPr>
      </w:pPr>
    </w:p>
    <w:p w14:paraId="1B3E8BCB" w14:textId="4D58D6B5" w:rsidR="00323D78" w:rsidRDefault="00323D78"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283BA98D" w14:textId="77777777" w:rsidR="00323D78" w:rsidRPr="00541685" w:rsidRDefault="00323D78" w:rsidP="0080349A">
      <w:pPr>
        <w:spacing w:after="0" w:line="276" w:lineRule="auto"/>
        <w:ind w:left="0" w:right="0" w:firstLine="0"/>
        <w:rPr>
          <w:rFonts w:ascii="ITC Avant Garde" w:hAnsi="ITC Avant Garde"/>
          <w:lang w:val="es-ES"/>
        </w:rPr>
      </w:pPr>
    </w:p>
    <w:p w14:paraId="7BBB999D" w14:textId="43505CE6"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Debido a la heterogeneidad de las redes desplegadas por los </w:t>
      </w:r>
      <w:r w:rsidR="008A4535">
        <w:rPr>
          <w:rFonts w:ascii="ITC Avant Garde" w:hAnsi="ITC Avant Garde"/>
          <w:lang w:val="es-ES"/>
        </w:rPr>
        <w:t xml:space="preserve">CS </w:t>
      </w:r>
      <w:r w:rsidRPr="00541685">
        <w:rPr>
          <w:rFonts w:ascii="ITC Avant Garde" w:hAnsi="ITC Avant Garde"/>
          <w:lang w:val="es-ES"/>
        </w:rPr>
        <w:t xml:space="preserve">en México, no es posible definir una red core que sea representativa de todos los </w:t>
      </w:r>
      <w:r w:rsidR="008A4535">
        <w:rPr>
          <w:rFonts w:ascii="ITC Avant Garde" w:hAnsi="ITC Avant Garde"/>
          <w:lang w:val="es-ES"/>
        </w:rPr>
        <w:t xml:space="preserve">CS </w:t>
      </w:r>
      <w:r w:rsidRPr="00541685">
        <w:rPr>
          <w:rFonts w:ascii="ITC Avant Garde" w:hAnsi="ITC Avant Garde"/>
          <w:lang w:val="es-ES"/>
        </w:rPr>
        <w:t xml:space="preserve">a partir de los diseños de cada uno de los </w:t>
      </w:r>
      <w:r w:rsidR="00376355">
        <w:rPr>
          <w:rFonts w:ascii="ITC Avant Garde" w:hAnsi="ITC Avant Garde"/>
          <w:lang w:val="es-ES"/>
        </w:rPr>
        <w:t>CS.</w:t>
      </w:r>
      <w:r w:rsidRPr="00541685">
        <w:rPr>
          <w:rFonts w:ascii="ITC Avant Garde" w:hAnsi="ITC Avant Garde"/>
          <w:lang w:val="es-ES"/>
        </w:rPr>
        <w:t xml:space="preserve"> Esta aproximación llevaría a la realización de comparativas improcedentes, debido a la realidad de cada uno de los </w:t>
      </w:r>
      <w:r w:rsidR="00A94546">
        <w:rPr>
          <w:rFonts w:ascii="ITC Avant Garde" w:hAnsi="ITC Avant Garde"/>
          <w:lang w:val="es-ES"/>
        </w:rPr>
        <w:t>concesionarios</w:t>
      </w:r>
      <w:r w:rsidRPr="00541685">
        <w:rPr>
          <w:rFonts w:ascii="ITC Avant Garde" w:hAnsi="ITC Avant Garde"/>
          <w:lang w:val="es-ES"/>
        </w:rPr>
        <w:t xml:space="preserve">, especialmente considerando las áreas en las que opera cada uno. Por este motivo, y considerando que el </w:t>
      </w:r>
      <w:r w:rsidR="008A4535">
        <w:rPr>
          <w:rFonts w:ascii="ITC Avant Garde" w:hAnsi="ITC Avant Garde"/>
          <w:lang w:val="es-ES"/>
        </w:rPr>
        <w:t xml:space="preserve">CS </w:t>
      </w:r>
      <w:r w:rsidRPr="00541685">
        <w:rPr>
          <w:rFonts w:ascii="ITC Avant Garde" w:hAnsi="ITC Avant Garde"/>
          <w:lang w:val="es-ES"/>
        </w:rPr>
        <w:t>modelado tiene escala nacional, se asume que este tendría una escala y arquitectura equivalentes a las definidas para la red del AEP, la cual ha sido diseñada bajo el supuesto de que se trata de una red eficiente.</w:t>
      </w:r>
    </w:p>
    <w:p w14:paraId="7D08C33C" w14:textId="77777777" w:rsidR="00323D78" w:rsidRPr="00541685" w:rsidRDefault="00323D78" w:rsidP="0080349A">
      <w:pPr>
        <w:spacing w:after="0" w:line="276" w:lineRule="auto"/>
        <w:ind w:left="0" w:right="0" w:firstLine="0"/>
        <w:rPr>
          <w:rFonts w:ascii="ITC Avant Garde" w:hAnsi="ITC Avant Garde"/>
          <w:lang w:val="es-ES"/>
        </w:rPr>
      </w:pPr>
    </w:p>
    <w:p w14:paraId="6701072E" w14:textId="14CC2FF1" w:rsidR="00541685" w:rsidRP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Por otro lado, la distribución geográfi</w:t>
      </w:r>
      <w:r w:rsidR="00323D78">
        <w:rPr>
          <w:rFonts w:ascii="ITC Avant Garde" w:hAnsi="ITC Avant Garde"/>
          <w:lang w:val="es-ES"/>
        </w:rPr>
        <w:t>ca</w:t>
      </w:r>
      <w:r w:rsidR="008A4535">
        <w:rPr>
          <w:rFonts w:ascii="ITC Avant Garde" w:hAnsi="ITC Avant Garde"/>
          <w:lang w:val="es-ES"/>
        </w:rPr>
        <w:t xml:space="preserve"> </w:t>
      </w:r>
      <w:r w:rsidRPr="00541685">
        <w:rPr>
          <w:rFonts w:ascii="ITC Avant Garde" w:hAnsi="ITC Avant Garde"/>
          <w:lang w:val="es-ES"/>
        </w:rPr>
        <w:t>de los nodos no tiene un impacto relevante en el diseño de la red core. Esta parametrización tiene como único objetivo permitir el reparto del tráfico a las distintas zonas a partir de una metodología oficial y apoyada por el IFT. Se ha preferido tomar esta opción (en vez de otras, como por ejemplo a nivel de Estado) para no añadir complejidad innecesaria a los modelos.</w:t>
      </w:r>
    </w:p>
    <w:p w14:paraId="5D5E0307" w14:textId="77777777" w:rsidR="00323D78" w:rsidRDefault="00323D78" w:rsidP="0080349A">
      <w:pPr>
        <w:spacing w:after="0" w:line="276" w:lineRule="auto"/>
        <w:ind w:left="0" w:right="0" w:firstLine="0"/>
        <w:rPr>
          <w:rFonts w:ascii="ITC Avant Garde" w:hAnsi="ITC Avant Garde"/>
          <w:lang w:val="es-ES"/>
        </w:rPr>
      </w:pPr>
    </w:p>
    <w:p w14:paraId="2D7D6653" w14:textId="7AA6FB95" w:rsidR="00541685" w:rsidRPr="00323D78" w:rsidRDefault="00541685" w:rsidP="0080349A">
      <w:pPr>
        <w:spacing w:after="0" w:line="276" w:lineRule="auto"/>
        <w:ind w:left="0" w:right="0" w:firstLine="0"/>
        <w:rPr>
          <w:rFonts w:ascii="ITC Avant Garde" w:hAnsi="ITC Avant Garde"/>
          <w:i/>
          <w:lang w:val="es-ES"/>
        </w:rPr>
      </w:pPr>
      <w:r w:rsidRPr="00323D78">
        <w:rPr>
          <w:rFonts w:ascii="ITC Avant Garde" w:hAnsi="ITC Avant Garde"/>
          <w:i/>
          <w:lang w:val="es-ES"/>
        </w:rPr>
        <w:t>Consideración de los costos de la red de acceso</w:t>
      </w:r>
    </w:p>
    <w:p w14:paraId="5208F977" w14:textId="1687620D" w:rsidR="00323D78" w:rsidRDefault="00323D78" w:rsidP="0080349A">
      <w:pPr>
        <w:spacing w:after="0" w:line="276" w:lineRule="auto"/>
        <w:ind w:left="0" w:right="0" w:firstLine="0"/>
        <w:rPr>
          <w:rFonts w:ascii="ITC Avant Garde" w:hAnsi="ITC Avant Garde"/>
          <w:lang w:val="es-ES"/>
        </w:rPr>
      </w:pPr>
    </w:p>
    <w:p w14:paraId="62C95B78" w14:textId="152DF69F" w:rsidR="00323D78" w:rsidRDefault="00323D78" w:rsidP="0080349A">
      <w:pPr>
        <w:spacing w:after="0" w:line="276" w:lineRule="auto"/>
        <w:ind w:left="0" w:right="0" w:firstLine="0"/>
        <w:rPr>
          <w:rFonts w:ascii="ITC Avant Garde" w:hAnsi="ITC Avant Garde"/>
          <w:lang w:val="es-ES"/>
        </w:rPr>
      </w:pPr>
      <w:r>
        <w:rPr>
          <w:rFonts w:ascii="ITC Avant Garde" w:hAnsi="ITC Avant Garde"/>
          <w:lang w:val="es-ES"/>
        </w:rPr>
        <w:t>Mega Cable</w:t>
      </w:r>
    </w:p>
    <w:p w14:paraId="51ED4546" w14:textId="77777777" w:rsidR="00323D78" w:rsidRDefault="00323D78" w:rsidP="0080349A">
      <w:pPr>
        <w:spacing w:after="0" w:line="276" w:lineRule="auto"/>
        <w:ind w:left="0" w:right="0" w:firstLine="0"/>
        <w:rPr>
          <w:rFonts w:ascii="ITC Avant Garde" w:hAnsi="ITC Avant Garde"/>
          <w:lang w:val="es-ES"/>
        </w:rPr>
      </w:pPr>
    </w:p>
    <w:p w14:paraId="3ECB463C" w14:textId="47DEA9A5" w:rsidR="00541685" w:rsidRDefault="00376355" w:rsidP="0080349A">
      <w:pPr>
        <w:spacing w:after="0" w:line="276" w:lineRule="auto"/>
        <w:ind w:left="0" w:right="0" w:firstLine="0"/>
        <w:rPr>
          <w:rFonts w:ascii="ITC Avant Garde" w:hAnsi="ITC Avant Garde"/>
          <w:lang w:val="es-ES"/>
        </w:rPr>
      </w:pPr>
      <w:r w:rsidRPr="58E23F00">
        <w:rPr>
          <w:rFonts w:ascii="ITC Avant Garde" w:hAnsi="ITC Avant Garde"/>
          <w:lang w:val="es-ES"/>
        </w:rPr>
        <w:t>Mega Cable</w:t>
      </w:r>
      <w:r w:rsidR="00541685" w:rsidRPr="58E23F00">
        <w:rPr>
          <w:rFonts w:ascii="ITC Avant Garde" w:hAnsi="ITC Avant Garde"/>
          <w:lang w:val="es-ES"/>
        </w:rPr>
        <w:t xml:space="preserve"> considera oportuno que se tengan en cuenta los elementos de la red de acceso fijo en el dimensionamiento y costeo de la red fija dentro del modelo. De esta manera, </w:t>
      </w:r>
      <w:r w:rsidRPr="58E23F00">
        <w:rPr>
          <w:rFonts w:ascii="ITC Avant Garde" w:hAnsi="ITC Avant Garde"/>
          <w:lang w:val="es-ES"/>
        </w:rPr>
        <w:t>Mega Cable</w:t>
      </w:r>
      <w:r w:rsidR="00541685" w:rsidRPr="58E23F00">
        <w:rPr>
          <w:rFonts w:ascii="ITC Avant Garde" w:hAnsi="ITC Avant Garde"/>
          <w:lang w:val="es-ES"/>
        </w:rPr>
        <w:t xml:space="preserve"> solicita que el </w:t>
      </w:r>
      <w:r w:rsidR="647786AF" w:rsidRPr="58E23F00">
        <w:rPr>
          <w:rFonts w:ascii="ITC Avant Garde" w:hAnsi="ITC Avant Garde"/>
          <w:lang w:val="es-ES"/>
        </w:rPr>
        <w:t>I</w:t>
      </w:r>
      <w:r w:rsidR="7B97B5BD"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lleve a cabo un análisis para entender si sigue siendo válido diferenciar, para los servicios de interconexión, la inclusión en el modelo de los costos de la red de acceso de las redes móviles, mientras que en el caso de las redes fijas se excluyan dichos costos.</w:t>
      </w:r>
    </w:p>
    <w:p w14:paraId="5F2087F7" w14:textId="7E0D0484" w:rsidR="00323D78" w:rsidRDefault="00323D78" w:rsidP="0080349A">
      <w:pPr>
        <w:spacing w:after="0" w:line="276" w:lineRule="auto"/>
        <w:ind w:left="0" w:right="0" w:firstLine="0"/>
        <w:rPr>
          <w:rFonts w:ascii="ITC Avant Garde" w:hAnsi="ITC Avant Garde"/>
          <w:lang w:val="es-ES"/>
        </w:rPr>
      </w:pPr>
    </w:p>
    <w:p w14:paraId="61313ACC" w14:textId="0133B6AE" w:rsidR="00323D78" w:rsidRDefault="00323D78" w:rsidP="00323D78">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54732A79" w14:textId="77777777" w:rsidR="00323D78" w:rsidRPr="00541685" w:rsidRDefault="00323D78" w:rsidP="0080349A">
      <w:pPr>
        <w:spacing w:after="0" w:line="276" w:lineRule="auto"/>
        <w:ind w:left="0" w:right="0" w:firstLine="0"/>
        <w:rPr>
          <w:rFonts w:ascii="ITC Avant Garde" w:hAnsi="ITC Avant Garde"/>
          <w:lang w:val="es-ES"/>
        </w:rPr>
      </w:pPr>
    </w:p>
    <w:p w14:paraId="5C51226B" w14:textId="77777777" w:rsidR="00323D78"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En línea con lo argumentado en la documentación sometida a consulta, el modelo fijo no incluye elementos de la red de acceso, ya que estos elementos son contabilizados en el modelo integral de acceso fijo (modelo de desagregación). </w:t>
      </w:r>
    </w:p>
    <w:p w14:paraId="7FC32F7B" w14:textId="77777777" w:rsidR="00323D78" w:rsidRDefault="00323D78" w:rsidP="0080349A">
      <w:pPr>
        <w:spacing w:after="0" w:line="276" w:lineRule="auto"/>
        <w:ind w:left="0" w:right="0" w:firstLine="0"/>
        <w:rPr>
          <w:rFonts w:ascii="ITC Avant Garde" w:hAnsi="ITC Avant Garde"/>
          <w:lang w:val="es-ES"/>
        </w:rPr>
      </w:pPr>
    </w:p>
    <w:p w14:paraId="17523B99" w14:textId="7E01869A"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La red modelada considera como punto de demarcación el nodo de acceso multiservicio (MSAN, por sus siglas en inglés), el cual no se incluye en el modelo para asegurar consistencia con el modelo de desagregación. De incluirse los elementos de la red de acceso se estaría contabilizando doblemente los costos de los equipos.</w:t>
      </w:r>
    </w:p>
    <w:p w14:paraId="1B95CB24" w14:textId="77777777" w:rsidR="00323D78" w:rsidRPr="00541685" w:rsidRDefault="00323D78" w:rsidP="0080349A">
      <w:pPr>
        <w:spacing w:after="0" w:line="276" w:lineRule="auto"/>
        <w:ind w:left="0" w:right="0" w:firstLine="0"/>
        <w:rPr>
          <w:rFonts w:ascii="ITC Avant Garde" w:hAnsi="ITC Avant Garde"/>
          <w:lang w:val="es-ES"/>
        </w:rPr>
      </w:pPr>
    </w:p>
    <w:p w14:paraId="48C52137" w14:textId="61249CBF"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Adicionalmente, cabe destacar que los elementos de la red de acceso no contabilizados en el modelo fijo no son incrementales para los servicios de interconexión de voz, sino que son costos asociados exclusivamente a la cobertura de usuarios finales. Por ejemplo, un </w:t>
      </w:r>
      <w:r w:rsidR="00A94546">
        <w:rPr>
          <w:rFonts w:ascii="ITC Avant Garde" w:hAnsi="ITC Avant Garde"/>
          <w:lang w:val="es-ES"/>
        </w:rPr>
        <w:t>concesionario</w:t>
      </w:r>
      <w:r w:rsidRPr="00541685">
        <w:rPr>
          <w:rFonts w:ascii="ITC Avant Garde" w:hAnsi="ITC Avant Garde"/>
          <w:lang w:val="es-ES"/>
        </w:rPr>
        <w:t xml:space="preserve"> desplegará fibra de acceso para cubrir potenciales usuarios en una zona concreta, pero no desplegará más o menos fibra en la red de acceso en función del tráfico de interconexión. Esto impli</w:t>
      </w:r>
      <w:r w:rsidR="00323D78">
        <w:rPr>
          <w:rFonts w:ascii="ITC Avant Garde" w:hAnsi="ITC Avant Garde"/>
          <w:lang w:val="es-ES"/>
        </w:rPr>
        <w:t>ca</w:t>
      </w:r>
      <w:r w:rsidR="008A4535">
        <w:rPr>
          <w:rFonts w:ascii="ITC Avant Garde" w:hAnsi="ITC Avant Garde"/>
          <w:lang w:val="es-ES"/>
        </w:rPr>
        <w:t xml:space="preserve"> </w:t>
      </w:r>
      <w:r w:rsidRPr="00541685">
        <w:rPr>
          <w:rFonts w:ascii="ITC Avant Garde" w:hAnsi="ITC Avant Garde"/>
          <w:lang w:val="es-ES"/>
        </w:rPr>
        <w:t>que dichos elementos no generarían costo para los servicios calculados sobre la base de un estándar CILP puro, y por tanto no es necesaria su modelización en el contexto de este proyecto.</w:t>
      </w:r>
    </w:p>
    <w:p w14:paraId="549E2A2C" w14:textId="77777777" w:rsidR="00323D78" w:rsidRPr="00541685" w:rsidRDefault="00323D78" w:rsidP="0080349A">
      <w:pPr>
        <w:spacing w:after="0" w:line="276" w:lineRule="auto"/>
        <w:ind w:left="0" w:right="0" w:firstLine="0"/>
        <w:rPr>
          <w:rFonts w:ascii="ITC Avant Garde" w:hAnsi="ITC Avant Garde"/>
          <w:lang w:val="es-ES"/>
        </w:rPr>
      </w:pPr>
    </w:p>
    <w:p w14:paraId="4D982381" w14:textId="77777777" w:rsidR="00541685" w:rsidRPr="00323D78" w:rsidRDefault="00541685" w:rsidP="0080349A">
      <w:pPr>
        <w:spacing w:after="0" w:line="276" w:lineRule="auto"/>
        <w:ind w:left="0" w:right="0" w:firstLine="0"/>
        <w:rPr>
          <w:rFonts w:ascii="ITC Avant Garde" w:hAnsi="ITC Avant Garde"/>
          <w:b/>
          <w:u w:val="single"/>
          <w:lang w:val="es-ES"/>
        </w:rPr>
      </w:pPr>
      <w:r w:rsidRPr="00323D78">
        <w:rPr>
          <w:rFonts w:ascii="ITC Avant Garde" w:hAnsi="ITC Avant Garde"/>
          <w:b/>
          <w:u w:val="single"/>
          <w:lang w:val="es-ES"/>
        </w:rPr>
        <w:t>Comentarios sobre los insumos del modelo</w:t>
      </w:r>
    </w:p>
    <w:p w14:paraId="5DE8E632" w14:textId="77777777" w:rsidR="00323D78" w:rsidRDefault="00323D78" w:rsidP="0080349A">
      <w:pPr>
        <w:spacing w:after="0" w:line="276" w:lineRule="auto"/>
        <w:ind w:left="0" w:right="0" w:firstLine="0"/>
        <w:rPr>
          <w:rFonts w:ascii="ITC Avant Garde" w:hAnsi="ITC Avant Garde"/>
          <w:lang w:val="es-ES"/>
        </w:rPr>
      </w:pPr>
    </w:p>
    <w:p w14:paraId="6096F49D" w14:textId="52C4AB35" w:rsidR="00541685" w:rsidRPr="00323D78" w:rsidRDefault="00541685" w:rsidP="0080349A">
      <w:pPr>
        <w:spacing w:after="0" w:line="276" w:lineRule="auto"/>
        <w:ind w:left="0" w:right="0" w:firstLine="0"/>
        <w:rPr>
          <w:rFonts w:ascii="ITC Avant Garde" w:hAnsi="ITC Avant Garde"/>
          <w:i/>
          <w:lang w:val="es-ES"/>
        </w:rPr>
      </w:pPr>
      <w:r w:rsidRPr="00323D78">
        <w:rPr>
          <w:rFonts w:ascii="ITC Avant Garde" w:hAnsi="ITC Avant Garde"/>
          <w:i/>
          <w:lang w:val="es-ES"/>
        </w:rPr>
        <w:t>Aclaración de la fuente empleada para la velocidad nominal promedio por línea de banda ancha fija</w:t>
      </w:r>
    </w:p>
    <w:p w14:paraId="40228F67" w14:textId="5970B616" w:rsidR="00323D78" w:rsidRDefault="00323D78" w:rsidP="0080349A">
      <w:pPr>
        <w:spacing w:after="0" w:line="276" w:lineRule="auto"/>
        <w:ind w:left="0" w:right="0" w:firstLine="0"/>
        <w:rPr>
          <w:rFonts w:ascii="ITC Avant Garde" w:hAnsi="ITC Avant Garde"/>
          <w:lang w:val="es-ES"/>
        </w:rPr>
      </w:pPr>
    </w:p>
    <w:p w14:paraId="54065C8F" w14:textId="5743E819" w:rsidR="00323D78" w:rsidRDefault="00323D78" w:rsidP="0080349A">
      <w:pPr>
        <w:spacing w:after="0" w:line="276" w:lineRule="auto"/>
        <w:ind w:left="0" w:right="0" w:firstLine="0"/>
        <w:rPr>
          <w:rFonts w:ascii="ITC Avant Garde" w:hAnsi="ITC Avant Garde"/>
          <w:lang w:val="es-ES"/>
        </w:rPr>
      </w:pPr>
      <w:r>
        <w:rPr>
          <w:rFonts w:ascii="ITC Avant Garde" w:hAnsi="ITC Avant Garde"/>
          <w:lang w:val="es-ES"/>
        </w:rPr>
        <w:t>Mega Cable</w:t>
      </w:r>
    </w:p>
    <w:p w14:paraId="37FF551B" w14:textId="77777777" w:rsidR="00323D78" w:rsidRDefault="00323D78" w:rsidP="0080349A">
      <w:pPr>
        <w:spacing w:after="0" w:line="276" w:lineRule="auto"/>
        <w:ind w:left="0" w:right="0" w:firstLine="0"/>
        <w:rPr>
          <w:rFonts w:ascii="ITC Avant Garde" w:hAnsi="ITC Avant Garde"/>
          <w:lang w:val="es-ES"/>
        </w:rPr>
      </w:pPr>
    </w:p>
    <w:p w14:paraId="1A330254" w14:textId="682386D6" w:rsidR="00541685" w:rsidRDefault="00376355" w:rsidP="0080349A">
      <w:pPr>
        <w:spacing w:after="0" w:line="276" w:lineRule="auto"/>
        <w:ind w:left="0" w:right="0" w:firstLine="0"/>
        <w:rPr>
          <w:rFonts w:ascii="ITC Avant Garde" w:hAnsi="ITC Avant Garde"/>
          <w:lang w:val="es-ES"/>
        </w:rPr>
      </w:pPr>
      <w:r w:rsidRPr="58E23F00">
        <w:rPr>
          <w:rFonts w:ascii="ITC Avant Garde" w:hAnsi="ITC Avant Garde"/>
          <w:lang w:val="es-ES"/>
        </w:rPr>
        <w:t>Mega Cable</w:t>
      </w:r>
      <w:r w:rsidR="00541685" w:rsidRPr="58E23F00">
        <w:rPr>
          <w:rFonts w:ascii="ITC Avant Garde" w:hAnsi="ITC Avant Garde"/>
          <w:lang w:val="es-ES"/>
        </w:rPr>
        <w:t xml:space="preserve"> solicita al </w:t>
      </w:r>
      <w:r w:rsidR="647786AF" w:rsidRPr="58E23F00">
        <w:rPr>
          <w:rFonts w:ascii="ITC Avant Garde" w:hAnsi="ITC Avant Garde"/>
          <w:lang w:val="es-ES"/>
        </w:rPr>
        <w:t>I</w:t>
      </w:r>
      <w:r w:rsidR="0771E7BA"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 xml:space="preserve">mayor claridad sobre la fuente utilizada para obtener la velocidad nominal promedio por línea del servicio de banda ancha fija. </w:t>
      </w:r>
      <w:r w:rsidR="00541685" w:rsidRPr="58E23F00">
        <w:rPr>
          <w:rFonts w:ascii="ITC Avant Garde" w:hAnsi="ITC Avant Garde"/>
          <w:lang w:val="es-ES"/>
        </w:rPr>
        <w:lastRenderedPageBreak/>
        <w:t xml:space="preserve">Específicamente, el </w:t>
      </w:r>
      <w:r w:rsidR="00A94546" w:rsidRPr="58E23F00">
        <w:rPr>
          <w:rFonts w:ascii="ITC Avant Garde" w:hAnsi="ITC Avant Garde"/>
          <w:lang w:val="es-ES"/>
        </w:rPr>
        <w:t>concesionario</w:t>
      </w:r>
      <w:r w:rsidR="00541685" w:rsidRPr="58E23F00">
        <w:rPr>
          <w:rFonts w:ascii="ITC Avant Garde" w:hAnsi="ITC Avant Garde"/>
          <w:lang w:val="es-ES"/>
        </w:rPr>
        <w:t xml:space="preserve"> está interesado en entender si la fuente es el registro público de tarifas u otra, cuáles son los </w:t>
      </w:r>
      <w:r w:rsidR="00A94546" w:rsidRPr="58E23F00">
        <w:rPr>
          <w:rFonts w:ascii="ITC Avant Garde" w:hAnsi="ITC Avant Garde"/>
          <w:lang w:val="es-ES"/>
        </w:rPr>
        <w:t>concesionarios</w:t>
      </w:r>
      <w:r w:rsidR="00541685" w:rsidRPr="58E23F00">
        <w:rPr>
          <w:rFonts w:ascii="ITC Avant Garde" w:hAnsi="ITC Avant Garde"/>
          <w:lang w:val="es-ES"/>
        </w:rPr>
        <w:t xml:space="preserve"> considerados en el promediado y cómo se asegura la comparabilidad de la información.</w:t>
      </w:r>
    </w:p>
    <w:p w14:paraId="479374DB" w14:textId="7FEDB6CA" w:rsidR="00323D78" w:rsidRDefault="00323D78" w:rsidP="0080349A">
      <w:pPr>
        <w:spacing w:after="0" w:line="276" w:lineRule="auto"/>
        <w:ind w:left="0" w:right="0" w:firstLine="0"/>
        <w:rPr>
          <w:rFonts w:ascii="ITC Avant Garde" w:hAnsi="ITC Avant Garde"/>
          <w:lang w:val="es-ES"/>
        </w:rPr>
      </w:pPr>
    </w:p>
    <w:p w14:paraId="20B0E81A" w14:textId="0D492DEC" w:rsidR="00323D78" w:rsidRDefault="00323D78" w:rsidP="00323D78">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5C31DCBA" w14:textId="77777777" w:rsidR="00323D78" w:rsidRPr="00541685" w:rsidRDefault="00323D78" w:rsidP="0080349A">
      <w:pPr>
        <w:spacing w:after="0" w:line="276" w:lineRule="auto"/>
        <w:ind w:left="0" w:right="0" w:firstLine="0"/>
        <w:rPr>
          <w:rFonts w:ascii="ITC Avant Garde" w:hAnsi="ITC Avant Garde"/>
          <w:lang w:val="es-ES"/>
        </w:rPr>
      </w:pPr>
    </w:p>
    <w:p w14:paraId="46D599CF" w14:textId="77777777" w:rsidR="00323D78"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En el modelo, la velocidad promedio contratada por línea de banda ancha fija proviene de la información proporcionada por los </w:t>
      </w:r>
      <w:r w:rsidR="00A94546">
        <w:rPr>
          <w:rFonts w:ascii="ITC Avant Garde" w:hAnsi="ITC Avant Garde"/>
          <w:lang w:val="es-ES"/>
        </w:rPr>
        <w:t>concesionarios</w:t>
      </w:r>
      <w:r w:rsidRPr="00541685">
        <w:rPr>
          <w:rFonts w:ascii="ITC Avant Garde" w:hAnsi="ITC Avant Garde"/>
          <w:lang w:val="es-ES"/>
        </w:rPr>
        <w:t xml:space="preserve"> durante el proceso de recopilación de información. La velocidad comercializada promedio ha sido ajustada para reflejar la capacidad real de red ocupada por cada línea. </w:t>
      </w:r>
    </w:p>
    <w:p w14:paraId="31ED1B72" w14:textId="386FAA93" w:rsidR="00541685" w:rsidRP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Los parámetros de capacidad correspondientes (encontrados en la hoja insumos de mercado del modelo de mercado) provienen también de los datos proporcionados por el AEP en respuesta al requerimiento de información. </w:t>
      </w:r>
      <w:r w:rsidR="00323D78" w:rsidRPr="00541685">
        <w:rPr>
          <w:rFonts w:ascii="ITC Avant Garde" w:hAnsi="ITC Avant Garde"/>
          <w:lang w:val="es-ES"/>
        </w:rPr>
        <w:t>A</w:t>
      </w:r>
      <w:r w:rsidR="00323D78">
        <w:rPr>
          <w:rFonts w:ascii="ITC Avant Garde" w:hAnsi="ITC Avant Garde"/>
          <w:lang w:val="es-ES"/>
        </w:rPr>
        <w:t>sí</w:t>
      </w:r>
      <w:r w:rsidRPr="00541685">
        <w:rPr>
          <w:rFonts w:ascii="ITC Avant Garde" w:hAnsi="ITC Avant Garde"/>
          <w:lang w:val="es-ES"/>
        </w:rPr>
        <w:t xml:space="preserve"> mismo, se </w:t>
      </w:r>
      <w:r w:rsidR="00376355">
        <w:rPr>
          <w:rFonts w:ascii="ITC Avant Garde" w:hAnsi="ITC Avant Garde"/>
          <w:lang w:val="es-ES"/>
        </w:rPr>
        <w:t>aplica</w:t>
      </w:r>
      <w:r w:rsidR="008A4535">
        <w:rPr>
          <w:rFonts w:ascii="ITC Avant Garde" w:hAnsi="ITC Avant Garde"/>
          <w:lang w:val="es-ES"/>
        </w:rPr>
        <w:t xml:space="preserve"> </w:t>
      </w:r>
      <w:r w:rsidRPr="00541685">
        <w:rPr>
          <w:rFonts w:ascii="ITC Avant Garde" w:hAnsi="ITC Avant Garde"/>
          <w:lang w:val="es-ES"/>
        </w:rPr>
        <w:t xml:space="preserve">un factor de calidad y no linealidad (calculado a partir de los datos facilitados por los </w:t>
      </w:r>
      <w:r w:rsidR="00A94546">
        <w:rPr>
          <w:rFonts w:ascii="ITC Avant Garde" w:hAnsi="ITC Avant Garde"/>
          <w:lang w:val="es-ES"/>
        </w:rPr>
        <w:t>concesionarios</w:t>
      </w:r>
      <w:r w:rsidRPr="00541685">
        <w:rPr>
          <w:rFonts w:ascii="ITC Avant Garde" w:hAnsi="ITC Avant Garde"/>
          <w:lang w:val="es-ES"/>
        </w:rPr>
        <w:t>) para factorizar las diferencias en cuanto a calidad de servicio contratada y si estas son simétricas o asimétricas.</w:t>
      </w:r>
    </w:p>
    <w:p w14:paraId="774F2578" w14:textId="77777777" w:rsidR="00323D78" w:rsidRDefault="00323D78" w:rsidP="0080349A">
      <w:pPr>
        <w:spacing w:after="0" w:line="276" w:lineRule="auto"/>
        <w:ind w:left="0" w:right="0" w:firstLine="0"/>
        <w:rPr>
          <w:rFonts w:ascii="ITC Avant Garde" w:hAnsi="ITC Avant Garde"/>
          <w:lang w:val="es-ES"/>
        </w:rPr>
      </w:pPr>
    </w:p>
    <w:p w14:paraId="7042B077" w14:textId="15945A0B" w:rsidR="00541685" w:rsidRP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No obstante, se ha añadido mayor claridad en el modelo sobre la fuente y los cálculos de los cuales procede la información.</w:t>
      </w:r>
    </w:p>
    <w:p w14:paraId="44156C03" w14:textId="77777777" w:rsidR="00323D78" w:rsidRDefault="00323D78" w:rsidP="0080349A">
      <w:pPr>
        <w:spacing w:after="0" w:line="276" w:lineRule="auto"/>
        <w:ind w:left="0" w:right="0" w:firstLine="0"/>
        <w:rPr>
          <w:rFonts w:ascii="ITC Avant Garde" w:hAnsi="ITC Avant Garde"/>
          <w:lang w:val="es-ES"/>
        </w:rPr>
      </w:pPr>
    </w:p>
    <w:p w14:paraId="4978AD15" w14:textId="325D65C1" w:rsidR="00541685" w:rsidRPr="00323D78" w:rsidRDefault="00541685" w:rsidP="0080349A">
      <w:pPr>
        <w:spacing w:after="0" w:line="276" w:lineRule="auto"/>
        <w:ind w:left="0" w:right="0" w:firstLine="0"/>
        <w:rPr>
          <w:rFonts w:ascii="ITC Avant Garde" w:hAnsi="ITC Avant Garde"/>
          <w:i/>
          <w:lang w:val="es-ES"/>
        </w:rPr>
      </w:pPr>
      <w:r w:rsidRPr="00323D78">
        <w:rPr>
          <w:rFonts w:ascii="ITC Avant Garde" w:hAnsi="ITC Avant Garde"/>
          <w:i/>
          <w:lang w:val="es-ES"/>
        </w:rPr>
        <w:t>Proyección de la banda ancha fija</w:t>
      </w:r>
    </w:p>
    <w:p w14:paraId="4364B26A" w14:textId="2C1C1C8E" w:rsidR="00323D78" w:rsidRDefault="00323D78" w:rsidP="0080349A">
      <w:pPr>
        <w:spacing w:after="0" w:line="276" w:lineRule="auto"/>
        <w:ind w:left="0" w:right="0" w:firstLine="0"/>
        <w:rPr>
          <w:rFonts w:ascii="ITC Avant Garde" w:hAnsi="ITC Avant Garde"/>
          <w:lang w:val="es-ES"/>
        </w:rPr>
      </w:pPr>
    </w:p>
    <w:p w14:paraId="4D804F86" w14:textId="1D173FB8" w:rsidR="00323D78" w:rsidRDefault="00323D78" w:rsidP="0080349A">
      <w:pPr>
        <w:spacing w:after="0" w:line="276" w:lineRule="auto"/>
        <w:ind w:left="0" w:right="0" w:firstLine="0"/>
        <w:rPr>
          <w:rFonts w:ascii="ITC Avant Garde" w:hAnsi="ITC Avant Garde"/>
          <w:lang w:val="es-ES"/>
        </w:rPr>
      </w:pPr>
      <w:r>
        <w:rPr>
          <w:rFonts w:ascii="ITC Avant Garde" w:hAnsi="ITC Avant Garde"/>
          <w:lang w:val="es-ES"/>
        </w:rPr>
        <w:t>Mega Cable</w:t>
      </w:r>
    </w:p>
    <w:p w14:paraId="497BC407" w14:textId="77777777" w:rsidR="00323D78" w:rsidRDefault="00323D78" w:rsidP="0080349A">
      <w:pPr>
        <w:spacing w:after="0" w:line="276" w:lineRule="auto"/>
        <w:ind w:left="0" w:right="0" w:firstLine="0"/>
        <w:rPr>
          <w:rFonts w:ascii="ITC Avant Garde" w:hAnsi="ITC Avant Garde"/>
          <w:lang w:val="es-ES"/>
        </w:rPr>
      </w:pPr>
    </w:p>
    <w:p w14:paraId="3594CF2E" w14:textId="73B35886" w:rsidR="00541685" w:rsidRDefault="00376355" w:rsidP="0080349A">
      <w:pPr>
        <w:spacing w:after="0" w:line="276" w:lineRule="auto"/>
        <w:ind w:left="0" w:right="0" w:firstLine="0"/>
        <w:rPr>
          <w:rFonts w:ascii="ITC Avant Garde" w:hAnsi="ITC Avant Garde"/>
          <w:lang w:val="es-ES"/>
        </w:rPr>
      </w:pPr>
      <w:r>
        <w:rPr>
          <w:rFonts w:ascii="ITC Avant Garde" w:hAnsi="ITC Avant Garde"/>
          <w:lang w:val="es-ES"/>
        </w:rPr>
        <w:t>Mega Cable</w:t>
      </w:r>
      <w:r w:rsidR="00541685" w:rsidRPr="00541685">
        <w:rPr>
          <w:rFonts w:ascii="ITC Avant Garde" w:hAnsi="ITC Avant Garde"/>
          <w:lang w:val="es-ES"/>
        </w:rPr>
        <w:t xml:space="preserve"> se muestra disconforme con la proyección de la penetración de la banda ancha fija. El </w:t>
      </w:r>
      <w:r w:rsidR="00A94546">
        <w:rPr>
          <w:rFonts w:ascii="ITC Avant Garde" w:hAnsi="ITC Avant Garde"/>
          <w:lang w:val="es-ES"/>
        </w:rPr>
        <w:t>concesionario</w:t>
      </w:r>
      <w:r w:rsidR="00541685" w:rsidRPr="00541685">
        <w:rPr>
          <w:rFonts w:ascii="ITC Avant Garde" w:hAnsi="ITC Avant Garde"/>
          <w:lang w:val="es-ES"/>
        </w:rPr>
        <w:t xml:space="preserve"> argumenta que se deberían tomar en consideración las limitaciones de cobertura de las redes fijas, en especial aquellas que sufren los </w:t>
      </w:r>
      <w:r w:rsidR="00A94546">
        <w:rPr>
          <w:rFonts w:ascii="ITC Avant Garde" w:hAnsi="ITC Avant Garde"/>
          <w:lang w:val="es-ES"/>
        </w:rPr>
        <w:t>concesionarios</w:t>
      </w:r>
      <w:r w:rsidR="00541685" w:rsidRPr="00541685">
        <w:rPr>
          <w:rFonts w:ascii="ITC Avant Garde" w:hAnsi="ITC Avant Garde"/>
          <w:lang w:val="es-ES"/>
        </w:rPr>
        <w:t xml:space="preserve"> no preponderantes cuya cobertura no es nacional. Asimismo, </w:t>
      </w:r>
      <w:r>
        <w:rPr>
          <w:rFonts w:ascii="ITC Avant Garde" w:hAnsi="ITC Avant Garde"/>
          <w:lang w:val="es-ES"/>
        </w:rPr>
        <w:t>Mega Cable</w:t>
      </w:r>
      <w:r w:rsidR="00541685" w:rsidRPr="00541685">
        <w:rPr>
          <w:rFonts w:ascii="ITC Avant Garde" w:hAnsi="ITC Avant Garde"/>
          <w:lang w:val="es-ES"/>
        </w:rPr>
        <w:t xml:space="preserve"> solicita que el modelo también tome en cuenta la presión competitiva y las posibilidades de sustitución de la banda ancha móvil que, con el desarrollo de las redes 5G, podría limitar el crecimiento de la banda ancha fija. </w:t>
      </w:r>
    </w:p>
    <w:p w14:paraId="4257FC66" w14:textId="447AA84D" w:rsidR="00323D78" w:rsidRDefault="00323D78" w:rsidP="0080349A">
      <w:pPr>
        <w:spacing w:after="0" w:line="276" w:lineRule="auto"/>
        <w:ind w:left="0" w:right="0" w:firstLine="0"/>
        <w:rPr>
          <w:rFonts w:ascii="ITC Avant Garde" w:hAnsi="ITC Avant Garde"/>
          <w:lang w:val="es-ES"/>
        </w:rPr>
      </w:pPr>
    </w:p>
    <w:p w14:paraId="64B1322E" w14:textId="4243ADD7" w:rsidR="00323D78" w:rsidRDefault="00323D78" w:rsidP="00323D78">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45B8FC3B" w14:textId="77777777" w:rsidR="00323D78" w:rsidRPr="00541685" w:rsidRDefault="00323D78" w:rsidP="0080349A">
      <w:pPr>
        <w:spacing w:after="0" w:line="276" w:lineRule="auto"/>
        <w:ind w:left="0" w:right="0" w:firstLine="0"/>
        <w:rPr>
          <w:rFonts w:ascii="ITC Avant Garde" w:hAnsi="ITC Avant Garde"/>
          <w:lang w:val="es-ES"/>
        </w:rPr>
      </w:pPr>
    </w:p>
    <w:p w14:paraId="28DCD54E" w14:textId="473CC65A"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La proyección de banda ancha fija mencionada por el </w:t>
      </w:r>
      <w:r w:rsidR="00A94546">
        <w:rPr>
          <w:rFonts w:ascii="ITC Avant Garde" w:hAnsi="ITC Avant Garde"/>
          <w:lang w:val="es-ES"/>
        </w:rPr>
        <w:t>concesionario</w:t>
      </w:r>
      <w:r w:rsidRPr="00541685">
        <w:rPr>
          <w:rFonts w:ascii="ITC Avant Garde" w:hAnsi="ITC Avant Garde"/>
          <w:lang w:val="es-ES"/>
        </w:rPr>
        <w:t xml:space="preserve"> se refiere al total del mercado. </w:t>
      </w:r>
      <w:r w:rsidR="00323D78">
        <w:rPr>
          <w:rFonts w:ascii="ITC Avant Garde" w:hAnsi="ITC Avant Garde"/>
          <w:lang w:val="es-ES"/>
        </w:rPr>
        <w:t>L</w:t>
      </w:r>
      <w:r w:rsidRPr="00541685">
        <w:rPr>
          <w:rFonts w:ascii="ITC Avant Garde" w:hAnsi="ITC Avant Garde"/>
          <w:lang w:val="es-ES"/>
        </w:rPr>
        <w:t xml:space="preserve">a consideración de que existan </w:t>
      </w:r>
      <w:r w:rsidR="00A94546">
        <w:rPr>
          <w:rFonts w:ascii="ITC Avant Garde" w:hAnsi="ITC Avant Garde"/>
          <w:lang w:val="es-ES"/>
        </w:rPr>
        <w:t>concesionarios</w:t>
      </w:r>
      <w:r w:rsidRPr="00541685">
        <w:rPr>
          <w:rFonts w:ascii="ITC Avant Garde" w:hAnsi="ITC Avant Garde"/>
          <w:lang w:val="es-ES"/>
        </w:rPr>
        <w:t xml:space="preserve"> regionales en México no es relevante, ya que el pronóstico es representativo del conjunto de todos los </w:t>
      </w:r>
      <w:r w:rsidR="00A94546">
        <w:rPr>
          <w:rFonts w:ascii="ITC Avant Garde" w:hAnsi="ITC Avant Garde"/>
          <w:lang w:val="es-ES"/>
        </w:rPr>
        <w:t>concesionarios</w:t>
      </w:r>
      <w:r w:rsidRPr="00541685">
        <w:rPr>
          <w:rFonts w:ascii="ITC Avant Garde" w:hAnsi="ITC Avant Garde"/>
          <w:lang w:val="es-ES"/>
        </w:rPr>
        <w:t xml:space="preserve"> de redes fijas en México.</w:t>
      </w:r>
    </w:p>
    <w:p w14:paraId="01923986" w14:textId="77777777" w:rsidR="00323D78" w:rsidRPr="00541685" w:rsidRDefault="00323D78" w:rsidP="0080349A">
      <w:pPr>
        <w:spacing w:after="0" w:line="276" w:lineRule="auto"/>
        <w:ind w:left="0" w:right="0" w:firstLine="0"/>
        <w:rPr>
          <w:rFonts w:ascii="ITC Avant Garde" w:hAnsi="ITC Avant Garde"/>
          <w:lang w:val="es-ES"/>
        </w:rPr>
      </w:pPr>
    </w:p>
    <w:p w14:paraId="3AEFD0A7" w14:textId="03974E1A"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Por otro lado, </w:t>
      </w:r>
      <w:r w:rsidR="00323D78">
        <w:rPr>
          <w:rFonts w:ascii="ITC Avant Garde" w:hAnsi="ITC Avant Garde"/>
          <w:lang w:val="es-ES"/>
        </w:rPr>
        <w:t>se concuerda</w:t>
      </w:r>
      <w:r w:rsidRPr="00541685">
        <w:rPr>
          <w:rFonts w:ascii="ITC Avant Garde" w:hAnsi="ITC Avant Garde"/>
          <w:lang w:val="es-ES"/>
        </w:rPr>
        <w:t xml:space="preserve"> con la puntualización realizada por el </w:t>
      </w:r>
      <w:r w:rsidR="00A94546">
        <w:rPr>
          <w:rFonts w:ascii="ITC Avant Garde" w:hAnsi="ITC Avant Garde"/>
          <w:lang w:val="es-ES"/>
        </w:rPr>
        <w:t>concesionario</w:t>
      </w:r>
      <w:r w:rsidRPr="00541685">
        <w:rPr>
          <w:rFonts w:ascii="ITC Avant Garde" w:hAnsi="ITC Avant Garde"/>
          <w:lang w:val="es-ES"/>
        </w:rPr>
        <w:t xml:space="preserve"> sobre a la sustitución fijo–móvil y la existencia de otras presiones competitivas sobre </w:t>
      </w:r>
      <w:r w:rsidRPr="00541685">
        <w:rPr>
          <w:rFonts w:ascii="ITC Avant Garde" w:hAnsi="ITC Avant Garde"/>
          <w:lang w:val="es-ES"/>
        </w:rPr>
        <w:lastRenderedPageBreak/>
        <w:t xml:space="preserve">los </w:t>
      </w:r>
      <w:r w:rsidR="00A94546">
        <w:rPr>
          <w:rFonts w:ascii="ITC Avant Garde" w:hAnsi="ITC Avant Garde"/>
          <w:lang w:val="es-ES"/>
        </w:rPr>
        <w:t>concesionarios</w:t>
      </w:r>
      <w:r w:rsidRPr="00541685">
        <w:rPr>
          <w:rFonts w:ascii="ITC Avant Garde" w:hAnsi="ITC Avant Garde"/>
          <w:lang w:val="es-ES"/>
        </w:rPr>
        <w:t>. Estos aspectos ya están reflejados en la proyección de la penetración de la banda ancha fija incluida en el modelo (</w:t>
      </w:r>
      <w:r w:rsidR="00325634">
        <w:rPr>
          <w:rFonts w:ascii="ITC Avant Garde" w:hAnsi="ITC Avant Garde"/>
          <w:lang w:val="es-ES"/>
        </w:rPr>
        <w:t>se estima</w:t>
      </w:r>
      <w:r w:rsidRPr="00541685">
        <w:rPr>
          <w:rFonts w:ascii="ITC Avant Garde" w:hAnsi="ITC Avant Garde"/>
          <w:lang w:val="es-ES"/>
        </w:rPr>
        <w:t xml:space="preserve"> que la penetración de banda ancha fija alcanzará el 81% de los hogares en el año 2030, y no un 100%), ya que </w:t>
      </w:r>
      <w:r w:rsidR="00323D78">
        <w:rPr>
          <w:rFonts w:ascii="ITC Avant Garde" w:hAnsi="ITC Avant Garde"/>
          <w:lang w:val="es-ES"/>
        </w:rPr>
        <w:t>se asume</w:t>
      </w:r>
      <w:r w:rsidRPr="00541685">
        <w:rPr>
          <w:rFonts w:ascii="ITC Avant Garde" w:hAnsi="ITC Avant Garde"/>
          <w:lang w:val="es-ES"/>
        </w:rPr>
        <w:t xml:space="preserve"> que ciertos perfiles de usuario no desearán contratar una línea fija. A pesar de estas presiones competitivas (que también se dan en otros países), la documentación sometida a consulta muestra que en la tasa de penetración de la banda ancha fija ya supera el 90% de los hogares en varios países, como por ejemplo Uruguay o Alemania. Esto nos lleva a concluir que el objetivo de penetración fijado para México en el modelo (81% de los hogares en el año 2030) es razonable (si bien siempre existirá un alto grado de incertidumbre y distintas opiniones sobre cómo podrá evolucionar la penetración de la banda ancha fija en el país).</w:t>
      </w:r>
    </w:p>
    <w:p w14:paraId="59E99463" w14:textId="77777777" w:rsidR="00EF748D" w:rsidRPr="00541685" w:rsidRDefault="00EF748D" w:rsidP="0080349A">
      <w:pPr>
        <w:spacing w:after="0" w:line="276" w:lineRule="auto"/>
        <w:ind w:left="0" w:right="0" w:firstLine="0"/>
        <w:rPr>
          <w:rFonts w:ascii="ITC Avant Garde" w:hAnsi="ITC Avant Garde"/>
          <w:lang w:val="es-ES"/>
        </w:rPr>
      </w:pPr>
    </w:p>
    <w:p w14:paraId="1D245CCE" w14:textId="77777777" w:rsidR="00541685" w:rsidRPr="00EF748D" w:rsidRDefault="00541685" w:rsidP="0080349A">
      <w:pPr>
        <w:spacing w:after="0" w:line="276" w:lineRule="auto"/>
        <w:ind w:left="0" w:right="0" w:firstLine="0"/>
        <w:rPr>
          <w:rFonts w:ascii="ITC Avant Garde" w:hAnsi="ITC Avant Garde"/>
          <w:i/>
          <w:lang w:val="es-ES"/>
        </w:rPr>
      </w:pPr>
      <w:r w:rsidRPr="00EF748D">
        <w:rPr>
          <w:rFonts w:ascii="ITC Avant Garde" w:hAnsi="ITC Avant Garde"/>
          <w:i/>
          <w:lang w:val="es-ES"/>
        </w:rPr>
        <w:t>Proyección de la telefonía fija</w:t>
      </w:r>
    </w:p>
    <w:p w14:paraId="0AA06C30" w14:textId="0F18FA63" w:rsidR="00EF748D" w:rsidRDefault="00EF748D" w:rsidP="0080349A">
      <w:pPr>
        <w:spacing w:after="0" w:line="276" w:lineRule="auto"/>
        <w:ind w:left="0" w:right="0" w:firstLine="0"/>
        <w:rPr>
          <w:rFonts w:ascii="ITC Avant Garde" w:hAnsi="ITC Avant Garde"/>
          <w:lang w:val="es-ES"/>
        </w:rPr>
      </w:pPr>
    </w:p>
    <w:p w14:paraId="4C4A5093" w14:textId="6C3CBFFC" w:rsidR="00EF748D" w:rsidRDefault="00EF748D" w:rsidP="0080349A">
      <w:pPr>
        <w:spacing w:after="0" w:line="276" w:lineRule="auto"/>
        <w:ind w:left="0" w:right="0" w:firstLine="0"/>
        <w:rPr>
          <w:rFonts w:ascii="ITC Avant Garde" w:hAnsi="ITC Avant Garde"/>
          <w:lang w:val="es-ES"/>
        </w:rPr>
      </w:pPr>
      <w:r>
        <w:rPr>
          <w:rFonts w:ascii="ITC Avant Garde" w:hAnsi="ITC Avant Garde"/>
          <w:lang w:val="es-ES"/>
        </w:rPr>
        <w:t>CANIETI y GTV</w:t>
      </w:r>
    </w:p>
    <w:p w14:paraId="40F8426C" w14:textId="77777777" w:rsidR="00EF748D" w:rsidRDefault="00EF748D" w:rsidP="0080349A">
      <w:pPr>
        <w:spacing w:after="0" w:line="276" w:lineRule="auto"/>
        <w:ind w:left="0" w:right="0" w:firstLine="0"/>
        <w:rPr>
          <w:rFonts w:ascii="ITC Avant Garde" w:hAnsi="ITC Avant Garde"/>
          <w:lang w:val="es-ES"/>
        </w:rPr>
      </w:pPr>
    </w:p>
    <w:p w14:paraId="1708FEEA" w14:textId="1FD2FCB4" w:rsidR="00541685" w:rsidRDefault="00376355" w:rsidP="0080349A">
      <w:pPr>
        <w:spacing w:after="0" w:line="276" w:lineRule="auto"/>
        <w:ind w:left="0" w:right="0" w:firstLine="0"/>
        <w:rPr>
          <w:rFonts w:ascii="ITC Avant Garde" w:hAnsi="ITC Avant Garde"/>
          <w:lang w:val="es-ES"/>
        </w:rPr>
      </w:pPr>
      <w:r w:rsidRPr="58E23F00">
        <w:rPr>
          <w:rFonts w:ascii="ITC Avant Garde" w:hAnsi="ITC Avant Garde"/>
          <w:lang w:val="es-ES"/>
        </w:rPr>
        <w:t>CANIETI</w:t>
      </w:r>
      <w:r w:rsidR="00541685" w:rsidRPr="58E23F00">
        <w:rPr>
          <w:rFonts w:ascii="ITC Avant Garde" w:hAnsi="ITC Avant Garde"/>
          <w:lang w:val="es-ES"/>
        </w:rPr>
        <w:t xml:space="preserve"> y </w:t>
      </w:r>
      <w:r w:rsidR="007C441B" w:rsidRPr="58E23F00">
        <w:rPr>
          <w:rFonts w:ascii="ITC Avant Garde" w:hAnsi="ITC Avant Garde"/>
          <w:lang w:val="es-ES"/>
        </w:rPr>
        <w:t>GTV</w:t>
      </w:r>
      <w:r w:rsidR="00541685" w:rsidRPr="58E23F00">
        <w:rPr>
          <w:rFonts w:ascii="ITC Avant Garde" w:hAnsi="ITC Avant Garde"/>
          <w:lang w:val="es-ES"/>
        </w:rPr>
        <w:t xml:space="preserve"> solicitan al </w:t>
      </w:r>
      <w:r w:rsidR="647786AF" w:rsidRPr="58E23F00">
        <w:rPr>
          <w:rFonts w:ascii="ITC Avant Garde" w:hAnsi="ITC Avant Garde"/>
          <w:lang w:val="es-ES"/>
        </w:rPr>
        <w:t>I</w:t>
      </w:r>
      <w:r w:rsidR="40248D71"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que estime la penetración futura de la telefonía fija tomando en cuenta dinámicas específicas del mercado, argumentando que el uso de una curva sigmoide no refleja la dinámi</w:t>
      </w:r>
      <w:r w:rsidR="00EF748D" w:rsidRPr="58E23F00">
        <w:rPr>
          <w:rFonts w:ascii="ITC Avant Garde" w:hAnsi="ITC Avant Garde"/>
          <w:lang w:val="es-ES"/>
        </w:rPr>
        <w:t>ca</w:t>
      </w:r>
      <w:r w:rsidR="008A4535" w:rsidRPr="58E23F00">
        <w:rPr>
          <w:rFonts w:ascii="ITC Avant Garde" w:hAnsi="ITC Avant Garde"/>
          <w:lang w:val="es-ES"/>
        </w:rPr>
        <w:t xml:space="preserve"> </w:t>
      </w:r>
      <w:r w:rsidR="00541685" w:rsidRPr="58E23F00">
        <w:rPr>
          <w:rFonts w:ascii="ITC Avant Garde" w:hAnsi="ITC Avant Garde"/>
          <w:lang w:val="es-ES"/>
        </w:rPr>
        <w:t>real de la demanda global de este servicio.</w:t>
      </w:r>
    </w:p>
    <w:p w14:paraId="212A3E82" w14:textId="6CACCFE6" w:rsidR="00EF748D" w:rsidRDefault="00EF748D" w:rsidP="0080349A">
      <w:pPr>
        <w:spacing w:after="0" w:line="276" w:lineRule="auto"/>
        <w:ind w:left="0" w:right="0" w:firstLine="0"/>
        <w:rPr>
          <w:rFonts w:ascii="ITC Avant Garde" w:hAnsi="ITC Avant Garde"/>
          <w:lang w:val="es-ES"/>
        </w:rPr>
      </w:pPr>
    </w:p>
    <w:p w14:paraId="7AE00E7C" w14:textId="574BF388" w:rsidR="00EF748D" w:rsidRDefault="00EF748D" w:rsidP="00EF748D">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704DFC97" w14:textId="77777777" w:rsidR="00EF748D" w:rsidRPr="00541685" w:rsidRDefault="00EF748D" w:rsidP="0080349A">
      <w:pPr>
        <w:spacing w:after="0" w:line="276" w:lineRule="auto"/>
        <w:ind w:left="0" w:right="0" w:firstLine="0"/>
        <w:rPr>
          <w:rFonts w:ascii="ITC Avant Garde" w:hAnsi="ITC Avant Garde"/>
          <w:lang w:val="es-ES"/>
        </w:rPr>
      </w:pPr>
    </w:p>
    <w:p w14:paraId="4F2813B3" w14:textId="5421728B" w:rsidR="00541685" w:rsidRP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La proyección de líneas de telefonía fija en el modelo se ha realizado partiendo de datos históricos y analizando la tendencia observada en los últimos años. Como se puede apreciar en el modelo de mercado, la penetración de telefonía fija en México aumentó del 65% en el año 2019 hasta alcanzar el 70% en 2022. Si bien es cierto que en otros países de la región la telefonía fija lleva varios años en decadencia, en México este servicio está teniendo mayor resiliencia (las líneas de telefonía han aumentado de 22 a 26 millones en los últimos tres años). No obstante, el modelo asume un crecimiento relativamente modesto de la penetración de líneas de telefonía fija (del 70% en 2022 al 72% en 2030), tratando de reflejar de manera conservadora la tendencia a la baja que </w:t>
      </w:r>
      <w:r w:rsidR="00EF748D">
        <w:rPr>
          <w:rFonts w:ascii="ITC Avant Garde" w:hAnsi="ITC Avant Garde"/>
          <w:lang w:val="es-ES"/>
        </w:rPr>
        <w:t>se espera</w:t>
      </w:r>
      <w:r w:rsidRPr="00541685">
        <w:rPr>
          <w:rFonts w:ascii="ITC Avant Garde" w:hAnsi="ITC Avant Garde"/>
          <w:lang w:val="es-ES"/>
        </w:rPr>
        <w:t xml:space="preserve"> en la demanda de este servicio. </w:t>
      </w:r>
    </w:p>
    <w:p w14:paraId="4331D171" w14:textId="77777777" w:rsidR="00EF748D" w:rsidRDefault="00EF748D" w:rsidP="0080349A">
      <w:pPr>
        <w:spacing w:after="0" w:line="276" w:lineRule="auto"/>
        <w:ind w:left="0" w:right="0" w:firstLine="0"/>
        <w:rPr>
          <w:rFonts w:ascii="ITC Avant Garde" w:hAnsi="ITC Avant Garde"/>
          <w:lang w:val="es-ES"/>
        </w:rPr>
      </w:pPr>
    </w:p>
    <w:p w14:paraId="57A7EE2F" w14:textId="74C18C65" w:rsidR="00EF748D" w:rsidRPr="00541685" w:rsidRDefault="00541685" w:rsidP="0080349A">
      <w:pPr>
        <w:spacing w:after="0" w:line="276" w:lineRule="auto"/>
        <w:ind w:left="0" w:right="0" w:firstLine="0"/>
        <w:rPr>
          <w:rFonts w:ascii="ITC Avant Garde" w:hAnsi="ITC Avant Garde"/>
          <w:lang w:val="es-ES"/>
        </w:rPr>
      </w:pPr>
      <w:r w:rsidRPr="4B922FC5">
        <w:rPr>
          <w:rFonts w:ascii="ITC Avant Garde" w:hAnsi="ITC Avant Garde"/>
          <w:lang w:val="es-ES"/>
        </w:rPr>
        <w:t xml:space="preserve">El uso de una curva sigmoide se usa para proyectar una curva con un ritmo de crecimiento predeterminado (según nuestras expectativas del mercado), de forma más automatizada que si esto se hiciera analizando la penetración año a año (y que, en términos de resultado, este sería el mismo de ambas formas, ya que trataría de reflejar el mismo comportamiento). </w:t>
      </w:r>
    </w:p>
    <w:p w14:paraId="465B34C9" w14:textId="77777777" w:rsidR="00541685" w:rsidRPr="00EF748D" w:rsidRDefault="00541685" w:rsidP="0080349A">
      <w:pPr>
        <w:spacing w:after="0" w:line="276" w:lineRule="auto"/>
        <w:ind w:left="0" w:right="0" w:firstLine="0"/>
        <w:rPr>
          <w:rFonts w:ascii="ITC Avant Garde" w:hAnsi="ITC Avant Garde"/>
          <w:i/>
          <w:lang w:val="es-ES"/>
        </w:rPr>
      </w:pPr>
      <w:r w:rsidRPr="00EF748D">
        <w:rPr>
          <w:rFonts w:ascii="ITC Avant Garde" w:hAnsi="ITC Avant Garde"/>
          <w:i/>
          <w:lang w:val="es-ES"/>
        </w:rPr>
        <w:lastRenderedPageBreak/>
        <w:t>Evolución de los costos unitarios de los elementos de red</w:t>
      </w:r>
    </w:p>
    <w:p w14:paraId="43EE7EE5" w14:textId="70893795" w:rsidR="00EF748D" w:rsidRDefault="00EF748D" w:rsidP="0080349A">
      <w:pPr>
        <w:spacing w:after="0" w:line="276" w:lineRule="auto"/>
        <w:ind w:left="0" w:right="0" w:firstLine="0"/>
        <w:rPr>
          <w:rFonts w:ascii="ITC Avant Garde" w:hAnsi="ITC Avant Garde"/>
          <w:lang w:val="es-ES"/>
        </w:rPr>
      </w:pPr>
    </w:p>
    <w:p w14:paraId="5B265207" w14:textId="5766AE5C" w:rsidR="00EF748D" w:rsidRDefault="00EF748D" w:rsidP="0080349A">
      <w:pPr>
        <w:spacing w:after="0" w:line="276" w:lineRule="auto"/>
        <w:ind w:left="0" w:right="0" w:firstLine="0"/>
        <w:rPr>
          <w:rFonts w:ascii="ITC Avant Garde" w:hAnsi="ITC Avant Garde"/>
          <w:lang w:val="es-ES"/>
        </w:rPr>
      </w:pPr>
      <w:r>
        <w:rPr>
          <w:rFonts w:ascii="ITC Avant Garde" w:hAnsi="ITC Avant Garde"/>
          <w:lang w:val="es-ES"/>
        </w:rPr>
        <w:t>CANIETI y GTV</w:t>
      </w:r>
    </w:p>
    <w:p w14:paraId="69941226" w14:textId="77777777" w:rsidR="00EF748D" w:rsidRDefault="00EF748D" w:rsidP="0080349A">
      <w:pPr>
        <w:spacing w:after="0" w:line="276" w:lineRule="auto"/>
        <w:ind w:left="0" w:right="0" w:firstLine="0"/>
        <w:rPr>
          <w:rFonts w:ascii="ITC Avant Garde" w:hAnsi="ITC Avant Garde"/>
          <w:lang w:val="es-ES"/>
        </w:rPr>
      </w:pPr>
    </w:p>
    <w:p w14:paraId="3404D8F7" w14:textId="2CEBF2B4" w:rsidR="00541685" w:rsidRDefault="00376355" w:rsidP="0080349A">
      <w:pPr>
        <w:spacing w:after="0" w:line="276" w:lineRule="auto"/>
        <w:ind w:left="0" w:right="0" w:firstLine="0"/>
        <w:rPr>
          <w:rFonts w:ascii="ITC Avant Garde" w:hAnsi="ITC Avant Garde"/>
          <w:lang w:val="es-ES"/>
        </w:rPr>
      </w:pPr>
      <w:r w:rsidRPr="58E23F00">
        <w:rPr>
          <w:rFonts w:ascii="ITC Avant Garde" w:hAnsi="ITC Avant Garde"/>
          <w:lang w:val="es-ES"/>
        </w:rPr>
        <w:t>CANIETI</w:t>
      </w:r>
      <w:r w:rsidR="00541685" w:rsidRPr="58E23F00">
        <w:rPr>
          <w:rFonts w:ascii="ITC Avant Garde" w:hAnsi="ITC Avant Garde"/>
          <w:lang w:val="es-ES"/>
        </w:rPr>
        <w:t xml:space="preserve"> y </w:t>
      </w:r>
      <w:r w:rsidR="007C441B" w:rsidRPr="58E23F00">
        <w:rPr>
          <w:rFonts w:ascii="ITC Avant Garde" w:hAnsi="ITC Avant Garde"/>
          <w:lang w:val="es-ES"/>
        </w:rPr>
        <w:t>GTV</w:t>
      </w:r>
      <w:r w:rsidR="00541685" w:rsidRPr="58E23F00">
        <w:rPr>
          <w:rFonts w:ascii="ITC Avant Garde" w:hAnsi="ITC Avant Garde"/>
          <w:lang w:val="es-ES"/>
        </w:rPr>
        <w:t xml:space="preserve"> resaltan que cuando se comparan los valores de capex unitario del modelo 2024–26 con los valores incluidos en el modelo anterior (2021–23), hay casos donde los cambios porcentuales llegan a superar el 250% (uno de los </w:t>
      </w:r>
      <w:r w:rsidR="00A94546" w:rsidRPr="58E23F00">
        <w:rPr>
          <w:rFonts w:ascii="ITC Avant Garde" w:hAnsi="ITC Avant Garde"/>
          <w:lang w:val="es-ES"/>
        </w:rPr>
        <w:t>concesionarios</w:t>
      </w:r>
      <w:r w:rsidR="00541685" w:rsidRPr="58E23F00">
        <w:rPr>
          <w:rFonts w:ascii="ITC Avant Garde" w:hAnsi="ITC Avant Garde"/>
          <w:lang w:val="es-ES"/>
        </w:rPr>
        <w:t xml:space="preserve"> específicamente señala a los edge switches, core switches y el Tier 2 DWDM), mientras que la variación históri</w:t>
      </w:r>
      <w:r w:rsidR="00EF748D" w:rsidRPr="58E23F00">
        <w:rPr>
          <w:rFonts w:ascii="ITC Avant Garde" w:hAnsi="ITC Avant Garde"/>
          <w:lang w:val="es-ES"/>
        </w:rPr>
        <w:t>ca</w:t>
      </w:r>
      <w:r w:rsidR="008A4535" w:rsidRPr="58E23F00">
        <w:rPr>
          <w:rFonts w:ascii="ITC Avant Garde" w:hAnsi="ITC Avant Garde"/>
          <w:lang w:val="es-ES"/>
        </w:rPr>
        <w:t xml:space="preserve"> </w:t>
      </w:r>
      <w:r w:rsidR="00541685" w:rsidRPr="58E23F00">
        <w:rPr>
          <w:rFonts w:ascii="ITC Avant Garde" w:hAnsi="ITC Avant Garde"/>
          <w:lang w:val="es-ES"/>
        </w:rPr>
        <w:t xml:space="preserve">entre modelos suele permanecer en torno al 5%. Por ello, ambas partes solicitan al </w:t>
      </w:r>
      <w:r w:rsidR="647786AF" w:rsidRPr="58E23F00">
        <w:rPr>
          <w:rFonts w:ascii="ITC Avant Garde" w:hAnsi="ITC Avant Garde"/>
          <w:lang w:val="es-ES"/>
        </w:rPr>
        <w:t>I</w:t>
      </w:r>
      <w:r w:rsidR="00049B76"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justificar la fuente y/o hacer los ajustes necesarios a los costos unitarios.</w:t>
      </w:r>
    </w:p>
    <w:p w14:paraId="0D88ABF3" w14:textId="4F394FDC" w:rsidR="00EF748D" w:rsidRDefault="00EF748D" w:rsidP="0080349A">
      <w:pPr>
        <w:spacing w:after="0" w:line="276" w:lineRule="auto"/>
        <w:ind w:left="0" w:right="0" w:firstLine="0"/>
        <w:rPr>
          <w:rFonts w:ascii="ITC Avant Garde" w:hAnsi="ITC Avant Garde"/>
          <w:lang w:val="es-ES"/>
        </w:rPr>
      </w:pPr>
    </w:p>
    <w:p w14:paraId="0057165D" w14:textId="79814260" w:rsidR="00EF748D" w:rsidRDefault="00EF748D" w:rsidP="00EF748D">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64B988CE" w14:textId="3CC23787" w:rsidR="00EF748D" w:rsidRDefault="00EF748D" w:rsidP="0080349A">
      <w:pPr>
        <w:spacing w:after="0" w:line="276" w:lineRule="auto"/>
        <w:ind w:left="0" w:right="0" w:firstLine="0"/>
        <w:rPr>
          <w:rFonts w:ascii="ITC Avant Garde" w:hAnsi="ITC Avant Garde"/>
          <w:lang w:val="es-ES"/>
        </w:rPr>
      </w:pPr>
    </w:p>
    <w:p w14:paraId="39043C52" w14:textId="393B3BD1" w:rsidR="00541685" w:rsidRDefault="006B0A67" w:rsidP="0080349A">
      <w:pPr>
        <w:spacing w:after="0" w:line="276" w:lineRule="auto"/>
        <w:ind w:left="0" w:right="0" w:firstLine="0"/>
        <w:rPr>
          <w:rFonts w:ascii="ITC Avant Garde" w:hAnsi="ITC Avant Garde"/>
          <w:lang w:val="es-ES"/>
        </w:rPr>
      </w:pPr>
      <w:r>
        <w:rPr>
          <w:rFonts w:ascii="ITC Avant Garde" w:hAnsi="ITC Avant Garde"/>
          <w:lang w:val="es-ES"/>
        </w:rPr>
        <w:t>L</w:t>
      </w:r>
      <w:r w:rsidR="00541685" w:rsidRPr="00541685">
        <w:rPr>
          <w:rFonts w:ascii="ITC Avant Garde" w:hAnsi="ITC Avant Garde"/>
          <w:lang w:val="es-ES"/>
        </w:rPr>
        <w:t>as principales diferencias en los costos unitarios respecto al modelo 2021–23 se deben principalmente a la actualización que se ha realizado para tener una base de los costos denominada en pesos constantes referenciados al año 2022 (comparado con la base de pesos referenciada a 2015 que se solía tomar).</w:t>
      </w:r>
    </w:p>
    <w:p w14:paraId="307296A6" w14:textId="77777777" w:rsidR="00D5490D" w:rsidRPr="00541685" w:rsidRDefault="00D5490D" w:rsidP="0080349A">
      <w:pPr>
        <w:spacing w:after="0" w:line="276" w:lineRule="auto"/>
        <w:ind w:left="0" w:right="0" w:firstLine="0"/>
        <w:rPr>
          <w:rFonts w:ascii="ITC Avant Garde" w:hAnsi="ITC Avant Garde"/>
          <w:lang w:val="es-ES"/>
        </w:rPr>
      </w:pPr>
    </w:p>
    <w:p w14:paraId="728ADF4A" w14:textId="370A20FE"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Por otro lado, las diferencias más significativas en el capex de los distintos elementos (por ejemplo, los switches a los que el </w:t>
      </w:r>
      <w:r w:rsidR="00A94546">
        <w:rPr>
          <w:rFonts w:ascii="ITC Avant Garde" w:hAnsi="ITC Avant Garde"/>
          <w:lang w:val="es-ES"/>
        </w:rPr>
        <w:t>concesionario</w:t>
      </w:r>
      <w:r w:rsidRPr="00541685">
        <w:rPr>
          <w:rFonts w:ascii="ITC Avant Garde" w:hAnsi="ITC Avant Garde"/>
          <w:lang w:val="es-ES"/>
        </w:rPr>
        <w:t xml:space="preserve"> hace referencia) se deben a que se han ajustado estos costos para alinearlos con los parámetros técnicos de la red (capacidad) proporcionados por los </w:t>
      </w:r>
      <w:r w:rsidR="00A94546">
        <w:rPr>
          <w:rFonts w:ascii="ITC Avant Garde" w:hAnsi="ITC Avant Garde"/>
          <w:lang w:val="es-ES"/>
        </w:rPr>
        <w:t>concesionarios</w:t>
      </w:r>
      <w:r w:rsidRPr="00541685">
        <w:rPr>
          <w:rFonts w:ascii="ITC Avant Garde" w:hAnsi="ITC Avant Garde"/>
          <w:lang w:val="es-ES"/>
        </w:rPr>
        <w:t xml:space="preserve"> para estos elementos.</w:t>
      </w:r>
    </w:p>
    <w:p w14:paraId="6C9F6DAA" w14:textId="77777777" w:rsidR="00D5490D" w:rsidRPr="00541685" w:rsidRDefault="00D5490D" w:rsidP="0080349A">
      <w:pPr>
        <w:spacing w:after="0" w:line="276" w:lineRule="auto"/>
        <w:ind w:left="0" w:right="0" w:firstLine="0"/>
        <w:rPr>
          <w:rFonts w:ascii="ITC Avant Garde" w:hAnsi="ITC Avant Garde"/>
          <w:lang w:val="es-ES"/>
        </w:rPr>
      </w:pPr>
    </w:p>
    <w:p w14:paraId="54A5215A" w14:textId="77777777" w:rsidR="00541685" w:rsidRPr="00D5490D" w:rsidRDefault="00541685" w:rsidP="0080349A">
      <w:pPr>
        <w:spacing w:after="0" w:line="276" w:lineRule="auto"/>
        <w:ind w:left="0" w:right="0" w:firstLine="0"/>
        <w:rPr>
          <w:rFonts w:ascii="ITC Avant Garde" w:hAnsi="ITC Avant Garde"/>
          <w:i/>
          <w:lang w:val="es-ES"/>
        </w:rPr>
      </w:pPr>
      <w:r w:rsidRPr="00D5490D">
        <w:rPr>
          <w:rFonts w:ascii="ITC Avant Garde" w:hAnsi="ITC Avant Garde"/>
          <w:i/>
          <w:lang w:val="es-ES"/>
        </w:rPr>
        <w:t>Evolución de los costos de operación de los elementos de red</w:t>
      </w:r>
    </w:p>
    <w:p w14:paraId="7DC45951" w14:textId="49314C63" w:rsidR="00D5490D" w:rsidRDefault="00D5490D" w:rsidP="0080349A">
      <w:pPr>
        <w:spacing w:after="0" w:line="276" w:lineRule="auto"/>
        <w:ind w:left="0" w:right="0" w:firstLine="0"/>
        <w:rPr>
          <w:rFonts w:ascii="ITC Avant Garde" w:hAnsi="ITC Avant Garde"/>
          <w:lang w:val="es-ES"/>
        </w:rPr>
      </w:pPr>
    </w:p>
    <w:p w14:paraId="034C4A3C" w14:textId="5A300E33" w:rsidR="00D5490D" w:rsidRDefault="00D5490D" w:rsidP="0080349A">
      <w:pPr>
        <w:spacing w:after="0" w:line="276" w:lineRule="auto"/>
        <w:ind w:left="0" w:right="0" w:firstLine="0"/>
        <w:rPr>
          <w:rFonts w:ascii="ITC Avant Garde" w:hAnsi="ITC Avant Garde"/>
          <w:lang w:val="es-ES"/>
        </w:rPr>
      </w:pPr>
      <w:r>
        <w:rPr>
          <w:rFonts w:ascii="ITC Avant Garde" w:hAnsi="ITC Avant Garde"/>
          <w:lang w:val="es-ES"/>
        </w:rPr>
        <w:t>CANIETI</w:t>
      </w:r>
    </w:p>
    <w:p w14:paraId="473B4E22" w14:textId="77777777" w:rsidR="00D5490D" w:rsidRDefault="00D5490D" w:rsidP="0080349A">
      <w:pPr>
        <w:spacing w:after="0" w:line="276" w:lineRule="auto"/>
        <w:ind w:left="0" w:right="0" w:firstLine="0"/>
        <w:rPr>
          <w:rFonts w:ascii="ITC Avant Garde" w:hAnsi="ITC Avant Garde"/>
          <w:lang w:val="es-ES"/>
        </w:rPr>
      </w:pPr>
    </w:p>
    <w:p w14:paraId="5DFD631E" w14:textId="4873ADFA" w:rsidR="00541685" w:rsidRDefault="00376355" w:rsidP="0080349A">
      <w:pPr>
        <w:spacing w:after="0" w:line="276" w:lineRule="auto"/>
        <w:ind w:left="0" w:right="0" w:firstLine="0"/>
        <w:rPr>
          <w:rFonts w:ascii="ITC Avant Garde" w:hAnsi="ITC Avant Garde"/>
          <w:lang w:val="es-ES"/>
        </w:rPr>
      </w:pPr>
      <w:r w:rsidRPr="58E23F00">
        <w:rPr>
          <w:rFonts w:ascii="ITC Avant Garde" w:hAnsi="ITC Avant Garde"/>
          <w:lang w:val="es-ES"/>
        </w:rPr>
        <w:t>CANIETI</w:t>
      </w:r>
      <w:r w:rsidR="00541685" w:rsidRPr="58E23F00">
        <w:rPr>
          <w:rFonts w:ascii="ITC Avant Garde" w:hAnsi="ITC Avant Garde"/>
          <w:lang w:val="es-ES"/>
        </w:rPr>
        <w:t xml:space="preserve"> solicita al </w:t>
      </w:r>
      <w:r w:rsidR="647786AF" w:rsidRPr="58E23F00">
        <w:rPr>
          <w:rFonts w:ascii="ITC Avant Garde" w:hAnsi="ITC Avant Garde"/>
          <w:lang w:val="es-ES"/>
        </w:rPr>
        <w:t>I</w:t>
      </w:r>
      <w:r w:rsidR="3FF2450D"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 xml:space="preserve">explicar el procedimiento de actualización de los costos de opex para los elementos de red. Asimismo, </w:t>
      </w:r>
      <w:r w:rsidRPr="58E23F00">
        <w:rPr>
          <w:rFonts w:ascii="ITC Avant Garde" w:hAnsi="ITC Avant Garde"/>
          <w:lang w:val="es-ES"/>
        </w:rPr>
        <w:t>CANIETI</w:t>
      </w:r>
      <w:r w:rsidR="00541685" w:rsidRPr="58E23F00">
        <w:rPr>
          <w:rFonts w:ascii="ITC Avant Garde" w:hAnsi="ITC Avant Garde"/>
          <w:lang w:val="es-ES"/>
        </w:rPr>
        <w:t xml:space="preserve"> pide al </w:t>
      </w:r>
      <w:r w:rsidR="647786AF" w:rsidRPr="58E23F00">
        <w:rPr>
          <w:rFonts w:ascii="ITC Avant Garde" w:hAnsi="ITC Avant Garde"/>
          <w:lang w:val="es-ES"/>
        </w:rPr>
        <w:t>I</w:t>
      </w:r>
      <w:r w:rsidR="73A03A8D"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una justificación por la cual los costos de opex permanecen estables en el tiempo, ya que esta tendencia iría en contra de las variaciones que aparecen al comparar los costos unitarios con modelos anteriores.</w:t>
      </w:r>
    </w:p>
    <w:p w14:paraId="3A9651B2" w14:textId="33C8FE98" w:rsidR="00D5490D" w:rsidRDefault="00D5490D" w:rsidP="0080349A">
      <w:pPr>
        <w:spacing w:after="0" w:line="276" w:lineRule="auto"/>
        <w:ind w:left="0" w:right="0" w:firstLine="0"/>
        <w:rPr>
          <w:rFonts w:ascii="ITC Avant Garde" w:hAnsi="ITC Avant Garde"/>
          <w:lang w:val="es-ES"/>
        </w:rPr>
      </w:pPr>
    </w:p>
    <w:p w14:paraId="579473A6" w14:textId="35483D5D" w:rsidR="00D5490D" w:rsidRDefault="00D5490D" w:rsidP="00D5490D">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66DD6C66" w14:textId="77777777" w:rsidR="00D5490D" w:rsidRPr="00541685" w:rsidRDefault="00D5490D" w:rsidP="0080349A">
      <w:pPr>
        <w:spacing w:after="0" w:line="276" w:lineRule="auto"/>
        <w:ind w:left="0" w:right="0" w:firstLine="0"/>
        <w:rPr>
          <w:rFonts w:ascii="ITC Avant Garde" w:hAnsi="ITC Avant Garde"/>
          <w:lang w:val="es-ES"/>
        </w:rPr>
      </w:pPr>
    </w:p>
    <w:p w14:paraId="5CD0658A" w14:textId="75258509"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La evolución del opex de cada elemento de red depende del número de elementos de red desplegados, su opex unitario y la tendencia de costos aplicada en el modelo. </w:t>
      </w:r>
    </w:p>
    <w:p w14:paraId="3B6DB364" w14:textId="77777777" w:rsidR="00D5490D" w:rsidRPr="00541685" w:rsidRDefault="00D5490D" w:rsidP="0080349A">
      <w:pPr>
        <w:spacing w:after="0" w:line="276" w:lineRule="auto"/>
        <w:ind w:left="0" w:right="0" w:firstLine="0"/>
        <w:rPr>
          <w:rFonts w:ascii="ITC Avant Garde" w:hAnsi="ITC Avant Garde"/>
          <w:lang w:val="es-ES"/>
        </w:rPr>
      </w:pPr>
    </w:p>
    <w:p w14:paraId="41D451B3" w14:textId="5CF7C442" w:rsidR="00541685" w:rsidRP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lastRenderedPageBreak/>
        <w:t xml:space="preserve">En este sentido, es cierto que la tendencia de costos operativos es del 0% para los elementos de red, pero </w:t>
      </w:r>
      <w:r w:rsidR="00325634">
        <w:rPr>
          <w:rFonts w:ascii="ITC Avant Garde" w:hAnsi="ITC Avant Garde"/>
          <w:lang w:val="es-ES"/>
        </w:rPr>
        <w:t xml:space="preserve">se </w:t>
      </w:r>
      <w:r w:rsidRPr="00541685">
        <w:rPr>
          <w:rFonts w:ascii="ITC Avant Garde" w:hAnsi="ITC Avant Garde"/>
          <w:lang w:val="es-ES"/>
        </w:rPr>
        <w:t>señal</w:t>
      </w:r>
      <w:r w:rsidR="00325634">
        <w:rPr>
          <w:rFonts w:ascii="ITC Avant Garde" w:hAnsi="ITC Avant Garde"/>
          <w:lang w:val="es-ES"/>
        </w:rPr>
        <w:t xml:space="preserve">a </w:t>
      </w:r>
      <w:r w:rsidRPr="00541685">
        <w:rPr>
          <w:rFonts w:ascii="ITC Avant Garde" w:hAnsi="ITC Avant Garde"/>
          <w:lang w:val="es-ES"/>
        </w:rPr>
        <w:t xml:space="preserve">que esta tendencia era la misma en modelos anteriores y está basada en la información proporcionada por los </w:t>
      </w:r>
      <w:r w:rsidR="00A94546">
        <w:rPr>
          <w:rFonts w:ascii="ITC Avant Garde" w:hAnsi="ITC Avant Garde"/>
          <w:lang w:val="es-ES"/>
        </w:rPr>
        <w:t>concesionarios</w:t>
      </w:r>
      <w:r w:rsidRPr="00541685">
        <w:rPr>
          <w:rFonts w:ascii="ITC Avant Garde" w:hAnsi="ITC Avant Garde"/>
          <w:lang w:val="es-ES"/>
        </w:rPr>
        <w:t>. En cualquier caso, es importante tener en cuenta que esta tendencia se muestra en términos reales (esto es, en pesos constantes, referenciados al año 2022). Por tanto, en términos nominales, la evolución del opex unitario de los elementos de red seguirá una evolución equivalente a la inflación esperada en México.</w:t>
      </w:r>
    </w:p>
    <w:p w14:paraId="1F1C1C75" w14:textId="77777777" w:rsidR="003E5CFC" w:rsidRDefault="003E5CFC" w:rsidP="0080349A">
      <w:pPr>
        <w:spacing w:after="0" w:line="276" w:lineRule="auto"/>
        <w:ind w:left="0" w:right="0" w:firstLine="0"/>
        <w:rPr>
          <w:rFonts w:ascii="ITC Avant Garde" w:hAnsi="ITC Avant Garde"/>
          <w:i/>
          <w:lang w:val="es-ES"/>
        </w:rPr>
      </w:pPr>
    </w:p>
    <w:p w14:paraId="094F0F74" w14:textId="0612ED09" w:rsidR="00541685" w:rsidRDefault="00541685" w:rsidP="0080349A">
      <w:pPr>
        <w:spacing w:after="0" w:line="276" w:lineRule="auto"/>
        <w:ind w:left="0" w:right="0" w:firstLine="0"/>
        <w:rPr>
          <w:rFonts w:ascii="ITC Avant Garde" w:hAnsi="ITC Avant Garde"/>
          <w:i/>
          <w:lang w:val="es-ES"/>
        </w:rPr>
      </w:pPr>
      <w:r w:rsidRPr="00D5490D">
        <w:rPr>
          <w:rFonts w:ascii="ITC Avant Garde" w:hAnsi="ITC Avant Garde"/>
          <w:i/>
          <w:lang w:val="es-ES"/>
        </w:rPr>
        <w:t>Consideración de agregadores de nivel 2</w:t>
      </w:r>
    </w:p>
    <w:p w14:paraId="45D2B39C" w14:textId="13A93F6A" w:rsidR="00D5490D" w:rsidRDefault="00D5490D" w:rsidP="0080349A">
      <w:pPr>
        <w:spacing w:after="0" w:line="276" w:lineRule="auto"/>
        <w:ind w:left="0" w:right="0" w:firstLine="0"/>
        <w:rPr>
          <w:rFonts w:ascii="ITC Avant Garde" w:hAnsi="ITC Avant Garde"/>
          <w:i/>
          <w:lang w:val="es-ES"/>
        </w:rPr>
      </w:pPr>
    </w:p>
    <w:p w14:paraId="5EF276A9" w14:textId="18499BCB" w:rsidR="00D5490D" w:rsidRPr="00D5490D" w:rsidRDefault="00D5490D" w:rsidP="0080349A">
      <w:pPr>
        <w:spacing w:after="0" w:line="276" w:lineRule="auto"/>
        <w:ind w:left="0" w:right="0" w:firstLine="0"/>
        <w:rPr>
          <w:rFonts w:ascii="ITC Avant Garde" w:hAnsi="ITC Avant Garde"/>
          <w:lang w:val="es-ES"/>
        </w:rPr>
      </w:pPr>
      <w:r w:rsidRPr="00D5490D">
        <w:rPr>
          <w:rFonts w:ascii="ITC Avant Garde" w:hAnsi="ITC Avant Garde"/>
          <w:lang w:val="es-ES"/>
        </w:rPr>
        <w:t>CANIETI y GTV</w:t>
      </w:r>
    </w:p>
    <w:p w14:paraId="4375A78A" w14:textId="77777777" w:rsidR="00D5490D" w:rsidRPr="00D5490D" w:rsidRDefault="00D5490D" w:rsidP="0080349A">
      <w:pPr>
        <w:spacing w:after="0" w:line="276" w:lineRule="auto"/>
        <w:ind w:left="0" w:right="0" w:firstLine="0"/>
        <w:rPr>
          <w:rFonts w:ascii="ITC Avant Garde" w:hAnsi="ITC Avant Garde"/>
          <w:i/>
          <w:lang w:val="es-ES"/>
        </w:rPr>
      </w:pPr>
    </w:p>
    <w:p w14:paraId="2CEB3EB8" w14:textId="6E316778" w:rsidR="00D5490D" w:rsidRDefault="00376355" w:rsidP="0080349A">
      <w:pPr>
        <w:spacing w:after="0" w:line="276" w:lineRule="auto"/>
        <w:ind w:left="0" w:right="0" w:firstLine="0"/>
        <w:rPr>
          <w:rFonts w:ascii="ITC Avant Garde" w:hAnsi="ITC Avant Garde"/>
          <w:lang w:val="es-ES"/>
        </w:rPr>
      </w:pPr>
      <w:r w:rsidRPr="58E23F00">
        <w:rPr>
          <w:rFonts w:ascii="ITC Avant Garde" w:hAnsi="ITC Avant Garde"/>
          <w:lang w:val="es-ES"/>
        </w:rPr>
        <w:t>CANIETI</w:t>
      </w:r>
      <w:r w:rsidR="00541685" w:rsidRPr="58E23F00">
        <w:rPr>
          <w:rFonts w:ascii="ITC Avant Garde" w:hAnsi="ITC Avant Garde"/>
          <w:lang w:val="es-ES"/>
        </w:rPr>
        <w:t xml:space="preserve"> y </w:t>
      </w:r>
      <w:r w:rsidR="007C441B" w:rsidRPr="58E23F00">
        <w:rPr>
          <w:rFonts w:ascii="ITC Avant Garde" w:hAnsi="ITC Avant Garde"/>
          <w:lang w:val="es-ES"/>
        </w:rPr>
        <w:t>GTV</w:t>
      </w:r>
      <w:r w:rsidR="00541685" w:rsidRPr="58E23F00">
        <w:rPr>
          <w:rFonts w:ascii="ITC Avant Garde" w:hAnsi="ITC Avant Garde"/>
          <w:lang w:val="es-ES"/>
        </w:rPr>
        <w:t xml:space="preserve"> solicitan al </w:t>
      </w:r>
      <w:r w:rsidR="647786AF" w:rsidRPr="58E23F00">
        <w:rPr>
          <w:rFonts w:ascii="ITC Avant Garde" w:hAnsi="ITC Avant Garde"/>
          <w:lang w:val="es-ES"/>
        </w:rPr>
        <w:t>I</w:t>
      </w:r>
      <w:r w:rsidR="57BDF9B1"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una justificación a las significativas diferencias entre los costos operativos y de inversión del activo ‘Agregador nivel 2</w:t>
      </w:r>
      <w:r w:rsidR="00A12569" w:rsidRPr="58E23F00">
        <w:rPr>
          <w:rFonts w:ascii="ITC Avant Garde" w:hAnsi="ITC Avant Garde"/>
          <w:lang w:val="es-ES"/>
        </w:rPr>
        <w:t>”</w:t>
      </w:r>
      <w:r w:rsidR="00541685" w:rsidRPr="58E23F00">
        <w:rPr>
          <w:rFonts w:ascii="ITC Avant Garde" w:hAnsi="ITC Avant Garde"/>
          <w:lang w:val="es-ES"/>
        </w:rPr>
        <w:t xml:space="preserve">, el cual se incluye dos veces en el modelo costos de interconexión fija 2024–26. En el caso de tratarse de un error, ambas partes solicitan al </w:t>
      </w:r>
      <w:r w:rsidR="647786AF" w:rsidRPr="58E23F00">
        <w:rPr>
          <w:rFonts w:ascii="ITC Avant Garde" w:hAnsi="ITC Avant Garde"/>
          <w:lang w:val="es-ES"/>
        </w:rPr>
        <w:t>I</w:t>
      </w:r>
      <w:r w:rsidR="44F77F8F"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eliminar uno de los dos insumos.</w:t>
      </w:r>
    </w:p>
    <w:p w14:paraId="278F6C57" w14:textId="59197560" w:rsidR="00D5490D" w:rsidRDefault="00D5490D" w:rsidP="0080349A">
      <w:pPr>
        <w:spacing w:after="0" w:line="276" w:lineRule="auto"/>
        <w:ind w:left="0" w:right="0" w:firstLine="0"/>
        <w:rPr>
          <w:rFonts w:ascii="ITC Avant Garde" w:hAnsi="ITC Avant Garde"/>
          <w:lang w:val="es-ES"/>
        </w:rPr>
      </w:pPr>
    </w:p>
    <w:p w14:paraId="0CE5298A" w14:textId="1ADD48D9" w:rsidR="00D5490D" w:rsidRDefault="00D5490D" w:rsidP="00D5490D">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501F3AA4" w14:textId="77777777" w:rsidR="00D5490D" w:rsidRDefault="00D5490D" w:rsidP="0080349A">
      <w:pPr>
        <w:spacing w:after="0" w:line="276" w:lineRule="auto"/>
        <w:ind w:left="0" w:right="0" w:firstLine="0"/>
        <w:rPr>
          <w:rFonts w:ascii="ITC Avant Garde" w:hAnsi="ITC Avant Garde"/>
          <w:lang w:val="es-ES"/>
        </w:rPr>
      </w:pPr>
    </w:p>
    <w:p w14:paraId="4D6F4360" w14:textId="4479E630" w:rsidR="00541685" w:rsidRDefault="00D5490D" w:rsidP="0080349A">
      <w:pPr>
        <w:spacing w:after="0" w:line="276" w:lineRule="auto"/>
        <w:ind w:left="0" w:right="0" w:firstLine="0"/>
        <w:rPr>
          <w:rFonts w:ascii="ITC Avant Garde" w:hAnsi="ITC Avant Garde"/>
          <w:lang w:val="es-ES"/>
        </w:rPr>
      </w:pPr>
      <w:r>
        <w:rPr>
          <w:rFonts w:ascii="ITC Avant Garde" w:hAnsi="ITC Avant Garde"/>
          <w:lang w:val="es-ES"/>
        </w:rPr>
        <w:t>L</w:t>
      </w:r>
      <w:r w:rsidR="00541685" w:rsidRPr="00541685">
        <w:rPr>
          <w:rFonts w:ascii="ITC Avant Garde" w:hAnsi="ITC Avant Garde"/>
          <w:lang w:val="es-ES"/>
        </w:rPr>
        <w:t>os dos elementos de red mencionados como ‘Agregador de nivel 2</w:t>
      </w:r>
      <w:r w:rsidR="00A12569">
        <w:rPr>
          <w:rFonts w:ascii="ITC Avant Garde" w:hAnsi="ITC Avant Garde"/>
          <w:lang w:val="es-ES"/>
        </w:rPr>
        <w:t>”</w:t>
      </w:r>
      <w:r w:rsidR="00541685" w:rsidRPr="00541685">
        <w:rPr>
          <w:rFonts w:ascii="ITC Avant Garde" w:hAnsi="ITC Avant Garde"/>
          <w:lang w:val="es-ES"/>
        </w:rPr>
        <w:t xml:space="preserve"> cuentan con funcionalidades distintas. Uno de los elementos sirve para agregar el tráfico en los nodos Tier 1 y 2, mientras que el otro lo agrega en los nodos Tier 3. </w:t>
      </w:r>
      <w:r>
        <w:rPr>
          <w:rFonts w:ascii="ITC Avant Garde" w:hAnsi="ITC Avant Garde"/>
          <w:lang w:val="es-ES"/>
        </w:rPr>
        <w:t xml:space="preserve">Se ha </w:t>
      </w:r>
      <w:r w:rsidR="00541685" w:rsidRPr="00541685">
        <w:rPr>
          <w:rFonts w:ascii="ITC Avant Garde" w:hAnsi="ITC Avant Garde"/>
          <w:lang w:val="es-ES"/>
        </w:rPr>
        <w:t>aclarado la terminología en el modelo para evitar confusión.</w:t>
      </w:r>
    </w:p>
    <w:p w14:paraId="13808B58" w14:textId="456E6285" w:rsidR="00D5490D" w:rsidRDefault="00D5490D" w:rsidP="0080349A">
      <w:pPr>
        <w:spacing w:after="0" w:line="276" w:lineRule="auto"/>
        <w:ind w:left="0" w:right="0" w:firstLine="0"/>
        <w:rPr>
          <w:rFonts w:ascii="ITC Avant Garde" w:hAnsi="ITC Avant Garde"/>
          <w:lang w:val="es-ES"/>
        </w:rPr>
      </w:pPr>
    </w:p>
    <w:p w14:paraId="4078A0C0" w14:textId="77777777" w:rsidR="00541685" w:rsidRPr="00D5490D" w:rsidRDefault="00541685" w:rsidP="0080349A">
      <w:pPr>
        <w:spacing w:after="0" w:line="276" w:lineRule="auto"/>
        <w:ind w:left="0" w:right="0" w:firstLine="0"/>
        <w:rPr>
          <w:rFonts w:ascii="ITC Avant Garde" w:hAnsi="ITC Avant Garde"/>
          <w:b/>
          <w:u w:val="single"/>
          <w:lang w:val="es-ES"/>
        </w:rPr>
      </w:pPr>
      <w:r w:rsidRPr="00D5490D">
        <w:rPr>
          <w:rFonts w:ascii="ITC Avant Garde" w:hAnsi="ITC Avant Garde"/>
          <w:b/>
          <w:u w:val="single"/>
          <w:lang w:val="es-ES"/>
        </w:rPr>
        <w:t>Comentarios sobre los cálculos y resultados del modelo</w:t>
      </w:r>
    </w:p>
    <w:p w14:paraId="6D808807" w14:textId="77777777" w:rsidR="00D5490D" w:rsidRDefault="00D5490D" w:rsidP="0080349A">
      <w:pPr>
        <w:spacing w:after="0" w:line="276" w:lineRule="auto"/>
        <w:ind w:left="0" w:right="0" w:firstLine="0"/>
        <w:rPr>
          <w:rFonts w:ascii="ITC Avant Garde" w:hAnsi="ITC Avant Garde"/>
          <w:lang w:val="es-ES"/>
        </w:rPr>
      </w:pPr>
    </w:p>
    <w:p w14:paraId="6EBBCEA6" w14:textId="73826C45" w:rsidR="00541685" w:rsidRPr="00D5490D" w:rsidRDefault="00541685" w:rsidP="0080349A">
      <w:pPr>
        <w:spacing w:after="0" w:line="276" w:lineRule="auto"/>
        <w:ind w:left="0" w:right="0" w:firstLine="0"/>
        <w:rPr>
          <w:rFonts w:ascii="ITC Avant Garde" w:hAnsi="ITC Avant Garde"/>
          <w:i/>
          <w:lang w:val="es-ES"/>
        </w:rPr>
      </w:pPr>
      <w:r w:rsidRPr="00D5490D">
        <w:rPr>
          <w:rFonts w:ascii="ITC Avant Garde" w:hAnsi="ITC Avant Garde"/>
          <w:i/>
          <w:lang w:val="es-ES"/>
        </w:rPr>
        <w:t>Cálculo de la depreciación de los activos en dólares americanos</w:t>
      </w:r>
    </w:p>
    <w:p w14:paraId="58BDF365" w14:textId="53B95561" w:rsidR="00D5490D" w:rsidRDefault="00D5490D" w:rsidP="0080349A">
      <w:pPr>
        <w:spacing w:after="0" w:line="276" w:lineRule="auto"/>
        <w:ind w:left="0" w:right="0" w:firstLine="0"/>
        <w:rPr>
          <w:rFonts w:ascii="ITC Avant Garde" w:hAnsi="ITC Avant Garde"/>
          <w:lang w:val="es-ES"/>
        </w:rPr>
      </w:pPr>
    </w:p>
    <w:p w14:paraId="080D4D4C" w14:textId="24E67359" w:rsidR="00D5490D" w:rsidRDefault="00D5490D" w:rsidP="0080349A">
      <w:pPr>
        <w:spacing w:after="0" w:line="276" w:lineRule="auto"/>
        <w:ind w:left="0" w:right="0" w:firstLine="0"/>
        <w:rPr>
          <w:rFonts w:ascii="ITC Avant Garde" w:hAnsi="ITC Avant Garde"/>
          <w:lang w:val="es-ES"/>
        </w:rPr>
      </w:pPr>
      <w:r>
        <w:rPr>
          <w:rFonts w:ascii="ITC Avant Garde" w:hAnsi="ITC Avant Garde"/>
          <w:lang w:val="es-ES"/>
        </w:rPr>
        <w:t>CANIETI y GTV</w:t>
      </w:r>
    </w:p>
    <w:p w14:paraId="5404B5A5" w14:textId="77777777" w:rsidR="00D5490D" w:rsidRDefault="00D5490D" w:rsidP="0080349A">
      <w:pPr>
        <w:spacing w:after="0" w:line="276" w:lineRule="auto"/>
        <w:ind w:left="0" w:right="0" w:firstLine="0"/>
        <w:rPr>
          <w:rFonts w:ascii="ITC Avant Garde" w:hAnsi="ITC Avant Garde"/>
          <w:lang w:val="es-ES"/>
        </w:rPr>
      </w:pPr>
    </w:p>
    <w:p w14:paraId="35F39B89" w14:textId="74D50E24" w:rsidR="00541685" w:rsidRDefault="00376355" w:rsidP="0080349A">
      <w:pPr>
        <w:spacing w:after="0" w:line="276" w:lineRule="auto"/>
        <w:ind w:left="0" w:right="0" w:firstLine="0"/>
        <w:rPr>
          <w:rFonts w:ascii="ITC Avant Garde" w:hAnsi="ITC Avant Garde"/>
          <w:lang w:val="es-ES"/>
        </w:rPr>
      </w:pPr>
      <w:r w:rsidRPr="58E23F00">
        <w:rPr>
          <w:rFonts w:ascii="ITC Avant Garde" w:hAnsi="ITC Avant Garde"/>
          <w:lang w:val="es-ES"/>
        </w:rPr>
        <w:t>CANIETI</w:t>
      </w:r>
      <w:r w:rsidR="00541685" w:rsidRPr="58E23F00">
        <w:rPr>
          <w:rFonts w:ascii="ITC Avant Garde" w:hAnsi="ITC Avant Garde"/>
          <w:lang w:val="es-ES"/>
        </w:rPr>
        <w:t xml:space="preserve"> y </w:t>
      </w:r>
      <w:r w:rsidR="007C441B" w:rsidRPr="58E23F00">
        <w:rPr>
          <w:rFonts w:ascii="ITC Avant Garde" w:hAnsi="ITC Avant Garde"/>
          <w:lang w:val="es-ES"/>
        </w:rPr>
        <w:t>GTV</w:t>
      </w:r>
      <w:r w:rsidR="00541685" w:rsidRPr="58E23F00">
        <w:rPr>
          <w:rFonts w:ascii="ITC Avant Garde" w:hAnsi="ITC Avant Garde"/>
          <w:lang w:val="es-ES"/>
        </w:rPr>
        <w:t xml:space="preserve"> solicitan al </w:t>
      </w:r>
      <w:r w:rsidR="647786AF" w:rsidRPr="58E23F00">
        <w:rPr>
          <w:rFonts w:ascii="ITC Avant Garde" w:hAnsi="ITC Avant Garde"/>
          <w:lang w:val="es-ES"/>
        </w:rPr>
        <w:t>I</w:t>
      </w:r>
      <w:r w:rsidR="306E70F1"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eliminar los efectos de la tasa de cambio en la estimación de la depreciación, argumentando que esta no debería verse afectada por los pronósticos o la volatilidad asociada al peso mexicano respecto al dólar americano.</w:t>
      </w:r>
    </w:p>
    <w:p w14:paraId="16AF06BD" w14:textId="3E3CF3F2" w:rsidR="00D5490D" w:rsidRDefault="00D5490D" w:rsidP="0080349A">
      <w:pPr>
        <w:spacing w:after="0" w:line="276" w:lineRule="auto"/>
        <w:ind w:left="0" w:right="0" w:firstLine="0"/>
        <w:rPr>
          <w:rFonts w:ascii="ITC Avant Garde" w:hAnsi="ITC Avant Garde"/>
          <w:lang w:val="es-ES"/>
        </w:rPr>
      </w:pPr>
    </w:p>
    <w:p w14:paraId="72379EC5" w14:textId="209CF8F6" w:rsidR="00D5490D" w:rsidRDefault="00D5490D" w:rsidP="00D5490D">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103E39D2" w14:textId="77777777" w:rsidR="00D5490D" w:rsidRPr="00541685" w:rsidRDefault="00D5490D" w:rsidP="0080349A">
      <w:pPr>
        <w:spacing w:after="0" w:line="276" w:lineRule="auto"/>
        <w:ind w:left="0" w:right="0" w:firstLine="0"/>
        <w:rPr>
          <w:rFonts w:ascii="ITC Avant Garde" w:hAnsi="ITC Avant Garde"/>
          <w:lang w:val="es-ES"/>
        </w:rPr>
      </w:pPr>
    </w:p>
    <w:p w14:paraId="5DA29987" w14:textId="5AD2F356"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En general, el modelo </w:t>
      </w:r>
      <w:r w:rsidR="00376355">
        <w:rPr>
          <w:rFonts w:ascii="ITC Avant Garde" w:hAnsi="ITC Avant Garde"/>
          <w:lang w:val="es-ES"/>
        </w:rPr>
        <w:t>aplica</w:t>
      </w:r>
      <w:r w:rsidR="008A4535">
        <w:rPr>
          <w:rFonts w:ascii="ITC Avant Garde" w:hAnsi="ITC Avant Garde"/>
          <w:lang w:val="es-ES"/>
        </w:rPr>
        <w:t xml:space="preserve"> </w:t>
      </w:r>
      <w:r w:rsidRPr="00541685">
        <w:rPr>
          <w:rFonts w:ascii="ITC Avant Garde" w:hAnsi="ITC Avant Garde"/>
          <w:lang w:val="es-ES"/>
        </w:rPr>
        <w:t xml:space="preserve">la depreciación del capex en dólares estadounidenses debido a que, en muchos casos, los </w:t>
      </w:r>
      <w:r w:rsidR="00A94546">
        <w:rPr>
          <w:rFonts w:ascii="ITC Avant Garde" w:hAnsi="ITC Avant Garde"/>
          <w:lang w:val="es-ES"/>
        </w:rPr>
        <w:t>concesionarios</w:t>
      </w:r>
      <w:r w:rsidRPr="00541685">
        <w:rPr>
          <w:rFonts w:ascii="ITC Avant Garde" w:hAnsi="ITC Avant Garde"/>
          <w:lang w:val="es-ES"/>
        </w:rPr>
        <w:t xml:space="preserve"> adquieren equipos denominados en esta moneda. Bajo este supuesto, la inclusión de la tasa </w:t>
      </w:r>
      <w:r w:rsidRPr="00541685">
        <w:rPr>
          <w:rFonts w:ascii="ITC Avant Garde" w:hAnsi="ITC Avant Garde"/>
          <w:lang w:val="es-ES"/>
        </w:rPr>
        <w:lastRenderedPageBreak/>
        <w:t>de cambio entre el peso mexicano y el dólar estadounidense es necesario para poder determinar las tarifas en pesos mexicanos. El siguiente esquema muestra el flujo de operaciones realizadas.</w:t>
      </w:r>
    </w:p>
    <w:p w14:paraId="69CE092D" w14:textId="77777777" w:rsidR="00D5490D" w:rsidRPr="00541685" w:rsidRDefault="00D5490D" w:rsidP="0080349A">
      <w:pPr>
        <w:spacing w:after="0" w:line="276" w:lineRule="auto"/>
        <w:ind w:left="0" w:right="0" w:firstLine="0"/>
        <w:rPr>
          <w:rFonts w:ascii="ITC Avant Garde" w:hAnsi="ITC Avant Garde"/>
          <w:lang w:val="es-ES"/>
        </w:rPr>
      </w:pPr>
    </w:p>
    <w:p w14:paraId="41E8CA2D" w14:textId="13F805CD"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Figura </w:t>
      </w:r>
      <w:r w:rsidR="00D5490D">
        <w:rPr>
          <w:rFonts w:ascii="ITC Avant Garde" w:hAnsi="ITC Avant Garde"/>
          <w:lang w:val="es-ES"/>
        </w:rPr>
        <w:t>8</w:t>
      </w:r>
      <w:r w:rsidRPr="00541685">
        <w:rPr>
          <w:rFonts w:ascii="ITC Avant Garde" w:hAnsi="ITC Avant Garde"/>
          <w:lang w:val="es-ES"/>
        </w:rPr>
        <w:t>: Esquema del flujo de operaciones en el cálculo de capex y opex [Fuente: Analysys Mason, 2023]</w:t>
      </w:r>
    </w:p>
    <w:p w14:paraId="70AE88CC" w14:textId="52666B54" w:rsidR="00D5490D" w:rsidRPr="00541685" w:rsidRDefault="00D5490D" w:rsidP="00D5490D">
      <w:pPr>
        <w:spacing w:after="0" w:line="276" w:lineRule="auto"/>
        <w:ind w:left="0" w:right="0" w:firstLine="0"/>
        <w:jc w:val="center"/>
        <w:rPr>
          <w:rFonts w:ascii="ITC Avant Garde" w:hAnsi="ITC Avant Garde"/>
          <w:lang w:val="es-ES"/>
        </w:rPr>
      </w:pPr>
      <w:r w:rsidRPr="000C5B82">
        <w:rPr>
          <w:noProof/>
          <w:lang w:val="es-ES"/>
        </w:rPr>
        <w:drawing>
          <wp:inline distT="0" distB="0" distL="0" distR="0" wp14:anchorId="3E304B62" wp14:editId="5DC8CE95">
            <wp:extent cx="5537200" cy="2915920"/>
            <wp:effectExtent l="0" t="0" r="0" b="0"/>
            <wp:docPr id="499119830" name="Picture 499119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37200" cy="2915920"/>
                    </a:xfrm>
                    <a:prstGeom prst="rect">
                      <a:avLst/>
                    </a:prstGeom>
                    <a:noFill/>
                    <a:ln>
                      <a:noFill/>
                    </a:ln>
                  </pic:spPr>
                </pic:pic>
              </a:graphicData>
            </a:graphic>
          </wp:inline>
        </w:drawing>
      </w:r>
    </w:p>
    <w:p w14:paraId="1AA0FD09" w14:textId="77777777" w:rsidR="00541685" w:rsidRP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 </w:t>
      </w:r>
    </w:p>
    <w:p w14:paraId="2D181032" w14:textId="77777777" w:rsidR="00541685" w:rsidRPr="00D5490D" w:rsidRDefault="00541685" w:rsidP="0080349A">
      <w:pPr>
        <w:spacing w:after="0" w:line="276" w:lineRule="auto"/>
        <w:ind w:left="0" w:right="0" w:firstLine="0"/>
        <w:rPr>
          <w:rFonts w:ascii="ITC Avant Garde" w:hAnsi="ITC Avant Garde"/>
          <w:i/>
          <w:lang w:val="es-ES"/>
        </w:rPr>
      </w:pPr>
      <w:r w:rsidRPr="00D5490D">
        <w:rPr>
          <w:rFonts w:ascii="ITC Avant Garde" w:hAnsi="ITC Avant Garde"/>
          <w:i/>
          <w:lang w:val="es-ES"/>
        </w:rPr>
        <w:t>Asimetría en las tarifas de terminación fija</w:t>
      </w:r>
    </w:p>
    <w:p w14:paraId="485245A1" w14:textId="77777777" w:rsidR="00D5490D" w:rsidRDefault="00D5490D" w:rsidP="0080349A">
      <w:pPr>
        <w:spacing w:after="0" w:line="276" w:lineRule="auto"/>
        <w:ind w:left="0" w:right="0" w:firstLine="0"/>
        <w:rPr>
          <w:rFonts w:ascii="ITC Avant Garde" w:hAnsi="ITC Avant Garde"/>
          <w:lang w:val="es-ES"/>
        </w:rPr>
      </w:pPr>
    </w:p>
    <w:p w14:paraId="780D4614" w14:textId="76A967DF" w:rsidR="00D5490D" w:rsidRDefault="00D5490D" w:rsidP="0080349A">
      <w:pPr>
        <w:spacing w:after="0" w:line="276" w:lineRule="auto"/>
        <w:ind w:left="0" w:right="0" w:firstLine="0"/>
        <w:rPr>
          <w:rFonts w:ascii="ITC Avant Garde" w:hAnsi="ITC Avant Garde"/>
          <w:lang w:val="es-ES"/>
        </w:rPr>
      </w:pPr>
      <w:r>
        <w:rPr>
          <w:rFonts w:ascii="ITC Avant Garde" w:hAnsi="ITC Avant Garde"/>
          <w:lang w:val="es-ES"/>
        </w:rPr>
        <w:t>CANIETI y Mega Cable</w:t>
      </w:r>
    </w:p>
    <w:p w14:paraId="15F1483A" w14:textId="77777777" w:rsidR="00D5490D" w:rsidRDefault="00D5490D" w:rsidP="0080349A">
      <w:pPr>
        <w:spacing w:after="0" w:line="276" w:lineRule="auto"/>
        <w:ind w:left="0" w:right="0" w:firstLine="0"/>
        <w:rPr>
          <w:rFonts w:ascii="ITC Avant Garde" w:hAnsi="ITC Avant Garde"/>
          <w:lang w:val="es-ES"/>
        </w:rPr>
      </w:pPr>
    </w:p>
    <w:p w14:paraId="0F322469" w14:textId="722061E6" w:rsidR="00541685" w:rsidRDefault="00376355" w:rsidP="0080349A">
      <w:pPr>
        <w:spacing w:after="0" w:line="276" w:lineRule="auto"/>
        <w:ind w:left="0" w:right="0" w:firstLine="0"/>
        <w:rPr>
          <w:rFonts w:ascii="ITC Avant Garde" w:hAnsi="ITC Avant Garde"/>
          <w:lang w:val="es-ES"/>
        </w:rPr>
      </w:pPr>
      <w:r>
        <w:rPr>
          <w:rFonts w:ascii="ITC Avant Garde" w:hAnsi="ITC Avant Garde"/>
          <w:lang w:val="es-ES"/>
        </w:rPr>
        <w:t>CANIETI</w:t>
      </w:r>
      <w:r w:rsidR="00541685" w:rsidRPr="00541685">
        <w:rPr>
          <w:rFonts w:ascii="ITC Avant Garde" w:hAnsi="ITC Avant Garde"/>
          <w:lang w:val="es-ES"/>
        </w:rPr>
        <w:t xml:space="preserve"> y </w:t>
      </w:r>
      <w:r>
        <w:rPr>
          <w:rFonts w:ascii="ITC Avant Garde" w:hAnsi="ITC Avant Garde"/>
          <w:lang w:val="es-ES"/>
        </w:rPr>
        <w:t>Mega Cable</w:t>
      </w:r>
      <w:r w:rsidR="00541685" w:rsidRPr="00541685">
        <w:rPr>
          <w:rFonts w:ascii="ITC Avant Garde" w:hAnsi="ITC Avant Garde"/>
          <w:lang w:val="es-ES"/>
        </w:rPr>
        <w:t xml:space="preserve"> consideran que todavía existen grandes asimetrías entre el AEP y el resto de los </w:t>
      </w:r>
      <w:r w:rsidR="00A94546">
        <w:rPr>
          <w:rFonts w:ascii="ITC Avant Garde" w:hAnsi="ITC Avant Garde"/>
          <w:lang w:val="es-ES"/>
        </w:rPr>
        <w:t>concesionarios</w:t>
      </w:r>
      <w:r w:rsidR="00541685" w:rsidRPr="00541685">
        <w:rPr>
          <w:rFonts w:ascii="ITC Avant Garde" w:hAnsi="ITC Avant Garde"/>
          <w:lang w:val="es-ES"/>
        </w:rPr>
        <w:t xml:space="preserve"> en términos de accesos e ingresos y que, por lo tanto, es injustificado que exista una paridad en las tarifas de terminación entre ambas partes. </w:t>
      </w:r>
    </w:p>
    <w:p w14:paraId="5F58B1FC" w14:textId="77777777" w:rsidR="00D5490D" w:rsidRPr="00541685" w:rsidRDefault="00D5490D" w:rsidP="0080349A">
      <w:pPr>
        <w:spacing w:after="0" w:line="276" w:lineRule="auto"/>
        <w:ind w:left="0" w:right="0" w:firstLine="0"/>
        <w:rPr>
          <w:rFonts w:ascii="ITC Avant Garde" w:hAnsi="ITC Avant Garde"/>
          <w:lang w:val="es-ES"/>
        </w:rPr>
      </w:pPr>
    </w:p>
    <w:p w14:paraId="11AB863F" w14:textId="68B0ED15"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Además, los </w:t>
      </w:r>
      <w:r w:rsidR="00A94546">
        <w:rPr>
          <w:rFonts w:ascii="ITC Avant Garde" w:hAnsi="ITC Avant Garde"/>
          <w:lang w:val="es-ES"/>
        </w:rPr>
        <w:t>concesionarios</w:t>
      </w:r>
      <w:r w:rsidRPr="00541685">
        <w:rPr>
          <w:rFonts w:ascii="ITC Avant Garde" w:hAnsi="ITC Avant Garde"/>
          <w:lang w:val="es-ES"/>
        </w:rPr>
        <w:t xml:space="preserve"> se muestran disconformes con las diferencias entre la asimetría resultante en la terminación móvil y fija, ya que opinan que estas deberían estar más alineadas.</w:t>
      </w:r>
    </w:p>
    <w:p w14:paraId="668424FB" w14:textId="768B8FAA" w:rsidR="00D5490D" w:rsidRDefault="00D5490D" w:rsidP="0080349A">
      <w:pPr>
        <w:spacing w:after="0" w:line="276" w:lineRule="auto"/>
        <w:ind w:left="0" w:right="0" w:firstLine="0"/>
        <w:rPr>
          <w:rFonts w:ascii="ITC Avant Garde" w:hAnsi="ITC Avant Garde"/>
          <w:lang w:val="es-ES"/>
        </w:rPr>
      </w:pPr>
    </w:p>
    <w:p w14:paraId="25861F4B" w14:textId="2D5AB3FC" w:rsidR="00D5490D" w:rsidRDefault="00D5490D" w:rsidP="00D5490D">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55F10F4A" w14:textId="77777777" w:rsidR="00D5490D" w:rsidRPr="00541685" w:rsidRDefault="00D5490D" w:rsidP="0080349A">
      <w:pPr>
        <w:spacing w:after="0" w:line="276" w:lineRule="auto"/>
        <w:ind w:left="0" w:right="0" w:firstLine="0"/>
        <w:rPr>
          <w:rFonts w:ascii="ITC Avant Garde" w:hAnsi="ITC Avant Garde"/>
          <w:lang w:val="es-ES"/>
        </w:rPr>
      </w:pPr>
    </w:p>
    <w:p w14:paraId="7C49D7E7" w14:textId="0D1E8098" w:rsidR="00541685" w:rsidRDefault="00D5490D" w:rsidP="0080349A">
      <w:pPr>
        <w:spacing w:after="0" w:line="276" w:lineRule="auto"/>
        <w:ind w:left="0" w:right="0" w:firstLine="0"/>
        <w:rPr>
          <w:rFonts w:ascii="ITC Avant Garde" w:hAnsi="ITC Avant Garde"/>
          <w:lang w:val="es-ES"/>
        </w:rPr>
      </w:pPr>
      <w:r>
        <w:rPr>
          <w:rFonts w:ascii="ITC Avant Garde" w:hAnsi="ITC Avant Garde"/>
          <w:lang w:val="es-ES"/>
        </w:rPr>
        <w:t>E</w:t>
      </w:r>
      <w:r w:rsidR="00541685" w:rsidRPr="00541685">
        <w:rPr>
          <w:rFonts w:ascii="ITC Avant Garde" w:hAnsi="ITC Avant Garde"/>
          <w:lang w:val="es-ES"/>
        </w:rPr>
        <w:t xml:space="preserve">l volumen de ingresos y de subscriptores de los concesionarios no guarda una relación directa con el costo de la terminación de voz, especialmente cuando es analizado bajo un esquema CILP puro. Lo determinante para el costo de terminación es el costo incremental que el tráfico genera en la red de los </w:t>
      </w:r>
      <w:r w:rsidR="00541685" w:rsidRPr="00541685">
        <w:rPr>
          <w:rFonts w:ascii="ITC Avant Garde" w:hAnsi="ITC Avant Garde"/>
          <w:lang w:val="es-ES"/>
        </w:rPr>
        <w:lastRenderedPageBreak/>
        <w:t xml:space="preserve">concesionarios y, por lo tanto, es adecuado contar con un modelo de costos que pueda estimar de manera preciosa estos costos para cada </w:t>
      </w:r>
      <w:r w:rsidR="00A94546">
        <w:rPr>
          <w:rFonts w:ascii="ITC Avant Garde" w:hAnsi="ITC Avant Garde"/>
          <w:lang w:val="es-ES"/>
        </w:rPr>
        <w:t>concesionario</w:t>
      </w:r>
      <w:r w:rsidR="00541685" w:rsidRPr="00541685">
        <w:rPr>
          <w:rFonts w:ascii="ITC Avant Garde" w:hAnsi="ITC Avant Garde"/>
          <w:lang w:val="es-ES"/>
        </w:rPr>
        <w:t>.</w:t>
      </w:r>
    </w:p>
    <w:p w14:paraId="6637F200" w14:textId="77777777" w:rsidR="00D5490D" w:rsidRPr="00541685" w:rsidRDefault="00D5490D" w:rsidP="0080349A">
      <w:pPr>
        <w:spacing w:after="0" w:line="276" w:lineRule="auto"/>
        <w:ind w:left="0" w:right="0" w:firstLine="0"/>
        <w:rPr>
          <w:rFonts w:ascii="ITC Avant Garde" w:hAnsi="ITC Avant Garde"/>
          <w:lang w:val="es-ES"/>
        </w:rPr>
      </w:pPr>
    </w:p>
    <w:p w14:paraId="78C71653" w14:textId="147C7219" w:rsidR="5D93981B" w:rsidRDefault="00541685" w:rsidP="5D93981B">
      <w:pPr>
        <w:spacing w:after="0" w:line="276" w:lineRule="auto"/>
        <w:ind w:left="0" w:right="0" w:firstLine="0"/>
        <w:rPr>
          <w:rFonts w:ascii="ITC Avant Garde" w:hAnsi="ITC Avant Garde"/>
          <w:b/>
          <w:bCs/>
          <w:u w:val="single"/>
          <w:lang w:val="es-ES"/>
        </w:rPr>
      </w:pPr>
      <w:r w:rsidRPr="00541685">
        <w:rPr>
          <w:rFonts w:ascii="ITC Avant Garde" w:hAnsi="ITC Avant Garde"/>
          <w:lang w:val="es-ES"/>
        </w:rPr>
        <w:t xml:space="preserve">Además, </w:t>
      </w:r>
      <w:r w:rsidR="00376355">
        <w:rPr>
          <w:rFonts w:ascii="ITC Avant Garde" w:hAnsi="ITC Avant Garde"/>
          <w:lang w:val="es-ES"/>
        </w:rPr>
        <w:t>se destaca</w:t>
      </w:r>
      <w:r w:rsidRPr="00541685">
        <w:rPr>
          <w:rFonts w:ascii="ITC Avant Garde" w:hAnsi="ITC Avant Garde"/>
          <w:lang w:val="es-ES"/>
        </w:rPr>
        <w:t xml:space="preserve"> que las dinámicas entre las redes fijas y móviles son muy diferentes y que, por lo tanto, el nivel de asimetría resultante no tiene por qué ser comparable entre ambas redes. Por ejemplo, en las redes móviles, el acceso es sensible al tráfico, ya que es frecuente tener que desplegar más emplazamientos móviles para cubrir áreas con una alta demanda de tráfico. Sin embargo, en las redes fijas, la red de acceso no es incremental de la misma manera.</w:t>
      </w:r>
      <w:r w:rsidRPr="00541685">
        <w:rPr>
          <w:rFonts w:ascii="ITC Avant Garde" w:hAnsi="ITC Avant Garde"/>
          <w:lang w:val="es-ES"/>
        </w:rPr>
        <w:cr/>
      </w:r>
    </w:p>
    <w:p w14:paraId="22AD2E6C" w14:textId="77777777" w:rsidR="00541685" w:rsidRPr="00D5490D" w:rsidRDefault="00541685" w:rsidP="0080349A">
      <w:pPr>
        <w:spacing w:after="0" w:line="276" w:lineRule="auto"/>
        <w:ind w:left="0" w:right="0" w:firstLine="0"/>
        <w:rPr>
          <w:rFonts w:ascii="ITC Avant Garde" w:hAnsi="ITC Avant Garde"/>
          <w:b/>
          <w:u w:val="single"/>
          <w:lang w:val="es-ES"/>
        </w:rPr>
      </w:pPr>
      <w:r w:rsidRPr="00D5490D">
        <w:rPr>
          <w:rFonts w:ascii="ITC Avant Garde" w:hAnsi="ITC Avant Garde"/>
          <w:b/>
          <w:u w:val="single"/>
          <w:lang w:val="es-ES"/>
        </w:rPr>
        <w:t>Comentarios al modelo de costos del servicio mayorista de arrendamiento de enlaces dedicados</w:t>
      </w:r>
    </w:p>
    <w:p w14:paraId="0B41D98F" w14:textId="77777777" w:rsidR="00D5490D" w:rsidRDefault="00D5490D" w:rsidP="0080349A">
      <w:pPr>
        <w:spacing w:after="0" w:line="276" w:lineRule="auto"/>
        <w:ind w:left="0" w:right="0" w:firstLine="0"/>
        <w:rPr>
          <w:rFonts w:ascii="ITC Avant Garde" w:hAnsi="ITC Avant Garde"/>
          <w:lang w:val="es-ES"/>
        </w:rPr>
      </w:pPr>
    </w:p>
    <w:p w14:paraId="68DAB8ED" w14:textId="78C3D150" w:rsidR="00541685" w:rsidRP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Esta sección presenta los comentarios, opiniones y aportaciones de los </w:t>
      </w:r>
      <w:r w:rsidR="00A94546">
        <w:rPr>
          <w:rFonts w:ascii="ITC Avant Garde" w:hAnsi="ITC Avant Garde"/>
          <w:lang w:val="es-ES"/>
        </w:rPr>
        <w:t>concesionarios</w:t>
      </w:r>
      <w:r w:rsidRPr="00541685">
        <w:rPr>
          <w:rFonts w:ascii="ITC Avant Garde" w:hAnsi="ITC Avant Garde"/>
          <w:lang w:val="es-ES"/>
        </w:rPr>
        <w:t xml:space="preserve"> al modelo de costos del servicio mayorista de arrendamiento de enlaces dedicados.</w:t>
      </w:r>
    </w:p>
    <w:p w14:paraId="63EF72A5" w14:textId="77777777" w:rsidR="00D5490D" w:rsidRDefault="00D5490D" w:rsidP="0080349A">
      <w:pPr>
        <w:spacing w:after="0" w:line="276" w:lineRule="auto"/>
        <w:ind w:left="0" w:right="0" w:firstLine="0"/>
        <w:rPr>
          <w:rFonts w:ascii="ITC Avant Garde" w:hAnsi="ITC Avant Garde"/>
          <w:lang w:val="es-ES"/>
        </w:rPr>
      </w:pPr>
    </w:p>
    <w:p w14:paraId="29F5582E" w14:textId="740E11DC" w:rsidR="00541685" w:rsidRPr="00D5490D" w:rsidRDefault="00541685" w:rsidP="0080349A">
      <w:pPr>
        <w:spacing w:after="0" w:line="276" w:lineRule="auto"/>
        <w:ind w:left="0" w:right="0" w:firstLine="0"/>
        <w:rPr>
          <w:rFonts w:ascii="ITC Avant Garde" w:hAnsi="ITC Avant Garde"/>
          <w:b/>
          <w:u w:val="single"/>
          <w:lang w:val="es-ES"/>
        </w:rPr>
      </w:pPr>
      <w:r w:rsidRPr="00D5490D">
        <w:rPr>
          <w:rFonts w:ascii="ITC Avant Garde" w:hAnsi="ITC Avant Garde"/>
          <w:b/>
          <w:u w:val="single"/>
          <w:lang w:val="es-ES"/>
        </w:rPr>
        <w:t>Comentarios la metodología del modelo</w:t>
      </w:r>
    </w:p>
    <w:p w14:paraId="08792698" w14:textId="77777777" w:rsidR="00D5490D" w:rsidRDefault="00D5490D" w:rsidP="0080349A">
      <w:pPr>
        <w:spacing w:after="0" w:line="276" w:lineRule="auto"/>
        <w:ind w:left="0" w:right="0" w:firstLine="0"/>
        <w:rPr>
          <w:rFonts w:ascii="ITC Avant Garde" w:hAnsi="ITC Avant Garde"/>
          <w:lang w:val="es-ES"/>
        </w:rPr>
      </w:pPr>
    </w:p>
    <w:p w14:paraId="4444AEC2" w14:textId="7B1C51C0" w:rsidR="00541685" w:rsidRPr="00D5490D" w:rsidRDefault="00541685" w:rsidP="0080349A">
      <w:pPr>
        <w:spacing w:after="0" w:line="276" w:lineRule="auto"/>
        <w:ind w:left="0" w:right="0" w:firstLine="0"/>
        <w:rPr>
          <w:rFonts w:ascii="ITC Avant Garde" w:hAnsi="ITC Avant Garde"/>
          <w:i/>
          <w:lang w:val="es-ES"/>
        </w:rPr>
      </w:pPr>
      <w:r w:rsidRPr="00D5490D">
        <w:rPr>
          <w:rFonts w:ascii="ITC Avant Garde" w:hAnsi="ITC Avant Garde"/>
          <w:i/>
          <w:lang w:val="es-ES"/>
        </w:rPr>
        <w:t>Comentarios sobre el factor de calibración regulatoria</w:t>
      </w:r>
    </w:p>
    <w:p w14:paraId="2C4B323C" w14:textId="15A9B36C" w:rsidR="00D5490D" w:rsidRDefault="00D5490D" w:rsidP="0080349A">
      <w:pPr>
        <w:spacing w:after="0" w:line="276" w:lineRule="auto"/>
        <w:ind w:left="0" w:right="0" w:firstLine="0"/>
        <w:rPr>
          <w:rFonts w:ascii="ITC Avant Garde" w:hAnsi="ITC Avant Garde"/>
          <w:lang w:val="es-ES"/>
        </w:rPr>
      </w:pPr>
    </w:p>
    <w:p w14:paraId="2A54ED15" w14:textId="2992187A" w:rsidR="00D5490D" w:rsidRDefault="00D5490D" w:rsidP="0080349A">
      <w:pPr>
        <w:spacing w:after="0" w:line="276" w:lineRule="auto"/>
        <w:ind w:left="0" w:right="0" w:firstLine="0"/>
        <w:rPr>
          <w:rFonts w:ascii="ITC Avant Garde" w:hAnsi="ITC Avant Garde"/>
          <w:lang w:val="es-ES"/>
        </w:rPr>
      </w:pPr>
      <w:r>
        <w:rPr>
          <w:rFonts w:ascii="ITC Avant Garde" w:hAnsi="ITC Avant Garde"/>
          <w:lang w:val="es-ES"/>
        </w:rPr>
        <w:t>CANIETI, Axtel, GTV y Mega Cable</w:t>
      </w:r>
    </w:p>
    <w:p w14:paraId="1E3FEE67" w14:textId="77777777" w:rsidR="00D5490D" w:rsidRDefault="00D5490D" w:rsidP="0080349A">
      <w:pPr>
        <w:spacing w:after="0" w:line="276" w:lineRule="auto"/>
        <w:ind w:left="0" w:right="0" w:firstLine="0"/>
        <w:rPr>
          <w:rFonts w:ascii="ITC Avant Garde" w:hAnsi="ITC Avant Garde"/>
          <w:lang w:val="es-ES"/>
        </w:rPr>
      </w:pPr>
    </w:p>
    <w:p w14:paraId="19F11E59" w14:textId="34994B53" w:rsidR="00541685" w:rsidRDefault="00376355" w:rsidP="0080349A">
      <w:pPr>
        <w:spacing w:after="0" w:line="276" w:lineRule="auto"/>
        <w:ind w:left="0" w:right="0" w:firstLine="0"/>
        <w:rPr>
          <w:rFonts w:ascii="ITC Avant Garde" w:hAnsi="ITC Avant Garde"/>
          <w:lang w:val="es-ES"/>
        </w:rPr>
      </w:pPr>
      <w:r>
        <w:rPr>
          <w:rFonts w:ascii="ITC Avant Garde" w:hAnsi="ITC Avant Garde"/>
          <w:lang w:val="es-ES"/>
        </w:rPr>
        <w:t>CANIETI</w:t>
      </w:r>
      <w:r w:rsidR="00541685" w:rsidRPr="00541685">
        <w:rPr>
          <w:rFonts w:ascii="ITC Avant Garde" w:hAnsi="ITC Avant Garde"/>
          <w:lang w:val="es-ES"/>
        </w:rPr>
        <w:t xml:space="preserve"> y Axtel, GTV y </w:t>
      </w:r>
      <w:r w:rsidR="005075FE">
        <w:rPr>
          <w:rFonts w:ascii="ITC Avant Garde" w:hAnsi="ITC Avant Garde"/>
          <w:lang w:val="es-ES"/>
        </w:rPr>
        <w:t>Mega Cable</w:t>
      </w:r>
      <w:r w:rsidR="00541685" w:rsidRPr="00541685">
        <w:rPr>
          <w:rFonts w:ascii="ITC Avant Garde" w:hAnsi="ITC Avant Garde"/>
          <w:lang w:val="es-ES"/>
        </w:rPr>
        <w:t xml:space="preserve"> consideran que la inclusión de un factor de calibración por contabilidad regulatoria va en contra del objetivo de modelar un </w:t>
      </w:r>
      <w:r w:rsidR="00A94546">
        <w:rPr>
          <w:rFonts w:ascii="ITC Avant Garde" w:hAnsi="ITC Avant Garde"/>
          <w:lang w:val="es-ES"/>
        </w:rPr>
        <w:t>operador eficiente</w:t>
      </w:r>
      <w:r w:rsidR="00541685" w:rsidRPr="00541685">
        <w:rPr>
          <w:rFonts w:ascii="ITC Avant Garde" w:hAnsi="ITC Avant Garde"/>
          <w:lang w:val="es-ES"/>
        </w:rPr>
        <w:t xml:space="preserve"> y, por tanto, solicitan su eliminación.</w:t>
      </w:r>
    </w:p>
    <w:p w14:paraId="77EB8B03" w14:textId="77777777" w:rsidR="00D5490D" w:rsidRPr="00541685" w:rsidRDefault="00D5490D" w:rsidP="0080349A">
      <w:pPr>
        <w:spacing w:after="0" w:line="276" w:lineRule="auto"/>
        <w:ind w:left="0" w:right="0" w:firstLine="0"/>
        <w:rPr>
          <w:rFonts w:ascii="ITC Avant Garde" w:hAnsi="ITC Avant Garde"/>
          <w:lang w:val="es-ES"/>
        </w:rPr>
      </w:pPr>
    </w:p>
    <w:p w14:paraId="5225F5F3" w14:textId="6F6E589A"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Por un lado, </w:t>
      </w:r>
      <w:r w:rsidR="00D5490D">
        <w:rPr>
          <w:rFonts w:ascii="ITC Avant Garde" w:hAnsi="ITC Avant Garde"/>
          <w:lang w:val="es-ES"/>
        </w:rPr>
        <w:t>Axtel</w:t>
      </w:r>
      <w:r w:rsidRPr="00541685">
        <w:rPr>
          <w:rFonts w:ascii="ITC Avant Garde" w:hAnsi="ITC Avant Garde"/>
          <w:lang w:val="es-ES"/>
        </w:rPr>
        <w:t xml:space="preserve"> afirma que el factor de calibración carece de sustento teórico y metodológico dentro del modelo, y opina que un factor alto sobre la separación contable puede tener el efecto de establecer barreras para la utilización de los servicios mayoristas.</w:t>
      </w:r>
    </w:p>
    <w:p w14:paraId="774A04CD" w14:textId="77777777" w:rsidR="00D5490D" w:rsidRPr="00541685" w:rsidRDefault="00D5490D" w:rsidP="0080349A">
      <w:pPr>
        <w:spacing w:after="0" w:line="276" w:lineRule="auto"/>
        <w:ind w:left="0" w:right="0" w:firstLine="0"/>
        <w:rPr>
          <w:rFonts w:ascii="ITC Avant Garde" w:hAnsi="ITC Avant Garde"/>
          <w:lang w:val="es-ES"/>
        </w:rPr>
      </w:pPr>
    </w:p>
    <w:p w14:paraId="15595F45" w14:textId="41587B5F"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Por otro lado, </w:t>
      </w:r>
      <w:r w:rsidR="00376355">
        <w:rPr>
          <w:rFonts w:ascii="ITC Avant Garde" w:hAnsi="ITC Avant Garde"/>
          <w:lang w:val="es-ES"/>
        </w:rPr>
        <w:t>CANIETI</w:t>
      </w:r>
      <w:r w:rsidRPr="00541685">
        <w:rPr>
          <w:rFonts w:ascii="ITC Avant Garde" w:hAnsi="ITC Avant Garde"/>
          <w:lang w:val="es-ES"/>
        </w:rPr>
        <w:t xml:space="preserve"> y </w:t>
      </w:r>
      <w:r w:rsidR="00376355">
        <w:rPr>
          <w:rFonts w:ascii="ITC Avant Garde" w:hAnsi="ITC Avant Garde"/>
          <w:lang w:val="es-ES"/>
        </w:rPr>
        <w:t>Mega Cable</w:t>
      </w:r>
      <w:r w:rsidRPr="00541685">
        <w:rPr>
          <w:rFonts w:ascii="ITC Avant Garde" w:hAnsi="ITC Avant Garde"/>
          <w:lang w:val="es-ES"/>
        </w:rPr>
        <w:t xml:space="preserve"> señalan que el uso de un factor de calibración genera incentivos para el AEP de recuperar costos a través de servicios con tecnologías históricas y obsoletas.</w:t>
      </w:r>
    </w:p>
    <w:p w14:paraId="7A81BE4E" w14:textId="77777777" w:rsidR="00D5490D" w:rsidRPr="00541685" w:rsidRDefault="00D5490D" w:rsidP="0080349A">
      <w:pPr>
        <w:spacing w:after="0" w:line="276" w:lineRule="auto"/>
        <w:ind w:left="0" w:right="0" w:firstLine="0"/>
        <w:rPr>
          <w:rFonts w:ascii="ITC Avant Garde" w:hAnsi="ITC Avant Garde"/>
          <w:lang w:val="es-ES"/>
        </w:rPr>
      </w:pPr>
    </w:p>
    <w:p w14:paraId="20A89470" w14:textId="3BF25C9D" w:rsidR="00541685" w:rsidRDefault="00541685"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Por último, </w:t>
      </w:r>
      <w:r w:rsidR="007C441B" w:rsidRPr="58E23F00">
        <w:rPr>
          <w:rFonts w:ascii="ITC Avant Garde" w:hAnsi="ITC Avant Garde"/>
          <w:lang w:val="es-ES"/>
        </w:rPr>
        <w:t>GTV</w:t>
      </w:r>
      <w:r w:rsidRPr="58E23F00">
        <w:rPr>
          <w:rFonts w:ascii="ITC Avant Garde" w:hAnsi="ITC Avant Garde"/>
          <w:lang w:val="es-ES"/>
        </w:rPr>
        <w:t xml:space="preserve"> solicita al </w:t>
      </w:r>
      <w:r w:rsidR="647786AF" w:rsidRPr="58E23F00">
        <w:rPr>
          <w:rFonts w:ascii="ITC Avant Garde" w:hAnsi="ITC Avant Garde"/>
          <w:lang w:val="es-ES"/>
        </w:rPr>
        <w:t>I</w:t>
      </w:r>
      <w:r w:rsidR="5D5F9708" w:rsidRPr="58E23F00">
        <w:rPr>
          <w:rFonts w:ascii="ITC Avant Garde" w:hAnsi="ITC Avant Garde"/>
          <w:lang w:val="es-ES"/>
        </w:rPr>
        <w:t>nstituto</w:t>
      </w:r>
      <w:r w:rsidR="0AF39D56" w:rsidRPr="58E23F00">
        <w:rPr>
          <w:rFonts w:ascii="ITC Avant Garde" w:hAnsi="ITC Avant Garde"/>
          <w:lang w:val="es-ES"/>
        </w:rPr>
        <w:t xml:space="preserve"> </w:t>
      </w:r>
      <w:r w:rsidRPr="58E23F00">
        <w:rPr>
          <w:rFonts w:ascii="ITC Avant Garde" w:hAnsi="ITC Avant Garde"/>
          <w:lang w:val="es-ES"/>
        </w:rPr>
        <w:t>más detalle sobre la metodología empleada para estimar los porcentajes de calibración de contabilidad regulatoria.</w:t>
      </w:r>
    </w:p>
    <w:p w14:paraId="56B710D1" w14:textId="480CF34C" w:rsidR="00D5490D" w:rsidRDefault="00D5490D" w:rsidP="0080349A">
      <w:pPr>
        <w:spacing w:after="0" w:line="276" w:lineRule="auto"/>
        <w:ind w:left="0" w:right="0" w:firstLine="0"/>
        <w:rPr>
          <w:rFonts w:ascii="ITC Avant Garde" w:hAnsi="ITC Avant Garde"/>
          <w:lang w:val="es-ES"/>
        </w:rPr>
      </w:pPr>
    </w:p>
    <w:p w14:paraId="589876F9" w14:textId="01D048B9" w:rsidR="00D5490D" w:rsidRDefault="00D5490D" w:rsidP="00D5490D">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20FBDF85" w14:textId="77777777" w:rsidR="00D5490D" w:rsidRPr="00541685" w:rsidRDefault="00D5490D" w:rsidP="0080349A">
      <w:pPr>
        <w:spacing w:after="0" w:line="276" w:lineRule="auto"/>
        <w:ind w:left="0" w:right="0" w:firstLine="0"/>
        <w:rPr>
          <w:rFonts w:ascii="ITC Avant Garde" w:hAnsi="ITC Avant Garde"/>
          <w:lang w:val="es-ES"/>
        </w:rPr>
      </w:pPr>
    </w:p>
    <w:p w14:paraId="7E535344" w14:textId="17F2B6B0" w:rsidR="00541685" w:rsidRDefault="00856A78" w:rsidP="0080349A">
      <w:pPr>
        <w:spacing w:after="0" w:line="276" w:lineRule="auto"/>
        <w:ind w:left="0" w:right="0" w:firstLine="0"/>
        <w:rPr>
          <w:rFonts w:ascii="ITC Avant Garde" w:hAnsi="ITC Avant Garde"/>
          <w:lang w:val="es-ES"/>
        </w:rPr>
      </w:pPr>
      <w:r>
        <w:rPr>
          <w:rFonts w:ascii="ITC Avant Garde" w:hAnsi="ITC Avant Garde"/>
          <w:lang w:val="es-ES"/>
        </w:rPr>
        <w:lastRenderedPageBreak/>
        <w:t>Se considera</w:t>
      </w:r>
      <w:r w:rsidR="00541685" w:rsidRPr="00541685">
        <w:rPr>
          <w:rFonts w:ascii="ITC Avant Garde" w:hAnsi="ITC Avant Garde"/>
          <w:lang w:val="es-ES"/>
        </w:rPr>
        <w:t xml:space="preserve"> importante incluir el ajuste de calibración al resultado de los costos de transporte del módulo de redes fijas, ya que, en línea con lo argumentado en la documentación, el diseño del módulo de redes fijas se basa en una red eficiente y moderna que, por tanto, se basa exclusivamente sobre la tecnología ethernet. Mientras tanto, las medidas impuestas sobre el AEP obligan a la provisión de servicios de enlaces dedicados a través de la tecnología TDM.</w:t>
      </w:r>
    </w:p>
    <w:p w14:paraId="5557450B" w14:textId="77777777" w:rsidR="00D5490D" w:rsidRPr="00541685" w:rsidRDefault="00D5490D" w:rsidP="0080349A">
      <w:pPr>
        <w:spacing w:after="0" w:line="276" w:lineRule="auto"/>
        <w:ind w:left="0" w:right="0" w:firstLine="0"/>
        <w:rPr>
          <w:rFonts w:ascii="ITC Avant Garde" w:hAnsi="ITC Avant Garde"/>
          <w:lang w:val="es-ES"/>
        </w:rPr>
      </w:pPr>
    </w:p>
    <w:p w14:paraId="5DAE5BF3" w14:textId="46BE01BD"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Bajo este supuesto, es necesario asegurar que el AEP puede recuperar los costos incurridos de forma eficiente en la prestación de los servicios TDM. Esto impli</w:t>
      </w:r>
      <w:r w:rsidR="00D5490D">
        <w:rPr>
          <w:rFonts w:ascii="ITC Avant Garde" w:hAnsi="ITC Avant Garde"/>
          <w:lang w:val="es-ES"/>
        </w:rPr>
        <w:t>ca</w:t>
      </w:r>
      <w:r w:rsidR="008A4535">
        <w:rPr>
          <w:rFonts w:ascii="ITC Avant Garde" w:hAnsi="ITC Avant Garde"/>
          <w:lang w:val="es-ES"/>
        </w:rPr>
        <w:t xml:space="preserve"> </w:t>
      </w:r>
      <w:r w:rsidRPr="00541685">
        <w:rPr>
          <w:rFonts w:ascii="ITC Avant Garde" w:hAnsi="ITC Avant Garde"/>
          <w:lang w:val="es-ES"/>
        </w:rPr>
        <w:t>la contabilización de plataformas legado que no se incluyen modeladas como parte del módulo de red fija. El factor de reconciliación trata de estimar el costo adicional que representan estas plataformas.</w:t>
      </w:r>
      <w:r w:rsidR="00325634">
        <w:rPr>
          <w:rFonts w:ascii="ITC Avant Garde" w:hAnsi="ITC Avant Garde"/>
          <w:lang w:val="es-ES"/>
        </w:rPr>
        <w:t xml:space="preserve"> E</w:t>
      </w:r>
      <w:r w:rsidRPr="00541685">
        <w:rPr>
          <w:rFonts w:ascii="ITC Avant Garde" w:hAnsi="ITC Avant Garde"/>
          <w:lang w:val="es-ES"/>
        </w:rPr>
        <w:t xml:space="preserve">ste factor no debe ser eliminado ya que, de ser </w:t>
      </w:r>
      <w:r w:rsidR="00D5490D" w:rsidRPr="00541685">
        <w:rPr>
          <w:rFonts w:ascii="ITC Avant Garde" w:hAnsi="ITC Avant Garde"/>
          <w:lang w:val="es-ES"/>
        </w:rPr>
        <w:t>a</w:t>
      </w:r>
      <w:r w:rsidR="00D5490D">
        <w:rPr>
          <w:rFonts w:ascii="ITC Avant Garde" w:hAnsi="ITC Avant Garde"/>
          <w:lang w:val="es-ES"/>
        </w:rPr>
        <w:t>sí</w:t>
      </w:r>
      <w:r w:rsidRPr="00541685">
        <w:rPr>
          <w:rFonts w:ascii="ITC Avant Garde" w:hAnsi="ITC Avant Garde"/>
          <w:lang w:val="es-ES"/>
        </w:rPr>
        <w:t xml:space="preserve">, el modelo de enlaces dedicados no permitiría que el </w:t>
      </w:r>
      <w:r w:rsidR="00A94546">
        <w:rPr>
          <w:rFonts w:ascii="ITC Avant Garde" w:hAnsi="ITC Avant Garde"/>
          <w:lang w:val="es-ES"/>
        </w:rPr>
        <w:t>concesionario</w:t>
      </w:r>
      <w:r w:rsidRPr="00541685">
        <w:rPr>
          <w:rFonts w:ascii="ITC Avant Garde" w:hAnsi="ITC Avant Garde"/>
          <w:lang w:val="es-ES"/>
        </w:rPr>
        <w:t xml:space="preserve"> recuperara los costos incurridos por la provisión de servicios que está obligado a ofrecer.</w:t>
      </w:r>
    </w:p>
    <w:p w14:paraId="014A1D0D" w14:textId="77777777" w:rsidR="00D5490D" w:rsidRPr="00541685" w:rsidRDefault="00D5490D" w:rsidP="0080349A">
      <w:pPr>
        <w:spacing w:after="0" w:line="276" w:lineRule="auto"/>
        <w:ind w:left="0" w:right="0" w:firstLine="0"/>
        <w:rPr>
          <w:rFonts w:ascii="ITC Avant Garde" w:hAnsi="ITC Avant Garde"/>
          <w:lang w:val="es-ES"/>
        </w:rPr>
      </w:pPr>
    </w:p>
    <w:p w14:paraId="050A6A0C" w14:textId="134928AF"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Dado que no se dispone de una modelización precisa de estos costos, se considera apropiado tomar los costos presentes en la separación contable del AEP correspondiente a la prestación de este servicio. La forma de estimar el factor de reconciliación es la siguiente:</w:t>
      </w:r>
    </w:p>
    <w:p w14:paraId="78AA8B72" w14:textId="77777777" w:rsidR="00D5490D" w:rsidRPr="00541685" w:rsidRDefault="00D5490D" w:rsidP="0080349A">
      <w:pPr>
        <w:spacing w:after="0" w:line="276" w:lineRule="auto"/>
        <w:ind w:left="0" w:right="0" w:firstLine="0"/>
        <w:rPr>
          <w:rFonts w:ascii="ITC Avant Garde" w:hAnsi="ITC Avant Garde"/>
          <w:lang w:val="es-ES"/>
        </w:rPr>
      </w:pPr>
    </w:p>
    <w:p w14:paraId="7B930FFE" w14:textId="41B4853D"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Para el servicio de enlaces dedicados locales: se obtiene de la separación contable el costo real incurrido por el AEP para el servicio de enlaces dedicados locales (excluyendo los costos asociados al acceso, al ser estos extraídos y calculados directamente en el modelo integral de acceso), y se estima su diferencia con respecto al costo de transporte obtenido en el modelo fijo.</w:t>
      </w:r>
    </w:p>
    <w:p w14:paraId="456845B5" w14:textId="77777777" w:rsidR="00D5490D" w:rsidRPr="00541685" w:rsidRDefault="00D5490D" w:rsidP="0080349A">
      <w:pPr>
        <w:spacing w:after="0" w:line="276" w:lineRule="auto"/>
        <w:ind w:left="0" w:right="0" w:firstLine="0"/>
        <w:rPr>
          <w:rFonts w:ascii="ITC Avant Garde" w:hAnsi="ITC Avant Garde"/>
          <w:lang w:val="es-ES"/>
        </w:rPr>
      </w:pPr>
    </w:p>
    <w:p w14:paraId="53D987F8" w14:textId="4C4714B5"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Para los servicios de enlaces dedicados entre localidades e internacionales: se obtiene de la separación contable el costo real incurrido para el mismo servicio (incluyendo solo costos imputables a la provisión del servicio a nivel mayorista) y se calcula su diferencia con respecto al costo de transporte estimado en el modelo fijo.</w:t>
      </w:r>
    </w:p>
    <w:p w14:paraId="5DF2496E" w14:textId="77777777" w:rsidR="00D5490D" w:rsidRPr="00541685" w:rsidRDefault="00D5490D" w:rsidP="0080349A">
      <w:pPr>
        <w:spacing w:after="0" w:line="276" w:lineRule="auto"/>
        <w:ind w:left="0" w:right="0" w:firstLine="0"/>
        <w:rPr>
          <w:rFonts w:ascii="ITC Avant Garde" w:hAnsi="ITC Avant Garde"/>
          <w:lang w:val="es-ES"/>
        </w:rPr>
      </w:pPr>
    </w:p>
    <w:p w14:paraId="5B42294E" w14:textId="6C5D7BF1"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Con respecto al reparto de estos costos, </w:t>
      </w:r>
      <w:r w:rsidR="00856A78">
        <w:rPr>
          <w:rFonts w:ascii="ITC Avant Garde" w:hAnsi="ITC Avant Garde"/>
          <w:lang w:val="es-ES"/>
        </w:rPr>
        <w:t>se considera</w:t>
      </w:r>
      <w:r w:rsidRPr="00541685">
        <w:rPr>
          <w:rFonts w:ascii="ITC Avant Garde" w:hAnsi="ITC Avant Garde"/>
          <w:lang w:val="es-ES"/>
        </w:rPr>
        <w:t xml:space="preserve"> que la forma más apropiada de repartir estos costos es a través del gradiente, el cual permite tener un criterio único. En cualquier caso, cabe destacar que el modelo asegura que existen los incentivos adecuados para realizar la migración de servicios TDM hacia ethernet. Por ejemplo, en comparación con un servicio STM1 (TDM) local, un servicio ethernet de similar capacidad (150Mbit/s) tendría un costo ~67% menor.</w:t>
      </w:r>
    </w:p>
    <w:p w14:paraId="5968AF9B" w14:textId="77777777" w:rsidR="00D5490D" w:rsidRPr="00541685" w:rsidRDefault="00D5490D" w:rsidP="0080349A">
      <w:pPr>
        <w:spacing w:after="0" w:line="276" w:lineRule="auto"/>
        <w:ind w:left="0" w:right="0" w:firstLine="0"/>
        <w:rPr>
          <w:rFonts w:ascii="ITC Avant Garde" w:hAnsi="ITC Avant Garde"/>
          <w:lang w:val="es-ES"/>
        </w:rPr>
      </w:pPr>
    </w:p>
    <w:p w14:paraId="14378AFA" w14:textId="77777777" w:rsidR="00541685" w:rsidRPr="00D5490D" w:rsidRDefault="00541685" w:rsidP="0080349A">
      <w:pPr>
        <w:spacing w:after="0" w:line="276" w:lineRule="auto"/>
        <w:ind w:left="0" w:right="0" w:firstLine="0"/>
        <w:rPr>
          <w:rFonts w:ascii="ITC Avant Garde" w:hAnsi="ITC Avant Garde"/>
          <w:i/>
          <w:lang w:val="es-ES"/>
        </w:rPr>
      </w:pPr>
      <w:r w:rsidRPr="00D5490D">
        <w:rPr>
          <w:rFonts w:ascii="ITC Avant Garde" w:hAnsi="ITC Avant Garde"/>
          <w:i/>
          <w:lang w:val="es-ES"/>
        </w:rPr>
        <w:t>Uso e implementación del gradiente</w:t>
      </w:r>
    </w:p>
    <w:p w14:paraId="604DA5AE" w14:textId="77777777" w:rsidR="00D5490D" w:rsidRDefault="00D5490D" w:rsidP="0080349A">
      <w:pPr>
        <w:spacing w:after="0" w:line="276" w:lineRule="auto"/>
        <w:ind w:left="0" w:right="0" w:firstLine="0"/>
        <w:rPr>
          <w:rFonts w:ascii="ITC Avant Garde" w:hAnsi="ITC Avant Garde"/>
          <w:lang w:val="es-ES"/>
        </w:rPr>
      </w:pPr>
    </w:p>
    <w:p w14:paraId="4E167D21" w14:textId="03261BCD" w:rsidR="00D5490D" w:rsidRDefault="00D5490D" w:rsidP="0080349A">
      <w:pPr>
        <w:spacing w:after="0" w:line="276" w:lineRule="auto"/>
        <w:ind w:left="0" w:right="0" w:firstLine="0"/>
        <w:rPr>
          <w:rFonts w:ascii="ITC Avant Garde" w:hAnsi="ITC Avant Garde"/>
          <w:lang w:val="es-ES"/>
        </w:rPr>
      </w:pPr>
      <w:r>
        <w:rPr>
          <w:rFonts w:ascii="ITC Avant Garde" w:hAnsi="ITC Avant Garde"/>
          <w:lang w:val="es-ES"/>
        </w:rPr>
        <w:t>CANIETI y GTV</w:t>
      </w:r>
    </w:p>
    <w:p w14:paraId="43F560D3" w14:textId="77777777" w:rsidR="00D5490D" w:rsidRDefault="00D5490D" w:rsidP="0080349A">
      <w:pPr>
        <w:spacing w:after="0" w:line="276" w:lineRule="auto"/>
        <w:ind w:left="0" w:right="0" w:firstLine="0"/>
        <w:rPr>
          <w:rFonts w:ascii="ITC Avant Garde" w:hAnsi="ITC Avant Garde"/>
          <w:lang w:val="es-ES"/>
        </w:rPr>
      </w:pPr>
    </w:p>
    <w:p w14:paraId="31DB530A" w14:textId="6B165FB9" w:rsidR="00541685" w:rsidRPr="00541685" w:rsidRDefault="00376355" w:rsidP="0080349A">
      <w:pPr>
        <w:spacing w:after="0" w:line="276" w:lineRule="auto"/>
        <w:ind w:left="0" w:right="0" w:firstLine="0"/>
        <w:rPr>
          <w:rFonts w:ascii="ITC Avant Garde" w:hAnsi="ITC Avant Garde"/>
          <w:lang w:val="es-ES"/>
        </w:rPr>
      </w:pPr>
      <w:r w:rsidRPr="58E23F00">
        <w:rPr>
          <w:rFonts w:ascii="ITC Avant Garde" w:hAnsi="ITC Avant Garde"/>
          <w:lang w:val="es-ES"/>
        </w:rPr>
        <w:t>CANIETI</w:t>
      </w:r>
      <w:r w:rsidR="00541685" w:rsidRPr="58E23F00">
        <w:rPr>
          <w:rFonts w:ascii="ITC Avant Garde" w:hAnsi="ITC Avant Garde"/>
          <w:lang w:val="es-ES"/>
        </w:rPr>
        <w:t xml:space="preserve"> afirma que el enfoque del </w:t>
      </w:r>
      <w:r w:rsidR="647786AF" w:rsidRPr="58E23F00">
        <w:rPr>
          <w:rFonts w:ascii="ITC Avant Garde" w:hAnsi="ITC Avant Garde"/>
          <w:lang w:val="es-ES"/>
        </w:rPr>
        <w:t>I</w:t>
      </w:r>
      <w:r w:rsidR="1336B03E"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para el cálculo de la renta mensual a partir de los enlaces equivalentes y la aplicación del gradiente distorsiona los resultados de los costos unitarios por enlace dedicado, y penaliza el uso de capacidades por debajo de los 10Mbit/s.</w:t>
      </w:r>
    </w:p>
    <w:p w14:paraId="2C06AA34" w14:textId="77777777" w:rsidR="00D5490D" w:rsidRDefault="00D5490D" w:rsidP="0080349A">
      <w:pPr>
        <w:spacing w:after="0" w:line="276" w:lineRule="auto"/>
        <w:ind w:left="0" w:right="0" w:firstLine="0"/>
        <w:rPr>
          <w:rFonts w:ascii="ITC Avant Garde" w:hAnsi="ITC Avant Garde"/>
          <w:lang w:val="es-ES"/>
        </w:rPr>
      </w:pPr>
    </w:p>
    <w:p w14:paraId="460D85A4" w14:textId="465C2D0F" w:rsidR="00541685" w:rsidRDefault="00541685"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Por otro lado, </w:t>
      </w:r>
      <w:r w:rsidR="007C441B" w:rsidRPr="58E23F00">
        <w:rPr>
          <w:rFonts w:ascii="ITC Avant Garde" w:hAnsi="ITC Avant Garde"/>
          <w:lang w:val="es-ES"/>
        </w:rPr>
        <w:t>GTV</w:t>
      </w:r>
      <w:r w:rsidRPr="58E23F00">
        <w:rPr>
          <w:rFonts w:ascii="ITC Avant Garde" w:hAnsi="ITC Avant Garde"/>
          <w:lang w:val="es-ES"/>
        </w:rPr>
        <w:t xml:space="preserve"> argumenta que no se considera transparente la forma en la cual el uso de los gradientes tiene en cuenta el efecto de la elasticidad de la demanda, ni se incluye ninguna curva de elasticidad de precios que justifique la dinámi</w:t>
      </w:r>
      <w:r w:rsidR="00D5490D" w:rsidRPr="58E23F00">
        <w:rPr>
          <w:rFonts w:ascii="ITC Avant Garde" w:hAnsi="ITC Avant Garde"/>
          <w:lang w:val="es-ES"/>
        </w:rPr>
        <w:t>ca</w:t>
      </w:r>
      <w:r w:rsidR="008A4535" w:rsidRPr="58E23F00">
        <w:rPr>
          <w:rFonts w:ascii="ITC Avant Garde" w:hAnsi="ITC Avant Garde"/>
          <w:lang w:val="es-ES"/>
        </w:rPr>
        <w:t xml:space="preserve"> </w:t>
      </w:r>
      <w:r w:rsidRPr="58E23F00">
        <w:rPr>
          <w:rFonts w:ascii="ITC Avant Garde" w:hAnsi="ITC Avant Garde"/>
          <w:lang w:val="es-ES"/>
        </w:rPr>
        <w:t xml:space="preserve">de los gradientes utilizados. Asimismo, </w:t>
      </w:r>
      <w:r w:rsidR="007C441B" w:rsidRPr="58E23F00">
        <w:rPr>
          <w:rFonts w:ascii="ITC Avant Garde" w:hAnsi="ITC Avant Garde"/>
          <w:lang w:val="es-ES"/>
        </w:rPr>
        <w:t>GTV</w:t>
      </w:r>
      <w:r w:rsidRPr="58E23F00">
        <w:rPr>
          <w:rFonts w:ascii="ITC Avant Garde" w:hAnsi="ITC Avant Garde"/>
          <w:lang w:val="es-ES"/>
        </w:rPr>
        <w:t xml:space="preserve"> considera que el </w:t>
      </w:r>
      <w:r w:rsidR="647786AF" w:rsidRPr="58E23F00">
        <w:rPr>
          <w:rFonts w:ascii="ITC Avant Garde" w:hAnsi="ITC Avant Garde"/>
          <w:lang w:val="es-ES"/>
        </w:rPr>
        <w:t>I</w:t>
      </w:r>
      <w:r w:rsidR="155802E6" w:rsidRPr="58E23F00">
        <w:rPr>
          <w:rFonts w:ascii="ITC Avant Garde" w:hAnsi="ITC Avant Garde"/>
          <w:lang w:val="es-ES"/>
        </w:rPr>
        <w:t>nstituto</w:t>
      </w:r>
      <w:r w:rsidR="0AF39D56" w:rsidRPr="58E23F00">
        <w:rPr>
          <w:rFonts w:ascii="ITC Avant Garde" w:hAnsi="ITC Avant Garde"/>
          <w:lang w:val="es-ES"/>
        </w:rPr>
        <w:t xml:space="preserve"> </w:t>
      </w:r>
      <w:r w:rsidRPr="58E23F00">
        <w:rPr>
          <w:rFonts w:ascii="ITC Avant Garde" w:hAnsi="ITC Avant Garde"/>
          <w:lang w:val="es-ES"/>
        </w:rPr>
        <w:t>penaliza fuertemente a la tecnología TDM con precios significativamente más elevados que aquellos del ethernet, generando una desventaja competitiva para aquellos concesionarios alternativos que utilicen tecnologías legado.</w:t>
      </w:r>
    </w:p>
    <w:p w14:paraId="3777D376" w14:textId="77777777" w:rsidR="00D5490D" w:rsidRPr="00541685" w:rsidRDefault="00D5490D" w:rsidP="0080349A">
      <w:pPr>
        <w:spacing w:after="0" w:line="276" w:lineRule="auto"/>
        <w:ind w:left="0" w:right="0" w:firstLine="0"/>
        <w:rPr>
          <w:rFonts w:ascii="ITC Avant Garde" w:hAnsi="ITC Avant Garde"/>
          <w:lang w:val="es-ES"/>
        </w:rPr>
      </w:pPr>
    </w:p>
    <w:p w14:paraId="0FCCCAB5" w14:textId="1C3553FF" w:rsidR="00541685" w:rsidRDefault="00541685"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Por ello, </w:t>
      </w:r>
      <w:r w:rsidR="007C441B" w:rsidRPr="58E23F00">
        <w:rPr>
          <w:rFonts w:ascii="ITC Avant Garde" w:hAnsi="ITC Avant Garde"/>
          <w:lang w:val="es-ES"/>
        </w:rPr>
        <w:t>GTV</w:t>
      </w:r>
      <w:r w:rsidRPr="58E23F00">
        <w:rPr>
          <w:rFonts w:ascii="ITC Avant Garde" w:hAnsi="ITC Avant Garde"/>
          <w:lang w:val="es-ES"/>
        </w:rPr>
        <w:t xml:space="preserve"> solicita al </w:t>
      </w:r>
      <w:r w:rsidR="647786AF" w:rsidRPr="58E23F00">
        <w:rPr>
          <w:rFonts w:ascii="ITC Avant Garde" w:hAnsi="ITC Avant Garde"/>
          <w:lang w:val="es-ES"/>
        </w:rPr>
        <w:t>I</w:t>
      </w:r>
      <w:r w:rsidR="508DDC50" w:rsidRPr="58E23F00">
        <w:rPr>
          <w:rFonts w:ascii="ITC Avant Garde" w:hAnsi="ITC Avant Garde"/>
          <w:lang w:val="es-ES"/>
        </w:rPr>
        <w:t>nstituto</w:t>
      </w:r>
      <w:r w:rsidR="0AF39D56" w:rsidRPr="58E23F00">
        <w:rPr>
          <w:rFonts w:ascii="ITC Avant Garde" w:hAnsi="ITC Avant Garde"/>
          <w:lang w:val="es-ES"/>
        </w:rPr>
        <w:t xml:space="preserve"> </w:t>
      </w:r>
      <w:r w:rsidRPr="58E23F00">
        <w:rPr>
          <w:rFonts w:ascii="ITC Avant Garde" w:hAnsi="ITC Avant Garde"/>
          <w:lang w:val="es-ES"/>
        </w:rPr>
        <w:t xml:space="preserve">eliminar el uso de gradientes o, si esto no es posible, revisar los gradientes para promover enlaces de velocidades que se utilizan en el mercado, facilitando la adopción de nuevas tecnologías sin perjudicar a los </w:t>
      </w:r>
      <w:r w:rsidR="00A94546" w:rsidRPr="58E23F00">
        <w:rPr>
          <w:rFonts w:ascii="ITC Avant Garde" w:hAnsi="ITC Avant Garde"/>
          <w:lang w:val="es-ES"/>
        </w:rPr>
        <w:t>concesionarios</w:t>
      </w:r>
      <w:r w:rsidRPr="58E23F00">
        <w:rPr>
          <w:rFonts w:ascii="ITC Avant Garde" w:hAnsi="ITC Avant Garde"/>
          <w:lang w:val="es-ES"/>
        </w:rPr>
        <w:t xml:space="preserve"> que todavía utilizan tecnologías legado.</w:t>
      </w:r>
    </w:p>
    <w:p w14:paraId="6F565865" w14:textId="5E8A1AD1" w:rsidR="00D5490D" w:rsidRDefault="00D5490D" w:rsidP="0080349A">
      <w:pPr>
        <w:spacing w:after="0" w:line="276" w:lineRule="auto"/>
        <w:ind w:left="0" w:right="0" w:firstLine="0"/>
        <w:rPr>
          <w:rFonts w:ascii="ITC Avant Garde" w:hAnsi="ITC Avant Garde"/>
          <w:lang w:val="es-ES"/>
        </w:rPr>
      </w:pPr>
    </w:p>
    <w:p w14:paraId="2703EF6F" w14:textId="631900FD" w:rsidR="00D5490D" w:rsidRDefault="00D5490D" w:rsidP="00D5490D">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53E22DCD" w14:textId="77777777" w:rsidR="00D5490D" w:rsidRPr="00541685" w:rsidRDefault="00D5490D" w:rsidP="0080349A">
      <w:pPr>
        <w:spacing w:after="0" w:line="276" w:lineRule="auto"/>
        <w:ind w:left="0" w:right="0" w:firstLine="0"/>
        <w:rPr>
          <w:rFonts w:ascii="ITC Avant Garde" w:hAnsi="ITC Avant Garde"/>
          <w:lang w:val="es-ES"/>
        </w:rPr>
      </w:pPr>
    </w:p>
    <w:p w14:paraId="3E894B55" w14:textId="77777777" w:rsidR="00541685" w:rsidRP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El modelo asegura la recuperación de los costos de los servicios de enlaces dedicados. A la hora de estimar los costos de cada velocidad, es necesario definir un criterio de reparto de los costos que son generados de manera conjunta por todos los servicios (como por ejemplo los equipos compartidos, los costos de transporte, etc.). El gradiente se define con este motivo, ya que no existe un criterio técnico único que sea capaz de justificar las diferencias observadas entre los servicios a nivel minorista. En concreto, existen dinámicas a nivel comercial en lo que respecta a los precios como resultado de la elasticidad de la demanda que son imposibles de capturar a través de criterios puramente técnicos, y el objetivo del gradiente es capturar estas dinámicas y asegurar una recuperación de los costos completamente causal.</w:t>
      </w:r>
    </w:p>
    <w:p w14:paraId="2E731EAD" w14:textId="77777777" w:rsidR="00D5490D" w:rsidRDefault="00D5490D" w:rsidP="0080349A">
      <w:pPr>
        <w:spacing w:after="0" w:line="276" w:lineRule="auto"/>
        <w:ind w:left="0" w:right="0" w:firstLine="0"/>
        <w:rPr>
          <w:rFonts w:ascii="ITC Avant Garde" w:hAnsi="ITC Avant Garde"/>
          <w:i/>
          <w:lang w:val="es-ES"/>
        </w:rPr>
      </w:pPr>
    </w:p>
    <w:p w14:paraId="341BE3F5" w14:textId="5D05469F" w:rsidR="00541685" w:rsidRPr="00D5490D" w:rsidRDefault="00541685" w:rsidP="0080349A">
      <w:pPr>
        <w:spacing w:after="0" w:line="276" w:lineRule="auto"/>
        <w:ind w:left="0" w:right="0" w:firstLine="0"/>
        <w:rPr>
          <w:rFonts w:ascii="ITC Avant Garde" w:hAnsi="ITC Avant Garde"/>
          <w:i/>
          <w:lang w:val="es-ES"/>
        </w:rPr>
      </w:pPr>
      <w:r w:rsidRPr="00D5490D">
        <w:rPr>
          <w:rFonts w:ascii="ITC Avant Garde" w:hAnsi="ITC Avant Garde"/>
          <w:i/>
          <w:lang w:val="es-ES"/>
        </w:rPr>
        <w:t>Consideración de la demanda TDM</w:t>
      </w:r>
    </w:p>
    <w:p w14:paraId="0CC2E04F" w14:textId="5B3E51BD" w:rsidR="00D5490D" w:rsidRDefault="00D5490D" w:rsidP="0080349A">
      <w:pPr>
        <w:spacing w:after="0" w:line="276" w:lineRule="auto"/>
        <w:ind w:left="0" w:right="0" w:firstLine="0"/>
        <w:rPr>
          <w:rFonts w:ascii="ITC Avant Garde" w:hAnsi="ITC Avant Garde"/>
          <w:lang w:val="es-ES"/>
        </w:rPr>
      </w:pPr>
    </w:p>
    <w:p w14:paraId="00D2A09F" w14:textId="1B3AD2C5" w:rsidR="00D5490D" w:rsidRDefault="00D5490D" w:rsidP="0080349A">
      <w:pPr>
        <w:spacing w:after="0" w:line="276" w:lineRule="auto"/>
        <w:ind w:left="0" w:right="0" w:firstLine="0"/>
        <w:rPr>
          <w:rFonts w:ascii="ITC Avant Garde" w:hAnsi="ITC Avant Garde"/>
          <w:lang w:val="es-ES"/>
        </w:rPr>
      </w:pPr>
      <w:r>
        <w:rPr>
          <w:rFonts w:ascii="ITC Avant Garde" w:hAnsi="ITC Avant Garde"/>
          <w:lang w:val="es-ES"/>
        </w:rPr>
        <w:t>Axtel</w:t>
      </w:r>
    </w:p>
    <w:p w14:paraId="1C6B4B8E" w14:textId="77777777" w:rsidR="00D5490D" w:rsidRDefault="00D5490D" w:rsidP="0080349A">
      <w:pPr>
        <w:spacing w:after="0" w:line="276" w:lineRule="auto"/>
        <w:ind w:left="0" w:right="0" w:firstLine="0"/>
        <w:rPr>
          <w:rFonts w:ascii="ITC Avant Garde" w:hAnsi="ITC Avant Garde"/>
          <w:lang w:val="es-ES"/>
        </w:rPr>
      </w:pPr>
    </w:p>
    <w:p w14:paraId="2D04ECF2" w14:textId="3BAE92D5" w:rsidR="00541685" w:rsidRDefault="00D5490D" w:rsidP="0080349A">
      <w:pPr>
        <w:spacing w:after="0" w:line="276" w:lineRule="auto"/>
        <w:ind w:left="0" w:right="0" w:firstLine="0"/>
        <w:rPr>
          <w:rFonts w:ascii="ITC Avant Garde" w:hAnsi="ITC Avant Garde"/>
          <w:lang w:val="es-ES"/>
        </w:rPr>
      </w:pPr>
      <w:r>
        <w:rPr>
          <w:rFonts w:ascii="ITC Avant Garde" w:hAnsi="ITC Avant Garde"/>
          <w:lang w:val="es-ES"/>
        </w:rPr>
        <w:t>Axtel</w:t>
      </w:r>
      <w:r w:rsidR="00541685" w:rsidRPr="00541685">
        <w:rPr>
          <w:rFonts w:ascii="ITC Avant Garde" w:hAnsi="ITC Avant Garde"/>
          <w:lang w:val="es-ES"/>
        </w:rPr>
        <w:t xml:space="preserve"> señala que el modelo no debería considerar la estructura de servicios TDM, argumentando que la demanda correspondiente ha disminuido, tendiendo a cero </w:t>
      </w:r>
      <w:r w:rsidR="00541685" w:rsidRPr="00541685">
        <w:rPr>
          <w:rFonts w:ascii="ITC Avant Garde" w:hAnsi="ITC Avant Garde"/>
          <w:lang w:val="es-ES"/>
        </w:rPr>
        <w:lastRenderedPageBreak/>
        <w:t>y, por lo tanto, no se deberían considerar los costos de la red de transporte TDM ni aplicar un factor de calibración.</w:t>
      </w:r>
    </w:p>
    <w:p w14:paraId="3343CD59" w14:textId="4B298C40" w:rsidR="00D5490D" w:rsidRDefault="00D5490D" w:rsidP="0080349A">
      <w:pPr>
        <w:spacing w:after="0" w:line="276" w:lineRule="auto"/>
        <w:ind w:left="0" w:right="0" w:firstLine="0"/>
        <w:rPr>
          <w:rFonts w:ascii="ITC Avant Garde" w:hAnsi="ITC Avant Garde"/>
          <w:lang w:val="es-ES"/>
        </w:rPr>
      </w:pPr>
    </w:p>
    <w:p w14:paraId="6918329F" w14:textId="6154DEB7" w:rsidR="00D5490D" w:rsidRDefault="00D5490D" w:rsidP="00D5490D">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13F64094" w14:textId="77777777" w:rsidR="00D5490D" w:rsidRPr="00541685" w:rsidRDefault="00D5490D" w:rsidP="0080349A">
      <w:pPr>
        <w:spacing w:after="0" w:line="276" w:lineRule="auto"/>
        <w:ind w:left="0" w:right="0" w:firstLine="0"/>
        <w:rPr>
          <w:rFonts w:ascii="ITC Avant Garde" w:hAnsi="ITC Avant Garde"/>
          <w:lang w:val="es-ES"/>
        </w:rPr>
      </w:pPr>
    </w:p>
    <w:p w14:paraId="3102C992" w14:textId="69A3869D" w:rsidR="00541685" w:rsidRDefault="00541685"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El </w:t>
      </w:r>
      <w:r w:rsidR="647786AF" w:rsidRPr="58E23F00">
        <w:rPr>
          <w:rFonts w:ascii="ITC Avant Garde" w:hAnsi="ITC Avant Garde"/>
          <w:lang w:val="es-ES"/>
        </w:rPr>
        <w:t>I</w:t>
      </w:r>
      <w:r w:rsidR="0A3F61FB" w:rsidRPr="58E23F00">
        <w:rPr>
          <w:rFonts w:ascii="ITC Avant Garde" w:hAnsi="ITC Avant Garde"/>
          <w:lang w:val="es-ES"/>
        </w:rPr>
        <w:t>nstituto</w:t>
      </w:r>
      <w:r w:rsidR="0AF39D56" w:rsidRPr="58E23F00">
        <w:rPr>
          <w:rFonts w:ascii="ITC Avant Garde" w:hAnsi="ITC Avant Garde"/>
          <w:lang w:val="es-ES"/>
        </w:rPr>
        <w:t xml:space="preserve"> </w:t>
      </w:r>
      <w:r w:rsidRPr="58E23F00">
        <w:rPr>
          <w:rFonts w:ascii="ITC Avant Garde" w:hAnsi="ITC Avant Garde"/>
          <w:lang w:val="es-ES"/>
        </w:rPr>
        <w:t>entiende que la tecnología TDM sigue siendo, a día de hoy, relevante. Una parte significativa (de en torno al 60%) de los enlaces del mercado mexicano sigue siendo provista a través de esta tecnología. Esto impli</w:t>
      </w:r>
      <w:r w:rsidR="00D5490D" w:rsidRPr="58E23F00">
        <w:rPr>
          <w:rFonts w:ascii="ITC Avant Garde" w:hAnsi="ITC Avant Garde"/>
          <w:lang w:val="es-ES"/>
        </w:rPr>
        <w:t>ca</w:t>
      </w:r>
      <w:r w:rsidR="008A4535" w:rsidRPr="58E23F00">
        <w:rPr>
          <w:rFonts w:ascii="ITC Avant Garde" w:hAnsi="ITC Avant Garde"/>
          <w:lang w:val="es-ES"/>
        </w:rPr>
        <w:t xml:space="preserve"> </w:t>
      </w:r>
      <w:r w:rsidRPr="58E23F00">
        <w:rPr>
          <w:rFonts w:ascii="ITC Avant Garde" w:hAnsi="ITC Avant Garde"/>
          <w:lang w:val="es-ES"/>
        </w:rPr>
        <w:t xml:space="preserve">que el modelo debe asegurar que el </w:t>
      </w:r>
      <w:r w:rsidR="00A94546" w:rsidRPr="58E23F00">
        <w:rPr>
          <w:rFonts w:ascii="ITC Avant Garde" w:hAnsi="ITC Avant Garde"/>
          <w:lang w:val="es-ES"/>
        </w:rPr>
        <w:t>concesionario</w:t>
      </w:r>
      <w:r w:rsidRPr="58E23F00">
        <w:rPr>
          <w:rFonts w:ascii="ITC Avant Garde" w:hAnsi="ITC Avant Garde"/>
          <w:lang w:val="es-ES"/>
        </w:rPr>
        <w:t xml:space="preserve"> puede recuperar los costos invertidos en esta red, siendo la recuperación de costos el principal objetivo de los modelos, si bien es cierto que la intención del </w:t>
      </w:r>
      <w:r w:rsidR="647786AF" w:rsidRPr="58E23F00">
        <w:rPr>
          <w:rFonts w:ascii="ITC Avant Garde" w:hAnsi="ITC Avant Garde"/>
          <w:lang w:val="es-ES"/>
        </w:rPr>
        <w:t>I</w:t>
      </w:r>
      <w:r w:rsidR="5739C78F" w:rsidRPr="58E23F00">
        <w:rPr>
          <w:rFonts w:ascii="ITC Avant Garde" w:hAnsi="ITC Avant Garde"/>
          <w:lang w:val="es-ES"/>
        </w:rPr>
        <w:t>nstituto</w:t>
      </w:r>
      <w:r w:rsidR="0AF39D56" w:rsidRPr="58E23F00">
        <w:rPr>
          <w:rFonts w:ascii="ITC Avant Garde" w:hAnsi="ITC Avant Garde"/>
          <w:lang w:val="es-ES"/>
        </w:rPr>
        <w:t xml:space="preserve"> </w:t>
      </w:r>
      <w:r w:rsidRPr="58E23F00">
        <w:rPr>
          <w:rFonts w:ascii="ITC Avant Garde" w:hAnsi="ITC Avant Garde"/>
          <w:lang w:val="es-ES"/>
        </w:rPr>
        <w:t>es lograr una transición paulatina y plena hacia tecnologías modernas más eficientes.</w:t>
      </w:r>
    </w:p>
    <w:p w14:paraId="7E61BFA6" w14:textId="77777777" w:rsidR="00D5490D" w:rsidRPr="00541685" w:rsidRDefault="00D5490D" w:rsidP="0080349A">
      <w:pPr>
        <w:spacing w:after="0" w:line="276" w:lineRule="auto"/>
        <w:ind w:left="0" w:right="0" w:firstLine="0"/>
        <w:rPr>
          <w:rFonts w:ascii="ITC Avant Garde" w:hAnsi="ITC Avant Garde"/>
          <w:lang w:val="es-ES"/>
        </w:rPr>
      </w:pPr>
    </w:p>
    <w:p w14:paraId="52FBAEB8" w14:textId="77777777" w:rsidR="00541685" w:rsidRPr="00D5490D" w:rsidRDefault="00541685" w:rsidP="0080349A">
      <w:pPr>
        <w:spacing w:after="0" w:line="276" w:lineRule="auto"/>
        <w:ind w:left="0" w:right="0" w:firstLine="0"/>
        <w:rPr>
          <w:rFonts w:ascii="ITC Avant Garde" w:hAnsi="ITC Avant Garde"/>
          <w:b/>
          <w:u w:val="single"/>
          <w:lang w:val="es-ES"/>
        </w:rPr>
      </w:pPr>
      <w:r w:rsidRPr="00D5490D">
        <w:rPr>
          <w:rFonts w:ascii="ITC Avant Garde" w:hAnsi="ITC Avant Garde"/>
          <w:b/>
          <w:u w:val="single"/>
          <w:lang w:val="es-ES"/>
        </w:rPr>
        <w:t>Comentarios sobre los insumos del modelo</w:t>
      </w:r>
    </w:p>
    <w:p w14:paraId="7BFEAE51" w14:textId="77777777" w:rsidR="00D5490D" w:rsidRDefault="00D5490D" w:rsidP="0080349A">
      <w:pPr>
        <w:spacing w:after="0" w:line="276" w:lineRule="auto"/>
        <w:ind w:left="0" w:right="0" w:firstLine="0"/>
        <w:rPr>
          <w:rFonts w:ascii="ITC Avant Garde" w:hAnsi="ITC Avant Garde"/>
          <w:lang w:val="es-ES"/>
        </w:rPr>
      </w:pPr>
    </w:p>
    <w:p w14:paraId="1C6AAA07" w14:textId="07023D84" w:rsidR="00541685" w:rsidRPr="00D5490D" w:rsidRDefault="00541685" w:rsidP="0080349A">
      <w:pPr>
        <w:spacing w:after="0" w:line="276" w:lineRule="auto"/>
        <w:ind w:left="0" w:right="0" w:firstLine="0"/>
        <w:rPr>
          <w:rFonts w:ascii="ITC Avant Garde" w:hAnsi="ITC Avant Garde"/>
          <w:i/>
          <w:lang w:val="es-ES"/>
        </w:rPr>
      </w:pPr>
      <w:r w:rsidRPr="00D5490D">
        <w:rPr>
          <w:rFonts w:ascii="ITC Avant Garde" w:hAnsi="ITC Avant Garde"/>
          <w:i/>
          <w:lang w:val="es-ES"/>
        </w:rPr>
        <w:t>Trazabilidad de los costos de transporte</w:t>
      </w:r>
    </w:p>
    <w:p w14:paraId="608976F5" w14:textId="14A57C55" w:rsidR="00D5490D" w:rsidRDefault="00D5490D" w:rsidP="0080349A">
      <w:pPr>
        <w:spacing w:after="0" w:line="276" w:lineRule="auto"/>
        <w:ind w:left="0" w:right="0" w:firstLine="0"/>
        <w:rPr>
          <w:rFonts w:ascii="ITC Avant Garde" w:hAnsi="ITC Avant Garde"/>
          <w:lang w:val="es-ES"/>
        </w:rPr>
      </w:pPr>
    </w:p>
    <w:p w14:paraId="2B9F8EDD" w14:textId="250F5E8A" w:rsidR="00D5490D" w:rsidRDefault="00D5490D" w:rsidP="0080349A">
      <w:pPr>
        <w:spacing w:after="0" w:line="276" w:lineRule="auto"/>
        <w:ind w:left="0" w:right="0" w:firstLine="0"/>
        <w:rPr>
          <w:rFonts w:ascii="ITC Avant Garde" w:hAnsi="ITC Avant Garde"/>
          <w:lang w:val="es-ES"/>
        </w:rPr>
      </w:pPr>
      <w:r>
        <w:rPr>
          <w:rFonts w:ascii="ITC Avant Garde" w:hAnsi="ITC Avant Garde"/>
          <w:lang w:val="es-ES"/>
        </w:rPr>
        <w:t>CANIETI</w:t>
      </w:r>
    </w:p>
    <w:p w14:paraId="49B18A51" w14:textId="77777777" w:rsidR="00D5490D" w:rsidRDefault="00D5490D" w:rsidP="0080349A">
      <w:pPr>
        <w:spacing w:after="0" w:line="276" w:lineRule="auto"/>
        <w:ind w:left="0" w:right="0" w:firstLine="0"/>
        <w:rPr>
          <w:rFonts w:ascii="ITC Avant Garde" w:hAnsi="ITC Avant Garde"/>
          <w:lang w:val="es-ES"/>
        </w:rPr>
      </w:pPr>
    </w:p>
    <w:p w14:paraId="43099892" w14:textId="6E97ADE6" w:rsidR="00541685" w:rsidRDefault="00376355" w:rsidP="0080349A">
      <w:pPr>
        <w:spacing w:after="0" w:line="276" w:lineRule="auto"/>
        <w:ind w:left="0" w:right="0" w:firstLine="0"/>
        <w:rPr>
          <w:rFonts w:ascii="ITC Avant Garde" w:hAnsi="ITC Avant Garde"/>
          <w:lang w:val="es-ES"/>
        </w:rPr>
      </w:pPr>
      <w:r w:rsidRPr="58E23F00">
        <w:rPr>
          <w:rFonts w:ascii="ITC Avant Garde" w:hAnsi="ITC Avant Garde"/>
          <w:lang w:val="es-ES"/>
        </w:rPr>
        <w:t>CANIETI</w:t>
      </w:r>
      <w:r w:rsidR="00541685" w:rsidRPr="58E23F00">
        <w:rPr>
          <w:rFonts w:ascii="ITC Avant Garde" w:hAnsi="ITC Avant Garde"/>
          <w:lang w:val="es-ES"/>
        </w:rPr>
        <w:t xml:space="preserve"> solicita que el </w:t>
      </w:r>
      <w:r w:rsidR="647786AF" w:rsidRPr="58E23F00">
        <w:rPr>
          <w:rFonts w:ascii="ITC Avant Garde" w:hAnsi="ITC Avant Garde"/>
          <w:lang w:val="es-ES"/>
        </w:rPr>
        <w:t>I</w:t>
      </w:r>
      <w:r w:rsidR="44955D4D"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explique el motivo por el cual los valores de costos de transporte incluidos en el módulo de enlaces dedicados no corresponden a los valores provenientes del módulo de interconexión fija.</w:t>
      </w:r>
    </w:p>
    <w:p w14:paraId="7F0A12DD" w14:textId="6B86ADAF" w:rsidR="00D5490D" w:rsidRDefault="00D5490D" w:rsidP="0080349A">
      <w:pPr>
        <w:spacing w:after="0" w:line="276" w:lineRule="auto"/>
        <w:ind w:left="0" w:right="0" w:firstLine="0"/>
        <w:rPr>
          <w:rFonts w:ascii="ITC Avant Garde" w:hAnsi="ITC Avant Garde"/>
          <w:lang w:val="es-ES"/>
        </w:rPr>
      </w:pPr>
    </w:p>
    <w:p w14:paraId="37E43337" w14:textId="25383861" w:rsidR="00D5490D" w:rsidRDefault="00D5490D" w:rsidP="00D5490D">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28C20FC8" w14:textId="77777777" w:rsidR="00D5490D" w:rsidRDefault="00D5490D" w:rsidP="0080349A">
      <w:pPr>
        <w:spacing w:after="0" w:line="276" w:lineRule="auto"/>
        <w:ind w:left="0" w:right="0" w:firstLine="0"/>
        <w:rPr>
          <w:rFonts w:ascii="ITC Avant Garde" w:hAnsi="ITC Avant Garde"/>
          <w:lang w:val="es-ES"/>
        </w:rPr>
      </w:pPr>
    </w:p>
    <w:p w14:paraId="622F048F" w14:textId="6B6CC26E" w:rsidR="00541685" w:rsidRDefault="00541685" w:rsidP="0080349A">
      <w:pPr>
        <w:spacing w:after="0" w:line="276" w:lineRule="auto"/>
        <w:ind w:left="0" w:right="0" w:firstLine="0"/>
        <w:rPr>
          <w:rFonts w:ascii="ITC Avant Garde" w:hAnsi="ITC Avant Garde"/>
          <w:lang w:val="es-ES"/>
        </w:rPr>
      </w:pPr>
      <w:r w:rsidRPr="735F114D">
        <w:rPr>
          <w:rFonts w:ascii="ITC Avant Garde" w:hAnsi="ITC Avant Garde"/>
          <w:lang w:val="es-ES"/>
        </w:rPr>
        <w:t xml:space="preserve">El valor del costo de transporte que alimenta el módulo de enlaces dedicados (hoja Transporte, filas 7 y 12) proviene del resultado obtenido del módulo de redes fijas, encontrado en la hoja Results, filas 592 y 593. </w:t>
      </w:r>
      <w:r w:rsidR="00D5490D" w:rsidRPr="735F114D">
        <w:rPr>
          <w:rFonts w:ascii="ITC Avant Garde" w:hAnsi="ITC Avant Garde"/>
          <w:lang w:val="es-ES"/>
        </w:rPr>
        <w:t>Se hace n</w:t>
      </w:r>
      <w:r w:rsidRPr="735F114D">
        <w:rPr>
          <w:rFonts w:ascii="ITC Avant Garde" w:hAnsi="ITC Avant Garde"/>
          <w:lang w:val="es-ES"/>
        </w:rPr>
        <w:t xml:space="preserve">otar que el valor </w:t>
      </w:r>
      <w:r w:rsidR="00665CBA" w:rsidRPr="735F114D">
        <w:rPr>
          <w:rFonts w:ascii="ITC Avant Garde" w:hAnsi="ITC Avant Garde"/>
          <w:lang w:val="es-ES"/>
        </w:rPr>
        <w:t>si</w:t>
      </w:r>
      <w:r w:rsidRPr="735F114D">
        <w:rPr>
          <w:rFonts w:ascii="ITC Avant Garde" w:hAnsi="ITC Avant Garde"/>
          <w:lang w:val="es-ES"/>
        </w:rPr>
        <w:t xml:space="preserve"> coincide entre los dos módulos</w:t>
      </w:r>
      <w:r w:rsidR="003E5CFC">
        <w:rPr>
          <w:rFonts w:ascii="ITC Avant Garde" w:hAnsi="ITC Avant Garde"/>
          <w:lang w:val="es-ES"/>
        </w:rPr>
        <w:t>.</w:t>
      </w:r>
    </w:p>
    <w:p w14:paraId="3B8F6281" w14:textId="77777777" w:rsidR="00D5490D" w:rsidRPr="00541685" w:rsidRDefault="00D5490D" w:rsidP="0080349A">
      <w:pPr>
        <w:spacing w:after="0" w:line="276" w:lineRule="auto"/>
        <w:ind w:left="0" w:right="0" w:firstLine="0"/>
        <w:rPr>
          <w:rFonts w:ascii="ITC Avant Garde" w:hAnsi="ITC Avant Garde"/>
          <w:lang w:val="es-ES"/>
        </w:rPr>
      </w:pPr>
    </w:p>
    <w:p w14:paraId="59C9FABB" w14:textId="32023A7D"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Por otro lado, cabe destacar que al valor obtenido del módulo fijo se le </w:t>
      </w:r>
      <w:r w:rsidR="00376355">
        <w:rPr>
          <w:rFonts w:ascii="ITC Avant Garde" w:hAnsi="ITC Avant Garde"/>
          <w:lang w:val="es-ES"/>
        </w:rPr>
        <w:t>aplica</w:t>
      </w:r>
      <w:r w:rsidR="008A4535">
        <w:rPr>
          <w:rFonts w:ascii="ITC Avant Garde" w:hAnsi="ITC Avant Garde"/>
          <w:lang w:val="es-ES"/>
        </w:rPr>
        <w:t xml:space="preserve"> </w:t>
      </w:r>
      <w:r w:rsidRPr="00541685">
        <w:rPr>
          <w:rFonts w:ascii="ITC Avant Garde" w:hAnsi="ITC Avant Garde"/>
          <w:lang w:val="es-ES"/>
        </w:rPr>
        <w:t>un ajuste de calibración regulatoria mostrado en la misma hoja Transporte</w:t>
      </w:r>
      <w:r w:rsidR="00D5490D">
        <w:rPr>
          <w:rFonts w:ascii="ITC Avant Garde" w:hAnsi="ITC Avant Garde"/>
          <w:lang w:val="es-ES"/>
        </w:rPr>
        <w:t>.</w:t>
      </w:r>
      <w:r w:rsidR="003E5CFC">
        <w:rPr>
          <w:rFonts w:ascii="ITC Avant Garde" w:hAnsi="ITC Avant Garde"/>
          <w:lang w:val="es-ES"/>
        </w:rPr>
        <w:t xml:space="preserve"> </w:t>
      </w:r>
      <w:r w:rsidRPr="40DC922A">
        <w:rPr>
          <w:rFonts w:ascii="ITC Avant Garde" w:hAnsi="ITC Avant Garde"/>
          <w:lang w:val="es-ES"/>
        </w:rPr>
        <w:t xml:space="preserve">En cualquier caso, </w:t>
      </w:r>
      <w:r w:rsidR="00D5490D" w:rsidRPr="40DC922A">
        <w:rPr>
          <w:rFonts w:ascii="ITC Avant Garde" w:hAnsi="ITC Avant Garde"/>
          <w:lang w:val="es-ES"/>
        </w:rPr>
        <w:t xml:space="preserve">se han </w:t>
      </w:r>
      <w:r w:rsidRPr="40DC922A">
        <w:rPr>
          <w:rFonts w:ascii="ITC Avant Garde" w:hAnsi="ITC Avant Garde"/>
          <w:lang w:val="es-ES"/>
        </w:rPr>
        <w:t>incluido algunas notas para clarificar los insumos tomados de los distintos módulos, a fin de mejorar su transparencia.</w:t>
      </w:r>
    </w:p>
    <w:p w14:paraId="57B7867E" w14:textId="77777777" w:rsidR="00D5490D" w:rsidRPr="00541685" w:rsidRDefault="00D5490D" w:rsidP="0080349A">
      <w:pPr>
        <w:spacing w:after="0" w:line="276" w:lineRule="auto"/>
        <w:ind w:left="0" w:right="0" w:firstLine="0"/>
        <w:rPr>
          <w:rFonts w:ascii="ITC Avant Garde" w:hAnsi="ITC Avant Garde"/>
          <w:lang w:val="es-ES"/>
        </w:rPr>
      </w:pPr>
    </w:p>
    <w:p w14:paraId="34A4B1D9" w14:textId="77777777" w:rsidR="00541685" w:rsidRPr="00D5490D" w:rsidRDefault="00541685" w:rsidP="0080349A">
      <w:pPr>
        <w:spacing w:after="0" w:line="276" w:lineRule="auto"/>
        <w:ind w:left="0" w:right="0" w:firstLine="0"/>
        <w:rPr>
          <w:rFonts w:ascii="ITC Avant Garde" w:hAnsi="ITC Avant Garde"/>
          <w:i/>
          <w:lang w:val="es-ES"/>
        </w:rPr>
      </w:pPr>
      <w:r w:rsidRPr="00D5490D">
        <w:rPr>
          <w:rFonts w:ascii="ITC Avant Garde" w:hAnsi="ITC Avant Garde"/>
          <w:i/>
          <w:lang w:val="es-ES"/>
        </w:rPr>
        <w:t>Tendencias de los costos de los elementos de red</w:t>
      </w:r>
    </w:p>
    <w:p w14:paraId="01820893" w14:textId="6661136A" w:rsidR="00D5490D" w:rsidRDefault="00D5490D" w:rsidP="0080349A">
      <w:pPr>
        <w:spacing w:after="0" w:line="276" w:lineRule="auto"/>
        <w:ind w:left="0" w:right="0" w:firstLine="0"/>
        <w:rPr>
          <w:rFonts w:ascii="ITC Avant Garde" w:hAnsi="ITC Avant Garde"/>
          <w:lang w:val="es-ES"/>
        </w:rPr>
      </w:pPr>
    </w:p>
    <w:p w14:paraId="3532BF4C" w14:textId="3018ADC3" w:rsidR="00D5490D" w:rsidRDefault="00D5490D" w:rsidP="0080349A">
      <w:pPr>
        <w:spacing w:after="0" w:line="276" w:lineRule="auto"/>
        <w:ind w:left="0" w:right="0" w:firstLine="0"/>
        <w:rPr>
          <w:rFonts w:ascii="ITC Avant Garde" w:hAnsi="ITC Avant Garde"/>
          <w:lang w:val="es-ES"/>
        </w:rPr>
      </w:pPr>
      <w:r>
        <w:rPr>
          <w:rFonts w:ascii="ITC Avant Garde" w:hAnsi="ITC Avant Garde"/>
          <w:lang w:val="es-ES"/>
        </w:rPr>
        <w:t>CANIETI</w:t>
      </w:r>
    </w:p>
    <w:p w14:paraId="4579A2A3" w14:textId="77777777" w:rsidR="00D5490D" w:rsidRDefault="00D5490D" w:rsidP="0080349A">
      <w:pPr>
        <w:spacing w:after="0" w:line="276" w:lineRule="auto"/>
        <w:ind w:left="0" w:right="0" w:firstLine="0"/>
        <w:rPr>
          <w:rFonts w:ascii="ITC Avant Garde" w:hAnsi="ITC Avant Garde"/>
          <w:lang w:val="es-ES"/>
        </w:rPr>
      </w:pPr>
    </w:p>
    <w:p w14:paraId="2D47AA79" w14:textId="64119A82" w:rsidR="00541685" w:rsidRDefault="00376355" w:rsidP="0080349A">
      <w:pPr>
        <w:spacing w:after="0" w:line="276" w:lineRule="auto"/>
        <w:ind w:left="0" w:right="0" w:firstLine="0"/>
        <w:rPr>
          <w:rFonts w:ascii="ITC Avant Garde" w:hAnsi="ITC Avant Garde"/>
          <w:lang w:val="es-ES"/>
        </w:rPr>
      </w:pPr>
      <w:r w:rsidRPr="58E23F00">
        <w:rPr>
          <w:rFonts w:ascii="ITC Avant Garde" w:hAnsi="ITC Avant Garde"/>
          <w:lang w:val="es-ES"/>
        </w:rPr>
        <w:lastRenderedPageBreak/>
        <w:t>CANIETI</w:t>
      </w:r>
      <w:r w:rsidR="00541685" w:rsidRPr="58E23F00">
        <w:rPr>
          <w:rFonts w:ascii="ITC Avant Garde" w:hAnsi="ITC Avant Garde"/>
          <w:lang w:val="es-ES"/>
        </w:rPr>
        <w:t xml:space="preserve"> solicita al </w:t>
      </w:r>
      <w:r w:rsidR="647786AF" w:rsidRPr="58E23F00">
        <w:rPr>
          <w:rFonts w:ascii="ITC Avant Garde" w:hAnsi="ITC Avant Garde"/>
          <w:lang w:val="es-ES"/>
        </w:rPr>
        <w:t>I</w:t>
      </w:r>
      <w:r w:rsidR="3206A878"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mayor transparencia con respecto a las tendencias que ha considerado para proyectar los costos de equipamiento, de instalación y de operación.</w:t>
      </w:r>
    </w:p>
    <w:p w14:paraId="46D25CC5" w14:textId="0F3DCE7B" w:rsidR="00D5490D" w:rsidRDefault="00D5490D" w:rsidP="0080349A">
      <w:pPr>
        <w:spacing w:after="0" w:line="276" w:lineRule="auto"/>
        <w:ind w:left="0" w:right="0" w:firstLine="0"/>
        <w:rPr>
          <w:rFonts w:ascii="ITC Avant Garde" w:hAnsi="ITC Avant Garde"/>
          <w:lang w:val="es-ES"/>
        </w:rPr>
      </w:pPr>
    </w:p>
    <w:p w14:paraId="6063FF0C" w14:textId="3B86ABEB" w:rsidR="00D5490D" w:rsidRDefault="00D5490D" w:rsidP="00D5490D">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51270126" w14:textId="77777777" w:rsidR="00D5490D" w:rsidRPr="00541685" w:rsidRDefault="00D5490D" w:rsidP="0080349A">
      <w:pPr>
        <w:spacing w:after="0" w:line="276" w:lineRule="auto"/>
        <w:ind w:left="0" w:right="0" w:firstLine="0"/>
        <w:rPr>
          <w:rFonts w:ascii="ITC Avant Garde" w:hAnsi="ITC Avant Garde"/>
          <w:lang w:val="es-ES"/>
        </w:rPr>
      </w:pPr>
    </w:p>
    <w:p w14:paraId="3163B93A" w14:textId="2A97B765"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La fuente utilizada para proyectar dichas tendencias en los costos procede de la información proporcionada por los </w:t>
      </w:r>
      <w:r w:rsidR="00A94546">
        <w:rPr>
          <w:rFonts w:ascii="ITC Avant Garde" w:hAnsi="ITC Avant Garde"/>
          <w:lang w:val="es-ES"/>
        </w:rPr>
        <w:t>concesionarios</w:t>
      </w:r>
      <w:r w:rsidRPr="00541685">
        <w:rPr>
          <w:rFonts w:ascii="ITC Avant Garde" w:hAnsi="ITC Avant Garde"/>
          <w:lang w:val="es-ES"/>
        </w:rPr>
        <w:t xml:space="preserve"> y nuestras estimaciones basadas en la prácti</w:t>
      </w:r>
      <w:r w:rsidR="00D5490D">
        <w:rPr>
          <w:rFonts w:ascii="ITC Avant Garde" w:hAnsi="ITC Avant Garde"/>
          <w:lang w:val="es-ES"/>
        </w:rPr>
        <w:t>ca</w:t>
      </w:r>
      <w:r w:rsidR="008A4535">
        <w:rPr>
          <w:rFonts w:ascii="ITC Avant Garde" w:hAnsi="ITC Avant Garde"/>
          <w:lang w:val="es-ES"/>
        </w:rPr>
        <w:t xml:space="preserve"> </w:t>
      </w:r>
      <w:r w:rsidRPr="00541685">
        <w:rPr>
          <w:rFonts w:ascii="ITC Avant Garde" w:hAnsi="ITC Avant Garde"/>
          <w:lang w:val="es-ES"/>
        </w:rPr>
        <w:t>común de otros modelos CILP. En línea con lo explicado en la documentación de los modelos, la tendencia de costos bus</w:t>
      </w:r>
      <w:r w:rsidR="00D5490D">
        <w:rPr>
          <w:rFonts w:ascii="ITC Avant Garde" w:hAnsi="ITC Avant Garde"/>
          <w:lang w:val="es-ES"/>
        </w:rPr>
        <w:t>ca</w:t>
      </w:r>
      <w:r w:rsidR="008A4535">
        <w:rPr>
          <w:rFonts w:ascii="ITC Avant Garde" w:hAnsi="ITC Avant Garde"/>
          <w:lang w:val="es-ES"/>
        </w:rPr>
        <w:t xml:space="preserve"> </w:t>
      </w:r>
      <w:r w:rsidRPr="00541685">
        <w:rPr>
          <w:rFonts w:ascii="ITC Avant Garde" w:hAnsi="ITC Avant Garde"/>
          <w:lang w:val="es-ES"/>
        </w:rPr>
        <w:t>actualizar el valor de los equipos anualmente por posibles evoluciones tecnológicas (u otros factores, como el aumento en la productividad) que puedan influenciar en su precio. El modelo se presenta en términos nominales, por lo que estas tendencias incorporan el efecto de la inflación.</w:t>
      </w:r>
    </w:p>
    <w:p w14:paraId="1963615B" w14:textId="77777777" w:rsidR="00D5490D" w:rsidRPr="00541685" w:rsidRDefault="00D5490D" w:rsidP="0080349A">
      <w:pPr>
        <w:spacing w:after="0" w:line="276" w:lineRule="auto"/>
        <w:ind w:left="0" w:right="0" w:firstLine="0"/>
        <w:rPr>
          <w:rFonts w:ascii="ITC Avant Garde" w:hAnsi="ITC Avant Garde"/>
          <w:lang w:val="es-ES"/>
        </w:rPr>
      </w:pPr>
    </w:p>
    <w:p w14:paraId="59C5B4AB" w14:textId="77777777" w:rsidR="00541685" w:rsidRPr="00D5490D" w:rsidRDefault="00541685" w:rsidP="0080349A">
      <w:pPr>
        <w:spacing w:after="0" w:line="276" w:lineRule="auto"/>
        <w:ind w:left="0" w:right="0" w:firstLine="0"/>
        <w:rPr>
          <w:rFonts w:ascii="ITC Avant Garde" w:hAnsi="ITC Avant Garde"/>
          <w:i/>
          <w:lang w:val="es-ES"/>
        </w:rPr>
      </w:pPr>
      <w:r w:rsidRPr="00D5490D">
        <w:rPr>
          <w:rFonts w:ascii="ITC Avant Garde" w:hAnsi="ITC Avant Garde"/>
          <w:i/>
          <w:lang w:val="es-ES"/>
        </w:rPr>
        <w:t>Transparencia y procedencia de los insumos del módulo de enlaces dedicados</w:t>
      </w:r>
    </w:p>
    <w:p w14:paraId="093A5F06" w14:textId="77777777" w:rsidR="00D5490D" w:rsidRDefault="00D5490D" w:rsidP="0080349A">
      <w:pPr>
        <w:spacing w:after="0" w:line="276" w:lineRule="auto"/>
        <w:ind w:left="0" w:right="0" w:firstLine="0"/>
        <w:rPr>
          <w:rFonts w:ascii="ITC Avant Garde" w:hAnsi="ITC Avant Garde"/>
          <w:lang w:val="es-ES"/>
        </w:rPr>
      </w:pPr>
    </w:p>
    <w:p w14:paraId="2AA79782" w14:textId="4761ABD5" w:rsidR="00D5490D" w:rsidRDefault="00D5490D" w:rsidP="0080349A">
      <w:pPr>
        <w:spacing w:after="0" w:line="276" w:lineRule="auto"/>
        <w:ind w:left="0" w:right="0" w:firstLine="0"/>
        <w:rPr>
          <w:rFonts w:ascii="ITC Avant Garde" w:hAnsi="ITC Avant Garde"/>
          <w:lang w:val="es-ES"/>
        </w:rPr>
      </w:pPr>
      <w:r>
        <w:rPr>
          <w:rFonts w:ascii="ITC Avant Garde" w:hAnsi="ITC Avant Garde"/>
          <w:lang w:val="es-ES"/>
        </w:rPr>
        <w:t>CANIETI y GTV</w:t>
      </w:r>
    </w:p>
    <w:p w14:paraId="215206CF" w14:textId="77777777" w:rsidR="00D5490D" w:rsidRDefault="00D5490D" w:rsidP="0080349A">
      <w:pPr>
        <w:spacing w:after="0" w:line="276" w:lineRule="auto"/>
        <w:ind w:left="0" w:right="0" w:firstLine="0"/>
        <w:rPr>
          <w:rFonts w:ascii="ITC Avant Garde" w:hAnsi="ITC Avant Garde"/>
          <w:lang w:val="es-ES"/>
        </w:rPr>
      </w:pPr>
    </w:p>
    <w:p w14:paraId="10B0F2B8" w14:textId="75C0CE4F" w:rsidR="00541685" w:rsidRDefault="00376355" w:rsidP="0080349A">
      <w:pPr>
        <w:spacing w:after="0" w:line="276" w:lineRule="auto"/>
        <w:ind w:left="0" w:right="0" w:firstLine="0"/>
        <w:rPr>
          <w:rFonts w:ascii="ITC Avant Garde" w:hAnsi="ITC Avant Garde"/>
          <w:lang w:val="es-ES"/>
        </w:rPr>
      </w:pPr>
      <w:r w:rsidRPr="58E23F00">
        <w:rPr>
          <w:rFonts w:ascii="ITC Avant Garde" w:hAnsi="ITC Avant Garde"/>
          <w:lang w:val="es-ES"/>
        </w:rPr>
        <w:t>CANIETI</w:t>
      </w:r>
      <w:r w:rsidR="00541685" w:rsidRPr="58E23F00">
        <w:rPr>
          <w:rFonts w:ascii="ITC Avant Garde" w:hAnsi="ITC Avant Garde"/>
          <w:lang w:val="es-ES"/>
        </w:rPr>
        <w:t xml:space="preserve"> solicita información al </w:t>
      </w:r>
      <w:r w:rsidR="647786AF" w:rsidRPr="58E23F00">
        <w:rPr>
          <w:rFonts w:ascii="ITC Avant Garde" w:hAnsi="ITC Avant Garde"/>
          <w:lang w:val="es-ES"/>
        </w:rPr>
        <w:t>I</w:t>
      </w:r>
      <w:r w:rsidR="282DE06B"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sobre el esquema o proceso de validación utilizado para la información requerida al AEP, cuyos datos se utilizan como insumos para el módulo de enlaces dedicados.</w:t>
      </w:r>
    </w:p>
    <w:p w14:paraId="0061F06D" w14:textId="77777777" w:rsidR="00D5490D" w:rsidRPr="00541685" w:rsidRDefault="00D5490D" w:rsidP="0080349A">
      <w:pPr>
        <w:spacing w:after="0" w:line="276" w:lineRule="auto"/>
        <w:ind w:left="0" w:right="0" w:firstLine="0"/>
        <w:rPr>
          <w:rFonts w:ascii="ITC Avant Garde" w:hAnsi="ITC Avant Garde"/>
          <w:lang w:val="es-ES"/>
        </w:rPr>
      </w:pPr>
    </w:p>
    <w:p w14:paraId="6F5C3437" w14:textId="5D0358D0"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Por otro lado, </w:t>
      </w:r>
      <w:r w:rsidR="00376355">
        <w:rPr>
          <w:rFonts w:ascii="ITC Avant Garde" w:hAnsi="ITC Avant Garde"/>
          <w:lang w:val="es-ES"/>
        </w:rPr>
        <w:t>CANIETI</w:t>
      </w:r>
      <w:r w:rsidRPr="00541685">
        <w:rPr>
          <w:rFonts w:ascii="ITC Avant Garde" w:hAnsi="ITC Avant Garde"/>
          <w:lang w:val="es-ES"/>
        </w:rPr>
        <w:t xml:space="preserve"> y </w:t>
      </w:r>
      <w:r w:rsidR="007C441B">
        <w:rPr>
          <w:rFonts w:ascii="ITC Avant Garde" w:hAnsi="ITC Avant Garde"/>
          <w:lang w:val="es-ES"/>
        </w:rPr>
        <w:t>GTV</w:t>
      </w:r>
      <w:r w:rsidRPr="00541685">
        <w:rPr>
          <w:rFonts w:ascii="ITC Avant Garde" w:hAnsi="ITC Avant Garde"/>
          <w:lang w:val="es-ES"/>
        </w:rPr>
        <w:t xml:space="preserve"> señalan que existen ocasiones donde no es posible rastrear el origen y metodología de ciertos insumos del módulo de mercado y del módulo de interconexión fija. Estos insumos incluyen las estimaciones de demanda del módulo de enlaces dedicados, tanto las históricas como proyecciones, y las estimaciones de los costos de transporte.</w:t>
      </w:r>
    </w:p>
    <w:p w14:paraId="6473184D" w14:textId="77777777" w:rsidR="00D5490D" w:rsidRPr="00541685" w:rsidRDefault="00D5490D" w:rsidP="0080349A">
      <w:pPr>
        <w:spacing w:after="0" w:line="276" w:lineRule="auto"/>
        <w:ind w:left="0" w:right="0" w:firstLine="0"/>
        <w:rPr>
          <w:rFonts w:ascii="ITC Avant Garde" w:hAnsi="ITC Avant Garde"/>
          <w:lang w:val="es-ES"/>
        </w:rPr>
      </w:pPr>
    </w:p>
    <w:p w14:paraId="3F4C04BD" w14:textId="6B03F797" w:rsidR="00541685" w:rsidRPr="00541685" w:rsidRDefault="00541685"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De esta manera se solicita al </w:t>
      </w:r>
      <w:r w:rsidR="647786AF" w:rsidRPr="58E23F00">
        <w:rPr>
          <w:rFonts w:ascii="ITC Avant Garde" w:hAnsi="ITC Avant Garde"/>
          <w:lang w:val="es-ES"/>
        </w:rPr>
        <w:t>I</w:t>
      </w:r>
      <w:r w:rsidR="378D6E0E" w:rsidRPr="58E23F00">
        <w:rPr>
          <w:rFonts w:ascii="ITC Avant Garde" w:hAnsi="ITC Avant Garde"/>
          <w:lang w:val="es-ES"/>
        </w:rPr>
        <w:t>nstituto</w:t>
      </w:r>
      <w:r w:rsidR="0AF39D56" w:rsidRPr="58E23F00">
        <w:rPr>
          <w:rFonts w:ascii="ITC Avant Garde" w:hAnsi="ITC Avant Garde"/>
          <w:lang w:val="es-ES"/>
        </w:rPr>
        <w:t xml:space="preserve"> </w:t>
      </w:r>
      <w:r w:rsidRPr="58E23F00">
        <w:rPr>
          <w:rFonts w:ascii="ITC Avant Garde" w:hAnsi="ITC Avant Garde"/>
          <w:lang w:val="es-ES"/>
        </w:rPr>
        <w:t xml:space="preserve">que proporcione mayor transparencia y consistencia al modelar las demandas que aparecen en el módulo de enlaces dedicados, </w:t>
      </w:r>
      <w:r w:rsidR="00D5490D" w:rsidRPr="58E23F00">
        <w:rPr>
          <w:rFonts w:ascii="ITC Avant Garde" w:hAnsi="ITC Avant Garde"/>
          <w:lang w:val="es-ES"/>
        </w:rPr>
        <w:t>así</w:t>
      </w:r>
      <w:r w:rsidRPr="58E23F00">
        <w:rPr>
          <w:rFonts w:ascii="ITC Avant Garde" w:hAnsi="ITC Avant Garde"/>
          <w:lang w:val="es-ES"/>
        </w:rPr>
        <w:t xml:space="preserve"> como una mayor trazabilidad con respecto al módulo de mercado.</w:t>
      </w:r>
    </w:p>
    <w:p w14:paraId="385204EC" w14:textId="77777777" w:rsidR="00D5490D" w:rsidRDefault="00D5490D" w:rsidP="0080349A">
      <w:pPr>
        <w:spacing w:after="0" w:line="276" w:lineRule="auto"/>
        <w:ind w:left="0" w:right="0" w:firstLine="0"/>
        <w:rPr>
          <w:rFonts w:ascii="ITC Avant Garde" w:hAnsi="ITC Avant Garde"/>
          <w:lang w:val="es-ES"/>
        </w:rPr>
      </w:pPr>
    </w:p>
    <w:p w14:paraId="564C5619" w14:textId="0FEB6E36" w:rsidR="00D5490D" w:rsidRDefault="00D5490D" w:rsidP="00D5490D">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36E3A561" w14:textId="77777777" w:rsidR="00D5490D" w:rsidRDefault="00D5490D" w:rsidP="0080349A">
      <w:pPr>
        <w:spacing w:after="0" w:line="276" w:lineRule="auto"/>
        <w:ind w:left="0" w:right="0" w:firstLine="0"/>
        <w:rPr>
          <w:rFonts w:ascii="ITC Avant Garde" w:hAnsi="ITC Avant Garde"/>
          <w:lang w:val="es-ES"/>
        </w:rPr>
      </w:pPr>
    </w:p>
    <w:p w14:paraId="625E89B8" w14:textId="2C2589FF"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Como etapa inicial del proyecto, los </w:t>
      </w:r>
      <w:r w:rsidR="00A94546">
        <w:rPr>
          <w:rFonts w:ascii="ITC Avant Garde" w:hAnsi="ITC Avant Garde"/>
          <w:lang w:val="es-ES"/>
        </w:rPr>
        <w:t>concesionarios</w:t>
      </w:r>
      <w:r w:rsidRPr="00541685">
        <w:rPr>
          <w:rFonts w:ascii="ITC Avant Garde" w:hAnsi="ITC Avant Garde"/>
          <w:lang w:val="es-ES"/>
        </w:rPr>
        <w:t xml:space="preserve"> fueron partícipes de un proceso de recopilación de información. En este proceso, se facilitó a los </w:t>
      </w:r>
      <w:r w:rsidR="00A94546">
        <w:rPr>
          <w:rFonts w:ascii="ITC Avant Garde" w:hAnsi="ITC Avant Garde"/>
          <w:lang w:val="es-ES"/>
        </w:rPr>
        <w:t>concesionarios</w:t>
      </w:r>
      <w:r w:rsidRPr="00541685">
        <w:rPr>
          <w:rFonts w:ascii="ITC Avant Garde" w:hAnsi="ITC Avant Garde"/>
          <w:lang w:val="es-ES"/>
        </w:rPr>
        <w:t xml:space="preserve"> una serie de cuestiones y plantillas para rellenar con información propia. De manera particular, se emitió al AEP una plantilla específi</w:t>
      </w:r>
      <w:r w:rsidR="00D5490D">
        <w:rPr>
          <w:rFonts w:ascii="ITC Avant Garde" w:hAnsi="ITC Avant Garde"/>
          <w:lang w:val="es-ES"/>
        </w:rPr>
        <w:t>ca</w:t>
      </w:r>
      <w:r w:rsidR="008A4535">
        <w:rPr>
          <w:rFonts w:ascii="ITC Avant Garde" w:hAnsi="ITC Avant Garde"/>
          <w:lang w:val="es-ES"/>
        </w:rPr>
        <w:t xml:space="preserve"> </w:t>
      </w:r>
      <w:r w:rsidRPr="00541685">
        <w:rPr>
          <w:rFonts w:ascii="ITC Avant Garde" w:hAnsi="ITC Avant Garde"/>
          <w:lang w:val="es-ES"/>
        </w:rPr>
        <w:t xml:space="preserve">para proporcionar información sobre la operativa de sus servicios de enlaces dedicados (tendencias históricas de la demanda para distintos perfiles de velocidad y tipo de </w:t>
      </w:r>
      <w:r w:rsidRPr="00541685">
        <w:rPr>
          <w:rFonts w:ascii="ITC Avant Garde" w:hAnsi="ITC Avant Garde"/>
          <w:lang w:val="es-ES"/>
        </w:rPr>
        <w:lastRenderedPageBreak/>
        <w:t>enlaces (TDM y ethernet), y costos unitarios de los equipos de red). Los distintos valores han sido validados a través de distintas fuentes, como datos de la separación contable aprobada por el IFT.</w:t>
      </w:r>
    </w:p>
    <w:p w14:paraId="372BC25F" w14:textId="77777777" w:rsidR="00D5490D" w:rsidRPr="00541685" w:rsidRDefault="00D5490D" w:rsidP="0080349A">
      <w:pPr>
        <w:spacing w:after="0" w:line="276" w:lineRule="auto"/>
        <w:ind w:left="0" w:right="0" w:firstLine="0"/>
        <w:rPr>
          <w:rFonts w:ascii="ITC Avant Garde" w:hAnsi="ITC Avant Garde"/>
          <w:lang w:val="es-ES"/>
        </w:rPr>
      </w:pPr>
    </w:p>
    <w:p w14:paraId="334499C6" w14:textId="77777777" w:rsidR="00D5490D"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La metodología empleada para proyectar la demanda de enlaces dedicados parte de los datos históricos proporcionados por el AEP. Tal y como se expli</w:t>
      </w:r>
      <w:r w:rsidR="00D5490D">
        <w:rPr>
          <w:rFonts w:ascii="ITC Avant Garde" w:hAnsi="ITC Avant Garde"/>
          <w:lang w:val="es-ES"/>
        </w:rPr>
        <w:t>ca</w:t>
      </w:r>
      <w:r w:rsidR="008A4535">
        <w:rPr>
          <w:rFonts w:ascii="ITC Avant Garde" w:hAnsi="ITC Avant Garde"/>
          <w:lang w:val="es-ES"/>
        </w:rPr>
        <w:t xml:space="preserve"> </w:t>
      </w:r>
      <w:r w:rsidRPr="00541685">
        <w:rPr>
          <w:rFonts w:ascii="ITC Avant Garde" w:hAnsi="ITC Avant Garde"/>
          <w:lang w:val="es-ES"/>
        </w:rPr>
        <w:t xml:space="preserve">en la documentación de los modelos, se han analizado las tendencias históricas de la demanda para distintos perfiles de velocidad y tipo de enlaces (TDM y ethernet), proyectando la demanda acorde con el crecimiento o decrecimiento observado. </w:t>
      </w:r>
    </w:p>
    <w:p w14:paraId="559C0FB4" w14:textId="77777777" w:rsidR="00D5490D" w:rsidRDefault="00D5490D" w:rsidP="0080349A">
      <w:pPr>
        <w:spacing w:after="0" w:line="276" w:lineRule="auto"/>
        <w:ind w:left="0" w:right="0" w:firstLine="0"/>
        <w:rPr>
          <w:rFonts w:ascii="ITC Avant Garde" w:hAnsi="ITC Avant Garde"/>
          <w:lang w:val="es-ES"/>
        </w:rPr>
      </w:pPr>
    </w:p>
    <w:p w14:paraId="5FD6477C" w14:textId="45E65810"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Los datos otorgados por el AEP y las proyecciones realizadas muestran que existe una tendencia hacia servicios ethernet, </w:t>
      </w:r>
      <w:r w:rsidR="00D5490D" w:rsidRPr="00541685">
        <w:rPr>
          <w:rFonts w:ascii="ITC Avant Garde" w:hAnsi="ITC Avant Garde"/>
          <w:lang w:val="es-ES"/>
        </w:rPr>
        <w:t>a</w:t>
      </w:r>
      <w:r w:rsidR="00D5490D">
        <w:rPr>
          <w:rFonts w:ascii="ITC Avant Garde" w:hAnsi="ITC Avant Garde"/>
          <w:lang w:val="es-ES"/>
        </w:rPr>
        <w:t>sí</w:t>
      </w:r>
      <w:r w:rsidRPr="00541685">
        <w:rPr>
          <w:rFonts w:ascii="ITC Avant Garde" w:hAnsi="ITC Avant Garde"/>
          <w:lang w:val="es-ES"/>
        </w:rPr>
        <w:t xml:space="preserve"> como un incremento en el tráfico total de las líneas (TDM y ethernet). </w:t>
      </w:r>
    </w:p>
    <w:p w14:paraId="30CD2DC3" w14:textId="77777777" w:rsidR="00D5490D" w:rsidRPr="00541685" w:rsidRDefault="00D5490D" w:rsidP="0080349A">
      <w:pPr>
        <w:spacing w:after="0" w:line="276" w:lineRule="auto"/>
        <w:ind w:left="0" w:right="0" w:firstLine="0"/>
        <w:rPr>
          <w:rFonts w:ascii="ITC Avant Garde" w:hAnsi="ITC Avant Garde"/>
          <w:lang w:val="es-ES"/>
        </w:rPr>
      </w:pPr>
    </w:p>
    <w:p w14:paraId="3A81529D" w14:textId="4A616469"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Con el fin de proporcionar mayor transparencia al modelo, se ha añadido un gráfico en la documentación que acompaña a los modelos que ilustra la evolución de la demanda de los enlaces dedicados. Además, se han incluido dos hojas de cálculo en el módulo de mercado (ED - Locales y ED - Entre localidades) que muestran cómo se han realizado las proyecciones de la demanda. Sin embargo, dado que esta información proviene del AEP y es confidencial, se han anonimizado los datos de entrada (estos están indicados con un recuadro rosa). Esto quiere decir que los valores que aparecen en el módulo de enlaces dedicados son algo distintos a los valores que aparecen en el módulo de mercado.</w:t>
      </w:r>
    </w:p>
    <w:p w14:paraId="1555F06E" w14:textId="77777777" w:rsidR="00D5490D" w:rsidRPr="00541685" w:rsidRDefault="00D5490D" w:rsidP="0080349A">
      <w:pPr>
        <w:spacing w:after="0" w:line="276" w:lineRule="auto"/>
        <w:ind w:left="0" w:right="0" w:firstLine="0"/>
        <w:rPr>
          <w:rFonts w:ascii="ITC Avant Garde" w:hAnsi="ITC Avant Garde"/>
          <w:lang w:val="es-ES"/>
        </w:rPr>
      </w:pPr>
    </w:p>
    <w:p w14:paraId="0E4B2076" w14:textId="77777777" w:rsidR="00541685" w:rsidRPr="00D5490D" w:rsidRDefault="00541685" w:rsidP="0080349A">
      <w:pPr>
        <w:spacing w:after="0" w:line="276" w:lineRule="auto"/>
        <w:ind w:left="0" w:right="0" w:firstLine="0"/>
        <w:rPr>
          <w:rFonts w:ascii="ITC Avant Garde" w:hAnsi="ITC Avant Garde"/>
          <w:i/>
          <w:lang w:val="es-ES"/>
        </w:rPr>
      </w:pPr>
      <w:r w:rsidRPr="00D5490D">
        <w:rPr>
          <w:rFonts w:ascii="ITC Avant Garde" w:hAnsi="ITC Avant Garde"/>
          <w:i/>
          <w:lang w:val="es-ES"/>
        </w:rPr>
        <w:t>Fuente de la estimación del opex unitario de los elementos de red</w:t>
      </w:r>
    </w:p>
    <w:p w14:paraId="0EB3E255" w14:textId="0D5D1D42" w:rsidR="00D5490D" w:rsidRDefault="00D5490D" w:rsidP="0080349A">
      <w:pPr>
        <w:spacing w:after="0" w:line="276" w:lineRule="auto"/>
        <w:ind w:left="0" w:right="0" w:firstLine="0"/>
        <w:rPr>
          <w:rFonts w:ascii="ITC Avant Garde" w:hAnsi="ITC Avant Garde"/>
          <w:lang w:val="es-ES"/>
        </w:rPr>
      </w:pPr>
    </w:p>
    <w:p w14:paraId="48382F23" w14:textId="3C80A43E" w:rsidR="00D5490D" w:rsidRDefault="00D5490D" w:rsidP="0080349A">
      <w:pPr>
        <w:spacing w:after="0" w:line="276" w:lineRule="auto"/>
        <w:ind w:left="0" w:right="0" w:firstLine="0"/>
        <w:rPr>
          <w:rFonts w:ascii="ITC Avant Garde" w:hAnsi="ITC Avant Garde"/>
          <w:lang w:val="es-ES"/>
        </w:rPr>
      </w:pPr>
      <w:r>
        <w:rPr>
          <w:rFonts w:ascii="ITC Avant Garde" w:hAnsi="ITC Avant Garde"/>
          <w:lang w:val="es-ES"/>
        </w:rPr>
        <w:t>CANIETI y GTV</w:t>
      </w:r>
    </w:p>
    <w:p w14:paraId="3425132B" w14:textId="77777777" w:rsidR="00D5490D" w:rsidRDefault="00D5490D" w:rsidP="0080349A">
      <w:pPr>
        <w:spacing w:after="0" w:line="276" w:lineRule="auto"/>
        <w:ind w:left="0" w:right="0" w:firstLine="0"/>
        <w:rPr>
          <w:rFonts w:ascii="ITC Avant Garde" w:hAnsi="ITC Avant Garde"/>
          <w:lang w:val="es-ES"/>
        </w:rPr>
      </w:pPr>
    </w:p>
    <w:p w14:paraId="73291705" w14:textId="3DA2D9FC" w:rsidR="00541685" w:rsidRDefault="00376355" w:rsidP="0080349A">
      <w:pPr>
        <w:spacing w:after="0" w:line="276" w:lineRule="auto"/>
        <w:ind w:left="0" w:right="0" w:firstLine="0"/>
        <w:rPr>
          <w:rFonts w:ascii="ITC Avant Garde" w:hAnsi="ITC Avant Garde"/>
          <w:lang w:val="es-ES"/>
        </w:rPr>
      </w:pPr>
      <w:r w:rsidRPr="58E23F00">
        <w:rPr>
          <w:rFonts w:ascii="ITC Avant Garde" w:hAnsi="ITC Avant Garde"/>
          <w:lang w:val="es-ES"/>
        </w:rPr>
        <w:t>CANIETI</w:t>
      </w:r>
      <w:r w:rsidR="00541685" w:rsidRPr="58E23F00">
        <w:rPr>
          <w:rFonts w:ascii="ITC Avant Garde" w:hAnsi="ITC Avant Garde"/>
          <w:lang w:val="es-ES"/>
        </w:rPr>
        <w:t xml:space="preserve"> y </w:t>
      </w:r>
      <w:r w:rsidR="007C441B" w:rsidRPr="58E23F00">
        <w:rPr>
          <w:rFonts w:ascii="ITC Avant Garde" w:hAnsi="ITC Avant Garde"/>
          <w:lang w:val="es-ES"/>
        </w:rPr>
        <w:t>GTV</w:t>
      </w:r>
      <w:r w:rsidR="00541685" w:rsidRPr="58E23F00">
        <w:rPr>
          <w:rFonts w:ascii="ITC Avant Garde" w:hAnsi="ITC Avant Garde"/>
          <w:lang w:val="es-ES"/>
        </w:rPr>
        <w:t xml:space="preserve"> solicitan al </w:t>
      </w:r>
      <w:r w:rsidR="647786AF" w:rsidRPr="58E23F00">
        <w:rPr>
          <w:rFonts w:ascii="ITC Avant Garde" w:hAnsi="ITC Avant Garde"/>
          <w:lang w:val="es-ES"/>
        </w:rPr>
        <w:t>I</w:t>
      </w:r>
      <w:r w:rsidR="15B6A7C8"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 xml:space="preserve">que incluya la fuente de los porcentajes utilizados para calcular el opex unitario con el objetivo de incrementar la transparencia del módulo de enlaces dedicados. Asimismo, </w:t>
      </w:r>
      <w:r w:rsidR="007C441B" w:rsidRPr="58E23F00">
        <w:rPr>
          <w:rFonts w:ascii="ITC Avant Garde" w:hAnsi="ITC Avant Garde"/>
          <w:lang w:val="es-ES"/>
        </w:rPr>
        <w:t>GTV</w:t>
      </w:r>
      <w:r w:rsidR="00541685" w:rsidRPr="58E23F00">
        <w:rPr>
          <w:rFonts w:ascii="ITC Avant Garde" w:hAnsi="ITC Avant Garde"/>
          <w:lang w:val="es-ES"/>
        </w:rPr>
        <w:t xml:space="preserve"> solicita al </w:t>
      </w:r>
      <w:r w:rsidR="647786AF" w:rsidRPr="58E23F00">
        <w:rPr>
          <w:rFonts w:ascii="ITC Avant Garde" w:hAnsi="ITC Avant Garde"/>
          <w:lang w:val="es-ES"/>
        </w:rPr>
        <w:t>I</w:t>
      </w:r>
      <w:r w:rsidR="3EF92FD2"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dejar de anonimizar los valores de precios unitarios de los elementos de red dada la variabilidad que esto puede generar.</w:t>
      </w:r>
    </w:p>
    <w:p w14:paraId="6BC0F146" w14:textId="77777777" w:rsidR="00450E15" w:rsidRPr="00541685" w:rsidRDefault="00450E15" w:rsidP="0080349A">
      <w:pPr>
        <w:spacing w:after="0" w:line="276" w:lineRule="auto"/>
        <w:ind w:left="0" w:right="0" w:firstLine="0"/>
        <w:rPr>
          <w:rFonts w:ascii="ITC Avant Garde" w:hAnsi="ITC Avant Garde"/>
          <w:lang w:val="es-ES"/>
        </w:rPr>
      </w:pPr>
    </w:p>
    <w:p w14:paraId="0A6517F3" w14:textId="21994F9C" w:rsidR="00541685" w:rsidRDefault="00541685"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Por último, </w:t>
      </w:r>
      <w:r w:rsidR="007C441B" w:rsidRPr="58E23F00">
        <w:rPr>
          <w:rFonts w:ascii="ITC Avant Garde" w:hAnsi="ITC Avant Garde"/>
          <w:lang w:val="es-ES"/>
        </w:rPr>
        <w:t>GTV</w:t>
      </w:r>
      <w:r w:rsidRPr="58E23F00">
        <w:rPr>
          <w:rFonts w:ascii="ITC Avant Garde" w:hAnsi="ITC Avant Garde"/>
          <w:lang w:val="es-ES"/>
        </w:rPr>
        <w:t xml:space="preserve"> pide al </w:t>
      </w:r>
      <w:r w:rsidR="647786AF" w:rsidRPr="58E23F00">
        <w:rPr>
          <w:rFonts w:ascii="ITC Avant Garde" w:hAnsi="ITC Avant Garde"/>
          <w:lang w:val="es-ES"/>
        </w:rPr>
        <w:t>I</w:t>
      </w:r>
      <w:r w:rsidR="538A25FE" w:rsidRPr="58E23F00">
        <w:rPr>
          <w:rFonts w:ascii="ITC Avant Garde" w:hAnsi="ITC Avant Garde"/>
          <w:lang w:val="es-ES"/>
        </w:rPr>
        <w:t>nstituto</w:t>
      </w:r>
      <w:r w:rsidR="0AF39D56" w:rsidRPr="58E23F00">
        <w:rPr>
          <w:rFonts w:ascii="ITC Avant Garde" w:hAnsi="ITC Avant Garde"/>
          <w:lang w:val="es-ES"/>
        </w:rPr>
        <w:t xml:space="preserve"> </w:t>
      </w:r>
      <w:r w:rsidRPr="58E23F00">
        <w:rPr>
          <w:rFonts w:ascii="ITC Avant Garde" w:hAnsi="ITC Avant Garde"/>
          <w:lang w:val="es-ES"/>
        </w:rPr>
        <w:t>mayor transparencia con respecto a los supuestos que ha considerado para proyectar los costos de equipamiento para el cálculo de los costos unitarios de los elementos de red, los costos asociados a opex y los costos de instalación, y clarificar si las proyecciones incluyen aspectos como la inflación o fluctuaciones en las tasas de cambio.</w:t>
      </w:r>
    </w:p>
    <w:p w14:paraId="53E2DDF7" w14:textId="77777777" w:rsidR="00450E15" w:rsidRDefault="00450E15" w:rsidP="00450E15">
      <w:pPr>
        <w:spacing w:after="0" w:line="276" w:lineRule="auto"/>
        <w:ind w:left="0" w:right="0" w:firstLine="0"/>
        <w:rPr>
          <w:rFonts w:ascii="ITC Avant Garde" w:hAnsi="ITC Avant Garde"/>
          <w:lang w:val="es-ES"/>
        </w:rPr>
      </w:pPr>
    </w:p>
    <w:p w14:paraId="7E141AD3" w14:textId="1FAE3FE7" w:rsidR="00450E15" w:rsidRDefault="00450E15" w:rsidP="00450E15">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40AB1367" w14:textId="77777777" w:rsidR="00450E15" w:rsidRPr="00541685" w:rsidRDefault="00450E15" w:rsidP="0080349A">
      <w:pPr>
        <w:spacing w:after="0" w:line="276" w:lineRule="auto"/>
        <w:ind w:left="0" w:right="0" w:firstLine="0"/>
        <w:rPr>
          <w:rFonts w:ascii="ITC Avant Garde" w:hAnsi="ITC Avant Garde"/>
          <w:lang w:val="es-ES"/>
        </w:rPr>
      </w:pPr>
    </w:p>
    <w:p w14:paraId="635485F0" w14:textId="7BB92E10"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Los porcentajes utilizados para calcular el opex de los equipos están basados en información proporcionada por el AEP que se ha ido recopilando a lo largo de los distintos procesos de revisión del modelo. Con ánimo de incrementar la transparencia, </w:t>
      </w:r>
      <w:r w:rsidR="00450E15">
        <w:rPr>
          <w:rFonts w:ascii="ITC Avant Garde" w:hAnsi="ITC Avant Garde"/>
          <w:lang w:val="es-ES"/>
        </w:rPr>
        <w:t>se ha añadido</w:t>
      </w:r>
      <w:r w:rsidRPr="00541685">
        <w:rPr>
          <w:rFonts w:ascii="ITC Avant Garde" w:hAnsi="ITC Avant Garde"/>
          <w:lang w:val="es-ES"/>
        </w:rPr>
        <w:t xml:space="preserve"> la indicación de la fuente en el modelo. Al ser datos proporciona</w:t>
      </w:r>
      <w:r w:rsidR="00325634">
        <w:rPr>
          <w:rFonts w:ascii="ITC Avant Garde" w:hAnsi="ITC Avant Garde"/>
          <w:lang w:val="es-ES"/>
        </w:rPr>
        <w:t>d</w:t>
      </w:r>
      <w:r w:rsidRPr="00541685">
        <w:rPr>
          <w:rFonts w:ascii="ITC Avant Garde" w:hAnsi="ITC Avant Garde"/>
          <w:lang w:val="es-ES"/>
        </w:rPr>
        <w:t>os por el AEP, estos valores deben permanecer anonimizados al tratarse de información confidencial. En cualquier caso, la anonimización de los valores se ha realizado de forma que se asegure una evolución razonable de los costos estimados.</w:t>
      </w:r>
    </w:p>
    <w:p w14:paraId="36AEF1AB" w14:textId="77777777" w:rsidR="00450E15" w:rsidRPr="00541685" w:rsidRDefault="00450E15" w:rsidP="0080349A">
      <w:pPr>
        <w:spacing w:after="0" w:line="276" w:lineRule="auto"/>
        <w:ind w:left="0" w:right="0" w:firstLine="0"/>
        <w:rPr>
          <w:rFonts w:ascii="ITC Avant Garde" w:hAnsi="ITC Avant Garde"/>
          <w:lang w:val="es-ES"/>
        </w:rPr>
      </w:pPr>
    </w:p>
    <w:p w14:paraId="3CA33F06" w14:textId="06A82B11" w:rsidR="00541685" w:rsidRP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Con respecto a la proyección de los costos, </w:t>
      </w:r>
      <w:r w:rsidR="00450E15">
        <w:rPr>
          <w:rFonts w:ascii="ITC Avant Garde" w:hAnsi="ITC Avant Garde"/>
          <w:lang w:val="es-ES"/>
        </w:rPr>
        <w:t xml:space="preserve">se </w:t>
      </w:r>
      <w:r w:rsidRPr="00541685">
        <w:rPr>
          <w:rFonts w:ascii="ITC Avant Garde" w:hAnsi="ITC Avant Garde"/>
          <w:lang w:val="es-ES"/>
        </w:rPr>
        <w:t xml:space="preserve">señala que efectivamente estos se encuentran en términos nominales, por lo que la inflación queda incluida en la tendencia de costos. Por otro lado, todos los costos están expresados en pesos mexicanos en el modelo, por lo que no es necesario considerar la tasa de cambio. Estas tendencias han sido establecidas basadas en la información de los </w:t>
      </w:r>
      <w:r w:rsidR="00A94546">
        <w:rPr>
          <w:rFonts w:ascii="ITC Avant Garde" w:hAnsi="ITC Avant Garde"/>
          <w:lang w:val="es-ES"/>
        </w:rPr>
        <w:t>concesionarios</w:t>
      </w:r>
      <w:r w:rsidR="00450E15">
        <w:rPr>
          <w:rFonts w:ascii="ITC Avant Garde" w:hAnsi="ITC Avant Garde"/>
          <w:lang w:val="es-ES"/>
        </w:rPr>
        <w:t>.</w:t>
      </w:r>
      <w:r w:rsidRPr="00541685">
        <w:rPr>
          <w:rFonts w:ascii="ITC Avant Garde" w:hAnsi="ITC Avant Garde"/>
          <w:lang w:val="es-ES"/>
        </w:rPr>
        <w:cr/>
      </w:r>
    </w:p>
    <w:p w14:paraId="5DB5A62A" w14:textId="77777777" w:rsidR="00541685" w:rsidRPr="00450E15" w:rsidRDefault="00541685" w:rsidP="0080349A">
      <w:pPr>
        <w:spacing w:after="0" w:line="276" w:lineRule="auto"/>
        <w:ind w:left="0" w:right="0" w:firstLine="0"/>
        <w:rPr>
          <w:rFonts w:ascii="ITC Avant Garde" w:hAnsi="ITC Avant Garde"/>
          <w:i/>
          <w:lang w:val="es-ES"/>
        </w:rPr>
      </w:pPr>
      <w:r w:rsidRPr="00450E15">
        <w:rPr>
          <w:rFonts w:ascii="ITC Avant Garde" w:hAnsi="ITC Avant Garde"/>
          <w:i/>
          <w:lang w:val="es-ES"/>
        </w:rPr>
        <w:t>Distancias asociadas a la demanda de servicios entre localidades</w:t>
      </w:r>
    </w:p>
    <w:p w14:paraId="2B848AD0" w14:textId="052CB8A7" w:rsidR="00450E15" w:rsidRDefault="00450E15" w:rsidP="0080349A">
      <w:pPr>
        <w:spacing w:after="0" w:line="276" w:lineRule="auto"/>
        <w:ind w:left="0" w:right="0" w:firstLine="0"/>
        <w:rPr>
          <w:rFonts w:ascii="ITC Avant Garde" w:hAnsi="ITC Avant Garde"/>
          <w:lang w:val="es-ES"/>
        </w:rPr>
      </w:pPr>
    </w:p>
    <w:p w14:paraId="1FB480C3" w14:textId="7053CAF6" w:rsidR="00450E15" w:rsidRDefault="00450E15" w:rsidP="0080349A">
      <w:pPr>
        <w:spacing w:after="0" w:line="276" w:lineRule="auto"/>
        <w:ind w:left="0" w:right="0" w:firstLine="0"/>
        <w:rPr>
          <w:rFonts w:ascii="ITC Avant Garde" w:hAnsi="ITC Avant Garde"/>
          <w:lang w:val="es-ES"/>
        </w:rPr>
      </w:pPr>
      <w:r>
        <w:rPr>
          <w:rFonts w:ascii="ITC Avant Garde" w:hAnsi="ITC Avant Garde"/>
          <w:lang w:val="es-ES"/>
        </w:rPr>
        <w:t>Axtel</w:t>
      </w:r>
    </w:p>
    <w:p w14:paraId="7C773B59" w14:textId="77777777" w:rsidR="00450E15" w:rsidRDefault="00450E15" w:rsidP="0080349A">
      <w:pPr>
        <w:spacing w:after="0" w:line="276" w:lineRule="auto"/>
        <w:ind w:left="0" w:right="0" w:firstLine="0"/>
        <w:rPr>
          <w:rFonts w:ascii="ITC Avant Garde" w:hAnsi="ITC Avant Garde"/>
          <w:lang w:val="es-ES"/>
        </w:rPr>
      </w:pPr>
    </w:p>
    <w:p w14:paraId="1CB4830F" w14:textId="063687D2" w:rsidR="00541685" w:rsidRDefault="00D5490D" w:rsidP="0080349A">
      <w:pPr>
        <w:spacing w:after="0" w:line="276" w:lineRule="auto"/>
        <w:ind w:left="0" w:right="0" w:firstLine="0"/>
        <w:rPr>
          <w:rFonts w:ascii="ITC Avant Garde" w:hAnsi="ITC Avant Garde"/>
          <w:lang w:val="es-ES"/>
        </w:rPr>
      </w:pPr>
      <w:r w:rsidRPr="58E23F00">
        <w:rPr>
          <w:rFonts w:ascii="ITC Avant Garde" w:hAnsi="ITC Avant Garde"/>
          <w:lang w:val="es-ES"/>
        </w:rPr>
        <w:t>Axtel</w:t>
      </w:r>
      <w:r w:rsidR="00541685" w:rsidRPr="58E23F00">
        <w:rPr>
          <w:rFonts w:ascii="ITC Avant Garde" w:hAnsi="ITC Avant Garde"/>
          <w:lang w:val="es-ES"/>
        </w:rPr>
        <w:t xml:space="preserve"> solicita al </w:t>
      </w:r>
      <w:r w:rsidR="647786AF" w:rsidRPr="58E23F00">
        <w:rPr>
          <w:rFonts w:ascii="ITC Avant Garde" w:hAnsi="ITC Avant Garde"/>
          <w:lang w:val="es-ES"/>
        </w:rPr>
        <w:t>I</w:t>
      </w:r>
      <w:r w:rsidR="24DDDD04"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 xml:space="preserve">que incremente las distancias promedio asociadas a la demanda de servicios entre localidades. Actualmente, el módulo de enlaces dedicados toma distancias de 111km y 116km para enlaces ethernet y TDM, respectivamente, mientras que </w:t>
      </w:r>
      <w:r w:rsidRPr="58E23F00">
        <w:rPr>
          <w:rFonts w:ascii="ITC Avant Garde" w:hAnsi="ITC Avant Garde"/>
          <w:lang w:val="es-ES"/>
        </w:rPr>
        <w:t>Axtel</w:t>
      </w:r>
      <w:r w:rsidR="00541685" w:rsidRPr="58E23F00">
        <w:rPr>
          <w:rFonts w:ascii="ITC Avant Garde" w:hAnsi="ITC Avant Garde"/>
          <w:lang w:val="es-ES"/>
        </w:rPr>
        <w:t xml:space="preserve"> considera que estas distancias suelen ser superiores a 250km. </w:t>
      </w:r>
      <w:r w:rsidRPr="58E23F00">
        <w:rPr>
          <w:rFonts w:ascii="ITC Avant Garde" w:hAnsi="ITC Avant Garde"/>
          <w:lang w:val="es-ES"/>
        </w:rPr>
        <w:t>Axtel</w:t>
      </w:r>
      <w:r w:rsidR="00541685" w:rsidRPr="58E23F00">
        <w:rPr>
          <w:rFonts w:ascii="ITC Avant Garde" w:hAnsi="ITC Avant Garde"/>
          <w:lang w:val="es-ES"/>
        </w:rPr>
        <w:t xml:space="preserve"> considera que este ajuste favorecería un enfoque más eficiente y eliminaría un sobrecosto artificial.</w:t>
      </w:r>
    </w:p>
    <w:p w14:paraId="761464BD" w14:textId="0769B088" w:rsidR="00450E15" w:rsidRDefault="00450E15" w:rsidP="0080349A">
      <w:pPr>
        <w:spacing w:after="0" w:line="276" w:lineRule="auto"/>
        <w:ind w:left="0" w:right="0" w:firstLine="0"/>
        <w:rPr>
          <w:rFonts w:ascii="ITC Avant Garde" w:hAnsi="ITC Avant Garde"/>
          <w:lang w:val="es-ES"/>
        </w:rPr>
      </w:pPr>
    </w:p>
    <w:p w14:paraId="08EABA78" w14:textId="38764C7F" w:rsidR="00450E15" w:rsidRDefault="00450E15" w:rsidP="00450E15">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1335903A" w14:textId="77777777" w:rsidR="00450E15" w:rsidRPr="00541685" w:rsidRDefault="00450E15" w:rsidP="0080349A">
      <w:pPr>
        <w:spacing w:after="0" w:line="276" w:lineRule="auto"/>
        <w:ind w:left="0" w:right="0" w:firstLine="0"/>
        <w:rPr>
          <w:rFonts w:ascii="ITC Avant Garde" w:hAnsi="ITC Avant Garde"/>
          <w:lang w:val="es-ES"/>
        </w:rPr>
      </w:pPr>
    </w:p>
    <w:p w14:paraId="54149C35" w14:textId="081862F4" w:rsidR="00541685" w:rsidRDefault="00450E15" w:rsidP="0080349A">
      <w:pPr>
        <w:spacing w:after="0" w:line="276" w:lineRule="auto"/>
        <w:ind w:left="0" w:right="0" w:firstLine="0"/>
        <w:rPr>
          <w:rFonts w:ascii="ITC Avant Garde" w:hAnsi="ITC Avant Garde"/>
          <w:lang w:val="es-ES"/>
        </w:rPr>
      </w:pPr>
      <w:r>
        <w:rPr>
          <w:rFonts w:ascii="ITC Avant Garde" w:hAnsi="ITC Avant Garde"/>
          <w:lang w:val="es-ES"/>
        </w:rPr>
        <w:t>Se concuerda</w:t>
      </w:r>
      <w:r w:rsidR="00541685" w:rsidRPr="00541685">
        <w:rPr>
          <w:rFonts w:ascii="ITC Avant Garde" w:hAnsi="ITC Avant Garde"/>
          <w:lang w:val="es-ES"/>
        </w:rPr>
        <w:t xml:space="preserve"> con el </w:t>
      </w:r>
      <w:r w:rsidR="00A94546">
        <w:rPr>
          <w:rFonts w:ascii="ITC Avant Garde" w:hAnsi="ITC Avant Garde"/>
          <w:lang w:val="es-ES"/>
        </w:rPr>
        <w:t>concesionario</w:t>
      </w:r>
      <w:r w:rsidR="00541685" w:rsidRPr="00541685">
        <w:rPr>
          <w:rFonts w:ascii="ITC Avant Garde" w:hAnsi="ITC Avant Garde"/>
          <w:lang w:val="es-ES"/>
        </w:rPr>
        <w:t xml:space="preserve"> en que emplear las distancias reales de los enlaces dedicados arrendados favorece un enfoque más eficiente del modelo. En los modelos anteriores se empleó una distancia teóri</w:t>
      </w:r>
      <w:r>
        <w:rPr>
          <w:rFonts w:ascii="ITC Avant Garde" w:hAnsi="ITC Avant Garde"/>
          <w:lang w:val="es-ES"/>
        </w:rPr>
        <w:t>ca</w:t>
      </w:r>
      <w:r w:rsidR="008A4535">
        <w:rPr>
          <w:rFonts w:ascii="ITC Avant Garde" w:hAnsi="ITC Avant Garde"/>
          <w:lang w:val="es-ES"/>
        </w:rPr>
        <w:t xml:space="preserve"> </w:t>
      </w:r>
      <w:r w:rsidR="00541685" w:rsidRPr="00541685">
        <w:rPr>
          <w:rFonts w:ascii="ITC Avant Garde" w:hAnsi="ITC Avant Garde"/>
          <w:lang w:val="es-ES"/>
        </w:rPr>
        <w:t xml:space="preserve">promedio debido a la falta de información disponible. Sin embargo, el AEP </w:t>
      </w:r>
      <w:r>
        <w:rPr>
          <w:rFonts w:ascii="ITC Avant Garde" w:hAnsi="ITC Avant Garde"/>
          <w:lang w:val="es-ES"/>
        </w:rPr>
        <w:t>facilitó</w:t>
      </w:r>
      <w:r w:rsidR="00541685" w:rsidRPr="00541685">
        <w:rPr>
          <w:rFonts w:ascii="ITC Avant Garde" w:hAnsi="ITC Avant Garde"/>
          <w:lang w:val="es-ES"/>
        </w:rPr>
        <w:t xml:space="preserve"> más información en la presente revisión y, siguiendo la recomendación que menciona el </w:t>
      </w:r>
      <w:r w:rsidR="00A94546">
        <w:rPr>
          <w:rFonts w:ascii="ITC Avant Garde" w:hAnsi="ITC Avant Garde"/>
          <w:lang w:val="es-ES"/>
        </w:rPr>
        <w:t>concesionario</w:t>
      </w:r>
      <w:r w:rsidR="00541685" w:rsidRPr="00541685">
        <w:rPr>
          <w:rFonts w:ascii="ITC Avant Garde" w:hAnsi="ITC Avant Garde"/>
          <w:lang w:val="es-ES"/>
        </w:rPr>
        <w:t xml:space="preserve">, </w:t>
      </w:r>
      <w:r>
        <w:rPr>
          <w:rFonts w:ascii="ITC Avant Garde" w:hAnsi="ITC Avant Garde"/>
          <w:lang w:val="es-ES"/>
        </w:rPr>
        <w:t>se han ajustado</w:t>
      </w:r>
      <w:r w:rsidR="00541685" w:rsidRPr="00541685">
        <w:rPr>
          <w:rFonts w:ascii="ITC Avant Garde" w:hAnsi="ITC Avant Garde"/>
          <w:lang w:val="es-ES"/>
        </w:rPr>
        <w:t xml:space="preserve"> las distancias a las reales de cada tipo de enlace en el modelo.</w:t>
      </w:r>
    </w:p>
    <w:p w14:paraId="2A98E8FC" w14:textId="77777777" w:rsidR="00450E15" w:rsidRPr="00541685" w:rsidRDefault="00450E15" w:rsidP="0080349A">
      <w:pPr>
        <w:spacing w:after="0" w:line="276" w:lineRule="auto"/>
        <w:ind w:left="0" w:right="0" w:firstLine="0"/>
        <w:rPr>
          <w:rFonts w:ascii="ITC Avant Garde" w:hAnsi="ITC Avant Garde"/>
          <w:lang w:val="es-ES"/>
        </w:rPr>
      </w:pPr>
    </w:p>
    <w:p w14:paraId="35B97B37" w14:textId="77777777" w:rsidR="00541685" w:rsidRPr="00450E15" w:rsidRDefault="00541685" w:rsidP="0080349A">
      <w:pPr>
        <w:spacing w:after="0" w:line="276" w:lineRule="auto"/>
        <w:ind w:left="0" w:right="0" w:firstLine="0"/>
        <w:rPr>
          <w:rFonts w:ascii="ITC Avant Garde" w:hAnsi="ITC Avant Garde"/>
          <w:b/>
          <w:u w:val="single"/>
          <w:lang w:val="es-ES"/>
        </w:rPr>
      </w:pPr>
      <w:r w:rsidRPr="00450E15">
        <w:rPr>
          <w:rFonts w:ascii="ITC Avant Garde" w:hAnsi="ITC Avant Garde"/>
          <w:b/>
          <w:u w:val="single"/>
          <w:lang w:val="es-ES"/>
        </w:rPr>
        <w:t>Comentarios sobre los cálculos y resultados del modelo</w:t>
      </w:r>
    </w:p>
    <w:p w14:paraId="681B1293" w14:textId="77777777" w:rsidR="00450E15" w:rsidRDefault="00450E15" w:rsidP="0080349A">
      <w:pPr>
        <w:spacing w:after="0" w:line="276" w:lineRule="auto"/>
        <w:ind w:left="0" w:right="0" w:firstLine="0"/>
        <w:rPr>
          <w:rFonts w:ascii="ITC Avant Garde" w:hAnsi="ITC Avant Garde"/>
          <w:lang w:val="es-ES"/>
        </w:rPr>
      </w:pPr>
    </w:p>
    <w:p w14:paraId="27B8BE48" w14:textId="472EC3D1" w:rsidR="00541685" w:rsidRPr="00450E15" w:rsidRDefault="00541685" w:rsidP="0080349A">
      <w:pPr>
        <w:spacing w:after="0" w:line="276" w:lineRule="auto"/>
        <w:ind w:left="0" w:right="0" w:firstLine="0"/>
        <w:rPr>
          <w:rFonts w:ascii="ITC Avant Garde" w:hAnsi="ITC Avant Garde"/>
          <w:i/>
          <w:lang w:val="es-ES"/>
        </w:rPr>
      </w:pPr>
      <w:r w:rsidRPr="00450E15">
        <w:rPr>
          <w:rFonts w:ascii="ITC Avant Garde" w:hAnsi="ITC Avant Garde"/>
          <w:i/>
          <w:lang w:val="es-ES"/>
        </w:rPr>
        <w:t>Tendencias de las tarifas de los costos de instalación</w:t>
      </w:r>
    </w:p>
    <w:p w14:paraId="4C59B3B2" w14:textId="65E699B7" w:rsidR="00450E15" w:rsidRDefault="00450E15" w:rsidP="0080349A">
      <w:pPr>
        <w:spacing w:after="0" w:line="276" w:lineRule="auto"/>
        <w:ind w:left="0" w:right="0" w:firstLine="0"/>
        <w:rPr>
          <w:rFonts w:ascii="ITC Avant Garde" w:hAnsi="ITC Avant Garde"/>
          <w:lang w:val="es-ES"/>
        </w:rPr>
      </w:pPr>
    </w:p>
    <w:p w14:paraId="5AA3EDFA" w14:textId="10DD03DC" w:rsidR="00450E15" w:rsidRDefault="00450E15" w:rsidP="0080349A">
      <w:pPr>
        <w:spacing w:after="0" w:line="276" w:lineRule="auto"/>
        <w:ind w:left="0" w:right="0" w:firstLine="0"/>
        <w:rPr>
          <w:rFonts w:ascii="ITC Avant Garde" w:hAnsi="ITC Avant Garde"/>
          <w:lang w:val="es-ES"/>
        </w:rPr>
      </w:pPr>
      <w:r>
        <w:rPr>
          <w:rFonts w:ascii="ITC Avant Garde" w:hAnsi="ITC Avant Garde"/>
          <w:lang w:val="es-ES"/>
        </w:rPr>
        <w:lastRenderedPageBreak/>
        <w:t>CANIETI y GTV</w:t>
      </w:r>
    </w:p>
    <w:p w14:paraId="0D8FEF93" w14:textId="77777777" w:rsidR="00450E15" w:rsidRDefault="00450E15" w:rsidP="0080349A">
      <w:pPr>
        <w:spacing w:after="0" w:line="276" w:lineRule="auto"/>
        <w:ind w:left="0" w:right="0" w:firstLine="0"/>
        <w:rPr>
          <w:rFonts w:ascii="ITC Avant Garde" w:hAnsi="ITC Avant Garde"/>
          <w:lang w:val="es-ES"/>
        </w:rPr>
      </w:pPr>
    </w:p>
    <w:p w14:paraId="756886B3" w14:textId="43BF9524" w:rsidR="00541685" w:rsidRDefault="00376355" w:rsidP="0080349A">
      <w:pPr>
        <w:spacing w:after="0" w:line="276" w:lineRule="auto"/>
        <w:ind w:left="0" w:right="0" w:firstLine="0"/>
        <w:rPr>
          <w:rFonts w:ascii="ITC Avant Garde" w:hAnsi="ITC Avant Garde"/>
          <w:lang w:val="es-ES"/>
        </w:rPr>
      </w:pPr>
      <w:r w:rsidRPr="58E23F00">
        <w:rPr>
          <w:rFonts w:ascii="ITC Avant Garde" w:hAnsi="ITC Avant Garde"/>
          <w:lang w:val="es-ES"/>
        </w:rPr>
        <w:t>CANIETI</w:t>
      </w:r>
      <w:r w:rsidR="00541685" w:rsidRPr="58E23F00">
        <w:rPr>
          <w:rFonts w:ascii="ITC Avant Garde" w:hAnsi="ITC Avant Garde"/>
          <w:lang w:val="es-ES"/>
        </w:rPr>
        <w:t xml:space="preserve"> y </w:t>
      </w:r>
      <w:r w:rsidR="007C441B" w:rsidRPr="58E23F00">
        <w:rPr>
          <w:rFonts w:ascii="ITC Avant Garde" w:hAnsi="ITC Avant Garde"/>
          <w:lang w:val="es-ES"/>
        </w:rPr>
        <w:t>GTV</w:t>
      </w:r>
      <w:r w:rsidR="00541685" w:rsidRPr="58E23F00">
        <w:rPr>
          <w:rFonts w:ascii="ITC Avant Garde" w:hAnsi="ITC Avant Garde"/>
          <w:lang w:val="es-ES"/>
        </w:rPr>
        <w:t xml:space="preserve"> solicitan que el </w:t>
      </w:r>
      <w:r w:rsidR="647786AF" w:rsidRPr="58E23F00">
        <w:rPr>
          <w:rFonts w:ascii="ITC Avant Garde" w:hAnsi="ITC Avant Garde"/>
          <w:lang w:val="es-ES"/>
        </w:rPr>
        <w:t>I</w:t>
      </w:r>
      <w:r w:rsidR="15253315"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ajuste las tarifas de costos de instalación de los enlaces ethernet para que estas disminuyan, argumentando que existe una menor inflación y una tendencia global de incremento en el tráfico que debería reducir los precios unitarios.</w:t>
      </w:r>
    </w:p>
    <w:p w14:paraId="4CD6302D" w14:textId="50030A36" w:rsidR="00450E15" w:rsidRDefault="00450E15" w:rsidP="0080349A">
      <w:pPr>
        <w:spacing w:after="0" w:line="276" w:lineRule="auto"/>
        <w:ind w:left="0" w:right="0" w:firstLine="0"/>
        <w:rPr>
          <w:rFonts w:ascii="ITC Avant Garde" w:hAnsi="ITC Avant Garde"/>
          <w:lang w:val="es-ES"/>
        </w:rPr>
      </w:pPr>
    </w:p>
    <w:p w14:paraId="7C1004D8" w14:textId="135199E5" w:rsidR="00450E15" w:rsidRDefault="00450E15" w:rsidP="00450E15">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1D3E5A04" w14:textId="77777777" w:rsidR="00450E15" w:rsidRPr="00541685" w:rsidRDefault="00450E15" w:rsidP="0080349A">
      <w:pPr>
        <w:spacing w:after="0" w:line="276" w:lineRule="auto"/>
        <w:ind w:left="0" w:right="0" w:firstLine="0"/>
        <w:rPr>
          <w:rFonts w:ascii="ITC Avant Garde" w:hAnsi="ITC Avant Garde"/>
          <w:lang w:val="es-ES"/>
        </w:rPr>
      </w:pPr>
    </w:p>
    <w:p w14:paraId="46048A39" w14:textId="57A3ED12" w:rsidR="00541685" w:rsidRDefault="00C3485A" w:rsidP="0080349A">
      <w:pPr>
        <w:spacing w:after="0" w:line="276" w:lineRule="auto"/>
        <w:ind w:left="0" w:right="0" w:firstLine="0"/>
        <w:rPr>
          <w:rFonts w:ascii="ITC Avant Garde" w:hAnsi="ITC Avant Garde"/>
          <w:lang w:val="es-ES"/>
        </w:rPr>
      </w:pPr>
      <w:r>
        <w:rPr>
          <w:rFonts w:ascii="ITC Avant Garde" w:hAnsi="ITC Avant Garde"/>
          <w:lang w:val="es-ES"/>
        </w:rPr>
        <w:t>En</w:t>
      </w:r>
      <w:r w:rsidR="00541685" w:rsidRPr="00541685">
        <w:rPr>
          <w:rFonts w:ascii="ITC Avant Garde" w:hAnsi="ITC Avant Garde"/>
          <w:lang w:val="es-ES"/>
        </w:rPr>
        <w:t xml:space="preserve"> general, los costos de instalación guardan más relación con la evolución de los costos de los equipos y mano de obra que con los volúmenes de tráfico. Esto se debe a que no se suelen presentar economías de escala en el proceso de instalación. </w:t>
      </w:r>
    </w:p>
    <w:p w14:paraId="7E9209FD" w14:textId="77777777" w:rsidR="00450E15" w:rsidRPr="00541685" w:rsidRDefault="00450E15" w:rsidP="0080349A">
      <w:pPr>
        <w:spacing w:after="0" w:line="276" w:lineRule="auto"/>
        <w:ind w:left="0" w:right="0" w:firstLine="0"/>
        <w:rPr>
          <w:rFonts w:ascii="ITC Avant Garde" w:hAnsi="ITC Avant Garde"/>
          <w:lang w:val="es-ES"/>
        </w:rPr>
      </w:pPr>
    </w:p>
    <w:p w14:paraId="373776AA" w14:textId="77777777" w:rsidR="00541685" w:rsidRPr="00450E15" w:rsidRDefault="00541685" w:rsidP="0080349A">
      <w:pPr>
        <w:spacing w:after="0" w:line="276" w:lineRule="auto"/>
        <w:ind w:left="0" w:right="0" w:firstLine="0"/>
        <w:rPr>
          <w:rFonts w:ascii="ITC Avant Garde" w:hAnsi="ITC Avant Garde"/>
          <w:i/>
          <w:lang w:val="es-ES"/>
        </w:rPr>
      </w:pPr>
      <w:r w:rsidRPr="00450E15">
        <w:rPr>
          <w:rFonts w:ascii="ITC Avant Garde" w:hAnsi="ITC Avant Garde"/>
          <w:i/>
          <w:lang w:val="es-ES"/>
        </w:rPr>
        <w:t>Evolución de los precios de los servicios de enlaces dedicados</w:t>
      </w:r>
    </w:p>
    <w:p w14:paraId="73B9DBEE" w14:textId="348D1195" w:rsidR="00450E15" w:rsidRDefault="00450E15" w:rsidP="0080349A">
      <w:pPr>
        <w:spacing w:after="0" w:line="276" w:lineRule="auto"/>
        <w:ind w:left="0" w:right="0" w:firstLine="0"/>
        <w:rPr>
          <w:rFonts w:ascii="ITC Avant Garde" w:hAnsi="ITC Avant Garde"/>
          <w:lang w:val="es-ES"/>
        </w:rPr>
      </w:pPr>
    </w:p>
    <w:p w14:paraId="22E84158" w14:textId="5B6DF0E7" w:rsidR="00450E15" w:rsidRDefault="00450E15" w:rsidP="0080349A">
      <w:pPr>
        <w:spacing w:after="0" w:line="276" w:lineRule="auto"/>
        <w:ind w:left="0" w:right="0" w:firstLine="0"/>
        <w:rPr>
          <w:rFonts w:ascii="ITC Avant Garde" w:hAnsi="ITC Avant Garde"/>
          <w:lang w:val="es-ES"/>
        </w:rPr>
      </w:pPr>
      <w:r>
        <w:rPr>
          <w:rFonts w:ascii="ITC Avant Garde" w:hAnsi="ITC Avant Garde"/>
          <w:lang w:val="es-ES"/>
        </w:rPr>
        <w:t>CANIETI y GTV</w:t>
      </w:r>
    </w:p>
    <w:p w14:paraId="2EA61554" w14:textId="77777777" w:rsidR="00450E15" w:rsidRDefault="00450E15" w:rsidP="0080349A">
      <w:pPr>
        <w:spacing w:after="0" w:line="276" w:lineRule="auto"/>
        <w:ind w:left="0" w:right="0" w:firstLine="0"/>
        <w:rPr>
          <w:rFonts w:ascii="ITC Avant Garde" w:hAnsi="ITC Avant Garde"/>
          <w:lang w:val="es-ES"/>
        </w:rPr>
      </w:pPr>
    </w:p>
    <w:p w14:paraId="65D015F2" w14:textId="4169EA5A" w:rsidR="00541685" w:rsidRDefault="00376355" w:rsidP="0080349A">
      <w:pPr>
        <w:spacing w:after="0" w:line="276" w:lineRule="auto"/>
        <w:ind w:left="0" w:right="0" w:firstLine="0"/>
        <w:rPr>
          <w:rFonts w:ascii="ITC Avant Garde" w:hAnsi="ITC Avant Garde"/>
          <w:lang w:val="es-ES"/>
        </w:rPr>
      </w:pPr>
      <w:r>
        <w:rPr>
          <w:rFonts w:ascii="ITC Avant Garde" w:hAnsi="ITC Avant Garde"/>
          <w:lang w:val="es-ES"/>
        </w:rPr>
        <w:t>CANIETI</w:t>
      </w:r>
      <w:r w:rsidR="00541685" w:rsidRPr="00541685">
        <w:rPr>
          <w:rFonts w:ascii="ITC Avant Garde" w:hAnsi="ITC Avant Garde"/>
          <w:lang w:val="es-ES"/>
        </w:rPr>
        <w:t xml:space="preserve"> y </w:t>
      </w:r>
      <w:r w:rsidR="007C441B">
        <w:rPr>
          <w:rFonts w:ascii="ITC Avant Garde" w:hAnsi="ITC Avant Garde"/>
          <w:lang w:val="es-ES"/>
        </w:rPr>
        <w:t>GTV</w:t>
      </w:r>
      <w:r w:rsidR="00541685" w:rsidRPr="00541685">
        <w:rPr>
          <w:rFonts w:ascii="ITC Avant Garde" w:hAnsi="ITC Avant Garde"/>
          <w:lang w:val="es-ES"/>
        </w:rPr>
        <w:t xml:space="preserve"> señalan que, al comparar las tarifas de enlaces dedicados interurbanos en el modelo actual (2024–26) con el anterior (2021–23), se han encontrado variaciones </w:t>
      </w:r>
      <w:r w:rsidR="00012795">
        <w:rPr>
          <w:rFonts w:ascii="ITC Avant Garde" w:hAnsi="ITC Avant Garde"/>
          <w:lang w:val="es-ES"/>
        </w:rPr>
        <w:t>importantes</w:t>
      </w:r>
      <w:r w:rsidR="00541685" w:rsidRPr="00541685">
        <w:rPr>
          <w:rFonts w:ascii="ITC Avant Garde" w:hAnsi="ITC Avant Garde"/>
          <w:lang w:val="es-ES"/>
        </w:rPr>
        <w:t xml:space="preserve"> (</w:t>
      </w:r>
      <w:r w:rsidR="00012795">
        <w:rPr>
          <w:rFonts w:ascii="ITC Avant Garde" w:hAnsi="ITC Avant Garde"/>
          <w:lang w:val="es-ES"/>
        </w:rPr>
        <w:t xml:space="preserve">por ejemplo </w:t>
      </w:r>
      <w:r w:rsidR="00541685" w:rsidRPr="00541685">
        <w:rPr>
          <w:rFonts w:ascii="ITC Avant Garde" w:hAnsi="ITC Avant Garde"/>
          <w:lang w:val="es-ES"/>
        </w:rPr>
        <w:t xml:space="preserve">754% de variación para la velocidad STM.64 – 10Gbit/s). Ambas partes [CANIETI y GTV] solicitan una reducción en las tarifas de enlaces dedicados aplicables al </w:t>
      </w:r>
      <w:r>
        <w:rPr>
          <w:rFonts w:ascii="ITC Avant Garde" w:hAnsi="ITC Avant Garde"/>
          <w:lang w:val="es-ES"/>
        </w:rPr>
        <w:t>CS.</w:t>
      </w:r>
    </w:p>
    <w:p w14:paraId="5A2485B4" w14:textId="77777777" w:rsidR="00450E15" w:rsidRDefault="00450E15" w:rsidP="00450E15">
      <w:pPr>
        <w:spacing w:after="0" w:line="276" w:lineRule="auto"/>
        <w:ind w:left="0" w:right="0" w:firstLine="0"/>
        <w:rPr>
          <w:rFonts w:ascii="ITC Avant Garde" w:hAnsi="ITC Avant Garde"/>
          <w:lang w:val="es-ES"/>
        </w:rPr>
      </w:pPr>
    </w:p>
    <w:p w14:paraId="30E27028" w14:textId="62CDFBF0" w:rsidR="00450E15" w:rsidRDefault="00450E15" w:rsidP="00450E15">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32A689D9" w14:textId="462A1FBC" w:rsidR="00450E15" w:rsidRDefault="00450E15" w:rsidP="0080349A">
      <w:pPr>
        <w:spacing w:after="0" w:line="276" w:lineRule="auto"/>
        <w:ind w:left="0" w:right="0" w:firstLine="0"/>
        <w:rPr>
          <w:rFonts w:ascii="ITC Avant Garde" w:hAnsi="ITC Avant Garde"/>
          <w:lang w:val="es-ES"/>
        </w:rPr>
      </w:pPr>
    </w:p>
    <w:p w14:paraId="7AE6DBF9" w14:textId="28D58164"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Debido a los cambios realizados en la metodología de los gradientes y con el fin de aumentar la transparencia y simplificación del modelo, </w:t>
      </w:r>
      <w:r w:rsidR="00450E15">
        <w:rPr>
          <w:rFonts w:ascii="ITC Avant Garde" w:hAnsi="ITC Avant Garde"/>
          <w:lang w:val="es-ES"/>
        </w:rPr>
        <w:t>se ha actualizado</w:t>
      </w:r>
      <w:r w:rsidRPr="00541685">
        <w:rPr>
          <w:rFonts w:ascii="ITC Avant Garde" w:hAnsi="ITC Avant Garde"/>
          <w:lang w:val="es-ES"/>
        </w:rPr>
        <w:t xml:space="preserve"> la manera en la que se presentan los resultados del módulo de enlaces dedicados, de tal forma que se presenta una úni</w:t>
      </w:r>
      <w:r w:rsidR="00450E15">
        <w:rPr>
          <w:rFonts w:ascii="ITC Avant Garde" w:hAnsi="ITC Avant Garde"/>
          <w:lang w:val="es-ES"/>
        </w:rPr>
        <w:t>ca</w:t>
      </w:r>
      <w:r w:rsidR="008A4535">
        <w:rPr>
          <w:rFonts w:ascii="ITC Avant Garde" w:hAnsi="ITC Avant Garde"/>
          <w:lang w:val="es-ES"/>
        </w:rPr>
        <w:t xml:space="preserve"> </w:t>
      </w:r>
      <w:r w:rsidRPr="00541685">
        <w:rPr>
          <w:rFonts w:ascii="ITC Avant Garde" w:hAnsi="ITC Avant Garde"/>
          <w:lang w:val="es-ES"/>
        </w:rPr>
        <w:t>renta mensual por kilómetro para los enlaces entre localidades. En las versiones anteriores del modelo se presentaba un componente fijo y un componente variable, que a su vez variaba en función de los distintos tramos de distancia ofrecida.</w:t>
      </w:r>
    </w:p>
    <w:p w14:paraId="03B01DA0" w14:textId="77777777" w:rsidR="00450E15" w:rsidRPr="00541685" w:rsidRDefault="00450E15" w:rsidP="0080349A">
      <w:pPr>
        <w:spacing w:after="0" w:line="276" w:lineRule="auto"/>
        <w:ind w:left="0" w:right="0" w:firstLine="0"/>
        <w:rPr>
          <w:rFonts w:ascii="ITC Avant Garde" w:hAnsi="ITC Avant Garde"/>
          <w:lang w:val="es-ES"/>
        </w:rPr>
      </w:pPr>
    </w:p>
    <w:p w14:paraId="0591D15A" w14:textId="21D18FBA"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Si bien a simple vista se podrían apreciar diferencias materiales en las tarifas con respecto a los modelos, estas diferencias se minimizan al realizar una comparativa equiparable (esto es, considerando las componentes fijas y variables como valor único anualizado). Por ejemplo, al analizar el caso de la velocidad STM-64, el incremento observado de ~700% se da si se compara únicamente la componente variable con la nueva tarifa (que incluye tanto la componente fija como la variable en un único precio), lo cual sería inconsistente. En cambio, si se realiza una </w:t>
      </w:r>
      <w:r w:rsidRPr="00541685">
        <w:rPr>
          <w:rFonts w:ascii="ITC Avant Garde" w:hAnsi="ITC Avant Garde"/>
          <w:lang w:val="es-ES"/>
        </w:rPr>
        <w:lastRenderedPageBreak/>
        <w:t>comparativa conjunta de las distintas componentes, se observaría una disminución de un 2% en el precio total.</w:t>
      </w:r>
    </w:p>
    <w:p w14:paraId="7F83A776" w14:textId="77777777" w:rsidR="00450E15" w:rsidRPr="00541685" w:rsidRDefault="00450E15" w:rsidP="0080349A">
      <w:pPr>
        <w:spacing w:after="0" w:line="276" w:lineRule="auto"/>
        <w:ind w:left="0" w:right="0" w:firstLine="0"/>
        <w:rPr>
          <w:rFonts w:ascii="ITC Avant Garde" w:hAnsi="ITC Avant Garde"/>
          <w:lang w:val="es-ES"/>
        </w:rPr>
      </w:pPr>
    </w:p>
    <w:p w14:paraId="461920C4" w14:textId="77777777" w:rsidR="00541685" w:rsidRPr="00450E15" w:rsidRDefault="00541685" w:rsidP="0080349A">
      <w:pPr>
        <w:spacing w:after="0" w:line="276" w:lineRule="auto"/>
        <w:ind w:left="0" w:right="0" w:firstLine="0"/>
        <w:rPr>
          <w:rFonts w:ascii="ITC Avant Garde" w:hAnsi="ITC Avant Garde"/>
          <w:i/>
          <w:lang w:val="es-ES"/>
        </w:rPr>
      </w:pPr>
      <w:r w:rsidRPr="00450E15">
        <w:rPr>
          <w:rFonts w:ascii="ITC Avant Garde" w:hAnsi="ITC Avant Garde"/>
          <w:i/>
          <w:lang w:val="es-ES"/>
        </w:rPr>
        <w:t>Aplicabilidad de los cargos de instalación</w:t>
      </w:r>
    </w:p>
    <w:p w14:paraId="2340FC53" w14:textId="77777777" w:rsidR="00450E15" w:rsidRDefault="00450E15" w:rsidP="0080349A">
      <w:pPr>
        <w:spacing w:after="0" w:line="276" w:lineRule="auto"/>
        <w:ind w:left="0" w:right="0" w:firstLine="0"/>
        <w:rPr>
          <w:rFonts w:ascii="ITC Avant Garde" w:hAnsi="ITC Avant Garde"/>
          <w:lang w:val="es-ES"/>
        </w:rPr>
      </w:pPr>
    </w:p>
    <w:p w14:paraId="6BB02387" w14:textId="5359488C" w:rsidR="00450E15" w:rsidRDefault="00450E15" w:rsidP="0080349A">
      <w:pPr>
        <w:spacing w:after="0" w:line="276" w:lineRule="auto"/>
        <w:ind w:left="0" w:right="0" w:firstLine="0"/>
        <w:rPr>
          <w:rFonts w:ascii="ITC Avant Garde" w:hAnsi="ITC Avant Garde"/>
          <w:lang w:val="es-ES"/>
        </w:rPr>
      </w:pPr>
      <w:r>
        <w:rPr>
          <w:rFonts w:ascii="ITC Avant Garde" w:hAnsi="ITC Avant Garde"/>
          <w:lang w:val="es-ES"/>
        </w:rPr>
        <w:t>Axtel</w:t>
      </w:r>
    </w:p>
    <w:p w14:paraId="195DA904" w14:textId="77777777" w:rsidR="00450E15" w:rsidRDefault="00450E15" w:rsidP="0080349A">
      <w:pPr>
        <w:spacing w:after="0" w:line="276" w:lineRule="auto"/>
        <w:ind w:left="0" w:right="0" w:firstLine="0"/>
        <w:rPr>
          <w:rFonts w:ascii="ITC Avant Garde" w:hAnsi="ITC Avant Garde"/>
          <w:lang w:val="es-ES"/>
        </w:rPr>
      </w:pPr>
    </w:p>
    <w:p w14:paraId="4D0AEC73" w14:textId="4C3C5642" w:rsidR="00541685" w:rsidRDefault="00D5490D" w:rsidP="0080349A">
      <w:pPr>
        <w:spacing w:after="0" w:line="276" w:lineRule="auto"/>
        <w:ind w:left="0" w:right="0" w:firstLine="0"/>
        <w:rPr>
          <w:rFonts w:ascii="ITC Avant Garde" w:hAnsi="ITC Avant Garde"/>
          <w:lang w:val="es-ES"/>
        </w:rPr>
      </w:pPr>
      <w:r w:rsidRPr="58E23F00">
        <w:rPr>
          <w:rFonts w:ascii="ITC Avant Garde" w:hAnsi="ITC Avant Garde"/>
          <w:lang w:val="es-ES"/>
        </w:rPr>
        <w:t>Axtel</w:t>
      </w:r>
      <w:r w:rsidR="00541685" w:rsidRPr="58E23F00">
        <w:rPr>
          <w:rFonts w:ascii="ITC Avant Garde" w:hAnsi="ITC Avant Garde"/>
          <w:lang w:val="es-ES"/>
        </w:rPr>
        <w:t xml:space="preserve"> solicita al </w:t>
      </w:r>
      <w:r w:rsidR="647786AF" w:rsidRPr="58E23F00">
        <w:rPr>
          <w:rFonts w:ascii="ITC Avant Garde" w:hAnsi="ITC Avant Garde"/>
          <w:lang w:val="es-ES"/>
        </w:rPr>
        <w:t>I</w:t>
      </w:r>
      <w:r w:rsidR="495BBD98"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 xml:space="preserve">que clarifique las diferencias entre las tareas de instalación en la central, refiriéndose al tiempo de uso de mano de obra, y el porcentaje de capex asociado a las adecuaciones en planta interna, señalando su preocupación sobre la posibilidad de que se estén generando duplicidades en el modelo. </w:t>
      </w:r>
      <w:r w:rsidRPr="58E23F00">
        <w:rPr>
          <w:rFonts w:ascii="ITC Avant Garde" w:hAnsi="ITC Avant Garde"/>
          <w:lang w:val="es-ES"/>
        </w:rPr>
        <w:t>Axtel</w:t>
      </w:r>
      <w:r w:rsidR="00541685" w:rsidRPr="58E23F00">
        <w:rPr>
          <w:rFonts w:ascii="ITC Avant Garde" w:hAnsi="ITC Avant Garde"/>
          <w:lang w:val="es-ES"/>
        </w:rPr>
        <w:t xml:space="preserve"> solicita que, en caso de que se estén generando duplicidades en los cargos de instalación, se elimine el opex o el capex considerado en las adecuaciones en planta </w:t>
      </w:r>
      <w:r w:rsidR="00C3485A" w:rsidRPr="58E23F00">
        <w:rPr>
          <w:rFonts w:ascii="ITC Avant Garde" w:hAnsi="ITC Avant Garde"/>
          <w:lang w:val="es-ES"/>
        </w:rPr>
        <w:t>interna,</w:t>
      </w:r>
      <w:r w:rsidR="00541685" w:rsidRPr="58E23F00">
        <w:rPr>
          <w:rFonts w:ascii="ITC Avant Garde" w:hAnsi="ITC Avant Garde"/>
          <w:lang w:val="es-ES"/>
        </w:rPr>
        <w:t xml:space="preserve"> </w:t>
      </w:r>
      <w:r w:rsidR="00C3485A" w:rsidRPr="58E23F00">
        <w:rPr>
          <w:rFonts w:ascii="ITC Avant Garde" w:hAnsi="ITC Avant Garde"/>
          <w:lang w:val="es-ES"/>
        </w:rPr>
        <w:t>así</w:t>
      </w:r>
      <w:r w:rsidR="00541685" w:rsidRPr="58E23F00">
        <w:rPr>
          <w:rFonts w:ascii="ITC Avant Garde" w:hAnsi="ITC Avant Garde"/>
          <w:lang w:val="es-ES"/>
        </w:rPr>
        <w:t xml:space="preserve"> como los costos de instalación en el sitio del cliente como parte de los gastos de instalación.</w:t>
      </w:r>
    </w:p>
    <w:p w14:paraId="66E97215" w14:textId="24CA6CFE" w:rsidR="00450E15" w:rsidRDefault="00450E15" w:rsidP="0080349A">
      <w:pPr>
        <w:spacing w:after="0" w:line="276" w:lineRule="auto"/>
        <w:ind w:left="0" w:right="0" w:firstLine="0"/>
        <w:rPr>
          <w:rFonts w:ascii="ITC Avant Garde" w:hAnsi="ITC Avant Garde"/>
          <w:lang w:val="es-ES"/>
        </w:rPr>
      </w:pPr>
    </w:p>
    <w:p w14:paraId="7C8B3C15" w14:textId="228A0A7E" w:rsidR="00450E15" w:rsidRDefault="00450E15" w:rsidP="00450E15">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5971C479" w14:textId="77777777" w:rsidR="00450E15" w:rsidRPr="00541685" w:rsidRDefault="00450E15" w:rsidP="0080349A">
      <w:pPr>
        <w:spacing w:after="0" w:line="276" w:lineRule="auto"/>
        <w:ind w:left="0" w:right="0" w:firstLine="0"/>
        <w:rPr>
          <w:rFonts w:ascii="ITC Avant Garde" w:hAnsi="ITC Avant Garde"/>
          <w:lang w:val="es-ES"/>
        </w:rPr>
      </w:pPr>
    </w:p>
    <w:p w14:paraId="371DCB2C" w14:textId="1449AB95" w:rsidR="00541685" w:rsidRDefault="00856A78" w:rsidP="0080349A">
      <w:pPr>
        <w:spacing w:after="0" w:line="276" w:lineRule="auto"/>
        <w:ind w:left="0" w:right="0" w:firstLine="0"/>
        <w:rPr>
          <w:rFonts w:ascii="ITC Avant Garde" w:hAnsi="ITC Avant Garde"/>
          <w:lang w:val="es-ES"/>
        </w:rPr>
      </w:pPr>
      <w:r>
        <w:rPr>
          <w:rFonts w:ascii="ITC Avant Garde" w:hAnsi="ITC Avant Garde"/>
          <w:lang w:val="es-ES"/>
        </w:rPr>
        <w:t>Se considera</w:t>
      </w:r>
      <w:r w:rsidR="00541685" w:rsidRPr="00541685">
        <w:rPr>
          <w:rFonts w:ascii="ITC Avant Garde" w:hAnsi="ITC Avant Garde"/>
          <w:lang w:val="es-ES"/>
        </w:rPr>
        <w:t xml:space="preserve"> que el modelo reconoce adecuadamente el tiempo de mano de obra necesario para activar los distintos servicios. La </w:t>
      </w:r>
      <w:r w:rsidR="00B257F6">
        <w:rPr>
          <w:rFonts w:ascii="ITC Avant Garde" w:hAnsi="ITC Avant Garde"/>
          <w:lang w:val="es-ES"/>
        </w:rPr>
        <w:t>lógica</w:t>
      </w:r>
      <w:r w:rsidR="008A4535">
        <w:rPr>
          <w:rFonts w:ascii="ITC Avant Garde" w:hAnsi="ITC Avant Garde"/>
          <w:lang w:val="es-ES"/>
        </w:rPr>
        <w:t xml:space="preserve"> </w:t>
      </w:r>
      <w:r w:rsidR="00541685" w:rsidRPr="00541685">
        <w:rPr>
          <w:rFonts w:ascii="ITC Avant Garde" w:hAnsi="ITC Avant Garde"/>
          <w:lang w:val="es-ES"/>
        </w:rPr>
        <w:t xml:space="preserve">presentada por Axtel no distingue ni reconoce ningún tipo de trabajo adicional requerido para validar una orden que incluya las dos puntas locales más el tramo entre localidades, en comparación con una orden que solo incluya el tramo entre localidades. </w:t>
      </w:r>
      <w:r w:rsidR="00450E15">
        <w:rPr>
          <w:rFonts w:ascii="ITC Avant Garde" w:hAnsi="ITC Avant Garde"/>
          <w:lang w:val="es-ES"/>
        </w:rPr>
        <w:t>A</w:t>
      </w:r>
      <w:r w:rsidR="00541685" w:rsidRPr="00541685">
        <w:rPr>
          <w:rFonts w:ascii="ITC Avant Garde" w:hAnsi="ITC Avant Garde"/>
          <w:lang w:val="es-ES"/>
        </w:rPr>
        <w:t>dicionar las puntas de los enlaces requiere de un tiempo adicional que debería reconocerse en los cargos de instalación.</w:t>
      </w:r>
    </w:p>
    <w:p w14:paraId="6948348A" w14:textId="77777777" w:rsidR="00450E15" w:rsidRPr="00541685" w:rsidRDefault="00450E15" w:rsidP="0080349A">
      <w:pPr>
        <w:spacing w:after="0" w:line="276" w:lineRule="auto"/>
        <w:ind w:left="0" w:right="0" w:firstLine="0"/>
        <w:rPr>
          <w:rFonts w:ascii="ITC Avant Garde" w:hAnsi="ITC Avant Garde"/>
          <w:lang w:val="es-ES"/>
        </w:rPr>
      </w:pPr>
    </w:p>
    <w:p w14:paraId="0D083732" w14:textId="121481EE"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Por otro lado, el cargo asociado a las adecuaciones en planta interna no es equivalente al cargo por la instalación en la central. El primero hace referencia a la inversión requerida para la instalación de los equipos específicos que se instalan en central y que luego son empleados para dar los servicios de los enlaces dedicados para cada una de las velocidades. Mientras tanto, el cargo por la instalación en la central hace referencia al costo de la mano de obra necesario para proceder a la activación e instalación del servicio (incluyendo costos administrativos y otros costos directos derivados de la instalación del servicio solicitado por el cliente).</w:t>
      </w:r>
    </w:p>
    <w:p w14:paraId="37C93B3D" w14:textId="77777777" w:rsidR="00450E15" w:rsidRPr="00541685" w:rsidRDefault="00450E15" w:rsidP="0080349A">
      <w:pPr>
        <w:spacing w:after="0" w:line="276" w:lineRule="auto"/>
        <w:ind w:left="0" w:right="0" w:firstLine="0"/>
        <w:rPr>
          <w:rFonts w:ascii="ITC Avant Garde" w:hAnsi="ITC Avant Garde"/>
          <w:lang w:val="es-ES"/>
        </w:rPr>
      </w:pPr>
    </w:p>
    <w:p w14:paraId="0F3A3556" w14:textId="77777777" w:rsidR="00541685" w:rsidRPr="00450E15" w:rsidRDefault="00541685" w:rsidP="0080349A">
      <w:pPr>
        <w:spacing w:after="0" w:line="276" w:lineRule="auto"/>
        <w:ind w:left="0" w:right="0" w:firstLine="0"/>
        <w:rPr>
          <w:rFonts w:ascii="ITC Avant Garde" w:hAnsi="ITC Avant Garde"/>
          <w:i/>
          <w:lang w:val="es-ES"/>
        </w:rPr>
      </w:pPr>
      <w:r w:rsidRPr="00450E15">
        <w:rPr>
          <w:rFonts w:ascii="ITC Avant Garde" w:hAnsi="ITC Avant Garde"/>
          <w:i/>
          <w:lang w:val="es-ES"/>
        </w:rPr>
        <w:t>Comparativa entre las tarifas de servicios ethernet y TDM</w:t>
      </w:r>
    </w:p>
    <w:p w14:paraId="1580AAE0" w14:textId="77777777" w:rsidR="00450E15" w:rsidRDefault="00450E15" w:rsidP="0080349A">
      <w:pPr>
        <w:spacing w:after="0" w:line="276" w:lineRule="auto"/>
        <w:ind w:left="0" w:right="0" w:firstLine="0"/>
        <w:rPr>
          <w:rFonts w:ascii="ITC Avant Garde" w:hAnsi="ITC Avant Garde"/>
          <w:lang w:val="es-ES"/>
        </w:rPr>
      </w:pPr>
    </w:p>
    <w:p w14:paraId="12D75A1D" w14:textId="319D1BA4" w:rsidR="00450E15" w:rsidRDefault="00450E15" w:rsidP="0080349A">
      <w:pPr>
        <w:spacing w:after="0" w:line="276" w:lineRule="auto"/>
        <w:ind w:left="0" w:right="0" w:firstLine="0"/>
        <w:rPr>
          <w:rFonts w:ascii="ITC Avant Garde" w:hAnsi="ITC Avant Garde"/>
          <w:lang w:val="es-ES"/>
        </w:rPr>
      </w:pPr>
      <w:r>
        <w:rPr>
          <w:rFonts w:ascii="ITC Avant Garde" w:hAnsi="ITC Avant Garde"/>
          <w:lang w:val="es-ES"/>
        </w:rPr>
        <w:t>CANIETI</w:t>
      </w:r>
    </w:p>
    <w:p w14:paraId="695FCA4C" w14:textId="77777777" w:rsidR="00450E15" w:rsidRDefault="00450E15" w:rsidP="0080349A">
      <w:pPr>
        <w:spacing w:after="0" w:line="276" w:lineRule="auto"/>
        <w:ind w:left="0" w:right="0" w:firstLine="0"/>
        <w:rPr>
          <w:rFonts w:ascii="ITC Avant Garde" w:hAnsi="ITC Avant Garde"/>
          <w:lang w:val="es-ES"/>
        </w:rPr>
      </w:pPr>
    </w:p>
    <w:p w14:paraId="471CD240" w14:textId="2B39C0D5" w:rsidR="00541685" w:rsidRPr="00541685" w:rsidRDefault="00376355" w:rsidP="0080349A">
      <w:pPr>
        <w:spacing w:after="0" w:line="276" w:lineRule="auto"/>
        <w:ind w:left="0" w:right="0" w:firstLine="0"/>
        <w:rPr>
          <w:rFonts w:ascii="ITC Avant Garde" w:hAnsi="ITC Avant Garde"/>
          <w:lang w:val="es-ES"/>
        </w:rPr>
      </w:pPr>
      <w:r w:rsidRPr="58E23F00">
        <w:rPr>
          <w:rFonts w:ascii="ITC Avant Garde" w:hAnsi="ITC Avant Garde"/>
          <w:lang w:val="es-ES"/>
        </w:rPr>
        <w:lastRenderedPageBreak/>
        <w:t>CANIETI</w:t>
      </w:r>
      <w:r w:rsidR="00541685" w:rsidRPr="58E23F00">
        <w:rPr>
          <w:rFonts w:ascii="ITC Avant Garde" w:hAnsi="ITC Avant Garde"/>
          <w:lang w:val="es-ES"/>
        </w:rPr>
        <w:t xml:space="preserve"> opina que el motivo por el cual el AEP ha proporcionado niveles de demanda estables en las tarifas de TDM y ethernet puede deberse a que desee retrasar o reducir la migración de una a otra para lucrarse por ofrecer servicios con una tecnología menos eficiente. Por tanto, </w:t>
      </w:r>
      <w:r w:rsidRPr="58E23F00">
        <w:rPr>
          <w:rFonts w:ascii="ITC Avant Garde" w:hAnsi="ITC Avant Garde"/>
          <w:lang w:val="es-ES"/>
        </w:rPr>
        <w:t>CANIETI</w:t>
      </w:r>
      <w:r w:rsidR="00541685" w:rsidRPr="58E23F00">
        <w:rPr>
          <w:rFonts w:ascii="ITC Avant Garde" w:hAnsi="ITC Avant Garde"/>
          <w:lang w:val="es-ES"/>
        </w:rPr>
        <w:t xml:space="preserve"> solicita que el </w:t>
      </w:r>
      <w:r w:rsidR="647786AF" w:rsidRPr="58E23F00">
        <w:rPr>
          <w:rFonts w:ascii="ITC Avant Garde" w:hAnsi="ITC Avant Garde"/>
          <w:lang w:val="es-ES"/>
        </w:rPr>
        <w:t>I</w:t>
      </w:r>
      <w:r w:rsidR="39B30D5F"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elimine el factor de ajuste de los costos adicionales por la tecnología TDM y equipare las tarifas de dicha tecnología con las de ethernet.</w:t>
      </w:r>
    </w:p>
    <w:p w14:paraId="1C9CC180" w14:textId="77777777" w:rsidR="00450E15" w:rsidRDefault="00450E15" w:rsidP="0080349A">
      <w:pPr>
        <w:spacing w:after="0" w:line="276" w:lineRule="auto"/>
        <w:ind w:left="0" w:right="0" w:firstLine="0"/>
        <w:rPr>
          <w:rFonts w:ascii="ITC Avant Garde" w:hAnsi="ITC Avant Garde"/>
          <w:lang w:val="es-ES"/>
        </w:rPr>
      </w:pPr>
    </w:p>
    <w:p w14:paraId="5CD5E855" w14:textId="59982204" w:rsidR="00450E15" w:rsidRDefault="00450E15" w:rsidP="00450E15">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66581977" w14:textId="77777777" w:rsidR="00450E15" w:rsidRDefault="00450E15" w:rsidP="0080349A">
      <w:pPr>
        <w:spacing w:after="0" w:line="276" w:lineRule="auto"/>
        <w:ind w:left="0" w:right="0" w:firstLine="0"/>
        <w:rPr>
          <w:rFonts w:ascii="ITC Avant Garde" w:hAnsi="ITC Avant Garde"/>
          <w:lang w:val="es-ES"/>
        </w:rPr>
      </w:pPr>
    </w:p>
    <w:p w14:paraId="37BAA8F5" w14:textId="153EF99F"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Cuando en la documentación de los modelos se afirma que la demanda proporcionada por el AEP se mantiene estable, esto hace referencia a que el número total de enlaces dedicados (TDM + ethernet) se mantiene relativamente estable en el tiempo. </w:t>
      </w:r>
    </w:p>
    <w:p w14:paraId="2BFAFC17" w14:textId="77777777" w:rsidR="00450E15" w:rsidRPr="00541685" w:rsidRDefault="00450E15" w:rsidP="0080349A">
      <w:pPr>
        <w:spacing w:after="0" w:line="276" w:lineRule="auto"/>
        <w:ind w:left="0" w:right="0" w:firstLine="0"/>
        <w:rPr>
          <w:rFonts w:ascii="ITC Avant Garde" w:hAnsi="ITC Avant Garde"/>
          <w:lang w:val="es-ES"/>
        </w:rPr>
      </w:pPr>
    </w:p>
    <w:p w14:paraId="0EF09254" w14:textId="56A5C217"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Al mismo tiempo, se observa que la demanda de enlaces TDM registró una caída interanual del 5% entre 2021 y 2022. Estos enlaces estarían siendo sustituidos por conexiones ethernet (en muchos casos de más capacidad), lo cual lleva a la estabilidad en el volumen total de enlaces y a un aumento generalizado de la capacidad total contratada. Esta es la tendencia que refleja la información provista por el AEP y que sería de esperar por el IFT.</w:t>
      </w:r>
    </w:p>
    <w:p w14:paraId="3013CDFD" w14:textId="77777777" w:rsidR="00450E15" w:rsidRPr="00541685" w:rsidRDefault="00450E15" w:rsidP="0080349A">
      <w:pPr>
        <w:spacing w:after="0" w:line="276" w:lineRule="auto"/>
        <w:ind w:left="0" w:right="0" w:firstLine="0"/>
        <w:rPr>
          <w:rFonts w:ascii="ITC Avant Garde" w:hAnsi="ITC Avant Garde"/>
          <w:lang w:val="es-ES"/>
        </w:rPr>
      </w:pPr>
    </w:p>
    <w:p w14:paraId="3E2A5364" w14:textId="1509F8C2"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Dicho esto, actualmente sigue habiendo una demanda considerable de enlaces TDM que debe ser reflejada en el modelo de costos, por lo que no </w:t>
      </w:r>
      <w:r w:rsidR="00856A78">
        <w:rPr>
          <w:rFonts w:ascii="ITC Avant Garde" w:hAnsi="ITC Avant Garde"/>
          <w:lang w:val="es-ES"/>
        </w:rPr>
        <w:t>se considera</w:t>
      </w:r>
      <w:r w:rsidRPr="00541685">
        <w:rPr>
          <w:rFonts w:ascii="ITC Avant Garde" w:hAnsi="ITC Avant Garde"/>
          <w:lang w:val="es-ES"/>
        </w:rPr>
        <w:t xml:space="preserve"> oportuno eliminar el factor de calibración y los enlaces TDM del modelo.</w:t>
      </w:r>
    </w:p>
    <w:p w14:paraId="3A98ED2A" w14:textId="77777777" w:rsidR="00450E15" w:rsidRPr="00541685" w:rsidRDefault="00450E15" w:rsidP="0080349A">
      <w:pPr>
        <w:spacing w:after="0" w:line="276" w:lineRule="auto"/>
        <w:ind w:left="0" w:right="0" w:firstLine="0"/>
        <w:rPr>
          <w:rFonts w:ascii="ITC Avant Garde" w:hAnsi="ITC Avant Garde"/>
          <w:lang w:val="es-ES"/>
        </w:rPr>
      </w:pPr>
    </w:p>
    <w:p w14:paraId="78CE09FA" w14:textId="77777777" w:rsidR="00541685" w:rsidRPr="00450E15" w:rsidRDefault="00541685" w:rsidP="0080349A">
      <w:pPr>
        <w:spacing w:after="0" w:line="276" w:lineRule="auto"/>
        <w:ind w:left="0" w:right="0" w:firstLine="0"/>
        <w:rPr>
          <w:rFonts w:ascii="ITC Avant Garde" w:hAnsi="ITC Avant Garde"/>
          <w:i/>
          <w:lang w:val="es-ES"/>
        </w:rPr>
      </w:pPr>
      <w:r w:rsidRPr="00450E15">
        <w:rPr>
          <w:rFonts w:ascii="ITC Avant Garde" w:hAnsi="ITC Avant Garde"/>
          <w:i/>
          <w:lang w:val="es-ES"/>
        </w:rPr>
        <w:t>Efecto del tipo de cambio</w:t>
      </w:r>
    </w:p>
    <w:p w14:paraId="0299ED43" w14:textId="26D7CA3F" w:rsidR="00450E15" w:rsidRDefault="00450E15" w:rsidP="0080349A">
      <w:pPr>
        <w:spacing w:after="0" w:line="276" w:lineRule="auto"/>
        <w:ind w:left="0" w:right="0" w:firstLine="0"/>
        <w:rPr>
          <w:rFonts w:ascii="ITC Avant Garde" w:hAnsi="ITC Avant Garde"/>
          <w:lang w:val="es-ES"/>
        </w:rPr>
      </w:pPr>
    </w:p>
    <w:p w14:paraId="3F76A23C" w14:textId="12020ED9" w:rsidR="00450E15" w:rsidRDefault="00450E15" w:rsidP="0080349A">
      <w:pPr>
        <w:spacing w:after="0" w:line="276" w:lineRule="auto"/>
        <w:ind w:left="0" w:right="0" w:firstLine="0"/>
        <w:rPr>
          <w:rFonts w:ascii="ITC Avant Garde" w:hAnsi="ITC Avant Garde"/>
          <w:lang w:val="es-ES"/>
        </w:rPr>
      </w:pPr>
      <w:r>
        <w:rPr>
          <w:rFonts w:ascii="ITC Avant Garde" w:hAnsi="ITC Avant Garde"/>
          <w:lang w:val="es-ES"/>
        </w:rPr>
        <w:t>GTV</w:t>
      </w:r>
    </w:p>
    <w:p w14:paraId="75C1CCB9" w14:textId="77777777" w:rsidR="00450E15" w:rsidRDefault="00450E15" w:rsidP="0080349A">
      <w:pPr>
        <w:spacing w:after="0" w:line="276" w:lineRule="auto"/>
        <w:ind w:left="0" w:right="0" w:firstLine="0"/>
        <w:rPr>
          <w:rFonts w:ascii="ITC Avant Garde" w:hAnsi="ITC Avant Garde"/>
          <w:lang w:val="es-ES"/>
        </w:rPr>
      </w:pPr>
    </w:p>
    <w:p w14:paraId="1361B62E" w14:textId="5509A0EB" w:rsidR="00541685" w:rsidRDefault="007C441B" w:rsidP="0080349A">
      <w:pPr>
        <w:spacing w:after="0" w:line="276" w:lineRule="auto"/>
        <w:ind w:left="0" w:right="0" w:firstLine="0"/>
        <w:rPr>
          <w:rFonts w:ascii="ITC Avant Garde" w:hAnsi="ITC Avant Garde"/>
          <w:lang w:val="es-ES"/>
        </w:rPr>
      </w:pPr>
      <w:r w:rsidRPr="58E23F00">
        <w:rPr>
          <w:rFonts w:ascii="ITC Avant Garde" w:hAnsi="ITC Avant Garde"/>
          <w:lang w:val="es-ES"/>
        </w:rPr>
        <w:t>GTV</w:t>
      </w:r>
      <w:r w:rsidR="00541685" w:rsidRPr="58E23F00">
        <w:rPr>
          <w:rFonts w:ascii="ITC Avant Garde" w:hAnsi="ITC Avant Garde"/>
          <w:lang w:val="es-ES"/>
        </w:rPr>
        <w:t xml:space="preserve"> solicita que el </w:t>
      </w:r>
      <w:r w:rsidR="647786AF" w:rsidRPr="58E23F00">
        <w:rPr>
          <w:rFonts w:ascii="ITC Avant Garde" w:hAnsi="ITC Avant Garde"/>
          <w:lang w:val="es-ES"/>
        </w:rPr>
        <w:t>I</w:t>
      </w:r>
      <w:r w:rsidR="5A9EEFAA"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transparente el efecto que el tipo de cambio estaría teniendo en las tarifas reguladas que arroja el modelo de enlaces dedicados y, de no utilizarse, incorporarlo explícitamente.</w:t>
      </w:r>
    </w:p>
    <w:p w14:paraId="7009F0EF" w14:textId="486CED2C" w:rsidR="00450E15" w:rsidRDefault="00450E15" w:rsidP="0080349A">
      <w:pPr>
        <w:spacing w:after="0" w:line="276" w:lineRule="auto"/>
        <w:ind w:left="0" w:right="0" w:firstLine="0"/>
        <w:rPr>
          <w:rFonts w:ascii="ITC Avant Garde" w:hAnsi="ITC Avant Garde"/>
          <w:lang w:val="es-ES"/>
        </w:rPr>
      </w:pPr>
    </w:p>
    <w:p w14:paraId="1335A61D" w14:textId="2B1BEA3A" w:rsidR="00450E15" w:rsidRDefault="00450E15" w:rsidP="00450E15">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086E86CA" w14:textId="77777777" w:rsidR="00450E15" w:rsidRPr="00541685" w:rsidRDefault="00450E15" w:rsidP="0080349A">
      <w:pPr>
        <w:spacing w:after="0" w:line="276" w:lineRule="auto"/>
        <w:ind w:left="0" w:right="0" w:firstLine="0"/>
        <w:rPr>
          <w:rFonts w:ascii="ITC Avant Garde" w:hAnsi="ITC Avant Garde"/>
          <w:lang w:val="es-ES"/>
        </w:rPr>
      </w:pPr>
    </w:p>
    <w:p w14:paraId="2696CE04" w14:textId="6EF748CB" w:rsidR="00541685" w:rsidRDefault="00450E15" w:rsidP="0080349A">
      <w:pPr>
        <w:spacing w:after="0" w:line="276" w:lineRule="auto"/>
        <w:ind w:left="0" w:right="0" w:firstLine="0"/>
        <w:rPr>
          <w:rFonts w:ascii="ITC Avant Garde" w:hAnsi="ITC Avant Garde"/>
          <w:lang w:val="es-ES"/>
        </w:rPr>
      </w:pPr>
      <w:r>
        <w:rPr>
          <w:rFonts w:ascii="ITC Avant Garde" w:hAnsi="ITC Avant Garde"/>
          <w:lang w:val="es-ES"/>
        </w:rPr>
        <w:t>E</w:t>
      </w:r>
      <w:r w:rsidR="00541685" w:rsidRPr="00541685">
        <w:rPr>
          <w:rFonts w:ascii="ITC Avant Garde" w:hAnsi="ITC Avant Garde"/>
          <w:lang w:val="es-ES"/>
        </w:rPr>
        <w:t>l modelo de enlaces dedicados se calcula íntegramente en pesos mexicanos (incluyendo el WACC aplicado). Por tanto, el tipo de cambio ni tiene impacto alguno en el modelo, ni es necesario incorporarlo.</w:t>
      </w:r>
    </w:p>
    <w:p w14:paraId="1FB08B8F" w14:textId="52E6B182" w:rsidR="00450E15" w:rsidRDefault="00450E15" w:rsidP="0080349A">
      <w:pPr>
        <w:spacing w:after="0" w:line="276" w:lineRule="auto"/>
        <w:ind w:left="0" w:right="0" w:firstLine="0"/>
        <w:rPr>
          <w:rFonts w:ascii="ITC Avant Garde" w:hAnsi="ITC Avant Garde"/>
          <w:lang w:val="es-ES"/>
        </w:rPr>
      </w:pPr>
    </w:p>
    <w:p w14:paraId="026A37FD" w14:textId="77777777" w:rsidR="00541685" w:rsidRPr="00450E15" w:rsidRDefault="00541685" w:rsidP="0080349A">
      <w:pPr>
        <w:spacing w:after="0" w:line="276" w:lineRule="auto"/>
        <w:ind w:left="0" w:right="0" w:firstLine="0"/>
        <w:rPr>
          <w:rFonts w:ascii="ITC Avant Garde" w:hAnsi="ITC Avant Garde"/>
          <w:i/>
          <w:lang w:val="es-ES"/>
        </w:rPr>
      </w:pPr>
      <w:r w:rsidRPr="00450E15">
        <w:rPr>
          <w:rFonts w:ascii="ITC Avant Garde" w:hAnsi="ITC Avant Garde"/>
          <w:i/>
          <w:lang w:val="es-ES"/>
        </w:rPr>
        <w:t>Metodología para la estimación del costo de enlaces coubicados</w:t>
      </w:r>
    </w:p>
    <w:p w14:paraId="67D1F408" w14:textId="7C8BD2AF" w:rsidR="00450E15" w:rsidRDefault="00450E15" w:rsidP="0080349A">
      <w:pPr>
        <w:spacing w:after="0" w:line="276" w:lineRule="auto"/>
        <w:ind w:left="0" w:right="0" w:firstLine="0"/>
        <w:rPr>
          <w:rFonts w:ascii="ITC Avant Garde" w:hAnsi="ITC Avant Garde"/>
          <w:lang w:val="es-ES"/>
        </w:rPr>
      </w:pPr>
    </w:p>
    <w:p w14:paraId="1B1E867A" w14:textId="5726315B" w:rsidR="00450E15" w:rsidRDefault="00450E15" w:rsidP="0080349A">
      <w:pPr>
        <w:spacing w:after="0" w:line="276" w:lineRule="auto"/>
        <w:ind w:left="0" w:right="0" w:firstLine="0"/>
        <w:rPr>
          <w:rFonts w:ascii="ITC Avant Garde" w:hAnsi="ITC Avant Garde"/>
          <w:lang w:val="es-ES"/>
        </w:rPr>
      </w:pPr>
      <w:r>
        <w:rPr>
          <w:rFonts w:ascii="ITC Avant Garde" w:hAnsi="ITC Avant Garde"/>
          <w:lang w:val="es-ES"/>
        </w:rPr>
        <w:lastRenderedPageBreak/>
        <w:t>Axtel</w:t>
      </w:r>
    </w:p>
    <w:p w14:paraId="5E76B30E" w14:textId="77777777" w:rsidR="00450E15" w:rsidRDefault="00450E15" w:rsidP="0080349A">
      <w:pPr>
        <w:spacing w:after="0" w:line="276" w:lineRule="auto"/>
        <w:ind w:left="0" w:right="0" w:firstLine="0"/>
        <w:rPr>
          <w:rFonts w:ascii="ITC Avant Garde" w:hAnsi="ITC Avant Garde"/>
          <w:lang w:val="es-ES"/>
        </w:rPr>
      </w:pPr>
    </w:p>
    <w:p w14:paraId="3FF291CB" w14:textId="67C74DD6" w:rsidR="00541685" w:rsidRDefault="00450E15" w:rsidP="0080349A">
      <w:pPr>
        <w:spacing w:after="0" w:line="276" w:lineRule="auto"/>
        <w:ind w:left="0" w:right="0" w:firstLine="0"/>
        <w:rPr>
          <w:rFonts w:ascii="ITC Avant Garde" w:hAnsi="ITC Avant Garde"/>
          <w:lang w:val="es-ES"/>
        </w:rPr>
      </w:pPr>
      <w:r w:rsidRPr="58E23F00">
        <w:rPr>
          <w:rFonts w:ascii="ITC Avant Garde" w:hAnsi="ITC Avant Garde"/>
          <w:lang w:val="es-ES"/>
        </w:rPr>
        <w:t>Axtel</w:t>
      </w:r>
      <w:r w:rsidR="00541685" w:rsidRPr="58E23F00">
        <w:rPr>
          <w:rFonts w:ascii="ITC Avant Garde" w:hAnsi="ITC Avant Garde"/>
          <w:lang w:val="es-ES"/>
        </w:rPr>
        <w:t xml:space="preserve"> solicita al </w:t>
      </w:r>
      <w:r w:rsidR="647786AF" w:rsidRPr="58E23F00">
        <w:rPr>
          <w:rFonts w:ascii="ITC Avant Garde" w:hAnsi="ITC Avant Garde"/>
          <w:lang w:val="es-ES"/>
        </w:rPr>
        <w:t>I</w:t>
      </w:r>
      <w:r w:rsidR="51D46511"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 xml:space="preserve">que corrija en el modelo los cálculos asociados a las tarifas mensuales de los enlaces locales coubicados, excluyendo tanto el capex como el opex de aquellos equipos que son instalados en el sitio del cliente, tal y como se </w:t>
      </w:r>
      <w:r w:rsidR="00376355" w:rsidRPr="58E23F00">
        <w:rPr>
          <w:rFonts w:ascii="ITC Avant Garde" w:hAnsi="ITC Avant Garde"/>
          <w:lang w:val="es-ES"/>
        </w:rPr>
        <w:t>indica</w:t>
      </w:r>
      <w:r w:rsidR="008A4535" w:rsidRPr="58E23F00">
        <w:rPr>
          <w:rFonts w:ascii="ITC Avant Garde" w:hAnsi="ITC Avant Garde"/>
          <w:lang w:val="es-ES"/>
        </w:rPr>
        <w:t xml:space="preserve"> </w:t>
      </w:r>
      <w:r w:rsidR="00541685" w:rsidRPr="58E23F00">
        <w:rPr>
          <w:rFonts w:ascii="ITC Avant Garde" w:hAnsi="ITC Avant Garde"/>
          <w:lang w:val="es-ES"/>
        </w:rPr>
        <w:t>en marco metodológico de los modelos de costos.</w:t>
      </w:r>
    </w:p>
    <w:p w14:paraId="79506ADE" w14:textId="1D20C1D5" w:rsidR="00450E15" w:rsidRDefault="00450E15" w:rsidP="0080349A">
      <w:pPr>
        <w:spacing w:after="0" w:line="276" w:lineRule="auto"/>
        <w:ind w:left="0" w:right="0" w:firstLine="0"/>
        <w:rPr>
          <w:rFonts w:ascii="ITC Avant Garde" w:hAnsi="ITC Avant Garde"/>
          <w:lang w:val="es-ES"/>
        </w:rPr>
      </w:pPr>
    </w:p>
    <w:p w14:paraId="143FFEF4" w14:textId="0424831E" w:rsidR="00450E15" w:rsidRDefault="00450E15" w:rsidP="00450E15">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43E07046" w14:textId="77777777" w:rsidR="00450E15" w:rsidRPr="00541685" w:rsidRDefault="00450E15" w:rsidP="0080349A">
      <w:pPr>
        <w:spacing w:after="0" w:line="276" w:lineRule="auto"/>
        <w:ind w:left="0" w:right="0" w:firstLine="0"/>
        <w:rPr>
          <w:rFonts w:ascii="ITC Avant Garde" w:hAnsi="ITC Avant Garde"/>
          <w:lang w:val="es-ES"/>
        </w:rPr>
      </w:pPr>
    </w:p>
    <w:p w14:paraId="57CFEB05" w14:textId="68ABF3E3" w:rsidR="00541685" w:rsidRPr="00541685" w:rsidRDefault="00450E15" w:rsidP="0080349A">
      <w:pPr>
        <w:spacing w:after="0" w:line="276" w:lineRule="auto"/>
        <w:ind w:left="0" w:right="0" w:firstLine="0"/>
        <w:rPr>
          <w:rFonts w:ascii="ITC Avant Garde" w:hAnsi="ITC Avant Garde"/>
          <w:lang w:val="es-ES"/>
        </w:rPr>
      </w:pPr>
      <w:r>
        <w:rPr>
          <w:rFonts w:ascii="ITC Avant Garde" w:hAnsi="ITC Avant Garde"/>
          <w:lang w:val="es-ES"/>
        </w:rPr>
        <w:t>N</w:t>
      </w:r>
      <w:r w:rsidR="00541685" w:rsidRPr="00541685">
        <w:rPr>
          <w:rFonts w:ascii="ITC Avant Garde" w:hAnsi="ITC Avant Garde"/>
          <w:lang w:val="es-ES"/>
        </w:rPr>
        <w:t xml:space="preserve">o existen inconsistencias entre lo indicado en el marco metodológico y la implementación seguida en el módulo de enlaces dedicados. Tal y como </w:t>
      </w:r>
      <w:r w:rsidR="00376355">
        <w:rPr>
          <w:rFonts w:ascii="ITC Avant Garde" w:hAnsi="ITC Avant Garde"/>
          <w:lang w:val="es-ES"/>
        </w:rPr>
        <w:t>indica</w:t>
      </w:r>
      <w:r w:rsidR="008A4535">
        <w:rPr>
          <w:rFonts w:ascii="ITC Avant Garde" w:hAnsi="ITC Avant Garde"/>
          <w:lang w:val="es-ES"/>
        </w:rPr>
        <w:t xml:space="preserve"> </w:t>
      </w:r>
      <w:r w:rsidR="00541685" w:rsidRPr="00541685">
        <w:rPr>
          <w:rFonts w:ascii="ITC Avant Garde" w:hAnsi="ITC Avant Garde"/>
          <w:lang w:val="es-ES"/>
        </w:rPr>
        <w:t xml:space="preserve">el </w:t>
      </w:r>
      <w:r w:rsidR="00A94546">
        <w:rPr>
          <w:rFonts w:ascii="ITC Avant Garde" w:hAnsi="ITC Avant Garde"/>
          <w:lang w:val="es-ES"/>
        </w:rPr>
        <w:t>concesionario</w:t>
      </w:r>
      <w:r w:rsidR="00541685" w:rsidRPr="00541685">
        <w:rPr>
          <w:rFonts w:ascii="ITC Avant Garde" w:hAnsi="ITC Avant Garde"/>
          <w:lang w:val="es-ES"/>
        </w:rPr>
        <w:t>, en el marco metodológico se expli</w:t>
      </w:r>
      <w:r>
        <w:rPr>
          <w:rFonts w:ascii="ITC Avant Garde" w:hAnsi="ITC Avant Garde"/>
          <w:lang w:val="es-ES"/>
        </w:rPr>
        <w:t>ca</w:t>
      </w:r>
      <w:r w:rsidR="008A4535">
        <w:rPr>
          <w:rFonts w:ascii="ITC Avant Garde" w:hAnsi="ITC Avant Garde"/>
          <w:lang w:val="es-ES"/>
        </w:rPr>
        <w:t xml:space="preserve"> </w:t>
      </w:r>
      <w:r w:rsidR="00541685" w:rsidRPr="00541685">
        <w:rPr>
          <w:rFonts w:ascii="ITC Avant Garde" w:hAnsi="ITC Avant Garde"/>
          <w:lang w:val="es-ES"/>
        </w:rPr>
        <w:t>que los tramos de los enlaces coubicados excluyen la componente de cableado de acceso, los costos de transporte y los costos de equipos no relevantes para esta modalidad de servicio.</w:t>
      </w:r>
    </w:p>
    <w:p w14:paraId="5E77FA3A" w14:textId="77777777" w:rsidR="00541685" w:rsidRPr="00541685" w:rsidRDefault="00541685" w:rsidP="0080349A">
      <w:pPr>
        <w:spacing w:after="0" w:line="276" w:lineRule="auto"/>
        <w:ind w:left="0" w:right="0" w:firstLine="0"/>
        <w:rPr>
          <w:rFonts w:ascii="ITC Avant Garde" w:hAnsi="ITC Avant Garde"/>
          <w:lang w:val="es-ES"/>
        </w:rPr>
      </w:pPr>
    </w:p>
    <w:p w14:paraId="3BC773FD" w14:textId="24D80926" w:rsidR="00541685" w:rsidRP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Con respecto a los costos de equipos a instalar en el sitio de cliente, cabe destacar que, aunque los enlaces coubicados se entreguen dentro de la misma central, estos equipos</w:t>
      </w:r>
      <w:r w:rsidR="00CB409C">
        <w:rPr>
          <w:rFonts w:ascii="ITC Avant Garde" w:hAnsi="ITC Avant Garde"/>
          <w:lang w:val="es-ES"/>
        </w:rPr>
        <w:t>, o equiparables,</w:t>
      </w:r>
      <w:r w:rsidRPr="00541685">
        <w:rPr>
          <w:rFonts w:ascii="ITC Avant Garde" w:hAnsi="ITC Avant Garde"/>
          <w:lang w:val="es-ES"/>
        </w:rPr>
        <w:t xml:space="preserve"> </w:t>
      </w:r>
      <w:r w:rsidR="00CB409C">
        <w:rPr>
          <w:rFonts w:ascii="ITC Avant Garde" w:hAnsi="ITC Avant Garde"/>
          <w:lang w:val="es-ES"/>
        </w:rPr>
        <w:t>se consideran necesarios en el modelado</w:t>
      </w:r>
      <w:r w:rsidRPr="00541685">
        <w:rPr>
          <w:rFonts w:ascii="ITC Avant Garde" w:hAnsi="ITC Avant Garde"/>
          <w:lang w:val="es-ES"/>
        </w:rPr>
        <w:t xml:space="preserve"> para hacer entrega del servicio. Por este motivo, el costo de adquisición del equipamiento debe mantenerse en la estimación del costo final del servicio.</w:t>
      </w:r>
    </w:p>
    <w:p w14:paraId="6DB9807B" w14:textId="77777777" w:rsidR="00541685" w:rsidRPr="00541685" w:rsidRDefault="00541685" w:rsidP="0080349A">
      <w:pPr>
        <w:spacing w:after="0" w:line="276" w:lineRule="auto"/>
        <w:ind w:left="0" w:right="0" w:firstLine="0"/>
        <w:rPr>
          <w:rFonts w:ascii="ITC Avant Garde" w:hAnsi="ITC Avant Garde"/>
          <w:lang w:val="es-ES"/>
        </w:rPr>
      </w:pPr>
    </w:p>
    <w:p w14:paraId="0082EB25" w14:textId="65B575C3" w:rsidR="00541685" w:rsidRP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Por otro lado, </w:t>
      </w:r>
      <w:r w:rsidR="00665CBA">
        <w:rPr>
          <w:rFonts w:ascii="ITC Avant Garde" w:hAnsi="ITC Avant Garde"/>
          <w:lang w:val="es-ES"/>
        </w:rPr>
        <w:t>si</w:t>
      </w:r>
      <w:r w:rsidRPr="00541685">
        <w:rPr>
          <w:rFonts w:ascii="ITC Avant Garde" w:hAnsi="ITC Avant Garde"/>
          <w:lang w:val="es-ES"/>
        </w:rPr>
        <w:t xml:space="preserve"> es cierto que no sería razonable repercutir los costos de instalación de los equipos en sitio de cliente al </w:t>
      </w:r>
      <w:r w:rsidR="00376355">
        <w:rPr>
          <w:rFonts w:ascii="ITC Avant Garde" w:hAnsi="ITC Avant Garde"/>
          <w:lang w:val="es-ES"/>
        </w:rPr>
        <w:t>CS.</w:t>
      </w:r>
      <w:r w:rsidRPr="00541685">
        <w:rPr>
          <w:rFonts w:ascii="ITC Avant Garde" w:hAnsi="ITC Avant Garde"/>
          <w:lang w:val="es-ES"/>
        </w:rPr>
        <w:t xml:space="preserve"> Esto se debe, no a que el equipo no se instale, si no a que el hecho de que la instalación tenga lugar en la propia central permite ahorros muy significativos en términos de costos. Similarmente, el modelo considera un ahorro del 50% de los costos de mantenimiento del equipo en el caso de que se trate de un enlace coubicado. Estos costos no son cero porque el equipo, aunque se ubique en la central, debe ser mantenido y tiene unos costos de operación asociados.</w:t>
      </w:r>
    </w:p>
    <w:p w14:paraId="398392AE" w14:textId="77777777" w:rsidR="00541685" w:rsidRPr="00541685" w:rsidRDefault="00541685" w:rsidP="0080349A">
      <w:pPr>
        <w:spacing w:after="0" w:line="276" w:lineRule="auto"/>
        <w:ind w:left="0" w:right="0" w:firstLine="0"/>
        <w:rPr>
          <w:rFonts w:ascii="ITC Avant Garde" w:hAnsi="ITC Avant Garde"/>
          <w:lang w:val="es-ES"/>
        </w:rPr>
      </w:pPr>
    </w:p>
    <w:p w14:paraId="079EE572" w14:textId="542E613F"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En cualquier caso, </w:t>
      </w:r>
      <w:r w:rsidR="00450E15">
        <w:rPr>
          <w:rFonts w:ascii="ITC Avant Garde" w:hAnsi="ITC Avant Garde"/>
          <w:lang w:val="es-ES"/>
        </w:rPr>
        <w:t>se han revisado</w:t>
      </w:r>
      <w:r w:rsidRPr="00541685">
        <w:rPr>
          <w:rFonts w:ascii="ITC Avant Garde" w:hAnsi="ITC Avant Garde"/>
          <w:lang w:val="es-ES"/>
        </w:rPr>
        <w:t xml:space="preserve"> las explicaciones pertinentes en la documentación del modelo para asegurar la claridad sobre este tema.</w:t>
      </w:r>
    </w:p>
    <w:p w14:paraId="125591D8" w14:textId="77777777" w:rsidR="00450E15" w:rsidRPr="00541685" w:rsidRDefault="00450E15" w:rsidP="0080349A">
      <w:pPr>
        <w:spacing w:after="0" w:line="276" w:lineRule="auto"/>
        <w:ind w:left="0" w:right="0" w:firstLine="0"/>
        <w:rPr>
          <w:rFonts w:ascii="ITC Avant Garde" w:hAnsi="ITC Avant Garde"/>
          <w:lang w:val="es-ES"/>
        </w:rPr>
      </w:pPr>
    </w:p>
    <w:p w14:paraId="75D5093F" w14:textId="44D58670" w:rsidR="00541685" w:rsidRPr="00450E15" w:rsidRDefault="00541685" w:rsidP="0080349A">
      <w:pPr>
        <w:spacing w:after="0" w:line="276" w:lineRule="auto"/>
        <w:ind w:left="0" w:right="0" w:firstLine="0"/>
        <w:rPr>
          <w:rFonts w:ascii="ITC Avant Garde" w:hAnsi="ITC Avant Garde"/>
          <w:i/>
          <w:lang w:val="es-ES"/>
        </w:rPr>
      </w:pPr>
      <w:r w:rsidRPr="00450E15">
        <w:rPr>
          <w:rFonts w:ascii="ITC Avant Garde" w:hAnsi="ITC Avant Garde"/>
          <w:i/>
          <w:lang w:val="es-ES"/>
        </w:rPr>
        <w:t>Consideración de una úni</w:t>
      </w:r>
      <w:r w:rsidR="00450E15" w:rsidRPr="00450E15">
        <w:rPr>
          <w:rFonts w:ascii="ITC Avant Garde" w:hAnsi="ITC Avant Garde"/>
          <w:i/>
          <w:lang w:val="es-ES"/>
        </w:rPr>
        <w:t>ca</w:t>
      </w:r>
      <w:r w:rsidR="008A4535" w:rsidRPr="00450E15">
        <w:rPr>
          <w:rFonts w:ascii="ITC Avant Garde" w:hAnsi="ITC Avant Garde"/>
          <w:i/>
          <w:lang w:val="es-ES"/>
        </w:rPr>
        <w:t xml:space="preserve"> </w:t>
      </w:r>
      <w:r w:rsidRPr="00450E15">
        <w:rPr>
          <w:rFonts w:ascii="ITC Avant Garde" w:hAnsi="ITC Avant Garde"/>
          <w:i/>
          <w:lang w:val="es-ES"/>
        </w:rPr>
        <w:t>renta mensual para enlaces entre localidades</w:t>
      </w:r>
    </w:p>
    <w:p w14:paraId="064E2828" w14:textId="264521A9" w:rsidR="00450E15" w:rsidRDefault="00450E15" w:rsidP="0080349A">
      <w:pPr>
        <w:spacing w:after="0" w:line="276" w:lineRule="auto"/>
        <w:ind w:left="0" w:right="0" w:firstLine="0"/>
        <w:rPr>
          <w:rFonts w:ascii="ITC Avant Garde" w:hAnsi="ITC Avant Garde"/>
          <w:lang w:val="es-ES"/>
        </w:rPr>
      </w:pPr>
    </w:p>
    <w:p w14:paraId="452913FB" w14:textId="24E4E28D" w:rsidR="00450E15" w:rsidRDefault="00450E15" w:rsidP="0080349A">
      <w:pPr>
        <w:spacing w:after="0" w:line="276" w:lineRule="auto"/>
        <w:ind w:left="0" w:right="0" w:firstLine="0"/>
        <w:rPr>
          <w:rFonts w:ascii="ITC Avant Garde" w:hAnsi="ITC Avant Garde"/>
          <w:lang w:val="es-ES"/>
        </w:rPr>
      </w:pPr>
      <w:r>
        <w:rPr>
          <w:rFonts w:ascii="ITC Avant Garde" w:hAnsi="ITC Avant Garde"/>
          <w:lang w:val="es-ES"/>
        </w:rPr>
        <w:t>GTV</w:t>
      </w:r>
    </w:p>
    <w:p w14:paraId="35A2167A" w14:textId="77777777" w:rsidR="00450E15" w:rsidRDefault="00450E15" w:rsidP="0080349A">
      <w:pPr>
        <w:spacing w:after="0" w:line="276" w:lineRule="auto"/>
        <w:ind w:left="0" w:right="0" w:firstLine="0"/>
        <w:rPr>
          <w:rFonts w:ascii="ITC Avant Garde" w:hAnsi="ITC Avant Garde"/>
          <w:lang w:val="es-ES"/>
        </w:rPr>
      </w:pPr>
    </w:p>
    <w:p w14:paraId="08D0B6FE" w14:textId="7B85536C" w:rsidR="00541685" w:rsidRDefault="007C441B" w:rsidP="0080349A">
      <w:pPr>
        <w:spacing w:after="0" w:line="276" w:lineRule="auto"/>
        <w:ind w:left="0" w:right="0" w:firstLine="0"/>
        <w:rPr>
          <w:rFonts w:ascii="ITC Avant Garde" w:hAnsi="ITC Avant Garde"/>
          <w:lang w:val="es-ES"/>
        </w:rPr>
      </w:pPr>
      <w:r w:rsidRPr="58E23F00">
        <w:rPr>
          <w:rFonts w:ascii="ITC Avant Garde" w:hAnsi="ITC Avant Garde"/>
          <w:lang w:val="es-ES"/>
        </w:rPr>
        <w:t>GTV</w:t>
      </w:r>
      <w:r w:rsidR="00541685" w:rsidRPr="58E23F00">
        <w:rPr>
          <w:rFonts w:ascii="ITC Avant Garde" w:hAnsi="ITC Avant Garde"/>
          <w:lang w:val="es-ES"/>
        </w:rPr>
        <w:t xml:space="preserve"> considera adecuada la implementación de una renta mensual por kilómetro para enlaces entre localidades, y solicita al </w:t>
      </w:r>
      <w:r w:rsidR="647786AF" w:rsidRPr="58E23F00">
        <w:rPr>
          <w:rFonts w:ascii="ITC Avant Garde" w:hAnsi="ITC Avant Garde"/>
          <w:lang w:val="es-ES"/>
        </w:rPr>
        <w:t>I</w:t>
      </w:r>
      <w:r w:rsidR="2837E9D4"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que confirme el esquema tarifario que se deberá utilizar en adelante para este tipo de servicios.</w:t>
      </w:r>
    </w:p>
    <w:p w14:paraId="5541FA4E" w14:textId="77777777" w:rsidR="00450E15" w:rsidRPr="00541685" w:rsidRDefault="00450E15" w:rsidP="0080349A">
      <w:pPr>
        <w:spacing w:after="0" w:line="276" w:lineRule="auto"/>
        <w:ind w:left="0" w:right="0" w:firstLine="0"/>
        <w:rPr>
          <w:rFonts w:ascii="ITC Avant Garde" w:hAnsi="ITC Avant Garde"/>
          <w:lang w:val="es-ES"/>
        </w:rPr>
      </w:pPr>
    </w:p>
    <w:p w14:paraId="4A08E08D" w14:textId="595ADB69" w:rsidR="00541685" w:rsidRPr="00541685" w:rsidRDefault="00541685" w:rsidP="0080349A">
      <w:pPr>
        <w:spacing w:after="0" w:line="276" w:lineRule="auto"/>
        <w:ind w:left="0" w:right="0" w:firstLine="0"/>
        <w:rPr>
          <w:rFonts w:ascii="ITC Avant Garde" w:hAnsi="ITC Avant Garde"/>
          <w:lang w:val="es-ES"/>
        </w:rPr>
      </w:pPr>
      <w:r w:rsidRPr="58E23F00">
        <w:rPr>
          <w:rFonts w:ascii="ITC Avant Garde" w:hAnsi="ITC Avant Garde"/>
          <w:lang w:val="es-ES"/>
        </w:rPr>
        <w:lastRenderedPageBreak/>
        <w:t xml:space="preserve">Asimismo, </w:t>
      </w:r>
      <w:r w:rsidR="007C441B" w:rsidRPr="58E23F00">
        <w:rPr>
          <w:rFonts w:ascii="ITC Avant Garde" w:hAnsi="ITC Avant Garde"/>
          <w:lang w:val="es-ES"/>
        </w:rPr>
        <w:t>GTV</w:t>
      </w:r>
      <w:r w:rsidRPr="58E23F00">
        <w:rPr>
          <w:rFonts w:ascii="ITC Avant Garde" w:hAnsi="ITC Avant Garde"/>
          <w:lang w:val="es-ES"/>
        </w:rPr>
        <w:t xml:space="preserve"> solicita al </w:t>
      </w:r>
      <w:r w:rsidR="647786AF" w:rsidRPr="58E23F00">
        <w:rPr>
          <w:rFonts w:ascii="ITC Avant Garde" w:hAnsi="ITC Avant Garde"/>
          <w:lang w:val="es-ES"/>
        </w:rPr>
        <w:t>I</w:t>
      </w:r>
      <w:r w:rsidR="3C7ECCD2" w:rsidRPr="58E23F00">
        <w:rPr>
          <w:rFonts w:ascii="ITC Avant Garde" w:hAnsi="ITC Avant Garde"/>
          <w:lang w:val="es-ES"/>
        </w:rPr>
        <w:t>nstituto</w:t>
      </w:r>
      <w:r w:rsidR="0AF39D56" w:rsidRPr="58E23F00">
        <w:rPr>
          <w:rFonts w:ascii="ITC Avant Garde" w:hAnsi="ITC Avant Garde"/>
          <w:lang w:val="es-ES"/>
        </w:rPr>
        <w:t xml:space="preserve"> </w:t>
      </w:r>
      <w:r w:rsidRPr="58E23F00">
        <w:rPr>
          <w:rFonts w:ascii="ITC Avant Garde" w:hAnsi="ITC Avant Garde"/>
          <w:lang w:val="es-ES"/>
        </w:rPr>
        <w:t>que las tarifas tope de remuneración mensual por kilómetro de enlace dedicado se estimen a través de un cálculo bottom-up, y que se justifique cualquier incentivo de migración de una tecnología a otra dentro del esquema tarifario.</w:t>
      </w:r>
    </w:p>
    <w:p w14:paraId="45ECC418" w14:textId="4AFD4DB3" w:rsidR="00450E15" w:rsidRDefault="00450E15" w:rsidP="0080349A">
      <w:pPr>
        <w:spacing w:after="0" w:line="276" w:lineRule="auto"/>
        <w:ind w:left="0" w:right="0" w:firstLine="0"/>
        <w:rPr>
          <w:rFonts w:ascii="ITC Avant Garde" w:hAnsi="ITC Avant Garde"/>
          <w:lang w:val="es-ES"/>
        </w:rPr>
      </w:pPr>
    </w:p>
    <w:p w14:paraId="336C7537" w14:textId="2C8DBB5F" w:rsidR="00450E15" w:rsidRDefault="00450E15" w:rsidP="00450E15">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514B25FD" w14:textId="77777777" w:rsidR="00450E15" w:rsidRDefault="00450E15" w:rsidP="0080349A">
      <w:pPr>
        <w:spacing w:after="0" w:line="276" w:lineRule="auto"/>
        <w:ind w:left="0" w:right="0" w:firstLine="0"/>
        <w:rPr>
          <w:rFonts w:ascii="ITC Avant Garde" w:hAnsi="ITC Avant Garde"/>
          <w:lang w:val="es-ES"/>
        </w:rPr>
      </w:pPr>
    </w:p>
    <w:p w14:paraId="519B567E" w14:textId="1CE37AB6"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Con base a los comentarios proporcionados, </w:t>
      </w:r>
      <w:r w:rsidR="00450E15">
        <w:rPr>
          <w:rFonts w:ascii="ITC Avant Garde" w:hAnsi="ITC Avant Garde"/>
          <w:lang w:val="es-ES"/>
        </w:rPr>
        <w:t>se confirma</w:t>
      </w:r>
      <w:r w:rsidRPr="00541685">
        <w:rPr>
          <w:rFonts w:ascii="ITC Avant Garde" w:hAnsi="ITC Avant Garde"/>
          <w:lang w:val="es-ES"/>
        </w:rPr>
        <w:t xml:space="preserve"> que se propone actualizar el esquema tarifario de los enlaces entre localidades e internacionales para que estos reflejen una </w:t>
      </w:r>
      <w:r w:rsidR="00450E15">
        <w:rPr>
          <w:rFonts w:ascii="ITC Avant Garde" w:hAnsi="ITC Avant Garde"/>
          <w:lang w:val="es-ES"/>
        </w:rPr>
        <w:t>única</w:t>
      </w:r>
      <w:r w:rsidR="008A4535">
        <w:rPr>
          <w:rFonts w:ascii="ITC Avant Garde" w:hAnsi="ITC Avant Garde"/>
          <w:lang w:val="es-ES"/>
        </w:rPr>
        <w:t xml:space="preserve"> </w:t>
      </w:r>
      <w:r w:rsidRPr="00541685">
        <w:rPr>
          <w:rFonts w:ascii="ITC Avant Garde" w:hAnsi="ITC Avant Garde"/>
          <w:lang w:val="es-ES"/>
        </w:rPr>
        <w:t>tarifa por distancia (por kilómetro).</w:t>
      </w:r>
    </w:p>
    <w:p w14:paraId="5DE76032" w14:textId="77777777" w:rsidR="00450E15" w:rsidRPr="00541685" w:rsidRDefault="00450E15" w:rsidP="0080349A">
      <w:pPr>
        <w:spacing w:after="0" w:line="276" w:lineRule="auto"/>
        <w:ind w:left="0" w:right="0" w:firstLine="0"/>
        <w:rPr>
          <w:rFonts w:ascii="ITC Avant Garde" w:hAnsi="ITC Avant Garde"/>
          <w:lang w:val="es-ES"/>
        </w:rPr>
      </w:pPr>
    </w:p>
    <w:p w14:paraId="4F51EE5F" w14:textId="51BFFE88" w:rsidR="00541685" w:rsidRP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Adicionalmente, </w:t>
      </w:r>
      <w:r w:rsidR="00450E15">
        <w:rPr>
          <w:rFonts w:ascii="ITC Avant Garde" w:hAnsi="ITC Avant Garde"/>
          <w:lang w:val="es-ES"/>
        </w:rPr>
        <w:t>se confirma</w:t>
      </w:r>
      <w:r w:rsidRPr="00541685">
        <w:rPr>
          <w:rFonts w:ascii="ITC Avant Garde" w:hAnsi="ITC Avant Garde"/>
          <w:lang w:val="es-ES"/>
        </w:rPr>
        <w:t xml:space="preserve"> que la metodología que sigue el modelo se basa estrictamente en una metodología bottom-up. Adicionalmente, el modelo incluye un posterior ajuste de calibración </w:t>
      </w:r>
      <w:r w:rsidR="00F27CF8">
        <w:rPr>
          <w:rFonts w:ascii="ITC Avant Garde" w:hAnsi="ITC Avant Garde"/>
          <w:lang w:val="es-ES"/>
        </w:rPr>
        <w:t>de</w:t>
      </w:r>
      <w:r w:rsidRPr="00541685">
        <w:rPr>
          <w:rFonts w:ascii="ITC Avant Garde" w:hAnsi="ITC Avant Garde"/>
          <w:lang w:val="es-ES"/>
        </w:rPr>
        <w:t xml:space="preserve"> costos</w:t>
      </w:r>
      <w:r w:rsidR="00450E15">
        <w:rPr>
          <w:rFonts w:ascii="ITC Avant Garde" w:hAnsi="ITC Avant Garde"/>
          <w:lang w:val="es-ES"/>
        </w:rPr>
        <w:t>.</w:t>
      </w:r>
      <w:r w:rsidRPr="00541685">
        <w:rPr>
          <w:rFonts w:ascii="ITC Avant Garde" w:hAnsi="ITC Avant Garde"/>
          <w:lang w:val="es-ES"/>
        </w:rPr>
        <w:cr/>
      </w:r>
    </w:p>
    <w:p w14:paraId="1532A11C" w14:textId="77777777" w:rsidR="00541685" w:rsidRPr="00450E15" w:rsidRDefault="00541685" w:rsidP="0080349A">
      <w:pPr>
        <w:spacing w:after="0" w:line="276" w:lineRule="auto"/>
        <w:ind w:left="0" w:right="0" w:firstLine="0"/>
        <w:rPr>
          <w:rFonts w:ascii="ITC Avant Garde" w:hAnsi="ITC Avant Garde"/>
          <w:i/>
          <w:lang w:val="es-ES"/>
        </w:rPr>
      </w:pPr>
      <w:r w:rsidRPr="00450E15">
        <w:rPr>
          <w:rFonts w:ascii="ITC Avant Garde" w:hAnsi="ITC Avant Garde"/>
          <w:i/>
          <w:lang w:val="es-ES"/>
        </w:rPr>
        <w:t>Comparativa de las tarifas de enlaces entre localidades y enlaces internacionales</w:t>
      </w:r>
    </w:p>
    <w:p w14:paraId="4E6DF468" w14:textId="77777777" w:rsidR="00450E15" w:rsidRDefault="00450E15" w:rsidP="0080349A">
      <w:pPr>
        <w:spacing w:after="0" w:line="276" w:lineRule="auto"/>
        <w:ind w:left="0" w:right="0" w:firstLine="0"/>
        <w:rPr>
          <w:rFonts w:ascii="ITC Avant Garde" w:hAnsi="ITC Avant Garde"/>
          <w:lang w:val="es-ES"/>
        </w:rPr>
      </w:pPr>
    </w:p>
    <w:p w14:paraId="7B90BF3D" w14:textId="150607A1" w:rsidR="00450E15" w:rsidRDefault="00450E15" w:rsidP="0080349A">
      <w:pPr>
        <w:spacing w:after="0" w:line="276" w:lineRule="auto"/>
        <w:ind w:left="0" w:right="0" w:firstLine="0"/>
        <w:rPr>
          <w:rFonts w:ascii="ITC Avant Garde" w:hAnsi="ITC Avant Garde"/>
          <w:lang w:val="es-ES"/>
        </w:rPr>
      </w:pPr>
      <w:r>
        <w:rPr>
          <w:rFonts w:ascii="ITC Avant Garde" w:hAnsi="ITC Avant Garde"/>
          <w:lang w:val="es-ES"/>
        </w:rPr>
        <w:t>CANIETI</w:t>
      </w:r>
    </w:p>
    <w:p w14:paraId="1E54CA77" w14:textId="77777777" w:rsidR="00450E15" w:rsidRDefault="00450E15" w:rsidP="0080349A">
      <w:pPr>
        <w:spacing w:after="0" w:line="276" w:lineRule="auto"/>
        <w:ind w:left="0" w:right="0" w:firstLine="0"/>
        <w:rPr>
          <w:rFonts w:ascii="ITC Avant Garde" w:hAnsi="ITC Avant Garde"/>
          <w:lang w:val="es-ES"/>
        </w:rPr>
      </w:pPr>
    </w:p>
    <w:p w14:paraId="525B668B" w14:textId="235F694E" w:rsidR="00541685" w:rsidRDefault="00376355" w:rsidP="0080349A">
      <w:pPr>
        <w:spacing w:after="0" w:line="276" w:lineRule="auto"/>
        <w:ind w:left="0" w:right="0" w:firstLine="0"/>
        <w:rPr>
          <w:rFonts w:ascii="ITC Avant Garde" w:hAnsi="ITC Avant Garde"/>
          <w:lang w:val="es-ES"/>
        </w:rPr>
      </w:pPr>
      <w:r>
        <w:rPr>
          <w:rFonts w:ascii="ITC Avant Garde" w:hAnsi="ITC Avant Garde"/>
          <w:lang w:val="es-ES"/>
        </w:rPr>
        <w:t>CANIETI</w:t>
      </w:r>
      <w:r w:rsidR="00541685" w:rsidRPr="00541685">
        <w:rPr>
          <w:rFonts w:ascii="ITC Avant Garde" w:hAnsi="ITC Avant Garde"/>
          <w:lang w:val="es-ES"/>
        </w:rPr>
        <w:t xml:space="preserve"> señala que el esquema de costos de los enlaces TDM y ethernet contratados como enlaces internacionales es idéntico que para los enlaces entre localidades.</w:t>
      </w:r>
    </w:p>
    <w:p w14:paraId="1E57A98F" w14:textId="24108CB9" w:rsidR="00450E15" w:rsidRDefault="00450E15" w:rsidP="0080349A">
      <w:pPr>
        <w:spacing w:after="0" w:line="276" w:lineRule="auto"/>
        <w:ind w:left="0" w:right="0" w:firstLine="0"/>
        <w:rPr>
          <w:rFonts w:ascii="ITC Avant Garde" w:hAnsi="ITC Avant Garde"/>
          <w:lang w:val="es-ES"/>
        </w:rPr>
      </w:pPr>
    </w:p>
    <w:p w14:paraId="757A5045" w14:textId="0F57A8E8" w:rsidR="00450E15" w:rsidRDefault="00450E15" w:rsidP="00450E15">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29F34A68" w14:textId="77777777" w:rsidR="00450E15" w:rsidRPr="00541685" w:rsidRDefault="00450E15" w:rsidP="0080349A">
      <w:pPr>
        <w:spacing w:after="0" w:line="276" w:lineRule="auto"/>
        <w:ind w:left="0" w:right="0" w:firstLine="0"/>
        <w:rPr>
          <w:rFonts w:ascii="ITC Avant Garde" w:hAnsi="ITC Avant Garde"/>
          <w:lang w:val="es-ES"/>
        </w:rPr>
      </w:pPr>
    </w:p>
    <w:p w14:paraId="1779C541" w14:textId="706654C2"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Las diferencias entre las tarifas obtenidas para enlaces entre localidades y enlaces internacionales son mínimas ya que, desde un punto de vista tecnológico, ambos enlaces son idénticos. Sin embargo, los enlaces internaciones requieren de equipos específicos para TDM. Esto es debido a que, en países como Estados Unidos y Japón, se emplea la tecnología PDH con 24 canales, en vez de 30 (portadora-T en vez de portadora-E). Es decir, se comercializan enlaces T1 en vez de E1. Por ello, el AEP ha de disponer de equipos de traducción de interfaces especiales para poder transportar el tráfico al extranjero. Esta traducción no es necesaria para interfaces ethernet, por lo que las tarifas por kilómetro para enlaces entre localidades y enlaces de larga distancia internacional que hacen uso de esta tecnología son idénticos.</w:t>
      </w:r>
    </w:p>
    <w:p w14:paraId="20CE93AF" w14:textId="30046822" w:rsidR="00450E15" w:rsidRDefault="00450E15" w:rsidP="0080349A">
      <w:pPr>
        <w:spacing w:after="0" w:line="276" w:lineRule="auto"/>
        <w:ind w:left="0" w:right="0" w:firstLine="0"/>
        <w:rPr>
          <w:rFonts w:ascii="ITC Avant Garde" w:hAnsi="ITC Avant Garde"/>
          <w:lang w:val="es-ES"/>
        </w:rPr>
      </w:pPr>
    </w:p>
    <w:p w14:paraId="35911186" w14:textId="77777777" w:rsidR="00541685" w:rsidRPr="00450E15" w:rsidRDefault="00541685" w:rsidP="0080349A">
      <w:pPr>
        <w:spacing w:after="0" w:line="276" w:lineRule="auto"/>
        <w:ind w:left="0" w:right="0" w:firstLine="0"/>
        <w:rPr>
          <w:rFonts w:ascii="ITC Avant Garde" w:hAnsi="ITC Avant Garde"/>
          <w:i/>
          <w:lang w:val="es-ES"/>
        </w:rPr>
      </w:pPr>
      <w:r w:rsidRPr="00450E15">
        <w:rPr>
          <w:rFonts w:ascii="ITC Avant Garde" w:hAnsi="ITC Avant Garde"/>
          <w:i/>
          <w:lang w:val="es-ES"/>
        </w:rPr>
        <w:t>Transparencia de los resultados del modelo</w:t>
      </w:r>
    </w:p>
    <w:p w14:paraId="7E87FE31" w14:textId="4106D6C8" w:rsidR="00450E15" w:rsidRDefault="00450E15" w:rsidP="0080349A">
      <w:pPr>
        <w:spacing w:after="0" w:line="276" w:lineRule="auto"/>
        <w:ind w:left="0" w:right="0" w:firstLine="0"/>
        <w:rPr>
          <w:rFonts w:ascii="ITC Avant Garde" w:hAnsi="ITC Avant Garde"/>
          <w:lang w:val="es-ES"/>
        </w:rPr>
      </w:pPr>
    </w:p>
    <w:p w14:paraId="3E6A86C1" w14:textId="198504BF" w:rsidR="00450E15" w:rsidRDefault="00450E15" w:rsidP="0080349A">
      <w:pPr>
        <w:spacing w:after="0" w:line="276" w:lineRule="auto"/>
        <w:ind w:left="0" w:right="0" w:firstLine="0"/>
        <w:rPr>
          <w:rFonts w:ascii="ITC Avant Garde" w:hAnsi="ITC Avant Garde"/>
          <w:lang w:val="es-ES"/>
        </w:rPr>
      </w:pPr>
      <w:r>
        <w:rPr>
          <w:rFonts w:ascii="ITC Avant Garde" w:hAnsi="ITC Avant Garde"/>
          <w:lang w:val="es-ES"/>
        </w:rPr>
        <w:t>Axtel</w:t>
      </w:r>
    </w:p>
    <w:p w14:paraId="37FB5C0B" w14:textId="77777777" w:rsidR="00450E15" w:rsidRDefault="00450E15" w:rsidP="0080349A">
      <w:pPr>
        <w:spacing w:after="0" w:line="276" w:lineRule="auto"/>
        <w:ind w:left="0" w:right="0" w:firstLine="0"/>
        <w:rPr>
          <w:rFonts w:ascii="ITC Avant Garde" w:hAnsi="ITC Avant Garde"/>
          <w:lang w:val="es-ES"/>
        </w:rPr>
      </w:pPr>
    </w:p>
    <w:p w14:paraId="195A2364" w14:textId="348A984F" w:rsidR="00541685" w:rsidRDefault="00D5490D" w:rsidP="0080349A">
      <w:pPr>
        <w:spacing w:after="0" w:line="276" w:lineRule="auto"/>
        <w:ind w:left="0" w:right="0" w:firstLine="0"/>
        <w:rPr>
          <w:rFonts w:ascii="ITC Avant Garde" w:hAnsi="ITC Avant Garde"/>
          <w:lang w:val="es-ES"/>
        </w:rPr>
      </w:pPr>
      <w:r w:rsidRPr="58E23F00">
        <w:rPr>
          <w:rFonts w:ascii="ITC Avant Garde" w:hAnsi="ITC Avant Garde"/>
          <w:lang w:val="es-ES"/>
        </w:rPr>
        <w:lastRenderedPageBreak/>
        <w:t>Axtel</w:t>
      </w:r>
      <w:r w:rsidR="00541685" w:rsidRPr="58E23F00">
        <w:rPr>
          <w:rFonts w:ascii="ITC Avant Garde" w:hAnsi="ITC Avant Garde"/>
          <w:lang w:val="es-ES"/>
        </w:rPr>
        <w:t xml:space="preserve"> solicita al </w:t>
      </w:r>
      <w:r w:rsidR="647786AF" w:rsidRPr="58E23F00">
        <w:rPr>
          <w:rFonts w:ascii="ITC Avant Garde" w:hAnsi="ITC Avant Garde"/>
          <w:lang w:val="es-ES"/>
        </w:rPr>
        <w:t>I</w:t>
      </w:r>
      <w:r w:rsidR="1BCF4A1D"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que proporcione transparencia y trazabilidad, de manera que incluya la fórmula de cálculo en las celdas F112, F113, F114 y F117 de la pestaña Resultados del modelo de servicios de enlaces dedicados sometido a consulta; estas celdas incluyen el precio de los enlaces coubicados locales y la tarifa de habilitación de nuevos enlaces en un hub existente.</w:t>
      </w:r>
    </w:p>
    <w:p w14:paraId="12E26DF8" w14:textId="77777777" w:rsidR="00450E15" w:rsidRDefault="00450E15" w:rsidP="00450E15">
      <w:pPr>
        <w:spacing w:after="0" w:line="276" w:lineRule="auto"/>
        <w:ind w:left="0" w:right="0" w:firstLine="0"/>
        <w:rPr>
          <w:rFonts w:ascii="ITC Avant Garde" w:hAnsi="ITC Avant Garde"/>
          <w:lang w:val="es-ES"/>
        </w:rPr>
      </w:pPr>
    </w:p>
    <w:p w14:paraId="109EE666" w14:textId="70360C12" w:rsidR="00450E15" w:rsidRDefault="00450E15" w:rsidP="00450E15">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3348F2FF" w14:textId="77777777" w:rsidR="00450E15" w:rsidRPr="00541685" w:rsidRDefault="00450E15" w:rsidP="0080349A">
      <w:pPr>
        <w:spacing w:after="0" w:line="276" w:lineRule="auto"/>
        <w:ind w:left="0" w:right="0" w:firstLine="0"/>
        <w:rPr>
          <w:rFonts w:ascii="ITC Avant Garde" w:hAnsi="ITC Avant Garde"/>
          <w:lang w:val="es-ES"/>
        </w:rPr>
      </w:pPr>
    </w:p>
    <w:p w14:paraId="320C6169" w14:textId="5E898947" w:rsidR="00541685" w:rsidRPr="00541685" w:rsidRDefault="00450E15" w:rsidP="0080349A">
      <w:pPr>
        <w:spacing w:after="0" w:line="276" w:lineRule="auto"/>
        <w:ind w:left="0" w:right="0" w:firstLine="0"/>
        <w:rPr>
          <w:rFonts w:ascii="ITC Avant Garde" w:hAnsi="ITC Avant Garde"/>
          <w:lang w:val="es-ES"/>
        </w:rPr>
      </w:pPr>
      <w:r>
        <w:rPr>
          <w:rFonts w:ascii="ITC Avant Garde" w:hAnsi="ITC Avant Garde"/>
          <w:lang w:val="es-ES"/>
        </w:rPr>
        <w:t>Se ha</w:t>
      </w:r>
      <w:r w:rsidR="00541685" w:rsidRPr="00541685">
        <w:rPr>
          <w:rFonts w:ascii="ITC Avant Garde" w:hAnsi="ITC Avant Garde"/>
          <w:lang w:val="es-ES"/>
        </w:rPr>
        <w:t xml:space="preserve"> transparentado en el módulo de enlaces dedicados los cálculos pertinentes a las celdas mencionadas para aportar mayor claridad y transparencia con respecto a los resultados. </w:t>
      </w:r>
    </w:p>
    <w:p w14:paraId="7F5B927C" w14:textId="77777777" w:rsidR="00541685" w:rsidRPr="00541685" w:rsidRDefault="00541685" w:rsidP="0080349A">
      <w:pPr>
        <w:spacing w:after="0" w:line="276" w:lineRule="auto"/>
        <w:ind w:left="0" w:right="0" w:firstLine="0"/>
        <w:rPr>
          <w:rFonts w:ascii="ITC Avant Garde" w:hAnsi="ITC Avant Garde"/>
          <w:lang w:val="es-ES"/>
        </w:rPr>
      </w:pPr>
    </w:p>
    <w:p w14:paraId="770F9F05" w14:textId="77777777" w:rsidR="00541685" w:rsidRPr="00450E15" w:rsidRDefault="00541685" w:rsidP="0080349A">
      <w:pPr>
        <w:spacing w:after="0" w:line="276" w:lineRule="auto"/>
        <w:ind w:left="0" w:right="0" w:firstLine="0"/>
        <w:rPr>
          <w:rFonts w:ascii="ITC Avant Garde" w:hAnsi="ITC Avant Garde"/>
          <w:b/>
          <w:u w:val="single"/>
          <w:lang w:val="es-ES"/>
        </w:rPr>
      </w:pPr>
      <w:r w:rsidRPr="00450E15">
        <w:rPr>
          <w:rFonts w:ascii="ITC Avant Garde" w:hAnsi="ITC Avant Garde"/>
          <w:b/>
          <w:u w:val="single"/>
          <w:lang w:val="es-ES"/>
        </w:rPr>
        <w:t>Comentarios sobre el WACC</w:t>
      </w:r>
    </w:p>
    <w:p w14:paraId="6BDE4131" w14:textId="77777777" w:rsidR="00450E15" w:rsidRDefault="00450E15" w:rsidP="0080349A">
      <w:pPr>
        <w:spacing w:after="0" w:line="276" w:lineRule="auto"/>
        <w:ind w:left="0" w:right="0" w:firstLine="0"/>
        <w:rPr>
          <w:rFonts w:ascii="ITC Avant Garde" w:hAnsi="ITC Avant Garde"/>
          <w:lang w:val="es-ES"/>
        </w:rPr>
      </w:pPr>
    </w:p>
    <w:p w14:paraId="2D548C50" w14:textId="4877E56B"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Esta sección ofrece un resumen de los comentarios, opiniones y aportaciones de los </w:t>
      </w:r>
      <w:r w:rsidR="00A94546">
        <w:rPr>
          <w:rFonts w:ascii="ITC Avant Garde" w:hAnsi="ITC Avant Garde"/>
          <w:lang w:val="es-ES"/>
        </w:rPr>
        <w:t>concesionarios</w:t>
      </w:r>
      <w:r w:rsidRPr="00541685">
        <w:rPr>
          <w:rFonts w:ascii="ITC Avant Garde" w:hAnsi="ITC Avant Garde"/>
          <w:lang w:val="es-ES"/>
        </w:rPr>
        <w:t xml:space="preserve"> con relación al cálculo del WACC.</w:t>
      </w:r>
    </w:p>
    <w:p w14:paraId="3AA91403" w14:textId="77777777" w:rsidR="00450E15" w:rsidRPr="00541685" w:rsidRDefault="00450E15" w:rsidP="0080349A">
      <w:pPr>
        <w:spacing w:after="0" w:line="276" w:lineRule="auto"/>
        <w:ind w:left="0" w:right="0" w:firstLine="0"/>
        <w:rPr>
          <w:rFonts w:ascii="ITC Avant Garde" w:hAnsi="ITC Avant Garde"/>
          <w:lang w:val="es-ES"/>
        </w:rPr>
      </w:pPr>
    </w:p>
    <w:p w14:paraId="1F979887" w14:textId="03717E47" w:rsidR="00541685" w:rsidRDefault="00541685" w:rsidP="0080349A">
      <w:pPr>
        <w:spacing w:after="0" w:line="276" w:lineRule="auto"/>
        <w:ind w:left="0" w:right="0" w:firstLine="0"/>
        <w:rPr>
          <w:rFonts w:ascii="ITC Avant Garde" w:hAnsi="ITC Avant Garde"/>
          <w:b/>
          <w:u w:val="single"/>
          <w:lang w:val="es-ES"/>
        </w:rPr>
      </w:pPr>
      <w:r w:rsidRPr="00450E15">
        <w:rPr>
          <w:rFonts w:ascii="ITC Avant Garde" w:hAnsi="ITC Avant Garde"/>
          <w:b/>
          <w:u w:val="single"/>
          <w:lang w:val="es-ES"/>
        </w:rPr>
        <w:t>Comentarios sobre la aproximación metodológica</w:t>
      </w:r>
    </w:p>
    <w:p w14:paraId="34060C56" w14:textId="77777777" w:rsidR="00450E15" w:rsidRPr="00450E15" w:rsidRDefault="00450E15" w:rsidP="0080349A">
      <w:pPr>
        <w:spacing w:after="0" w:line="276" w:lineRule="auto"/>
        <w:ind w:left="0" w:right="0" w:firstLine="0"/>
        <w:rPr>
          <w:rFonts w:ascii="ITC Avant Garde" w:hAnsi="ITC Avant Garde"/>
          <w:b/>
          <w:u w:val="single"/>
          <w:lang w:val="es-ES"/>
        </w:rPr>
      </w:pPr>
    </w:p>
    <w:p w14:paraId="15C3471E" w14:textId="77777777" w:rsidR="00541685" w:rsidRPr="00450E15" w:rsidRDefault="00541685" w:rsidP="0080349A">
      <w:pPr>
        <w:spacing w:after="0" w:line="276" w:lineRule="auto"/>
        <w:ind w:left="0" w:right="0" w:firstLine="0"/>
        <w:rPr>
          <w:rFonts w:ascii="ITC Avant Garde" w:hAnsi="ITC Avant Garde"/>
          <w:i/>
          <w:lang w:val="es-ES"/>
        </w:rPr>
      </w:pPr>
      <w:r w:rsidRPr="00450E15">
        <w:rPr>
          <w:rFonts w:ascii="ITC Avant Garde" w:hAnsi="ITC Avant Garde"/>
          <w:i/>
          <w:lang w:val="es-ES"/>
        </w:rPr>
        <w:t>Diferenciación del WACC de redes fijas y de redes móviles</w:t>
      </w:r>
    </w:p>
    <w:p w14:paraId="078EFDC3" w14:textId="77777777" w:rsidR="00450E15" w:rsidRDefault="00450E15" w:rsidP="0080349A">
      <w:pPr>
        <w:spacing w:after="0" w:line="276" w:lineRule="auto"/>
        <w:ind w:left="0" w:right="0" w:firstLine="0"/>
        <w:rPr>
          <w:rFonts w:ascii="ITC Avant Garde" w:hAnsi="ITC Avant Garde"/>
          <w:lang w:val="es-ES"/>
        </w:rPr>
      </w:pPr>
    </w:p>
    <w:p w14:paraId="783AD5A2" w14:textId="5EC7BF50" w:rsidR="00450E15" w:rsidRDefault="00450E15" w:rsidP="0080349A">
      <w:pPr>
        <w:spacing w:after="0" w:line="276" w:lineRule="auto"/>
        <w:ind w:left="0" w:right="0" w:firstLine="0"/>
        <w:rPr>
          <w:rFonts w:ascii="ITC Avant Garde" w:hAnsi="ITC Avant Garde"/>
          <w:lang w:val="es-ES"/>
        </w:rPr>
      </w:pPr>
      <w:r>
        <w:rPr>
          <w:rFonts w:ascii="ITC Avant Garde" w:hAnsi="ITC Avant Garde"/>
          <w:lang w:val="es-ES"/>
        </w:rPr>
        <w:t>Mega Cable</w:t>
      </w:r>
    </w:p>
    <w:p w14:paraId="40BB5114" w14:textId="77777777" w:rsidR="00450E15" w:rsidRDefault="00450E15" w:rsidP="0080349A">
      <w:pPr>
        <w:spacing w:after="0" w:line="276" w:lineRule="auto"/>
        <w:ind w:left="0" w:right="0" w:firstLine="0"/>
        <w:rPr>
          <w:rFonts w:ascii="ITC Avant Garde" w:hAnsi="ITC Avant Garde"/>
          <w:lang w:val="es-ES"/>
        </w:rPr>
      </w:pPr>
    </w:p>
    <w:p w14:paraId="7F8BF5BA" w14:textId="06A046CB" w:rsidR="00541685" w:rsidRDefault="00376355" w:rsidP="0080349A">
      <w:pPr>
        <w:spacing w:after="0" w:line="276" w:lineRule="auto"/>
        <w:ind w:left="0" w:right="0" w:firstLine="0"/>
        <w:rPr>
          <w:rFonts w:ascii="ITC Avant Garde" w:hAnsi="ITC Avant Garde"/>
          <w:lang w:val="es-ES"/>
        </w:rPr>
      </w:pPr>
      <w:r>
        <w:rPr>
          <w:rFonts w:ascii="ITC Avant Garde" w:hAnsi="ITC Avant Garde"/>
          <w:lang w:val="es-ES"/>
        </w:rPr>
        <w:t>Mega Cable</w:t>
      </w:r>
      <w:r w:rsidR="00541685" w:rsidRPr="00541685">
        <w:rPr>
          <w:rFonts w:ascii="ITC Avant Garde" w:hAnsi="ITC Avant Garde"/>
          <w:lang w:val="es-ES"/>
        </w:rPr>
        <w:t xml:space="preserve"> argumenta que no debería diferenciarse entre un WACC para redes fijas y otro para redes móviles, ya que una gran proporción de </w:t>
      </w:r>
      <w:r w:rsidR="00A94546">
        <w:rPr>
          <w:rFonts w:ascii="ITC Avant Garde" w:hAnsi="ITC Avant Garde"/>
          <w:lang w:val="es-ES"/>
        </w:rPr>
        <w:t>concesionarios</w:t>
      </w:r>
      <w:r w:rsidR="00541685" w:rsidRPr="00541685">
        <w:rPr>
          <w:rFonts w:ascii="ITC Avant Garde" w:hAnsi="ITC Avant Garde"/>
          <w:lang w:val="es-ES"/>
        </w:rPr>
        <w:t>, incluido el AEP, cuentan con ambos tipos de red.</w:t>
      </w:r>
    </w:p>
    <w:p w14:paraId="4DC8861A" w14:textId="20CD81AB" w:rsidR="00450E15" w:rsidRDefault="00450E15" w:rsidP="0080349A">
      <w:pPr>
        <w:spacing w:after="0" w:line="276" w:lineRule="auto"/>
        <w:ind w:left="0" w:right="0" w:firstLine="0"/>
        <w:rPr>
          <w:rFonts w:ascii="ITC Avant Garde" w:hAnsi="ITC Avant Garde"/>
          <w:lang w:val="es-ES"/>
        </w:rPr>
      </w:pPr>
    </w:p>
    <w:p w14:paraId="6215C273" w14:textId="4B047F32" w:rsidR="00450E15" w:rsidRDefault="00450E15" w:rsidP="00450E15">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06F43805" w14:textId="77777777" w:rsidR="00450E15" w:rsidRPr="00541685" w:rsidRDefault="00450E15" w:rsidP="0080349A">
      <w:pPr>
        <w:spacing w:after="0" w:line="276" w:lineRule="auto"/>
        <w:ind w:left="0" w:right="0" w:firstLine="0"/>
        <w:rPr>
          <w:rFonts w:ascii="ITC Avant Garde" w:hAnsi="ITC Avant Garde"/>
          <w:lang w:val="es-ES"/>
        </w:rPr>
      </w:pPr>
    </w:p>
    <w:p w14:paraId="375EEABD" w14:textId="7DCD010C" w:rsidR="00541685" w:rsidRDefault="00541685"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La decisión sobre si se debe estimar un único WACC para redes fijas y redes móviles, o si, por el contrario, es más apropiado realizar estimaciones diferenciadas para cada red se ha estudiado anteriormente en el documento metodológico enviado como parte de la consulta. En este documento </w:t>
      </w:r>
      <w:r w:rsidR="00450E15" w:rsidRPr="58E23F00">
        <w:rPr>
          <w:rFonts w:ascii="ITC Avant Garde" w:hAnsi="ITC Avant Garde"/>
          <w:lang w:val="es-ES"/>
        </w:rPr>
        <w:t>se presenta</w:t>
      </w:r>
      <w:r w:rsidRPr="58E23F00">
        <w:rPr>
          <w:rFonts w:ascii="ITC Avant Garde" w:hAnsi="ITC Avant Garde"/>
          <w:lang w:val="es-ES"/>
        </w:rPr>
        <w:t xml:space="preserve"> que la diferenciación entre un WACC para redes fijas y otro para redes móviles surge de la necesidad, según lo expuesto en la legislación mexicana, de asegurar que la estimación de los costos de los servicios cursados a través de cada red hace el mayor uso posible de parámetros específicos, a fin de lograr la estimación más precisa en cada caso. De esta manera, el </w:t>
      </w:r>
      <w:r w:rsidR="647786AF" w:rsidRPr="58E23F00">
        <w:rPr>
          <w:rFonts w:ascii="ITC Avant Garde" w:hAnsi="ITC Avant Garde"/>
          <w:lang w:val="es-ES"/>
        </w:rPr>
        <w:t>I</w:t>
      </w:r>
      <w:r w:rsidR="35E639C2" w:rsidRPr="58E23F00">
        <w:rPr>
          <w:rFonts w:ascii="ITC Avant Garde" w:hAnsi="ITC Avant Garde"/>
          <w:lang w:val="es-ES"/>
        </w:rPr>
        <w:t>nstituto</w:t>
      </w:r>
      <w:r w:rsidR="0AF39D56" w:rsidRPr="58E23F00">
        <w:rPr>
          <w:rFonts w:ascii="ITC Avant Garde" w:hAnsi="ITC Avant Garde"/>
          <w:lang w:val="es-ES"/>
        </w:rPr>
        <w:t xml:space="preserve"> </w:t>
      </w:r>
      <w:r w:rsidRPr="58E23F00">
        <w:rPr>
          <w:rFonts w:ascii="ITC Avant Garde" w:hAnsi="ITC Avant Garde"/>
          <w:lang w:val="es-ES"/>
        </w:rPr>
        <w:t>mantiene que lo más apropiado es continuar diferenciando entre un WACC para redes fijas y otro para redes móviles.</w:t>
      </w:r>
    </w:p>
    <w:p w14:paraId="55A17F9B" w14:textId="77777777" w:rsidR="00450E15" w:rsidRPr="00541685" w:rsidRDefault="00450E15" w:rsidP="0080349A">
      <w:pPr>
        <w:spacing w:after="0" w:line="276" w:lineRule="auto"/>
        <w:ind w:left="0" w:right="0" w:firstLine="0"/>
        <w:rPr>
          <w:rFonts w:ascii="ITC Avant Garde" w:hAnsi="ITC Avant Garde"/>
          <w:lang w:val="es-ES"/>
        </w:rPr>
      </w:pPr>
    </w:p>
    <w:p w14:paraId="4F602C67" w14:textId="77777777" w:rsidR="00541685" w:rsidRPr="00450E15" w:rsidRDefault="00541685" w:rsidP="0080349A">
      <w:pPr>
        <w:spacing w:after="0" w:line="276" w:lineRule="auto"/>
        <w:ind w:left="0" w:right="0" w:firstLine="0"/>
        <w:rPr>
          <w:rFonts w:ascii="ITC Avant Garde" w:hAnsi="ITC Avant Garde"/>
          <w:i/>
          <w:lang w:val="es-ES"/>
        </w:rPr>
      </w:pPr>
      <w:r w:rsidRPr="00450E15">
        <w:rPr>
          <w:rFonts w:ascii="ITC Avant Garde" w:hAnsi="ITC Avant Garde"/>
          <w:i/>
          <w:lang w:val="es-ES"/>
        </w:rPr>
        <w:t>Diferenciación del WACC del AEP y del CA</w:t>
      </w:r>
    </w:p>
    <w:p w14:paraId="0BC386D0" w14:textId="77777777" w:rsidR="00450E15" w:rsidRDefault="00450E15" w:rsidP="0080349A">
      <w:pPr>
        <w:spacing w:after="0" w:line="276" w:lineRule="auto"/>
        <w:ind w:left="0" w:right="0" w:firstLine="0"/>
        <w:rPr>
          <w:rFonts w:ascii="ITC Avant Garde" w:hAnsi="ITC Avant Garde"/>
          <w:lang w:val="es-ES"/>
        </w:rPr>
      </w:pPr>
    </w:p>
    <w:p w14:paraId="0F705474" w14:textId="1A8A89E1" w:rsidR="00450E15" w:rsidRDefault="00450E15" w:rsidP="0080349A">
      <w:pPr>
        <w:spacing w:after="0" w:line="276" w:lineRule="auto"/>
        <w:ind w:left="0" w:right="0" w:firstLine="0"/>
        <w:rPr>
          <w:rFonts w:ascii="ITC Avant Garde" w:hAnsi="ITC Avant Garde"/>
          <w:lang w:val="es-ES"/>
        </w:rPr>
      </w:pPr>
      <w:r>
        <w:rPr>
          <w:rFonts w:ascii="ITC Avant Garde" w:hAnsi="ITC Avant Garde"/>
          <w:lang w:val="es-ES"/>
        </w:rPr>
        <w:t>Mega Cable y Telefónica</w:t>
      </w:r>
    </w:p>
    <w:p w14:paraId="4FD8469E" w14:textId="77777777" w:rsidR="003E5CFC" w:rsidRDefault="003E5CFC" w:rsidP="0080349A">
      <w:pPr>
        <w:spacing w:after="0" w:line="276" w:lineRule="auto"/>
        <w:ind w:left="0" w:right="0" w:firstLine="0"/>
        <w:rPr>
          <w:rFonts w:ascii="ITC Avant Garde" w:hAnsi="ITC Avant Garde"/>
          <w:lang w:val="es-ES"/>
        </w:rPr>
      </w:pPr>
    </w:p>
    <w:p w14:paraId="379439CB" w14:textId="1C091736" w:rsidR="00541685" w:rsidRDefault="005075FE" w:rsidP="0080349A">
      <w:pPr>
        <w:spacing w:after="0" w:line="276" w:lineRule="auto"/>
        <w:ind w:left="0" w:right="0" w:firstLine="0"/>
        <w:rPr>
          <w:rFonts w:ascii="ITC Avant Garde" w:hAnsi="ITC Avant Garde"/>
          <w:lang w:val="es-ES"/>
        </w:rPr>
      </w:pPr>
      <w:r w:rsidRPr="58E23F00">
        <w:rPr>
          <w:rFonts w:ascii="ITC Avant Garde" w:hAnsi="ITC Avant Garde"/>
          <w:lang w:val="es-ES"/>
        </w:rPr>
        <w:t>Mega Cable</w:t>
      </w:r>
      <w:r w:rsidR="00541685" w:rsidRPr="58E23F00">
        <w:rPr>
          <w:rFonts w:ascii="ITC Avant Garde" w:hAnsi="ITC Avant Garde"/>
          <w:lang w:val="es-ES"/>
        </w:rPr>
        <w:t xml:space="preserve"> y Telefónica solicitan al </w:t>
      </w:r>
      <w:r w:rsidR="647786AF" w:rsidRPr="58E23F00">
        <w:rPr>
          <w:rFonts w:ascii="ITC Avant Garde" w:hAnsi="ITC Avant Garde"/>
          <w:lang w:val="es-ES"/>
        </w:rPr>
        <w:t>I</w:t>
      </w:r>
      <w:r w:rsidR="099A9457"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 xml:space="preserve">que este considere un WACC separado para el AEP y el resto de </w:t>
      </w:r>
      <w:r w:rsidR="00A94546" w:rsidRPr="58E23F00">
        <w:rPr>
          <w:rFonts w:ascii="ITC Avant Garde" w:hAnsi="ITC Avant Garde"/>
          <w:lang w:val="es-ES"/>
        </w:rPr>
        <w:t>concesionarios</w:t>
      </w:r>
      <w:r w:rsidR="00541685" w:rsidRPr="58E23F00">
        <w:rPr>
          <w:rFonts w:ascii="ITC Avant Garde" w:hAnsi="ITC Avant Garde"/>
          <w:lang w:val="es-ES"/>
        </w:rPr>
        <w:t xml:space="preserve"> (i.e., Telcel, Telefóni</w:t>
      </w:r>
      <w:r w:rsidR="00450E15" w:rsidRPr="58E23F00">
        <w:rPr>
          <w:rFonts w:ascii="ITC Avant Garde" w:hAnsi="ITC Avant Garde"/>
          <w:lang w:val="es-ES"/>
        </w:rPr>
        <w:t>ca</w:t>
      </w:r>
      <w:r w:rsidR="008A4535" w:rsidRPr="58E23F00">
        <w:rPr>
          <w:rFonts w:ascii="ITC Avant Garde" w:hAnsi="ITC Avant Garde"/>
          <w:lang w:val="es-ES"/>
        </w:rPr>
        <w:t xml:space="preserve"> </w:t>
      </w:r>
      <w:r w:rsidR="00541685" w:rsidRPr="58E23F00">
        <w:rPr>
          <w:rFonts w:ascii="ITC Avant Garde" w:hAnsi="ITC Avant Garde"/>
          <w:lang w:val="es-ES"/>
        </w:rPr>
        <w:t xml:space="preserve">y AT&amp;T), de manera que refleje su diferente poder de negociación y capacidad de acceder a mercados financieros más maduros para la adquisición de equipos y software de telecomunicaciones. Además, uno de los </w:t>
      </w:r>
      <w:r w:rsidR="00A94546" w:rsidRPr="58E23F00">
        <w:rPr>
          <w:rFonts w:ascii="ITC Avant Garde" w:hAnsi="ITC Avant Garde"/>
          <w:lang w:val="es-ES"/>
        </w:rPr>
        <w:t>concesionarios</w:t>
      </w:r>
      <w:r w:rsidR="00541685" w:rsidRPr="58E23F00">
        <w:rPr>
          <w:rFonts w:ascii="ITC Avant Garde" w:hAnsi="ITC Avant Garde"/>
          <w:lang w:val="es-ES"/>
        </w:rPr>
        <w:t xml:space="preserve"> argumenta que el AEP se beneficia de unos costos de capital inferiores y un menor riesgo inversor, mientras que para el resto de los </w:t>
      </w:r>
      <w:r w:rsidR="00A94546" w:rsidRPr="58E23F00">
        <w:rPr>
          <w:rFonts w:ascii="ITC Avant Garde" w:hAnsi="ITC Avant Garde"/>
          <w:lang w:val="es-ES"/>
        </w:rPr>
        <w:t>concesionarios</w:t>
      </w:r>
      <w:r w:rsidR="00541685" w:rsidRPr="58E23F00">
        <w:rPr>
          <w:rFonts w:ascii="ITC Avant Garde" w:hAnsi="ITC Avant Garde"/>
          <w:lang w:val="es-ES"/>
        </w:rPr>
        <w:t xml:space="preserve"> la tasa de retorno exigida sería mayor.</w:t>
      </w:r>
    </w:p>
    <w:p w14:paraId="7913DF38" w14:textId="0A67611B" w:rsidR="003627B6" w:rsidRDefault="003627B6" w:rsidP="0080349A">
      <w:pPr>
        <w:spacing w:after="0" w:line="276" w:lineRule="auto"/>
        <w:ind w:left="0" w:right="0" w:firstLine="0"/>
        <w:rPr>
          <w:rFonts w:ascii="ITC Avant Garde" w:hAnsi="ITC Avant Garde"/>
          <w:lang w:val="es-ES"/>
        </w:rPr>
      </w:pPr>
    </w:p>
    <w:p w14:paraId="4A468312" w14:textId="7B46EAC5" w:rsidR="003627B6" w:rsidRDefault="003627B6" w:rsidP="003627B6">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3B0502BB" w14:textId="77777777" w:rsidR="003627B6" w:rsidRPr="00541685" w:rsidRDefault="003627B6" w:rsidP="0080349A">
      <w:pPr>
        <w:spacing w:after="0" w:line="276" w:lineRule="auto"/>
        <w:ind w:left="0" w:right="0" w:firstLine="0"/>
        <w:rPr>
          <w:rFonts w:ascii="ITC Avant Garde" w:hAnsi="ITC Avant Garde"/>
          <w:lang w:val="es-ES"/>
        </w:rPr>
      </w:pPr>
    </w:p>
    <w:p w14:paraId="4C79FA6F" w14:textId="4D9480F2" w:rsidR="00541685" w:rsidRPr="00541685" w:rsidRDefault="00541685"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En línea con lo argumentado en el documento metodológico del WACC, el </w:t>
      </w:r>
      <w:r w:rsidR="647786AF" w:rsidRPr="58E23F00">
        <w:rPr>
          <w:rFonts w:ascii="ITC Avant Garde" w:hAnsi="ITC Avant Garde"/>
          <w:lang w:val="es-ES"/>
        </w:rPr>
        <w:t>I</w:t>
      </w:r>
      <w:r w:rsidR="1372A344" w:rsidRPr="58E23F00">
        <w:rPr>
          <w:rFonts w:ascii="ITC Avant Garde" w:hAnsi="ITC Avant Garde"/>
          <w:lang w:val="es-ES"/>
        </w:rPr>
        <w:t>nstituto</w:t>
      </w:r>
      <w:r w:rsidR="0AF39D56" w:rsidRPr="58E23F00">
        <w:rPr>
          <w:rFonts w:ascii="ITC Avant Garde" w:hAnsi="ITC Avant Garde"/>
          <w:lang w:val="es-ES"/>
        </w:rPr>
        <w:t xml:space="preserve"> </w:t>
      </w:r>
      <w:r w:rsidRPr="58E23F00">
        <w:rPr>
          <w:rFonts w:ascii="ITC Avant Garde" w:hAnsi="ITC Avant Garde"/>
          <w:lang w:val="es-ES"/>
        </w:rPr>
        <w:t xml:space="preserve">mantiene que la definición de un WACC promedio industrial, con una diferenciación entre el WACC asociado a redes fijas y el WACC asociado a redes móviles, es la alternativa más apropiada dado que muestra de manera más acorde a un </w:t>
      </w:r>
      <w:r w:rsidR="00A94546" w:rsidRPr="58E23F00">
        <w:rPr>
          <w:rFonts w:ascii="ITC Avant Garde" w:hAnsi="ITC Avant Garde"/>
          <w:lang w:val="es-ES"/>
        </w:rPr>
        <w:t>operador eficiente</w:t>
      </w:r>
      <w:r w:rsidRPr="58E23F00">
        <w:rPr>
          <w:rFonts w:ascii="ITC Avant Garde" w:hAnsi="ITC Avant Garde"/>
          <w:lang w:val="es-ES"/>
        </w:rPr>
        <w:t xml:space="preserve">, evitando posibles ineficiencias al considerar parámetros específicos de un </w:t>
      </w:r>
      <w:r w:rsidR="00A94546" w:rsidRPr="58E23F00">
        <w:rPr>
          <w:rFonts w:ascii="ITC Avant Garde" w:hAnsi="ITC Avant Garde"/>
          <w:lang w:val="es-ES"/>
        </w:rPr>
        <w:t>concesionario</w:t>
      </w:r>
      <w:r w:rsidRPr="58E23F00">
        <w:rPr>
          <w:rFonts w:ascii="ITC Avant Garde" w:hAnsi="ITC Avant Garde"/>
          <w:lang w:val="es-ES"/>
        </w:rPr>
        <w:t xml:space="preserve"> concreto. Asimismo, </w:t>
      </w:r>
      <w:r w:rsidR="00856A78" w:rsidRPr="58E23F00">
        <w:rPr>
          <w:rFonts w:ascii="ITC Avant Garde" w:hAnsi="ITC Avant Garde"/>
          <w:lang w:val="es-ES"/>
        </w:rPr>
        <w:t>se considera</w:t>
      </w:r>
      <w:r w:rsidRPr="58E23F00">
        <w:rPr>
          <w:rFonts w:ascii="ITC Avant Garde" w:hAnsi="ITC Avant Garde"/>
          <w:lang w:val="es-ES"/>
        </w:rPr>
        <w:t xml:space="preserve"> que la utilización de </w:t>
      </w:r>
      <w:r w:rsidR="009F01B4" w:rsidRPr="58E23F00">
        <w:rPr>
          <w:rFonts w:ascii="ITC Avant Garde" w:hAnsi="ITC Avant Garde"/>
          <w:lang w:val="es-ES"/>
        </w:rPr>
        <w:t>más</w:t>
      </w:r>
      <w:r w:rsidRPr="58E23F00">
        <w:rPr>
          <w:rFonts w:ascii="ITC Avant Garde" w:hAnsi="ITC Avant Garde"/>
          <w:lang w:val="es-ES"/>
        </w:rPr>
        <w:t xml:space="preserve"> WACC</w:t>
      </w:r>
      <w:r w:rsidR="009F01B4" w:rsidRPr="58E23F00">
        <w:rPr>
          <w:rFonts w:ascii="ITC Avant Garde" w:hAnsi="ITC Avant Garde"/>
          <w:lang w:val="es-ES"/>
        </w:rPr>
        <w:t>s</w:t>
      </w:r>
      <w:r w:rsidRPr="58E23F00">
        <w:rPr>
          <w:rFonts w:ascii="ITC Avant Garde" w:hAnsi="ITC Avant Garde"/>
          <w:lang w:val="es-ES"/>
        </w:rPr>
        <w:t xml:space="preserve"> solo añadiría más complejidad a los modelos, y potencialmente introduciría mayor subjetividad al ejercicio regulatorio, sin reducir el sesgo actual.</w:t>
      </w:r>
    </w:p>
    <w:p w14:paraId="5A2D2276" w14:textId="77777777" w:rsidR="003627B6" w:rsidRDefault="003627B6" w:rsidP="0080349A">
      <w:pPr>
        <w:spacing w:after="0" w:line="276" w:lineRule="auto"/>
        <w:ind w:left="0" w:right="0" w:firstLine="0"/>
        <w:rPr>
          <w:rFonts w:ascii="ITC Avant Garde" w:hAnsi="ITC Avant Garde"/>
          <w:lang w:val="es-ES"/>
        </w:rPr>
      </w:pPr>
    </w:p>
    <w:p w14:paraId="7E895E6B" w14:textId="0E1F19CA" w:rsidR="00541685" w:rsidRPr="003627B6" w:rsidRDefault="00541685" w:rsidP="0080349A">
      <w:pPr>
        <w:spacing w:after="0" w:line="276" w:lineRule="auto"/>
        <w:ind w:left="0" w:right="0" w:firstLine="0"/>
        <w:rPr>
          <w:rFonts w:ascii="ITC Avant Garde" w:hAnsi="ITC Avant Garde"/>
          <w:i/>
          <w:lang w:val="es-ES"/>
        </w:rPr>
      </w:pPr>
      <w:r w:rsidRPr="003627B6">
        <w:rPr>
          <w:rFonts w:ascii="ITC Avant Garde" w:hAnsi="ITC Avant Garde"/>
          <w:i/>
          <w:lang w:val="es-ES"/>
        </w:rPr>
        <w:t>Tasa de riesgo de México</w:t>
      </w:r>
    </w:p>
    <w:p w14:paraId="7F379A89" w14:textId="77777777" w:rsidR="003627B6" w:rsidRDefault="003627B6" w:rsidP="0080349A">
      <w:pPr>
        <w:spacing w:after="0" w:line="276" w:lineRule="auto"/>
        <w:ind w:left="0" w:right="0" w:firstLine="0"/>
        <w:rPr>
          <w:rFonts w:ascii="ITC Avant Garde" w:hAnsi="ITC Avant Garde"/>
          <w:lang w:val="es-ES"/>
        </w:rPr>
      </w:pPr>
    </w:p>
    <w:p w14:paraId="47F77DDB" w14:textId="4D474249" w:rsidR="003627B6" w:rsidRDefault="003627B6" w:rsidP="0080349A">
      <w:pPr>
        <w:spacing w:after="0" w:line="276" w:lineRule="auto"/>
        <w:ind w:left="0" w:right="0" w:firstLine="0"/>
        <w:rPr>
          <w:rFonts w:ascii="ITC Avant Garde" w:hAnsi="ITC Avant Garde"/>
          <w:lang w:val="es-ES"/>
        </w:rPr>
      </w:pPr>
      <w:r>
        <w:rPr>
          <w:rFonts w:ascii="ITC Avant Garde" w:hAnsi="ITC Avant Garde"/>
          <w:lang w:val="es-ES"/>
        </w:rPr>
        <w:t>Telefónica</w:t>
      </w:r>
    </w:p>
    <w:p w14:paraId="3E58F719" w14:textId="77777777" w:rsidR="003627B6" w:rsidRDefault="003627B6" w:rsidP="0080349A">
      <w:pPr>
        <w:spacing w:after="0" w:line="276" w:lineRule="auto"/>
        <w:ind w:left="0" w:right="0" w:firstLine="0"/>
        <w:rPr>
          <w:rFonts w:ascii="ITC Avant Garde" w:hAnsi="ITC Avant Garde"/>
          <w:lang w:val="es-ES"/>
        </w:rPr>
      </w:pPr>
    </w:p>
    <w:p w14:paraId="76F836DD" w14:textId="0447ADFE" w:rsidR="00541685" w:rsidRDefault="007C441B" w:rsidP="0080349A">
      <w:pPr>
        <w:spacing w:after="0" w:line="276" w:lineRule="auto"/>
        <w:ind w:left="0" w:right="0" w:firstLine="0"/>
        <w:rPr>
          <w:rFonts w:ascii="ITC Avant Garde" w:hAnsi="ITC Avant Garde"/>
          <w:lang w:val="es-ES"/>
        </w:rPr>
      </w:pPr>
      <w:r>
        <w:rPr>
          <w:rFonts w:ascii="ITC Avant Garde" w:hAnsi="ITC Avant Garde"/>
          <w:lang w:val="es-ES"/>
        </w:rPr>
        <w:t>Telefónica</w:t>
      </w:r>
      <w:r w:rsidR="00541685" w:rsidRPr="00541685">
        <w:rPr>
          <w:rFonts w:ascii="ITC Avant Garde" w:hAnsi="ITC Avant Garde"/>
          <w:lang w:val="es-ES"/>
        </w:rPr>
        <w:t xml:space="preserve"> expresa que no se debe asumir un menor costo de capital para los </w:t>
      </w:r>
      <w:r w:rsidR="00A94546">
        <w:rPr>
          <w:rFonts w:ascii="ITC Avant Garde" w:hAnsi="ITC Avant Garde"/>
          <w:lang w:val="es-ES"/>
        </w:rPr>
        <w:t>concesionarios</w:t>
      </w:r>
      <w:r w:rsidR="00541685" w:rsidRPr="00541685">
        <w:rPr>
          <w:rFonts w:ascii="ITC Avant Garde" w:hAnsi="ITC Avant Garde"/>
          <w:lang w:val="es-ES"/>
        </w:rPr>
        <w:t xml:space="preserve"> móviles ligado a que estos se financien a nivel global a un coste inferior al de México. </w:t>
      </w:r>
      <w:r w:rsidR="00376355">
        <w:rPr>
          <w:rFonts w:ascii="ITC Avant Garde" w:hAnsi="ITC Avant Garde"/>
          <w:lang w:val="es-ES"/>
        </w:rPr>
        <w:t xml:space="preserve"> </w:t>
      </w:r>
      <w:r w:rsidR="00541685" w:rsidRPr="00541685">
        <w:rPr>
          <w:rFonts w:ascii="ITC Avant Garde" w:hAnsi="ITC Avant Garde"/>
          <w:lang w:val="es-ES"/>
        </w:rPr>
        <w:t xml:space="preserve"> argumenta que los </w:t>
      </w:r>
      <w:r w:rsidR="00A94546">
        <w:rPr>
          <w:rFonts w:ascii="ITC Avant Garde" w:hAnsi="ITC Avant Garde"/>
          <w:lang w:val="es-ES"/>
        </w:rPr>
        <w:t>concesionarios</w:t>
      </w:r>
      <w:r w:rsidR="00541685" w:rsidRPr="00541685">
        <w:rPr>
          <w:rFonts w:ascii="ITC Avant Garde" w:hAnsi="ITC Avant Garde"/>
          <w:lang w:val="es-ES"/>
        </w:rPr>
        <w:t xml:space="preserve"> móviles internacionales que están presentes en el mercado mexicano toman en consideración características de financiación y el perfil de riesgo específicos al mercado mexicano.</w:t>
      </w:r>
    </w:p>
    <w:p w14:paraId="4CEA891E" w14:textId="5C9B254E" w:rsidR="003627B6" w:rsidRDefault="003627B6" w:rsidP="0080349A">
      <w:pPr>
        <w:spacing w:after="0" w:line="276" w:lineRule="auto"/>
        <w:ind w:left="0" w:right="0" w:firstLine="0"/>
        <w:rPr>
          <w:rFonts w:ascii="ITC Avant Garde" w:hAnsi="ITC Avant Garde"/>
          <w:lang w:val="es-ES"/>
        </w:rPr>
      </w:pPr>
    </w:p>
    <w:p w14:paraId="735E3639" w14:textId="2CE79A12" w:rsidR="003627B6" w:rsidRDefault="003627B6" w:rsidP="003627B6">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46F30045" w14:textId="77777777" w:rsidR="003627B6" w:rsidRPr="00541685" w:rsidRDefault="003627B6" w:rsidP="0080349A">
      <w:pPr>
        <w:spacing w:after="0" w:line="276" w:lineRule="auto"/>
        <w:ind w:left="0" w:right="0" w:firstLine="0"/>
        <w:rPr>
          <w:rFonts w:ascii="ITC Avant Garde" w:hAnsi="ITC Avant Garde"/>
          <w:lang w:val="es-ES"/>
        </w:rPr>
      </w:pPr>
    </w:p>
    <w:p w14:paraId="2B5DB033" w14:textId="1F75DAAB" w:rsidR="00541685" w:rsidRP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Con respecto a la consideración del carácter global de las empresas consideradas, se considera adecuado el comentario provisto por el </w:t>
      </w:r>
      <w:r w:rsidR="00A94546">
        <w:rPr>
          <w:rFonts w:ascii="ITC Avant Garde" w:hAnsi="ITC Avant Garde"/>
          <w:lang w:val="es-ES"/>
        </w:rPr>
        <w:t>concesionario</w:t>
      </w:r>
      <w:r w:rsidRPr="00541685">
        <w:rPr>
          <w:rFonts w:ascii="ITC Avant Garde" w:hAnsi="ITC Avant Garde"/>
          <w:lang w:val="es-ES"/>
        </w:rPr>
        <w:t xml:space="preserve">. </w:t>
      </w:r>
      <w:r w:rsidR="00856A78">
        <w:rPr>
          <w:rFonts w:ascii="ITC Avant Garde" w:hAnsi="ITC Avant Garde"/>
          <w:lang w:val="es-ES"/>
        </w:rPr>
        <w:t>Se considera</w:t>
      </w:r>
      <w:r w:rsidRPr="00541685">
        <w:rPr>
          <w:rFonts w:ascii="ITC Avant Garde" w:hAnsi="ITC Avant Garde"/>
          <w:lang w:val="es-ES"/>
        </w:rPr>
        <w:t xml:space="preserve"> que es cierto que los </w:t>
      </w:r>
      <w:r w:rsidR="00A94546">
        <w:rPr>
          <w:rFonts w:ascii="ITC Avant Garde" w:hAnsi="ITC Avant Garde"/>
          <w:lang w:val="es-ES"/>
        </w:rPr>
        <w:t>concesionarios</w:t>
      </w:r>
      <w:r w:rsidRPr="00541685">
        <w:rPr>
          <w:rFonts w:ascii="ITC Avant Garde" w:hAnsi="ITC Avant Garde"/>
          <w:lang w:val="es-ES"/>
        </w:rPr>
        <w:t xml:space="preserve"> toman en consideración características de financiación y el riesgo específico de México. No obstante, cabe recordar que el WACC estimado incluye la tasa de riesgo país pertinente para </w:t>
      </w:r>
      <w:r w:rsidRPr="00541685">
        <w:rPr>
          <w:rFonts w:ascii="ITC Avant Garde" w:hAnsi="ITC Avant Garde"/>
          <w:lang w:val="es-ES"/>
        </w:rPr>
        <w:lastRenderedPageBreak/>
        <w:t xml:space="preserve">México, la cual permite asegurar que el WACC calculado es totalmente representativo del perfil de riesgo adoptado por los </w:t>
      </w:r>
      <w:r w:rsidR="00A94546">
        <w:rPr>
          <w:rFonts w:ascii="ITC Avant Garde" w:hAnsi="ITC Avant Garde"/>
          <w:lang w:val="es-ES"/>
        </w:rPr>
        <w:t>concesionarios</w:t>
      </w:r>
      <w:r w:rsidRPr="00541685">
        <w:rPr>
          <w:rFonts w:ascii="ITC Avant Garde" w:hAnsi="ITC Avant Garde"/>
          <w:lang w:val="es-ES"/>
        </w:rPr>
        <w:t xml:space="preserve"> en el país.</w:t>
      </w:r>
    </w:p>
    <w:p w14:paraId="0F839958" w14:textId="77777777" w:rsidR="003627B6" w:rsidRDefault="003627B6" w:rsidP="0080349A">
      <w:pPr>
        <w:spacing w:after="0" w:line="276" w:lineRule="auto"/>
        <w:ind w:left="0" w:right="0" w:firstLine="0"/>
        <w:rPr>
          <w:rFonts w:ascii="ITC Avant Garde" w:hAnsi="ITC Avant Garde"/>
          <w:lang w:val="es-ES"/>
        </w:rPr>
      </w:pPr>
    </w:p>
    <w:p w14:paraId="443D6E5E" w14:textId="00531CC6" w:rsidR="00541685" w:rsidRPr="003627B6" w:rsidRDefault="00541685" w:rsidP="0080349A">
      <w:pPr>
        <w:spacing w:after="0" w:line="276" w:lineRule="auto"/>
        <w:ind w:left="0" w:right="0" w:firstLine="0"/>
        <w:rPr>
          <w:rFonts w:ascii="ITC Avant Garde" w:hAnsi="ITC Avant Garde"/>
          <w:i/>
          <w:lang w:val="es-ES"/>
        </w:rPr>
      </w:pPr>
      <w:r w:rsidRPr="003627B6">
        <w:rPr>
          <w:rFonts w:ascii="ITC Avant Garde" w:hAnsi="ITC Avant Garde"/>
          <w:i/>
          <w:lang w:val="es-ES"/>
        </w:rPr>
        <w:t>Cálculo del costo de la deuda</w:t>
      </w:r>
    </w:p>
    <w:p w14:paraId="0CBFA830" w14:textId="77777777" w:rsidR="003627B6" w:rsidRDefault="003627B6" w:rsidP="0080349A">
      <w:pPr>
        <w:spacing w:after="0" w:line="276" w:lineRule="auto"/>
        <w:ind w:left="0" w:right="0" w:firstLine="0"/>
        <w:rPr>
          <w:rFonts w:ascii="ITC Avant Garde" w:hAnsi="ITC Avant Garde"/>
          <w:lang w:val="es-ES"/>
        </w:rPr>
      </w:pPr>
    </w:p>
    <w:p w14:paraId="4BC9C78F" w14:textId="5434E846" w:rsidR="003627B6" w:rsidRDefault="003627B6" w:rsidP="0080349A">
      <w:pPr>
        <w:spacing w:after="0" w:line="276" w:lineRule="auto"/>
        <w:ind w:left="0" w:right="0" w:firstLine="0"/>
        <w:rPr>
          <w:rFonts w:ascii="ITC Avant Garde" w:hAnsi="ITC Avant Garde"/>
          <w:lang w:val="es-ES"/>
        </w:rPr>
      </w:pPr>
      <w:r>
        <w:rPr>
          <w:rFonts w:ascii="ITC Avant Garde" w:hAnsi="ITC Avant Garde"/>
          <w:lang w:val="es-ES"/>
        </w:rPr>
        <w:t>Axtel</w:t>
      </w:r>
    </w:p>
    <w:p w14:paraId="02EAF9BE" w14:textId="77777777" w:rsidR="003627B6" w:rsidRDefault="003627B6" w:rsidP="0080349A">
      <w:pPr>
        <w:spacing w:after="0" w:line="276" w:lineRule="auto"/>
        <w:ind w:left="0" w:right="0" w:firstLine="0"/>
        <w:rPr>
          <w:rFonts w:ascii="ITC Avant Garde" w:hAnsi="ITC Avant Garde"/>
          <w:lang w:val="es-ES"/>
        </w:rPr>
      </w:pPr>
    </w:p>
    <w:p w14:paraId="03BFDDD3" w14:textId="6C243568" w:rsidR="00541685" w:rsidRDefault="00D5490D" w:rsidP="0080349A">
      <w:pPr>
        <w:spacing w:after="0" w:line="276" w:lineRule="auto"/>
        <w:ind w:left="0" w:right="0" w:firstLine="0"/>
        <w:rPr>
          <w:rFonts w:ascii="ITC Avant Garde" w:hAnsi="ITC Avant Garde"/>
          <w:lang w:val="es-ES"/>
        </w:rPr>
      </w:pPr>
      <w:r w:rsidRPr="58E23F00">
        <w:rPr>
          <w:rFonts w:ascii="ITC Avant Garde" w:hAnsi="ITC Avant Garde"/>
          <w:lang w:val="es-ES"/>
        </w:rPr>
        <w:t>Axtel</w:t>
      </w:r>
      <w:r w:rsidR="00541685" w:rsidRPr="58E23F00">
        <w:rPr>
          <w:rFonts w:ascii="ITC Avant Garde" w:hAnsi="ITC Avant Garde"/>
          <w:lang w:val="es-ES"/>
        </w:rPr>
        <w:t xml:space="preserve"> solicita que el </w:t>
      </w:r>
      <w:r w:rsidR="647786AF" w:rsidRPr="58E23F00">
        <w:rPr>
          <w:rFonts w:ascii="ITC Avant Garde" w:hAnsi="ITC Avant Garde"/>
          <w:lang w:val="es-ES"/>
        </w:rPr>
        <w:t>I</w:t>
      </w:r>
      <w:r w:rsidR="7A9D8A93"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 xml:space="preserve">simplifique la metodología actual para calcular el costo de la deuda. </w:t>
      </w:r>
      <w:r w:rsidR="00376355" w:rsidRPr="58E23F00">
        <w:rPr>
          <w:rFonts w:ascii="ITC Avant Garde" w:hAnsi="ITC Avant Garde"/>
          <w:lang w:val="es-ES"/>
        </w:rPr>
        <w:t xml:space="preserve"> </w:t>
      </w:r>
      <w:r w:rsidR="00541685" w:rsidRPr="58E23F00">
        <w:rPr>
          <w:rFonts w:ascii="ITC Avant Garde" w:hAnsi="ITC Avant Garde"/>
          <w:lang w:val="es-ES"/>
        </w:rPr>
        <w:t xml:space="preserve"> argumenta que por la parte de la tasa de retorno libre de riesgo se suman la tasa de retorno libre de riesgo de Estados Unidos y la prima de riesgo de México, y posteriormente estos dos parámetros se restan en el cálculo de la prima de riesgo de deuda. De esta manera, </w:t>
      </w:r>
      <w:r w:rsidRPr="58E23F00">
        <w:rPr>
          <w:rFonts w:ascii="ITC Avant Garde" w:hAnsi="ITC Avant Garde"/>
          <w:lang w:val="es-ES"/>
        </w:rPr>
        <w:t>Axtel</w:t>
      </w:r>
      <w:r w:rsidR="00541685" w:rsidRPr="58E23F00">
        <w:rPr>
          <w:rFonts w:ascii="ITC Avant Garde" w:hAnsi="ITC Avant Garde"/>
          <w:lang w:val="es-ES"/>
        </w:rPr>
        <w:t xml:space="preserve"> solicita que el costo de la deuda apunte directamente al cupón de los bonos corporativos.</w:t>
      </w:r>
    </w:p>
    <w:p w14:paraId="54B18813" w14:textId="77777777" w:rsidR="003627B6" w:rsidRPr="00541685" w:rsidRDefault="003627B6" w:rsidP="0080349A">
      <w:pPr>
        <w:spacing w:after="0" w:line="276" w:lineRule="auto"/>
        <w:ind w:left="0" w:right="0" w:firstLine="0"/>
        <w:rPr>
          <w:rFonts w:ascii="ITC Avant Garde" w:hAnsi="ITC Avant Garde"/>
          <w:lang w:val="es-ES"/>
        </w:rPr>
      </w:pPr>
    </w:p>
    <w:p w14:paraId="72AD9AAD" w14:textId="04A329BA" w:rsidR="00541685" w:rsidRDefault="00541685"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Por otro lado, </w:t>
      </w:r>
      <w:r w:rsidR="00D5490D" w:rsidRPr="58E23F00">
        <w:rPr>
          <w:rFonts w:ascii="ITC Avant Garde" w:hAnsi="ITC Avant Garde"/>
          <w:lang w:val="es-ES"/>
        </w:rPr>
        <w:t>Axtel</w:t>
      </w:r>
      <w:r w:rsidRPr="58E23F00">
        <w:rPr>
          <w:rFonts w:ascii="ITC Avant Garde" w:hAnsi="ITC Avant Garde"/>
          <w:lang w:val="es-ES"/>
        </w:rPr>
        <w:t xml:space="preserve"> solicita que el </w:t>
      </w:r>
      <w:r w:rsidR="647786AF" w:rsidRPr="58E23F00">
        <w:rPr>
          <w:rFonts w:ascii="ITC Avant Garde" w:hAnsi="ITC Avant Garde"/>
          <w:lang w:val="es-ES"/>
        </w:rPr>
        <w:t>I</w:t>
      </w:r>
      <w:r w:rsidR="7806F877" w:rsidRPr="58E23F00">
        <w:rPr>
          <w:rFonts w:ascii="ITC Avant Garde" w:hAnsi="ITC Avant Garde"/>
          <w:lang w:val="es-ES"/>
        </w:rPr>
        <w:t>nstituto</w:t>
      </w:r>
      <w:r w:rsidR="0AF39D56" w:rsidRPr="58E23F00">
        <w:rPr>
          <w:rFonts w:ascii="ITC Avant Garde" w:hAnsi="ITC Avant Garde"/>
          <w:lang w:val="es-ES"/>
        </w:rPr>
        <w:t xml:space="preserve"> </w:t>
      </w:r>
      <w:r w:rsidRPr="58E23F00">
        <w:rPr>
          <w:rFonts w:ascii="ITC Avant Garde" w:hAnsi="ITC Avant Garde"/>
          <w:lang w:val="es-ES"/>
        </w:rPr>
        <w:t>proporcione información sobre las fuentes y el periodo de referencia utilizado en el ejercicio asociado a los bonos corporativos de empresas mexicanas, con motivo de ofrecer mayor transparencia al procedimiento.</w:t>
      </w:r>
    </w:p>
    <w:p w14:paraId="0D6FF85E" w14:textId="02231DF2" w:rsidR="003627B6" w:rsidRDefault="003627B6" w:rsidP="0080349A">
      <w:pPr>
        <w:spacing w:after="0" w:line="276" w:lineRule="auto"/>
        <w:ind w:left="0" w:right="0" w:firstLine="0"/>
        <w:rPr>
          <w:rFonts w:ascii="ITC Avant Garde" w:hAnsi="ITC Avant Garde"/>
          <w:lang w:val="es-ES"/>
        </w:rPr>
      </w:pPr>
    </w:p>
    <w:p w14:paraId="7D033414" w14:textId="5086A110" w:rsidR="003627B6" w:rsidRDefault="003627B6" w:rsidP="003627B6">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2E1BF8C3" w14:textId="77777777" w:rsidR="003627B6" w:rsidRPr="00541685" w:rsidRDefault="003627B6" w:rsidP="0080349A">
      <w:pPr>
        <w:spacing w:after="0" w:line="276" w:lineRule="auto"/>
        <w:ind w:left="0" w:right="0" w:firstLine="0"/>
        <w:rPr>
          <w:rFonts w:ascii="ITC Avant Garde" w:hAnsi="ITC Avant Garde"/>
          <w:lang w:val="es-ES"/>
        </w:rPr>
      </w:pPr>
    </w:p>
    <w:p w14:paraId="0913D371" w14:textId="5279A4FC" w:rsidR="00541685" w:rsidRDefault="00541685"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El </w:t>
      </w:r>
      <w:r w:rsidR="647786AF" w:rsidRPr="58E23F00">
        <w:rPr>
          <w:rFonts w:ascii="ITC Avant Garde" w:hAnsi="ITC Avant Garde"/>
          <w:lang w:val="es-ES"/>
        </w:rPr>
        <w:t>I</w:t>
      </w:r>
      <w:r w:rsidR="6700C5F7" w:rsidRPr="58E23F00">
        <w:rPr>
          <w:rFonts w:ascii="ITC Avant Garde" w:hAnsi="ITC Avant Garde"/>
          <w:lang w:val="es-ES"/>
        </w:rPr>
        <w:t>nstituto</w:t>
      </w:r>
      <w:r w:rsidR="0AF39D56" w:rsidRPr="58E23F00">
        <w:rPr>
          <w:rFonts w:ascii="ITC Avant Garde" w:hAnsi="ITC Avant Garde"/>
          <w:lang w:val="es-ES"/>
        </w:rPr>
        <w:t xml:space="preserve"> </w:t>
      </w:r>
      <w:r w:rsidRPr="58E23F00">
        <w:rPr>
          <w:rFonts w:ascii="ITC Avant Garde" w:hAnsi="ITC Avant Garde"/>
          <w:lang w:val="es-ES"/>
        </w:rPr>
        <w:t xml:space="preserve">considera que la eliminación de la tasa de retorno libre de riesgo de Estados Unidos y la prima de riesgo de México como parte de las fórmulas para calcular la tasa de retorno libre de riesgo y la prima de riesgo de deuda resultaría en una simplificación que resta precisión al cálculo sin aportar valor añadido (más allá de simplificar el cálculo). Esto se debe a que el uso de ambos parámetros en cada una de las fórmulas es distinto y, por lo tanto, los insumos no se deben cancelar entre </w:t>
      </w:r>
      <w:r w:rsidR="003627B6" w:rsidRPr="58E23F00">
        <w:rPr>
          <w:rFonts w:ascii="ITC Avant Garde" w:hAnsi="ITC Avant Garde"/>
          <w:lang w:val="es-ES"/>
        </w:rPr>
        <w:t>sí</w:t>
      </w:r>
      <w:r w:rsidRPr="58E23F00">
        <w:rPr>
          <w:rFonts w:ascii="ITC Avant Garde" w:hAnsi="ITC Avant Garde"/>
          <w:lang w:val="es-ES"/>
        </w:rPr>
        <w:t>.</w:t>
      </w:r>
    </w:p>
    <w:p w14:paraId="1E999C66" w14:textId="77777777" w:rsidR="003627B6" w:rsidRPr="00541685" w:rsidRDefault="003627B6" w:rsidP="0080349A">
      <w:pPr>
        <w:spacing w:after="0" w:line="276" w:lineRule="auto"/>
        <w:ind w:left="0" w:right="0" w:firstLine="0"/>
        <w:rPr>
          <w:rFonts w:ascii="ITC Avant Garde" w:hAnsi="ITC Avant Garde"/>
          <w:lang w:val="es-ES"/>
        </w:rPr>
      </w:pPr>
    </w:p>
    <w:p w14:paraId="58A33B70" w14:textId="6845EFAD" w:rsidR="00541685" w:rsidRP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En cualquier caso, en respuesta a los comentarios de la consulta, se mejorará la clarificación de las fuentes en el documento del WACC revisado. A </w:t>
      </w:r>
      <w:r w:rsidR="003627B6" w:rsidRPr="00541685">
        <w:rPr>
          <w:rFonts w:ascii="ITC Avant Garde" w:hAnsi="ITC Avant Garde"/>
          <w:lang w:val="es-ES"/>
        </w:rPr>
        <w:t>continuación,</w:t>
      </w:r>
      <w:r w:rsidRPr="00541685">
        <w:rPr>
          <w:rFonts w:ascii="ITC Avant Garde" w:hAnsi="ITC Avant Garde"/>
          <w:lang w:val="es-ES"/>
        </w:rPr>
        <w:t xml:space="preserve"> </w:t>
      </w:r>
      <w:r w:rsidR="003627B6">
        <w:rPr>
          <w:rFonts w:ascii="ITC Avant Garde" w:hAnsi="ITC Avant Garde"/>
          <w:lang w:val="es-ES"/>
        </w:rPr>
        <w:t>se proporcionan</w:t>
      </w:r>
      <w:r w:rsidRPr="00541685">
        <w:rPr>
          <w:rFonts w:ascii="ITC Avant Garde" w:hAnsi="ITC Avant Garde"/>
          <w:lang w:val="es-ES"/>
        </w:rPr>
        <w:t xml:space="preserve"> algunas de estas clarificaciones:</w:t>
      </w:r>
    </w:p>
    <w:p w14:paraId="59F22161" w14:textId="77777777" w:rsidR="003627B6" w:rsidRDefault="003627B6" w:rsidP="0080349A">
      <w:pPr>
        <w:spacing w:after="0" w:line="276" w:lineRule="auto"/>
        <w:ind w:left="0" w:right="0" w:firstLine="0"/>
        <w:rPr>
          <w:rFonts w:ascii="ITC Avant Garde" w:hAnsi="ITC Avant Garde"/>
          <w:lang w:val="es-ES"/>
        </w:rPr>
      </w:pPr>
    </w:p>
    <w:p w14:paraId="092C2A08" w14:textId="5E08BF39"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Para el cálculo de la tasa de retorno libre de riesgo se toma el retorno de los bonos gubernamentales estadounidenses a 10 años, promediando de manera aritméti</w:t>
      </w:r>
      <w:r w:rsidR="003627B6">
        <w:rPr>
          <w:rFonts w:ascii="ITC Avant Garde" w:hAnsi="ITC Avant Garde"/>
          <w:lang w:val="es-ES"/>
        </w:rPr>
        <w:t>ca</w:t>
      </w:r>
      <w:r w:rsidR="008A4535">
        <w:rPr>
          <w:rFonts w:ascii="ITC Avant Garde" w:hAnsi="ITC Avant Garde"/>
          <w:lang w:val="es-ES"/>
        </w:rPr>
        <w:t xml:space="preserve"> </w:t>
      </w:r>
      <w:r w:rsidRPr="00541685">
        <w:rPr>
          <w:rFonts w:ascii="ITC Avant Garde" w:hAnsi="ITC Avant Garde"/>
          <w:lang w:val="es-ES"/>
        </w:rPr>
        <w:t>los retornos diarios de los últimos cinco años, y la prima de riesgo de México promediada también a cinco años.</w:t>
      </w:r>
    </w:p>
    <w:p w14:paraId="109CE5D2" w14:textId="77777777" w:rsidR="003627B6" w:rsidRPr="00541685" w:rsidRDefault="003627B6" w:rsidP="0080349A">
      <w:pPr>
        <w:spacing w:after="0" w:line="276" w:lineRule="auto"/>
        <w:ind w:left="0" w:right="0" w:firstLine="0"/>
        <w:rPr>
          <w:rFonts w:ascii="ITC Avant Garde" w:hAnsi="ITC Avant Garde"/>
          <w:lang w:val="es-ES"/>
        </w:rPr>
      </w:pPr>
    </w:p>
    <w:p w14:paraId="7E552F6C" w14:textId="11F34CF1" w:rsidR="00541685" w:rsidRP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Para la prima de riesgo de deuda, se obtiene el rendimiento del bono gubernamental estadounidense a 10 años en la fecha exacta de emisión de cada bono corporativo y la prima de riesgo de México en el año de emisión (al no </w:t>
      </w:r>
      <w:r w:rsidRPr="00541685">
        <w:rPr>
          <w:rFonts w:ascii="ITC Avant Garde" w:hAnsi="ITC Avant Garde"/>
          <w:lang w:val="es-ES"/>
        </w:rPr>
        <w:lastRenderedPageBreak/>
        <w:t>disponer de cifras diarias). De esta manera se calcula una prima de riesgo de deuda específi</w:t>
      </w:r>
      <w:r w:rsidR="003627B6">
        <w:rPr>
          <w:rFonts w:ascii="ITC Avant Garde" w:hAnsi="ITC Avant Garde"/>
          <w:lang w:val="es-ES"/>
        </w:rPr>
        <w:t>ca</w:t>
      </w:r>
      <w:r w:rsidR="008A4535">
        <w:rPr>
          <w:rFonts w:ascii="ITC Avant Garde" w:hAnsi="ITC Avant Garde"/>
          <w:lang w:val="es-ES"/>
        </w:rPr>
        <w:t xml:space="preserve"> </w:t>
      </w:r>
      <w:r w:rsidRPr="00541685">
        <w:rPr>
          <w:rFonts w:ascii="ITC Avant Garde" w:hAnsi="ITC Avant Garde"/>
          <w:lang w:val="es-ES"/>
        </w:rPr>
        <w:t>para cada bono corporativo, de la que se obtiene un promedio.</w:t>
      </w:r>
    </w:p>
    <w:p w14:paraId="25093D1E" w14:textId="5B1E5441"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La fuente por la que se han obtenido los bonos corporativos es ‘Refinitiv</w:t>
      </w:r>
      <w:r w:rsidR="00A12569">
        <w:rPr>
          <w:rFonts w:ascii="ITC Avant Garde" w:hAnsi="ITC Avant Garde"/>
          <w:lang w:val="es-ES"/>
        </w:rPr>
        <w:t>”</w:t>
      </w:r>
      <w:r w:rsidRPr="00541685">
        <w:rPr>
          <w:rFonts w:ascii="ITC Avant Garde" w:hAnsi="ITC Avant Garde"/>
          <w:lang w:val="es-ES"/>
        </w:rPr>
        <w:t>, la cual agrega de manera históri</w:t>
      </w:r>
      <w:r w:rsidR="003627B6">
        <w:rPr>
          <w:rFonts w:ascii="ITC Avant Garde" w:hAnsi="ITC Avant Garde"/>
          <w:lang w:val="es-ES"/>
        </w:rPr>
        <w:t>ca</w:t>
      </w:r>
      <w:r w:rsidR="008A4535">
        <w:rPr>
          <w:rFonts w:ascii="ITC Avant Garde" w:hAnsi="ITC Avant Garde"/>
          <w:lang w:val="es-ES"/>
        </w:rPr>
        <w:t xml:space="preserve"> </w:t>
      </w:r>
      <w:r w:rsidRPr="00541685">
        <w:rPr>
          <w:rFonts w:ascii="ITC Avant Garde" w:hAnsi="ITC Avant Garde"/>
          <w:lang w:val="es-ES"/>
        </w:rPr>
        <w:t>los bonos emitidos por corporaciones en México de fuentes públicas.</w:t>
      </w:r>
    </w:p>
    <w:p w14:paraId="35932AAA" w14:textId="77777777" w:rsidR="003627B6" w:rsidRPr="00541685" w:rsidRDefault="003627B6" w:rsidP="0080349A">
      <w:pPr>
        <w:spacing w:after="0" w:line="276" w:lineRule="auto"/>
        <w:ind w:left="0" w:right="0" w:firstLine="0"/>
        <w:rPr>
          <w:rFonts w:ascii="ITC Avant Garde" w:hAnsi="ITC Avant Garde"/>
          <w:lang w:val="es-ES"/>
        </w:rPr>
      </w:pPr>
    </w:p>
    <w:p w14:paraId="6E7A7D8A" w14:textId="77777777" w:rsidR="00541685" w:rsidRPr="003627B6" w:rsidRDefault="00541685" w:rsidP="0080349A">
      <w:pPr>
        <w:spacing w:after="0" w:line="276" w:lineRule="auto"/>
        <w:ind w:left="0" w:right="0" w:firstLine="0"/>
        <w:rPr>
          <w:rFonts w:ascii="ITC Avant Garde" w:hAnsi="ITC Avant Garde"/>
          <w:i/>
          <w:lang w:val="es-ES"/>
        </w:rPr>
      </w:pPr>
      <w:r w:rsidRPr="003627B6">
        <w:rPr>
          <w:rFonts w:ascii="ITC Avant Garde" w:hAnsi="ITC Avant Garde"/>
          <w:i/>
          <w:lang w:val="es-ES"/>
        </w:rPr>
        <w:t>Cálculo del WACC real a partir del WACC nominal</w:t>
      </w:r>
    </w:p>
    <w:p w14:paraId="32FBB6C2" w14:textId="04A49D8E" w:rsidR="003627B6" w:rsidRDefault="003627B6" w:rsidP="0080349A">
      <w:pPr>
        <w:spacing w:after="0" w:line="276" w:lineRule="auto"/>
        <w:ind w:left="0" w:right="0" w:firstLine="0"/>
        <w:rPr>
          <w:rFonts w:ascii="ITC Avant Garde" w:hAnsi="ITC Avant Garde"/>
          <w:lang w:val="es-ES"/>
        </w:rPr>
      </w:pPr>
    </w:p>
    <w:p w14:paraId="3A3D15AC" w14:textId="74962FA5" w:rsidR="003627B6" w:rsidRDefault="003627B6" w:rsidP="0080349A">
      <w:pPr>
        <w:spacing w:after="0" w:line="276" w:lineRule="auto"/>
        <w:ind w:left="0" w:right="0" w:firstLine="0"/>
        <w:rPr>
          <w:rFonts w:ascii="ITC Avant Garde" w:hAnsi="ITC Avant Garde"/>
          <w:lang w:val="es-ES"/>
        </w:rPr>
      </w:pPr>
      <w:r>
        <w:rPr>
          <w:rFonts w:ascii="ITC Avant Garde" w:hAnsi="ITC Avant Garde"/>
          <w:lang w:val="es-ES"/>
        </w:rPr>
        <w:t>Axtel</w:t>
      </w:r>
    </w:p>
    <w:p w14:paraId="57842C4E" w14:textId="77777777" w:rsidR="003627B6" w:rsidRDefault="003627B6" w:rsidP="0080349A">
      <w:pPr>
        <w:spacing w:after="0" w:line="276" w:lineRule="auto"/>
        <w:ind w:left="0" w:right="0" w:firstLine="0"/>
        <w:rPr>
          <w:rFonts w:ascii="ITC Avant Garde" w:hAnsi="ITC Avant Garde"/>
          <w:lang w:val="es-ES"/>
        </w:rPr>
      </w:pPr>
    </w:p>
    <w:p w14:paraId="6C2F0892" w14:textId="325433D4" w:rsidR="00541685" w:rsidRDefault="00D5490D" w:rsidP="0080349A">
      <w:pPr>
        <w:spacing w:after="0" w:line="276" w:lineRule="auto"/>
        <w:ind w:left="0" w:right="0" w:firstLine="0"/>
        <w:rPr>
          <w:rFonts w:ascii="ITC Avant Garde" w:hAnsi="ITC Avant Garde"/>
          <w:lang w:val="es-ES"/>
        </w:rPr>
      </w:pPr>
      <w:r w:rsidRPr="58E23F00">
        <w:rPr>
          <w:rFonts w:ascii="ITC Avant Garde" w:hAnsi="ITC Avant Garde"/>
          <w:lang w:val="es-ES"/>
        </w:rPr>
        <w:t>Axtel</w:t>
      </w:r>
      <w:r w:rsidR="00541685" w:rsidRPr="58E23F00">
        <w:rPr>
          <w:rFonts w:ascii="ITC Avant Garde" w:hAnsi="ITC Avant Garde"/>
          <w:lang w:val="es-ES"/>
        </w:rPr>
        <w:t xml:space="preserve"> solicita al </w:t>
      </w:r>
      <w:r w:rsidR="647786AF" w:rsidRPr="58E23F00">
        <w:rPr>
          <w:rFonts w:ascii="ITC Avant Garde" w:hAnsi="ITC Avant Garde"/>
          <w:lang w:val="es-ES"/>
        </w:rPr>
        <w:t>I</w:t>
      </w:r>
      <w:r w:rsidR="153DBFF2" w:rsidRPr="58E23F00">
        <w:rPr>
          <w:rFonts w:ascii="ITC Avant Garde" w:hAnsi="ITC Avant Garde"/>
          <w:lang w:val="es-ES"/>
        </w:rPr>
        <w:t>nstituto</w:t>
      </w:r>
      <w:r w:rsidR="0AF39D56" w:rsidRPr="58E23F00">
        <w:rPr>
          <w:rFonts w:ascii="ITC Avant Garde" w:hAnsi="ITC Avant Garde"/>
          <w:lang w:val="es-ES"/>
        </w:rPr>
        <w:t xml:space="preserve"> </w:t>
      </w:r>
      <w:r w:rsidR="00541685" w:rsidRPr="58E23F00">
        <w:rPr>
          <w:rFonts w:ascii="ITC Avant Garde" w:hAnsi="ITC Avant Garde"/>
          <w:lang w:val="es-ES"/>
        </w:rPr>
        <w:t>que no se aplique el ajuste inflacionario para transformar el WACC nominal en dólares americanos a un WACC nominal en pesos mexicanos, y presenta las siguientes objeciones al uso de esta metodología:</w:t>
      </w:r>
    </w:p>
    <w:p w14:paraId="002D9997" w14:textId="77777777" w:rsidR="003627B6" w:rsidRPr="00541685" w:rsidRDefault="003627B6" w:rsidP="0080349A">
      <w:pPr>
        <w:spacing w:after="0" w:line="276" w:lineRule="auto"/>
        <w:ind w:left="0" w:right="0" w:firstLine="0"/>
        <w:rPr>
          <w:rFonts w:ascii="ITC Avant Garde" w:hAnsi="ITC Avant Garde"/>
          <w:lang w:val="es-ES"/>
        </w:rPr>
      </w:pPr>
    </w:p>
    <w:p w14:paraId="1A3E0CBE" w14:textId="77777777" w:rsidR="003627B6" w:rsidRDefault="003627B6" w:rsidP="00F13207">
      <w:pPr>
        <w:pStyle w:val="Prrafodelista"/>
        <w:numPr>
          <w:ilvl w:val="0"/>
          <w:numId w:val="33"/>
        </w:numPr>
        <w:spacing w:after="0" w:line="276" w:lineRule="auto"/>
        <w:ind w:left="0" w:right="0" w:firstLine="0"/>
        <w:rPr>
          <w:rFonts w:ascii="ITC Avant Garde" w:hAnsi="ITC Avant Garde"/>
          <w:lang w:val="es-ES"/>
        </w:rPr>
      </w:pPr>
      <w:r w:rsidRPr="003627B6">
        <w:rPr>
          <w:rFonts w:ascii="ITC Avant Garde" w:hAnsi="ITC Avant Garde"/>
          <w:lang w:val="es-ES"/>
        </w:rPr>
        <w:t>L</w:t>
      </w:r>
      <w:r w:rsidR="00541685" w:rsidRPr="003627B6">
        <w:rPr>
          <w:rFonts w:ascii="ITC Avant Garde" w:hAnsi="ITC Avant Garde"/>
          <w:lang w:val="es-ES"/>
        </w:rPr>
        <w:t>a inflación no puede ser considerada como una forma adecuada de realizar conversiones entre monedas</w:t>
      </w:r>
    </w:p>
    <w:p w14:paraId="28F80BE2" w14:textId="77777777" w:rsidR="003627B6" w:rsidRDefault="003627B6" w:rsidP="00F13207">
      <w:pPr>
        <w:pStyle w:val="Prrafodelista"/>
        <w:numPr>
          <w:ilvl w:val="0"/>
          <w:numId w:val="33"/>
        </w:numPr>
        <w:spacing w:after="0" w:line="276" w:lineRule="auto"/>
        <w:ind w:left="0" w:right="0" w:firstLine="0"/>
        <w:rPr>
          <w:rFonts w:ascii="ITC Avant Garde" w:hAnsi="ITC Avant Garde"/>
          <w:lang w:val="es-ES"/>
        </w:rPr>
      </w:pPr>
      <w:r w:rsidRPr="003627B6">
        <w:rPr>
          <w:rFonts w:ascii="ITC Avant Garde" w:hAnsi="ITC Avant Garde"/>
          <w:lang w:val="es-ES"/>
        </w:rPr>
        <w:t>L</w:t>
      </w:r>
      <w:r w:rsidR="00541685" w:rsidRPr="003627B6">
        <w:rPr>
          <w:rFonts w:ascii="ITC Avant Garde" w:hAnsi="ITC Avant Garde"/>
          <w:lang w:val="es-ES"/>
        </w:rPr>
        <w:t>a inflación se considera en la determinación de la prima de riesgo país y, por lo tanto, al aplicar el ajuste se estaría teniendo en cuenta el factor de la inflación dos veces</w:t>
      </w:r>
    </w:p>
    <w:p w14:paraId="4CABFB0F" w14:textId="77777777" w:rsidR="003627B6" w:rsidRDefault="003627B6" w:rsidP="00F13207">
      <w:pPr>
        <w:pStyle w:val="Prrafodelista"/>
        <w:numPr>
          <w:ilvl w:val="0"/>
          <w:numId w:val="33"/>
        </w:numPr>
        <w:spacing w:after="0" w:line="276" w:lineRule="auto"/>
        <w:ind w:left="0" w:right="0" w:firstLine="0"/>
        <w:rPr>
          <w:rFonts w:ascii="ITC Avant Garde" w:hAnsi="ITC Avant Garde"/>
          <w:lang w:val="es-ES"/>
        </w:rPr>
      </w:pPr>
      <w:r w:rsidRPr="003627B6">
        <w:rPr>
          <w:rFonts w:ascii="ITC Avant Garde" w:hAnsi="ITC Avant Garde"/>
          <w:lang w:val="es-ES"/>
        </w:rPr>
        <w:t>E</w:t>
      </w:r>
      <w:r w:rsidR="00541685" w:rsidRPr="003627B6">
        <w:rPr>
          <w:rFonts w:ascii="ITC Avant Garde" w:hAnsi="ITC Avant Garde"/>
          <w:lang w:val="es-ES"/>
        </w:rPr>
        <w:t xml:space="preserve">n el modelo de enlaces dedicados, parte de las inversiones de los </w:t>
      </w:r>
      <w:r w:rsidR="00A94546" w:rsidRPr="003627B6">
        <w:rPr>
          <w:rFonts w:ascii="ITC Avant Garde" w:hAnsi="ITC Avant Garde"/>
          <w:lang w:val="es-ES"/>
        </w:rPr>
        <w:t>concesionarios</w:t>
      </w:r>
      <w:r w:rsidR="00541685" w:rsidRPr="003627B6">
        <w:rPr>
          <w:rFonts w:ascii="ITC Avant Garde" w:hAnsi="ITC Avant Garde"/>
          <w:lang w:val="es-ES"/>
        </w:rPr>
        <w:t xml:space="preserve"> se efectúan en dólares americanos</w:t>
      </w:r>
    </w:p>
    <w:p w14:paraId="66034483" w14:textId="6FDF2B10" w:rsidR="00541685" w:rsidRDefault="003627B6" w:rsidP="00F13207">
      <w:pPr>
        <w:pStyle w:val="Prrafodelista"/>
        <w:numPr>
          <w:ilvl w:val="0"/>
          <w:numId w:val="33"/>
        </w:numPr>
        <w:spacing w:after="0" w:line="276" w:lineRule="auto"/>
        <w:ind w:left="0" w:right="0" w:firstLine="0"/>
        <w:rPr>
          <w:rFonts w:ascii="ITC Avant Garde" w:hAnsi="ITC Avant Garde"/>
          <w:lang w:val="es-ES"/>
        </w:rPr>
      </w:pPr>
      <w:r>
        <w:rPr>
          <w:rFonts w:ascii="ITC Avant Garde" w:hAnsi="ITC Avant Garde"/>
          <w:lang w:val="es-ES"/>
        </w:rPr>
        <w:t>L</w:t>
      </w:r>
      <w:r w:rsidR="00541685" w:rsidRPr="003627B6">
        <w:rPr>
          <w:rFonts w:ascii="ITC Avant Garde" w:hAnsi="ITC Avant Garde"/>
          <w:lang w:val="es-ES"/>
        </w:rPr>
        <w:t>a metodología propuesta no es habitual en la prácti</w:t>
      </w:r>
      <w:r>
        <w:rPr>
          <w:rFonts w:ascii="ITC Avant Garde" w:hAnsi="ITC Avant Garde"/>
          <w:lang w:val="es-ES"/>
        </w:rPr>
        <w:t>ca</w:t>
      </w:r>
      <w:r w:rsidR="008A4535" w:rsidRPr="003627B6">
        <w:rPr>
          <w:rFonts w:ascii="ITC Avant Garde" w:hAnsi="ITC Avant Garde"/>
          <w:lang w:val="es-ES"/>
        </w:rPr>
        <w:t xml:space="preserve"> </w:t>
      </w:r>
      <w:r w:rsidR="00541685" w:rsidRPr="003627B6">
        <w:rPr>
          <w:rFonts w:ascii="ITC Avant Garde" w:hAnsi="ITC Avant Garde"/>
          <w:lang w:val="es-ES"/>
        </w:rPr>
        <w:t>internacional.</w:t>
      </w:r>
    </w:p>
    <w:p w14:paraId="5F83F820" w14:textId="0B5693A4" w:rsidR="003627B6" w:rsidRDefault="003627B6" w:rsidP="003627B6">
      <w:pPr>
        <w:spacing w:after="0" w:line="276" w:lineRule="auto"/>
        <w:ind w:right="0"/>
        <w:rPr>
          <w:rFonts w:ascii="ITC Avant Garde" w:hAnsi="ITC Avant Garde"/>
          <w:lang w:val="es-ES"/>
        </w:rPr>
      </w:pPr>
    </w:p>
    <w:p w14:paraId="7E4824E5" w14:textId="005B6632" w:rsidR="003627B6" w:rsidRDefault="003627B6" w:rsidP="003627B6">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1FDD641E" w14:textId="77777777" w:rsidR="003627B6" w:rsidRPr="003627B6" w:rsidRDefault="003627B6" w:rsidP="003627B6">
      <w:pPr>
        <w:spacing w:after="0" w:line="276" w:lineRule="auto"/>
        <w:ind w:right="0"/>
        <w:rPr>
          <w:rFonts w:ascii="ITC Avant Garde" w:hAnsi="ITC Avant Garde"/>
          <w:lang w:val="es-ES"/>
        </w:rPr>
      </w:pPr>
    </w:p>
    <w:p w14:paraId="266839FF" w14:textId="4CE074CF" w:rsidR="00541685" w:rsidRDefault="00541685" w:rsidP="0080349A">
      <w:pPr>
        <w:spacing w:after="0" w:line="276" w:lineRule="auto"/>
        <w:ind w:left="0" w:right="0" w:firstLine="0"/>
        <w:rPr>
          <w:rFonts w:ascii="ITC Avant Garde" w:hAnsi="ITC Avant Garde"/>
          <w:lang w:val="es-ES"/>
        </w:rPr>
      </w:pPr>
      <w:r w:rsidRPr="396F05DF">
        <w:rPr>
          <w:rFonts w:ascii="ITC Avant Garde" w:hAnsi="ITC Avant Garde"/>
          <w:lang w:val="es-ES"/>
        </w:rPr>
        <w:t xml:space="preserve">El </w:t>
      </w:r>
      <w:r w:rsidR="647786AF" w:rsidRPr="396F05DF">
        <w:rPr>
          <w:rFonts w:ascii="ITC Avant Garde" w:hAnsi="ITC Avant Garde"/>
          <w:lang w:val="es-ES"/>
        </w:rPr>
        <w:t>I</w:t>
      </w:r>
      <w:r w:rsidR="0677BC90" w:rsidRPr="396F05DF">
        <w:rPr>
          <w:rFonts w:ascii="ITC Avant Garde" w:hAnsi="ITC Avant Garde"/>
          <w:lang w:val="es-ES"/>
        </w:rPr>
        <w:t>nstituto</w:t>
      </w:r>
      <w:r w:rsidR="0AF39D56" w:rsidRPr="396F05DF">
        <w:rPr>
          <w:rFonts w:ascii="ITC Avant Garde" w:hAnsi="ITC Avant Garde"/>
          <w:lang w:val="es-ES"/>
        </w:rPr>
        <w:t xml:space="preserve"> </w:t>
      </w:r>
      <w:r w:rsidRPr="396F05DF">
        <w:rPr>
          <w:rFonts w:ascii="ITC Avant Garde" w:hAnsi="ITC Avant Garde"/>
          <w:lang w:val="es-ES"/>
        </w:rPr>
        <w:t>desea recalcar que en cada modelo de costos se utiliza el WACC que corresponde, en función de la moneda de referencia y tratamiento de la inflación, considerando la divisa en la que se llevan a cabo las distintas inversiones. Adicionalmente, cabe destacar que la utilización de la inflación para transformar un WACC de una divisa a otra es un método reconocido por la literatura como el ‘efecto Fisher internacional</w:t>
      </w:r>
      <w:r w:rsidR="00A12569" w:rsidRPr="396F05DF">
        <w:rPr>
          <w:rFonts w:ascii="ITC Avant Garde" w:hAnsi="ITC Avant Garde"/>
          <w:lang w:val="es-ES"/>
        </w:rPr>
        <w:t>”</w:t>
      </w:r>
      <w:r w:rsidRPr="396F05DF">
        <w:rPr>
          <w:rFonts w:ascii="ITC Avant Garde" w:hAnsi="ITC Avant Garde"/>
          <w:lang w:val="es-ES"/>
        </w:rPr>
        <w:t xml:space="preserve">.  Asimismo, este método se utiliza en otros mercados, como </w:t>
      </w:r>
      <w:r w:rsidR="3A94B4EF" w:rsidRPr="396F05DF">
        <w:rPr>
          <w:rFonts w:ascii="ITC Avant Garde" w:hAnsi="ITC Avant Garde"/>
          <w:lang w:val="es-ES"/>
        </w:rPr>
        <w:t>Colombia</w:t>
      </w:r>
      <w:r w:rsidR="003E5CFC">
        <w:rPr>
          <w:rStyle w:val="Refdenotaalpie"/>
          <w:rFonts w:ascii="ITC Avant Garde" w:hAnsi="ITC Avant Garde"/>
          <w:lang w:val="es-ES"/>
        </w:rPr>
        <w:footnoteReference w:id="2"/>
      </w:r>
      <w:r w:rsidRPr="396F05DF">
        <w:rPr>
          <w:rFonts w:ascii="ITC Avant Garde" w:hAnsi="ITC Avant Garde"/>
          <w:lang w:val="es-ES"/>
        </w:rPr>
        <w:t xml:space="preserve">, donde la mayoría de las inversiones también se realizan en dólares americanos, </w:t>
      </w:r>
      <w:r w:rsidR="003627B6" w:rsidRPr="396F05DF">
        <w:rPr>
          <w:rFonts w:ascii="ITC Avant Garde" w:hAnsi="ITC Avant Garde"/>
          <w:lang w:val="es-ES"/>
        </w:rPr>
        <w:t>así</w:t>
      </w:r>
      <w:r w:rsidRPr="396F05DF">
        <w:rPr>
          <w:rFonts w:ascii="ITC Avant Garde" w:hAnsi="ITC Avant Garde"/>
          <w:lang w:val="es-ES"/>
        </w:rPr>
        <w:t xml:space="preserve"> como por el Profesor Damodaran en su análisis del costo de capital en mercados emergentes. </w:t>
      </w:r>
    </w:p>
    <w:p w14:paraId="47120089" w14:textId="77777777" w:rsidR="003627B6" w:rsidRPr="00541685" w:rsidRDefault="003627B6" w:rsidP="0080349A">
      <w:pPr>
        <w:spacing w:after="0" w:line="276" w:lineRule="auto"/>
        <w:ind w:left="0" w:right="0" w:firstLine="0"/>
        <w:rPr>
          <w:rFonts w:ascii="ITC Avant Garde" w:hAnsi="ITC Avant Garde"/>
          <w:lang w:val="es-ES"/>
        </w:rPr>
      </w:pPr>
    </w:p>
    <w:p w14:paraId="0785AE67" w14:textId="77777777" w:rsidR="00541685" w:rsidRPr="003627B6" w:rsidRDefault="00541685" w:rsidP="0080349A">
      <w:pPr>
        <w:spacing w:after="0" w:line="276" w:lineRule="auto"/>
        <w:ind w:left="0" w:right="0" w:firstLine="0"/>
        <w:rPr>
          <w:rFonts w:ascii="ITC Avant Garde" w:hAnsi="ITC Avant Garde"/>
          <w:b/>
          <w:u w:val="single"/>
          <w:lang w:val="es-ES"/>
        </w:rPr>
      </w:pPr>
      <w:r w:rsidRPr="003627B6">
        <w:rPr>
          <w:rFonts w:ascii="ITC Avant Garde" w:hAnsi="ITC Avant Garde"/>
          <w:b/>
          <w:u w:val="single"/>
          <w:lang w:val="es-ES"/>
        </w:rPr>
        <w:t>Comentarios sobre los parámetros de cálculo</w:t>
      </w:r>
    </w:p>
    <w:p w14:paraId="7FD2861A" w14:textId="77777777" w:rsidR="003627B6" w:rsidRDefault="003627B6" w:rsidP="0080349A">
      <w:pPr>
        <w:spacing w:after="0" w:line="276" w:lineRule="auto"/>
        <w:ind w:left="0" w:right="0" w:firstLine="0"/>
        <w:rPr>
          <w:rFonts w:ascii="ITC Avant Garde" w:hAnsi="ITC Avant Garde"/>
          <w:lang w:val="es-ES"/>
        </w:rPr>
      </w:pPr>
    </w:p>
    <w:p w14:paraId="2E8052D3" w14:textId="18AB546D" w:rsidR="00541685" w:rsidRPr="003627B6" w:rsidRDefault="00541685" w:rsidP="0080349A">
      <w:pPr>
        <w:spacing w:after="0" w:line="276" w:lineRule="auto"/>
        <w:ind w:left="0" w:right="0" w:firstLine="0"/>
        <w:rPr>
          <w:rFonts w:ascii="ITC Avant Garde" w:hAnsi="ITC Avant Garde"/>
          <w:i/>
          <w:lang w:val="es-ES"/>
        </w:rPr>
      </w:pPr>
      <w:r w:rsidRPr="003627B6">
        <w:rPr>
          <w:rFonts w:ascii="ITC Avant Garde" w:hAnsi="ITC Avant Garde"/>
          <w:i/>
          <w:lang w:val="es-ES"/>
        </w:rPr>
        <w:t>Muestra de empresas comparables</w:t>
      </w:r>
    </w:p>
    <w:p w14:paraId="34E4E009" w14:textId="67F30E05" w:rsidR="003627B6" w:rsidRDefault="003627B6" w:rsidP="0080349A">
      <w:pPr>
        <w:spacing w:after="0" w:line="276" w:lineRule="auto"/>
        <w:ind w:left="0" w:right="0" w:firstLine="0"/>
        <w:rPr>
          <w:rFonts w:ascii="ITC Avant Garde" w:hAnsi="ITC Avant Garde"/>
          <w:lang w:val="es-ES"/>
        </w:rPr>
      </w:pPr>
    </w:p>
    <w:p w14:paraId="2BB44CC9" w14:textId="4E42397E" w:rsidR="003627B6" w:rsidRDefault="003627B6" w:rsidP="0080349A">
      <w:pPr>
        <w:spacing w:after="0" w:line="276" w:lineRule="auto"/>
        <w:ind w:left="0" w:right="0" w:firstLine="0"/>
        <w:rPr>
          <w:rFonts w:ascii="ITC Avant Garde" w:hAnsi="ITC Avant Garde"/>
          <w:lang w:val="es-ES"/>
        </w:rPr>
      </w:pPr>
      <w:r>
        <w:rPr>
          <w:rFonts w:ascii="ITC Avant Garde" w:hAnsi="ITC Avant Garde"/>
          <w:lang w:val="es-ES"/>
        </w:rPr>
        <w:t>Mega Cable y AT&amp;T</w:t>
      </w:r>
    </w:p>
    <w:p w14:paraId="78F8481A" w14:textId="77777777" w:rsidR="003627B6" w:rsidRDefault="003627B6" w:rsidP="0080349A">
      <w:pPr>
        <w:spacing w:after="0" w:line="276" w:lineRule="auto"/>
        <w:ind w:left="0" w:right="0" w:firstLine="0"/>
        <w:rPr>
          <w:rFonts w:ascii="ITC Avant Garde" w:hAnsi="ITC Avant Garde"/>
          <w:lang w:val="es-ES"/>
        </w:rPr>
      </w:pPr>
    </w:p>
    <w:p w14:paraId="0BF64558" w14:textId="5DA46A78" w:rsidR="00541685" w:rsidRDefault="00376355" w:rsidP="0080349A">
      <w:pPr>
        <w:spacing w:after="0" w:line="276" w:lineRule="auto"/>
        <w:ind w:left="0" w:right="0" w:firstLine="0"/>
        <w:rPr>
          <w:rFonts w:ascii="ITC Avant Garde" w:hAnsi="ITC Avant Garde"/>
          <w:lang w:val="es-ES"/>
        </w:rPr>
      </w:pPr>
      <w:r>
        <w:rPr>
          <w:rFonts w:ascii="ITC Avant Garde" w:hAnsi="ITC Avant Garde"/>
          <w:lang w:val="es-ES"/>
        </w:rPr>
        <w:t>Mega Cable</w:t>
      </w:r>
      <w:r w:rsidR="00541685" w:rsidRPr="00541685">
        <w:rPr>
          <w:rFonts w:ascii="ITC Avant Garde" w:hAnsi="ITC Avant Garde"/>
          <w:lang w:val="es-ES"/>
        </w:rPr>
        <w:t xml:space="preserve"> ha señalado que no deberían considerarse empresas extranjeras para la muestra del cálculo de la beta y los niveles de apalancamiento, argumentando que estas operan en países con diferentes normativas y regulaciones en sus mercados financieros, sistemas tributarios y en el sector de telecomunicaciones. Por el contrario, </w:t>
      </w:r>
      <w:r w:rsidR="00A77155">
        <w:rPr>
          <w:rFonts w:ascii="ITC Avant Garde" w:hAnsi="ITC Avant Garde"/>
          <w:lang w:val="es-ES"/>
        </w:rPr>
        <w:t>AT&amp;T</w:t>
      </w:r>
      <w:r w:rsidR="00541685" w:rsidRPr="00541685">
        <w:rPr>
          <w:rFonts w:ascii="ITC Avant Garde" w:hAnsi="ITC Avant Garde"/>
          <w:lang w:val="es-ES"/>
        </w:rPr>
        <w:t xml:space="preserve"> muestra su satisfacción ante el cambio metodológico llevado a cabo por el IFT, por el que se ha reducido la muestra de empresas siguiendo unos criterios de selección respaldados por la prácti</w:t>
      </w:r>
      <w:r w:rsidR="003627B6">
        <w:rPr>
          <w:rFonts w:ascii="ITC Avant Garde" w:hAnsi="ITC Avant Garde"/>
          <w:lang w:val="es-ES"/>
        </w:rPr>
        <w:t>ca</w:t>
      </w:r>
      <w:r w:rsidR="008A4535">
        <w:rPr>
          <w:rFonts w:ascii="ITC Avant Garde" w:hAnsi="ITC Avant Garde"/>
          <w:lang w:val="es-ES"/>
        </w:rPr>
        <w:t xml:space="preserve"> </w:t>
      </w:r>
      <w:r w:rsidR="00541685" w:rsidRPr="00541685">
        <w:rPr>
          <w:rFonts w:ascii="ITC Avant Garde" w:hAnsi="ITC Avant Garde"/>
          <w:lang w:val="es-ES"/>
        </w:rPr>
        <w:t>internacional.</w:t>
      </w:r>
    </w:p>
    <w:p w14:paraId="07956A52" w14:textId="77777777" w:rsidR="003627B6" w:rsidRPr="00541685" w:rsidRDefault="003627B6" w:rsidP="0080349A">
      <w:pPr>
        <w:spacing w:after="0" w:line="276" w:lineRule="auto"/>
        <w:ind w:left="0" w:right="0" w:firstLine="0"/>
        <w:rPr>
          <w:rFonts w:ascii="ITC Avant Garde" w:hAnsi="ITC Avant Garde"/>
          <w:lang w:val="es-ES"/>
        </w:rPr>
      </w:pPr>
    </w:p>
    <w:p w14:paraId="01CEE889" w14:textId="4A538661"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Por otro lado,</w:t>
      </w:r>
      <w:r w:rsidR="003627B6">
        <w:rPr>
          <w:rFonts w:ascii="ITC Avant Garde" w:hAnsi="ITC Avant Garde"/>
          <w:lang w:val="es-ES"/>
        </w:rPr>
        <w:t xml:space="preserve"> </w:t>
      </w:r>
      <w:r w:rsidR="00376355">
        <w:rPr>
          <w:rFonts w:ascii="ITC Avant Garde" w:hAnsi="ITC Avant Garde"/>
          <w:lang w:val="es-ES"/>
        </w:rPr>
        <w:t>Mega Cable</w:t>
      </w:r>
      <w:r w:rsidRPr="00541685">
        <w:rPr>
          <w:rFonts w:ascii="ITC Avant Garde" w:hAnsi="ITC Avant Garde"/>
          <w:lang w:val="es-ES"/>
        </w:rPr>
        <w:t xml:space="preserve"> resalta la importancia de que el hecho de que unos </w:t>
      </w:r>
      <w:r w:rsidR="00A94546">
        <w:rPr>
          <w:rFonts w:ascii="ITC Avant Garde" w:hAnsi="ITC Avant Garde"/>
          <w:lang w:val="es-ES"/>
        </w:rPr>
        <w:t>concesionarios</w:t>
      </w:r>
      <w:r w:rsidRPr="00541685">
        <w:rPr>
          <w:rFonts w:ascii="ITC Avant Garde" w:hAnsi="ITC Avant Garde"/>
          <w:lang w:val="es-ES"/>
        </w:rPr>
        <w:t xml:space="preserve"> puedan tener actividades predominantemente móviles, fijas o híbridas no influya de manera equivo</w:t>
      </w:r>
      <w:r w:rsidR="003627B6">
        <w:rPr>
          <w:rFonts w:ascii="ITC Avant Garde" w:hAnsi="ITC Avant Garde"/>
          <w:lang w:val="es-ES"/>
        </w:rPr>
        <w:t>ca</w:t>
      </w:r>
      <w:r w:rsidR="008A4535">
        <w:rPr>
          <w:rFonts w:ascii="ITC Avant Garde" w:hAnsi="ITC Avant Garde"/>
          <w:lang w:val="es-ES"/>
        </w:rPr>
        <w:t xml:space="preserve"> </w:t>
      </w:r>
      <w:r w:rsidRPr="00541685">
        <w:rPr>
          <w:rFonts w:ascii="ITC Avant Garde" w:hAnsi="ITC Avant Garde"/>
          <w:lang w:val="es-ES"/>
        </w:rPr>
        <w:t>sobre el cálculo del WACC.</w:t>
      </w:r>
    </w:p>
    <w:p w14:paraId="015707CA" w14:textId="4CBD6359" w:rsidR="003627B6" w:rsidRDefault="003627B6" w:rsidP="0080349A">
      <w:pPr>
        <w:spacing w:after="0" w:line="276" w:lineRule="auto"/>
        <w:ind w:left="0" w:right="0" w:firstLine="0"/>
        <w:rPr>
          <w:rFonts w:ascii="ITC Avant Garde" w:hAnsi="ITC Avant Garde"/>
          <w:lang w:val="es-ES"/>
        </w:rPr>
      </w:pPr>
    </w:p>
    <w:p w14:paraId="455881FA" w14:textId="37BCED62" w:rsidR="003627B6" w:rsidRDefault="003627B6" w:rsidP="003627B6">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629D6F22" w14:textId="77777777" w:rsidR="003627B6" w:rsidRPr="00541685" w:rsidRDefault="003627B6" w:rsidP="0080349A">
      <w:pPr>
        <w:spacing w:after="0" w:line="276" w:lineRule="auto"/>
        <w:ind w:left="0" w:right="0" w:firstLine="0"/>
        <w:rPr>
          <w:rFonts w:ascii="ITC Avant Garde" w:hAnsi="ITC Avant Garde"/>
          <w:lang w:val="es-ES"/>
        </w:rPr>
      </w:pPr>
    </w:p>
    <w:p w14:paraId="79BB7FA5" w14:textId="7FC46278"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En el desarrollo de los modelos de costos sometidos a consulta se revisaron de manera exhaustiva los criterios que debían cumplir las empresas para ser consideradas como comparables. Estos criterios se basan en las mejores prácticas internacionales y tienen como objetivo mejorar la precisión y relevancia de la beta y el apalancamiento considerado en el cálculo del WACC.</w:t>
      </w:r>
    </w:p>
    <w:p w14:paraId="2C029BDE" w14:textId="77777777" w:rsidR="003627B6" w:rsidRPr="00541685" w:rsidRDefault="003627B6" w:rsidP="0080349A">
      <w:pPr>
        <w:spacing w:after="0" w:line="276" w:lineRule="auto"/>
        <w:ind w:left="0" w:right="0" w:firstLine="0"/>
        <w:rPr>
          <w:rFonts w:ascii="ITC Avant Garde" w:hAnsi="ITC Avant Garde"/>
          <w:lang w:val="es-ES"/>
        </w:rPr>
      </w:pPr>
    </w:p>
    <w:p w14:paraId="291CDFC5" w14:textId="7B225A4D" w:rsidR="00541685" w:rsidRDefault="00856A78" w:rsidP="0080349A">
      <w:pPr>
        <w:spacing w:after="0" w:line="276" w:lineRule="auto"/>
        <w:ind w:left="0" w:right="0" w:firstLine="0"/>
        <w:rPr>
          <w:rFonts w:ascii="ITC Avant Garde" w:hAnsi="ITC Avant Garde"/>
          <w:lang w:val="es-ES"/>
        </w:rPr>
      </w:pPr>
      <w:r>
        <w:rPr>
          <w:rFonts w:ascii="ITC Avant Garde" w:hAnsi="ITC Avant Garde"/>
          <w:lang w:val="es-ES"/>
        </w:rPr>
        <w:t>Se considera</w:t>
      </w:r>
      <w:r w:rsidR="00541685" w:rsidRPr="00541685">
        <w:rPr>
          <w:rFonts w:ascii="ITC Avant Garde" w:hAnsi="ITC Avant Garde"/>
          <w:lang w:val="es-ES"/>
        </w:rPr>
        <w:t xml:space="preserve">, por tanto, que, tras la aplicación de estos criterios, el listado de </w:t>
      </w:r>
      <w:r w:rsidR="00A94546">
        <w:rPr>
          <w:rFonts w:ascii="ITC Avant Garde" w:hAnsi="ITC Avant Garde"/>
          <w:lang w:val="es-ES"/>
        </w:rPr>
        <w:t>concesionarios</w:t>
      </w:r>
      <w:r w:rsidR="00541685" w:rsidRPr="00541685">
        <w:rPr>
          <w:rFonts w:ascii="ITC Avant Garde" w:hAnsi="ITC Avant Garde"/>
          <w:lang w:val="es-ES"/>
        </w:rPr>
        <w:t xml:space="preserve"> seleccionados es totalmente comparable a efectos de calcular la beta y los niveles de apalancamiento. Al respecto, cabe </w:t>
      </w:r>
      <w:r w:rsidR="00A77155">
        <w:rPr>
          <w:rFonts w:ascii="ITC Avant Garde" w:hAnsi="ITC Avant Garde"/>
          <w:lang w:val="es-ES"/>
        </w:rPr>
        <w:t>destacar</w:t>
      </w:r>
      <w:r w:rsidR="00541685" w:rsidRPr="00541685">
        <w:rPr>
          <w:rFonts w:ascii="ITC Avant Garde" w:hAnsi="ITC Avant Garde"/>
          <w:lang w:val="es-ES"/>
        </w:rPr>
        <w:t xml:space="preserve"> que otros reguladores europeos toman también una comparativa internacional para realizar la estimación de estos parámetros.</w:t>
      </w:r>
    </w:p>
    <w:p w14:paraId="6FEF4730" w14:textId="77777777" w:rsidR="003627B6" w:rsidRPr="00541685" w:rsidRDefault="003627B6" w:rsidP="0080349A">
      <w:pPr>
        <w:spacing w:after="0" w:line="276" w:lineRule="auto"/>
        <w:ind w:left="0" w:right="0" w:firstLine="0"/>
        <w:rPr>
          <w:rFonts w:ascii="ITC Avant Garde" w:hAnsi="ITC Avant Garde"/>
          <w:lang w:val="es-ES"/>
        </w:rPr>
      </w:pPr>
    </w:p>
    <w:p w14:paraId="53C158AA" w14:textId="5B354020"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Asimismo, con motivo de maximizar la precisión de la beta y el apalancamiento, se llevó a cabo un análisis de los </w:t>
      </w:r>
      <w:r w:rsidR="00A94546">
        <w:rPr>
          <w:rFonts w:ascii="ITC Avant Garde" w:hAnsi="ITC Avant Garde"/>
          <w:lang w:val="es-ES"/>
        </w:rPr>
        <w:t>concesionarios</w:t>
      </w:r>
      <w:r w:rsidRPr="00541685">
        <w:rPr>
          <w:rFonts w:ascii="ITC Avant Garde" w:hAnsi="ITC Avant Garde"/>
          <w:lang w:val="es-ES"/>
        </w:rPr>
        <w:t xml:space="preserve"> comparables para categorizarlos como </w:t>
      </w:r>
      <w:r w:rsidR="00A94546">
        <w:rPr>
          <w:rFonts w:ascii="ITC Avant Garde" w:hAnsi="ITC Avant Garde"/>
          <w:lang w:val="es-ES"/>
        </w:rPr>
        <w:t>concesionarios</w:t>
      </w:r>
      <w:r w:rsidRPr="00541685">
        <w:rPr>
          <w:rFonts w:ascii="ITC Avant Garde" w:hAnsi="ITC Avant Garde"/>
          <w:lang w:val="es-ES"/>
        </w:rPr>
        <w:t xml:space="preserve"> ‘predominantemente móviles</w:t>
      </w:r>
      <w:r w:rsidR="00A12569">
        <w:rPr>
          <w:rFonts w:ascii="ITC Avant Garde" w:hAnsi="ITC Avant Garde"/>
          <w:lang w:val="es-ES"/>
        </w:rPr>
        <w:t>”</w:t>
      </w:r>
      <w:r w:rsidRPr="00541685">
        <w:rPr>
          <w:rFonts w:ascii="ITC Avant Garde" w:hAnsi="ITC Avant Garde"/>
          <w:lang w:val="es-ES"/>
        </w:rPr>
        <w:t>, ‘predominantemente fijos</w:t>
      </w:r>
      <w:r w:rsidR="00A12569">
        <w:rPr>
          <w:rFonts w:ascii="ITC Avant Garde" w:hAnsi="ITC Avant Garde"/>
          <w:lang w:val="es-ES"/>
        </w:rPr>
        <w:t>”</w:t>
      </w:r>
      <w:r w:rsidRPr="00541685">
        <w:rPr>
          <w:rFonts w:ascii="ITC Avant Garde" w:hAnsi="ITC Avant Garde"/>
          <w:lang w:val="es-ES"/>
        </w:rPr>
        <w:t xml:space="preserve"> o ‘híbridos fijos–móvil</w:t>
      </w:r>
      <w:r w:rsidR="00A12569">
        <w:rPr>
          <w:rFonts w:ascii="ITC Avant Garde" w:hAnsi="ITC Avant Garde"/>
          <w:lang w:val="es-ES"/>
        </w:rPr>
        <w:t>”</w:t>
      </w:r>
      <w:r w:rsidRPr="00541685">
        <w:rPr>
          <w:rFonts w:ascii="ITC Avant Garde" w:hAnsi="ITC Avant Garde"/>
          <w:lang w:val="es-ES"/>
        </w:rPr>
        <w:t xml:space="preserve">. </w:t>
      </w:r>
      <w:r w:rsidR="003627B6" w:rsidRPr="00541685">
        <w:rPr>
          <w:rFonts w:ascii="ITC Avant Garde" w:hAnsi="ITC Avant Garde"/>
          <w:lang w:val="es-ES"/>
        </w:rPr>
        <w:t>A</w:t>
      </w:r>
      <w:r w:rsidR="003627B6">
        <w:rPr>
          <w:rFonts w:ascii="ITC Avant Garde" w:hAnsi="ITC Avant Garde"/>
          <w:lang w:val="es-ES"/>
        </w:rPr>
        <w:t>sí</w:t>
      </w:r>
      <w:r w:rsidRPr="00541685">
        <w:rPr>
          <w:rFonts w:ascii="ITC Avant Garde" w:hAnsi="ITC Avant Garde"/>
          <w:lang w:val="es-ES"/>
        </w:rPr>
        <w:t xml:space="preserve">, en el cálculo del WACC móvil no se consideran </w:t>
      </w:r>
      <w:r w:rsidR="00A94546">
        <w:rPr>
          <w:rFonts w:ascii="ITC Avant Garde" w:hAnsi="ITC Avant Garde"/>
          <w:lang w:val="es-ES"/>
        </w:rPr>
        <w:t>concesionarios</w:t>
      </w:r>
      <w:r w:rsidRPr="00541685">
        <w:rPr>
          <w:rFonts w:ascii="ITC Avant Garde" w:hAnsi="ITC Avant Garde"/>
          <w:lang w:val="es-ES"/>
        </w:rPr>
        <w:t xml:space="preserve"> sin operaciones móviles, mientras que en el cálculo del WACC fijo no se consideren </w:t>
      </w:r>
      <w:r w:rsidR="00A94546">
        <w:rPr>
          <w:rFonts w:ascii="ITC Avant Garde" w:hAnsi="ITC Avant Garde"/>
          <w:lang w:val="es-ES"/>
        </w:rPr>
        <w:t>concesionarios</w:t>
      </w:r>
      <w:r w:rsidRPr="00541685">
        <w:rPr>
          <w:rFonts w:ascii="ITC Avant Garde" w:hAnsi="ITC Avant Garde"/>
          <w:lang w:val="es-ES"/>
        </w:rPr>
        <w:t xml:space="preserve"> que no tengan operaciones fijas.</w:t>
      </w:r>
    </w:p>
    <w:p w14:paraId="24E9E098" w14:textId="77777777" w:rsidR="003627B6" w:rsidRPr="00541685" w:rsidRDefault="003627B6" w:rsidP="0080349A">
      <w:pPr>
        <w:spacing w:after="0" w:line="276" w:lineRule="auto"/>
        <w:ind w:left="0" w:right="0" w:firstLine="0"/>
        <w:rPr>
          <w:rFonts w:ascii="ITC Avant Garde" w:hAnsi="ITC Avant Garde"/>
          <w:lang w:val="es-ES"/>
        </w:rPr>
      </w:pPr>
    </w:p>
    <w:p w14:paraId="3B735244" w14:textId="77777777" w:rsidR="00541685" w:rsidRPr="003627B6" w:rsidRDefault="00541685" w:rsidP="0080349A">
      <w:pPr>
        <w:spacing w:after="0" w:line="276" w:lineRule="auto"/>
        <w:ind w:left="0" w:right="0" w:firstLine="0"/>
        <w:rPr>
          <w:rFonts w:ascii="ITC Avant Garde" w:hAnsi="ITC Avant Garde"/>
          <w:i/>
          <w:lang w:val="es-ES"/>
        </w:rPr>
      </w:pPr>
      <w:r w:rsidRPr="003627B6">
        <w:rPr>
          <w:rFonts w:ascii="ITC Avant Garde" w:hAnsi="ITC Avant Garde"/>
          <w:i/>
          <w:lang w:val="es-ES"/>
        </w:rPr>
        <w:t>Empleo de periodos de referencia en ciertos parámetros</w:t>
      </w:r>
    </w:p>
    <w:p w14:paraId="06CAAF6B" w14:textId="77777777" w:rsidR="003627B6" w:rsidRDefault="003627B6" w:rsidP="0080349A">
      <w:pPr>
        <w:spacing w:after="0" w:line="276" w:lineRule="auto"/>
        <w:ind w:left="0" w:right="0" w:firstLine="0"/>
        <w:rPr>
          <w:rFonts w:ascii="ITC Avant Garde" w:hAnsi="ITC Avant Garde"/>
          <w:lang w:val="es-ES"/>
        </w:rPr>
      </w:pPr>
    </w:p>
    <w:p w14:paraId="4224D6DE" w14:textId="29E0E24F" w:rsidR="003627B6" w:rsidRPr="0075027B" w:rsidRDefault="003627B6" w:rsidP="0080349A">
      <w:pPr>
        <w:spacing w:after="0" w:line="276" w:lineRule="auto"/>
        <w:ind w:left="0" w:right="0" w:firstLine="0"/>
        <w:rPr>
          <w:rFonts w:ascii="ITC Avant Garde" w:hAnsi="ITC Avant Garde"/>
        </w:rPr>
      </w:pPr>
      <w:r w:rsidRPr="0075027B">
        <w:rPr>
          <w:rFonts w:ascii="ITC Avant Garde" w:hAnsi="ITC Avant Garde"/>
        </w:rPr>
        <w:t>Axtel, AT&amp;T y GTV</w:t>
      </w:r>
    </w:p>
    <w:p w14:paraId="1BA956D4" w14:textId="77777777" w:rsidR="003627B6" w:rsidRPr="0075027B" w:rsidRDefault="003627B6" w:rsidP="0080349A">
      <w:pPr>
        <w:spacing w:after="0" w:line="276" w:lineRule="auto"/>
        <w:ind w:left="0" w:right="0" w:firstLine="0"/>
        <w:rPr>
          <w:rFonts w:ascii="ITC Avant Garde" w:hAnsi="ITC Avant Garde"/>
        </w:rPr>
      </w:pPr>
    </w:p>
    <w:p w14:paraId="5227D2BE" w14:textId="5B6E1CD4" w:rsidR="00541685" w:rsidRPr="00541685" w:rsidRDefault="00D5490D" w:rsidP="0080349A">
      <w:pPr>
        <w:spacing w:after="0" w:line="276" w:lineRule="auto"/>
        <w:ind w:left="0" w:right="0" w:firstLine="0"/>
        <w:rPr>
          <w:rFonts w:ascii="ITC Avant Garde" w:hAnsi="ITC Avant Garde"/>
          <w:lang w:val="es-ES"/>
        </w:rPr>
      </w:pPr>
      <w:r>
        <w:rPr>
          <w:rFonts w:ascii="ITC Avant Garde" w:hAnsi="ITC Avant Garde"/>
          <w:lang w:val="es-ES"/>
        </w:rPr>
        <w:lastRenderedPageBreak/>
        <w:t>Axtel</w:t>
      </w:r>
      <w:r w:rsidR="00541685" w:rsidRPr="00541685">
        <w:rPr>
          <w:rFonts w:ascii="ITC Avant Garde" w:hAnsi="ITC Avant Garde"/>
          <w:lang w:val="es-ES"/>
        </w:rPr>
        <w:t xml:space="preserve"> opina que es incongruente identificar a los modelos de costos como herramientas de carácter prospectivo y, al mismo tiempo, utilizar un periodo de referencia en el pasado para promediar parámetros y darles estabilidad. Por el contrario, </w:t>
      </w:r>
      <w:r w:rsidR="00A77155">
        <w:rPr>
          <w:rFonts w:ascii="ITC Avant Garde" w:hAnsi="ITC Avant Garde"/>
          <w:lang w:val="es-ES"/>
        </w:rPr>
        <w:t>AT&amp;T</w:t>
      </w:r>
      <w:r w:rsidR="00541685" w:rsidRPr="00541685">
        <w:rPr>
          <w:rFonts w:ascii="ITC Avant Garde" w:hAnsi="ITC Avant Garde"/>
          <w:lang w:val="es-ES"/>
        </w:rPr>
        <w:t xml:space="preserve"> apoya el cambio metodológico de aplicar un periodo de referencia homogéneo a los parámetros del WACC.</w:t>
      </w:r>
    </w:p>
    <w:p w14:paraId="5CCCAD45" w14:textId="208E655F"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Por otro lado, </w:t>
      </w:r>
      <w:r w:rsidR="007C441B">
        <w:rPr>
          <w:rFonts w:ascii="ITC Avant Garde" w:hAnsi="ITC Avant Garde"/>
          <w:lang w:val="es-ES"/>
        </w:rPr>
        <w:t>GTV</w:t>
      </w:r>
      <w:r w:rsidRPr="00541685">
        <w:rPr>
          <w:rFonts w:ascii="ITC Avant Garde" w:hAnsi="ITC Avant Garde"/>
          <w:lang w:val="es-ES"/>
        </w:rPr>
        <w:t xml:space="preserve"> señala que las variables de inflación deben estar basadas en expectativas de agentes económicos y que los costos de la deuda y del equity deben considerar un ciclo bajista en tasas de interés.</w:t>
      </w:r>
    </w:p>
    <w:p w14:paraId="192B172C" w14:textId="77777777" w:rsidR="003627B6" w:rsidRDefault="003627B6" w:rsidP="003627B6">
      <w:pPr>
        <w:spacing w:after="0" w:line="276" w:lineRule="auto"/>
        <w:ind w:left="0" w:right="0" w:firstLine="0"/>
        <w:rPr>
          <w:rFonts w:ascii="ITC Avant Garde" w:hAnsi="ITC Avant Garde"/>
          <w:lang w:val="es-ES"/>
        </w:rPr>
      </w:pPr>
    </w:p>
    <w:p w14:paraId="0F64EF7F" w14:textId="22C09BCE" w:rsidR="003627B6" w:rsidRDefault="003627B6" w:rsidP="003627B6">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5D25D4E3" w14:textId="77777777" w:rsidR="003627B6" w:rsidRPr="00541685" w:rsidRDefault="003627B6" w:rsidP="0080349A">
      <w:pPr>
        <w:spacing w:after="0" w:line="276" w:lineRule="auto"/>
        <w:ind w:left="0" w:right="0" w:firstLine="0"/>
        <w:rPr>
          <w:rFonts w:ascii="ITC Avant Garde" w:hAnsi="ITC Avant Garde"/>
          <w:lang w:val="es-ES"/>
        </w:rPr>
      </w:pPr>
    </w:p>
    <w:p w14:paraId="33201FA3" w14:textId="673AC504" w:rsidR="00541685" w:rsidRDefault="00541685"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La elección de un horizonte de promediado permite asegurar que todos los parámetros relevantes son comparables entre </w:t>
      </w:r>
      <w:r w:rsidR="00665CBA" w:rsidRPr="58E23F00">
        <w:rPr>
          <w:rFonts w:ascii="ITC Avant Garde" w:hAnsi="ITC Avant Garde"/>
          <w:lang w:val="es-ES"/>
        </w:rPr>
        <w:t>si</w:t>
      </w:r>
      <w:r w:rsidRPr="58E23F00">
        <w:rPr>
          <w:rFonts w:ascii="ITC Avant Garde" w:hAnsi="ITC Avant Garde"/>
          <w:lang w:val="es-ES"/>
        </w:rPr>
        <w:t xml:space="preserve"> bajo una base temporal homogénea. Asimismo, el </w:t>
      </w:r>
      <w:r w:rsidR="647786AF" w:rsidRPr="58E23F00">
        <w:rPr>
          <w:rFonts w:ascii="ITC Avant Garde" w:hAnsi="ITC Avant Garde"/>
          <w:lang w:val="es-ES"/>
        </w:rPr>
        <w:t>I</w:t>
      </w:r>
      <w:r w:rsidR="0111A8B9" w:rsidRPr="58E23F00">
        <w:rPr>
          <w:rFonts w:ascii="ITC Avant Garde" w:hAnsi="ITC Avant Garde"/>
          <w:lang w:val="es-ES"/>
        </w:rPr>
        <w:t>nstituto</w:t>
      </w:r>
      <w:r w:rsidR="0AF39D56" w:rsidRPr="58E23F00">
        <w:rPr>
          <w:rFonts w:ascii="ITC Avant Garde" w:hAnsi="ITC Avant Garde"/>
          <w:lang w:val="es-ES"/>
        </w:rPr>
        <w:t xml:space="preserve"> </w:t>
      </w:r>
      <w:r w:rsidRPr="58E23F00">
        <w:rPr>
          <w:rFonts w:ascii="ITC Avant Garde" w:hAnsi="ITC Avant Garde"/>
          <w:lang w:val="es-ES"/>
        </w:rPr>
        <w:t>se apoya en el Organismo de Reguladores Europeos de las Comunicaciones Electrónicas (BEREC), el cual considera que la utilización de un horizonte de cinco años es el método más adecuado para prevenir (sin eliminar) fluctuaciones a corto plazo que podrían conllevar un impacto negativo en la inversión y, por lo tanto, reduciría la necesidad de realizar ajustes metodológicos en estas épocas de gran variabilidad. Este horizonte de promediado es actualmente utilizado en mercados como España, Alemania e Italia.</w:t>
      </w:r>
    </w:p>
    <w:p w14:paraId="18B621B1" w14:textId="77777777" w:rsidR="003627B6" w:rsidRPr="00541685" w:rsidRDefault="003627B6" w:rsidP="0080349A">
      <w:pPr>
        <w:spacing w:after="0" w:line="276" w:lineRule="auto"/>
        <w:ind w:left="0" w:right="0" w:firstLine="0"/>
        <w:rPr>
          <w:rFonts w:ascii="ITC Avant Garde" w:hAnsi="ITC Avant Garde"/>
          <w:lang w:val="es-ES"/>
        </w:rPr>
      </w:pPr>
    </w:p>
    <w:p w14:paraId="726A7572" w14:textId="7AC0CFD5" w:rsidR="00541685" w:rsidRPr="00541685" w:rsidRDefault="00541685"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En cualquier caso, cabe destacar que los distintos parámetros empleados son, en </w:t>
      </w:r>
      <w:r w:rsidR="003627B6" w:rsidRPr="58E23F00">
        <w:rPr>
          <w:rFonts w:ascii="ITC Avant Garde" w:hAnsi="ITC Avant Garde"/>
          <w:lang w:val="es-ES"/>
        </w:rPr>
        <w:t>sí</w:t>
      </w:r>
      <w:r w:rsidRPr="58E23F00">
        <w:rPr>
          <w:rFonts w:ascii="ITC Avant Garde" w:hAnsi="ITC Avant Garde"/>
          <w:lang w:val="es-ES"/>
        </w:rPr>
        <w:t xml:space="preserve"> mismos, prospectivos, ya que se orientan a identificar el perfil de riesgo y retorno esperado de los distintos elementos de capital y deuda. Con respecto al punto señalado por </w:t>
      </w:r>
      <w:r w:rsidR="007C441B" w:rsidRPr="58E23F00">
        <w:rPr>
          <w:rFonts w:ascii="ITC Avant Garde" w:hAnsi="ITC Avant Garde"/>
          <w:lang w:val="es-ES"/>
        </w:rPr>
        <w:t>GTV</w:t>
      </w:r>
      <w:r w:rsidRPr="58E23F00">
        <w:rPr>
          <w:rFonts w:ascii="ITC Avant Garde" w:hAnsi="ITC Avant Garde"/>
          <w:lang w:val="es-ES"/>
        </w:rPr>
        <w:t xml:space="preserve">, el </w:t>
      </w:r>
      <w:r w:rsidR="647786AF" w:rsidRPr="58E23F00">
        <w:rPr>
          <w:rFonts w:ascii="ITC Avant Garde" w:hAnsi="ITC Avant Garde"/>
          <w:lang w:val="es-ES"/>
        </w:rPr>
        <w:t>I</w:t>
      </w:r>
      <w:r w:rsidR="7AE861C1" w:rsidRPr="58E23F00">
        <w:rPr>
          <w:rFonts w:ascii="ITC Avant Garde" w:hAnsi="ITC Avant Garde"/>
          <w:lang w:val="es-ES"/>
        </w:rPr>
        <w:t>nstituto</w:t>
      </w:r>
      <w:r w:rsidR="0AF39D56" w:rsidRPr="58E23F00">
        <w:rPr>
          <w:rFonts w:ascii="ITC Avant Garde" w:hAnsi="ITC Avant Garde"/>
          <w:lang w:val="es-ES"/>
        </w:rPr>
        <w:t xml:space="preserve"> </w:t>
      </w:r>
      <w:r w:rsidRPr="58E23F00">
        <w:rPr>
          <w:rFonts w:ascii="ITC Avant Garde" w:hAnsi="ITC Avant Garde"/>
          <w:lang w:val="es-ES"/>
        </w:rPr>
        <w:t>desea clarificar que tanto la inflación local como internacional incluidas en el cálculo del WACC ya consideran también un periodo prospectivo. En base a la prácti</w:t>
      </w:r>
      <w:r w:rsidR="003627B6" w:rsidRPr="58E23F00">
        <w:rPr>
          <w:rFonts w:ascii="ITC Avant Garde" w:hAnsi="ITC Avant Garde"/>
          <w:lang w:val="es-ES"/>
        </w:rPr>
        <w:t>ca</w:t>
      </w:r>
      <w:r w:rsidR="008A4535" w:rsidRPr="58E23F00">
        <w:rPr>
          <w:rFonts w:ascii="ITC Avant Garde" w:hAnsi="ITC Avant Garde"/>
          <w:lang w:val="es-ES"/>
        </w:rPr>
        <w:t xml:space="preserve"> </w:t>
      </w:r>
      <w:r w:rsidRPr="58E23F00">
        <w:rPr>
          <w:rFonts w:ascii="ITC Avant Garde" w:hAnsi="ITC Avant Garde"/>
          <w:lang w:val="es-ES"/>
        </w:rPr>
        <w:t xml:space="preserve">internacional, se ha escogido un horizonte de 10 años, en el cual se consideran las perspectivas de inflación oficiales disponibles y se complementarían los años para los cuales no se disponga de una perspectiva de inflación a través de los objetivos de inflación propuestos por las fuentes oficiales. </w:t>
      </w:r>
    </w:p>
    <w:p w14:paraId="79289052" w14:textId="0DC507D1" w:rsid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Por último, con relación al advenimiento de un ciclo bajista señalado por </w:t>
      </w:r>
      <w:r w:rsidR="007C441B">
        <w:rPr>
          <w:rFonts w:ascii="ITC Avant Garde" w:hAnsi="ITC Avant Garde"/>
          <w:lang w:val="es-ES"/>
        </w:rPr>
        <w:t>GTV</w:t>
      </w:r>
      <w:r w:rsidRPr="00541685">
        <w:rPr>
          <w:rFonts w:ascii="ITC Avant Garde" w:hAnsi="ITC Avant Garde"/>
          <w:lang w:val="es-ES"/>
        </w:rPr>
        <w:t xml:space="preserve">, </w:t>
      </w:r>
      <w:r w:rsidR="00856A78">
        <w:rPr>
          <w:rFonts w:ascii="ITC Avant Garde" w:hAnsi="ITC Avant Garde"/>
          <w:lang w:val="es-ES"/>
        </w:rPr>
        <w:t>se considera</w:t>
      </w:r>
      <w:r w:rsidRPr="00541685">
        <w:rPr>
          <w:rFonts w:ascii="ITC Avant Garde" w:hAnsi="ITC Avant Garde"/>
          <w:lang w:val="es-ES"/>
        </w:rPr>
        <w:t xml:space="preserve"> que no existe certeza de la materialidad y duración del mismo, por lo cual no se considera prudente realizar ningún ajuste a este respecto.</w:t>
      </w:r>
    </w:p>
    <w:p w14:paraId="5AC99F3C" w14:textId="77777777" w:rsidR="003627B6" w:rsidRPr="00541685" w:rsidRDefault="003627B6" w:rsidP="0080349A">
      <w:pPr>
        <w:spacing w:after="0" w:line="276" w:lineRule="auto"/>
        <w:ind w:left="0" w:right="0" w:firstLine="0"/>
        <w:rPr>
          <w:rFonts w:ascii="ITC Avant Garde" w:hAnsi="ITC Avant Garde"/>
          <w:lang w:val="es-ES"/>
        </w:rPr>
      </w:pPr>
    </w:p>
    <w:p w14:paraId="24358803" w14:textId="77777777" w:rsidR="00541685" w:rsidRPr="003627B6" w:rsidRDefault="00541685" w:rsidP="0080349A">
      <w:pPr>
        <w:spacing w:after="0" w:line="276" w:lineRule="auto"/>
        <w:ind w:left="0" w:right="0" w:firstLine="0"/>
        <w:rPr>
          <w:rFonts w:ascii="ITC Avant Garde" w:hAnsi="ITC Avant Garde"/>
          <w:i/>
          <w:lang w:val="es-ES"/>
        </w:rPr>
      </w:pPr>
      <w:r w:rsidRPr="003627B6">
        <w:rPr>
          <w:rFonts w:ascii="ITC Avant Garde" w:hAnsi="ITC Avant Garde"/>
          <w:i/>
          <w:lang w:val="es-ES"/>
        </w:rPr>
        <w:t>Transparencia en el cálculo del WACC</w:t>
      </w:r>
    </w:p>
    <w:p w14:paraId="7801DF18" w14:textId="60C336FF" w:rsidR="003627B6" w:rsidRDefault="003627B6" w:rsidP="0080349A">
      <w:pPr>
        <w:spacing w:after="0" w:line="276" w:lineRule="auto"/>
        <w:ind w:left="0" w:right="0" w:firstLine="0"/>
        <w:rPr>
          <w:rFonts w:ascii="ITC Avant Garde" w:hAnsi="ITC Avant Garde"/>
          <w:lang w:val="es-ES"/>
        </w:rPr>
      </w:pPr>
    </w:p>
    <w:p w14:paraId="3C21C7A7" w14:textId="2DDC3830" w:rsidR="003627B6" w:rsidRDefault="003627B6" w:rsidP="0080349A">
      <w:pPr>
        <w:spacing w:after="0" w:line="276" w:lineRule="auto"/>
        <w:ind w:left="0" w:right="0" w:firstLine="0"/>
        <w:rPr>
          <w:rFonts w:ascii="ITC Avant Garde" w:hAnsi="ITC Avant Garde"/>
          <w:lang w:val="es-ES"/>
        </w:rPr>
      </w:pPr>
      <w:r w:rsidRPr="00541685">
        <w:rPr>
          <w:rFonts w:ascii="ITC Avant Garde" w:hAnsi="ITC Avant Garde"/>
          <w:lang w:val="es-ES"/>
        </w:rPr>
        <w:t>GTV, Axtel y AT&amp;T</w:t>
      </w:r>
    </w:p>
    <w:p w14:paraId="358797ED" w14:textId="77777777" w:rsidR="003627B6" w:rsidRDefault="003627B6" w:rsidP="0080349A">
      <w:pPr>
        <w:spacing w:after="0" w:line="276" w:lineRule="auto"/>
        <w:ind w:left="0" w:right="0" w:firstLine="0"/>
        <w:rPr>
          <w:rFonts w:ascii="ITC Avant Garde" w:hAnsi="ITC Avant Garde"/>
          <w:lang w:val="es-ES"/>
        </w:rPr>
      </w:pPr>
    </w:p>
    <w:p w14:paraId="34AF960F" w14:textId="486846C7" w:rsidR="00541685" w:rsidRDefault="00541685"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GTV, Axtel y AT&amp;T han solicitado al </w:t>
      </w:r>
      <w:r w:rsidR="647786AF" w:rsidRPr="58E23F00">
        <w:rPr>
          <w:rFonts w:ascii="ITC Avant Garde" w:hAnsi="ITC Avant Garde"/>
          <w:lang w:val="es-ES"/>
        </w:rPr>
        <w:t>I</w:t>
      </w:r>
      <w:r w:rsidR="6DB3659D" w:rsidRPr="58E23F00">
        <w:rPr>
          <w:rFonts w:ascii="ITC Avant Garde" w:hAnsi="ITC Avant Garde"/>
          <w:lang w:val="es-ES"/>
        </w:rPr>
        <w:t>nstituto</w:t>
      </w:r>
      <w:r w:rsidR="0AF39D56" w:rsidRPr="58E23F00">
        <w:rPr>
          <w:rFonts w:ascii="ITC Avant Garde" w:hAnsi="ITC Avant Garde"/>
          <w:lang w:val="es-ES"/>
        </w:rPr>
        <w:t xml:space="preserve"> </w:t>
      </w:r>
      <w:r w:rsidRPr="58E23F00">
        <w:rPr>
          <w:rFonts w:ascii="ITC Avant Garde" w:hAnsi="ITC Avant Garde"/>
          <w:lang w:val="es-ES"/>
        </w:rPr>
        <w:t xml:space="preserve">mayor transparencia en torno a distintos parámetros del cálculo del WACC, incluyendo el factor de volatilidad, las fechas </w:t>
      </w:r>
      <w:r w:rsidRPr="58E23F00">
        <w:rPr>
          <w:rFonts w:ascii="ITC Avant Garde" w:hAnsi="ITC Avant Garde"/>
          <w:lang w:val="es-ES"/>
        </w:rPr>
        <w:lastRenderedPageBreak/>
        <w:t>de consulta de los parámetros o el cálculo del des</w:t>
      </w:r>
      <w:r w:rsidR="003627B6" w:rsidRPr="58E23F00">
        <w:rPr>
          <w:rFonts w:ascii="ITC Avant Garde" w:hAnsi="ITC Avant Garde"/>
          <w:lang w:val="es-ES"/>
        </w:rPr>
        <w:t>a</w:t>
      </w:r>
      <w:r w:rsidRPr="58E23F00">
        <w:rPr>
          <w:rFonts w:ascii="ITC Avant Garde" w:hAnsi="ITC Avant Garde"/>
          <w:lang w:val="es-ES"/>
        </w:rPr>
        <w:t xml:space="preserve">palancamiento y posterior reapalancamiento. En su defecto, </w:t>
      </w:r>
      <w:r w:rsidR="00A77155" w:rsidRPr="58E23F00">
        <w:rPr>
          <w:rFonts w:ascii="ITC Avant Garde" w:hAnsi="ITC Avant Garde"/>
          <w:lang w:val="es-ES"/>
        </w:rPr>
        <w:t>AT&amp;T</w:t>
      </w:r>
      <w:r w:rsidRPr="58E23F00">
        <w:rPr>
          <w:rFonts w:ascii="ITC Avant Garde" w:hAnsi="ITC Avant Garde"/>
          <w:lang w:val="es-ES"/>
        </w:rPr>
        <w:t xml:space="preserve"> solicita que se comparta un archivo Excel con los cálculos.</w:t>
      </w:r>
    </w:p>
    <w:p w14:paraId="3410C62F" w14:textId="028FB578" w:rsidR="003627B6" w:rsidRDefault="003627B6" w:rsidP="0080349A">
      <w:pPr>
        <w:spacing w:after="0" w:line="276" w:lineRule="auto"/>
        <w:ind w:left="0" w:right="0" w:firstLine="0"/>
        <w:rPr>
          <w:rFonts w:ascii="ITC Avant Garde" w:hAnsi="ITC Avant Garde"/>
          <w:lang w:val="es-ES"/>
        </w:rPr>
      </w:pPr>
    </w:p>
    <w:p w14:paraId="5E317F81" w14:textId="001F3317" w:rsidR="003627B6" w:rsidRPr="00541685" w:rsidRDefault="003627B6"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27B48C33" w14:textId="77777777" w:rsidR="003627B6" w:rsidRDefault="003627B6" w:rsidP="0080349A">
      <w:pPr>
        <w:spacing w:after="0" w:line="276" w:lineRule="auto"/>
        <w:ind w:left="0" w:right="0" w:firstLine="0"/>
        <w:rPr>
          <w:rFonts w:ascii="ITC Avant Garde" w:hAnsi="ITC Avant Garde"/>
          <w:lang w:val="es-ES"/>
        </w:rPr>
      </w:pPr>
    </w:p>
    <w:p w14:paraId="4F1C956A" w14:textId="7B5E2CFE" w:rsidR="00541685" w:rsidRDefault="00541685"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En respuesta a los comentarios de los </w:t>
      </w:r>
      <w:r w:rsidR="00A94546" w:rsidRPr="58E23F00">
        <w:rPr>
          <w:rFonts w:ascii="ITC Avant Garde" w:hAnsi="ITC Avant Garde"/>
          <w:lang w:val="es-ES"/>
        </w:rPr>
        <w:t>concesionarios</w:t>
      </w:r>
      <w:r w:rsidRPr="58E23F00">
        <w:rPr>
          <w:rFonts w:ascii="ITC Avant Garde" w:hAnsi="ITC Avant Garde"/>
          <w:lang w:val="es-ES"/>
        </w:rPr>
        <w:t xml:space="preserve">, el </w:t>
      </w:r>
      <w:r w:rsidR="647786AF" w:rsidRPr="58E23F00">
        <w:rPr>
          <w:rFonts w:ascii="ITC Avant Garde" w:hAnsi="ITC Avant Garde"/>
          <w:lang w:val="es-ES"/>
        </w:rPr>
        <w:t>I</w:t>
      </w:r>
      <w:r w:rsidR="4841A008" w:rsidRPr="58E23F00">
        <w:rPr>
          <w:rFonts w:ascii="ITC Avant Garde" w:hAnsi="ITC Avant Garde"/>
          <w:lang w:val="es-ES"/>
        </w:rPr>
        <w:t>nstituto</w:t>
      </w:r>
      <w:r w:rsidR="0AF39D56" w:rsidRPr="58E23F00">
        <w:rPr>
          <w:rFonts w:ascii="ITC Avant Garde" w:hAnsi="ITC Avant Garde"/>
          <w:lang w:val="es-ES"/>
        </w:rPr>
        <w:t xml:space="preserve"> </w:t>
      </w:r>
      <w:r w:rsidRPr="58E23F00">
        <w:rPr>
          <w:rFonts w:ascii="ITC Avant Garde" w:hAnsi="ITC Avant Garde"/>
          <w:lang w:val="es-ES"/>
        </w:rPr>
        <w:t xml:space="preserve">ha revisado el documento metodológico del WACC para aportar mayor transparencia sobre las fuentes y fechas de consulta de los diferentes parámetros del WACC, </w:t>
      </w:r>
      <w:r w:rsidR="003627B6" w:rsidRPr="58E23F00">
        <w:rPr>
          <w:rFonts w:ascii="ITC Avant Garde" w:hAnsi="ITC Avant Garde"/>
          <w:lang w:val="es-ES"/>
        </w:rPr>
        <w:t>así</w:t>
      </w:r>
      <w:r w:rsidRPr="58E23F00">
        <w:rPr>
          <w:rFonts w:ascii="ITC Avant Garde" w:hAnsi="ITC Avant Garde"/>
          <w:lang w:val="es-ES"/>
        </w:rPr>
        <w:t xml:space="preserve"> como del cálculo del desapalancamiento de la deuda y su posterior reapalancamiento.</w:t>
      </w:r>
    </w:p>
    <w:p w14:paraId="0D522F7E" w14:textId="77777777" w:rsidR="003627B6" w:rsidRPr="00541685" w:rsidRDefault="003627B6" w:rsidP="0080349A">
      <w:pPr>
        <w:spacing w:after="0" w:line="276" w:lineRule="auto"/>
        <w:ind w:left="0" w:right="0" w:firstLine="0"/>
        <w:rPr>
          <w:rFonts w:ascii="ITC Avant Garde" w:hAnsi="ITC Avant Garde"/>
          <w:lang w:val="es-ES"/>
        </w:rPr>
      </w:pPr>
    </w:p>
    <w:p w14:paraId="169CE6CA" w14:textId="77777777" w:rsidR="00541685" w:rsidRPr="003627B6" w:rsidRDefault="00541685" w:rsidP="0080349A">
      <w:pPr>
        <w:spacing w:after="0" w:line="276" w:lineRule="auto"/>
        <w:ind w:left="0" w:right="0" w:firstLine="0"/>
        <w:rPr>
          <w:rFonts w:ascii="ITC Avant Garde" w:hAnsi="ITC Avant Garde"/>
          <w:b/>
          <w:u w:val="single"/>
          <w:lang w:val="es-ES"/>
        </w:rPr>
      </w:pPr>
      <w:r w:rsidRPr="003627B6">
        <w:rPr>
          <w:rFonts w:ascii="ITC Avant Garde" w:hAnsi="ITC Avant Garde"/>
          <w:b/>
          <w:u w:val="single"/>
          <w:lang w:val="es-ES"/>
        </w:rPr>
        <w:t>Comentarios sobre los resultados y actualización del WACC</w:t>
      </w:r>
    </w:p>
    <w:p w14:paraId="1E4577F3" w14:textId="77777777" w:rsidR="003627B6" w:rsidRDefault="003627B6" w:rsidP="0080349A">
      <w:pPr>
        <w:spacing w:after="0" w:line="276" w:lineRule="auto"/>
        <w:ind w:left="0" w:right="0" w:firstLine="0"/>
        <w:rPr>
          <w:rFonts w:ascii="ITC Avant Garde" w:hAnsi="ITC Avant Garde"/>
          <w:i/>
          <w:lang w:val="es-ES"/>
        </w:rPr>
      </w:pPr>
    </w:p>
    <w:p w14:paraId="1C4EA0B6" w14:textId="4F342392" w:rsidR="00541685" w:rsidRPr="003627B6" w:rsidRDefault="00541685" w:rsidP="0080349A">
      <w:pPr>
        <w:spacing w:after="0" w:line="276" w:lineRule="auto"/>
        <w:ind w:left="0" w:right="0" w:firstLine="0"/>
        <w:rPr>
          <w:rFonts w:ascii="ITC Avant Garde" w:hAnsi="ITC Avant Garde"/>
          <w:i/>
          <w:lang w:val="es-ES"/>
        </w:rPr>
      </w:pPr>
      <w:r w:rsidRPr="003627B6">
        <w:rPr>
          <w:rFonts w:ascii="ITC Avant Garde" w:hAnsi="ITC Avant Garde"/>
          <w:i/>
          <w:lang w:val="es-ES"/>
        </w:rPr>
        <w:t>Incremento del WACC calculado por el IFT</w:t>
      </w:r>
    </w:p>
    <w:p w14:paraId="5BBBD055" w14:textId="22189D6C" w:rsidR="003627B6" w:rsidRDefault="003627B6" w:rsidP="0080349A">
      <w:pPr>
        <w:spacing w:after="0" w:line="276" w:lineRule="auto"/>
        <w:ind w:left="0" w:right="0" w:firstLine="0"/>
        <w:rPr>
          <w:rFonts w:ascii="ITC Avant Garde" w:hAnsi="ITC Avant Garde"/>
          <w:lang w:val="es-ES"/>
        </w:rPr>
      </w:pPr>
    </w:p>
    <w:p w14:paraId="255BF348" w14:textId="2728450F" w:rsidR="003627B6" w:rsidRDefault="003627B6" w:rsidP="0080349A">
      <w:pPr>
        <w:spacing w:after="0" w:line="276" w:lineRule="auto"/>
        <w:ind w:left="0" w:right="0" w:firstLine="0"/>
        <w:rPr>
          <w:rFonts w:ascii="ITC Avant Garde" w:hAnsi="ITC Avant Garde"/>
          <w:lang w:val="es-ES"/>
        </w:rPr>
      </w:pPr>
      <w:r>
        <w:rPr>
          <w:rFonts w:ascii="ITC Avant Garde" w:hAnsi="ITC Avant Garde"/>
          <w:lang w:val="es-ES"/>
        </w:rPr>
        <w:t>Mega Cable</w:t>
      </w:r>
    </w:p>
    <w:p w14:paraId="1F9494AE" w14:textId="77777777" w:rsidR="003627B6" w:rsidRDefault="003627B6" w:rsidP="0080349A">
      <w:pPr>
        <w:spacing w:after="0" w:line="276" w:lineRule="auto"/>
        <w:ind w:left="0" w:right="0" w:firstLine="0"/>
        <w:rPr>
          <w:rFonts w:ascii="ITC Avant Garde" w:hAnsi="ITC Avant Garde"/>
          <w:lang w:val="es-ES"/>
        </w:rPr>
      </w:pPr>
    </w:p>
    <w:p w14:paraId="0F782AFB" w14:textId="1F41286E" w:rsidR="00541685" w:rsidRDefault="00376355" w:rsidP="0080349A">
      <w:pPr>
        <w:spacing w:after="0" w:line="276" w:lineRule="auto"/>
        <w:ind w:left="0" w:right="0" w:firstLine="0"/>
        <w:rPr>
          <w:rFonts w:ascii="ITC Avant Garde" w:hAnsi="ITC Avant Garde"/>
          <w:lang w:val="es-ES"/>
        </w:rPr>
      </w:pPr>
      <w:r>
        <w:rPr>
          <w:rFonts w:ascii="ITC Avant Garde" w:hAnsi="ITC Avant Garde"/>
          <w:lang w:val="es-ES"/>
        </w:rPr>
        <w:t>Mega Cable</w:t>
      </w:r>
      <w:r w:rsidR="00541685" w:rsidRPr="00541685">
        <w:rPr>
          <w:rFonts w:ascii="ITC Avant Garde" w:hAnsi="ITC Avant Garde"/>
          <w:lang w:val="es-ES"/>
        </w:rPr>
        <w:t xml:space="preserve"> considera que la subida del valor del WACC para 2024–26 frente al de 2021–23 no está posiblemente justificado únicamente por el riesgo y volatilidad de los mercados financieros. </w:t>
      </w:r>
    </w:p>
    <w:p w14:paraId="21B8D63C" w14:textId="4AFF8035" w:rsidR="003627B6" w:rsidRDefault="003627B6" w:rsidP="0080349A">
      <w:pPr>
        <w:spacing w:after="0" w:line="276" w:lineRule="auto"/>
        <w:ind w:left="0" w:right="0" w:firstLine="0"/>
        <w:rPr>
          <w:rFonts w:ascii="ITC Avant Garde" w:hAnsi="ITC Avant Garde"/>
          <w:lang w:val="es-ES"/>
        </w:rPr>
      </w:pPr>
    </w:p>
    <w:p w14:paraId="1661723E" w14:textId="2B86D0C9" w:rsidR="003627B6" w:rsidRPr="00541685" w:rsidRDefault="003627B6" w:rsidP="003627B6">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46E644E0" w14:textId="77777777" w:rsidR="003627B6" w:rsidRPr="00541685" w:rsidRDefault="003627B6" w:rsidP="0080349A">
      <w:pPr>
        <w:spacing w:after="0" w:line="276" w:lineRule="auto"/>
        <w:ind w:left="0" w:right="0" w:firstLine="0"/>
        <w:rPr>
          <w:rFonts w:ascii="ITC Avant Garde" w:hAnsi="ITC Avant Garde"/>
          <w:lang w:val="es-ES"/>
        </w:rPr>
      </w:pPr>
    </w:p>
    <w:p w14:paraId="10158FE4" w14:textId="4B6ECEA8" w:rsidR="00541685" w:rsidRPr="00541685" w:rsidRDefault="00541685" w:rsidP="0080349A">
      <w:pPr>
        <w:spacing w:after="0" w:line="276" w:lineRule="auto"/>
        <w:ind w:left="0" w:right="0" w:firstLine="0"/>
        <w:rPr>
          <w:rFonts w:ascii="ITC Avant Garde" w:hAnsi="ITC Avant Garde"/>
          <w:lang w:val="es-ES"/>
        </w:rPr>
      </w:pPr>
      <w:r w:rsidRPr="00541685">
        <w:rPr>
          <w:rFonts w:ascii="ITC Avant Garde" w:hAnsi="ITC Avant Garde"/>
          <w:lang w:val="es-ES"/>
        </w:rPr>
        <w:t xml:space="preserve">La evolución observada del WACC se basa en la tendencia de los parámetros relevantes en los últimos años desde la última revisión de los modelos de costos. </w:t>
      </w:r>
      <w:r w:rsidR="003627B6">
        <w:rPr>
          <w:rFonts w:ascii="ITC Avant Garde" w:hAnsi="ITC Avant Garde"/>
          <w:lang w:val="es-ES"/>
        </w:rPr>
        <w:t>P</w:t>
      </w:r>
      <w:r w:rsidRPr="00541685">
        <w:rPr>
          <w:rFonts w:ascii="ITC Avant Garde" w:hAnsi="ITC Avant Garde"/>
          <w:lang w:val="es-ES"/>
        </w:rPr>
        <w:t xml:space="preserve">rincipalmente, se advierte un aumento en la prima de riesgo de equity y la beta medida para los </w:t>
      </w:r>
      <w:r w:rsidR="00A94546">
        <w:rPr>
          <w:rFonts w:ascii="ITC Avant Garde" w:hAnsi="ITC Avant Garde"/>
          <w:lang w:val="es-ES"/>
        </w:rPr>
        <w:t>concesionarios</w:t>
      </w:r>
      <w:r w:rsidRPr="00541685">
        <w:rPr>
          <w:rFonts w:ascii="ITC Avant Garde" w:hAnsi="ITC Avant Garde"/>
          <w:lang w:val="es-ES"/>
        </w:rPr>
        <w:t xml:space="preserve">. </w:t>
      </w:r>
    </w:p>
    <w:p w14:paraId="01406E11" w14:textId="77777777" w:rsidR="003627B6" w:rsidRDefault="003627B6" w:rsidP="0080349A">
      <w:pPr>
        <w:spacing w:after="0" w:line="276" w:lineRule="auto"/>
        <w:ind w:left="0" w:right="0" w:firstLine="0"/>
        <w:rPr>
          <w:rFonts w:ascii="ITC Avant Garde" w:hAnsi="ITC Avant Garde"/>
          <w:lang w:val="es-ES"/>
        </w:rPr>
      </w:pPr>
    </w:p>
    <w:p w14:paraId="263DD3DA" w14:textId="4CEED3CE" w:rsidR="00541685" w:rsidRPr="003627B6" w:rsidRDefault="00541685" w:rsidP="0080349A">
      <w:pPr>
        <w:spacing w:after="0" w:line="276" w:lineRule="auto"/>
        <w:ind w:left="0" w:right="0" w:firstLine="0"/>
        <w:rPr>
          <w:rFonts w:ascii="ITC Avant Garde" w:hAnsi="ITC Avant Garde"/>
          <w:i/>
          <w:lang w:val="es-ES"/>
        </w:rPr>
      </w:pPr>
      <w:r w:rsidRPr="003627B6">
        <w:rPr>
          <w:rFonts w:ascii="ITC Avant Garde" w:hAnsi="ITC Avant Garde"/>
          <w:i/>
          <w:lang w:val="es-ES"/>
        </w:rPr>
        <w:t>Proceso de actualización del WACC</w:t>
      </w:r>
    </w:p>
    <w:p w14:paraId="4FE4CFB7" w14:textId="77777777" w:rsidR="003627B6" w:rsidRDefault="003627B6" w:rsidP="0080349A">
      <w:pPr>
        <w:spacing w:after="0" w:line="276" w:lineRule="auto"/>
        <w:ind w:left="0" w:right="0" w:firstLine="0"/>
        <w:rPr>
          <w:rFonts w:ascii="ITC Avant Garde" w:hAnsi="ITC Avant Garde"/>
          <w:lang w:val="es-ES"/>
        </w:rPr>
      </w:pPr>
    </w:p>
    <w:p w14:paraId="0ADBC8E6" w14:textId="60CB15DF" w:rsidR="003627B6" w:rsidRDefault="003627B6" w:rsidP="0080349A">
      <w:pPr>
        <w:spacing w:after="0" w:line="276" w:lineRule="auto"/>
        <w:ind w:left="0" w:right="0" w:firstLine="0"/>
        <w:rPr>
          <w:rFonts w:ascii="ITC Avant Garde" w:hAnsi="ITC Avant Garde"/>
          <w:lang w:val="es-ES"/>
        </w:rPr>
      </w:pPr>
      <w:r w:rsidRPr="00541685">
        <w:rPr>
          <w:rFonts w:ascii="ITC Avant Garde" w:hAnsi="ITC Avant Garde"/>
          <w:lang w:val="es-ES"/>
        </w:rPr>
        <w:t>Axtel y GTV</w:t>
      </w:r>
    </w:p>
    <w:p w14:paraId="6A12F3EF" w14:textId="77777777" w:rsidR="003627B6" w:rsidRDefault="003627B6" w:rsidP="0080349A">
      <w:pPr>
        <w:spacing w:after="0" w:line="276" w:lineRule="auto"/>
        <w:ind w:left="0" w:right="0" w:firstLine="0"/>
        <w:rPr>
          <w:rFonts w:ascii="ITC Avant Garde" w:hAnsi="ITC Avant Garde"/>
          <w:lang w:val="es-ES"/>
        </w:rPr>
      </w:pPr>
    </w:p>
    <w:p w14:paraId="2CF52A9D" w14:textId="67DF5009" w:rsidR="00541685" w:rsidRDefault="00541685" w:rsidP="0080349A">
      <w:pPr>
        <w:spacing w:after="0" w:line="276" w:lineRule="auto"/>
        <w:ind w:left="0" w:right="0" w:firstLine="0"/>
        <w:rPr>
          <w:rFonts w:ascii="ITC Avant Garde" w:hAnsi="ITC Avant Garde"/>
          <w:lang w:val="es-ES"/>
        </w:rPr>
      </w:pPr>
      <w:r w:rsidRPr="58E23F00">
        <w:rPr>
          <w:rFonts w:ascii="ITC Avant Garde" w:hAnsi="ITC Avant Garde"/>
          <w:lang w:val="es-ES"/>
        </w:rPr>
        <w:t xml:space="preserve">Axtel y GTV invitan a que el </w:t>
      </w:r>
      <w:r w:rsidR="647786AF" w:rsidRPr="58E23F00">
        <w:rPr>
          <w:rFonts w:ascii="ITC Avant Garde" w:hAnsi="ITC Avant Garde"/>
          <w:lang w:val="es-ES"/>
        </w:rPr>
        <w:t>I</w:t>
      </w:r>
      <w:r w:rsidR="4896CE45" w:rsidRPr="58E23F00">
        <w:rPr>
          <w:rFonts w:ascii="ITC Avant Garde" w:hAnsi="ITC Avant Garde"/>
          <w:lang w:val="es-ES"/>
        </w:rPr>
        <w:t>nstituto</w:t>
      </w:r>
      <w:r w:rsidR="0AF39D56" w:rsidRPr="58E23F00">
        <w:rPr>
          <w:rFonts w:ascii="ITC Avant Garde" w:hAnsi="ITC Avant Garde"/>
          <w:lang w:val="es-ES"/>
        </w:rPr>
        <w:t xml:space="preserve"> </w:t>
      </w:r>
      <w:r w:rsidRPr="58E23F00">
        <w:rPr>
          <w:rFonts w:ascii="ITC Avant Garde" w:hAnsi="ITC Avant Garde"/>
          <w:lang w:val="es-ES"/>
        </w:rPr>
        <w:t>establez</w:t>
      </w:r>
      <w:r w:rsidR="003627B6" w:rsidRPr="58E23F00">
        <w:rPr>
          <w:rFonts w:ascii="ITC Avant Garde" w:hAnsi="ITC Avant Garde"/>
          <w:lang w:val="es-ES"/>
        </w:rPr>
        <w:t>ca</w:t>
      </w:r>
      <w:r w:rsidR="008A4535" w:rsidRPr="58E23F00">
        <w:rPr>
          <w:rFonts w:ascii="ITC Avant Garde" w:hAnsi="ITC Avant Garde"/>
          <w:lang w:val="es-ES"/>
        </w:rPr>
        <w:t xml:space="preserve"> </w:t>
      </w:r>
      <w:r w:rsidRPr="58E23F00">
        <w:rPr>
          <w:rFonts w:ascii="ITC Avant Garde" w:hAnsi="ITC Avant Garde"/>
          <w:lang w:val="es-ES"/>
        </w:rPr>
        <w:t xml:space="preserve">un sistema transparente de actualización del cálculo del WACC, que permita a los </w:t>
      </w:r>
      <w:r w:rsidR="00A94546" w:rsidRPr="58E23F00">
        <w:rPr>
          <w:rFonts w:ascii="ITC Avant Garde" w:hAnsi="ITC Avant Garde"/>
          <w:lang w:val="es-ES"/>
        </w:rPr>
        <w:t>concesionarios</w:t>
      </w:r>
      <w:r w:rsidRPr="58E23F00">
        <w:rPr>
          <w:rFonts w:ascii="ITC Avant Garde" w:hAnsi="ITC Avant Garde"/>
          <w:lang w:val="es-ES"/>
        </w:rPr>
        <w:t xml:space="preserve"> capturar adecuadamente las condiciones de financiamiento para los años próximos.</w:t>
      </w:r>
    </w:p>
    <w:p w14:paraId="5031C986" w14:textId="210CF339" w:rsidR="003627B6" w:rsidRDefault="003627B6" w:rsidP="0080349A">
      <w:pPr>
        <w:spacing w:after="0" w:line="276" w:lineRule="auto"/>
        <w:ind w:left="0" w:right="0" w:firstLine="0"/>
        <w:rPr>
          <w:rFonts w:ascii="ITC Avant Garde" w:hAnsi="ITC Avant Garde"/>
          <w:lang w:val="es-ES"/>
        </w:rPr>
      </w:pPr>
    </w:p>
    <w:p w14:paraId="689DB075" w14:textId="1F788570" w:rsidR="003627B6" w:rsidRPr="00541685" w:rsidRDefault="003627B6" w:rsidP="003627B6">
      <w:pPr>
        <w:spacing w:after="0" w:line="276" w:lineRule="auto"/>
        <w:ind w:left="0" w:right="0" w:firstLine="0"/>
        <w:rPr>
          <w:rFonts w:ascii="ITC Avant Garde" w:hAnsi="ITC Avant Garde"/>
          <w:lang w:val="es-ES"/>
        </w:rPr>
      </w:pPr>
      <w:r w:rsidRPr="58E23F00">
        <w:rPr>
          <w:rFonts w:ascii="ITC Avant Garde" w:hAnsi="ITC Avant Garde"/>
          <w:lang w:val="es-ES"/>
        </w:rPr>
        <w:t xml:space="preserve">Consideraciones del </w:t>
      </w:r>
      <w:r w:rsidR="647786AF" w:rsidRPr="58E23F00">
        <w:rPr>
          <w:rFonts w:ascii="ITC Avant Garde" w:hAnsi="ITC Avant Garde"/>
          <w:lang w:val="es-ES"/>
        </w:rPr>
        <w:t>Instituto</w:t>
      </w:r>
    </w:p>
    <w:p w14:paraId="7F1BA462" w14:textId="77777777" w:rsidR="003627B6" w:rsidRPr="00541685" w:rsidRDefault="003627B6" w:rsidP="0080349A">
      <w:pPr>
        <w:spacing w:after="0" w:line="276" w:lineRule="auto"/>
        <w:ind w:left="0" w:right="0" w:firstLine="0"/>
        <w:rPr>
          <w:rFonts w:ascii="ITC Avant Garde" w:hAnsi="ITC Avant Garde"/>
          <w:lang w:val="es-ES"/>
        </w:rPr>
      </w:pPr>
    </w:p>
    <w:p w14:paraId="02F5EC0F" w14:textId="67A6C274" w:rsidR="00541685" w:rsidRPr="00541685" w:rsidRDefault="00A05563" w:rsidP="0080349A">
      <w:pPr>
        <w:spacing w:after="0" w:line="276" w:lineRule="auto"/>
        <w:ind w:left="0" w:right="0" w:firstLine="0"/>
        <w:rPr>
          <w:rFonts w:ascii="ITC Avant Garde" w:hAnsi="ITC Avant Garde"/>
          <w:lang w:val="es-ES"/>
        </w:rPr>
      </w:pPr>
      <w:r>
        <w:rPr>
          <w:rFonts w:ascii="ITC Avant Garde" w:hAnsi="ITC Avant Garde"/>
          <w:lang w:val="es-ES"/>
        </w:rPr>
        <w:t>L</w:t>
      </w:r>
      <w:r w:rsidR="00541685" w:rsidRPr="00541685">
        <w:rPr>
          <w:rFonts w:ascii="ITC Avant Garde" w:hAnsi="ITC Avant Garde"/>
          <w:lang w:val="es-ES"/>
        </w:rPr>
        <w:t>a actualización del WACC es necesaria para poder estimar los costos asociados al periodo regulatorio 2024-2026. La actualización del WACC fuera de este contexto, no entra dentro de los objetivos de la presente consulta públi</w:t>
      </w:r>
      <w:r>
        <w:rPr>
          <w:rFonts w:ascii="ITC Avant Garde" w:hAnsi="ITC Avant Garde"/>
          <w:lang w:val="es-ES"/>
        </w:rPr>
        <w:t>ca</w:t>
      </w:r>
      <w:r w:rsidR="00376355">
        <w:rPr>
          <w:rFonts w:ascii="ITC Avant Garde" w:hAnsi="ITC Avant Garde"/>
          <w:lang w:val="es-ES"/>
        </w:rPr>
        <w:t>.</w:t>
      </w:r>
    </w:p>
    <w:sectPr w:rsidR="00541685" w:rsidRPr="00541685" w:rsidSect="00C67ADC">
      <w:footerReference w:type="default" r:id="rId15"/>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0D2C73" w16cex:dateUtc="2024-02-27T20:19:00Z"/>
  <w16cex:commentExtensible w16cex:durableId="39CD6FF8" w16cex:dateUtc="2024-02-27T20:29:00Z"/>
  <w16cex:commentExtensible w16cex:durableId="39727745" w16cex:dateUtc="2024-02-23T17:17:00Z"/>
  <w16cex:commentExtensible w16cex:durableId="52C2920A" w16cex:dateUtc="2024-02-27T20:20:00Z"/>
  <w16cex:commentExtensible w16cex:durableId="7F56CA64" w16cex:dateUtc="2024-02-23T17:22:00Z"/>
  <w16cex:commentExtensible w16cex:durableId="389513EC" w16cex:dateUtc="2024-02-27T21:01:00Z"/>
  <w16cex:commentExtensible w16cex:durableId="04663C52" w16cex:dateUtc="2024-02-23T17:23:00Z"/>
  <w16cex:commentExtensible w16cex:durableId="57091B52" w16cex:dateUtc="2024-02-27T21:03:00Z"/>
  <w16cex:commentExtensible w16cex:durableId="36C061DD" w16cex:dateUtc="2024-02-23T17:32:00Z"/>
  <w16cex:commentExtensible w16cex:durableId="21719E67" w16cex:dateUtc="2024-02-27T21:15:00Z"/>
  <w16cex:commentExtensible w16cex:durableId="12BBDBC1" w16cex:dateUtc="2024-02-27T21:16:00Z"/>
  <w16cex:commentExtensible w16cex:durableId="290CC75E" w16cex:dateUtc="2024-02-23T17:36:00Z"/>
  <w16cex:commentExtensible w16cex:durableId="5366AFB9" w16cex:dateUtc="2024-02-27T21:17:00Z"/>
  <w16cex:commentExtensible w16cex:durableId="0ABA792C" w16cex:dateUtc="2024-02-23T17:43:00Z"/>
  <w16cex:commentExtensible w16cex:durableId="4DBBBC58" w16cex:dateUtc="2024-02-27T21:21:00Z"/>
  <w16cex:commentExtensible w16cex:durableId="532E9FA9" w16cex:dateUtc="2024-02-23T17:55:00Z"/>
  <w16cex:commentExtensible w16cex:durableId="4B104287" w16cex:dateUtc="2024-02-27T21:33:00Z"/>
  <w16cex:commentExtensible w16cex:durableId="0627CBE4" w16cex:dateUtc="2024-02-23T18:01:00Z"/>
  <w16cex:commentExtensible w16cex:durableId="2C6B4A7F" w16cex:dateUtc="2024-02-27T21:38:00Z"/>
  <w16cex:commentExtensible w16cex:durableId="5A76A019" w16cex:dateUtc="2024-02-23T18:11:00Z"/>
  <w16cex:commentExtensible w16cex:durableId="1407F0DF" w16cex:dateUtc="2024-02-27T22:03:00Z"/>
  <w16cex:commentExtensible w16cex:durableId="68E17D74" w16cex:dateUtc="2024-02-23T18:11:00Z"/>
  <w16cex:commentExtensible w16cex:durableId="5FB16494" w16cex:dateUtc="2024-02-27T21:40:00Z"/>
  <w16cex:commentExtensible w16cex:durableId="60E5311D" w16cex:dateUtc="2024-02-23T18:27:00Z"/>
  <w16cex:commentExtensible w16cex:durableId="69D4F886" w16cex:dateUtc="2024-02-27T22: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C8C25" w14:textId="77777777" w:rsidR="002D002D" w:rsidRDefault="002D002D" w:rsidP="00493685">
      <w:pPr>
        <w:spacing w:after="0" w:line="240" w:lineRule="auto"/>
      </w:pPr>
      <w:r>
        <w:separator/>
      </w:r>
    </w:p>
  </w:endnote>
  <w:endnote w:type="continuationSeparator" w:id="0">
    <w:p w14:paraId="2675E9F9" w14:textId="77777777" w:rsidR="002D002D" w:rsidRDefault="002D002D" w:rsidP="00493685">
      <w:pPr>
        <w:spacing w:after="0" w:line="240" w:lineRule="auto"/>
      </w:pPr>
      <w:r>
        <w:continuationSeparator/>
      </w:r>
    </w:p>
  </w:endnote>
  <w:endnote w:type="continuationNotice" w:id="1">
    <w:p w14:paraId="040CB4F6" w14:textId="77777777" w:rsidR="002D002D" w:rsidRDefault="002D00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vant Garde">
    <w:altName w:val="Calibri"/>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Calibri"/>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731"/>
      <w:docPartObj>
        <w:docPartGallery w:val="Page Numbers (Bottom of Page)"/>
        <w:docPartUnique/>
      </w:docPartObj>
    </w:sdtPr>
    <w:sdtContent>
      <w:p w14:paraId="2C1FCB72" w14:textId="662175ED" w:rsidR="00373314" w:rsidRDefault="00373314">
        <w:pPr>
          <w:pStyle w:val="Piedepgina"/>
          <w:jc w:val="right"/>
        </w:pPr>
        <w:r>
          <w:fldChar w:fldCharType="begin"/>
        </w:r>
        <w:r>
          <w:instrText>PAGE   \* MERGEFORMAT</w:instrText>
        </w:r>
        <w:r>
          <w:fldChar w:fldCharType="separate"/>
        </w:r>
        <w:r w:rsidRPr="00A94F5B">
          <w:rPr>
            <w:noProof/>
            <w:lang w:val="es-ES"/>
          </w:rPr>
          <w:t>16</w:t>
        </w:r>
        <w:r>
          <w:fldChar w:fldCharType="end"/>
        </w:r>
      </w:p>
    </w:sdtContent>
  </w:sdt>
  <w:p w14:paraId="17CF8DEA" w14:textId="77777777" w:rsidR="00373314" w:rsidRDefault="003733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953BD" w14:textId="77777777" w:rsidR="002D002D" w:rsidRDefault="002D002D" w:rsidP="00493685">
      <w:pPr>
        <w:spacing w:after="0" w:line="240" w:lineRule="auto"/>
      </w:pPr>
      <w:r>
        <w:separator/>
      </w:r>
    </w:p>
  </w:footnote>
  <w:footnote w:type="continuationSeparator" w:id="0">
    <w:p w14:paraId="19678FBE" w14:textId="77777777" w:rsidR="002D002D" w:rsidRDefault="002D002D" w:rsidP="00493685">
      <w:pPr>
        <w:spacing w:after="0" w:line="240" w:lineRule="auto"/>
      </w:pPr>
      <w:r>
        <w:continuationSeparator/>
      </w:r>
    </w:p>
  </w:footnote>
  <w:footnote w:type="continuationNotice" w:id="1">
    <w:p w14:paraId="2DAA613C" w14:textId="77777777" w:rsidR="002D002D" w:rsidRDefault="002D002D">
      <w:pPr>
        <w:spacing w:after="0" w:line="240" w:lineRule="auto"/>
      </w:pPr>
    </w:p>
  </w:footnote>
  <w:footnote w:id="2">
    <w:p w14:paraId="75BF4109" w14:textId="4DF50C2A" w:rsidR="003E5CFC" w:rsidRPr="003E5CFC" w:rsidRDefault="003E5CFC">
      <w:pPr>
        <w:pStyle w:val="Textonotapie"/>
        <w:rPr>
          <w:rFonts w:ascii="ITC Avant Garde" w:hAnsi="ITC Avant Garde"/>
          <w:sz w:val="18"/>
        </w:rPr>
      </w:pPr>
      <w:r w:rsidRPr="003E5CFC">
        <w:rPr>
          <w:rStyle w:val="Refdenotaalpie"/>
          <w:rFonts w:ascii="ITC Avant Garde" w:hAnsi="ITC Avant Garde"/>
          <w:sz w:val="18"/>
        </w:rPr>
        <w:footnoteRef/>
      </w:r>
      <w:r w:rsidRPr="003E5CFC">
        <w:rPr>
          <w:rFonts w:ascii="ITC Avant Garde" w:hAnsi="ITC Avant Garde"/>
          <w:sz w:val="18"/>
        </w:rPr>
        <w:t xml:space="preserve"> </w:t>
      </w:r>
      <w:hyperlink r:id="rId1" w:history="1">
        <w:r w:rsidRPr="003E5CFC">
          <w:rPr>
            <w:rStyle w:val="Hipervnculo"/>
            <w:rFonts w:ascii="ITC Avant Garde" w:hAnsi="ITC Avant Garde"/>
            <w:sz w:val="18"/>
          </w:rPr>
          <w:t>https://crcom.gov.co/system/files/Proyectos%20Co</w:t>
        </w:r>
        <w:r w:rsidRPr="003E5CFC">
          <w:rPr>
            <w:rStyle w:val="Hipervnculo"/>
            <w:rFonts w:ascii="ITC Avant Garde" w:hAnsi="ITC Avant Garde"/>
            <w:sz w:val="18"/>
          </w:rPr>
          <w:t>m</w:t>
        </w:r>
        <w:r w:rsidRPr="003E5CFC">
          <w:rPr>
            <w:rStyle w:val="Hipervnculo"/>
            <w:rFonts w:ascii="ITC Avant Garde" w:hAnsi="ITC Avant Garde"/>
            <w:sz w:val="18"/>
          </w:rPr>
          <w:t>entarios/2000-38-3-2/Propuestas/anexo_01_wacc.pdf</w:t>
        </w:r>
      </w:hyperlink>
    </w:p>
    <w:p w14:paraId="4CCE5DCF" w14:textId="77777777" w:rsidR="003E5CFC" w:rsidRPr="003E5CFC" w:rsidRDefault="003E5CFC">
      <w:pPr>
        <w:pStyle w:val="Textonotapie"/>
        <w:rPr>
          <w:lang w:val="es-MX"/>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1BA3160"/>
    <w:lvl w:ilvl="0">
      <w:start w:val="1"/>
      <w:numFmt w:val="bullet"/>
      <w:pStyle w:val="Listaconvietas"/>
      <w:lvlText w:val=""/>
      <w:lvlJc w:val="left"/>
      <w:pPr>
        <w:ind w:left="360" w:hanging="360"/>
      </w:pPr>
      <w:rPr>
        <w:rFonts w:ascii="Symbol" w:hAnsi="Symbol" w:hint="default"/>
        <w:b w:val="0"/>
        <w:i w:val="0"/>
        <w:sz w:val="20"/>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CE63E9"/>
    <w:multiLevelType w:val="hybridMultilevel"/>
    <w:tmpl w:val="140A0EC4"/>
    <w:lvl w:ilvl="0" w:tplc="B90A6DA0">
      <w:start w:val="1"/>
      <w:numFmt w:val="upperRoman"/>
      <w:lvlText w:val="%1."/>
      <w:lvlJc w:val="left"/>
      <w:pPr>
        <w:ind w:left="1485" w:hanging="72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3" w15:restartNumberingAfterBreak="0">
    <w:nsid w:val="049A4328"/>
    <w:multiLevelType w:val="hybridMultilevel"/>
    <w:tmpl w:val="4D7028F0"/>
    <w:lvl w:ilvl="0" w:tplc="F3A48816">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E242C2"/>
    <w:multiLevelType w:val="hybridMultilevel"/>
    <w:tmpl w:val="9350D0B0"/>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5" w15:restartNumberingAfterBreak="0">
    <w:nsid w:val="0C2E761B"/>
    <w:multiLevelType w:val="hybridMultilevel"/>
    <w:tmpl w:val="783889DE"/>
    <w:lvl w:ilvl="0" w:tplc="AC967B5E">
      <w:start w:val="1"/>
      <w:numFmt w:val="bullet"/>
      <w:lvlText w:val="•"/>
      <w:lvlJc w:val="left"/>
      <w:pPr>
        <w:tabs>
          <w:tab w:val="num" w:pos="720"/>
        </w:tabs>
        <w:ind w:left="720" w:hanging="360"/>
      </w:pPr>
      <w:rPr>
        <w:rFonts w:ascii="Arial" w:hAnsi="Arial" w:hint="default"/>
      </w:rPr>
    </w:lvl>
    <w:lvl w:ilvl="1" w:tplc="64BCDEFC" w:tentative="1">
      <w:start w:val="1"/>
      <w:numFmt w:val="bullet"/>
      <w:lvlText w:val="•"/>
      <w:lvlJc w:val="left"/>
      <w:pPr>
        <w:tabs>
          <w:tab w:val="num" w:pos="1440"/>
        </w:tabs>
        <w:ind w:left="1440" w:hanging="360"/>
      </w:pPr>
      <w:rPr>
        <w:rFonts w:ascii="Arial" w:hAnsi="Arial" w:hint="default"/>
      </w:rPr>
    </w:lvl>
    <w:lvl w:ilvl="2" w:tplc="0DD05B06" w:tentative="1">
      <w:start w:val="1"/>
      <w:numFmt w:val="bullet"/>
      <w:lvlText w:val="•"/>
      <w:lvlJc w:val="left"/>
      <w:pPr>
        <w:tabs>
          <w:tab w:val="num" w:pos="2160"/>
        </w:tabs>
        <w:ind w:left="2160" w:hanging="360"/>
      </w:pPr>
      <w:rPr>
        <w:rFonts w:ascii="Arial" w:hAnsi="Arial" w:hint="default"/>
      </w:rPr>
    </w:lvl>
    <w:lvl w:ilvl="3" w:tplc="67209466" w:tentative="1">
      <w:start w:val="1"/>
      <w:numFmt w:val="bullet"/>
      <w:lvlText w:val="•"/>
      <w:lvlJc w:val="left"/>
      <w:pPr>
        <w:tabs>
          <w:tab w:val="num" w:pos="2880"/>
        </w:tabs>
        <w:ind w:left="2880" w:hanging="360"/>
      </w:pPr>
      <w:rPr>
        <w:rFonts w:ascii="Arial" w:hAnsi="Arial" w:hint="default"/>
      </w:rPr>
    </w:lvl>
    <w:lvl w:ilvl="4" w:tplc="A0D8E682" w:tentative="1">
      <w:start w:val="1"/>
      <w:numFmt w:val="bullet"/>
      <w:lvlText w:val="•"/>
      <w:lvlJc w:val="left"/>
      <w:pPr>
        <w:tabs>
          <w:tab w:val="num" w:pos="3600"/>
        </w:tabs>
        <w:ind w:left="3600" w:hanging="360"/>
      </w:pPr>
      <w:rPr>
        <w:rFonts w:ascii="Arial" w:hAnsi="Arial" w:hint="default"/>
      </w:rPr>
    </w:lvl>
    <w:lvl w:ilvl="5" w:tplc="C3EE2FD6" w:tentative="1">
      <w:start w:val="1"/>
      <w:numFmt w:val="bullet"/>
      <w:lvlText w:val="•"/>
      <w:lvlJc w:val="left"/>
      <w:pPr>
        <w:tabs>
          <w:tab w:val="num" w:pos="4320"/>
        </w:tabs>
        <w:ind w:left="4320" w:hanging="360"/>
      </w:pPr>
      <w:rPr>
        <w:rFonts w:ascii="Arial" w:hAnsi="Arial" w:hint="default"/>
      </w:rPr>
    </w:lvl>
    <w:lvl w:ilvl="6" w:tplc="91A4AB04" w:tentative="1">
      <w:start w:val="1"/>
      <w:numFmt w:val="bullet"/>
      <w:lvlText w:val="•"/>
      <w:lvlJc w:val="left"/>
      <w:pPr>
        <w:tabs>
          <w:tab w:val="num" w:pos="5040"/>
        </w:tabs>
        <w:ind w:left="5040" w:hanging="360"/>
      </w:pPr>
      <w:rPr>
        <w:rFonts w:ascii="Arial" w:hAnsi="Arial" w:hint="default"/>
      </w:rPr>
    </w:lvl>
    <w:lvl w:ilvl="7" w:tplc="35DA3A90" w:tentative="1">
      <w:start w:val="1"/>
      <w:numFmt w:val="bullet"/>
      <w:lvlText w:val="•"/>
      <w:lvlJc w:val="left"/>
      <w:pPr>
        <w:tabs>
          <w:tab w:val="num" w:pos="5760"/>
        </w:tabs>
        <w:ind w:left="5760" w:hanging="360"/>
      </w:pPr>
      <w:rPr>
        <w:rFonts w:ascii="Arial" w:hAnsi="Arial" w:hint="default"/>
      </w:rPr>
    </w:lvl>
    <w:lvl w:ilvl="8" w:tplc="29CCCE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F603A5"/>
    <w:multiLevelType w:val="hybridMultilevel"/>
    <w:tmpl w:val="C0342D52"/>
    <w:lvl w:ilvl="0" w:tplc="374A897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4D3261"/>
    <w:multiLevelType w:val="hybridMultilevel"/>
    <w:tmpl w:val="D256B01C"/>
    <w:lvl w:ilvl="0" w:tplc="A02AF6F0">
      <w:start w:val="1"/>
      <w:numFmt w:val="bullet"/>
      <w:lvlText w:val="•"/>
      <w:lvlJc w:val="left"/>
      <w:pPr>
        <w:tabs>
          <w:tab w:val="num" w:pos="720"/>
        </w:tabs>
        <w:ind w:left="720" w:hanging="360"/>
      </w:pPr>
      <w:rPr>
        <w:rFonts w:ascii="Arial" w:hAnsi="Arial" w:hint="default"/>
      </w:rPr>
    </w:lvl>
    <w:lvl w:ilvl="1" w:tplc="FAD08450" w:tentative="1">
      <w:start w:val="1"/>
      <w:numFmt w:val="bullet"/>
      <w:lvlText w:val="•"/>
      <w:lvlJc w:val="left"/>
      <w:pPr>
        <w:tabs>
          <w:tab w:val="num" w:pos="1440"/>
        </w:tabs>
        <w:ind w:left="1440" w:hanging="360"/>
      </w:pPr>
      <w:rPr>
        <w:rFonts w:ascii="Arial" w:hAnsi="Arial" w:hint="default"/>
      </w:rPr>
    </w:lvl>
    <w:lvl w:ilvl="2" w:tplc="8E0A8CE2" w:tentative="1">
      <w:start w:val="1"/>
      <w:numFmt w:val="bullet"/>
      <w:lvlText w:val="•"/>
      <w:lvlJc w:val="left"/>
      <w:pPr>
        <w:tabs>
          <w:tab w:val="num" w:pos="2160"/>
        </w:tabs>
        <w:ind w:left="2160" w:hanging="360"/>
      </w:pPr>
      <w:rPr>
        <w:rFonts w:ascii="Arial" w:hAnsi="Arial" w:hint="default"/>
      </w:rPr>
    </w:lvl>
    <w:lvl w:ilvl="3" w:tplc="290C04EE" w:tentative="1">
      <w:start w:val="1"/>
      <w:numFmt w:val="bullet"/>
      <w:lvlText w:val="•"/>
      <w:lvlJc w:val="left"/>
      <w:pPr>
        <w:tabs>
          <w:tab w:val="num" w:pos="2880"/>
        </w:tabs>
        <w:ind w:left="2880" w:hanging="360"/>
      </w:pPr>
      <w:rPr>
        <w:rFonts w:ascii="Arial" w:hAnsi="Arial" w:hint="default"/>
      </w:rPr>
    </w:lvl>
    <w:lvl w:ilvl="4" w:tplc="96608E1C" w:tentative="1">
      <w:start w:val="1"/>
      <w:numFmt w:val="bullet"/>
      <w:lvlText w:val="•"/>
      <w:lvlJc w:val="left"/>
      <w:pPr>
        <w:tabs>
          <w:tab w:val="num" w:pos="3600"/>
        </w:tabs>
        <w:ind w:left="3600" w:hanging="360"/>
      </w:pPr>
      <w:rPr>
        <w:rFonts w:ascii="Arial" w:hAnsi="Arial" w:hint="default"/>
      </w:rPr>
    </w:lvl>
    <w:lvl w:ilvl="5" w:tplc="565EBB9A" w:tentative="1">
      <w:start w:val="1"/>
      <w:numFmt w:val="bullet"/>
      <w:lvlText w:val="•"/>
      <w:lvlJc w:val="left"/>
      <w:pPr>
        <w:tabs>
          <w:tab w:val="num" w:pos="4320"/>
        </w:tabs>
        <w:ind w:left="4320" w:hanging="360"/>
      </w:pPr>
      <w:rPr>
        <w:rFonts w:ascii="Arial" w:hAnsi="Arial" w:hint="default"/>
      </w:rPr>
    </w:lvl>
    <w:lvl w:ilvl="6" w:tplc="B04AA216" w:tentative="1">
      <w:start w:val="1"/>
      <w:numFmt w:val="bullet"/>
      <w:lvlText w:val="•"/>
      <w:lvlJc w:val="left"/>
      <w:pPr>
        <w:tabs>
          <w:tab w:val="num" w:pos="5040"/>
        </w:tabs>
        <w:ind w:left="5040" w:hanging="360"/>
      </w:pPr>
      <w:rPr>
        <w:rFonts w:ascii="Arial" w:hAnsi="Arial" w:hint="default"/>
      </w:rPr>
    </w:lvl>
    <w:lvl w:ilvl="7" w:tplc="D69A54E2" w:tentative="1">
      <w:start w:val="1"/>
      <w:numFmt w:val="bullet"/>
      <w:lvlText w:val="•"/>
      <w:lvlJc w:val="left"/>
      <w:pPr>
        <w:tabs>
          <w:tab w:val="num" w:pos="5760"/>
        </w:tabs>
        <w:ind w:left="5760" w:hanging="360"/>
      </w:pPr>
      <w:rPr>
        <w:rFonts w:ascii="Arial" w:hAnsi="Arial" w:hint="default"/>
      </w:rPr>
    </w:lvl>
    <w:lvl w:ilvl="8" w:tplc="B8F088A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B0782A"/>
    <w:multiLevelType w:val="hybridMultilevel"/>
    <w:tmpl w:val="720807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5F3FBD"/>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27E9416C"/>
    <w:multiLevelType w:val="multilevel"/>
    <w:tmpl w:val="12EC62D2"/>
    <w:lvl w:ilvl="0">
      <w:start w:val="5"/>
      <w:numFmt w:val="decimal"/>
      <w:lvlText w:val="%1."/>
      <w:lvlJc w:val="left"/>
      <w:pPr>
        <w:ind w:left="1350" w:hanging="360"/>
      </w:pPr>
      <w:rPr>
        <w:rFonts w:eastAsia="Times New Roman" w:hint="default"/>
        <w:b/>
        <w:color w:val="000000"/>
      </w:rPr>
    </w:lvl>
    <w:lvl w:ilvl="1">
      <w:start w:val="1"/>
      <w:numFmt w:val="decimal"/>
      <w:isLgl/>
      <w:lvlText w:val="%1.%2."/>
      <w:lvlJc w:val="left"/>
      <w:pPr>
        <w:ind w:left="1710"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790" w:hanging="1800"/>
      </w:pPr>
      <w:rPr>
        <w:rFonts w:hint="default"/>
      </w:rPr>
    </w:lvl>
  </w:abstractNum>
  <w:abstractNum w:abstractNumId="11" w15:restartNumberingAfterBreak="0">
    <w:nsid w:val="28FE5B3E"/>
    <w:multiLevelType w:val="hybridMultilevel"/>
    <w:tmpl w:val="39A00090"/>
    <w:lvl w:ilvl="0" w:tplc="080A0001">
      <w:start w:val="1"/>
      <w:numFmt w:val="bullet"/>
      <w:lvlText w:val=""/>
      <w:lvlJc w:val="left"/>
      <w:pPr>
        <w:ind w:left="705" w:hanging="360"/>
      </w:pPr>
      <w:rPr>
        <w:rFonts w:ascii="Symbol" w:hAnsi="Symbol" w:hint="default"/>
      </w:rPr>
    </w:lvl>
    <w:lvl w:ilvl="1" w:tplc="080A0003" w:tentative="1">
      <w:start w:val="1"/>
      <w:numFmt w:val="bullet"/>
      <w:lvlText w:val="o"/>
      <w:lvlJc w:val="left"/>
      <w:pPr>
        <w:ind w:left="1425" w:hanging="360"/>
      </w:pPr>
      <w:rPr>
        <w:rFonts w:ascii="Courier New" w:hAnsi="Courier New" w:cs="Courier New" w:hint="default"/>
      </w:rPr>
    </w:lvl>
    <w:lvl w:ilvl="2" w:tplc="080A0005" w:tentative="1">
      <w:start w:val="1"/>
      <w:numFmt w:val="bullet"/>
      <w:lvlText w:val=""/>
      <w:lvlJc w:val="left"/>
      <w:pPr>
        <w:ind w:left="2145" w:hanging="360"/>
      </w:pPr>
      <w:rPr>
        <w:rFonts w:ascii="Wingdings" w:hAnsi="Wingdings" w:hint="default"/>
      </w:rPr>
    </w:lvl>
    <w:lvl w:ilvl="3" w:tplc="080A0001" w:tentative="1">
      <w:start w:val="1"/>
      <w:numFmt w:val="bullet"/>
      <w:lvlText w:val=""/>
      <w:lvlJc w:val="left"/>
      <w:pPr>
        <w:ind w:left="2865" w:hanging="360"/>
      </w:pPr>
      <w:rPr>
        <w:rFonts w:ascii="Symbol" w:hAnsi="Symbol" w:hint="default"/>
      </w:rPr>
    </w:lvl>
    <w:lvl w:ilvl="4" w:tplc="080A0003" w:tentative="1">
      <w:start w:val="1"/>
      <w:numFmt w:val="bullet"/>
      <w:lvlText w:val="o"/>
      <w:lvlJc w:val="left"/>
      <w:pPr>
        <w:ind w:left="3585" w:hanging="360"/>
      </w:pPr>
      <w:rPr>
        <w:rFonts w:ascii="Courier New" w:hAnsi="Courier New" w:cs="Courier New" w:hint="default"/>
      </w:rPr>
    </w:lvl>
    <w:lvl w:ilvl="5" w:tplc="080A0005" w:tentative="1">
      <w:start w:val="1"/>
      <w:numFmt w:val="bullet"/>
      <w:lvlText w:val=""/>
      <w:lvlJc w:val="left"/>
      <w:pPr>
        <w:ind w:left="4305" w:hanging="360"/>
      </w:pPr>
      <w:rPr>
        <w:rFonts w:ascii="Wingdings" w:hAnsi="Wingdings" w:hint="default"/>
      </w:rPr>
    </w:lvl>
    <w:lvl w:ilvl="6" w:tplc="080A0001" w:tentative="1">
      <w:start w:val="1"/>
      <w:numFmt w:val="bullet"/>
      <w:lvlText w:val=""/>
      <w:lvlJc w:val="left"/>
      <w:pPr>
        <w:ind w:left="5025" w:hanging="360"/>
      </w:pPr>
      <w:rPr>
        <w:rFonts w:ascii="Symbol" w:hAnsi="Symbol" w:hint="default"/>
      </w:rPr>
    </w:lvl>
    <w:lvl w:ilvl="7" w:tplc="080A0003" w:tentative="1">
      <w:start w:val="1"/>
      <w:numFmt w:val="bullet"/>
      <w:lvlText w:val="o"/>
      <w:lvlJc w:val="left"/>
      <w:pPr>
        <w:ind w:left="5745" w:hanging="360"/>
      </w:pPr>
      <w:rPr>
        <w:rFonts w:ascii="Courier New" w:hAnsi="Courier New" w:cs="Courier New" w:hint="default"/>
      </w:rPr>
    </w:lvl>
    <w:lvl w:ilvl="8" w:tplc="080A0005" w:tentative="1">
      <w:start w:val="1"/>
      <w:numFmt w:val="bullet"/>
      <w:lvlText w:val=""/>
      <w:lvlJc w:val="left"/>
      <w:pPr>
        <w:ind w:left="6465" w:hanging="360"/>
      </w:pPr>
      <w:rPr>
        <w:rFonts w:ascii="Wingdings" w:hAnsi="Wingdings" w:hint="default"/>
      </w:rPr>
    </w:lvl>
  </w:abstractNum>
  <w:abstractNum w:abstractNumId="12" w15:restartNumberingAfterBreak="0">
    <w:nsid w:val="2BB33EEA"/>
    <w:multiLevelType w:val="hybridMultilevel"/>
    <w:tmpl w:val="9CC22B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5212D3"/>
    <w:multiLevelType w:val="hybridMultilevel"/>
    <w:tmpl w:val="E368AB6E"/>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14" w15:restartNumberingAfterBreak="0">
    <w:nsid w:val="3B97447F"/>
    <w:multiLevelType w:val="multilevel"/>
    <w:tmpl w:val="0EA2C9E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sz w:val="22"/>
      </w:rPr>
    </w:lvl>
    <w:lvl w:ilvl="2">
      <w:start w:val="1"/>
      <w:numFmt w:val="decimal"/>
      <w:isLgl/>
      <w:lvlText w:val="%1.%2.%3"/>
      <w:lvlJc w:val="left"/>
      <w:pPr>
        <w:ind w:left="1080" w:hanging="720"/>
      </w:pPr>
      <w:rPr>
        <w:rFonts w:cs="Times New Roman" w:hint="default"/>
        <w:sz w:val="22"/>
      </w:rPr>
    </w:lvl>
    <w:lvl w:ilvl="3">
      <w:start w:val="1"/>
      <w:numFmt w:val="decimal"/>
      <w:isLgl/>
      <w:lvlText w:val="%1.%2.%3.%4"/>
      <w:lvlJc w:val="left"/>
      <w:pPr>
        <w:ind w:left="1440" w:hanging="1080"/>
      </w:pPr>
      <w:rPr>
        <w:rFonts w:cs="Times New Roman" w:hint="default"/>
        <w:sz w:val="22"/>
      </w:rPr>
    </w:lvl>
    <w:lvl w:ilvl="4">
      <w:start w:val="1"/>
      <w:numFmt w:val="decimal"/>
      <w:isLgl/>
      <w:lvlText w:val="%1.%2.%3.%4.%5"/>
      <w:lvlJc w:val="left"/>
      <w:pPr>
        <w:ind w:left="1440" w:hanging="1080"/>
      </w:pPr>
      <w:rPr>
        <w:rFonts w:cs="Times New Roman" w:hint="default"/>
        <w:sz w:val="22"/>
      </w:rPr>
    </w:lvl>
    <w:lvl w:ilvl="5">
      <w:start w:val="1"/>
      <w:numFmt w:val="decimal"/>
      <w:isLgl/>
      <w:lvlText w:val="%1.%2.%3.%4.%5.%6"/>
      <w:lvlJc w:val="left"/>
      <w:pPr>
        <w:ind w:left="1800" w:hanging="1440"/>
      </w:pPr>
      <w:rPr>
        <w:rFonts w:cs="Times New Roman" w:hint="default"/>
        <w:sz w:val="22"/>
      </w:rPr>
    </w:lvl>
    <w:lvl w:ilvl="6">
      <w:start w:val="1"/>
      <w:numFmt w:val="decimal"/>
      <w:isLgl/>
      <w:lvlText w:val="%1.%2.%3.%4.%5.%6.%7"/>
      <w:lvlJc w:val="left"/>
      <w:pPr>
        <w:ind w:left="1800" w:hanging="1440"/>
      </w:pPr>
      <w:rPr>
        <w:rFonts w:cs="Times New Roman" w:hint="default"/>
        <w:sz w:val="22"/>
      </w:rPr>
    </w:lvl>
    <w:lvl w:ilvl="7">
      <w:start w:val="1"/>
      <w:numFmt w:val="decimal"/>
      <w:isLgl/>
      <w:lvlText w:val="%1.%2.%3.%4.%5.%6.%7.%8"/>
      <w:lvlJc w:val="left"/>
      <w:pPr>
        <w:ind w:left="2160" w:hanging="1800"/>
      </w:pPr>
      <w:rPr>
        <w:rFonts w:cs="Times New Roman" w:hint="default"/>
        <w:sz w:val="22"/>
      </w:rPr>
    </w:lvl>
    <w:lvl w:ilvl="8">
      <w:start w:val="1"/>
      <w:numFmt w:val="decimal"/>
      <w:isLgl/>
      <w:lvlText w:val="%1.%2.%3.%4.%5.%6.%7.%8.%9"/>
      <w:lvlJc w:val="left"/>
      <w:pPr>
        <w:ind w:left="2160" w:hanging="1800"/>
      </w:pPr>
      <w:rPr>
        <w:rFonts w:cs="Times New Roman" w:hint="default"/>
        <w:sz w:val="22"/>
      </w:rPr>
    </w:lvl>
  </w:abstractNum>
  <w:abstractNum w:abstractNumId="15" w15:restartNumberingAfterBreak="0">
    <w:nsid w:val="43CE0ABA"/>
    <w:multiLevelType w:val="hybridMultilevel"/>
    <w:tmpl w:val="E8441B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E03D25"/>
    <w:multiLevelType w:val="hybridMultilevel"/>
    <w:tmpl w:val="EA9610FA"/>
    <w:lvl w:ilvl="0" w:tplc="53287B9C">
      <w:start w:val="3"/>
      <w:numFmt w:val="lowerLetter"/>
      <w:lvlText w:val="%1)"/>
      <w:lvlJc w:val="left"/>
      <w:pPr>
        <w:ind w:left="128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2500BE"/>
    <w:multiLevelType w:val="hybridMultilevel"/>
    <w:tmpl w:val="3ED87700"/>
    <w:lvl w:ilvl="0" w:tplc="F8BCE726">
      <w:numFmt w:val="bullet"/>
      <w:lvlText w:val="•"/>
      <w:lvlJc w:val="left"/>
      <w:pPr>
        <w:ind w:left="1070" w:hanging="71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2313E7"/>
    <w:multiLevelType w:val="hybridMultilevel"/>
    <w:tmpl w:val="8646B3EA"/>
    <w:lvl w:ilvl="0" w:tplc="080A0001">
      <w:start w:val="1"/>
      <w:numFmt w:val="bullet"/>
      <w:lvlText w:val=""/>
      <w:lvlJc w:val="left"/>
      <w:pPr>
        <w:ind w:left="705" w:hanging="360"/>
      </w:pPr>
      <w:rPr>
        <w:rFonts w:ascii="Symbol" w:hAnsi="Symbol" w:hint="default"/>
      </w:rPr>
    </w:lvl>
    <w:lvl w:ilvl="1" w:tplc="080A0003" w:tentative="1">
      <w:start w:val="1"/>
      <w:numFmt w:val="bullet"/>
      <w:lvlText w:val="o"/>
      <w:lvlJc w:val="left"/>
      <w:pPr>
        <w:ind w:left="1425" w:hanging="360"/>
      </w:pPr>
      <w:rPr>
        <w:rFonts w:ascii="Courier New" w:hAnsi="Courier New" w:cs="Courier New" w:hint="default"/>
      </w:rPr>
    </w:lvl>
    <w:lvl w:ilvl="2" w:tplc="080A0005" w:tentative="1">
      <w:start w:val="1"/>
      <w:numFmt w:val="bullet"/>
      <w:lvlText w:val=""/>
      <w:lvlJc w:val="left"/>
      <w:pPr>
        <w:ind w:left="2145" w:hanging="360"/>
      </w:pPr>
      <w:rPr>
        <w:rFonts w:ascii="Wingdings" w:hAnsi="Wingdings" w:hint="default"/>
      </w:rPr>
    </w:lvl>
    <w:lvl w:ilvl="3" w:tplc="080A0001" w:tentative="1">
      <w:start w:val="1"/>
      <w:numFmt w:val="bullet"/>
      <w:lvlText w:val=""/>
      <w:lvlJc w:val="left"/>
      <w:pPr>
        <w:ind w:left="2865" w:hanging="360"/>
      </w:pPr>
      <w:rPr>
        <w:rFonts w:ascii="Symbol" w:hAnsi="Symbol" w:hint="default"/>
      </w:rPr>
    </w:lvl>
    <w:lvl w:ilvl="4" w:tplc="080A0003" w:tentative="1">
      <w:start w:val="1"/>
      <w:numFmt w:val="bullet"/>
      <w:lvlText w:val="o"/>
      <w:lvlJc w:val="left"/>
      <w:pPr>
        <w:ind w:left="3585" w:hanging="360"/>
      </w:pPr>
      <w:rPr>
        <w:rFonts w:ascii="Courier New" w:hAnsi="Courier New" w:cs="Courier New" w:hint="default"/>
      </w:rPr>
    </w:lvl>
    <w:lvl w:ilvl="5" w:tplc="080A0005" w:tentative="1">
      <w:start w:val="1"/>
      <w:numFmt w:val="bullet"/>
      <w:lvlText w:val=""/>
      <w:lvlJc w:val="left"/>
      <w:pPr>
        <w:ind w:left="4305" w:hanging="360"/>
      </w:pPr>
      <w:rPr>
        <w:rFonts w:ascii="Wingdings" w:hAnsi="Wingdings" w:hint="default"/>
      </w:rPr>
    </w:lvl>
    <w:lvl w:ilvl="6" w:tplc="080A0001" w:tentative="1">
      <w:start w:val="1"/>
      <w:numFmt w:val="bullet"/>
      <w:lvlText w:val=""/>
      <w:lvlJc w:val="left"/>
      <w:pPr>
        <w:ind w:left="5025" w:hanging="360"/>
      </w:pPr>
      <w:rPr>
        <w:rFonts w:ascii="Symbol" w:hAnsi="Symbol" w:hint="default"/>
      </w:rPr>
    </w:lvl>
    <w:lvl w:ilvl="7" w:tplc="080A0003" w:tentative="1">
      <w:start w:val="1"/>
      <w:numFmt w:val="bullet"/>
      <w:lvlText w:val="o"/>
      <w:lvlJc w:val="left"/>
      <w:pPr>
        <w:ind w:left="5745" w:hanging="360"/>
      </w:pPr>
      <w:rPr>
        <w:rFonts w:ascii="Courier New" w:hAnsi="Courier New" w:cs="Courier New" w:hint="default"/>
      </w:rPr>
    </w:lvl>
    <w:lvl w:ilvl="8" w:tplc="080A0005" w:tentative="1">
      <w:start w:val="1"/>
      <w:numFmt w:val="bullet"/>
      <w:lvlText w:val=""/>
      <w:lvlJc w:val="left"/>
      <w:pPr>
        <w:ind w:left="6465" w:hanging="360"/>
      </w:pPr>
      <w:rPr>
        <w:rFonts w:ascii="Wingdings" w:hAnsi="Wingdings" w:hint="default"/>
      </w:rPr>
    </w:lvl>
  </w:abstractNum>
  <w:abstractNum w:abstractNumId="19" w15:restartNumberingAfterBreak="0">
    <w:nsid w:val="4D0212C2"/>
    <w:multiLevelType w:val="hybridMultilevel"/>
    <w:tmpl w:val="901043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F97515"/>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15:restartNumberingAfterBreak="0">
    <w:nsid w:val="56E558D5"/>
    <w:multiLevelType w:val="hybridMultilevel"/>
    <w:tmpl w:val="51244CE4"/>
    <w:lvl w:ilvl="0" w:tplc="080A0001">
      <w:start w:val="1"/>
      <w:numFmt w:val="bullet"/>
      <w:lvlText w:val=""/>
      <w:lvlJc w:val="left"/>
      <w:pPr>
        <w:ind w:left="705" w:hanging="360"/>
      </w:pPr>
      <w:rPr>
        <w:rFonts w:ascii="Symbol" w:hAnsi="Symbol" w:hint="default"/>
      </w:rPr>
    </w:lvl>
    <w:lvl w:ilvl="1" w:tplc="080A0003" w:tentative="1">
      <w:start w:val="1"/>
      <w:numFmt w:val="bullet"/>
      <w:lvlText w:val="o"/>
      <w:lvlJc w:val="left"/>
      <w:pPr>
        <w:ind w:left="1425" w:hanging="360"/>
      </w:pPr>
      <w:rPr>
        <w:rFonts w:ascii="Courier New" w:hAnsi="Courier New" w:cs="Courier New" w:hint="default"/>
      </w:rPr>
    </w:lvl>
    <w:lvl w:ilvl="2" w:tplc="080A0005" w:tentative="1">
      <w:start w:val="1"/>
      <w:numFmt w:val="bullet"/>
      <w:lvlText w:val=""/>
      <w:lvlJc w:val="left"/>
      <w:pPr>
        <w:ind w:left="2145" w:hanging="360"/>
      </w:pPr>
      <w:rPr>
        <w:rFonts w:ascii="Wingdings" w:hAnsi="Wingdings" w:hint="default"/>
      </w:rPr>
    </w:lvl>
    <w:lvl w:ilvl="3" w:tplc="080A0001" w:tentative="1">
      <w:start w:val="1"/>
      <w:numFmt w:val="bullet"/>
      <w:lvlText w:val=""/>
      <w:lvlJc w:val="left"/>
      <w:pPr>
        <w:ind w:left="2865" w:hanging="360"/>
      </w:pPr>
      <w:rPr>
        <w:rFonts w:ascii="Symbol" w:hAnsi="Symbol" w:hint="default"/>
      </w:rPr>
    </w:lvl>
    <w:lvl w:ilvl="4" w:tplc="080A0003" w:tentative="1">
      <w:start w:val="1"/>
      <w:numFmt w:val="bullet"/>
      <w:lvlText w:val="o"/>
      <w:lvlJc w:val="left"/>
      <w:pPr>
        <w:ind w:left="3585" w:hanging="360"/>
      </w:pPr>
      <w:rPr>
        <w:rFonts w:ascii="Courier New" w:hAnsi="Courier New" w:cs="Courier New" w:hint="default"/>
      </w:rPr>
    </w:lvl>
    <w:lvl w:ilvl="5" w:tplc="080A0005" w:tentative="1">
      <w:start w:val="1"/>
      <w:numFmt w:val="bullet"/>
      <w:lvlText w:val=""/>
      <w:lvlJc w:val="left"/>
      <w:pPr>
        <w:ind w:left="4305" w:hanging="360"/>
      </w:pPr>
      <w:rPr>
        <w:rFonts w:ascii="Wingdings" w:hAnsi="Wingdings" w:hint="default"/>
      </w:rPr>
    </w:lvl>
    <w:lvl w:ilvl="6" w:tplc="080A0001" w:tentative="1">
      <w:start w:val="1"/>
      <w:numFmt w:val="bullet"/>
      <w:lvlText w:val=""/>
      <w:lvlJc w:val="left"/>
      <w:pPr>
        <w:ind w:left="5025" w:hanging="360"/>
      </w:pPr>
      <w:rPr>
        <w:rFonts w:ascii="Symbol" w:hAnsi="Symbol" w:hint="default"/>
      </w:rPr>
    </w:lvl>
    <w:lvl w:ilvl="7" w:tplc="080A0003" w:tentative="1">
      <w:start w:val="1"/>
      <w:numFmt w:val="bullet"/>
      <w:lvlText w:val="o"/>
      <w:lvlJc w:val="left"/>
      <w:pPr>
        <w:ind w:left="5745" w:hanging="360"/>
      </w:pPr>
      <w:rPr>
        <w:rFonts w:ascii="Courier New" w:hAnsi="Courier New" w:cs="Courier New" w:hint="default"/>
      </w:rPr>
    </w:lvl>
    <w:lvl w:ilvl="8" w:tplc="080A0005" w:tentative="1">
      <w:start w:val="1"/>
      <w:numFmt w:val="bullet"/>
      <w:lvlText w:val=""/>
      <w:lvlJc w:val="left"/>
      <w:pPr>
        <w:ind w:left="6465" w:hanging="360"/>
      </w:pPr>
      <w:rPr>
        <w:rFonts w:ascii="Wingdings" w:hAnsi="Wingdings" w:hint="default"/>
      </w:rPr>
    </w:lvl>
  </w:abstractNum>
  <w:abstractNum w:abstractNumId="22" w15:restartNumberingAfterBreak="0">
    <w:nsid w:val="5770259C"/>
    <w:multiLevelType w:val="hybridMultilevel"/>
    <w:tmpl w:val="F57408F8"/>
    <w:lvl w:ilvl="0" w:tplc="7212AFA0">
      <w:start w:val="1"/>
      <w:numFmt w:val="low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5FC1441E"/>
    <w:multiLevelType w:val="hybridMultilevel"/>
    <w:tmpl w:val="FC4A6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0684843"/>
    <w:multiLevelType w:val="hybridMultilevel"/>
    <w:tmpl w:val="D6180B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34804BD"/>
    <w:multiLevelType w:val="multilevel"/>
    <w:tmpl w:val="1C1A79CA"/>
    <w:lvl w:ilvl="0">
      <w:start w:val="2"/>
      <w:numFmt w:val="decimal"/>
      <w:lvlText w:val="%1."/>
      <w:lvlJc w:val="left"/>
      <w:pPr>
        <w:ind w:left="1350" w:hanging="360"/>
      </w:pPr>
      <w:rPr>
        <w:rFonts w:eastAsia="Times New Roman" w:hint="default"/>
        <w:color w:val="000000"/>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26" w15:restartNumberingAfterBreak="0">
    <w:nsid w:val="662326F0"/>
    <w:multiLevelType w:val="hybridMultilevel"/>
    <w:tmpl w:val="7C52B1DC"/>
    <w:lvl w:ilvl="0" w:tplc="5DA4E360">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EB60DB8"/>
    <w:multiLevelType w:val="hybridMultilevel"/>
    <w:tmpl w:val="D9F89A08"/>
    <w:lvl w:ilvl="0" w:tplc="080A0001">
      <w:start w:val="1"/>
      <w:numFmt w:val="bullet"/>
      <w:lvlText w:val=""/>
      <w:lvlJc w:val="left"/>
      <w:pPr>
        <w:ind w:left="1335" w:hanging="360"/>
      </w:pPr>
      <w:rPr>
        <w:rFonts w:ascii="Symbol" w:hAnsi="Symbo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28" w15:restartNumberingAfterBreak="0">
    <w:nsid w:val="6FA84643"/>
    <w:multiLevelType w:val="hybridMultilevel"/>
    <w:tmpl w:val="78E21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20E4AA8"/>
    <w:multiLevelType w:val="hybridMultilevel"/>
    <w:tmpl w:val="A2DC820E"/>
    <w:lvl w:ilvl="0" w:tplc="04090001">
      <w:start w:val="1"/>
      <w:numFmt w:val="bullet"/>
      <w:lvlText w:val=""/>
      <w:lvlJc w:val="left"/>
      <w:pPr>
        <w:ind w:left="720" w:hanging="360"/>
      </w:pPr>
      <w:rPr>
        <w:rFonts w:ascii="Symbol" w:hAnsi="Symbol" w:hint="default"/>
      </w:rPr>
    </w:lvl>
    <w:lvl w:ilvl="1" w:tplc="DE286326">
      <w:start w:val="1"/>
      <w:numFmt w:val="decimal"/>
      <w:lvlText w:val="%2."/>
      <w:lvlJc w:val="left"/>
      <w:pPr>
        <w:ind w:left="1440" w:hanging="360"/>
      </w:pPr>
      <w:rPr>
        <w:rFonts w:hint="default"/>
        <w:b/>
      </w:rPr>
    </w:lvl>
    <w:lvl w:ilvl="2" w:tplc="DB8A00F6">
      <w:start w:val="1"/>
      <w:numFmt w:val="decimal"/>
      <w:lvlText w:val="%3."/>
      <w:lvlJc w:val="left"/>
      <w:pPr>
        <w:ind w:left="2160" w:hanging="360"/>
      </w:pPr>
      <w:rPr>
        <w:rFonts w:hint="default"/>
        <w:b/>
      </w:rPr>
    </w:lvl>
    <w:lvl w:ilvl="3" w:tplc="BDD423AA">
      <w:start w:val="1"/>
      <w:numFmt w:val="lowerLetter"/>
      <w:lvlText w:val="%4)"/>
      <w:lvlJc w:val="left"/>
      <w:pPr>
        <w:ind w:left="192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A24954"/>
    <w:multiLevelType w:val="hybridMultilevel"/>
    <w:tmpl w:val="BC6278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267EFA"/>
    <w:multiLevelType w:val="hybridMultilevel"/>
    <w:tmpl w:val="579EA4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D09190D"/>
    <w:multiLevelType w:val="hybridMultilevel"/>
    <w:tmpl w:val="965CAB9C"/>
    <w:lvl w:ilvl="0" w:tplc="08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1"/>
  </w:num>
  <w:num w:numId="4">
    <w:abstractNumId w:val="8"/>
  </w:num>
  <w:num w:numId="5">
    <w:abstractNumId w:val="2"/>
  </w:num>
  <w:num w:numId="6">
    <w:abstractNumId w:val="6"/>
  </w:num>
  <w:num w:numId="7">
    <w:abstractNumId w:val="27"/>
  </w:num>
  <w:num w:numId="8">
    <w:abstractNumId w:val="25"/>
  </w:num>
  <w:num w:numId="9">
    <w:abstractNumId w:val="29"/>
  </w:num>
  <w:num w:numId="10">
    <w:abstractNumId w:val="20"/>
  </w:num>
  <w:num w:numId="11">
    <w:abstractNumId w:val="16"/>
  </w:num>
  <w:num w:numId="12">
    <w:abstractNumId w:val="10"/>
  </w:num>
  <w:num w:numId="13">
    <w:abstractNumId w:val="9"/>
  </w:num>
  <w:num w:numId="14">
    <w:abstractNumId w:val="14"/>
  </w:num>
  <w:num w:numId="15">
    <w:abstractNumId w:val="3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6"/>
  </w:num>
  <w:num w:numId="19">
    <w:abstractNumId w:val="30"/>
  </w:num>
  <w:num w:numId="20">
    <w:abstractNumId w:val="24"/>
  </w:num>
  <w:num w:numId="21">
    <w:abstractNumId w:val="28"/>
  </w:num>
  <w:num w:numId="22">
    <w:abstractNumId w:val="23"/>
  </w:num>
  <w:num w:numId="23">
    <w:abstractNumId w:val="17"/>
  </w:num>
  <w:num w:numId="24">
    <w:abstractNumId w:val="3"/>
  </w:num>
  <w:num w:numId="25">
    <w:abstractNumId w:val="15"/>
  </w:num>
  <w:num w:numId="26">
    <w:abstractNumId w:val="7"/>
  </w:num>
  <w:num w:numId="27">
    <w:abstractNumId w:val="5"/>
  </w:num>
  <w:num w:numId="28">
    <w:abstractNumId w:val="18"/>
  </w:num>
  <w:num w:numId="29">
    <w:abstractNumId w:val="4"/>
  </w:num>
  <w:num w:numId="30">
    <w:abstractNumId w:val="11"/>
  </w:num>
  <w:num w:numId="31">
    <w:abstractNumId w:val="13"/>
  </w:num>
  <w:num w:numId="32">
    <w:abstractNumId w:val="21"/>
  </w:num>
  <w:num w:numId="3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ctiveWritingStyle w:appName="MSWord" w:lang="es-E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9A3"/>
    <w:rsid w:val="00000127"/>
    <w:rsid w:val="00000654"/>
    <w:rsid w:val="000006E1"/>
    <w:rsid w:val="00002499"/>
    <w:rsid w:val="000025BB"/>
    <w:rsid w:val="00002981"/>
    <w:rsid w:val="00002ED7"/>
    <w:rsid w:val="0000372C"/>
    <w:rsid w:val="000074F3"/>
    <w:rsid w:val="000075FB"/>
    <w:rsid w:val="00007D66"/>
    <w:rsid w:val="00007DEB"/>
    <w:rsid w:val="00010FAF"/>
    <w:rsid w:val="00011146"/>
    <w:rsid w:val="00011186"/>
    <w:rsid w:val="000117B8"/>
    <w:rsid w:val="000118E7"/>
    <w:rsid w:val="00011FD2"/>
    <w:rsid w:val="000120B1"/>
    <w:rsid w:val="000121FF"/>
    <w:rsid w:val="00012795"/>
    <w:rsid w:val="0001331B"/>
    <w:rsid w:val="000136E9"/>
    <w:rsid w:val="00013BAC"/>
    <w:rsid w:val="0001435C"/>
    <w:rsid w:val="00014926"/>
    <w:rsid w:val="00014D42"/>
    <w:rsid w:val="00015889"/>
    <w:rsid w:val="00015958"/>
    <w:rsid w:val="00015EB9"/>
    <w:rsid w:val="0001660E"/>
    <w:rsid w:val="00017027"/>
    <w:rsid w:val="0002034F"/>
    <w:rsid w:val="000213F2"/>
    <w:rsid w:val="000217AE"/>
    <w:rsid w:val="00021DD2"/>
    <w:rsid w:val="00021EB5"/>
    <w:rsid w:val="00022B72"/>
    <w:rsid w:val="00022BFC"/>
    <w:rsid w:val="00022E01"/>
    <w:rsid w:val="00023182"/>
    <w:rsid w:val="0002351F"/>
    <w:rsid w:val="0002377D"/>
    <w:rsid w:val="000239D1"/>
    <w:rsid w:val="00023D6E"/>
    <w:rsid w:val="000240F4"/>
    <w:rsid w:val="00024410"/>
    <w:rsid w:val="00024A0F"/>
    <w:rsid w:val="00024B17"/>
    <w:rsid w:val="000252EF"/>
    <w:rsid w:val="00025C43"/>
    <w:rsid w:val="00025D0F"/>
    <w:rsid w:val="0002608C"/>
    <w:rsid w:val="0002647D"/>
    <w:rsid w:val="00026C88"/>
    <w:rsid w:val="00026F99"/>
    <w:rsid w:val="000271BB"/>
    <w:rsid w:val="000272BB"/>
    <w:rsid w:val="00030395"/>
    <w:rsid w:val="000312EA"/>
    <w:rsid w:val="000318C7"/>
    <w:rsid w:val="00031A90"/>
    <w:rsid w:val="00032B4B"/>
    <w:rsid w:val="00032E29"/>
    <w:rsid w:val="00033962"/>
    <w:rsid w:val="00034189"/>
    <w:rsid w:val="000346C1"/>
    <w:rsid w:val="00034F2E"/>
    <w:rsid w:val="00036AD3"/>
    <w:rsid w:val="00036D35"/>
    <w:rsid w:val="00037219"/>
    <w:rsid w:val="00037DC7"/>
    <w:rsid w:val="000400AF"/>
    <w:rsid w:val="0004079A"/>
    <w:rsid w:val="00040829"/>
    <w:rsid w:val="000410EF"/>
    <w:rsid w:val="00041A70"/>
    <w:rsid w:val="00041A9E"/>
    <w:rsid w:val="000426D2"/>
    <w:rsid w:val="000427ED"/>
    <w:rsid w:val="00044709"/>
    <w:rsid w:val="00045A86"/>
    <w:rsid w:val="00045D23"/>
    <w:rsid w:val="00045FF3"/>
    <w:rsid w:val="0004645C"/>
    <w:rsid w:val="0004667E"/>
    <w:rsid w:val="00046703"/>
    <w:rsid w:val="00046B10"/>
    <w:rsid w:val="00047282"/>
    <w:rsid w:val="000475CD"/>
    <w:rsid w:val="000475DB"/>
    <w:rsid w:val="00047749"/>
    <w:rsid w:val="0004775D"/>
    <w:rsid w:val="000479BC"/>
    <w:rsid w:val="00047CE4"/>
    <w:rsid w:val="00049B76"/>
    <w:rsid w:val="000500CE"/>
    <w:rsid w:val="00050518"/>
    <w:rsid w:val="00050DEB"/>
    <w:rsid w:val="000513E3"/>
    <w:rsid w:val="00051637"/>
    <w:rsid w:val="00051EE7"/>
    <w:rsid w:val="00051FEC"/>
    <w:rsid w:val="00052A87"/>
    <w:rsid w:val="00052E60"/>
    <w:rsid w:val="000532AA"/>
    <w:rsid w:val="000534CC"/>
    <w:rsid w:val="00053820"/>
    <w:rsid w:val="00053A43"/>
    <w:rsid w:val="00054404"/>
    <w:rsid w:val="00055671"/>
    <w:rsid w:val="000557B1"/>
    <w:rsid w:val="00056381"/>
    <w:rsid w:val="00056469"/>
    <w:rsid w:val="00056649"/>
    <w:rsid w:val="000569DC"/>
    <w:rsid w:val="00056AF9"/>
    <w:rsid w:val="00056DC9"/>
    <w:rsid w:val="00057EEB"/>
    <w:rsid w:val="00060EEF"/>
    <w:rsid w:val="000611EE"/>
    <w:rsid w:val="00061701"/>
    <w:rsid w:val="00062045"/>
    <w:rsid w:val="000624F5"/>
    <w:rsid w:val="00062712"/>
    <w:rsid w:val="000627D7"/>
    <w:rsid w:val="00062BC4"/>
    <w:rsid w:val="000660A0"/>
    <w:rsid w:val="00066E87"/>
    <w:rsid w:val="00067B66"/>
    <w:rsid w:val="00067CCA"/>
    <w:rsid w:val="00067D53"/>
    <w:rsid w:val="00067F68"/>
    <w:rsid w:val="000702E6"/>
    <w:rsid w:val="0007113B"/>
    <w:rsid w:val="000713B2"/>
    <w:rsid w:val="00071815"/>
    <w:rsid w:val="00071E9D"/>
    <w:rsid w:val="00072D92"/>
    <w:rsid w:val="00072DA7"/>
    <w:rsid w:val="000740E0"/>
    <w:rsid w:val="00074422"/>
    <w:rsid w:val="00074C2F"/>
    <w:rsid w:val="00075BCA"/>
    <w:rsid w:val="00076180"/>
    <w:rsid w:val="00076D97"/>
    <w:rsid w:val="00076DA6"/>
    <w:rsid w:val="0007752D"/>
    <w:rsid w:val="00077DE8"/>
    <w:rsid w:val="00077E39"/>
    <w:rsid w:val="00080AD0"/>
    <w:rsid w:val="00081CBE"/>
    <w:rsid w:val="00081DCB"/>
    <w:rsid w:val="000823AE"/>
    <w:rsid w:val="00082E6E"/>
    <w:rsid w:val="00083962"/>
    <w:rsid w:val="00084072"/>
    <w:rsid w:val="00084D62"/>
    <w:rsid w:val="00085382"/>
    <w:rsid w:val="00085385"/>
    <w:rsid w:val="00085C21"/>
    <w:rsid w:val="000860A2"/>
    <w:rsid w:val="000860C5"/>
    <w:rsid w:val="0008643B"/>
    <w:rsid w:val="000869C7"/>
    <w:rsid w:val="00086C5F"/>
    <w:rsid w:val="00086FC2"/>
    <w:rsid w:val="0008739D"/>
    <w:rsid w:val="00087545"/>
    <w:rsid w:val="00090469"/>
    <w:rsid w:val="00091B17"/>
    <w:rsid w:val="00091DAF"/>
    <w:rsid w:val="00091EC4"/>
    <w:rsid w:val="00093566"/>
    <w:rsid w:val="00093D2F"/>
    <w:rsid w:val="0009499D"/>
    <w:rsid w:val="0009533F"/>
    <w:rsid w:val="00095421"/>
    <w:rsid w:val="0009562E"/>
    <w:rsid w:val="000956CF"/>
    <w:rsid w:val="00095F79"/>
    <w:rsid w:val="000962FD"/>
    <w:rsid w:val="00097866"/>
    <w:rsid w:val="00097AE9"/>
    <w:rsid w:val="00097B7E"/>
    <w:rsid w:val="000A0137"/>
    <w:rsid w:val="000A0646"/>
    <w:rsid w:val="000A12B9"/>
    <w:rsid w:val="000A18EA"/>
    <w:rsid w:val="000A1959"/>
    <w:rsid w:val="000A2D8A"/>
    <w:rsid w:val="000A2FE6"/>
    <w:rsid w:val="000A381D"/>
    <w:rsid w:val="000A3F9A"/>
    <w:rsid w:val="000A4328"/>
    <w:rsid w:val="000A4462"/>
    <w:rsid w:val="000A494B"/>
    <w:rsid w:val="000A59DD"/>
    <w:rsid w:val="000A631B"/>
    <w:rsid w:val="000A6620"/>
    <w:rsid w:val="000A7644"/>
    <w:rsid w:val="000B03AD"/>
    <w:rsid w:val="000B0DDB"/>
    <w:rsid w:val="000B24A7"/>
    <w:rsid w:val="000B30D0"/>
    <w:rsid w:val="000B3495"/>
    <w:rsid w:val="000B3A7A"/>
    <w:rsid w:val="000B435A"/>
    <w:rsid w:val="000B4616"/>
    <w:rsid w:val="000B4642"/>
    <w:rsid w:val="000B46AC"/>
    <w:rsid w:val="000B46CF"/>
    <w:rsid w:val="000B46EA"/>
    <w:rsid w:val="000B4F36"/>
    <w:rsid w:val="000B528B"/>
    <w:rsid w:val="000B53BD"/>
    <w:rsid w:val="000B5810"/>
    <w:rsid w:val="000B5D25"/>
    <w:rsid w:val="000B652D"/>
    <w:rsid w:val="000B7A04"/>
    <w:rsid w:val="000C01BA"/>
    <w:rsid w:val="000C0452"/>
    <w:rsid w:val="000C18A7"/>
    <w:rsid w:val="000C191C"/>
    <w:rsid w:val="000C25A1"/>
    <w:rsid w:val="000C2898"/>
    <w:rsid w:val="000C30F1"/>
    <w:rsid w:val="000C4AA9"/>
    <w:rsid w:val="000C5059"/>
    <w:rsid w:val="000C5412"/>
    <w:rsid w:val="000C58AE"/>
    <w:rsid w:val="000D151D"/>
    <w:rsid w:val="000D1B51"/>
    <w:rsid w:val="000D25F9"/>
    <w:rsid w:val="000D2D00"/>
    <w:rsid w:val="000D3E6A"/>
    <w:rsid w:val="000D4068"/>
    <w:rsid w:val="000D493C"/>
    <w:rsid w:val="000D4EC6"/>
    <w:rsid w:val="000D5105"/>
    <w:rsid w:val="000D51FD"/>
    <w:rsid w:val="000D5954"/>
    <w:rsid w:val="000D5F43"/>
    <w:rsid w:val="000D6C71"/>
    <w:rsid w:val="000D6D9E"/>
    <w:rsid w:val="000E106A"/>
    <w:rsid w:val="000E1BB5"/>
    <w:rsid w:val="000E1EAD"/>
    <w:rsid w:val="000E223D"/>
    <w:rsid w:val="000E2576"/>
    <w:rsid w:val="000E2672"/>
    <w:rsid w:val="000E32A8"/>
    <w:rsid w:val="000E353D"/>
    <w:rsid w:val="000E3E0E"/>
    <w:rsid w:val="000E47CD"/>
    <w:rsid w:val="000E5B37"/>
    <w:rsid w:val="000E61CF"/>
    <w:rsid w:val="000E6431"/>
    <w:rsid w:val="000E64F4"/>
    <w:rsid w:val="000E6A0C"/>
    <w:rsid w:val="000E6F48"/>
    <w:rsid w:val="000E6FE7"/>
    <w:rsid w:val="000F1128"/>
    <w:rsid w:val="000F13C8"/>
    <w:rsid w:val="000F20E2"/>
    <w:rsid w:val="000F216A"/>
    <w:rsid w:val="000F22F2"/>
    <w:rsid w:val="000F23FD"/>
    <w:rsid w:val="000F25B0"/>
    <w:rsid w:val="000F3095"/>
    <w:rsid w:val="000F3283"/>
    <w:rsid w:val="000F347C"/>
    <w:rsid w:val="000F39E4"/>
    <w:rsid w:val="000F4004"/>
    <w:rsid w:val="000F4084"/>
    <w:rsid w:val="000F40ED"/>
    <w:rsid w:val="000F43AD"/>
    <w:rsid w:val="000F4D26"/>
    <w:rsid w:val="000F5C39"/>
    <w:rsid w:val="000F5C83"/>
    <w:rsid w:val="000F6E14"/>
    <w:rsid w:val="000F77F9"/>
    <w:rsid w:val="000F7DAE"/>
    <w:rsid w:val="00100519"/>
    <w:rsid w:val="00100C62"/>
    <w:rsid w:val="00102408"/>
    <w:rsid w:val="00102828"/>
    <w:rsid w:val="00102C28"/>
    <w:rsid w:val="001035CC"/>
    <w:rsid w:val="00105207"/>
    <w:rsid w:val="0010577B"/>
    <w:rsid w:val="00105BED"/>
    <w:rsid w:val="0010649B"/>
    <w:rsid w:val="00106D8A"/>
    <w:rsid w:val="001071AD"/>
    <w:rsid w:val="00107206"/>
    <w:rsid w:val="00107A7F"/>
    <w:rsid w:val="00110D96"/>
    <w:rsid w:val="00110F3C"/>
    <w:rsid w:val="00111DDC"/>
    <w:rsid w:val="00111F64"/>
    <w:rsid w:val="001121F9"/>
    <w:rsid w:val="00112282"/>
    <w:rsid w:val="00112D38"/>
    <w:rsid w:val="00112DDF"/>
    <w:rsid w:val="00114092"/>
    <w:rsid w:val="001144FF"/>
    <w:rsid w:val="00114CCB"/>
    <w:rsid w:val="00115579"/>
    <w:rsid w:val="00115FF1"/>
    <w:rsid w:val="00116D92"/>
    <w:rsid w:val="0011794D"/>
    <w:rsid w:val="00120A31"/>
    <w:rsid w:val="00120A91"/>
    <w:rsid w:val="00121796"/>
    <w:rsid w:val="0012200F"/>
    <w:rsid w:val="00122900"/>
    <w:rsid w:val="00122BDC"/>
    <w:rsid w:val="0012302F"/>
    <w:rsid w:val="00123378"/>
    <w:rsid w:val="0012374A"/>
    <w:rsid w:val="001239A7"/>
    <w:rsid w:val="00123CFC"/>
    <w:rsid w:val="001240DD"/>
    <w:rsid w:val="0012443F"/>
    <w:rsid w:val="00124E0A"/>
    <w:rsid w:val="00124E68"/>
    <w:rsid w:val="00124E72"/>
    <w:rsid w:val="0012501E"/>
    <w:rsid w:val="00125583"/>
    <w:rsid w:val="00126E14"/>
    <w:rsid w:val="001275ED"/>
    <w:rsid w:val="0012765C"/>
    <w:rsid w:val="00127741"/>
    <w:rsid w:val="0012784A"/>
    <w:rsid w:val="001278C3"/>
    <w:rsid w:val="00127BB4"/>
    <w:rsid w:val="00130481"/>
    <w:rsid w:val="00130F75"/>
    <w:rsid w:val="001312F4"/>
    <w:rsid w:val="0013172A"/>
    <w:rsid w:val="0013185B"/>
    <w:rsid w:val="001318EA"/>
    <w:rsid w:val="00131916"/>
    <w:rsid w:val="001321AC"/>
    <w:rsid w:val="001323BC"/>
    <w:rsid w:val="00132D1A"/>
    <w:rsid w:val="00133669"/>
    <w:rsid w:val="00133A30"/>
    <w:rsid w:val="001353CE"/>
    <w:rsid w:val="00135B8B"/>
    <w:rsid w:val="001368EC"/>
    <w:rsid w:val="00136D1D"/>
    <w:rsid w:val="001378A7"/>
    <w:rsid w:val="0014253B"/>
    <w:rsid w:val="00143024"/>
    <w:rsid w:val="00143996"/>
    <w:rsid w:val="00143A99"/>
    <w:rsid w:val="00145020"/>
    <w:rsid w:val="00145573"/>
    <w:rsid w:val="00145B79"/>
    <w:rsid w:val="00146A15"/>
    <w:rsid w:val="001475AC"/>
    <w:rsid w:val="00147D49"/>
    <w:rsid w:val="00147EED"/>
    <w:rsid w:val="00151228"/>
    <w:rsid w:val="0015142D"/>
    <w:rsid w:val="0015149B"/>
    <w:rsid w:val="00151541"/>
    <w:rsid w:val="001523D2"/>
    <w:rsid w:val="00152517"/>
    <w:rsid w:val="00152D44"/>
    <w:rsid w:val="001532B7"/>
    <w:rsid w:val="001532BB"/>
    <w:rsid w:val="001537FF"/>
    <w:rsid w:val="00153AE3"/>
    <w:rsid w:val="00153E95"/>
    <w:rsid w:val="00154285"/>
    <w:rsid w:val="001546E4"/>
    <w:rsid w:val="001549AF"/>
    <w:rsid w:val="00154B61"/>
    <w:rsid w:val="00155155"/>
    <w:rsid w:val="0015580F"/>
    <w:rsid w:val="00155F3E"/>
    <w:rsid w:val="00156451"/>
    <w:rsid w:val="00156804"/>
    <w:rsid w:val="00157C35"/>
    <w:rsid w:val="00157EF0"/>
    <w:rsid w:val="00160E90"/>
    <w:rsid w:val="00160F50"/>
    <w:rsid w:val="001632EF"/>
    <w:rsid w:val="001646A0"/>
    <w:rsid w:val="00164F64"/>
    <w:rsid w:val="00166A7B"/>
    <w:rsid w:val="00170BCA"/>
    <w:rsid w:val="001710A2"/>
    <w:rsid w:val="00172482"/>
    <w:rsid w:val="00173372"/>
    <w:rsid w:val="00173460"/>
    <w:rsid w:val="00174C34"/>
    <w:rsid w:val="0017518D"/>
    <w:rsid w:val="0017527E"/>
    <w:rsid w:val="0017613E"/>
    <w:rsid w:val="00176D5A"/>
    <w:rsid w:val="00177681"/>
    <w:rsid w:val="00177B38"/>
    <w:rsid w:val="00180209"/>
    <w:rsid w:val="00180690"/>
    <w:rsid w:val="001813B4"/>
    <w:rsid w:val="00181646"/>
    <w:rsid w:val="001817AE"/>
    <w:rsid w:val="00181847"/>
    <w:rsid w:val="00182545"/>
    <w:rsid w:val="0018339C"/>
    <w:rsid w:val="00183694"/>
    <w:rsid w:val="00184791"/>
    <w:rsid w:val="00184811"/>
    <w:rsid w:val="00184EE0"/>
    <w:rsid w:val="0018652B"/>
    <w:rsid w:val="0018652E"/>
    <w:rsid w:val="0018654C"/>
    <w:rsid w:val="0018673E"/>
    <w:rsid w:val="00186BED"/>
    <w:rsid w:val="001870B1"/>
    <w:rsid w:val="0019000D"/>
    <w:rsid w:val="00190D5C"/>
    <w:rsid w:val="0019208E"/>
    <w:rsid w:val="001929AB"/>
    <w:rsid w:val="00192A8F"/>
    <w:rsid w:val="00192F9F"/>
    <w:rsid w:val="00193095"/>
    <w:rsid w:val="001940F3"/>
    <w:rsid w:val="001945D8"/>
    <w:rsid w:val="00194826"/>
    <w:rsid w:val="00194FC8"/>
    <w:rsid w:val="001959A6"/>
    <w:rsid w:val="00195E3D"/>
    <w:rsid w:val="00196E1F"/>
    <w:rsid w:val="001A0303"/>
    <w:rsid w:val="001A04B7"/>
    <w:rsid w:val="001A0A83"/>
    <w:rsid w:val="001A0DC4"/>
    <w:rsid w:val="001A0E2F"/>
    <w:rsid w:val="001A1169"/>
    <w:rsid w:val="001A11A2"/>
    <w:rsid w:val="001A11C5"/>
    <w:rsid w:val="001A37CB"/>
    <w:rsid w:val="001A4642"/>
    <w:rsid w:val="001A64F3"/>
    <w:rsid w:val="001A6BC1"/>
    <w:rsid w:val="001A6C30"/>
    <w:rsid w:val="001A6CC9"/>
    <w:rsid w:val="001A6DE0"/>
    <w:rsid w:val="001A7828"/>
    <w:rsid w:val="001A7FCB"/>
    <w:rsid w:val="001B03A4"/>
    <w:rsid w:val="001B0D9E"/>
    <w:rsid w:val="001B14B6"/>
    <w:rsid w:val="001B1F25"/>
    <w:rsid w:val="001B2F10"/>
    <w:rsid w:val="001B3B8E"/>
    <w:rsid w:val="001B3C65"/>
    <w:rsid w:val="001B4291"/>
    <w:rsid w:val="001B4318"/>
    <w:rsid w:val="001B4C7B"/>
    <w:rsid w:val="001B5044"/>
    <w:rsid w:val="001B560B"/>
    <w:rsid w:val="001B5A35"/>
    <w:rsid w:val="001B5F12"/>
    <w:rsid w:val="001B61C6"/>
    <w:rsid w:val="001B6B9D"/>
    <w:rsid w:val="001B78E6"/>
    <w:rsid w:val="001B7B33"/>
    <w:rsid w:val="001B7DD8"/>
    <w:rsid w:val="001C0572"/>
    <w:rsid w:val="001C1979"/>
    <w:rsid w:val="001C1FE5"/>
    <w:rsid w:val="001C24C9"/>
    <w:rsid w:val="001C2B17"/>
    <w:rsid w:val="001C2DE2"/>
    <w:rsid w:val="001C2F8A"/>
    <w:rsid w:val="001C3238"/>
    <w:rsid w:val="001C4228"/>
    <w:rsid w:val="001C4DE6"/>
    <w:rsid w:val="001C5530"/>
    <w:rsid w:val="001C5553"/>
    <w:rsid w:val="001C6AD8"/>
    <w:rsid w:val="001C7D24"/>
    <w:rsid w:val="001D0569"/>
    <w:rsid w:val="001D1731"/>
    <w:rsid w:val="001D1BA6"/>
    <w:rsid w:val="001D1FAF"/>
    <w:rsid w:val="001D2D3A"/>
    <w:rsid w:val="001D2D8A"/>
    <w:rsid w:val="001D43C0"/>
    <w:rsid w:val="001D45B6"/>
    <w:rsid w:val="001D476E"/>
    <w:rsid w:val="001D4F6E"/>
    <w:rsid w:val="001D50AC"/>
    <w:rsid w:val="001D5AEB"/>
    <w:rsid w:val="001D640B"/>
    <w:rsid w:val="001D6DB8"/>
    <w:rsid w:val="001D7A9C"/>
    <w:rsid w:val="001D7C17"/>
    <w:rsid w:val="001E01B1"/>
    <w:rsid w:val="001E0AA4"/>
    <w:rsid w:val="001E0C2C"/>
    <w:rsid w:val="001E0C9C"/>
    <w:rsid w:val="001E1182"/>
    <w:rsid w:val="001E11B3"/>
    <w:rsid w:val="001E20F2"/>
    <w:rsid w:val="001E3756"/>
    <w:rsid w:val="001E462C"/>
    <w:rsid w:val="001E5E2F"/>
    <w:rsid w:val="001E5E93"/>
    <w:rsid w:val="001E607F"/>
    <w:rsid w:val="001E6314"/>
    <w:rsid w:val="001E635C"/>
    <w:rsid w:val="001E673A"/>
    <w:rsid w:val="001E696A"/>
    <w:rsid w:val="001E78C1"/>
    <w:rsid w:val="001F10C3"/>
    <w:rsid w:val="001F12A4"/>
    <w:rsid w:val="001F1BCC"/>
    <w:rsid w:val="001F2635"/>
    <w:rsid w:val="001F33A2"/>
    <w:rsid w:val="001F3DF5"/>
    <w:rsid w:val="001F4098"/>
    <w:rsid w:val="001F48F6"/>
    <w:rsid w:val="001F4C39"/>
    <w:rsid w:val="001F55C6"/>
    <w:rsid w:val="001F5B75"/>
    <w:rsid w:val="001F628F"/>
    <w:rsid w:val="001F78C1"/>
    <w:rsid w:val="002000A2"/>
    <w:rsid w:val="002002F1"/>
    <w:rsid w:val="00201EAD"/>
    <w:rsid w:val="0020202A"/>
    <w:rsid w:val="00202EFC"/>
    <w:rsid w:val="002038F5"/>
    <w:rsid w:val="002041A9"/>
    <w:rsid w:val="0020457B"/>
    <w:rsid w:val="0020547F"/>
    <w:rsid w:val="002056A3"/>
    <w:rsid w:val="00206023"/>
    <w:rsid w:val="00206D64"/>
    <w:rsid w:val="00206DF8"/>
    <w:rsid w:val="00207956"/>
    <w:rsid w:val="00207991"/>
    <w:rsid w:val="00207D97"/>
    <w:rsid w:val="00210148"/>
    <w:rsid w:val="002101FF"/>
    <w:rsid w:val="00210F65"/>
    <w:rsid w:val="002112F4"/>
    <w:rsid w:val="002114C3"/>
    <w:rsid w:val="0021194D"/>
    <w:rsid w:val="002128DA"/>
    <w:rsid w:val="0021380F"/>
    <w:rsid w:val="00214A6E"/>
    <w:rsid w:val="00214DAA"/>
    <w:rsid w:val="00214E2F"/>
    <w:rsid w:val="002157E9"/>
    <w:rsid w:val="0021646E"/>
    <w:rsid w:val="002168E1"/>
    <w:rsid w:val="00216C22"/>
    <w:rsid w:val="00216F16"/>
    <w:rsid w:val="002170E6"/>
    <w:rsid w:val="00217892"/>
    <w:rsid w:val="00217AC2"/>
    <w:rsid w:val="00217E09"/>
    <w:rsid w:val="00217E5D"/>
    <w:rsid w:val="00220623"/>
    <w:rsid w:val="00220AA3"/>
    <w:rsid w:val="002218EB"/>
    <w:rsid w:val="00221F39"/>
    <w:rsid w:val="00222C0C"/>
    <w:rsid w:val="00222D67"/>
    <w:rsid w:val="00222F56"/>
    <w:rsid w:val="00223317"/>
    <w:rsid w:val="002239E5"/>
    <w:rsid w:val="002258D1"/>
    <w:rsid w:val="00225C4D"/>
    <w:rsid w:val="00226A06"/>
    <w:rsid w:val="0022799A"/>
    <w:rsid w:val="00227A48"/>
    <w:rsid w:val="0023025E"/>
    <w:rsid w:val="00231313"/>
    <w:rsid w:val="00231441"/>
    <w:rsid w:val="00231A96"/>
    <w:rsid w:val="00231E1E"/>
    <w:rsid w:val="002340B9"/>
    <w:rsid w:val="00234A35"/>
    <w:rsid w:val="002351B6"/>
    <w:rsid w:val="0023578B"/>
    <w:rsid w:val="00237428"/>
    <w:rsid w:val="00237B45"/>
    <w:rsid w:val="00240574"/>
    <w:rsid w:val="00241391"/>
    <w:rsid w:val="00241474"/>
    <w:rsid w:val="00241C59"/>
    <w:rsid w:val="002427AB"/>
    <w:rsid w:val="00242A75"/>
    <w:rsid w:val="00243709"/>
    <w:rsid w:val="002439E1"/>
    <w:rsid w:val="00243A92"/>
    <w:rsid w:val="00243FEA"/>
    <w:rsid w:val="002448ED"/>
    <w:rsid w:val="0024504B"/>
    <w:rsid w:val="00245509"/>
    <w:rsid w:val="00247051"/>
    <w:rsid w:val="00247864"/>
    <w:rsid w:val="002506E4"/>
    <w:rsid w:val="00250912"/>
    <w:rsid w:val="00250D0C"/>
    <w:rsid w:val="00250D72"/>
    <w:rsid w:val="002518D6"/>
    <w:rsid w:val="00252A34"/>
    <w:rsid w:val="00252A53"/>
    <w:rsid w:val="00253B5A"/>
    <w:rsid w:val="00253DB4"/>
    <w:rsid w:val="00253DED"/>
    <w:rsid w:val="00254576"/>
    <w:rsid w:val="00254B5F"/>
    <w:rsid w:val="00254EC9"/>
    <w:rsid w:val="002551C4"/>
    <w:rsid w:val="002561F0"/>
    <w:rsid w:val="002562C4"/>
    <w:rsid w:val="0025649D"/>
    <w:rsid w:val="002566F4"/>
    <w:rsid w:val="00256900"/>
    <w:rsid w:val="002569F8"/>
    <w:rsid w:val="00256D40"/>
    <w:rsid w:val="00257C25"/>
    <w:rsid w:val="002611DC"/>
    <w:rsid w:val="002619A0"/>
    <w:rsid w:val="00261B06"/>
    <w:rsid w:val="00262859"/>
    <w:rsid w:val="00263CB3"/>
    <w:rsid w:val="0026402D"/>
    <w:rsid w:val="002668B7"/>
    <w:rsid w:val="002702AE"/>
    <w:rsid w:val="00270F73"/>
    <w:rsid w:val="002710E0"/>
    <w:rsid w:val="00271552"/>
    <w:rsid w:val="00271A36"/>
    <w:rsid w:val="00271B7F"/>
    <w:rsid w:val="0027218B"/>
    <w:rsid w:val="0027248F"/>
    <w:rsid w:val="0027252C"/>
    <w:rsid w:val="002725D4"/>
    <w:rsid w:val="00272D78"/>
    <w:rsid w:val="00272EDE"/>
    <w:rsid w:val="002732E2"/>
    <w:rsid w:val="00273823"/>
    <w:rsid w:val="00273B26"/>
    <w:rsid w:val="00273EF6"/>
    <w:rsid w:val="002742E3"/>
    <w:rsid w:val="002746A9"/>
    <w:rsid w:val="002746EB"/>
    <w:rsid w:val="00274CEF"/>
    <w:rsid w:val="0027654E"/>
    <w:rsid w:val="00276697"/>
    <w:rsid w:val="002768F6"/>
    <w:rsid w:val="00276A1D"/>
    <w:rsid w:val="00277614"/>
    <w:rsid w:val="00280421"/>
    <w:rsid w:val="00280780"/>
    <w:rsid w:val="00280C75"/>
    <w:rsid w:val="00281DFC"/>
    <w:rsid w:val="0028208B"/>
    <w:rsid w:val="002821A9"/>
    <w:rsid w:val="00284828"/>
    <w:rsid w:val="0028567D"/>
    <w:rsid w:val="002856EC"/>
    <w:rsid w:val="00285A94"/>
    <w:rsid w:val="0028705A"/>
    <w:rsid w:val="0028789C"/>
    <w:rsid w:val="002878F1"/>
    <w:rsid w:val="002907B0"/>
    <w:rsid w:val="00291A24"/>
    <w:rsid w:val="00291AB7"/>
    <w:rsid w:val="0029262E"/>
    <w:rsid w:val="002928B2"/>
    <w:rsid w:val="00292DCA"/>
    <w:rsid w:val="00293A0C"/>
    <w:rsid w:val="00293C6A"/>
    <w:rsid w:val="00294DDC"/>
    <w:rsid w:val="00295195"/>
    <w:rsid w:val="0029526D"/>
    <w:rsid w:val="00295449"/>
    <w:rsid w:val="002959C1"/>
    <w:rsid w:val="002963AC"/>
    <w:rsid w:val="00296904"/>
    <w:rsid w:val="00296B8D"/>
    <w:rsid w:val="00296E04"/>
    <w:rsid w:val="002974A3"/>
    <w:rsid w:val="00297A77"/>
    <w:rsid w:val="002A0167"/>
    <w:rsid w:val="002A0455"/>
    <w:rsid w:val="002A0831"/>
    <w:rsid w:val="002A1A41"/>
    <w:rsid w:val="002A2665"/>
    <w:rsid w:val="002A355F"/>
    <w:rsid w:val="002A38B3"/>
    <w:rsid w:val="002A3FCE"/>
    <w:rsid w:val="002A41A0"/>
    <w:rsid w:val="002A4335"/>
    <w:rsid w:val="002A48BC"/>
    <w:rsid w:val="002A4B71"/>
    <w:rsid w:val="002A52F9"/>
    <w:rsid w:val="002A5610"/>
    <w:rsid w:val="002A5B98"/>
    <w:rsid w:val="002A67C9"/>
    <w:rsid w:val="002A70BE"/>
    <w:rsid w:val="002A71BB"/>
    <w:rsid w:val="002A7903"/>
    <w:rsid w:val="002A7B8E"/>
    <w:rsid w:val="002A7C01"/>
    <w:rsid w:val="002A7E0A"/>
    <w:rsid w:val="002B016A"/>
    <w:rsid w:val="002B058F"/>
    <w:rsid w:val="002B1C11"/>
    <w:rsid w:val="002B1C47"/>
    <w:rsid w:val="002B1ECF"/>
    <w:rsid w:val="002B2933"/>
    <w:rsid w:val="002B2A84"/>
    <w:rsid w:val="002B4812"/>
    <w:rsid w:val="002B55F9"/>
    <w:rsid w:val="002B5DAC"/>
    <w:rsid w:val="002B633A"/>
    <w:rsid w:val="002B64C9"/>
    <w:rsid w:val="002B68FA"/>
    <w:rsid w:val="002B6EEA"/>
    <w:rsid w:val="002B6F88"/>
    <w:rsid w:val="002B79B8"/>
    <w:rsid w:val="002B7F7A"/>
    <w:rsid w:val="002C04FC"/>
    <w:rsid w:val="002C14DB"/>
    <w:rsid w:val="002C1740"/>
    <w:rsid w:val="002C305D"/>
    <w:rsid w:val="002C3451"/>
    <w:rsid w:val="002C375C"/>
    <w:rsid w:val="002C3A95"/>
    <w:rsid w:val="002C3B21"/>
    <w:rsid w:val="002C3EAC"/>
    <w:rsid w:val="002C433A"/>
    <w:rsid w:val="002C4C54"/>
    <w:rsid w:val="002C50D0"/>
    <w:rsid w:val="002C626F"/>
    <w:rsid w:val="002C6703"/>
    <w:rsid w:val="002C6811"/>
    <w:rsid w:val="002C7ECB"/>
    <w:rsid w:val="002C7F0F"/>
    <w:rsid w:val="002D002D"/>
    <w:rsid w:val="002D083F"/>
    <w:rsid w:val="002D0EA3"/>
    <w:rsid w:val="002D1F93"/>
    <w:rsid w:val="002D2268"/>
    <w:rsid w:val="002D2818"/>
    <w:rsid w:val="002D4A1C"/>
    <w:rsid w:val="002D55B8"/>
    <w:rsid w:val="002D571E"/>
    <w:rsid w:val="002D5A80"/>
    <w:rsid w:val="002D5FE4"/>
    <w:rsid w:val="002D6486"/>
    <w:rsid w:val="002D6C5E"/>
    <w:rsid w:val="002D75B1"/>
    <w:rsid w:val="002D76C9"/>
    <w:rsid w:val="002E06EC"/>
    <w:rsid w:val="002E0860"/>
    <w:rsid w:val="002E09C8"/>
    <w:rsid w:val="002E0CB1"/>
    <w:rsid w:val="002E144E"/>
    <w:rsid w:val="002E1DF9"/>
    <w:rsid w:val="002E1E19"/>
    <w:rsid w:val="002E23A9"/>
    <w:rsid w:val="002E2868"/>
    <w:rsid w:val="002E2B95"/>
    <w:rsid w:val="002E2C9D"/>
    <w:rsid w:val="002E3889"/>
    <w:rsid w:val="002E3BDC"/>
    <w:rsid w:val="002E4014"/>
    <w:rsid w:val="002E45B0"/>
    <w:rsid w:val="002E4DC8"/>
    <w:rsid w:val="002E4F6E"/>
    <w:rsid w:val="002E5677"/>
    <w:rsid w:val="002E5B02"/>
    <w:rsid w:val="002E5F15"/>
    <w:rsid w:val="002E615F"/>
    <w:rsid w:val="002E61A3"/>
    <w:rsid w:val="002E62FE"/>
    <w:rsid w:val="002E6853"/>
    <w:rsid w:val="002E6DE0"/>
    <w:rsid w:val="002E76F2"/>
    <w:rsid w:val="002F0087"/>
    <w:rsid w:val="002F06CB"/>
    <w:rsid w:val="002F074E"/>
    <w:rsid w:val="002F1284"/>
    <w:rsid w:val="002F1CC1"/>
    <w:rsid w:val="002F339F"/>
    <w:rsid w:val="002F3457"/>
    <w:rsid w:val="002F3CB2"/>
    <w:rsid w:val="002F47EC"/>
    <w:rsid w:val="002F4FC7"/>
    <w:rsid w:val="002F52A2"/>
    <w:rsid w:val="002F6DDF"/>
    <w:rsid w:val="002F71F0"/>
    <w:rsid w:val="002F78AC"/>
    <w:rsid w:val="002F7BB7"/>
    <w:rsid w:val="002F7D35"/>
    <w:rsid w:val="002F7F2F"/>
    <w:rsid w:val="0030006A"/>
    <w:rsid w:val="0030018B"/>
    <w:rsid w:val="003006F2"/>
    <w:rsid w:val="003014DB"/>
    <w:rsid w:val="00301EA8"/>
    <w:rsid w:val="0030210E"/>
    <w:rsid w:val="0030245D"/>
    <w:rsid w:val="003033BB"/>
    <w:rsid w:val="00303972"/>
    <w:rsid w:val="00303986"/>
    <w:rsid w:val="00304815"/>
    <w:rsid w:val="00304DFE"/>
    <w:rsid w:val="003051CB"/>
    <w:rsid w:val="00305285"/>
    <w:rsid w:val="003053DE"/>
    <w:rsid w:val="0030545A"/>
    <w:rsid w:val="0030587E"/>
    <w:rsid w:val="00307709"/>
    <w:rsid w:val="00307B3C"/>
    <w:rsid w:val="00307CAA"/>
    <w:rsid w:val="00310A51"/>
    <w:rsid w:val="0031192B"/>
    <w:rsid w:val="00311C2C"/>
    <w:rsid w:val="003120D8"/>
    <w:rsid w:val="0031216F"/>
    <w:rsid w:val="00313105"/>
    <w:rsid w:val="003141BE"/>
    <w:rsid w:val="003141D7"/>
    <w:rsid w:val="003146CE"/>
    <w:rsid w:val="00315149"/>
    <w:rsid w:val="003152E6"/>
    <w:rsid w:val="0031565E"/>
    <w:rsid w:val="00315CEB"/>
    <w:rsid w:val="00315E81"/>
    <w:rsid w:val="0031757D"/>
    <w:rsid w:val="00317713"/>
    <w:rsid w:val="00317763"/>
    <w:rsid w:val="00317B8B"/>
    <w:rsid w:val="003203AE"/>
    <w:rsid w:val="00321A2B"/>
    <w:rsid w:val="00321D9D"/>
    <w:rsid w:val="00321FB4"/>
    <w:rsid w:val="00322348"/>
    <w:rsid w:val="003225C8"/>
    <w:rsid w:val="003225F8"/>
    <w:rsid w:val="00322EC6"/>
    <w:rsid w:val="00323632"/>
    <w:rsid w:val="0032366D"/>
    <w:rsid w:val="00323C80"/>
    <w:rsid w:val="00323D78"/>
    <w:rsid w:val="00323F4A"/>
    <w:rsid w:val="003243D8"/>
    <w:rsid w:val="00324867"/>
    <w:rsid w:val="00324C88"/>
    <w:rsid w:val="00324E4C"/>
    <w:rsid w:val="00325634"/>
    <w:rsid w:val="00325E77"/>
    <w:rsid w:val="003260DF"/>
    <w:rsid w:val="003267A3"/>
    <w:rsid w:val="00326B3D"/>
    <w:rsid w:val="00326D05"/>
    <w:rsid w:val="00327B44"/>
    <w:rsid w:val="00327D93"/>
    <w:rsid w:val="00330D28"/>
    <w:rsid w:val="003310CC"/>
    <w:rsid w:val="003328AF"/>
    <w:rsid w:val="00332ED3"/>
    <w:rsid w:val="00333176"/>
    <w:rsid w:val="00333A7C"/>
    <w:rsid w:val="00333ED4"/>
    <w:rsid w:val="003340CA"/>
    <w:rsid w:val="00334E2D"/>
    <w:rsid w:val="00334E75"/>
    <w:rsid w:val="0033532F"/>
    <w:rsid w:val="00335E1A"/>
    <w:rsid w:val="00335F0E"/>
    <w:rsid w:val="00336213"/>
    <w:rsid w:val="00336482"/>
    <w:rsid w:val="00336A1C"/>
    <w:rsid w:val="00336D48"/>
    <w:rsid w:val="0033732E"/>
    <w:rsid w:val="00337D5D"/>
    <w:rsid w:val="00337FD0"/>
    <w:rsid w:val="0034000A"/>
    <w:rsid w:val="00340185"/>
    <w:rsid w:val="0034096C"/>
    <w:rsid w:val="00341DBC"/>
    <w:rsid w:val="00342A96"/>
    <w:rsid w:val="00342C06"/>
    <w:rsid w:val="00342C6D"/>
    <w:rsid w:val="0034368A"/>
    <w:rsid w:val="00343A4F"/>
    <w:rsid w:val="00343D3E"/>
    <w:rsid w:val="00343F3F"/>
    <w:rsid w:val="0034470D"/>
    <w:rsid w:val="00344D7E"/>
    <w:rsid w:val="00344F53"/>
    <w:rsid w:val="003457A4"/>
    <w:rsid w:val="00345833"/>
    <w:rsid w:val="00345D31"/>
    <w:rsid w:val="003461F9"/>
    <w:rsid w:val="00347882"/>
    <w:rsid w:val="00347B01"/>
    <w:rsid w:val="00350010"/>
    <w:rsid w:val="00350666"/>
    <w:rsid w:val="00350AE0"/>
    <w:rsid w:val="00350D18"/>
    <w:rsid w:val="0035148F"/>
    <w:rsid w:val="00351B09"/>
    <w:rsid w:val="00352184"/>
    <w:rsid w:val="00352A0E"/>
    <w:rsid w:val="00352A73"/>
    <w:rsid w:val="00352EEF"/>
    <w:rsid w:val="00352FC2"/>
    <w:rsid w:val="003535F8"/>
    <w:rsid w:val="00353B69"/>
    <w:rsid w:val="00354744"/>
    <w:rsid w:val="00354A65"/>
    <w:rsid w:val="00354D78"/>
    <w:rsid w:val="00355E21"/>
    <w:rsid w:val="00355FE5"/>
    <w:rsid w:val="00356FBC"/>
    <w:rsid w:val="0035711E"/>
    <w:rsid w:val="00357B44"/>
    <w:rsid w:val="00357CEA"/>
    <w:rsid w:val="00357E91"/>
    <w:rsid w:val="003602B7"/>
    <w:rsid w:val="003602F1"/>
    <w:rsid w:val="003606A1"/>
    <w:rsid w:val="00360BE0"/>
    <w:rsid w:val="003612FA"/>
    <w:rsid w:val="00361B88"/>
    <w:rsid w:val="00362618"/>
    <w:rsid w:val="003627B6"/>
    <w:rsid w:val="00363C01"/>
    <w:rsid w:val="00363D3E"/>
    <w:rsid w:val="00363E43"/>
    <w:rsid w:val="00365566"/>
    <w:rsid w:val="003665A4"/>
    <w:rsid w:val="00366BC3"/>
    <w:rsid w:val="00366DFE"/>
    <w:rsid w:val="00366E31"/>
    <w:rsid w:val="0036712A"/>
    <w:rsid w:val="00370CE1"/>
    <w:rsid w:val="003722E4"/>
    <w:rsid w:val="003726DF"/>
    <w:rsid w:val="0037286C"/>
    <w:rsid w:val="00372EB8"/>
    <w:rsid w:val="00373314"/>
    <w:rsid w:val="00373A37"/>
    <w:rsid w:val="00373BE9"/>
    <w:rsid w:val="00373FDF"/>
    <w:rsid w:val="003744EA"/>
    <w:rsid w:val="00374DDC"/>
    <w:rsid w:val="00374FA6"/>
    <w:rsid w:val="00374FAA"/>
    <w:rsid w:val="003750A9"/>
    <w:rsid w:val="003751A4"/>
    <w:rsid w:val="003761D3"/>
    <w:rsid w:val="00376355"/>
    <w:rsid w:val="00376750"/>
    <w:rsid w:val="00376DD6"/>
    <w:rsid w:val="003778A9"/>
    <w:rsid w:val="00377BFA"/>
    <w:rsid w:val="00377DDF"/>
    <w:rsid w:val="00380A58"/>
    <w:rsid w:val="00380C08"/>
    <w:rsid w:val="0038166F"/>
    <w:rsid w:val="00381FE2"/>
    <w:rsid w:val="00382010"/>
    <w:rsid w:val="00382F0C"/>
    <w:rsid w:val="0038327C"/>
    <w:rsid w:val="00383F45"/>
    <w:rsid w:val="00384310"/>
    <w:rsid w:val="00384835"/>
    <w:rsid w:val="00384A18"/>
    <w:rsid w:val="00385389"/>
    <w:rsid w:val="00385529"/>
    <w:rsid w:val="0038564B"/>
    <w:rsid w:val="00385913"/>
    <w:rsid w:val="003861D6"/>
    <w:rsid w:val="00386614"/>
    <w:rsid w:val="00386740"/>
    <w:rsid w:val="0038718B"/>
    <w:rsid w:val="00387FC3"/>
    <w:rsid w:val="0039034F"/>
    <w:rsid w:val="003908B0"/>
    <w:rsid w:val="00390E03"/>
    <w:rsid w:val="00390F37"/>
    <w:rsid w:val="003912EF"/>
    <w:rsid w:val="003918D3"/>
    <w:rsid w:val="00392193"/>
    <w:rsid w:val="0039228A"/>
    <w:rsid w:val="00392711"/>
    <w:rsid w:val="003927A0"/>
    <w:rsid w:val="00392B8C"/>
    <w:rsid w:val="0039380E"/>
    <w:rsid w:val="003939D1"/>
    <w:rsid w:val="00393FEC"/>
    <w:rsid w:val="00395A83"/>
    <w:rsid w:val="00395D87"/>
    <w:rsid w:val="003A0208"/>
    <w:rsid w:val="003A0362"/>
    <w:rsid w:val="003A1610"/>
    <w:rsid w:val="003A17EA"/>
    <w:rsid w:val="003A1ABA"/>
    <w:rsid w:val="003A1D1D"/>
    <w:rsid w:val="003A251C"/>
    <w:rsid w:val="003A26FF"/>
    <w:rsid w:val="003A3015"/>
    <w:rsid w:val="003A3583"/>
    <w:rsid w:val="003A39F1"/>
    <w:rsid w:val="003A4377"/>
    <w:rsid w:val="003A4568"/>
    <w:rsid w:val="003A4D98"/>
    <w:rsid w:val="003A4FC9"/>
    <w:rsid w:val="003A5650"/>
    <w:rsid w:val="003A60A5"/>
    <w:rsid w:val="003A69F1"/>
    <w:rsid w:val="003A6C97"/>
    <w:rsid w:val="003A72B3"/>
    <w:rsid w:val="003A7FB4"/>
    <w:rsid w:val="003B07BE"/>
    <w:rsid w:val="003B2433"/>
    <w:rsid w:val="003B2488"/>
    <w:rsid w:val="003B3484"/>
    <w:rsid w:val="003B4034"/>
    <w:rsid w:val="003B4E18"/>
    <w:rsid w:val="003B56CC"/>
    <w:rsid w:val="003B5ACF"/>
    <w:rsid w:val="003B5CF5"/>
    <w:rsid w:val="003B5E47"/>
    <w:rsid w:val="003B67FC"/>
    <w:rsid w:val="003B6BEE"/>
    <w:rsid w:val="003B7045"/>
    <w:rsid w:val="003B7672"/>
    <w:rsid w:val="003B783E"/>
    <w:rsid w:val="003B7B22"/>
    <w:rsid w:val="003B7D21"/>
    <w:rsid w:val="003C1926"/>
    <w:rsid w:val="003C1B93"/>
    <w:rsid w:val="003C4331"/>
    <w:rsid w:val="003C4B55"/>
    <w:rsid w:val="003C5374"/>
    <w:rsid w:val="003C678D"/>
    <w:rsid w:val="003C6815"/>
    <w:rsid w:val="003C69E6"/>
    <w:rsid w:val="003C6E8E"/>
    <w:rsid w:val="003C742D"/>
    <w:rsid w:val="003D004D"/>
    <w:rsid w:val="003D07B4"/>
    <w:rsid w:val="003D08CD"/>
    <w:rsid w:val="003D0922"/>
    <w:rsid w:val="003D0936"/>
    <w:rsid w:val="003D19D5"/>
    <w:rsid w:val="003D1EB1"/>
    <w:rsid w:val="003D1FA8"/>
    <w:rsid w:val="003D200F"/>
    <w:rsid w:val="003D203A"/>
    <w:rsid w:val="003D3458"/>
    <w:rsid w:val="003D3749"/>
    <w:rsid w:val="003D3931"/>
    <w:rsid w:val="003D3EA0"/>
    <w:rsid w:val="003D45E1"/>
    <w:rsid w:val="003D4A06"/>
    <w:rsid w:val="003D5155"/>
    <w:rsid w:val="003D5224"/>
    <w:rsid w:val="003D5459"/>
    <w:rsid w:val="003D5965"/>
    <w:rsid w:val="003D5CC0"/>
    <w:rsid w:val="003D76A1"/>
    <w:rsid w:val="003D7F08"/>
    <w:rsid w:val="003E0258"/>
    <w:rsid w:val="003E0B47"/>
    <w:rsid w:val="003E0D98"/>
    <w:rsid w:val="003E10D3"/>
    <w:rsid w:val="003E1D25"/>
    <w:rsid w:val="003E1D46"/>
    <w:rsid w:val="003E28EA"/>
    <w:rsid w:val="003E2BA4"/>
    <w:rsid w:val="003E2D3B"/>
    <w:rsid w:val="003E2F90"/>
    <w:rsid w:val="003E3AA6"/>
    <w:rsid w:val="003E3E34"/>
    <w:rsid w:val="003E4A67"/>
    <w:rsid w:val="003E500C"/>
    <w:rsid w:val="003E5CFC"/>
    <w:rsid w:val="003E74B1"/>
    <w:rsid w:val="003E75CD"/>
    <w:rsid w:val="003E7F46"/>
    <w:rsid w:val="003F031C"/>
    <w:rsid w:val="003F08F6"/>
    <w:rsid w:val="003F0A7E"/>
    <w:rsid w:val="003F1BDC"/>
    <w:rsid w:val="003F25A9"/>
    <w:rsid w:val="003F305C"/>
    <w:rsid w:val="003F3995"/>
    <w:rsid w:val="003F59DD"/>
    <w:rsid w:val="003F6159"/>
    <w:rsid w:val="003F62D3"/>
    <w:rsid w:val="003F63A5"/>
    <w:rsid w:val="003F734F"/>
    <w:rsid w:val="003F7C53"/>
    <w:rsid w:val="003F7F76"/>
    <w:rsid w:val="0040024E"/>
    <w:rsid w:val="00400B78"/>
    <w:rsid w:val="00400E24"/>
    <w:rsid w:val="0040178A"/>
    <w:rsid w:val="00401C06"/>
    <w:rsid w:val="00401CDC"/>
    <w:rsid w:val="0040203F"/>
    <w:rsid w:val="00402FD6"/>
    <w:rsid w:val="00403461"/>
    <w:rsid w:val="00404776"/>
    <w:rsid w:val="00404E7F"/>
    <w:rsid w:val="004055AD"/>
    <w:rsid w:val="00405674"/>
    <w:rsid w:val="00405A85"/>
    <w:rsid w:val="00405B00"/>
    <w:rsid w:val="00405F8D"/>
    <w:rsid w:val="00406726"/>
    <w:rsid w:val="00406DAD"/>
    <w:rsid w:val="00407B24"/>
    <w:rsid w:val="00407EF7"/>
    <w:rsid w:val="0041000C"/>
    <w:rsid w:val="00410CB3"/>
    <w:rsid w:val="00411CA3"/>
    <w:rsid w:val="00411D3A"/>
    <w:rsid w:val="00412378"/>
    <w:rsid w:val="0041297C"/>
    <w:rsid w:val="00412AEF"/>
    <w:rsid w:val="00412D46"/>
    <w:rsid w:val="004135D2"/>
    <w:rsid w:val="00413693"/>
    <w:rsid w:val="0041506B"/>
    <w:rsid w:val="00415276"/>
    <w:rsid w:val="00415934"/>
    <w:rsid w:val="00415C8F"/>
    <w:rsid w:val="00416086"/>
    <w:rsid w:val="004161EA"/>
    <w:rsid w:val="004164AC"/>
    <w:rsid w:val="004171B1"/>
    <w:rsid w:val="004174A4"/>
    <w:rsid w:val="00420047"/>
    <w:rsid w:val="00421613"/>
    <w:rsid w:val="004225BE"/>
    <w:rsid w:val="00422A14"/>
    <w:rsid w:val="004232D8"/>
    <w:rsid w:val="004245DD"/>
    <w:rsid w:val="00424AB3"/>
    <w:rsid w:val="0042514D"/>
    <w:rsid w:val="0042627B"/>
    <w:rsid w:val="00426811"/>
    <w:rsid w:val="0043012E"/>
    <w:rsid w:val="00430C44"/>
    <w:rsid w:val="00431032"/>
    <w:rsid w:val="004315E5"/>
    <w:rsid w:val="00431F67"/>
    <w:rsid w:val="00431F9F"/>
    <w:rsid w:val="00432B9B"/>
    <w:rsid w:val="00432C0D"/>
    <w:rsid w:val="00433000"/>
    <w:rsid w:val="00433701"/>
    <w:rsid w:val="004338C4"/>
    <w:rsid w:val="0043425D"/>
    <w:rsid w:val="00435BD5"/>
    <w:rsid w:val="00435D92"/>
    <w:rsid w:val="00435F3D"/>
    <w:rsid w:val="00436837"/>
    <w:rsid w:val="004377BA"/>
    <w:rsid w:val="00440430"/>
    <w:rsid w:val="0044160B"/>
    <w:rsid w:val="00441776"/>
    <w:rsid w:val="00442091"/>
    <w:rsid w:val="00442FD9"/>
    <w:rsid w:val="0044345B"/>
    <w:rsid w:val="0044348D"/>
    <w:rsid w:val="0044395D"/>
    <w:rsid w:val="00443E15"/>
    <w:rsid w:val="00444990"/>
    <w:rsid w:val="004455B6"/>
    <w:rsid w:val="004455C8"/>
    <w:rsid w:val="004461CF"/>
    <w:rsid w:val="0044659A"/>
    <w:rsid w:val="00446D69"/>
    <w:rsid w:val="004501D8"/>
    <w:rsid w:val="00450526"/>
    <w:rsid w:val="00450E15"/>
    <w:rsid w:val="00451DA7"/>
    <w:rsid w:val="00452433"/>
    <w:rsid w:val="00453420"/>
    <w:rsid w:val="00454641"/>
    <w:rsid w:val="00455C2C"/>
    <w:rsid w:val="004560A0"/>
    <w:rsid w:val="00456263"/>
    <w:rsid w:val="00456437"/>
    <w:rsid w:val="004565FA"/>
    <w:rsid w:val="0045679C"/>
    <w:rsid w:val="00456AA1"/>
    <w:rsid w:val="00456B75"/>
    <w:rsid w:val="00456FDA"/>
    <w:rsid w:val="004608D8"/>
    <w:rsid w:val="00461905"/>
    <w:rsid w:val="0046195F"/>
    <w:rsid w:val="00462304"/>
    <w:rsid w:val="00462311"/>
    <w:rsid w:val="004626A8"/>
    <w:rsid w:val="00463CD3"/>
    <w:rsid w:val="00463F6E"/>
    <w:rsid w:val="004645FA"/>
    <w:rsid w:val="0046463F"/>
    <w:rsid w:val="00464910"/>
    <w:rsid w:val="00466BB7"/>
    <w:rsid w:val="00467A5A"/>
    <w:rsid w:val="0047077B"/>
    <w:rsid w:val="004709B2"/>
    <w:rsid w:val="00470BE2"/>
    <w:rsid w:val="0047148D"/>
    <w:rsid w:val="00472630"/>
    <w:rsid w:val="00472780"/>
    <w:rsid w:val="00473857"/>
    <w:rsid w:val="00473DF9"/>
    <w:rsid w:val="00474155"/>
    <w:rsid w:val="00474E85"/>
    <w:rsid w:val="00474EA6"/>
    <w:rsid w:val="0047507D"/>
    <w:rsid w:val="004750F7"/>
    <w:rsid w:val="00475107"/>
    <w:rsid w:val="00475645"/>
    <w:rsid w:val="00475994"/>
    <w:rsid w:val="00475E49"/>
    <w:rsid w:val="00476009"/>
    <w:rsid w:val="004763DA"/>
    <w:rsid w:val="00476734"/>
    <w:rsid w:val="00476CDA"/>
    <w:rsid w:val="004800B2"/>
    <w:rsid w:val="004801AA"/>
    <w:rsid w:val="004813BE"/>
    <w:rsid w:val="0048337D"/>
    <w:rsid w:val="004834CA"/>
    <w:rsid w:val="00484378"/>
    <w:rsid w:val="004845CC"/>
    <w:rsid w:val="00485214"/>
    <w:rsid w:val="00485452"/>
    <w:rsid w:val="0048576E"/>
    <w:rsid w:val="00487615"/>
    <w:rsid w:val="004879FB"/>
    <w:rsid w:val="00487B08"/>
    <w:rsid w:val="00487DF1"/>
    <w:rsid w:val="00487EA4"/>
    <w:rsid w:val="004909B4"/>
    <w:rsid w:val="004909E7"/>
    <w:rsid w:val="0049122F"/>
    <w:rsid w:val="004912D6"/>
    <w:rsid w:val="00491562"/>
    <w:rsid w:val="004919B7"/>
    <w:rsid w:val="004919C2"/>
    <w:rsid w:val="00493001"/>
    <w:rsid w:val="004930B3"/>
    <w:rsid w:val="00493685"/>
    <w:rsid w:val="00493BA3"/>
    <w:rsid w:val="00494096"/>
    <w:rsid w:val="004953E0"/>
    <w:rsid w:val="00495B56"/>
    <w:rsid w:val="00495C6B"/>
    <w:rsid w:val="004962D3"/>
    <w:rsid w:val="004966B4"/>
    <w:rsid w:val="00496DD9"/>
    <w:rsid w:val="0049711A"/>
    <w:rsid w:val="00497632"/>
    <w:rsid w:val="004A089B"/>
    <w:rsid w:val="004A0F1B"/>
    <w:rsid w:val="004A0F43"/>
    <w:rsid w:val="004A1599"/>
    <w:rsid w:val="004A16AC"/>
    <w:rsid w:val="004A1CE5"/>
    <w:rsid w:val="004A2DF1"/>
    <w:rsid w:val="004A30A3"/>
    <w:rsid w:val="004A3202"/>
    <w:rsid w:val="004A36FE"/>
    <w:rsid w:val="004A4078"/>
    <w:rsid w:val="004A4882"/>
    <w:rsid w:val="004A557B"/>
    <w:rsid w:val="004A59A7"/>
    <w:rsid w:val="004A624B"/>
    <w:rsid w:val="004A6B47"/>
    <w:rsid w:val="004A72AC"/>
    <w:rsid w:val="004A732E"/>
    <w:rsid w:val="004A73A8"/>
    <w:rsid w:val="004A74D2"/>
    <w:rsid w:val="004B07AC"/>
    <w:rsid w:val="004B0CF9"/>
    <w:rsid w:val="004B1E82"/>
    <w:rsid w:val="004B24A5"/>
    <w:rsid w:val="004B2AFF"/>
    <w:rsid w:val="004B300D"/>
    <w:rsid w:val="004B393D"/>
    <w:rsid w:val="004B4628"/>
    <w:rsid w:val="004B49AE"/>
    <w:rsid w:val="004B50E4"/>
    <w:rsid w:val="004B5491"/>
    <w:rsid w:val="004B619F"/>
    <w:rsid w:val="004B68CA"/>
    <w:rsid w:val="004B7E72"/>
    <w:rsid w:val="004C04DA"/>
    <w:rsid w:val="004C12AE"/>
    <w:rsid w:val="004C1447"/>
    <w:rsid w:val="004C18B2"/>
    <w:rsid w:val="004C29F9"/>
    <w:rsid w:val="004C2EEC"/>
    <w:rsid w:val="004C321C"/>
    <w:rsid w:val="004C338D"/>
    <w:rsid w:val="004C4C20"/>
    <w:rsid w:val="004C51E7"/>
    <w:rsid w:val="004C5977"/>
    <w:rsid w:val="004C65CF"/>
    <w:rsid w:val="004C6BDB"/>
    <w:rsid w:val="004C7048"/>
    <w:rsid w:val="004C770A"/>
    <w:rsid w:val="004D021A"/>
    <w:rsid w:val="004D07D9"/>
    <w:rsid w:val="004D1128"/>
    <w:rsid w:val="004D1155"/>
    <w:rsid w:val="004D15C4"/>
    <w:rsid w:val="004D1923"/>
    <w:rsid w:val="004D1EEC"/>
    <w:rsid w:val="004D1F0C"/>
    <w:rsid w:val="004D2E81"/>
    <w:rsid w:val="004D317E"/>
    <w:rsid w:val="004D3EA0"/>
    <w:rsid w:val="004D4214"/>
    <w:rsid w:val="004D45ED"/>
    <w:rsid w:val="004D47C9"/>
    <w:rsid w:val="004D50D7"/>
    <w:rsid w:val="004D5224"/>
    <w:rsid w:val="004D523A"/>
    <w:rsid w:val="004D5451"/>
    <w:rsid w:val="004D5E34"/>
    <w:rsid w:val="004D6A4A"/>
    <w:rsid w:val="004D7385"/>
    <w:rsid w:val="004D7623"/>
    <w:rsid w:val="004D77CC"/>
    <w:rsid w:val="004D7CE3"/>
    <w:rsid w:val="004E0825"/>
    <w:rsid w:val="004E0A17"/>
    <w:rsid w:val="004E1DFF"/>
    <w:rsid w:val="004E1F77"/>
    <w:rsid w:val="004E2586"/>
    <w:rsid w:val="004E2828"/>
    <w:rsid w:val="004E2DC9"/>
    <w:rsid w:val="004E361A"/>
    <w:rsid w:val="004E36F1"/>
    <w:rsid w:val="004E3FE5"/>
    <w:rsid w:val="004E48E0"/>
    <w:rsid w:val="004E4B10"/>
    <w:rsid w:val="004E5B94"/>
    <w:rsid w:val="004E647C"/>
    <w:rsid w:val="004E6A51"/>
    <w:rsid w:val="004E6AB0"/>
    <w:rsid w:val="004E7363"/>
    <w:rsid w:val="004E7A65"/>
    <w:rsid w:val="004F02C9"/>
    <w:rsid w:val="004F039B"/>
    <w:rsid w:val="004F0D68"/>
    <w:rsid w:val="004F10CB"/>
    <w:rsid w:val="004F26E3"/>
    <w:rsid w:val="004F31DB"/>
    <w:rsid w:val="004F3310"/>
    <w:rsid w:val="004F3D93"/>
    <w:rsid w:val="004F4577"/>
    <w:rsid w:val="004F6D5B"/>
    <w:rsid w:val="004F7124"/>
    <w:rsid w:val="004F7238"/>
    <w:rsid w:val="004F748E"/>
    <w:rsid w:val="004F79BB"/>
    <w:rsid w:val="004F7B34"/>
    <w:rsid w:val="004F7CC5"/>
    <w:rsid w:val="00500100"/>
    <w:rsid w:val="00500315"/>
    <w:rsid w:val="005016BA"/>
    <w:rsid w:val="00501E30"/>
    <w:rsid w:val="00502674"/>
    <w:rsid w:val="00502CF7"/>
    <w:rsid w:val="00502E4C"/>
    <w:rsid w:val="00502F82"/>
    <w:rsid w:val="00504EC8"/>
    <w:rsid w:val="0050524B"/>
    <w:rsid w:val="00505A4C"/>
    <w:rsid w:val="005060F4"/>
    <w:rsid w:val="0050625F"/>
    <w:rsid w:val="00506EC6"/>
    <w:rsid w:val="00507513"/>
    <w:rsid w:val="005075FE"/>
    <w:rsid w:val="005078D4"/>
    <w:rsid w:val="00507F62"/>
    <w:rsid w:val="005106BB"/>
    <w:rsid w:val="00511440"/>
    <w:rsid w:val="00512408"/>
    <w:rsid w:val="00512793"/>
    <w:rsid w:val="005127B3"/>
    <w:rsid w:val="00512E29"/>
    <w:rsid w:val="00513D2B"/>
    <w:rsid w:val="00513FDF"/>
    <w:rsid w:val="00514765"/>
    <w:rsid w:val="005150F0"/>
    <w:rsid w:val="00515E11"/>
    <w:rsid w:val="00515F51"/>
    <w:rsid w:val="00516C4B"/>
    <w:rsid w:val="005179DE"/>
    <w:rsid w:val="005202DF"/>
    <w:rsid w:val="00520602"/>
    <w:rsid w:val="0052134B"/>
    <w:rsid w:val="00522091"/>
    <w:rsid w:val="00522DCF"/>
    <w:rsid w:val="00523100"/>
    <w:rsid w:val="0052352F"/>
    <w:rsid w:val="00523794"/>
    <w:rsid w:val="00524FAB"/>
    <w:rsid w:val="00525CBD"/>
    <w:rsid w:val="00525E2C"/>
    <w:rsid w:val="00526613"/>
    <w:rsid w:val="0053062A"/>
    <w:rsid w:val="00530CDE"/>
    <w:rsid w:val="005312F2"/>
    <w:rsid w:val="00531658"/>
    <w:rsid w:val="005318ED"/>
    <w:rsid w:val="00532911"/>
    <w:rsid w:val="00533D88"/>
    <w:rsid w:val="005346AB"/>
    <w:rsid w:val="0053526B"/>
    <w:rsid w:val="0053540C"/>
    <w:rsid w:val="00535898"/>
    <w:rsid w:val="005363AD"/>
    <w:rsid w:val="00536401"/>
    <w:rsid w:val="00536D6C"/>
    <w:rsid w:val="00536DFD"/>
    <w:rsid w:val="00536FE3"/>
    <w:rsid w:val="00537395"/>
    <w:rsid w:val="00537A83"/>
    <w:rsid w:val="00537D0D"/>
    <w:rsid w:val="00540386"/>
    <w:rsid w:val="005405ED"/>
    <w:rsid w:val="00540E23"/>
    <w:rsid w:val="00541685"/>
    <w:rsid w:val="005435BE"/>
    <w:rsid w:val="0054426A"/>
    <w:rsid w:val="005447EE"/>
    <w:rsid w:val="0054498D"/>
    <w:rsid w:val="005449D8"/>
    <w:rsid w:val="00544A32"/>
    <w:rsid w:val="00545BC0"/>
    <w:rsid w:val="00545CE7"/>
    <w:rsid w:val="00545F5C"/>
    <w:rsid w:val="005461E1"/>
    <w:rsid w:val="0054654B"/>
    <w:rsid w:val="005475E3"/>
    <w:rsid w:val="005479B7"/>
    <w:rsid w:val="00547F30"/>
    <w:rsid w:val="00550ED3"/>
    <w:rsid w:val="005514E2"/>
    <w:rsid w:val="0055177F"/>
    <w:rsid w:val="00553673"/>
    <w:rsid w:val="00554BF7"/>
    <w:rsid w:val="00555311"/>
    <w:rsid w:val="005554BC"/>
    <w:rsid w:val="00555749"/>
    <w:rsid w:val="00555EBB"/>
    <w:rsid w:val="005577EF"/>
    <w:rsid w:val="005600F9"/>
    <w:rsid w:val="0056012C"/>
    <w:rsid w:val="00560132"/>
    <w:rsid w:val="0056039B"/>
    <w:rsid w:val="005606D7"/>
    <w:rsid w:val="00560B50"/>
    <w:rsid w:val="00561C39"/>
    <w:rsid w:val="00561CEC"/>
    <w:rsid w:val="0056244A"/>
    <w:rsid w:val="00562D59"/>
    <w:rsid w:val="00563652"/>
    <w:rsid w:val="00563734"/>
    <w:rsid w:val="005643B9"/>
    <w:rsid w:val="005648AB"/>
    <w:rsid w:val="00564B24"/>
    <w:rsid w:val="00564F21"/>
    <w:rsid w:val="00565491"/>
    <w:rsid w:val="005661B9"/>
    <w:rsid w:val="00566239"/>
    <w:rsid w:val="00566F61"/>
    <w:rsid w:val="005674D8"/>
    <w:rsid w:val="00570149"/>
    <w:rsid w:val="005701CA"/>
    <w:rsid w:val="0057021C"/>
    <w:rsid w:val="00570E8F"/>
    <w:rsid w:val="005737EA"/>
    <w:rsid w:val="00574D75"/>
    <w:rsid w:val="00574DA2"/>
    <w:rsid w:val="0057502A"/>
    <w:rsid w:val="00575349"/>
    <w:rsid w:val="00575582"/>
    <w:rsid w:val="00575A1F"/>
    <w:rsid w:val="00576E3E"/>
    <w:rsid w:val="005770D2"/>
    <w:rsid w:val="00580D17"/>
    <w:rsid w:val="005812E0"/>
    <w:rsid w:val="0058160F"/>
    <w:rsid w:val="00582FE8"/>
    <w:rsid w:val="005831A5"/>
    <w:rsid w:val="0058351D"/>
    <w:rsid w:val="00583623"/>
    <w:rsid w:val="005836B4"/>
    <w:rsid w:val="0058425C"/>
    <w:rsid w:val="005843E9"/>
    <w:rsid w:val="00584F2D"/>
    <w:rsid w:val="0058531C"/>
    <w:rsid w:val="005857DA"/>
    <w:rsid w:val="00586279"/>
    <w:rsid w:val="005863B5"/>
    <w:rsid w:val="0058797B"/>
    <w:rsid w:val="00590CF3"/>
    <w:rsid w:val="00590D4B"/>
    <w:rsid w:val="00591300"/>
    <w:rsid w:val="0059155B"/>
    <w:rsid w:val="005939A3"/>
    <w:rsid w:val="005945A4"/>
    <w:rsid w:val="005947B3"/>
    <w:rsid w:val="005954FA"/>
    <w:rsid w:val="0059556E"/>
    <w:rsid w:val="0059575D"/>
    <w:rsid w:val="005962F2"/>
    <w:rsid w:val="00597260"/>
    <w:rsid w:val="00597C08"/>
    <w:rsid w:val="00597C71"/>
    <w:rsid w:val="005A0159"/>
    <w:rsid w:val="005A0470"/>
    <w:rsid w:val="005A0F30"/>
    <w:rsid w:val="005A13C3"/>
    <w:rsid w:val="005A156C"/>
    <w:rsid w:val="005A23B5"/>
    <w:rsid w:val="005A2C79"/>
    <w:rsid w:val="005A2C95"/>
    <w:rsid w:val="005A2E53"/>
    <w:rsid w:val="005A34FE"/>
    <w:rsid w:val="005A4489"/>
    <w:rsid w:val="005A4824"/>
    <w:rsid w:val="005A4A67"/>
    <w:rsid w:val="005A55D5"/>
    <w:rsid w:val="005A7600"/>
    <w:rsid w:val="005A7990"/>
    <w:rsid w:val="005A7BB3"/>
    <w:rsid w:val="005A7D7B"/>
    <w:rsid w:val="005A7F25"/>
    <w:rsid w:val="005B0016"/>
    <w:rsid w:val="005B0023"/>
    <w:rsid w:val="005B01CF"/>
    <w:rsid w:val="005B0769"/>
    <w:rsid w:val="005B083D"/>
    <w:rsid w:val="005B0897"/>
    <w:rsid w:val="005B0C61"/>
    <w:rsid w:val="005B0CCD"/>
    <w:rsid w:val="005B1077"/>
    <w:rsid w:val="005B11EA"/>
    <w:rsid w:val="005B136C"/>
    <w:rsid w:val="005B1715"/>
    <w:rsid w:val="005B265A"/>
    <w:rsid w:val="005B27DE"/>
    <w:rsid w:val="005B2A79"/>
    <w:rsid w:val="005B35BE"/>
    <w:rsid w:val="005B36F9"/>
    <w:rsid w:val="005B3D59"/>
    <w:rsid w:val="005B4B5E"/>
    <w:rsid w:val="005B6214"/>
    <w:rsid w:val="005B6DDB"/>
    <w:rsid w:val="005B78EE"/>
    <w:rsid w:val="005B7955"/>
    <w:rsid w:val="005B7968"/>
    <w:rsid w:val="005C038E"/>
    <w:rsid w:val="005C0C70"/>
    <w:rsid w:val="005C0D72"/>
    <w:rsid w:val="005C1E2A"/>
    <w:rsid w:val="005C2139"/>
    <w:rsid w:val="005C2456"/>
    <w:rsid w:val="005C2AF9"/>
    <w:rsid w:val="005C2EA8"/>
    <w:rsid w:val="005C4B4F"/>
    <w:rsid w:val="005C5B1A"/>
    <w:rsid w:val="005C5DB7"/>
    <w:rsid w:val="005C616B"/>
    <w:rsid w:val="005C6298"/>
    <w:rsid w:val="005C63EC"/>
    <w:rsid w:val="005C687D"/>
    <w:rsid w:val="005C6D2D"/>
    <w:rsid w:val="005C6E03"/>
    <w:rsid w:val="005D0FBC"/>
    <w:rsid w:val="005D1042"/>
    <w:rsid w:val="005D1171"/>
    <w:rsid w:val="005D1252"/>
    <w:rsid w:val="005D1811"/>
    <w:rsid w:val="005D200F"/>
    <w:rsid w:val="005D268B"/>
    <w:rsid w:val="005D35CA"/>
    <w:rsid w:val="005D3A86"/>
    <w:rsid w:val="005D3F29"/>
    <w:rsid w:val="005D42A4"/>
    <w:rsid w:val="005D46D5"/>
    <w:rsid w:val="005D5FAF"/>
    <w:rsid w:val="005D61A6"/>
    <w:rsid w:val="005D6594"/>
    <w:rsid w:val="005D676C"/>
    <w:rsid w:val="005D7AC2"/>
    <w:rsid w:val="005D7C9B"/>
    <w:rsid w:val="005E1FF9"/>
    <w:rsid w:val="005E2651"/>
    <w:rsid w:val="005E29C9"/>
    <w:rsid w:val="005E29F7"/>
    <w:rsid w:val="005E3815"/>
    <w:rsid w:val="005E3C1B"/>
    <w:rsid w:val="005E4522"/>
    <w:rsid w:val="005E4581"/>
    <w:rsid w:val="005E4C95"/>
    <w:rsid w:val="005E4F8A"/>
    <w:rsid w:val="005E5080"/>
    <w:rsid w:val="005E5201"/>
    <w:rsid w:val="005E65B8"/>
    <w:rsid w:val="005E66B1"/>
    <w:rsid w:val="005E676D"/>
    <w:rsid w:val="005E6A02"/>
    <w:rsid w:val="005E6E71"/>
    <w:rsid w:val="005E6E8C"/>
    <w:rsid w:val="005E72FC"/>
    <w:rsid w:val="005E75EF"/>
    <w:rsid w:val="005E77D6"/>
    <w:rsid w:val="005F025C"/>
    <w:rsid w:val="005F031C"/>
    <w:rsid w:val="005F07E2"/>
    <w:rsid w:val="005F0A9E"/>
    <w:rsid w:val="005F0AA6"/>
    <w:rsid w:val="005F0C02"/>
    <w:rsid w:val="005F0ED0"/>
    <w:rsid w:val="005F0F25"/>
    <w:rsid w:val="005F0FAA"/>
    <w:rsid w:val="005F0FBC"/>
    <w:rsid w:val="005F185D"/>
    <w:rsid w:val="005F1E25"/>
    <w:rsid w:val="005F22DA"/>
    <w:rsid w:val="005F2379"/>
    <w:rsid w:val="005F320B"/>
    <w:rsid w:val="005F3955"/>
    <w:rsid w:val="005F3D55"/>
    <w:rsid w:val="005F4323"/>
    <w:rsid w:val="005F4A3A"/>
    <w:rsid w:val="005F5BAC"/>
    <w:rsid w:val="005F5C68"/>
    <w:rsid w:val="005F5E5B"/>
    <w:rsid w:val="005F641E"/>
    <w:rsid w:val="005F6B8B"/>
    <w:rsid w:val="005F6C4D"/>
    <w:rsid w:val="005F7268"/>
    <w:rsid w:val="006007A0"/>
    <w:rsid w:val="00600E31"/>
    <w:rsid w:val="006022B1"/>
    <w:rsid w:val="00602665"/>
    <w:rsid w:val="00604C63"/>
    <w:rsid w:val="006051D9"/>
    <w:rsid w:val="00605E1F"/>
    <w:rsid w:val="00605FEF"/>
    <w:rsid w:val="0060629E"/>
    <w:rsid w:val="00606A0F"/>
    <w:rsid w:val="00606B4E"/>
    <w:rsid w:val="00607983"/>
    <w:rsid w:val="00607F11"/>
    <w:rsid w:val="00610396"/>
    <w:rsid w:val="00610611"/>
    <w:rsid w:val="00610876"/>
    <w:rsid w:val="00610D2B"/>
    <w:rsid w:val="00610F9E"/>
    <w:rsid w:val="00612174"/>
    <w:rsid w:val="0061285E"/>
    <w:rsid w:val="00612A1C"/>
    <w:rsid w:val="006136F4"/>
    <w:rsid w:val="00613F1C"/>
    <w:rsid w:val="00614061"/>
    <w:rsid w:val="006141E1"/>
    <w:rsid w:val="00614ACF"/>
    <w:rsid w:val="00614D11"/>
    <w:rsid w:val="00614D30"/>
    <w:rsid w:val="00614DD3"/>
    <w:rsid w:val="00615291"/>
    <w:rsid w:val="006158C1"/>
    <w:rsid w:val="00615DB9"/>
    <w:rsid w:val="00616000"/>
    <w:rsid w:val="006160CF"/>
    <w:rsid w:val="006163CD"/>
    <w:rsid w:val="00616B11"/>
    <w:rsid w:val="00617FA8"/>
    <w:rsid w:val="00621CE3"/>
    <w:rsid w:val="00621D97"/>
    <w:rsid w:val="00621F81"/>
    <w:rsid w:val="006225DC"/>
    <w:rsid w:val="00623045"/>
    <w:rsid w:val="00623633"/>
    <w:rsid w:val="00624558"/>
    <w:rsid w:val="00624A26"/>
    <w:rsid w:val="00624F7E"/>
    <w:rsid w:val="00625C6C"/>
    <w:rsid w:val="006262A8"/>
    <w:rsid w:val="006270DE"/>
    <w:rsid w:val="006279FF"/>
    <w:rsid w:val="00627BC7"/>
    <w:rsid w:val="006300F5"/>
    <w:rsid w:val="00631456"/>
    <w:rsid w:val="00632446"/>
    <w:rsid w:val="00633355"/>
    <w:rsid w:val="00633749"/>
    <w:rsid w:val="006337F1"/>
    <w:rsid w:val="0063380B"/>
    <w:rsid w:val="00633EEB"/>
    <w:rsid w:val="00634364"/>
    <w:rsid w:val="00634E07"/>
    <w:rsid w:val="00634E5A"/>
    <w:rsid w:val="00635474"/>
    <w:rsid w:val="006359BF"/>
    <w:rsid w:val="00635B8C"/>
    <w:rsid w:val="00635F57"/>
    <w:rsid w:val="00636219"/>
    <w:rsid w:val="00636906"/>
    <w:rsid w:val="006376ED"/>
    <w:rsid w:val="0063797D"/>
    <w:rsid w:val="00637D3F"/>
    <w:rsid w:val="00637E93"/>
    <w:rsid w:val="00640A73"/>
    <w:rsid w:val="00641331"/>
    <w:rsid w:val="00641665"/>
    <w:rsid w:val="00641CEF"/>
    <w:rsid w:val="00642040"/>
    <w:rsid w:val="00642C04"/>
    <w:rsid w:val="00642C58"/>
    <w:rsid w:val="00642FAD"/>
    <w:rsid w:val="0064323E"/>
    <w:rsid w:val="00643C5D"/>
    <w:rsid w:val="0064415F"/>
    <w:rsid w:val="00644C9C"/>
    <w:rsid w:val="00644D69"/>
    <w:rsid w:val="00645C6F"/>
    <w:rsid w:val="006477E8"/>
    <w:rsid w:val="0064782E"/>
    <w:rsid w:val="00650096"/>
    <w:rsid w:val="0065066B"/>
    <w:rsid w:val="0065093A"/>
    <w:rsid w:val="00650D31"/>
    <w:rsid w:val="0065133F"/>
    <w:rsid w:val="00651716"/>
    <w:rsid w:val="00651FAB"/>
    <w:rsid w:val="00652AD4"/>
    <w:rsid w:val="00652EF5"/>
    <w:rsid w:val="00653778"/>
    <w:rsid w:val="006540C9"/>
    <w:rsid w:val="00654894"/>
    <w:rsid w:val="006549C2"/>
    <w:rsid w:val="00654E32"/>
    <w:rsid w:val="00654FCB"/>
    <w:rsid w:val="006551C8"/>
    <w:rsid w:val="006552AF"/>
    <w:rsid w:val="006554B7"/>
    <w:rsid w:val="006555A3"/>
    <w:rsid w:val="00655A75"/>
    <w:rsid w:val="00655EF8"/>
    <w:rsid w:val="00655F87"/>
    <w:rsid w:val="006569BA"/>
    <w:rsid w:val="00656D24"/>
    <w:rsid w:val="006570B7"/>
    <w:rsid w:val="006575A4"/>
    <w:rsid w:val="00657AD5"/>
    <w:rsid w:val="006602DA"/>
    <w:rsid w:val="006610E5"/>
    <w:rsid w:val="00661271"/>
    <w:rsid w:val="006613C5"/>
    <w:rsid w:val="00662CEF"/>
    <w:rsid w:val="00663000"/>
    <w:rsid w:val="00663DA7"/>
    <w:rsid w:val="00663E31"/>
    <w:rsid w:val="00663E94"/>
    <w:rsid w:val="006641CC"/>
    <w:rsid w:val="006645E3"/>
    <w:rsid w:val="00665A6A"/>
    <w:rsid w:val="00665CBA"/>
    <w:rsid w:val="00667610"/>
    <w:rsid w:val="00667A94"/>
    <w:rsid w:val="00670617"/>
    <w:rsid w:val="00670B76"/>
    <w:rsid w:val="00671BBC"/>
    <w:rsid w:val="00671EB0"/>
    <w:rsid w:val="00672082"/>
    <w:rsid w:val="00673051"/>
    <w:rsid w:val="006732C7"/>
    <w:rsid w:val="00673CD5"/>
    <w:rsid w:val="006751FC"/>
    <w:rsid w:val="00675895"/>
    <w:rsid w:val="0067601C"/>
    <w:rsid w:val="006761D8"/>
    <w:rsid w:val="006764DC"/>
    <w:rsid w:val="00676584"/>
    <w:rsid w:val="00676681"/>
    <w:rsid w:val="00676C3A"/>
    <w:rsid w:val="006776ED"/>
    <w:rsid w:val="00677A1C"/>
    <w:rsid w:val="00677D20"/>
    <w:rsid w:val="0068006E"/>
    <w:rsid w:val="00680A3A"/>
    <w:rsid w:val="00680C7E"/>
    <w:rsid w:val="00681D09"/>
    <w:rsid w:val="006826E6"/>
    <w:rsid w:val="00682A19"/>
    <w:rsid w:val="00682F41"/>
    <w:rsid w:val="006830C1"/>
    <w:rsid w:val="006830DE"/>
    <w:rsid w:val="006835E8"/>
    <w:rsid w:val="00684056"/>
    <w:rsid w:val="006843F9"/>
    <w:rsid w:val="00684942"/>
    <w:rsid w:val="00684BD3"/>
    <w:rsid w:val="00685F5E"/>
    <w:rsid w:val="006862B8"/>
    <w:rsid w:val="006879BD"/>
    <w:rsid w:val="00687E40"/>
    <w:rsid w:val="00687F9F"/>
    <w:rsid w:val="00690B0F"/>
    <w:rsid w:val="00692297"/>
    <w:rsid w:val="0069247E"/>
    <w:rsid w:val="00693982"/>
    <w:rsid w:val="00694303"/>
    <w:rsid w:val="006943B3"/>
    <w:rsid w:val="006948D6"/>
    <w:rsid w:val="00694A02"/>
    <w:rsid w:val="00695418"/>
    <w:rsid w:val="00696EE6"/>
    <w:rsid w:val="00697172"/>
    <w:rsid w:val="006A0378"/>
    <w:rsid w:val="006A0EB6"/>
    <w:rsid w:val="006A0F7A"/>
    <w:rsid w:val="006A18D7"/>
    <w:rsid w:val="006A20A0"/>
    <w:rsid w:val="006A2270"/>
    <w:rsid w:val="006A2F98"/>
    <w:rsid w:val="006A33DE"/>
    <w:rsid w:val="006A40C1"/>
    <w:rsid w:val="006A4417"/>
    <w:rsid w:val="006A4876"/>
    <w:rsid w:val="006A514E"/>
    <w:rsid w:val="006A5669"/>
    <w:rsid w:val="006A5EC2"/>
    <w:rsid w:val="006A5FAF"/>
    <w:rsid w:val="006A7394"/>
    <w:rsid w:val="006A7A64"/>
    <w:rsid w:val="006A7D19"/>
    <w:rsid w:val="006A7FDE"/>
    <w:rsid w:val="006B02CB"/>
    <w:rsid w:val="006B0A67"/>
    <w:rsid w:val="006B0F62"/>
    <w:rsid w:val="006B0FC0"/>
    <w:rsid w:val="006B14BB"/>
    <w:rsid w:val="006B2E67"/>
    <w:rsid w:val="006B32D3"/>
    <w:rsid w:val="006B3AAB"/>
    <w:rsid w:val="006B3B25"/>
    <w:rsid w:val="006B477C"/>
    <w:rsid w:val="006B5074"/>
    <w:rsid w:val="006B5D28"/>
    <w:rsid w:val="006B5E6B"/>
    <w:rsid w:val="006B68D9"/>
    <w:rsid w:val="006B6E59"/>
    <w:rsid w:val="006B7697"/>
    <w:rsid w:val="006B7994"/>
    <w:rsid w:val="006C01AA"/>
    <w:rsid w:val="006C04F6"/>
    <w:rsid w:val="006C051A"/>
    <w:rsid w:val="006C06C8"/>
    <w:rsid w:val="006C1381"/>
    <w:rsid w:val="006C1398"/>
    <w:rsid w:val="006C152C"/>
    <w:rsid w:val="006C1F2D"/>
    <w:rsid w:val="006C47C3"/>
    <w:rsid w:val="006C49A3"/>
    <w:rsid w:val="006C4E80"/>
    <w:rsid w:val="006C5444"/>
    <w:rsid w:val="006C654A"/>
    <w:rsid w:val="006C675A"/>
    <w:rsid w:val="006C6E5F"/>
    <w:rsid w:val="006D0E13"/>
    <w:rsid w:val="006D0FCB"/>
    <w:rsid w:val="006D2393"/>
    <w:rsid w:val="006D27BA"/>
    <w:rsid w:val="006D3806"/>
    <w:rsid w:val="006D3E3C"/>
    <w:rsid w:val="006D435A"/>
    <w:rsid w:val="006D4C22"/>
    <w:rsid w:val="006D5781"/>
    <w:rsid w:val="006D62C4"/>
    <w:rsid w:val="006D704D"/>
    <w:rsid w:val="006D7263"/>
    <w:rsid w:val="006D72D6"/>
    <w:rsid w:val="006D72E7"/>
    <w:rsid w:val="006D7DB3"/>
    <w:rsid w:val="006E0CD7"/>
    <w:rsid w:val="006E1597"/>
    <w:rsid w:val="006E3510"/>
    <w:rsid w:val="006E3C57"/>
    <w:rsid w:val="006E4363"/>
    <w:rsid w:val="006E4678"/>
    <w:rsid w:val="006E4BD7"/>
    <w:rsid w:val="006E55B8"/>
    <w:rsid w:val="006E5922"/>
    <w:rsid w:val="006E62CB"/>
    <w:rsid w:val="006E657D"/>
    <w:rsid w:val="006E6CBC"/>
    <w:rsid w:val="006E6F98"/>
    <w:rsid w:val="006E7F10"/>
    <w:rsid w:val="006E7F30"/>
    <w:rsid w:val="006F0A2E"/>
    <w:rsid w:val="006F1011"/>
    <w:rsid w:val="006F10E4"/>
    <w:rsid w:val="006F2D27"/>
    <w:rsid w:val="006F304B"/>
    <w:rsid w:val="006F3F8F"/>
    <w:rsid w:val="006F40A1"/>
    <w:rsid w:val="006F4AEE"/>
    <w:rsid w:val="006F4D51"/>
    <w:rsid w:val="006F50AF"/>
    <w:rsid w:val="006F5CB8"/>
    <w:rsid w:val="006F5FBB"/>
    <w:rsid w:val="006F6416"/>
    <w:rsid w:val="006F6553"/>
    <w:rsid w:val="006F6C3C"/>
    <w:rsid w:val="006F7E03"/>
    <w:rsid w:val="007001E9"/>
    <w:rsid w:val="00700273"/>
    <w:rsid w:val="00700B5E"/>
    <w:rsid w:val="007014FF"/>
    <w:rsid w:val="00701D00"/>
    <w:rsid w:val="00704FB2"/>
    <w:rsid w:val="00705989"/>
    <w:rsid w:val="007064D1"/>
    <w:rsid w:val="00706DB4"/>
    <w:rsid w:val="00710AE8"/>
    <w:rsid w:val="00710D28"/>
    <w:rsid w:val="0071123F"/>
    <w:rsid w:val="00712F80"/>
    <w:rsid w:val="00713635"/>
    <w:rsid w:val="007139B2"/>
    <w:rsid w:val="00713B6C"/>
    <w:rsid w:val="00713DB7"/>
    <w:rsid w:val="007156B2"/>
    <w:rsid w:val="00715AE9"/>
    <w:rsid w:val="00716890"/>
    <w:rsid w:val="00716B63"/>
    <w:rsid w:val="00717369"/>
    <w:rsid w:val="00720775"/>
    <w:rsid w:val="00721BD9"/>
    <w:rsid w:val="007229F6"/>
    <w:rsid w:val="0072389C"/>
    <w:rsid w:val="007238E9"/>
    <w:rsid w:val="00723C8F"/>
    <w:rsid w:val="0072427F"/>
    <w:rsid w:val="00724AC7"/>
    <w:rsid w:val="0072534B"/>
    <w:rsid w:val="00725476"/>
    <w:rsid w:val="00725896"/>
    <w:rsid w:val="00726128"/>
    <w:rsid w:val="0072622F"/>
    <w:rsid w:val="00726486"/>
    <w:rsid w:val="0072652F"/>
    <w:rsid w:val="00726896"/>
    <w:rsid w:val="00726B0D"/>
    <w:rsid w:val="0072756C"/>
    <w:rsid w:val="007302B6"/>
    <w:rsid w:val="00730458"/>
    <w:rsid w:val="00730E37"/>
    <w:rsid w:val="007310D9"/>
    <w:rsid w:val="00732359"/>
    <w:rsid w:val="00732ECD"/>
    <w:rsid w:val="007343C9"/>
    <w:rsid w:val="00734659"/>
    <w:rsid w:val="00734718"/>
    <w:rsid w:val="00734C32"/>
    <w:rsid w:val="0073591A"/>
    <w:rsid w:val="00735E4E"/>
    <w:rsid w:val="00735F36"/>
    <w:rsid w:val="00735F5F"/>
    <w:rsid w:val="0073766E"/>
    <w:rsid w:val="00740B17"/>
    <w:rsid w:val="007418D6"/>
    <w:rsid w:val="00742AB3"/>
    <w:rsid w:val="007433D6"/>
    <w:rsid w:val="00743653"/>
    <w:rsid w:val="00743BE2"/>
    <w:rsid w:val="00745827"/>
    <w:rsid w:val="007459F9"/>
    <w:rsid w:val="00745E52"/>
    <w:rsid w:val="0074780B"/>
    <w:rsid w:val="00747D9E"/>
    <w:rsid w:val="0075027B"/>
    <w:rsid w:val="00750584"/>
    <w:rsid w:val="00751457"/>
    <w:rsid w:val="00751493"/>
    <w:rsid w:val="00751530"/>
    <w:rsid w:val="007516F5"/>
    <w:rsid w:val="00751DD2"/>
    <w:rsid w:val="00752E32"/>
    <w:rsid w:val="0075347F"/>
    <w:rsid w:val="00753619"/>
    <w:rsid w:val="007548A1"/>
    <w:rsid w:val="00754CD2"/>
    <w:rsid w:val="00755BCF"/>
    <w:rsid w:val="00755D57"/>
    <w:rsid w:val="00756852"/>
    <w:rsid w:val="00757425"/>
    <w:rsid w:val="00757E44"/>
    <w:rsid w:val="007601EB"/>
    <w:rsid w:val="0076085E"/>
    <w:rsid w:val="00760ACC"/>
    <w:rsid w:val="007614E1"/>
    <w:rsid w:val="00761E50"/>
    <w:rsid w:val="00762119"/>
    <w:rsid w:val="00762E91"/>
    <w:rsid w:val="0076343E"/>
    <w:rsid w:val="00763E6A"/>
    <w:rsid w:val="00764539"/>
    <w:rsid w:val="00764A2C"/>
    <w:rsid w:val="00764DD4"/>
    <w:rsid w:val="007660DA"/>
    <w:rsid w:val="0076614C"/>
    <w:rsid w:val="00766183"/>
    <w:rsid w:val="00766603"/>
    <w:rsid w:val="007670C5"/>
    <w:rsid w:val="00767491"/>
    <w:rsid w:val="00767B60"/>
    <w:rsid w:val="00767B61"/>
    <w:rsid w:val="00767F7A"/>
    <w:rsid w:val="007702AE"/>
    <w:rsid w:val="0077051C"/>
    <w:rsid w:val="00770D9B"/>
    <w:rsid w:val="0077173E"/>
    <w:rsid w:val="00771EC4"/>
    <w:rsid w:val="00772431"/>
    <w:rsid w:val="00773D6C"/>
    <w:rsid w:val="00774037"/>
    <w:rsid w:val="0077410B"/>
    <w:rsid w:val="00774395"/>
    <w:rsid w:val="0077461A"/>
    <w:rsid w:val="00774CD6"/>
    <w:rsid w:val="007752B8"/>
    <w:rsid w:val="0077604F"/>
    <w:rsid w:val="00776085"/>
    <w:rsid w:val="007767A0"/>
    <w:rsid w:val="00776907"/>
    <w:rsid w:val="00776A94"/>
    <w:rsid w:val="00776DD1"/>
    <w:rsid w:val="00777758"/>
    <w:rsid w:val="00777F85"/>
    <w:rsid w:val="00780182"/>
    <w:rsid w:val="0078035D"/>
    <w:rsid w:val="0078141F"/>
    <w:rsid w:val="007816C1"/>
    <w:rsid w:val="0078278F"/>
    <w:rsid w:val="00782DBD"/>
    <w:rsid w:val="00782F05"/>
    <w:rsid w:val="00783320"/>
    <w:rsid w:val="00783AAD"/>
    <w:rsid w:val="007840AF"/>
    <w:rsid w:val="00784BFD"/>
    <w:rsid w:val="00785006"/>
    <w:rsid w:val="0078503E"/>
    <w:rsid w:val="0078578F"/>
    <w:rsid w:val="00785C21"/>
    <w:rsid w:val="00785D45"/>
    <w:rsid w:val="00785EA1"/>
    <w:rsid w:val="00786FE3"/>
    <w:rsid w:val="0078735F"/>
    <w:rsid w:val="00787791"/>
    <w:rsid w:val="007878BA"/>
    <w:rsid w:val="0078795A"/>
    <w:rsid w:val="00787CDB"/>
    <w:rsid w:val="00790323"/>
    <w:rsid w:val="007903BD"/>
    <w:rsid w:val="00791C3F"/>
    <w:rsid w:val="007928BC"/>
    <w:rsid w:val="0079296D"/>
    <w:rsid w:val="00792E3A"/>
    <w:rsid w:val="007930BF"/>
    <w:rsid w:val="00793ACF"/>
    <w:rsid w:val="0079413F"/>
    <w:rsid w:val="00794527"/>
    <w:rsid w:val="0079473A"/>
    <w:rsid w:val="007947C9"/>
    <w:rsid w:val="00796767"/>
    <w:rsid w:val="00796C3A"/>
    <w:rsid w:val="00797824"/>
    <w:rsid w:val="007A068D"/>
    <w:rsid w:val="007A0FCA"/>
    <w:rsid w:val="007A17B1"/>
    <w:rsid w:val="007A17E7"/>
    <w:rsid w:val="007A1FCD"/>
    <w:rsid w:val="007A236F"/>
    <w:rsid w:val="007A2802"/>
    <w:rsid w:val="007A2C24"/>
    <w:rsid w:val="007A2E8C"/>
    <w:rsid w:val="007A4787"/>
    <w:rsid w:val="007A4E67"/>
    <w:rsid w:val="007A688C"/>
    <w:rsid w:val="007A70A3"/>
    <w:rsid w:val="007A70D6"/>
    <w:rsid w:val="007A7764"/>
    <w:rsid w:val="007B0E47"/>
    <w:rsid w:val="007B1608"/>
    <w:rsid w:val="007B194A"/>
    <w:rsid w:val="007B1A17"/>
    <w:rsid w:val="007B31DC"/>
    <w:rsid w:val="007B3AEB"/>
    <w:rsid w:val="007B4671"/>
    <w:rsid w:val="007B53A6"/>
    <w:rsid w:val="007B5D3A"/>
    <w:rsid w:val="007B614F"/>
    <w:rsid w:val="007B68F4"/>
    <w:rsid w:val="007B6A47"/>
    <w:rsid w:val="007B6BA1"/>
    <w:rsid w:val="007B73AB"/>
    <w:rsid w:val="007B7735"/>
    <w:rsid w:val="007B7E52"/>
    <w:rsid w:val="007C013D"/>
    <w:rsid w:val="007C1E41"/>
    <w:rsid w:val="007C227F"/>
    <w:rsid w:val="007C2B54"/>
    <w:rsid w:val="007C314F"/>
    <w:rsid w:val="007C3292"/>
    <w:rsid w:val="007C3939"/>
    <w:rsid w:val="007C40E7"/>
    <w:rsid w:val="007C441B"/>
    <w:rsid w:val="007C4BF3"/>
    <w:rsid w:val="007C4E2E"/>
    <w:rsid w:val="007C7179"/>
    <w:rsid w:val="007C763E"/>
    <w:rsid w:val="007C7915"/>
    <w:rsid w:val="007D05A6"/>
    <w:rsid w:val="007D26E0"/>
    <w:rsid w:val="007D3019"/>
    <w:rsid w:val="007D36B5"/>
    <w:rsid w:val="007D3A92"/>
    <w:rsid w:val="007D3FC8"/>
    <w:rsid w:val="007D47D4"/>
    <w:rsid w:val="007D5396"/>
    <w:rsid w:val="007D57EC"/>
    <w:rsid w:val="007D5B30"/>
    <w:rsid w:val="007D5BCF"/>
    <w:rsid w:val="007D6112"/>
    <w:rsid w:val="007D6886"/>
    <w:rsid w:val="007D6A67"/>
    <w:rsid w:val="007D7377"/>
    <w:rsid w:val="007D75F9"/>
    <w:rsid w:val="007D7A78"/>
    <w:rsid w:val="007E0059"/>
    <w:rsid w:val="007E006A"/>
    <w:rsid w:val="007E0152"/>
    <w:rsid w:val="007E0215"/>
    <w:rsid w:val="007E155B"/>
    <w:rsid w:val="007E17BF"/>
    <w:rsid w:val="007E2A9E"/>
    <w:rsid w:val="007E2E74"/>
    <w:rsid w:val="007E2EC8"/>
    <w:rsid w:val="007E35AA"/>
    <w:rsid w:val="007E38AB"/>
    <w:rsid w:val="007E3E5E"/>
    <w:rsid w:val="007E462F"/>
    <w:rsid w:val="007E5187"/>
    <w:rsid w:val="007E6173"/>
    <w:rsid w:val="007E6191"/>
    <w:rsid w:val="007E6C94"/>
    <w:rsid w:val="007E6CB0"/>
    <w:rsid w:val="007E7C1F"/>
    <w:rsid w:val="007F02EB"/>
    <w:rsid w:val="007F0C5D"/>
    <w:rsid w:val="007F1DAA"/>
    <w:rsid w:val="007F1DC9"/>
    <w:rsid w:val="007F2C37"/>
    <w:rsid w:val="007F465A"/>
    <w:rsid w:val="007F5367"/>
    <w:rsid w:val="007F5B0A"/>
    <w:rsid w:val="007F5FF4"/>
    <w:rsid w:val="007F69AB"/>
    <w:rsid w:val="007F6CB0"/>
    <w:rsid w:val="007F718C"/>
    <w:rsid w:val="008002EB"/>
    <w:rsid w:val="00800C09"/>
    <w:rsid w:val="008015E0"/>
    <w:rsid w:val="00801C97"/>
    <w:rsid w:val="0080206D"/>
    <w:rsid w:val="00802131"/>
    <w:rsid w:val="00802408"/>
    <w:rsid w:val="00802E6D"/>
    <w:rsid w:val="0080349A"/>
    <w:rsid w:val="008034E8"/>
    <w:rsid w:val="008039B6"/>
    <w:rsid w:val="00803E83"/>
    <w:rsid w:val="00804090"/>
    <w:rsid w:val="00804AD4"/>
    <w:rsid w:val="00804E73"/>
    <w:rsid w:val="00804F1A"/>
    <w:rsid w:val="00805508"/>
    <w:rsid w:val="0080577D"/>
    <w:rsid w:val="00805DC2"/>
    <w:rsid w:val="008060D0"/>
    <w:rsid w:val="00806705"/>
    <w:rsid w:val="00807310"/>
    <w:rsid w:val="00810509"/>
    <w:rsid w:val="0081082B"/>
    <w:rsid w:val="00811EC9"/>
    <w:rsid w:val="00812E1E"/>
    <w:rsid w:val="008138FB"/>
    <w:rsid w:val="0081408A"/>
    <w:rsid w:val="00814444"/>
    <w:rsid w:val="00816448"/>
    <w:rsid w:val="00816AE5"/>
    <w:rsid w:val="00817D79"/>
    <w:rsid w:val="0082015A"/>
    <w:rsid w:val="0082085F"/>
    <w:rsid w:val="00820AC6"/>
    <w:rsid w:val="00820DA5"/>
    <w:rsid w:val="00821B85"/>
    <w:rsid w:val="00822C19"/>
    <w:rsid w:val="00823171"/>
    <w:rsid w:val="008237D0"/>
    <w:rsid w:val="00823BFA"/>
    <w:rsid w:val="0082414B"/>
    <w:rsid w:val="0082610F"/>
    <w:rsid w:val="00826115"/>
    <w:rsid w:val="00826397"/>
    <w:rsid w:val="00826600"/>
    <w:rsid w:val="00826B47"/>
    <w:rsid w:val="00827665"/>
    <w:rsid w:val="00827B67"/>
    <w:rsid w:val="00827E0C"/>
    <w:rsid w:val="00831753"/>
    <w:rsid w:val="00831D5B"/>
    <w:rsid w:val="00831E2A"/>
    <w:rsid w:val="0083233C"/>
    <w:rsid w:val="00832401"/>
    <w:rsid w:val="00832F8B"/>
    <w:rsid w:val="00834593"/>
    <w:rsid w:val="00834706"/>
    <w:rsid w:val="00834CCF"/>
    <w:rsid w:val="00836212"/>
    <w:rsid w:val="00836944"/>
    <w:rsid w:val="00836E2B"/>
    <w:rsid w:val="0083740B"/>
    <w:rsid w:val="00840195"/>
    <w:rsid w:val="00840915"/>
    <w:rsid w:val="008439D9"/>
    <w:rsid w:val="008442E0"/>
    <w:rsid w:val="008447D0"/>
    <w:rsid w:val="008448ED"/>
    <w:rsid w:val="00844DB5"/>
    <w:rsid w:val="00846802"/>
    <w:rsid w:val="00846CAB"/>
    <w:rsid w:val="008512D7"/>
    <w:rsid w:val="0085167E"/>
    <w:rsid w:val="00851D57"/>
    <w:rsid w:val="00851ECA"/>
    <w:rsid w:val="008521D3"/>
    <w:rsid w:val="00852371"/>
    <w:rsid w:val="00852838"/>
    <w:rsid w:val="00852B8A"/>
    <w:rsid w:val="00854332"/>
    <w:rsid w:val="008543F0"/>
    <w:rsid w:val="0085469A"/>
    <w:rsid w:val="00854B67"/>
    <w:rsid w:val="00854C1E"/>
    <w:rsid w:val="0085515E"/>
    <w:rsid w:val="008554FE"/>
    <w:rsid w:val="008556A5"/>
    <w:rsid w:val="00855769"/>
    <w:rsid w:val="00855898"/>
    <w:rsid w:val="008562D2"/>
    <w:rsid w:val="00856A78"/>
    <w:rsid w:val="00856CB3"/>
    <w:rsid w:val="00856FFD"/>
    <w:rsid w:val="00857929"/>
    <w:rsid w:val="00860EE1"/>
    <w:rsid w:val="008618D5"/>
    <w:rsid w:val="00861FA6"/>
    <w:rsid w:val="0086312B"/>
    <w:rsid w:val="008641E7"/>
    <w:rsid w:val="008647FC"/>
    <w:rsid w:val="00864990"/>
    <w:rsid w:val="0086569E"/>
    <w:rsid w:val="00865999"/>
    <w:rsid w:val="00867A79"/>
    <w:rsid w:val="008704AA"/>
    <w:rsid w:val="00870E6F"/>
    <w:rsid w:val="00870EBF"/>
    <w:rsid w:val="00871AD5"/>
    <w:rsid w:val="00871D62"/>
    <w:rsid w:val="008729E4"/>
    <w:rsid w:val="0087300A"/>
    <w:rsid w:val="00873ACC"/>
    <w:rsid w:val="008748FB"/>
    <w:rsid w:val="00874B3A"/>
    <w:rsid w:val="00874CBE"/>
    <w:rsid w:val="00875484"/>
    <w:rsid w:val="0087578E"/>
    <w:rsid w:val="00876059"/>
    <w:rsid w:val="00876737"/>
    <w:rsid w:val="008768C2"/>
    <w:rsid w:val="00880B5A"/>
    <w:rsid w:val="00880F91"/>
    <w:rsid w:val="00881341"/>
    <w:rsid w:val="0088174B"/>
    <w:rsid w:val="00881DA2"/>
    <w:rsid w:val="008832D9"/>
    <w:rsid w:val="00884A2C"/>
    <w:rsid w:val="008852F2"/>
    <w:rsid w:val="00885523"/>
    <w:rsid w:val="00885968"/>
    <w:rsid w:val="0088597B"/>
    <w:rsid w:val="00885C6F"/>
    <w:rsid w:val="00886533"/>
    <w:rsid w:val="00886848"/>
    <w:rsid w:val="008871E7"/>
    <w:rsid w:val="008879CF"/>
    <w:rsid w:val="00887B27"/>
    <w:rsid w:val="00890BFD"/>
    <w:rsid w:val="00891335"/>
    <w:rsid w:val="00891F39"/>
    <w:rsid w:val="00893211"/>
    <w:rsid w:val="0089372D"/>
    <w:rsid w:val="008938A6"/>
    <w:rsid w:val="00893C35"/>
    <w:rsid w:val="008943E3"/>
    <w:rsid w:val="00894965"/>
    <w:rsid w:val="008954E4"/>
    <w:rsid w:val="00895A11"/>
    <w:rsid w:val="0089635F"/>
    <w:rsid w:val="00896C55"/>
    <w:rsid w:val="00896C61"/>
    <w:rsid w:val="00897764"/>
    <w:rsid w:val="00897A87"/>
    <w:rsid w:val="00897A8A"/>
    <w:rsid w:val="008A02EE"/>
    <w:rsid w:val="008A03E7"/>
    <w:rsid w:val="008A0801"/>
    <w:rsid w:val="008A0D74"/>
    <w:rsid w:val="008A1544"/>
    <w:rsid w:val="008A2BCC"/>
    <w:rsid w:val="008A3D8D"/>
    <w:rsid w:val="008A3DDC"/>
    <w:rsid w:val="008A3E1C"/>
    <w:rsid w:val="008A4535"/>
    <w:rsid w:val="008A4E9E"/>
    <w:rsid w:val="008A55D2"/>
    <w:rsid w:val="008A5A92"/>
    <w:rsid w:val="008A7CC9"/>
    <w:rsid w:val="008B05E0"/>
    <w:rsid w:val="008B0AAD"/>
    <w:rsid w:val="008B1648"/>
    <w:rsid w:val="008B1B3B"/>
    <w:rsid w:val="008B2C45"/>
    <w:rsid w:val="008B3A38"/>
    <w:rsid w:val="008B3F51"/>
    <w:rsid w:val="008B433C"/>
    <w:rsid w:val="008B48DB"/>
    <w:rsid w:val="008B496B"/>
    <w:rsid w:val="008B508B"/>
    <w:rsid w:val="008B5B27"/>
    <w:rsid w:val="008B6125"/>
    <w:rsid w:val="008B70D0"/>
    <w:rsid w:val="008B74DD"/>
    <w:rsid w:val="008B77C5"/>
    <w:rsid w:val="008B7869"/>
    <w:rsid w:val="008C0079"/>
    <w:rsid w:val="008C0A51"/>
    <w:rsid w:val="008C0C3D"/>
    <w:rsid w:val="008C2218"/>
    <w:rsid w:val="008C295E"/>
    <w:rsid w:val="008C36A3"/>
    <w:rsid w:val="008C37E4"/>
    <w:rsid w:val="008C3FCD"/>
    <w:rsid w:val="008C45F5"/>
    <w:rsid w:val="008C499F"/>
    <w:rsid w:val="008C4BDF"/>
    <w:rsid w:val="008C515C"/>
    <w:rsid w:val="008C58B9"/>
    <w:rsid w:val="008C5B6B"/>
    <w:rsid w:val="008C60A2"/>
    <w:rsid w:val="008C6B6B"/>
    <w:rsid w:val="008C7415"/>
    <w:rsid w:val="008C7439"/>
    <w:rsid w:val="008C79E5"/>
    <w:rsid w:val="008C7B1E"/>
    <w:rsid w:val="008C7C52"/>
    <w:rsid w:val="008D0D0D"/>
    <w:rsid w:val="008D0E3A"/>
    <w:rsid w:val="008D16D0"/>
    <w:rsid w:val="008D2188"/>
    <w:rsid w:val="008D2304"/>
    <w:rsid w:val="008D2482"/>
    <w:rsid w:val="008D2A2D"/>
    <w:rsid w:val="008D2D43"/>
    <w:rsid w:val="008D2FBB"/>
    <w:rsid w:val="008D32D3"/>
    <w:rsid w:val="008D3349"/>
    <w:rsid w:val="008D345A"/>
    <w:rsid w:val="008D36E8"/>
    <w:rsid w:val="008D3E7E"/>
    <w:rsid w:val="008D4388"/>
    <w:rsid w:val="008D45E9"/>
    <w:rsid w:val="008D4EBE"/>
    <w:rsid w:val="008D52CD"/>
    <w:rsid w:val="008D5D65"/>
    <w:rsid w:val="008D61CE"/>
    <w:rsid w:val="008D6C35"/>
    <w:rsid w:val="008E0250"/>
    <w:rsid w:val="008E058E"/>
    <w:rsid w:val="008E098F"/>
    <w:rsid w:val="008E24DD"/>
    <w:rsid w:val="008E27D0"/>
    <w:rsid w:val="008E29C4"/>
    <w:rsid w:val="008E3071"/>
    <w:rsid w:val="008E5B05"/>
    <w:rsid w:val="008E5F21"/>
    <w:rsid w:val="008E6A63"/>
    <w:rsid w:val="008E6CF8"/>
    <w:rsid w:val="008E7CFA"/>
    <w:rsid w:val="008F02D0"/>
    <w:rsid w:val="008F0CC0"/>
    <w:rsid w:val="008F12C1"/>
    <w:rsid w:val="008F1CCF"/>
    <w:rsid w:val="008F20D8"/>
    <w:rsid w:val="008F21D7"/>
    <w:rsid w:val="008F2BF8"/>
    <w:rsid w:val="008F341F"/>
    <w:rsid w:val="008F370D"/>
    <w:rsid w:val="008F38F4"/>
    <w:rsid w:val="008F4250"/>
    <w:rsid w:val="008F4D11"/>
    <w:rsid w:val="008F5CE9"/>
    <w:rsid w:val="008F6B1D"/>
    <w:rsid w:val="00900D11"/>
    <w:rsid w:val="00900DC6"/>
    <w:rsid w:val="0090287F"/>
    <w:rsid w:val="00902AAC"/>
    <w:rsid w:val="00902DF2"/>
    <w:rsid w:val="00902F38"/>
    <w:rsid w:val="00902FA1"/>
    <w:rsid w:val="00903410"/>
    <w:rsid w:val="0090383A"/>
    <w:rsid w:val="00903EBE"/>
    <w:rsid w:val="00904846"/>
    <w:rsid w:val="00905140"/>
    <w:rsid w:val="009059D8"/>
    <w:rsid w:val="009063DB"/>
    <w:rsid w:val="00906B79"/>
    <w:rsid w:val="009074D4"/>
    <w:rsid w:val="009077E2"/>
    <w:rsid w:val="00907E56"/>
    <w:rsid w:val="00907E99"/>
    <w:rsid w:val="00907EA3"/>
    <w:rsid w:val="00911713"/>
    <w:rsid w:val="00912394"/>
    <w:rsid w:val="009124AA"/>
    <w:rsid w:val="00912C11"/>
    <w:rsid w:val="0091304E"/>
    <w:rsid w:val="009138DD"/>
    <w:rsid w:val="0091467C"/>
    <w:rsid w:val="00914ACD"/>
    <w:rsid w:val="0091524F"/>
    <w:rsid w:val="009153EA"/>
    <w:rsid w:val="009154C0"/>
    <w:rsid w:val="00915EE1"/>
    <w:rsid w:val="0091614E"/>
    <w:rsid w:val="00916B7A"/>
    <w:rsid w:val="009176B3"/>
    <w:rsid w:val="009200AF"/>
    <w:rsid w:val="00920590"/>
    <w:rsid w:val="00921FCD"/>
    <w:rsid w:val="00924F5E"/>
    <w:rsid w:val="009252E5"/>
    <w:rsid w:val="00926594"/>
    <w:rsid w:val="0092695B"/>
    <w:rsid w:val="00926DC3"/>
    <w:rsid w:val="0092774F"/>
    <w:rsid w:val="009305D7"/>
    <w:rsid w:val="00930A66"/>
    <w:rsid w:val="00930A91"/>
    <w:rsid w:val="0093160A"/>
    <w:rsid w:val="00931763"/>
    <w:rsid w:val="009317C6"/>
    <w:rsid w:val="0093237F"/>
    <w:rsid w:val="009328A7"/>
    <w:rsid w:val="00932E42"/>
    <w:rsid w:val="00932F92"/>
    <w:rsid w:val="00934541"/>
    <w:rsid w:val="009347D5"/>
    <w:rsid w:val="00935936"/>
    <w:rsid w:val="00935E30"/>
    <w:rsid w:val="00935FFF"/>
    <w:rsid w:val="0093646F"/>
    <w:rsid w:val="009366E3"/>
    <w:rsid w:val="00936880"/>
    <w:rsid w:val="00936A93"/>
    <w:rsid w:val="00936C77"/>
    <w:rsid w:val="009375E6"/>
    <w:rsid w:val="0094056F"/>
    <w:rsid w:val="0094066A"/>
    <w:rsid w:val="0094115F"/>
    <w:rsid w:val="009413A9"/>
    <w:rsid w:val="009414D0"/>
    <w:rsid w:val="00943E10"/>
    <w:rsid w:val="00944855"/>
    <w:rsid w:val="009448F1"/>
    <w:rsid w:val="00945E65"/>
    <w:rsid w:val="00946D0E"/>
    <w:rsid w:val="0094705A"/>
    <w:rsid w:val="0094716C"/>
    <w:rsid w:val="009507AF"/>
    <w:rsid w:val="0095184D"/>
    <w:rsid w:val="0095276F"/>
    <w:rsid w:val="009529C5"/>
    <w:rsid w:val="00953139"/>
    <w:rsid w:val="009537D9"/>
    <w:rsid w:val="00953C3F"/>
    <w:rsid w:val="00954FA4"/>
    <w:rsid w:val="0095546E"/>
    <w:rsid w:val="00955B31"/>
    <w:rsid w:val="00955B80"/>
    <w:rsid w:val="009563C8"/>
    <w:rsid w:val="00957203"/>
    <w:rsid w:val="00957213"/>
    <w:rsid w:val="00957CA8"/>
    <w:rsid w:val="00957D47"/>
    <w:rsid w:val="00960C8B"/>
    <w:rsid w:val="00961394"/>
    <w:rsid w:val="00961864"/>
    <w:rsid w:val="009618D8"/>
    <w:rsid w:val="00962B42"/>
    <w:rsid w:val="00962B47"/>
    <w:rsid w:val="00962C37"/>
    <w:rsid w:val="009631BF"/>
    <w:rsid w:val="009638A6"/>
    <w:rsid w:val="0096403F"/>
    <w:rsid w:val="00964B4E"/>
    <w:rsid w:val="009651D8"/>
    <w:rsid w:val="0096656D"/>
    <w:rsid w:val="009667DE"/>
    <w:rsid w:val="00966D5B"/>
    <w:rsid w:val="00967EDC"/>
    <w:rsid w:val="009704D0"/>
    <w:rsid w:val="00971B99"/>
    <w:rsid w:val="00971B9B"/>
    <w:rsid w:val="00971E06"/>
    <w:rsid w:val="00972349"/>
    <w:rsid w:val="0097271B"/>
    <w:rsid w:val="0097286D"/>
    <w:rsid w:val="00973212"/>
    <w:rsid w:val="0097336B"/>
    <w:rsid w:val="00973576"/>
    <w:rsid w:val="00973823"/>
    <w:rsid w:val="0097390B"/>
    <w:rsid w:val="00973E8D"/>
    <w:rsid w:val="00976729"/>
    <w:rsid w:val="0097686A"/>
    <w:rsid w:val="00980170"/>
    <w:rsid w:val="00981087"/>
    <w:rsid w:val="00981326"/>
    <w:rsid w:val="009818EE"/>
    <w:rsid w:val="00981B05"/>
    <w:rsid w:val="00982F14"/>
    <w:rsid w:val="00983BE8"/>
    <w:rsid w:val="00983CD6"/>
    <w:rsid w:val="00984902"/>
    <w:rsid w:val="009852C8"/>
    <w:rsid w:val="00985382"/>
    <w:rsid w:val="00985F3B"/>
    <w:rsid w:val="00986264"/>
    <w:rsid w:val="00986AF3"/>
    <w:rsid w:val="00986CA0"/>
    <w:rsid w:val="00990115"/>
    <w:rsid w:val="0099011B"/>
    <w:rsid w:val="0099177C"/>
    <w:rsid w:val="00991EBE"/>
    <w:rsid w:val="0099207D"/>
    <w:rsid w:val="009922AA"/>
    <w:rsid w:val="00992506"/>
    <w:rsid w:val="009928D9"/>
    <w:rsid w:val="009936C3"/>
    <w:rsid w:val="00993C93"/>
    <w:rsid w:val="00994065"/>
    <w:rsid w:val="00994E04"/>
    <w:rsid w:val="00995304"/>
    <w:rsid w:val="00995BA4"/>
    <w:rsid w:val="00995DC5"/>
    <w:rsid w:val="00996052"/>
    <w:rsid w:val="009966C3"/>
    <w:rsid w:val="00996D6E"/>
    <w:rsid w:val="0099759B"/>
    <w:rsid w:val="00997632"/>
    <w:rsid w:val="0099786F"/>
    <w:rsid w:val="00997D3E"/>
    <w:rsid w:val="009A0059"/>
    <w:rsid w:val="009A04FF"/>
    <w:rsid w:val="009A1664"/>
    <w:rsid w:val="009A25A4"/>
    <w:rsid w:val="009A2734"/>
    <w:rsid w:val="009A2805"/>
    <w:rsid w:val="009A2CF1"/>
    <w:rsid w:val="009A2E1D"/>
    <w:rsid w:val="009A449F"/>
    <w:rsid w:val="009A4527"/>
    <w:rsid w:val="009A45F7"/>
    <w:rsid w:val="009A4AF0"/>
    <w:rsid w:val="009A5484"/>
    <w:rsid w:val="009A5FFB"/>
    <w:rsid w:val="009A608C"/>
    <w:rsid w:val="009A62EA"/>
    <w:rsid w:val="009A65EB"/>
    <w:rsid w:val="009A68E8"/>
    <w:rsid w:val="009B10F6"/>
    <w:rsid w:val="009B1302"/>
    <w:rsid w:val="009B136D"/>
    <w:rsid w:val="009B1E7E"/>
    <w:rsid w:val="009B1F0E"/>
    <w:rsid w:val="009B457A"/>
    <w:rsid w:val="009B4ECA"/>
    <w:rsid w:val="009B5892"/>
    <w:rsid w:val="009B5951"/>
    <w:rsid w:val="009B5958"/>
    <w:rsid w:val="009B597F"/>
    <w:rsid w:val="009B63D5"/>
    <w:rsid w:val="009C02BB"/>
    <w:rsid w:val="009C0B95"/>
    <w:rsid w:val="009C0ECF"/>
    <w:rsid w:val="009C2177"/>
    <w:rsid w:val="009C231C"/>
    <w:rsid w:val="009C23F0"/>
    <w:rsid w:val="009C2A14"/>
    <w:rsid w:val="009C2C83"/>
    <w:rsid w:val="009C31D6"/>
    <w:rsid w:val="009C3BF9"/>
    <w:rsid w:val="009C3E12"/>
    <w:rsid w:val="009C4FE5"/>
    <w:rsid w:val="009C5904"/>
    <w:rsid w:val="009C61DB"/>
    <w:rsid w:val="009C6451"/>
    <w:rsid w:val="009C72CD"/>
    <w:rsid w:val="009D07C2"/>
    <w:rsid w:val="009D2B54"/>
    <w:rsid w:val="009D2C65"/>
    <w:rsid w:val="009D2FB0"/>
    <w:rsid w:val="009D3358"/>
    <w:rsid w:val="009D38AE"/>
    <w:rsid w:val="009D3BDF"/>
    <w:rsid w:val="009D413B"/>
    <w:rsid w:val="009D5CAD"/>
    <w:rsid w:val="009D6703"/>
    <w:rsid w:val="009D6713"/>
    <w:rsid w:val="009D6F74"/>
    <w:rsid w:val="009D6F8D"/>
    <w:rsid w:val="009D74EB"/>
    <w:rsid w:val="009D7CC1"/>
    <w:rsid w:val="009D7E51"/>
    <w:rsid w:val="009E04D2"/>
    <w:rsid w:val="009E0A3F"/>
    <w:rsid w:val="009E0D5C"/>
    <w:rsid w:val="009E1C61"/>
    <w:rsid w:val="009E1E06"/>
    <w:rsid w:val="009E20E5"/>
    <w:rsid w:val="009E2317"/>
    <w:rsid w:val="009E3001"/>
    <w:rsid w:val="009E360E"/>
    <w:rsid w:val="009E3733"/>
    <w:rsid w:val="009E3D70"/>
    <w:rsid w:val="009E3D91"/>
    <w:rsid w:val="009E3FCC"/>
    <w:rsid w:val="009E461F"/>
    <w:rsid w:val="009E463E"/>
    <w:rsid w:val="009E4850"/>
    <w:rsid w:val="009E49A3"/>
    <w:rsid w:val="009E5744"/>
    <w:rsid w:val="009E786B"/>
    <w:rsid w:val="009F01B4"/>
    <w:rsid w:val="009F034C"/>
    <w:rsid w:val="009F0449"/>
    <w:rsid w:val="009F065A"/>
    <w:rsid w:val="009F10C3"/>
    <w:rsid w:val="009F1151"/>
    <w:rsid w:val="009F12B2"/>
    <w:rsid w:val="009F1314"/>
    <w:rsid w:val="009F15CB"/>
    <w:rsid w:val="009F1ABA"/>
    <w:rsid w:val="009F23F9"/>
    <w:rsid w:val="009F25AF"/>
    <w:rsid w:val="009F3FD7"/>
    <w:rsid w:val="009F5B63"/>
    <w:rsid w:val="009F6457"/>
    <w:rsid w:val="009F6D92"/>
    <w:rsid w:val="00A013E1"/>
    <w:rsid w:val="00A01693"/>
    <w:rsid w:val="00A01729"/>
    <w:rsid w:val="00A01DB4"/>
    <w:rsid w:val="00A02770"/>
    <w:rsid w:val="00A0305E"/>
    <w:rsid w:val="00A0354D"/>
    <w:rsid w:val="00A04B47"/>
    <w:rsid w:val="00A05563"/>
    <w:rsid w:val="00A05D55"/>
    <w:rsid w:val="00A0648D"/>
    <w:rsid w:val="00A07557"/>
    <w:rsid w:val="00A0760D"/>
    <w:rsid w:val="00A1042A"/>
    <w:rsid w:val="00A1047B"/>
    <w:rsid w:val="00A10F85"/>
    <w:rsid w:val="00A1143A"/>
    <w:rsid w:val="00A11E98"/>
    <w:rsid w:val="00A120C0"/>
    <w:rsid w:val="00A121AB"/>
    <w:rsid w:val="00A12569"/>
    <w:rsid w:val="00A1309B"/>
    <w:rsid w:val="00A1309F"/>
    <w:rsid w:val="00A13461"/>
    <w:rsid w:val="00A14CB2"/>
    <w:rsid w:val="00A15944"/>
    <w:rsid w:val="00A208E0"/>
    <w:rsid w:val="00A2258E"/>
    <w:rsid w:val="00A225EE"/>
    <w:rsid w:val="00A227D3"/>
    <w:rsid w:val="00A22897"/>
    <w:rsid w:val="00A22DFE"/>
    <w:rsid w:val="00A25898"/>
    <w:rsid w:val="00A26BC2"/>
    <w:rsid w:val="00A26FEC"/>
    <w:rsid w:val="00A27434"/>
    <w:rsid w:val="00A308FC"/>
    <w:rsid w:val="00A31778"/>
    <w:rsid w:val="00A317EF"/>
    <w:rsid w:val="00A32001"/>
    <w:rsid w:val="00A324D0"/>
    <w:rsid w:val="00A3353E"/>
    <w:rsid w:val="00A336C6"/>
    <w:rsid w:val="00A34051"/>
    <w:rsid w:val="00A345FE"/>
    <w:rsid w:val="00A348D5"/>
    <w:rsid w:val="00A34D2F"/>
    <w:rsid w:val="00A36106"/>
    <w:rsid w:val="00A364E6"/>
    <w:rsid w:val="00A36C1B"/>
    <w:rsid w:val="00A41457"/>
    <w:rsid w:val="00A41977"/>
    <w:rsid w:val="00A42214"/>
    <w:rsid w:val="00A42E4C"/>
    <w:rsid w:val="00A42EA0"/>
    <w:rsid w:val="00A45013"/>
    <w:rsid w:val="00A4522A"/>
    <w:rsid w:val="00A45CA9"/>
    <w:rsid w:val="00A4663B"/>
    <w:rsid w:val="00A46D8B"/>
    <w:rsid w:val="00A474BD"/>
    <w:rsid w:val="00A47D82"/>
    <w:rsid w:val="00A502AB"/>
    <w:rsid w:val="00A5054B"/>
    <w:rsid w:val="00A51210"/>
    <w:rsid w:val="00A51243"/>
    <w:rsid w:val="00A51826"/>
    <w:rsid w:val="00A5203F"/>
    <w:rsid w:val="00A524E1"/>
    <w:rsid w:val="00A526EB"/>
    <w:rsid w:val="00A52FF9"/>
    <w:rsid w:val="00A5321A"/>
    <w:rsid w:val="00A53334"/>
    <w:rsid w:val="00A53608"/>
    <w:rsid w:val="00A53AA8"/>
    <w:rsid w:val="00A53E29"/>
    <w:rsid w:val="00A54DC4"/>
    <w:rsid w:val="00A5502B"/>
    <w:rsid w:val="00A55BC8"/>
    <w:rsid w:val="00A55E0B"/>
    <w:rsid w:val="00A569A4"/>
    <w:rsid w:val="00A56EF8"/>
    <w:rsid w:val="00A5713C"/>
    <w:rsid w:val="00A57AF8"/>
    <w:rsid w:val="00A6070F"/>
    <w:rsid w:val="00A61346"/>
    <w:rsid w:val="00A62960"/>
    <w:rsid w:val="00A63102"/>
    <w:rsid w:val="00A63552"/>
    <w:rsid w:val="00A6476A"/>
    <w:rsid w:val="00A647C5"/>
    <w:rsid w:val="00A64C58"/>
    <w:rsid w:val="00A65DB6"/>
    <w:rsid w:val="00A664C2"/>
    <w:rsid w:val="00A666BF"/>
    <w:rsid w:val="00A66A5E"/>
    <w:rsid w:val="00A66C26"/>
    <w:rsid w:val="00A70475"/>
    <w:rsid w:val="00A70861"/>
    <w:rsid w:val="00A70B83"/>
    <w:rsid w:val="00A70FC2"/>
    <w:rsid w:val="00A71872"/>
    <w:rsid w:val="00A71AE7"/>
    <w:rsid w:val="00A72068"/>
    <w:rsid w:val="00A7263F"/>
    <w:rsid w:val="00A72EBA"/>
    <w:rsid w:val="00A73D5F"/>
    <w:rsid w:val="00A745BA"/>
    <w:rsid w:val="00A747E4"/>
    <w:rsid w:val="00A74CE9"/>
    <w:rsid w:val="00A7534A"/>
    <w:rsid w:val="00A7537A"/>
    <w:rsid w:val="00A76128"/>
    <w:rsid w:val="00A77155"/>
    <w:rsid w:val="00A80D38"/>
    <w:rsid w:val="00A81473"/>
    <w:rsid w:val="00A822B1"/>
    <w:rsid w:val="00A82836"/>
    <w:rsid w:val="00A82BD8"/>
    <w:rsid w:val="00A83071"/>
    <w:rsid w:val="00A83546"/>
    <w:rsid w:val="00A835AA"/>
    <w:rsid w:val="00A838F1"/>
    <w:rsid w:val="00A844E9"/>
    <w:rsid w:val="00A849CA"/>
    <w:rsid w:val="00A8522F"/>
    <w:rsid w:val="00A86DE8"/>
    <w:rsid w:val="00A87B9E"/>
    <w:rsid w:val="00A87DB0"/>
    <w:rsid w:val="00A9003E"/>
    <w:rsid w:val="00A90155"/>
    <w:rsid w:val="00A91102"/>
    <w:rsid w:val="00A91A35"/>
    <w:rsid w:val="00A91AF0"/>
    <w:rsid w:val="00A9206A"/>
    <w:rsid w:val="00A92369"/>
    <w:rsid w:val="00A926BE"/>
    <w:rsid w:val="00A9334E"/>
    <w:rsid w:val="00A934A1"/>
    <w:rsid w:val="00A93C15"/>
    <w:rsid w:val="00A93EF8"/>
    <w:rsid w:val="00A9403F"/>
    <w:rsid w:val="00A944E0"/>
    <w:rsid w:val="00A94546"/>
    <w:rsid w:val="00A94D15"/>
    <w:rsid w:val="00A94F5B"/>
    <w:rsid w:val="00A95CCD"/>
    <w:rsid w:val="00A95D52"/>
    <w:rsid w:val="00A95E7C"/>
    <w:rsid w:val="00A9664F"/>
    <w:rsid w:val="00A96801"/>
    <w:rsid w:val="00A96B18"/>
    <w:rsid w:val="00A97FEA"/>
    <w:rsid w:val="00AA0013"/>
    <w:rsid w:val="00AA027D"/>
    <w:rsid w:val="00AA02C2"/>
    <w:rsid w:val="00AA04C9"/>
    <w:rsid w:val="00AA0AF4"/>
    <w:rsid w:val="00AA1E7D"/>
    <w:rsid w:val="00AA27D6"/>
    <w:rsid w:val="00AA33A3"/>
    <w:rsid w:val="00AA46AD"/>
    <w:rsid w:val="00AA472F"/>
    <w:rsid w:val="00AA4A2F"/>
    <w:rsid w:val="00AA550A"/>
    <w:rsid w:val="00AA59F9"/>
    <w:rsid w:val="00AA5AE6"/>
    <w:rsid w:val="00AA70C4"/>
    <w:rsid w:val="00AA7948"/>
    <w:rsid w:val="00AB01E2"/>
    <w:rsid w:val="00AB070A"/>
    <w:rsid w:val="00AB1F30"/>
    <w:rsid w:val="00AB26C9"/>
    <w:rsid w:val="00AB2785"/>
    <w:rsid w:val="00AB2A36"/>
    <w:rsid w:val="00AB2DAD"/>
    <w:rsid w:val="00AB3411"/>
    <w:rsid w:val="00AB34D7"/>
    <w:rsid w:val="00AB4179"/>
    <w:rsid w:val="00AB453B"/>
    <w:rsid w:val="00AB55A3"/>
    <w:rsid w:val="00AB5C6B"/>
    <w:rsid w:val="00AB5CA1"/>
    <w:rsid w:val="00AB798D"/>
    <w:rsid w:val="00AC0D2A"/>
    <w:rsid w:val="00AC1A4D"/>
    <w:rsid w:val="00AC200A"/>
    <w:rsid w:val="00AC408E"/>
    <w:rsid w:val="00AC478D"/>
    <w:rsid w:val="00AC4ED3"/>
    <w:rsid w:val="00AC7F6B"/>
    <w:rsid w:val="00AD02E0"/>
    <w:rsid w:val="00AD0C46"/>
    <w:rsid w:val="00AD0F27"/>
    <w:rsid w:val="00AD1CAC"/>
    <w:rsid w:val="00AD2626"/>
    <w:rsid w:val="00AD2744"/>
    <w:rsid w:val="00AD2980"/>
    <w:rsid w:val="00AD2BED"/>
    <w:rsid w:val="00AD2C08"/>
    <w:rsid w:val="00AD2F56"/>
    <w:rsid w:val="00AD3591"/>
    <w:rsid w:val="00AD4311"/>
    <w:rsid w:val="00AD454B"/>
    <w:rsid w:val="00AD558C"/>
    <w:rsid w:val="00AD5E7A"/>
    <w:rsid w:val="00AD6CFA"/>
    <w:rsid w:val="00AD6F5F"/>
    <w:rsid w:val="00AD73C8"/>
    <w:rsid w:val="00AD7834"/>
    <w:rsid w:val="00AE04E4"/>
    <w:rsid w:val="00AE0AB7"/>
    <w:rsid w:val="00AE0B3F"/>
    <w:rsid w:val="00AE0B66"/>
    <w:rsid w:val="00AE1406"/>
    <w:rsid w:val="00AE27F5"/>
    <w:rsid w:val="00AE2B57"/>
    <w:rsid w:val="00AE2E25"/>
    <w:rsid w:val="00AE30F9"/>
    <w:rsid w:val="00AE32ED"/>
    <w:rsid w:val="00AE365B"/>
    <w:rsid w:val="00AE397C"/>
    <w:rsid w:val="00AE48D8"/>
    <w:rsid w:val="00AE66C9"/>
    <w:rsid w:val="00AE66E5"/>
    <w:rsid w:val="00AE6827"/>
    <w:rsid w:val="00AE76DB"/>
    <w:rsid w:val="00AE7A50"/>
    <w:rsid w:val="00AE7D04"/>
    <w:rsid w:val="00AE7D0F"/>
    <w:rsid w:val="00AE7E2A"/>
    <w:rsid w:val="00AE7FB0"/>
    <w:rsid w:val="00AF01E3"/>
    <w:rsid w:val="00AF130F"/>
    <w:rsid w:val="00AF1380"/>
    <w:rsid w:val="00AF1EAF"/>
    <w:rsid w:val="00AF22E2"/>
    <w:rsid w:val="00AF304F"/>
    <w:rsid w:val="00AF37A3"/>
    <w:rsid w:val="00AF426F"/>
    <w:rsid w:val="00AF44E0"/>
    <w:rsid w:val="00AF4DA2"/>
    <w:rsid w:val="00AF4E8F"/>
    <w:rsid w:val="00AF544C"/>
    <w:rsid w:val="00AF586E"/>
    <w:rsid w:val="00AF6871"/>
    <w:rsid w:val="00AF755F"/>
    <w:rsid w:val="00AF761E"/>
    <w:rsid w:val="00AF7983"/>
    <w:rsid w:val="00AF7B16"/>
    <w:rsid w:val="00B005F4"/>
    <w:rsid w:val="00B0068D"/>
    <w:rsid w:val="00B01326"/>
    <w:rsid w:val="00B01F26"/>
    <w:rsid w:val="00B02239"/>
    <w:rsid w:val="00B0275D"/>
    <w:rsid w:val="00B02BEC"/>
    <w:rsid w:val="00B033ED"/>
    <w:rsid w:val="00B0366F"/>
    <w:rsid w:val="00B04081"/>
    <w:rsid w:val="00B04873"/>
    <w:rsid w:val="00B06B3C"/>
    <w:rsid w:val="00B07F37"/>
    <w:rsid w:val="00B10774"/>
    <w:rsid w:val="00B10B14"/>
    <w:rsid w:val="00B11E3F"/>
    <w:rsid w:val="00B11E85"/>
    <w:rsid w:val="00B12419"/>
    <w:rsid w:val="00B12C3E"/>
    <w:rsid w:val="00B13906"/>
    <w:rsid w:val="00B1436A"/>
    <w:rsid w:val="00B14396"/>
    <w:rsid w:val="00B146E4"/>
    <w:rsid w:val="00B148CC"/>
    <w:rsid w:val="00B15103"/>
    <w:rsid w:val="00B165EB"/>
    <w:rsid w:val="00B1663C"/>
    <w:rsid w:val="00B16EA0"/>
    <w:rsid w:val="00B16F42"/>
    <w:rsid w:val="00B175EE"/>
    <w:rsid w:val="00B17814"/>
    <w:rsid w:val="00B17BB0"/>
    <w:rsid w:val="00B17BF4"/>
    <w:rsid w:val="00B2129A"/>
    <w:rsid w:val="00B2180D"/>
    <w:rsid w:val="00B22AB2"/>
    <w:rsid w:val="00B2513D"/>
    <w:rsid w:val="00B257F6"/>
    <w:rsid w:val="00B25894"/>
    <w:rsid w:val="00B259DE"/>
    <w:rsid w:val="00B25A82"/>
    <w:rsid w:val="00B25C8D"/>
    <w:rsid w:val="00B25FCD"/>
    <w:rsid w:val="00B26B9C"/>
    <w:rsid w:val="00B270EB"/>
    <w:rsid w:val="00B271E3"/>
    <w:rsid w:val="00B27CA0"/>
    <w:rsid w:val="00B30EB1"/>
    <w:rsid w:val="00B31628"/>
    <w:rsid w:val="00B31A08"/>
    <w:rsid w:val="00B31AE4"/>
    <w:rsid w:val="00B32209"/>
    <w:rsid w:val="00B32D63"/>
    <w:rsid w:val="00B331BD"/>
    <w:rsid w:val="00B343AF"/>
    <w:rsid w:val="00B344A3"/>
    <w:rsid w:val="00B345F4"/>
    <w:rsid w:val="00B346EA"/>
    <w:rsid w:val="00B351B8"/>
    <w:rsid w:val="00B3529C"/>
    <w:rsid w:val="00B358D9"/>
    <w:rsid w:val="00B36080"/>
    <w:rsid w:val="00B367B5"/>
    <w:rsid w:val="00B37455"/>
    <w:rsid w:val="00B3771D"/>
    <w:rsid w:val="00B37891"/>
    <w:rsid w:val="00B41A92"/>
    <w:rsid w:val="00B421E5"/>
    <w:rsid w:val="00B4266B"/>
    <w:rsid w:val="00B42840"/>
    <w:rsid w:val="00B4299F"/>
    <w:rsid w:val="00B42C0C"/>
    <w:rsid w:val="00B43A91"/>
    <w:rsid w:val="00B443A6"/>
    <w:rsid w:val="00B44803"/>
    <w:rsid w:val="00B4562D"/>
    <w:rsid w:val="00B45D81"/>
    <w:rsid w:val="00B465DE"/>
    <w:rsid w:val="00B46622"/>
    <w:rsid w:val="00B4689B"/>
    <w:rsid w:val="00B47253"/>
    <w:rsid w:val="00B4757F"/>
    <w:rsid w:val="00B50DEA"/>
    <w:rsid w:val="00B513EE"/>
    <w:rsid w:val="00B515F7"/>
    <w:rsid w:val="00B5185B"/>
    <w:rsid w:val="00B51C63"/>
    <w:rsid w:val="00B527D1"/>
    <w:rsid w:val="00B541AE"/>
    <w:rsid w:val="00B547C9"/>
    <w:rsid w:val="00B5506A"/>
    <w:rsid w:val="00B55B76"/>
    <w:rsid w:val="00B56363"/>
    <w:rsid w:val="00B56A08"/>
    <w:rsid w:val="00B56D15"/>
    <w:rsid w:val="00B56FA3"/>
    <w:rsid w:val="00B56FA6"/>
    <w:rsid w:val="00B5742A"/>
    <w:rsid w:val="00B57B37"/>
    <w:rsid w:val="00B57C1A"/>
    <w:rsid w:val="00B57D54"/>
    <w:rsid w:val="00B57FCF"/>
    <w:rsid w:val="00B604CE"/>
    <w:rsid w:val="00B616D6"/>
    <w:rsid w:val="00B61B33"/>
    <w:rsid w:val="00B62850"/>
    <w:rsid w:val="00B62F5A"/>
    <w:rsid w:val="00B632C3"/>
    <w:rsid w:val="00B63ABC"/>
    <w:rsid w:val="00B63E69"/>
    <w:rsid w:val="00B6412B"/>
    <w:rsid w:val="00B658BA"/>
    <w:rsid w:val="00B65F64"/>
    <w:rsid w:val="00B66EDF"/>
    <w:rsid w:val="00B67A7F"/>
    <w:rsid w:val="00B707AB"/>
    <w:rsid w:val="00B70C34"/>
    <w:rsid w:val="00B71141"/>
    <w:rsid w:val="00B71C05"/>
    <w:rsid w:val="00B71D1C"/>
    <w:rsid w:val="00B724C6"/>
    <w:rsid w:val="00B7320E"/>
    <w:rsid w:val="00B73608"/>
    <w:rsid w:val="00B742EF"/>
    <w:rsid w:val="00B74583"/>
    <w:rsid w:val="00B77134"/>
    <w:rsid w:val="00B77398"/>
    <w:rsid w:val="00B77436"/>
    <w:rsid w:val="00B776DB"/>
    <w:rsid w:val="00B77A50"/>
    <w:rsid w:val="00B77F7A"/>
    <w:rsid w:val="00B804B2"/>
    <w:rsid w:val="00B80923"/>
    <w:rsid w:val="00B824E5"/>
    <w:rsid w:val="00B82C37"/>
    <w:rsid w:val="00B8408E"/>
    <w:rsid w:val="00B840D4"/>
    <w:rsid w:val="00B844E0"/>
    <w:rsid w:val="00B8470E"/>
    <w:rsid w:val="00B84E01"/>
    <w:rsid w:val="00B856FA"/>
    <w:rsid w:val="00B86AD3"/>
    <w:rsid w:val="00B86E4D"/>
    <w:rsid w:val="00B87705"/>
    <w:rsid w:val="00B87A6A"/>
    <w:rsid w:val="00B87FF8"/>
    <w:rsid w:val="00B90778"/>
    <w:rsid w:val="00B912FA"/>
    <w:rsid w:val="00B91642"/>
    <w:rsid w:val="00B91781"/>
    <w:rsid w:val="00B918AB"/>
    <w:rsid w:val="00B91C1B"/>
    <w:rsid w:val="00B92C61"/>
    <w:rsid w:val="00B92E5D"/>
    <w:rsid w:val="00B92F64"/>
    <w:rsid w:val="00B93110"/>
    <w:rsid w:val="00B933DD"/>
    <w:rsid w:val="00B94762"/>
    <w:rsid w:val="00B95532"/>
    <w:rsid w:val="00B95BB7"/>
    <w:rsid w:val="00B968B6"/>
    <w:rsid w:val="00B9723D"/>
    <w:rsid w:val="00B975E1"/>
    <w:rsid w:val="00B977CA"/>
    <w:rsid w:val="00B97FDB"/>
    <w:rsid w:val="00BA0166"/>
    <w:rsid w:val="00BA0172"/>
    <w:rsid w:val="00BA1981"/>
    <w:rsid w:val="00BA1D6E"/>
    <w:rsid w:val="00BA21F8"/>
    <w:rsid w:val="00BA24AA"/>
    <w:rsid w:val="00BA2BBD"/>
    <w:rsid w:val="00BA39A8"/>
    <w:rsid w:val="00BA3C80"/>
    <w:rsid w:val="00BA4792"/>
    <w:rsid w:val="00BA56E3"/>
    <w:rsid w:val="00BA5A57"/>
    <w:rsid w:val="00BA5C92"/>
    <w:rsid w:val="00BA5EC4"/>
    <w:rsid w:val="00BA60A4"/>
    <w:rsid w:val="00BA6165"/>
    <w:rsid w:val="00BA6A9A"/>
    <w:rsid w:val="00BA6D48"/>
    <w:rsid w:val="00BA7435"/>
    <w:rsid w:val="00BB0580"/>
    <w:rsid w:val="00BB0862"/>
    <w:rsid w:val="00BB163B"/>
    <w:rsid w:val="00BB24DA"/>
    <w:rsid w:val="00BB25D9"/>
    <w:rsid w:val="00BB2B9D"/>
    <w:rsid w:val="00BB2EDC"/>
    <w:rsid w:val="00BB35AA"/>
    <w:rsid w:val="00BB383D"/>
    <w:rsid w:val="00BB3CE5"/>
    <w:rsid w:val="00BB3EA5"/>
    <w:rsid w:val="00BB5ACB"/>
    <w:rsid w:val="00BB608E"/>
    <w:rsid w:val="00BB6648"/>
    <w:rsid w:val="00BB67A9"/>
    <w:rsid w:val="00BB681F"/>
    <w:rsid w:val="00BB6A48"/>
    <w:rsid w:val="00BB7665"/>
    <w:rsid w:val="00BB7669"/>
    <w:rsid w:val="00BB78F4"/>
    <w:rsid w:val="00BB7DB1"/>
    <w:rsid w:val="00BB7FB3"/>
    <w:rsid w:val="00BC0275"/>
    <w:rsid w:val="00BC051F"/>
    <w:rsid w:val="00BC0776"/>
    <w:rsid w:val="00BC08D3"/>
    <w:rsid w:val="00BC09A3"/>
    <w:rsid w:val="00BC0C4E"/>
    <w:rsid w:val="00BC0D8B"/>
    <w:rsid w:val="00BC0E40"/>
    <w:rsid w:val="00BC1450"/>
    <w:rsid w:val="00BC166A"/>
    <w:rsid w:val="00BC1755"/>
    <w:rsid w:val="00BC1D15"/>
    <w:rsid w:val="00BC2584"/>
    <w:rsid w:val="00BC3533"/>
    <w:rsid w:val="00BC369E"/>
    <w:rsid w:val="00BC48F3"/>
    <w:rsid w:val="00BC4AF9"/>
    <w:rsid w:val="00BC509C"/>
    <w:rsid w:val="00BC5DCE"/>
    <w:rsid w:val="00BC6505"/>
    <w:rsid w:val="00BC6D71"/>
    <w:rsid w:val="00BC7399"/>
    <w:rsid w:val="00BD0164"/>
    <w:rsid w:val="00BD0959"/>
    <w:rsid w:val="00BD0A1E"/>
    <w:rsid w:val="00BD0CC4"/>
    <w:rsid w:val="00BD0F95"/>
    <w:rsid w:val="00BD128A"/>
    <w:rsid w:val="00BD1403"/>
    <w:rsid w:val="00BD1E32"/>
    <w:rsid w:val="00BD204E"/>
    <w:rsid w:val="00BD2C1B"/>
    <w:rsid w:val="00BD31B8"/>
    <w:rsid w:val="00BD3408"/>
    <w:rsid w:val="00BD5502"/>
    <w:rsid w:val="00BD5801"/>
    <w:rsid w:val="00BD58E0"/>
    <w:rsid w:val="00BD60CB"/>
    <w:rsid w:val="00BD6B4C"/>
    <w:rsid w:val="00BD750C"/>
    <w:rsid w:val="00BD7966"/>
    <w:rsid w:val="00BD7D12"/>
    <w:rsid w:val="00BE1C7B"/>
    <w:rsid w:val="00BE1F7D"/>
    <w:rsid w:val="00BE28CE"/>
    <w:rsid w:val="00BE2C08"/>
    <w:rsid w:val="00BE323E"/>
    <w:rsid w:val="00BE35EE"/>
    <w:rsid w:val="00BE365F"/>
    <w:rsid w:val="00BE3706"/>
    <w:rsid w:val="00BE39AA"/>
    <w:rsid w:val="00BE3A35"/>
    <w:rsid w:val="00BE3B56"/>
    <w:rsid w:val="00BE433B"/>
    <w:rsid w:val="00BE468A"/>
    <w:rsid w:val="00BE46D0"/>
    <w:rsid w:val="00BE4A90"/>
    <w:rsid w:val="00BE53BA"/>
    <w:rsid w:val="00BE6EDD"/>
    <w:rsid w:val="00BE7E7F"/>
    <w:rsid w:val="00BF02DC"/>
    <w:rsid w:val="00BF030F"/>
    <w:rsid w:val="00BF070F"/>
    <w:rsid w:val="00BF0F42"/>
    <w:rsid w:val="00BF1106"/>
    <w:rsid w:val="00BF129D"/>
    <w:rsid w:val="00BF13DA"/>
    <w:rsid w:val="00BF16A8"/>
    <w:rsid w:val="00BF2CD1"/>
    <w:rsid w:val="00BF3811"/>
    <w:rsid w:val="00BF4720"/>
    <w:rsid w:val="00BF50EF"/>
    <w:rsid w:val="00BF5428"/>
    <w:rsid w:val="00BF63EC"/>
    <w:rsid w:val="00BF6B90"/>
    <w:rsid w:val="00BF780B"/>
    <w:rsid w:val="00BF7C11"/>
    <w:rsid w:val="00BF7E27"/>
    <w:rsid w:val="00C00548"/>
    <w:rsid w:val="00C01C5C"/>
    <w:rsid w:val="00C01E01"/>
    <w:rsid w:val="00C02001"/>
    <w:rsid w:val="00C0336F"/>
    <w:rsid w:val="00C03E9E"/>
    <w:rsid w:val="00C041FE"/>
    <w:rsid w:val="00C042D4"/>
    <w:rsid w:val="00C0446A"/>
    <w:rsid w:val="00C045C4"/>
    <w:rsid w:val="00C048D8"/>
    <w:rsid w:val="00C0496B"/>
    <w:rsid w:val="00C04D2D"/>
    <w:rsid w:val="00C0527E"/>
    <w:rsid w:val="00C057C4"/>
    <w:rsid w:val="00C05AC6"/>
    <w:rsid w:val="00C05E66"/>
    <w:rsid w:val="00C06541"/>
    <w:rsid w:val="00C06CE5"/>
    <w:rsid w:val="00C07438"/>
    <w:rsid w:val="00C07835"/>
    <w:rsid w:val="00C0789C"/>
    <w:rsid w:val="00C10267"/>
    <w:rsid w:val="00C10785"/>
    <w:rsid w:val="00C1105A"/>
    <w:rsid w:val="00C115F5"/>
    <w:rsid w:val="00C11CFC"/>
    <w:rsid w:val="00C11F32"/>
    <w:rsid w:val="00C12B77"/>
    <w:rsid w:val="00C13139"/>
    <w:rsid w:val="00C1333A"/>
    <w:rsid w:val="00C13923"/>
    <w:rsid w:val="00C13E68"/>
    <w:rsid w:val="00C140F9"/>
    <w:rsid w:val="00C15506"/>
    <w:rsid w:val="00C15B6F"/>
    <w:rsid w:val="00C16D6D"/>
    <w:rsid w:val="00C16D9B"/>
    <w:rsid w:val="00C177D3"/>
    <w:rsid w:val="00C17ABA"/>
    <w:rsid w:val="00C200F3"/>
    <w:rsid w:val="00C214C9"/>
    <w:rsid w:val="00C21BB8"/>
    <w:rsid w:val="00C227F2"/>
    <w:rsid w:val="00C2297F"/>
    <w:rsid w:val="00C22D08"/>
    <w:rsid w:val="00C235BF"/>
    <w:rsid w:val="00C24AF9"/>
    <w:rsid w:val="00C25232"/>
    <w:rsid w:val="00C253FD"/>
    <w:rsid w:val="00C259DB"/>
    <w:rsid w:val="00C25F88"/>
    <w:rsid w:val="00C26EB1"/>
    <w:rsid w:val="00C26EF8"/>
    <w:rsid w:val="00C27223"/>
    <w:rsid w:val="00C274E5"/>
    <w:rsid w:val="00C30207"/>
    <w:rsid w:val="00C30288"/>
    <w:rsid w:val="00C309DE"/>
    <w:rsid w:val="00C30CDE"/>
    <w:rsid w:val="00C31BE0"/>
    <w:rsid w:val="00C32DB9"/>
    <w:rsid w:val="00C32E98"/>
    <w:rsid w:val="00C333E4"/>
    <w:rsid w:val="00C34380"/>
    <w:rsid w:val="00C347F5"/>
    <w:rsid w:val="00C3485A"/>
    <w:rsid w:val="00C34E39"/>
    <w:rsid w:val="00C35F1D"/>
    <w:rsid w:val="00C35FE5"/>
    <w:rsid w:val="00C365D3"/>
    <w:rsid w:val="00C3776B"/>
    <w:rsid w:val="00C37CC9"/>
    <w:rsid w:val="00C37D27"/>
    <w:rsid w:val="00C37E4B"/>
    <w:rsid w:val="00C4030B"/>
    <w:rsid w:val="00C40A9A"/>
    <w:rsid w:val="00C40D96"/>
    <w:rsid w:val="00C4150E"/>
    <w:rsid w:val="00C41B50"/>
    <w:rsid w:val="00C41C71"/>
    <w:rsid w:val="00C4290C"/>
    <w:rsid w:val="00C430AB"/>
    <w:rsid w:val="00C43365"/>
    <w:rsid w:val="00C43C6A"/>
    <w:rsid w:val="00C44CF8"/>
    <w:rsid w:val="00C46E1A"/>
    <w:rsid w:val="00C505B0"/>
    <w:rsid w:val="00C50977"/>
    <w:rsid w:val="00C509EB"/>
    <w:rsid w:val="00C513C7"/>
    <w:rsid w:val="00C51A43"/>
    <w:rsid w:val="00C521C0"/>
    <w:rsid w:val="00C52709"/>
    <w:rsid w:val="00C5272E"/>
    <w:rsid w:val="00C528BB"/>
    <w:rsid w:val="00C531DC"/>
    <w:rsid w:val="00C55C3C"/>
    <w:rsid w:val="00C562A5"/>
    <w:rsid w:val="00C578D8"/>
    <w:rsid w:val="00C608D3"/>
    <w:rsid w:val="00C61077"/>
    <w:rsid w:val="00C612F2"/>
    <w:rsid w:val="00C613AC"/>
    <w:rsid w:val="00C625C8"/>
    <w:rsid w:val="00C62B78"/>
    <w:rsid w:val="00C6359B"/>
    <w:rsid w:val="00C63D92"/>
    <w:rsid w:val="00C641EC"/>
    <w:rsid w:val="00C64739"/>
    <w:rsid w:val="00C648E8"/>
    <w:rsid w:val="00C64CB7"/>
    <w:rsid w:val="00C65C1C"/>
    <w:rsid w:val="00C66879"/>
    <w:rsid w:val="00C673F7"/>
    <w:rsid w:val="00C67ADC"/>
    <w:rsid w:val="00C702C5"/>
    <w:rsid w:val="00C705C8"/>
    <w:rsid w:val="00C7076B"/>
    <w:rsid w:val="00C70A7B"/>
    <w:rsid w:val="00C711FA"/>
    <w:rsid w:val="00C719FC"/>
    <w:rsid w:val="00C720DA"/>
    <w:rsid w:val="00C736EA"/>
    <w:rsid w:val="00C74DC7"/>
    <w:rsid w:val="00C76E5F"/>
    <w:rsid w:val="00C77792"/>
    <w:rsid w:val="00C77AFC"/>
    <w:rsid w:val="00C8041E"/>
    <w:rsid w:val="00C80479"/>
    <w:rsid w:val="00C806DD"/>
    <w:rsid w:val="00C80798"/>
    <w:rsid w:val="00C8168A"/>
    <w:rsid w:val="00C819C7"/>
    <w:rsid w:val="00C82779"/>
    <w:rsid w:val="00C833E7"/>
    <w:rsid w:val="00C8359F"/>
    <w:rsid w:val="00C83613"/>
    <w:rsid w:val="00C8365B"/>
    <w:rsid w:val="00C83E6D"/>
    <w:rsid w:val="00C84205"/>
    <w:rsid w:val="00C848A5"/>
    <w:rsid w:val="00C84EE1"/>
    <w:rsid w:val="00C85952"/>
    <w:rsid w:val="00C85B18"/>
    <w:rsid w:val="00C865B2"/>
    <w:rsid w:val="00C8684B"/>
    <w:rsid w:val="00C86ED0"/>
    <w:rsid w:val="00C870D1"/>
    <w:rsid w:val="00C876EF"/>
    <w:rsid w:val="00C90127"/>
    <w:rsid w:val="00C901EE"/>
    <w:rsid w:val="00C90A67"/>
    <w:rsid w:val="00C92E7F"/>
    <w:rsid w:val="00C9400F"/>
    <w:rsid w:val="00C9477B"/>
    <w:rsid w:val="00C9514C"/>
    <w:rsid w:val="00C95585"/>
    <w:rsid w:val="00C958AC"/>
    <w:rsid w:val="00C96A15"/>
    <w:rsid w:val="00C97CDD"/>
    <w:rsid w:val="00CA004F"/>
    <w:rsid w:val="00CA0ACF"/>
    <w:rsid w:val="00CA205A"/>
    <w:rsid w:val="00CA28FA"/>
    <w:rsid w:val="00CA295E"/>
    <w:rsid w:val="00CA2DE6"/>
    <w:rsid w:val="00CA391F"/>
    <w:rsid w:val="00CA3D26"/>
    <w:rsid w:val="00CA4E7E"/>
    <w:rsid w:val="00CA52C6"/>
    <w:rsid w:val="00CA5512"/>
    <w:rsid w:val="00CA5739"/>
    <w:rsid w:val="00CA5B26"/>
    <w:rsid w:val="00CA5EDF"/>
    <w:rsid w:val="00CA6515"/>
    <w:rsid w:val="00CA67F7"/>
    <w:rsid w:val="00CA70A4"/>
    <w:rsid w:val="00CA73A7"/>
    <w:rsid w:val="00CA7B14"/>
    <w:rsid w:val="00CA7CF3"/>
    <w:rsid w:val="00CA7FC7"/>
    <w:rsid w:val="00CB04EF"/>
    <w:rsid w:val="00CB11F8"/>
    <w:rsid w:val="00CB1239"/>
    <w:rsid w:val="00CB1308"/>
    <w:rsid w:val="00CB16F9"/>
    <w:rsid w:val="00CB1EE3"/>
    <w:rsid w:val="00CB2E8A"/>
    <w:rsid w:val="00CB2F66"/>
    <w:rsid w:val="00CB3106"/>
    <w:rsid w:val="00CB409C"/>
    <w:rsid w:val="00CB43F2"/>
    <w:rsid w:val="00CB4587"/>
    <w:rsid w:val="00CB5CAF"/>
    <w:rsid w:val="00CB6153"/>
    <w:rsid w:val="00CB6FD5"/>
    <w:rsid w:val="00CB70C4"/>
    <w:rsid w:val="00CB7632"/>
    <w:rsid w:val="00CB77C1"/>
    <w:rsid w:val="00CC0407"/>
    <w:rsid w:val="00CC0A17"/>
    <w:rsid w:val="00CC0CFA"/>
    <w:rsid w:val="00CC0E2A"/>
    <w:rsid w:val="00CC1BED"/>
    <w:rsid w:val="00CC206D"/>
    <w:rsid w:val="00CC24AA"/>
    <w:rsid w:val="00CC3A82"/>
    <w:rsid w:val="00CC4857"/>
    <w:rsid w:val="00CC5564"/>
    <w:rsid w:val="00CC55EF"/>
    <w:rsid w:val="00CC5F56"/>
    <w:rsid w:val="00CC6714"/>
    <w:rsid w:val="00CC67C5"/>
    <w:rsid w:val="00CC72B9"/>
    <w:rsid w:val="00CC7339"/>
    <w:rsid w:val="00CC7598"/>
    <w:rsid w:val="00CD0B8B"/>
    <w:rsid w:val="00CD1697"/>
    <w:rsid w:val="00CD1A2B"/>
    <w:rsid w:val="00CD1CBD"/>
    <w:rsid w:val="00CD23ED"/>
    <w:rsid w:val="00CD2DF3"/>
    <w:rsid w:val="00CD2F63"/>
    <w:rsid w:val="00CD4718"/>
    <w:rsid w:val="00CD4AB4"/>
    <w:rsid w:val="00CD5000"/>
    <w:rsid w:val="00CD53C9"/>
    <w:rsid w:val="00CD5574"/>
    <w:rsid w:val="00CD5D2F"/>
    <w:rsid w:val="00CD64E0"/>
    <w:rsid w:val="00CD66DD"/>
    <w:rsid w:val="00CD6DED"/>
    <w:rsid w:val="00CD7350"/>
    <w:rsid w:val="00CD74DA"/>
    <w:rsid w:val="00CD7928"/>
    <w:rsid w:val="00CE02EA"/>
    <w:rsid w:val="00CE0E44"/>
    <w:rsid w:val="00CE101F"/>
    <w:rsid w:val="00CE1CFC"/>
    <w:rsid w:val="00CE2085"/>
    <w:rsid w:val="00CE2EEE"/>
    <w:rsid w:val="00CE34FE"/>
    <w:rsid w:val="00CE35B2"/>
    <w:rsid w:val="00CE3928"/>
    <w:rsid w:val="00CE40A2"/>
    <w:rsid w:val="00CE4144"/>
    <w:rsid w:val="00CE48BE"/>
    <w:rsid w:val="00CE4A00"/>
    <w:rsid w:val="00CE50AF"/>
    <w:rsid w:val="00CE58E1"/>
    <w:rsid w:val="00CE5E24"/>
    <w:rsid w:val="00CE6ADB"/>
    <w:rsid w:val="00CE6EAF"/>
    <w:rsid w:val="00CE6F64"/>
    <w:rsid w:val="00CE74AD"/>
    <w:rsid w:val="00CE76D3"/>
    <w:rsid w:val="00CE7D0F"/>
    <w:rsid w:val="00CF0247"/>
    <w:rsid w:val="00CF0855"/>
    <w:rsid w:val="00CF1A56"/>
    <w:rsid w:val="00CF275A"/>
    <w:rsid w:val="00CF2F08"/>
    <w:rsid w:val="00CF32E1"/>
    <w:rsid w:val="00CF417A"/>
    <w:rsid w:val="00CF41A7"/>
    <w:rsid w:val="00CF48D9"/>
    <w:rsid w:val="00CF5B16"/>
    <w:rsid w:val="00CF6318"/>
    <w:rsid w:val="00CF6FC8"/>
    <w:rsid w:val="00CF704C"/>
    <w:rsid w:val="00CF7707"/>
    <w:rsid w:val="00D006AB"/>
    <w:rsid w:val="00D01716"/>
    <w:rsid w:val="00D01CAE"/>
    <w:rsid w:val="00D033BD"/>
    <w:rsid w:val="00D03698"/>
    <w:rsid w:val="00D03BC8"/>
    <w:rsid w:val="00D03F69"/>
    <w:rsid w:val="00D048BD"/>
    <w:rsid w:val="00D048EA"/>
    <w:rsid w:val="00D05340"/>
    <w:rsid w:val="00D0555B"/>
    <w:rsid w:val="00D05BDD"/>
    <w:rsid w:val="00D06101"/>
    <w:rsid w:val="00D06822"/>
    <w:rsid w:val="00D06D0B"/>
    <w:rsid w:val="00D07230"/>
    <w:rsid w:val="00D1024C"/>
    <w:rsid w:val="00D110FB"/>
    <w:rsid w:val="00D11BD2"/>
    <w:rsid w:val="00D1241C"/>
    <w:rsid w:val="00D12671"/>
    <w:rsid w:val="00D12DAE"/>
    <w:rsid w:val="00D12EAF"/>
    <w:rsid w:val="00D13D93"/>
    <w:rsid w:val="00D13FD7"/>
    <w:rsid w:val="00D1421B"/>
    <w:rsid w:val="00D14B0F"/>
    <w:rsid w:val="00D14D08"/>
    <w:rsid w:val="00D158E3"/>
    <w:rsid w:val="00D15C03"/>
    <w:rsid w:val="00D15F45"/>
    <w:rsid w:val="00D16316"/>
    <w:rsid w:val="00D173BF"/>
    <w:rsid w:val="00D17F2E"/>
    <w:rsid w:val="00D20517"/>
    <w:rsid w:val="00D20E2A"/>
    <w:rsid w:val="00D2221E"/>
    <w:rsid w:val="00D223B5"/>
    <w:rsid w:val="00D22775"/>
    <w:rsid w:val="00D22B3E"/>
    <w:rsid w:val="00D2316F"/>
    <w:rsid w:val="00D2327A"/>
    <w:rsid w:val="00D2373C"/>
    <w:rsid w:val="00D24344"/>
    <w:rsid w:val="00D2499E"/>
    <w:rsid w:val="00D24D8B"/>
    <w:rsid w:val="00D24DB6"/>
    <w:rsid w:val="00D25C98"/>
    <w:rsid w:val="00D25DD9"/>
    <w:rsid w:val="00D26030"/>
    <w:rsid w:val="00D260C4"/>
    <w:rsid w:val="00D264A0"/>
    <w:rsid w:val="00D26540"/>
    <w:rsid w:val="00D272C5"/>
    <w:rsid w:val="00D2731A"/>
    <w:rsid w:val="00D27EFA"/>
    <w:rsid w:val="00D3001E"/>
    <w:rsid w:val="00D30723"/>
    <w:rsid w:val="00D3128F"/>
    <w:rsid w:val="00D31D38"/>
    <w:rsid w:val="00D326DD"/>
    <w:rsid w:val="00D3454D"/>
    <w:rsid w:val="00D35169"/>
    <w:rsid w:val="00D35A3C"/>
    <w:rsid w:val="00D35C12"/>
    <w:rsid w:val="00D362BA"/>
    <w:rsid w:val="00D36E45"/>
    <w:rsid w:val="00D3742A"/>
    <w:rsid w:val="00D37E18"/>
    <w:rsid w:val="00D4006D"/>
    <w:rsid w:val="00D400AF"/>
    <w:rsid w:val="00D401CD"/>
    <w:rsid w:val="00D40FDA"/>
    <w:rsid w:val="00D4197D"/>
    <w:rsid w:val="00D41D16"/>
    <w:rsid w:val="00D41E3E"/>
    <w:rsid w:val="00D42A72"/>
    <w:rsid w:val="00D43050"/>
    <w:rsid w:val="00D43A38"/>
    <w:rsid w:val="00D43A93"/>
    <w:rsid w:val="00D43B16"/>
    <w:rsid w:val="00D43EFC"/>
    <w:rsid w:val="00D43FB4"/>
    <w:rsid w:val="00D44461"/>
    <w:rsid w:val="00D44DFC"/>
    <w:rsid w:val="00D44E13"/>
    <w:rsid w:val="00D44E2F"/>
    <w:rsid w:val="00D450C5"/>
    <w:rsid w:val="00D45527"/>
    <w:rsid w:val="00D45631"/>
    <w:rsid w:val="00D45C5F"/>
    <w:rsid w:val="00D461AA"/>
    <w:rsid w:val="00D46F98"/>
    <w:rsid w:val="00D47A23"/>
    <w:rsid w:val="00D47CF7"/>
    <w:rsid w:val="00D508C6"/>
    <w:rsid w:val="00D50C9A"/>
    <w:rsid w:val="00D51D94"/>
    <w:rsid w:val="00D52C33"/>
    <w:rsid w:val="00D52E98"/>
    <w:rsid w:val="00D53902"/>
    <w:rsid w:val="00D53D0A"/>
    <w:rsid w:val="00D53EDF"/>
    <w:rsid w:val="00D5408D"/>
    <w:rsid w:val="00D54629"/>
    <w:rsid w:val="00D5490D"/>
    <w:rsid w:val="00D54DB7"/>
    <w:rsid w:val="00D54F1C"/>
    <w:rsid w:val="00D5544E"/>
    <w:rsid w:val="00D55538"/>
    <w:rsid w:val="00D5554D"/>
    <w:rsid w:val="00D5635C"/>
    <w:rsid w:val="00D56E3B"/>
    <w:rsid w:val="00D575E1"/>
    <w:rsid w:val="00D57F8E"/>
    <w:rsid w:val="00D604DC"/>
    <w:rsid w:val="00D60672"/>
    <w:rsid w:val="00D61069"/>
    <w:rsid w:val="00D61A6D"/>
    <w:rsid w:val="00D61BF6"/>
    <w:rsid w:val="00D628F9"/>
    <w:rsid w:val="00D635B2"/>
    <w:rsid w:val="00D636C6"/>
    <w:rsid w:val="00D63860"/>
    <w:rsid w:val="00D63CBA"/>
    <w:rsid w:val="00D647A3"/>
    <w:rsid w:val="00D647AC"/>
    <w:rsid w:val="00D65646"/>
    <w:rsid w:val="00D6606A"/>
    <w:rsid w:val="00D66B01"/>
    <w:rsid w:val="00D677EE"/>
    <w:rsid w:val="00D67A31"/>
    <w:rsid w:val="00D7075F"/>
    <w:rsid w:val="00D70C4F"/>
    <w:rsid w:val="00D71083"/>
    <w:rsid w:val="00D72A98"/>
    <w:rsid w:val="00D72DC5"/>
    <w:rsid w:val="00D73060"/>
    <w:rsid w:val="00D735A7"/>
    <w:rsid w:val="00D73BAE"/>
    <w:rsid w:val="00D7407B"/>
    <w:rsid w:val="00D74416"/>
    <w:rsid w:val="00D748C5"/>
    <w:rsid w:val="00D74D4C"/>
    <w:rsid w:val="00D74F67"/>
    <w:rsid w:val="00D74F73"/>
    <w:rsid w:val="00D75548"/>
    <w:rsid w:val="00D75AE1"/>
    <w:rsid w:val="00D76CAE"/>
    <w:rsid w:val="00D77BA4"/>
    <w:rsid w:val="00D77E38"/>
    <w:rsid w:val="00D8098C"/>
    <w:rsid w:val="00D81321"/>
    <w:rsid w:val="00D8164C"/>
    <w:rsid w:val="00D81657"/>
    <w:rsid w:val="00D81EA4"/>
    <w:rsid w:val="00D82287"/>
    <w:rsid w:val="00D82808"/>
    <w:rsid w:val="00D82A59"/>
    <w:rsid w:val="00D82B84"/>
    <w:rsid w:val="00D831EA"/>
    <w:rsid w:val="00D837CB"/>
    <w:rsid w:val="00D83AE3"/>
    <w:rsid w:val="00D84610"/>
    <w:rsid w:val="00D84A39"/>
    <w:rsid w:val="00D85357"/>
    <w:rsid w:val="00D85561"/>
    <w:rsid w:val="00D8558E"/>
    <w:rsid w:val="00D857D4"/>
    <w:rsid w:val="00D8610E"/>
    <w:rsid w:val="00D87560"/>
    <w:rsid w:val="00D87CF7"/>
    <w:rsid w:val="00D90D99"/>
    <w:rsid w:val="00D9172B"/>
    <w:rsid w:val="00D9189B"/>
    <w:rsid w:val="00D91C72"/>
    <w:rsid w:val="00D91D88"/>
    <w:rsid w:val="00D91E4E"/>
    <w:rsid w:val="00D93948"/>
    <w:rsid w:val="00D94054"/>
    <w:rsid w:val="00D945F6"/>
    <w:rsid w:val="00D94EB2"/>
    <w:rsid w:val="00D9541E"/>
    <w:rsid w:val="00D9547F"/>
    <w:rsid w:val="00D95568"/>
    <w:rsid w:val="00D963D5"/>
    <w:rsid w:val="00D964F1"/>
    <w:rsid w:val="00DA0260"/>
    <w:rsid w:val="00DA046C"/>
    <w:rsid w:val="00DA0A6C"/>
    <w:rsid w:val="00DA0F6F"/>
    <w:rsid w:val="00DA0FFE"/>
    <w:rsid w:val="00DA1394"/>
    <w:rsid w:val="00DA1780"/>
    <w:rsid w:val="00DA20F6"/>
    <w:rsid w:val="00DA2289"/>
    <w:rsid w:val="00DA2D4A"/>
    <w:rsid w:val="00DA2E0B"/>
    <w:rsid w:val="00DA3605"/>
    <w:rsid w:val="00DA40B2"/>
    <w:rsid w:val="00DA42C2"/>
    <w:rsid w:val="00DA4876"/>
    <w:rsid w:val="00DA4C57"/>
    <w:rsid w:val="00DA4E40"/>
    <w:rsid w:val="00DA5243"/>
    <w:rsid w:val="00DA5E33"/>
    <w:rsid w:val="00DA6233"/>
    <w:rsid w:val="00DA6EBA"/>
    <w:rsid w:val="00DB03E4"/>
    <w:rsid w:val="00DB06C6"/>
    <w:rsid w:val="00DB0B9B"/>
    <w:rsid w:val="00DB1198"/>
    <w:rsid w:val="00DB13A8"/>
    <w:rsid w:val="00DB17E6"/>
    <w:rsid w:val="00DB2F0A"/>
    <w:rsid w:val="00DB3473"/>
    <w:rsid w:val="00DB3A63"/>
    <w:rsid w:val="00DB41CE"/>
    <w:rsid w:val="00DB47E7"/>
    <w:rsid w:val="00DB5E1E"/>
    <w:rsid w:val="00DB6EAA"/>
    <w:rsid w:val="00DB756F"/>
    <w:rsid w:val="00DC0D3E"/>
    <w:rsid w:val="00DC16C1"/>
    <w:rsid w:val="00DC1BFB"/>
    <w:rsid w:val="00DC3582"/>
    <w:rsid w:val="00DC4379"/>
    <w:rsid w:val="00DC59F0"/>
    <w:rsid w:val="00DC65AB"/>
    <w:rsid w:val="00DC7B9F"/>
    <w:rsid w:val="00DD060C"/>
    <w:rsid w:val="00DD075B"/>
    <w:rsid w:val="00DD111C"/>
    <w:rsid w:val="00DD13FA"/>
    <w:rsid w:val="00DD17AB"/>
    <w:rsid w:val="00DD194A"/>
    <w:rsid w:val="00DD2889"/>
    <w:rsid w:val="00DD36F6"/>
    <w:rsid w:val="00DD421A"/>
    <w:rsid w:val="00DD42FC"/>
    <w:rsid w:val="00DD4633"/>
    <w:rsid w:val="00DD46E1"/>
    <w:rsid w:val="00DD56A3"/>
    <w:rsid w:val="00DD5B72"/>
    <w:rsid w:val="00DD656D"/>
    <w:rsid w:val="00DD6FC3"/>
    <w:rsid w:val="00DD7458"/>
    <w:rsid w:val="00DD7A21"/>
    <w:rsid w:val="00DE0B42"/>
    <w:rsid w:val="00DE0CF3"/>
    <w:rsid w:val="00DE12E1"/>
    <w:rsid w:val="00DE1802"/>
    <w:rsid w:val="00DE2335"/>
    <w:rsid w:val="00DE2962"/>
    <w:rsid w:val="00DE2BF5"/>
    <w:rsid w:val="00DE327C"/>
    <w:rsid w:val="00DE3408"/>
    <w:rsid w:val="00DE3758"/>
    <w:rsid w:val="00DE465D"/>
    <w:rsid w:val="00DE481F"/>
    <w:rsid w:val="00DE4EF1"/>
    <w:rsid w:val="00DE5013"/>
    <w:rsid w:val="00DE5239"/>
    <w:rsid w:val="00DE553A"/>
    <w:rsid w:val="00DE595A"/>
    <w:rsid w:val="00DE5D2F"/>
    <w:rsid w:val="00DE6A62"/>
    <w:rsid w:val="00DE794E"/>
    <w:rsid w:val="00DF1899"/>
    <w:rsid w:val="00DF1DCF"/>
    <w:rsid w:val="00DF2DCF"/>
    <w:rsid w:val="00DF34D0"/>
    <w:rsid w:val="00DF4B5F"/>
    <w:rsid w:val="00DF5023"/>
    <w:rsid w:val="00DF533B"/>
    <w:rsid w:val="00DF55DD"/>
    <w:rsid w:val="00DF5689"/>
    <w:rsid w:val="00DF602A"/>
    <w:rsid w:val="00DF6158"/>
    <w:rsid w:val="00DF6AD0"/>
    <w:rsid w:val="00DF6BF7"/>
    <w:rsid w:val="00E00218"/>
    <w:rsid w:val="00E01101"/>
    <w:rsid w:val="00E01162"/>
    <w:rsid w:val="00E0153B"/>
    <w:rsid w:val="00E0217C"/>
    <w:rsid w:val="00E02327"/>
    <w:rsid w:val="00E0283B"/>
    <w:rsid w:val="00E02875"/>
    <w:rsid w:val="00E03F29"/>
    <w:rsid w:val="00E04FA1"/>
    <w:rsid w:val="00E05285"/>
    <w:rsid w:val="00E054E7"/>
    <w:rsid w:val="00E059F7"/>
    <w:rsid w:val="00E05EDF"/>
    <w:rsid w:val="00E06B53"/>
    <w:rsid w:val="00E06C2F"/>
    <w:rsid w:val="00E06C8C"/>
    <w:rsid w:val="00E07387"/>
    <w:rsid w:val="00E07477"/>
    <w:rsid w:val="00E0750E"/>
    <w:rsid w:val="00E103DB"/>
    <w:rsid w:val="00E10D05"/>
    <w:rsid w:val="00E10D93"/>
    <w:rsid w:val="00E115B1"/>
    <w:rsid w:val="00E125CE"/>
    <w:rsid w:val="00E13616"/>
    <w:rsid w:val="00E1367B"/>
    <w:rsid w:val="00E1533F"/>
    <w:rsid w:val="00E161CE"/>
    <w:rsid w:val="00E1641B"/>
    <w:rsid w:val="00E167F2"/>
    <w:rsid w:val="00E167F4"/>
    <w:rsid w:val="00E17719"/>
    <w:rsid w:val="00E17A06"/>
    <w:rsid w:val="00E17A48"/>
    <w:rsid w:val="00E2081A"/>
    <w:rsid w:val="00E20822"/>
    <w:rsid w:val="00E214A5"/>
    <w:rsid w:val="00E21DE9"/>
    <w:rsid w:val="00E241F6"/>
    <w:rsid w:val="00E24241"/>
    <w:rsid w:val="00E2507A"/>
    <w:rsid w:val="00E2519A"/>
    <w:rsid w:val="00E25AB3"/>
    <w:rsid w:val="00E26017"/>
    <w:rsid w:val="00E27163"/>
    <w:rsid w:val="00E276EA"/>
    <w:rsid w:val="00E27AFE"/>
    <w:rsid w:val="00E30EA8"/>
    <w:rsid w:val="00E313C4"/>
    <w:rsid w:val="00E322F6"/>
    <w:rsid w:val="00E3235C"/>
    <w:rsid w:val="00E32604"/>
    <w:rsid w:val="00E32F8E"/>
    <w:rsid w:val="00E333AF"/>
    <w:rsid w:val="00E3432C"/>
    <w:rsid w:val="00E348AE"/>
    <w:rsid w:val="00E3593E"/>
    <w:rsid w:val="00E35CF0"/>
    <w:rsid w:val="00E35FFB"/>
    <w:rsid w:val="00E36FBF"/>
    <w:rsid w:val="00E378BD"/>
    <w:rsid w:val="00E37CD6"/>
    <w:rsid w:val="00E40C33"/>
    <w:rsid w:val="00E41149"/>
    <w:rsid w:val="00E4118F"/>
    <w:rsid w:val="00E415AE"/>
    <w:rsid w:val="00E41AE2"/>
    <w:rsid w:val="00E423B3"/>
    <w:rsid w:val="00E4242E"/>
    <w:rsid w:val="00E424E0"/>
    <w:rsid w:val="00E425B9"/>
    <w:rsid w:val="00E42CEE"/>
    <w:rsid w:val="00E42EAC"/>
    <w:rsid w:val="00E4400C"/>
    <w:rsid w:val="00E445BC"/>
    <w:rsid w:val="00E45043"/>
    <w:rsid w:val="00E45554"/>
    <w:rsid w:val="00E476AA"/>
    <w:rsid w:val="00E47DF4"/>
    <w:rsid w:val="00E50803"/>
    <w:rsid w:val="00E50A07"/>
    <w:rsid w:val="00E50BC6"/>
    <w:rsid w:val="00E50BE7"/>
    <w:rsid w:val="00E51A73"/>
    <w:rsid w:val="00E51DC2"/>
    <w:rsid w:val="00E51EAE"/>
    <w:rsid w:val="00E522F7"/>
    <w:rsid w:val="00E5335C"/>
    <w:rsid w:val="00E54D7C"/>
    <w:rsid w:val="00E55BF8"/>
    <w:rsid w:val="00E55E0E"/>
    <w:rsid w:val="00E5691B"/>
    <w:rsid w:val="00E56C37"/>
    <w:rsid w:val="00E57262"/>
    <w:rsid w:val="00E60044"/>
    <w:rsid w:val="00E61D00"/>
    <w:rsid w:val="00E62CB9"/>
    <w:rsid w:val="00E6322A"/>
    <w:rsid w:val="00E634EB"/>
    <w:rsid w:val="00E63713"/>
    <w:rsid w:val="00E63CBD"/>
    <w:rsid w:val="00E63D03"/>
    <w:rsid w:val="00E65393"/>
    <w:rsid w:val="00E663D6"/>
    <w:rsid w:val="00E663DD"/>
    <w:rsid w:val="00E6647A"/>
    <w:rsid w:val="00E66C34"/>
    <w:rsid w:val="00E66FFE"/>
    <w:rsid w:val="00E679EC"/>
    <w:rsid w:val="00E70081"/>
    <w:rsid w:val="00E709CC"/>
    <w:rsid w:val="00E71B98"/>
    <w:rsid w:val="00E71BD6"/>
    <w:rsid w:val="00E722E5"/>
    <w:rsid w:val="00E724B2"/>
    <w:rsid w:val="00E72684"/>
    <w:rsid w:val="00E727C9"/>
    <w:rsid w:val="00E738E5"/>
    <w:rsid w:val="00E73AD4"/>
    <w:rsid w:val="00E7410E"/>
    <w:rsid w:val="00E74195"/>
    <w:rsid w:val="00E7478C"/>
    <w:rsid w:val="00E748A4"/>
    <w:rsid w:val="00E7525D"/>
    <w:rsid w:val="00E7602C"/>
    <w:rsid w:val="00E763AA"/>
    <w:rsid w:val="00E76642"/>
    <w:rsid w:val="00E76894"/>
    <w:rsid w:val="00E768A2"/>
    <w:rsid w:val="00E76C9F"/>
    <w:rsid w:val="00E76DFB"/>
    <w:rsid w:val="00E76F1C"/>
    <w:rsid w:val="00E77FDF"/>
    <w:rsid w:val="00E80802"/>
    <w:rsid w:val="00E80C9D"/>
    <w:rsid w:val="00E80F8E"/>
    <w:rsid w:val="00E82081"/>
    <w:rsid w:val="00E8227A"/>
    <w:rsid w:val="00E837FE"/>
    <w:rsid w:val="00E854F1"/>
    <w:rsid w:val="00E85509"/>
    <w:rsid w:val="00E85DB7"/>
    <w:rsid w:val="00E871D0"/>
    <w:rsid w:val="00E87379"/>
    <w:rsid w:val="00E8740E"/>
    <w:rsid w:val="00E90632"/>
    <w:rsid w:val="00E90E96"/>
    <w:rsid w:val="00E91533"/>
    <w:rsid w:val="00E9287A"/>
    <w:rsid w:val="00E936D5"/>
    <w:rsid w:val="00E939C2"/>
    <w:rsid w:val="00E9460D"/>
    <w:rsid w:val="00E94660"/>
    <w:rsid w:val="00E94E05"/>
    <w:rsid w:val="00E95242"/>
    <w:rsid w:val="00E9542B"/>
    <w:rsid w:val="00E95BB5"/>
    <w:rsid w:val="00E95F6E"/>
    <w:rsid w:val="00E96FE8"/>
    <w:rsid w:val="00E976B3"/>
    <w:rsid w:val="00E97BEA"/>
    <w:rsid w:val="00EA010E"/>
    <w:rsid w:val="00EA0261"/>
    <w:rsid w:val="00EA03A7"/>
    <w:rsid w:val="00EA0B08"/>
    <w:rsid w:val="00EA0B7F"/>
    <w:rsid w:val="00EA0D99"/>
    <w:rsid w:val="00EA10D9"/>
    <w:rsid w:val="00EA14C0"/>
    <w:rsid w:val="00EA29D4"/>
    <w:rsid w:val="00EA29F2"/>
    <w:rsid w:val="00EA2CD3"/>
    <w:rsid w:val="00EA38B3"/>
    <w:rsid w:val="00EA38C4"/>
    <w:rsid w:val="00EA3C99"/>
    <w:rsid w:val="00EA43C2"/>
    <w:rsid w:val="00EA45A9"/>
    <w:rsid w:val="00EA45FF"/>
    <w:rsid w:val="00EA48ED"/>
    <w:rsid w:val="00EA51A1"/>
    <w:rsid w:val="00EA5759"/>
    <w:rsid w:val="00EA5EC0"/>
    <w:rsid w:val="00EA5FDD"/>
    <w:rsid w:val="00EA622E"/>
    <w:rsid w:val="00EA6BE3"/>
    <w:rsid w:val="00EA7344"/>
    <w:rsid w:val="00EA7749"/>
    <w:rsid w:val="00EA7B1F"/>
    <w:rsid w:val="00EB0EE4"/>
    <w:rsid w:val="00EB27E8"/>
    <w:rsid w:val="00EB29FF"/>
    <w:rsid w:val="00EB2BB8"/>
    <w:rsid w:val="00EB4990"/>
    <w:rsid w:val="00EB5374"/>
    <w:rsid w:val="00EB59E0"/>
    <w:rsid w:val="00EB68AC"/>
    <w:rsid w:val="00EB6CED"/>
    <w:rsid w:val="00EC0804"/>
    <w:rsid w:val="00EC1101"/>
    <w:rsid w:val="00EC114A"/>
    <w:rsid w:val="00EC18E0"/>
    <w:rsid w:val="00EC1968"/>
    <w:rsid w:val="00EC1C39"/>
    <w:rsid w:val="00EC1F39"/>
    <w:rsid w:val="00EC2495"/>
    <w:rsid w:val="00EC266D"/>
    <w:rsid w:val="00EC390C"/>
    <w:rsid w:val="00EC3C07"/>
    <w:rsid w:val="00EC40CE"/>
    <w:rsid w:val="00EC45B6"/>
    <w:rsid w:val="00EC4F13"/>
    <w:rsid w:val="00EC54EC"/>
    <w:rsid w:val="00EC578A"/>
    <w:rsid w:val="00EC6186"/>
    <w:rsid w:val="00EC6436"/>
    <w:rsid w:val="00EC67A0"/>
    <w:rsid w:val="00EC692E"/>
    <w:rsid w:val="00EC7138"/>
    <w:rsid w:val="00ED020C"/>
    <w:rsid w:val="00ED0DAE"/>
    <w:rsid w:val="00ED1058"/>
    <w:rsid w:val="00ED194C"/>
    <w:rsid w:val="00ED1F92"/>
    <w:rsid w:val="00ED31FF"/>
    <w:rsid w:val="00ED3450"/>
    <w:rsid w:val="00ED37D8"/>
    <w:rsid w:val="00ED412B"/>
    <w:rsid w:val="00ED43A5"/>
    <w:rsid w:val="00ED57FE"/>
    <w:rsid w:val="00ED592B"/>
    <w:rsid w:val="00ED5DF4"/>
    <w:rsid w:val="00ED712A"/>
    <w:rsid w:val="00ED75CF"/>
    <w:rsid w:val="00ED7633"/>
    <w:rsid w:val="00ED7679"/>
    <w:rsid w:val="00ED7716"/>
    <w:rsid w:val="00ED7961"/>
    <w:rsid w:val="00ED79A9"/>
    <w:rsid w:val="00EE0823"/>
    <w:rsid w:val="00EE082F"/>
    <w:rsid w:val="00EE0FF7"/>
    <w:rsid w:val="00EE22A0"/>
    <w:rsid w:val="00EE2EDC"/>
    <w:rsid w:val="00EE3D59"/>
    <w:rsid w:val="00EE42A7"/>
    <w:rsid w:val="00EE4BD1"/>
    <w:rsid w:val="00EE4CD7"/>
    <w:rsid w:val="00EE50C5"/>
    <w:rsid w:val="00EE6076"/>
    <w:rsid w:val="00EE6FCF"/>
    <w:rsid w:val="00EE72DC"/>
    <w:rsid w:val="00EE73C5"/>
    <w:rsid w:val="00EF01AC"/>
    <w:rsid w:val="00EF1EB8"/>
    <w:rsid w:val="00EF23C2"/>
    <w:rsid w:val="00EF23EE"/>
    <w:rsid w:val="00EF54EB"/>
    <w:rsid w:val="00EF55A5"/>
    <w:rsid w:val="00EF58F2"/>
    <w:rsid w:val="00EF623C"/>
    <w:rsid w:val="00EF6CF2"/>
    <w:rsid w:val="00EF6D14"/>
    <w:rsid w:val="00EF6D65"/>
    <w:rsid w:val="00EF70A8"/>
    <w:rsid w:val="00EF748D"/>
    <w:rsid w:val="00EF7E76"/>
    <w:rsid w:val="00F00A1A"/>
    <w:rsid w:val="00F020A9"/>
    <w:rsid w:val="00F0265C"/>
    <w:rsid w:val="00F02D5F"/>
    <w:rsid w:val="00F03508"/>
    <w:rsid w:val="00F045D5"/>
    <w:rsid w:val="00F06613"/>
    <w:rsid w:val="00F070CB"/>
    <w:rsid w:val="00F07B6A"/>
    <w:rsid w:val="00F10909"/>
    <w:rsid w:val="00F10E1D"/>
    <w:rsid w:val="00F11EBE"/>
    <w:rsid w:val="00F11F36"/>
    <w:rsid w:val="00F12A63"/>
    <w:rsid w:val="00F12A84"/>
    <w:rsid w:val="00F12AF0"/>
    <w:rsid w:val="00F12F4C"/>
    <w:rsid w:val="00F1304E"/>
    <w:rsid w:val="00F13207"/>
    <w:rsid w:val="00F133AD"/>
    <w:rsid w:val="00F142B6"/>
    <w:rsid w:val="00F143CA"/>
    <w:rsid w:val="00F16C8B"/>
    <w:rsid w:val="00F16F9B"/>
    <w:rsid w:val="00F17A2E"/>
    <w:rsid w:val="00F20120"/>
    <w:rsid w:val="00F20336"/>
    <w:rsid w:val="00F208D3"/>
    <w:rsid w:val="00F20B38"/>
    <w:rsid w:val="00F20D46"/>
    <w:rsid w:val="00F21266"/>
    <w:rsid w:val="00F219E7"/>
    <w:rsid w:val="00F2276E"/>
    <w:rsid w:val="00F22A94"/>
    <w:rsid w:val="00F22D7D"/>
    <w:rsid w:val="00F23339"/>
    <w:rsid w:val="00F23483"/>
    <w:rsid w:val="00F24D82"/>
    <w:rsid w:val="00F252F6"/>
    <w:rsid w:val="00F25B2D"/>
    <w:rsid w:val="00F25ECF"/>
    <w:rsid w:val="00F274E1"/>
    <w:rsid w:val="00F27A51"/>
    <w:rsid w:val="00F27CF8"/>
    <w:rsid w:val="00F3094C"/>
    <w:rsid w:val="00F30B72"/>
    <w:rsid w:val="00F31413"/>
    <w:rsid w:val="00F315EA"/>
    <w:rsid w:val="00F31C29"/>
    <w:rsid w:val="00F32784"/>
    <w:rsid w:val="00F32825"/>
    <w:rsid w:val="00F32857"/>
    <w:rsid w:val="00F3285D"/>
    <w:rsid w:val="00F32B4C"/>
    <w:rsid w:val="00F32C83"/>
    <w:rsid w:val="00F32CDF"/>
    <w:rsid w:val="00F32F79"/>
    <w:rsid w:val="00F33004"/>
    <w:rsid w:val="00F33442"/>
    <w:rsid w:val="00F33E55"/>
    <w:rsid w:val="00F340BD"/>
    <w:rsid w:val="00F3469D"/>
    <w:rsid w:val="00F34B38"/>
    <w:rsid w:val="00F353FF"/>
    <w:rsid w:val="00F35706"/>
    <w:rsid w:val="00F35808"/>
    <w:rsid w:val="00F35A65"/>
    <w:rsid w:val="00F36BA3"/>
    <w:rsid w:val="00F36CBA"/>
    <w:rsid w:val="00F374A5"/>
    <w:rsid w:val="00F374C6"/>
    <w:rsid w:val="00F37A2F"/>
    <w:rsid w:val="00F410C8"/>
    <w:rsid w:val="00F4119B"/>
    <w:rsid w:val="00F421C1"/>
    <w:rsid w:val="00F423AF"/>
    <w:rsid w:val="00F42821"/>
    <w:rsid w:val="00F42AD9"/>
    <w:rsid w:val="00F42DD0"/>
    <w:rsid w:val="00F43E16"/>
    <w:rsid w:val="00F43E29"/>
    <w:rsid w:val="00F4447B"/>
    <w:rsid w:val="00F44F3C"/>
    <w:rsid w:val="00F45748"/>
    <w:rsid w:val="00F45F1E"/>
    <w:rsid w:val="00F464BA"/>
    <w:rsid w:val="00F47057"/>
    <w:rsid w:val="00F47775"/>
    <w:rsid w:val="00F47A5D"/>
    <w:rsid w:val="00F50FDA"/>
    <w:rsid w:val="00F51196"/>
    <w:rsid w:val="00F5242A"/>
    <w:rsid w:val="00F537A6"/>
    <w:rsid w:val="00F53F23"/>
    <w:rsid w:val="00F5450A"/>
    <w:rsid w:val="00F54766"/>
    <w:rsid w:val="00F55242"/>
    <w:rsid w:val="00F557E6"/>
    <w:rsid w:val="00F55D04"/>
    <w:rsid w:val="00F56BB3"/>
    <w:rsid w:val="00F570C6"/>
    <w:rsid w:val="00F570FA"/>
    <w:rsid w:val="00F607A9"/>
    <w:rsid w:val="00F60BE6"/>
    <w:rsid w:val="00F61DD4"/>
    <w:rsid w:val="00F639BA"/>
    <w:rsid w:val="00F639FC"/>
    <w:rsid w:val="00F64F4A"/>
    <w:rsid w:val="00F650E7"/>
    <w:rsid w:val="00F65423"/>
    <w:rsid w:val="00F65CFA"/>
    <w:rsid w:val="00F66015"/>
    <w:rsid w:val="00F66959"/>
    <w:rsid w:val="00F70B13"/>
    <w:rsid w:val="00F711C8"/>
    <w:rsid w:val="00F71B22"/>
    <w:rsid w:val="00F71E57"/>
    <w:rsid w:val="00F72413"/>
    <w:rsid w:val="00F72874"/>
    <w:rsid w:val="00F72BF5"/>
    <w:rsid w:val="00F731AF"/>
    <w:rsid w:val="00F73470"/>
    <w:rsid w:val="00F738F3"/>
    <w:rsid w:val="00F73F02"/>
    <w:rsid w:val="00F74628"/>
    <w:rsid w:val="00F74A45"/>
    <w:rsid w:val="00F74D41"/>
    <w:rsid w:val="00F75FBD"/>
    <w:rsid w:val="00F7671F"/>
    <w:rsid w:val="00F76999"/>
    <w:rsid w:val="00F76C00"/>
    <w:rsid w:val="00F76E2D"/>
    <w:rsid w:val="00F77090"/>
    <w:rsid w:val="00F7775A"/>
    <w:rsid w:val="00F77D7B"/>
    <w:rsid w:val="00F804EC"/>
    <w:rsid w:val="00F80E34"/>
    <w:rsid w:val="00F81AA6"/>
    <w:rsid w:val="00F82023"/>
    <w:rsid w:val="00F83091"/>
    <w:rsid w:val="00F84A3D"/>
    <w:rsid w:val="00F84A4E"/>
    <w:rsid w:val="00F84FA1"/>
    <w:rsid w:val="00F85C53"/>
    <w:rsid w:val="00F86A5C"/>
    <w:rsid w:val="00F86EA1"/>
    <w:rsid w:val="00F87465"/>
    <w:rsid w:val="00F90C6D"/>
    <w:rsid w:val="00F91A8B"/>
    <w:rsid w:val="00F91EFB"/>
    <w:rsid w:val="00F9244B"/>
    <w:rsid w:val="00F94080"/>
    <w:rsid w:val="00F94224"/>
    <w:rsid w:val="00F9422F"/>
    <w:rsid w:val="00F94826"/>
    <w:rsid w:val="00F94BAD"/>
    <w:rsid w:val="00F9582C"/>
    <w:rsid w:val="00F96FDE"/>
    <w:rsid w:val="00F97E50"/>
    <w:rsid w:val="00FA020F"/>
    <w:rsid w:val="00FA0C1A"/>
    <w:rsid w:val="00FA30BF"/>
    <w:rsid w:val="00FA3480"/>
    <w:rsid w:val="00FA4068"/>
    <w:rsid w:val="00FA4128"/>
    <w:rsid w:val="00FA5A70"/>
    <w:rsid w:val="00FA73A0"/>
    <w:rsid w:val="00FA7F9D"/>
    <w:rsid w:val="00FB054A"/>
    <w:rsid w:val="00FB0740"/>
    <w:rsid w:val="00FB1245"/>
    <w:rsid w:val="00FB18C9"/>
    <w:rsid w:val="00FB19F4"/>
    <w:rsid w:val="00FB1A31"/>
    <w:rsid w:val="00FB22FA"/>
    <w:rsid w:val="00FB26F0"/>
    <w:rsid w:val="00FB5146"/>
    <w:rsid w:val="00FB52B2"/>
    <w:rsid w:val="00FB5BCD"/>
    <w:rsid w:val="00FB5C65"/>
    <w:rsid w:val="00FB60DF"/>
    <w:rsid w:val="00FB6C6B"/>
    <w:rsid w:val="00FB7168"/>
    <w:rsid w:val="00FB7266"/>
    <w:rsid w:val="00FB73F5"/>
    <w:rsid w:val="00FB746D"/>
    <w:rsid w:val="00FB7BA2"/>
    <w:rsid w:val="00FB7C82"/>
    <w:rsid w:val="00FC031A"/>
    <w:rsid w:val="00FC050D"/>
    <w:rsid w:val="00FC0B38"/>
    <w:rsid w:val="00FC0C44"/>
    <w:rsid w:val="00FC1DD3"/>
    <w:rsid w:val="00FC236B"/>
    <w:rsid w:val="00FC27E8"/>
    <w:rsid w:val="00FC28DA"/>
    <w:rsid w:val="00FC293E"/>
    <w:rsid w:val="00FC3152"/>
    <w:rsid w:val="00FC35B2"/>
    <w:rsid w:val="00FC3BA8"/>
    <w:rsid w:val="00FC4BA0"/>
    <w:rsid w:val="00FC61E6"/>
    <w:rsid w:val="00FC711D"/>
    <w:rsid w:val="00FC74FC"/>
    <w:rsid w:val="00FC7C50"/>
    <w:rsid w:val="00FD0549"/>
    <w:rsid w:val="00FD0851"/>
    <w:rsid w:val="00FD1853"/>
    <w:rsid w:val="00FD2737"/>
    <w:rsid w:val="00FD2A58"/>
    <w:rsid w:val="00FD4701"/>
    <w:rsid w:val="00FD4706"/>
    <w:rsid w:val="00FD4DB5"/>
    <w:rsid w:val="00FD56D6"/>
    <w:rsid w:val="00FD5FEC"/>
    <w:rsid w:val="00FD6B4C"/>
    <w:rsid w:val="00FD70EC"/>
    <w:rsid w:val="00FD782C"/>
    <w:rsid w:val="00FE0524"/>
    <w:rsid w:val="00FE0BDF"/>
    <w:rsid w:val="00FE11EE"/>
    <w:rsid w:val="00FE216E"/>
    <w:rsid w:val="00FE2F4C"/>
    <w:rsid w:val="00FE3336"/>
    <w:rsid w:val="00FE44DF"/>
    <w:rsid w:val="00FE45BC"/>
    <w:rsid w:val="00FE4D25"/>
    <w:rsid w:val="00FE4D2E"/>
    <w:rsid w:val="00FE5AF8"/>
    <w:rsid w:val="00FE60B2"/>
    <w:rsid w:val="00FE613B"/>
    <w:rsid w:val="00FE67A2"/>
    <w:rsid w:val="00FE7064"/>
    <w:rsid w:val="00FE78CA"/>
    <w:rsid w:val="00FE7C16"/>
    <w:rsid w:val="00FE7FA1"/>
    <w:rsid w:val="00FF0299"/>
    <w:rsid w:val="00FF0692"/>
    <w:rsid w:val="00FF0C54"/>
    <w:rsid w:val="00FF1148"/>
    <w:rsid w:val="00FF1497"/>
    <w:rsid w:val="00FF22E3"/>
    <w:rsid w:val="00FF32E4"/>
    <w:rsid w:val="00FF3D8E"/>
    <w:rsid w:val="00FF4BF4"/>
    <w:rsid w:val="00FF533B"/>
    <w:rsid w:val="00FF5DD2"/>
    <w:rsid w:val="00FF6795"/>
    <w:rsid w:val="00FF7063"/>
    <w:rsid w:val="00FF72BF"/>
    <w:rsid w:val="00FF7691"/>
    <w:rsid w:val="0111A8B9"/>
    <w:rsid w:val="018022BA"/>
    <w:rsid w:val="01B754D4"/>
    <w:rsid w:val="042E2FAD"/>
    <w:rsid w:val="04B399F5"/>
    <w:rsid w:val="066AB3D7"/>
    <w:rsid w:val="0677BC90"/>
    <w:rsid w:val="06C7A433"/>
    <w:rsid w:val="0771E7BA"/>
    <w:rsid w:val="0818C13C"/>
    <w:rsid w:val="083C7A89"/>
    <w:rsid w:val="0841354E"/>
    <w:rsid w:val="08943FE6"/>
    <w:rsid w:val="09801553"/>
    <w:rsid w:val="099A9457"/>
    <w:rsid w:val="09EE8BB0"/>
    <w:rsid w:val="0A3F61FB"/>
    <w:rsid w:val="0AF39D56"/>
    <w:rsid w:val="0B9B1556"/>
    <w:rsid w:val="0C66B1F9"/>
    <w:rsid w:val="0CE16D51"/>
    <w:rsid w:val="0FC482E6"/>
    <w:rsid w:val="1020DD48"/>
    <w:rsid w:val="11055910"/>
    <w:rsid w:val="118F3605"/>
    <w:rsid w:val="1336B03E"/>
    <w:rsid w:val="133F55AD"/>
    <w:rsid w:val="1372A344"/>
    <w:rsid w:val="1470F8E7"/>
    <w:rsid w:val="15067C36"/>
    <w:rsid w:val="15253315"/>
    <w:rsid w:val="153DBFF2"/>
    <w:rsid w:val="15552B50"/>
    <w:rsid w:val="155802E6"/>
    <w:rsid w:val="15A15F31"/>
    <w:rsid w:val="15B6A7C8"/>
    <w:rsid w:val="19E659FC"/>
    <w:rsid w:val="1AF36C7E"/>
    <w:rsid w:val="1B1A75B3"/>
    <w:rsid w:val="1B6BA643"/>
    <w:rsid w:val="1B8E2F91"/>
    <w:rsid w:val="1BCF4A1D"/>
    <w:rsid w:val="1C17C360"/>
    <w:rsid w:val="1C3E2A85"/>
    <w:rsid w:val="1D0B1BDE"/>
    <w:rsid w:val="1DA87475"/>
    <w:rsid w:val="2010595F"/>
    <w:rsid w:val="21B5B89A"/>
    <w:rsid w:val="227CBA79"/>
    <w:rsid w:val="22BE3A6C"/>
    <w:rsid w:val="23AB102E"/>
    <w:rsid w:val="2424360B"/>
    <w:rsid w:val="2430140D"/>
    <w:rsid w:val="24DDDD04"/>
    <w:rsid w:val="25D8082E"/>
    <w:rsid w:val="25DDB326"/>
    <w:rsid w:val="26839A17"/>
    <w:rsid w:val="27934188"/>
    <w:rsid w:val="28093D2D"/>
    <w:rsid w:val="282DE06B"/>
    <w:rsid w:val="2837E9D4"/>
    <w:rsid w:val="2899E2EC"/>
    <w:rsid w:val="2A9F5591"/>
    <w:rsid w:val="2A9FF6D7"/>
    <w:rsid w:val="2BBA6C70"/>
    <w:rsid w:val="2C8DFB8C"/>
    <w:rsid w:val="2C98164E"/>
    <w:rsid w:val="2D2AF869"/>
    <w:rsid w:val="2E2C177A"/>
    <w:rsid w:val="2ED273FB"/>
    <w:rsid w:val="2FBE0B78"/>
    <w:rsid w:val="2FE77DAC"/>
    <w:rsid w:val="2FFAA8B5"/>
    <w:rsid w:val="306E445C"/>
    <w:rsid w:val="306E70F1"/>
    <w:rsid w:val="30A8EE1C"/>
    <w:rsid w:val="31AAB569"/>
    <w:rsid w:val="3206A878"/>
    <w:rsid w:val="34C84543"/>
    <w:rsid w:val="356E444D"/>
    <w:rsid w:val="35E639C2"/>
    <w:rsid w:val="360CFF4D"/>
    <w:rsid w:val="378D6E0E"/>
    <w:rsid w:val="37A047C8"/>
    <w:rsid w:val="3859F46E"/>
    <w:rsid w:val="396F05DF"/>
    <w:rsid w:val="39B30D5F"/>
    <w:rsid w:val="39FDA4F8"/>
    <w:rsid w:val="3A94B4EF"/>
    <w:rsid w:val="3ABD66E1"/>
    <w:rsid w:val="3C7ECCD2"/>
    <w:rsid w:val="3ECF6F68"/>
    <w:rsid w:val="3EF92FD2"/>
    <w:rsid w:val="3FF2450D"/>
    <w:rsid w:val="40248D71"/>
    <w:rsid w:val="4025B25D"/>
    <w:rsid w:val="40DC922A"/>
    <w:rsid w:val="417A5196"/>
    <w:rsid w:val="41A73E2F"/>
    <w:rsid w:val="41C29FDD"/>
    <w:rsid w:val="424FBB27"/>
    <w:rsid w:val="431E0F7D"/>
    <w:rsid w:val="4377DC5D"/>
    <w:rsid w:val="43B44E33"/>
    <w:rsid w:val="440FDCCE"/>
    <w:rsid w:val="4432C2B6"/>
    <w:rsid w:val="44955D4D"/>
    <w:rsid w:val="44CEC04C"/>
    <w:rsid w:val="44F77F8F"/>
    <w:rsid w:val="455B935D"/>
    <w:rsid w:val="4657F0CB"/>
    <w:rsid w:val="466A90AD"/>
    <w:rsid w:val="476DC33C"/>
    <w:rsid w:val="47D4D5D4"/>
    <w:rsid w:val="4841A008"/>
    <w:rsid w:val="4896CE45"/>
    <w:rsid w:val="48B6B146"/>
    <w:rsid w:val="495BBD98"/>
    <w:rsid w:val="49B1C43A"/>
    <w:rsid w:val="49B36C46"/>
    <w:rsid w:val="4A68D262"/>
    <w:rsid w:val="4B292162"/>
    <w:rsid w:val="4B922FC5"/>
    <w:rsid w:val="4CA8CE08"/>
    <w:rsid w:val="4D189FB7"/>
    <w:rsid w:val="4D2B7635"/>
    <w:rsid w:val="4D7BE888"/>
    <w:rsid w:val="4D979ED3"/>
    <w:rsid w:val="4E18B236"/>
    <w:rsid w:val="4FE36A28"/>
    <w:rsid w:val="4FE5FA67"/>
    <w:rsid w:val="508DDC50"/>
    <w:rsid w:val="50C9007E"/>
    <w:rsid w:val="50E867F2"/>
    <w:rsid w:val="511F9DB4"/>
    <w:rsid w:val="51D37D47"/>
    <w:rsid w:val="51D46511"/>
    <w:rsid w:val="5225217A"/>
    <w:rsid w:val="534AD1D7"/>
    <w:rsid w:val="538A25FE"/>
    <w:rsid w:val="547230E7"/>
    <w:rsid w:val="54E74FCA"/>
    <w:rsid w:val="557BB6AD"/>
    <w:rsid w:val="55ECA467"/>
    <w:rsid w:val="5739C78F"/>
    <w:rsid w:val="57BDF9B1"/>
    <w:rsid w:val="58E23F00"/>
    <w:rsid w:val="59737108"/>
    <w:rsid w:val="598A4C6E"/>
    <w:rsid w:val="5A30FCAD"/>
    <w:rsid w:val="5A9EEFAA"/>
    <w:rsid w:val="5AF0628F"/>
    <w:rsid w:val="5CAB11CA"/>
    <w:rsid w:val="5CF130C2"/>
    <w:rsid w:val="5D5F9708"/>
    <w:rsid w:val="5D93981B"/>
    <w:rsid w:val="5E8AAA2A"/>
    <w:rsid w:val="5EC9F086"/>
    <w:rsid w:val="5F6BF098"/>
    <w:rsid w:val="5F70A0C5"/>
    <w:rsid w:val="6097BA2E"/>
    <w:rsid w:val="60B67B74"/>
    <w:rsid w:val="60BE6954"/>
    <w:rsid w:val="60ED50E5"/>
    <w:rsid w:val="61E09A38"/>
    <w:rsid w:val="621E41BC"/>
    <w:rsid w:val="63D94F8D"/>
    <w:rsid w:val="647786AF"/>
    <w:rsid w:val="64A6050A"/>
    <w:rsid w:val="64FEF85C"/>
    <w:rsid w:val="651B01F7"/>
    <w:rsid w:val="65289242"/>
    <w:rsid w:val="66E60420"/>
    <w:rsid w:val="66FD7677"/>
    <w:rsid w:val="6700C5F7"/>
    <w:rsid w:val="6A205BAA"/>
    <w:rsid w:val="6A258FE2"/>
    <w:rsid w:val="6A2B695F"/>
    <w:rsid w:val="6C5E1A42"/>
    <w:rsid w:val="6D0D6F16"/>
    <w:rsid w:val="6D149F74"/>
    <w:rsid w:val="6DB3659D"/>
    <w:rsid w:val="6DC096BF"/>
    <w:rsid w:val="6DCDDB55"/>
    <w:rsid w:val="70615F25"/>
    <w:rsid w:val="735F114D"/>
    <w:rsid w:val="73A03A8D"/>
    <w:rsid w:val="743B1571"/>
    <w:rsid w:val="749B8C2C"/>
    <w:rsid w:val="7530378F"/>
    <w:rsid w:val="760A2D99"/>
    <w:rsid w:val="76BC97B9"/>
    <w:rsid w:val="7742B270"/>
    <w:rsid w:val="77E74984"/>
    <w:rsid w:val="7806F877"/>
    <w:rsid w:val="784D50C9"/>
    <w:rsid w:val="7A9D8A93"/>
    <w:rsid w:val="7AE861C1"/>
    <w:rsid w:val="7B1EEA46"/>
    <w:rsid w:val="7B5FF024"/>
    <w:rsid w:val="7B97B5BD"/>
    <w:rsid w:val="7BC78870"/>
    <w:rsid w:val="7E6EE91C"/>
    <w:rsid w:val="7ED1D287"/>
    <w:rsid w:val="7F880C3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6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27B6"/>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BC09A3"/>
    <w:pPr>
      <w:keepNext/>
      <w:keepLines/>
      <w:spacing w:after="0"/>
      <w:ind w:left="370" w:hanging="10"/>
      <w:outlineLvl w:val="0"/>
    </w:pPr>
    <w:rPr>
      <w:rFonts w:ascii="Avant Garde" w:eastAsia="Avant Garde" w:hAnsi="Avant Garde" w:cs="Avant Garde"/>
      <w:color w:val="000000"/>
      <w:sz w:val="24"/>
      <w:lang w:eastAsia="es-MX"/>
    </w:rPr>
  </w:style>
  <w:style w:type="paragraph" w:styleId="Ttulo2">
    <w:name w:val="heading 2"/>
    <w:aliases w:val="h2,Section,Numbered - 2,Major,título 2,ARC 2,Para2,heading2,2,headi,h21,h22,21,H2,w,heading 2,headline,side,l2,list + change bar,???,Titre 2,Chapter,1.Seite,Sub Heading,Reset numbering,KJL:1st Level,sl2,22,23,211,221,24,212,222,25,213,223,26"/>
    <w:basedOn w:val="Normal"/>
    <w:next w:val="Normal"/>
    <w:link w:val="Ttulo2Car"/>
    <w:uiPriority w:val="9"/>
    <w:unhideWhenUsed/>
    <w:qFormat/>
    <w:rsid w:val="00766183"/>
    <w:pPr>
      <w:keepNext/>
      <w:keepLines/>
      <w:spacing w:before="360" w:after="240" w:line="320" w:lineRule="atLeast"/>
      <w:ind w:left="0" w:right="0" w:hanging="499"/>
      <w:outlineLvl w:val="1"/>
    </w:pPr>
    <w:rPr>
      <w:rFonts w:ascii="Times New Roman" w:eastAsia="Times New Roman" w:hAnsi="Times New Roman" w:cs="Times New Roman"/>
      <w:b/>
      <w:bCs/>
      <w:color w:val="auto"/>
      <w:sz w:val="24"/>
      <w:szCs w:val="26"/>
      <w:lang w:val="es-ES" w:eastAsia="en-US"/>
    </w:rPr>
  </w:style>
  <w:style w:type="paragraph" w:styleId="Ttulo3">
    <w:name w:val="heading 3"/>
    <w:aliases w:val="h3,3,l3,Guide 3,Head 3,List level 3,list 3,l3+toc 3,CT,X.X.X,two dig,C Sub-Sub/Italic,Head 31,Head 32,C Sub-Sub/Italic1,h3 sub heading,H3,3m,Normal + num,Heading three,Sub-section,heading 3,H31,Titre 3,_hh_Heading3,Sub-Section,ARC 3,heading3,e"/>
    <w:basedOn w:val="Normal"/>
    <w:next w:val="Normal"/>
    <w:link w:val="Ttulo3Car"/>
    <w:uiPriority w:val="9"/>
    <w:unhideWhenUsed/>
    <w:qFormat/>
    <w:rsid w:val="00766183"/>
    <w:pPr>
      <w:keepNext/>
      <w:keepLines/>
      <w:spacing w:before="360" w:after="240" w:line="320" w:lineRule="atLeast"/>
      <w:ind w:left="0" w:right="0" w:hanging="499"/>
      <w:outlineLvl w:val="2"/>
    </w:pPr>
    <w:rPr>
      <w:rFonts w:ascii="Times New Roman" w:eastAsia="Times New Roman" w:hAnsi="Times New Roman" w:cs="Times New Roman"/>
      <w:b/>
      <w:bCs/>
      <w:color w:val="auto"/>
      <w:lang w:val="es-ES" w:eastAsia="en-US"/>
    </w:rPr>
  </w:style>
  <w:style w:type="paragraph" w:styleId="Ttulo4">
    <w:name w:val="heading 4"/>
    <w:aliases w:val="h4,Underunderafsnit"/>
    <w:basedOn w:val="Normal"/>
    <w:next w:val="Normal"/>
    <w:link w:val="Ttulo4Car"/>
    <w:uiPriority w:val="9"/>
    <w:unhideWhenUsed/>
    <w:qFormat/>
    <w:rsid w:val="00766183"/>
    <w:pPr>
      <w:keepNext/>
      <w:keepLines/>
      <w:spacing w:before="360" w:after="240" w:line="320" w:lineRule="atLeast"/>
      <w:ind w:left="0" w:right="0" w:firstLine="0"/>
      <w:outlineLvl w:val="3"/>
    </w:pPr>
    <w:rPr>
      <w:rFonts w:ascii="Times New Roman" w:eastAsia="Times New Roman" w:hAnsi="Times New Roman" w:cs="Times New Roman"/>
      <w:bCs/>
      <w:i/>
      <w:iCs/>
      <w:color w:val="auto"/>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BC09A3"/>
    <w:rPr>
      <w:rFonts w:ascii="Avant Garde" w:eastAsia="Avant Garde" w:hAnsi="Avant Garde" w:cs="Avant Garde"/>
      <w:color w:val="000000"/>
      <w:sz w:val="24"/>
      <w:lang w:eastAsia="es-MX"/>
    </w:rPr>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D44461"/>
    <w:pPr>
      <w:ind w:left="720"/>
      <w:contextualSpacing/>
    </w:pPr>
  </w:style>
  <w:style w:type="paragraph" w:customStyle="1" w:styleId="Default">
    <w:name w:val="Default"/>
    <w:rsid w:val="00AA46AD"/>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unhideWhenUsed/>
    <w:rsid w:val="00AC1A4D"/>
    <w:rPr>
      <w:sz w:val="16"/>
      <w:szCs w:val="16"/>
    </w:rPr>
  </w:style>
  <w:style w:type="paragraph" w:styleId="Textocomentario">
    <w:name w:val="annotation text"/>
    <w:basedOn w:val="Normal"/>
    <w:link w:val="TextocomentarioCar"/>
    <w:uiPriority w:val="99"/>
    <w:unhideWhenUsed/>
    <w:rsid w:val="00AC1A4D"/>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rsid w:val="00AC1A4D"/>
    <w:rPr>
      <w:sz w:val="20"/>
      <w:szCs w:val="20"/>
    </w:rPr>
  </w:style>
  <w:style w:type="paragraph" w:styleId="Textodeglobo">
    <w:name w:val="Balloon Text"/>
    <w:basedOn w:val="Normal"/>
    <w:link w:val="TextodegloboCar"/>
    <w:uiPriority w:val="99"/>
    <w:unhideWhenUsed/>
    <w:rsid w:val="00AC1A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C1A4D"/>
    <w:rPr>
      <w:rFonts w:ascii="Segoe UI" w:eastAsia="Avant Garde" w:hAnsi="Segoe UI" w:cs="Segoe UI"/>
      <w:color w:val="000000"/>
      <w:sz w:val="18"/>
      <w:szCs w:val="18"/>
      <w:lang w:eastAsia="es-MX"/>
    </w:rPr>
  </w:style>
  <w:style w:type="character" w:styleId="Hipervnculo">
    <w:name w:val="Hyperlink"/>
    <w:basedOn w:val="Fuentedeprrafopredeter"/>
    <w:uiPriority w:val="99"/>
    <w:unhideWhenUsed/>
    <w:rsid w:val="00392711"/>
    <w:rPr>
      <w:color w:val="0563C1" w:themeColor="hyperlink"/>
      <w:u w:val="single"/>
    </w:rPr>
  </w:style>
  <w:style w:type="character" w:customStyle="1" w:styleId="apple-converted-space">
    <w:name w:val="apple-converted-space"/>
    <w:basedOn w:val="Fuentedeprrafopredeter"/>
    <w:rsid w:val="00D53D0A"/>
  </w:style>
  <w:style w:type="paragraph" w:styleId="Textoindependiente2">
    <w:name w:val="Body Text 2"/>
    <w:basedOn w:val="Normal"/>
    <w:link w:val="Textoindependiente2Car"/>
    <w:rsid w:val="00BD128A"/>
    <w:pPr>
      <w:spacing w:after="0" w:line="240" w:lineRule="auto"/>
      <w:ind w:left="0" w:right="0" w:firstLine="0"/>
    </w:pPr>
    <w:rPr>
      <w:rFonts w:ascii="Arial" w:eastAsia="Times New Roman" w:hAnsi="Arial" w:cs="Arial"/>
      <w:snapToGrid w:val="0"/>
      <w:color w:val="auto"/>
      <w:szCs w:val="20"/>
      <w:lang w:eastAsia="en-US"/>
    </w:rPr>
  </w:style>
  <w:style w:type="character" w:customStyle="1" w:styleId="Textoindependiente2Car">
    <w:name w:val="Texto independiente 2 Car"/>
    <w:basedOn w:val="Fuentedeprrafopredeter"/>
    <w:link w:val="Textoindependiente2"/>
    <w:rsid w:val="00BD128A"/>
    <w:rPr>
      <w:rFonts w:ascii="Arial" w:eastAsia="Times New Roman" w:hAnsi="Arial" w:cs="Arial"/>
      <w:snapToGrid w:val="0"/>
      <w:szCs w:val="20"/>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rsid w:val="00BD128A"/>
    <w:rPr>
      <w:rFonts w:ascii="Avant Garde" w:eastAsia="Avant Garde" w:hAnsi="Avant Garde" w:cs="Avant Garde"/>
      <w:color w:val="000000"/>
      <w:lang w:eastAsia="es-MX"/>
    </w:rPr>
  </w:style>
  <w:style w:type="paragraph" w:customStyle="1" w:styleId="Ejemplo">
    <w:name w:val="Ejemplo"/>
    <w:basedOn w:val="Normal"/>
    <w:link w:val="EjemploChar"/>
    <w:qFormat/>
    <w:rsid w:val="00E94660"/>
    <w:pPr>
      <w:spacing w:before="240" w:after="240" w:line="276" w:lineRule="auto"/>
      <w:ind w:left="0" w:right="0" w:firstLine="0"/>
      <w:jc w:val="center"/>
    </w:pPr>
    <w:rPr>
      <w:rFonts w:ascii="ITC Avant Garde" w:eastAsia="Times New Roman" w:hAnsi="ITC Avant Garde" w:cs="Arial"/>
      <w:color w:val="auto"/>
    </w:rPr>
  </w:style>
  <w:style w:type="character" w:customStyle="1" w:styleId="EjemploChar">
    <w:name w:val="Ejemplo Char"/>
    <w:basedOn w:val="Fuentedeprrafopredeter"/>
    <w:link w:val="Ejemplo"/>
    <w:rsid w:val="00E94660"/>
    <w:rPr>
      <w:rFonts w:ascii="ITC Avant Garde" w:eastAsia="Times New Roman" w:hAnsi="ITC Avant Garde" w:cs="Arial"/>
      <w:lang w:eastAsia="es-MX"/>
    </w:rPr>
  </w:style>
  <w:style w:type="paragraph" w:customStyle="1" w:styleId="Titulo2">
    <w:name w:val="Titulo 2"/>
    <w:basedOn w:val="Normal"/>
    <w:rsid w:val="00F0265C"/>
    <w:pPr>
      <w:pBdr>
        <w:top w:val="double" w:sz="6" w:space="1" w:color="auto"/>
      </w:pBdr>
      <w:spacing w:after="101" w:line="240" w:lineRule="auto"/>
      <w:ind w:left="0" w:right="0" w:firstLine="0"/>
      <w:outlineLvl w:val="1"/>
    </w:pPr>
    <w:rPr>
      <w:rFonts w:ascii="Arial" w:eastAsia="Times New Roman" w:hAnsi="Arial" w:cs="Arial"/>
      <w:color w:val="auto"/>
      <w:sz w:val="18"/>
      <w:szCs w:val="20"/>
      <w:lang w:eastAsia="es-ES"/>
    </w:rPr>
  </w:style>
  <w:style w:type="paragraph" w:customStyle="1" w:styleId="Textoindependiente21">
    <w:name w:val="Texto independiente 21"/>
    <w:basedOn w:val="Normal"/>
    <w:rsid w:val="00EB27E8"/>
    <w:pPr>
      <w:suppressAutoHyphens/>
      <w:spacing w:after="0" w:line="100" w:lineRule="atLeast"/>
      <w:ind w:left="0" w:right="0" w:firstLine="0"/>
      <w:jc w:val="left"/>
    </w:pPr>
    <w:rPr>
      <w:rFonts w:ascii="Times New Roman" w:eastAsia="Times New Roman" w:hAnsi="Times New Roman" w:cs="Times New Roman"/>
      <w:color w:val="auto"/>
      <w:kern w:val="2"/>
      <w:sz w:val="20"/>
      <w:szCs w:val="20"/>
      <w:lang w:val="es-ES" w:eastAsia="ar-SA"/>
    </w:rPr>
  </w:style>
  <w:style w:type="character" w:styleId="Refdenotaalpie">
    <w:name w:val="footnote reference"/>
    <w:aliases w:val="(NECG) Footnote Reference,o,fr,Style 3,Appel note de bas de p,Style 12,Style 124,Ref,de nota al pie,Ref. de nota al pie 2,Footnotes refss,Texto de nota al pie,Appel note de bas de page,Footnote number,referencia nota al pie,BVI fnr,f"/>
    <w:uiPriority w:val="99"/>
    <w:qFormat/>
    <w:rsid w:val="00493685"/>
    <w:rPr>
      <w:vertAlign w:val="superscript"/>
    </w:rPr>
  </w:style>
  <w:style w:type="paragraph" w:customStyle="1" w:styleId="Citas">
    <w:name w:val="Citas"/>
    <w:basedOn w:val="Normal"/>
    <w:link w:val="CitasChar"/>
    <w:qFormat/>
    <w:rsid w:val="00493685"/>
    <w:pPr>
      <w:tabs>
        <w:tab w:val="left" w:pos="8280"/>
      </w:tabs>
      <w:spacing w:after="120" w:line="360" w:lineRule="auto"/>
      <w:ind w:left="567" w:right="900" w:firstLine="0"/>
    </w:pPr>
    <w:rPr>
      <w:rFonts w:ascii="Century Gothic" w:eastAsia="Times New Roman" w:hAnsi="Century Gothic" w:cs="Times New Roman"/>
      <w:i/>
      <w:color w:val="auto"/>
      <w:sz w:val="24"/>
      <w:szCs w:val="24"/>
      <w:lang w:eastAsia="es-ES"/>
    </w:rPr>
  </w:style>
  <w:style w:type="character" w:customStyle="1" w:styleId="CitasChar">
    <w:name w:val="Citas Char"/>
    <w:link w:val="Citas"/>
    <w:rsid w:val="00493685"/>
    <w:rPr>
      <w:rFonts w:ascii="Century Gothic" w:eastAsia="Times New Roman" w:hAnsi="Century Gothic" w:cs="Times New Roman"/>
      <w:i/>
      <w:sz w:val="24"/>
      <w:szCs w:val="24"/>
      <w:lang w:eastAsia="es-ES"/>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uiPriority w:val="99"/>
    <w:qFormat/>
    <w:rsid w:val="006551C8"/>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uiPriority w:val="99"/>
    <w:rsid w:val="006551C8"/>
    <w:rPr>
      <w:rFonts w:ascii="Arial" w:eastAsia="Times New Roman" w:hAnsi="Arial" w:cs="Times New Roman"/>
      <w:sz w:val="20"/>
      <w:szCs w:val="20"/>
      <w:lang w:val="es-ES" w:eastAsia="es-ES"/>
    </w:rPr>
  </w:style>
  <w:style w:type="paragraph" w:customStyle="1" w:styleId="s4">
    <w:name w:val="s4"/>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paragraph" w:customStyle="1" w:styleId="s11">
    <w:name w:val="s11"/>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character" w:customStyle="1" w:styleId="s6">
    <w:name w:val="s6"/>
    <w:rsid w:val="006551C8"/>
  </w:style>
  <w:style w:type="character" w:customStyle="1" w:styleId="s2">
    <w:name w:val="s2"/>
    <w:rsid w:val="006551C8"/>
  </w:style>
  <w:style w:type="character" w:customStyle="1" w:styleId="Ttulo2Car">
    <w:name w:val="Título 2 Car"/>
    <w:aliases w:val="h2 Car,Section Car,Numbered - 2 Car,Major Car,título 2 Car,ARC 2 Car,Para2 Car,heading2 Car,2 Car,headi Car,h21 Car,h22 Car,21 Car,H2 Car,w Car,heading 2 Car,headline Car,side Car,l2 Car,list + change bar Car,??? Car,Titre 2 Car,Chapter Car"/>
    <w:basedOn w:val="Fuentedeprrafopredeter"/>
    <w:link w:val="Ttulo2"/>
    <w:uiPriority w:val="9"/>
    <w:rsid w:val="00766183"/>
    <w:rPr>
      <w:rFonts w:ascii="Times New Roman" w:eastAsia="Times New Roman" w:hAnsi="Times New Roman" w:cs="Times New Roman"/>
      <w:b/>
      <w:bCs/>
      <w:sz w:val="24"/>
      <w:szCs w:val="26"/>
      <w:lang w:val="es-ES"/>
    </w:rPr>
  </w:style>
  <w:style w:type="character" w:customStyle="1" w:styleId="Ttulo3Car">
    <w:name w:val="Título 3 Car"/>
    <w:aliases w:val="h3 Car,3 Car,l3 Car,Guide 3 Car,Head 3 Car,List level 3 Car,list 3 Car,l3+toc 3 Car,CT Car,X.X.X Car,two dig Car,C Sub-Sub/Italic Car,Head 31 Car,Head 32 Car,C Sub-Sub/Italic1 Car,h3 sub heading Car,H3 Car,3m Car,Normal + num Car,H31 Car"/>
    <w:basedOn w:val="Fuentedeprrafopredeter"/>
    <w:link w:val="Ttulo3"/>
    <w:uiPriority w:val="9"/>
    <w:rsid w:val="00766183"/>
    <w:rPr>
      <w:rFonts w:ascii="Times New Roman" w:eastAsia="Times New Roman" w:hAnsi="Times New Roman" w:cs="Times New Roman"/>
      <w:b/>
      <w:bCs/>
      <w:lang w:val="es-ES"/>
    </w:rPr>
  </w:style>
  <w:style w:type="character" w:customStyle="1" w:styleId="Ttulo4Car">
    <w:name w:val="Título 4 Car"/>
    <w:aliases w:val="h4 Car,Underunderafsnit Car"/>
    <w:basedOn w:val="Fuentedeprrafopredeter"/>
    <w:link w:val="Ttulo4"/>
    <w:uiPriority w:val="9"/>
    <w:rsid w:val="00766183"/>
    <w:rPr>
      <w:rFonts w:ascii="Times New Roman" w:eastAsia="Times New Roman" w:hAnsi="Times New Roman" w:cs="Times New Roman"/>
      <w:bCs/>
      <w:i/>
      <w:iCs/>
      <w:lang w:val="es-ES"/>
    </w:rPr>
  </w:style>
  <w:style w:type="paragraph" w:styleId="NormalWeb">
    <w:name w:val="Normal (Web)"/>
    <w:basedOn w:val="Normal"/>
    <w:uiPriority w:val="99"/>
    <w:unhideWhenUsed/>
    <w:rsid w:val="00CE35B2"/>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styleId="Descripcin">
    <w:name w:val="caption"/>
    <w:basedOn w:val="Normal"/>
    <w:next w:val="Normal"/>
    <w:uiPriority w:val="35"/>
    <w:unhideWhenUsed/>
    <w:qFormat/>
    <w:rsid w:val="00735F36"/>
    <w:pPr>
      <w:spacing w:after="200" w:line="240" w:lineRule="auto"/>
      <w:ind w:left="0" w:right="0" w:firstLine="0"/>
      <w:jc w:val="left"/>
    </w:pPr>
    <w:rPr>
      <w:rFonts w:asciiTheme="minorHAnsi" w:eastAsiaTheme="minorEastAsia" w:hAnsiTheme="minorHAnsi" w:cstheme="minorBidi"/>
      <w:i/>
      <w:iCs/>
      <w:color w:val="44546A" w:themeColor="text2"/>
      <w:sz w:val="18"/>
      <w:szCs w:val="18"/>
      <w:lang w:eastAsia="en-US"/>
    </w:rPr>
  </w:style>
  <w:style w:type="paragraph" w:customStyle="1" w:styleId="Normal2">
    <w:name w:val="Normal2"/>
    <w:rsid w:val="00D44E13"/>
    <w:pPr>
      <w:spacing w:after="0" w:line="276" w:lineRule="auto"/>
    </w:pPr>
    <w:rPr>
      <w:rFonts w:ascii="Arial" w:eastAsia="Arial" w:hAnsi="Arial" w:cs="Arial"/>
      <w:color w:val="000000"/>
      <w:szCs w:val="20"/>
      <w:lang w:val="en-US"/>
    </w:rPr>
  </w:style>
  <w:style w:type="paragraph" w:customStyle="1" w:styleId="IFTnormal">
    <w:name w:val="IFT normal"/>
    <w:basedOn w:val="Normal"/>
    <w:link w:val="IFTnormalCar"/>
    <w:qFormat/>
    <w:rsid w:val="00B80923"/>
    <w:pPr>
      <w:spacing w:after="200" w:line="276" w:lineRule="auto"/>
      <w:ind w:left="426" w:right="0" w:firstLine="0"/>
    </w:pPr>
    <w:rPr>
      <w:rFonts w:ascii="ITC Avant Garde" w:eastAsia="Times New Roman" w:hAnsi="ITC Avant Garde" w:cs="Times New Roman"/>
      <w:iCs/>
      <w:color w:val="auto"/>
      <w:lang w:val="es-ES"/>
    </w:rPr>
  </w:style>
  <w:style w:type="paragraph" w:customStyle="1" w:styleId="TAL">
    <w:name w:val="TAL"/>
    <w:basedOn w:val="Normal"/>
    <w:link w:val="TALChar"/>
    <w:uiPriority w:val="99"/>
    <w:rsid w:val="00C641EC"/>
    <w:pPr>
      <w:keepNext/>
      <w:keepLines/>
      <w:spacing w:after="0" w:line="240" w:lineRule="auto"/>
      <w:ind w:left="0" w:right="0" w:firstLine="0"/>
      <w:jc w:val="left"/>
    </w:pPr>
    <w:rPr>
      <w:rFonts w:ascii="Arial" w:eastAsia="Batang" w:hAnsi="Arial" w:cs="Times New Roman"/>
      <w:color w:val="auto"/>
      <w:sz w:val="18"/>
      <w:szCs w:val="20"/>
      <w:lang w:val="en-GB" w:eastAsia="es-ES"/>
    </w:rPr>
  </w:style>
  <w:style w:type="character" w:customStyle="1" w:styleId="TALChar">
    <w:name w:val="TAL Char"/>
    <w:link w:val="TAL"/>
    <w:uiPriority w:val="99"/>
    <w:locked/>
    <w:rsid w:val="00C641EC"/>
    <w:rPr>
      <w:rFonts w:ascii="Arial" w:eastAsia="Batang" w:hAnsi="Arial" w:cs="Times New Roman"/>
      <w:sz w:val="18"/>
      <w:szCs w:val="20"/>
      <w:lang w:val="en-GB" w:eastAsia="es-ES"/>
    </w:rPr>
  </w:style>
  <w:style w:type="table" w:styleId="Tablaconcuadrcula">
    <w:name w:val="Table Grid"/>
    <w:basedOn w:val="Tablanormal"/>
    <w:uiPriority w:val="99"/>
    <w:rsid w:val="00D91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o,header odd,first,heading one,Odd Header,En-tête-2,header"/>
    <w:basedOn w:val="Normal"/>
    <w:link w:val="EncabezadoCar"/>
    <w:uiPriority w:val="99"/>
    <w:unhideWhenUsed/>
    <w:rsid w:val="00F51196"/>
    <w:pPr>
      <w:tabs>
        <w:tab w:val="center" w:pos="4419"/>
        <w:tab w:val="right" w:pos="8838"/>
      </w:tabs>
      <w:spacing w:after="0" w:line="240" w:lineRule="auto"/>
    </w:pPr>
  </w:style>
  <w:style w:type="character" w:customStyle="1" w:styleId="EncabezadoCar">
    <w:name w:val="Encabezado Car"/>
    <w:aliases w:val="ho Car,header odd Car,first Car,heading one Car,Odd Header Car,En-tête-2 Car,header Car"/>
    <w:basedOn w:val="Fuentedeprrafopredeter"/>
    <w:link w:val="Encabezado"/>
    <w:uiPriority w:val="99"/>
    <w:rsid w:val="00F51196"/>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F511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196"/>
    <w:rPr>
      <w:rFonts w:ascii="Avant Garde" w:eastAsia="Avant Garde" w:hAnsi="Avant Garde" w:cs="Avant Garde"/>
      <w:color w:val="000000"/>
      <w:lang w:eastAsia="es-MX"/>
    </w:rPr>
  </w:style>
  <w:style w:type="paragraph" w:styleId="Asuntodelcomentario">
    <w:name w:val="annotation subject"/>
    <w:basedOn w:val="Textocomentario"/>
    <w:next w:val="Textocomentario"/>
    <w:link w:val="AsuntodelcomentarioCar"/>
    <w:uiPriority w:val="99"/>
    <w:semiHidden/>
    <w:unhideWhenUsed/>
    <w:rsid w:val="00497632"/>
    <w:pPr>
      <w:spacing w:after="3"/>
      <w:ind w:left="10" w:right="2" w:hanging="10"/>
      <w:jc w:val="both"/>
    </w:pPr>
    <w:rPr>
      <w:rFonts w:ascii="Avant Garde" w:eastAsia="Avant Garde" w:hAnsi="Avant Garde" w:cs="Avant Garde"/>
      <w:b/>
      <w:bCs/>
      <w:color w:val="000000"/>
      <w:lang w:eastAsia="es-MX"/>
    </w:rPr>
  </w:style>
  <w:style w:type="character" w:customStyle="1" w:styleId="AsuntodelcomentarioCar">
    <w:name w:val="Asunto del comentario Car"/>
    <w:basedOn w:val="TextocomentarioCar"/>
    <w:link w:val="Asuntodelcomentario"/>
    <w:uiPriority w:val="99"/>
    <w:semiHidden/>
    <w:rsid w:val="00497632"/>
    <w:rPr>
      <w:rFonts w:ascii="Avant Garde" w:eastAsia="Avant Garde" w:hAnsi="Avant Garde" w:cs="Avant Garde"/>
      <w:b/>
      <w:bCs/>
      <w:color w:val="000000"/>
      <w:sz w:val="20"/>
      <w:szCs w:val="20"/>
      <w:lang w:eastAsia="es-MX"/>
    </w:rPr>
  </w:style>
  <w:style w:type="paragraph" w:styleId="Textosinformato">
    <w:name w:val="Plain Text"/>
    <w:basedOn w:val="Normal"/>
    <w:link w:val="TextosinformatoCar"/>
    <w:rsid w:val="00623045"/>
    <w:pPr>
      <w:spacing w:after="0" w:line="240" w:lineRule="auto"/>
      <w:ind w:left="0" w:right="0" w:firstLine="0"/>
      <w:jc w:val="left"/>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rsid w:val="00623045"/>
    <w:rPr>
      <w:rFonts w:ascii="Courier New" w:eastAsia="Times New Roman" w:hAnsi="Courier New" w:cs="Courier New"/>
      <w:sz w:val="20"/>
      <w:szCs w:val="20"/>
      <w:lang w:eastAsia="es-ES"/>
    </w:rPr>
  </w:style>
  <w:style w:type="character" w:customStyle="1" w:styleId="IFTnormalCar">
    <w:name w:val="IFT normal Car"/>
    <w:basedOn w:val="Fuentedeprrafopredeter"/>
    <w:link w:val="IFTnormal"/>
    <w:rsid w:val="00623045"/>
    <w:rPr>
      <w:rFonts w:ascii="ITC Avant Garde" w:eastAsia="Times New Roman" w:hAnsi="ITC Avant Garde" w:cs="Times New Roman"/>
      <w:iCs/>
      <w:lang w:val="es-ES" w:eastAsia="es-MX"/>
    </w:rPr>
  </w:style>
  <w:style w:type="paragraph" w:customStyle="1" w:styleId="Prrafodelista1">
    <w:name w:val="Párrafo de lista1"/>
    <w:basedOn w:val="Normal"/>
    <w:uiPriority w:val="99"/>
    <w:qFormat/>
    <w:rsid w:val="00682F41"/>
    <w:pPr>
      <w:spacing w:after="0" w:line="240" w:lineRule="auto"/>
      <w:ind w:left="708" w:right="0" w:firstLine="0"/>
      <w:jc w:val="left"/>
    </w:pPr>
    <w:rPr>
      <w:rFonts w:ascii="Times New Roman" w:eastAsia="Times New Roman" w:hAnsi="Times New Roman" w:cs="Times New Roman"/>
      <w:color w:val="auto"/>
      <w:sz w:val="24"/>
      <w:szCs w:val="24"/>
      <w:lang w:val="es-ES" w:eastAsia="es-ES"/>
    </w:rPr>
  </w:style>
  <w:style w:type="paragraph" w:customStyle="1" w:styleId="IFT1">
    <w:name w:val="IFT 1"/>
    <w:basedOn w:val="Normal"/>
    <w:link w:val="IFT1Car"/>
    <w:qFormat/>
    <w:rsid w:val="002C14DB"/>
    <w:pPr>
      <w:spacing w:after="200" w:line="276" w:lineRule="auto"/>
      <w:ind w:left="0" w:right="0" w:firstLine="0"/>
    </w:pPr>
    <w:rPr>
      <w:rFonts w:ascii="ITC Avant Garde" w:eastAsia="Times New Roman" w:hAnsi="ITC Avant Garde" w:cs="Times New Roman"/>
      <w:iCs/>
      <w:color w:val="auto"/>
      <w:lang w:eastAsia="en-US"/>
    </w:rPr>
  </w:style>
  <w:style w:type="character" w:customStyle="1" w:styleId="IFT1Car">
    <w:name w:val="IFT 1 Car"/>
    <w:link w:val="IFT1"/>
    <w:rsid w:val="002C14DB"/>
    <w:rPr>
      <w:rFonts w:ascii="ITC Avant Garde" w:eastAsia="Times New Roman" w:hAnsi="ITC Avant Garde" w:cs="Times New Roman"/>
      <w:iCs/>
    </w:rPr>
  </w:style>
  <w:style w:type="paragraph" w:customStyle="1" w:styleId="Citaift">
    <w:name w:val="Cita ift"/>
    <w:basedOn w:val="Normal"/>
    <w:link w:val="CitaiftCar"/>
    <w:qFormat/>
    <w:rsid w:val="00F20B38"/>
    <w:pPr>
      <w:adjustRightInd w:val="0"/>
      <w:spacing w:after="200" w:line="276" w:lineRule="auto"/>
      <w:ind w:left="851" w:right="760" w:firstLine="0"/>
    </w:pPr>
    <w:rPr>
      <w:rFonts w:ascii="ITC Avant Garde" w:eastAsia="Times New Roman" w:hAnsi="ITC Avant Garde" w:cs="Arial"/>
      <w:i/>
      <w:sz w:val="18"/>
      <w:szCs w:val="18"/>
      <w:lang w:eastAsia="es-ES"/>
    </w:rPr>
  </w:style>
  <w:style w:type="character" w:customStyle="1" w:styleId="CitaiftCar">
    <w:name w:val="Cita ift Car"/>
    <w:link w:val="Citaift"/>
    <w:rsid w:val="00F20B38"/>
    <w:rPr>
      <w:rFonts w:ascii="ITC Avant Garde" w:eastAsia="Times New Roman" w:hAnsi="ITC Avant Garde" w:cs="Arial"/>
      <w:i/>
      <w:color w:val="000000"/>
      <w:sz w:val="18"/>
      <w:szCs w:val="18"/>
      <w:lang w:eastAsia="es-ES"/>
    </w:rPr>
  </w:style>
  <w:style w:type="paragraph" w:styleId="Revisin">
    <w:name w:val="Revision"/>
    <w:hidden/>
    <w:uiPriority w:val="99"/>
    <w:semiHidden/>
    <w:rsid w:val="009E0D5C"/>
    <w:pPr>
      <w:spacing w:after="0" w:line="240" w:lineRule="auto"/>
    </w:pPr>
    <w:rPr>
      <w:rFonts w:ascii="Avant Garde" w:eastAsia="Avant Garde" w:hAnsi="Avant Garde" w:cs="Avant Garde"/>
      <w:color w:val="000000"/>
      <w:lang w:eastAsia="es-MX"/>
    </w:rPr>
  </w:style>
  <w:style w:type="paragraph" w:styleId="Listaconvietas">
    <w:name w:val="List Bullet"/>
    <w:aliases w:val="|BCS| ul 1,PA List Bullet,List Bullet Char Char Char Char,List Bullet Char Char Char Char Char Char Char Char,List Bullet Char Char Char Char Char Char Char,List Bullet Char Char Char Char Char Char,List Bullet Char1 Char"/>
    <w:basedOn w:val="Normal"/>
    <w:uiPriority w:val="99"/>
    <w:unhideWhenUsed/>
    <w:rsid w:val="00BA60A4"/>
    <w:pPr>
      <w:numPr>
        <w:numId w:val="2"/>
      </w:numPr>
      <w:spacing w:after="0" w:line="276" w:lineRule="auto"/>
      <w:ind w:right="0"/>
    </w:pPr>
    <w:rPr>
      <w:rFonts w:ascii="ITC Avant Garde" w:eastAsia="Calibri" w:hAnsi="ITC Avant Garde" w:cs="Times New Roman"/>
      <w:color w:val="000000" w:themeColor="text1"/>
      <w:lang w:val="es-SV" w:eastAsia="en-US"/>
    </w:rPr>
  </w:style>
  <w:style w:type="paragraph" w:customStyle="1" w:styleId="Texto">
    <w:name w:val="Texto"/>
    <w:basedOn w:val="Normal"/>
    <w:link w:val="TextoCar"/>
    <w:rsid w:val="00BA60A4"/>
    <w:pPr>
      <w:spacing w:after="0" w:line="276" w:lineRule="auto"/>
      <w:ind w:left="0" w:right="0" w:firstLine="0"/>
    </w:pPr>
    <w:rPr>
      <w:rFonts w:ascii="ITC Avant Garde" w:eastAsia="Calibri" w:hAnsi="ITC Avant Garde" w:cs="Times New Roman"/>
      <w:color w:val="000000" w:themeColor="text1"/>
      <w:lang w:val="es-ES_tradnl" w:eastAsia="en-US"/>
    </w:rPr>
  </w:style>
  <w:style w:type="character" w:customStyle="1" w:styleId="TextoCar">
    <w:name w:val="Texto Car"/>
    <w:basedOn w:val="Fuentedeprrafopredeter"/>
    <w:link w:val="Texto"/>
    <w:rsid w:val="00BA60A4"/>
    <w:rPr>
      <w:rFonts w:ascii="ITC Avant Garde" w:eastAsia="Calibri" w:hAnsi="ITC Avant Garde" w:cs="Times New Roman"/>
      <w:color w:val="000000" w:themeColor="text1"/>
      <w:lang w:val="es-ES_tradnl"/>
    </w:rPr>
  </w:style>
  <w:style w:type="paragraph" w:styleId="Sinespaciado">
    <w:name w:val="No Spacing"/>
    <w:uiPriority w:val="1"/>
    <w:qFormat/>
    <w:rsid w:val="005B36F9"/>
    <w:pPr>
      <w:spacing w:after="0" w:line="240" w:lineRule="auto"/>
    </w:pPr>
    <w:rPr>
      <w:rFonts w:ascii="Calibri" w:eastAsia="Calibri" w:hAnsi="Calibri" w:cs="Times New Roman"/>
    </w:rPr>
  </w:style>
  <w:style w:type="table" w:customStyle="1" w:styleId="Tablaconcuadrcula4">
    <w:name w:val="Tabla con cuadrícula4"/>
    <w:basedOn w:val="Tablanormal"/>
    <w:next w:val="Tablaconcuadrcula"/>
    <w:uiPriority w:val="59"/>
    <w:rsid w:val="0002441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A18D7"/>
    <w:rPr>
      <w:b/>
      <w:bCs/>
    </w:rPr>
  </w:style>
  <w:style w:type="numbering" w:customStyle="1" w:styleId="Sinlista1">
    <w:name w:val="Sin lista1"/>
    <w:next w:val="Sinlista"/>
    <w:uiPriority w:val="99"/>
    <w:semiHidden/>
    <w:unhideWhenUsed/>
    <w:rsid w:val="00AF544C"/>
  </w:style>
  <w:style w:type="table" w:customStyle="1" w:styleId="Sombreadomedio2-nfasis11">
    <w:name w:val="Sombreado medio 2 - Énfasis 11"/>
    <w:basedOn w:val="Tablanormal"/>
    <w:next w:val="Sombreadomedio2-nfasis1"/>
    <w:uiPriority w:val="64"/>
    <w:unhideWhenUsed/>
    <w:rsid w:val="00AF544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customStyle="1" w:styleId="Border">
    <w:name w:val="Border"/>
    <w:next w:val="Normal"/>
    <w:qFormat/>
    <w:rsid w:val="00AF544C"/>
    <w:pPr>
      <w:spacing w:after="360" w:line="320" w:lineRule="atLeast"/>
      <w:jc w:val="center"/>
    </w:pPr>
    <w:rPr>
      <w:rFonts w:ascii="Times New Roman" w:hAnsi="Times New Roman"/>
      <w:lang w:val="en-GB"/>
    </w:rPr>
  </w:style>
  <w:style w:type="table" w:customStyle="1" w:styleId="Sombreadomedio2-nfasis111">
    <w:name w:val="Sombreado medio 2 - Énfasis 111"/>
    <w:basedOn w:val="Tablanormal"/>
    <w:next w:val="Sombreadomedio2-nfasis1"/>
    <w:uiPriority w:val="64"/>
    <w:unhideWhenUsed/>
    <w:rsid w:val="00AF544C"/>
    <w:pPr>
      <w:spacing w:after="0" w:line="240" w:lineRule="auto"/>
    </w:pPr>
    <w:rPr>
      <w:rFonts w:ascii="Franklin Gothic Book" w:hAnsi="Franklin Gothic Book"/>
      <w:sz w:val="20"/>
      <w:lang w:val="en-GB"/>
    </w:rPr>
    <w:tblPr>
      <w:tblStyleRowBandSize w:val="1"/>
      <w:tblStyleColBandSize w:val="1"/>
    </w:tblPr>
    <w:tcPr>
      <w:shd w:val="clear" w:color="auto" w:fill="D9D9D9"/>
    </w:tcPr>
    <w:tblStylePr w:type="firstRow">
      <w:pPr>
        <w:spacing w:before="0" w:after="0" w:line="240" w:lineRule="auto"/>
      </w:pPr>
      <w:rPr>
        <w:b/>
        <w:bCs/>
        <w:color w:val="FFFFFF"/>
      </w:rPr>
      <w:tblPr/>
      <w:tcPr>
        <w:tcBorders>
          <w:top w:val="nil"/>
          <w:left w:val="nil"/>
          <w:bottom w:val="single" w:sz="18" w:space="0" w:color="FFFFFF"/>
          <w:right w:val="nil"/>
          <w:insideH w:val="nil"/>
          <w:insideV w:val="single" w:sz="8" w:space="0" w:color="FFFFFF"/>
          <w:tl2br w:val="nil"/>
          <w:tr2bl w:val="nil"/>
        </w:tcBorders>
        <w:shd w:val="clear" w:color="auto" w:fill="0F51B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Horz">
      <w:tblPr/>
      <w:tcPr>
        <w:tcBorders>
          <w:top w:val="nil"/>
          <w:left w:val="nil"/>
          <w:bottom w:val="single" w:sz="8" w:space="0" w:color="FFFFFF"/>
          <w:right w:val="nil"/>
          <w:insideH w:val="nil"/>
          <w:insideV w:val="single" w:sz="8" w:space="0" w:color="FFFFFF"/>
          <w:tl2br w:val="nil"/>
          <w:tr2bl w:val="nil"/>
        </w:tcBorders>
        <w:shd w:val="clear" w:color="auto" w:fill="D9D9D9"/>
      </w:tcPr>
    </w:tblStylePr>
    <w:tblStylePr w:type="band2Horz">
      <w:tblPr/>
      <w:tcPr>
        <w:tcBorders>
          <w:top w:val="nil"/>
          <w:left w:val="nil"/>
          <w:bottom w:val="single" w:sz="8" w:space="0" w:color="FFFFFF"/>
          <w:right w:val="nil"/>
          <w:insideH w:val="nil"/>
          <w:insideV w:val="single" w:sz="8" w:space="0" w:color="FFFFFF"/>
          <w:tl2br w:val="nil"/>
          <w:tr2bl w:val="nil"/>
        </w:tcBorders>
        <w:shd w:val="clear" w:color="auto" w:fill="D9D9D9"/>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customStyle="1" w:styleId="Captionsmall">
    <w:name w:val="Caption: small"/>
    <w:basedOn w:val="Descripcin"/>
    <w:next w:val="Normal"/>
    <w:qFormat/>
    <w:rsid w:val="00AF544C"/>
    <w:pPr>
      <w:keepNext/>
      <w:tabs>
        <w:tab w:val="left" w:pos="2041"/>
      </w:tabs>
      <w:spacing w:after="0" w:line="320" w:lineRule="atLeast"/>
      <w:ind w:left="113" w:right="113"/>
    </w:pPr>
    <w:rPr>
      <w:rFonts w:ascii="Franklin Gothic Book" w:eastAsia="Calibri" w:hAnsi="Franklin Gothic Book" w:cs="Arial"/>
      <w:bCs/>
      <w:iCs w:val="0"/>
      <w:color w:val="auto"/>
      <w:sz w:val="20"/>
      <w:lang w:val="en-GB"/>
    </w:rPr>
  </w:style>
  <w:style w:type="paragraph" w:customStyle="1" w:styleId="Bordersmall">
    <w:name w:val="Border: small"/>
    <w:basedOn w:val="Normal"/>
    <w:qFormat/>
    <w:rsid w:val="00AF544C"/>
    <w:pPr>
      <w:spacing w:after="0" w:line="320" w:lineRule="atLeast"/>
      <w:ind w:left="0" w:right="0" w:firstLine="0"/>
      <w:jc w:val="center"/>
    </w:pPr>
    <w:rPr>
      <w:rFonts w:ascii="Times New Roman" w:eastAsia="Calibri" w:hAnsi="Times New Roman" w:cs="Times New Roman"/>
      <w:b/>
      <w:color w:val="auto"/>
      <w:lang w:val="en-GB" w:eastAsia="en-US"/>
    </w:rPr>
  </w:style>
  <w:style w:type="paragraph" w:customStyle="1" w:styleId="Tablecells">
    <w:name w:val="Table: cells"/>
    <w:qFormat/>
    <w:rsid w:val="00AF544C"/>
    <w:pPr>
      <w:spacing w:before="40" w:after="40" w:line="240" w:lineRule="exact"/>
      <w:ind w:right="113"/>
    </w:pPr>
    <w:rPr>
      <w:rFonts w:ascii="Franklin Gothic Book" w:hAnsi="Franklin Gothic Book"/>
      <w:sz w:val="20"/>
      <w:lang w:val="en-GB"/>
    </w:rPr>
  </w:style>
  <w:style w:type="paragraph" w:customStyle="1" w:styleId="Tableheading">
    <w:name w:val="Table: heading"/>
    <w:basedOn w:val="Tablecells"/>
    <w:next w:val="Tablecells"/>
    <w:qFormat/>
    <w:rsid w:val="00AF544C"/>
    <w:pPr>
      <w:keepNext/>
    </w:pPr>
    <w:rPr>
      <w:b/>
      <w:color w:val="FFFFFF"/>
    </w:rPr>
  </w:style>
  <w:style w:type="table" w:customStyle="1" w:styleId="Tablaconcuadrcula1">
    <w:name w:val="Tabla con cuadrícula1"/>
    <w:basedOn w:val="Tablanormal"/>
    <w:next w:val="Tablaconcuadrcula"/>
    <w:uiPriority w:val="39"/>
    <w:rsid w:val="00AF5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destacada1">
    <w:name w:val="Cita destacada1"/>
    <w:basedOn w:val="Normal"/>
    <w:next w:val="Normal"/>
    <w:uiPriority w:val="30"/>
    <w:qFormat/>
    <w:rsid w:val="00AF544C"/>
    <w:pPr>
      <w:pBdr>
        <w:top w:val="single" w:sz="4" w:space="10" w:color="5B9BD5"/>
        <w:bottom w:val="single" w:sz="4" w:space="10" w:color="5B9BD5"/>
      </w:pBdr>
      <w:spacing w:before="360" w:after="360" w:line="259" w:lineRule="auto"/>
      <w:ind w:left="864" w:right="864" w:firstLine="0"/>
      <w:jc w:val="center"/>
    </w:pPr>
    <w:rPr>
      <w:rFonts w:ascii="ITC Avant Garde" w:eastAsia="Calibri" w:hAnsi="ITC Avant Garde" w:cs="Times New Roman"/>
      <w:b/>
      <w:i/>
      <w:iCs/>
      <w:color w:val="5B9BD5"/>
      <w:lang w:eastAsia="en-US"/>
    </w:rPr>
  </w:style>
  <w:style w:type="character" w:customStyle="1" w:styleId="CitadestacadaCar">
    <w:name w:val="Cita destacada Car"/>
    <w:basedOn w:val="Fuentedeprrafopredeter"/>
    <w:link w:val="Citadestacada"/>
    <w:uiPriority w:val="30"/>
    <w:rsid w:val="00AF544C"/>
    <w:rPr>
      <w:rFonts w:ascii="ITC Avant Garde" w:hAnsi="ITC Avant Garde"/>
      <w:b/>
      <w:i/>
      <w:iCs/>
      <w:color w:val="5B9BD5"/>
    </w:rPr>
  </w:style>
  <w:style w:type="paragraph" w:customStyle="1" w:styleId="respuestaCP">
    <w:name w:val="respuesta CP"/>
    <w:basedOn w:val="Normal"/>
    <w:link w:val="respuestaCPCar"/>
    <w:qFormat/>
    <w:rsid w:val="00AF544C"/>
    <w:pPr>
      <w:spacing w:after="160" w:line="259" w:lineRule="auto"/>
      <w:ind w:left="0" w:right="0" w:firstLine="0"/>
    </w:pPr>
    <w:rPr>
      <w:rFonts w:ascii="ITC Avant Garde" w:eastAsia="Calibri" w:hAnsi="ITC Avant Garde" w:cs="Times New Roman"/>
      <w:color w:val="5B9BD5"/>
      <w:lang w:val="es-ES" w:eastAsia="en-US"/>
    </w:rPr>
  </w:style>
  <w:style w:type="character" w:customStyle="1" w:styleId="respuestaCPCar">
    <w:name w:val="respuesta CP Car"/>
    <w:basedOn w:val="CitadestacadaCar"/>
    <w:link w:val="respuestaCP"/>
    <w:rsid w:val="00AF544C"/>
    <w:rPr>
      <w:rFonts w:ascii="ITC Avant Garde" w:eastAsia="Calibri" w:hAnsi="ITC Avant Garde" w:cs="Times New Roman"/>
      <w:b w:val="0"/>
      <w:i w:val="0"/>
      <w:iCs w:val="0"/>
      <w:color w:val="5B9BD5"/>
      <w:lang w:val="es-ES"/>
    </w:rPr>
  </w:style>
  <w:style w:type="character" w:styleId="Mencinsinresolver">
    <w:name w:val="Unresolved Mention"/>
    <w:basedOn w:val="Fuentedeprrafopredeter"/>
    <w:uiPriority w:val="99"/>
    <w:semiHidden/>
    <w:unhideWhenUsed/>
    <w:rsid w:val="00AF544C"/>
    <w:rPr>
      <w:color w:val="605E5C"/>
      <w:shd w:val="clear" w:color="auto" w:fill="E1DFDD"/>
    </w:rPr>
  </w:style>
  <w:style w:type="table" w:styleId="Sombreadomedio2-nfasis1">
    <w:name w:val="Medium Shading 2 Accent 1"/>
    <w:basedOn w:val="Tablanormal"/>
    <w:uiPriority w:val="64"/>
    <w:unhideWhenUsed/>
    <w:rsid w:val="00AF544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itadestacada">
    <w:name w:val="Intense Quote"/>
    <w:basedOn w:val="Normal"/>
    <w:next w:val="Normal"/>
    <w:link w:val="CitadestacadaCar"/>
    <w:uiPriority w:val="30"/>
    <w:qFormat/>
    <w:rsid w:val="00AF544C"/>
    <w:pPr>
      <w:pBdr>
        <w:top w:val="single" w:sz="4" w:space="10" w:color="5B9BD5" w:themeColor="accent1"/>
        <w:bottom w:val="single" w:sz="4" w:space="10" w:color="5B9BD5" w:themeColor="accent1"/>
      </w:pBdr>
      <w:spacing w:before="360" w:after="360"/>
      <w:ind w:left="864" w:right="864"/>
      <w:jc w:val="center"/>
    </w:pPr>
    <w:rPr>
      <w:rFonts w:ascii="ITC Avant Garde" w:eastAsiaTheme="minorHAnsi" w:hAnsi="ITC Avant Garde" w:cstheme="minorBidi"/>
      <w:b/>
      <w:i/>
      <w:iCs/>
      <w:color w:val="5B9BD5"/>
      <w:lang w:eastAsia="en-US"/>
    </w:rPr>
  </w:style>
  <w:style w:type="character" w:customStyle="1" w:styleId="CitadestacadaCar1">
    <w:name w:val="Cita destacada Car1"/>
    <w:basedOn w:val="Fuentedeprrafopredeter"/>
    <w:uiPriority w:val="30"/>
    <w:rsid w:val="00AF544C"/>
    <w:rPr>
      <w:rFonts w:ascii="Avant Garde" w:eastAsia="Avant Garde" w:hAnsi="Avant Garde" w:cs="Avant Garde"/>
      <w:i/>
      <w:iCs/>
      <w:color w:val="5B9BD5" w:themeColor="accent1"/>
      <w:lang w:eastAsia="es-MX"/>
    </w:rPr>
  </w:style>
  <w:style w:type="character" w:styleId="Hipervnculovisitado">
    <w:name w:val="FollowedHyperlink"/>
    <w:basedOn w:val="Fuentedeprrafopredeter"/>
    <w:uiPriority w:val="99"/>
    <w:semiHidden/>
    <w:unhideWhenUsed/>
    <w:rsid w:val="003E5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02620">
      <w:bodyDiv w:val="1"/>
      <w:marLeft w:val="0"/>
      <w:marRight w:val="0"/>
      <w:marTop w:val="0"/>
      <w:marBottom w:val="0"/>
      <w:divBdr>
        <w:top w:val="none" w:sz="0" w:space="0" w:color="auto"/>
        <w:left w:val="none" w:sz="0" w:space="0" w:color="auto"/>
        <w:bottom w:val="none" w:sz="0" w:space="0" w:color="auto"/>
        <w:right w:val="none" w:sz="0" w:space="0" w:color="auto"/>
      </w:divBdr>
      <w:divsChild>
        <w:div w:id="1835488445">
          <w:marLeft w:val="0"/>
          <w:marRight w:val="0"/>
          <w:marTop w:val="0"/>
          <w:marBottom w:val="0"/>
          <w:divBdr>
            <w:top w:val="none" w:sz="0" w:space="0" w:color="auto"/>
            <w:left w:val="none" w:sz="0" w:space="0" w:color="auto"/>
            <w:bottom w:val="none" w:sz="0" w:space="0" w:color="auto"/>
            <w:right w:val="none" w:sz="0" w:space="0" w:color="auto"/>
          </w:divBdr>
          <w:divsChild>
            <w:div w:id="1793866252">
              <w:marLeft w:val="0"/>
              <w:marRight w:val="0"/>
              <w:marTop w:val="0"/>
              <w:marBottom w:val="0"/>
              <w:divBdr>
                <w:top w:val="none" w:sz="0" w:space="0" w:color="auto"/>
                <w:left w:val="none" w:sz="0" w:space="0" w:color="auto"/>
                <w:bottom w:val="none" w:sz="0" w:space="0" w:color="auto"/>
                <w:right w:val="none" w:sz="0" w:space="0" w:color="auto"/>
              </w:divBdr>
              <w:divsChild>
                <w:div w:id="98523359">
                  <w:marLeft w:val="0"/>
                  <w:marRight w:val="0"/>
                  <w:marTop w:val="0"/>
                  <w:marBottom w:val="0"/>
                  <w:divBdr>
                    <w:top w:val="none" w:sz="0" w:space="0" w:color="auto"/>
                    <w:left w:val="none" w:sz="0" w:space="0" w:color="auto"/>
                    <w:bottom w:val="none" w:sz="0" w:space="0" w:color="auto"/>
                    <w:right w:val="none" w:sz="0" w:space="0" w:color="auto"/>
                  </w:divBdr>
                </w:div>
                <w:div w:id="20042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6066">
      <w:bodyDiv w:val="1"/>
      <w:marLeft w:val="0"/>
      <w:marRight w:val="0"/>
      <w:marTop w:val="0"/>
      <w:marBottom w:val="0"/>
      <w:divBdr>
        <w:top w:val="none" w:sz="0" w:space="0" w:color="auto"/>
        <w:left w:val="none" w:sz="0" w:space="0" w:color="auto"/>
        <w:bottom w:val="none" w:sz="0" w:space="0" w:color="auto"/>
        <w:right w:val="none" w:sz="0" w:space="0" w:color="auto"/>
      </w:divBdr>
      <w:divsChild>
        <w:div w:id="1775588385">
          <w:marLeft w:val="0"/>
          <w:marRight w:val="0"/>
          <w:marTop w:val="0"/>
          <w:marBottom w:val="0"/>
          <w:divBdr>
            <w:top w:val="none" w:sz="0" w:space="0" w:color="auto"/>
            <w:left w:val="none" w:sz="0" w:space="0" w:color="auto"/>
            <w:bottom w:val="none" w:sz="0" w:space="0" w:color="auto"/>
            <w:right w:val="none" w:sz="0" w:space="0" w:color="auto"/>
          </w:divBdr>
          <w:divsChild>
            <w:div w:id="1775829578">
              <w:marLeft w:val="0"/>
              <w:marRight w:val="0"/>
              <w:marTop w:val="0"/>
              <w:marBottom w:val="0"/>
              <w:divBdr>
                <w:top w:val="none" w:sz="0" w:space="0" w:color="auto"/>
                <w:left w:val="none" w:sz="0" w:space="0" w:color="auto"/>
                <w:bottom w:val="none" w:sz="0" w:space="0" w:color="auto"/>
                <w:right w:val="none" w:sz="0" w:space="0" w:color="auto"/>
              </w:divBdr>
              <w:divsChild>
                <w:div w:id="349599588">
                  <w:marLeft w:val="0"/>
                  <w:marRight w:val="0"/>
                  <w:marTop w:val="0"/>
                  <w:marBottom w:val="0"/>
                  <w:divBdr>
                    <w:top w:val="none" w:sz="0" w:space="0" w:color="auto"/>
                    <w:left w:val="none" w:sz="0" w:space="0" w:color="auto"/>
                    <w:bottom w:val="none" w:sz="0" w:space="0" w:color="auto"/>
                    <w:right w:val="none" w:sz="0" w:space="0" w:color="auto"/>
                  </w:divBdr>
                  <w:divsChild>
                    <w:div w:id="15513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19663">
      <w:bodyDiv w:val="1"/>
      <w:marLeft w:val="0"/>
      <w:marRight w:val="0"/>
      <w:marTop w:val="0"/>
      <w:marBottom w:val="0"/>
      <w:divBdr>
        <w:top w:val="none" w:sz="0" w:space="0" w:color="auto"/>
        <w:left w:val="none" w:sz="0" w:space="0" w:color="auto"/>
        <w:bottom w:val="none" w:sz="0" w:space="0" w:color="auto"/>
        <w:right w:val="none" w:sz="0" w:space="0" w:color="auto"/>
      </w:divBdr>
    </w:div>
    <w:div w:id="335229364">
      <w:bodyDiv w:val="1"/>
      <w:marLeft w:val="0"/>
      <w:marRight w:val="0"/>
      <w:marTop w:val="0"/>
      <w:marBottom w:val="0"/>
      <w:divBdr>
        <w:top w:val="none" w:sz="0" w:space="0" w:color="auto"/>
        <w:left w:val="none" w:sz="0" w:space="0" w:color="auto"/>
        <w:bottom w:val="none" w:sz="0" w:space="0" w:color="auto"/>
        <w:right w:val="none" w:sz="0" w:space="0" w:color="auto"/>
      </w:divBdr>
      <w:divsChild>
        <w:div w:id="1430930737">
          <w:marLeft w:val="0"/>
          <w:marRight w:val="0"/>
          <w:marTop w:val="0"/>
          <w:marBottom w:val="80"/>
          <w:divBdr>
            <w:top w:val="none" w:sz="0" w:space="0" w:color="auto"/>
            <w:left w:val="none" w:sz="0" w:space="0" w:color="auto"/>
            <w:bottom w:val="none" w:sz="0" w:space="0" w:color="auto"/>
            <w:right w:val="none" w:sz="0" w:space="0" w:color="auto"/>
          </w:divBdr>
        </w:div>
      </w:divsChild>
    </w:div>
    <w:div w:id="363289737">
      <w:bodyDiv w:val="1"/>
      <w:marLeft w:val="0"/>
      <w:marRight w:val="0"/>
      <w:marTop w:val="0"/>
      <w:marBottom w:val="0"/>
      <w:divBdr>
        <w:top w:val="none" w:sz="0" w:space="0" w:color="auto"/>
        <w:left w:val="none" w:sz="0" w:space="0" w:color="auto"/>
        <w:bottom w:val="none" w:sz="0" w:space="0" w:color="auto"/>
        <w:right w:val="none" w:sz="0" w:space="0" w:color="auto"/>
      </w:divBdr>
    </w:div>
    <w:div w:id="372273828">
      <w:bodyDiv w:val="1"/>
      <w:marLeft w:val="0"/>
      <w:marRight w:val="0"/>
      <w:marTop w:val="0"/>
      <w:marBottom w:val="0"/>
      <w:divBdr>
        <w:top w:val="none" w:sz="0" w:space="0" w:color="auto"/>
        <w:left w:val="none" w:sz="0" w:space="0" w:color="auto"/>
        <w:bottom w:val="none" w:sz="0" w:space="0" w:color="auto"/>
        <w:right w:val="none" w:sz="0" w:space="0" w:color="auto"/>
      </w:divBdr>
    </w:div>
    <w:div w:id="534316587">
      <w:bodyDiv w:val="1"/>
      <w:marLeft w:val="0"/>
      <w:marRight w:val="0"/>
      <w:marTop w:val="0"/>
      <w:marBottom w:val="0"/>
      <w:divBdr>
        <w:top w:val="none" w:sz="0" w:space="0" w:color="auto"/>
        <w:left w:val="none" w:sz="0" w:space="0" w:color="auto"/>
        <w:bottom w:val="none" w:sz="0" w:space="0" w:color="auto"/>
        <w:right w:val="none" w:sz="0" w:space="0" w:color="auto"/>
      </w:divBdr>
    </w:div>
    <w:div w:id="626088911">
      <w:bodyDiv w:val="1"/>
      <w:marLeft w:val="0"/>
      <w:marRight w:val="0"/>
      <w:marTop w:val="0"/>
      <w:marBottom w:val="0"/>
      <w:divBdr>
        <w:top w:val="none" w:sz="0" w:space="0" w:color="auto"/>
        <w:left w:val="none" w:sz="0" w:space="0" w:color="auto"/>
        <w:bottom w:val="none" w:sz="0" w:space="0" w:color="auto"/>
        <w:right w:val="none" w:sz="0" w:space="0" w:color="auto"/>
      </w:divBdr>
    </w:div>
    <w:div w:id="826896944">
      <w:bodyDiv w:val="1"/>
      <w:marLeft w:val="0"/>
      <w:marRight w:val="0"/>
      <w:marTop w:val="0"/>
      <w:marBottom w:val="0"/>
      <w:divBdr>
        <w:top w:val="none" w:sz="0" w:space="0" w:color="auto"/>
        <w:left w:val="none" w:sz="0" w:space="0" w:color="auto"/>
        <w:bottom w:val="none" w:sz="0" w:space="0" w:color="auto"/>
        <w:right w:val="none" w:sz="0" w:space="0" w:color="auto"/>
      </w:divBdr>
    </w:div>
    <w:div w:id="850337615">
      <w:bodyDiv w:val="1"/>
      <w:marLeft w:val="0"/>
      <w:marRight w:val="0"/>
      <w:marTop w:val="0"/>
      <w:marBottom w:val="0"/>
      <w:divBdr>
        <w:top w:val="none" w:sz="0" w:space="0" w:color="auto"/>
        <w:left w:val="none" w:sz="0" w:space="0" w:color="auto"/>
        <w:bottom w:val="none" w:sz="0" w:space="0" w:color="auto"/>
        <w:right w:val="none" w:sz="0" w:space="0" w:color="auto"/>
      </w:divBdr>
    </w:div>
    <w:div w:id="886645315">
      <w:bodyDiv w:val="1"/>
      <w:marLeft w:val="0"/>
      <w:marRight w:val="0"/>
      <w:marTop w:val="0"/>
      <w:marBottom w:val="0"/>
      <w:divBdr>
        <w:top w:val="none" w:sz="0" w:space="0" w:color="auto"/>
        <w:left w:val="none" w:sz="0" w:space="0" w:color="auto"/>
        <w:bottom w:val="none" w:sz="0" w:space="0" w:color="auto"/>
        <w:right w:val="none" w:sz="0" w:space="0" w:color="auto"/>
      </w:divBdr>
    </w:div>
    <w:div w:id="1031417010">
      <w:bodyDiv w:val="1"/>
      <w:marLeft w:val="0"/>
      <w:marRight w:val="0"/>
      <w:marTop w:val="0"/>
      <w:marBottom w:val="0"/>
      <w:divBdr>
        <w:top w:val="none" w:sz="0" w:space="0" w:color="auto"/>
        <w:left w:val="none" w:sz="0" w:space="0" w:color="auto"/>
        <w:bottom w:val="none" w:sz="0" w:space="0" w:color="auto"/>
        <w:right w:val="none" w:sz="0" w:space="0" w:color="auto"/>
      </w:divBdr>
    </w:div>
    <w:div w:id="1117916281">
      <w:bodyDiv w:val="1"/>
      <w:marLeft w:val="0"/>
      <w:marRight w:val="0"/>
      <w:marTop w:val="0"/>
      <w:marBottom w:val="0"/>
      <w:divBdr>
        <w:top w:val="none" w:sz="0" w:space="0" w:color="auto"/>
        <w:left w:val="none" w:sz="0" w:space="0" w:color="auto"/>
        <w:bottom w:val="none" w:sz="0" w:space="0" w:color="auto"/>
        <w:right w:val="none" w:sz="0" w:space="0" w:color="auto"/>
      </w:divBdr>
    </w:div>
    <w:div w:id="1141657970">
      <w:bodyDiv w:val="1"/>
      <w:marLeft w:val="0"/>
      <w:marRight w:val="0"/>
      <w:marTop w:val="0"/>
      <w:marBottom w:val="0"/>
      <w:divBdr>
        <w:top w:val="none" w:sz="0" w:space="0" w:color="auto"/>
        <w:left w:val="none" w:sz="0" w:space="0" w:color="auto"/>
        <w:bottom w:val="none" w:sz="0" w:space="0" w:color="auto"/>
        <w:right w:val="none" w:sz="0" w:space="0" w:color="auto"/>
      </w:divBdr>
    </w:div>
    <w:div w:id="1307395197">
      <w:bodyDiv w:val="1"/>
      <w:marLeft w:val="0"/>
      <w:marRight w:val="0"/>
      <w:marTop w:val="0"/>
      <w:marBottom w:val="0"/>
      <w:divBdr>
        <w:top w:val="none" w:sz="0" w:space="0" w:color="auto"/>
        <w:left w:val="none" w:sz="0" w:space="0" w:color="auto"/>
        <w:bottom w:val="none" w:sz="0" w:space="0" w:color="auto"/>
        <w:right w:val="none" w:sz="0" w:space="0" w:color="auto"/>
      </w:divBdr>
    </w:div>
    <w:div w:id="1422524420">
      <w:bodyDiv w:val="1"/>
      <w:marLeft w:val="0"/>
      <w:marRight w:val="0"/>
      <w:marTop w:val="0"/>
      <w:marBottom w:val="0"/>
      <w:divBdr>
        <w:top w:val="none" w:sz="0" w:space="0" w:color="auto"/>
        <w:left w:val="none" w:sz="0" w:space="0" w:color="auto"/>
        <w:bottom w:val="none" w:sz="0" w:space="0" w:color="auto"/>
        <w:right w:val="none" w:sz="0" w:space="0" w:color="auto"/>
      </w:divBdr>
    </w:div>
    <w:div w:id="1469124441">
      <w:bodyDiv w:val="1"/>
      <w:marLeft w:val="0"/>
      <w:marRight w:val="0"/>
      <w:marTop w:val="0"/>
      <w:marBottom w:val="0"/>
      <w:divBdr>
        <w:top w:val="none" w:sz="0" w:space="0" w:color="auto"/>
        <w:left w:val="none" w:sz="0" w:space="0" w:color="auto"/>
        <w:bottom w:val="none" w:sz="0" w:space="0" w:color="auto"/>
        <w:right w:val="none" w:sz="0" w:space="0" w:color="auto"/>
      </w:divBdr>
    </w:div>
    <w:div w:id="1545871144">
      <w:bodyDiv w:val="1"/>
      <w:marLeft w:val="0"/>
      <w:marRight w:val="0"/>
      <w:marTop w:val="0"/>
      <w:marBottom w:val="0"/>
      <w:divBdr>
        <w:top w:val="none" w:sz="0" w:space="0" w:color="auto"/>
        <w:left w:val="none" w:sz="0" w:space="0" w:color="auto"/>
        <w:bottom w:val="none" w:sz="0" w:space="0" w:color="auto"/>
        <w:right w:val="none" w:sz="0" w:space="0" w:color="auto"/>
      </w:divBdr>
    </w:div>
    <w:div w:id="1696612801">
      <w:bodyDiv w:val="1"/>
      <w:marLeft w:val="0"/>
      <w:marRight w:val="0"/>
      <w:marTop w:val="0"/>
      <w:marBottom w:val="0"/>
      <w:divBdr>
        <w:top w:val="none" w:sz="0" w:space="0" w:color="auto"/>
        <w:left w:val="none" w:sz="0" w:space="0" w:color="auto"/>
        <w:bottom w:val="none" w:sz="0" w:space="0" w:color="auto"/>
        <w:right w:val="none" w:sz="0" w:space="0" w:color="auto"/>
      </w:divBdr>
      <w:divsChild>
        <w:div w:id="256257503">
          <w:marLeft w:val="0"/>
          <w:marRight w:val="0"/>
          <w:marTop w:val="0"/>
          <w:marBottom w:val="82"/>
          <w:divBdr>
            <w:top w:val="none" w:sz="0" w:space="0" w:color="auto"/>
            <w:left w:val="none" w:sz="0" w:space="0" w:color="auto"/>
            <w:bottom w:val="none" w:sz="0" w:space="0" w:color="auto"/>
            <w:right w:val="none" w:sz="0" w:space="0" w:color="auto"/>
          </w:divBdr>
        </w:div>
        <w:div w:id="1215240754">
          <w:marLeft w:val="0"/>
          <w:marRight w:val="0"/>
          <w:marTop w:val="0"/>
          <w:marBottom w:val="82"/>
          <w:divBdr>
            <w:top w:val="none" w:sz="0" w:space="0" w:color="auto"/>
            <w:left w:val="none" w:sz="0" w:space="0" w:color="auto"/>
            <w:bottom w:val="none" w:sz="0" w:space="0" w:color="auto"/>
            <w:right w:val="none" w:sz="0" w:space="0" w:color="auto"/>
          </w:divBdr>
        </w:div>
        <w:div w:id="1759867614">
          <w:marLeft w:val="0"/>
          <w:marRight w:val="0"/>
          <w:marTop w:val="0"/>
          <w:marBottom w:val="82"/>
          <w:divBdr>
            <w:top w:val="none" w:sz="0" w:space="0" w:color="auto"/>
            <w:left w:val="none" w:sz="0" w:space="0" w:color="auto"/>
            <w:bottom w:val="none" w:sz="0" w:space="0" w:color="auto"/>
            <w:right w:val="none" w:sz="0" w:space="0" w:color="auto"/>
          </w:divBdr>
        </w:div>
      </w:divsChild>
    </w:div>
    <w:div w:id="1733262486">
      <w:bodyDiv w:val="1"/>
      <w:marLeft w:val="0"/>
      <w:marRight w:val="0"/>
      <w:marTop w:val="0"/>
      <w:marBottom w:val="0"/>
      <w:divBdr>
        <w:top w:val="none" w:sz="0" w:space="0" w:color="auto"/>
        <w:left w:val="none" w:sz="0" w:space="0" w:color="auto"/>
        <w:bottom w:val="none" w:sz="0" w:space="0" w:color="auto"/>
        <w:right w:val="none" w:sz="0" w:space="0" w:color="auto"/>
      </w:divBdr>
      <w:divsChild>
        <w:div w:id="1765027035">
          <w:marLeft w:val="0"/>
          <w:marRight w:val="0"/>
          <w:marTop w:val="0"/>
          <w:marBottom w:val="0"/>
          <w:divBdr>
            <w:top w:val="none" w:sz="0" w:space="0" w:color="auto"/>
            <w:left w:val="none" w:sz="0" w:space="0" w:color="auto"/>
            <w:bottom w:val="none" w:sz="0" w:space="0" w:color="auto"/>
            <w:right w:val="single" w:sz="6" w:space="11" w:color="CACACF"/>
          </w:divBdr>
        </w:div>
      </w:divsChild>
    </w:div>
    <w:div w:id="1988583847">
      <w:bodyDiv w:val="1"/>
      <w:marLeft w:val="0"/>
      <w:marRight w:val="0"/>
      <w:marTop w:val="0"/>
      <w:marBottom w:val="0"/>
      <w:divBdr>
        <w:top w:val="none" w:sz="0" w:space="0" w:color="auto"/>
        <w:left w:val="none" w:sz="0" w:space="0" w:color="auto"/>
        <w:bottom w:val="none" w:sz="0" w:space="0" w:color="auto"/>
        <w:right w:val="none" w:sz="0" w:space="0" w:color="auto"/>
      </w:divBdr>
    </w:div>
    <w:div w:id="1999264124">
      <w:bodyDiv w:val="1"/>
      <w:marLeft w:val="0"/>
      <w:marRight w:val="0"/>
      <w:marTop w:val="0"/>
      <w:marBottom w:val="0"/>
      <w:divBdr>
        <w:top w:val="none" w:sz="0" w:space="0" w:color="auto"/>
        <w:left w:val="none" w:sz="0" w:space="0" w:color="auto"/>
        <w:bottom w:val="none" w:sz="0" w:space="0" w:color="auto"/>
        <w:right w:val="none" w:sz="0" w:space="0" w:color="auto"/>
      </w:divBdr>
    </w:div>
    <w:div w:id="21438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delo.costos@ift.org.mx" TargetMode="External"/><Relationship Id="rId13" Type="http://schemas.openxmlformats.org/officeDocument/2006/relationships/image" Target="media/image5.wmf"/><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s>
</file>

<file path=word/_rels/footnotes.xml.rels><?xml version="1.0" encoding="UTF-8" standalone="yes"?>
<Relationships xmlns="http://schemas.openxmlformats.org/package/2006/relationships"><Relationship Id="rId1" Type="http://schemas.openxmlformats.org/officeDocument/2006/relationships/hyperlink" Target="https://crcom.gov.co/system/files/Proyectos%20Comentarios/2000-38-3-2/Propuestas/anexo_01_wacc.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0D022-2AE2-4AB2-B6EF-58F98E118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18917</Words>
  <Characters>104049</Characters>
  <Application>Microsoft Office Word</Application>
  <DocSecurity>0</DocSecurity>
  <Lines>867</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2024-03-01T02:03:00Z</dcterms:created>
  <dcterms:modified xsi:type="dcterms:W3CDTF">2024-03-01T02:04:00Z</dcterms:modified>
</cp:coreProperties>
</file>