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57AFF" w14:textId="1A7B9733" w:rsidR="001B163B" w:rsidRPr="001B163B" w:rsidRDefault="00FF2857" w:rsidP="00023C16">
      <w:pPr>
        <w:keepNext/>
        <w:keepLines/>
        <w:spacing w:after="0"/>
        <w:jc w:val="both"/>
        <w:outlineLvl w:val="0"/>
        <w:rPr>
          <w:rFonts w:ascii="Arial" w:eastAsia="Times New Roman" w:hAnsi="Arial" w:cs="Arial"/>
          <w:b/>
          <w:bCs/>
          <w:color w:val="000000"/>
          <w:sz w:val="26"/>
          <w:szCs w:val="26"/>
          <w:lang w:eastAsia="es-MX"/>
        </w:rPr>
      </w:pPr>
      <w:r>
        <w:rPr>
          <w:rFonts w:ascii="Arial" w:eastAsia="Times New Roman" w:hAnsi="Arial" w:cs="Arial"/>
          <w:b/>
          <w:bCs/>
          <w:sz w:val="26"/>
          <w:szCs w:val="26"/>
          <w:lang w:eastAsia="es-MX"/>
        </w:rPr>
        <w:t xml:space="preserve">Anexo Único del </w:t>
      </w:r>
      <w:r w:rsidR="001B163B" w:rsidRPr="001B163B">
        <w:rPr>
          <w:rFonts w:ascii="Arial" w:eastAsia="Times New Roman" w:hAnsi="Arial" w:cs="Arial"/>
          <w:b/>
          <w:bCs/>
          <w:sz w:val="26"/>
          <w:szCs w:val="26"/>
          <w:lang w:eastAsia="es-MX"/>
        </w:rPr>
        <w:t xml:space="preserve">Acuerdo mediante </w:t>
      </w:r>
      <w:r w:rsidR="00327E55">
        <w:rPr>
          <w:rFonts w:ascii="Arial" w:eastAsia="Times New Roman" w:hAnsi="Arial" w:cs="Arial"/>
          <w:b/>
          <w:bCs/>
          <w:sz w:val="26"/>
          <w:szCs w:val="26"/>
          <w:lang w:eastAsia="es-MX"/>
        </w:rPr>
        <w:t>el</w:t>
      </w:r>
      <w:r w:rsidR="001B163B" w:rsidRPr="001B163B">
        <w:rPr>
          <w:rFonts w:ascii="Arial" w:eastAsia="Times New Roman" w:hAnsi="Arial" w:cs="Arial"/>
          <w:b/>
          <w:bCs/>
          <w:sz w:val="26"/>
          <w:szCs w:val="26"/>
          <w:lang w:eastAsia="es-MX"/>
        </w:rPr>
        <w:t xml:space="preserve"> cual el Pleno del </w:t>
      </w:r>
      <w:bookmarkStart w:id="0" w:name="_GoBack"/>
      <w:bookmarkEnd w:id="0"/>
      <w:r w:rsidR="001B163B" w:rsidRPr="001B163B">
        <w:rPr>
          <w:rFonts w:ascii="Arial" w:eastAsia="Times New Roman" w:hAnsi="Arial" w:cs="Arial"/>
          <w:b/>
          <w:bCs/>
          <w:sz w:val="26"/>
          <w:szCs w:val="26"/>
          <w:lang w:eastAsia="es-MX"/>
        </w:rPr>
        <w:t xml:space="preserve">Instituto Federal de Telecomunicaciones </w:t>
      </w:r>
      <w:r w:rsidR="001B158C" w:rsidRPr="001B158C">
        <w:rPr>
          <w:rFonts w:ascii="Arial" w:eastAsia="Times New Roman" w:hAnsi="Arial" w:cs="Arial"/>
          <w:b/>
          <w:bCs/>
          <w:sz w:val="26"/>
          <w:szCs w:val="26"/>
          <w:lang w:eastAsia="es-MX"/>
        </w:rPr>
        <w:t xml:space="preserve">determina someter a </w:t>
      </w:r>
      <w:r w:rsidR="001B158C">
        <w:rPr>
          <w:rFonts w:ascii="Arial" w:eastAsia="Times New Roman" w:hAnsi="Arial" w:cs="Arial"/>
          <w:b/>
          <w:bCs/>
          <w:sz w:val="26"/>
          <w:szCs w:val="26"/>
          <w:lang w:eastAsia="es-MX"/>
        </w:rPr>
        <w:t>C</w:t>
      </w:r>
      <w:r w:rsidR="001B158C" w:rsidRPr="001B158C">
        <w:rPr>
          <w:rFonts w:ascii="Arial" w:eastAsia="Times New Roman" w:hAnsi="Arial" w:cs="Arial"/>
          <w:b/>
          <w:bCs/>
          <w:sz w:val="26"/>
          <w:szCs w:val="26"/>
          <w:lang w:eastAsia="es-MX"/>
        </w:rPr>
        <w:t xml:space="preserve">onsulta </w:t>
      </w:r>
      <w:r w:rsidR="001B158C">
        <w:rPr>
          <w:rFonts w:ascii="Arial" w:eastAsia="Times New Roman" w:hAnsi="Arial" w:cs="Arial"/>
          <w:b/>
          <w:bCs/>
          <w:sz w:val="26"/>
          <w:szCs w:val="26"/>
          <w:lang w:eastAsia="es-MX"/>
        </w:rPr>
        <w:t>P</w:t>
      </w:r>
      <w:r w:rsidR="001B158C" w:rsidRPr="001B158C">
        <w:rPr>
          <w:rFonts w:ascii="Arial" w:eastAsia="Times New Roman" w:hAnsi="Arial" w:cs="Arial"/>
          <w:b/>
          <w:bCs/>
          <w:sz w:val="26"/>
          <w:szCs w:val="26"/>
          <w:lang w:eastAsia="es-MX"/>
        </w:rPr>
        <w:t>ública el “</w:t>
      </w:r>
      <w:r w:rsidR="001B158C">
        <w:rPr>
          <w:rFonts w:ascii="Arial" w:eastAsia="Times New Roman" w:hAnsi="Arial" w:cs="Arial"/>
          <w:b/>
          <w:bCs/>
          <w:sz w:val="26"/>
          <w:szCs w:val="26"/>
          <w:lang w:eastAsia="es-MX"/>
        </w:rPr>
        <w:t>A</w:t>
      </w:r>
      <w:r w:rsidR="001B158C" w:rsidRPr="001B158C">
        <w:rPr>
          <w:rFonts w:ascii="Arial" w:eastAsia="Times New Roman" w:hAnsi="Arial" w:cs="Arial"/>
          <w:b/>
          <w:bCs/>
          <w:sz w:val="26"/>
          <w:szCs w:val="26"/>
          <w:lang w:eastAsia="es-MX"/>
        </w:rPr>
        <w:t xml:space="preserve">nteproyecto de </w:t>
      </w:r>
      <w:r w:rsidR="001B158C">
        <w:rPr>
          <w:rFonts w:ascii="Arial" w:eastAsia="Times New Roman" w:hAnsi="Arial" w:cs="Arial"/>
          <w:b/>
          <w:bCs/>
          <w:sz w:val="26"/>
          <w:szCs w:val="26"/>
          <w:lang w:eastAsia="es-MX"/>
        </w:rPr>
        <w:t>A</w:t>
      </w:r>
      <w:r w:rsidR="001B158C" w:rsidRPr="001B158C">
        <w:rPr>
          <w:rFonts w:ascii="Arial" w:eastAsia="Times New Roman" w:hAnsi="Arial" w:cs="Arial"/>
          <w:b/>
          <w:bCs/>
          <w:sz w:val="26"/>
          <w:szCs w:val="26"/>
          <w:lang w:eastAsia="es-MX"/>
        </w:rPr>
        <w:t xml:space="preserve">cuerdo mediante el cual el </w:t>
      </w:r>
      <w:r w:rsidR="001B158C">
        <w:rPr>
          <w:rFonts w:ascii="Arial" w:eastAsia="Times New Roman" w:hAnsi="Arial" w:cs="Arial"/>
          <w:b/>
          <w:bCs/>
          <w:sz w:val="26"/>
          <w:szCs w:val="26"/>
          <w:lang w:eastAsia="es-MX"/>
        </w:rPr>
        <w:t>P</w:t>
      </w:r>
      <w:r w:rsidR="001B158C" w:rsidRPr="001B158C">
        <w:rPr>
          <w:rFonts w:ascii="Arial" w:eastAsia="Times New Roman" w:hAnsi="Arial" w:cs="Arial"/>
          <w:b/>
          <w:bCs/>
          <w:sz w:val="26"/>
          <w:szCs w:val="26"/>
          <w:lang w:eastAsia="es-MX"/>
        </w:rPr>
        <w:t xml:space="preserve">leno del </w:t>
      </w:r>
      <w:r w:rsidR="001B158C">
        <w:rPr>
          <w:rFonts w:ascii="Arial" w:eastAsia="Times New Roman" w:hAnsi="Arial" w:cs="Arial"/>
          <w:b/>
          <w:bCs/>
          <w:sz w:val="26"/>
          <w:szCs w:val="26"/>
          <w:lang w:eastAsia="es-MX"/>
        </w:rPr>
        <w:t>I</w:t>
      </w:r>
      <w:r w:rsidR="001B158C" w:rsidRPr="001B158C">
        <w:rPr>
          <w:rFonts w:ascii="Arial" w:eastAsia="Times New Roman" w:hAnsi="Arial" w:cs="Arial"/>
          <w:b/>
          <w:bCs/>
          <w:sz w:val="26"/>
          <w:szCs w:val="26"/>
          <w:lang w:eastAsia="es-MX"/>
        </w:rPr>
        <w:t xml:space="preserve">nstituto </w:t>
      </w:r>
      <w:r w:rsidR="001B158C">
        <w:rPr>
          <w:rFonts w:ascii="Arial" w:eastAsia="Times New Roman" w:hAnsi="Arial" w:cs="Arial"/>
          <w:b/>
          <w:bCs/>
          <w:sz w:val="26"/>
          <w:szCs w:val="26"/>
          <w:lang w:eastAsia="es-MX"/>
        </w:rPr>
        <w:t>F</w:t>
      </w:r>
      <w:r w:rsidR="001B158C" w:rsidRPr="001B158C">
        <w:rPr>
          <w:rFonts w:ascii="Arial" w:eastAsia="Times New Roman" w:hAnsi="Arial" w:cs="Arial"/>
          <w:b/>
          <w:bCs/>
          <w:sz w:val="26"/>
          <w:szCs w:val="26"/>
          <w:lang w:eastAsia="es-MX"/>
        </w:rPr>
        <w:t xml:space="preserve">ederal de </w:t>
      </w:r>
      <w:r w:rsidR="001B158C">
        <w:rPr>
          <w:rFonts w:ascii="Arial" w:eastAsia="Times New Roman" w:hAnsi="Arial" w:cs="Arial"/>
          <w:b/>
          <w:bCs/>
          <w:sz w:val="26"/>
          <w:szCs w:val="26"/>
          <w:lang w:eastAsia="es-MX"/>
        </w:rPr>
        <w:t>T</w:t>
      </w:r>
      <w:r w:rsidR="001B158C" w:rsidRPr="001B158C">
        <w:rPr>
          <w:rFonts w:ascii="Arial" w:eastAsia="Times New Roman" w:hAnsi="Arial" w:cs="Arial"/>
          <w:b/>
          <w:bCs/>
          <w:sz w:val="26"/>
          <w:szCs w:val="26"/>
          <w:lang w:eastAsia="es-MX"/>
        </w:rPr>
        <w:t xml:space="preserve">elecomunicaciones </w:t>
      </w:r>
      <w:r w:rsidR="000D06FC">
        <w:rPr>
          <w:rFonts w:ascii="Arial" w:eastAsia="Times New Roman" w:hAnsi="Arial" w:cs="Arial"/>
          <w:b/>
          <w:bCs/>
          <w:sz w:val="26"/>
          <w:szCs w:val="26"/>
          <w:lang w:eastAsia="es-MX"/>
        </w:rPr>
        <w:t>eliminan</w:t>
      </w:r>
      <w:r w:rsidR="00FA51BF">
        <w:rPr>
          <w:rFonts w:ascii="Arial" w:eastAsia="Times New Roman" w:hAnsi="Arial" w:cs="Arial"/>
          <w:b/>
          <w:bCs/>
          <w:sz w:val="26"/>
          <w:szCs w:val="26"/>
          <w:lang w:eastAsia="es-MX"/>
        </w:rPr>
        <w:t xml:space="preserve"> diversos trámites del Registro de Trámites y Servicios del </w:t>
      </w:r>
      <w:r w:rsidR="00581B86">
        <w:rPr>
          <w:rFonts w:ascii="Arial" w:eastAsia="Times New Roman" w:hAnsi="Arial" w:cs="Arial"/>
          <w:b/>
          <w:bCs/>
          <w:sz w:val="26"/>
          <w:szCs w:val="26"/>
          <w:lang w:eastAsia="es-MX"/>
        </w:rPr>
        <w:t>I</w:t>
      </w:r>
      <w:r w:rsidR="00FA51BF">
        <w:rPr>
          <w:rFonts w:ascii="Arial" w:eastAsia="Times New Roman" w:hAnsi="Arial" w:cs="Arial"/>
          <w:b/>
          <w:bCs/>
          <w:sz w:val="26"/>
          <w:szCs w:val="26"/>
          <w:lang w:eastAsia="es-MX"/>
        </w:rPr>
        <w:t>nstituto Federal de Telecomunicacione</w:t>
      </w:r>
      <w:r w:rsidR="00813162">
        <w:rPr>
          <w:rFonts w:ascii="Arial" w:eastAsia="Times New Roman" w:hAnsi="Arial" w:cs="Arial"/>
          <w:b/>
          <w:bCs/>
          <w:sz w:val="26"/>
          <w:szCs w:val="26"/>
          <w:lang w:eastAsia="es-MX"/>
        </w:rPr>
        <w:t>s; así como</w:t>
      </w:r>
      <w:r w:rsidR="00FA51BF">
        <w:rPr>
          <w:rFonts w:ascii="Arial" w:eastAsia="Times New Roman" w:hAnsi="Arial" w:cs="Arial"/>
          <w:b/>
          <w:bCs/>
          <w:sz w:val="26"/>
          <w:szCs w:val="26"/>
          <w:lang w:eastAsia="es-MX"/>
        </w:rPr>
        <w:t xml:space="preserve"> </w:t>
      </w:r>
      <w:r w:rsidR="001B158C" w:rsidRPr="001B158C">
        <w:rPr>
          <w:rFonts w:ascii="Arial" w:eastAsia="Times New Roman" w:hAnsi="Arial" w:cs="Arial"/>
          <w:b/>
          <w:bCs/>
          <w:sz w:val="26"/>
          <w:szCs w:val="26"/>
          <w:lang w:eastAsia="es-MX"/>
        </w:rPr>
        <w:t xml:space="preserve">modifica </w:t>
      </w:r>
      <w:r w:rsidR="00813162">
        <w:rPr>
          <w:rFonts w:ascii="Arial" w:eastAsia="Times New Roman" w:hAnsi="Arial" w:cs="Arial"/>
          <w:b/>
          <w:bCs/>
          <w:sz w:val="26"/>
          <w:szCs w:val="26"/>
          <w:lang w:eastAsia="es-MX"/>
        </w:rPr>
        <w:t xml:space="preserve">y deroga </w:t>
      </w:r>
      <w:r w:rsidR="001B158C" w:rsidRPr="001B158C">
        <w:rPr>
          <w:rFonts w:ascii="Arial" w:eastAsia="Times New Roman" w:hAnsi="Arial" w:cs="Arial"/>
          <w:b/>
          <w:bCs/>
          <w:sz w:val="26"/>
          <w:szCs w:val="26"/>
          <w:lang w:eastAsia="es-MX"/>
        </w:rPr>
        <w:t xml:space="preserve">diversas disposiciones como parte de las acciones de simplificación </w:t>
      </w:r>
      <w:bookmarkStart w:id="1" w:name="_Hlk139467959"/>
      <w:r w:rsidR="001B158C" w:rsidRPr="001B158C">
        <w:rPr>
          <w:rFonts w:ascii="Arial" w:eastAsia="Times New Roman" w:hAnsi="Arial" w:cs="Arial"/>
          <w:b/>
          <w:bCs/>
          <w:sz w:val="26"/>
          <w:szCs w:val="26"/>
          <w:lang w:eastAsia="es-MX"/>
        </w:rPr>
        <w:t>de trámites y servic</w:t>
      </w:r>
      <w:r w:rsidR="001B158C">
        <w:rPr>
          <w:rFonts w:ascii="Arial" w:eastAsia="Times New Roman" w:hAnsi="Arial" w:cs="Arial"/>
          <w:b/>
          <w:bCs/>
          <w:sz w:val="26"/>
          <w:szCs w:val="26"/>
          <w:lang w:eastAsia="es-MX"/>
        </w:rPr>
        <w:t>i</w:t>
      </w:r>
      <w:r w:rsidR="001B158C" w:rsidRPr="001B158C">
        <w:rPr>
          <w:rFonts w:ascii="Arial" w:eastAsia="Times New Roman" w:hAnsi="Arial" w:cs="Arial"/>
          <w:b/>
          <w:bCs/>
          <w:sz w:val="26"/>
          <w:szCs w:val="26"/>
          <w:lang w:eastAsia="es-MX"/>
        </w:rPr>
        <w:t>os a su cargo</w:t>
      </w:r>
      <w:bookmarkEnd w:id="1"/>
      <w:r w:rsidR="001B158C" w:rsidRPr="001B158C">
        <w:rPr>
          <w:rFonts w:ascii="Arial" w:eastAsia="Times New Roman" w:hAnsi="Arial" w:cs="Arial"/>
          <w:b/>
          <w:bCs/>
          <w:sz w:val="26"/>
          <w:szCs w:val="26"/>
          <w:lang w:eastAsia="es-MX"/>
        </w:rPr>
        <w:t>.”</w:t>
      </w:r>
    </w:p>
    <w:p w14:paraId="681C3DE9" w14:textId="77777777" w:rsidR="001B163B" w:rsidRPr="001B163B" w:rsidRDefault="001B163B" w:rsidP="00023C16">
      <w:pPr>
        <w:spacing w:after="0"/>
        <w:jc w:val="center"/>
        <w:rPr>
          <w:rFonts w:ascii="Arial" w:hAnsi="Arial" w:cs="Arial"/>
          <w:b/>
          <w:bCs/>
          <w:color w:val="000000"/>
          <w:lang w:eastAsia="es-MX"/>
        </w:rPr>
      </w:pPr>
    </w:p>
    <w:p w14:paraId="1E7FF31B" w14:textId="77777777" w:rsidR="001B163B" w:rsidRPr="001B163B" w:rsidRDefault="001B163B" w:rsidP="00023C16">
      <w:pPr>
        <w:spacing w:after="0"/>
        <w:jc w:val="center"/>
        <w:rPr>
          <w:rFonts w:ascii="Arial" w:hAnsi="Arial" w:cs="Arial"/>
          <w:b/>
          <w:bCs/>
          <w:color w:val="000000"/>
          <w:lang w:eastAsia="es-MX"/>
        </w:rPr>
      </w:pPr>
    </w:p>
    <w:p w14:paraId="1EDBCE74" w14:textId="77777777" w:rsidR="00C10A72" w:rsidRDefault="00C10A72" w:rsidP="00023C16">
      <w:pPr>
        <w:suppressAutoHyphens/>
        <w:spacing w:before="23" w:after="23"/>
        <w:ind w:right="49"/>
        <w:contextualSpacing/>
        <w:jc w:val="center"/>
        <w:rPr>
          <w:rFonts w:ascii="Arial" w:eastAsia="Times New Roman" w:hAnsi="Arial" w:cs="Arial"/>
          <w:b/>
          <w:kern w:val="1"/>
          <w:lang w:eastAsia="ar-SA"/>
        </w:rPr>
      </w:pPr>
      <w:r w:rsidRPr="00505252">
        <w:rPr>
          <w:rFonts w:ascii="Arial" w:eastAsia="Times New Roman" w:hAnsi="Arial" w:cs="Arial"/>
          <w:b/>
          <w:kern w:val="1"/>
          <w:lang w:eastAsia="ar-SA"/>
        </w:rPr>
        <w:t>Acuerdo</w:t>
      </w:r>
    </w:p>
    <w:p w14:paraId="587E0A90" w14:textId="718C0038" w:rsidR="001B163B" w:rsidRPr="00C10A72" w:rsidRDefault="001B163B" w:rsidP="00023C16">
      <w:pPr>
        <w:suppressAutoHyphens/>
        <w:spacing w:after="0"/>
        <w:ind w:right="49"/>
        <w:jc w:val="both"/>
        <w:rPr>
          <w:rFonts w:ascii="Arial" w:eastAsia="Times New Roman" w:hAnsi="Arial" w:cs="Arial"/>
          <w:bCs/>
          <w:kern w:val="1"/>
          <w:lang w:val="es-MX" w:eastAsia="ar-SA"/>
        </w:rPr>
      </w:pPr>
    </w:p>
    <w:p w14:paraId="5F751D0A" w14:textId="77777777" w:rsidR="00CC1D89" w:rsidRPr="001B163B" w:rsidRDefault="00CC1D89" w:rsidP="00023C16">
      <w:pPr>
        <w:suppressAutoHyphens/>
        <w:spacing w:after="0"/>
        <w:ind w:right="49"/>
        <w:jc w:val="center"/>
        <w:rPr>
          <w:rFonts w:ascii="Arial" w:eastAsia="Times New Roman" w:hAnsi="Arial" w:cs="Arial"/>
          <w:bCs/>
          <w:kern w:val="1"/>
          <w:lang w:eastAsia="ar-SA"/>
        </w:rPr>
      </w:pPr>
    </w:p>
    <w:p w14:paraId="14A25B59" w14:textId="40F865FD" w:rsidR="007549A8" w:rsidRPr="00B524C5" w:rsidRDefault="001B163B" w:rsidP="00023C16">
      <w:pPr>
        <w:spacing w:after="0"/>
        <w:jc w:val="both"/>
        <w:rPr>
          <w:rFonts w:ascii="Arial" w:hAnsi="Arial" w:cs="Arial"/>
        </w:rPr>
      </w:pPr>
      <w:r w:rsidRPr="001B163B">
        <w:rPr>
          <w:rFonts w:ascii="Arial" w:hAnsi="Arial" w:cs="Arial"/>
          <w:b/>
        </w:rPr>
        <w:t>Primero.</w:t>
      </w:r>
      <w:r w:rsidR="00D26636">
        <w:rPr>
          <w:rFonts w:ascii="Arial" w:hAnsi="Arial" w:cs="Arial"/>
          <w:b/>
        </w:rPr>
        <w:t xml:space="preserve"> </w:t>
      </w:r>
      <w:r w:rsidRPr="001B163B">
        <w:rPr>
          <w:rFonts w:ascii="Arial" w:hAnsi="Arial" w:cs="Arial"/>
          <w:b/>
        </w:rPr>
        <w:t xml:space="preserve">- </w:t>
      </w:r>
      <w:r w:rsidR="007549A8">
        <w:rPr>
          <w:rFonts w:ascii="Arial" w:hAnsi="Arial" w:cs="Arial"/>
        </w:rPr>
        <w:t>S</w:t>
      </w:r>
      <w:r w:rsidR="007549A8" w:rsidRPr="00B524C5">
        <w:rPr>
          <w:rFonts w:ascii="Arial" w:hAnsi="Arial" w:cs="Arial"/>
        </w:rPr>
        <w:t xml:space="preserve">e </w:t>
      </w:r>
      <w:r w:rsidR="007549A8" w:rsidRPr="00C34DDD">
        <w:rPr>
          <w:rFonts w:ascii="Arial" w:hAnsi="Arial" w:cs="Arial"/>
          <w:b/>
          <w:bCs/>
        </w:rPr>
        <w:t>MODIFICA</w:t>
      </w:r>
      <w:r w:rsidR="007549A8" w:rsidRPr="00B524C5">
        <w:rPr>
          <w:rFonts w:ascii="Arial" w:hAnsi="Arial" w:cs="Arial"/>
        </w:rPr>
        <w:t xml:space="preserve"> la fracción V del </w:t>
      </w:r>
      <w:r w:rsidR="00C34DDD">
        <w:rPr>
          <w:rFonts w:ascii="Arial" w:hAnsi="Arial" w:cs="Arial"/>
        </w:rPr>
        <w:t xml:space="preserve">lineamiento </w:t>
      </w:r>
      <w:r w:rsidR="007549A8" w:rsidRPr="00B524C5">
        <w:rPr>
          <w:rFonts w:ascii="Arial" w:hAnsi="Arial" w:cs="Arial"/>
        </w:rPr>
        <w:t>Décimo Octavo de los “Lineamientos que fijan los índices y parámetros de calidad a que deberán sujetarse los prestadores del servicio móvil”</w:t>
      </w:r>
      <w:r w:rsidR="00E3439A">
        <w:rPr>
          <w:rFonts w:ascii="Arial" w:hAnsi="Arial" w:cs="Arial"/>
        </w:rPr>
        <w:t>,</w:t>
      </w:r>
      <w:r w:rsidR="007549A8" w:rsidRPr="00B524C5">
        <w:rPr>
          <w:rFonts w:ascii="Arial" w:hAnsi="Arial" w:cs="Arial"/>
        </w:rPr>
        <w:t xml:space="preserve"> publicados en el D</w:t>
      </w:r>
      <w:r w:rsidR="00E8449C">
        <w:rPr>
          <w:rFonts w:ascii="Arial" w:hAnsi="Arial" w:cs="Arial"/>
        </w:rPr>
        <w:t xml:space="preserve">iario </w:t>
      </w:r>
      <w:r w:rsidR="007549A8" w:rsidRPr="00B524C5">
        <w:rPr>
          <w:rFonts w:ascii="Arial" w:hAnsi="Arial" w:cs="Arial"/>
        </w:rPr>
        <w:t>O</w:t>
      </w:r>
      <w:r w:rsidR="00E8449C">
        <w:rPr>
          <w:rFonts w:ascii="Arial" w:hAnsi="Arial" w:cs="Arial"/>
        </w:rPr>
        <w:t xml:space="preserve">ficial de la </w:t>
      </w:r>
      <w:r w:rsidR="007549A8" w:rsidRPr="00B524C5">
        <w:rPr>
          <w:rFonts w:ascii="Arial" w:hAnsi="Arial" w:cs="Arial"/>
        </w:rPr>
        <w:t>F</w:t>
      </w:r>
      <w:r w:rsidR="00E8449C">
        <w:rPr>
          <w:rFonts w:ascii="Arial" w:hAnsi="Arial" w:cs="Arial"/>
        </w:rPr>
        <w:t>ederación (DOF)</w:t>
      </w:r>
      <w:r w:rsidR="007549A8" w:rsidRPr="00B524C5">
        <w:rPr>
          <w:rFonts w:ascii="Arial" w:hAnsi="Arial" w:cs="Arial"/>
        </w:rPr>
        <w:t xml:space="preserve"> el 17 de enero de 2018, para quedar como sigue: </w:t>
      </w:r>
    </w:p>
    <w:p w14:paraId="33972E3D" w14:textId="77777777" w:rsidR="007549A8" w:rsidRPr="00B524C5" w:rsidRDefault="007549A8" w:rsidP="00023C16">
      <w:pPr>
        <w:spacing w:after="0"/>
        <w:jc w:val="both"/>
        <w:rPr>
          <w:rFonts w:ascii="Arial" w:hAnsi="Arial" w:cs="Arial"/>
          <w:b/>
        </w:rPr>
      </w:pPr>
    </w:p>
    <w:p w14:paraId="49D5A9E2" w14:textId="77777777" w:rsidR="007549A8" w:rsidRDefault="007549A8" w:rsidP="00023C16">
      <w:pPr>
        <w:spacing w:after="0"/>
        <w:ind w:left="567" w:right="615"/>
        <w:jc w:val="both"/>
        <w:rPr>
          <w:rFonts w:ascii="Arial" w:hAnsi="Arial" w:cs="Arial"/>
        </w:rPr>
      </w:pPr>
      <w:r w:rsidRPr="00B524C5">
        <w:rPr>
          <w:rFonts w:ascii="Arial" w:hAnsi="Arial" w:cs="Arial"/>
        </w:rPr>
        <w:t>“</w:t>
      </w:r>
      <w:r w:rsidRPr="00B524C5">
        <w:rPr>
          <w:rFonts w:ascii="Arial" w:hAnsi="Arial" w:cs="Arial"/>
          <w:b/>
        </w:rPr>
        <w:t>DÉCIMO OCTAVO</w:t>
      </w:r>
      <w:r w:rsidRPr="00B524C5">
        <w:rPr>
          <w:rFonts w:ascii="Arial" w:hAnsi="Arial" w:cs="Arial"/>
        </w:rPr>
        <w:t>. …</w:t>
      </w:r>
    </w:p>
    <w:p w14:paraId="2B4707EC" w14:textId="77777777" w:rsidR="00FA51BF" w:rsidRPr="00B524C5" w:rsidRDefault="00FA51BF" w:rsidP="00023C16">
      <w:pPr>
        <w:spacing w:after="0"/>
        <w:ind w:left="567" w:right="615"/>
        <w:jc w:val="both"/>
        <w:rPr>
          <w:rFonts w:ascii="Arial" w:hAnsi="Arial" w:cs="Arial"/>
        </w:rPr>
      </w:pPr>
    </w:p>
    <w:p w14:paraId="24E32722" w14:textId="44A3292F" w:rsidR="007549A8" w:rsidRPr="00B524C5" w:rsidRDefault="007549A8" w:rsidP="00023C16">
      <w:pPr>
        <w:spacing w:after="0"/>
        <w:ind w:left="993" w:right="615" w:hanging="284"/>
        <w:jc w:val="both"/>
        <w:rPr>
          <w:rFonts w:ascii="Arial" w:hAnsi="Arial" w:cs="Arial"/>
        </w:rPr>
      </w:pPr>
      <w:r w:rsidRPr="00C34DDD">
        <w:rPr>
          <w:rFonts w:ascii="Arial" w:hAnsi="Arial" w:cs="Arial"/>
          <w:b/>
          <w:bCs/>
        </w:rPr>
        <w:t>I.</w:t>
      </w:r>
      <w:r w:rsidR="0023238C">
        <w:rPr>
          <w:rFonts w:ascii="Arial" w:hAnsi="Arial" w:cs="Arial"/>
          <w:b/>
          <w:bCs/>
        </w:rPr>
        <w:t xml:space="preserve"> </w:t>
      </w:r>
      <w:r w:rsidRPr="00B524C5">
        <w:rPr>
          <w:rFonts w:ascii="Arial" w:hAnsi="Arial" w:cs="Arial"/>
        </w:rPr>
        <w:t xml:space="preserve">a </w:t>
      </w:r>
      <w:r w:rsidRPr="00C34DDD">
        <w:rPr>
          <w:rFonts w:ascii="Arial" w:hAnsi="Arial" w:cs="Arial"/>
          <w:b/>
          <w:bCs/>
        </w:rPr>
        <w:t>IV</w:t>
      </w:r>
      <w:r w:rsidR="00830046" w:rsidRPr="00C34DDD">
        <w:rPr>
          <w:rFonts w:ascii="Arial" w:hAnsi="Arial" w:cs="Arial"/>
          <w:b/>
          <w:bCs/>
        </w:rPr>
        <w:t>.</w:t>
      </w:r>
      <w:r w:rsidR="00830046">
        <w:rPr>
          <w:rFonts w:ascii="Arial" w:hAnsi="Arial" w:cs="Arial"/>
        </w:rPr>
        <w:t xml:space="preserve"> </w:t>
      </w:r>
      <w:r w:rsidRPr="00B524C5">
        <w:rPr>
          <w:rFonts w:ascii="Arial" w:hAnsi="Arial" w:cs="Arial"/>
        </w:rPr>
        <w:t>…</w:t>
      </w:r>
    </w:p>
    <w:p w14:paraId="19044EAB" w14:textId="77777777" w:rsidR="00FA51BF" w:rsidRDefault="00FA51BF" w:rsidP="00023C16">
      <w:pPr>
        <w:spacing w:after="0"/>
        <w:ind w:left="993" w:right="615" w:hanging="284"/>
        <w:jc w:val="both"/>
        <w:rPr>
          <w:rFonts w:ascii="Arial" w:hAnsi="Arial" w:cs="Arial"/>
          <w:b/>
          <w:bCs/>
        </w:rPr>
      </w:pPr>
    </w:p>
    <w:p w14:paraId="396109A3" w14:textId="495D3D45" w:rsidR="007549A8" w:rsidRPr="00B524C5" w:rsidRDefault="007549A8" w:rsidP="00023C16">
      <w:pPr>
        <w:spacing w:after="0"/>
        <w:ind w:left="993" w:right="615" w:hanging="284"/>
        <w:jc w:val="both"/>
        <w:rPr>
          <w:rFonts w:ascii="Arial" w:hAnsi="Arial" w:cs="Arial"/>
        </w:rPr>
      </w:pPr>
      <w:r w:rsidRPr="00C34DDD">
        <w:rPr>
          <w:rFonts w:ascii="Arial" w:hAnsi="Arial" w:cs="Arial"/>
          <w:b/>
          <w:bCs/>
        </w:rPr>
        <w:t>V.</w:t>
      </w:r>
      <w:r w:rsidRPr="00B524C5">
        <w:rPr>
          <w:rFonts w:ascii="Arial" w:hAnsi="Arial" w:cs="Arial"/>
        </w:rPr>
        <w:tab/>
        <w:t>En su caso, cuando el usuario final presente una queja, los Prestadores del Servicio Móvil deberán emitir un acuse de recibo que contenga un número de folio o registro. El acuse respectivo deberá entregarse de forma impresa o a través del envío de un Mensaje Corto o correo electrónico, cuando el usuario final presente su queja en los centros de atención a clientes, o vía electrónica cuando se realice a través de este medio, por chat, o por vía telefónica, y;</w:t>
      </w:r>
    </w:p>
    <w:p w14:paraId="2ACEDB17" w14:textId="77777777" w:rsidR="00FA51BF" w:rsidRDefault="00FA51BF" w:rsidP="00023C16">
      <w:pPr>
        <w:spacing w:after="0"/>
        <w:ind w:left="993" w:right="615" w:hanging="284"/>
        <w:jc w:val="both"/>
        <w:rPr>
          <w:rFonts w:ascii="Arial" w:hAnsi="Arial" w:cs="Arial"/>
          <w:b/>
          <w:bCs/>
        </w:rPr>
      </w:pPr>
    </w:p>
    <w:p w14:paraId="5ABB743A" w14:textId="44C092DC" w:rsidR="007549A8" w:rsidRDefault="007549A8" w:rsidP="00023C16">
      <w:pPr>
        <w:spacing w:after="0"/>
        <w:ind w:left="993" w:right="615" w:hanging="284"/>
        <w:jc w:val="both"/>
        <w:rPr>
          <w:rFonts w:ascii="Arial" w:hAnsi="Arial" w:cs="Arial"/>
        </w:rPr>
      </w:pPr>
      <w:r w:rsidRPr="00C34DDD">
        <w:rPr>
          <w:rFonts w:ascii="Arial" w:hAnsi="Arial" w:cs="Arial"/>
          <w:b/>
          <w:bCs/>
        </w:rPr>
        <w:t>VI.</w:t>
      </w:r>
      <w:r w:rsidR="00830046">
        <w:rPr>
          <w:rFonts w:ascii="Arial" w:hAnsi="Arial" w:cs="Arial"/>
        </w:rPr>
        <w:t xml:space="preserve"> </w:t>
      </w:r>
      <w:r w:rsidRPr="00B524C5">
        <w:rPr>
          <w:rFonts w:ascii="Arial" w:hAnsi="Arial" w:cs="Arial"/>
        </w:rPr>
        <w:t>…”</w:t>
      </w:r>
    </w:p>
    <w:p w14:paraId="74577152" w14:textId="77777777" w:rsidR="0023238C" w:rsidRDefault="0023238C" w:rsidP="008F7EAB">
      <w:pPr>
        <w:spacing w:after="0"/>
        <w:jc w:val="both"/>
        <w:rPr>
          <w:rFonts w:ascii="Arial" w:hAnsi="Arial" w:cs="Arial"/>
        </w:rPr>
      </w:pPr>
    </w:p>
    <w:p w14:paraId="661A1063" w14:textId="60C599E2" w:rsidR="0023238C" w:rsidRDefault="0023238C" w:rsidP="008F7EAB">
      <w:pPr>
        <w:spacing w:after="0"/>
        <w:jc w:val="both"/>
        <w:rPr>
          <w:rFonts w:ascii="Arial" w:hAnsi="Arial" w:cs="Arial"/>
        </w:rPr>
      </w:pPr>
      <w:bookmarkStart w:id="2" w:name="_Hlk139743649"/>
      <w:r w:rsidRPr="0023238C">
        <w:rPr>
          <w:rFonts w:ascii="Arial" w:hAnsi="Arial" w:cs="Arial"/>
        </w:rPr>
        <w:t xml:space="preserve">Derivado de lo anterior, </w:t>
      </w:r>
      <w:r>
        <w:rPr>
          <w:rFonts w:ascii="Arial" w:hAnsi="Arial" w:cs="Arial"/>
        </w:rPr>
        <w:t xml:space="preserve">se </w:t>
      </w:r>
      <w:r w:rsidR="000D06FC">
        <w:rPr>
          <w:rFonts w:ascii="Arial" w:hAnsi="Arial" w:cs="Arial"/>
        </w:rPr>
        <w:t>elimina</w:t>
      </w:r>
      <w:r>
        <w:rPr>
          <w:rFonts w:ascii="Arial" w:hAnsi="Arial" w:cs="Arial"/>
        </w:rPr>
        <w:t xml:space="preserve"> el trámite</w:t>
      </w:r>
      <w:r w:rsidR="000D06FC">
        <w:rPr>
          <w:rFonts w:ascii="Arial" w:hAnsi="Arial" w:cs="Arial"/>
        </w:rPr>
        <w:t xml:space="preserve"> </w:t>
      </w:r>
      <w:r w:rsidR="000D06FC" w:rsidRPr="000D06FC">
        <w:rPr>
          <w:rFonts w:ascii="Arial" w:hAnsi="Arial" w:cs="Arial"/>
        </w:rPr>
        <w:t xml:space="preserve">CGPU-03-001 </w:t>
      </w:r>
      <w:r w:rsidR="00693C3C">
        <w:rPr>
          <w:rFonts w:ascii="Arial" w:hAnsi="Arial" w:cs="Arial"/>
        </w:rPr>
        <w:t>“</w:t>
      </w:r>
      <w:r w:rsidR="000D6A1F" w:rsidRPr="000D6A1F">
        <w:rPr>
          <w:rFonts w:ascii="Arial" w:hAnsi="Arial" w:cs="Arial"/>
        </w:rPr>
        <w:t>Conservación de Quejas presentadas por los Usuarios Finales</w:t>
      </w:r>
      <w:r w:rsidR="00693C3C">
        <w:rPr>
          <w:rFonts w:ascii="Arial" w:hAnsi="Arial" w:cs="Arial"/>
        </w:rPr>
        <w:t>”</w:t>
      </w:r>
      <w:r w:rsidR="000D6A1F">
        <w:rPr>
          <w:rFonts w:ascii="Arial" w:hAnsi="Arial" w:cs="Arial"/>
        </w:rPr>
        <w:t>, así como su</w:t>
      </w:r>
      <w:r w:rsidR="000D06FC">
        <w:rPr>
          <w:rFonts w:ascii="Arial" w:hAnsi="Arial" w:cs="Arial"/>
        </w:rPr>
        <w:t xml:space="preserve"> inscripción en el </w:t>
      </w:r>
      <w:r w:rsidR="000D06FC" w:rsidRPr="000D06FC">
        <w:rPr>
          <w:rFonts w:ascii="Arial" w:hAnsi="Arial" w:cs="Arial"/>
        </w:rPr>
        <w:t>Registro de Trámites y Servicios del Instituto Federal de Telecomunicaciones</w:t>
      </w:r>
      <w:r w:rsidR="000D06FC">
        <w:rPr>
          <w:rFonts w:ascii="Arial" w:hAnsi="Arial" w:cs="Arial"/>
        </w:rPr>
        <w:t>.</w:t>
      </w:r>
      <w:bookmarkEnd w:id="2"/>
    </w:p>
    <w:p w14:paraId="40DF08D4" w14:textId="77777777" w:rsidR="00B524C5" w:rsidRPr="001B163B" w:rsidRDefault="00B524C5" w:rsidP="00023C16">
      <w:pPr>
        <w:spacing w:after="0"/>
        <w:jc w:val="both"/>
        <w:rPr>
          <w:rFonts w:ascii="Arial" w:eastAsia="Times New Roman" w:hAnsi="Arial" w:cs="Arial"/>
          <w:b/>
          <w:bCs/>
          <w:color w:val="000000"/>
          <w:lang w:eastAsia="es-MX"/>
        </w:rPr>
      </w:pPr>
    </w:p>
    <w:p w14:paraId="4E0215C8" w14:textId="582C082B" w:rsidR="00853D7C" w:rsidRDefault="001B163B" w:rsidP="00023C16">
      <w:pPr>
        <w:spacing w:after="0"/>
        <w:jc w:val="both"/>
        <w:rPr>
          <w:rFonts w:ascii="Arial" w:hAnsi="Arial" w:cs="Arial"/>
        </w:rPr>
      </w:pPr>
      <w:r w:rsidRPr="001B163B">
        <w:rPr>
          <w:rFonts w:ascii="Arial" w:hAnsi="Arial" w:cs="Arial"/>
          <w:b/>
        </w:rPr>
        <w:t>Segundo.</w:t>
      </w:r>
      <w:r w:rsidR="00D26636">
        <w:rPr>
          <w:rFonts w:ascii="Arial" w:hAnsi="Arial" w:cs="Arial"/>
          <w:b/>
        </w:rPr>
        <w:t xml:space="preserve"> </w:t>
      </w:r>
      <w:r w:rsidRPr="001B163B">
        <w:rPr>
          <w:rFonts w:ascii="Arial" w:hAnsi="Arial" w:cs="Arial"/>
          <w:b/>
        </w:rPr>
        <w:t xml:space="preserve">- </w:t>
      </w:r>
      <w:r w:rsidR="00853D7C">
        <w:rPr>
          <w:rFonts w:ascii="Arial" w:hAnsi="Arial" w:cs="Arial"/>
        </w:rPr>
        <w:t>S</w:t>
      </w:r>
      <w:r w:rsidR="00853D7C" w:rsidRPr="00B524C5">
        <w:rPr>
          <w:rFonts w:ascii="Arial" w:hAnsi="Arial" w:cs="Arial"/>
        </w:rPr>
        <w:t xml:space="preserve">e </w:t>
      </w:r>
      <w:r w:rsidR="00853D7C" w:rsidRPr="00C34DDD">
        <w:rPr>
          <w:rFonts w:ascii="Arial" w:hAnsi="Arial" w:cs="Arial"/>
          <w:b/>
          <w:bCs/>
        </w:rPr>
        <w:t>MODIFICAN</w:t>
      </w:r>
      <w:r w:rsidR="00853D7C" w:rsidRPr="00B524C5">
        <w:rPr>
          <w:rFonts w:ascii="Arial" w:hAnsi="Arial" w:cs="Arial"/>
        </w:rPr>
        <w:t xml:space="preserve"> la</w:t>
      </w:r>
      <w:r w:rsidR="008F7EAB">
        <w:rPr>
          <w:rFonts w:ascii="Arial" w:hAnsi="Arial" w:cs="Arial"/>
        </w:rPr>
        <w:t>s</w:t>
      </w:r>
      <w:r w:rsidR="00853D7C" w:rsidRPr="00B524C5">
        <w:rPr>
          <w:rFonts w:ascii="Arial" w:hAnsi="Arial" w:cs="Arial"/>
        </w:rPr>
        <w:t xml:space="preserve"> fracciones V y XI y se </w:t>
      </w:r>
      <w:r w:rsidR="00853D7C" w:rsidRPr="00C34DDD">
        <w:rPr>
          <w:rFonts w:ascii="Arial" w:hAnsi="Arial" w:cs="Arial"/>
          <w:b/>
          <w:bCs/>
        </w:rPr>
        <w:t>DEROGA</w:t>
      </w:r>
      <w:r w:rsidR="00853D7C" w:rsidRPr="00B524C5">
        <w:rPr>
          <w:rFonts w:ascii="Arial" w:hAnsi="Arial" w:cs="Arial"/>
        </w:rPr>
        <w:t xml:space="preserve"> la fracción VII del </w:t>
      </w:r>
      <w:r w:rsidR="00C34DDD">
        <w:rPr>
          <w:rFonts w:ascii="Arial" w:hAnsi="Arial" w:cs="Arial"/>
        </w:rPr>
        <w:t xml:space="preserve">lineamiento </w:t>
      </w:r>
      <w:r w:rsidR="00853D7C" w:rsidRPr="00B524C5">
        <w:rPr>
          <w:rFonts w:ascii="Arial" w:hAnsi="Arial" w:cs="Arial"/>
        </w:rPr>
        <w:t>Décimo Segundo de los “Lineamientos para la acreditación, autorización, designación y reconocimiento de laboratorios de prueba”, publicados en el DOF el 7 de marzo de 2016, para quedar como sigue:</w:t>
      </w:r>
    </w:p>
    <w:p w14:paraId="410A821B" w14:textId="77777777" w:rsidR="00853D7C" w:rsidRDefault="00853D7C" w:rsidP="00023C16">
      <w:pPr>
        <w:spacing w:after="0"/>
        <w:jc w:val="both"/>
        <w:rPr>
          <w:rFonts w:ascii="Arial" w:hAnsi="Arial" w:cs="Arial"/>
          <w:b/>
        </w:rPr>
      </w:pPr>
    </w:p>
    <w:p w14:paraId="4B2E2797" w14:textId="77777777" w:rsidR="00853D7C" w:rsidRDefault="00853D7C" w:rsidP="00C34DDD">
      <w:pPr>
        <w:pStyle w:val="Texto"/>
        <w:spacing w:line="276" w:lineRule="auto"/>
        <w:ind w:left="567" w:right="615" w:firstLine="142"/>
        <w:rPr>
          <w:b/>
          <w:sz w:val="22"/>
        </w:rPr>
      </w:pPr>
      <w:r w:rsidRPr="008A2634">
        <w:rPr>
          <w:b/>
          <w:sz w:val="22"/>
        </w:rPr>
        <w:t>“DÉCIMO SEGUNDO. …</w:t>
      </w:r>
    </w:p>
    <w:p w14:paraId="3F048875" w14:textId="77777777" w:rsidR="00FA51BF" w:rsidRPr="008A2634" w:rsidRDefault="00FA51BF" w:rsidP="00C34DDD">
      <w:pPr>
        <w:pStyle w:val="Texto"/>
        <w:spacing w:line="276" w:lineRule="auto"/>
        <w:ind w:left="1276" w:right="615" w:hanging="425"/>
        <w:rPr>
          <w:b/>
          <w:sz w:val="22"/>
        </w:rPr>
      </w:pPr>
    </w:p>
    <w:p w14:paraId="44B1A745" w14:textId="114C77D4" w:rsidR="00853D7C" w:rsidRDefault="00E8449C" w:rsidP="00C34DDD">
      <w:pPr>
        <w:pStyle w:val="Texto"/>
        <w:spacing w:line="276" w:lineRule="auto"/>
        <w:ind w:left="851" w:right="615" w:hanging="4"/>
        <w:rPr>
          <w:sz w:val="22"/>
          <w:szCs w:val="18"/>
          <w:lang w:val="es-ES"/>
        </w:rPr>
      </w:pPr>
      <w:r w:rsidRPr="00C34DDD">
        <w:rPr>
          <w:b/>
          <w:bCs/>
          <w:sz w:val="22"/>
          <w:szCs w:val="18"/>
          <w:lang w:val="es-ES"/>
        </w:rPr>
        <w:lastRenderedPageBreak/>
        <w:t>I.</w:t>
      </w:r>
      <w:r>
        <w:rPr>
          <w:sz w:val="22"/>
          <w:szCs w:val="18"/>
          <w:lang w:val="es-ES"/>
        </w:rPr>
        <w:t xml:space="preserve"> </w:t>
      </w:r>
      <w:r w:rsidR="00853D7C" w:rsidRPr="008A2634">
        <w:rPr>
          <w:sz w:val="22"/>
          <w:szCs w:val="18"/>
          <w:lang w:val="es-ES"/>
        </w:rPr>
        <w:t xml:space="preserve">a </w:t>
      </w:r>
      <w:r w:rsidR="00853D7C" w:rsidRPr="00C34DDD">
        <w:rPr>
          <w:b/>
          <w:bCs/>
          <w:sz w:val="22"/>
          <w:szCs w:val="18"/>
          <w:lang w:val="es-ES"/>
        </w:rPr>
        <w:t>IV</w:t>
      </w:r>
      <w:r w:rsidR="00650540" w:rsidRPr="00C34DDD">
        <w:rPr>
          <w:b/>
          <w:bCs/>
          <w:sz w:val="22"/>
          <w:szCs w:val="18"/>
          <w:lang w:val="es-ES"/>
        </w:rPr>
        <w:t>.</w:t>
      </w:r>
      <w:r w:rsidR="00853D7C" w:rsidRPr="008A2634">
        <w:rPr>
          <w:sz w:val="22"/>
          <w:szCs w:val="18"/>
          <w:lang w:val="es-ES"/>
        </w:rPr>
        <w:t xml:space="preserve"> …</w:t>
      </w:r>
    </w:p>
    <w:p w14:paraId="67A67187" w14:textId="77777777" w:rsidR="00FA51BF" w:rsidRPr="008A2634" w:rsidRDefault="00FA51BF" w:rsidP="00C34DDD">
      <w:pPr>
        <w:pStyle w:val="Texto"/>
        <w:spacing w:line="276" w:lineRule="auto"/>
        <w:ind w:left="1276" w:right="615" w:firstLine="0"/>
        <w:rPr>
          <w:sz w:val="22"/>
          <w:szCs w:val="18"/>
          <w:lang w:val="es-ES"/>
        </w:rPr>
      </w:pPr>
    </w:p>
    <w:p w14:paraId="6E6ACC9E" w14:textId="77777777" w:rsidR="00853D7C" w:rsidRDefault="00853D7C" w:rsidP="00023C16">
      <w:pPr>
        <w:pStyle w:val="Texto"/>
        <w:numPr>
          <w:ilvl w:val="0"/>
          <w:numId w:val="11"/>
        </w:numPr>
        <w:spacing w:line="276" w:lineRule="auto"/>
        <w:ind w:left="1276" w:right="615" w:hanging="425"/>
        <w:rPr>
          <w:sz w:val="22"/>
          <w:szCs w:val="18"/>
          <w:lang w:val="es-ES"/>
        </w:rPr>
      </w:pPr>
      <w:r w:rsidRPr="008A2634">
        <w:rPr>
          <w:sz w:val="22"/>
          <w:szCs w:val="18"/>
          <w:lang w:val="es-ES"/>
        </w:rPr>
        <w:t>En caso de que se actualice alguno de los supuestos previstos en la fracción anterior, el LP evitará la participación del o los miembros que se encuentren en conflicto de interés directo o indirecto;</w:t>
      </w:r>
    </w:p>
    <w:p w14:paraId="0BB159AB" w14:textId="77777777" w:rsidR="00023C16" w:rsidRPr="008A2634" w:rsidRDefault="00023C16" w:rsidP="00C34DDD">
      <w:pPr>
        <w:pStyle w:val="Texto"/>
        <w:spacing w:line="276" w:lineRule="auto"/>
        <w:ind w:left="1276" w:right="615" w:firstLine="0"/>
        <w:rPr>
          <w:sz w:val="22"/>
          <w:szCs w:val="18"/>
          <w:lang w:val="es-ES"/>
        </w:rPr>
      </w:pPr>
    </w:p>
    <w:p w14:paraId="1238BF57" w14:textId="77777777" w:rsidR="00853D7C" w:rsidRDefault="00853D7C" w:rsidP="00C34DDD">
      <w:pPr>
        <w:pStyle w:val="Texto"/>
        <w:numPr>
          <w:ilvl w:val="0"/>
          <w:numId w:val="11"/>
        </w:numPr>
        <w:spacing w:line="276" w:lineRule="auto"/>
        <w:ind w:left="1276" w:right="615" w:hanging="425"/>
        <w:rPr>
          <w:sz w:val="22"/>
          <w:szCs w:val="18"/>
          <w:lang w:val="es-ES"/>
        </w:rPr>
      </w:pPr>
      <w:r w:rsidRPr="008A2634">
        <w:rPr>
          <w:sz w:val="22"/>
          <w:szCs w:val="18"/>
          <w:lang w:val="es-ES"/>
        </w:rPr>
        <w:t>…</w:t>
      </w:r>
    </w:p>
    <w:p w14:paraId="7EE99056" w14:textId="77777777" w:rsidR="00FA51BF" w:rsidRPr="008A2634" w:rsidRDefault="00FA51BF" w:rsidP="00C34DDD">
      <w:pPr>
        <w:pStyle w:val="Texto"/>
        <w:spacing w:line="276" w:lineRule="auto"/>
        <w:ind w:left="1276" w:right="615" w:firstLine="0"/>
        <w:rPr>
          <w:sz w:val="22"/>
          <w:szCs w:val="18"/>
          <w:lang w:val="es-ES"/>
        </w:rPr>
      </w:pPr>
    </w:p>
    <w:p w14:paraId="26111C7D" w14:textId="77777777" w:rsidR="00853D7C" w:rsidRDefault="00853D7C" w:rsidP="00C34DDD">
      <w:pPr>
        <w:pStyle w:val="Texto"/>
        <w:numPr>
          <w:ilvl w:val="0"/>
          <w:numId w:val="11"/>
        </w:numPr>
        <w:spacing w:line="276" w:lineRule="auto"/>
        <w:ind w:left="1276" w:right="615" w:hanging="425"/>
        <w:rPr>
          <w:sz w:val="22"/>
          <w:szCs w:val="18"/>
          <w:lang w:val="es-ES"/>
        </w:rPr>
      </w:pPr>
      <w:r w:rsidRPr="008A2634">
        <w:rPr>
          <w:sz w:val="22"/>
          <w:szCs w:val="18"/>
          <w:lang w:val="es-ES"/>
        </w:rPr>
        <w:t>(Derogada)</w:t>
      </w:r>
    </w:p>
    <w:p w14:paraId="68B32C2A" w14:textId="77777777" w:rsidR="00FA51BF" w:rsidRPr="008A2634" w:rsidRDefault="00FA51BF" w:rsidP="00C34DDD">
      <w:pPr>
        <w:pStyle w:val="Texto"/>
        <w:spacing w:line="276" w:lineRule="auto"/>
        <w:ind w:right="615" w:firstLine="0"/>
        <w:rPr>
          <w:sz w:val="22"/>
          <w:szCs w:val="18"/>
          <w:lang w:val="es-ES"/>
        </w:rPr>
      </w:pPr>
    </w:p>
    <w:p w14:paraId="6D16F347" w14:textId="0671D330" w:rsidR="00A105E8" w:rsidRDefault="00853D7C" w:rsidP="00A105E8">
      <w:pPr>
        <w:pStyle w:val="Texto"/>
        <w:numPr>
          <w:ilvl w:val="0"/>
          <w:numId w:val="11"/>
        </w:numPr>
        <w:spacing w:line="276" w:lineRule="auto"/>
        <w:ind w:left="1276" w:right="615" w:hanging="425"/>
        <w:rPr>
          <w:sz w:val="22"/>
          <w:szCs w:val="18"/>
          <w:lang w:val="es-ES"/>
        </w:rPr>
      </w:pPr>
      <w:r w:rsidRPr="008A2634">
        <w:rPr>
          <w:sz w:val="22"/>
          <w:szCs w:val="18"/>
          <w:lang w:val="es-ES"/>
        </w:rPr>
        <w:t xml:space="preserve">a </w:t>
      </w:r>
      <w:r w:rsidRPr="00C34DDD">
        <w:rPr>
          <w:b/>
          <w:bCs/>
          <w:sz w:val="22"/>
          <w:szCs w:val="18"/>
          <w:lang w:val="es-ES"/>
        </w:rPr>
        <w:t>X</w:t>
      </w:r>
      <w:r w:rsidR="00830046">
        <w:rPr>
          <w:b/>
          <w:bCs/>
          <w:sz w:val="22"/>
          <w:szCs w:val="18"/>
          <w:lang w:val="es-ES"/>
        </w:rPr>
        <w:t>.</w:t>
      </w:r>
      <w:r w:rsidRPr="008A2634">
        <w:rPr>
          <w:sz w:val="22"/>
          <w:szCs w:val="18"/>
          <w:lang w:val="es-ES"/>
        </w:rPr>
        <w:t xml:space="preserve"> …</w:t>
      </w:r>
    </w:p>
    <w:p w14:paraId="57BF81B9" w14:textId="77777777" w:rsidR="00A105E8" w:rsidRPr="00A105E8" w:rsidRDefault="00A105E8" w:rsidP="00C34DDD">
      <w:pPr>
        <w:pStyle w:val="Texto"/>
        <w:spacing w:line="276" w:lineRule="auto"/>
        <w:ind w:right="615" w:firstLine="0"/>
        <w:rPr>
          <w:sz w:val="22"/>
          <w:szCs w:val="18"/>
          <w:lang w:val="es-ES"/>
        </w:rPr>
      </w:pPr>
    </w:p>
    <w:p w14:paraId="7D4021C5" w14:textId="3B94583E" w:rsidR="00813162" w:rsidRDefault="00853D7C" w:rsidP="00813162">
      <w:pPr>
        <w:pStyle w:val="Texto"/>
        <w:tabs>
          <w:tab w:val="left" w:pos="1276"/>
          <w:tab w:val="left" w:pos="1418"/>
        </w:tabs>
        <w:spacing w:line="276" w:lineRule="auto"/>
        <w:ind w:left="1276" w:right="615" w:hanging="425"/>
        <w:rPr>
          <w:sz w:val="22"/>
          <w:szCs w:val="18"/>
          <w:lang w:val="es-ES"/>
        </w:rPr>
      </w:pPr>
      <w:r w:rsidRPr="00C34DDD">
        <w:rPr>
          <w:b/>
          <w:bCs/>
          <w:sz w:val="22"/>
          <w:szCs w:val="18"/>
          <w:lang w:val="es-ES"/>
        </w:rPr>
        <w:t>XI.</w:t>
      </w:r>
      <w:r w:rsidRPr="008A2634">
        <w:rPr>
          <w:sz w:val="22"/>
          <w:szCs w:val="18"/>
          <w:lang w:val="es-ES"/>
        </w:rPr>
        <w:t xml:space="preserve">  Hacer constar en un Reporte de Prueba, el resultado de las pruebas que realicen respecto a una Norma, DT o RT extranjero en que han sido acreditados y autorizados, mismo que será firmado por el (los) signatario(s) autorizado(s). </w:t>
      </w:r>
    </w:p>
    <w:p w14:paraId="3DD75853" w14:textId="77777777" w:rsidR="00813162" w:rsidRDefault="00813162" w:rsidP="00813162">
      <w:pPr>
        <w:pStyle w:val="Texto"/>
        <w:tabs>
          <w:tab w:val="left" w:pos="1276"/>
          <w:tab w:val="left" w:pos="1418"/>
        </w:tabs>
        <w:spacing w:line="276" w:lineRule="auto"/>
        <w:ind w:left="1276" w:right="615" w:hanging="425"/>
        <w:rPr>
          <w:sz w:val="22"/>
          <w:szCs w:val="18"/>
          <w:lang w:val="es-ES"/>
        </w:rPr>
      </w:pPr>
    </w:p>
    <w:p w14:paraId="7023D3CD" w14:textId="319E1A0F" w:rsidR="006E202F" w:rsidRDefault="00813162">
      <w:pPr>
        <w:pStyle w:val="Texto"/>
        <w:tabs>
          <w:tab w:val="left" w:pos="1276"/>
          <w:tab w:val="left" w:pos="1418"/>
        </w:tabs>
        <w:spacing w:line="276" w:lineRule="auto"/>
        <w:ind w:left="1276" w:right="615" w:hanging="425"/>
        <w:rPr>
          <w:szCs w:val="18"/>
        </w:rPr>
      </w:pPr>
      <w:r>
        <w:rPr>
          <w:b/>
          <w:bCs/>
          <w:sz w:val="22"/>
          <w:szCs w:val="18"/>
          <w:lang w:val="es-ES"/>
        </w:rPr>
        <w:t>XII.</w:t>
      </w:r>
      <w:r>
        <w:rPr>
          <w:sz w:val="22"/>
          <w:szCs w:val="18"/>
          <w:lang w:val="es-ES"/>
        </w:rPr>
        <w:t xml:space="preserve"> a </w:t>
      </w:r>
      <w:r w:rsidRPr="00C34DDD">
        <w:rPr>
          <w:b/>
          <w:bCs/>
          <w:sz w:val="22"/>
          <w:szCs w:val="22"/>
        </w:rPr>
        <w:t>XVII</w:t>
      </w:r>
      <w:r w:rsidRPr="00C34DDD">
        <w:rPr>
          <w:b/>
          <w:bCs/>
          <w:szCs w:val="18"/>
        </w:rPr>
        <w:t>.</w:t>
      </w:r>
      <w:r w:rsidR="00CD5128">
        <w:rPr>
          <w:b/>
          <w:bCs/>
          <w:szCs w:val="18"/>
        </w:rPr>
        <w:t xml:space="preserve"> …</w:t>
      </w:r>
      <w:r w:rsidR="00FA6565">
        <w:rPr>
          <w:b/>
          <w:bCs/>
          <w:szCs w:val="18"/>
        </w:rPr>
        <w:t>”</w:t>
      </w:r>
    </w:p>
    <w:p w14:paraId="61FE5014" w14:textId="77777777" w:rsidR="006E202F" w:rsidRDefault="006E202F">
      <w:pPr>
        <w:pStyle w:val="Texto"/>
        <w:tabs>
          <w:tab w:val="left" w:pos="1276"/>
          <w:tab w:val="left" w:pos="1418"/>
        </w:tabs>
        <w:spacing w:line="276" w:lineRule="auto"/>
        <w:ind w:left="1276" w:right="615" w:hanging="425"/>
        <w:rPr>
          <w:szCs w:val="18"/>
        </w:rPr>
      </w:pPr>
    </w:p>
    <w:p w14:paraId="5F327100" w14:textId="7D292512" w:rsidR="00853D7C" w:rsidRPr="00C34DDD" w:rsidRDefault="006E202F" w:rsidP="00C938EB">
      <w:pPr>
        <w:pStyle w:val="Texto"/>
        <w:spacing w:line="276" w:lineRule="auto"/>
        <w:ind w:right="48" w:firstLine="0"/>
        <w:rPr>
          <w:b/>
          <w:sz w:val="22"/>
        </w:rPr>
      </w:pPr>
      <w:bookmarkStart w:id="3" w:name="_Hlk139749469"/>
      <w:r w:rsidRPr="00C34DDD">
        <w:rPr>
          <w:sz w:val="22"/>
          <w:szCs w:val="22"/>
        </w:rPr>
        <w:t>Derivado de lo anterior, se elimina</w:t>
      </w:r>
      <w:r>
        <w:rPr>
          <w:sz w:val="22"/>
          <w:szCs w:val="22"/>
        </w:rPr>
        <w:t>n</w:t>
      </w:r>
      <w:r w:rsidRPr="00C34DDD">
        <w:rPr>
          <w:sz w:val="22"/>
          <w:szCs w:val="22"/>
        </w:rPr>
        <w:t xml:space="preserve"> </w:t>
      </w:r>
      <w:r w:rsidR="00450334">
        <w:rPr>
          <w:sz w:val="22"/>
          <w:szCs w:val="22"/>
        </w:rPr>
        <w:t>los</w:t>
      </w:r>
      <w:r w:rsidRPr="00C34DDD">
        <w:rPr>
          <w:sz w:val="22"/>
          <w:szCs w:val="22"/>
        </w:rPr>
        <w:t xml:space="preserve"> trámite</w:t>
      </w:r>
      <w:r w:rsidR="00450334">
        <w:rPr>
          <w:sz w:val="22"/>
          <w:szCs w:val="22"/>
        </w:rPr>
        <w:t>s</w:t>
      </w:r>
      <w:r w:rsidRPr="00C34DDD">
        <w:rPr>
          <w:sz w:val="22"/>
          <w:szCs w:val="22"/>
        </w:rPr>
        <w:t xml:space="preserve"> </w:t>
      </w:r>
      <w:r w:rsidR="00450334" w:rsidRPr="00450334">
        <w:rPr>
          <w:sz w:val="22"/>
          <w:szCs w:val="22"/>
        </w:rPr>
        <w:t xml:space="preserve">UCS-04-055 </w:t>
      </w:r>
      <w:r w:rsidR="00847AFF">
        <w:rPr>
          <w:sz w:val="22"/>
          <w:szCs w:val="22"/>
        </w:rPr>
        <w:t>“</w:t>
      </w:r>
      <w:r w:rsidR="00450334" w:rsidRPr="00450334">
        <w:rPr>
          <w:sz w:val="22"/>
          <w:szCs w:val="22"/>
        </w:rPr>
        <w:t>Presentación del Informe sobre Conflictos de Interés del personal adscrito al Laboratorio de Prueba</w:t>
      </w:r>
      <w:r w:rsidR="00FB1E62">
        <w:rPr>
          <w:sz w:val="22"/>
          <w:szCs w:val="22"/>
        </w:rPr>
        <w:t>”</w:t>
      </w:r>
      <w:r w:rsidR="00450334">
        <w:rPr>
          <w:sz w:val="22"/>
          <w:szCs w:val="22"/>
        </w:rPr>
        <w:t xml:space="preserve">, </w:t>
      </w:r>
      <w:r w:rsidR="00450334" w:rsidRPr="00450334">
        <w:rPr>
          <w:sz w:val="22"/>
          <w:szCs w:val="22"/>
        </w:rPr>
        <w:t xml:space="preserve">UCS-04-056 </w:t>
      </w:r>
      <w:r w:rsidR="00847AFF">
        <w:rPr>
          <w:sz w:val="22"/>
          <w:szCs w:val="22"/>
        </w:rPr>
        <w:t>“</w:t>
      </w:r>
      <w:r w:rsidR="00450334" w:rsidRPr="00450334">
        <w:rPr>
          <w:sz w:val="22"/>
          <w:szCs w:val="22"/>
        </w:rPr>
        <w:t>Presentación del Informe sobre el personal (signatarios) que se encuentra autorizado para firmar o suscribir los Reportes de Prueba</w:t>
      </w:r>
      <w:r w:rsidR="00FB1E62">
        <w:rPr>
          <w:sz w:val="22"/>
          <w:szCs w:val="22"/>
        </w:rPr>
        <w:t>”</w:t>
      </w:r>
      <w:r w:rsidR="00450334">
        <w:rPr>
          <w:sz w:val="22"/>
          <w:szCs w:val="22"/>
        </w:rPr>
        <w:t xml:space="preserve"> y </w:t>
      </w:r>
      <w:r w:rsidR="00450334" w:rsidRPr="00450334">
        <w:rPr>
          <w:sz w:val="22"/>
          <w:szCs w:val="22"/>
        </w:rPr>
        <w:t xml:space="preserve">UCS-04-058 </w:t>
      </w:r>
      <w:r w:rsidR="00847AFF">
        <w:rPr>
          <w:sz w:val="22"/>
          <w:szCs w:val="22"/>
        </w:rPr>
        <w:t>“</w:t>
      </w:r>
      <w:r w:rsidR="00450334" w:rsidRPr="00450334">
        <w:rPr>
          <w:sz w:val="22"/>
          <w:szCs w:val="22"/>
        </w:rPr>
        <w:t>Presentación del Informe Anual sobre las medidas emprendidas por el Laboratorio de Prueba para garantizar que sus servicios se lleven a cabo en un marco de calidad y confidencialidad</w:t>
      </w:r>
      <w:r w:rsidR="00FB1E62">
        <w:rPr>
          <w:sz w:val="22"/>
          <w:szCs w:val="22"/>
        </w:rPr>
        <w:t>”</w:t>
      </w:r>
      <w:r w:rsidR="00450334">
        <w:rPr>
          <w:sz w:val="22"/>
          <w:szCs w:val="22"/>
        </w:rPr>
        <w:t xml:space="preserve">; </w:t>
      </w:r>
      <w:r w:rsidRPr="00C34DDD">
        <w:rPr>
          <w:sz w:val="22"/>
          <w:szCs w:val="22"/>
        </w:rPr>
        <w:t>así como su inscripción en el Registro de Trámites y Servicios del Instituto Federal de Telecomunicaciones</w:t>
      </w:r>
      <w:bookmarkEnd w:id="3"/>
      <w:r w:rsidRPr="00C34DDD">
        <w:rPr>
          <w:sz w:val="22"/>
          <w:szCs w:val="22"/>
        </w:rPr>
        <w:t>.</w:t>
      </w:r>
    </w:p>
    <w:p w14:paraId="5F781937" w14:textId="021769CD" w:rsidR="001B163B" w:rsidRDefault="001B163B" w:rsidP="00C34DDD">
      <w:pPr>
        <w:spacing w:after="0"/>
        <w:jc w:val="both"/>
        <w:rPr>
          <w:rFonts w:ascii="Arial" w:hAnsi="Arial" w:cs="Arial"/>
        </w:rPr>
      </w:pPr>
    </w:p>
    <w:p w14:paraId="6FEA0046" w14:textId="5DC40070" w:rsidR="00853D7C" w:rsidRDefault="001B163B" w:rsidP="00023C16">
      <w:pPr>
        <w:spacing w:after="0"/>
        <w:jc w:val="both"/>
        <w:rPr>
          <w:rFonts w:ascii="Arial" w:hAnsi="Arial" w:cs="Arial"/>
        </w:rPr>
      </w:pPr>
      <w:r w:rsidRPr="001B163B">
        <w:rPr>
          <w:rFonts w:ascii="Arial" w:hAnsi="Arial" w:cs="Arial"/>
          <w:b/>
        </w:rPr>
        <w:t>Tercero.</w:t>
      </w:r>
      <w:r w:rsidR="00D26636">
        <w:rPr>
          <w:rFonts w:ascii="Arial" w:hAnsi="Arial" w:cs="Arial"/>
          <w:b/>
        </w:rPr>
        <w:t xml:space="preserve"> </w:t>
      </w:r>
      <w:r w:rsidRPr="001B163B">
        <w:rPr>
          <w:rFonts w:ascii="Arial" w:hAnsi="Arial" w:cs="Arial"/>
          <w:b/>
        </w:rPr>
        <w:t>-</w:t>
      </w:r>
      <w:r w:rsidR="00B524C5">
        <w:rPr>
          <w:rFonts w:ascii="Arial" w:hAnsi="Arial" w:cs="Arial"/>
          <w:b/>
        </w:rPr>
        <w:t xml:space="preserve"> </w:t>
      </w:r>
      <w:r w:rsidR="00853D7C">
        <w:rPr>
          <w:rFonts w:ascii="Arial" w:hAnsi="Arial" w:cs="Arial"/>
        </w:rPr>
        <w:t>S</w:t>
      </w:r>
      <w:r w:rsidR="00853D7C" w:rsidRPr="008A2634">
        <w:rPr>
          <w:rFonts w:ascii="Arial" w:hAnsi="Arial" w:cs="Arial"/>
        </w:rPr>
        <w:t xml:space="preserve">e </w:t>
      </w:r>
      <w:r w:rsidR="00853D7C" w:rsidRPr="00C34DDD">
        <w:rPr>
          <w:rFonts w:ascii="Arial" w:hAnsi="Arial" w:cs="Arial"/>
          <w:b/>
          <w:bCs/>
        </w:rPr>
        <w:t>MODIFICA</w:t>
      </w:r>
      <w:r w:rsidR="00DC753F">
        <w:rPr>
          <w:rFonts w:ascii="Arial" w:hAnsi="Arial" w:cs="Arial"/>
          <w:b/>
          <w:bCs/>
        </w:rPr>
        <w:t>N</w:t>
      </w:r>
      <w:r w:rsidR="00853D7C" w:rsidRPr="008A2634">
        <w:rPr>
          <w:rFonts w:ascii="Arial" w:hAnsi="Arial" w:cs="Arial"/>
        </w:rPr>
        <w:t xml:space="preserve"> </w:t>
      </w:r>
      <w:r w:rsidR="00D74047">
        <w:rPr>
          <w:rFonts w:ascii="Arial" w:hAnsi="Arial" w:cs="Arial"/>
        </w:rPr>
        <w:t>los</w:t>
      </w:r>
      <w:r w:rsidR="00DD3660">
        <w:rPr>
          <w:rFonts w:ascii="Arial" w:hAnsi="Arial" w:cs="Arial"/>
        </w:rPr>
        <w:t xml:space="preserve"> </w:t>
      </w:r>
      <w:r w:rsidR="00DD3660" w:rsidRPr="00D41A1F">
        <w:rPr>
          <w:rFonts w:ascii="Arial" w:hAnsi="Arial" w:cs="Arial"/>
        </w:rPr>
        <w:t>párrafo</w:t>
      </w:r>
      <w:r w:rsidR="00D74047">
        <w:rPr>
          <w:rFonts w:ascii="Arial" w:hAnsi="Arial" w:cs="Arial"/>
        </w:rPr>
        <w:t>s</w:t>
      </w:r>
      <w:r w:rsidR="00DD3660" w:rsidRPr="00FB59DB">
        <w:rPr>
          <w:rFonts w:ascii="Arial" w:hAnsi="Arial" w:cs="Arial"/>
        </w:rPr>
        <w:t xml:space="preserve"> tercer</w:t>
      </w:r>
      <w:r w:rsidR="00DD3660">
        <w:rPr>
          <w:rFonts w:ascii="Arial" w:hAnsi="Arial" w:cs="Arial"/>
        </w:rPr>
        <w:t>o</w:t>
      </w:r>
      <w:r w:rsidR="00DD3660" w:rsidRPr="008A2634">
        <w:rPr>
          <w:rFonts w:ascii="Arial" w:hAnsi="Arial" w:cs="Arial"/>
        </w:rPr>
        <w:t xml:space="preserve"> </w:t>
      </w:r>
      <w:r w:rsidR="00D74047">
        <w:rPr>
          <w:rFonts w:ascii="Arial" w:hAnsi="Arial" w:cs="Arial"/>
        </w:rPr>
        <w:t xml:space="preserve">y cuarto </w:t>
      </w:r>
      <w:r w:rsidR="00DD3660">
        <w:rPr>
          <w:rFonts w:ascii="Arial" w:hAnsi="Arial" w:cs="Arial"/>
        </w:rPr>
        <w:t xml:space="preserve">de </w:t>
      </w:r>
      <w:r w:rsidR="00853D7C" w:rsidRPr="008A2634">
        <w:rPr>
          <w:rFonts w:ascii="Arial" w:hAnsi="Arial" w:cs="Arial"/>
        </w:rPr>
        <w:t xml:space="preserve">la </w:t>
      </w:r>
      <w:r w:rsidR="00853D7C" w:rsidRPr="008F7EAB">
        <w:rPr>
          <w:rFonts w:ascii="Arial" w:hAnsi="Arial" w:cs="Arial"/>
        </w:rPr>
        <w:t>fracci</w:t>
      </w:r>
      <w:r w:rsidR="008F7EAB" w:rsidRPr="00C34DDD">
        <w:rPr>
          <w:rFonts w:ascii="Arial" w:hAnsi="Arial" w:cs="Arial"/>
        </w:rPr>
        <w:t>ón</w:t>
      </w:r>
      <w:r w:rsidR="00853D7C" w:rsidRPr="008F7EAB">
        <w:rPr>
          <w:rFonts w:ascii="Arial" w:hAnsi="Arial" w:cs="Arial"/>
        </w:rPr>
        <w:t xml:space="preserve"> IX</w:t>
      </w:r>
      <w:r w:rsidR="00813162" w:rsidRPr="00C34DDD">
        <w:rPr>
          <w:rFonts w:ascii="Arial" w:hAnsi="Arial" w:cs="Arial"/>
        </w:rPr>
        <w:t xml:space="preserve"> </w:t>
      </w:r>
      <w:r w:rsidR="00853D7C" w:rsidRPr="008F7EAB">
        <w:rPr>
          <w:rFonts w:ascii="Arial" w:hAnsi="Arial" w:cs="Arial"/>
        </w:rPr>
        <w:t xml:space="preserve">y </w:t>
      </w:r>
      <w:r w:rsidR="00DD3660">
        <w:rPr>
          <w:rFonts w:ascii="Arial" w:hAnsi="Arial" w:cs="Arial"/>
        </w:rPr>
        <w:t xml:space="preserve">el </w:t>
      </w:r>
      <w:r w:rsidR="00DD3660" w:rsidRPr="00241178">
        <w:rPr>
          <w:rFonts w:ascii="Arial" w:hAnsi="Arial" w:cs="Arial"/>
        </w:rPr>
        <w:t>párrafo</w:t>
      </w:r>
      <w:r w:rsidR="00DD3660" w:rsidRPr="008E600E">
        <w:rPr>
          <w:rFonts w:ascii="Arial" w:hAnsi="Arial" w:cs="Arial"/>
        </w:rPr>
        <w:t xml:space="preserve"> primer</w:t>
      </w:r>
      <w:r w:rsidR="00DD3660">
        <w:rPr>
          <w:rFonts w:ascii="Arial" w:hAnsi="Arial" w:cs="Arial"/>
        </w:rPr>
        <w:t>o</w:t>
      </w:r>
      <w:r w:rsidR="001E51FE">
        <w:rPr>
          <w:rFonts w:ascii="Arial" w:hAnsi="Arial" w:cs="Arial"/>
        </w:rPr>
        <w:t xml:space="preserve"> de</w:t>
      </w:r>
      <w:r w:rsidR="00DD3660" w:rsidRPr="008F7EAB">
        <w:rPr>
          <w:rFonts w:ascii="Arial" w:hAnsi="Arial" w:cs="Arial"/>
        </w:rPr>
        <w:t xml:space="preserve"> </w:t>
      </w:r>
      <w:r w:rsidR="008F7EAB" w:rsidRPr="00C34DDD">
        <w:rPr>
          <w:rFonts w:ascii="Arial" w:hAnsi="Arial" w:cs="Arial"/>
        </w:rPr>
        <w:t xml:space="preserve">la fracción </w:t>
      </w:r>
      <w:r w:rsidR="00853D7C" w:rsidRPr="008F7EAB">
        <w:rPr>
          <w:rFonts w:ascii="Arial" w:hAnsi="Arial" w:cs="Arial"/>
        </w:rPr>
        <w:t>XVI</w:t>
      </w:r>
      <w:r w:rsidR="008F7EAB" w:rsidRPr="00C34DDD">
        <w:rPr>
          <w:rFonts w:ascii="Arial" w:hAnsi="Arial" w:cs="Arial"/>
        </w:rPr>
        <w:t xml:space="preserve"> </w:t>
      </w:r>
      <w:r w:rsidR="00853D7C" w:rsidRPr="008F7EAB">
        <w:rPr>
          <w:rFonts w:ascii="Arial" w:hAnsi="Arial" w:cs="Arial"/>
        </w:rPr>
        <w:t>del artículo 11</w:t>
      </w:r>
      <w:r w:rsidR="00853D7C" w:rsidRPr="008A2634">
        <w:rPr>
          <w:rFonts w:ascii="Arial" w:hAnsi="Arial" w:cs="Arial"/>
        </w:rPr>
        <w:t xml:space="preserve"> del “</w:t>
      </w:r>
      <w:bookmarkStart w:id="4" w:name="_Hlk147069035"/>
      <w:r w:rsidR="00853D7C" w:rsidRPr="008A2634">
        <w:rPr>
          <w:rFonts w:ascii="Arial" w:hAnsi="Arial" w:cs="Arial"/>
        </w:rPr>
        <w:t>Procedimiento de evaluación de la conformidad en materia de telecomunicaciones y radiodifusión</w:t>
      </w:r>
      <w:bookmarkEnd w:id="4"/>
      <w:r w:rsidR="00853D7C" w:rsidRPr="008A2634">
        <w:rPr>
          <w:rFonts w:ascii="Arial" w:hAnsi="Arial" w:cs="Arial"/>
        </w:rPr>
        <w:t>”, publicado en el DOF el 25 de febrero de 2020</w:t>
      </w:r>
      <w:r w:rsidR="001E51FE" w:rsidRPr="001E51FE">
        <w:rPr>
          <w:rFonts w:ascii="Arial" w:hAnsi="Arial" w:cs="Arial"/>
        </w:rPr>
        <w:t xml:space="preserve"> </w:t>
      </w:r>
      <w:r w:rsidR="001E51FE">
        <w:rPr>
          <w:rFonts w:ascii="Arial" w:hAnsi="Arial" w:cs="Arial"/>
        </w:rPr>
        <w:t>y su modificación publicada en el mismo medio de comunicación oficial el 27 de diciembre de 2021</w:t>
      </w:r>
      <w:r w:rsidR="00853D7C" w:rsidRPr="008A2634">
        <w:rPr>
          <w:rFonts w:ascii="Arial" w:hAnsi="Arial" w:cs="Arial"/>
        </w:rPr>
        <w:t>, para quedar como sigue:</w:t>
      </w:r>
    </w:p>
    <w:p w14:paraId="7F196BA5" w14:textId="77777777" w:rsidR="00853D7C" w:rsidRPr="008A2634" w:rsidRDefault="00853D7C" w:rsidP="00023C16">
      <w:pPr>
        <w:spacing w:after="0"/>
        <w:ind w:right="615"/>
        <w:jc w:val="both"/>
        <w:rPr>
          <w:rFonts w:ascii="Arial" w:hAnsi="Arial" w:cs="Arial"/>
          <w:b/>
          <w:sz w:val="32"/>
        </w:rPr>
      </w:pPr>
    </w:p>
    <w:p w14:paraId="0D43A0A4" w14:textId="77777777" w:rsidR="00853D7C" w:rsidRDefault="00853D7C" w:rsidP="00C34DDD">
      <w:pPr>
        <w:pStyle w:val="Texto"/>
        <w:spacing w:line="276" w:lineRule="auto"/>
        <w:ind w:left="1276" w:right="615" w:hanging="425"/>
        <w:rPr>
          <w:b/>
          <w:sz w:val="22"/>
        </w:rPr>
      </w:pPr>
      <w:r w:rsidRPr="008A2634">
        <w:rPr>
          <w:b/>
          <w:sz w:val="22"/>
        </w:rPr>
        <w:t>“ARTÍCULO 11. …</w:t>
      </w:r>
    </w:p>
    <w:p w14:paraId="4928CCD2" w14:textId="77777777" w:rsidR="00023C16" w:rsidRPr="008A2634" w:rsidRDefault="00023C16" w:rsidP="00C34DDD">
      <w:pPr>
        <w:pStyle w:val="Texto"/>
        <w:spacing w:line="276" w:lineRule="auto"/>
        <w:ind w:left="1276" w:right="615" w:hanging="425"/>
        <w:rPr>
          <w:b/>
          <w:sz w:val="22"/>
        </w:rPr>
      </w:pPr>
    </w:p>
    <w:p w14:paraId="76766541" w14:textId="6651A9A8" w:rsidR="00853D7C" w:rsidRDefault="00023C16" w:rsidP="00C34DDD">
      <w:pPr>
        <w:pStyle w:val="Texto"/>
        <w:numPr>
          <w:ilvl w:val="0"/>
          <w:numId w:val="16"/>
        </w:numPr>
        <w:spacing w:line="276" w:lineRule="auto"/>
        <w:ind w:right="615" w:hanging="157"/>
        <w:rPr>
          <w:sz w:val="22"/>
          <w:szCs w:val="18"/>
          <w:lang w:val="es-ES"/>
        </w:rPr>
      </w:pPr>
      <w:r>
        <w:rPr>
          <w:sz w:val="22"/>
          <w:szCs w:val="18"/>
          <w:lang w:val="es-ES"/>
        </w:rPr>
        <w:t xml:space="preserve"> a </w:t>
      </w:r>
      <w:r w:rsidR="00813162">
        <w:rPr>
          <w:b/>
          <w:bCs/>
          <w:sz w:val="22"/>
          <w:szCs w:val="18"/>
          <w:lang w:val="es-ES"/>
        </w:rPr>
        <w:t>VIII.</w:t>
      </w:r>
      <w:r>
        <w:rPr>
          <w:sz w:val="22"/>
          <w:szCs w:val="18"/>
          <w:lang w:val="es-ES"/>
        </w:rPr>
        <w:t xml:space="preserve"> </w:t>
      </w:r>
      <w:r w:rsidR="00853D7C" w:rsidRPr="008A2634">
        <w:rPr>
          <w:sz w:val="22"/>
          <w:szCs w:val="18"/>
          <w:lang w:val="es-ES"/>
        </w:rPr>
        <w:t>…</w:t>
      </w:r>
    </w:p>
    <w:p w14:paraId="50375BE1" w14:textId="77777777" w:rsidR="00023C16" w:rsidRPr="008A2634" w:rsidRDefault="00023C16" w:rsidP="00C34DDD">
      <w:pPr>
        <w:pStyle w:val="Texto"/>
        <w:spacing w:line="276" w:lineRule="auto"/>
        <w:ind w:left="1008" w:right="615" w:firstLine="0"/>
        <w:rPr>
          <w:sz w:val="22"/>
          <w:szCs w:val="18"/>
          <w:lang w:val="es-ES"/>
        </w:rPr>
      </w:pPr>
    </w:p>
    <w:p w14:paraId="371758DD" w14:textId="5D855548" w:rsidR="00853D7C" w:rsidRPr="008A2634" w:rsidRDefault="00853D7C" w:rsidP="00C34DDD">
      <w:pPr>
        <w:pStyle w:val="Texto"/>
        <w:numPr>
          <w:ilvl w:val="0"/>
          <w:numId w:val="11"/>
        </w:numPr>
        <w:spacing w:line="276" w:lineRule="auto"/>
        <w:ind w:left="1276" w:right="615" w:hanging="436"/>
        <w:rPr>
          <w:sz w:val="22"/>
          <w:szCs w:val="18"/>
          <w:lang w:val="es-ES"/>
        </w:rPr>
      </w:pPr>
      <w:r w:rsidRPr="008A2634">
        <w:rPr>
          <w:sz w:val="22"/>
          <w:szCs w:val="18"/>
          <w:lang w:val="es-ES"/>
        </w:rPr>
        <w:t>…</w:t>
      </w:r>
    </w:p>
    <w:p w14:paraId="15B8DFA5" w14:textId="77777777" w:rsidR="00853D7C" w:rsidRPr="008A2634" w:rsidRDefault="00853D7C" w:rsidP="00C34DDD">
      <w:pPr>
        <w:pStyle w:val="Texto"/>
        <w:spacing w:line="276" w:lineRule="auto"/>
        <w:ind w:left="1276" w:right="615" w:firstLine="0"/>
        <w:rPr>
          <w:sz w:val="22"/>
          <w:szCs w:val="18"/>
          <w:lang w:val="es-ES"/>
        </w:rPr>
      </w:pPr>
      <w:r w:rsidRPr="008A2634">
        <w:rPr>
          <w:sz w:val="22"/>
          <w:szCs w:val="18"/>
          <w:lang w:val="es-ES"/>
        </w:rPr>
        <w:t>…</w:t>
      </w:r>
    </w:p>
    <w:p w14:paraId="706869BF" w14:textId="77777777" w:rsidR="00853D7C" w:rsidRPr="008A2634" w:rsidRDefault="00853D7C" w:rsidP="00C34DDD">
      <w:pPr>
        <w:pStyle w:val="Texto"/>
        <w:spacing w:line="276" w:lineRule="auto"/>
        <w:ind w:left="1276" w:right="615" w:firstLine="0"/>
        <w:rPr>
          <w:sz w:val="22"/>
          <w:szCs w:val="18"/>
          <w:lang w:val="es-ES"/>
        </w:rPr>
      </w:pPr>
      <w:r w:rsidRPr="008A2634">
        <w:rPr>
          <w:sz w:val="22"/>
          <w:szCs w:val="18"/>
          <w:lang w:val="es-ES"/>
        </w:rPr>
        <w:t>Una vez emitido el CC, el OC debe enviarlo(la) de manera electrónica al Interesado y a la Unidad de Concesiones y Servicios del Instituto en los formatos electrónicos que ésta determine, en un plazo no mayor a 2 días hábiles contados a partir de su emisión.</w:t>
      </w:r>
    </w:p>
    <w:p w14:paraId="70ADB60D" w14:textId="77777777" w:rsidR="00853D7C" w:rsidRDefault="00853D7C" w:rsidP="00023C16">
      <w:pPr>
        <w:pStyle w:val="Texto"/>
        <w:spacing w:line="276" w:lineRule="auto"/>
        <w:ind w:left="1276" w:right="615" w:firstLine="0"/>
        <w:rPr>
          <w:sz w:val="22"/>
          <w:szCs w:val="18"/>
          <w:lang w:val="es-ES"/>
        </w:rPr>
      </w:pPr>
      <w:r w:rsidRPr="008A2634">
        <w:rPr>
          <w:sz w:val="22"/>
          <w:szCs w:val="18"/>
          <w:lang w:val="es-ES"/>
        </w:rPr>
        <w:t>La Unidad de Concesiones y Servicios del Instituto registrará los CC en el sistema electrónico que para tal efecto administre, y en el que se considerarán los elementos mínimos señalados en la fracción XVI del presente artículo. El CC debe indicar todas las DT aplicables al Producto con las que se acreditó el cumplimiento, así como el Esquema de Certificación utilizado.</w:t>
      </w:r>
    </w:p>
    <w:p w14:paraId="46A33314" w14:textId="2812C32B" w:rsidR="008F7EAB" w:rsidRDefault="008F7EAB" w:rsidP="00023C16">
      <w:pPr>
        <w:pStyle w:val="Texto"/>
        <w:spacing w:line="276" w:lineRule="auto"/>
        <w:ind w:left="1276" w:right="615" w:firstLine="0"/>
        <w:rPr>
          <w:sz w:val="22"/>
          <w:szCs w:val="18"/>
          <w:lang w:val="es-ES"/>
        </w:rPr>
      </w:pPr>
      <w:r>
        <w:rPr>
          <w:sz w:val="22"/>
          <w:szCs w:val="18"/>
          <w:lang w:val="es-ES"/>
        </w:rPr>
        <w:t>…</w:t>
      </w:r>
    </w:p>
    <w:p w14:paraId="6F31D1A3" w14:textId="108F6463" w:rsidR="008F7EAB" w:rsidRDefault="008F7EAB" w:rsidP="00023C16">
      <w:pPr>
        <w:pStyle w:val="Texto"/>
        <w:spacing w:line="276" w:lineRule="auto"/>
        <w:ind w:left="1276" w:right="615" w:firstLine="0"/>
        <w:rPr>
          <w:sz w:val="22"/>
          <w:szCs w:val="18"/>
          <w:lang w:val="es-ES"/>
        </w:rPr>
      </w:pPr>
      <w:r>
        <w:rPr>
          <w:sz w:val="22"/>
          <w:szCs w:val="18"/>
          <w:lang w:val="es-ES"/>
        </w:rPr>
        <w:t>…</w:t>
      </w:r>
    </w:p>
    <w:p w14:paraId="2DB6EA55" w14:textId="702D9C69" w:rsidR="008F7EAB" w:rsidRDefault="008F7EAB" w:rsidP="00C34DDD">
      <w:pPr>
        <w:pStyle w:val="Texto"/>
        <w:spacing w:line="276" w:lineRule="auto"/>
        <w:ind w:left="1276" w:right="615" w:firstLine="0"/>
        <w:rPr>
          <w:sz w:val="22"/>
          <w:szCs w:val="18"/>
          <w:lang w:val="es-ES"/>
        </w:rPr>
      </w:pPr>
      <w:r>
        <w:rPr>
          <w:sz w:val="22"/>
          <w:szCs w:val="18"/>
          <w:lang w:val="es-ES"/>
        </w:rPr>
        <w:t>…</w:t>
      </w:r>
    </w:p>
    <w:p w14:paraId="35F32B08" w14:textId="56508303" w:rsidR="00444BF0" w:rsidRDefault="00444BF0" w:rsidP="00C34DDD">
      <w:pPr>
        <w:pStyle w:val="Texto"/>
        <w:spacing w:line="276" w:lineRule="auto"/>
        <w:ind w:left="1276" w:right="615" w:firstLine="0"/>
        <w:rPr>
          <w:sz w:val="22"/>
          <w:szCs w:val="18"/>
          <w:lang w:val="es-ES"/>
        </w:rPr>
      </w:pPr>
      <w:r>
        <w:rPr>
          <w:sz w:val="22"/>
          <w:szCs w:val="18"/>
          <w:lang w:val="es-ES"/>
        </w:rPr>
        <w:t>…</w:t>
      </w:r>
    </w:p>
    <w:p w14:paraId="42106A59" w14:textId="77777777" w:rsidR="00023C16" w:rsidRPr="008A2634" w:rsidRDefault="00023C16" w:rsidP="00C34DDD">
      <w:pPr>
        <w:pStyle w:val="Texto"/>
        <w:spacing w:line="276" w:lineRule="auto"/>
        <w:ind w:left="1276" w:right="615" w:firstLine="0"/>
        <w:rPr>
          <w:sz w:val="22"/>
          <w:szCs w:val="18"/>
          <w:lang w:val="es-ES"/>
        </w:rPr>
      </w:pPr>
    </w:p>
    <w:p w14:paraId="532DFFB1" w14:textId="55897327" w:rsidR="00853D7C" w:rsidRDefault="00853D7C" w:rsidP="00C34DDD">
      <w:pPr>
        <w:pStyle w:val="Texto"/>
        <w:numPr>
          <w:ilvl w:val="0"/>
          <w:numId w:val="11"/>
        </w:numPr>
        <w:spacing w:line="276" w:lineRule="auto"/>
        <w:ind w:left="1276" w:right="615" w:hanging="425"/>
        <w:rPr>
          <w:sz w:val="22"/>
          <w:szCs w:val="18"/>
          <w:lang w:val="es-ES"/>
        </w:rPr>
      </w:pPr>
      <w:r w:rsidRPr="008A2634">
        <w:rPr>
          <w:sz w:val="22"/>
          <w:szCs w:val="18"/>
          <w:lang w:val="es-ES"/>
        </w:rPr>
        <w:t xml:space="preserve">a </w:t>
      </w:r>
      <w:r w:rsidRPr="00C34DDD">
        <w:rPr>
          <w:b/>
          <w:bCs/>
          <w:sz w:val="22"/>
          <w:szCs w:val="18"/>
          <w:lang w:val="es-ES"/>
        </w:rPr>
        <w:t>XV</w:t>
      </w:r>
      <w:r w:rsidR="005452D6">
        <w:rPr>
          <w:b/>
          <w:bCs/>
          <w:sz w:val="22"/>
          <w:szCs w:val="18"/>
          <w:lang w:val="es-ES"/>
        </w:rPr>
        <w:t>.</w:t>
      </w:r>
      <w:r w:rsidRPr="008A2634">
        <w:rPr>
          <w:sz w:val="22"/>
          <w:szCs w:val="18"/>
          <w:lang w:val="es-ES"/>
        </w:rPr>
        <w:t xml:space="preserve"> …</w:t>
      </w:r>
    </w:p>
    <w:p w14:paraId="064CB943" w14:textId="77777777" w:rsidR="00023C16" w:rsidRPr="008A2634" w:rsidRDefault="00023C16" w:rsidP="00C34DDD">
      <w:pPr>
        <w:pStyle w:val="Texto"/>
        <w:spacing w:line="276" w:lineRule="auto"/>
        <w:ind w:left="1276" w:right="615" w:firstLine="0"/>
        <w:rPr>
          <w:sz w:val="22"/>
          <w:szCs w:val="18"/>
          <w:lang w:val="es-ES"/>
        </w:rPr>
      </w:pPr>
    </w:p>
    <w:p w14:paraId="26B70397" w14:textId="5F25A643" w:rsidR="00853D7C" w:rsidRPr="008A2634" w:rsidRDefault="00853D7C" w:rsidP="00C34DDD">
      <w:pPr>
        <w:pStyle w:val="Texto"/>
        <w:spacing w:line="276" w:lineRule="auto"/>
        <w:ind w:left="1276" w:right="615" w:hanging="425"/>
        <w:rPr>
          <w:sz w:val="22"/>
          <w:szCs w:val="18"/>
          <w:lang w:val="es-ES"/>
        </w:rPr>
      </w:pPr>
      <w:r w:rsidRPr="00C34DDD">
        <w:rPr>
          <w:b/>
          <w:bCs/>
          <w:sz w:val="22"/>
          <w:szCs w:val="18"/>
          <w:lang w:val="es-ES"/>
        </w:rPr>
        <w:t>XVI.</w:t>
      </w:r>
      <w:r w:rsidRPr="008A2634">
        <w:rPr>
          <w:sz w:val="22"/>
          <w:szCs w:val="18"/>
          <w:lang w:val="es-ES"/>
        </w:rPr>
        <w:t xml:space="preserve"> El sistema electrónico administrado por la Unidad de Concesiones y Servicios del Instituto, indicado en las fracciones VIII y IX del presente artículo, para el registro del número del RP y en su caso del archivo electrónico del RP o los CC emitidos por los LP y los OC, debe considerar al menos, los elementos de las Tablas 1a y 1b siguientes:    </w:t>
      </w:r>
    </w:p>
    <w:p w14:paraId="04B47006" w14:textId="77777777" w:rsidR="008F7EAB" w:rsidRDefault="00853D7C" w:rsidP="00023C16">
      <w:pPr>
        <w:pStyle w:val="Texto"/>
        <w:spacing w:line="276" w:lineRule="auto"/>
        <w:ind w:left="1276" w:right="615" w:firstLine="0"/>
        <w:rPr>
          <w:sz w:val="22"/>
          <w:szCs w:val="18"/>
          <w:lang w:val="es-ES"/>
        </w:rPr>
      </w:pPr>
      <w:r w:rsidRPr="008A2634">
        <w:rPr>
          <w:sz w:val="22"/>
          <w:szCs w:val="18"/>
          <w:lang w:val="es-ES"/>
        </w:rPr>
        <w:t>…</w:t>
      </w:r>
    </w:p>
    <w:p w14:paraId="11C8199F" w14:textId="77777777" w:rsidR="00CF666E" w:rsidRDefault="008F7EAB" w:rsidP="00C34DDD">
      <w:pPr>
        <w:pStyle w:val="Texto"/>
        <w:spacing w:line="276" w:lineRule="auto"/>
        <w:ind w:left="1276" w:right="615" w:firstLine="0"/>
        <w:rPr>
          <w:sz w:val="22"/>
          <w:szCs w:val="18"/>
          <w:lang w:val="es-ES"/>
        </w:rPr>
      </w:pPr>
      <w:r>
        <w:rPr>
          <w:sz w:val="22"/>
          <w:szCs w:val="18"/>
          <w:lang w:val="es-ES"/>
        </w:rPr>
        <w:t>…</w:t>
      </w:r>
    </w:p>
    <w:p w14:paraId="56118CF9" w14:textId="2CDF353A" w:rsidR="00853D7C" w:rsidRPr="008A2634" w:rsidRDefault="00CF666E" w:rsidP="00C34DDD">
      <w:pPr>
        <w:pStyle w:val="Texto"/>
        <w:spacing w:line="276" w:lineRule="auto"/>
        <w:ind w:left="1276" w:right="615" w:firstLine="0"/>
        <w:rPr>
          <w:sz w:val="22"/>
          <w:szCs w:val="18"/>
          <w:lang w:val="es-ES"/>
        </w:rPr>
      </w:pPr>
      <w:r>
        <w:rPr>
          <w:sz w:val="22"/>
          <w:szCs w:val="18"/>
          <w:lang w:val="es-ES"/>
        </w:rPr>
        <w:t>…</w:t>
      </w:r>
      <w:r w:rsidR="00853D7C" w:rsidRPr="008A2634">
        <w:rPr>
          <w:sz w:val="22"/>
          <w:szCs w:val="18"/>
          <w:lang w:val="es-ES"/>
        </w:rPr>
        <w:t>”</w:t>
      </w:r>
    </w:p>
    <w:p w14:paraId="7625DEF9" w14:textId="77777777" w:rsidR="002506D2" w:rsidRDefault="002506D2" w:rsidP="008F7EAB">
      <w:pPr>
        <w:spacing w:after="0"/>
        <w:jc w:val="both"/>
        <w:rPr>
          <w:rFonts w:ascii="Arial" w:hAnsi="Arial" w:cs="Arial"/>
        </w:rPr>
      </w:pPr>
    </w:p>
    <w:p w14:paraId="4BEC25CD" w14:textId="51F6C23E" w:rsidR="002506D2" w:rsidRDefault="002506D2" w:rsidP="008F7EAB">
      <w:pPr>
        <w:spacing w:after="0"/>
        <w:jc w:val="both"/>
        <w:rPr>
          <w:rFonts w:ascii="Arial" w:hAnsi="Arial" w:cs="Arial"/>
        </w:rPr>
      </w:pPr>
      <w:r w:rsidRPr="002506D2">
        <w:rPr>
          <w:rFonts w:ascii="Arial" w:hAnsi="Arial" w:cs="Arial"/>
        </w:rPr>
        <w:t xml:space="preserve">Derivado de lo anterior, se elimina </w:t>
      </w:r>
      <w:r>
        <w:rPr>
          <w:rFonts w:ascii="Arial" w:hAnsi="Arial" w:cs="Arial"/>
        </w:rPr>
        <w:t>el</w:t>
      </w:r>
      <w:r w:rsidRPr="002506D2">
        <w:rPr>
          <w:rFonts w:ascii="Arial" w:hAnsi="Arial" w:cs="Arial"/>
        </w:rPr>
        <w:t xml:space="preserve"> trámite UCS-04-095 </w:t>
      </w:r>
      <w:r w:rsidR="00FB1E62">
        <w:rPr>
          <w:rFonts w:ascii="Arial" w:hAnsi="Arial" w:cs="Arial"/>
        </w:rPr>
        <w:t>“</w:t>
      </w:r>
      <w:r w:rsidRPr="002506D2">
        <w:rPr>
          <w:rFonts w:ascii="Arial" w:hAnsi="Arial" w:cs="Arial"/>
        </w:rPr>
        <w:t>Envío de las Cartas de No Cumplimiento por parte de los Organismos de Certificación al IFT</w:t>
      </w:r>
      <w:r w:rsidR="00FB1E62">
        <w:rPr>
          <w:rFonts w:ascii="Arial" w:hAnsi="Arial" w:cs="Arial"/>
        </w:rPr>
        <w:t>”</w:t>
      </w:r>
      <w:r w:rsidR="002B3D1F">
        <w:rPr>
          <w:rFonts w:ascii="Arial" w:hAnsi="Arial" w:cs="Arial"/>
        </w:rPr>
        <w:t>,</w:t>
      </w:r>
      <w:r w:rsidRPr="002506D2">
        <w:rPr>
          <w:rFonts w:ascii="Arial" w:hAnsi="Arial" w:cs="Arial"/>
        </w:rPr>
        <w:t xml:space="preserve"> así como su inscripción en el Registro de Trámites y Servicios del Instituto Federal de Telecomunicaciones</w:t>
      </w:r>
      <w:r>
        <w:rPr>
          <w:rFonts w:ascii="Arial" w:hAnsi="Arial" w:cs="Arial"/>
        </w:rPr>
        <w:t>.</w:t>
      </w:r>
    </w:p>
    <w:p w14:paraId="1B8F8B55" w14:textId="48D78ED6" w:rsidR="008A2634" w:rsidRPr="008A2634" w:rsidRDefault="008A2634" w:rsidP="00C34DDD">
      <w:pPr>
        <w:spacing w:after="0"/>
        <w:jc w:val="both"/>
        <w:rPr>
          <w:rFonts w:ascii="Arial" w:hAnsi="Arial" w:cs="Arial"/>
          <w:b/>
          <w:sz w:val="32"/>
        </w:rPr>
      </w:pPr>
    </w:p>
    <w:p w14:paraId="595FAF07" w14:textId="04B9AC82" w:rsidR="00650540" w:rsidRDefault="00B524C5" w:rsidP="00023C16">
      <w:pPr>
        <w:spacing w:after="0"/>
        <w:jc w:val="both"/>
        <w:rPr>
          <w:rFonts w:ascii="Arial" w:hAnsi="Arial" w:cs="Arial"/>
        </w:rPr>
      </w:pPr>
      <w:r>
        <w:rPr>
          <w:rFonts w:ascii="Arial" w:hAnsi="Arial" w:cs="Arial"/>
          <w:b/>
        </w:rPr>
        <w:t>Cuarto.</w:t>
      </w:r>
      <w:r w:rsidR="00D26636">
        <w:rPr>
          <w:rFonts w:ascii="Arial" w:hAnsi="Arial" w:cs="Arial"/>
          <w:b/>
        </w:rPr>
        <w:t xml:space="preserve"> </w:t>
      </w:r>
      <w:r>
        <w:rPr>
          <w:rFonts w:ascii="Arial" w:hAnsi="Arial" w:cs="Arial"/>
          <w:b/>
        </w:rPr>
        <w:t>-</w:t>
      </w:r>
      <w:r w:rsidR="008A2634">
        <w:rPr>
          <w:rFonts w:ascii="Arial" w:hAnsi="Arial" w:cs="Arial"/>
          <w:b/>
        </w:rPr>
        <w:t xml:space="preserve"> </w:t>
      </w:r>
      <w:r w:rsidR="00650540">
        <w:rPr>
          <w:rFonts w:ascii="Arial" w:hAnsi="Arial" w:cs="Arial"/>
        </w:rPr>
        <w:t>S</w:t>
      </w:r>
      <w:r w:rsidR="00650540" w:rsidRPr="008A2634">
        <w:rPr>
          <w:rFonts w:ascii="Arial" w:hAnsi="Arial" w:cs="Arial"/>
        </w:rPr>
        <w:t xml:space="preserve">e </w:t>
      </w:r>
      <w:r w:rsidR="00650540" w:rsidRPr="00C34DDD">
        <w:rPr>
          <w:rFonts w:ascii="Arial" w:hAnsi="Arial" w:cs="Arial"/>
          <w:b/>
          <w:bCs/>
        </w:rPr>
        <w:t>MODIFICA</w:t>
      </w:r>
      <w:r w:rsidR="00650540" w:rsidRPr="008A2634">
        <w:rPr>
          <w:rFonts w:ascii="Arial" w:hAnsi="Arial" w:cs="Arial"/>
        </w:rPr>
        <w:t xml:space="preserve"> el último párrafo del </w:t>
      </w:r>
      <w:r w:rsidR="00C34DDD">
        <w:rPr>
          <w:rFonts w:ascii="Arial" w:hAnsi="Arial" w:cs="Arial"/>
        </w:rPr>
        <w:t xml:space="preserve">lineamiento </w:t>
      </w:r>
      <w:r w:rsidR="00650540" w:rsidRPr="008A2634">
        <w:rPr>
          <w:rFonts w:ascii="Arial" w:hAnsi="Arial" w:cs="Arial"/>
        </w:rPr>
        <w:t>Séptimo de los “Lineamientos para la Acreditación y Autorización de Organismos de Certificación en materia de Telecomunicaciones y Radiodifusión.”, publicado</w:t>
      </w:r>
      <w:r w:rsidR="00145A1E">
        <w:rPr>
          <w:rFonts w:ascii="Arial" w:hAnsi="Arial" w:cs="Arial"/>
        </w:rPr>
        <w:t>s</w:t>
      </w:r>
      <w:r w:rsidR="00650540" w:rsidRPr="008A2634">
        <w:rPr>
          <w:rFonts w:ascii="Arial" w:hAnsi="Arial" w:cs="Arial"/>
        </w:rPr>
        <w:t xml:space="preserve"> en el DOF el 8 de julio de 2021, para quedar como sigue:</w:t>
      </w:r>
    </w:p>
    <w:p w14:paraId="46CA8705" w14:textId="77777777" w:rsidR="00650540" w:rsidRDefault="00650540" w:rsidP="00023C16">
      <w:pPr>
        <w:spacing w:after="0"/>
        <w:jc w:val="both"/>
        <w:rPr>
          <w:rFonts w:ascii="Arial" w:hAnsi="Arial" w:cs="Arial"/>
          <w:b/>
        </w:rPr>
      </w:pPr>
    </w:p>
    <w:p w14:paraId="62AA9EBC" w14:textId="6447B40F" w:rsidR="00650540" w:rsidRPr="008A2634" w:rsidRDefault="00650540" w:rsidP="00C34DDD">
      <w:pPr>
        <w:pStyle w:val="Texto"/>
        <w:tabs>
          <w:tab w:val="left" w:pos="8784"/>
        </w:tabs>
        <w:spacing w:line="276" w:lineRule="auto"/>
        <w:ind w:left="851" w:right="620" w:firstLine="0"/>
        <w:rPr>
          <w:b/>
          <w:sz w:val="22"/>
        </w:rPr>
      </w:pPr>
      <w:r w:rsidRPr="008A2634">
        <w:rPr>
          <w:b/>
          <w:sz w:val="22"/>
        </w:rPr>
        <w:t>“</w:t>
      </w:r>
      <w:r w:rsidR="00830046" w:rsidRPr="008A2634">
        <w:rPr>
          <w:b/>
          <w:sz w:val="22"/>
        </w:rPr>
        <w:t>S</w:t>
      </w:r>
      <w:r w:rsidR="007A55E9">
        <w:rPr>
          <w:b/>
          <w:sz w:val="22"/>
        </w:rPr>
        <w:t>éptimo</w:t>
      </w:r>
      <w:r w:rsidR="00830046" w:rsidRPr="008A2634">
        <w:rPr>
          <w:b/>
          <w:sz w:val="22"/>
        </w:rPr>
        <w:t>.</w:t>
      </w:r>
      <w:r w:rsidRPr="008A2634">
        <w:rPr>
          <w:b/>
          <w:sz w:val="22"/>
        </w:rPr>
        <w:t xml:space="preserve"> </w:t>
      </w:r>
      <w:r w:rsidRPr="00C34DDD">
        <w:rPr>
          <w:bCs/>
          <w:sz w:val="22"/>
        </w:rPr>
        <w:t>…</w:t>
      </w:r>
    </w:p>
    <w:p w14:paraId="46987CEB" w14:textId="77777777" w:rsidR="00650540" w:rsidRPr="008A2634" w:rsidRDefault="00650540" w:rsidP="00C34DDD">
      <w:pPr>
        <w:pStyle w:val="Texto"/>
        <w:tabs>
          <w:tab w:val="left" w:pos="8784"/>
        </w:tabs>
        <w:spacing w:line="276" w:lineRule="auto"/>
        <w:ind w:left="851" w:right="620" w:firstLine="0"/>
        <w:rPr>
          <w:sz w:val="22"/>
          <w:szCs w:val="18"/>
          <w:lang w:val="es-ES"/>
        </w:rPr>
      </w:pPr>
      <w:r w:rsidRPr="008A2634">
        <w:rPr>
          <w:sz w:val="22"/>
          <w:szCs w:val="18"/>
          <w:lang w:val="es-ES"/>
        </w:rPr>
        <w:lastRenderedPageBreak/>
        <w:t>…</w:t>
      </w:r>
    </w:p>
    <w:p w14:paraId="62FD2F6A" w14:textId="77777777" w:rsidR="00650540" w:rsidRPr="008A2634" w:rsidRDefault="00650540" w:rsidP="00C34DDD">
      <w:pPr>
        <w:pStyle w:val="Texto"/>
        <w:tabs>
          <w:tab w:val="left" w:pos="8784"/>
        </w:tabs>
        <w:spacing w:line="276" w:lineRule="auto"/>
        <w:ind w:left="851" w:right="620" w:firstLine="0"/>
        <w:rPr>
          <w:sz w:val="22"/>
          <w:szCs w:val="18"/>
          <w:lang w:val="es-ES"/>
        </w:rPr>
      </w:pPr>
      <w:r w:rsidRPr="008A2634">
        <w:rPr>
          <w:sz w:val="22"/>
          <w:szCs w:val="18"/>
          <w:lang w:val="es-ES"/>
        </w:rPr>
        <w:t>…</w:t>
      </w:r>
    </w:p>
    <w:p w14:paraId="51CCCCD7" w14:textId="77777777" w:rsidR="00FB1E62" w:rsidRDefault="00650540">
      <w:pPr>
        <w:spacing w:after="0"/>
        <w:ind w:left="851"/>
        <w:jc w:val="both"/>
        <w:rPr>
          <w:rFonts w:ascii="Arial" w:hAnsi="Arial" w:cs="Arial"/>
          <w:szCs w:val="18"/>
        </w:rPr>
      </w:pPr>
      <w:r w:rsidRPr="00C34DDD">
        <w:rPr>
          <w:rFonts w:ascii="Arial" w:hAnsi="Arial" w:cs="Arial"/>
          <w:szCs w:val="18"/>
        </w:rPr>
        <w:t xml:space="preserve">Una vez que el OA, en su caso, haya otorgado la Acreditación al OC solicitante, enviará el Certificado de Acreditación correspondiente a la UCS </w:t>
      </w:r>
      <w:r w:rsidR="00067224">
        <w:rPr>
          <w:rFonts w:ascii="Arial" w:hAnsi="Arial" w:cs="Arial"/>
          <w:szCs w:val="18"/>
        </w:rPr>
        <w:t xml:space="preserve">a </w:t>
      </w:r>
      <w:r w:rsidRPr="00C34DDD">
        <w:rPr>
          <w:rFonts w:ascii="Arial" w:hAnsi="Arial" w:cs="Arial"/>
          <w:szCs w:val="18"/>
        </w:rPr>
        <w:t>través de la Ventanilla Electrónica.”</w:t>
      </w:r>
    </w:p>
    <w:p w14:paraId="4F444322" w14:textId="77777777" w:rsidR="00FB1E62" w:rsidRDefault="00FB1E62">
      <w:pPr>
        <w:spacing w:after="0"/>
        <w:ind w:left="851"/>
        <w:jc w:val="both"/>
        <w:rPr>
          <w:rFonts w:ascii="Arial" w:hAnsi="Arial" w:cs="Arial"/>
          <w:szCs w:val="18"/>
        </w:rPr>
      </w:pPr>
    </w:p>
    <w:p w14:paraId="108558C7" w14:textId="19C270EE" w:rsidR="00FB1E62" w:rsidRDefault="00FB1E62" w:rsidP="00C34DDD">
      <w:pPr>
        <w:spacing w:after="0"/>
        <w:jc w:val="both"/>
        <w:rPr>
          <w:rFonts w:ascii="Arial" w:hAnsi="Arial" w:cs="Arial"/>
        </w:rPr>
      </w:pPr>
      <w:r w:rsidRPr="00FB1E62">
        <w:rPr>
          <w:rFonts w:ascii="Arial" w:hAnsi="Arial" w:cs="Arial"/>
        </w:rPr>
        <w:t xml:space="preserve">Derivado de lo anterior, se elimina el trámite UCS-04-122 </w:t>
      </w:r>
      <w:r w:rsidR="002B3D1F">
        <w:rPr>
          <w:rFonts w:ascii="Arial" w:hAnsi="Arial" w:cs="Arial"/>
        </w:rPr>
        <w:t>“</w:t>
      </w:r>
      <w:r w:rsidRPr="00FB1E62">
        <w:rPr>
          <w:rFonts w:ascii="Arial" w:hAnsi="Arial" w:cs="Arial"/>
        </w:rPr>
        <w:t>Aviso por parte de un Organismo de Acreditación del otorgamiento de un Certificado de acreditación a un Organismo de Certificación</w:t>
      </w:r>
      <w:r w:rsidR="002B3D1F">
        <w:rPr>
          <w:rFonts w:ascii="Arial" w:hAnsi="Arial" w:cs="Arial"/>
        </w:rPr>
        <w:t>”,</w:t>
      </w:r>
      <w:r w:rsidRPr="00FB1E62">
        <w:rPr>
          <w:rFonts w:ascii="Arial" w:hAnsi="Arial" w:cs="Arial"/>
        </w:rPr>
        <w:t xml:space="preserve"> así como su inscripción en el Registro de Trámites y Servicios del Instituto Federal de Telecomunicaciones.</w:t>
      </w:r>
    </w:p>
    <w:p w14:paraId="6BC96F92" w14:textId="77777777" w:rsidR="008A2634" w:rsidRDefault="008A2634" w:rsidP="00023C16">
      <w:pPr>
        <w:spacing w:after="0"/>
        <w:jc w:val="both"/>
        <w:rPr>
          <w:rFonts w:ascii="Arial" w:hAnsi="Arial" w:cs="Arial"/>
          <w:b/>
        </w:rPr>
      </w:pPr>
    </w:p>
    <w:p w14:paraId="5C417CBE" w14:textId="5B5D4E50" w:rsidR="00830046" w:rsidRDefault="00B524C5" w:rsidP="00023C16">
      <w:pPr>
        <w:spacing w:after="0"/>
        <w:jc w:val="both"/>
        <w:rPr>
          <w:rFonts w:ascii="Arial" w:hAnsi="Arial" w:cs="Arial"/>
        </w:rPr>
      </w:pPr>
      <w:r>
        <w:rPr>
          <w:rFonts w:ascii="Arial" w:hAnsi="Arial" w:cs="Arial"/>
          <w:b/>
        </w:rPr>
        <w:t>Quinto.</w:t>
      </w:r>
      <w:r w:rsidR="008307C9">
        <w:rPr>
          <w:rFonts w:ascii="Arial" w:hAnsi="Arial" w:cs="Arial"/>
          <w:b/>
        </w:rPr>
        <w:t xml:space="preserve"> </w:t>
      </w:r>
      <w:r>
        <w:rPr>
          <w:rFonts w:ascii="Arial" w:hAnsi="Arial" w:cs="Arial"/>
          <w:b/>
        </w:rPr>
        <w:t>-</w:t>
      </w:r>
      <w:r w:rsidR="008A2634">
        <w:rPr>
          <w:rFonts w:ascii="Arial" w:hAnsi="Arial" w:cs="Arial"/>
          <w:b/>
        </w:rPr>
        <w:t xml:space="preserve"> </w:t>
      </w:r>
      <w:r w:rsidR="00830046">
        <w:rPr>
          <w:rFonts w:ascii="Arial" w:hAnsi="Arial" w:cs="Arial"/>
        </w:rPr>
        <w:t>S</w:t>
      </w:r>
      <w:r w:rsidR="00830046" w:rsidRPr="008A2634">
        <w:rPr>
          <w:rFonts w:ascii="Arial" w:hAnsi="Arial" w:cs="Arial"/>
        </w:rPr>
        <w:t xml:space="preserve">e </w:t>
      </w:r>
      <w:r w:rsidR="00830046" w:rsidRPr="00C34DDD">
        <w:rPr>
          <w:rFonts w:ascii="Arial" w:hAnsi="Arial" w:cs="Arial"/>
          <w:b/>
          <w:bCs/>
        </w:rPr>
        <w:t>MODIFICA</w:t>
      </w:r>
      <w:r w:rsidR="00830046" w:rsidRPr="008A2634">
        <w:rPr>
          <w:rFonts w:ascii="Arial" w:hAnsi="Arial" w:cs="Arial"/>
        </w:rPr>
        <w:t xml:space="preserve"> el </w:t>
      </w:r>
      <w:r w:rsidR="00034AE9" w:rsidRPr="008A2634">
        <w:rPr>
          <w:rFonts w:ascii="Arial" w:hAnsi="Arial" w:cs="Arial"/>
        </w:rPr>
        <w:t>párrafo tercer</w:t>
      </w:r>
      <w:r w:rsidR="00034AE9">
        <w:rPr>
          <w:rFonts w:ascii="Arial" w:hAnsi="Arial" w:cs="Arial"/>
        </w:rPr>
        <w:t>o del</w:t>
      </w:r>
      <w:r w:rsidR="00034AE9" w:rsidRPr="008A2634">
        <w:rPr>
          <w:rFonts w:ascii="Arial" w:hAnsi="Arial" w:cs="Arial"/>
        </w:rPr>
        <w:t xml:space="preserve"> </w:t>
      </w:r>
      <w:r w:rsidR="00830046" w:rsidRPr="008A2634">
        <w:rPr>
          <w:rFonts w:ascii="Arial" w:hAnsi="Arial" w:cs="Arial"/>
        </w:rPr>
        <w:t xml:space="preserve">numeral 8.5 de la </w:t>
      </w:r>
      <w:bookmarkStart w:id="5" w:name="_Hlk142043002"/>
      <w:r w:rsidR="00847AFF">
        <w:rPr>
          <w:rFonts w:ascii="Arial" w:hAnsi="Arial" w:cs="Arial"/>
        </w:rPr>
        <w:t>“</w:t>
      </w:r>
      <w:r w:rsidR="00830046" w:rsidRPr="008A2634">
        <w:rPr>
          <w:rFonts w:ascii="Arial" w:hAnsi="Arial" w:cs="Arial"/>
        </w:rPr>
        <w:t>Disposición Técnica IFT-011-2017: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w:t>
      </w:r>
      <w:r w:rsidR="00847AFF">
        <w:rPr>
          <w:rFonts w:ascii="Arial" w:hAnsi="Arial" w:cs="Arial"/>
        </w:rPr>
        <w:t>”</w:t>
      </w:r>
      <w:r w:rsidR="00830046" w:rsidRPr="008A2634">
        <w:rPr>
          <w:rFonts w:ascii="Arial" w:hAnsi="Arial" w:cs="Arial"/>
        </w:rPr>
        <w:t xml:space="preserve">, publicada en el </w:t>
      </w:r>
      <w:r w:rsidR="00145A1E">
        <w:rPr>
          <w:rFonts w:ascii="Arial" w:hAnsi="Arial" w:cs="Arial"/>
        </w:rPr>
        <w:t>DOF</w:t>
      </w:r>
      <w:r w:rsidR="00830046" w:rsidRPr="008A2634">
        <w:rPr>
          <w:rFonts w:ascii="Arial" w:hAnsi="Arial" w:cs="Arial"/>
        </w:rPr>
        <w:t xml:space="preserve"> el día 27 de abril de 2017</w:t>
      </w:r>
      <w:bookmarkEnd w:id="5"/>
      <w:r w:rsidR="00830046" w:rsidRPr="008A2634">
        <w:rPr>
          <w:rFonts w:ascii="Arial" w:hAnsi="Arial" w:cs="Arial"/>
        </w:rPr>
        <w:t>, para quedar como sigue:</w:t>
      </w:r>
    </w:p>
    <w:p w14:paraId="575B678E" w14:textId="77777777" w:rsidR="00830046" w:rsidRDefault="00830046" w:rsidP="00023C16">
      <w:pPr>
        <w:spacing w:after="0"/>
        <w:jc w:val="both"/>
        <w:rPr>
          <w:rFonts w:ascii="Arial" w:hAnsi="Arial" w:cs="Arial"/>
          <w:b/>
        </w:rPr>
      </w:pPr>
    </w:p>
    <w:p w14:paraId="68A086F4" w14:textId="77777777" w:rsidR="00830046" w:rsidRPr="008A2634" w:rsidRDefault="00830046" w:rsidP="00C34DDD">
      <w:pPr>
        <w:pStyle w:val="Texto"/>
        <w:spacing w:line="276" w:lineRule="auto"/>
        <w:ind w:left="1276" w:right="615" w:hanging="425"/>
        <w:rPr>
          <w:b/>
          <w:sz w:val="22"/>
        </w:rPr>
      </w:pPr>
      <w:r w:rsidRPr="008A2634">
        <w:rPr>
          <w:b/>
          <w:sz w:val="22"/>
        </w:rPr>
        <w:t>“8.5 Vigilancia del cumplimiento de la certificación.</w:t>
      </w:r>
    </w:p>
    <w:p w14:paraId="71662CB5" w14:textId="77777777" w:rsidR="00830046" w:rsidRPr="008A2634" w:rsidRDefault="00830046" w:rsidP="00C34DDD">
      <w:pPr>
        <w:pStyle w:val="Texto"/>
        <w:spacing w:line="276" w:lineRule="auto"/>
        <w:ind w:left="993" w:right="615" w:firstLine="0"/>
        <w:rPr>
          <w:sz w:val="22"/>
          <w:szCs w:val="18"/>
          <w:lang w:val="es-ES"/>
        </w:rPr>
      </w:pPr>
      <w:r w:rsidRPr="008A2634">
        <w:rPr>
          <w:sz w:val="22"/>
          <w:szCs w:val="18"/>
          <w:lang w:val="es-ES"/>
        </w:rPr>
        <w:t>…</w:t>
      </w:r>
    </w:p>
    <w:p w14:paraId="77CE156F" w14:textId="77777777" w:rsidR="00830046" w:rsidRPr="008A2634" w:rsidRDefault="00830046" w:rsidP="00C34DDD">
      <w:pPr>
        <w:pStyle w:val="Texto"/>
        <w:spacing w:line="276" w:lineRule="auto"/>
        <w:ind w:left="993" w:right="615" w:firstLine="0"/>
        <w:rPr>
          <w:sz w:val="22"/>
          <w:szCs w:val="18"/>
          <w:lang w:val="es-ES"/>
        </w:rPr>
      </w:pPr>
      <w:r w:rsidRPr="008A2634">
        <w:rPr>
          <w:sz w:val="22"/>
          <w:szCs w:val="18"/>
          <w:lang w:val="es-ES"/>
        </w:rPr>
        <w:t>…</w:t>
      </w:r>
    </w:p>
    <w:p w14:paraId="381942EE" w14:textId="77777777" w:rsidR="00830046" w:rsidRPr="008A2634" w:rsidRDefault="00830046" w:rsidP="00C34DDD">
      <w:pPr>
        <w:pStyle w:val="Texto"/>
        <w:spacing w:line="276" w:lineRule="auto"/>
        <w:ind w:left="993" w:right="615" w:firstLine="141"/>
        <w:rPr>
          <w:sz w:val="22"/>
          <w:szCs w:val="18"/>
          <w:lang w:val="es-ES"/>
        </w:rPr>
      </w:pPr>
      <w:r w:rsidRPr="008A2634">
        <w:rPr>
          <w:sz w:val="22"/>
          <w:szCs w:val="18"/>
          <w:lang w:val="es-ES"/>
        </w:rPr>
        <w:t xml:space="preserve">El porcentaje de certificados sujetos a actividades de Vigilancia del cumplimiento de la certificación (incluido el número de visitas de Vigilancia del cumplimiento de la certificación) relativas a la presente Disposición Técnica será establecido por la Unidad de Concesiones y Servicios anualmente y publicado en el portal de Internet del Instituto en el mes de octubre del año previo al que se pretende realizar dichas actividades. </w:t>
      </w:r>
    </w:p>
    <w:p w14:paraId="35A88F8B" w14:textId="77777777" w:rsidR="00034AE9" w:rsidRDefault="00830046">
      <w:pPr>
        <w:pStyle w:val="Texto"/>
        <w:spacing w:line="276" w:lineRule="auto"/>
        <w:ind w:left="993" w:right="615" w:firstLine="0"/>
        <w:rPr>
          <w:sz w:val="22"/>
          <w:szCs w:val="18"/>
          <w:lang w:val="es-ES"/>
        </w:rPr>
      </w:pPr>
      <w:r w:rsidRPr="008A2634">
        <w:rPr>
          <w:sz w:val="22"/>
          <w:szCs w:val="18"/>
          <w:lang w:val="es-ES"/>
        </w:rPr>
        <w:t>…</w:t>
      </w:r>
    </w:p>
    <w:p w14:paraId="033D870D" w14:textId="77777777" w:rsidR="00034AE9" w:rsidRDefault="00034AE9">
      <w:pPr>
        <w:pStyle w:val="Texto"/>
        <w:spacing w:line="276" w:lineRule="auto"/>
        <w:ind w:left="993" w:right="615" w:firstLine="0"/>
        <w:rPr>
          <w:sz w:val="22"/>
          <w:szCs w:val="18"/>
          <w:lang w:val="es-ES"/>
        </w:rPr>
      </w:pPr>
      <w:r>
        <w:rPr>
          <w:sz w:val="22"/>
          <w:szCs w:val="18"/>
          <w:lang w:val="es-ES"/>
        </w:rPr>
        <w:t>…</w:t>
      </w:r>
    </w:p>
    <w:p w14:paraId="3411E5AA" w14:textId="77777777" w:rsidR="00034AE9" w:rsidRDefault="00034AE9">
      <w:pPr>
        <w:pStyle w:val="Texto"/>
        <w:spacing w:line="276" w:lineRule="auto"/>
        <w:ind w:left="993" w:right="615" w:firstLine="0"/>
        <w:rPr>
          <w:sz w:val="22"/>
          <w:szCs w:val="18"/>
          <w:lang w:val="es-ES"/>
        </w:rPr>
      </w:pPr>
      <w:r>
        <w:rPr>
          <w:sz w:val="22"/>
          <w:szCs w:val="18"/>
          <w:lang w:val="es-ES"/>
        </w:rPr>
        <w:t>…</w:t>
      </w:r>
    </w:p>
    <w:p w14:paraId="33BDE646" w14:textId="77777777" w:rsidR="00034AE9" w:rsidRDefault="00034AE9">
      <w:pPr>
        <w:pStyle w:val="Texto"/>
        <w:spacing w:line="276" w:lineRule="auto"/>
        <w:ind w:left="993" w:right="615" w:firstLine="0"/>
        <w:rPr>
          <w:sz w:val="22"/>
          <w:szCs w:val="18"/>
          <w:lang w:val="es-ES"/>
        </w:rPr>
      </w:pPr>
      <w:r>
        <w:rPr>
          <w:sz w:val="22"/>
          <w:szCs w:val="18"/>
          <w:lang w:val="es-ES"/>
        </w:rPr>
        <w:t>…</w:t>
      </w:r>
    </w:p>
    <w:p w14:paraId="4B17D914" w14:textId="77777777" w:rsidR="00034AE9" w:rsidRDefault="00034AE9">
      <w:pPr>
        <w:pStyle w:val="Texto"/>
        <w:spacing w:line="276" w:lineRule="auto"/>
        <w:ind w:left="993" w:right="615" w:firstLine="0"/>
        <w:rPr>
          <w:sz w:val="22"/>
          <w:szCs w:val="18"/>
          <w:lang w:val="es-ES"/>
        </w:rPr>
      </w:pPr>
      <w:r>
        <w:rPr>
          <w:sz w:val="22"/>
          <w:szCs w:val="18"/>
          <w:lang w:val="es-ES"/>
        </w:rPr>
        <w:t>…</w:t>
      </w:r>
    </w:p>
    <w:p w14:paraId="0F67EFF9" w14:textId="77777777" w:rsidR="00034AE9" w:rsidRDefault="00034AE9">
      <w:pPr>
        <w:pStyle w:val="Texto"/>
        <w:spacing w:line="276" w:lineRule="auto"/>
        <w:ind w:left="993" w:right="615" w:firstLine="0"/>
        <w:rPr>
          <w:sz w:val="22"/>
          <w:szCs w:val="18"/>
          <w:lang w:val="es-ES"/>
        </w:rPr>
      </w:pPr>
      <w:r>
        <w:rPr>
          <w:sz w:val="22"/>
          <w:szCs w:val="18"/>
          <w:lang w:val="es-ES"/>
        </w:rPr>
        <w:t>…</w:t>
      </w:r>
    </w:p>
    <w:p w14:paraId="51CF0982" w14:textId="570647B2" w:rsidR="00034AE9" w:rsidRDefault="00034AE9">
      <w:pPr>
        <w:pStyle w:val="Texto"/>
        <w:spacing w:line="276" w:lineRule="auto"/>
        <w:ind w:left="993" w:right="615" w:firstLine="0"/>
        <w:rPr>
          <w:sz w:val="22"/>
          <w:szCs w:val="18"/>
          <w:lang w:val="es-ES"/>
        </w:rPr>
      </w:pPr>
      <w:r>
        <w:rPr>
          <w:sz w:val="22"/>
          <w:szCs w:val="18"/>
          <w:lang w:val="es-ES"/>
        </w:rPr>
        <w:t>…</w:t>
      </w:r>
    </w:p>
    <w:p w14:paraId="26F953AE" w14:textId="644AB9B7" w:rsidR="00034AE9" w:rsidRDefault="00034AE9">
      <w:pPr>
        <w:pStyle w:val="Texto"/>
        <w:spacing w:line="276" w:lineRule="auto"/>
        <w:ind w:left="993" w:right="615" w:firstLine="0"/>
        <w:rPr>
          <w:sz w:val="22"/>
          <w:szCs w:val="18"/>
          <w:lang w:val="es-ES"/>
        </w:rPr>
      </w:pPr>
      <w:r>
        <w:rPr>
          <w:sz w:val="22"/>
          <w:szCs w:val="18"/>
          <w:lang w:val="es-ES"/>
        </w:rPr>
        <w:t>…</w:t>
      </w:r>
    </w:p>
    <w:p w14:paraId="3C2964D3" w14:textId="6975B0CA" w:rsidR="00830046" w:rsidRPr="008A2634" w:rsidRDefault="00034AE9" w:rsidP="00C34DDD">
      <w:pPr>
        <w:pStyle w:val="Texto"/>
        <w:spacing w:line="276" w:lineRule="auto"/>
        <w:ind w:left="993" w:right="615" w:firstLine="0"/>
        <w:rPr>
          <w:sz w:val="22"/>
          <w:szCs w:val="18"/>
          <w:lang w:val="es-ES"/>
        </w:rPr>
      </w:pPr>
      <w:r>
        <w:rPr>
          <w:sz w:val="22"/>
          <w:szCs w:val="18"/>
          <w:lang w:val="es-ES"/>
        </w:rPr>
        <w:t>…</w:t>
      </w:r>
      <w:r w:rsidR="00830046" w:rsidRPr="008A2634">
        <w:rPr>
          <w:sz w:val="22"/>
          <w:szCs w:val="18"/>
          <w:lang w:val="es-ES"/>
        </w:rPr>
        <w:t xml:space="preserve"> ”</w:t>
      </w:r>
    </w:p>
    <w:p w14:paraId="4A8B253F" w14:textId="77777777" w:rsidR="000523AB" w:rsidRDefault="000523AB" w:rsidP="008F7EAB">
      <w:pPr>
        <w:spacing w:after="0"/>
        <w:jc w:val="both"/>
        <w:rPr>
          <w:rFonts w:ascii="Arial" w:hAnsi="Arial" w:cs="Arial"/>
        </w:rPr>
      </w:pPr>
    </w:p>
    <w:p w14:paraId="205B22E3" w14:textId="717780B9" w:rsidR="000523AB" w:rsidRDefault="000523AB" w:rsidP="008F7EAB">
      <w:pPr>
        <w:spacing w:after="0"/>
        <w:jc w:val="both"/>
        <w:rPr>
          <w:rFonts w:ascii="Arial" w:hAnsi="Arial" w:cs="Arial"/>
        </w:rPr>
      </w:pPr>
      <w:r w:rsidRPr="00FB1E62">
        <w:rPr>
          <w:rFonts w:ascii="Arial" w:hAnsi="Arial" w:cs="Arial"/>
        </w:rPr>
        <w:lastRenderedPageBreak/>
        <w:t xml:space="preserve">Derivado de lo anterior, se elimina el trámite </w:t>
      </w:r>
      <w:bookmarkStart w:id="6" w:name="_Hlk142042970"/>
      <w:r w:rsidR="002B3D1F" w:rsidRPr="002B3D1F">
        <w:rPr>
          <w:rFonts w:ascii="Arial" w:hAnsi="Arial" w:cs="Arial"/>
        </w:rPr>
        <w:t>UCS-04-076</w:t>
      </w:r>
      <w:r w:rsidR="002B3D1F">
        <w:rPr>
          <w:rFonts w:ascii="Arial" w:hAnsi="Arial" w:cs="Arial"/>
        </w:rPr>
        <w:t xml:space="preserve"> “</w:t>
      </w:r>
      <w:r w:rsidR="002B3D1F" w:rsidRPr="002B3D1F">
        <w:rPr>
          <w:rFonts w:ascii="Arial" w:hAnsi="Arial" w:cs="Arial"/>
        </w:rPr>
        <w:t>Envío de Propuesta de actividades de Vigilancia del cumplimiento de la certificació</w:t>
      </w:r>
      <w:r w:rsidR="002B3D1F">
        <w:rPr>
          <w:rFonts w:ascii="Arial" w:hAnsi="Arial" w:cs="Arial"/>
        </w:rPr>
        <w:t>n”</w:t>
      </w:r>
      <w:bookmarkEnd w:id="6"/>
      <w:r w:rsidR="002B3D1F">
        <w:rPr>
          <w:rFonts w:ascii="Arial" w:hAnsi="Arial" w:cs="Arial"/>
        </w:rPr>
        <w:t>,</w:t>
      </w:r>
      <w:r w:rsidRPr="00FB1E62">
        <w:rPr>
          <w:rFonts w:ascii="Arial" w:hAnsi="Arial" w:cs="Arial"/>
        </w:rPr>
        <w:t xml:space="preserve"> así como su inscripción en el Registro de Trámites y Servicios del Instituto Federal de Telecomunicaciones</w:t>
      </w:r>
      <w:r w:rsidR="002B3D1F">
        <w:rPr>
          <w:rFonts w:ascii="Arial" w:hAnsi="Arial" w:cs="Arial"/>
        </w:rPr>
        <w:t>.</w:t>
      </w:r>
    </w:p>
    <w:p w14:paraId="562E9566" w14:textId="77777777" w:rsidR="008A2634" w:rsidRDefault="008A2634" w:rsidP="00023C16">
      <w:pPr>
        <w:spacing w:after="0"/>
        <w:jc w:val="both"/>
        <w:rPr>
          <w:rFonts w:ascii="Arial" w:hAnsi="Arial" w:cs="Arial"/>
          <w:b/>
        </w:rPr>
      </w:pPr>
    </w:p>
    <w:p w14:paraId="07351CC6" w14:textId="56B3FF2C" w:rsidR="00612F1B" w:rsidRDefault="00B524C5" w:rsidP="00612F1B">
      <w:pPr>
        <w:spacing w:after="0"/>
        <w:jc w:val="both"/>
        <w:rPr>
          <w:rFonts w:ascii="Arial" w:hAnsi="Arial" w:cs="Arial"/>
        </w:rPr>
      </w:pPr>
      <w:r>
        <w:rPr>
          <w:rFonts w:ascii="Arial" w:hAnsi="Arial" w:cs="Arial"/>
          <w:b/>
        </w:rPr>
        <w:t>Sexto.</w:t>
      </w:r>
      <w:r w:rsidR="008307C9">
        <w:rPr>
          <w:rFonts w:ascii="Arial" w:hAnsi="Arial" w:cs="Arial"/>
          <w:b/>
        </w:rPr>
        <w:t xml:space="preserve"> </w:t>
      </w:r>
      <w:r w:rsidR="009E0F87">
        <w:rPr>
          <w:rFonts w:ascii="Arial" w:hAnsi="Arial" w:cs="Arial"/>
          <w:b/>
        </w:rPr>
        <w:t xml:space="preserve">- </w:t>
      </w:r>
      <w:r w:rsidR="00612F1B">
        <w:rPr>
          <w:rFonts w:ascii="Arial" w:hAnsi="Arial" w:cs="Arial"/>
        </w:rPr>
        <w:t>S</w:t>
      </w:r>
      <w:r w:rsidR="00612F1B" w:rsidRPr="008A2634">
        <w:rPr>
          <w:rFonts w:ascii="Arial" w:hAnsi="Arial" w:cs="Arial"/>
        </w:rPr>
        <w:t xml:space="preserve">e </w:t>
      </w:r>
      <w:r w:rsidR="00835CE1">
        <w:rPr>
          <w:rFonts w:ascii="Arial" w:hAnsi="Arial" w:cs="Arial"/>
          <w:b/>
          <w:bCs/>
        </w:rPr>
        <w:t>DEROGA</w:t>
      </w:r>
      <w:r w:rsidR="00DC4995">
        <w:rPr>
          <w:rFonts w:ascii="Arial" w:hAnsi="Arial" w:cs="Arial"/>
          <w:b/>
          <w:bCs/>
        </w:rPr>
        <w:t xml:space="preserve"> </w:t>
      </w:r>
      <w:r w:rsidR="00DC4995">
        <w:rPr>
          <w:rFonts w:ascii="Arial" w:hAnsi="Arial" w:cs="Arial"/>
          <w:bCs/>
        </w:rPr>
        <w:t xml:space="preserve">el </w:t>
      </w:r>
      <w:bookmarkStart w:id="7" w:name="_Hlk142043147"/>
      <w:r w:rsidR="00DC4995">
        <w:rPr>
          <w:rFonts w:ascii="Arial" w:hAnsi="Arial" w:cs="Arial"/>
          <w:bCs/>
        </w:rPr>
        <w:t>último párrafo de</w:t>
      </w:r>
      <w:r w:rsidR="00E82A45">
        <w:rPr>
          <w:rFonts w:ascii="Arial" w:hAnsi="Arial" w:cs="Arial"/>
          <w:b/>
          <w:bCs/>
        </w:rPr>
        <w:t xml:space="preserve"> </w:t>
      </w:r>
      <w:r w:rsidR="00612F1B">
        <w:rPr>
          <w:rFonts w:ascii="Arial" w:hAnsi="Arial" w:cs="Arial"/>
        </w:rPr>
        <w:t xml:space="preserve">los ANEXOS 1 y 2 de los </w:t>
      </w:r>
      <w:r w:rsidR="00E3439A">
        <w:rPr>
          <w:rFonts w:ascii="Arial" w:hAnsi="Arial" w:cs="Arial"/>
        </w:rPr>
        <w:t>“</w:t>
      </w:r>
      <w:r w:rsidR="00612F1B" w:rsidRPr="00612F1B">
        <w:rPr>
          <w:rFonts w:ascii="Arial" w:hAnsi="Arial" w:cs="Arial"/>
        </w:rPr>
        <w:t>Lineamientos Generales de Accesibilidad al Servicio de Televisión Radiodifundida</w:t>
      </w:r>
      <w:r w:rsidR="00E3439A">
        <w:rPr>
          <w:rFonts w:ascii="Arial" w:hAnsi="Arial" w:cs="Arial"/>
        </w:rPr>
        <w:t>”</w:t>
      </w:r>
      <w:r w:rsidR="00612F1B">
        <w:rPr>
          <w:rFonts w:ascii="Arial" w:hAnsi="Arial" w:cs="Arial"/>
        </w:rPr>
        <w:t xml:space="preserve">, </w:t>
      </w:r>
      <w:r w:rsidR="00612F1B" w:rsidRPr="008A2634">
        <w:rPr>
          <w:rFonts w:ascii="Arial" w:hAnsi="Arial" w:cs="Arial"/>
        </w:rPr>
        <w:t>publicad</w:t>
      </w:r>
      <w:r w:rsidR="00612F1B">
        <w:rPr>
          <w:rFonts w:ascii="Arial" w:hAnsi="Arial" w:cs="Arial"/>
        </w:rPr>
        <w:t>os</w:t>
      </w:r>
      <w:r w:rsidR="00612F1B" w:rsidRPr="008A2634">
        <w:rPr>
          <w:rFonts w:ascii="Arial" w:hAnsi="Arial" w:cs="Arial"/>
        </w:rPr>
        <w:t xml:space="preserve"> en el </w:t>
      </w:r>
      <w:r w:rsidR="00145A1E">
        <w:rPr>
          <w:rFonts w:ascii="Arial" w:hAnsi="Arial" w:cs="Arial"/>
        </w:rPr>
        <w:t>DOF</w:t>
      </w:r>
      <w:r w:rsidR="00612F1B" w:rsidRPr="008A2634">
        <w:rPr>
          <w:rFonts w:ascii="Arial" w:hAnsi="Arial" w:cs="Arial"/>
        </w:rPr>
        <w:t xml:space="preserve"> el día </w:t>
      </w:r>
      <w:r w:rsidR="00612F1B">
        <w:rPr>
          <w:rFonts w:ascii="Arial" w:hAnsi="Arial" w:cs="Arial"/>
        </w:rPr>
        <w:t>1</w:t>
      </w:r>
      <w:r w:rsidR="00612F1B" w:rsidRPr="008A2634">
        <w:rPr>
          <w:rFonts w:ascii="Arial" w:hAnsi="Arial" w:cs="Arial"/>
        </w:rPr>
        <w:t xml:space="preserve">7 de </w:t>
      </w:r>
      <w:r w:rsidR="00612F1B">
        <w:rPr>
          <w:rFonts w:ascii="Arial" w:hAnsi="Arial" w:cs="Arial"/>
        </w:rPr>
        <w:t>septiembre</w:t>
      </w:r>
      <w:r w:rsidR="00612F1B" w:rsidRPr="008A2634">
        <w:rPr>
          <w:rFonts w:ascii="Arial" w:hAnsi="Arial" w:cs="Arial"/>
        </w:rPr>
        <w:t xml:space="preserve"> de 201</w:t>
      </w:r>
      <w:r w:rsidR="00612F1B">
        <w:rPr>
          <w:rFonts w:ascii="Arial" w:hAnsi="Arial" w:cs="Arial"/>
        </w:rPr>
        <w:t>8</w:t>
      </w:r>
      <w:bookmarkEnd w:id="7"/>
      <w:r w:rsidR="005D31FD">
        <w:rPr>
          <w:rFonts w:ascii="Arial" w:hAnsi="Arial" w:cs="Arial"/>
        </w:rPr>
        <w:t>.</w:t>
      </w:r>
    </w:p>
    <w:p w14:paraId="144965E9" w14:textId="5ED75BEE" w:rsidR="00612F1B" w:rsidRDefault="00612F1B" w:rsidP="00612F1B">
      <w:pPr>
        <w:spacing w:after="0"/>
        <w:jc w:val="both"/>
        <w:rPr>
          <w:rFonts w:ascii="Arial" w:hAnsi="Arial" w:cs="Arial"/>
        </w:rPr>
      </w:pPr>
    </w:p>
    <w:p w14:paraId="4B2BA9B4" w14:textId="5A7E5C8F" w:rsidR="00612F1B" w:rsidRDefault="00612F1B" w:rsidP="00612F1B">
      <w:pPr>
        <w:spacing w:after="0"/>
        <w:jc w:val="both"/>
        <w:rPr>
          <w:rFonts w:ascii="Arial" w:hAnsi="Arial" w:cs="Arial"/>
        </w:rPr>
      </w:pPr>
      <w:r w:rsidRPr="00FB1E62">
        <w:rPr>
          <w:rFonts w:ascii="Arial" w:hAnsi="Arial" w:cs="Arial"/>
        </w:rPr>
        <w:t>Derivado de lo anterior, se elimina</w:t>
      </w:r>
      <w:r>
        <w:rPr>
          <w:rFonts w:ascii="Arial" w:hAnsi="Arial" w:cs="Arial"/>
        </w:rPr>
        <w:t>, d</w:t>
      </w:r>
      <w:r w:rsidRPr="00FB1E62">
        <w:rPr>
          <w:rFonts w:ascii="Arial" w:hAnsi="Arial" w:cs="Arial"/>
        </w:rPr>
        <w:t xml:space="preserve">el </w:t>
      </w:r>
      <w:r>
        <w:rPr>
          <w:rFonts w:ascii="Arial" w:hAnsi="Arial" w:cs="Arial"/>
        </w:rPr>
        <w:t>R</w:t>
      </w:r>
      <w:r w:rsidRPr="00FB1E62">
        <w:rPr>
          <w:rFonts w:ascii="Arial" w:hAnsi="Arial" w:cs="Arial"/>
        </w:rPr>
        <w:t>egistro de Trámites y Servicios del Instituto Federal de Telecomunicaciones</w:t>
      </w:r>
      <w:r>
        <w:rPr>
          <w:rFonts w:ascii="Arial" w:hAnsi="Arial" w:cs="Arial"/>
        </w:rPr>
        <w:t xml:space="preserve">, el registro del servicio </w:t>
      </w:r>
      <w:bookmarkStart w:id="8" w:name="_Hlk141959145"/>
      <w:r w:rsidRPr="002B3D1F">
        <w:rPr>
          <w:rFonts w:ascii="Arial" w:hAnsi="Arial" w:cs="Arial"/>
        </w:rPr>
        <w:t>U</w:t>
      </w:r>
      <w:r>
        <w:rPr>
          <w:rFonts w:ascii="Arial" w:hAnsi="Arial" w:cs="Arial"/>
        </w:rPr>
        <w:t>MCA</w:t>
      </w:r>
      <w:r w:rsidRPr="002B3D1F">
        <w:rPr>
          <w:rFonts w:ascii="Arial" w:hAnsi="Arial" w:cs="Arial"/>
        </w:rPr>
        <w:t>-0</w:t>
      </w:r>
      <w:r>
        <w:rPr>
          <w:rFonts w:ascii="Arial" w:hAnsi="Arial" w:cs="Arial"/>
        </w:rPr>
        <w:t>1</w:t>
      </w:r>
      <w:r w:rsidRPr="002B3D1F">
        <w:rPr>
          <w:rFonts w:ascii="Arial" w:hAnsi="Arial" w:cs="Arial"/>
        </w:rPr>
        <w:t>-0</w:t>
      </w:r>
      <w:r>
        <w:rPr>
          <w:rFonts w:ascii="Arial" w:hAnsi="Arial" w:cs="Arial"/>
        </w:rPr>
        <w:t>0</w:t>
      </w:r>
      <w:r w:rsidRPr="002B3D1F">
        <w:rPr>
          <w:rFonts w:ascii="Arial" w:hAnsi="Arial" w:cs="Arial"/>
        </w:rPr>
        <w:t>7</w:t>
      </w:r>
      <w:r>
        <w:rPr>
          <w:rFonts w:ascii="Arial" w:hAnsi="Arial" w:cs="Arial"/>
        </w:rPr>
        <w:t xml:space="preserve"> “</w:t>
      </w:r>
      <w:r w:rsidRPr="00612F1B">
        <w:rPr>
          <w:rFonts w:ascii="Arial" w:hAnsi="Arial" w:cs="Arial"/>
        </w:rPr>
        <w:t xml:space="preserve">Resolución de dudas sobre los elementos técnicos que debe contener el Símbolo de </w:t>
      </w:r>
      <w:proofErr w:type="spellStart"/>
      <w:r w:rsidRPr="00612F1B">
        <w:rPr>
          <w:rFonts w:ascii="Arial" w:hAnsi="Arial" w:cs="Arial"/>
        </w:rPr>
        <w:t>Subtitulaje</w:t>
      </w:r>
      <w:proofErr w:type="spellEnd"/>
      <w:r w:rsidRPr="00612F1B">
        <w:rPr>
          <w:rFonts w:ascii="Arial" w:hAnsi="Arial" w:cs="Arial"/>
        </w:rPr>
        <w:t xml:space="preserve"> Oculto o el Símbolo de Lengua de Señas Mexicana</w:t>
      </w:r>
      <w:r>
        <w:rPr>
          <w:rFonts w:ascii="Arial" w:hAnsi="Arial" w:cs="Arial"/>
        </w:rPr>
        <w:t>”</w:t>
      </w:r>
      <w:bookmarkEnd w:id="8"/>
      <w:r>
        <w:rPr>
          <w:rFonts w:ascii="Arial" w:hAnsi="Arial" w:cs="Arial"/>
        </w:rPr>
        <w:t xml:space="preserve">. </w:t>
      </w:r>
    </w:p>
    <w:p w14:paraId="46016476" w14:textId="77C13C1A" w:rsidR="00612F1B" w:rsidRDefault="00612F1B" w:rsidP="00023C16">
      <w:pPr>
        <w:spacing w:after="0"/>
        <w:jc w:val="both"/>
        <w:rPr>
          <w:rFonts w:ascii="Arial" w:hAnsi="Arial" w:cs="Arial"/>
        </w:rPr>
      </w:pPr>
    </w:p>
    <w:p w14:paraId="53DD7583" w14:textId="3192EC54" w:rsidR="008F7EAB" w:rsidRDefault="00CB7350" w:rsidP="00023C16">
      <w:pPr>
        <w:spacing w:after="0"/>
        <w:jc w:val="both"/>
        <w:rPr>
          <w:rFonts w:ascii="Arial" w:hAnsi="Arial" w:cs="Arial"/>
        </w:rPr>
      </w:pPr>
      <w:r>
        <w:rPr>
          <w:rFonts w:ascii="Arial" w:hAnsi="Arial" w:cs="Arial"/>
          <w:b/>
        </w:rPr>
        <w:t>Séptimo</w:t>
      </w:r>
      <w:r w:rsidR="00612F1B">
        <w:rPr>
          <w:rFonts w:ascii="Arial" w:hAnsi="Arial" w:cs="Arial"/>
          <w:b/>
        </w:rPr>
        <w:t xml:space="preserve">. - </w:t>
      </w:r>
      <w:r w:rsidR="00F22D1C">
        <w:rPr>
          <w:rFonts w:ascii="Arial" w:hAnsi="Arial" w:cs="Arial"/>
        </w:rPr>
        <w:t xml:space="preserve">Sin perjuicio de lo dispuesto en las disposiciones aplicables </w:t>
      </w:r>
      <w:r w:rsidR="009D6B59">
        <w:rPr>
          <w:rFonts w:ascii="Arial" w:hAnsi="Arial" w:cs="Arial"/>
        </w:rPr>
        <w:t xml:space="preserve">a los trámites que se indican más adelante </w:t>
      </w:r>
      <w:r w:rsidR="00BE0A1C">
        <w:rPr>
          <w:rFonts w:ascii="Arial" w:hAnsi="Arial" w:cs="Arial"/>
        </w:rPr>
        <w:t>y</w:t>
      </w:r>
      <w:r w:rsidR="00F22D1C" w:rsidRPr="00B524C5">
        <w:rPr>
          <w:rFonts w:ascii="Arial" w:hAnsi="Arial" w:cs="Arial"/>
        </w:rPr>
        <w:t xml:space="preserve"> </w:t>
      </w:r>
      <w:r w:rsidR="00F22D1C">
        <w:rPr>
          <w:rFonts w:ascii="Arial" w:hAnsi="Arial" w:cs="Arial"/>
        </w:rPr>
        <w:t>s</w:t>
      </w:r>
      <w:r w:rsidR="00D737D5">
        <w:rPr>
          <w:rFonts w:ascii="Arial" w:hAnsi="Arial" w:cs="Arial"/>
        </w:rPr>
        <w:t xml:space="preserve">ólo para efectos </w:t>
      </w:r>
      <w:r w:rsidR="00F22D1C">
        <w:rPr>
          <w:rFonts w:ascii="Arial" w:hAnsi="Arial" w:cs="Arial"/>
        </w:rPr>
        <w:t>d</w:t>
      </w:r>
      <w:r w:rsidR="003A4035">
        <w:rPr>
          <w:rFonts w:ascii="Arial" w:hAnsi="Arial" w:cs="Arial"/>
        </w:rPr>
        <w:t xml:space="preserve">el </w:t>
      </w:r>
      <w:r w:rsidR="007549A8">
        <w:rPr>
          <w:rFonts w:ascii="Arial" w:hAnsi="Arial" w:cs="Arial"/>
        </w:rPr>
        <w:t xml:space="preserve">Registro de Trámites y Servicios del </w:t>
      </w:r>
      <w:r w:rsidR="007549A8" w:rsidRPr="00F20172">
        <w:rPr>
          <w:rFonts w:ascii="Arial" w:hAnsi="Arial" w:cs="Arial"/>
        </w:rPr>
        <w:t>Instituto Federal de Telecomunicaciones</w:t>
      </w:r>
      <w:r w:rsidR="00F22D1C">
        <w:rPr>
          <w:rFonts w:ascii="Arial" w:hAnsi="Arial" w:cs="Arial"/>
        </w:rPr>
        <w:t>,</w:t>
      </w:r>
      <w:r w:rsidR="003A4035">
        <w:rPr>
          <w:rFonts w:ascii="Arial" w:hAnsi="Arial" w:cs="Arial"/>
        </w:rPr>
        <w:t xml:space="preserve"> se elimina</w:t>
      </w:r>
      <w:r w:rsidR="007549A8" w:rsidRPr="00B524C5">
        <w:rPr>
          <w:rFonts w:ascii="Arial" w:hAnsi="Arial" w:cs="Arial"/>
        </w:rPr>
        <w:t xml:space="preserve"> </w:t>
      </w:r>
      <w:r w:rsidR="00F22D1C">
        <w:rPr>
          <w:rFonts w:ascii="Arial" w:hAnsi="Arial" w:cs="Arial"/>
        </w:rPr>
        <w:t xml:space="preserve">la inscripción en dicho repositorio de </w:t>
      </w:r>
      <w:r w:rsidR="007549A8" w:rsidRPr="00B524C5">
        <w:rPr>
          <w:rFonts w:ascii="Arial" w:hAnsi="Arial" w:cs="Arial"/>
        </w:rPr>
        <w:t xml:space="preserve">los </w:t>
      </w:r>
      <w:r w:rsidR="00BE0A1C">
        <w:rPr>
          <w:rFonts w:ascii="Arial" w:hAnsi="Arial" w:cs="Arial"/>
        </w:rPr>
        <w:t>siguientes</w:t>
      </w:r>
      <w:r w:rsidR="00F22D1C">
        <w:rPr>
          <w:rFonts w:ascii="Arial" w:hAnsi="Arial" w:cs="Arial"/>
        </w:rPr>
        <w:t>:</w:t>
      </w:r>
    </w:p>
    <w:p w14:paraId="36881053" w14:textId="77777777" w:rsidR="00F22D1C" w:rsidRDefault="00F22D1C" w:rsidP="00023C16">
      <w:pPr>
        <w:spacing w:after="0"/>
        <w:jc w:val="both"/>
        <w:rPr>
          <w:rFonts w:ascii="Arial" w:hAnsi="Arial" w:cs="Arial"/>
        </w:rPr>
      </w:pPr>
    </w:p>
    <w:p w14:paraId="5857F5EA" w14:textId="4BEBF44E" w:rsidR="00830046" w:rsidRPr="00C34DDD" w:rsidRDefault="007549A8" w:rsidP="00C34DDD">
      <w:pPr>
        <w:pStyle w:val="Prrafodelista"/>
        <w:numPr>
          <w:ilvl w:val="0"/>
          <w:numId w:val="17"/>
        </w:numPr>
        <w:spacing w:line="276" w:lineRule="auto"/>
        <w:jc w:val="both"/>
        <w:rPr>
          <w:rFonts w:cs="Arial"/>
          <w:sz w:val="22"/>
          <w:szCs w:val="22"/>
        </w:rPr>
      </w:pPr>
      <w:bookmarkStart w:id="9" w:name="_Hlk142043315"/>
      <w:r w:rsidRPr="00C34DDD">
        <w:rPr>
          <w:rFonts w:cs="Arial"/>
          <w:sz w:val="22"/>
          <w:szCs w:val="22"/>
        </w:rPr>
        <w:t xml:space="preserve">UC-02-002 </w:t>
      </w:r>
      <w:r w:rsidR="006D3332">
        <w:rPr>
          <w:rFonts w:cs="Arial"/>
          <w:sz w:val="22"/>
          <w:szCs w:val="22"/>
        </w:rPr>
        <w:t>“</w:t>
      </w:r>
      <w:r w:rsidR="006D3332" w:rsidRPr="006D3332">
        <w:rPr>
          <w:rFonts w:cs="Arial"/>
          <w:sz w:val="22"/>
          <w:szCs w:val="22"/>
        </w:rPr>
        <w:t>Aviso con las manifestaciones de los prestadores del servicio móvil respecto a los resultados de las mediciones de los parámetros de calidad</w:t>
      </w:r>
      <w:r w:rsidR="006D3332">
        <w:rPr>
          <w:rFonts w:cs="Arial"/>
          <w:sz w:val="22"/>
          <w:szCs w:val="22"/>
        </w:rPr>
        <w:t>”</w:t>
      </w:r>
      <w:r w:rsidR="00BB27C9">
        <w:rPr>
          <w:rFonts w:cs="Arial"/>
          <w:sz w:val="22"/>
          <w:szCs w:val="22"/>
        </w:rPr>
        <w:t xml:space="preserve"> y</w:t>
      </w:r>
      <w:r w:rsidRPr="00C34DDD">
        <w:rPr>
          <w:rFonts w:cs="Arial"/>
          <w:sz w:val="22"/>
          <w:szCs w:val="22"/>
        </w:rPr>
        <w:t xml:space="preserve"> </w:t>
      </w:r>
    </w:p>
    <w:p w14:paraId="43812C81" w14:textId="5B1F1245" w:rsidR="00830046" w:rsidRDefault="007549A8" w:rsidP="00C34DDD">
      <w:pPr>
        <w:pStyle w:val="Prrafodelista"/>
        <w:numPr>
          <w:ilvl w:val="0"/>
          <w:numId w:val="17"/>
        </w:numPr>
        <w:spacing w:line="276" w:lineRule="auto"/>
        <w:jc w:val="both"/>
        <w:rPr>
          <w:rFonts w:cs="Arial"/>
          <w:sz w:val="22"/>
          <w:szCs w:val="22"/>
        </w:rPr>
      </w:pPr>
      <w:r w:rsidRPr="00C34DDD">
        <w:rPr>
          <w:rFonts w:cs="Arial"/>
          <w:sz w:val="22"/>
          <w:szCs w:val="22"/>
        </w:rPr>
        <w:t xml:space="preserve">UC-02-003 </w:t>
      </w:r>
      <w:r w:rsidR="006D3332">
        <w:rPr>
          <w:rFonts w:cs="Arial"/>
          <w:sz w:val="22"/>
          <w:szCs w:val="22"/>
        </w:rPr>
        <w:t>“</w:t>
      </w:r>
      <w:r w:rsidR="006D3332" w:rsidRPr="006D3332">
        <w:rPr>
          <w:rFonts w:cs="Arial"/>
          <w:sz w:val="22"/>
          <w:szCs w:val="22"/>
        </w:rPr>
        <w:t>Presentación del aviso de las manifestaciones de los concesionarios y autorizados sobre el ejercicio de medición de los índices de calidad, de las estaciones de Televisión, Equipos Auxiliares y Complementarios</w:t>
      </w:r>
      <w:r w:rsidR="006D3332">
        <w:rPr>
          <w:rFonts w:cs="Arial"/>
          <w:sz w:val="22"/>
          <w:szCs w:val="22"/>
        </w:rPr>
        <w:t>”</w:t>
      </w:r>
    </w:p>
    <w:bookmarkEnd w:id="9"/>
    <w:p w14:paraId="407C29A7" w14:textId="30D5191A" w:rsidR="007549A8" w:rsidRPr="008C7C40" w:rsidRDefault="007549A8" w:rsidP="00C34DDD">
      <w:pPr>
        <w:pStyle w:val="Prrafodelista"/>
        <w:spacing w:line="276" w:lineRule="auto"/>
        <w:ind w:left="851"/>
        <w:jc w:val="both"/>
        <w:rPr>
          <w:rFonts w:cs="Arial"/>
        </w:rPr>
      </w:pPr>
    </w:p>
    <w:p w14:paraId="09E6D23A" w14:textId="771BB523" w:rsidR="00C34DDD" w:rsidRDefault="00C34DDD" w:rsidP="008F7EAB">
      <w:pPr>
        <w:spacing w:after="0"/>
        <w:jc w:val="both"/>
        <w:rPr>
          <w:rFonts w:ascii="Arial" w:hAnsi="Arial" w:cs="Arial"/>
        </w:rPr>
      </w:pPr>
    </w:p>
    <w:p w14:paraId="7D00F726" w14:textId="3D786977" w:rsidR="00C34DDD" w:rsidRDefault="00CB7350" w:rsidP="008F7EAB">
      <w:pPr>
        <w:spacing w:after="0"/>
        <w:jc w:val="both"/>
        <w:rPr>
          <w:rFonts w:ascii="Arial" w:hAnsi="Arial" w:cs="Arial"/>
        </w:rPr>
      </w:pPr>
      <w:r>
        <w:rPr>
          <w:rFonts w:ascii="Arial" w:hAnsi="Arial" w:cs="Arial"/>
          <w:b/>
        </w:rPr>
        <w:t>Octav</w:t>
      </w:r>
      <w:r w:rsidR="001C2378">
        <w:rPr>
          <w:rFonts w:ascii="Arial" w:hAnsi="Arial" w:cs="Arial"/>
          <w:b/>
        </w:rPr>
        <w:t>o. -</w:t>
      </w:r>
      <w:r w:rsidR="00C34DDD">
        <w:rPr>
          <w:rFonts w:ascii="Arial" w:hAnsi="Arial" w:cs="Arial"/>
          <w:b/>
        </w:rPr>
        <w:t xml:space="preserve"> </w:t>
      </w:r>
      <w:r w:rsidR="00C34DDD" w:rsidRPr="001C2378">
        <w:rPr>
          <w:rFonts w:ascii="Arial" w:hAnsi="Arial" w:cs="Arial"/>
        </w:rPr>
        <w:t>Se elimina</w:t>
      </w:r>
      <w:r w:rsidR="00C34DDD">
        <w:rPr>
          <w:rFonts w:ascii="Arial" w:hAnsi="Arial" w:cs="Arial"/>
          <w:b/>
        </w:rPr>
        <w:t xml:space="preserve"> </w:t>
      </w:r>
      <w:r w:rsidR="00C34DDD">
        <w:rPr>
          <w:rFonts w:ascii="Arial" w:hAnsi="Arial" w:cs="Arial"/>
        </w:rPr>
        <w:t xml:space="preserve">del Registro de Trámites y Servicios del </w:t>
      </w:r>
      <w:r w:rsidR="00C34DDD" w:rsidRPr="00F20172">
        <w:rPr>
          <w:rFonts w:ascii="Arial" w:hAnsi="Arial" w:cs="Arial"/>
        </w:rPr>
        <w:t>Instituto Federal de Telecomunicaciones</w:t>
      </w:r>
      <w:r w:rsidR="00C34DDD">
        <w:rPr>
          <w:rFonts w:ascii="Arial" w:hAnsi="Arial" w:cs="Arial"/>
        </w:rPr>
        <w:t xml:space="preserve"> la inscripción del</w:t>
      </w:r>
      <w:r w:rsidR="00C34DDD" w:rsidRPr="00B524C5">
        <w:rPr>
          <w:rFonts w:ascii="Arial" w:hAnsi="Arial" w:cs="Arial"/>
        </w:rPr>
        <w:t xml:space="preserve"> </w:t>
      </w:r>
      <w:r w:rsidR="00C34DDD">
        <w:rPr>
          <w:rFonts w:ascii="Arial" w:hAnsi="Arial" w:cs="Arial"/>
        </w:rPr>
        <w:t>siguiente trámite:</w:t>
      </w:r>
    </w:p>
    <w:p w14:paraId="218CB970" w14:textId="2EB2CD1D" w:rsidR="00C34DDD" w:rsidRDefault="00C34DDD" w:rsidP="008F7EAB">
      <w:pPr>
        <w:spacing w:after="0"/>
        <w:jc w:val="both"/>
        <w:rPr>
          <w:rFonts w:ascii="Arial" w:hAnsi="Arial" w:cs="Arial"/>
          <w:b/>
        </w:rPr>
      </w:pPr>
    </w:p>
    <w:p w14:paraId="7818A49F" w14:textId="36082077" w:rsidR="00C34DDD" w:rsidRPr="007F0A47" w:rsidRDefault="00C34DDD" w:rsidP="00C34DDD">
      <w:pPr>
        <w:pStyle w:val="Prrafodelista"/>
        <w:numPr>
          <w:ilvl w:val="0"/>
          <w:numId w:val="18"/>
        </w:numPr>
        <w:spacing w:line="276" w:lineRule="auto"/>
        <w:jc w:val="both"/>
        <w:rPr>
          <w:rFonts w:cs="Arial"/>
          <w:sz w:val="22"/>
          <w:szCs w:val="22"/>
        </w:rPr>
      </w:pPr>
      <w:r w:rsidRPr="007F0A47">
        <w:rPr>
          <w:rFonts w:cs="Arial"/>
          <w:sz w:val="22"/>
          <w:szCs w:val="22"/>
        </w:rPr>
        <w:t xml:space="preserve">UC-01-004 </w:t>
      </w:r>
      <w:r>
        <w:rPr>
          <w:rFonts w:cs="Arial"/>
          <w:sz w:val="22"/>
          <w:szCs w:val="22"/>
        </w:rPr>
        <w:t>“</w:t>
      </w:r>
      <w:r w:rsidRPr="006D3332">
        <w:rPr>
          <w:rFonts w:cs="Arial"/>
          <w:sz w:val="22"/>
          <w:szCs w:val="22"/>
        </w:rPr>
        <w:t>Presentación del aviso de transmisión del Canal Judicial de la Suprema Corte de Justicia de la Nación</w:t>
      </w:r>
      <w:r>
        <w:rPr>
          <w:rFonts w:cs="Arial"/>
          <w:sz w:val="22"/>
          <w:szCs w:val="22"/>
        </w:rPr>
        <w:t>”</w:t>
      </w:r>
    </w:p>
    <w:p w14:paraId="1C7399B2" w14:textId="001E800B" w:rsidR="00C34DDD" w:rsidRDefault="00C34DDD" w:rsidP="008F7EAB">
      <w:pPr>
        <w:spacing w:after="0"/>
        <w:jc w:val="both"/>
        <w:rPr>
          <w:rFonts w:ascii="Arial" w:hAnsi="Arial" w:cs="Arial"/>
          <w:b/>
        </w:rPr>
      </w:pPr>
    </w:p>
    <w:p w14:paraId="1C979141" w14:textId="77777777" w:rsidR="00CC1D89" w:rsidRDefault="00CC1D89" w:rsidP="00023C16">
      <w:pPr>
        <w:spacing w:after="0"/>
        <w:jc w:val="both"/>
        <w:rPr>
          <w:rFonts w:ascii="Arial" w:hAnsi="Arial" w:cs="Arial"/>
          <w:b/>
        </w:rPr>
      </w:pPr>
    </w:p>
    <w:p w14:paraId="492600E5" w14:textId="0A45F3B6" w:rsidR="008A2634" w:rsidRDefault="008A2634" w:rsidP="00023C16">
      <w:pPr>
        <w:spacing w:after="0"/>
        <w:jc w:val="center"/>
        <w:rPr>
          <w:rFonts w:ascii="Arial" w:hAnsi="Arial" w:cs="Arial"/>
          <w:b/>
          <w:sz w:val="26"/>
          <w:szCs w:val="26"/>
        </w:rPr>
      </w:pPr>
      <w:r w:rsidRPr="008A2634">
        <w:rPr>
          <w:rFonts w:ascii="Arial" w:hAnsi="Arial" w:cs="Arial"/>
          <w:b/>
          <w:sz w:val="26"/>
          <w:szCs w:val="26"/>
        </w:rPr>
        <w:t>TRANSITORIOS</w:t>
      </w:r>
    </w:p>
    <w:p w14:paraId="4F056A49" w14:textId="77777777" w:rsidR="00CC1D89" w:rsidRPr="008A2634" w:rsidRDefault="00CC1D89" w:rsidP="00023C16">
      <w:pPr>
        <w:spacing w:after="0"/>
        <w:jc w:val="center"/>
        <w:rPr>
          <w:rFonts w:ascii="Arial" w:hAnsi="Arial" w:cs="Arial"/>
          <w:b/>
          <w:sz w:val="26"/>
          <w:szCs w:val="26"/>
        </w:rPr>
      </w:pPr>
    </w:p>
    <w:p w14:paraId="51FD2F9A" w14:textId="011228E7" w:rsidR="008A2634" w:rsidRDefault="008A2634" w:rsidP="00023C16">
      <w:pPr>
        <w:spacing w:after="0"/>
        <w:jc w:val="both"/>
        <w:rPr>
          <w:rFonts w:ascii="Arial" w:hAnsi="Arial" w:cs="Arial"/>
        </w:rPr>
      </w:pPr>
      <w:r w:rsidRPr="008A2634">
        <w:rPr>
          <w:rFonts w:ascii="Arial" w:hAnsi="Arial" w:cs="Arial"/>
          <w:b/>
        </w:rPr>
        <w:t xml:space="preserve">Primero. - </w:t>
      </w:r>
      <w:r w:rsidRPr="008A2634">
        <w:rPr>
          <w:rFonts w:ascii="Arial" w:hAnsi="Arial" w:cs="Arial"/>
        </w:rPr>
        <w:t>El presente Acuerdo entrará en vigor al día</w:t>
      </w:r>
      <w:r w:rsidR="00FA51BF">
        <w:rPr>
          <w:rFonts w:ascii="Arial" w:hAnsi="Arial" w:cs="Arial"/>
        </w:rPr>
        <w:t xml:space="preserve"> hábil</w:t>
      </w:r>
      <w:r w:rsidRPr="008A2634">
        <w:rPr>
          <w:rFonts w:ascii="Arial" w:hAnsi="Arial" w:cs="Arial"/>
        </w:rPr>
        <w:t xml:space="preserve"> siguiente de su publicación en el Diario Oficial de la Federación.</w:t>
      </w:r>
    </w:p>
    <w:p w14:paraId="2F3B49B3" w14:textId="77777777" w:rsidR="008A2634" w:rsidRPr="008A2634" w:rsidRDefault="008A2634" w:rsidP="00023C16">
      <w:pPr>
        <w:spacing w:after="0"/>
        <w:jc w:val="both"/>
        <w:rPr>
          <w:rFonts w:ascii="Arial" w:hAnsi="Arial" w:cs="Arial"/>
          <w:b/>
        </w:rPr>
      </w:pPr>
    </w:p>
    <w:p w14:paraId="1D3EB2E9" w14:textId="4AC257A4" w:rsidR="00B524C5" w:rsidRDefault="008A2634" w:rsidP="00023C16">
      <w:pPr>
        <w:spacing w:after="0"/>
        <w:jc w:val="both"/>
        <w:rPr>
          <w:rFonts w:ascii="Arial" w:hAnsi="Arial" w:cs="Arial"/>
        </w:rPr>
      </w:pPr>
      <w:r w:rsidRPr="008A2634">
        <w:rPr>
          <w:rFonts w:ascii="Arial" w:hAnsi="Arial" w:cs="Arial"/>
          <w:b/>
        </w:rPr>
        <w:t xml:space="preserve">Segundo. - </w:t>
      </w:r>
      <w:r w:rsidRPr="008A2634">
        <w:rPr>
          <w:rFonts w:ascii="Arial" w:hAnsi="Arial" w:cs="Arial"/>
        </w:rPr>
        <w:t>Publíquese el presente Acuerdo en el Diario Oficial de la Federación.</w:t>
      </w:r>
    </w:p>
    <w:p w14:paraId="1CA91801" w14:textId="77777777" w:rsidR="005D31FD" w:rsidRPr="008A2634" w:rsidRDefault="005D31FD" w:rsidP="00DC4995">
      <w:pPr>
        <w:pStyle w:val="Texto"/>
        <w:jc w:val="center"/>
      </w:pPr>
    </w:p>
    <w:sectPr w:rsidR="005D31FD" w:rsidRPr="008A2634" w:rsidSect="0011347F">
      <w:headerReference w:type="even" r:id="rId8"/>
      <w:headerReference w:type="default" r:id="rId9"/>
      <w:footerReference w:type="default" r:id="rId10"/>
      <w:headerReference w:type="first" r:id="rId11"/>
      <w:pgSz w:w="12240" w:h="15840"/>
      <w:pgMar w:top="2098" w:right="1418" w:bottom="1134" w:left="1418"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3232F" w14:textId="77777777" w:rsidR="00C874A4" w:rsidRDefault="00C874A4" w:rsidP="000F1667">
      <w:pPr>
        <w:spacing w:after="0" w:line="240" w:lineRule="auto"/>
      </w:pPr>
      <w:r>
        <w:separator/>
      </w:r>
    </w:p>
  </w:endnote>
  <w:endnote w:type="continuationSeparator" w:id="0">
    <w:p w14:paraId="76BC899E" w14:textId="77777777" w:rsidR="00C874A4" w:rsidRDefault="00C874A4" w:rsidP="000F1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36661031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155F76B5" w14:textId="77777777" w:rsidR="00BB6A0B" w:rsidRPr="00BB6A0B" w:rsidRDefault="00BB6A0B" w:rsidP="00BB6A0B">
            <w:pPr>
              <w:pStyle w:val="Piedepgina"/>
              <w:jc w:val="right"/>
              <w:rPr>
                <w:rFonts w:ascii="Arial" w:hAnsi="Arial" w:cs="Arial"/>
                <w:sz w:val="18"/>
                <w:szCs w:val="18"/>
              </w:rPr>
            </w:pPr>
            <w:r w:rsidRPr="00BB6A0B">
              <w:rPr>
                <w:rFonts w:ascii="Arial" w:hAnsi="Arial" w:cs="Arial"/>
                <w:sz w:val="18"/>
                <w:szCs w:val="18"/>
              </w:rPr>
              <w:t xml:space="preserve">Página </w:t>
            </w:r>
            <w:r w:rsidRPr="00BB6A0B">
              <w:rPr>
                <w:rFonts w:ascii="Arial" w:hAnsi="Arial" w:cs="Arial"/>
                <w:bCs/>
                <w:sz w:val="18"/>
                <w:szCs w:val="18"/>
              </w:rPr>
              <w:fldChar w:fldCharType="begin"/>
            </w:r>
            <w:r w:rsidRPr="00BB6A0B">
              <w:rPr>
                <w:rFonts w:ascii="Arial" w:hAnsi="Arial" w:cs="Arial"/>
                <w:bCs/>
                <w:sz w:val="18"/>
                <w:szCs w:val="18"/>
              </w:rPr>
              <w:instrText>PAGE</w:instrText>
            </w:r>
            <w:r w:rsidRPr="00BB6A0B">
              <w:rPr>
                <w:rFonts w:ascii="Arial" w:hAnsi="Arial" w:cs="Arial"/>
                <w:bCs/>
                <w:sz w:val="18"/>
                <w:szCs w:val="18"/>
              </w:rPr>
              <w:fldChar w:fldCharType="separate"/>
            </w:r>
            <w:r w:rsidR="00BC2262">
              <w:rPr>
                <w:rFonts w:ascii="Arial" w:hAnsi="Arial" w:cs="Arial"/>
                <w:bCs/>
                <w:noProof/>
                <w:sz w:val="18"/>
                <w:szCs w:val="18"/>
              </w:rPr>
              <w:t>1</w:t>
            </w:r>
            <w:r w:rsidRPr="00BB6A0B">
              <w:rPr>
                <w:rFonts w:ascii="Arial" w:hAnsi="Arial" w:cs="Arial"/>
                <w:bCs/>
                <w:sz w:val="18"/>
                <w:szCs w:val="18"/>
              </w:rPr>
              <w:fldChar w:fldCharType="end"/>
            </w:r>
            <w:r w:rsidRPr="00BB6A0B">
              <w:rPr>
                <w:rFonts w:ascii="Arial" w:hAnsi="Arial" w:cs="Arial"/>
                <w:sz w:val="18"/>
                <w:szCs w:val="18"/>
              </w:rPr>
              <w:t xml:space="preserve"> de </w:t>
            </w:r>
            <w:r w:rsidRPr="00BB6A0B">
              <w:rPr>
                <w:rFonts w:ascii="Arial" w:hAnsi="Arial" w:cs="Arial"/>
                <w:bCs/>
                <w:sz w:val="18"/>
                <w:szCs w:val="18"/>
              </w:rPr>
              <w:fldChar w:fldCharType="begin"/>
            </w:r>
            <w:r w:rsidRPr="00BB6A0B">
              <w:rPr>
                <w:rFonts w:ascii="Arial" w:hAnsi="Arial" w:cs="Arial"/>
                <w:bCs/>
                <w:sz w:val="18"/>
                <w:szCs w:val="18"/>
              </w:rPr>
              <w:instrText>NUMPAGES</w:instrText>
            </w:r>
            <w:r w:rsidRPr="00BB6A0B">
              <w:rPr>
                <w:rFonts w:ascii="Arial" w:hAnsi="Arial" w:cs="Arial"/>
                <w:bCs/>
                <w:sz w:val="18"/>
                <w:szCs w:val="18"/>
              </w:rPr>
              <w:fldChar w:fldCharType="separate"/>
            </w:r>
            <w:r w:rsidR="00BC2262">
              <w:rPr>
                <w:rFonts w:ascii="Arial" w:hAnsi="Arial" w:cs="Arial"/>
                <w:bCs/>
                <w:noProof/>
                <w:sz w:val="18"/>
                <w:szCs w:val="18"/>
              </w:rPr>
              <w:t>1</w:t>
            </w:r>
            <w:r w:rsidRPr="00BB6A0B">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B32BE" w14:textId="77777777" w:rsidR="00C874A4" w:rsidRDefault="00C874A4" w:rsidP="000F1667">
      <w:pPr>
        <w:spacing w:after="0" w:line="240" w:lineRule="auto"/>
      </w:pPr>
      <w:r>
        <w:separator/>
      </w:r>
    </w:p>
  </w:footnote>
  <w:footnote w:type="continuationSeparator" w:id="0">
    <w:p w14:paraId="2B42C3DD" w14:textId="77777777" w:rsidR="00C874A4" w:rsidRDefault="00C874A4" w:rsidP="000F1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ED74B" w14:textId="2464F7DA" w:rsidR="00053F8A" w:rsidRDefault="00053F8A">
    <w:pPr>
      <w:pStyle w:val="Encabezado"/>
    </w:pPr>
    <w:r>
      <w:rPr>
        <w:noProof/>
      </w:rPr>
      <w:pict w14:anchorId="3F5113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623376" o:spid="_x0000_s2051" type="#_x0000_t136" style="position:absolute;margin-left:0;margin-top:0;width:530.35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0B478" w14:textId="59C48123" w:rsidR="00BB6A0B" w:rsidRDefault="00053F8A">
    <w:pPr>
      <w:pStyle w:val="Encabezado"/>
    </w:pPr>
    <w:r>
      <w:rPr>
        <w:noProof/>
      </w:rPr>
      <w:pict w14:anchorId="44ED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3" type="#_x0000_t75" alt="hoja membretada s dir-01" style="position:absolute;margin-left:-74pt;margin-top:-116.05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6E688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623377" o:spid="_x0000_s2052" type="#_x0000_t136" style="position:absolute;margin-left:0;margin-top:0;width:530.35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7911B" w14:textId="0C7B9744" w:rsidR="00053F8A" w:rsidRDefault="00053F8A">
    <w:pPr>
      <w:pStyle w:val="Encabezado"/>
    </w:pPr>
    <w:r>
      <w:rPr>
        <w:noProof/>
      </w:rPr>
      <w:pict w14:anchorId="1D381B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623375" o:spid="_x0000_s2050" type="#_x0000_t136" style="position:absolute;margin-left:0;margin-top:0;width:530.35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6C82"/>
    <w:multiLevelType w:val="hybridMultilevel"/>
    <w:tmpl w:val="149C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D50488"/>
    <w:multiLevelType w:val="hybridMultilevel"/>
    <w:tmpl w:val="70501096"/>
    <w:lvl w:ilvl="0" w:tplc="944A8442">
      <w:start w:val="6"/>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F01901"/>
    <w:multiLevelType w:val="hybridMultilevel"/>
    <w:tmpl w:val="386295DC"/>
    <w:lvl w:ilvl="0" w:tplc="74FC7C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977D59"/>
    <w:multiLevelType w:val="hybridMultilevel"/>
    <w:tmpl w:val="BA222C48"/>
    <w:lvl w:ilvl="0" w:tplc="080A001B">
      <w:start w:val="1"/>
      <w:numFmt w:val="lowerRoman"/>
      <w:lvlText w:val="%1."/>
      <w:lvlJc w:val="righ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5"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6" w15:restartNumberingAfterBreak="0">
    <w:nsid w:val="25F72AD6"/>
    <w:multiLevelType w:val="hybridMultilevel"/>
    <w:tmpl w:val="37BCB11E"/>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8A382D"/>
    <w:multiLevelType w:val="hybridMultilevel"/>
    <w:tmpl w:val="CBAACE8A"/>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34030FA2"/>
    <w:multiLevelType w:val="hybridMultilevel"/>
    <w:tmpl w:val="E16C8014"/>
    <w:lvl w:ilvl="0" w:tplc="080A0001">
      <w:start w:val="1"/>
      <w:numFmt w:val="bullet"/>
      <w:lvlText w:val=""/>
      <w:lvlJc w:val="left"/>
      <w:pPr>
        <w:ind w:left="8766"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9" w15:restartNumberingAfterBreak="0">
    <w:nsid w:val="3C886503"/>
    <w:multiLevelType w:val="hybridMultilevel"/>
    <w:tmpl w:val="0A62B07C"/>
    <w:lvl w:ilvl="0" w:tplc="080A0001">
      <w:start w:val="1"/>
      <w:numFmt w:val="bullet"/>
      <w:lvlText w:val=""/>
      <w:lvlJc w:val="left"/>
      <w:pPr>
        <w:ind w:left="8724" w:hanging="360"/>
      </w:pPr>
      <w:rPr>
        <w:rFonts w:ascii="Symbol" w:hAnsi="Symbol" w:hint="default"/>
      </w:rPr>
    </w:lvl>
    <w:lvl w:ilvl="1" w:tplc="080A0003">
      <w:start w:val="1"/>
      <w:numFmt w:val="bullet"/>
      <w:lvlText w:val="o"/>
      <w:lvlJc w:val="left"/>
      <w:pPr>
        <w:ind w:left="8735" w:hanging="360"/>
      </w:pPr>
      <w:rPr>
        <w:rFonts w:ascii="Courier New" w:hAnsi="Courier New" w:cs="Courier New" w:hint="default"/>
      </w:rPr>
    </w:lvl>
    <w:lvl w:ilvl="2" w:tplc="080A0005" w:tentative="1">
      <w:start w:val="1"/>
      <w:numFmt w:val="bullet"/>
      <w:lvlText w:val=""/>
      <w:lvlJc w:val="left"/>
      <w:pPr>
        <w:ind w:left="9455" w:hanging="360"/>
      </w:pPr>
      <w:rPr>
        <w:rFonts w:ascii="Wingdings" w:hAnsi="Wingdings" w:hint="default"/>
      </w:rPr>
    </w:lvl>
    <w:lvl w:ilvl="3" w:tplc="080A0001" w:tentative="1">
      <w:start w:val="1"/>
      <w:numFmt w:val="bullet"/>
      <w:lvlText w:val=""/>
      <w:lvlJc w:val="left"/>
      <w:pPr>
        <w:ind w:left="10175" w:hanging="360"/>
      </w:pPr>
      <w:rPr>
        <w:rFonts w:ascii="Symbol" w:hAnsi="Symbol" w:hint="default"/>
      </w:rPr>
    </w:lvl>
    <w:lvl w:ilvl="4" w:tplc="080A0003">
      <w:start w:val="1"/>
      <w:numFmt w:val="bullet"/>
      <w:lvlText w:val="o"/>
      <w:lvlJc w:val="left"/>
      <w:pPr>
        <w:ind w:left="10895" w:hanging="360"/>
      </w:pPr>
      <w:rPr>
        <w:rFonts w:ascii="Courier New" w:hAnsi="Courier New" w:cs="Courier New" w:hint="default"/>
      </w:rPr>
    </w:lvl>
    <w:lvl w:ilvl="5" w:tplc="080A0005" w:tentative="1">
      <w:start w:val="1"/>
      <w:numFmt w:val="bullet"/>
      <w:lvlText w:val=""/>
      <w:lvlJc w:val="left"/>
      <w:pPr>
        <w:ind w:left="11615" w:hanging="360"/>
      </w:pPr>
      <w:rPr>
        <w:rFonts w:ascii="Wingdings" w:hAnsi="Wingdings" w:hint="default"/>
      </w:rPr>
    </w:lvl>
    <w:lvl w:ilvl="6" w:tplc="080A0001" w:tentative="1">
      <w:start w:val="1"/>
      <w:numFmt w:val="bullet"/>
      <w:lvlText w:val=""/>
      <w:lvlJc w:val="left"/>
      <w:pPr>
        <w:ind w:left="12335" w:hanging="360"/>
      </w:pPr>
      <w:rPr>
        <w:rFonts w:ascii="Symbol" w:hAnsi="Symbol" w:hint="default"/>
      </w:rPr>
    </w:lvl>
    <w:lvl w:ilvl="7" w:tplc="080A0003" w:tentative="1">
      <w:start w:val="1"/>
      <w:numFmt w:val="bullet"/>
      <w:lvlText w:val="o"/>
      <w:lvlJc w:val="left"/>
      <w:pPr>
        <w:ind w:left="13055" w:hanging="360"/>
      </w:pPr>
      <w:rPr>
        <w:rFonts w:ascii="Courier New" w:hAnsi="Courier New" w:cs="Courier New" w:hint="default"/>
      </w:rPr>
    </w:lvl>
    <w:lvl w:ilvl="8" w:tplc="080A0005" w:tentative="1">
      <w:start w:val="1"/>
      <w:numFmt w:val="bullet"/>
      <w:lvlText w:val=""/>
      <w:lvlJc w:val="left"/>
      <w:pPr>
        <w:ind w:left="13775" w:hanging="360"/>
      </w:pPr>
      <w:rPr>
        <w:rFonts w:ascii="Wingdings" w:hAnsi="Wingdings" w:hint="default"/>
      </w:rPr>
    </w:lvl>
  </w:abstractNum>
  <w:abstractNum w:abstractNumId="10" w15:restartNumberingAfterBreak="0">
    <w:nsid w:val="444E246C"/>
    <w:multiLevelType w:val="hybridMultilevel"/>
    <w:tmpl w:val="BCC67196"/>
    <w:lvl w:ilvl="0" w:tplc="0A4A2526">
      <w:start w:val="5"/>
      <w:numFmt w:val="upperRoman"/>
      <w:lvlText w:val="%1."/>
      <w:lvlJc w:val="left"/>
      <w:pPr>
        <w:ind w:left="1996" w:hanging="720"/>
      </w:pPr>
      <w:rPr>
        <w:rFonts w:hint="default"/>
        <w:b/>
        <w:bCs/>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1" w15:restartNumberingAfterBreak="0">
    <w:nsid w:val="45EE7362"/>
    <w:multiLevelType w:val="hybridMultilevel"/>
    <w:tmpl w:val="21CC11F4"/>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A0D0C42"/>
    <w:multiLevelType w:val="hybridMultilevel"/>
    <w:tmpl w:val="B44099F4"/>
    <w:lvl w:ilvl="0" w:tplc="32EAA1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AAC64E9"/>
    <w:multiLevelType w:val="hybridMultilevel"/>
    <w:tmpl w:val="3666398A"/>
    <w:lvl w:ilvl="0" w:tplc="D11CC3BA">
      <w:start w:val="1"/>
      <w:numFmt w:val="upperRoman"/>
      <w:lvlText w:val="%1."/>
      <w:lvlJc w:val="left"/>
      <w:pPr>
        <w:ind w:left="1008" w:hanging="720"/>
      </w:pPr>
      <w:rPr>
        <w:rFonts w:hint="default"/>
        <w:b/>
        <w:bCs/>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646F4345"/>
    <w:multiLevelType w:val="hybridMultilevel"/>
    <w:tmpl w:val="CBAACE8A"/>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15:restartNumberingAfterBreak="0">
    <w:nsid w:val="6AF3322D"/>
    <w:multiLevelType w:val="hybridMultilevel"/>
    <w:tmpl w:val="262E1D54"/>
    <w:lvl w:ilvl="0" w:tplc="7C4E46FA">
      <w:start w:val="1"/>
      <w:numFmt w:val="upperRoman"/>
      <w:lvlText w:val="%1."/>
      <w:lvlJc w:val="left"/>
      <w:pPr>
        <w:ind w:left="1008" w:hanging="720"/>
      </w:pPr>
      <w:rPr>
        <w:rFonts w:hint="default"/>
        <w:b/>
        <w:bCs/>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9DA754A"/>
    <w:multiLevelType w:val="hybridMultilevel"/>
    <w:tmpl w:val="E8E063FC"/>
    <w:lvl w:ilvl="0" w:tplc="080A0001">
      <w:start w:val="1"/>
      <w:numFmt w:val="bullet"/>
      <w:lvlText w:val=""/>
      <w:lvlJc w:val="left"/>
      <w:pPr>
        <w:ind w:left="766" w:hanging="360"/>
      </w:pPr>
      <w:rPr>
        <w:rFonts w:ascii="Symbol" w:hAnsi="Symbol" w:hint="default"/>
      </w:rPr>
    </w:lvl>
    <w:lvl w:ilvl="1" w:tplc="080A0003" w:tentative="1">
      <w:start w:val="1"/>
      <w:numFmt w:val="bullet"/>
      <w:lvlText w:val="o"/>
      <w:lvlJc w:val="left"/>
      <w:pPr>
        <w:ind w:left="1486" w:hanging="360"/>
      </w:pPr>
      <w:rPr>
        <w:rFonts w:ascii="Courier New" w:hAnsi="Courier New" w:cs="Courier New" w:hint="default"/>
      </w:rPr>
    </w:lvl>
    <w:lvl w:ilvl="2" w:tplc="080A0005" w:tentative="1">
      <w:start w:val="1"/>
      <w:numFmt w:val="bullet"/>
      <w:lvlText w:val=""/>
      <w:lvlJc w:val="left"/>
      <w:pPr>
        <w:ind w:left="2206" w:hanging="360"/>
      </w:pPr>
      <w:rPr>
        <w:rFonts w:ascii="Wingdings" w:hAnsi="Wingdings" w:hint="default"/>
      </w:rPr>
    </w:lvl>
    <w:lvl w:ilvl="3" w:tplc="080A0001" w:tentative="1">
      <w:start w:val="1"/>
      <w:numFmt w:val="bullet"/>
      <w:lvlText w:val=""/>
      <w:lvlJc w:val="left"/>
      <w:pPr>
        <w:ind w:left="2926" w:hanging="360"/>
      </w:pPr>
      <w:rPr>
        <w:rFonts w:ascii="Symbol" w:hAnsi="Symbol" w:hint="default"/>
      </w:rPr>
    </w:lvl>
    <w:lvl w:ilvl="4" w:tplc="080A0003" w:tentative="1">
      <w:start w:val="1"/>
      <w:numFmt w:val="bullet"/>
      <w:lvlText w:val="o"/>
      <w:lvlJc w:val="left"/>
      <w:pPr>
        <w:ind w:left="3646" w:hanging="360"/>
      </w:pPr>
      <w:rPr>
        <w:rFonts w:ascii="Courier New" w:hAnsi="Courier New" w:cs="Courier New" w:hint="default"/>
      </w:rPr>
    </w:lvl>
    <w:lvl w:ilvl="5" w:tplc="080A0005" w:tentative="1">
      <w:start w:val="1"/>
      <w:numFmt w:val="bullet"/>
      <w:lvlText w:val=""/>
      <w:lvlJc w:val="left"/>
      <w:pPr>
        <w:ind w:left="4366" w:hanging="360"/>
      </w:pPr>
      <w:rPr>
        <w:rFonts w:ascii="Wingdings" w:hAnsi="Wingdings" w:hint="default"/>
      </w:rPr>
    </w:lvl>
    <w:lvl w:ilvl="6" w:tplc="080A0001" w:tentative="1">
      <w:start w:val="1"/>
      <w:numFmt w:val="bullet"/>
      <w:lvlText w:val=""/>
      <w:lvlJc w:val="left"/>
      <w:pPr>
        <w:ind w:left="5086" w:hanging="360"/>
      </w:pPr>
      <w:rPr>
        <w:rFonts w:ascii="Symbol" w:hAnsi="Symbol" w:hint="default"/>
      </w:rPr>
    </w:lvl>
    <w:lvl w:ilvl="7" w:tplc="080A0003" w:tentative="1">
      <w:start w:val="1"/>
      <w:numFmt w:val="bullet"/>
      <w:lvlText w:val="o"/>
      <w:lvlJc w:val="left"/>
      <w:pPr>
        <w:ind w:left="5806" w:hanging="360"/>
      </w:pPr>
      <w:rPr>
        <w:rFonts w:ascii="Courier New" w:hAnsi="Courier New" w:cs="Courier New" w:hint="default"/>
      </w:rPr>
    </w:lvl>
    <w:lvl w:ilvl="8" w:tplc="080A0005" w:tentative="1">
      <w:start w:val="1"/>
      <w:numFmt w:val="bullet"/>
      <w:lvlText w:val=""/>
      <w:lvlJc w:val="left"/>
      <w:pPr>
        <w:ind w:left="6526" w:hanging="360"/>
      </w:pPr>
      <w:rPr>
        <w:rFonts w:ascii="Wingdings" w:hAnsi="Wingdings" w:hint="default"/>
      </w:rPr>
    </w:lvl>
  </w:abstractNum>
  <w:abstractNum w:abstractNumId="18" w15:restartNumberingAfterBreak="0">
    <w:nsid w:val="7B0962D1"/>
    <w:multiLevelType w:val="hybridMultilevel"/>
    <w:tmpl w:val="44D62326"/>
    <w:lvl w:ilvl="0" w:tplc="B14C3A76">
      <w:start w:val="5"/>
      <w:numFmt w:val="upperRoman"/>
      <w:lvlText w:val="%1."/>
      <w:lvlJc w:val="left"/>
      <w:pPr>
        <w:ind w:left="1008"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
  </w:num>
  <w:num w:numId="3">
    <w:abstractNumId w:val="4"/>
  </w:num>
  <w:num w:numId="4">
    <w:abstractNumId w:val="5"/>
  </w:num>
  <w:num w:numId="5">
    <w:abstractNumId w:val="6"/>
  </w:num>
  <w:num w:numId="6">
    <w:abstractNumId w:val="16"/>
  </w:num>
  <w:num w:numId="7">
    <w:abstractNumId w:val="9"/>
  </w:num>
  <w:num w:numId="8">
    <w:abstractNumId w:val="8"/>
  </w:num>
  <w:num w:numId="9">
    <w:abstractNumId w:val="0"/>
  </w:num>
  <w:num w:numId="10">
    <w:abstractNumId w:val="13"/>
  </w:num>
  <w:num w:numId="11">
    <w:abstractNumId w:val="10"/>
  </w:num>
  <w:num w:numId="12">
    <w:abstractNumId w:val="18"/>
  </w:num>
  <w:num w:numId="13">
    <w:abstractNumId w:val="3"/>
  </w:num>
  <w:num w:numId="14">
    <w:abstractNumId w:val="12"/>
  </w:num>
  <w:num w:numId="15">
    <w:abstractNumId w:val="2"/>
  </w:num>
  <w:num w:numId="16">
    <w:abstractNumId w:val="15"/>
  </w:num>
  <w:num w:numId="17">
    <w:abstractNumId w:val="7"/>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DD"/>
    <w:rsid w:val="00011227"/>
    <w:rsid w:val="00015C2E"/>
    <w:rsid w:val="00023C16"/>
    <w:rsid w:val="00024EF0"/>
    <w:rsid w:val="0002566D"/>
    <w:rsid w:val="00034AE9"/>
    <w:rsid w:val="00036160"/>
    <w:rsid w:val="0004749E"/>
    <w:rsid w:val="00050A90"/>
    <w:rsid w:val="000523AB"/>
    <w:rsid w:val="00053F8A"/>
    <w:rsid w:val="000577B5"/>
    <w:rsid w:val="00067224"/>
    <w:rsid w:val="00067BC3"/>
    <w:rsid w:val="00070399"/>
    <w:rsid w:val="00081414"/>
    <w:rsid w:val="00086F4B"/>
    <w:rsid w:val="00090938"/>
    <w:rsid w:val="000910F0"/>
    <w:rsid w:val="000914DF"/>
    <w:rsid w:val="000B33AD"/>
    <w:rsid w:val="000B3E5A"/>
    <w:rsid w:val="000B58EC"/>
    <w:rsid w:val="000C6828"/>
    <w:rsid w:val="000D06FC"/>
    <w:rsid w:val="000D6A1F"/>
    <w:rsid w:val="000E4E76"/>
    <w:rsid w:val="000F1667"/>
    <w:rsid w:val="000F40CA"/>
    <w:rsid w:val="0010495D"/>
    <w:rsid w:val="00104C83"/>
    <w:rsid w:val="001063BE"/>
    <w:rsid w:val="0011347F"/>
    <w:rsid w:val="00114F1F"/>
    <w:rsid w:val="00125186"/>
    <w:rsid w:val="00142C05"/>
    <w:rsid w:val="00145A1E"/>
    <w:rsid w:val="001461F4"/>
    <w:rsid w:val="00154CC2"/>
    <w:rsid w:val="0015673B"/>
    <w:rsid w:val="0016005A"/>
    <w:rsid w:val="00172F53"/>
    <w:rsid w:val="00173F38"/>
    <w:rsid w:val="00196A3A"/>
    <w:rsid w:val="001A6814"/>
    <w:rsid w:val="001B158C"/>
    <w:rsid w:val="001B163B"/>
    <w:rsid w:val="001C2378"/>
    <w:rsid w:val="001C2F08"/>
    <w:rsid w:val="001E0885"/>
    <w:rsid w:val="001E51FE"/>
    <w:rsid w:val="001F31EE"/>
    <w:rsid w:val="001F4AC8"/>
    <w:rsid w:val="00211FE7"/>
    <w:rsid w:val="002322A9"/>
    <w:rsid w:val="0023238C"/>
    <w:rsid w:val="002506D2"/>
    <w:rsid w:val="00271E7C"/>
    <w:rsid w:val="002740BB"/>
    <w:rsid w:val="0028705D"/>
    <w:rsid w:val="00290BDC"/>
    <w:rsid w:val="00297532"/>
    <w:rsid w:val="00297A60"/>
    <w:rsid w:val="002A3C3A"/>
    <w:rsid w:val="002B3D1F"/>
    <w:rsid w:val="002C6D0C"/>
    <w:rsid w:val="002E376C"/>
    <w:rsid w:val="00301288"/>
    <w:rsid w:val="00311D34"/>
    <w:rsid w:val="0031638B"/>
    <w:rsid w:val="00317527"/>
    <w:rsid w:val="00327E55"/>
    <w:rsid w:val="0033402E"/>
    <w:rsid w:val="003352AD"/>
    <w:rsid w:val="00340F7D"/>
    <w:rsid w:val="00370D61"/>
    <w:rsid w:val="00377CBA"/>
    <w:rsid w:val="003953DA"/>
    <w:rsid w:val="00397DAB"/>
    <w:rsid w:val="003A35DA"/>
    <w:rsid w:val="003A3AF9"/>
    <w:rsid w:val="003A4035"/>
    <w:rsid w:val="003A50DE"/>
    <w:rsid w:val="003E6265"/>
    <w:rsid w:val="003F1F15"/>
    <w:rsid w:val="003F5473"/>
    <w:rsid w:val="00401260"/>
    <w:rsid w:val="00404C0B"/>
    <w:rsid w:val="004058CB"/>
    <w:rsid w:val="00405DB3"/>
    <w:rsid w:val="0040628E"/>
    <w:rsid w:val="00407C04"/>
    <w:rsid w:val="00424E14"/>
    <w:rsid w:val="00433E7C"/>
    <w:rsid w:val="00444BF0"/>
    <w:rsid w:val="00450334"/>
    <w:rsid w:val="00457A8B"/>
    <w:rsid w:val="00472B2A"/>
    <w:rsid w:val="00477C8C"/>
    <w:rsid w:val="00481D72"/>
    <w:rsid w:val="00493105"/>
    <w:rsid w:val="004A1387"/>
    <w:rsid w:val="004C363A"/>
    <w:rsid w:val="004C53D6"/>
    <w:rsid w:val="004D3BA7"/>
    <w:rsid w:val="004E2287"/>
    <w:rsid w:val="004E343B"/>
    <w:rsid w:val="004F3F39"/>
    <w:rsid w:val="005002AA"/>
    <w:rsid w:val="005105C3"/>
    <w:rsid w:val="00511DA9"/>
    <w:rsid w:val="00522D16"/>
    <w:rsid w:val="00537FF8"/>
    <w:rsid w:val="00542C18"/>
    <w:rsid w:val="005452D6"/>
    <w:rsid w:val="005642DD"/>
    <w:rsid w:val="00581B86"/>
    <w:rsid w:val="005820FD"/>
    <w:rsid w:val="0059315C"/>
    <w:rsid w:val="00594F1F"/>
    <w:rsid w:val="00595151"/>
    <w:rsid w:val="005B03CA"/>
    <w:rsid w:val="005C04BF"/>
    <w:rsid w:val="005C765A"/>
    <w:rsid w:val="005D05EC"/>
    <w:rsid w:val="005D1983"/>
    <w:rsid w:val="005D31FD"/>
    <w:rsid w:val="005E20FA"/>
    <w:rsid w:val="005E7BBE"/>
    <w:rsid w:val="005F6ADA"/>
    <w:rsid w:val="006051DD"/>
    <w:rsid w:val="00610BB0"/>
    <w:rsid w:val="00612F1B"/>
    <w:rsid w:val="00626B37"/>
    <w:rsid w:val="006314C5"/>
    <w:rsid w:val="0063343A"/>
    <w:rsid w:val="0063527F"/>
    <w:rsid w:val="00635534"/>
    <w:rsid w:val="006450F6"/>
    <w:rsid w:val="00646089"/>
    <w:rsid w:val="0065003C"/>
    <w:rsid w:val="00650540"/>
    <w:rsid w:val="00657A25"/>
    <w:rsid w:val="00663B54"/>
    <w:rsid w:val="00666384"/>
    <w:rsid w:val="00672D0A"/>
    <w:rsid w:val="0067713B"/>
    <w:rsid w:val="00681C66"/>
    <w:rsid w:val="00693C3C"/>
    <w:rsid w:val="006A03AD"/>
    <w:rsid w:val="006C4DD2"/>
    <w:rsid w:val="006C575A"/>
    <w:rsid w:val="006D3332"/>
    <w:rsid w:val="006E17BB"/>
    <w:rsid w:val="006E202F"/>
    <w:rsid w:val="006E2278"/>
    <w:rsid w:val="007002C0"/>
    <w:rsid w:val="00704F51"/>
    <w:rsid w:val="00707421"/>
    <w:rsid w:val="00721257"/>
    <w:rsid w:val="007243B7"/>
    <w:rsid w:val="00737F4B"/>
    <w:rsid w:val="007448D0"/>
    <w:rsid w:val="007549A8"/>
    <w:rsid w:val="00777207"/>
    <w:rsid w:val="0078795B"/>
    <w:rsid w:val="007A55E9"/>
    <w:rsid w:val="007C453E"/>
    <w:rsid w:val="007D31FF"/>
    <w:rsid w:val="00812D26"/>
    <w:rsid w:val="00813162"/>
    <w:rsid w:val="00814FE3"/>
    <w:rsid w:val="00824A3E"/>
    <w:rsid w:val="008253F1"/>
    <w:rsid w:val="0082755C"/>
    <w:rsid w:val="00830046"/>
    <w:rsid w:val="008307C9"/>
    <w:rsid w:val="00835CE1"/>
    <w:rsid w:val="008420C6"/>
    <w:rsid w:val="00847193"/>
    <w:rsid w:val="00847AFF"/>
    <w:rsid w:val="00853D7C"/>
    <w:rsid w:val="00864336"/>
    <w:rsid w:val="00872FB9"/>
    <w:rsid w:val="00884DDC"/>
    <w:rsid w:val="0088540E"/>
    <w:rsid w:val="008A2634"/>
    <w:rsid w:val="008B1160"/>
    <w:rsid w:val="008C1A21"/>
    <w:rsid w:val="008C5D54"/>
    <w:rsid w:val="008C7C40"/>
    <w:rsid w:val="008D7B78"/>
    <w:rsid w:val="008F34D5"/>
    <w:rsid w:val="008F568F"/>
    <w:rsid w:val="008F6593"/>
    <w:rsid w:val="008F7EAB"/>
    <w:rsid w:val="00903576"/>
    <w:rsid w:val="0090774F"/>
    <w:rsid w:val="009233E8"/>
    <w:rsid w:val="009243F8"/>
    <w:rsid w:val="00941C94"/>
    <w:rsid w:val="00946DB9"/>
    <w:rsid w:val="00956C73"/>
    <w:rsid w:val="0097529C"/>
    <w:rsid w:val="009B7213"/>
    <w:rsid w:val="009C096A"/>
    <w:rsid w:val="009D6B59"/>
    <w:rsid w:val="009E0F87"/>
    <w:rsid w:val="009E3035"/>
    <w:rsid w:val="009F1213"/>
    <w:rsid w:val="00A105E8"/>
    <w:rsid w:val="00A13A15"/>
    <w:rsid w:val="00A13CC7"/>
    <w:rsid w:val="00A1421C"/>
    <w:rsid w:val="00A30F4C"/>
    <w:rsid w:val="00A360D0"/>
    <w:rsid w:val="00A44E2C"/>
    <w:rsid w:val="00A54135"/>
    <w:rsid w:val="00A6096B"/>
    <w:rsid w:val="00A7368E"/>
    <w:rsid w:val="00A74E0C"/>
    <w:rsid w:val="00A850CC"/>
    <w:rsid w:val="00A95313"/>
    <w:rsid w:val="00A974B2"/>
    <w:rsid w:val="00AC244B"/>
    <w:rsid w:val="00AE0DEA"/>
    <w:rsid w:val="00AF42A4"/>
    <w:rsid w:val="00B025D1"/>
    <w:rsid w:val="00B1390D"/>
    <w:rsid w:val="00B177DE"/>
    <w:rsid w:val="00B231CE"/>
    <w:rsid w:val="00B25979"/>
    <w:rsid w:val="00B27919"/>
    <w:rsid w:val="00B44803"/>
    <w:rsid w:val="00B4708D"/>
    <w:rsid w:val="00B524C5"/>
    <w:rsid w:val="00B550DB"/>
    <w:rsid w:val="00B62206"/>
    <w:rsid w:val="00B63513"/>
    <w:rsid w:val="00B65A6A"/>
    <w:rsid w:val="00B70BD3"/>
    <w:rsid w:val="00B7567C"/>
    <w:rsid w:val="00BB27C9"/>
    <w:rsid w:val="00BB6A0B"/>
    <w:rsid w:val="00BC2262"/>
    <w:rsid w:val="00BD179F"/>
    <w:rsid w:val="00BD3383"/>
    <w:rsid w:val="00BD4B2D"/>
    <w:rsid w:val="00BE0A1C"/>
    <w:rsid w:val="00BE16B0"/>
    <w:rsid w:val="00BF05B1"/>
    <w:rsid w:val="00C005ED"/>
    <w:rsid w:val="00C04F5B"/>
    <w:rsid w:val="00C10A72"/>
    <w:rsid w:val="00C34DDD"/>
    <w:rsid w:val="00C410D2"/>
    <w:rsid w:val="00C639F5"/>
    <w:rsid w:val="00C73249"/>
    <w:rsid w:val="00C73676"/>
    <w:rsid w:val="00C758C0"/>
    <w:rsid w:val="00C8657F"/>
    <w:rsid w:val="00C874A4"/>
    <w:rsid w:val="00C938EB"/>
    <w:rsid w:val="00C95304"/>
    <w:rsid w:val="00C95DBF"/>
    <w:rsid w:val="00C9799C"/>
    <w:rsid w:val="00CB7350"/>
    <w:rsid w:val="00CC0959"/>
    <w:rsid w:val="00CC1D89"/>
    <w:rsid w:val="00CD472F"/>
    <w:rsid w:val="00CD5128"/>
    <w:rsid w:val="00CD5F9E"/>
    <w:rsid w:val="00CE11DD"/>
    <w:rsid w:val="00CE7A10"/>
    <w:rsid w:val="00CF5102"/>
    <w:rsid w:val="00CF666E"/>
    <w:rsid w:val="00D006CD"/>
    <w:rsid w:val="00D00F67"/>
    <w:rsid w:val="00D024A4"/>
    <w:rsid w:val="00D2471F"/>
    <w:rsid w:val="00D26636"/>
    <w:rsid w:val="00D269EB"/>
    <w:rsid w:val="00D30688"/>
    <w:rsid w:val="00D32144"/>
    <w:rsid w:val="00D403CE"/>
    <w:rsid w:val="00D60CCE"/>
    <w:rsid w:val="00D613E8"/>
    <w:rsid w:val="00D737D5"/>
    <w:rsid w:val="00D74047"/>
    <w:rsid w:val="00D82951"/>
    <w:rsid w:val="00D91FCA"/>
    <w:rsid w:val="00DB2139"/>
    <w:rsid w:val="00DC167D"/>
    <w:rsid w:val="00DC4995"/>
    <w:rsid w:val="00DC753F"/>
    <w:rsid w:val="00DD256A"/>
    <w:rsid w:val="00DD3660"/>
    <w:rsid w:val="00DD5A0B"/>
    <w:rsid w:val="00DD5E68"/>
    <w:rsid w:val="00DF363C"/>
    <w:rsid w:val="00DF4B31"/>
    <w:rsid w:val="00E03893"/>
    <w:rsid w:val="00E11369"/>
    <w:rsid w:val="00E3439A"/>
    <w:rsid w:val="00E3668D"/>
    <w:rsid w:val="00E44A4D"/>
    <w:rsid w:val="00E47B82"/>
    <w:rsid w:val="00E5768B"/>
    <w:rsid w:val="00E612D5"/>
    <w:rsid w:val="00E621CB"/>
    <w:rsid w:val="00E64094"/>
    <w:rsid w:val="00E81271"/>
    <w:rsid w:val="00E82A45"/>
    <w:rsid w:val="00E8449C"/>
    <w:rsid w:val="00EB2BA2"/>
    <w:rsid w:val="00EB35B6"/>
    <w:rsid w:val="00EB7A55"/>
    <w:rsid w:val="00ED3DFD"/>
    <w:rsid w:val="00EE29C0"/>
    <w:rsid w:val="00EE33AB"/>
    <w:rsid w:val="00EE3732"/>
    <w:rsid w:val="00F1119B"/>
    <w:rsid w:val="00F20172"/>
    <w:rsid w:val="00F20A3A"/>
    <w:rsid w:val="00F22D1C"/>
    <w:rsid w:val="00F25421"/>
    <w:rsid w:val="00F33CBE"/>
    <w:rsid w:val="00F34A57"/>
    <w:rsid w:val="00F55C92"/>
    <w:rsid w:val="00F73233"/>
    <w:rsid w:val="00F76D2C"/>
    <w:rsid w:val="00F76FA8"/>
    <w:rsid w:val="00F955BF"/>
    <w:rsid w:val="00FA51BF"/>
    <w:rsid w:val="00FA647F"/>
    <w:rsid w:val="00FA6565"/>
    <w:rsid w:val="00FB1E62"/>
    <w:rsid w:val="00FC672E"/>
    <w:rsid w:val="00FF2075"/>
    <w:rsid w:val="00FF2857"/>
    <w:rsid w:val="00FF2C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E588ABE"/>
  <w15:chartTrackingRefBased/>
  <w15:docId w15:val="{940A767E-8933-487C-844C-835A2EC6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26B37"/>
    <w:pPr>
      <w:keepNext/>
      <w:numPr>
        <w:numId w:val="6"/>
      </w:numPr>
      <w:spacing w:before="240" w:after="120"/>
      <w:jc w:val="both"/>
      <w:outlineLvl w:val="1"/>
    </w:pPr>
    <w:rPr>
      <w:rFonts w:ascii="ITC Avant Garde" w:eastAsia="Times New Roman" w:hAnsi="ITC Avant Garde"/>
      <w:b/>
      <w:color w:val="000000"/>
      <w:lang w:eastAsia="es-MX"/>
    </w:rPr>
  </w:style>
  <w:style w:type="paragraph" w:styleId="Ttulo3">
    <w:name w:val="heading 3"/>
    <w:basedOn w:val="Normal"/>
    <w:next w:val="Normal"/>
    <w:link w:val="Ttulo3Car"/>
    <w:uiPriority w:val="9"/>
    <w:semiHidden/>
    <w:unhideWhenUsed/>
    <w:qFormat/>
    <w:rsid w:val="004F3F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Listas,lp1,CNBV Parrafo1,List Paragraph-Thesis,Dot pt"/>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iPriority w:val="99"/>
    <w:unhideWhenUsed/>
    <w:rsid w:val="00CE11DD"/>
    <w:pPr>
      <w:spacing w:after="120"/>
    </w:pPr>
  </w:style>
  <w:style w:type="character" w:customStyle="1" w:styleId="TextoindependienteCar">
    <w:name w:val="Texto independiente Car"/>
    <w:basedOn w:val="Fuentedeprrafopredeter"/>
    <w:link w:val="Textoindependiente"/>
    <w:uiPriority w:val="99"/>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Listas Car"/>
    <w:link w:val="Prrafodelista"/>
    <w:uiPriority w:val="34"/>
    <w:qFormat/>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character" w:customStyle="1" w:styleId="Ttulo2Car">
    <w:name w:val="Título 2 Car"/>
    <w:basedOn w:val="Fuentedeprrafopredeter"/>
    <w:link w:val="Ttulo2"/>
    <w:uiPriority w:val="9"/>
    <w:rsid w:val="00626B37"/>
    <w:rPr>
      <w:rFonts w:ascii="ITC Avant Garde" w:eastAsia="Times New Roman" w:hAnsi="ITC Avant Garde" w:cs="Times New Roman"/>
      <w:b/>
      <w:color w:val="000000"/>
      <w:lang w:eastAsia="es-MX"/>
    </w:rPr>
  </w:style>
  <w:style w:type="table" w:styleId="Tablaconcuadrcula">
    <w:name w:val="Table Grid"/>
    <w:basedOn w:val="Tablanormal"/>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uiPriority w:val="9"/>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basedOn w:val="Normal"/>
    <w:link w:val="TextonotapieCar"/>
    <w:uiPriority w:val="99"/>
    <w:semiHidden/>
    <w:unhideWhenUsed/>
    <w:rsid w:val="000F16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F166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iPriority w:val="99"/>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paragraph" w:customStyle="1" w:styleId="Texto">
    <w:name w:val="Texto"/>
    <w:basedOn w:val="Normal"/>
    <w:link w:val="TextoCar"/>
    <w:rsid w:val="00B524C5"/>
    <w:pPr>
      <w:spacing w:after="101" w:line="216" w:lineRule="exact"/>
      <w:ind w:firstLine="288"/>
      <w:jc w:val="both"/>
    </w:pPr>
    <w:rPr>
      <w:rFonts w:ascii="Arial" w:eastAsia="Times New Roman" w:hAnsi="Arial" w:cs="Arial"/>
      <w:sz w:val="18"/>
      <w:szCs w:val="20"/>
      <w:lang w:val="es-MX" w:eastAsia="es-ES"/>
    </w:rPr>
  </w:style>
  <w:style w:type="character" w:customStyle="1" w:styleId="TextoCar">
    <w:name w:val="Texto Car"/>
    <w:link w:val="Texto"/>
    <w:locked/>
    <w:rsid w:val="00B524C5"/>
    <w:rPr>
      <w:rFonts w:ascii="Arial" w:eastAsia="Times New Roman" w:hAnsi="Arial" w:cs="Arial"/>
      <w:sz w:val="18"/>
      <w:szCs w:val="20"/>
      <w:lang w:eastAsia="es-ES"/>
    </w:rPr>
  </w:style>
  <w:style w:type="paragraph" w:styleId="Revisin">
    <w:name w:val="Revision"/>
    <w:hidden/>
    <w:uiPriority w:val="99"/>
    <w:semiHidden/>
    <w:rsid w:val="00D32144"/>
    <w:pPr>
      <w:spacing w:after="0" w:line="240" w:lineRule="auto"/>
    </w:pPr>
    <w:rPr>
      <w:rFonts w:ascii="Calibri" w:eastAsia="Calibri" w:hAnsi="Calibri" w:cs="Times New Roman"/>
      <w:lang w:val="es-ES"/>
    </w:rPr>
  </w:style>
  <w:style w:type="character" w:styleId="Refdecomentario">
    <w:name w:val="annotation reference"/>
    <w:basedOn w:val="Fuentedeprrafopredeter"/>
    <w:uiPriority w:val="99"/>
    <w:semiHidden/>
    <w:unhideWhenUsed/>
    <w:rsid w:val="00737F4B"/>
    <w:rPr>
      <w:sz w:val="16"/>
      <w:szCs w:val="16"/>
    </w:rPr>
  </w:style>
  <w:style w:type="paragraph" w:styleId="Textocomentario">
    <w:name w:val="annotation text"/>
    <w:basedOn w:val="Normal"/>
    <w:link w:val="TextocomentarioCar"/>
    <w:uiPriority w:val="99"/>
    <w:unhideWhenUsed/>
    <w:rsid w:val="00737F4B"/>
    <w:pPr>
      <w:spacing w:line="240" w:lineRule="auto"/>
    </w:pPr>
    <w:rPr>
      <w:sz w:val="20"/>
      <w:szCs w:val="20"/>
    </w:rPr>
  </w:style>
  <w:style w:type="character" w:customStyle="1" w:styleId="TextocomentarioCar">
    <w:name w:val="Texto comentario Car"/>
    <w:basedOn w:val="Fuentedeprrafopredeter"/>
    <w:link w:val="Textocomentario"/>
    <w:uiPriority w:val="99"/>
    <w:rsid w:val="00737F4B"/>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37F4B"/>
    <w:rPr>
      <w:b/>
      <w:bCs/>
    </w:rPr>
  </w:style>
  <w:style w:type="character" w:customStyle="1" w:styleId="AsuntodelcomentarioCar">
    <w:name w:val="Asunto del comentario Car"/>
    <w:basedOn w:val="TextocomentarioCar"/>
    <w:link w:val="Asuntodelcomentario"/>
    <w:uiPriority w:val="99"/>
    <w:semiHidden/>
    <w:rsid w:val="00737F4B"/>
    <w:rPr>
      <w:rFonts w:ascii="Calibri" w:eastAsia="Calibri" w:hAnsi="Calibri" w:cs="Times New Roman"/>
      <w:b/>
      <w:bCs/>
      <w:sz w:val="20"/>
      <w:szCs w:val="20"/>
      <w:lang w:val="es-ES"/>
    </w:rPr>
  </w:style>
  <w:style w:type="character" w:styleId="Mencinsinresolver">
    <w:name w:val="Unresolved Mention"/>
    <w:basedOn w:val="Fuentedeprrafopredeter"/>
    <w:uiPriority w:val="99"/>
    <w:semiHidden/>
    <w:unhideWhenUsed/>
    <w:rsid w:val="00104C83"/>
    <w:rPr>
      <w:color w:val="605E5C"/>
      <w:shd w:val="clear" w:color="auto" w:fill="E1DFDD"/>
    </w:rPr>
  </w:style>
  <w:style w:type="character" w:customStyle="1" w:styleId="Ttulo3Car">
    <w:name w:val="Título 3 Car"/>
    <w:basedOn w:val="Fuentedeprrafopredeter"/>
    <w:link w:val="Ttulo3"/>
    <w:uiPriority w:val="9"/>
    <w:semiHidden/>
    <w:rsid w:val="004F3F39"/>
    <w:rPr>
      <w:rFonts w:asciiTheme="majorHAnsi" w:eastAsiaTheme="majorEastAsia" w:hAnsiTheme="majorHAnsi" w:cstheme="majorBidi"/>
      <w:color w:val="1F4D78"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10562">
      <w:bodyDiv w:val="1"/>
      <w:marLeft w:val="0"/>
      <w:marRight w:val="0"/>
      <w:marTop w:val="0"/>
      <w:marBottom w:val="0"/>
      <w:divBdr>
        <w:top w:val="none" w:sz="0" w:space="0" w:color="auto"/>
        <w:left w:val="none" w:sz="0" w:space="0" w:color="auto"/>
        <w:bottom w:val="none" w:sz="0" w:space="0" w:color="auto"/>
        <w:right w:val="none" w:sz="0" w:space="0" w:color="auto"/>
      </w:divBdr>
    </w:div>
    <w:div w:id="167603635">
      <w:bodyDiv w:val="1"/>
      <w:marLeft w:val="0"/>
      <w:marRight w:val="0"/>
      <w:marTop w:val="0"/>
      <w:marBottom w:val="0"/>
      <w:divBdr>
        <w:top w:val="none" w:sz="0" w:space="0" w:color="auto"/>
        <w:left w:val="none" w:sz="0" w:space="0" w:color="auto"/>
        <w:bottom w:val="none" w:sz="0" w:space="0" w:color="auto"/>
        <w:right w:val="none" w:sz="0" w:space="0" w:color="auto"/>
      </w:divBdr>
    </w:div>
    <w:div w:id="731542349">
      <w:bodyDiv w:val="1"/>
      <w:marLeft w:val="0"/>
      <w:marRight w:val="0"/>
      <w:marTop w:val="0"/>
      <w:marBottom w:val="0"/>
      <w:divBdr>
        <w:top w:val="none" w:sz="0" w:space="0" w:color="auto"/>
        <w:left w:val="none" w:sz="0" w:space="0" w:color="auto"/>
        <w:bottom w:val="none" w:sz="0" w:space="0" w:color="auto"/>
        <w:right w:val="none" w:sz="0" w:space="0" w:color="auto"/>
      </w:divBdr>
    </w:div>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D4426-4B40-4F6D-AD29-B61BEBB5A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1276</Words>
  <Characters>7018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Ignacio Reyes Sanchez</dc:creator>
  <cp:keywords/>
  <dc:description/>
  <cp:lastModifiedBy>Primitivo Ortiz Maldonado</cp:lastModifiedBy>
  <cp:revision>5</cp:revision>
  <cp:lastPrinted>2023-10-12T16:10:00Z</cp:lastPrinted>
  <dcterms:created xsi:type="dcterms:W3CDTF">2023-10-03T20:05:00Z</dcterms:created>
  <dcterms:modified xsi:type="dcterms:W3CDTF">2023-10-12T16:10:00Z</dcterms:modified>
</cp:coreProperties>
</file>