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57AFF" w14:textId="6982AF8C" w:rsidR="001B163B" w:rsidRPr="00237607" w:rsidRDefault="003351E6" w:rsidP="00AC7328">
      <w:pPr>
        <w:keepNext/>
        <w:keepLines/>
        <w:spacing w:after="0"/>
        <w:jc w:val="both"/>
        <w:outlineLvl w:val="0"/>
        <w:rPr>
          <w:rFonts w:ascii="Arial" w:eastAsia="Times New Roman" w:hAnsi="Arial" w:cs="Arial"/>
          <w:b/>
          <w:bCs/>
          <w:color w:val="000000"/>
          <w:sz w:val="18"/>
          <w:szCs w:val="18"/>
          <w:lang w:eastAsia="es-MX"/>
        </w:rPr>
      </w:pPr>
      <w:r w:rsidRPr="00237607">
        <w:rPr>
          <w:rFonts w:ascii="Arial" w:eastAsia="Times New Roman" w:hAnsi="Arial" w:cs="Arial"/>
          <w:b/>
          <w:bCs/>
          <w:sz w:val="18"/>
          <w:szCs w:val="18"/>
          <w:lang w:eastAsia="es-MX"/>
        </w:rPr>
        <w:t xml:space="preserve">Acuerdo mediante el cual el Pleno del Instituto Federal de Telecomunicaciones elimina diversos trámites </w:t>
      </w:r>
      <w:bookmarkStart w:id="0" w:name="_GoBack"/>
      <w:bookmarkEnd w:id="0"/>
      <w:r w:rsidRPr="00237607">
        <w:rPr>
          <w:rFonts w:ascii="Arial" w:eastAsia="Times New Roman" w:hAnsi="Arial" w:cs="Arial"/>
          <w:b/>
          <w:bCs/>
          <w:sz w:val="18"/>
          <w:szCs w:val="18"/>
          <w:lang w:eastAsia="es-MX"/>
        </w:rPr>
        <w:t xml:space="preserve">del Registro de Trámites y Servicios del </w:t>
      </w:r>
      <w:r w:rsidR="00101FAA" w:rsidRPr="00237607">
        <w:rPr>
          <w:rFonts w:ascii="Arial" w:eastAsia="Times New Roman" w:hAnsi="Arial" w:cs="Arial"/>
          <w:b/>
          <w:bCs/>
          <w:sz w:val="18"/>
          <w:szCs w:val="18"/>
          <w:lang w:eastAsia="es-MX"/>
        </w:rPr>
        <w:t>I</w:t>
      </w:r>
      <w:r w:rsidRPr="00237607">
        <w:rPr>
          <w:rFonts w:ascii="Arial" w:eastAsia="Times New Roman" w:hAnsi="Arial" w:cs="Arial"/>
          <w:b/>
          <w:bCs/>
          <w:sz w:val="18"/>
          <w:szCs w:val="18"/>
          <w:lang w:eastAsia="es-MX"/>
        </w:rPr>
        <w:t>nstituto Federal de Telecomunicaciones; así como modifica y deroga diversas disposiciones como parte de las acciones de simplificación de trámites y servicios a su cargo</w:t>
      </w:r>
      <w:r w:rsidR="007B3FD3" w:rsidRPr="00237607">
        <w:rPr>
          <w:rFonts w:ascii="Arial" w:eastAsia="Times New Roman" w:hAnsi="Arial" w:cs="Arial"/>
          <w:b/>
          <w:bCs/>
          <w:sz w:val="18"/>
          <w:szCs w:val="18"/>
          <w:lang w:eastAsia="es-MX"/>
        </w:rPr>
        <w:t>.</w:t>
      </w:r>
    </w:p>
    <w:p w14:paraId="681C3DE9" w14:textId="77777777" w:rsidR="001B163B" w:rsidRPr="00237607" w:rsidRDefault="001B163B" w:rsidP="00AC7328">
      <w:pPr>
        <w:spacing w:after="0"/>
        <w:jc w:val="center"/>
        <w:rPr>
          <w:rFonts w:ascii="Arial" w:hAnsi="Arial" w:cs="Arial"/>
          <w:b/>
          <w:bCs/>
          <w:color w:val="000000"/>
          <w:sz w:val="18"/>
          <w:szCs w:val="18"/>
          <w:lang w:eastAsia="es-MX"/>
        </w:rPr>
      </w:pPr>
    </w:p>
    <w:p w14:paraId="2D9E1605" w14:textId="77777777" w:rsidR="001B163B" w:rsidRPr="00237607" w:rsidRDefault="001B163B" w:rsidP="00AC7328">
      <w:pPr>
        <w:spacing w:after="0"/>
        <w:jc w:val="center"/>
        <w:rPr>
          <w:rFonts w:ascii="Arial" w:hAnsi="Arial" w:cs="Arial"/>
          <w:b/>
          <w:bCs/>
          <w:color w:val="000000"/>
          <w:sz w:val="18"/>
          <w:szCs w:val="18"/>
          <w:lang w:eastAsia="es-MX"/>
        </w:rPr>
      </w:pPr>
      <w:r w:rsidRPr="00237607">
        <w:rPr>
          <w:rFonts w:ascii="Arial" w:hAnsi="Arial" w:cs="Arial"/>
          <w:b/>
          <w:bCs/>
          <w:color w:val="000000"/>
          <w:sz w:val="18"/>
          <w:szCs w:val="18"/>
          <w:lang w:eastAsia="es-MX"/>
        </w:rPr>
        <w:t>Antecedentes</w:t>
      </w:r>
    </w:p>
    <w:p w14:paraId="64C53E3A" w14:textId="4625DF22" w:rsidR="001B163B" w:rsidRPr="00237607" w:rsidRDefault="001B163B" w:rsidP="00AC7328">
      <w:pPr>
        <w:spacing w:after="0"/>
        <w:jc w:val="center"/>
        <w:rPr>
          <w:rFonts w:ascii="Arial" w:hAnsi="Arial" w:cs="Arial"/>
          <w:b/>
          <w:sz w:val="18"/>
          <w:szCs w:val="18"/>
        </w:rPr>
      </w:pPr>
    </w:p>
    <w:p w14:paraId="7DF12D9A" w14:textId="03FD674D" w:rsidR="001B163B" w:rsidRPr="00237607" w:rsidRDefault="00BB1344" w:rsidP="00AC7328">
      <w:pPr>
        <w:spacing w:after="0"/>
        <w:jc w:val="both"/>
        <w:rPr>
          <w:rFonts w:ascii="Arial" w:hAnsi="Arial" w:cs="Arial"/>
          <w:b/>
          <w:sz w:val="18"/>
          <w:szCs w:val="18"/>
        </w:rPr>
      </w:pPr>
      <w:r w:rsidRPr="00237607">
        <w:rPr>
          <w:rFonts w:ascii="Arial" w:hAnsi="Arial" w:cs="Arial"/>
          <w:b/>
          <w:sz w:val="18"/>
          <w:szCs w:val="18"/>
        </w:rPr>
        <w:t>Primero. -</w:t>
      </w:r>
      <w:r w:rsidR="001B163B" w:rsidRPr="00237607">
        <w:rPr>
          <w:rFonts w:ascii="Arial" w:hAnsi="Arial" w:cs="Arial"/>
          <w:b/>
          <w:sz w:val="18"/>
          <w:szCs w:val="18"/>
        </w:rPr>
        <w:t xml:space="preserve"> </w:t>
      </w:r>
      <w:r w:rsidR="00FA223A" w:rsidRPr="00237607">
        <w:rPr>
          <w:rFonts w:ascii="Arial" w:hAnsi="Arial" w:cs="Arial"/>
          <w:b/>
          <w:sz w:val="18"/>
          <w:szCs w:val="18"/>
        </w:rPr>
        <w:t xml:space="preserve">Decreto de Reforma Constitucional. </w:t>
      </w:r>
      <w:r w:rsidR="001B158C" w:rsidRPr="00237607">
        <w:rPr>
          <w:rFonts w:ascii="Arial" w:hAnsi="Arial" w:cs="Arial"/>
          <w:sz w:val="18"/>
          <w:szCs w:val="18"/>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w:t>
      </w:r>
    </w:p>
    <w:p w14:paraId="286F7AC9" w14:textId="77777777" w:rsidR="001B163B" w:rsidRPr="00237607" w:rsidRDefault="001B163B" w:rsidP="00AC7328">
      <w:pPr>
        <w:spacing w:after="0"/>
        <w:jc w:val="both"/>
        <w:rPr>
          <w:rFonts w:ascii="Arial" w:eastAsia="Times New Roman" w:hAnsi="Arial" w:cs="Arial"/>
          <w:b/>
          <w:bCs/>
          <w:color w:val="000000"/>
          <w:sz w:val="18"/>
          <w:szCs w:val="18"/>
          <w:lang w:eastAsia="es-MX"/>
        </w:rPr>
      </w:pPr>
    </w:p>
    <w:p w14:paraId="57C64503" w14:textId="76D6040F" w:rsidR="001B163B" w:rsidRPr="00237607" w:rsidRDefault="00BB1344" w:rsidP="00AC7328">
      <w:pPr>
        <w:spacing w:after="0"/>
        <w:jc w:val="both"/>
        <w:rPr>
          <w:rFonts w:ascii="Arial" w:hAnsi="Arial" w:cs="Arial"/>
          <w:b/>
          <w:sz w:val="18"/>
          <w:szCs w:val="18"/>
        </w:rPr>
      </w:pPr>
      <w:r w:rsidRPr="00237607">
        <w:rPr>
          <w:rFonts w:ascii="Arial" w:hAnsi="Arial" w:cs="Arial"/>
          <w:b/>
          <w:sz w:val="18"/>
          <w:szCs w:val="18"/>
        </w:rPr>
        <w:t>Segundo. -</w:t>
      </w:r>
      <w:r w:rsidR="001B163B" w:rsidRPr="00237607">
        <w:rPr>
          <w:rFonts w:ascii="Arial" w:hAnsi="Arial" w:cs="Arial"/>
          <w:b/>
          <w:sz w:val="18"/>
          <w:szCs w:val="18"/>
        </w:rPr>
        <w:t xml:space="preserve"> </w:t>
      </w:r>
      <w:r w:rsidR="00FA223A" w:rsidRPr="00237607">
        <w:rPr>
          <w:rFonts w:ascii="Arial" w:hAnsi="Arial" w:cs="Arial"/>
          <w:b/>
          <w:sz w:val="18"/>
          <w:szCs w:val="18"/>
        </w:rPr>
        <w:t xml:space="preserve">Ley Federal de Telecomunicaciones y Radiodifusión. </w:t>
      </w:r>
      <w:r w:rsidR="001B158C" w:rsidRPr="00237607">
        <w:rPr>
          <w:rFonts w:ascii="Arial" w:hAnsi="Arial" w:cs="Arial"/>
          <w:sz w:val="18"/>
          <w:szCs w:val="18"/>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a los 30 (treinta) días naturales siguientes al de su publicación</w:t>
      </w:r>
      <w:r w:rsidR="00FA223A" w:rsidRPr="00237607">
        <w:rPr>
          <w:rFonts w:ascii="Arial" w:hAnsi="Arial" w:cs="Arial"/>
          <w:sz w:val="18"/>
          <w:szCs w:val="18"/>
        </w:rPr>
        <w:t>, es decir, el 13 de agosto de 2014.</w:t>
      </w:r>
    </w:p>
    <w:p w14:paraId="6C5275AE" w14:textId="77777777" w:rsidR="001B163B" w:rsidRPr="00237607" w:rsidRDefault="001B163B" w:rsidP="00AC7328">
      <w:pPr>
        <w:spacing w:after="0"/>
        <w:jc w:val="both"/>
        <w:rPr>
          <w:rFonts w:ascii="Arial" w:hAnsi="Arial" w:cs="Arial"/>
          <w:sz w:val="18"/>
          <w:szCs w:val="18"/>
        </w:rPr>
      </w:pPr>
    </w:p>
    <w:p w14:paraId="32797C23" w14:textId="7F5542FA" w:rsidR="001B163B" w:rsidRPr="00237607" w:rsidRDefault="00BB1344" w:rsidP="00AC7328">
      <w:pPr>
        <w:spacing w:after="0"/>
        <w:jc w:val="both"/>
        <w:rPr>
          <w:rFonts w:ascii="Arial" w:hAnsi="Arial" w:cs="Arial"/>
          <w:sz w:val="18"/>
          <w:szCs w:val="18"/>
        </w:rPr>
      </w:pPr>
      <w:r w:rsidRPr="00237607">
        <w:rPr>
          <w:rFonts w:ascii="Arial" w:hAnsi="Arial" w:cs="Arial"/>
          <w:b/>
          <w:sz w:val="18"/>
          <w:szCs w:val="18"/>
        </w:rPr>
        <w:t>Tercero. -</w:t>
      </w:r>
      <w:r w:rsidR="001B163B" w:rsidRPr="00237607">
        <w:rPr>
          <w:rFonts w:ascii="Arial" w:hAnsi="Arial" w:cs="Arial"/>
          <w:b/>
          <w:sz w:val="18"/>
          <w:szCs w:val="18"/>
        </w:rPr>
        <w:t xml:space="preserve"> </w:t>
      </w:r>
      <w:r w:rsidR="00FA223A" w:rsidRPr="00237607">
        <w:rPr>
          <w:rFonts w:ascii="Arial" w:hAnsi="Arial" w:cs="Arial"/>
          <w:b/>
          <w:sz w:val="18"/>
          <w:szCs w:val="18"/>
        </w:rPr>
        <w:t xml:space="preserve">Estatuto Orgánico del Instituto. </w:t>
      </w:r>
      <w:r w:rsidR="000B3E5A" w:rsidRPr="00237607">
        <w:rPr>
          <w:rFonts w:ascii="Arial" w:hAnsi="Arial" w:cs="Arial"/>
          <w:sz w:val="18"/>
          <w:szCs w:val="18"/>
        </w:rPr>
        <w:t>El 4 de septiembre de 2014, se publicó en el DOF el "Estatuto Orgánico del Instituto Federal de Telecomunicaciones" (en lo sucesivo, el "Estatuto"), mismo que entró en vigor el 26 de septiembre de 2014.</w:t>
      </w:r>
    </w:p>
    <w:p w14:paraId="0A18C394" w14:textId="77777777" w:rsidR="000B3E5A" w:rsidRPr="00237607" w:rsidRDefault="000B3E5A" w:rsidP="00AC7328">
      <w:pPr>
        <w:spacing w:after="0"/>
        <w:jc w:val="both"/>
        <w:rPr>
          <w:rFonts w:ascii="Arial" w:hAnsi="Arial" w:cs="Arial"/>
          <w:b/>
          <w:sz w:val="18"/>
          <w:szCs w:val="18"/>
        </w:rPr>
      </w:pPr>
    </w:p>
    <w:p w14:paraId="4B4CFF92" w14:textId="458A1F3C" w:rsidR="001B158C" w:rsidRPr="00237607" w:rsidRDefault="00BB1344" w:rsidP="00AC7328">
      <w:pPr>
        <w:spacing w:after="0"/>
        <w:jc w:val="both"/>
        <w:rPr>
          <w:rFonts w:ascii="Arial" w:hAnsi="Arial" w:cs="Arial"/>
          <w:sz w:val="18"/>
          <w:szCs w:val="18"/>
        </w:rPr>
      </w:pPr>
      <w:r w:rsidRPr="00237607">
        <w:rPr>
          <w:rFonts w:ascii="Arial" w:hAnsi="Arial" w:cs="Arial"/>
          <w:b/>
          <w:sz w:val="18"/>
          <w:szCs w:val="18"/>
        </w:rPr>
        <w:t>Cuarto. -</w:t>
      </w:r>
      <w:r w:rsidR="000B3E5A" w:rsidRPr="00237607">
        <w:rPr>
          <w:rFonts w:ascii="Arial" w:hAnsi="Arial" w:cs="Arial"/>
          <w:b/>
          <w:sz w:val="18"/>
          <w:szCs w:val="18"/>
        </w:rPr>
        <w:t xml:space="preserve"> </w:t>
      </w:r>
      <w:r w:rsidR="00FA223A" w:rsidRPr="00237607">
        <w:rPr>
          <w:rFonts w:ascii="Arial" w:hAnsi="Arial" w:cs="Arial"/>
          <w:b/>
          <w:sz w:val="18"/>
          <w:szCs w:val="18"/>
        </w:rPr>
        <w:t xml:space="preserve">Lineamientos de Consulta Pública. </w:t>
      </w:r>
      <w:r w:rsidR="000B3E5A" w:rsidRPr="00237607">
        <w:rPr>
          <w:rFonts w:ascii="Arial" w:hAnsi="Arial" w:cs="Arial"/>
          <w:sz w:val="18"/>
          <w:szCs w:val="18"/>
        </w:rPr>
        <w:t>El 8 de noviembre de 2017, se publicó en el DOF el “Acuerdo mediante el cual el Pleno del Instituto Federal de Telecomunicaciones aprueba y emite los Lineamientos de Consulta Pública y Análisis de Impacto Regulatorio del Instituto Federal de Telecomunicaciones”</w:t>
      </w:r>
      <w:r w:rsidR="00740F1D" w:rsidRPr="00237607">
        <w:rPr>
          <w:rFonts w:ascii="Arial" w:hAnsi="Arial" w:cs="Arial"/>
          <w:sz w:val="18"/>
          <w:szCs w:val="18"/>
        </w:rPr>
        <w:t xml:space="preserve"> (en lo sucesivo, los “L</w:t>
      </w:r>
      <w:r w:rsidR="00074241" w:rsidRPr="00237607">
        <w:rPr>
          <w:rFonts w:ascii="Arial" w:hAnsi="Arial" w:cs="Arial"/>
          <w:sz w:val="18"/>
          <w:szCs w:val="18"/>
        </w:rPr>
        <w:t>ineamientos</w:t>
      </w:r>
      <w:r w:rsidR="00740F1D" w:rsidRPr="00237607">
        <w:rPr>
          <w:rFonts w:ascii="Arial" w:hAnsi="Arial" w:cs="Arial"/>
          <w:sz w:val="18"/>
          <w:szCs w:val="18"/>
        </w:rPr>
        <w:t>”)</w:t>
      </w:r>
      <w:r w:rsidR="000B3E5A" w:rsidRPr="00237607">
        <w:rPr>
          <w:rFonts w:ascii="Arial" w:hAnsi="Arial" w:cs="Arial"/>
          <w:sz w:val="18"/>
          <w:szCs w:val="18"/>
        </w:rPr>
        <w:t xml:space="preserve"> el cual entró en vigor el 1 de enero de 2018.</w:t>
      </w:r>
    </w:p>
    <w:p w14:paraId="0BED6471" w14:textId="77777777" w:rsidR="000B3E5A" w:rsidRPr="00237607" w:rsidRDefault="000B3E5A" w:rsidP="00AC7328">
      <w:pPr>
        <w:spacing w:after="0"/>
        <w:jc w:val="both"/>
        <w:rPr>
          <w:rFonts w:ascii="Arial" w:hAnsi="Arial" w:cs="Arial"/>
          <w:b/>
          <w:sz w:val="18"/>
          <w:szCs w:val="18"/>
        </w:rPr>
      </w:pPr>
    </w:p>
    <w:p w14:paraId="405C772E" w14:textId="3F5AFDF1" w:rsidR="000B3E5A" w:rsidRPr="00237607" w:rsidRDefault="00BB1344" w:rsidP="00AC7328">
      <w:pPr>
        <w:spacing w:after="0"/>
        <w:jc w:val="both"/>
        <w:rPr>
          <w:rFonts w:ascii="Arial" w:hAnsi="Arial" w:cs="Arial"/>
          <w:sz w:val="18"/>
          <w:szCs w:val="18"/>
        </w:rPr>
      </w:pPr>
      <w:r w:rsidRPr="00237607">
        <w:rPr>
          <w:rFonts w:ascii="Arial" w:hAnsi="Arial" w:cs="Arial"/>
          <w:b/>
          <w:sz w:val="18"/>
          <w:szCs w:val="18"/>
        </w:rPr>
        <w:t>Quinto. -</w:t>
      </w:r>
      <w:r w:rsidR="000B3E5A" w:rsidRPr="00237607">
        <w:rPr>
          <w:rFonts w:ascii="Arial" w:hAnsi="Arial" w:cs="Arial"/>
          <w:b/>
          <w:sz w:val="18"/>
          <w:szCs w:val="18"/>
        </w:rPr>
        <w:t xml:space="preserve"> </w:t>
      </w:r>
      <w:r w:rsidR="00EE56E7" w:rsidRPr="00237607">
        <w:rPr>
          <w:rFonts w:ascii="Arial" w:hAnsi="Arial" w:cs="Arial"/>
          <w:b/>
          <w:sz w:val="18"/>
          <w:szCs w:val="18"/>
        </w:rPr>
        <w:t xml:space="preserve">Ley General de Mejora Regulatoria. </w:t>
      </w:r>
      <w:r w:rsidR="000B3E5A" w:rsidRPr="00237607">
        <w:rPr>
          <w:rFonts w:ascii="Arial" w:hAnsi="Arial" w:cs="Arial"/>
          <w:sz w:val="18"/>
          <w:szCs w:val="18"/>
        </w:rPr>
        <w:t>El 18 de mayo de 2018, se publicó en el DOF el “Decreto por el que se expide la Ley General de Mejora Regulatoria y se derogan diversas disposiciones de la Ley Federal de Procedimiento Administrativo” mismo que entró en vigor al día siguiente de su publicación en el DOF.</w:t>
      </w:r>
    </w:p>
    <w:p w14:paraId="42043B91" w14:textId="77777777" w:rsidR="000B3E5A" w:rsidRPr="00237607" w:rsidRDefault="000B3E5A" w:rsidP="00AC7328">
      <w:pPr>
        <w:spacing w:after="0"/>
        <w:jc w:val="both"/>
        <w:rPr>
          <w:rFonts w:ascii="Arial" w:hAnsi="Arial" w:cs="Arial"/>
          <w:b/>
          <w:sz w:val="18"/>
          <w:szCs w:val="18"/>
        </w:rPr>
      </w:pPr>
    </w:p>
    <w:p w14:paraId="268A37CE" w14:textId="15E3004B" w:rsidR="000B3E5A" w:rsidRPr="00237607" w:rsidRDefault="007B3FD3" w:rsidP="00AC7328">
      <w:pPr>
        <w:spacing w:after="0"/>
        <w:jc w:val="both"/>
        <w:rPr>
          <w:rFonts w:ascii="Arial" w:hAnsi="Arial" w:cs="Arial"/>
          <w:sz w:val="18"/>
          <w:szCs w:val="18"/>
        </w:rPr>
      </w:pPr>
      <w:r w:rsidRPr="00237607">
        <w:rPr>
          <w:rFonts w:ascii="Arial" w:hAnsi="Arial" w:cs="Arial"/>
          <w:b/>
          <w:sz w:val="18"/>
          <w:szCs w:val="18"/>
        </w:rPr>
        <w:t>Sexto. -</w:t>
      </w:r>
      <w:r w:rsidR="000B3E5A" w:rsidRPr="00237607">
        <w:rPr>
          <w:rFonts w:ascii="Arial" w:hAnsi="Arial" w:cs="Arial"/>
          <w:b/>
          <w:sz w:val="18"/>
          <w:szCs w:val="18"/>
        </w:rPr>
        <w:t xml:space="preserve"> </w:t>
      </w:r>
      <w:r w:rsidR="00EE56E7" w:rsidRPr="00237607">
        <w:rPr>
          <w:rFonts w:ascii="Arial" w:hAnsi="Arial" w:cs="Arial"/>
          <w:b/>
          <w:bCs/>
          <w:sz w:val="18"/>
          <w:szCs w:val="18"/>
        </w:rPr>
        <w:t xml:space="preserve">Programa de Mejora Administrativa del Instituto Federal de Telecomunicaciones 2018-2020. </w:t>
      </w:r>
      <w:r w:rsidR="000B3E5A" w:rsidRPr="00237607">
        <w:rPr>
          <w:rFonts w:ascii="Arial" w:hAnsi="Arial" w:cs="Arial"/>
          <w:sz w:val="18"/>
          <w:szCs w:val="18"/>
        </w:rPr>
        <w:t>El 25 de mayo de 2018, este órgano constitucional autónomo inició el “Programa de Mejora Administrativa del Instituto Federal de Telecomunicaciones 2018-2020” con el objetivo de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49046F7F" w14:textId="77777777" w:rsidR="000B3E5A" w:rsidRPr="00237607" w:rsidRDefault="000B3E5A" w:rsidP="00AC7328">
      <w:pPr>
        <w:spacing w:after="0"/>
        <w:jc w:val="both"/>
        <w:rPr>
          <w:rFonts w:ascii="Arial" w:hAnsi="Arial" w:cs="Arial"/>
          <w:b/>
          <w:sz w:val="18"/>
          <w:szCs w:val="18"/>
        </w:rPr>
      </w:pPr>
    </w:p>
    <w:p w14:paraId="385B9F48" w14:textId="2F909BE6" w:rsidR="000B3E5A" w:rsidRPr="00237607" w:rsidRDefault="00BB1344" w:rsidP="00AC7328">
      <w:pPr>
        <w:spacing w:after="0"/>
        <w:jc w:val="both"/>
        <w:rPr>
          <w:rFonts w:ascii="Arial" w:hAnsi="Arial" w:cs="Arial"/>
          <w:sz w:val="18"/>
          <w:szCs w:val="18"/>
        </w:rPr>
      </w:pPr>
      <w:r w:rsidRPr="00237607">
        <w:rPr>
          <w:rFonts w:ascii="Arial" w:hAnsi="Arial" w:cs="Arial"/>
          <w:b/>
          <w:sz w:val="18"/>
          <w:szCs w:val="18"/>
        </w:rPr>
        <w:t>Séptimo. -</w:t>
      </w:r>
      <w:r w:rsidR="000B3E5A" w:rsidRPr="00237607">
        <w:rPr>
          <w:rFonts w:ascii="Arial" w:hAnsi="Arial" w:cs="Arial"/>
          <w:b/>
          <w:sz w:val="18"/>
          <w:szCs w:val="18"/>
        </w:rPr>
        <w:t xml:space="preserve"> </w:t>
      </w:r>
      <w:r w:rsidR="00EE56E7" w:rsidRPr="00237607">
        <w:rPr>
          <w:rFonts w:ascii="Arial" w:hAnsi="Arial" w:cs="Arial"/>
          <w:b/>
          <w:bCs/>
          <w:sz w:val="18"/>
          <w:szCs w:val="18"/>
        </w:rPr>
        <w:t>Grupo de Desregulación Económica y Gobierno Electrónico.</w:t>
      </w:r>
      <w:r w:rsidR="00EE56E7" w:rsidRPr="00237607">
        <w:rPr>
          <w:rFonts w:ascii="Arial" w:hAnsi="Arial" w:cs="Arial"/>
          <w:sz w:val="18"/>
          <w:szCs w:val="18"/>
        </w:rPr>
        <w:t xml:space="preserve"> </w:t>
      </w:r>
      <w:r w:rsidR="000B3E5A" w:rsidRPr="00237607">
        <w:rPr>
          <w:rFonts w:ascii="Arial" w:hAnsi="Arial" w:cs="Arial"/>
          <w:sz w:val="18"/>
          <w:szCs w:val="18"/>
        </w:rPr>
        <w:t>En agosto de 2021, se creó el Grupo de Desregulación Económica y Gobierno Electrónico, instancia colaborativa con la industria para contribuir con el proceso de simplificación administrativa, desregulación y digitalización de los sectores de las telecomunicaciones y radiodifusión.</w:t>
      </w:r>
    </w:p>
    <w:p w14:paraId="0A863CE0" w14:textId="77777777" w:rsidR="000B3E5A" w:rsidRPr="00237607" w:rsidRDefault="000B3E5A" w:rsidP="00AC7328">
      <w:pPr>
        <w:spacing w:after="0"/>
        <w:jc w:val="both"/>
        <w:rPr>
          <w:rFonts w:ascii="Arial" w:hAnsi="Arial" w:cs="Arial"/>
          <w:b/>
          <w:sz w:val="18"/>
          <w:szCs w:val="18"/>
        </w:rPr>
      </w:pPr>
    </w:p>
    <w:p w14:paraId="4236CB81" w14:textId="0E7BC2DF" w:rsidR="000B3E5A" w:rsidRPr="00237607" w:rsidRDefault="00BB1344" w:rsidP="00AC7328">
      <w:pPr>
        <w:spacing w:after="0"/>
        <w:jc w:val="both"/>
        <w:rPr>
          <w:rFonts w:ascii="Arial" w:hAnsi="Arial" w:cs="Arial"/>
          <w:sz w:val="18"/>
          <w:szCs w:val="18"/>
        </w:rPr>
      </w:pPr>
      <w:r w:rsidRPr="00237607">
        <w:rPr>
          <w:rFonts w:ascii="Arial" w:hAnsi="Arial" w:cs="Arial"/>
          <w:b/>
          <w:sz w:val="18"/>
          <w:szCs w:val="18"/>
        </w:rPr>
        <w:t>Octavo. -</w:t>
      </w:r>
      <w:r w:rsidR="000B3E5A" w:rsidRPr="00237607">
        <w:rPr>
          <w:rFonts w:ascii="Arial" w:hAnsi="Arial" w:cs="Arial"/>
          <w:b/>
          <w:sz w:val="18"/>
          <w:szCs w:val="18"/>
        </w:rPr>
        <w:t xml:space="preserve"> </w:t>
      </w:r>
      <w:r w:rsidR="00EE56E7" w:rsidRPr="00237607">
        <w:rPr>
          <w:rFonts w:ascii="Arial" w:hAnsi="Arial" w:cs="Arial"/>
          <w:b/>
          <w:bCs/>
          <w:sz w:val="18"/>
          <w:szCs w:val="18"/>
        </w:rPr>
        <w:t>Programa Anual de Trabajo.</w:t>
      </w:r>
      <w:r w:rsidR="00EE56E7" w:rsidRPr="00237607">
        <w:rPr>
          <w:rFonts w:ascii="Arial" w:hAnsi="Arial" w:cs="Arial"/>
          <w:sz w:val="18"/>
          <w:szCs w:val="18"/>
        </w:rPr>
        <w:t xml:space="preserve"> </w:t>
      </w:r>
      <w:r w:rsidR="000B3E5A" w:rsidRPr="00237607">
        <w:rPr>
          <w:rFonts w:ascii="Arial" w:hAnsi="Arial" w:cs="Arial"/>
          <w:sz w:val="18"/>
          <w:szCs w:val="18"/>
        </w:rPr>
        <w:t xml:space="preserve">Para dar continuidad al fortalecimiento institucional, fomentar la sistematización y digitalización de los procesos de trabajo internos y externos, minimizar el impacto administrativo y promover un gobierno digital y abierto, </w:t>
      </w:r>
      <w:r w:rsidR="00EE56E7" w:rsidRPr="00237607">
        <w:rPr>
          <w:rFonts w:ascii="Arial" w:hAnsi="Arial" w:cs="Arial"/>
          <w:sz w:val="18"/>
          <w:szCs w:val="18"/>
        </w:rPr>
        <w:t>el</w:t>
      </w:r>
      <w:r w:rsidR="000B3E5A" w:rsidRPr="00237607">
        <w:rPr>
          <w:rFonts w:ascii="Arial" w:hAnsi="Arial" w:cs="Arial"/>
          <w:sz w:val="18"/>
          <w:szCs w:val="18"/>
        </w:rPr>
        <w:t xml:space="preserve"> </w:t>
      </w:r>
      <w:r w:rsidR="00EE56E7" w:rsidRPr="00237607">
        <w:rPr>
          <w:rFonts w:ascii="Arial" w:hAnsi="Arial" w:cs="Arial"/>
          <w:sz w:val="18"/>
          <w:szCs w:val="18"/>
        </w:rPr>
        <w:t>Programa</w:t>
      </w:r>
      <w:r w:rsidR="000B3E5A" w:rsidRPr="00237607">
        <w:rPr>
          <w:rFonts w:ascii="Arial" w:hAnsi="Arial" w:cs="Arial"/>
          <w:sz w:val="18"/>
          <w:szCs w:val="18"/>
        </w:rPr>
        <w:t xml:space="preserve"> Anual de Trabajo 2023 del I</w:t>
      </w:r>
      <w:bookmarkStart w:id="1" w:name="_Hlk152163314"/>
      <w:r w:rsidR="000B3E5A" w:rsidRPr="00237607">
        <w:rPr>
          <w:rFonts w:ascii="Arial" w:hAnsi="Arial" w:cs="Arial"/>
          <w:sz w:val="18"/>
          <w:szCs w:val="18"/>
        </w:rPr>
        <w:t xml:space="preserve">nstituto </w:t>
      </w:r>
      <w:bookmarkEnd w:id="1"/>
      <w:r w:rsidR="000B3E5A" w:rsidRPr="00237607">
        <w:rPr>
          <w:rFonts w:ascii="Arial" w:hAnsi="Arial" w:cs="Arial"/>
          <w:sz w:val="18"/>
          <w:szCs w:val="18"/>
        </w:rPr>
        <w:t xml:space="preserve">Federal de Telecomunicaciones </w:t>
      </w:r>
      <w:r w:rsidR="00EE56E7" w:rsidRPr="00237607">
        <w:rPr>
          <w:rFonts w:ascii="Arial" w:hAnsi="Arial" w:cs="Arial"/>
          <w:sz w:val="18"/>
          <w:szCs w:val="18"/>
        </w:rPr>
        <w:t xml:space="preserve">incluyó </w:t>
      </w:r>
      <w:r w:rsidR="000B3E5A" w:rsidRPr="00237607">
        <w:rPr>
          <w:rFonts w:ascii="Arial" w:hAnsi="Arial" w:cs="Arial"/>
          <w:sz w:val="18"/>
          <w:szCs w:val="18"/>
        </w:rPr>
        <w:t>la realización del Programa de Mejora Administrativa 2023 (en lo sucesivo, el “PMA 2023”), cuyo objetivo consiste en desarrollar un proceso de desregulación y simplificación administrativa que permita incrementar la eficiencia del Instituto, así como la disminución de las cargas administrativas que los trámites y servicios, inscritos actualmente en el Registro de Trámites y Servicios del Instituto, le imponen a los regulados.</w:t>
      </w:r>
    </w:p>
    <w:p w14:paraId="48D22291" w14:textId="019F6E1C" w:rsidR="007B3FD3" w:rsidRPr="00237607" w:rsidRDefault="007B3FD3" w:rsidP="00AC7328">
      <w:pPr>
        <w:spacing w:after="0"/>
        <w:jc w:val="both"/>
        <w:rPr>
          <w:rFonts w:ascii="Arial" w:hAnsi="Arial" w:cs="Arial"/>
          <w:sz w:val="18"/>
          <w:szCs w:val="18"/>
        </w:rPr>
      </w:pPr>
    </w:p>
    <w:p w14:paraId="799C2227" w14:textId="41A9C573" w:rsidR="001B163B" w:rsidRPr="00237607" w:rsidRDefault="007B3FD3" w:rsidP="00AC7328">
      <w:pPr>
        <w:spacing w:after="0"/>
        <w:jc w:val="both"/>
        <w:rPr>
          <w:rFonts w:ascii="Arial" w:hAnsi="Arial" w:cs="Arial"/>
          <w:sz w:val="18"/>
          <w:szCs w:val="18"/>
        </w:rPr>
      </w:pPr>
      <w:r w:rsidRPr="00237607">
        <w:rPr>
          <w:rFonts w:ascii="Arial" w:hAnsi="Arial" w:cs="Arial"/>
          <w:b/>
          <w:sz w:val="18"/>
          <w:szCs w:val="18"/>
        </w:rPr>
        <w:t xml:space="preserve">Noveno. </w:t>
      </w:r>
      <w:r w:rsidR="00BB1344" w:rsidRPr="00237607">
        <w:rPr>
          <w:rFonts w:ascii="Arial" w:hAnsi="Arial" w:cs="Arial"/>
          <w:b/>
          <w:sz w:val="18"/>
          <w:szCs w:val="18"/>
        </w:rPr>
        <w:t>-</w:t>
      </w:r>
      <w:r w:rsidRPr="00237607">
        <w:rPr>
          <w:rFonts w:ascii="Arial" w:hAnsi="Arial" w:cs="Arial"/>
          <w:b/>
          <w:sz w:val="18"/>
          <w:szCs w:val="18"/>
        </w:rPr>
        <w:t xml:space="preserve"> Consulta </w:t>
      </w:r>
      <w:r w:rsidR="00043A04" w:rsidRPr="00237607">
        <w:rPr>
          <w:rFonts w:ascii="Arial" w:hAnsi="Arial" w:cs="Arial"/>
          <w:b/>
          <w:sz w:val="18"/>
          <w:szCs w:val="18"/>
        </w:rPr>
        <w:t>P</w:t>
      </w:r>
      <w:r w:rsidRPr="00237607">
        <w:rPr>
          <w:rFonts w:ascii="Arial" w:hAnsi="Arial" w:cs="Arial"/>
          <w:b/>
          <w:sz w:val="18"/>
          <w:szCs w:val="18"/>
        </w:rPr>
        <w:t xml:space="preserve">ública. </w:t>
      </w:r>
      <w:r w:rsidR="00043A04" w:rsidRPr="00237607">
        <w:rPr>
          <w:rFonts w:ascii="Arial" w:hAnsi="Arial" w:cs="Arial"/>
          <w:bCs/>
          <w:sz w:val="18"/>
          <w:szCs w:val="18"/>
        </w:rPr>
        <w:t>Mediante Acuerdo P/IFT/111023</w:t>
      </w:r>
      <w:r w:rsidR="00F259AA" w:rsidRPr="00237607">
        <w:rPr>
          <w:rFonts w:ascii="Arial" w:hAnsi="Arial" w:cs="Arial"/>
          <w:bCs/>
          <w:sz w:val="18"/>
          <w:szCs w:val="18"/>
        </w:rPr>
        <w:t xml:space="preserve">/429, aprobado en la XXV Sesión Ordinaria del Pleno del Instituto, celebrada el </w:t>
      </w:r>
      <w:r w:rsidRPr="00237607">
        <w:rPr>
          <w:rFonts w:ascii="Arial" w:hAnsi="Arial" w:cs="Arial"/>
          <w:sz w:val="18"/>
          <w:szCs w:val="18"/>
        </w:rPr>
        <w:t>11 de octubre de 2023, conforme a lo señalado en el artículo 51 de la Ley Federal de Telecomunicaciones y Radiodifusión (en lo sucesivo, la “Ley”), el Pleno</w:t>
      </w:r>
      <w:r w:rsidR="00F259AA" w:rsidRPr="00237607">
        <w:rPr>
          <w:rFonts w:ascii="Arial" w:hAnsi="Arial" w:cs="Arial"/>
          <w:sz w:val="18"/>
          <w:szCs w:val="18"/>
        </w:rPr>
        <w:t xml:space="preserve"> determino someter a Consulta Pública el</w:t>
      </w:r>
      <w:r w:rsidRPr="00237607">
        <w:rPr>
          <w:rFonts w:ascii="Arial" w:hAnsi="Arial" w:cs="Arial"/>
          <w:sz w:val="18"/>
          <w:szCs w:val="18"/>
        </w:rPr>
        <w:t xml:space="preserve"> </w:t>
      </w:r>
      <w:r w:rsidRPr="00237607">
        <w:rPr>
          <w:rFonts w:ascii="Arial" w:hAnsi="Arial" w:cs="Arial"/>
          <w:sz w:val="18"/>
          <w:szCs w:val="18"/>
        </w:rPr>
        <w:lastRenderedPageBreak/>
        <w:t>“Anteproyecto de 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r w:rsidR="008208D2" w:rsidRPr="00237607">
        <w:rPr>
          <w:rFonts w:ascii="Arial" w:hAnsi="Arial" w:cs="Arial"/>
          <w:sz w:val="18"/>
          <w:szCs w:val="18"/>
        </w:rPr>
        <w:t>.</w:t>
      </w:r>
    </w:p>
    <w:p w14:paraId="7A90B2C3" w14:textId="77777777" w:rsidR="00F259AA" w:rsidRPr="00237607" w:rsidRDefault="00F259AA" w:rsidP="00AC7328">
      <w:pPr>
        <w:spacing w:after="0"/>
        <w:jc w:val="both"/>
        <w:rPr>
          <w:rFonts w:ascii="Arial" w:hAnsi="Arial" w:cs="Arial"/>
          <w:sz w:val="18"/>
          <w:szCs w:val="18"/>
        </w:rPr>
      </w:pPr>
    </w:p>
    <w:p w14:paraId="75F11884" w14:textId="2DC8F4F0" w:rsidR="00F259AA" w:rsidRPr="00237607" w:rsidRDefault="00F259AA" w:rsidP="00AC7328">
      <w:pPr>
        <w:spacing w:after="0"/>
        <w:jc w:val="both"/>
        <w:rPr>
          <w:rFonts w:ascii="Arial" w:hAnsi="Arial" w:cs="Arial"/>
          <w:sz w:val="18"/>
          <w:szCs w:val="18"/>
          <w:lang w:val="es-MX"/>
        </w:rPr>
      </w:pPr>
      <w:r w:rsidRPr="00237607">
        <w:rPr>
          <w:rFonts w:ascii="Arial" w:hAnsi="Arial" w:cs="Arial"/>
          <w:sz w:val="18"/>
          <w:szCs w:val="18"/>
          <w:lang w:val="es-MX"/>
        </w:rPr>
        <w:t xml:space="preserve">La Consulta Pública se llevó a cabo del 16 de octubre de 2023 al 10 de noviembre de 2023, recibiéndose en ese periodo </w:t>
      </w:r>
      <w:r w:rsidR="00EF0825" w:rsidRPr="00237607">
        <w:rPr>
          <w:rFonts w:ascii="Arial" w:hAnsi="Arial" w:cs="Arial"/>
          <w:sz w:val="18"/>
          <w:szCs w:val="18"/>
          <w:lang w:val="es-ES_tradnl"/>
        </w:rPr>
        <w:t>dos (2) comentarios de personas físicas</w:t>
      </w:r>
      <w:r w:rsidRPr="00237607">
        <w:rPr>
          <w:rFonts w:ascii="Arial" w:hAnsi="Arial" w:cs="Arial"/>
          <w:sz w:val="18"/>
          <w:szCs w:val="18"/>
          <w:lang w:val="es-MX"/>
        </w:rPr>
        <w:t>. Una vez concluida la Consulta Pública del Anteproyecto en comento y su respectivo Análisis de Nulo Impacto Regulatorio, el Instituto analizó los comentarios, opiniones y propuestas recibidas a propósito de dicho proceso, para determinar, en su caso, los ajustes y adecuaciones que sería recomendable realizarle a dicha propuesta normativa.</w:t>
      </w:r>
    </w:p>
    <w:p w14:paraId="3D467D4F" w14:textId="77777777" w:rsidR="00F259AA" w:rsidRPr="00237607" w:rsidRDefault="00F259AA" w:rsidP="00AC7328">
      <w:pPr>
        <w:spacing w:after="0"/>
        <w:jc w:val="both"/>
        <w:rPr>
          <w:rFonts w:ascii="Arial" w:hAnsi="Arial" w:cs="Arial"/>
          <w:sz w:val="18"/>
          <w:szCs w:val="18"/>
          <w:lang w:val="es-MX"/>
        </w:rPr>
      </w:pPr>
    </w:p>
    <w:p w14:paraId="54421531" w14:textId="0338FD6D" w:rsidR="00F259AA" w:rsidRPr="00237607" w:rsidRDefault="00F259AA" w:rsidP="00AC7328">
      <w:pPr>
        <w:spacing w:after="0"/>
        <w:jc w:val="both"/>
        <w:rPr>
          <w:rFonts w:ascii="Arial" w:hAnsi="Arial" w:cs="Arial"/>
          <w:sz w:val="18"/>
          <w:szCs w:val="18"/>
          <w:lang w:val="es-MX"/>
        </w:rPr>
      </w:pPr>
      <w:r w:rsidRPr="00237607">
        <w:rPr>
          <w:rFonts w:ascii="Arial" w:hAnsi="Arial" w:cs="Arial"/>
          <w:sz w:val="18"/>
          <w:szCs w:val="18"/>
          <w:lang w:val="es-MX"/>
        </w:rPr>
        <w:t xml:space="preserve">En seguimiento de lo anterior, el Instituto dio a conocer en su portal de Internet en el apartado referido a dicha Consulta Pública, un </w:t>
      </w:r>
      <w:bookmarkStart w:id="2" w:name="_Hlk152164367"/>
      <w:r w:rsidR="00671774">
        <w:rPr>
          <w:rFonts w:ascii="Arial" w:hAnsi="Arial" w:cs="Arial"/>
          <w:sz w:val="18"/>
          <w:szCs w:val="18"/>
          <w:lang w:val="es-MX"/>
        </w:rPr>
        <w:t>I</w:t>
      </w:r>
      <w:r w:rsidRPr="00237607">
        <w:rPr>
          <w:rFonts w:ascii="Arial" w:hAnsi="Arial" w:cs="Arial"/>
          <w:sz w:val="18"/>
          <w:szCs w:val="18"/>
          <w:lang w:val="es-MX"/>
        </w:rPr>
        <w:t xml:space="preserve">nforme de </w:t>
      </w:r>
      <w:r w:rsidR="00671774">
        <w:rPr>
          <w:rFonts w:ascii="Arial" w:hAnsi="Arial" w:cs="Arial"/>
          <w:sz w:val="18"/>
          <w:szCs w:val="18"/>
          <w:lang w:val="es-MX"/>
        </w:rPr>
        <w:t>C</w:t>
      </w:r>
      <w:r w:rsidRPr="00237607">
        <w:rPr>
          <w:rFonts w:ascii="Arial" w:hAnsi="Arial" w:cs="Arial"/>
          <w:sz w:val="18"/>
          <w:szCs w:val="18"/>
          <w:lang w:val="es-MX"/>
        </w:rPr>
        <w:t>onsideraciones</w:t>
      </w:r>
      <w:bookmarkEnd w:id="2"/>
      <w:r w:rsidRPr="00237607">
        <w:rPr>
          <w:rFonts w:ascii="Arial" w:hAnsi="Arial" w:cs="Arial"/>
          <w:sz w:val="18"/>
          <w:szCs w:val="18"/>
          <w:lang w:val="es-MX"/>
        </w:rPr>
        <w:t xml:space="preserve"> relacionado con las aportaciones recibidas en el proceso en comento.</w:t>
      </w:r>
    </w:p>
    <w:p w14:paraId="0633DC4F" w14:textId="77777777" w:rsidR="00F259AA" w:rsidRPr="00237607" w:rsidRDefault="00F259AA" w:rsidP="00AC7328">
      <w:pPr>
        <w:spacing w:after="0"/>
        <w:jc w:val="both"/>
        <w:rPr>
          <w:rFonts w:ascii="Arial" w:hAnsi="Arial" w:cs="Arial"/>
          <w:sz w:val="18"/>
          <w:szCs w:val="18"/>
          <w:lang w:val="es-MX"/>
        </w:rPr>
      </w:pPr>
    </w:p>
    <w:p w14:paraId="57F81998" w14:textId="0E977E92" w:rsidR="00F259AA" w:rsidRPr="00237607" w:rsidRDefault="00F259AA" w:rsidP="00AC7328">
      <w:pPr>
        <w:spacing w:after="0"/>
        <w:jc w:val="both"/>
        <w:rPr>
          <w:rFonts w:ascii="Arial" w:hAnsi="Arial" w:cs="Arial"/>
          <w:sz w:val="18"/>
          <w:szCs w:val="18"/>
          <w:lang w:val="es-MX"/>
        </w:rPr>
      </w:pPr>
      <w:r w:rsidRPr="00237607">
        <w:rPr>
          <w:rFonts w:ascii="Arial" w:hAnsi="Arial" w:cs="Arial"/>
          <w:sz w:val="18"/>
          <w:szCs w:val="18"/>
          <w:lang w:val="es-MX"/>
        </w:rPr>
        <w:t>En virtud de los Antecedentes señalados y,</w:t>
      </w:r>
    </w:p>
    <w:p w14:paraId="33003C00" w14:textId="068D9756" w:rsidR="000B3E5A" w:rsidRPr="00237607" w:rsidRDefault="000B3E5A" w:rsidP="00AC7328">
      <w:pPr>
        <w:spacing w:after="0"/>
        <w:jc w:val="both"/>
        <w:rPr>
          <w:rFonts w:ascii="Arial" w:hAnsi="Arial" w:cs="Arial"/>
          <w:kern w:val="1"/>
          <w:sz w:val="18"/>
          <w:szCs w:val="18"/>
          <w:lang w:eastAsia="ar-SA"/>
        </w:rPr>
      </w:pPr>
    </w:p>
    <w:p w14:paraId="5B8EDA03" w14:textId="77777777" w:rsidR="001B163B" w:rsidRPr="00237607" w:rsidRDefault="001B163B" w:rsidP="00AC7328">
      <w:pPr>
        <w:spacing w:after="0"/>
        <w:jc w:val="center"/>
        <w:rPr>
          <w:rFonts w:ascii="Arial" w:eastAsia="Times New Roman" w:hAnsi="Arial" w:cs="Arial"/>
          <w:b/>
          <w:sz w:val="18"/>
          <w:szCs w:val="18"/>
          <w:lang w:eastAsia="es-MX"/>
        </w:rPr>
      </w:pPr>
      <w:r w:rsidRPr="00237607">
        <w:rPr>
          <w:rFonts w:ascii="Arial" w:eastAsia="Times New Roman" w:hAnsi="Arial" w:cs="Arial"/>
          <w:b/>
          <w:sz w:val="18"/>
          <w:szCs w:val="18"/>
          <w:lang w:eastAsia="es-MX"/>
        </w:rPr>
        <w:t>Considerando</w:t>
      </w:r>
    </w:p>
    <w:p w14:paraId="124E9BB4" w14:textId="77777777" w:rsidR="001B163B" w:rsidRPr="00237607" w:rsidRDefault="001B163B" w:rsidP="00AC7328">
      <w:pPr>
        <w:spacing w:after="0"/>
        <w:jc w:val="center"/>
        <w:rPr>
          <w:rFonts w:ascii="Arial" w:eastAsia="Times New Roman" w:hAnsi="Arial" w:cs="Arial"/>
          <w:sz w:val="18"/>
          <w:szCs w:val="18"/>
          <w:lang w:eastAsia="es-MX"/>
        </w:rPr>
      </w:pPr>
    </w:p>
    <w:p w14:paraId="5705598C" w14:textId="0487F7B2" w:rsidR="000B3E5A" w:rsidRPr="00237607" w:rsidRDefault="00BB1344" w:rsidP="00AC7328">
      <w:pPr>
        <w:spacing w:after="0"/>
        <w:jc w:val="both"/>
        <w:rPr>
          <w:rFonts w:ascii="Arial" w:hAnsi="Arial" w:cs="Arial"/>
          <w:sz w:val="18"/>
          <w:szCs w:val="18"/>
        </w:rPr>
      </w:pPr>
      <w:r w:rsidRPr="00237607">
        <w:rPr>
          <w:rFonts w:ascii="Arial" w:hAnsi="Arial" w:cs="Arial"/>
          <w:b/>
          <w:sz w:val="18"/>
          <w:szCs w:val="18"/>
        </w:rPr>
        <w:t>Primero. -</w:t>
      </w:r>
      <w:r w:rsidR="001B163B" w:rsidRPr="00237607">
        <w:rPr>
          <w:rFonts w:ascii="Arial" w:hAnsi="Arial" w:cs="Arial"/>
          <w:b/>
          <w:sz w:val="18"/>
          <w:szCs w:val="18"/>
        </w:rPr>
        <w:t xml:space="preserve"> </w:t>
      </w:r>
      <w:r w:rsidR="000B3E5A" w:rsidRPr="00237607">
        <w:rPr>
          <w:rFonts w:ascii="Arial" w:hAnsi="Arial" w:cs="Arial"/>
          <w:b/>
          <w:sz w:val="18"/>
          <w:szCs w:val="18"/>
        </w:rPr>
        <w:t xml:space="preserve">Competencia del Instituto. </w:t>
      </w:r>
      <w:r w:rsidR="000B3E5A" w:rsidRPr="00237607">
        <w:rPr>
          <w:rFonts w:ascii="Arial" w:hAnsi="Arial" w:cs="Arial"/>
          <w:sz w:val="18"/>
          <w:szCs w:val="18"/>
        </w:rPr>
        <w:t>Que 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1FB708D3" w14:textId="77777777" w:rsidR="000B3E5A" w:rsidRPr="00237607" w:rsidRDefault="000B3E5A" w:rsidP="00AC7328">
      <w:pPr>
        <w:spacing w:after="0"/>
        <w:jc w:val="both"/>
        <w:rPr>
          <w:rFonts w:ascii="Arial" w:hAnsi="Arial" w:cs="Arial"/>
          <w:sz w:val="18"/>
          <w:szCs w:val="18"/>
        </w:rPr>
      </w:pPr>
    </w:p>
    <w:p w14:paraId="03494726" w14:textId="7351586A"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por el artículo 7 de la Ley, garantizando lo establecido en los artículos 6° y 7° de la Constitución.</w:t>
      </w:r>
    </w:p>
    <w:p w14:paraId="11225110" w14:textId="77777777" w:rsidR="000B3E5A" w:rsidRPr="00237607" w:rsidRDefault="000B3E5A" w:rsidP="00AC7328">
      <w:pPr>
        <w:spacing w:after="0"/>
        <w:jc w:val="both"/>
        <w:rPr>
          <w:rFonts w:ascii="Arial" w:hAnsi="Arial" w:cs="Arial"/>
          <w:sz w:val="18"/>
          <w:szCs w:val="18"/>
        </w:rPr>
      </w:pPr>
    </w:p>
    <w:p w14:paraId="2D3B36E0" w14:textId="3E31DB97"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 xml:space="preserve">Asimismo, en términos de lo dispuesto en el párrafo décimo sexto del artículo 28 de la Constitución, el Instituto es también la autoridad en materia de competencia económica de los sectores de radiodifusión y telecomunicaciones, por lo que el artículo 5 de la </w:t>
      </w:r>
      <w:bookmarkStart w:id="3" w:name="_Hlk152163570"/>
      <w:r w:rsidRPr="00237607">
        <w:rPr>
          <w:rFonts w:ascii="Arial" w:hAnsi="Arial" w:cs="Arial"/>
          <w:sz w:val="18"/>
          <w:szCs w:val="18"/>
        </w:rPr>
        <w:t>L</w:t>
      </w:r>
      <w:r w:rsidR="00AC7328">
        <w:rPr>
          <w:rFonts w:ascii="Arial" w:hAnsi="Arial" w:cs="Arial"/>
          <w:sz w:val="18"/>
          <w:szCs w:val="18"/>
        </w:rPr>
        <w:t xml:space="preserve">ey </w:t>
      </w:r>
      <w:r w:rsidRPr="00237607">
        <w:rPr>
          <w:rFonts w:ascii="Arial" w:hAnsi="Arial" w:cs="Arial"/>
          <w:sz w:val="18"/>
          <w:szCs w:val="18"/>
        </w:rPr>
        <w:t>F</w:t>
      </w:r>
      <w:r w:rsidR="00AC7328">
        <w:rPr>
          <w:rFonts w:ascii="Arial" w:hAnsi="Arial" w:cs="Arial"/>
          <w:sz w:val="18"/>
          <w:szCs w:val="18"/>
        </w:rPr>
        <w:t xml:space="preserve">ederal de </w:t>
      </w:r>
      <w:r w:rsidRPr="00237607">
        <w:rPr>
          <w:rFonts w:ascii="Arial" w:hAnsi="Arial" w:cs="Arial"/>
          <w:sz w:val="18"/>
          <w:szCs w:val="18"/>
        </w:rPr>
        <w:t>C</w:t>
      </w:r>
      <w:r w:rsidR="00AC7328">
        <w:rPr>
          <w:rFonts w:ascii="Arial" w:hAnsi="Arial" w:cs="Arial"/>
          <w:sz w:val="18"/>
          <w:szCs w:val="18"/>
        </w:rPr>
        <w:t xml:space="preserve">ompetencia </w:t>
      </w:r>
      <w:r w:rsidRPr="00237607">
        <w:rPr>
          <w:rFonts w:ascii="Arial" w:hAnsi="Arial" w:cs="Arial"/>
          <w:sz w:val="18"/>
          <w:szCs w:val="18"/>
        </w:rPr>
        <w:t>E</w:t>
      </w:r>
      <w:r w:rsidR="00AC7328">
        <w:rPr>
          <w:rFonts w:ascii="Arial" w:hAnsi="Arial" w:cs="Arial"/>
          <w:sz w:val="18"/>
          <w:szCs w:val="18"/>
        </w:rPr>
        <w:t>conómica</w:t>
      </w:r>
      <w:bookmarkEnd w:id="3"/>
      <w:r w:rsidRPr="00237607">
        <w:rPr>
          <w:rFonts w:ascii="Arial" w:hAnsi="Arial" w:cs="Arial"/>
          <w:sz w:val="18"/>
          <w:szCs w:val="18"/>
        </w:rPr>
        <w:t xml:space="preserve"> prevé que el Instituto ejercerá, en dichos sectores, de forma exclusiva las facultades que el artículo 28 de la Constitución, y las leyes establecen para la Comisión Federal de Competencia Económica.</w:t>
      </w:r>
    </w:p>
    <w:p w14:paraId="6969CFA0" w14:textId="77777777" w:rsidR="000B3E5A" w:rsidRPr="00237607" w:rsidRDefault="000B3E5A" w:rsidP="00AC7328">
      <w:pPr>
        <w:spacing w:after="0"/>
        <w:jc w:val="both"/>
        <w:rPr>
          <w:rFonts w:ascii="Arial" w:hAnsi="Arial" w:cs="Arial"/>
          <w:sz w:val="18"/>
          <w:szCs w:val="18"/>
        </w:rPr>
      </w:pPr>
    </w:p>
    <w:p w14:paraId="53B50073" w14:textId="1B4F2024"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Adicionalmente, el vigésimo párrafo, fracción IV, del artículo 28 de la Constitución señala que el Instituto podrá emitir disposiciones administrativas de carácter general exclusivamente para el cumplimiento de su función regulatoria en el sector de su competencia.</w:t>
      </w:r>
    </w:p>
    <w:p w14:paraId="4590D7F3" w14:textId="77777777" w:rsidR="000B3E5A" w:rsidRPr="00237607" w:rsidRDefault="000B3E5A" w:rsidP="00AC7328">
      <w:pPr>
        <w:spacing w:after="0"/>
        <w:jc w:val="both"/>
        <w:rPr>
          <w:rFonts w:ascii="Arial" w:hAnsi="Arial" w:cs="Arial"/>
          <w:sz w:val="18"/>
          <w:szCs w:val="18"/>
        </w:rPr>
      </w:pPr>
    </w:p>
    <w:p w14:paraId="61DF1AC9" w14:textId="60B95B12"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En particular, en términos de lo dispuesto por el artículo 15, fracciones I, XLI y LVI de la Ley, el Instituto podrá expedir disposiciones administrativas de carácter general en materia de telecomunicaciones y radiodifusión, demás disposiciones para el cumplimiento de lo dispuesto en la Ley, así como establecer las disposiciones para sus procesos de mejora regulatoria.</w:t>
      </w:r>
    </w:p>
    <w:p w14:paraId="41E79A8E" w14:textId="77777777" w:rsidR="000B3E5A" w:rsidRPr="00237607" w:rsidRDefault="000B3E5A" w:rsidP="00AC7328">
      <w:pPr>
        <w:spacing w:after="0"/>
        <w:jc w:val="both"/>
        <w:rPr>
          <w:rFonts w:ascii="Arial" w:hAnsi="Arial" w:cs="Arial"/>
          <w:sz w:val="18"/>
          <w:szCs w:val="18"/>
        </w:rPr>
      </w:pPr>
    </w:p>
    <w:p w14:paraId="47137726" w14:textId="6D210B55"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Por su parte, de conformidad con los artículos 1, 2 fracción I, 6 y 7 fracción V de la Ley General de Mejora Regulatoria, en la cual, se establecen los principios a los que deberá sujetarse el Instituto como sujeto obligado en materia de mejora regulatoria.</w:t>
      </w:r>
    </w:p>
    <w:p w14:paraId="27BC9C3D" w14:textId="77777777" w:rsidR="000B3E5A" w:rsidRPr="00237607" w:rsidRDefault="000B3E5A" w:rsidP="00AC7328">
      <w:pPr>
        <w:spacing w:after="0"/>
        <w:jc w:val="both"/>
        <w:rPr>
          <w:rFonts w:ascii="Arial" w:hAnsi="Arial" w:cs="Arial"/>
          <w:sz w:val="18"/>
          <w:szCs w:val="18"/>
        </w:rPr>
      </w:pPr>
    </w:p>
    <w:p w14:paraId="50CEB662" w14:textId="09C29A6B"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Al respecto, el Instituto debe implementar la política de mejora regulatoria para el perfeccionamiento de las regulaciones y la simplificación de trámites y servicios en el sector de las telecomunicaciones, radiodifusión y competencia económica en México que, a su vez, promuevan la eficacia y eficiencia de los mismos, creando mayores beneficios que costos y el máximo beneficio social en el sector.</w:t>
      </w:r>
    </w:p>
    <w:p w14:paraId="3D81F430" w14:textId="77777777" w:rsidR="001B163B" w:rsidRPr="00237607" w:rsidRDefault="001B163B" w:rsidP="00AC7328">
      <w:pPr>
        <w:spacing w:after="0"/>
        <w:jc w:val="both"/>
        <w:rPr>
          <w:rFonts w:ascii="Arial" w:eastAsia="Times New Roman" w:hAnsi="Arial" w:cs="Arial"/>
          <w:b/>
          <w:bCs/>
          <w:color w:val="000000"/>
          <w:sz w:val="18"/>
          <w:szCs w:val="18"/>
          <w:lang w:eastAsia="es-MX"/>
        </w:rPr>
      </w:pPr>
    </w:p>
    <w:p w14:paraId="2937A90C" w14:textId="73C2A0FB" w:rsidR="000B3E5A" w:rsidRPr="00237607" w:rsidRDefault="00BB1344" w:rsidP="00AC7328">
      <w:pPr>
        <w:spacing w:after="0"/>
        <w:jc w:val="both"/>
        <w:rPr>
          <w:rFonts w:ascii="Arial" w:hAnsi="Arial" w:cs="Arial"/>
          <w:sz w:val="18"/>
          <w:szCs w:val="18"/>
        </w:rPr>
      </w:pPr>
      <w:r w:rsidRPr="00237607">
        <w:rPr>
          <w:rFonts w:ascii="Arial" w:hAnsi="Arial" w:cs="Arial"/>
          <w:b/>
          <w:sz w:val="18"/>
          <w:szCs w:val="18"/>
        </w:rPr>
        <w:lastRenderedPageBreak/>
        <w:t>Segundo. -</w:t>
      </w:r>
      <w:r w:rsidR="001B163B" w:rsidRPr="00237607">
        <w:rPr>
          <w:rFonts w:ascii="Arial" w:hAnsi="Arial" w:cs="Arial"/>
          <w:b/>
          <w:sz w:val="18"/>
          <w:szCs w:val="18"/>
        </w:rPr>
        <w:t xml:space="preserve"> </w:t>
      </w:r>
      <w:r w:rsidR="000B3E5A" w:rsidRPr="00237607">
        <w:rPr>
          <w:rFonts w:ascii="Arial" w:hAnsi="Arial" w:cs="Arial"/>
          <w:b/>
          <w:sz w:val="18"/>
          <w:szCs w:val="18"/>
        </w:rPr>
        <w:t xml:space="preserve">Contenido y Objeto. </w:t>
      </w:r>
      <w:r w:rsidR="000B3E5A" w:rsidRPr="00237607">
        <w:rPr>
          <w:rFonts w:ascii="Arial" w:hAnsi="Arial" w:cs="Arial"/>
          <w:sz w:val="18"/>
          <w:szCs w:val="18"/>
        </w:rPr>
        <w:t xml:space="preserve">El presente Acuerdo tiene por objeto emplear la desregulación y la simplificación administrativa como herramientas para disminuir las cargas administrativas de los sujetos regulados y lograr una mayor eficiencia de la </w:t>
      </w:r>
      <w:r w:rsidR="000A6160" w:rsidRPr="00237607">
        <w:rPr>
          <w:rFonts w:ascii="Arial" w:hAnsi="Arial" w:cs="Arial"/>
          <w:sz w:val="18"/>
          <w:szCs w:val="18"/>
        </w:rPr>
        <w:t xml:space="preserve">Ley </w:t>
      </w:r>
      <w:r w:rsidR="000B3E5A" w:rsidRPr="00237607">
        <w:rPr>
          <w:rFonts w:ascii="Arial" w:hAnsi="Arial" w:cs="Arial"/>
          <w:sz w:val="18"/>
          <w:szCs w:val="18"/>
        </w:rPr>
        <w:t>y las disposiciones administrativas de carácter general emitidas por el Instituto, en atención a la utilidad social que éstas revisten en el contexto de la prestación eficiente de los servicios de telecomunicaciones y radiodifusión.</w:t>
      </w:r>
    </w:p>
    <w:p w14:paraId="0DF4A1DA" w14:textId="77777777" w:rsidR="000B3E5A" w:rsidRPr="00237607" w:rsidRDefault="000B3E5A" w:rsidP="00AC7328">
      <w:pPr>
        <w:spacing w:after="0"/>
        <w:jc w:val="both"/>
        <w:rPr>
          <w:rFonts w:ascii="Arial" w:hAnsi="Arial" w:cs="Arial"/>
          <w:sz w:val="18"/>
          <w:szCs w:val="18"/>
        </w:rPr>
      </w:pPr>
    </w:p>
    <w:p w14:paraId="575CF52B" w14:textId="2DA6EBBE"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Lo anterior, a través de la expedición de un Acuerdo que de manera sumaria y armónica con las demás acciones de mejora administrativa que el Instituto ha realizado y se encuentra realizando, permita la extinción de diversos trámites</w:t>
      </w:r>
      <w:r w:rsidR="009F1213" w:rsidRPr="00237607">
        <w:rPr>
          <w:rFonts w:ascii="Arial" w:hAnsi="Arial" w:cs="Arial"/>
          <w:sz w:val="18"/>
          <w:szCs w:val="18"/>
        </w:rPr>
        <w:t xml:space="preserve"> y servicios</w:t>
      </w:r>
      <w:r w:rsidRPr="00237607">
        <w:rPr>
          <w:rFonts w:ascii="Arial" w:hAnsi="Arial" w:cs="Arial"/>
          <w:sz w:val="18"/>
          <w:szCs w:val="18"/>
        </w:rPr>
        <w:t xml:space="preserve"> a cargo del Instituto que, a la fecha, se traducen en entregas de información innecesarias u obsoletas atendiendo a que el Instituto se allega o puede allegarse de dicha información a través de otras vías.</w:t>
      </w:r>
    </w:p>
    <w:p w14:paraId="68ACE2D0" w14:textId="77777777" w:rsidR="000B3E5A" w:rsidRPr="00237607" w:rsidRDefault="000B3E5A" w:rsidP="00AC7328">
      <w:pPr>
        <w:spacing w:after="0"/>
        <w:jc w:val="both"/>
        <w:rPr>
          <w:rFonts w:ascii="Arial" w:hAnsi="Arial" w:cs="Arial"/>
          <w:sz w:val="18"/>
          <w:szCs w:val="18"/>
        </w:rPr>
      </w:pPr>
    </w:p>
    <w:p w14:paraId="24365B39" w14:textId="09E0E273"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 xml:space="preserve">En este sentido, en el seno del PMA 2023, las unidades administrativas del Instituto, a través de un ejercicio colaborativo interno, efectuaron un análisis de los trámites y servicios que tienen a su cargo a fin de valorar su utilidad y no duplicidad </w:t>
      </w:r>
      <w:r w:rsidR="004B0485" w:rsidRPr="00237607">
        <w:rPr>
          <w:rFonts w:ascii="Arial" w:hAnsi="Arial" w:cs="Arial"/>
          <w:sz w:val="18"/>
          <w:szCs w:val="18"/>
        </w:rPr>
        <w:t>para</w:t>
      </w:r>
      <w:r w:rsidRPr="00237607">
        <w:rPr>
          <w:rFonts w:ascii="Arial" w:hAnsi="Arial" w:cs="Arial"/>
          <w:sz w:val="18"/>
          <w:szCs w:val="18"/>
        </w:rPr>
        <w:t xml:space="preserve"> definir la vigencia formal y material.</w:t>
      </w:r>
    </w:p>
    <w:p w14:paraId="40A6D82E" w14:textId="77777777" w:rsidR="0058760F" w:rsidRPr="00237607" w:rsidRDefault="0058760F" w:rsidP="00AC7328">
      <w:pPr>
        <w:spacing w:after="0"/>
        <w:jc w:val="both"/>
        <w:rPr>
          <w:rFonts w:ascii="Arial" w:hAnsi="Arial" w:cs="Arial"/>
          <w:sz w:val="18"/>
          <w:szCs w:val="18"/>
        </w:rPr>
      </w:pPr>
    </w:p>
    <w:p w14:paraId="08680686" w14:textId="5E12A6C9" w:rsidR="00A12C6D" w:rsidRPr="00237607" w:rsidRDefault="004B0485" w:rsidP="00AC7328">
      <w:pPr>
        <w:spacing w:after="0"/>
        <w:jc w:val="both"/>
        <w:rPr>
          <w:rFonts w:ascii="Arial" w:hAnsi="Arial" w:cs="Arial"/>
          <w:sz w:val="18"/>
          <w:szCs w:val="18"/>
        </w:rPr>
      </w:pPr>
      <w:r w:rsidRPr="00237607">
        <w:rPr>
          <w:rFonts w:ascii="Arial" w:hAnsi="Arial" w:cs="Arial"/>
          <w:sz w:val="18"/>
          <w:szCs w:val="18"/>
        </w:rPr>
        <w:t>Derivado de lo anterior</w:t>
      </w:r>
      <w:r w:rsidR="0058760F" w:rsidRPr="00237607">
        <w:rPr>
          <w:rFonts w:ascii="Arial" w:hAnsi="Arial" w:cs="Arial"/>
          <w:sz w:val="18"/>
          <w:szCs w:val="18"/>
        </w:rPr>
        <w:t xml:space="preserve">, se considera necesario </w:t>
      </w:r>
      <w:r w:rsidR="00A12C6D" w:rsidRPr="00237607">
        <w:rPr>
          <w:rFonts w:ascii="Arial" w:hAnsi="Arial" w:cs="Arial"/>
          <w:sz w:val="18"/>
          <w:szCs w:val="18"/>
        </w:rPr>
        <w:t>eliminar del Registro de Trámites y Servicios del Instituto Federal de Telecomunicaciones</w:t>
      </w:r>
      <w:r w:rsidR="0058760F" w:rsidRPr="00237607">
        <w:rPr>
          <w:rFonts w:ascii="Arial" w:hAnsi="Arial" w:cs="Arial"/>
          <w:sz w:val="18"/>
          <w:szCs w:val="18"/>
        </w:rPr>
        <w:t xml:space="preserve">, los </w:t>
      </w:r>
      <w:r w:rsidRPr="00237607">
        <w:rPr>
          <w:rFonts w:ascii="Arial" w:hAnsi="Arial" w:cs="Arial"/>
          <w:sz w:val="18"/>
          <w:szCs w:val="18"/>
        </w:rPr>
        <w:t xml:space="preserve">siguientes </w:t>
      </w:r>
      <w:r w:rsidR="0058760F" w:rsidRPr="00237607">
        <w:rPr>
          <w:rFonts w:ascii="Arial" w:hAnsi="Arial" w:cs="Arial"/>
          <w:sz w:val="18"/>
          <w:szCs w:val="18"/>
        </w:rPr>
        <w:t>trámites</w:t>
      </w:r>
      <w:r w:rsidR="00712989" w:rsidRPr="00237607">
        <w:rPr>
          <w:rFonts w:ascii="Arial" w:hAnsi="Arial" w:cs="Arial"/>
          <w:sz w:val="18"/>
          <w:szCs w:val="18"/>
        </w:rPr>
        <w:t xml:space="preserve"> y servicios</w:t>
      </w:r>
      <w:r w:rsidR="0058760F" w:rsidRPr="00237607">
        <w:rPr>
          <w:rFonts w:ascii="Arial" w:hAnsi="Arial" w:cs="Arial"/>
          <w:sz w:val="18"/>
          <w:szCs w:val="18"/>
        </w:rPr>
        <w:t xml:space="preserve">: </w:t>
      </w:r>
    </w:p>
    <w:p w14:paraId="350DDF76" w14:textId="77777777" w:rsidR="00A12C6D" w:rsidRPr="00237607" w:rsidRDefault="00A12C6D" w:rsidP="00AC7328">
      <w:pPr>
        <w:spacing w:after="0"/>
        <w:jc w:val="both"/>
        <w:rPr>
          <w:rFonts w:ascii="Arial" w:hAnsi="Arial" w:cs="Arial"/>
          <w:sz w:val="18"/>
          <w:szCs w:val="18"/>
        </w:rPr>
      </w:pPr>
    </w:p>
    <w:p w14:paraId="56510C93" w14:textId="199743C6" w:rsidR="00D8370E" w:rsidRPr="00237607" w:rsidRDefault="00D11908" w:rsidP="00237607">
      <w:pPr>
        <w:pStyle w:val="Prrafodelista"/>
        <w:numPr>
          <w:ilvl w:val="0"/>
          <w:numId w:val="16"/>
        </w:numPr>
        <w:spacing w:line="276" w:lineRule="auto"/>
        <w:ind w:left="709"/>
        <w:jc w:val="both"/>
        <w:rPr>
          <w:rFonts w:cs="Arial"/>
          <w:sz w:val="18"/>
          <w:szCs w:val="18"/>
        </w:rPr>
      </w:pPr>
      <w:bookmarkStart w:id="4" w:name="_Hlk147231537"/>
      <w:r w:rsidRPr="00237607">
        <w:rPr>
          <w:rFonts w:eastAsia="Calibri" w:cs="Arial"/>
          <w:sz w:val="18"/>
          <w:szCs w:val="18"/>
          <w:lang w:eastAsia="en-US"/>
        </w:rPr>
        <w:t xml:space="preserve">UC-01-004 "Presentación del aviso de transmisión del Canal Judicial de la Suprema Corte de Justicia de la Nación", ello, a raíz de que el "Reglamento del Servicio de Televisión y Audio Restringidos", en </w:t>
      </w:r>
      <w:r w:rsidR="00EA19C8" w:rsidRPr="00237607">
        <w:rPr>
          <w:rFonts w:eastAsia="Calibri" w:cs="Arial"/>
          <w:sz w:val="18"/>
          <w:szCs w:val="18"/>
          <w:lang w:eastAsia="en-US"/>
        </w:rPr>
        <w:t xml:space="preserve">el </w:t>
      </w:r>
      <w:r w:rsidRPr="00237607">
        <w:rPr>
          <w:rFonts w:eastAsia="Calibri" w:cs="Arial"/>
          <w:sz w:val="18"/>
          <w:szCs w:val="18"/>
          <w:lang w:eastAsia="en-US"/>
        </w:rPr>
        <w:t>cual encuentra fundamento el  "Aviso mediante el cual se comunica a todos los concesionarios del servicio de televisión restringida la obligación de transmitir el Canal Judicial de la Suprema Corte de Justicia de la Nación", publicado en el DOF en 19 de enero de 2010, fue abrogado por 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publicado en el DOF el 13 de septiembre de 2019</w:t>
      </w:r>
      <w:bookmarkEnd w:id="4"/>
      <w:r w:rsidR="00EA19C8" w:rsidRPr="00237607">
        <w:rPr>
          <w:rFonts w:eastAsia="Calibri" w:cs="Arial"/>
          <w:sz w:val="18"/>
          <w:szCs w:val="18"/>
          <w:lang w:eastAsia="en-US"/>
        </w:rPr>
        <w:t>.</w:t>
      </w:r>
    </w:p>
    <w:p w14:paraId="04FDC3A5" w14:textId="77777777" w:rsidR="00EA19C8" w:rsidRPr="00237607" w:rsidRDefault="00EA19C8" w:rsidP="00237607">
      <w:pPr>
        <w:pStyle w:val="Prrafodelista"/>
        <w:spacing w:line="276" w:lineRule="auto"/>
        <w:ind w:left="709"/>
        <w:jc w:val="both"/>
        <w:rPr>
          <w:rFonts w:cs="Arial"/>
          <w:sz w:val="18"/>
          <w:szCs w:val="18"/>
        </w:rPr>
      </w:pPr>
    </w:p>
    <w:p w14:paraId="2B9BCBCB" w14:textId="32A658E0" w:rsidR="004B0485" w:rsidRPr="00237607" w:rsidRDefault="004B0485" w:rsidP="00237607">
      <w:pPr>
        <w:pStyle w:val="Prrafodelista"/>
        <w:numPr>
          <w:ilvl w:val="0"/>
          <w:numId w:val="15"/>
        </w:numPr>
        <w:spacing w:line="276" w:lineRule="auto"/>
        <w:ind w:left="709"/>
        <w:jc w:val="both"/>
        <w:rPr>
          <w:rFonts w:cs="Arial"/>
          <w:sz w:val="18"/>
          <w:szCs w:val="18"/>
        </w:rPr>
      </w:pPr>
      <w:bookmarkStart w:id="5" w:name="_Hlk147226643"/>
      <w:r w:rsidRPr="00237607">
        <w:rPr>
          <w:rFonts w:cs="Arial"/>
          <w:sz w:val="18"/>
          <w:szCs w:val="18"/>
        </w:rPr>
        <w:t xml:space="preserve">UC-02-002 “Aviso con las manifestaciones de los prestadores del servicio móvil respecto a los resultados de las mediciones de los parámetros de calidad” y UC-02-003 “Presentación del aviso de las manifestaciones de los concesionarios y autorizados sobre el ejercicio de medición de los índices de calidad, de las estaciones de Televisión, Equipos Auxiliares y Complementarios”, </w:t>
      </w:r>
      <w:bookmarkEnd w:id="5"/>
      <w:r w:rsidRPr="00237607">
        <w:rPr>
          <w:rFonts w:cs="Arial"/>
          <w:sz w:val="18"/>
          <w:szCs w:val="18"/>
        </w:rPr>
        <w:t xml:space="preserve">por considerar que lo establecido en estos registros </w:t>
      </w:r>
      <w:r w:rsidR="008D4AF6" w:rsidRPr="00237607">
        <w:rPr>
          <w:rFonts w:cs="Arial"/>
          <w:sz w:val="18"/>
          <w:szCs w:val="18"/>
        </w:rPr>
        <w:t xml:space="preserve">corresponde a una de las etapas procesales que integran los </w:t>
      </w:r>
      <w:bookmarkStart w:id="6" w:name="_Hlk147226769"/>
      <w:r w:rsidR="008D4AF6" w:rsidRPr="00237607">
        <w:rPr>
          <w:rFonts w:cs="Arial"/>
          <w:sz w:val="18"/>
          <w:szCs w:val="18"/>
        </w:rPr>
        <w:t>procedimientos de medición  para evaluar la calidad de los servicios móviles</w:t>
      </w:r>
      <w:r w:rsidR="00B2489E" w:rsidRPr="00237607">
        <w:rPr>
          <w:rFonts w:cs="Arial"/>
          <w:sz w:val="18"/>
          <w:szCs w:val="18"/>
        </w:rPr>
        <w:t xml:space="preserve">, así como la instalación y operación de estaciones de televisión, equipos auxiliares y equipos complementarios </w:t>
      </w:r>
      <w:bookmarkEnd w:id="6"/>
      <w:r w:rsidR="00B2489E" w:rsidRPr="00237607">
        <w:rPr>
          <w:rFonts w:cs="Arial"/>
          <w:sz w:val="18"/>
          <w:szCs w:val="18"/>
        </w:rPr>
        <w:t>respectivamente</w:t>
      </w:r>
      <w:r w:rsidR="008D4AF6" w:rsidRPr="00237607">
        <w:rPr>
          <w:rFonts w:cs="Arial"/>
          <w:sz w:val="18"/>
          <w:szCs w:val="18"/>
        </w:rPr>
        <w:t>; en este sentido, la etapa de manifestaciones por parte de lo sujetos regulados evaluados corresponde al ejercicio del derecho de audiencia consagrado en el artículo 14 de la Constitución Política de los Estados Unidos Mexicanos, frente a un acto de autoridad, el cual consiste en otorgar al gobernado la oportunidad de defensa previamente al acto de autoridad que pude afectar su propiedad, posesiones o derechos</w:t>
      </w:r>
      <w:r w:rsidR="008C02A9" w:rsidRPr="00237607">
        <w:rPr>
          <w:rFonts w:cs="Arial"/>
          <w:sz w:val="18"/>
          <w:szCs w:val="18"/>
        </w:rPr>
        <w:t>.</w:t>
      </w:r>
      <w:r w:rsidR="008D4AF6" w:rsidRPr="00237607">
        <w:rPr>
          <w:rFonts w:cs="Arial"/>
          <w:sz w:val="18"/>
          <w:szCs w:val="18"/>
        </w:rPr>
        <w:t xml:space="preserve"> En este sentido, las manifestaciones </w:t>
      </w:r>
      <w:r w:rsidR="008C02A9" w:rsidRPr="00237607">
        <w:rPr>
          <w:rFonts w:cs="Arial"/>
          <w:sz w:val="18"/>
          <w:szCs w:val="18"/>
        </w:rPr>
        <w:t>realizadas por los prestadores de servicio móvil respecto de los resultados de las mediciones de los parámetros de calidad no</w:t>
      </w:r>
      <w:r w:rsidR="008D4AF6" w:rsidRPr="00237607">
        <w:rPr>
          <w:rFonts w:cs="Arial"/>
          <w:sz w:val="18"/>
          <w:szCs w:val="18"/>
        </w:rPr>
        <w:t xml:space="preserve"> </w:t>
      </w:r>
      <w:r w:rsidRPr="00237607">
        <w:rPr>
          <w:rFonts w:cs="Arial"/>
          <w:sz w:val="18"/>
          <w:szCs w:val="18"/>
        </w:rPr>
        <w:t>se refieren a un trámite</w:t>
      </w:r>
      <w:r w:rsidR="008C02A9" w:rsidRPr="00237607">
        <w:rPr>
          <w:rFonts w:cs="Arial"/>
          <w:sz w:val="18"/>
          <w:szCs w:val="18"/>
        </w:rPr>
        <w:t>,</w:t>
      </w:r>
      <w:r w:rsidRPr="00237607">
        <w:rPr>
          <w:rFonts w:cs="Arial"/>
          <w:sz w:val="18"/>
          <w:szCs w:val="18"/>
        </w:rPr>
        <w:t xml:space="preserve"> por lo que no deben incluirse en el Registro de Trámites y Servicios del I</w:t>
      </w:r>
      <w:bookmarkStart w:id="7" w:name="_Hlk152163977"/>
      <w:r w:rsidRPr="00237607">
        <w:rPr>
          <w:rFonts w:cs="Arial"/>
          <w:sz w:val="18"/>
          <w:szCs w:val="18"/>
        </w:rPr>
        <w:t>nstituto Federal de Telecomunicaciones</w:t>
      </w:r>
      <w:bookmarkEnd w:id="7"/>
      <w:r w:rsidRPr="00237607">
        <w:rPr>
          <w:rFonts w:cs="Arial"/>
          <w:sz w:val="18"/>
          <w:szCs w:val="18"/>
        </w:rPr>
        <w:t>.</w:t>
      </w:r>
    </w:p>
    <w:p w14:paraId="12E5F108" w14:textId="77777777" w:rsidR="004B0485" w:rsidRPr="00237607" w:rsidRDefault="004B0485" w:rsidP="00237607">
      <w:pPr>
        <w:pStyle w:val="Prrafodelista"/>
        <w:spacing w:line="276" w:lineRule="auto"/>
        <w:ind w:left="709"/>
        <w:rPr>
          <w:rFonts w:cs="Arial"/>
          <w:sz w:val="18"/>
          <w:szCs w:val="18"/>
        </w:rPr>
      </w:pPr>
    </w:p>
    <w:p w14:paraId="1A5C81EC" w14:textId="5FC01AEC" w:rsidR="004B0485" w:rsidRPr="00237607" w:rsidRDefault="004B0485" w:rsidP="00237607">
      <w:pPr>
        <w:pStyle w:val="Prrafodelista"/>
        <w:numPr>
          <w:ilvl w:val="0"/>
          <w:numId w:val="15"/>
        </w:numPr>
        <w:spacing w:line="276" w:lineRule="auto"/>
        <w:ind w:left="709"/>
        <w:jc w:val="both"/>
        <w:rPr>
          <w:rFonts w:cs="Arial"/>
          <w:sz w:val="18"/>
          <w:szCs w:val="18"/>
        </w:rPr>
      </w:pPr>
      <w:r w:rsidRPr="00237607">
        <w:rPr>
          <w:rFonts w:cs="Arial"/>
          <w:sz w:val="18"/>
          <w:szCs w:val="18"/>
        </w:rPr>
        <w:t>CGPU-03-001 “Conservación de Quejas presentadas por los Usuarios Finales”, UCS-04-055 “Presentación del Informe sobre Conflictos de Interés del personal adscrito al Laboratorio de Prueba”, UCS-04-056 “Presentación del Informe sobre el personal (signatarios) que se encuentra autorizado para firmar o suscribir los Reportes de Prueba”, UCS-04-058 “Presentación del Informe Anual sobre las medidas emprendidas por el Laboratorio de Prueba para garantizar que sus servicios se lleven a cabo en un marco de calidad y confidencialidad”, UCS-04-095 “Envío de las Cartas de No Cumplimiento por parte de los Organismos de Certificación al IFT”, UCS-04-122 “Aviso por parte de un Organismo de Acreditación del otorgamiento de un Certificado de acreditación a un Organismo de Certificación”</w:t>
      </w:r>
      <w:r w:rsidR="0045660E" w:rsidRPr="00237607">
        <w:rPr>
          <w:rFonts w:cs="Arial"/>
          <w:sz w:val="18"/>
          <w:szCs w:val="18"/>
        </w:rPr>
        <w:t>,</w:t>
      </w:r>
      <w:r w:rsidRPr="00237607">
        <w:rPr>
          <w:rFonts w:cs="Arial"/>
          <w:sz w:val="18"/>
          <w:szCs w:val="18"/>
        </w:rPr>
        <w:t xml:space="preserve"> UCS-04-076 “Envío de Propuesta de actividades de Vigilancia del cumplimiento de la certificación”</w:t>
      </w:r>
      <w:r w:rsidR="0045660E" w:rsidRPr="00237607">
        <w:rPr>
          <w:rFonts w:cs="Arial"/>
          <w:sz w:val="18"/>
          <w:szCs w:val="18"/>
        </w:rPr>
        <w:t xml:space="preserve"> y UMCA-01-007 “Resolución de dudas sobre los elementos </w:t>
      </w:r>
      <w:r w:rsidR="0045660E" w:rsidRPr="00237607">
        <w:rPr>
          <w:rFonts w:cs="Arial"/>
          <w:sz w:val="18"/>
          <w:szCs w:val="18"/>
        </w:rPr>
        <w:lastRenderedPageBreak/>
        <w:t>técnicos que debe contener el Símbolo de Subtitulaje Oculto o el Símbolo de Lengua de Señas Mexicana”</w:t>
      </w:r>
      <w:r w:rsidRPr="00237607">
        <w:rPr>
          <w:rFonts w:cs="Arial"/>
          <w:sz w:val="18"/>
          <w:szCs w:val="18"/>
        </w:rPr>
        <w:t xml:space="preserve"> ello, a raíz de la modificación realizada a diversas disposiciones, emitidas por el Instituto, con el objetivo de llevar a cabo acciones de desregularización que permitan disminuir las cargas administrativas a los regulados. </w:t>
      </w:r>
    </w:p>
    <w:p w14:paraId="223A24A0" w14:textId="77777777" w:rsidR="004B0485" w:rsidRPr="00237607" w:rsidRDefault="004B0485" w:rsidP="00AC7328">
      <w:pPr>
        <w:spacing w:after="0"/>
        <w:jc w:val="both"/>
        <w:rPr>
          <w:rFonts w:ascii="Arial" w:hAnsi="Arial" w:cs="Arial"/>
          <w:sz w:val="18"/>
          <w:szCs w:val="18"/>
        </w:rPr>
      </w:pPr>
    </w:p>
    <w:p w14:paraId="3D819EA5" w14:textId="199F6595" w:rsidR="001B163B" w:rsidRPr="00237607" w:rsidRDefault="004B0485" w:rsidP="00AC7328">
      <w:pPr>
        <w:spacing w:after="0"/>
        <w:jc w:val="both"/>
        <w:rPr>
          <w:rFonts w:ascii="Arial" w:hAnsi="Arial" w:cs="Arial"/>
          <w:sz w:val="18"/>
          <w:szCs w:val="18"/>
        </w:rPr>
      </w:pPr>
      <w:r w:rsidRPr="00237607">
        <w:rPr>
          <w:rFonts w:ascii="Arial" w:hAnsi="Arial" w:cs="Arial"/>
          <w:sz w:val="18"/>
          <w:szCs w:val="18"/>
        </w:rPr>
        <w:t>En este sentido,</w:t>
      </w:r>
      <w:r w:rsidR="000B3E5A" w:rsidRPr="00237607">
        <w:rPr>
          <w:rFonts w:ascii="Arial" w:hAnsi="Arial" w:cs="Arial"/>
          <w:sz w:val="18"/>
          <w:szCs w:val="18"/>
        </w:rPr>
        <w:t xml:space="preserve"> </w:t>
      </w:r>
      <w:r w:rsidRPr="00237607">
        <w:rPr>
          <w:rFonts w:ascii="Arial" w:hAnsi="Arial" w:cs="Arial"/>
          <w:sz w:val="18"/>
          <w:szCs w:val="18"/>
        </w:rPr>
        <w:t xml:space="preserve">en </w:t>
      </w:r>
      <w:r w:rsidR="000B3E5A" w:rsidRPr="00237607">
        <w:rPr>
          <w:rFonts w:ascii="Arial" w:hAnsi="Arial" w:cs="Arial"/>
          <w:sz w:val="18"/>
          <w:szCs w:val="18"/>
        </w:rPr>
        <w:t xml:space="preserve">el presente Acuerdo se determinó oportuno la eliminación de </w:t>
      </w:r>
      <w:r w:rsidR="00FB1C9C" w:rsidRPr="00237607">
        <w:rPr>
          <w:rFonts w:ascii="Arial" w:hAnsi="Arial" w:cs="Arial"/>
          <w:sz w:val="18"/>
          <w:szCs w:val="18"/>
        </w:rPr>
        <w:t>diez</w:t>
      </w:r>
      <w:r w:rsidRPr="00237607">
        <w:rPr>
          <w:rFonts w:ascii="Arial" w:hAnsi="Arial" w:cs="Arial"/>
          <w:sz w:val="18"/>
          <w:szCs w:val="18"/>
        </w:rPr>
        <w:t xml:space="preserve"> </w:t>
      </w:r>
      <w:r w:rsidR="000B3E5A" w:rsidRPr="00237607">
        <w:rPr>
          <w:rFonts w:ascii="Arial" w:hAnsi="Arial" w:cs="Arial"/>
          <w:sz w:val="18"/>
          <w:szCs w:val="18"/>
        </w:rPr>
        <w:t>trámites</w:t>
      </w:r>
      <w:r w:rsidR="00FB1C9C" w:rsidRPr="00237607">
        <w:rPr>
          <w:rFonts w:ascii="Arial" w:hAnsi="Arial" w:cs="Arial"/>
          <w:sz w:val="18"/>
          <w:szCs w:val="18"/>
        </w:rPr>
        <w:t xml:space="preserve"> y un servicio</w:t>
      </w:r>
      <w:r w:rsidR="000B3E5A" w:rsidRPr="00237607">
        <w:rPr>
          <w:rFonts w:ascii="Arial" w:hAnsi="Arial" w:cs="Arial"/>
          <w:sz w:val="18"/>
          <w:szCs w:val="18"/>
        </w:rPr>
        <w:t>, así como la modificación de diversas disposiciones que les dan origen.</w:t>
      </w:r>
    </w:p>
    <w:p w14:paraId="30AFE52D" w14:textId="77777777" w:rsidR="001B163B" w:rsidRPr="00237607" w:rsidRDefault="001B163B" w:rsidP="00AC7328">
      <w:pPr>
        <w:spacing w:after="0"/>
        <w:jc w:val="both"/>
        <w:rPr>
          <w:rFonts w:ascii="Arial" w:hAnsi="Arial" w:cs="Arial"/>
          <w:sz w:val="18"/>
          <w:szCs w:val="18"/>
        </w:rPr>
      </w:pPr>
    </w:p>
    <w:p w14:paraId="0234F21F" w14:textId="4F3BF27D" w:rsidR="000B3E5A" w:rsidRPr="00237607" w:rsidRDefault="00BB1344" w:rsidP="00AC7328">
      <w:pPr>
        <w:spacing w:after="0"/>
        <w:jc w:val="both"/>
        <w:rPr>
          <w:rFonts w:ascii="Arial" w:hAnsi="Arial" w:cs="Arial"/>
          <w:sz w:val="18"/>
          <w:szCs w:val="18"/>
        </w:rPr>
      </w:pPr>
      <w:r w:rsidRPr="00237607">
        <w:rPr>
          <w:rFonts w:ascii="Arial" w:hAnsi="Arial" w:cs="Arial"/>
          <w:b/>
          <w:sz w:val="18"/>
          <w:szCs w:val="18"/>
        </w:rPr>
        <w:t>Tercero. -</w:t>
      </w:r>
      <w:r w:rsidR="001B163B" w:rsidRPr="00237607">
        <w:rPr>
          <w:rFonts w:ascii="Arial" w:hAnsi="Arial" w:cs="Arial"/>
          <w:b/>
          <w:sz w:val="18"/>
          <w:szCs w:val="18"/>
        </w:rPr>
        <w:t xml:space="preserve"> </w:t>
      </w:r>
      <w:r w:rsidR="000B3E5A" w:rsidRPr="00237607">
        <w:rPr>
          <w:rFonts w:ascii="Arial" w:hAnsi="Arial" w:cs="Arial"/>
          <w:b/>
          <w:sz w:val="18"/>
          <w:szCs w:val="18"/>
        </w:rPr>
        <w:t xml:space="preserve">Importancia del </w:t>
      </w:r>
      <w:r w:rsidR="00535563" w:rsidRPr="00237607">
        <w:rPr>
          <w:rFonts w:ascii="Arial" w:hAnsi="Arial" w:cs="Arial"/>
          <w:b/>
          <w:sz w:val="18"/>
          <w:szCs w:val="18"/>
        </w:rPr>
        <w:t xml:space="preserve">Proyecto </w:t>
      </w:r>
      <w:r w:rsidR="000B3E5A" w:rsidRPr="00237607">
        <w:rPr>
          <w:rFonts w:ascii="Arial" w:hAnsi="Arial" w:cs="Arial"/>
          <w:b/>
          <w:sz w:val="18"/>
          <w:szCs w:val="18"/>
        </w:rPr>
        <w:t xml:space="preserve">de Acuerdo y la simplificación administrativa. </w:t>
      </w:r>
      <w:r w:rsidR="000B3E5A" w:rsidRPr="00237607">
        <w:rPr>
          <w:rFonts w:ascii="Arial" w:hAnsi="Arial" w:cs="Arial"/>
          <w:sz w:val="18"/>
          <w:szCs w:val="18"/>
        </w:rPr>
        <w:t>La tarea de mejorar y simplificar trámites</w:t>
      </w:r>
      <w:r w:rsidR="009F1213" w:rsidRPr="00237607">
        <w:rPr>
          <w:rFonts w:ascii="Arial" w:hAnsi="Arial" w:cs="Arial"/>
          <w:sz w:val="18"/>
          <w:szCs w:val="18"/>
        </w:rPr>
        <w:t xml:space="preserve"> y servicios</w:t>
      </w:r>
      <w:r w:rsidR="000B3E5A" w:rsidRPr="00237607">
        <w:rPr>
          <w:rFonts w:ascii="Arial" w:hAnsi="Arial" w:cs="Arial"/>
          <w:sz w:val="18"/>
          <w:szCs w:val="18"/>
        </w:rPr>
        <w:t xml:space="preserve"> es parte de una estrategia amplia de política regulatoria, en virtud de que la forma en la que éstos se diseñan, implementan, y hacen cumplir tiene una incidencia directa en la efectividad de las regulaciones y, por tanto, en su capacidad para cumplir con su objetivo primario de política pública. Así que, la reducción de la carga administrativa </w:t>
      </w:r>
      <w:r w:rsidR="009F1213" w:rsidRPr="00237607">
        <w:rPr>
          <w:rFonts w:ascii="Arial" w:hAnsi="Arial" w:cs="Arial"/>
          <w:sz w:val="18"/>
          <w:szCs w:val="18"/>
        </w:rPr>
        <w:t>tanto de</w:t>
      </w:r>
      <w:r w:rsidR="000B3E5A" w:rsidRPr="00237607">
        <w:rPr>
          <w:rFonts w:ascii="Arial" w:hAnsi="Arial" w:cs="Arial"/>
          <w:sz w:val="18"/>
          <w:szCs w:val="18"/>
        </w:rPr>
        <w:t xml:space="preserve"> las regulaciones </w:t>
      </w:r>
      <w:r w:rsidR="009F1213" w:rsidRPr="00237607">
        <w:rPr>
          <w:rFonts w:ascii="Arial" w:hAnsi="Arial" w:cs="Arial"/>
          <w:sz w:val="18"/>
          <w:szCs w:val="18"/>
        </w:rPr>
        <w:t xml:space="preserve">como de los trámites y servicios </w:t>
      </w:r>
      <w:r w:rsidR="000B3E5A" w:rsidRPr="00237607">
        <w:rPr>
          <w:rFonts w:ascii="Arial" w:hAnsi="Arial" w:cs="Arial"/>
          <w:sz w:val="18"/>
          <w:szCs w:val="18"/>
        </w:rPr>
        <w:t>gubernamentales en los ciudadanos, las empresas y el sector público es parte de la estrategia de mejora administrativa a cargo de este órgano constitucional autónomo para optimizar el desempeño económico y la productividad de los sectores de las telecomunicaciones y la radiodifusión.</w:t>
      </w:r>
    </w:p>
    <w:p w14:paraId="113F2EE9" w14:textId="77777777" w:rsidR="00847193" w:rsidRPr="00237607" w:rsidRDefault="00847193" w:rsidP="00AC7328">
      <w:pPr>
        <w:spacing w:after="0"/>
        <w:jc w:val="both"/>
        <w:rPr>
          <w:rFonts w:ascii="Arial" w:hAnsi="Arial" w:cs="Arial"/>
          <w:sz w:val="18"/>
          <w:szCs w:val="18"/>
        </w:rPr>
      </w:pPr>
    </w:p>
    <w:p w14:paraId="44394D87" w14:textId="66CA035F"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Sobre ello, el Consejo de Política y Gobernanza Regulatoria de la Organización para la Cooperación y el Desarrollo Económicos (en lo sucesivo, la “OCDE”), señaló en el año 2012, dentro de la Recomendación del Consejo sobre Política y Gobernanza Regulatoria, la necesidad de los Gobiernos de efectuar revisiones sistemáticas de programas de acervo normativo contra objetivos de políticas claramente definidos, incluso considerando los costos y beneficios, para asegurar que las regulaciones</w:t>
      </w:r>
      <w:r w:rsidR="00A850CC" w:rsidRPr="00237607">
        <w:rPr>
          <w:rFonts w:ascii="Arial" w:hAnsi="Arial" w:cs="Arial"/>
          <w:sz w:val="18"/>
          <w:szCs w:val="18"/>
        </w:rPr>
        <w:t xml:space="preserve"> y los trámites y servicios que de éstas emanan</w:t>
      </w:r>
      <w:r w:rsidRPr="00237607">
        <w:rPr>
          <w:rFonts w:ascii="Arial" w:hAnsi="Arial" w:cs="Arial"/>
          <w:sz w:val="18"/>
          <w:szCs w:val="18"/>
        </w:rPr>
        <w:t xml:space="preserve"> se mantengan actualizad</w:t>
      </w:r>
      <w:r w:rsidR="00A850CC" w:rsidRPr="00237607">
        <w:rPr>
          <w:rFonts w:ascii="Arial" w:hAnsi="Arial" w:cs="Arial"/>
          <w:sz w:val="18"/>
          <w:szCs w:val="18"/>
        </w:rPr>
        <w:t>o</w:t>
      </w:r>
      <w:r w:rsidRPr="00237607">
        <w:rPr>
          <w:rFonts w:ascii="Arial" w:hAnsi="Arial" w:cs="Arial"/>
          <w:sz w:val="18"/>
          <w:szCs w:val="18"/>
        </w:rPr>
        <w:t>s, el costo se justifique, sean rentables y coherentes, y cumplan con los objetivos previstos en materia de  política pública</w:t>
      </w:r>
      <w:r w:rsidR="00B524C5" w:rsidRPr="00237607">
        <w:rPr>
          <w:rStyle w:val="Refdenotaalpie"/>
          <w:rFonts w:ascii="Arial" w:hAnsi="Arial" w:cs="Arial"/>
          <w:sz w:val="18"/>
          <w:szCs w:val="18"/>
        </w:rPr>
        <w:footnoteReference w:id="1"/>
      </w:r>
      <w:r w:rsidRPr="00237607">
        <w:rPr>
          <w:rFonts w:ascii="Arial" w:hAnsi="Arial" w:cs="Arial"/>
          <w:sz w:val="18"/>
          <w:szCs w:val="18"/>
        </w:rPr>
        <w:t>.</w:t>
      </w:r>
    </w:p>
    <w:p w14:paraId="0D96E41E" w14:textId="77777777" w:rsidR="00847193" w:rsidRPr="00237607" w:rsidRDefault="00847193" w:rsidP="00AC7328">
      <w:pPr>
        <w:spacing w:after="0"/>
        <w:jc w:val="both"/>
        <w:rPr>
          <w:rFonts w:ascii="Arial" w:hAnsi="Arial" w:cs="Arial"/>
          <w:sz w:val="18"/>
          <w:szCs w:val="18"/>
        </w:rPr>
      </w:pPr>
    </w:p>
    <w:p w14:paraId="65600BB6" w14:textId="7157CE62" w:rsidR="000B3E5A" w:rsidRPr="00237607" w:rsidRDefault="000B3E5A" w:rsidP="00AC7328">
      <w:pPr>
        <w:spacing w:after="0"/>
        <w:jc w:val="both"/>
        <w:rPr>
          <w:rFonts w:ascii="Arial" w:hAnsi="Arial" w:cs="Arial"/>
          <w:sz w:val="18"/>
          <w:szCs w:val="18"/>
        </w:rPr>
      </w:pPr>
      <w:r w:rsidRPr="00237607">
        <w:rPr>
          <w:rFonts w:ascii="Arial" w:hAnsi="Arial" w:cs="Arial"/>
          <w:sz w:val="18"/>
          <w:szCs w:val="18"/>
        </w:rPr>
        <w:t>Así, el papel que desempeña la revisión del estado de la regulación existente y las cargas administrativas asociadas permite complementar y renovar el ciclo de gobernanza regulatoria, además, implica la necesidad de una interpretación integral para identificar problemas aplicativos de la regulación en el contexto actual, así como impactos específicos de rendimiento y cuestiones de interés y, a su vez, implementar mejoras basadas en políticas similares.</w:t>
      </w:r>
    </w:p>
    <w:p w14:paraId="62F26AB1" w14:textId="77777777" w:rsidR="00B524C5" w:rsidRPr="00237607" w:rsidRDefault="00B524C5" w:rsidP="00AC7328">
      <w:pPr>
        <w:spacing w:after="0"/>
        <w:jc w:val="both"/>
        <w:rPr>
          <w:rFonts w:ascii="Arial" w:hAnsi="Arial" w:cs="Arial"/>
          <w:sz w:val="18"/>
          <w:szCs w:val="18"/>
        </w:rPr>
      </w:pPr>
    </w:p>
    <w:p w14:paraId="30AE2387" w14:textId="08CAA54A" w:rsidR="000B3E5A" w:rsidRPr="00237607" w:rsidRDefault="00555A45" w:rsidP="00AC7328">
      <w:pPr>
        <w:spacing w:after="0"/>
        <w:jc w:val="both"/>
        <w:rPr>
          <w:rFonts w:ascii="Arial" w:hAnsi="Arial" w:cs="Arial"/>
          <w:sz w:val="18"/>
          <w:szCs w:val="18"/>
        </w:rPr>
      </w:pPr>
      <w:r w:rsidRPr="00237607">
        <w:rPr>
          <w:rFonts w:ascii="Arial" w:hAnsi="Arial" w:cs="Arial"/>
          <w:sz w:val="18"/>
          <w:szCs w:val="18"/>
        </w:rPr>
        <w:t>Al efecto, algunas de las características que deben ser revisadas en la evaluación al régimen regulatorio son las siguientes y responden a cuestionamientos precisos, a saber</w:t>
      </w:r>
      <w:r w:rsidRPr="00237607" w:rsidDel="00555A45">
        <w:rPr>
          <w:rFonts w:ascii="Arial" w:hAnsi="Arial" w:cs="Arial"/>
          <w:sz w:val="18"/>
          <w:szCs w:val="18"/>
        </w:rPr>
        <w:t xml:space="preserve"> </w:t>
      </w:r>
      <w:r w:rsidR="00B524C5" w:rsidRPr="00237607">
        <w:rPr>
          <w:rStyle w:val="Refdenotaalpie"/>
          <w:rFonts w:ascii="Arial" w:hAnsi="Arial" w:cs="Arial"/>
          <w:sz w:val="18"/>
          <w:szCs w:val="18"/>
        </w:rPr>
        <w:footnoteReference w:id="2"/>
      </w:r>
      <w:r w:rsidR="000B3E5A" w:rsidRPr="00237607">
        <w:rPr>
          <w:rFonts w:ascii="Arial" w:hAnsi="Arial" w:cs="Arial"/>
          <w:sz w:val="18"/>
          <w:szCs w:val="18"/>
        </w:rPr>
        <w:t>:</w:t>
      </w:r>
    </w:p>
    <w:p w14:paraId="10F4DCB5" w14:textId="77777777" w:rsidR="00B524C5" w:rsidRPr="00237607" w:rsidRDefault="00B524C5" w:rsidP="00AC7328">
      <w:pPr>
        <w:spacing w:after="0"/>
        <w:jc w:val="both"/>
        <w:rPr>
          <w:rFonts w:ascii="Arial" w:hAnsi="Arial" w:cs="Arial"/>
          <w:sz w:val="18"/>
          <w:szCs w:val="18"/>
        </w:rPr>
      </w:pPr>
    </w:p>
    <w:p w14:paraId="0E093CEC" w14:textId="12084519" w:rsidR="00555A45" w:rsidRPr="00237607" w:rsidRDefault="00555A45" w:rsidP="00AC7328">
      <w:pPr>
        <w:spacing w:after="0"/>
        <w:jc w:val="both"/>
        <w:rPr>
          <w:rFonts w:ascii="Arial" w:hAnsi="Arial" w:cs="Arial"/>
          <w:sz w:val="18"/>
          <w:szCs w:val="18"/>
        </w:rPr>
      </w:pPr>
      <w:r w:rsidRPr="00237607">
        <w:rPr>
          <w:rFonts w:ascii="Arial" w:hAnsi="Arial" w:cs="Arial"/>
          <w:i/>
          <w:iCs/>
          <w:sz w:val="18"/>
          <w:szCs w:val="18"/>
        </w:rPr>
        <w:t>Eficiencia</w:t>
      </w:r>
      <w:r w:rsidRPr="00237607">
        <w:rPr>
          <w:rFonts w:ascii="Arial" w:hAnsi="Arial" w:cs="Arial"/>
          <w:sz w:val="18"/>
          <w:szCs w:val="18"/>
        </w:rPr>
        <w:t>: Mide y califica la relación entre la utilización de los medios (insumos, recursos, tiempo) y los fines. Refiere al mejor aprovechamiento posible de los recursos disponibles.</w:t>
      </w:r>
    </w:p>
    <w:p w14:paraId="3C128A75" w14:textId="77777777" w:rsidR="00555A45" w:rsidRPr="00237607" w:rsidRDefault="00555A45" w:rsidP="00AC7328">
      <w:pPr>
        <w:spacing w:after="0"/>
        <w:jc w:val="both"/>
        <w:rPr>
          <w:rFonts w:ascii="Arial" w:hAnsi="Arial" w:cs="Arial"/>
          <w:sz w:val="18"/>
          <w:szCs w:val="18"/>
        </w:rPr>
      </w:pPr>
    </w:p>
    <w:p w14:paraId="793C13FB" w14:textId="7E04A412" w:rsidR="00555A45" w:rsidRPr="00237607" w:rsidRDefault="00555A45" w:rsidP="00AC7328">
      <w:pPr>
        <w:spacing w:after="0"/>
        <w:jc w:val="both"/>
        <w:rPr>
          <w:rFonts w:ascii="Arial" w:hAnsi="Arial" w:cs="Arial"/>
          <w:sz w:val="18"/>
          <w:szCs w:val="18"/>
        </w:rPr>
      </w:pPr>
      <w:r w:rsidRPr="00237607">
        <w:rPr>
          <w:rFonts w:ascii="Arial" w:hAnsi="Arial" w:cs="Arial"/>
          <w:i/>
          <w:iCs/>
          <w:sz w:val="18"/>
          <w:szCs w:val="18"/>
        </w:rPr>
        <w:t>Efectividad</w:t>
      </w:r>
      <w:r w:rsidRPr="00237607">
        <w:rPr>
          <w:rFonts w:ascii="Arial" w:hAnsi="Arial" w:cs="Arial"/>
          <w:sz w:val="18"/>
          <w:szCs w:val="18"/>
        </w:rPr>
        <w:t>: la revisión debe determinar si tanto la regulación (o el conjunto de regulaciones) como los trámites y servicios</w:t>
      </w:r>
      <w:r w:rsidR="00D57C7C" w:rsidRPr="00237607">
        <w:rPr>
          <w:rFonts w:ascii="Arial" w:hAnsi="Arial" w:cs="Arial"/>
          <w:sz w:val="18"/>
          <w:szCs w:val="18"/>
        </w:rPr>
        <w:t xml:space="preserve"> están diseñados para lograr los objetivos </w:t>
      </w:r>
      <w:r w:rsidR="00C70BF6" w:rsidRPr="00237607">
        <w:rPr>
          <w:rFonts w:ascii="Arial" w:hAnsi="Arial" w:cs="Arial"/>
          <w:sz w:val="18"/>
          <w:szCs w:val="18"/>
        </w:rPr>
        <w:t>deseados;</w:t>
      </w:r>
    </w:p>
    <w:p w14:paraId="37073B66" w14:textId="77777777" w:rsidR="00555A45" w:rsidRPr="00237607" w:rsidRDefault="00555A45" w:rsidP="00AC7328">
      <w:pPr>
        <w:spacing w:after="0"/>
        <w:jc w:val="both"/>
        <w:rPr>
          <w:rFonts w:ascii="Arial" w:hAnsi="Arial" w:cs="Arial"/>
          <w:i/>
          <w:iCs/>
          <w:sz w:val="18"/>
          <w:szCs w:val="18"/>
        </w:rPr>
      </w:pPr>
    </w:p>
    <w:p w14:paraId="6819EDF1" w14:textId="0A67C94B" w:rsidR="00B524C5" w:rsidRPr="00237607" w:rsidRDefault="00D57C7C" w:rsidP="00AC7328">
      <w:pPr>
        <w:spacing w:after="0"/>
        <w:jc w:val="both"/>
        <w:rPr>
          <w:rFonts w:ascii="Arial" w:hAnsi="Arial" w:cs="Arial"/>
          <w:sz w:val="18"/>
          <w:szCs w:val="18"/>
        </w:rPr>
      </w:pPr>
      <w:r w:rsidRPr="00237607">
        <w:rPr>
          <w:rFonts w:ascii="Arial" w:hAnsi="Arial" w:cs="Arial"/>
          <w:i/>
          <w:iCs/>
          <w:sz w:val="18"/>
          <w:szCs w:val="18"/>
        </w:rPr>
        <w:t xml:space="preserve">Congruencia: </w:t>
      </w:r>
      <w:r w:rsidRPr="00237607">
        <w:rPr>
          <w:rFonts w:ascii="Arial" w:hAnsi="Arial" w:cs="Arial"/>
          <w:iCs/>
          <w:sz w:val="18"/>
          <w:szCs w:val="18"/>
        </w:rPr>
        <w:t>Supone determinar la existencia de duplicidades, contradicciones y redundancias existentes entre las regulaciones y los trámites y servicios derivados de ellas.</w:t>
      </w:r>
      <w:r w:rsidRPr="00237607">
        <w:rPr>
          <w:rFonts w:ascii="Arial" w:hAnsi="Arial" w:cs="Arial"/>
          <w:i/>
          <w:iCs/>
          <w:sz w:val="18"/>
          <w:szCs w:val="18"/>
        </w:rPr>
        <w:t xml:space="preserve"> </w:t>
      </w:r>
    </w:p>
    <w:p w14:paraId="422EA188" w14:textId="77777777" w:rsidR="00D57C7C" w:rsidRPr="00237607" w:rsidRDefault="00D57C7C" w:rsidP="00AC7328">
      <w:pPr>
        <w:spacing w:after="0"/>
        <w:jc w:val="both"/>
        <w:rPr>
          <w:rFonts w:ascii="Arial" w:hAnsi="Arial" w:cs="Arial"/>
          <w:i/>
          <w:iCs/>
          <w:sz w:val="18"/>
          <w:szCs w:val="18"/>
        </w:rPr>
      </w:pPr>
    </w:p>
    <w:p w14:paraId="64C0B662" w14:textId="07B70F76" w:rsidR="00D57C7C" w:rsidRPr="00237607" w:rsidRDefault="00D57C7C" w:rsidP="00AC7328">
      <w:pPr>
        <w:spacing w:after="0"/>
        <w:jc w:val="both"/>
        <w:rPr>
          <w:rFonts w:ascii="Arial" w:hAnsi="Arial" w:cs="Arial"/>
          <w:i/>
          <w:iCs/>
          <w:sz w:val="18"/>
          <w:szCs w:val="18"/>
        </w:rPr>
      </w:pPr>
      <w:r w:rsidRPr="00237607">
        <w:rPr>
          <w:rFonts w:ascii="Arial" w:hAnsi="Arial" w:cs="Arial"/>
          <w:i/>
          <w:iCs/>
          <w:sz w:val="18"/>
          <w:szCs w:val="18"/>
        </w:rPr>
        <w:t xml:space="preserve">Pertinencia: </w:t>
      </w:r>
      <w:r w:rsidRPr="00237607">
        <w:rPr>
          <w:rFonts w:ascii="Arial" w:hAnsi="Arial" w:cs="Arial"/>
          <w:iCs/>
          <w:sz w:val="18"/>
          <w:szCs w:val="18"/>
        </w:rPr>
        <w:t>La regulación, los trámites y servicios asociados, deben ser la mejor forma de atender los problemas o asuntos a los que está dirigida.</w:t>
      </w:r>
    </w:p>
    <w:p w14:paraId="66A8FA38" w14:textId="4E4DE6EE" w:rsidR="00D57C7C" w:rsidRPr="00237607" w:rsidRDefault="00D57C7C" w:rsidP="00AC7328">
      <w:pPr>
        <w:spacing w:after="0"/>
        <w:jc w:val="both"/>
        <w:rPr>
          <w:rFonts w:ascii="Arial" w:hAnsi="Arial" w:cs="Arial"/>
          <w:i/>
          <w:iCs/>
          <w:sz w:val="18"/>
          <w:szCs w:val="18"/>
        </w:rPr>
      </w:pPr>
    </w:p>
    <w:p w14:paraId="1DA11E4A" w14:textId="4A6FFD1F" w:rsidR="00D57C7C" w:rsidRPr="00237607" w:rsidRDefault="00D57C7C" w:rsidP="00AC7328">
      <w:pPr>
        <w:spacing w:after="0"/>
        <w:jc w:val="both"/>
        <w:rPr>
          <w:rFonts w:ascii="Arial" w:hAnsi="Arial" w:cs="Arial"/>
          <w:iCs/>
          <w:sz w:val="18"/>
          <w:szCs w:val="18"/>
        </w:rPr>
      </w:pPr>
      <w:r w:rsidRPr="00237607">
        <w:rPr>
          <w:rFonts w:ascii="Arial" w:hAnsi="Arial" w:cs="Arial"/>
          <w:i/>
          <w:iCs/>
          <w:sz w:val="18"/>
          <w:szCs w:val="18"/>
        </w:rPr>
        <w:t xml:space="preserve">Flexibilidad: </w:t>
      </w:r>
      <w:r w:rsidR="003C6B19" w:rsidRPr="00237607">
        <w:rPr>
          <w:rFonts w:ascii="Arial" w:hAnsi="Arial" w:cs="Arial"/>
          <w:iCs/>
          <w:sz w:val="18"/>
          <w:szCs w:val="18"/>
        </w:rPr>
        <w:t>Se refiere a la capacidad de la regulación y el sistema que la administra de continuar siendo eficaz frente a nueva información y/o cambios en las circunstancias.</w:t>
      </w:r>
    </w:p>
    <w:p w14:paraId="21388971" w14:textId="77777777" w:rsidR="00B524C5" w:rsidRPr="00237607" w:rsidRDefault="00B524C5" w:rsidP="00AC7328">
      <w:pPr>
        <w:spacing w:after="0"/>
        <w:jc w:val="both"/>
        <w:rPr>
          <w:rFonts w:ascii="Arial" w:hAnsi="Arial" w:cs="Arial"/>
          <w:sz w:val="18"/>
          <w:szCs w:val="18"/>
        </w:rPr>
      </w:pPr>
    </w:p>
    <w:p w14:paraId="66F7C2E4" w14:textId="17DB981E" w:rsidR="001B163B" w:rsidRPr="00237607" w:rsidRDefault="000B3E5A" w:rsidP="00AC7328">
      <w:pPr>
        <w:spacing w:after="0"/>
        <w:jc w:val="both"/>
        <w:rPr>
          <w:rFonts w:ascii="Arial" w:hAnsi="Arial" w:cs="Arial"/>
          <w:sz w:val="18"/>
          <w:szCs w:val="18"/>
        </w:rPr>
      </w:pPr>
      <w:r w:rsidRPr="00237607">
        <w:rPr>
          <w:rFonts w:ascii="Arial" w:hAnsi="Arial" w:cs="Arial"/>
          <w:sz w:val="18"/>
          <w:szCs w:val="18"/>
        </w:rPr>
        <w:lastRenderedPageBreak/>
        <w:t xml:space="preserve">De esta manera, la emisión del presente </w:t>
      </w:r>
      <w:r w:rsidR="00A850CC" w:rsidRPr="00237607">
        <w:rPr>
          <w:rFonts w:ascii="Arial" w:hAnsi="Arial" w:cs="Arial"/>
          <w:sz w:val="18"/>
          <w:szCs w:val="18"/>
        </w:rPr>
        <w:t>Acuerdo</w:t>
      </w:r>
      <w:r w:rsidRPr="00237607">
        <w:rPr>
          <w:rFonts w:ascii="Arial" w:hAnsi="Arial" w:cs="Arial"/>
          <w:sz w:val="18"/>
          <w:szCs w:val="18"/>
        </w:rPr>
        <w:t xml:space="preserve"> se materializa como parte de los resultados de un ejercicio de revisión de la regulación a cargo del Instituto y sus cargas administrativas asociadas, a partir de los criterios de oportunidad, efectividad, eficiencia y alternativas en el contexto de la utilidad social de las mismas; buscando así, una transición ordenada y transparente hacia un andamiaje jurídico óptimo para el cumplimiento de las facultades regulatorias constitucionales y legales del Instituto.</w:t>
      </w:r>
    </w:p>
    <w:p w14:paraId="10406094" w14:textId="77777777" w:rsidR="00847193" w:rsidRPr="00237607" w:rsidRDefault="00847193" w:rsidP="00AC7328">
      <w:pPr>
        <w:spacing w:after="0"/>
        <w:jc w:val="both"/>
        <w:rPr>
          <w:rFonts w:ascii="Arial" w:hAnsi="Arial" w:cs="Arial"/>
          <w:b/>
          <w:sz w:val="18"/>
          <w:szCs w:val="18"/>
        </w:rPr>
      </w:pPr>
    </w:p>
    <w:p w14:paraId="234B76B4" w14:textId="7E841EE1" w:rsidR="00B524C5" w:rsidRPr="00237607" w:rsidRDefault="00BB1344" w:rsidP="00AC7328">
      <w:pPr>
        <w:spacing w:after="0"/>
        <w:jc w:val="both"/>
        <w:rPr>
          <w:rFonts w:ascii="Arial" w:hAnsi="Arial" w:cs="Arial"/>
          <w:sz w:val="18"/>
          <w:szCs w:val="18"/>
        </w:rPr>
      </w:pPr>
      <w:r w:rsidRPr="00237607">
        <w:rPr>
          <w:rFonts w:ascii="Arial" w:hAnsi="Arial" w:cs="Arial"/>
          <w:b/>
          <w:sz w:val="18"/>
          <w:szCs w:val="18"/>
        </w:rPr>
        <w:t>Cuarto. -</w:t>
      </w:r>
      <w:r w:rsidR="000B3E5A" w:rsidRPr="00237607">
        <w:rPr>
          <w:rFonts w:ascii="Arial" w:hAnsi="Arial" w:cs="Arial"/>
          <w:b/>
          <w:sz w:val="18"/>
          <w:szCs w:val="18"/>
        </w:rPr>
        <w:t xml:space="preserve"> </w:t>
      </w:r>
      <w:r w:rsidR="00B524C5" w:rsidRPr="00237607">
        <w:rPr>
          <w:rFonts w:ascii="Arial" w:hAnsi="Arial" w:cs="Arial"/>
          <w:b/>
          <w:sz w:val="18"/>
          <w:szCs w:val="18"/>
        </w:rPr>
        <w:t xml:space="preserve">Consulta Pública. </w:t>
      </w:r>
      <w:r w:rsidR="00B524C5" w:rsidRPr="00237607">
        <w:rPr>
          <w:rFonts w:ascii="Arial" w:hAnsi="Arial" w:cs="Arial"/>
          <w:sz w:val="18"/>
          <w:szCs w:val="18"/>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w:t>
      </w:r>
    </w:p>
    <w:p w14:paraId="2434B809" w14:textId="77777777" w:rsidR="005D05EC" w:rsidRPr="00237607" w:rsidRDefault="005D05EC" w:rsidP="00AC7328">
      <w:pPr>
        <w:pStyle w:val="Prrafodelista"/>
        <w:spacing w:before="23" w:after="23" w:line="276" w:lineRule="auto"/>
        <w:ind w:left="1080"/>
        <w:contextualSpacing/>
        <w:jc w:val="both"/>
        <w:rPr>
          <w:rFonts w:cs="Arial"/>
          <w:bCs/>
          <w:sz w:val="18"/>
          <w:szCs w:val="18"/>
        </w:rPr>
      </w:pPr>
    </w:p>
    <w:p w14:paraId="4C12E22C" w14:textId="74162CF6" w:rsidR="007666EF" w:rsidRPr="00237607" w:rsidRDefault="005D05EC" w:rsidP="00AC7328">
      <w:pPr>
        <w:spacing w:before="23" w:after="23"/>
        <w:contextualSpacing/>
        <w:jc w:val="both"/>
        <w:rPr>
          <w:rFonts w:ascii="Arial" w:hAnsi="Arial" w:cs="Arial"/>
          <w:sz w:val="18"/>
          <w:szCs w:val="18"/>
        </w:rPr>
      </w:pPr>
      <w:r w:rsidRPr="00237607">
        <w:rPr>
          <w:rFonts w:ascii="Arial" w:hAnsi="Arial" w:cs="Arial"/>
          <w:bCs/>
          <w:sz w:val="18"/>
          <w:szCs w:val="18"/>
        </w:rPr>
        <w:t>En este sentido, a fin de transparentar y promover la participación ciudadana en el proceso de emisión de disposiciones de carácter general a cargo de este órgano regulador</w:t>
      </w:r>
      <w:r w:rsidR="007666EF" w:rsidRPr="00237607">
        <w:rPr>
          <w:rFonts w:ascii="Arial" w:hAnsi="Arial" w:cs="Arial"/>
          <w:bCs/>
          <w:sz w:val="18"/>
          <w:szCs w:val="18"/>
        </w:rPr>
        <w:t xml:space="preserve"> </w:t>
      </w:r>
      <w:r w:rsidR="007666EF" w:rsidRPr="00237607">
        <w:rPr>
          <w:rFonts w:ascii="Arial" w:hAnsi="Arial" w:cs="Arial"/>
          <w:sz w:val="18"/>
          <w:szCs w:val="18"/>
        </w:rPr>
        <w:t>el Instituto llevó a cabo la Consulta Pública del “Anteproyecto de 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 y su correspondiente A</w:t>
      </w:r>
      <w:r w:rsidR="00740F1D" w:rsidRPr="00237607">
        <w:rPr>
          <w:rFonts w:ascii="Arial" w:hAnsi="Arial" w:cs="Arial"/>
          <w:sz w:val="18"/>
          <w:szCs w:val="18"/>
        </w:rPr>
        <w:t xml:space="preserve">nálisis de </w:t>
      </w:r>
      <w:r w:rsidR="007666EF" w:rsidRPr="00237607">
        <w:rPr>
          <w:rFonts w:ascii="Arial" w:hAnsi="Arial" w:cs="Arial"/>
          <w:sz w:val="18"/>
          <w:szCs w:val="18"/>
        </w:rPr>
        <w:t>N</w:t>
      </w:r>
      <w:r w:rsidR="00740F1D" w:rsidRPr="00237607">
        <w:rPr>
          <w:rFonts w:ascii="Arial" w:hAnsi="Arial" w:cs="Arial"/>
          <w:sz w:val="18"/>
          <w:szCs w:val="18"/>
        </w:rPr>
        <w:t xml:space="preserve">ulo </w:t>
      </w:r>
      <w:r w:rsidR="007666EF" w:rsidRPr="00237607">
        <w:rPr>
          <w:rFonts w:ascii="Arial" w:hAnsi="Arial" w:cs="Arial"/>
          <w:sz w:val="18"/>
          <w:szCs w:val="18"/>
        </w:rPr>
        <w:t>I</w:t>
      </w:r>
      <w:r w:rsidR="00740F1D" w:rsidRPr="00237607">
        <w:rPr>
          <w:rFonts w:ascii="Arial" w:hAnsi="Arial" w:cs="Arial"/>
          <w:sz w:val="18"/>
          <w:szCs w:val="18"/>
        </w:rPr>
        <w:t xml:space="preserve">mpacto </w:t>
      </w:r>
      <w:r w:rsidR="007666EF" w:rsidRPr="00237607">
        <w:rPr>
          <w:rFonts w:ascii="Arial" w:hAnsi="Arial" w:cs="Arial"/>
          <w:sz w:val="18"/>
          <w:szCs w:val="18"/>
        </w:rPr>
        <w:t>R</w:t>
      </w:r>
      <w:r w:rsidR="00740F1D" w:rsidRPr="00237607">
        <w:rPr>
          <w:rFonts w:ascii="Arial" w:hAnsi="Arial" w:cs="Arial"/>
          <w:sz w:val="18"/>
          <w:szCs w:val="18"/>
        </w:rPr>
        <w:t>egulatorio (en lo sucesivo, el “ANIR”)</w:t>
      </w:r>
      <w:r w:rsidR="007666EF" w:rsidRPr="00237607">
        <w:rPr>
          <w:rFonts w:ascii="Arial" w:hAnsi="Arial" w:cs="Arial"/>
          <w:sz w:val="18"/>
          <w:szCs w:val="18"/>
        </w:rPr>
        <w:t>, por un periodo de veinte (20) días hábiles contados a partir del día hábil siguiente al de su publicación en el portal de Internet del Instituto, periodo que transcurrió del 16 de octubre de 2023 al 10 de noviembre del 2023.</w:t>
      </w:r>
    </w:p>
    <w:p w14:paraId="0B7B80F6" w14:textId="77777777" w:rsidR="007666EF" w:rsidRPr="00237607" w:rsidRDefault="007666EF" w:rsidP="00AC7328">
      <w:pPr>
        <w:spacing w:before="23" w:after="23"/>
        <w:contextualSpacing/>
        <w:jc w:val="both"/>
        <w:rPr>
          <w:rFonts w:ascii="Arial" w:hAnsi="Arial" w:cs="Arial"/>
          <w:sz w:val="18"/>
          <w:szCs w:val="18"/>
        </w:rPr>
      </w:pPr>
    </w:p>
    <w:p w14:paraId="1C0F2214" w14:textId="28BDA160" w:rsidR="007666EF" w:rsidRPr="00237607" w:rsidRDefault="007666EF" w:rsidP="00AC7328">
      <w:pPr>
        <w:spacing w:before="23" w:after="23"/>
        <w:contextualSpacing/>
        <w:jc w:val="both"/>
        <w:rPr>
          <w:rFonts w:ascii="Arial" w:hAnsi="Arial" w:cs="Arial"/>
          <w:sz w:val="18"/>
          <w:szCs w:val="18"/>
          <w:lang w:val="es-ES_tradnl"/>
        </w:rPr>
      </w:pPr>
      <w:r w:rsidRPr="00237607">
        <w:rPr>
          <w:rFonts w:ascii="Arial" w:hAnsi="Arial" w:cs="Arial"/>
          <w:sz w:val="18"/>
          <w:szCs w:val="18"/>
          <w:lang w:val="es-ES_tradnl"/>
        </w:rPr>
        <w:t>Derivado de</w:t>
      </w:r>
      <w:r w:rsidR="006769C1" w:rsidRPr="00237607">
        <w:rPr>
          <w:rFonts w:ascii="Arial" w:hAnsi="Arial" w:cs="Arial"/>
          <w:sz w:val="18"/>
          <w:szCs w:val="18"/>
          <w:lang w:val="es-ES_tradnl"/>
        </w:rPr>
        <w:t xml:space="preserve"> </w:t>
      </w:r>
      <w:r w:rsidRPr="00237607">
        <w:rPr>
          <w:rFonts w:ascii="Arial" w:hAnsi="Arial" w:cs="Arial"/>
          <w:sz w:val="18"/>
          <w:szCs w:val="18"/>
          <w:lang w:val="es-ES_tradnl"/>
        </w:rPr>
        <w:t>l</w:t>
      </w:r>
      <w:r w:rsidR="006769C1" w:rsidRPr="00237607">
        <w:rPr>
          <w:rFonts w:ascii="Arial" w:hAnsi="Arial" w:cs="Arial"/>
          <w:sz w:val="18"/>
          <w:szCs w:val="18"/>
          <w:lang w:val="es-ES_tradnl"/>
        </w:rPr>
        <w:t>a</w:t>
      </w:r>
      <w:r w:rsidRPr="00237607">
        <w:rPr>
          <w:rFonts w:ascii="Arial" w:hAnsi="Arial" w:cs="Arial"/>
          <w:sz w:val="18"/>
          <w:szCs w:val="18"/>
          <w:lang w:val="es-ES_tradnl"/>
        </w:rPr>
        <w:t xml:space="preserve"> </w:t>
      </w:r>
      <w:r w:rsidR="006769C1" w:rsidRPr="00237607">
        <w:rPr>
          <w:rFonts w:ascii="Arial" w:hAnsi="Arial" w:cs="Arial"/>
          <w:sz w:val="18"/>
          <w:szCs w:val="18"/>
          <w:lang w:val="es-ES_tradnl"/>
        </w:rPr>
        <w:t>Consulta Pública</w:t>
      </w:r>
      <w:r w:rsidRPr="00237607">
        <w:rPr>
          <w:rFonts w:ascii="Arial" w:hAnsi="Arial" w:cs="Arial"/>
          <w:sz w:val="18"/>
          <w:szCs w:val="18"/>
          <w:lang w:val="es-ES_tradnl"/>
        </w:rPr>
        <w:t xml:space="preserve">, </w:t>
      </w:r>
      <w:bookmarkStart w:id="9" w:name="_Hlk152066030"/>
      <w:r w:rsidRPr="00237607">
        <w:rPr>
          <w:rFonts w:ascii="Arial" w:hAnsi="Arial" w:cs="Arial"/>
          <w:sz w:val="18"/>
          <w:szCs w:val="18"/>
          <w:lang w:val="es-ES_tradnl"/>
        </w:rPr>
        <w:t xml:space="preserve">se recibieron dos (2) comentarios </w:t>
      </w:r>
      <w:r w:rsidR="006769C1" w:rsidRPr="00237607">
        <w:rPr>
          <w:rFonts w:ascii="Arial" w:hAnsi="Arial" w:cs="Arial"/>
          <w:sz w:val="18"/>
          <w:szCs w:val="18"/>
          <w:lang w:val="es-ES_tradnl"/>
        </w:rPr>
        <w:t>de personas físicas</w:t>
      </w:r>
      <w:bookmarkEnd w:id="9"/>
      <w:r w:rsidR="006769C1" w:rsidRPr="00237607">
        <w:rPr>
          <w:rFonts w:ascii="Arial" w:hAnsi="Arial" w:cs="Arial"/>
          <w:sz w:val="18"/>
          <w:szCs w:val="18"/>
          <w:lang w:val="es-ES_tradnl"/>
        </w:rPr>
        <w:t xml:space="preserve">, mismos </w:t>
      </w:r>
      <w:r w:rsidRPr="00237607">
        <w:rPr>
          <w:rFonts w:ascii="Arial" w:hAnsi="Arial" w:cs="Arial"/>
          <w:sz w:val="18"/>
          <w:szCs w:val="18"/>
          <w:lang w:val="es-ES_tradnl"/>
        </w:rPr>
        <w:t>que</w:t>
      </w:r>
      <w:r w:rsidR="006769C1" w:rsidRPr="00237607">
        <w:rPr>
          <w:rFonts w:ascii="Arial" w:hAnsi="Arial" w:cs="Arial"/>
          <w:sz w:val="18"/>
          <w:szCs w:val="18"/>
          <w:lang w:val="es-ES_tradnl"/>
        </w:rPr>
        <w:t xml:space="preserve">, de conformidad con el lineamiento Noveno de los </w:t>
      </w:r>
      <w:r w:rsidR="00074241" w:rsidRPr="00237607">
        <w:rPr>
          <w:rFonts w:ascii="Arial" w:hAnsi="Arial" w:cs="Arial"/>
          <w:sz w:val="18"/>
          <w:szCs w:val="18"/>
          <w:lang w:val="es-ES_tradnl"/>
        </w:rPr>
        <w:t>Lineamientos</w:t>
      </w:r>
      <w:r w:rsidR="006769C1" w:rsidRPr="00237607">
        <w:rPr>
          <w:rFonts w:ascii="Arial" w:hAnsi="Arial" w:cs="Arial"/>
          <w:sz w:val="18"/>
          <w:szCs w:val="18"/>
          <w:lang w:val="es-ES_tradnl"/>
        </w:rPr>
        <w:t>,</w:t>
      </w:r>
      <w:r w:rsidRPr="00237607">
        <w:rPr>
          <w:rFonts w:ascii="Arial" w:hAnsi="Arial" w:cs="Arial"/>
          <w:sz w:val="18"/>
          <w:szCs w:val="18"/>
          <w:lang w:val="es-ES_tradnl"/>
        </w:rPr>
        <w:t xml:space="preserve"> fueron analizados y ponderados para</w:t>
      </w:r>
      <w:r w:rsidR="006769C1" w:rsidRPr="00237607">
        <w:rPr>
          <w:rFonts w:ascii="Arial" w:hAnsi="Arial" w:cs="Arial"/>
          <w:sz w:val="18"/>
          <w:szCs w:val="18"/>
          <w:lang w:val="es-ES_tradnl"/>
        </w:rPr>
        <w:t xml:space="preserve"> elaborar </w:t>
      </w:r>
      <w:r w:rsidRPr="00237607">
        <w:rPr>
          <w:rFonts w:ascii="Arial" w:hAnsi="Arial" w:cs="Arial"/>
          <w:sz w:val="18"/>
          <w:szCs w:val="18"/>
          <w:lang w:val="es-ES_tradnl"/>
        </w:rPr>
        <w:t>el Informe de Consideraciones</w:t>
      </w:r>
      <w:r w:rsidR="006769C1" w:rsidRPr="00237607">
        <w:rPr>
          <w:rFonts w:ascii="Arial" w:hAnsi="Arial" w:cs="Arial"/>
          <w:sz w:val="18"/>
          <w:szCs w:val="18"/>
          <w:lang w:val="es-ES_tradnl"/>
        </w:rPr>
        <w:t>, que se encuentra publicado en el apartado de Consultas Públicas del portal de Internet del Instituto, en</w:t>
      </w:r>
      <w:r w:rsidRPr="00237607">
        <w:rPr>
          <w:rFonts w:ascii="Arial" w:hAnsi="Arial" w:cs="Arial"/>
          <w:sz w:val="18"/>
          <w:szCs w:val="18"/>
          <w:lang w:val="es-ES_tradnl"/>
        </w:rPr>
        <w:t xml:space="preserve"> el</w:t>
      </w:r>
      <w:r w:rsidR="006769C1" w:rsidRPr="00237607">
        <w:rPr>
          <w:rFonts w:ascii="Arial" w:hAnsi="Arial" w:cs="Arial"/>
          <w:sz w:val="18"/>
          <w:szCs w:val="18"/>
          <w:lang w:val="es-ES_tradnl"/>
        </w:rPr>
        <w:t xml:space="preserve"> cual</w:t>
      </w:r>
      <w:r w:rsidRPr="00237607">
        <w:rPr>
          <w:rFonts w:ascii="Arial" w:hAnsi="Arial" w:cs="Arial"/>
          <w:sz w:val="18"/>
          <w:szCs w:val="18"/>
          <w:lang w:val="es-ES_tradnl"/>
        </w:rPr>
        <w:t xml:space="preserve"> se da respuesta a los comentarios recibidos durante </w:t>
      </w:r>
      <w:r w:rsidR="006769C1" w:rsidRPr="00237607">
        <w:rPr>
          <w:rFonts w:ascii="Arial" w:hAnsi="Arial" w:cs="Arial"/>
          <w:sz w:val="18"/>
          <w:szCs w:val="18"/>
          <w:lang w:val="es-ES_tradnl"/>
        </w:rPr>
        <w:t>el referido proceso consultivo</w:t>
      </w:r>
      <w:r w:rsidRPr="00237607">
        <w:rPr>
          <w:rFonts w:ascii="Arial" w:hAnsi="Arial" w:cs="Arial"/>
          <w:sz w:val="18"/>
          <w:szCs w:val="18"/>
          <w:lang w:val="es-ES_tradnl"/>
        </w:rPr>
        <w:t>.</w:t>
      </w:r>
    </w:p>
    <w:p w14:paraId="2A8F73C9" w14:textId="77777777" w:rsidR="005D05EC" w:rsidRPr="00237607" w:rsidRDefault="005D05EC" w:rsidP="00AC7328">
      <w:pPr>
        <w:spacing w:before="23" w:after="23"/>
        <w:contextualSpacing/>
        <w:jc w:val="both"/>
        <w:rPr>
          <w:rFonts w:ascii="Arial" w:hAnsi="Arial" w:cs="Arial"/>
          <w:bCs/>
          <w:sz w:val="18"/>
          <w:szCs w:val="18"/>
        </w:rPr>
      </w:pPr>
    </w:p>
    <w:p w14:paraId="1FCB941B" w14:textId="28D1E0A7" w:rsidR="006769C1" w:rsidRPr="00237607" w:rsidRDefault="006769C1" w:rsidP="00AC7328">
      <w:pPr>
        <w:spacing w:before="23" w:after="23"/>
        <w:contextualSpacing/>
        <w:jc w:val="both"/>
        <w:rPr>
          <w:rFonts w:ascii="Arial" w:hAnsi="Arial" w:cs="Arial"/>
          <w:bCs/>
          <w:sz w:val="18"/>
          <w:szCs w:val="18"/>
        </w:rPr>
      </w:pPr>
      <w:r w:rsidRPr="00237607">
        <w:rPr>
          <w:rFonts w:ascii="Arial" w:hAnsi="Arial" w:cs="Arial"/>
          <w:b/>
          <w:bCs/>
          <w:sz w:val="18"/>
          <w:szCs w:val="18"/>
        </w:rPr>
        <w:t xml:space="preserve">Quinto. </w:t>
      </w:r>
      <w:r w:rsidR="00BB1344" w:rsidRPr="00237607">
        <w:rPr>
          <w:rFonts w:ascii="Arial" w:hAnsi="Arial" w:cs="Arial"/>
          <w:b/>
          <w:bCs/>
          <w:sz w:val="18"/>
          <w:szCs w:val="18"/>
        </w:rPr>
        <w:t>-</w:t>
      </w:r>
      <w:r w:rsidRPr="00237607">
        <w:rPr>
          <w:rFonts w:ascii="Arial" w:hAnsi="Arial" w:cs="Arial"/>
          <w:b/>
          <w:bCs/>
          <w:sz w:val="18"/>
          <w:szCs w:val="18"/>
        </w:rPr>
        <w:t xml:space="preserve"> Análisis de Nulo Impacto Regulatorio. </w:t>
      </w:r>
      <w:r w:rsidRPr="00237607">
        <w:rPr>
          <w:rFonts w:ascii="Arial" w:hAnsi="Arial" w:cs="Arial"/>
          <w:bCs/>
          <w:sz w:val="18"/>
          <w:szCs w:val="18"/>
        </w:rPr>
        <w:t xml:space="preserve">El segundo párrafo del artículo 51 de la Ley establece que previamente a la emisión de reglas, lineamientos o disposiciones administrativas de carácter general, el Instituto deberá realizar y hacer público un Análisis de Impacto Regulatorio </w:t>
      </w:r>
    </w:p>
    <w:p w14:paraId="1D574589" w14:textId="77777777" w:rsidR="006769C1" w:rsidRPr="00237607" w:rsidRDefault="006769C1" w:rsidP="00AC7328">
      <w:pPr>
        <w:spacing w:before="23" w:after="23"/>
        <w:contextualSpacing/>
        <w:jc w:val="both"/>
        <w:rPr>
          <w:rFonts w:ascii="Arial" w:hAnsi="Arial" w:cs="Arial"/>
          <w:bCs/>
          <w:sz w:val="18"/>
          <w:szCs w:val="18"/>
        </w:rPr>
      </w:pPr>
    </w:p>
    <w:p w14:paraId="669C6F37" w14:textId="2EAF94FD" w:rsidR="005D05EC" w:rsidRPr="00237607" w:rsidRDefault="005D05EC" w:rsidP="00AC7328">
      <w:pPr>
        <w:spacing w:before="23" w:after="23"/>
        <w:contextualSpacing/>
        <w:jc w:val="both"/>
        <w:rPr>
          <w:rFonts w:ascii="Arial" w:hAnsi="Arial" w:cs="Arial"/>
          <w:sz w:val="18"/>
          <w:szCs w:val="18"/>
        </w:rPr>
      </w:pPr>
      <w:r w:rsidRPr="00237607">
        <w:rPr>
          <w:rFonts w:ascii="Arial" w:hAnsi="Arial" w:cs="Arial"/>
          <w:sz w:val="18"/>
          <w:szCs w:val="18"/>
        </w:rPr>
        <w:t xml:space="preserve">Asimismo, el </w:t>
      </w:r>
      <w:r w:rsidR="00074241" w:rsidRPr="00237607">
        <w:rPr>
          <w:rFonts w:ascii="Arial" w:hAnsi="Arial" w:cs="Arial"/>
          <w:sz w:val="18"/>
          <w:szCs w:val="18"/>
        </w:rPr>
        <w:t xml:space="preserve">lineamiento </w:t>
      </w:r>
      <w:r w:rsidRPr="00237607">
        <w:rPr>
          <w:rFonts w:ascii="Arial" w:hAnsi="Arial" w:cs="Arial"/>
          <w:sz w:val="18"/>
          <w:szCs w:val="18"/>
        </w:rPr>
        <w:t xml:space="preserve">Vigésimo Primero, último párrafo, de los Lineamientos refieren que, si a la entrada en vigor de un Anteproyecto regulatorio no se generarán nuevos costos de cumplimiento, éste deberá ir acompañado de un </w:t>
      </w:r>
      <w:r w:rsidR="00074241" w:rsidRPr="00237607">
        <w:rPr>
          <w:rFonts w:ascii="Arial" w:hAnsi="Arial" w:cs="Arial"/>
          <w:sz w:val="18"/>
          <w:szCs w:val="18"/>
        </w:rPr>
        <w:t>ANIR</w:t>
      </w:r>
      <w:r w:rsidRPr="00237607">
        <w:rPr>
          <w:rFonts w:ascii="Arial" w:hAnsi="Arial" w:cs="Arial"/>
          <w:sz w:val="18"/>
          <w:szCs w:val="18"/>
        </w:rPr>
        <w:t>, siempre y cuando a la entrada en vigor de éste, no:</w:t>
      </w:r>
    </w:p>
    <w:p w14:paraId="1A63912F" w14:textId="77777777" w:rsidR="005D05EC" w:rsidRPr="00237607" w:rsidRDefault="005D05EC" w:rsidP="00AC7328">
      <w:pPr>
        <w:spacing w:before="23" w:after="23"/>
        <w:contextualSpacing/>
        <w:jc w:val="both"/>
        <w:rPr>
          <w:rFonts w:ascii="Arial" w:hAnsi="Arial" w:cs="Arial"/>
          <w:sz w:val="18"/>
          <w:szCs w:val="18"/>
        </w:rPr>
      </w:pPr>
    </w:p>
    <w:p w14:paraId="78C589BE" w14:textId="77777777" w:rsidR="005D05EC" w:rsidRPr="00237607" w:rsidRDefault="005D05EC" w:rsidP="00AC7328">
      <w:pPr>
        <w:pStyle w:val="Prrafodelista"/>
        <w:numPr>
          <w:ilvl w:val="0"/>
          <w:numId w:val="14"/>
        </w:numPr>
        <w:spacing w:before="23" w:after="23" w:line="276" w:lineRule="auto"/>
        <w:ind w:left="993" w:right="424" w:hanging="426"/>
        <w:contextualSpacing/>
        <w:jc w:val="both"/>
        <w:rPr>
          <w:rFonts w:cs="Arial"/>
          <w:sz w:val="18"/>
          <w:szCs w:val="18"/>
        </w:rPr>
      </w:pPr>
      <w:r w:rsidRPr="00237607">
        <w:rPr>
          <w:rFonts w:cs="Arial"/>
          <w:sz w:val="18"/>
          <w:szCs w:val="18"/>
        </w:rPr>
        <w:t xml:space="preserve">Se creen nuevas obligaciones o se hagan más estrictas las existentes; </w:t>
      </w:r>
    </w:p>
    <w:p w14:paraId="4D423DC7" w14:textId="77777777" w:rsidR="005D05EC" w:rsidRPr="00237607" w:rsidRDefault="005D05EC" w:rsidP="00AC7328">
      <w:pPr>
        <w:pStyle w:val="Prrafodelista"/>
        <w:spacing w:before="23" w:after="23" w:line="276" w:lineRule="auto"/>
        <w:ind w:left="993" w:right="424" w:hanging="426"/>
        <w:contextualSpacing/>
        <w:jc w:val="both"/>
        <w:rPr>
          <w:rFonts w:cs="Arial"/>
          <w:sz w:val="18"/>
          <w:szCs w:val="18"/>
        </w:rPr>
      </w:pPr>
    </w:p>
    <w:p w14:paraId="0148C999" w14:textId="77777777" w:rsidR="005D05EC" w:rsidRPr="00237607" w:rsidRDefault="005D05EC" w:rsidP="00AC7328">
      <w:pPr>
        <w:pStyle w:val="Prrafodelista"/>
        <w:numPr>
          <w:ilvl w:val="0"/>
          <w:numId w:val="14"/>
        </w:numPr>
        <w:spacing w:before="23" w:after="23" w:line="276" w:lineRule="auto"/>
        <w:ind w:left="993" w:right="424" w:hanging="426"/>
        <w:contextualSpacing/>
        <w:jc w:val="both"/>
        <w:rPr>
          <w:rFonts w:cs="Arial"/>
          <w:sz w:val="18"/>
          <w:szCs w:val="18"/>
          <w:lang w:val="es-ES_tradnl"/>
        </w:rPr>
      </w:pPr>
      <w:r w:rsidRPr="00237607">
        <w:rPr>
          <w:rFonts w:cs="Arial"/>
          <w:sz w:val="18"/>
          <w:szCs w:val="18"/>
        </w:rPr>
        <w:t xml:space="preserve">Se creen o modifiquen trámites (excepto cuando la modificación simplifique y facilite su cumplimiento); </w:t>
      </w:r>
    </w:p>
    <w:p w14:paraId="606A9EF0" w14:textId="77777777" w:rsidR="005D05EC" w:rsidRPr="00237607" w:rsidRDefault="005D05EC" w:rsidP="00AC7328">
      <w:pPr>
        <w:pStyle w:val="Prrafodelista"/>
        <w:spacing w:before="23" w:after="23" w:line="276" w:lineRule="auto"/>
        <w:ind w:left="993" w:right="424" w:hanging="426"/>
        <w:contextualSpacing/>
        <w:jc w:val="both"/>
        <w:rPr>
          <w:rFonts w:cs="Arial"/>
          <w:sz w:val="18"/>
          <w:szCs w:val="18"/>
          <w:lang w:val="es-ES_tradnl"/>
        </w:rPr>
      </w:pPr>
    </w:p>
    <w:p w14:paraId="75604B68" w14:textId="77777777" w:rsidR="005D05EC" w:rsidRPr="00237607" w:rsidRDefault="005D05EC" w:rsidP="00AC7328">
      <w:pPr>
        <w:pStyle w:val="Prrafodelista"/>
        <w:numPr>
          <w:ilvl w:val="0"/>
          <w:numId w:val="14"/>
        </w:numPr>
        <w:spacing w:before="23" w:after="23" w:line="276" w:lineRule="auto"/>
        <w:ind w:left="993" w:right="424" w:hanging="426"/>
        <w:contextualSpacing/>
        <w:jc w:val="both"/>
        <w:rPr>
          <w:rFonts w:cs="Arial"/>
          <w:sz w:val="18"/>
          <w:szCs w:val="18"/>
          <w:lang w:val="es-ES_tradnl"/>
        </w:rPr>
      </w:pPr>
      <w:r w:rsidRPr="00237607">
        <w:rPr>
          <w:rFonts w:cs="Arial"/>
          <w:sz w:val="18"/>
          <w:szCs w:val="18"/>
        </w:rPr>
        <w:t>Se reduzcan o restrinjan derechos o prestaciones, o</w:t>
      </w:r>
    </w:p>
    <w:p w14:paraId="0A39C181" w14:textId="77777777" w:rsidR="005D05EC" w:rsidRPr="00237607" w:rsidRDefault="005D05EC" w:rsidP="00AC7328">
      <w:pPr>
        <w:pStyle w:val="Prrafodelista"/>
        <w:spacing w:before="23" w:after="23" w:line="276" w:lineRule="auto"/>
        <w:ind w:left="993" w:hanging="426"/>
        <w:contextualSpacing/>
        <w:rPr>
          <w:rFonts w:cs="Arial"/>
          <w:sz w:val="18"/>
          <w:szCs w:val="18"/>
          <w:lang w:val="es-ES_tradnl"/>
        </w:rPr>
      </w:pPr>
    </w:p>
    <w:p w14:paraId="64C13AEB" w14:textId="77777777" w:rsidR="005D05EC" w:rsidRPr="00237607" w:rsidRDefault="005D05EC" w:rsidP="00AC7328">
      <w:pPr>
        <w:pStyle w:val="Prrafodelista"/>
        <w:numPr>
          <w:ilvl w:val="0"/>
          <w:numId w:val="14"/>
        </w:numPr>
        <w:spacing w:before="23" w:after="23" w:line="276" w:lineRule="auto"/>
        <w:ind w:left="993" w:right="424" w:hanging="426"/>
        <w:contextualSpacing/>
        <w:jc w:val="both"/>
        <w:rPr>
          <w:rFonts w:cs="Arial"/>
          <w:sz w:val="18"/>
          <w:szCs w:val="18"/>
          <w:lang w:val="es-ES_tradnl"/>
        </w:rPr>
      </w:pPr>
      <w:r w:rsidRPr="00237607">
        <w:rPr>
          <w:rFonts w:cs="Arial"/>
          <w:sz w:val="18"/>
          <w:szCs w:val="18"/>
          <w:lang w:val="es-ES_tradnl"/>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49FC92F9" w14:textId="77971852" w:rsidR="001B163B" w:rsidRPr="00237607" w:rsidRDefault="001B163B" w:rsidP="00AC7328">
      <w:pPr>
        <w:suppressAutoHyphens/>
        <w:spacing w:after="0"/>
        <w:ind w:right="49"/>
        <w:jc w:val="both"/>
        <w:rPr>
          <w:rFonts w:ascii="Arial" w:eastAsia="Times New Roman" w:hAnsi="Arial" w:cs="Arial"/>
          <w:bCs/>
          <w:kern w:val="1"/>
          <w:sz w:val="18"/>
          <w:szCs w:val="18"/>
          <w:lang w:eastAsia="ar-SA"/>
        </w:rPr>
      </w:pPr>
    </w:p>
    <w:p w14:paraId="0BCF7306" w14:textId="1C3079A7" w:rsidR="00740F1D" w:rsidRPr="00237607" w:rsidRDefault="00740F1D" w:rsidP="00AC7328">
      <w:pPr>
        <w:suppressAutoHyphens/>
        <w:spacing w:before="23" w:after="23"/>
        <w:ind w:right="49"/>
        <w:contextualSpacing/>
        <w:jc w:val="both"/>
        <w:rPr>
          <w:rFonts w:ascii="Arial" w:eastAsia="Times New Roman" w:hAnsi="Arial" w:cs="Arial"/>
          <w:bCs/>
          <w:kern w:val="1"/>
          <w:sz w:val="18"/>
          <w:szCs w:val="18"/>
          <w:lang w:eastAsia="ar-SA"/>
        </w:rPr>
      </w:pPr>
      <w:r w:rsidRPr="00237607">
        <w:rPr>
          <w:rFonts w:ascii="Arial" w:eastAsia="Times New Roman" w:hAnsi="Arial" w:cs="Arial"/>
          <w:bCs/>
          <w:kern w:val="1"/>
          <w:sz w:val="18"/>
          <w:szCs w:val="18"/>
          <w:lang w:eastAsia="ar-SA"/>
        </w:rPr>
        <w:t>En ese sentido, respecto al presente Proyecto, el Instituto puso a disposición de los agentes regulados y la ciudadanía en general un ANIR, mismo que no sufrió modificaciones sustanciales derivado de la Consulta Pública referida en el numeral anterior.</w:t>
      </w:r>
    </w:p>
    <w:p w14:paraId="0AB7CC25" w14:textId="77777777" w:rsidR="00740F1D" w:rsidRPr="00237607" w:rsidRDefault="00740F1D" w:rsidP="00AC7328">
      <w:pPr>
        <w:suppressAutoHyphens/>
        <w:spacing w:before="23" w:after="23"/>
        <w:ind w:right="49"/>
        <w:contextualSpacing/>
        <w:jc w:val="both"/>
        <w:rPr>
          <w:rFonts w:ascii="Arial" w:eastAsia="Times New Roman" w:hAnsi="Arial" w:cs="Arial"/>
          <w:bCs/>
          <w:kern w:val="1"/>
          <w:sz w:val="18"/>
          <w:szCs w:val="18"/>
          <w:lang w:eastAsia="ar-SA"/>
        </w:rPr>
      </w:pPr>
    </w:p>
    <w:p w14:paraId="76DD2E25" w14:textId="61E19062" w:rsidR="00C10A72" w:rsidRPr="00237607" w:rsidRDefault="001B163B" w:rsidP="00AC7328">
      <w:pPr>
        <w:suppressAutoHyphens/>
        <w:spacing w:before="23" w:after="23"/>
        <w:ind w:right="49"/>
        <w:contextualSpacing/>
        <w:jc w:val="both"/>
        <w:rPr>
          <w:rFonts w:ascii="Arial" w:eastAsia="Times New Roman" w:hAnsi="Arial" w:cs="Arial"/>
          <w:bCs/>
          <w:kern w:val="1"/>
          <w:sz w:val="18"/>
          <w:szCs w:val="18"/>
          <w:lang w:eastAsia="ar-SA"/>
        </w:rPr>
      </w:pPr>
      <w:r w:rsidRPr="00237607">
        <w:rPr>
          <w:rFonts w:ascii="Arial" w:eastAsia="Times New Roman" w:hAnsi="Arial" w:cs="Arial"/>
          <w:bCs/>
          <w:kern w:val="1"/>
          <w:sz w:val="18"/>
          <w:szCs w:val="18"/>
          <w:lang w:eastAsia="ar-SA"/>
        </w:rPr>
        <w:t xml:space="preserve">Por lo anterior, con fundamento en los artículos </w:t>
      </w:r>
      <w:r w:rsidR="001B158C" w:rsidRPr="00237607">
        <w:rPr>
          <w:rFonts w:ascii="Arial" w:eastAsia="Times New Roman" w:hAnsi="Arial" w:cs="Arial"/>
          <w:bCs/>
          <w:kern w:val="1"/>
          <w:sz w:val="18"/>
          <w:szCs w:val="18"/>
          <w:lang w:eastAsia="ar-SA"/>
        </w:rPr>
        <w:t xml:space="preserve">6o, apartado B), </w:t>
      </w:r>
      <w:r w:rsidR="00C10A72" w:rsidRPr="00237607">
        <w:rPr>
          <w:rFonts w:ascii="Arial" w:eastAsia="Times New Roman" w:hAnsi="Arial" w:cs="Arial"/>
          <w:bCs/>
          <w:kern w:val="1"/>
          <w:sz w:val="18"/>
          <w:szCs w:val="18"/>
          <w:lang w:eastAsia="ar-SA"/>
        </w:rPr>
        <w:t>fracciones</w:t>
      </w:r>
      <w:r w:rsidR="001B158C" w:rsidRPr="00237607">
        <w:rPr>
          <w:rFonts w:ascii="Arial" w:eastAsia="Times New Roman" w:hAnsi="Arial" w:cs="Arial"/>
          <w:bCs/>
          <w:kern w:val="1"/>
          <w:sz w:val="18"/>
          <w:szCs w:val="18"/>
          <w:lang w:eastAsia="ar-SA"/>
        </w:rPr>
        <w:t xml:space="preserve"> II</w:t>
      </w:r>
      <w:r w:rsidR="00C10A72" w:rsidRPr="00237607">
        <w:rPr>
          <w:rFonts w:ascii="Arial" w:eastAsia="Times New Roman" w:hAnsi="Arial" w:cs="Arial"/>
          <w:bCs/>
          <w:kern w:val="1"/>
          <w:sz w:val="18"/>
          <w:szCs w:val="18"/>
          <w:lang w:eastAsia="ar-SA"/>
        </w:rPr>
        <w:t xml:space="preserve"> y III,</w:t>
      </w:r>
      <w:r w:rsidR="001B158C" w:rsidRPr="00237607">
        <w:rPr>
          <w:rFonts w:ascii="Arial" w:eastAsia="Times New Roman" w:hAnsi="Arial" w:cs="Arial"/>
          <w:bCs/>
          <w:kern w:val="1"/>
          <w:sz w:val="18"/>
          <w:szCs w:val="18"/>
          <w:lang w:eastAsia="ar-SA"/>
        </w:rPr>
        <w:t xml:space="preserve"> </w:t>
      </w:r>
      <w:r w:rsidRPr="00237607">
        <w:rPr>
          <w:rFonts w:ascii="Arial" w:eastAsia="Times New Roman" w:hAnsi="Arial" w:cs="Arial"/>
          <w:bCs/>
          <w:kern w:val="1"/>
          <w:sz w:val="18"/>
          <w:szCs w:val="18"/>
          <w:lang w:eastAsia="ar-SA"/>
        </w:rPr>
        <w:t>28, párrafos décimo quinto</w:t>
      </w:r>
      <w:r w:rsidR="001B158C" w:rsidRPr="00237607">
        <w:rPr>
          <w:rFonts w:ascii="Arial" w:eastAsia="Times New Roman" w:hAnsi="Arial" w:cs="Arial"/>
          <w:bCs/>
          <w:kern w:val="1"/>
          <w:sz w:val="18"/>
          <w:szCs w:val="18"/>
          <w:lang w:eastAsia="ar-SA"/>
        </w:rPr>
        <w:t>,</w:t>
      </w:r>
      <w:r w:rsidRPr="00237607">
        <w:rPr>
          <w:rFonts w:ascii="Arial" w:eastAsia="Times New Roman" w:hAnsi="Arial" w:cs="Arial"/>
          <w:bCs/>
          <w:kern w:val="1"/>
          <w:sz w:val="18"/>
          <w:szCs w:val="18"/>
          <w:lang w:eastAsia="ar-SA"/>
        </w:rPr>
        <w:t xml:space="preserve"> décimo sexto </w:t>
      </w:r>
      <w:r w:rsidR="001B158C" w:rsidRPr="00237607">
        <w:rPr>
          <w:rFonts w:ascii="Arial" w:eastAsia="Times New Roman" w:hAnsi="Arial" w:cs="Arial"/>
          <w:bCs/>
          <w:kern w:val="1"/>
          <w:sz w:val="18"/>
          <w:szCs w:val="18"/>
          <w:lang w:eastAsia="ar-SA"/>
        </w:rPr>
        <w:t xml:space="preserve">y vigésimo, fracción IV, </w:t>
      </w:r>
      <w:r w:rsidRPr="00237607">
        <w:rPr>
          <w:rFonts w:ascii="Arial" w:eastAsia="Times New Roman" w:hAnsi="Arial" w:cs="Arial"/>
          <w:bCs/>
          <w:kern w:val="1"/>
          <w:sz w:val="18"/>
          <w:szCs w:val="18"/>
          <w:lang w:eastAsia="ar-SA"/>
        </w:rPr>
        <w:t xml:space="preserve">de la Constitución Política de los Estados Unidos Mexicanos; </w:t>
      </w:r>
      <w:r w:rsidR="001B158C" w:rsidRPr="00237607">
        <w:rPr>
          <w:rFonts w:ascii="Arial" w:eastAsia="Times New Roman" w:hAnsi="Arial" w:cs="Arial"/>
          <w:bCs/>
          <w:kern w:val="1"/>
          <w:sz w:val="18"/>
          <w:szCs w:val="18"/>
          <w:lang w:eastAsia="ar-SA"/>
        </w:rPr>
        <w:t xml:space="preserve">1, 2, 7, 15, fracciones I, XLI y LVI, 16, 17, fracciones I y 51 </w:t>
      </w:r>
      <w:r w:rsidRPr="00237607">
        <w:rPr>
          <w:rFonts w:ascii="Arial" w:eastAsia="Times New Roman" w:hAnsi="Arial" w:cs="Arial"/>
          <w:bCs/>
          <w:kern w:val="1"/>
          <w:sz w:val="18"/>
          <w:szCs w:val="18"/>
          <w:lang w:eastAsia="ar-SA"/>
        </w:rPr>
        <w:t xml:space="preserve">de la Ley Federal de Telecomunicaciones y Radiodifusión, y </w:t>
      </w:r>
      <w:r w:rsidR="001B158C" w:rsidRPr="00237607">
        <w:rPr>
          <w:rFonts w:ascii="Arial" w:eastAsia="Times New Roman" w:hAnsi="Arial" w:cs="Arial"/>
          <w:bCs/>
          <w:kern w:val="1"/>
          <w:sz w:val="18"/>
          <w:szCs w:val="18"/>
          <w:lang w:eastAsia="ar-SA"/>
        </w:rPr>
        <w:t xml:space="preserve">1, 4, fracción I, y 6, </w:t>
      </w:r>
      <w:r w:rsidR="001B158C" w:rsidRPr="00237607">
        <w:rPr>
          <w:rFonts w:ascii="Arial" w:eastAsia="Times New Roman" w:hAnsi="Arial" w:cs="Arial"/>
          <w:bCs/>
          <w:kern w:val="1"/>
          <w:sz w:val="18"/>
          <w:szCs w:val="18"/>
          <w:lang w:eastAsia="ar-SA"/>
        </w:rPr>
        <w:lastRenderedPageBreak/>
        <w:t xml:space="preserve">fracciones I, XXV y XXXVII </w:t>
      </w:r>
      <w:r w:rsidRPr="00237607">
        <w:rPr>
          <w:rFonts w:ascii="Arial" w:eastAsia="Times New Roman" w:hAnsi="Arial" w:cs="Arial"/>
          <w:bCs/>
          <w:kern w:val="1"/>
          <w:sz w:val="18"/>
          <w:szCs w:val="18"/>
          <w:lang w:eastAsia="ar-SA"/>
        </w:rPr>
        <w:t>del Estatuto Orgánico del Instituto Federal de Telecomunicaciones</w:t>
      </w:r>
      <w:r w:rsidR="00A7669E" w:rsidRPr="00237607">
        <w:rPr>
          <w:rFonts w:ascii="Arial" w:eastAsia="Times New Roman" w:hAnsi="Arial" w:cs="Arial"/>
          <w:bCs/>
          <w:kern w:val="1"/>
          <w:sz w:val="18"/>
          <w:szCs w:val="18"/>
          <w:lang w:eastAsia="ar-SA"/>
        </w:rPr>
        <w:t xml:space="preserve">, </w:t>
      </w:r>
      <w:r w:rsidR="00C10A72" w:rsidRPr="00237607">
        <w:rPr>
          <w:rFonts w:ascii="Arial" w:eastAsia="Times New Roman" w:hAnsi="Arial" w:cs="Arial"/>
          <w:bCs/>
          <w:kern w:val="1"/>
          <w:sz w:val="18"/>
          <w:szCs w:val="18"/>
          <w:lang w:eastAsia="ar-SA"/>
        </w:rPr>
        <w:t xml:space="preserve">el Pleno del Instituto expide </w:t>
      </w:r>
      <w:r w:rsidR="00A7669E" w:rsidRPr="00237607">
        <w:rPr>
          <w:rFonts w:ascii="Arial" w:eastAsia="Times New Roman" w:hAnsi="Arial" w:cs="Arial"/>
          <w:bCs/>
          <w:kern w:val="1"/>
          <w:sz w:val="18"/>
          <w:szCs w:val="18"/>
          <w:lang w:eastAsia="ar-SA"/>
        </w:rPr>
        <w:t xml:space="preserve">emite </w:t>
      </w:r>
      <w:r w:rsidR="00C10A72" w:rsidRPr="00237607">
        <w:rPr>
          <w:rFonts w:ascii="Arial" w:eastAsia="Times New Roman" w:hAnsi="Arial" w:cs="Arial"/>
          <w:bCs/>
          <w:kern w:val="1"/>
          <w:sz w:val="18"/>
          <w:szCs w:val="18"/>
          <w:lang w:eastAsia="ar-SA"/>
        </w:rPr>
        <w:t>el siguiente:</w:t>
      </w:r>
    </w:p>
    <w:p w14:paraId="1E402BC4" w14:textId="77777777" w:rsidR="00C10A72" w:rsidRPr="00237607" w:rsidRDefault="00C10A72" w:rsidP="00AC7328">
      <w:pPr>
        <w:spacing w:before="23" w:after="23"/>
        <w:contextualSpacing/>
        <w:rPr>
          <w:rFonts w:ascii="Arial" w:hAnsi="Arial" w:cs="Arial"/>
          <w:kern w:val="1"/>
          <w:sz w:val="18"/>
          <w:szCs w:val="18"/>
          <w:lang w:eastAsia="ar-SA"/>
        </w:rPr>
      </w:pPr>
    </w:p>
    <w:p w14:paraId="1EDBCE74" w14:textId="36081AFD" w:rsidR="00C10A72" w:rsidRPr="00237607" w:rsidRDefault="00C10A72" w:rsidP="00AC7328">
      <w:pPr>
        <w:suppressAutoHyphens/>
        <w:spacing w:before="23" w:after="23"/>
        <w:ind w:right="49"/>
        <w:contextualSpacing/>
        <w:jc w:val="center"/>
        <w:rPr>
          <w:rFonts w:ascii="Arial" w:eastAsia="Times New Roman" w:hAnsi="Arial" w:cs="Arial"/>
          <w:b/>
          <w:kern w:val="1"/>
          <w:sz w:val="18"/>
          <w:szCs w:val="18"/>
          <w:lang w:eastAsia="ar-SA"/>
        </w:rPr>
      </w:pPr>
      <w:r w:rsidRPr="00237607">
        <w:rPr>
          <w:rFonts w:ascii="Arial" w:eastAsia="Times New Roman" w:hAnsi="Arial" w:cs="Arial"/>
          <w:b/>
          <w:kern w:val="1"/>
          <w:sz w:val="18"/>
          <w:szCs w:val="18"/>
          <w:lang w:eastAsia="ar-SA"/>
        </w:rPr>
        <w:t>Acuerdo</w:t>
      </w:r>
    </w:p>
    <w:p w14:paraId="7D5769DB" w14:textId="77777777" w:rsidR="00C10A72" w:rsidRPr="00237607" w:rsidRDefault="00C10A72" w:rsidP="00AC7328">
      <w:pPr>
        <w:suppressAutoHyphens/>
        <w:spacing w:before="23" w:after="23"/>
        <w:ind w:right="49"/>
        <w:contextualSpacing/>
        <w:jc w:val="center"/>
        <w:rPr>
          <w:rFonts w:ascii="Arial" w:eastAsia="Times New Roman" w:hAnsi="Arial" w:cs="Arial"/>
          <w:b/>
          <w:kern w:val="1"/>
          <w:sz w:val="18"/>
          <w:szCs w:val="18"/>
          <w:lang w:eastAsia="ar-SA"/>
        </w:rPr>
      </w:pPr>
    </w:p>
    <w:p w14:paraId="7EFDE37A" w14:textId="7EAA2AC3"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Primero. -</w:t>
      </w:r>
      <w:r w:rsidR="00C10A72" w:rsidRPr="00237607">
        <w:rPr>
          <w:rFonts w:ascii="Arial" w:hAnsi="Arial" w:cs="Arial"/>
          <w:b/>
          <w:sz w:val="18"/>
          <w:szCs w:val="18"/>
        </w:rPr>
        <w:t xml:space="preserve"> </w:t>
      </w:r>
      <w:r w:rsidRPr="00237607">
        <w:rPr>
          <w:rFonts w:ascii="Arial" w:hAnsi="Arial" w:cs="Arial"/>
          <w:sz w:val="18"/>
          <w:szCs w:val="18"/>
        </w:rPr>
        <w:t xml:space="preserve">Se </w:t>
      </w:r>
      <w:r w:rsidRPr="00237607">
        <w:rPr>
          <w:rFonts w:ascii="Arial" w:hAnsi="Arial" w:cs="Arial"/>
          <w:b/>
          <w:bCs/>
          <w:sz w:val="18"/>
          <w:szCs w:val="18"/>
        </w:rPr>
        <w:t>MODIFICA</w:t>
      </w:r>
      <w:r w:rsidRPr="00237607">
        <w:rPr>
          <w:rFonts w:ascii="Arial" w:hAnsi="Arial" w:cs="Arial"/>
          <w:sz w:val="18"/>
          <w:szCs w:val="18"/>
        </w:rPr>
        <w:t xml:space="preserve"> la fracción V del lineamiento Décimo Octavo de los “Lineamientos que fijan los índices y parámetros de calidad a que deberán sujetarse los prestadores del servicio móvil”, publicados en el Diario Oficial de la Federación (DOF) el 17 de enero de 2018, para quedar como sigue: </w:t>
      </w:r>
    </w:p>
    <w:p w14:paraId="6D0CCD62" w14:textId="77777777" w:rsidR="00A7669E" w:rsidRPr="00237607" w:rsidRDefault="00A7669E" w:rsidP="00AC7328">
      <w:pPr>
        <w:spacing w:after="0"/>
        <w:jc w:val="both"/>
        <w:rPr>
          <w:rFonts w:ascii="Arial" w:hAnsi="Arial" w:cs="Arial"/>
          <w:b/>
          <w:sz w:val="18"/>
          <w:szCs w:val="18"/>
        </w:rPr>
      </w:pPr>
    </w:p>
    <w:p w14:paraId="1F30116E" w14:textId="77777777" w:rsidR="00A7669E" w:rsidRPr="00237607" w:rsidRDefault="00A7669E" w:rsidP="00AC7328">
      <w:pPr>
        <w:spacing w:after="0"/>
        <w:ind w:left="567" w:right="615"/>
        <w:jc w:val="both"/>
        <w:rPr>
          <w:rFonts w:ascii="Arial" w:hAnsi="Arial" w:cs="Arial"/>
          <w:sz w:val="18"/>
          <w:szCs w:val="18"/>
        </w:rPr>
      </w:pPr>
      <w:r w:rsidRPr="00237607">
        <w:rPr>
          <w:rFonts w:ascii="Arial" w:hAnsi="Arial" w:cs="Arial"/>
          <w:sz w:val="18"/>
          <w:szCs w:val="18"/>
        </w:rPr>
        <w:t>“</w:t>
      </w:r>
      <w:r w:rsidRPr="00237607">
        <w:rPr>
          <w:rFonts w:ascii="Arial" w:hAnsi="Arial" w:cs="Arial"/>
          <w:b/>
          <w:sz w:val="18"/>
          <w:szCs w:val="18"/>
        </w:rPr>
        <w:t>DÉCIMO OCTAVO</w:t>
      </w:r>
      <w:r w:rsidRPr="00237607">
        <w:rPr>
          <w:rFonts w:ascii="Arial" w:hAnsi="Arial" w:cs="Arial"/>
          <w:sz w:val="18"/>
          <w:szCs w:val="18"/>
        </w:rPr>
        <w:t>. …</w:t>
      </w:r>
    </w:p>
    <w:p w14:paraId="121960EF" w14:textId="77777777" w:rsidR="00A7669E" w:rsidRPr="00237607" w:rsidRDefault="00A7669E" w:rsidP="00AC7328">
      <w:pPr>
        <w:spacing w:after="0"/>
        <w:ind w:left="567" w:right="615"/>
        <w:jc w:val="both"/>
        <w:rPr>
          <w:rFonts w:ascii="Arial" w:hAnsi="Arial" w:cs="Arial"/>
          <w:sz w:val="18"/>
          <w:szCs w:val="18"/>
        </w:rPr>
      </w:pPr>
    </w:p>
    <w:p w14:paraId="72A87E99" w14:textId="77777777" w:rsidR="00A7669E" w:rsidRPr="00237607" w:rsidRDefault="00A7669E" w:rsidP="00AC7328">
      <w:pPr>
        <w:spacing w:after="0"/>
        <w:ind w:left="993" w:right="615" w:hanging="284"/>
        <w:jc w:val="both"/>
        <w:rPr>
          <w:rFonts w:ascii="Arial" w:hAnsi="Arial" w:cs="Arial"/>
          <w:sz w:val="18"/>
          <w:szCs w:val="18"/>
        </w:rPr>
      </w:pPr>
      <w:r w:rsidRPr="00237607">
        <w:rPr>
          <w:rFonts w:ascii="Arial" w:hAnsi="Arial" w:cs="Arial"/>
          <w:b/>
          <w:bCs/>
          <w:sz w:val="18"/>
          <w:szCs w:val="18"/>
        </w:rPr>
        <w:t xml:space="preserve">I. </w:t>
      </w:r>
      <w:r w:rsidRPr="00237607">
        <w:rPr>
          <w:rFonts w:ascii="Arial" w:hAnsi="Arial" w:cs="Arial"/>
          <w:sz w:val="18"/>
          <w:szCs w:val="18"/>
        </w:rPr>
        <w:t xml:space="preserve">a </w:t>
      </w:r>
      <w:r w:rsidRPr="00237607">
        <w:rPr>
          <w:rFonts w:ascii="Arial" w:hAnsi="Arial" w:cs="Arial"/>
          <w:b/>
          <w:bCs/>
          <w:sz w:val="18"/>
          <w:szCs w:val="18"/>
        </w:rPr>
        <w:t>IV.</w:t>
      </w:r>
      <w:r w:rsidRPr="00237607">
        <w:rPr>
          <w:rFonts w:ascii="Arial" w:hAnsi="Arial" w:cs="Arial"/>
          <w:sz w:val="18"/>
          <w:szCs w:val="18"/>
        </w:rPr>
        <w:t xml:space="preserve"> …</w:t>
      </w:r>
    </w:p>
    <w:p w14:paraId="450DA240" w14:textId="77777777" w:rsidR="00A7669E" w:rsidRPr="00237607" w:rsidRDefault="00A7669E" w:rsidP="00AC7328">
      <w:pPr>
        <w:spacing w:after="0"/>
        <w:ind w:left="993" w:right="615" w:hanging="284"/>
        <w:jc w:val="both"/>
        <w:rPr>
          <w:rFonts w:ascii="Arial" w:hAnsi="Arial" w:cs="Arial"/>
          <w:b/>
          <w:bCs/>
          <w:sz w:val="18"/>
          <w:szCs w:val="18"/>
        </w:rPr>
      </w:pPr>
    </w:p>
    <w:p w14:paraId="37165608" w14:textId="77777777" w:rsidR="00A7669E" w:rsidRPr="00237607" w:rsidRDefault="00A7669E" w:rsidP="00AC7328">
      <w:pPr>
        <w:spacing w:after="0"/>
        <w:ind w:left="993" w:right="615" w:hanging="284"/>
        <w:jc w:val="both"/>
        <w:rPr>
          <w:rFonts w:ascii="Arial" w:hAnsi="Arial" w:cs="Arial"/>
          <w:sz w:val="18"/>
          <w:szCs w:val="18"/>
        </w:rPr>
      </w:pPr>
      <w:r w:rsidRPr="00237607">
        <w:rPr>
          <w:rFonts w:ascii="Arial" w:hAnsi="Arial" w:cs="Arial"/>
          <w:b/>
          <w:bCs/>
          <w:sz w:val="18"/>
          <w:szCs w:val="18"/>
        </w:rPr>
        <w:t>V.</w:t>
      </w:r>
      <w:r w:rsidRPr="00237607">
        <w:rPr>
          <w:rFonts w:ascii="Arial" w:hAnsi="Arial" w:cs="Arial"/>
          <w:sz w:val="18"/>
          <w:szCs w:val="18"/>
        </w:rPr>
        <w:tab/>
        <w:t>En su caso, cuando el usuario final presente una queja, los Prestadores del Servicio Móvil deberán emitir un acuse de recibo que contenga un número de folio o registro. El acuse respectivo deberá entregarse de forma impresa o a través del envío de un Mensaje Corto o correo electrónico, cuando el usuario final presente su queja en los centros de atención a clientes, o vía electrónica cuando se realice a través de este medio, por chat, o por vía telefónica, y;</w:t>
      </w:r>
    </w:p>
    <w:p w14:paraId="6EEF3025" w14:textId="77777777" w:rsidR="00A7669E" w:rsidRPr="00237607" w:rsidRDefault="00A7669E" w:rsidP="00AC7328">
      <w:pPr>
        <w:spacing w:after="0"/>
        <w:ind w:left="993" w:right="615" w:hanging="284"/>
        <w:jc w:val="both"/>
        <w:rPr>
          <w:rFonts w:ascii="Arial" w:hAnsi="Arial" w:cs="Arial"/>
          <w:b/>
          <w:bCs/>
          <w:sz w:val="18"/>
          <w:szCs w:val="18"/>
        </w:rPr>
      </w:pPr>
    </w:p>
    <w:p w14:paraId="6916E0F8" w14:textId="77777777" w:rsidR="00A7669E" w:rsidRPr="00237607" w:rsidRDefault="00A7669E" w:rsidP="00AC7328">
      <w:pPr>
        <w:spacing w:after="0"/>
        <w:ind w:left="993" w:right="615" w:hanging="284"/>
        <w:jc w:val="both"/>
        <w:rPr>
          <w:rFonts w:ascii="Arial" w:hAnsi="Arial" w:cs="Arial"/>
          <w:sz w:val="18"/>
          <w:szCs w:val="18"/>
        </w:rPr>
      </w:pPr>
      <w:r w:rsidRPr="00237607">
        <w:rPr>
          <w:rFonts w:ascii="Arial" w:hAnsi="Arial" w:cs="Arial"/>
          <w:b/>
          <w:bCs/>
          <w:sz w:val="18"/>
          <w:szCs w:val="18"/>
        </w:rPr>
        <w:t>VI.</w:t>
      </w:r>
      <w:r w:rsidRPr="00237607">
        <w:rPr>
          <w:rFonts w:ascii="Arial" w:hAnsi="Arial" w:cs="Arial"/>
          <w:sz w:val="18"/>
          <w:szCs w:val="18"/>
        </w:rPr>
        <w:t xml:space="preserve"> …”</w:t>
      </w:r>
    </w:p>
    <w:p w14:paraId="2DC168BB" w14:textId="77777777" w:rsidR="00A7669E" w:rsidRPr="00237607" w:rsidRDefault="00A7669E" w:rsidP="00AC7328">
      <w:pPr>
        <w:spacing w:after="0"/>
        <w:jc w:val="both"/>
        <w:rPr>
          <w:rFonts w:ascii="Arial" w:hAnsi="Arial" w:cs="Arial"/>
          <w:sz w:val="18"/>
          <w:szCs w:val="18"/>
        </w:rPr>
      </w:pPr>
    </w:p>
    <w:p w14:paraId="6FDB9137" w14:textId="77777777" w:rsidR="00A7669E" w:rsidRPr="00237607" w:rsidRDefault="00A7669E" w:rsidP="00AC7328">
      <w:pPr>
        <w:spacing w:after="0"/>
        <w:jc w:val="both"/>
        <w:rPr>
          <w:rFonts w:ascii="Arial" w:hAnsi="Arial" w:cs="Arial"/>
          <w:sz w:val="18"/>
          <w:szCs w:val="18"/>
        </w:rPr>
      </w:pPr>
      <w:bookmarkStart w:id="10" w:name="_Hlk139743649"/>
      <w:r w:rsidRPr="00237607">
        <w:rPr>
          <w:rFonts w:ascii="Arial" w:hAnsi="Arial" w:cs="Arial"/>
          <w:sz w:val="18"/>
          <w:szCs w:val="18"/>
        </w:rPr>
        <w:t>Derivado de lo anterior, se elimina el trámite CGPU-03-001 “Conservación de Quejas presentadas por los Usuarios Finales”, así como su inscripción en el Registro de Trámites y Servicios del Instituto Federal de Telecomunicaciones.</w:t>
      </w:r>
      <w:bookmarkEnd w:id="10"/>
    </w:p>
    <w:p w14:paraId="555EEF87" w14:textId="77777777" w:rsidR="00A7669E" w:rsidRPr="00237607" w:rsidRDefault="00A7669E" w:rsidP="00AC7328">
      <w:pPr>
        <w:spacing w:after="0"/>
        <w:jc w:val="both"/>
        <w:rPr>
          <w:rFonts w:ascii="Arial" w:eastAsia="Times New Roman" w:hAnsi="Arial" w:cs="Arial"/>
          <w:b/>
          <w:bCs/>
          <w:color w:val="000000"/>
          <w:sz w:val="18"/>
          <w:szCs w:val="18"/>
          <w:lang w:eastAsia="es-MX"/>
        </w:rPr>
      </w:pPr>
    </w:p>
    <w:p w14:paraId="3617F452" w14:textId="77777777"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Segundo. - </w:t>
      </w:r>
      <w:r w:rsidRPr="00237607">
        <w:rPr>
          <w:rFonts w:ascii="Arial" w:hAnsi="Arial" w:cs="Arial"/>
          <w:sz w:val="18"/>
          <w:szCs w:val="18"/>
        </w:rPr>
        <w:t xml:space="preserve">Se </w:t>
      </w:r>
      <w:r w:rsidRPr="00237607">
        <w:rPr>
          <w:rFonts w:ascii="Arial" w:hAnsi="Arial" w:cs="Arial"/>
          <w:b/>
          <w:bCs/>
          <w:sz w:val="18"/>
          <w:szCs w:val="18"/>
        </w:rPr>
        <w:t>MODIFICAN</w:t>
      </w:r>
      <w:r w:rsidRPr="00237607">
        <w:rPr>
          <w:rFonts w:ascii="Arial" w:hAnsi="Arial" w:cs="Arial"/>
          <w:sz w:val="18"/>
          <w:szCs w:val="18"/>
        </w:rPr>
        <w:t xml:space="preserve"> las fracciones V y XI y se </w:t>
      </w:r>
      <w:r w:rsidRPr="00237607">
        <w:rPr>
          <w:rFonts w:ascii="Arial" w:hAnsi="Arial" w:cs="Arial"/>
          <w:b/>
          <w:bCs/>
          <w:sz w:val="18"/>
          <w:szCs w:val="18"/>
        </w:rPr>
        <w:t>DEROGA</w:t>
      </w:r>
      <w:r w:rsidRPr="00237607">
        <w:rPr>
          <w:rFonts w:ascii="Arial" w:hAnsi="Arial" w:cs="Arial"/>
          <w:sz w:val="18"/>
          <w:szCs w:val="18"/>
        </w:rPr>
        <w:t xml:space="preserve"> la fracción VII del </w:t>
      </w:r>
      <w:bookmarkStart w:id="11" w:name="_Hlk152164607"/>
      <w:r w:rsidRPr="00237607">
        <w:rPr>
          <w:rFonts w:ascii="Arial" w:hAnsi="Arial" w:cs="Arial"/>
          <w:sz w:val="18"/>
          <w:szCs w:val="18"/>
        </w:rPr>
        <w:t>lineamiento Décimo Segundo de los “Lineamientos para la acreditación, autorización, designación y reconocimiento de laboratorios de prueba”,</w:t>
      </w:r>
      <w:bookmarkEnd w:id="11"/>
      <w:r w:rsidRPr="00237607">
        <w:rPr>
          <w:rFonts w:ascii="Arial" w:hAnsi="Arial" w:cs="Arial"/>
          <w:sz w:val="18"/>
          <w:szCs w:val="18"/>
        </w:rPr>
        <w:t xml:space="preserve"> publicados en el DOF el 7 de marzo de 2016, para quedar como sigue:</w:t>
      </w:r>
    </w:p>
    <w:p w14:paraId="5004C54E" w14:textId="77777777" w:rsidR="00A7669E" w:rsidRPr="00237607" w:rsidRDefault="00A7669E" w:rsidP="00AC7328">
      <w:pPr>
        <w:spacing w:after="0"/>
        <w:jc w:val="both"/>
        <w:rPr>
          <w:rFonts w:ascii="Arial" w:hAnsi="Arial" w:cs="Arial"/>
          <w:b/>
          <w:sz w:val="18"/>
          <w:szCs w:val="18"/>
        </w:rPr>
      </w:pPr>
    </w:p>
    <w:p w14:paraId="6212212B" w14:textId="77777777" w:rsidR="00A7669E" w:rsidRPr="00237607" w:rsidRDefault="00A7669E" w:rsidP="00AC7328">
      <w:pPr>
        <w:pStyle w:val="Texto"/>
        <w:spacing w:line="276" w:lineRule="auto"/>
        <w:ind w:left="567" w:right="615" w:firstLine="142"/>
        <w:rPr>
          <w:b/>
          <w:szCs w:val="18"/>
        </w:rPr>
      </w:pPr>
      <w:r w:rsidRPr="00237607">
        <w:rPr>
          <w:b/>
          <w:szCs w:val="18"/>
        </w:rPr>
        <w:t>“DÉCIMO SEGUNDO. …</w:t>
      </w:r>
    </w:p>
    <w:p w14:paraId="6C8F54AC" w14:textId="77777777" w:rsidR="00A7669E" w:rsidRPr="00237607" w:rsidRDefault="00A7669E" w:rsidP="00AC7328">
      <w:pPr>
        <w:pStyle w:val="Texto"/>
        <w:spacing w:line="276" w:lineRule="auto"/>
        <w:ind w:left="1276" w:right="615" w:hanging="425"/>
        <w:rPr>
          <w:b/>
          <w:szCs w:val="18"/>
        </w:rPr>
      </w:pPr>
    </w:p>
    <w:p w14:paraId="51B03375" w14:textId="77777777" w:rsidR="00A7669E" w:rsidRPr="00237607" w:rsidRDefault="00A7669E" w:rsidP="00AC7328">
      <w:pPr>
        <w:pStyle w:val="Texto"/>
        <w:spacing w:line="276" w:lineRule="auto"/>
        <w:ind w:left="851" w:right="615" w:hanging="4"/>
        <w:rPr>
          <w:szCs w:val="18"/>
          <w:lang w:val="es-ES"/>
        </w:rPr>
      </w:pPr>
      <w:r w:rsidRPr="00237607">
        <w:rPr>
          <w:b/>
          <w:bCs/>
          <w:szCs w:val="18"/>
          <w:lang w:val="es-ES"/>
        </w:rPr>
        <w:t>I.</w:t>
      </w:r>
      <w:r w:rsidRPr="00237607">
        <w:rPr>
          <w:szCs w:val="18"/>
          <w:lang w:val="es-ES"/>
        </w:rPr>
        <w:t xml:space="preserve"> a </w:t>
      </w:r>
      <w:r w:rsidRPr="00237607">
        <w:rPr>
          <w:b/>
          <w:bCs/>
          <w:szCs w:val="18"/>
          <w:lang w:val="es-ES"/>
        </w:rPr>
        <w:t>IV.</w:t>
      </w:r>
      <w:r w:rsidRPr="00237607">
        <w:rPr>
          <w:szCs w:val="18"/>
          <w:lang w:val="es-ES"/>
        </w:rPr>
        <w:t xml:space="preserve"> …</w:t>
      </w:r>
    </w:p>
    <w:p w14:paraId="6FB2FBC6" w14:textId="77777777" w:rsidR="00A7669E" w:rsidRPr="00237607" w:rsidRDefault="00A7669E" w:rsidP="00AC7328">
      <w:pPr>
        <w:pStyle w:val="Texto"/>
        <w:spacing w:line="276" w:lineRule="auto"/>
        <w:ind w:left="1276" w:right="615" w:firstLine="0"/>
        <w:rPr>
          <w:szCs w:val="18"/>
          <w:lang w:val="es-ES"/>
        </w:rPr>
      </w:pPr>
    </w:p>
    <w:p w14:paraId="4071C6D4" w14:textId="77777777" w:rsidR="00A7669E" w:rsidRPr="00237607" w:rsidRDefault="00A7669E" w:rsidP="00AC7328">
      <w:pPr>
        <w:pStyle w:val="Texto"/>
        <w:numPr>
          <w:ilvl w:val="0"/>
          <w:numId w:val="11"/>
        </w:numPr>
        <w:spacing w:line="276" w:lineRule="auto"/>
        <w:ind w:left="1276" w:right="615" w:hanging="425"/>
        <w:rPr>
          <w:szCs w:val="18"/>
          <w:lang w:val="es-ES"/>
        </w:rPr>
      </w:pPr>
      <w:r w:rsidRPr="00237607">
        <w:rPr>
          <w:szCs w:val="18"/>
          <w:lang w:val="es-ES"/>
        </w:rPr>
        <w:t>En caso de que se actualice alguno de los supuestos previstos en la fracción anterior, el LP evitará la participación del o los miembros que se encuentren en conflicto de interés directo o indirecto;</w:t>
      </w:r>
    </w:p>
    <w:p w14:paraId="67E57C12" w14:textId="77777777" w:rsidR="00A7669E" w:rsidRPr="00237607" w:rsidRDefault="00A7669E" w:rsidP="00AC7328">
      <w:pPr>
        <w:pStyle w:val="Texto"/>
        <w:spacing w:line="276" w:lineRule="auto"/>
        <w:ind w:left="1276" w:right="615" w:firstLine="0"/>
        <w:rPr>
          <w:szCs w:val="18"/>
          <w:lang w:val="es-ES"/>
        </w:rPr>
      </w:pPr>
    </w:p>
    <w:p w14:paraId="69D59C32" w14:textId="77777777" w:rsidR="00A7669E" w:rsidRPr="00237607" w:rsidRDefault="00A7669E" w:rsidP="00AC7328">
      <w:pPr>
        <w:pStyle w:val="Texto"/>
        <w:numPr>
          <w:ilvl w:val="0"/>
          <w:numId w:val="11"/>
        </w:numPr>
        <w:spacing w:line="276" w:lineRule="auto"/>
        <w:ind w:left="1276" w:right="615" w:hanging="425"/>
        <w:rPr>
          <w:szCs w:val="18"/>
          <w:lang w:val="es-ES"/>
        </w:rPr>
      </w:pPr>
      <w:r w:rsidRPr="00237607">
        <w:rPr>
          <w:szCs w:val="18"/>
          <w:lang w:val="es-ES"/>
        </w:rPr>
        <w:t>…</w:t>
      </w:r>
    </w:p>
    <w:p w14:paraId="42D62C51" w14:textId="77777777" w:rsidR="00A7669E" w:rsidRPr="00237607" w:rsidRDefault="00A7669E" w:rsidP="00AC7328">
      <w:pPr>
        <w:pStyle w:val="Texto"/>
        <w:spacing w:line="276" w:lineRule="auto"/>
        <w:ind w:left="1276" w:right="615" w:firstLine="0"/>
        <w:rPr>
          <w:szCs w:val="18"/>
          <w:lang w:val="es-ES"/>
        </w:rPr>
      </w:pPr>
    </w:p>
    <w:p w14:paraId="2D6EE676" w14:textId="77777777" w:rsidR="00A7669E" w:rsidRPr="00237607" w:rsidRDefault="00A7669E" w:rsidP="00AC7328">
      <w:pPr>
        <w:pStyle w:val="Texto"/>
        <w:numPr>
          <w:ilvl w:val="0"/>
          <w:numId w:val="11"/>
        </w:numPr>
        <w:spacing w:line="276" w:lineRule="auto"/>
        <w:ind w:left="1276" w:right="615" w:hanging="425"/>
        <w:rPr>
          <w:szCs w:val="18"/>
          <w:lang w:val="es-ES"/>
        </w:rPr>
      </w:pPr>
      <w:r w:rsidRPr="00237607">
        <w:rPr>
          <w:szCs w:val="18"/>
          <w:lang w:val="es-ES"/>
        </w:rPr>
        <w:t>(Derogada)</w:t>
      </w:r>
    </w:p>
    <w:p w14:paraId="128BF7D7" w14:textId="77777777" w:rsidR="00A7669E" w:rsidRPr="00237607" w:rsidRDefault="00A7669E" w:rsidP="00AC7328">
      <w:pPr>
        <w:pStyle w:val="Texto"/>
        <w:spacing w:line="276" w:lineRule="auto"/>
        <w:ind w:right="615" w:firstLine="0"/>
        <w:rPr>
          <w:szCs w:val="18"/>
          <w:lang w:val="es-ES"/>
        </w:rPr>
      </w:pPr>
    </w:p>
    <w:p w14:paraId="1EAFA4B6" w14:textId="77777777" w:rsidR="00A7669E" w:rsidRPr="00237607" w:rsidRDefault="00A7669E" w:rsidP="00AC7328">
      <w:pPr>
        <w:pStyle w:val="Texto"/>
        <w:numPr>
          <w:ilvl w:val="0"/>
          <w:numId w:val="11"/>
        </w:numPr>
        <w:spacing w:line="276" w:lineRule="auto"/>
        <w:ind w:left="1276" w:right="615" w:hanging="425"/>
        <w:rPr>
          <w:szCs w:val="18"/>
          <w:lang w:val="es-ES"/>
        </w:rPr>
      </w:pPr>
      <w:r w:rsidRPr="00237607">
        <w:rPr>
          <w:szCs w:val="18"/>
          <w:lang w:val="es-ES"/>
        </w:rPr>
        <w:t xml:space="preserve">a </w:t>
      </w:r>
      <w:r w:rsidRPr="00237607">
        <w:rPr>
          <w:b/>
          <w:bCs/>
          <w:szCs w:val="18"/>
          <w:lang w:val="es-ES"/>
        </w:rPr>
        <w:t>X.</w:t>
      </w:r>
      <w:r w:rsidRPr="00237607">
        <w:rPr>
          <w:szCs w:val="18"/>
          <w:lang w:val="es-ES"/>
        </w:rPr>
        <w:t xml:space="preserve"> …</w:t>
      </w:r>
    </w:p>
    <w:p w14:paraId="534E9708" w14:textId="77777777" w:rsidR="00A7669E" w:rsidRPr="00237607" w:rsidRDefault="00A7669E" w:rsidP="00AC7328">
      <w:pPr>
        <w:pStyle w:val="Texto"/>
        <w:spacing w:line="276" w:lineRule="auto"/>
        <w:ind w:right="615" w:firstLine="0"/>
        <w:rPr>
          <w:szCs w:val="18"/>
          <w:lang w:val="es-ES"/>
        </w:rPr>
      </w:pPr>
    </w:p>
    <w:p w14:paraId="09050199" w14:textId="7B839491" w:rsidR="00A7669E" w:rsidRPr="00237607" w:rsidRDefault="00A7669E" w:rsidP="00AC7328">
      <w:pPr>
        <w:pStyle w:val="Texto"/>
        <w:tabs>
          <w:tab w:val="left" w:pos="1276"/>
          <w:tab w:val="left" w:pos="1418"/>
        </w:tabs>
        <w:spacing w:line="276" w:lineRule="auto"/>
        <w:ind w:left="1276" w:right="615" w:hanging="425"/>
        <w:rPr>
          <w:szCs w:val="18"/>
          <w:lang w:val="es-ES"/>
        </w:rPr>
      </w:pPr>
      <w:r w:rsidRPr="00237607">
        <w:rPr>
          <w:b/>
          <w:bCs/>
          <w:szCs w:val="18"/>
          <w:lang w:val="es-ES"/>
        </w:rPr>
        <w:t>XI.</w:t>
      </w:r>
      <w:r w:rsidRPr="00237607">
        <w:rPr>
          <w:szCs w:val="18"/>
          <w:lang w:val="es-ES"/>
        </w:rPr>
        <w:t xml:space="preserve">  Hacer constar en un Reporte de Prueba, el resultado de las pruebas que realicen respecto a </w:t>
      </w:r>
      <w:r w:rsidR="00E72917" w:rsidRPr="00237607">
        <w:rPr>
          <w:szCs w:val="18"/>
          <w:lang w:val="es-ES"/>
        </w:rPr>
        <w:t>una Norma</w:t>
      </w:r>
      <w:r w:rsidRPr="00237607">
        <w:rPr>
          <w:szCs w:val="18"/>
          <w:lang w:val="es-ES"/>
        </w:rPr>
        <w:t xml:space="preserve">, DT o RT extranjero en que han sido acreditados y autorizados, mismo que será firmado por el (los) signatario(s) autorizado(s). </w:t>
      </w:r>
    </w:p>
    <w:p w14:paraId="201B0F72" w14:textId="77777777" w:rsidR="00A7669E" w:rsidRPr="00237607" w:rsidRDefault="00A7669E" w:rsidP="00AC7328">
      <w:pPr>
        <w:pStyle w:val="Texto"/>
        <w:tabs>
          <w:tab w:val="left" w:pos="1276"/>
          <w:tab w:val="left" w:pos="1418"/>
        </w:tabs>
        <w:spacing w:line="276" w:lineRule="auto"/>
        <w:ind w:left="1276" w:right="615" w:hanging="425"/>
        <w:rPr>
          <w:szCs w:val="18"/>
          <w:lang w:val="es-ES"/>
        </w:rPr>
      </w:pPr>
    </w:p>
    <w:p w14:paraId="492C391E" w14:textId="77777777" w:rsidR="00A7669E" w:rsidRPr="00237607" w:rsidRDefault="00A7669E" w:rsidP="00AC7328">
      <w:pPr>
        <w:pStyle w:val="Texto"/>
        <w:tabs>
          <w:tab w:val="left" w:pos="1276"/>
          <w:tab w:val="left" w:pos="1418"/>
        </w:tabs>
        <w:spacing w:line="276" w:lineRule="auto"/>
        <w:ind w:left="1276" w:right="615" w:hanging="425"/>
        <w:rPr>
          <w:szCs w:val="18"/>
        </w:rPr>
      </w:pPr>
      <w:r w:rsidRPr="00237607">
        <w:rPr>
          <w:b/>
          <w:bCs/>
          <w:szCs w:val="18"/>
          <w:lang w:val="es-ES"/>
        </w:rPr>
        <w:t>XII.</w:t>
      </w:r>
      <w:r w:rsidRPr="00237607">
        <w:rPr>
          <w:szCs w:val="18"/>
          <w:lang w:val="es-ES"/>
        </w:rPr>
        <w:t xml:space="preserve"> a </w:t>
      </w:r>
      <w:r w:rsidRPr="00237607">
        <w:rPr>
          <w:b/>
          <w:bCs/>
          <w:szCs w:val="18"/>
        </w:rPr>
        <w:t>XVII. …”</w:t>
      </w:r>
    </w:p>
    <w:p w14:paraId="40981049" w14:textId="77777777" w:rsidR="00A7669E" w:rsidRPr="00237607" w:rsidRDefault="00A7669E" w:rsidP="00AC7328">
      <w:pPr>
        <w:pStyle w:val="Texto"/>
        <w:tabs>
          <w:tab w:val="left" w:pos="1276"/>
          <w:tab w:val="left" w:pos="1418"/>
        </w:tabs>
        <w:spacing w:line="276" w:lineRule="auto"/>
        <w:ind w:left="1276" w:right="615" w:hanging="425"/>
        <w:rPr>
          <w:szCs w:val="18"/>
        </w:rPr>
      </w:pPr>
    </w:p>
    <w:p w14:paraId="24B598F0" w14:textId="39BA8B88" w:rsidR="00A7669E" w:rsidRPr="00237607" w:rsidRDefault="00A7669E" w:rsidP="00AC7328">
      <w:pPr>
        <w:pStyle w:val="Texto"/>
        <w:spacing w:line="276" w:lineRule="auto"/>
        <w:ind w:right="48" w:firstLine="0"/>
        <w:rPr>
          <w:b/>
          <w:szCs w:val="18"/>
        </w:rPr>
      </w:pPr>
      <w:bookmarkStart w:id="12" w:name="_Hlk139749469"/>
      <w:r w:rsidRPr="00237607">
        <w:rPr>
          <w:szCs w:val="18"/>
        </w:rPr>
        <w:t>Derivado de lo anterior, se eliminan los trámites UCS-04-055 “Presentación del Informe sobre Conflictos de Interés del personal adscrito al Laboratorio de Prueba”, UCS-04-056 “Presentación del Informe sobre el personal (signatarios) que se encuentra autorizado para firmar o suscribir los Reportes de Prueba” y UCS-04-058 “Presentación del Informe Anual sobre las medidas emprendidas por el Laboratorio de Prueba para garantizar que sus servicios se lleven a cabo en un marco de calidad y confidencialidad”; así como su inscripción en el Registro de Trámites y Servicios del Instituto Federal de Telecomunicaciones</w:t>
      </w:r>
      <w:bookmarkEnd w:id="12"/>
      <w:r w:rsidRPr="00237607">
        <w:rPr>
          <w:szCs w:val="18"/>
        </w:rPr>
        <w:t>.</w:t>
      </w:r>
    </w:p>
    <w:p w14:paraId="65B8EF8D" w14:textId="77777777" w:rsidR="00A7669E" w:rsidRPr="00237607" w:rsidRDefault="00A7669E" w:rsidP="00AC7328">
      <w:pPr>
        <w:spacing w:after="0"/>
        <w:jc w:val="both"/>
        <w:rPr>
          <w:rFonts w:ascii="Arial" w:hAnsi="Arial" w:cs="Arial"/>
          <w:sz w:val="18"/>
          <w:szCs w:val="18"/>
        </w:rPr>
      </w:pPr>
    </w:p>
    <w:p w14:paraId="02CACF31" w14:textId="77777777"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Tercero. - </w:t>
      </w:r>
      <w:r w:rsidRPr="00237607">
        <w:rPr>
          <w:rFonts w:ascii="Arial" w:hAnsi="Arial" w:cs="Arial"/>
          <w:sz w:val="18"/>
          <w:szCs w:val="18"/>
        </w:rPr>
        <w:t xml:space="preserve">Se </w:t>
      </w:r>
      <w:r w:rsidRPr="00237607">
        <w:rPr>
          <w:rFonts w:ascii="Arial" w:hAnsi="Arial" w:cs="Arial"/>
          <w:b/>
          <w:bCs/>
          <w:sz w:val="18"/>
          <w:szCs w:val="18"/>
        </w:rPr>
        <w:t>MODIFICAN</w:t>
      </w:r>
      <w:r w:rsidRPr="00237607">
        <w:rPr>
          <w:rFonts w:ascii="Arial" w:hAnsi="Arial" w:cs="Arial"/>
          <w:sz w:val="18"/>
          <w:szCs w:val="18"/>
        </w:rPr>
        <w:t xml:space="preserve"> los párrafos tercero y cuarto de la fracción IX y el párrafo primero de la fracción XVI del artículo 11 del “</w:t>
      </w:r>
      <w:bookmarkStart w:id="13" w:name="_Hlk147069035"/>
      <w:r w:rsidRPr="00237607">
        <w:rPr>
          <w:rFonts w:ascii="Arial" w:hAnsi="Arial" w:cs="Arial"/>
          <w:sz w:val="18"/>
          <w:szCs w:val="18"/>
        </w:rPr>
        <w:t>Procedimiento de evaluación de la conformidad en materia de telecomunicaciones y radiodifusión</w:t>
      </w:r>
      <w:bookmarkEnd w:id="13"/>
      <w:r w:rsidRPr="00237607">
        <w:rPr>
          <w:rFonts w:ascii="Arial" w:hAnsi="Arial" w:cs="Arial"/>
          <w:sz w:val="18"/>
          <w:szCs w:val="18"/>
        </w:rPr>
        <w:t>”, publicado en el DOF el 25 de febrero de 2020 y su modificación publicada en el mismo medio de comunicación oficial el 27 de diciembre de 2021, para quedar como sigue:</w:t>
      </w:r>
    </w:p>
    <w:p w14:paraId="397B2B8C" w14:textId="77777777" w:rsidR="00A7669E" w:rsidRPr="00237607" w:rsidRDefault="00A7669E" w:rsidP="00AC7328">
      <w:pPr>
        <w:spacing w:after="0"/>
        <w:ind w:right="615"/>
        <w:jc w:val="both"/>
        <w:rPr>
          <w:rFonts w:ascii="Arial" w:hAnsi="Arial" w:cs="Arial"/>
          <w:b/>
          <w:sz w:val="18"/>
          <w:szCs w:val="18"/>
        </w:rPr>
      </w:pPr>
    </w:p>
    <w:p w14:paraId="45425BCC" w14:textId="77777777" w:rsidR="00A7669E" w:rsidRPr="00237607" w:rsidRDefault="00A7669E" w:rsidP="00AC7328">
      <w:pPr>
        <w:pStyle w:val="Texto"/>
        <w:spacing w:line="276" w:lineRule="auto"/>
        <w:ind w:left="1276" w:right="615" w:hanging="425"/>
        <w:rPr>
          <w:b/>
          <w:szCs w:val="18"/>
        </w:rPr>
      </w:pPr>
      <w:r w:rsidRPr="00237607">
        <w:rPr>
          <w:b/>
          <w:szCs w:val="18"/>
        </w:rPr>
        <w:t>“ARTÍCULO 11. …</w:t>
      </w:r>
    </w:p>
    <w:p w14:paraId="1DC88BF6" w14:textId="77777777" w:rsidR="00A7669E" w:rsidRPr="00237607" w:rsidRDefault="00A7669E" w:rsidP="00AC7328">
      <w:pPr>
        <w:pStyle w:val="Texto"/>
        <w:spacing w:line="276" w:lineRule="auto"/>
        <w:ind w:left="1276" w:right="615" w:hanging="425"/>
        <w:rPr>
          <w:b/>
          <w:szCs w:val="18"/>
        </w:rPr>
      </w:pPr>
    </w:p>
    <w:p w14:paraId="31AE1098" w14:textId="77777777" w:rsidR="00A7669E" w:rsidRPr="00237607" w:rsidRDefault="00A7669E" w:rsidP="00AC7328">
      <w:pPr>
        <w:pStyle w:val="Texto"/>
        <w:numPr>
          <w:ilvl w:val="0"/>
          <w:numId w:val="18"/>
        </w:numPr>
        <w:spacing w:line="276" w:lineRule="auto"/>
        <w:ind w:right="615" w:hanging="157"/>
        <w:rPr>
          <w:szCs w:val="18"/>
          <w:lang w:val="es-ES"/>
        </w:rPr>
      </w:pPr>
      <w:r w:rsidRPr="00237607">
        <w:rPr>
          <w:szCs w:val="18"/>
          <w:lang w:val="es-ES"/>
        </w:rPr>
        <w:t xml:space="preserve"> a </w:t>
      </w:r>
      <w:r w:rsidRPr="00237607">
        <w:rPr>
          <w:b/>
          <w:bCs/>
          <w:szCs w:val="18"/>
          <w:lang w:val="es-ES"/>
        </w:rPr>
        <w:t>VIII.</w:t>
      </w:r>
      <w:r w:rsidRPr="00237607">
        <w:rPr>
          <w:szCs w:val="18"/>
          <w:lang w:val="es-ES"/>
        </w:rPr>
        <w:t xml:space="preserve"> …</w:t>
      </w:r>
    </w:p>
    <w:p w14:paraId="7DBF61D8" w14:textId="77777777" w:rsidR="00A7669E" w:rsidRPr="00237607" w:rsidRDefault="00A7669E" w:rsidP="00AC7328">
      <w:pPr>
        <w:pStyle w:val="Texto"/>
        <w:spacing w:line="276" w:lineRule="auto"/>
        <w:ind w:left="1008" w:right="615" w:firstLine="0"/>
        <w:rPr>
          <w:szCs w:val="18"/>
          <w:lang w:val="es-ES"/>
        </w:rPr>
      </w:pPr>
    </w:p>
    <w:p w14:paraId="32199860" w14:textId="77777777" w:rsidR="00A7669E" w:rsidRPr="00237607" w:rsidRDefault="00A7669E" w:rsidP="00AC7328">
      <w:pPr>
        <w:pStyle w:val="Texto"/>
        <w:numPr>
          <w:ilvl w:val="0"/>
          <w:numId w:val="11"/>
        </w:numPr>
        <w:spacing w:line="276" w:lineRule="auto"/>
        <w:ind w:left="1276" w:right="615" w:hanging="436"/>
        <w:rPr>
          <w:szCs w:val="18"/>
          <w:lang w:val="es-ES"/>
        </w:rPr>
      </w:pPr>
      <w:r w:rsidRPr="00237607">
        <w:rPr>
          <w:szCs w:val="18"/>
          <w:lang w:val="es-ES"/>
        </w:rPr>
        <w:t>…</w:t>
      </w:r>
    </w:p>
    <w:p w14:paraId="1AF76CED"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211A6F9B"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Una vez emitido el CC, el OC debe enviarlo(la) de manera electrónica al Interesado y a la Unidad de Concesiones y Servicios del Instituto en los formatos electrónicos que ésta determine, en un plazo no mayor a 2 días hábiles contados a partir de su emisión.</w:t>
      </w:r>
    </w:p>
    <w:p w14:paraId="0E3846EF"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La Unidad de Concesiones y Servicios del Instituto registrará los CC en el sistema electrónico que para tal efecto administre, y en el que se considerarán los elementos mínimos señalados en la fracción XVI del presente artículo. El CC debe indicar todas las DT aplicables al Producto con las que se acreditó el cumplimiento, así como el Esquema de Certificación utilizado.</w:t>
      </w:r>
    </w:p>
    <w:p w14:paraId="2005E617"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1D58BABA"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70003826"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53770E0D"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1962F97E" w14:textId="77777777" w:rsidR="00A7669E" w:rsidRPr="00237607" w:rsidRDefault="00A7669E" w:rsidP="00AC7328">
      <w:pPr>
        <w:pStyle w:val="Texto"/>
        <w:spacing w:line="276" w:lineRule="auto"/>
        <w:ind w:left="1276" w:right="615" w:firstLine="0"/>
        <w:rPr>
          <w:szCs w:val="18"/>
          <w:lang w:val="es-ES"/>
        </w:rPr>
      </w:pPr>
    </w:p>
    <w:p w14:paraId="050A186A" w14:textId="77777777" w:rsidR="00A7669E" w:rsidRPr="00237607" w:rsidRDefault="00A7669E" w:rsidP="00AC7328">
      <w:pPr>
        <w:pStyle w:val="Texto"/>
        <w:numPr>
          <w:ilvl w:val="0"/>
          <w:numId w:val="11"/>
        </w:numPr>
        <w:spacing w:line="276" w:lineRule="auto"/>
        <w:ind w:left="1276" w:right="615" w:hanging="425"/>
        <w:rPr>
          <w:szCs w:val="18"/>
          <w:lang w:val="es-ES"/>
        </w:rPr>
      </w:pPr>
      <w:r w:rsidRPr="00237607">
        <w:rPr>
          <w:szCs w:val="18"/>
          <w:lang w:val="es-ES"/>
        </w:rPr>
        <w:t xml:space="preserve">a </w:t>
      </w:r>
      <w:r w:rsidRPr="00237607">
        <w:rPr>
          <w:b/>
          <w:bCs/>
          <w:szCs w:val="18"/>
          <w:lang w:val="es-ES"/>
        </w:rPr>
        <w:t>XV.</w:t>
      </w:r>
      <w:r w:rsidRPr="00237607">
        <w:rPr>
          <w:szCs w:val="18"/>
          <w:lang w:val="es-ES"/>
        </w:rPr>
        <w:t xml:space="preserve"> …</w:t>
      </w:r>
    </w:p>
    <w:p w14:paraId="6F57527A" w14:textId="77777777" w:rsidR="00A7669E" w:rsidRPr="00237607" w:rsidRDefault="00A7669E" w:rsidP="00AC7328">
      <w:pPr>
        <w:pStyle w:val="Texto"/>
        <w:spacing w:line="276" w:lineRule="auto"/>
        <w:ind w:left="1276" w:right="615" w:firstLine="0"/>
        <w:rPr>
          <w:szCs w:val="18"/>
          <w:lang w:val="es-ES"/>
        </w:rPr>
      </w:pPr>
    </w:p>
    <w:p w14:paraId="04040677" w14:textId="77777777" w:rsidR="00A7669E" w:rsidRPr="00237607" w:rsidRDefault="00A7669E" w:rsidP="00AC7328">
      <w:pPr>
        <w:pStyle w:val="Texto"/>
        <w:spacing w:line="276" w:lineRule="auto"/>
        <w:ind w:left="1276" w:right="615" w:hanging="425"/>
        <w:rPr>
          <w:szCs w:val="18"/>
          <w:lang w:val="es-ES"/>
        </w:rPr>
      </w:pPr>
      <w:r w:rsidRPr="00237607">
        <w:rPr>
          <w:b/>
          <w:bCs/>
          <w:szCs w:val="18"/>
          <w:lang w:val="es-ES"/>
        </w:rPr>
        <w:t>XVI.</w:t>
      </w:r>
      <w:r w:rsidRPr="00237607">
        <w:rPr>
          <w:szCs w:val="18"/>
          <w:lang w:val="es-ES"/>
        </w:rPr>
        <w:t xml:space="preserve"> El sistema electrónico administrado por la Unidad de Concesiones y Servicios del Instituto, indicado en las fracciones VIII y IX del presente artículo, para el registro del número del RP y en su caso del archivo electrónico del RP o los CC emitidos por los LP y los OC, debe considerar al menos, los elementos de las Tablas 1a y 1b siguientes:    </w:t>
      </w:r>
    </w:p>
    <w:p w14:paraId="2978A553"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146B2D6F"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6EBAAB5A" w14:textId="77777777" w:rsidR="00A7669E" w:rsidRPr="00237607" w:rsidRDefault="00A7669E" w:rsidP="00AC7328">
      <w:pPr>
        <w:pStyle w:val="Texto"/>
        <w:spacing w:line="276" w:lineRule="auto"/>
        <w:ind w:left="1276" w:right="615" w:firstLine="0"/>
        <w:rPr>
          <w:szCs w:val="18"/>
          <w:lang w:val="es-ES"/>
        </w:rPr>
      </w:pPr>
      <w:r w:rsidRPr="00237607">
        <w:rPr>
          <w:szCs w:val="18"/>
          <w:lang w:val="es-ES"/>
        </w:rPr>
        <w:t>…”</w:t>
      </w:r>
    </w:p>
    <w:p w14:paraId="0A4C8619" w14:textId="77777777" w:rsidR="00A7669E" w:rsidRPr="00237607" w:rsidRDefault="00A7669E" w:rsidP="00AC7328">
      <w:pPr>
        <w:spacing w:after="0"/>
        <w:jc w:val="both"/>
        <w:rPr>
          <w:rFonts w:ascii="Arial" w:hAnsi="Arial" w:cs="Arial"/>
          <w:sz w:val="18"/>
          <w:szCs w:val="18"/>
        </w:rPr>
      </w:pPr>
    </w:p>
    <w:p w14:paraId="34C11DDD" w14:textId="77777777" w:rsidR="00A7669E" w:rsidRPr="00237607" w:rsidRDefault="00A7669E" w:rsidP="00AC7328">
      <w:pPr>
        <w:spacing w:after="0"/>
        <w:jc w:val="both"/>
        <w:rPr>
          <w:rFonts w:ascii="Arial" w:hAnsi="Arial" w:cs="Arial"/>
          <w:sz w:val="18"/>
          <w:szCs w:val="18"/>
        </w:rPr>
      </w:pPr>
      <w:r w:rsidRPr="00237607">
        <w:rPr>
          <w:rFonts w:ascii="Arial" w:hAnsi="Arial" w:cs="Arial"/>
          <w:sz w:val="18"/>
          <w:szCs w:val="18"/>
        </w:rPr>
        <w:t>Derivado de lo anterior, se elimina el trámite UCS-04-095 “Envío de las Cartas de No Cumplimiento por parte de los Organismos de Certificación al IFT”, así como su inscripción en el Registro de Trámites y Servicios del Instituto Federal de Telecomunicaciones.</w:t>
      </w:r>
    </w:p>
    <w:p w14:paraId="6FA36446" w14:textId="77777777" w:rsidR="00A7669E" w:rsidRPr="00237607" w:rsidRDefault="00A7669E" w:rsidP="00AC7328">
      <w:pPr>
        <w:spacing w:after="0"/>
        <w:jc w:val="both"/>
        <w:rPr>
          <w:rFonts w:ascii="Arial" w:hAnsi="Arial" w:cs="Arial"/>
          <w:b/>
          <w:sz w:val="18"/>
          <w:szCs w:val="18"/>
        </w:rPr>
      </w:pPr>
    </w:p>
    <w:p w14:paraId="6A4ACC16" w14:textId="77777777"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Cuarto. - </w:t>
      </w:r>
      <w:r w:rsidRPr="00237607">
        <w:rPr>
          <w:rFonts w:ascii="Arial" w:hAnsi="Arial" w:cs="Arial"/>
          <w:sz w:val="18"/>
          <w:szCs w:val="18"/>
        </w:rPr>
        <w:t xml:space="preserve">Se </w:t>
      </w:r>
      <w:r w:rsidRPr="00237607">
        <w:rPr>
          <w:rFonts w:ascii="Arial" w:hAnsi="Arial" w:cs="Arial"/>
          <w:b/>
          <w:bCs/>
          <w:sz w:val="18"/>
          <w:szCs w:val="18"/>
        </w:rPr>
        <w:t>MODIFICA</w:t>
      </w:r>
      <w:r w:rsidRPr="00237607">
        <w:rPr>
          <w:rFonts w:ascii="Arial" w:hAnsi="Arial" w:cs="Arial"/>
          <w:sz w:val="18"/>
          <w:szCs w:val="18"/>
        </w:rPr>
        <w:t xml:space="preserve"> el último párrafo del lineamiento Séptimo de los “Lineamientos para la Acreditación y Autorización de Organismos de Certificación en materia de Telecomunicaciones y Radiodifusión.”, publicados en el DOF el 8 de julio de 2021, para quedar como sigue:</w:t>
      </w:r>
    </w:p>
    <w:p w14:paraId="52844F2B" w14:textId="77777777" w:rsidR="00A7669E" w:rsidRPr="00237607" w:rsidRDefault="00A7669E" w:rsidP="00AC7328">
      <w:pPr>
        <w:spacing w:after="0"/>
        <w:jc w:val="both"/>
        <w:rPr>
          <w:rFonts w:ascii="Arial" w:hAnsi="Arial" w:cs="Arial"/>
          <w:b/>
          <w:sz w:val="18"/>
          <w:szCs w:val="18"/>
        </w:rPr>
      </w:pPr>
    </w:p>
    <w:p w14:paraId="38DE0308" w14:textId="77777777" w:rsidR="00A7669E" w:rsidRPr="00237607" w:rsidRDefault="00A7669E" w:rsidP="00AC7328">
      <w:pPr>
        <w:pStyle w:val="Texto"/>
        <w:tabs>
          <w:tab w:val="left" w:pos="8784"/>
        </w:tabs>
        <w:spacing w:line="276" w:lineRule="auto"/>
        <w:ind w:left="851" w:right="620" w:firstLine="0"/>
        <w:rPr>
          <w:b/>
          <w:szCs w:val="18"/>
        </w:rPr>
      </w:pPr>
      <w:r w:rsidRPr="00237607">
        <w:rPr>
          <w:b/>
          <w:szCs w:val="18"/>
        </w:rPr>
        <w:t xml:space="preserve">“Séptimo. </w:t>
      </w:r>
      <w:r w:rsidRPr="00237607">
        <w:rPr>
          <w:bCs/>
          <w:szCs w:val="18"/>
        </w:rPr>
        <w:t>…</w:t>
      </w:r>
    </w:p>
    <w:p w14:paraId="38271EA7" w14:textId="77777777" w:rsidR="00A7669E" w:rsidRPr="00237607" w:rsidRDefault="00A7669E" w:rsidP="00AC7328">
      <w:pPr>
        <w:pStyle w:val="Texto"/>
        <w:tabs>
          <w:tab w:val="left" w:pos="8784"/>
        </w:tabs>
        <w:spacing w:line="276" w:lineRule="auto"/>
        <w:ind w:left="851" w:right="620" w:firstLine="0"/>
        <w:rPr>
          <w:szCs w:val="18"/>
          <w:lang w:val="es-ES"/>
        </w:rPr>
      </w:pPr>
      <w:r w:rsidRPr="00237607">
        <w:rPr>
          <w:szCs w:val="18"/>
          <w:lang w:val="es-ES"/>
        </w:rPr>
        <w:t>…</w:t>
      </w:r>
    </w:p>
    <w:p w14:paraId="4FCFB0DA" w14:textId="77777777" w:rsidR="00A7669E" w:rsidRPr="00237607" w:rsidRDefault="00A7669E" w:rsidP="00AC7328">
      <w:pPr>
        <w:pStyle w:val="Texto"/>
        <w:tabs>
          <w:tab w:val="left" w:pos="8784"/>
        </w:tabs>
        <w:spacing w:line="276" w:lineRule="auto"/>
        <w:ind w:left="851" w:right="620" w:firstLine="0"/>
        <w:rPr>
          <w:szCs w:val="18"/>
          <w:lang w:val="es-ES"/>
        </w:rPr>
      </w:pPr>
      <w:r w:rsidRPr="00237607">
        <w:rPr>
          <w:szCs w:val="18"/>
          <w:lang w:val="es-ES"/>
        </w:rPr>
        <w:t>…</w:t>
      </w:r>
    </w:p>
    <w:p w14:paraId="6DC08045" w14:textId="77777777" w:rsidR="00A7669E" w:rsidRPr="00237607" w:rsidRDefault="00A7669E" w:rsidP="00AC7328">
      <w:pPr>
        <w:spacing w:after="0"/>
        <w:ind w:left="851"/>
        <w:jc w:val="both"/>
        <w:rPr>
          <w:rFonts w:ascii="Arial" w:hAnsi="Arial" w:cs="Arial"/>
          <w:sz w:val="18"/>
          <w:szCs w:val="18"/>
        </w:rPr>
      </w:pPr>
      <w:r w:rsidRPr="00237607">
        <w:rPr>
          <w:rFonts w:ascii="Arial" w:hAnsi="Arial" w:cs="Arial"/>
          <w:sz w:val="18"/>
          <w:szCs w:val="18"/>
        </w:rPr>
        <w:t>Una vez que el OA, en su caso, haya otorgado la Acreditación al OC solicitante, enviará el Certificado de Acreditación correspondiente a la UCS a través de la Ventanilla Electrónica.”</w:t>
      </w:r>
    </w:p>
    <w:p w14:paraId="0D05D88C" w14:textId="77777777" w:rsidR="00A7669E" w:rsidRPr="00237607" w:rsidRDefault="00A7669E" w:rsidP="00AC7328">
      <w:pPr>
        <w:spacing w:after="0"/>
        <w:ind w:left="851"/>
        <w:jc w:val="both"/>
        <w:rPr>
          <w:rFonts w:ascii="Arial" w:hAnsi="Arial" w:cs="Arial"/>
          <w:sz w:val="18"/>
          <w:szCs w:val="18"/>
        </w:rPr>
      </w:pPr>
    </w:p>
    <w:p w14:paraId="3451218A" w14:textId="77777777" w:rsidR="00A7669E" w:rsidRPr="00237607" w:rsidRDefault="00A7669E" w:rsidP="00AC7328">
      <w:pPr>
        <w:spacing w:after="0"/>
        <w:jc w:val="both"/>
        <w:rPr>
          <w:rFonts w:ascii="Arial" w:hAnsi="Arial" w:cs="Arial"/>
          <w:sz w:val="18"/>
          <w:szCs w:val="18"/>
        </w:rPr>
      </w:pPr>
      <w:r w:rsidRPr="00237607">
        <w:rPr>
          <w:rFonts w:ascii="Arial" w:hAnsi="Arial" w:cs="Arial"/>
          <w:sz w:val="18"/>
          <w:szCs w:val="18"/>
        </w:rPr>
        <w:t>Derivado de lo anterior, se elimina el trámite UCS-04-122 “Aviso por parte de un Organismo de Acreditación del otorgamiento de un Certificado de acreditación a un Organismo de Certificación”, así como su inscripción en el Registro de Trámites y Servicios del Instituto Federal de Telecomunicaciones.</w:t>
      </w:r>
    </w:p>
    <w:p w14:paraId="27808B31" w14:textId="77777777" w:rsidR="00A7669E" w:rsidRPr="00237607" w:rsidRDefault="00A7669E" w:rsidP="00AC7328">
      <w:pPr>
        <w:spacing w:after="0"/>
        <w:jc w:val="both"/>
        <w:rPr>
          <w:rFonts w:ascii="Arial" w:hAnsi="Arial" w:cs="Arial"/>
          <w:b/>
          <w:sz w:val="18"/>
          <w:szCs w:val="18"/>
        </w:rPr>
      </w:pPr>
    </w:p>
    <w:p w14:paraId="0968AB66" w14:textId="77777777"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Quinto. - </w:t>
      </w:r>
      <w:r w:rsidRPr="00237607">
        <w:rPr>
          <w:rFonts w:ascii="Arial" w:hAnsi="Arial" w:cs="Arial"/>
          <w:sz w:val="18"/>
          <w:szCs w:val="18"/>
        </w:rPr>
        <w:t xml:space="preserve">Se </w:t>
      </w:r>
      <w:r w:rsidRPr="00237607">
        <w:rPr>
          <w:rFonts w:ascii="Arial" w:hAnsi="Arial" w:cs="Arial"/>
          <w:b/>
          <w:bCs/>
          <w:sz w:val="18"/>
          <w:szCs w:val="18"/>
        </w:rPr>
        <w:t>MODIFICA</w:t>
      </w:r>
      <w:r w:rsidRPr="00237607">
        <w:rPr>
          <w:rFonts w:ascii="Arial" w:hAnsi="Arial" w:cs="Arial"/>
          <w:sz w:val="18"/>
          <w:szCs w:val="18"/>
        </w:rPr>
        <w:t xml:space="preserve"> el párrafo tercero del numeral 8.5 de la </w:t>
      </w:r>
      <w:bookmarkStart w:id="14" w:name="_Hlk142043002"/>
      <w:r w:rsidRPr="00237607">
        <w:rPr>
          <w:rFonts w:ascii="Arial" w:hAnsi="Arial" w:cs="Arial"/>
          <w:sz w:val="18"/>
          <w:szCs w:val="18"/>
        </w:rPr>
        <w:t>“Disposición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día 27 de abril de 2017</w:t>
      </w:r>
      <w:bookmarkEnd w:id="14"/>
      <w:r w:rsidRPr="00237607">
        <w:rPr>
          <w:rFonts w:ascii="Arial" w:hAnsi="Arial" w:cs="Arial"/>
          <w:sz w:val="18"/>
          <w:szCs w:val="18"/>
        </w:rPr>
        <w:t>, para quedar como sigue:</w:t>
      </w:r>
    </w:p>
    <w:p w14:paraId="0F841E4E" w14:textId="77777777" w:rsidR="00A7669E" w:rsidRPr="00237607" w:rsidRDefault="00A7669E" w:rsidP="00AC7328">
      <w:pPr>
        <w:spacing w:after="0"/>
        <w:jc w:val="both"/>
        <w:rPr>
          <w:rFonts w:ascii="Arial" w:hAnsi="Arial" w:cs="Arial"/>
          <w:b/>
          <w:sz w:val="18"/>
          <w:szCs w:val="18"/>
        </w:rPr>
      </w:pPr>
    </w:p>
    <w:p w14:paraId="5A8B5D4B" w14:textId="77777777" w:rsidR="00A7669E" w:rsidRPr="00237607" w:rsidRDefault="00A7669E" w:rsidP="00AC7328">
      <w:pPr>
        <w:pStyle w:val="Texto"/>
        <w:spacing w:line="276" w:lineRule="auto"/>
        <w:ind w:left="1276" w:right="615" w:hanging="425"/>
        <w:rPr>
          <w:b/>
          <w:szCs w:val="18"/>
        </w:rPr>
      </w:pPr>
      <w:r w:rsidRPr="00237607">
        <w:rPr>
          <w:b/>
          <w:szCs w:val="18"/>
        </w:rPr>
        <w:t>“8.5 Vigilancia del cumplimiento de la certificación.</w:t>
      </w:r>
    </w:p>
    <w:p w14:paraId="2F86E09C"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64639CC2"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5C81A161" w14:textId="77777777" w:rsidR="00A7669E" w:rsidRPr="00237607" w:rsidRDefault="00A7669E" w:rsidP="00AC7328">
      <w:pPr>
        <w:pStyle w:val="Texto"/>
        <w:spacing w:line="276" w:lineRule="auto"/>
        <w:ind w:left="993" w:right="615" w:firstLine="141"/>
        <w:rPr>
          <w:szCs w:val="18"/>
          <w:lang w:val="es-ES"/>
        </w:rPr>
      </w:pPr>
      <w:r w:rsidRPr="00237607">
        <w:rPr>
          <w:szCs w:val="18"/>
          <w:lang w:val="es-ES"/>
        </w:rPr>
        <w:t xml:space="preserve">El porcentaje de certificados sujetos a actividades de Vigilancia del cumplimiento de la certificación (incluido el número de visitas de Vigilancia del cumplimiento de la certificación) relativas a la presente Disposición Técnica será establecido por la Unidad de Concesiones y Servicios anualmente y publicado en el portal de Internet del Instituto en el mes de octubre del año previo al que se pretende realizar dichas actividades. </w:t>
      </w:r>
    </w:p>
    <w:p w14:paraId="7418FD72"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7DBFFE3D"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498965DE"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3715CB4B"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5A24C753"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4FFF9524"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1B0965B0"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528EE216"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w:t>
      </w:r>
    </w:p>
    <w:p w14:paraId="4E8434F7" w14:textId="77777777" w:rsidR="00A7669E" w:rsidRPr="00237607" w:rsidRDefault="00A7669E" w:rsidP="00AC7328">
      <w:pPr>
        <w:pStyle w:val="Texto"/>
        <w:spacing w:line="276" w:lineRule="auto"/>
        <w:ind w:left="993" w:right="615" w:firstLine="0"/>
        <w:rPr>
          <w:szCs w:val="18"/>
          <w:lang w:val="es-ES"/>
        </w:rPr>
      </w:pPr>
      <w:r w:rsidRPr="00237607">
        <w:rPr>
          <w:szCs w:val="18"/>
          <w:lang w:val="es-ES"/>
        </w:rPr>
        <w:t>… ”</w:t>
      </w:r>
    </w:p>
    <w:p w14:paraId="40F0D2CE" w14:textId="77777777" w:rsidR="00A7669E" w:rsidRPr="00237607" w:rsidRDefault="00A7669E" w:rsidP="00AC7328">
      <w:pPr>
        <w:spacing w:after="0"/>
        <w:jc w:val="both"/>
        <w:rPr>
          <w:rFonts w:ascii="Arial" w:hAnsi="Arial" w:cs="Arial"/>
          <w:sz w:val="18"/>
          <w:szCs w:val="18"/>
        </w:rPr>
      </w:pPr>
    </w:p>
    <w:p w14:paraId="71D3F1F7" w14:textId="77777777" w:rsidR="00A7669E" w:rsidRPr="00237607" w:rsidRDefault="00A7669E" w:rsidP="00AC7328">
      <w:pPr>
        <w:spacing w:after="0"/>
        <w:jc w:val="both"/>
        <w:rPr>
          <w:rFonts w:ascii="Arial" w:hAnsi="Arial" w:cs="Arial"/>
          <w:sz w:val="18"/>
          <w:szCs w:val="18"/>
        </w:rPr>
      </w:pPr>
      <w:r w:rsidRPr="00237607">
        <w:rPr>
          <w:rFonts w:ascii="Arial" w:hAnsi="Arial" w:cs="Arial"/>
          <w:sz w:val="18"/>
          <w:szCs w:val="18"/>
        </w:rPr>
        <w:t xml:space="preserve">Derivado de lo anterior, se elimina el trámite </w:t>
      </w:r>
      <w:bookmarkStart w:id="15" w:name="_Hlk142042970"/>
      <w:r w:rsidRPr="00237607">
        <w:rPr>
          <w:rFonts w:ascii="Arial" w:hAnsi="Arial" w:cs="Arial"/>
          <w:sz w:val="18"/>
          <w:szCs w:val="18"/>
        </w:rPr>
        <w:t>UCS-04-076 “Envío de Propuesta de actividades de Vigilancia del cumplimiento de la certificación”</w:t>
      </w:r>
      <w:bookmarkEnd w:id="15"/>
      <w:r w:rsidRPr="00237607">
        <w:rPr>
          <w:rFonts w:ascii="Arial" w:hAnsi="Arial" w:cs="Arial"/>
          <w:sz w:val="18"/>
          <w:szCs w:val="18"/>
        </w:rPr>
        <w:t>, así como su inscripción en el Registro de Trámites y Servicios del Instituto Federal de Telecomunicaciones.</w:t>
      </w:r>
    </w:p>
    <w:p w14:paraId="6AF6755B" w14:textId="77777777" w:rsidR="00A7669E" w:rsidRPr="00237607" w:rsidRDefault="00A7669E" w:rsidP="00AC7328">
      <w:pPr>
        <w:spacing w:after="0"/>
        <w:jc w:val="both"/>
        <w:rPr>
          <w:rFonts w:ascii="Arial" w:hAnsi="Arial" w:cs="Arial"/>
          <w:b/>
          <w:sz w:val="18"/>
          <w:szCs w:val="18"/>
        </w:rPr>
      </w:pPr>
    </w:p>
    <w:p w14:paraId="0C01222B" w14:textId="77777777"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Sexto. - </w:t>
      </w:r>
      <w:r w:rsidRPr="00237607">
        <w:rPr>
          <w:rFonts w:ascii="Arial" w:hAnsi="Arial" w:cs="Arial"/>
          <w:sz w:val="18"/>
          <w:szCs w:val="18"/>
        </w:rPr>
        <w:t xml:space="preserve">Se </w:t>
      </w:r>
      <w:r w:rsidRPr="00237607">
        <w:rPr>
          <w:rFonts w:ascii="Arial" w:hAnsi="Arial" w:cs="Arial"/>
          <w:b/>
          <w:bCs/>
          <w:sz w:val="18"/>
          <w:szCs w:val="18"/>
        </w:rPr>
        <w:t xml:space="preserve">DEROGA </w:t>
      </w:r>
      <w:r w:rsidRPr="00237607">
        <w:rPr>
          <w:rFonts w:ascii="Arial" w:hAnsi="Arial" w:cs="Arial"/>
          <w:bCs/>
          <w:sz w:val="18"/>
          <w:szCs w:val="18"/>
        </w:rPr>
        <w:t xml:space="preserve">el </w:t>
      </w:r>
      <w:bookmarkStart w:id="16" w:name="_Hlk142043147"/>
      <w:r w:rsidRPr="00237607">
        <w:rPr>
          <w:rFonts w:ascii="Arial" w:hAnsi="Arial" w:cs="Arial"/>
          <w:bCs/>
          <w:sz w:val="18"/>
          <w:szCs w:val="18"/>
        </w:rPr>
        <w:t>último párrafo de</w:t>
      </w:r>
      <w:r w:rsidRPr="00237607">
        <w:rPr>
          <w:rFonts w:ascii="Arial" w:hAnsi="Arial" w:cs="Arial"/>
          <w:b/>
          <w:bCs/>
          <w:sz w:val="18"/>
          <w:szCs w:val="18"/>
        </w:rPr>
        <w:t xml:space="preserve"> </w:t>
      </w:r>
      <w:r w:rsidRPr="00237607">
        <w:rPr>
          <w:rFonts w:ascii="Arial" w:hAnsi="Arial" w:cs="Arial"/>
          <w:sz w:val="18"/>
          <w:szCs w:val="18"/>
        </w:rPr>
        <w:t>los ANEXOS 1 y 2 de los “Lineamientos Generales de Accesibilidad al Servicio de Televisión Radiodifundida”, publicados en el DOF el día 17 de septiembre de 2018</w:t>
      </w:r>
      <w:bookmarkEnd w:id="16"/>
      <w:r w:rsidRPr="00237607">
        <w:rPr>
          <w:rFonts w:ascii="Arial" w:hAnsi="Arial" w:cs="Arial"/>
          <w:sz w:val="18"/>
          <w:szCs w:val="18"/>
        </w:rPr>
        <w:t>.</w:t>
      </w:r>
    </w:p>
    <w:p w14:paraId="228873B6" w14:textId="77777777" w:rsidR="00A7669E" w:rsidRPr="00237607" w:rsidRDefault="00A7669E" w:rsidP="00AC7328">
      <w:pPr>
        <w:spacing w:after="0"/>
        <w:jc w:val="both"/>
        <w:rPr>
          <w:rFonts w:ascii="Arial" w:hAnsi="Arial" w:cs="Arial"/>
          <w:sz w:val="18"/>
          <w:szCs w:val="18"/>
        </w:rPr>
      </w:pPr>
    </w:p>
    <w:p w14:paraId="67CBC769" w14:textId="77777777" w:rsidR="00A7669E" w:rsidRPr="00237607" w:rsidRDefault="00A7669E" w:rsidP="00AC7328">
      <w:pPr>
        <w:spacing w:after="0"/>
        <w:jc w:val="both"/>
        <w:rPr>
          <w:rFonts w:ascii="Arial" w:hAnsi="Arial" w:cs="Arial"/>
          <w:sz w:val="18"/>
          <w:szCs w:val="18"/>
        </w:rPr>
      </w:pPr>
      <w:r w:rsidRPr="00237607">
        <w:rPr>
          <w:rFonts w:ascii="Arial" w:hAnsi="Arial" w:cs="Arial"/>
          <w:sz w:val="18"/>
          <w:szCs w:val="18"/>
        </w:rPr>
        <w:lastRenderedPageBreak/>
        <w:t xml:space="preserve">Derivado de lo anterior, se elimina, del Registro de Trámites y Servicios del Instituto Federal de Telecomunicaciones, el registro del servicio </w:t>
      </w:r>
      <w:bookmarkStart w:id="17" w:name="_Hlk141959145"/>
      <w:r w:rsidRPr="00237607">
        <w:rPr>
          <w:rFonts w:ascii="Arial" w:hAnsi="Arial" w:cs="Arial"/>
          <w:sz w:val="18"/>
          <w:szCs w:val="18"/>
        </w:rPr>
        <w:t>UMCA-01-007 “Resolución de dudas sobre los elementos técnicos que debe contener el Símbolo de Subtitulaje Oculto o el Símbolo de Lengua de Señas Mexicana”</w:t>
      </w:r>
      <w:bookmarkEnd w:id="17"/>
      <w:r w:rsidRPr="00237607">
        <w:rPr>
          <w:rFonts w:ascii="Arial" w:hAnsi="Arial" w:cs="Arial"/>
          <w:sz w:val="18"/>
          <w:szCs w:val="18"/>
        </w:rPr>
        <w:t xml:space="preserve">. </w:t>
      </w:r>
    </w:p>
    <w:p w14:paraId="0FADED20" w14:textId="77777777" w:rsidR="00A7669E" w:rsidRPr="00237607" w:rsidRDefault="00A7669E" w:rsidP="00AC7328">
      <w:pPr>
        <w:spacing w:after="0"/>
        <w:jc w:val="both"/>
        <w:rPr>
          <w:rFonts w:ascii="Arial" w:hAnsi="Arial" w:cs="Arial"/>
          <w:sz w:val="18"/>
          <w:szCs w:val="18"/>
        </w:rPr>
      </w:pPr>
    </w:p>
    <w:p w14:paraId="1E6EA045" w14:textId="27C86BD4"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Séptimo. - </w:t>
      </w:r>
      <w:r w:rsidRPr="00237607">
        <w:rPr>
          <w:rFonts w:ascii="Arial" w:hAnsi="Arial" w:cs="Arial"/>
          <w:sz w:val="18"/>
          <w:szCs w:val="18"/>
        </w:rPr>
        <w:t>Sin perjuicio de lo dispuesto en las disposiciones aplicables a los trámites que se indican más adelante y sólo para efectos del Registro de Trámites y Servicios del Instituto Federal de Telecomunicaciones, se elimina la inscripción en dicho repositorio de los siguientes</w:t>
      </w:r>
      <w:r w:rsidR="00B5607D">
        <w:rPr>
          <w:rFonts w:ascii="Arial" w:hAnsi="Arial" w:cs="Arial"/>
          <w:sz w:val="18"/>
          <w:szCs w:val="18"/>
        </w:rPr>
        <w:t xml:space="preserve"> trámites</w:t>
      </w:r>
      <w:r w:rsidRPr="00237607">
        <w:rPr>
          <w:rFonts w:ascii="Arial" w:hAnsi="Arial" w:cs="Arial"/>
          <w:sz w:val="18"/>
          <w:szCs w:val="18"/>
        </w:rPr>
        <w:t>:</w:t>
      </w:r>
    </w:p>
    <w:p w14:paraId="15074106" w14:textId="77777777" w:rsidR="00A7669E" w:rsidRPr="00237607" w:rsidRDefault="00A7669E" w:rsidP="00AC7328">
      <w:pPr>
        <w:spacing w:after="0"/>
        <w:jc w:val="both"/>
        <w:rPr>
          <w:rFonts w:ascii="Arial" w:hAnsi="Arial" w:cs="Arial"/>
          <w:sz w:val="18"/>
          <w:szCs w:val="18"/>
        </w:rPr>
      </w:pPr>
    </w:p>
    <w:p w14:paraId="5256415F" w14:textId="77777777" w:rsidR="00A7669E" w:rsidRPr="00237607" w:rsidRDefault="00A7669E" w:rsidP="00AC7328">
      <w:pPr>
        <w:pStyle w:val="Prrafodelista"/>
        <w:numPr>
          <w:ilvl w:val="0"/>
          <w:numId w:val="19"/>
        </w:numPr>
        <w:spacing w:line="276" w:lineRule="auto"/>
        <w:jc w:val="both"/>
        <w:rPr>
          <w:rFonts w:cs="Arial"/>
          <w:sz w:val="18"/>
          <w:szCs w:val="18"/>
        </w:rPr>
      </w:pPr>
      <w:bookmarkStart w:id="18" w:name="_Hlk142043315"/>
      <w:r w:rsidRPr="00237607">
        <w:rPr>
          <w:rFonts w:cs="Arial"/>
          <w:sz w:val="18"/>
          <w:szCs w:val="18"/>
        </w:rPr>
        <w:t xml:space="preserve">UC-02-002 “Aviso con las manifestaciones de los prestadores del servicio móvil respecto a los resultados de las mediciones de los parámetros de calidad” y </w:t>
      </w:r>
    </w:p>
    <w:p w14:paraId="5216AA35" w14:textId="77777777" w:rsidR="00A7669E" w:rsidRPr="00237607" w:rsidRDefault="00A7669E" w:rsidP="00AC7328">
      <w:pPr>
        <w:pStyle w:val="Prrafodelista"/>
        <w:numPr>
          <w:ilvl w:val="0"/>
          <w:numId w:val="19"/>
        </w:numPr>
        <w:spacing w:line="276" w:lineRule="auto"/>
        <w:jc w:val="both"/>
        <w:rPr>
          <w:rFonts w:cs="Arial"/>
          <w:sz w:val="18"/>
          <w:szCs w:val="18"/>
        </w:rPr>
      </w:pPr>
      <w:r w:rsidRPr="00237607">
        <w:rPr>
          <w:rFonts w:cs="Arial"/>
          <w:sz w:val="18"/>
          <w:szCs w:val="18"/>
        </w:rPr>
        <w:t>UC-02-003 “Presentación del aviso de las manifestaciones de los concesionarios y autorizados sobre el ejercicio de medición de los índices de calidad, de las estaciones de Televisión, Equipos Auxiliares y Complementarios”</w:t>
      </w:r>
    </w:p>
    <w:bookmarkEnd w:id="18"/>
    <w:p w14:paraId="4A8CA525" w14:textId="77777777" w:rsidR="00A7669E" w:rsidRPr="00237607" w:rsidRDefault="00A7669E" w:rsidP="00AC7328">
      <w:pPr>
        <w:pStyle w:val="Prrafodelista"/>
        <w:spacing w:line="276" w:lineRule="auto"/>
        <w:ind w:left="851"/>
        <w:jc w:val="both"/>
        <w:rPr>
          <w:rFonts w:cs="Arial"/>
          <w:sz w:val="18"/>
          <w:szCs w:val="18"/>
        </w:rPr>
      </w:pPr>
    </w:p>
    <w:p w14:paraId="258CD39F" w14:textId="77777777"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Octavo. - </w:t>
      </w:r>
      <w:r w:rsidRPr="00237607">
        <w:rPr>
          <w:rFonts w:ascii="Arial" w:hAnsi="Arial" w:cs="Arial"/>
          <w:sz w:val="18"/>
          <w:szCs w:val="18"/>
        </w:rPr>
        <w:t>Se elimina</w:t>
      </w:r>
      <w:r w:rsidRPr="00237607">
        <w:rPr>
          <w:rFonts w:ascii="Arial" w:hAnsi="Arial" w:cs="Arial"/>
          <w:b/>
          <w:sz w:val="18"/>
          <w:szCs w:val="18"/>
        </w:rPr>
        <w:t xml:space="preserve"> </w:t>
      </w:r>
      <w:r w:rsidRPr="00237607">
        <w:rPr>
          <w:rFonts w:ascii="Arial" w:hAnsi="Arial" w:cs="Arial"/>
          <w:sz w:val="18"/>
          <w:szCs w:val="18"/>
        </w:rPr>
        <w:t>del Registro de Trámites y Servicios del Instituto Federal de Telecomunicaciones la inscripción del siguiente trámite:</w:t>
      </w:r>
    </w:p>
    <w:p w14:paraId="269F4E29" w14:textId="77777777" w:rsidR="00A7669E" w:rsidRPr="00237607" w:rsidRDefault="00A7669E" w:rsidP="00AC7328">
      <w:pPr>
        <w:spacing w:after="0"/>
        <w:jc w:val="both"/>
        <w:rPr>
          <w:rFonts w:ascii="Arial" w:hAnsi="Arial" w:cs="Arial"/>
          <w:b/>
          <w:sz w:val="18"/>
          <w:szCs w:val="18"/>
        </w:rPr>
      </w:pPr>
    </w:p>
    <w:p w14:paraId="488634BD" w14:textId="77777777" w:rsidR="00A7669E" w:rsidRPr="00237607" w:rsidRDefault="00A7669E" w:rsidP="00AC7328">
      <w:pPr>
        <w:pStyle w:val="Prrafodelista"/>
        <w:numPr>
          <w:ilvl w:val="0"/>
          <w:numId w:val="20"/>
        </w:numPr>
        <w:spacing w:line="276" w:lineRule="auto"/>
        <w:jc w:val="both"/>
        <w:rPr>
          <w:rFonts w:cs="Arial"/>
          <w:sz w:val="18"/>
          <w:szCs w:val="18"/>
        </w:rPr>
      </w:pPr>
      <w:r w:rsidRPr="00237607">
        <w:rPr>
          <w:rFonts w:cs="Arial"/>
          <w:sz w:val="18"/>
          <w:szCs w:val="18"/>
        </w:rPr>
        <w:t>UC-01-004 “Presentación del aviso de transmisión del Canal Judicial de la Suprema Corte de Justicia de la Nación”</w:t>
      </w:r>
    </w:p>
    <w:p w14:paraId="5FA21930" w14:textId="77777777" w:rsidR="00A7669E" w:rsidRPr="00237607" w:rsidRDefault="00A7669E" w:rsidP="00AC7328">
      <w:pPr>
        <w:spacing w:after="0"/>
        <w:jc w:val="both"/>
        <w:rPr>
          <w:rFonts w:ascii="Arial" w:hAnsi="Arial" w:cs="Arial"/>
          <w:b/>
          <w:sz w:val="18"/>
          <w:szCs w:val="18"/>
        </w:rPr>
      </w:pPr>
    </w:p>
    <w:p w14:paraId="59A9FCB1" w14:textId="77777777" w:rsidR="00A7669E" w:rsidRPr="00237607" w:rsidRDefault="00A7669E" w:rsidP="00AC7328">
      <w:pPr>
        <w:spacing w:after="0"/>
        <w:jc w:val="center"/>
        <w:rPr>
          <w:rFonts w:ascii="Arial" w:hAnsi="Arial" w:cs="Arial"/>
          <w:b/>
          <w:sz w:val="18"/>
          <w:szCs w:val="18"/>
        </w:rPr>
      </w:pPr>
      <w:r w:rsidRPr="00237607">
        <w:rPr>
          <w:rFonts w:ascii="Arial" w:hAnsi="Arial" w:cs="Arial"/>
          <w:b/>
          <w:sz w:val="18"/>
          <w:szCs w:val="18"/>
        </w:rPr>
        <w:t>TRANSITORIOS</w:t>
      </w:r>
    </w:p>
    <w:p w14:paraId="694FE59E" w14:textId="77777777" w:rsidR="00A7669E" w:rsidRPr="00237607" w:rsidRDefault="00A7669E" w:rsidP="00AC7328">
      <w:pPr>
        <w:spacing w:after="0"/>
        <w:jc w:val="center"/>
        <w:rPr>
          <w:rFonts w:ascii="Arial" w:hAnsi="Arial" w:cs="Arial"/>
          <w:b/>
          <w:sz w:val="18"/>
          <w:szCs w:val="18"/>
        </w:rPr>
      </w:pPr>
    </w:p>
    <w:p w14:paraId="3928DE01" w14:textId="77777777" w:rsidR="00A7669E" w:rsidRPr="00237607" w:rsidRDefault="00A7669E" w:rsidP="00AC7328">
      <w:pPr>
        <w:spacing w:after="0"/>
        <w:jc w:val="both"/>
        <w:rPr>
          <w:rFonts w:ascii="Arial" w:hAnsi="Arial" w:cs="Arial"/>
          <w:sz w:val="18"/>
          <w:szCs w:val="18"/>
        </w:rPr>
      </w:pPr>
      <w:r w:rsidRPr="00237607">
        <w:rPr>
          <w:rFonts w:ascii="Arial" w:hAnsi="Arial" w:cs="Arial"/>
          <w:b/>
          <w:sz w:val="18"/>
          <w:szCs w:val="18"/>
        </w:rPr>
        <w:t xml:space="preserve">Primero. - </w:t>
      </w:r>
      <w:r w:rsidRPr="00237607">
        <w:rPr>
          <w:rFonts w:ascii="Arial" w:hAnsi="Arial" w:cs="Arial"/>
          <w:sz w:val="18"/>
          <w:szCs w:val="18"/>
        </w:rPr>
        <w:t>El presente Acuerdo entrará en vigor al día hábil siguiente de su publicación en el Diario Oficial de la Federación.</w:t>
      </w:r>
    </w:p>
    <w:p w14:paraId="6FD98CA6" w14:textId="77777777" w:rsidR="00A7669E" w:rsidRPr="00237607" w:rsidRDefault="00A7669E" w:rsidP="00AC7328">
      <w:pPr>
        <w:spacing w:after="0"/>
        <w:jc w:val="both"/>
        <w:rPr>
          <w:rFonts w:ascii="Arial" w:hAnsi="Arial" w:cs="Arial"/>
          <w:b/>
          <w:sz w:val="18"/>
          <w:szCs w:val="18"/>
        </w:rPr>
      </w:pPr>
    </w:p>
    <w:p w14:paraId="07F5B6AB" w14:textId="1B8125B7" w:rsidR="00A7669E" w:rsidRPr="00237607" w:rsidRDefault="00A7669E" w:rsidP="00AC7328">
      <w:pPr>
        <w:spacing w:after="0"/>
        <w:jc w:val="both"/>
        <w:rPr>
          <w:rFonts w:ascii="Arial" w:hAnsi="Arial" w:cs="Arial"/>
          <w:sz w:val="18"/>
          <w:szCs w:val="18"/>
          <w:lang w:val="es-MX"/>
        </w:rPr>
      </w:pPr>
      <w:r w:rsidRPr="00237607">
        <w:rPr>
          <w:rFonts w:ascii="Arial" w:hAnsi="Arial" w:cs="Arial"/>
          <w:b/>
          <w:sz w:val="18"/>
          <w:szCs w:val="18"/>
        </w:rPr>
        <w:t xml:space="preserve">Segundo. - </w:t>
      </w:r>
      <w:r w:rsidRPr="00237607">
        <w:rPr>
          <w:rFonts w:ascii="Arial" w:hAnsi="Arial" w:cs="Arial"/>
          <w:sz w:val="18"/>
          <w:szCs w:val="18"/>
        </w:rPr>
        <w:t xml:space="preserve">Publíquese el presente Acuerdo en el Diario Oficial de la </w:t>
      </w:r>
      <w:r w:rsidR="004D6932" w:rsidRPr="00237607">
        <w:rPr>
          <w:rFonts w:ascii="Arial" w:hAnsi="Arial" w:cs="Arial"/>
          <w:sz w:val="18"/>
          <w:szCs w:val="18"/>
        </w:rPr>
        <w:t>Federación, de conformidad con lo dispuesto en el artículo 46 de la Ley Federal de Telecomunicaciones y Radiodifusión y en el Portal de Internet del Instituto Federal de Telecomunicaciones.</w:t>
      </w:r>
    </w:p>
    <w:p w14:paraId="786D630F" w14:textId="77777777" w:rsidR="00A7669E" w:rsidRPr="00237607" w:rsidRDefault="00A7669E" w:rsidP="00237607">
      <w:pPr>
        <w:pStyle w:val="Texto"/>
        <w:spacing w:line="276" w:lineRule="auto"/>
        <w:jc w:val="center"/>
        <w:rPr>
          <w:szCs w:val="18"/>
        </w:rPr>
      </w:pPr>
    </w:p>
    <w:p w14:paraId="587E0A90" w14:textId="424F8068" w:rsidR="001B163B" w:rsidRPr="00237607" w:rsidRDefault="001B163B" w:rsidP="00AC7328">
      <w:pPr>
        <w:spacing w:before="23" w:after="23"/>
        <w:contextualSpacing/>
        <w:jc w:val="both"/>
        <w:rPr>
          <w:rFonts w:ascii="Arial" w:hAnsi="Arial" w:cs="Arial"/>
          <w:bCs/>
          <w:sz w:val="18"/>
          <w:szCs w:val="18"/>
          <w:lang w:val="es-MX"/>
        </w:rPr>
      </w:pPr>
    </w:p>
    <w:sectPr w:rsidR="001B163B" w:rsidRPr="00237607" w:rsidSect="0011347F">
      <w:headerReference w:type="even" r:id="rId8"/>
      <w:headerReference w:type="default" r:id="rId9"/>
      <w:footerReference w:type="default" r:id="rId10"/>
      <w:headerReference w:type="first" r:id="rId11"/>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353B" w14:textId="77777777" w:rsidR="00083EA3" w:rsidRDefault="00083EA3" w:rsidP="000F1667">
      <w:pPr>
        <w:spacing w:after="0" w:line="240" w:lineRule="auto"/>
      </w:pPr>
      <w:r>
        <w:separator/>
      </w:r>
    </w:p>
  </w:endnote>
  <w:endnote w:type="continuationSeparator" w:id="0">
    <w:p w14:paraId="34204058" w14:textId="77777777" w:rsidR="00083EA3" w:rsidRDefault="00083EA3"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F086" w14:textId="77777777" w:rsidR="00083EA3" w:rsidRDefault="00083EA3" w:rsidP="000F1667">
      <w:pPr>
        <w:spacing w:after="0" w:line="240" w:lineRule="auto"/>
      </w:pPr>
      <w:r>
        <w:separator/>
      </w:r>
    </w:p>
  </w:footnote>
  <w:footnote w:type="continuationSeparator" w:id="0">
    <w:p w14:paraId="0D4C2BBD" w14:textId="77777777" w:rsidR="00083EA3" w:rsidRDefault="00083EA3" w:rsidP="000F1667">
      <w:pPr>
        <w:spacing w:after="0" w:line="240" w:lineRule="auto"/>
      </w:pPr>
      <w:r>
        <w:continuationSeparator/>
      </w:r>
    </w:p>
  </w:footnote>
  <w:footnote w:id="1">
    <w:p w14:paraId="40BF56D3" w14:textId="6656DD76" w:rsidR="00B524C5" w:rsidRPr="00237607" w:rsidRDefault="00B524C5" w:rsidP="000E1B79">
      <w:pPr>
        <w:pStyle w:val="Textonotapie"/>
        <w:jc w:val="both"/>
        <w:rPr>
          <w:rFonts w:ascii="Arial" w:hAnsi="Arial" w:cs="Arial"/>
          <w:sz w:val="18"/>
          <w:szCs w:val="18"/>
          <w:lang w:val="es-MX"/>
        </w:rPr>
      </w:pPr>
      <w:r w:rsidRPr="00237607">
        <w:rPr>
          <w:rStyle w:val="Refdenotaalpie"/>
          <w:rFonts w:ascii="Arial" w:hAnsi="Arial" w:cs="Arial"/>
          <w:sz w:val="18"/>
          <w:szCs w:val="18"/>
        </w:rPr>
        <w:footnoteRef/>
      </w:r>
      <w:r w:rsidRPr="00237607">
        <w:rPr>
          <w:rFonts w:ascii="Arial" w:hAnsi="Arial" w:cs="Arial"/>
          <w:sz w:val="18"/>
          <w:szCs w:val="18"/>
        </w:rPr>
        <w:t xml:space="preserve"> Comité de Política Regulatoria de la OCDE. (2012). “</w:t>
      </w:r>
      <w:r w:rsidRPr="00237607">
        <w:rPr>
          <w:rFonts w:ascii="Arial" w:hAnsi="Arial" w:cs="Arial"/>
          <w:i/>
          <w:sz w:val="18"/>
          <w:szCs w:val="18"/>
        </w:rPr>
        <w:t>Recomendación del Consejo sobre Política y Gobernanza Regulatoria”</w:t>
      </w:r>
      <w:r w:rsidRPr="00237607">
        <w:rPr>
          <w:rFonts w:ascii="Arial" w:hAnsi="Arial" w:cs="Arial"/>
          <w:sz w:val="18"/>
          <w:szCs w:val="18"/>
        </w:rPr>
        <w:t>.</w:t>
      </w:r>
      <w:r w:rsidR="00555A45" w:rsidRPr="00237607">
        <w:rPr>
          <w:rFonts w:ascii="Arial" w:hAnsi="Arial" w:cs="Arial"/>
          <w:sz w:val="18"/>
          <w:szCs w:val="18"/>
        </w:rPr>
        <w:t xml:space="preserve"> Consultable en</w:t>
      </w:r>
      <w:r w:rsidRPr="00237607">
        <w:rPr>
          <w:rFonts w:ascii="Arial" w:hAnsi="Arial" w:cs="Arial"/>
          <w:sz w:val="18"/>
          <w:szCs w:val="18"/>
        </w:rPr>
        <w:t xml:space="preserve"> </w:t>
      </w:r>
      <w:hyperlink r:id="rId1" w:history="1">
        <w:r w:rsidR="00555A45" w:rsidRPr="00237607">
          <w:rPr>
            <w:rStyle w:val="Hipervnculo"/>
            <w:rFonts w:ascii="Arial" w:hAnsi="Arial" w:cs="Arial"/>
            <w:sz w:val="18"/>
            <w:szCs w:val="18"/>
          </w:rPr>
          <w:t>https://www.oecd.org/gov/regulatory-policy/Recommendation%20with%20cover%20SP.pdf</w:t>
        </w:r>
      </w:hyperlink>
      <w:r w:rsidR="00555A45" w:rsidRPr="00237607">
        <w:rPr>
          <w:rFonts w:ascii="Arial" w:hAnsi="Arial" w:cs="Arial"/>
          <w:sz w:val="18"/>
          <w:szCs w:val="18"/>
        </w:rPr>
        <w:t xml:space="preserve"> </w:t>
      </w:r>
    </w:p>
  </w:footnote>
  <w:footnote w:id="2">
    <w:p w14:paraId="2DC45BEB" w14:textId="21000673" w:rsidR="00B524C5" w:rsidRPr="002740BB" w:rsidRDefault="00B524C5" w:rsidP="00555A45">
      <w:pPr>
        <w:pStyle w:val="Textonotapie"/>
        <w:jc w:val="both"/>
        <w:rPr>
          <w:rFonts w:ascii="Arial" w:hAnsi="Arial" w:cs="Arial"/>
          <w:sz w:val="14"/>
          <w:szCs w:val="14"/>
          <w:lang w:val="es-MX"/>
        </w:rPr>
      </w:pPr>
      <w:r w:rsidRPr="00237607">
        <w:rPr>
          <w:rStyle w:val="Refdenotaalpie"/>
          <w:rFonts w:ascii="Arial" w:hAnsi="Arial" w:cs="Arial"/>
          <w:sz w:val="18"/>
          <w:szCs w:val="18"/>
        </w:rPr>
        <w:footnoteRef/>
      </w:r>
      <w:r w:rsidRPr="00237607">
        <w:rPr>
          <w:rFonts w:ascii="Arial" w:hAnsi="Arial" w:cs="Arial"/>
          <w:sz w:val="18"/>
          <w:szCs w:val="18"/>
          <w:lang w:val="es-MX"/>
        </w:rPr>
        <w:t xml:space="preserve"> </w:t>
      </w:r>
      <w:bookmarkStart w:id="8" w:name="_Hlk147227078"/>
      <w:r w:rsidR="00555A45" w:rsidRPr="00237607">
        <w:rPr>
          <w:rFonts w:ascii="Arial" w:hAnsi="Arial" w:cs="Arial"/>
          <w:sz w:val="18"/>
          <w:szCs w:val="18"/>
          <w:lang w:val="es-MX"/>
        </w:rPr>
        <w:t>OCDE (2012, “El ABC de la mejora regulatoria para las entidades federativas y los municipios: Guía práctica para funcionarios,</w:t>
      </w:r>
      <w:r w:rsidR="00704C23" w:rsidRPr="00237607">
        <w:rPr>
          <w:rFonts w:ascii="Arial" w:hAnsi="Arial" w:cs="Arial"/>
          <w:sz w:val="18"/>
          <w:szCs w:val="18"/>
          <w:lang w:val="es-MX"/>
        </w:rPr>
        <w:t xml:space="preserve"> </w:t>
      </w:r>
      <w:r w:rsidR="00555A45" w:rsidRPr="00237607">
        <w:rPr>
          <w:rFonts w:ascii="Arial" w:hAnsi="Arial" w:cs="Arial"/>
          <w:sz w:val="18"/>
          <w:szCs w:val="18"/>
          <w:lang w:val="es-MX"/>
        </w:rPr>
        <w:t>empresarios y ciudadanos”</w:t>
      </w:r>
      <w:r w:rsidRPr="00237607">
        <w:rPr>
          <w:rFonts w:ascii="Arial" w:hAnsi="Arial" w:cs="Arial"/>
          <w:sz w:val="18"/>
          <w:szCs w:val="18"/>
        </w:rPr>
        <w:t>.</w:t>
      </w:r>
      <w:r w:rsidR="00555A45" w:rsidRPr="00237607">
        <w:rPr>
          <w:rFonts w:ascii="Arial" w:hAnsi="Arial" w:cs="Arial"/>
          <w:sz w:val="18"/>
          <w:szCs w:val="18"/>
        </w:rPr>
        <w:t xml:space="preserve"> Consultable en </w:t>
      </w:r>
      <w:hyperlink r:id="rId2" w:history="1">
        <w:r w:rsidR="00555A45" w:rsidRPr="00237607">
          <w:rPr>
            <w:rStyle w:val="Hipervnculo"/>
            <w:rFonts w:ascii="Arial" w:hAnsi="Arial" w:cs="Arial"/>
            <w:sz w:val="18"/>
            <w:szCs w:val="18"/>
          </w:rPr>
          <w:t>https://www.oecd.org/gov/regulatory-policy/abc-manual-for-regulatory-reform-spanish-version.pdf</w:t>
        </w:r>
      </w:hyperlink>
      <w:bookmarkEnd w:id="8"/>
      <w:r w:rsidR="00555A45" w:rsidRPr="00237607">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AB8C" w14:textId="46FECEDD" w:rsidR="00B35E67" w:rsidRDefault="002622A1">
    <w:pPr>
      <w:pStyle w:val="Encabezado"/>
    </w:pPr>
    <w:r>
      <w:rPr>
        <w:noProof/>
      </w:rPr>
      <w:pict w14:anchorId="3465F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79391" o:spid="_x0000_s2055"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74C0EED7" w:rsidR="00BB6A0B" w:rsidRDefault="002622A1">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7"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9428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79392" o:spid="_x0000_s2056"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A230" w14:textId="7D460F2D" w:rsidR="00B35E67" w:rsidRDefault="002622A1">
    <w:pPr>
      <w:pStyle w:val="Encabezado"/>
    </w:pPr>
    <w:r>
      <w:rPr>
        <w:noProof/>
      </w:rPr>
      <w:pict w14:anchorId="21C42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79390" o:spid="_x0000_s2054"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F01901"/>
    <w:multiLevelType w:val="hybridMultilevel"/>
    <w:tmpl w:val="386295DC"/>
    <w:lvl w:ilvl="0" w:tplc="74FC7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5001954"/>
    <w:multiLevelType w:val="hybridMultilevel"/>
    <w:tmpl w:val="C3F29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8A382D"/>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9"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0" w15:restartNumberingAfterBreak="0">
    <w:nsid w:val="444E246C"/>
    <w:multiLevelType w:val="hybridMultilevel"/>
    <w:tmpl w:val="7718618C"/>
    <w:lvl w:ilvl="0" w:tplc="B9822688">
      <w:start w:val="5"/>
      <w:numFmt w:val="upperRoman"/>
      <w:lvlText w:val="%1."/>
      <w:lvlJc w:val="left"/>
      <w:pPr>
        <w:ind w:left="1996" w:hanging="720"/>
      </w:pPr>
      <w:rPr>
        <w:rFonts w:hint="default"/>
        <w:b/>
        <w:bCs/>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1"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0D0C42"/>
    <w:multiLevelType w:val="hybridMultilevel"/>
    <w:tmpl w:val="B44099F4"/>
    <w:lvl w:ilvl="0" w:tplc="32EAA1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AC64E9"/>
    <w:multiLevelType w:val="hybridMultilevel"/>
    <w:tmpl w:val="C51E9F52"/>
    <w:lvl w:ilvl="0" w:tplc="0D84CD6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646F4345"/>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6AF3322D"/>
    <w:multiLevelType w:val="hybridMultilevel"/>
    <w:tmpl w:val="262E1D54"/>
    <w:lvl w:ilvl="0" w:tplc="7C4E46FA">
      <w:start w:val="1"/>
      <w:numFmt w:val="upperRoman"/>
      <w:lvlText w:val="%1."/>
      <w:lvlJc w:val="left"/>
      <w:pPr>
        <w:ind w:left="1008" w:hanging="720"/>
      </w:pPr>
      <w:rPr>
        <w:rFonts w:hint="default"/>
        <w:b/>
        <w:bC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2AE411E"/>
    <w:multiLevelType w:val="hybridMultilevel"/>
    <w:tmpl w:val="002A9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0962D1"/>
    <w:multiLevelType w:val="hybridMultilevel"/>
    <w:tmpl w:val="8D149A6A"/>
    <w:lvl w:ilvl="0" w:tplc="28280BDA">
      <w:start w:val="5"/>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5B3663"/>
    <w:multiLevelType w:val="hybridMultilevel"/>
    <w:tmpl w:val="4FACC95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3"/>
  </w:num>
  <w:num w:numId="4">
    <w:abstractNumId w:val="4"/>
  </w:num>
  <w:num w:numId="5">
    <w:abstractNumId w:val="6"/>
  </w:num>
  <w:num w:numId="6">
    <w:abstractNumId w:val="16"/>
  </w:num>
  <w:num w:numId="7">
    <w:abstractNumId w:val="9"/>
  </w:num>
  <w:num w:numId="8">
    <w:abstractNumId w:val="8"/>
  </w:num>
  <w:num w:numId="9">
    <w:abstractNumId w:val="0"/>
  </w:num>
  <w:num w:numId="10">
    <w:abstractNumId w:val="13"/>
  </w:num>
  <w:num w:numId="11">
    <w:abstractNumId w:val="10"/>
  </w:num>
  <w:num w:numId="12">
    <w:abstractNumId w:val="18"/>
  </w:num>
  <w:num w:numId="13">
    <w:abstractNumId w:val="2"/>
  </w:num>
  <w:num w:numId="14">
    <w:abstractNumId w:val="12"/>
  </w:num>
  <w:num w:numId="15">
    <w:abstractNumId w:val="5"/>
  </w:num>
  <w:num w:numId="16">
    <w:abstractNumId w:val="17"/>
  </w:num>
  <w:num w:numId="17">
    <w:abstractNumId w:val="19"/>
  </w:num>
  <w:num w:numId="18">
    <w:abstractNumId w:val="15"/>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3E51"/>
    <w:rsid w:val="00007910"/>
    <w:rsid w:val="00010110"/>
    <w:rsid w:val="00011227"/>
    <w:rsid w:val="00015C2E"/>
    <w:rsid w:val="00024EF0"/>
    <w:rsid w:val="0002566D"/>
    <w:rsid w:val="00036160"/>
    <w:rsid w:val="00041C0B"/>
    <w:rsid w:val="00043A04"/>
    <w:rsid w:val="0004749E"/>
    <w:rsid w:val="00050A90"/>
    <w:rsid w:val="000577B5"/>
    <w:rsid w:val="0006285B"/>
    <w:rsid w:val="000716F1"/>
    <w:rsid w:val="000721D7"/>
    <w:rsid w:val="00074241"/>
    <w:rsid w:val="00081414"/>
    <w:rsid w:val="00083EA3"/>
    <w:rsid w:val="000866D3"/>
    <w:rsid w:val="00086F4B"/>
    <w:rsid w:val="000A6160"/>
    <w:rsid w:val="000B33AD"/>
    <w:rsid w:val="000B3E5A"/>
    <w:rsid w:val="000B58EC"/>
    <w:rsid w:val="000E1B79"/>
    <w:rsid w:val="000F1667"/>
    <w:rsid w:val="000F40CA"/>
    <w:rsid w:val="00100947"/>
    <w:rsid w:val="00101FAA"/>
    <w:rsid w:val="0010495D"/>
    <w:rsid w:val="0011347F"/>
    <w:rsid w:val="00114F1F"/>
    <w:rsid w:val="001163A6"/>
    <w:rsid w:val="00125186"/>
    <w:rsid w:val="001378EF"/>
    <w:rsid w:val="00142C05"/>
    <w:rsid w:val="001461F4"/>
    <w:rsid w:val="0015066F"/>
    <w:rsid w:val="001612CA"/>
    <w:rsid w:val="00161611"/>
    <w:rsid w:val="00164AC9"/>
    <w:rsid w:val="00173F38"/>
    <w:rsid w:val="00175551"/>
    <w:rsid w:val="001801D4"/>
    <w:rsid w:val="00182BA8"/>
    <w:rsid w:val="00182CF0"/>
    <w:rsid w:val="00196A3A"/>
    <w:rsid w:val="001B158C"/>
    <w:rsid w:val="001B163B"/>
    <w:rsid w:val="001F31EE"/>
    <w:rsid w:val="00211FE7"/>
    <w:rsid w:val="002322A9"/>
    <w:rsid w:val="00237607"/>
    <w:rsid w:val="002622A1"/>
    <w:rsid w:val="002740BB"/>
    <w:rsid w:val="0028705D"/>
    <w:rsid w:val="00290BDC"/>
    <w:rsid w:val="00297A60"/>
    <w:rsid w:val="002A3C3A"/>
    <w:rsid w:val="002E021C"/>
    <w:rsid w:val="002F115C"/>
    <w:rsid w:val="002F3322"/>
    <w:rsid w:val="00301288"/>
    <w:rsid w:val="0031638B"/>
    <w:rsid w:val="00317527"/>
    <w:rsid w:val="00327E55"/>
    <w:rsid w:val="0033402E"/>
    <w:rsid w:val="003351E6"/>
    <w:rsid w:val="003352AD"/>
    <w:rsid w:val="00340F7D"/>
    <w:rsid w:val="00365722"/>
    <w:rsid w:val="00377CBA"/>
    <w:rsid w:val="003953DA"/>
    <w:rsid w:val="003A35DA"/>
    <w:rsid w:val="003A3AF9"/>
    <w:rsid w:val="003A50DE"/>
    <w:rsid w:val="003B51B4"/>
    <w:rsid w:val="003C6B19"/>
    <w:rsid w:val="003D2B48"/>
    <w:rsid w:val="003E6265"/>
    <w:rsid w:val="003F1F15"/>
    <w:rsid w:val="003F5473"/>
    <w:rsid w:val="00401260"/>
    <w:rsid w:val="00402726"/>
    <w:rsid w:val="00404C0B"/>
    <w:rsid w:val="0040628E"/>
    <w:rsid w:val="0045660E"/>
    <w:rsid w:val="00457A8B"/>
    <w:rsid w:val="004613F4"/>
    <w:rsid w:val="00493105"/>
    <w:rsid w:val="00496C05"/>
    <w:rsid w:val="004A09D3"/>
    <w:rsid w:val="004B0485"/>
    <w:rsid w:val="004D3BA7"/>
    <w:rsid w:val="004D6932"/>
    <w:rsid w:val="004E2287"/>
    <w:rsid w:val="004E343B"/>
    <w:rsid w:val="005002AA"/>
    <w:rsid w:val="005105C3"/>
    <w:rsid w:val="00511DA9"/>
    <w:rsid w:val="00522D16"/>
    <w:rsid w:val="00530CF7"/>
    <w:rsid w:val="005326D8"/>
    <w:rsid w:val="00535563"/>
    <w:rsid w:val="00542C18"/>
    <w:rsid w:val="00555A45"/>
    <w:rsid w:val="005642DD"/>
    <w:rsid w:val="00567423"/>
    <w:rsid w:val="0057759E"/>
    <w:rsid w:val="0058760F"/>
    <w:rsid w:val="00594F1F"/>
    <w:rsid w:val="00595151"/>
    <w:rsid w:val="005B03CA"/>
    <w:rsid w:val="005C4971"/>
    <w:rsid w:val="005C765A"/>
    <w:rsid w:val="005D05EC"/>
    <w:rsid w:val="005D1983"/>
    <w:rsid w:val="005D325A"/>
    <w:rsid w:val="005E7BBE"/>
    <w:rsid w:val="006051DD"/>
    <w:rsid w:val="00606280"/>
    <w:rsid w:val="00612E8F"/>
    <w:rsid w:val="00626B37"/>
    <w:rsid w:val="006314C5"/>
    <w:rsid w:val="00632122"/>
    <w:rsid w:val="0063343A"/>
    <w:rsid w:val="0063527F"/>
    <w:rsid w:val="00635534"/>
    <w:rsid w:val="00646089"/>
    <w:rsid w:val="00663B54"/>
    <w:rsid w:val="00665A49"/>
    <w:rsid w:val="00671774"/>
    <w:rsid w:val="00672D0A"/>
    <w:rsid w:val="00674E4C"/>
    <w:rsid w:val="006769C1"/>
    <w:rsid w:val="0067713B"/>
    <w:rsid w:val="00681C66"/>
    <w:rsid w:val="006C4DD2"/>
    <w:rsid w:val="006E1CE1"/>
    <w:rsid w:val="006E2278"/>
    <w:rsid w:val="007002C0"/>
    <w:rsid w:val="00704C23"/>
    <w:rsid w:val="00704F51"/>
    <w:rsid w:val="00710AC4"/>
    <w:rsid w:val="00712989"/>
    <w:rsid w:val="00721257"/>
    <w:rsid w:val="007243B7"/>
    <w:rsid w:val="00725426"/>
    <w:rsid w:val="00740F1D"/>
    <w:rsid w:val="0074254E"/>
    <w:rsid w:val="007448D0"/>
    <w:rsid w:val="007666EF"/>
    <w:rsid w:val="0078795B"/>
    <w:rsid w:val="007B3FD3"/>
    <w:rsid w:val="007C453E"/>
    <w:rsid w:val="007D31FF"/>
    <w:rsid w:val="007D36E2"/>
    <w:rsid w:val="007D4FA6"/>
    <w:rsid w:val="007E7AB3"/>
    <w:rsid w:val="00812D26"/>
    <w:rsid w:val="00814FE3"/>
    <w:rsid w:val="008208D2"/>
    <w:rsid w:val="00824A3E"/>
    <w:rsid w:val="008253F1"/>
    <w:rsid w:val="008255B3"/>
    <w:rsid w:val="0082755C"/>
    <w:rsid w:val="008420C6"/>
    <w:rsid w:val="00847193"/>
    <w:rsid w:val="0087028C"/>
    <w:rsid w:val="00872FB9"/>
    <w:rsid w:val="00884DDC"/>
    <w:rsid w:val="0088540E"/>
    <w:rsid w:val="008A2634"/>
    <w:rsid w:val="008C02A9"/>
    <w:rsid w:val="008C5D54"/>
    <w:rsid w:val="008D4AF6"/>
    <w:rsid w:val="008F6593"/>
    <w:rsid w:val="00903576"/>
    <w:rsid w:val="00904096"/>
    <w:rsid w:val="00941C94"/>
    <w:rsid w:val="00956C73"/>
    <w:rsid w:val="00964C0D"/>
    <w:rsid w:val="00972730"/>
    <w:rsid w:val="0097529C"/>
    <w:rsid w:val="00985B25"/>
    <w:rsid w:val="009C096A"/>
    <w:rsid w:val="009C111E"/>
    <w:rsid w:val="009D6434"/>
    <w:rsid w:val="009F1213"/>
    <w:rsid w:val="009F46D2"/>
    <w:rsid w:val="00A12C6D"/>
    <w:rsid w:val="00A13A15"/>
    <w:rsid w:val="00A1421C"/>
    <w:rsid w:val="00A360D0"/>
    <w:rsid w:val="00A54135"/>
    <w:rsid w:val="00A66B65"/>
    <w:rsid w:val="00A7368E"/>
    <w:rsid w:val="00A7669E"/>
    <w:rsid w:val="00A850CC"/>
    <w:rsid w:val="00AA4F95"/>
    <w:rsid w:val="00AC7328"/>
    <w:rsid w:val="00AE0DEA"/>
    <w:rsid w:val="00AE2B7C"/>
    <w:rsid w:val="00AE2FF5"/>
    <w:rsid w:val="00AE49C2"/>
    <w:rsid w:val="00AF42A4"/>
    <w:rsid w:val="00B025D1"/>
    <w:rsid w:val="00B231CE"/>
    <w:rsid w:val="00B2489E"/>
    <w:rsid w:val="00B25979"/>
    <w:rsid w:val="00B266A5"/>
    <w:rsid w:val="00B35E67"/>
    <w:rsid w:val="00B4708D"/>
    <w:rsid w:val="00B524C5"/>
    <w:rsid w:val="00B550DB"/>
    <w:rsid w:val="00B5607D"/>
    <w:rsid w:val="00B56E7B"/>
    <w:rsid w:val="00B70BD3"/>
    <w:rsid w:val="00B72F52"/>
    <w:rsid w:val="00B7567C"/>
    <w:rsid w:val="00B76933"/>
    <w:rsid w:val="00B855D4"/>
    <w:rsid w:val="00B90AB7"/>
    <w:rsid w:val="00B97D8C"/>
    <w:rsid w:val="00BA0115"/>
    <w:rsid w:val="00BB1344"/>
    <w:rsid w:val="00BB6A0B"/>
    <w:rsid w:val="00BC2262"/>
    <w:rsid w:val="00BD0C0F"/>
    <w:rsid w:val="00BD4B2D"/>
    <w:rsid w:val="00BE0B6D"/>
    <w:rsid w:val="00BF05B1"/>
    <w:rsid w:val="00C04F5B"/>
    <w:rsid w:val="00C10A72"/>
    <w:rsid w:val="00C639F5"/>
    <w:rsid w:val="00C70BF6"/>
    <w:rsid w:val="00C73249"/>
    <w:rsid w:val="00C73676"/>
    <w:rsid w:val="00C77130"/>
    <w:rsid w:val="00C8657F"/>
    <w:rsid w:val="00C9799C"/>
    <w:rsid w:val="00CC1D89"/>
    <w:rsid w:val="00CD5F9E"/>
    <w:rsid w:val="00CE11DD"/>
    <w:rsid w:val="00CE7A10"/>
    <w:rsid w:val="00CF5102"/>
    <w:rsid w:val="00D024A4"/>
    <w:rsid w:val="00D10416"/>
    <w:rsid w:val="00D11908"/>
    <w:rsid w:val="00D2471F"/>
    <w:rsid w:val="00D269EB"/>
    <w:rsid w:val="00D403CE"/>
    <w:rsid w:val="00D57C7C"/>
    <w:rsid w:val="00D60CCE"/>
    <w:rsid w:val="00D61207"/>
    <w:rsid w:val="00D82951"/>
    <w:rsid w:val="00D8370E"/>
    <w:rsid w:val="00D85471"/>
    <w:rsid w:val="00D91FCA"/>
    <w:rsid w:val="00DA0875"/>
    <w:rsid w:val="00DC51BE"/>
    <w:rsid w:val="00DD5A0B"/>
    <w:rsid w:val="00DD5E68"/>
    <w:rsid w:val="00DE1438"/>
    <w:rsid w:val="00DE7B27"/>
    <w:rsid w:val="00E10CB4"/>
    <w:rsid w:val="00E11369"/>
    <w:rsid w:val="00E262F7"/>
    <w:rsid w:val="00E3668D"/>
    <w:rsid w:val="00E44A4D"/>
    <w:rsid w:val="00E47B82"/>
    <w:rsid w:val="00E5768B"/>
    <w:rsid w:val="00E60BBA"/>
    <w:rsid w:val="00E612D5"/>
    <w:rsid w:val="00E621CB"/>
    <w:rsid w:val="00E639ED"/>
    <w:rsid w:val="00E64094"/>
    <w:rsid w:val="00E72917"/>
    <w:rsid w:val="00EA19C8"/>
    <w:rsid w:val="00EB2BA2"/>
    <w:rsid w:val="00EB35B6"/>
    <w:rsid w:val="00EB4B32"/>
    <w:rsid w:val="00EB7A55"/>
    <w:rsid w:val="00ED152A"/>
    <w:rsid w:val="00ED732E"/>
    <w:rsid w:val="00EE33AB"/>
    <w:rsid w:val="00EE3732"/>
    <w:rsid w:val="00EE56E7"/>
    <w:rsid w:val="00EF0825"/>
    <w:rsid w:val="00F03770"/>
    <w:rsid w:val="00F07942"/>
    <w:rsid w:val="00F20A3A"/>
    <w:rsid w:val="00F25421"/>
    <w:rsid w:val="00F259AA"/>
    <w:rsid w:val="00F33CBE"/>
    <w:rsid w:val="00F55C92"/>
    <w:rsid w:val="00F73233"/>
    <w:rsid w:val="00F76D2C"/>
    <w:rsid w:val="00F94560"/>
    <w:rsid w:val="00F955BF"/>
    <w:rsid w:val="00FA223A"/>
    <w:rsid w:val="00FB1C9C"/>
    <w:rsid w:val="00FC4863"/>
    <w:rsid w:val="00FC4CB1"/>
    <w:rsid w:val="00FC672E"/>
    <w:rsid w:val="00FE4713"/>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basedOn w:val="Normal"/>
    <w:link w:val="TextoCar"/>
    <w:rsid w:val="00B524C5"/>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B524C5"/>
    <w:rPr>
      <w:rFonts w:ascii="Arial" w:eastAsia="Times New Roman" w:hAnsi="Arial" w:cs="Arial"/>
      <w:sz w:val="18"/>
      <w:szCs w:val="20"/>
      <w:lang w:eastAsia="es-ES"/>
    </w:rPr>
  </w:style>
  <w:style w:type="character" w:styleId="Refdecomentario">
    <w:name w:val="annotation reference"/>
    <w:basedOn w:val="Fuentedeprrafopredeter"/>
    <w:uiPriority w:val="99"/>
    <w:semiHidden/>
    <w:unhideWhenUsed/>
    <w:rsid w:val="001801D4"/>
    <w:rPr>
      <w:sz w:val="16"/>
      <w:szCs w:val="16"/>
    </w:rPr>
  </w:style>
  <w:style w:type="paragraph" w:styleId="Textocomentario">
    <w:name w:val="annotation text"/>
    <w:basedOn w:val="Normal"/>
    <w:link w:val="TextocomentarioCar"/>
    <w:uiPriority w:val="99"/>
    <w:unhideWhenUsed/>
    <w:rsid w:val="001801D4"/>
    <w:pPr>
      <w:spacing w:line="240" w:lineRule="auto"/>
    </w:pPr>
    <w:rPr>
      <w:sz w:val="20"/>
      <w:szCs w:val="20"/>
    </w:rPr>
  </w:style>
  <w:style w:type="character" w:customStyle="1" w:styleId="TextocomentarioCar">
    <w:name w:val="Texto comentario Car"/>
    <w:basedOn w:val="Fuentedeprrafopredeter"/>
    <w:link w:val="Textocomentario"/>
    <w:uiPriority w:val="99"/>
    <w:rsid w:val="001801D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801D4"/>
    <w:rPr>
      <w:b/>
      <w:bCs/>
    </w:rPr>
  </w:style>
  <w:style w:type="character" w:customStyle="1" w:styleId="AsuntodelcomentarioCar">
    <w:name w:val="Asunto del comentario Car"/>
    <w:basedOn w:val="TextocomentarioCar"/>
    <w:link w:val="Asuntodelcomentario"/>
    <w:uiPriority w:val="99"/>
    <w:semiHidden/>
    <w:rsid w:val="001801D4"/>
    <w:rPr>
      <w:rFonts w:ascii="Calibri" w:eastAsia="Calibri" w:hAnsi="Calibri" w:cs="Times New Roman"/>
      <w:b/>
      <w:bCs/>
      <w:sz w:val="20"/>
      <w:szCs w:val="20"/>
      <w:lang w:val="es-ES"/>
    </w:rPr>
  </w:style>
  <w:style w:type="character" w:styleId="Mencinsinresolver">
    <w:name w:val="Unresolved Mention"/>
    <w:basedOn w:val="Fuentedeprrafopredeter"/>
    <w:uiPriority w:val="99"/>
    <w:semiHidden/>
    <w:unhideWhenUsed/>
    <w:rsid w:val="001801D4"/>
    <w:rPr>
      <w:color w:val="605E5C"/>
      <w:shd w:val="clear" w:color="auto" w:fill="E1DFDD"/>
    </w:rPr>
  </w:style>
  <w:style w:type="paragraph" w:styleId="Revisin">
    <w:name w:val="Revision"/>
    <w:hidden/>
    <w:uiPriority w:val="99"/>
    <w:semiHidden/>
    <w:rsid w:val="0058760F"/>
    <w:pPr>
      <w:spacing w:after="0" w:line="240" w:lineRule="auto"/>
    </w:pPr>
    <w:rPr>
      <w:rFonts w:ascii="Calibri" w:eastAsia="Calibri" w:hAnsi="Calibri" w:cs="Times New Roman"/>
      <w:lang w:val="es-ES"/>
    </w:rPr>
  </w:style>
  <w:style w:type="character" w:styleId="Hipervnculovisitado">
    <w:name w:val="FollowedHyperlink"/>
    <w:basedOn w:val="Fuentedeprrafopredeter"/>
    <w:uiPriority w:val="99"/>
    <w:semiHidden/>
    <w:unhideWhenUsed/>
    <w:rsid w:val="00825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7833">
      <w:bodyDiv w:val="1"/>
      <w:marLeft w:val="0"/>
      <w:marRight w:val="0"/>
      <w:marTop w:val="0"/>
      <w:marBottom w:val="0"/>
      <w:divBdr>
        <w:top w:val="none" w:sz="0" w:space="0" w:color="auto"/>
        <w:left w:val="none" w:sz="0" w:space="0" w:color="auto"/>
        <w:bottom w:val="none" w:sz="0" w:space="0" w:color="auto"/>
        <w:right w:val="none" w:sz="0" w:space="0" w:color="auto"/>
      </w:divBdr>
    </w:div>
    <w:div w:id="519012349">
      <w:bodyDiv w:val="1"/>
      <w:marLeft w:val="0"/>
      <w:marRight w:val="0"/>
      <w:marTop w:val="0"/>
      <w:marBottom w:val="0"/>
      <w:divBdr>
        <w:top w:val="none" w:sz="0" w:space="0" w:color="auto"/>
        <w:left w:val="none" w:sz="0" w:space="0" w:color="auto"/>
        <w:bottom w:val="none" w:sz="0" w:space="0" w:color="auto"/>
        <w:right w:val="none" w:sz="0" w:space="0" w:color="auto"/>
      </w:divBdr>
    </w:div>
    <w:div w:id="1026174318">
      <w:bodyDiv w:val="1"/>
      <w:marLeft w:val="0"/>
      <w:marRight w:val="0"/>
      <w:marTop w:val="0"/>
      <w:marBottom w:val="0"/>
      <w:divBdr>
        <w:top w:val="none" w:sz="0" w:space="0" w:color="auto"/>
        <w:left w:val="none" w:sz="0" w:space="0" w:color="auto"/>
        <w:bottom w:val="none" w:sz="0" w:space="0" w:color="auto"/>
        <w:right w:val="none" w:sz="0" w:space="0" w:color="auto"/>
      </w:divBdr>
    </w:div>
    <w:div w:id="1163548883">
      <w:bodyDiv w:val="1"/>
      <w:marLeft w:val="0"/>
      <w:marRight w:val="0"/>
      <w:marTop w:val="0"/>
      <w:marBottom w:val="0"/>
      <w:divBdr>
        <w:top w:val="none" w:sz="0" w:space="0" w:color="auto"/>
        <w:left w:val="none" w:sz="0" w:space="0" w:color="auto"/>
        <w:bottom w:val="none" w:sz="0" w:space="0" w:color="auto"/>
        <w:right w:val="none" w:sz="0" w:space="0" w:color="auto"/>
      </w:divBdr>
    </w:div>
    <w:div w:id="1216433413">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gov/regulatory-policy/abc-manual-for-regulatory-reform-spanish-version.pdf" TargetMode="External"/><Relationship Id="rId1" Type="http://schemas.openxmlformats.org/officeDocument/2006/relationships/hyperlink" Target="https://www.oecd.org/gov/regulatory-policy/Recommendation%20with%20cover%20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F57C-4AB7-40F2-9072-6B4BA789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4388</Words>
  <Characters>24137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CGMR</cp:lastModifiedBy>
  <cp:revision>5</cp:revision>
  <cp:lastPrinted>2023-12-13T16:00:00Z</cp:lastPrinted>
  <dcterms:created xsi:type="dcterms:W3CDTF">2023-12-12T23:34:00Z</dcterms:created>
  <dcterms:modified xsi:type="dcterms:W3CDTF">2023-12-13T16:01:00Z</dcterms:modified>
</cp:coreProperties>
</file>