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14E5A" w14:textId="77777777" w:rsidR="00181D64" w:rsidRPr="00523452" w:rsidRDefault="00181D64" w:rsidP="00181D64">
      <w:pPr>
        <w:jc w:val="center"/>
        <w:rPr>
          <w:rFonts w:ascii="ITC Avant Garde" w:hAnsi="ITC Avant Garde"/>
          <w:b/>
          <w:sz w:val="24"/>
        </w:rPr>
      </w:pPr>
      <w:bookmarkStart w:id="0" w:name="_GoBack"/>
      <w:bookmarkEnd w:id="0"/>
    </w:p>
    <w:p w14:paraId="1E579229" w14:textId="77777777" w:rsidR="00181D64" w:rsidRPr="00523452" w:rsidRDefault="00181D64" w:rsidP="00181D64">
      <w:pPr>
        <w:jc w:val="center"/>
        <w:rPr>
          <w:rFonts w:ascii="ITC Avant Garde" w:hAnsi="ITC Avant Garde"/>
          <w:b/>
          <w:sz w:val="24"/>
        </w:rPr>
      </w:pPr>
    </w:p>
    <w:p w14:paraId="208F02F7" w14:textId="77777777" w:rsidR="00181D64" w:rsidRPr="00523452" w:rsidRDefault="00181D64" w:rsidP="00181D64">
      <w:pPr>
        <w:jc w:val="center"/>
        <w:rPr>
          <w:rFonts w:ascii="ITC Avant Garde" w:hAnsi="ITC Avant Garde"/>
          <w:b/>
          <w:sz w:val="24"/>
        </w:rPr>
      </w:pPr>
    </w:p>
    <w:p w14:paraId="29718FEE" w14:textId="77777777" w:rsidR="00181D64" w:rsidRPr="00523452" w:rsidRDefault="00181D64" w:rsidP="00181D64">
      <w:pPr>
        <w:jc w:val="center"/>
        <w:rPr>
          <w:rFonts w:ascii="ITC Avant Garde" w:hAnsi="ITC Avant Garde"/>
          <w:b/>
          <w:sz w:val="24"/>
        </w:rPr>
      </w:pPr>
    </w:p>
    <w:p w14:paraId="04AB5AE8" w14:textId="011AFAC2" w:rsidR="00181D64" w:rsidRPr="00A55E62" w:rsidRDefault="00181D64" w:rsidP="00181D64">
      <w:pPr>
        <w:pStyle w:val="Ttulo"/>
        <w:spacing w:before="240" w:after="120"/>
        <w:contextualSpacing w:val="0"/>
        <w:jc w:val="left"/>
        <w:rPr>
          <w:rFonts w:ascii="ITC Avant Garde" w:hAnsi="ITC Avant Garde"/>
          <w:sz w:val="52"/>
          <w:szCs w:val="52"/>
          <w:lang w:val="es-MX"/>
        </w:rPr>
      </w:pPr>
      <w:r w:rsidRPr="00A55E62">
        <w:rPr>
          <w:rFonts w:ascii="ITC Avant Garde" w:hAnsi="ITC Avant Garde"/>
          <w:sz w:val="52"/>
          <w:szCs w:val="52"/>
          <w:lang w:val="es-MX"/>
        </w:rPr>
        <w:t>Modelo de Costos Evitados para los servicios de reventa</w:t>
      </w:r>
      <w:r w:rsidR="00B16017" w:rsidRPr="00A55E62">
        <w:rPr>
          <w:rFonts w:ascii="ITC Avant Garde" w:hAnsi="ITC Avant Garde"/>
          <w:sz w:val="52"/>
          <w:szCs w:val="52"/>
          <w:lang w:val="es-MX"/>
        </w:rPr>
        <w:t xml:space="preserve"> provistos por el Agente Económico Preponderante</w:t>
      </w:r>
      <w:r w:rsidR="00E748C2">
        <w:rPr>
          <w:rFonts w:ascii="ITC Avant Garde" w:hAnsi="ITC Avant Garde"/>
          <w:sz w:val="52"/>
          <w:szCs w:val="52"/>
          <w:lang w:val="es-MX"/>
        </w:rPr>
        <w:t xml:space="preserve"> en el marco de la Oferta de Referencia de Desagregación</w:t>
      </w:r>
      <w:r w:rsidR="007157EB" w:rsidRPr="00A55E62">
        <w:rPr>
          <w:rFonts w:ascii="ITC Avant Garde" w:hAnsi="ITC Avant Garde"/>
          <w:sz w:val="52"/>
          <w:szCs w:val="52"/>
          <w:lang w:val="es-MX"/>
        </w:rPr>
        <w:t>.</w:t>
      </w:r>
    </w:p>
    <w:p w14:paraId="3CCB27A9" w14:textId="77777777" w:rsidR="00181D64" w:rsidRPr="00523452" w:rsidRDefault="00181D64" w:rsidP="00181D64">
      <w:pPr>
        <w:rPr>
          <w:rFonts w:ascii="ITC Avant Garde" w:hAnsi="ITC Avant Garde"/>
        </w:rPr>
      </w:pPr>
    </w:p>
    <w:p w14:paraId="58BD4CC5" w14:textId="77777777" w:rsidR="00181D64" w:rsidRPr="00523452" w:rsidRDefault="00181D64" w:rsidP="00181D64">
      <w:pPr>
        <w:rPr>
          <w:rFonts w:ascii="ITC Avant Garde" w:hAnsi="ITC Avant Garde"/>
          <w:sz w:val="36"/>
          <w:szCs w:val="36"/>
        </w:rPr>
      </w:pPr>
      <w:r w:rsidRPr="00523452">
        <w:rPr>
          <w:rFonts w:ascii="ITC Avant Garde" w:hAnsi="ITC Avant Garde"/>
          <w:sz w:val="36"/>
          <w:szCs w:val="36"/>
        </w:rPr>
        <w:t xml:space="preserve">Documento metodológico </w:t>
      </w:r>
    </w:p>
    <w:p w14:paraId="7136FB41" w14:textId="18818D25" w:rsidR="00181D64" w:rsidRPr="00523452" w:rsidRDefault="00463E8D" w:rsidP="00181D64">
      <w:pPr>
        <w:rPr>
          <w:rFonts w:ascii="ITC Avant Garde" w:hAnsi="ITC Avant Garde"/>
        </w:rPr>
      </w:pPr>
      <w:r w:rsidRPr="00DB3ACC">
        <w:rPr>
          <w:rFonts w:ascii="ITC Avant Garde" w:hAnsi="ITC Avant Garde"/>
        </w:rPr>
        <w:t>28</w:t>
      </w:r>
      <w:r w:rsidR="00181D64" w:rsidRPr="00523452">
        <w:rPr>
          <w:rFonts w:ascii="ITC Avant Garde" w:hAnsi="ITC Avant Garde"/>
        </w:rPr>
        <w:t xml:space="preserve"> de </w:t>
      </w:r>
      <w:r>
        <w:rPr>
          <w:rFonts w:ascii="ITC Avant Garde" w:hAnsi="ITC Avant Garde"/>
        </w:rPr>
        <w:t>septiembre</w:t>
      </w:r>
      <w:r w:rsidRPr="00523452">
        <w:rPr>
          <w:rFonts w:ascii="ITC Avant Garde" w:hAnsi="ITC Avant Garde"/>
        </w:rPr>
        <w:t xml:space="preserve"> </w:t>
      </w:r>
      <w:r w:rsidR="00181D64" w:rsidRPr="00523452">
        <w:rPr>
          <w:rFonts w:ascii="ITC Avant Garde" w:hAnsi="ITC Avant Garde"/>
        </w:rPr>
        <w:t>de 2022</w:t>
      </w:r>
    </w:p>
    <w:p w14:paraId="6551D6B6" w14:textId="77777777" w:rsidR="00181D64" w:rsidRPr="00523452" w:rsidRDefault="00181D64" w:rsidP="00181D64">
      <w:pPr>
        <w:jc w:val="center"/>
        <w:rPr>
          <w:rFonts w:ascii="ITC Avant Garde" w:hAnsi="ITC Avant Garde"/>
          <w:b/>
          <w:sz w:val="24"/>
        </w:rPr>
      </w:pPr>
    </w:p>
    <w:p w14:paraId="0FA6E5C1" w14:textId="77777777" w:rsidR="00181D64" w:rsidRPr="00523452" w:rsidRDefault="00181D64" w:rsidP="00181D64">
      <w:pPr>
        <w:jc w:val="center"/>
        <w:rPr>
          <w:rFonts w:ascii="ITC Avant Garde" w:hAnsi="ITC Avant Garde"/>
          <w:b/>
          <w:sz w:val="24"/>
        </w:rPr>
      </w:pPr>
    </w:p>
    <w:p w14:paraId="10C8C43B" w14:textId="77777777" w:rsidR="00181D64" w:rsidRPr="00523452" w:rsidRDefault="00181D64" w:rsidP="00181D64">
      <w:pPr>
        <w:jc w:val="center"/>
        <w:rPr>
          <w:rFonts w:ascii="ITC Avant Garde" w:hAnsi="ITC Avant Garde"/>
          <w:b/>
          <w:sz w:val="24"/>
        </w:rPr>
      </w:pPr>
    </w:p>
    <w:p w14:paraId="38662B74" w14:textId="6B4C7290" w:rsidR="007157EB" w:rsidRDefault="007157EB" w:rsidP="00181D64">
      <w:pPr>
        <w:jc w:val="center"/>
        <w:rPr>
          <w:rFonts w:ascii="ITC Avant Garde" w:hAnsi="ITC Avant Garde"/>
          <w:b/>
          <w:sz w:val="24"/>
        </w:rPr>
      </w:pPr>
    </w:p>
    <w:p w14:paraId="6ED3EEB4" w14:textId="53795AE9" w:rsidR="007157EB" w:rsidRDefault="007157EB" w:rsidP="00181D64">
      <w:pPr>
        <w:jc w:val="center"/>
        <w:rPr>
          <w:rFonts w:ascii="ITC Avant Garde" w:hAnsi="ITC Avant Garde"/>
          <w:b/>
          <w:sz w:val="24"/>
        </w:rPr>
      </w:pPr>
    </w:p>
    <w:p w14:paraId="71A18FA8" w14:textId="77777777" w:rsidR="007157EB" w:rsidRPr="00523452" w:rsidRDefault="007157EB" w:rsidP="00181D64">
      <w:pPr>
        <w:jc w:val="center"/>
        <w:rPr>
          <w:rFonts w:ascii="ITC Avant Garde" w:hAnsi="ITC Avant Garde"/>
          <w:b/>
          <w:sz w:val="24"/>
        </w:rPr>
      </w:pPr>
    </w:p>
    <w:p w14:paraId="011CB7DF" w14:textId="77777777" w:rsidR="00181D64" w:rsidRPr="00523452" w:rsidRDefault="00181D64" w:rsidP="00181D64">
      <w:pPr>
        <w:jc w:val="center"/>
        <w:rPr>
          <w:rFonts w:ascii="ITC Avant Garde" w:hAnsi="ITC Avant Garde"/>
          <w:b/>
          <w:sz w:val="24"/>
        </w:rPr>
      </w:pPr>
    </w:p>
    <w:p w14:paraId="45C68E79" w14:textId="77777777" w:rsidR="00181D64" w:rsidRPr="00523452" w:rsidRDefault="00181D64" w:rsidP="00181D64">
      <w:pPr>
        <w:jc w:val="center"/>
        <w:rPr>
          <w:rFonts w:ascii="ITC Avant Garde" w:hAnsi="ITC Avant Garde"/>
          <w:b/>
          <w:sz w:val="24"/>
        </w:rPr>
      </w:pPr>
    </w:p>
    <w:p w14:paraId="6D549517" w14:textId="77777777" w:rsidR="00181D64" w:rsidRPr="00523452" w:rsidRDefault="00181D64" w:rsidP="00181D64">
      <w:pPr>
        <w:jc w:val="center"/>
        <w:rPr>
          <w:rFonts w:ascii="ITC Avant Garde" w:hAnsi="ITC Avant Garde"/>
          <w:b/>
          <w:sz w:val="24"/>
        </w:rPr>
      </w:pPr>
    </w:p>
    <w:p w14:paraId="60E8968E" w14:textId="77777777" w:rsidR="00181D64" w:rsidRPr="00523452" w:rsidRDefault="00181D64" w:rsidP="00181D64">
      <w:pPr>
        <w:jc w:val="center"/>
        <w:rPr>
          <w:rFonts w:ascii="ITC Avant Garde" w:hAnsi="ITC Avant Garde"/>
          <w:b/>
          <w:sz w:val="24"/>
        </w:rPr>
      </w:pPr>
    </w:p>
    <w:p w14:paraId="55E4A186" w14:textId="77777777" w:rsidR="00181D64" w:rsidRPr="00523452" w:rsidRDefault="00181D64" w:rsidP="00181D64">
      <w:pPr>
        <w:jc w:val="center"/>
        <w:rPr>
          <w:rFonts w:ascii="ITC Avant Garde" w:hAnsi="ITC Avant Garde"/>
          <w:b/>
          <w:sz w:val="24"/>
        </w:rPr>
      </w:pPr>
    </w:p>
    <w:p w14:paraId="3F1566A6" w14:textId="77777777" w:rsidR="00181D64" w:rsidRPr="00523452" w:rsidRDefault="00181D64" w:rsidP="00181D64">
      <w:pPr>
        <w:jc w:val="center"/>
        <w:rPr>
          <w:rFonts w:ascii="ITC Avant Garde" w:hAnsi="ITC Avant Garde"/>
          <w:b/>
          <w:sz w:val="24"/>
        </w:rPr>
      </w:pPr>
    </w:p>
    <w:sdt>
      <w:sdtPr>
        <w:rPr>
          <w:rFonts w:ascii="ITC Avant Garde" w:eastAsiaTheme="minorHAnsi" w:hAnsi="ITC Avant Garde" w:cstheme="minorBidi"/>
          <w:color w:val="auto"/>
          <w:sz w:val="22"/>
          <w:szCs w:val="22"/>
          <w:lang w:eastAsia="en-US"/>
        </w:rPr>
        <w:id w:val="1600065484"/>
        <w:docPartObj>
          <w:docPartGallery w:val="Table of Contents"/>
          <w:docPartUnique/>
        </w:docPartObj>
      </w:sdtPr>
      <w:sdtEndPr>
        <w:rPr>
          <w:sz w:val="20"/>
          <w:szCs w:val="20"/>
        </w:rPr>
      </w:sdtEndPr>
      <w:sdtContent>
        <w:p w14:paraId="51D6E004" w14:textId="36EEA501" w:rsidR="00181D64" w:rsidRPr="00E64182" w:rsidRDefault="00F83F45" w:rsidP="00E64182">
          <w:pPr>
            <w:pStyle w:val="TtuloTDC"/>
            <w:numPr>
              <w:ilvl w:val="0"/>
              <w:numId w:val="0"/>
            </w:numPr>
            <w:rPr>
              <w:rFonts w:ascii="ITC Avant Garde" w:hAnsi="ITC Avant Garde"/>
              <w:b/>
              <w:color w:val="auto"/>
              <w:sz w:val="18"/>
              <w:szCs w:val="18"/>
            </w:rPr>
          </w:pPr>
          <w:r w:rsidRPr="00E64182">
            <w:rPr>
              <w:rFonts w:ascii="ITC Avant Garde" w:hAnsi="ITC Avant Garde"/>
              <w:b/>
              <w:color w:val="auto"/>
              <w:sz w:val="18"/>
              <w:szCs w:val="18"/>
            </w:rPr>
            <w:t>ÍNDIDE</w:t>
          </w:r>
        </w:p>
        <w:p w14:paraId="3B5CEA5F" w14:textId="77777777" w:rsidR="00181D64" w:rsidRPr="00E64182" w:rsidRDefault="00181D64" w:rsidP="00181D64">
          <w:pPr>
            <w:rPr>
              <w:rFonts w:ascii="ITC Avant Garde" w:hAnsi="ITC Avant Garde"/>
              <w:sz w:val="18"/>
              <w:szCs w:val="18"/>
              <w:lang w:eastAsia="es-MX"/>
            </w:rPr>
          </w:pPr>
        </w:p>
        <w:p w14:paraId="105CC9E5" w14:textId="322D3787" w:rsidR="00B3143B" w:rsidRPr="00B3143B" w:rsidRDefault="00181D64">
          <w:pPr>
            <w:pStyle w:val="TDC1"/>
            <w:rPr>
              <w:rFonts w:cstheme="minorBidi"/>
              <w:noProof/>
              <w:sz w:val="18"/>
            </w:rPr>
          </w:pPr>
          <w:r w:rsidRPr="00E64182">
            <w:rPr>
              <w:rFonts w:ascii="ITC Avant Garde" w:hAnsi="ITC Avant Garde"/>
              <w:sz w:val="16"/>
              <w:szCs w:val="16"/>
            </w:rPr>
            <w:fldChar w:fldCharType="begin"/>
          </w:r>
          <w:r w:rsidRPr="00E64182">
            <w:rPr>
              <w:rFonts w:ascii="ITC Avant Garde" w:hAnsi="ITC Avant Garde"/>
              <w:sz w:val="18"/>
              <w:szCs w:val="18"/>
            </w:rPr>
            <w:instrText xml:space="preserve"> TOC \o "1-3" \h \z \u </w:instrText>
          </w:r>
          <w:r w:rsidRPr="00E64182">
            <w:rPr>
              <w:rFonts w:ascii="ITC Avant Garde" w:hAnsi="ITC Avant Garde"/>
              <w:sz w:val="16"/>
              <w:szCs w:val="16"/>
            </w:rPr>
            <w:fldChar w:fldCharType="separate"/>
          </w:r>
          <w:hyperlink w:anchor="_Toc114513290" w:history="1">
            <w:r w:rsidR="00B3143B" w:rsidRPr="00B3143B">
              <w:rPr>
                <w:rStyle w:val="Hipervnculo"/>
                <w:rFonts w:ascii="ITC Avant Garde" w:eastAsia="MS Mincho" w:hAnsi="ITC Avant Garde" w:cs="Calibri"/>
                <w:bCs/>
                <w:noProof/>
                <w:sz w:val="18"/>
              </w:rPr>
              <w:t>1.</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Antecedentes</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_Toc114513290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4</w:t>
            </w:r>
            <w:r w:rsidR="00B3143B" w:rsidRPr="00B3143B">
              <w:rPr>
                <w:noProof/>
                <w:webHidden/>
                <w:sz w:val="18"/>
              </w:rPr>
              <w:fldChar w:fldCharType="end"/>
            </w:r>
          </w:hyperlink>
        </w:p>
        <w:p w14:paraId="52B9FD3A" w14:textId="02F23C82" w:rsidR="00B3143B" w:rsidRPr="00B3143B" w:rsidRDefault="00E85AB8">
          <w:pPr>
            <w:pStyle w:val="TDC1"/>
            <w:rPr>
              <w:rFonts w:cstheme="minorBidi"/>
              <w:noProof/>
              <w:sz w:val="18"/>
            </w:rPr>
          </w:pPr>
          <w:hyperlink w:anchor="_Toc114513291" w:history="1">
            <w:r w:rsidR="00B3143B" w:rsidRPr="00B3143B">
              <w:rPr>
                <w:rStyle w:val="Hipervnculo"/>
                <w:rFonts w:ascii="ITC Avant Garde" w:eastAsia="MS Mincho" w:hAnsi="ITC Avant Garde" w:cs="Calibri"/>
                <w:noProof/>
                <w:sz w:val="18"/>
              </w:rPr>
              <w:t>2.</w:t>
            </w:r>
            <w:r w:rsidR="00B3143B" w:rsidRPr="00B3143B">
              <w:rPr>
                <w:rFonts w:cstheme="minorBidi"/>
                <w:noProof/>
                <w:sz w:val="18"/>
              </w:rPr>
              <w:tab/>
            </w:r>
            <w:r w:rsidR="00B3143B" w:rsidRPr="00B3143B">
              <w:rPr>
                <w:rStyle w:val="Hipervnculo"/>
                <w:rFonts w:ascii="ITC Avant Garde" w:eastAsia="MS Mincho" w:hAnsi="ITC Avant Garde" w:cs="Calibri"/>
                <w:noProof/>
                <w:sz w:val="18"/>
              </w:rPr>
              <w:t>Introducción</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_Toc114513291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6</w:t>
            </w:r>
            <w:r w:rsidR="00B3143B" w:rsidRPr="00B3143B">
              <w:rPr>
                <w:noProof/>
                <w:webHidden/>
                <w:sz w:val="18"/>
              </w:rPr>
              <w:fldChar w:fldCharType="end"/>
            </w:r>
          </w:hyperlink>
        </w:p>
        <w:p w14:paraId="44348C43" w14:textId="21F07D41" w:rsidR="00B3143B" w:rsidRPr="00B3143B" w:rsidRDefault="00E85AB8">
          <w:pPr>
            <w:pStyle w:val="TDC1"/>
            <w:rPr>
              <w:rFonts w:cstheme="minorBidi"/>
              <w:noProof/>
              <w:sz w:val="18"/>
            </w:rPr>
          </w:pPr>
          <w:hyperlink w:anchor="_Toc114513292" w:history="1">
            <w:r w:rsidR="00B3143B" w:rsidRPr="00B3143B">
              <w:rPr>
                <w:rStyle w:val="Hipervnculo"/>
                <w:rFonts w:ascii="ITC Avant Garde" w:eastAsia="MS Mincho" w:hAnsi="ITC Avant Garde" w:cs="Calibri"/>
                <w:noProof/>
                <w:sz w:val="18"/>
              </w:rPr>
              <w:t>3.</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Metodología del Modelo de Costos Evitados</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_Toc114513292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7</w:t>
            </w:r>
            <w:r w:rsidR="00B3143B" w:rsidRPr="00B3143B">
              <w:rPr>
                <w:noProof/>
                <w:webHidden/>
                <w:sz w:val="18"/>
              </w:rPr>
              <w:fldChar w:fldCharType="end"/>
            </w:r>
          </w:hyperlink>
        </w:p>
        <w:p w14:paraId="2EF5B949" w14:textId="14FA8985" w:rsidR="00B3143B" w:rsidRPr="00B3143B" w:rsidRDefault="00E85AB8">
          <w:pPr>
            <w:pStyle w:val="TDC2"/>
            <w:rPr>
              <w:rFonts w:cstheme="minorBidi"/>
              <w:noProof/>
              <w:sz w:val="18"/>
            </w:rPr>
          </w:pPr>
          <w:hyperlink w:anchor="_Toc114513293" w:history="1">
            <w:r w:rsidR="00B3143B" w:rsidRPr="00B3143B">
              <w:rPr>
                <w:rStyle w:val="Hipervnculo"/>
                <w:rFonts w:ascii="ITC Avant Garde" w:eastAsia="MS Mincho" w:hAnsi="ITC Avant Garde" w:cs="Calibri"/>
                <w:noProof/>
                <w:sz w:val="18"/>
              </w:rPr>
              <w:t>3.1.</w:t>
            </w:r>
            <w:r w:rsidR="00B3143B" w:rsidRPr="00B3143B">
              <w:rPr>
                <w:rFonts w:cstheme="minorBidi"/>
                <w:noProof/>
                <w:sz w:val="18"/>
              </w:rPr>
              <w:tab/>
            </w:r>
            <w:r w:rsidR="00B3143B" w:rsidRPr="00B3143B">
              <w:rPr>
                <w:rStyle w:val="Hipervnculo"/>
                <w:rFonts w:ascii="ITC Avant Garde" w:eastAsia="MS Mincho" w:hAnsi="ITC Avant Garde" w:cs="Calibri"/>
                <w:noProof/>
                <w:sz w:val="18"/>
              </w:rPr>
              <w:t>Contexto regulatorio</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_Toc114513293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8</w:t>
            </w:r>
            <w:r w:rsidR="00B3143B" w:rsidRPr="00B3143B">
              <w:rPr>
                <w:noProof/>
                <w:webHidden/>
                <w:sz w:val="18"/>
              </w:rPr>
              <w:fldChar w:fldCharType="end"/>
            </w:r>
          </w:hyperlink>
        </w:p>
        <w:p w14:paraId="23D20248" w14:textId="0CB182BF" w:rsidR="00B3143B" w:rsidRPr="00B3143B" w:rsidRDefault="00E85AB8">
          <w:pPr>
            <w:pStyle w:val="TDC2"/>
            <w:rPr>
              <w:rFonts w:cstheme="minorBidi"/>
              <w:noProof/>
              <w:sz w:val="18"/>
            </w:rPr>
          </w:pPr>
          <w:hyperlink w:anchor="_Toc114513294" w:history="1">
            <w:r w:rsidR="00B3143B" w:rsidRPr="00B3143B">
              <w:rPr>
                <w:rStyle w:val="Hipervnculo"/>
                <w:rFonts w:ascii="ITC Avant Garde" w:eastAsia="MS Mincho" w:hAnsi="ITC Avant Garde" w:cs="Calibri"/>
                <w:noProof/>
                <w:sz w:val="18"/>
              </w:rPr>
              <w:t>3.2.</w:t>
            </w:r>
            <w:r w:rsidR="00B3143B" w:rsidRPr="00B3143B">
              <w:rPr>
                <w:rFonts w:cstheme="minorBidi"/>
                <w:noProof/>
                <w:sz w:val="18"/>
              </w:rPr>
              <w:tab/>
            </w:r>
            <w:r w:rsidR="00B3143B" w:rsidRPr="00B3143B">
              <w:rPr>
                <w:rStyle w:val="Hipervnculo"/>
                <w:rFonts w:ascii="ITC Avant Garde" w:eastAsia="MS Mincho" w:hAnsi="ITC Avant Garde" w:cs="Calibri"/>
                <w:noProof/>
                <w:sz w:val="18"/>
              </w:rPr>
              <w:t>Principios de la metodología de costos evitados</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_Toc114513294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10</w:t>
            </w:r>
            <w:r w:rsidR="00B3143B" w:rsidRPr="00B3143B">
              <w:rPr>
                <w:noProof/>
                <w:webHidden/>
                <w:sz w:val="18"/>
              </w:rPr>
              <w:fldChar w:fldCharType="end"/>
            </w:r>
          </w:hyperlink>
        </w:p>
        <w:p w14:paraId="4AAE590D" w14:textId="00E9471F" w:rsidR="00B3143B" w:rsidRPr="00B3143B" w:rsidRDefault="00E85AB8">
          <w:pPr>
            <w:pStyle w:val="TDC2"/>
            <w:rPr>
              <w:rFonts w:cstheme="minorBidi"/>
              <w:noProof/>
              <w:sz w:val="18"/>
            </w:rPr>
          </w:pPr>
          <w:hyperlink w:anchor="_Toc114513295" w:history="1">
            <w:r w:rsidR="00B3143B" w:rsidRPr="00B3143B">
              <w:rPr>
                <w:rStyle w:val="Hipervnculo"/>
                <w:rFonts w:ascii="ITC Avant Garde" w:eastAsia="MS Mincho" w:hAnsi="ITC Avant Garde" w:cs="Calibri"/>
                <w:noProof/>
                <w:sz w:val="18"/>
              </w:rPr>
              <w:t>3.3.</w:t>
            </w:r>
            <w:r w:rsidR="00B3143B" w:rsidRPr="00B3143B">
              <w:rPr>
                <w:rFonts w:cstheme="minorBidi"/>
                <w:noProof/>
                <w:sz w:val="18"/>
              </w:rPr>
              <w:tab/>
            </w:r>
            <w:r w:rsidR="00B3143B" w:rsidRPr="00B3143B">
              <w:rPr>
                <w:rStyle w:val="Hipervnculo"/>
                <w:rFonts w:ascii="ITC Avant Garde" w:eastAsia="MS Mincho" w:hAnsi="ITC Avant Garde" w:cs="Calibri"/>
                <w:noProof/>
                <w:sz w:val="18"/>
              </w:rPr>
              <w:t>Servicios asociados a la Oferta de Referencia de Desagregación de TELMEX/TELNOR.</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_Toc114513295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11</w:t>
            </w:r>
            <w:r w:rsidR="00B3143B" w:rsidRPr="00B3143B">
              <w:rPr>
                <w:noProof/>
                <w:webHidden/>
                <w:sz w:val="18"/>
              </w:rPr>
              <w:fldChar w:fldCharType="end"/>
            </w:r>
          </w:hyperlink>
        </w:p>
        <w:p w14:paraId="1D9B19D9" w14:textId="07C90B38" w:rsidR="00B3143B" w:rsidRPr="00B3143B" w:rsidRDefault="00E85AB8">
          <w:pPr>
            <w:pStyle w:val="TDC2"/>
            <w:rPr>
              <w:rFonts w:cstheme="minorBidi"/>
              <w:noProof/>
              <w:sz w:val="18"/>
            </w:rPr>
          </w:pPr>
          <w:hyperlink w:anchor="_Toc114513296" w:history="1">
            <w:r w:rsidR="00B3143B" w:rsidRPr="00B3143B">
              <w:rPr>
                <w:rStyle w:val="Hipervnculo"/>
                <w:rFonts w:ascii="ITC Avant Garde" w:eastAsia="MS Mincho" w:hAnsi="ITC Avant Garde" w:cs="Calibri"/>
                <w:noProof/>
                <w:sz w:val="18"/>
              </w:rPr>
              <w:t>3.4.</w:t>
            </w:r>
            <w:r w:rsidR="00B3143B" w:rsidRPr="00B3143B">
              <w:rPr>
                <w:rFonts w:cstheme="minorBidi"/>
                <w:noProof/>
                <w:sz w:val="18"/>
              </w:rPr>
              <w:tab/>
            </w:r>
            <w:r w:rsidR="00B3143B" w:rsidRPr="00B3143B">
              <w:rPr>
                <w:rStyle w:val="Hipervnculo"/>
                <w:rFonts w:ascii="ITC Avant Garde" w:eastAsia="MS Mincho" w:hAnsi="ITC Avant Garde" w:cs="Calibri"/>
                <w:noProof/>
                <w:sz w:val="18"/>
              </w:rPr>
              <w:t>Metodología para definir precios de referencia de los servicios de desagregación</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_Toc114513296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12</w:t>
            </w:r>
            <w:r w:rsidR="00B3143B" w:rsidRPr="00B3143B">
              <w:rPr>
                <w:noProof/>
                <w:webHidden/>
                <w:sz w:val="18"/>
              </w:rPr>
              <w:fldChar w:fldCharType="end"/>
            </w:r>
          </w:hyperlink>
        </w:p>
        <w:p w14:paraId="623B504E" w14:textId="6E3DEFC4" w:rsidR="00B3143B" w:rsidRPr="00B3143B" w:rsidRDefault="00E85AB8">
          <w:pPr>
            <w:pStyle w:val="TDC2"/>
            <w:rPr>
              <w:rFonts w:cstheme="minorBidi"/>
              <w:noProof/>
              <w:sz w:val="18"/>
            </w:rPr>
          </w:pPr>
          <w:hyperlink w:anchor="_Toc114513297" w:history="1">
            <w:r w:rsidR="00B3143B" w:rsidRPr="00B3143B">
              <w:rPr>
                <w:rStyle w:val="Hipervnculo"/>
                <w:rFonts w:ascii="ITC Avant Garde" w:eastAsia="MS Mincho" w:hAnsi="ITC Avant Garde" w:cs="Calibri"/>
                <w:noProof/>
                <w:sz w:val="18"/>
              </w:rPr>
              <w:t>3.5.</w:t>
            </w:r>
            <w:r w:rsidR="00B3143B" w:rsidRPr="00B3143B">
              <w:rPr>
                <w:rFonts w:cstheme="minorBidi"/>
                <w:noProof/>
                <w:sz w:val="18"/>
              </w:rPr>
              <w:tab/>
            </w:r>
            <w:r w:rsidR="00B3143B" w:rsidRPr="00B3143B">
              <w:rPr>
                <w:rStyle w:val="Hipervnculo"/>
                <w:rFonts w:ascii="ITC Avant Garde" w:eastAsia="MS Mincho" w:hAnsi="ITC Avant Garde" w:cs="Calibri"/>
                <w:noProof/>
                <w:sz w:val="18"/>
              </w:rPr>
              <w:t>Enfoque de estimación del precio implícito de los elementos que integran la canasta de servicios de los planes y paquetes de TELMEX/TELNOR</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_Toc114513297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16</w:t>
            </w:r>
            <w:r w:rsidR="00B3143B" w:rsidRPr="00B3143B">
              <w:rPr>
                <w:noProof/>
                <w:webHidden/>
                <w:sz w:val="18"/>
              </w:rPr>
              <w:fldChar w:fldCharType="end"/>
            </w:r>
          </w:hyperlink>
        </w:p>
        <w:p w14:paraId="18849C33" w14:textId="1749B841" w:rsidR="00B3143B" w:rsidRPr="00B3143B" w:rsidRDefault="00E85AB8">
          <w:pPr>
            <w:pStyle w:val="TDC2"/>
            <w:rPr>
              <w:rFonts w:cstheme="minorBidi"/>
              <w:noProof/>
              <w:sz w:val="18"/>
            </w:rPr>
          </w:pPr>
          <w:hyperlink w:anchor="_Toc114513298" w:history="1">
            <w:r w:rsidR="00B3143B" w:rsidRPr="00B3143B">
              <w:rPr>
                <w:rStyle w:val="Hipervnculo"/>
                <w:rFonts w:ascii="ITC Avant Garde" w:eastAsia="MS Mincho" w:hAnsi="ITC Avant Garde" w:cs="Calibri"/>
                <w:noProof/>
                <w:sz w:val="18"/>
              </w:rPr>
              <w:t>3.6.</w:t>
            </w:r>
            <w:r w:rsidR="00B3143B" w:rsidRPr="00B3143B">
              <w:rPr>
                <w:rFonts w:cstheme="minorBidi"/>
                <w:noProof/>
                <w:sz w:val="18"/>
              </w:rPr>
              <w:tab/>
            </w:r>
            <w:r w:rsidR="00B3143B" w:rsidRPr="00B3143B">
              <w:rPr>
                <w:rStyle w:val="Hipervnculo"/>
                <w:rFonts w:ascii="ITC Avant Garde" w:eastAsia="MS Mincho" w:hAnsi="ITC Avant Garde" w:cs="Calibri"/>
                <w:noProof/>
                <w:sz w:val="18"/>
              </w:rPr>
              <w:t>Precio de Referencia asociado al Servicio de Reventa</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_Toc114513298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24</w:t>
            </w:r>
            <w:r w:rsidR="00B3143B" w:rsidRPr="00B3143B">
              <w:rPr>
                <w:noProof/>
                <w:webHidden/>
                <w:sz w:val="18"/>
              </w:rPr>
              <w:fldChar w:fldCharType="end"/>
            </w:r>
          </w:hyperlink>
        </w:p>
        <w:p w14:paraId="32691E87" w14:textId="501AF213" w:rsidR="00B3143B" w:rsidRPr="00B3143B" w:rsidRDefault="00E85AB8">
          <w:pPr>
            <w:pStyle w:val="TDC3"/>
            <w:rPr>
              <w:rFonts w:cstheme="minorBidi"/>
              <w:noProof/>
              <w:sz w:val="18"/>
            </w:rPr>
          </w:pPr>
          <w:hyperlink w:anchor="_Toc114513299" w:history="1">
            <w:r w:rsidR="00B3143B" w:rsidRPr="00B3143B">
              <w:rPr>
                <w:rStyle w:val="Hipervnculo"/>
                <w:rFonts w:ascii="ITC Avant Garde" w:eastAsia="MS Mincho" w:hAnsi="ITC Avant Garde" w:cs="Calibri"/>
                <w:bCs/>
                <w:noProof/>
                <w:sz w:val="18"/>
              </w:rPr>
              <w:t>3.6.1.</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Precio de referencia del SRLT</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_Toc114513299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26</w:t>
            </w:r>
            <w:r w:rsidR="00B3143B" w:rsidRPr="00B3143B">
              <w:rPr>
                <w:noProof/>
                <w:webHidden/>
                <w:sz w:val="18"/>
              </w:rPr>
              <w:fldChar w:fldCharType="end"/>
            </w:r>
          </w:hyperlink>
        </w:p>
        <w:p w14:paraId="05C4FE42" w14:textId="3B73AC58" w:rsidR="00B3143B" w:rsidRPr="00B3143B" w:rsidRDefault="00E85AB8">
          <w:pPr>
            <w:pStyle w:val="TDC3"/>
            <w:rPr>
              <w:rFonts w:cstheme="minorBidi"/>
              <w:noProof/>
              <w:sz w:val="18"/>
            </w:rPr>
          </w:pPr>
          <w:hyperlink w:anchor="_Toc114513300" w:history="1">
            <w:r w:rsidR="00B3143B" w:rsidRPr="00B3143B">
              <w:rPr>
                <w:rStyle w:val="Hipervnculo"/>
                <w:rFonts w:ascii="ITC Avant Garde" w:eastAsia="MS Mincho" w:hAnsi="ITC Avant Garde" w:cs="Calibri"/>
                <w:noProof/>
                <w:sz w:val="18"/>
              </w:rPr>
              <w:t>3.6.2.</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Precio de referencia del SRI</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_Toc114513300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27</w:t>
            </w:r>
            <w:r w:rsidR="00B3143B" w:rsidRPr="00B3143B">
              <w:rPr>
                <w:noProof/>
                <w:webHidden/>
                <w:sz w:val="18"/>
              </w:rPr>
              <w:fldChar w:fldCharType="end"/>
            </w:r>
          </w:hyperlink>
        </w:p>
        <w:p w14:paraId="715ADBF3" w14:textId="0275D874" w:rsidR="00B3143B" w:rsidRPr="00B3143B" w:rsidRDefault="00E85AB8">
          <w:pPr>
            <w:pStyle w:val="TDC3"/>
            <w:rPr>
              <w:rFonts w:cstheme="minorBidi"/>
              <w:noProof/>
              <w:sz w:val="18"/>
            </w:rPr>
          </w:pPr>
          <w:hyperlink w:anchor="_Toc114513301" w:history="1">
            <w:r w:rsidR="00B3143B" w:rsidRPr="00B3143B">
              <w:rPr>
                <w:rStyle w:val="Hipervnculo"/>
                <w:rFonts w:ascii="ITC Avant Garde" w:eastAsia="MS Mincho" w:hAnsi="ITC Avant Garde" w:cs="Calibri"/>
                <w:bCs/>
                <w:noProof/>
                <w:sz w:val="18"/>
              </w:rPr>
              <w:t>3.6.3.</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Precio de referencia del SRP</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_Toc114513301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28</w:t>
            </w:r>
            <w:r w:rsidR="00B3143B" w:rsidRPr="00B3143B">
              <w:rPr>
                <w:noProof/>
                <w:webHidden/>
                <w:sz w:val="18"/>
              </w:rPr>
              <w:fldChar w:fldCharType="end"/>
            </w:r>
          </w:hyperlink>
        </w:p>
        <w:p w14:paraId="45B4FF66" w14:textId="022EC867" w:rsidR="00B3143B" w:rsidRPr="00B3143B" w:rsidRDefault="00E85AB8">
          <w:pPr>
            <w:pStyle w:val="TDC3"/>
            <w:rPr>
              <w:rFonts w:cstheme="minorBidi"/>
              <w:noProof/>
              <w:sz w:val="18"/>
            </w:rPr>
          </w:pPr>
          <w:hyperlink w:anchor="_Toc114513302" w:history="1">
            <w:r w:rsidR="00B3143B" w:rsidRPr="00B3143B">
              <w:rPr>
                <w:rStyle w:val="Hipervnculo"/>
                <w:rFonts w:ascii="ITC Avant Garde" w:eastAsia="MS Mincho" w:hAnsi="ITC Avant Garde" w:cs="Calibri"/>
                <w:bCs/>
                <w:noProof/>
                <w:sz w:val="18"/>
              </w:rPr>
              <w:t>3.6.4.</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Precio de referencia asociado al SRMLT</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_Toc114513302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28</w:t>
            </w:r>
            <w:r w:rsidR="00B3143B" w:rsidRPr="00B3143B">
              <w:rPr>
                <w:noProof/>
                <w:webHidden/>
                <w:sz w:val="18"/>
              </w:rPr>
              <w:fldChar w:fldCharType="end"/>
            </w:r>
          </w:hyperlink>
        </w:p>
        <w:p w14:paraId="4BB6CB4A" w14:textId="5D223ABB" w:rsidR="00B3143B" w:rsidRPr="00B3143B" w:rsidRDefault="00E85AB8">
          <w:pPr>
            <w:pStyle w:val="TDC2"/>
            <w:rPr>
              <w:rFonts w:cstheme="minorBidi"/>
              <w:noProof/>
              <w:sz w:val="18"/>
            </w:rPr>
          </w:pPr>
          <w:hyperlink w:anchor="_Toc114513303" w:history="1">
            <w:r w:rsidR="00B3143B" w:rsidRPr="00B3143B">
              <w:rPr>
                <w:rStyle w:val="Hipervnculo"/>
                <w:rFonts w:ascii="ITC Avant Garde" w:eastAsia="MS Mincho" w:hAnsi="ITC Avant Garde" w:cs="Calibri"/>
                <w:noProof/>
                <w:sz w:val="18"/>
              </w:rPr>
              <w:t>3.7.</w:t>
            </w:r>
            <w:r w:rsidR="00B3143B" w:rsidRPr="00B3143B">
              <w:rPr>
                <w:rFonts w:cstheme="minorBidi"/>
                <w:noProof/>
                <w:sz w:val="18"/>
              </w:rPr>
              <w:tab/>
            </w:r>
            <w:r w:rsidR="00B3143B" w:rsidRPr="00B3143B">
              <w:rPr>
                <w:rStyle w:val="Hipervnculo"/>
                <w:rFonts w:ascii="ITC Avant Garde" w:eastAsia="MS Mincho" w:hAnsi="ITC Avant Garde" w:cs="Calibri"/>
                <w:noProof/>
                <w:sz w:val="18"/>
              </w:rPr>
              <w:t>Definición de conceptos de costos evitados en los Servicios de Reventa</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_Toc114513303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29</w:t>
            </w:r>
            <w:r w:rsidR="00B3143B" w:rsidRPr="00B3143B">
              <w:rPr>
                <w:noProof/>
                <w:webHidden/>
                <w:sz w:val="18"/>
              </w:rPr>
              <w:fldChar w:fldCharType="end"/>
            </w:r>
          </w:hyperlink>
        </w:p>
        <w:p w14:paraId="3EA1AA8D" w14:textId="68C5A99B" w:rsidR="00B3143B" w:rsidRPr="00B3143B" w:rsidRDefault="00E85AB8">
          <w:pPr>
            <w:pStyle w:val="TDC3"/>
            <w:rPr>
              <w:rFonts w:cstheme="minorBidi"/>
              <w:noProof/>
              <w:sz w:val="18"/>
            </w:rPr>
          </w:pPr>
          <w:hyperlink w:anchor="_Toc114513304" w:history="1">
            <w:r w:rsidR="00B3143B" w:rsidRPr="00B3143B">
              <w:rPr>
                <w:rStyle w:val="Hipervnculo"/>
                <w:rFonts w:ascii="ITC Avant Garde" w:hAnsi="ITC Avant Garde"/>
                <w:noProof/>
                <w:sz w:val="18"/>
              </w:rPr>
              <w:t>3.7.1.</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Facturación</w:t>
            </w:r>
            <w:r w:rsidR="00B3143B" w:rsidRPr="00B3143B">
              <w:rPr>
                <w:rStyle w:val="Hipervnculo"/>
                <w:rFonts w:ascii="ITC Avant Garde" w:hAnsi="ITC Avant Garde"/>
                <w:noProof/>
                <w:sz w:val="18"/>
              </w:rPr>
              <w:t xml:space="preserve"> (incluyendo el sistema de facturación a usuarios finales minoristas)</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_Toc114513304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30</w:t>
            </w:r>
            <w:r w:rsidR="00B3143B" w:rsidRPr="00B3143B">
              <w:rPr>
                <w:noProof/>
                <w:webHidden/>
                <w:sz w:val="18"/>
              </w:rPr>
              <w:fldChar w:fldCharType="end"/>
            </w:r>
          </w:hyperlink>
        </w:p>
        <w:p w14:paraId="5B18C6CD" w14:textId="0F73468B" w:rsidR="00B3143B" w:rsidRPr="00B3143B" w:rsidRDefault="00E85AB8">
          <w:pPr>
            <w:pStyle w:val="TDC3"/>
            <w:rPr>
              <w:rFonts w:cstheme="minorBidi"/>
              <w:noProof/>
              <w:sz w:val="18"/>
            </w:rPr>
          </w:pPr>
          <w:hyperlink w:anchor="_Toc114513305" w:history="1">
            <w:r w:rsidR="00B3143B" w:rsidRPr="00B3143B">
              <w:rPr>
                <w:rStyle w:val="Hipervnculo"/>
                <w:rFonts w:ascii="ITC Avant Garde" w:eastAsia="MS Mincho" w:hAnsi="ITC Avant Garde" w:cs="Calibri"/>
                <w:bCs/>
                <w:noProof/>
                <w:sz w:val="18"/>
              </w:rPr>
              <w:t>3.7.2.</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Deuda incobrable</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_Toc114513305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30</w:t>
            </w:r>
            <w:r w:rsidR="00B3143B" w:rsidRPr="00B3143B">
              <w:rPr>
                <w:noProof/>
                <w:webHidden/>
                <w:sz w:val="18"/>
              </w:rPr>
              <w:fldChar w:fldCharType="end"/>
            </w:r>
          </w:hyperlink>
        </w:p>
        <w:p w14:paraId="608F8FAC" w14:textId="09E461AF" w:rsidR="00B3143B" w:rsidRPr="00B3143B" w:rsidRDefault="00E85AB8">
          <w:pPr>
            <w:pStyle w:val="TDC3"/>
            <w:rPr>
              <w:rFonts w:cstheme="minorBidi"/>
              <w:noProof/>
              <w:sz w:val="18"/>
            </w:rPr>
          </w:pPr>
          <w:hyperlink w:anchor="_Toc114513306" w:history="1">
            <w:r w:rsidR="00B3143B" w:rsidRPr="00B3143B">
              <w:rPr>
                <w:rStyle w:val="Hipervnculo"/>
                <w:rFonts w:ascii="ITC Avant Garde" w:eastAsia="MS Mincho" w:hAnsi="ITC Avant Garde" w:cs="Calibri"/>
                <w:bCs/>
                <w:noProof/>
                <w:sz w:val="18"/>
              </w:rPr>
              <w:t>3.7.3.</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Mercadotecnia y publicidad</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_Toc114513306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31</w:t>
            </w:r>
            <w:r w:rsidR="00B3143B" w:rsidRPr="00B3143B">
              <w:rPr>
                <w:noProof/>
                <w:webHidden/>
                <w:sz w:val="18"/>
              </w:rPr>
              <w:fldChar w:fldCharType="end"/>
            </w:r>
          </w:hyperlink>
        </w:p>
        <w:p w14:paraId="7E879438" w14:textId="49BE1F9B" w:rsidR="00B3143B" w:rsidRPr="00B3143B" w:rsidRDefault="00E85AB8">
          <w:pPr>
            <w:pStyle w:val="TDC3"/>
            <w:rPr>
              <w:rFonts w:cstheme="minorBidi"/>
              <w:noProof/>
              <w:sz w:val="18"/>
            </w:rPr>
          </w:pPr>
          <w:hyperlink w:anchor="_Toc114513307" w:history="1">
            <w:r w:rsidR="00B3143B" w:rsidRPr="00B3143B">
              <w:rPr>
                <w:rStyle w:val="Hipervnculo"/>
                <w:rFonts w:ascii="ITC Avant Garde" w:eastAsia="MS Mincho" w:hAnsi="ITC Avant Garde" w:cs="Calibri"/>
                <w:bCs/>
                <w:noProof/>
                <w:sz w:val="18"/>
              </w:rPr>
              <w:t>3.7.4.</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Servicio de atención al cliente (incluyendo asistencia técnica de primera línea</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_Toc114513307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32</w:t>
            </w:r>
            <w:r w:rsidR="00B3143B" w:rsidRPr="00B3143B">
              <w:rPr>
                <w:noProof/>
                <w:webHidden/>
                <w:sz w:val="18"/>
              </w:rPr>
              <w:fldChar w:fldCharType="end"/>
            </w:r>
          </w:hyperlink>
        </w:p>
        <w:p w14:paraId="324E2746" w14:textId="1EB3D7E4" w:rsidR="00B3143B" w:rsidRPr="00B3143B" w:rsidRDefault="00E85AB8">
          <w:pPr>
            <w:pStyle w:val="TDC3"/>
            <w:rPr>
              <w:rFonts w:cstheme="minorBidi"/>
              <w:noProof/>
              <w:sz w:val="18"/>
            </w:rPr>
          </w:pPr>
          <w:hyperlink w:anchor="_Toc114513308" w:history="1">
            <w:r w:rsidR="00B3143B" w:rsidRPr="00B3143B">
              <w:rPr>
                <w:rStyle w:val="Hipervnculo"/>
                <w:rFonts w:ascii="ITC Avant Garde" w:eastAsia="MS Mincho" w:hAnsi="ITC Avant Garde" w:cs="Calibri"/>
                <w:bCs/>
                <w:noProof/>
                <w:sz w:val="18"/>
              </w:rPr>
              <w:t>3.7.5.</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Gastos generales y administrativos, incluyendo los gastos de personal (salarios y participación en las utilidades) y los asociados al uso de espacio para oficina</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_Toc114513308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32</w:t>
            </w:r>
            <w:r w:rsidR="00B3143B" w:rsidRPr="00B3143B">
              <w:rPr>
                <w:noProof/>
                <w:webHidden/>
                <w:sz w:val="18"/>
              </w:rPr>
              <w:fldChar w:fldCharType="end"/>
            </w:r>
          </w:hyperlink>
        </w:p>
        <w:p w14:paraId="7B4576E0" w14:textId="6D5CD191" w:rsidR="00B3143B" w:rsidRPr="00B3143B" w:rsidRDefault="00E85AB8">
          <w:pPr>
            <w:pStyle w:val="TDC3"/>
            <w:rPr>
              <w:rFonts w:cstheme="minorBidi"/>
              <w:noProof/>
              <w:sz w:val="18"/>
            </w:rPr>
          </w:pPr>
          <w:hyperlink w:anchor="_Toc114513309" w:history="1">
            <w:r w:rsidR="00B3143B" w:rsidRPr="00B3143B">
              <w:rPr>
                <w:rStyle w:val="Hipervnculo"/>
                <w:rFonts w:ascii="ITC Avant Garde" w:eastAsia="MS Mincho" w:hAnsi="ITC Avant Garde" w:cs="Calibri"/>
                <w:bCs/>
                <w:noProof/>
                <w:sz w:val="18"/>
              </w:rPr>
              <w:t>3.7.6.</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Margen de beneficios sobre costos evitados</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_Toc114513309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33</w:t>
            </w:r>
            <w:r w:rsidR="00B3143B" w:rsidRPr="00B3143B">
              <w:rPr>
                <w:noProof/>
                <w:webHidden/>
                <w:sz w:val="18"/>
              </w:rPr>
              <w:fldChar w:fldCharType="end"/>
            </w:r>
          </w:hyperlink>
        </w:p>
        <w:p w14:paraId="32EE7666" w14:textId="37A06ECB" w:rsidR="00B3143B" w:rsidRPr="00B3143B" w:rsidRDefault="00E85AB8">
          <w:pPr>
            <w:pStyle w:val="TDC3"/>
            <w:rPr>
              <w:rFonts w:cstheme="minorBidi"/>
              <w:noProof/>
              <w:sz w:val="18"/>
            </w:rPr>
          </w:pPr>
          <w:hyperlink w:anchor="_Toc114513310" w:history="1">
            <w:r w:rsidR="00B3143B" w:rsidRPr="00B3143B">
              <w:rPr>
                <w:rStyle w:val="Hipervnculo"/>
                <w:rFonts w:ascii="ITC Avant Garde" w:eastAsia="MS Mincho" w:hAnsi="ITC Avant Garde" w:cs="Calibri"/>
                <w:bCs/>
                <w:noProof/>
                <w:sz w:val="18"/>
              </w:rPr>
              <w:t>3.7.7.</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Aspectos generales relacionados con la determinación de ingresos de TELMEX/TELNOR.</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_Toc114513310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33</w:t>
            </w:r>
            <w:r w:rsidR="00B3143B" w:rsidRPr="00B3143B">
              <w:rPr>
                <w:noProof/>
                <w:webHidden/>
                <w:sz w:val="18"/>
              </w:rPr>
              <w:fldChar w:fldCharType="end"/>
            </w:r>
          </w:hyperlink>
        </w:p>
        <w:p w14:paraId="0140E6D3" w14:textId="0098C393" w:rsidR="00B3143B" w:rsidRPr="00B3143B" w:rsidRDefault="00E85AB8">
          <w:pPr>
            <w:pStyle w:val="TDC2"/>
            <w:rPr>
              <w:rFonts w:cstheme="minorBidi"/>
              <w:noProof/>
              <w:sz w:val="18"/>
            </w:rPr>
          </w:pPr>
          <w:hyperlink w:anchor="_Toc114513311" w:history="1">
            <w:r w:rsidR="00B3143B" w:rsidRPr="00B3143B">
              <w:rPr>
                <w:rStyle w:val="Hipervnculo"/>
                <w:rFonts w:ascii="ITC Avant Garde" w:eastAsia="MS Mincho" w:hAnsi="ITC Avant Garde" w:cs="Calibri"/>
                <w:noProof/>
                <w:sz w:val="18"/>
              </w:rPr>
              <w:t>3.8.</w:t>
            </w:r>
            <w:r w:rsidR="00B3143B" w:rsidRPr="00B3143B">
              <w:rPr>
                <w:rFonts w:cstheme="minorBidi"/>
                <w:noProof/>
                <w:sz w:val="18"/>
              </w:rPr>
              <w:tab/>
            </w:r>
            <w:r w:rsidR="00B3143B" w:rsidRPr="00B3143B">
              <w:rPr>
                <w:rStyle w:val="Hipervnculo"/>
                <w:rFonts w:ascii="ITC Avant Garde" w:eastAsia="MS Mincho" w:hAnsi="ITC Avant Garde" w:cs="Calibri"/>
                <w:noProof/>
                <w:sz w:val="18"/>
              </w:rPr>
              <w:t>Integración de los costos evitados e ingresos en el porcentaje de descuento aplicable.</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_Toc114513311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35</w:t>
            </w:r>
            <w:r w:rsidR="00B3143B" w:rsidRPr="00B3143B">
              <w:rPr>
                <w:noProof/>
                <w:webHidden/>
                <w:sz w:val="18"/>
              </w:rPr>
              <w:fldChar w:fldCharType="end"/>
            </w:r>
          </w:hyperlink>
        </w:p>
        <w:p w14:paraId="31E3CFDF" w14:textId="7CE9BDAC" w:rsidR="00B3143B" w:rsidRPr="00B3143B" w:rsidRDefault="00E85AB8">
          <w:pPr>
            <w:pStyle w:val="TDC2"/>
            <w:rPr>
              <w:rFonts w:cstheme="minorBidi"/>
              <w:noProof/>
              <w:sz w:val="18"/>
            </w:rPr>
          </w:pPr>
          <w:hyperlink w:anchor="_Toc114513312" w:history="1">
            <w:r w:rsidR="00B3143B" w:rsidRPr="00B3143B">
              <w:rPr>
                <w:rStyle w:val="Hipervnculo"/>
                <w:rFonts w:ascii="ITC Avant Garde" w:eastAsia="MS Mincho" w:hAnsi="ITC Avant Garde" w:cs="Calibri"/>
                <w:noProof/>
                <w:sz w:val="18"/>
              </w:rPr>
              <w:t>3.9.</w:t>
            </w:r>
            <w:r w:rsidR="00B3143B" w:rsidRPr="00B3143B">
              <w:rPr>
                <w:rFonts w:cstheme="minorBidi"/>
                <w:noProof/>
                <w:sz w:val="18"/>
              </w:rPr>
              <w:tab/>
            </w:r>
            <w:r w:rsidR="00B3143B" w:rsidRPr="00B3143B">
              <w:rPr>
                <w:rStyle w:val="Hipervnculo"/>
                <w:rFonts w:ascii="ITC Avant Garde" w:eastAsia="MS Mincho" w:hAnsi="ITC Avant Garde" w:cs="Calibri"/>
                <w:noProof/>
                <w:sz w:val="18"/>
              </w:rPr>
              <w:t>Resumen de esquemas de aplicación del Modelo de Costos Evitados</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_Toc114513312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37</w:t>
            </w:r>
            <w:r w:rsidR="00B3143B" w:rsidRPr="00B3143B">
              <w:rPr>
                <w:noProof/>
                <w:webHidden/>
                <w:sz w:val="18"/>
              </w:rPr>
              <w:fldChar w:fldCharType="end"/>
            </w:r>
          </w:hyperlink>
        </w:p>
        <w:p w14:paraId="0BAA5FBB" w14:textId="4F84430B" w:rsidR="00B3143B" w:rsidRPr="00B3143B" w:rsidRDefault="00E85AB8">
          <w:pPr>
            <w:pStyle w:val="TDC3"/>
            <w:rPr>
              <w:rFonts w:cstheme="minorBidi"/>
              <w:noProof/>
              <w:sz w:val="18"/>
            </w:rPr>
          </w:pPr>
          <w:hyperlink w:anchor="_Toc114513313" w:history="1">
            <w:r w:rsidR="00B3143B" w:rsidRPr="00B3143B">
              <w:rPr>
                <w:rStyle w:val="Hipervnculo"/>
                <w:rFonts w:ascii="ITC Avant Garde" w:eastAsia="MS Mincho" w:hAnsi="ITC Avant Garde" w:cs="Calibri"/>
                <w:bCs/>
                <w:noProof/>
                <w:sz w:val="18"/>
              </w:rPr>
              <w:t>3.9.1.</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Esquema para el SRLT</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_Toc114513313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37</w:t>
            </w:r>
            <w:r w:rsidR="00B3143B" w:rsidRPr="00B3143B">
              <w:rPr>
                <w:noProof/>
                <w:webHidden/>
                <w:sz w:val="18"/>
              </w:rPr>
              <w:fldChar w:fldCharType="end"/>
            </w:r>
          </w:hyperlink>
        </w:p>
        <w:p w14:paraId="22272D04" w14:textId="458D633A" w:rsidR="00B3143B" w:rsidRPr="00B3143B" w:rsidRDefault="00E85AB8">
          <w:pPr>
            <w:pStyle w:val="TDC3"/>
            <w:rPr>
              <w:rFonts w:cstheme="minorBidi"/>
              <w:noProof/>
              <w:sz w:val="18"/>
            </w:rPr>
          </w:pPr>
          <w:hyperlink w:anchor="_Toc114513314" w:history="1">
            <w:r w:rsidR="00B3143B" w:rsidRPr="00B3143B">
              <w:rPr>
                <w:rStyle w:val="Hipervnculo"/>
                <w:rFonts w:ascii="ITC Avant Garde" w:eastAsia="MS Mincho" w:hAnsi="ITC Avant Garde" w:cs="Calibri"/>
                <w:noProof/>
                <w:sz w:val="18"/>
              </w:rPr>
              <w:t>3.9.2.</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Esquema para el SRI</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_Toc114513314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37</w:t>
            </w:r>
            <w:r w:rsidR="00B3143B" w:rsidRPr="00B3143B">
              <w:rPr>
                <w:noProof/>
                <w:webHidden/>
                <w:sz w:val="18"/>
              </w:rPr>
              <w:fldChar w:fldCharType="end"/>
            </w:r>
          </w:hyperlink>
        </w:p>
        <w:p w14:paraId="53F6A464" w14:textId="68DFAA83" w:rsidR="00B3143B" w:rsidRPr="00B3143B" w:rsidRDefault="00E85AB8">
          <w:pPr>
            <w:pStyle w:val="TDC3"/>
            <w:rPr>
              <w:rFonts w:cstheme="minorBidi"/>
              <w:noProof/>
              <w:sz w:val="18"/>
            </w:rPr>
          </w:pPr>
          <w:hyperlink w:anchor="_Toc114513315" w:history="1">
            <w:r w:rsidR="00B3143B" w:rsidRPr="00B3143B">
              <w:rPr>
                <w:rStyle w:val="Hipervnculo"/>
                <w:rFonts w:ascii="ITC Avant Garde" w:eastAsia="MS Mincho" w:hAnsi="ITC Avant Garde" w:cs="Calibri"/>
                <w:bCs/>
                <w:noProof/>
                <w:sz w:val="18"/>
              </w:rPr>
              <w:t>3.9.3.</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Esquema para el SRP</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_Toc114513315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38</w:t>
            </w:r>
            <w:r w:rsidR="00B3143B" w:rsidRPr="00B3143B">
              <w:rPr>
                <w:noProof/>
                <w:webHidden/>
                <w:sz w:val="18"/>
              </w:rPr>
              <w:fldChar w:fldCharType="end"/>
            </w:r>
          </w:hyperlink>
        </w:p>
        <w:p w14:paraId="380D7FC9" w14:textId="309B82E8" w:rsidR="00B3143B" w:rsidRDefault="00E85AB8">
          <w:pPr>
            <w:pStyle w:val="TDC3"/>
            <w:rPr>
              <w:rFonts w:cstheme="minorBidi"/>
              <w:noProof/>
            </w:rPr>
          </w:pPr>
          <w:hyperlink w:anchor="_Toc114513316" w:history="1">
            <w:r w:rsidR="00B3143B" w:rsidRPr="00B3143B">
              <w:rPr>
                <w:rStyle w:val="Hipervnculo"/>
                <w:rFonts w:ascii="ITC Avant Garde" w:eastAsia="MS Mincho" w:hAnsi="ITC Avant Garde" w:cs="Calibri"/>
                <w:bCs/>
                <w:noProof/>
                <w:sz w:val="18"/>
              </w:rPr>
              <w:t>3.9.4.</w:t>
            </w:r>
            <w:r w:rsidR="00B3143B" w:rsidRPr="00B3143B">
              <w:rPr>
                <w:rFonts w:cstheme="minorBidi"/>
                <w:noProof/>
                <w:sz w:val="18"/>
              </w:rPr>
              <w:tab/>
            </w:r>
            <w:r w:rsidR="00B3143B" w:rsidRPr="00B3143B">
              <w:rPr>
                <w:rStyle w:val="Hipervnculo"/>
                <w:rFonts w:ascii="ITC Avant Garde" w:eastAsia="MS Mincho" w:hAnsi="ITC Avant Garde" w:cs="Calibri"/>
                <w:bCs/>
                <w:noProof/>
                <w:sz w:val="18"/>
              </w:rPr>
              <w:t>Esquema aplicable al SRMLT</w:t>
            </w:r>
            <w:r w:rsidR="00B3143B" w:rsidRPr="00B3143B">
              <w:rPr>
                <w:noProof/>
                <w:webHidden/>
                <w:sz w:val="18"/>
              </w:rPr>
              <w:tab/>
            </w:r>
            <w:r w:rsidR="00B3143B" w:rsidRPr="00B3143B">
              <w:rPr>
                <w:noProof/>
                <w:webHidden/>
                <w:sz w:val="18"/>
              </w:rPr>
              <w:fldChar w:fldCharType="begin"/>
            </w:r>
            <w:r w:rsidR="00B3143B" w:rsidRPr="00B3143B">
              <w:rPr>
                <w:noProof/>
                <w:webHidden/>
                <w:sz w:val="18"/>
              </w:rPr>
              <w:instrText xml:space="preserve"> PAGEREF _Toc114513316 \h </w:instrText>
            </w:r>
            <w:r w:rsidR="00B3143B" w:rsidRPr="00B3143B">
              <w:rPr>
                <w:noProof/>
                <w:webHidden/>
                <w:sz w:val="18"/>
              </w:rPr>
            </w:r>
            <w:r w:rsidR="00B3143B" w:rsidRPr="00B3143B">
              <w:rPr>
                <w:noProof/>
                <w:webHidden/>
                <w:sz w:val="18"/>
              </w:rPr>
              <w:fldChar w:fldCharType="separate"/>
            </w:r>
            <w:r w:rsidR="00B3143B" w:rsidRPr="00B3143B">
              <w:rPr>
                <w:noProof/>
                <w:webHidden/>
                <w:sz w:val="18"/>
              </w:rPr>
              <w:t>39</w:t>
            </w:r>
            <w:r w:rsidR="00B3143B" w:rsidRPr="00B3143B">
              <w:rPr>
                <w:noProof/>
                <w:webHidden/>
                <w:sz w:val="18"/>
              </w:rPr>
              <w:fldChar w:fldCharType="end"/>
            </w:r>
          </w:hyperlink>
        </w:p>
        <w:p w14:paraId="39A9E761" w14:textId="50ADB549" w:rsidR="00181D64" w:rsidRPr="00D5693A" w:rsidRDefault="00181D64" w:rsidP="00181D64">
          <w:pPr>
            <w:rPr>
              <w:sz w:val="20"/>
              <w:szCs w:val="20"/>
            </w:rPr>
          </w:pPr>
          <w:r w:rsidRPr="00E64182">
            <w:rPr>
              <w:rFonts w:ascii="ITC Avant Garde" w:hAnsi="ITC Avant Garde"/>
              <w:sz w:val="16"/>
              <w:szCs w:val="16"/>
            </w:rPr>
            <w:fldChar w:fldCharType="end"/>
          </w:r>
        </w:p>
      </w:sdtContent>
    </w:sdt>
    <w:p w14:paraId="461E490F" w14:textId="77777777" w:rsidR="00181D64" w:rsidRPr="00523452" w:rsidRDefault="00181D64" w:rsidP="00181D64">
      <w:pPr>
        <w:jc w:val="center"/>
        <w:rPr>
          <w:rFonts w:ascii="ITC Avant Garde" w:hAnsi="ITC Avant Garde"/>
          <w:b/>
          <w:sz w:val="24"/>
        </w:rPr>
      </w:pPr>
    </w:p>
    <w:p w14:paraId="12E58F9B" w14:textId="222470F4" w:rsidR="00045FC9" w:rsidRDefault="00045FC9">
      <w:pPr>
        <w:rPr>
          <w:rFonts w:ascii="ITC Avant Garde" w:hAnsi="ITC Avant Garde"/>
          <w:b/>
          <w:sz w:val="24"/>
        </w:rPr>
      </w:pPr>
      <w:r>
        <w:rPr>
          <w:rFonts w:ascii="ITC Avant Garde" w:hAnsi="ITC Avant Garde"/>
          <w:b/>
          <w:sz w:val="24"/>
        </w:rPr>
        <w:br w:type="page"/>
      </w:r>
    </w:p>
    <w:p w14:paraId="0BC2E7E8" w14:textId="354393B1" w:rsidR="00181D64" w:rsidRPr="00523452" w:rsidRDefault="00181D64" w:rsidP="00B3143B">
      <w:pPr>
        <w:jc w:val="center"/>
        <w:rPr>
          <w:rFonts w:ascii="ITC Avant Garde" w:hAnsi="ITC Avant Garde"/>
          <w:b/>
          <w:sz w:val="24"/>
        </w:rPr>
      </w:pPr>
      <w:r w:rsidRPr="00523452">
        <w:rPr>
          <w:rFonts w:ascii="ITC Avant Garde" w:hAnsi="ITC Avant Garde"/>
          <w:b/>
          <w:sz w:val="24"/>
        </w:rPr>
        <w:lastRenderedPageBreak/>
        <w:t xml:space="preserve">Modelo de Costos Evitados para </w:t>
      </w:r>
      <w:r w:rsidR="006B2D4F">
        <w:rPr>
          <w:rFonts w:ascii="ITC Avant Garde" w:hAnsi="ITC Avant Garde"/>
          <w:b/>
          <w:sz w:val="24"/>
        </w:rPr>
        <w:t xml:space="preserve">los </w:t>
      </w:r>
      <w:r w:rsidRPr="00523452">
        <w:rPr>
          <w:rFonts w:ascii="ITC Avant Garde" w:hAnsi="ITC Avant Garde"/>
          <w:b/>
          <w:sz w:val="24"/>
        </w:rPr>
        <w:t>servicios de reventa</w:t>
      </w:r>
    </w:p>
    <w:p w14:paraId="00E3BB4F" w14:textId="77777777" w:rsidR="00181D64" w:rsidRPr="00523452" w:rsidRDefault="00181D64" w:rsidP="00181D64">
      <w:pPr>
        <w:pStyle w:val="Ttulo1"/>
        <w:numPr>
          <w:ilvl w:val="0"/>
          <w:numId w:val="7"/>
        </w:numPr>
        <w:spacing w:after="240"/>
        <w:ind w:left="357" w:hanging="357"/>
        <w:rPr>
          <w:rStyle w:val="IFTnormalCar"/>
          <w:b/>
          <w:color w:val="auto"/>
          <w:sz w:val="24"/>
          <w:szCs w:val="24"/>
        </w:rPr>
      </w:pPr>
      <w:bookmarkStart w:id="1" w:name="_Toc114513046"/>
      <w:bookmarkStart w:id="2" w:name="_Toc114513290"/>
      <w:r w:rsidRPr="00523452">
        <w:rPr>
          <w:rStyle w:val="IFTnormalCar"/>
          <w:b/>
          <w:color w:val="auto"/>
          <w:sz w:val="24"/>
          <w:szCs w:val="24"/>
        </w:rPr>
        <w:t>Antecedentes</w:t>
      </w:r>
      <w:bookmarkEnd w:id="1"/>
      <w:bookmarkEnd w:id="2"/>
    </w:p>
    <w:p w14:paraId="43AD9C41" w14:textId="4E04676B" w:rsidR="00757E77" w:rsidRDefault="00501E4B" w:rsidP="00666054">
      <w:pPr>
        <w:jc w:val="both"/>
        <w:rPr>
          <w:rStyle w:val="IFTnormalCar"/>
        </w:rPr>
      </w:pPr>
      <w:bookmarkStart w:id="3" w:name="_Toc107152616"/>
      <w:bookmarkEnd w:id="3"/>
      <w:r>
        <w:rPr>
          <w:rStyle w:val="IFTnormalCar"/>
        </w:rPr>
        <w:t>El</w:t>
      </w:r>
      <w:r w:rsidR="007C14F1">
        <w:rPr>
          <w:rStyle w:val="IFTnormalCar"/>
        </w:rPr>
        <w:t xml:space="preserve"> 11 de diciembre de 2018, </w:t>
      </w:r>
      <w:r w:rsidR="00134042">
        <w:rPr>
          <w:rStyle w:val="IFTnormalCar"/>
        </w:rPr>
        <w:t>mediante Acuerdo P/IFT/</w:t>
      </w:r>
      <w:r w:rsidR="00DD191C">
        <w:rPr>
          <w:rStyle w:val="IFTnormalCar"/>
        </w:rPr>
        <w:t>EXT/</w:t>
      </w:r>
      <w:r w:rsidR="00134042">
        <w:rPr>
          <w:rStyle w:val="IFTnormalCar"/>
        </w:rPr>
        <w:t xml:space="preserve">111218/24, </w:t>
      </w:r>
      <w:r w:rsidR="0051002A">
        <w:rPr>
          <w:rStyle w:val="IFTnormalCar"/>
        </w:rPr>
        <w:t xml:space="preserve">el Pleno del </w:t>
      </w:r>
      <w:r w:rsidR="00666054">
        <w:rPr>
          <w:rStyle w:val="IFTnormalCar"/>
        </w:rPr>
        <w:t xml:space="preserve">Instituto </w:t>
      </w:r>
      <w:r w:rsidR="0051002A">
        <w:rPr>
          <w:rStyle w:val="IFTnormalCar"/>
        </w:rPr>
        <w:t xml:space="preserve">Federal de Telecomunicaciones </w:t>
      </w:r>
      <w:r w:rsidR="007A616E">
        <w:rPr>
          <w:rStyle w:val="IFTnormalCar"/>
        </w:rPr>
        <w:t xml:space="preserve">(en lo sucesivo, “Instituto”) </w:t>
      </w:r>
      <w:r w:rsidR="0051002A">
        <w:rPr>
          <w:rStyle w:val="IFTnormalCar"/>
        </w:rPr>
        <w:t xml:space="preserve">en su VII Sesión Extraordinaria </w:t>
      </w:r>
      <w:r w:rsidR="007C14F1">
        <w:rPr>
          <w:rStyle w:val="IFTnormalCar"/>
        </w:rPr>
        <w:t>apr</w:t>
      </w:r>
      <w:r w:rsidR="00D95EB1">
        <w:rPr>
          <w:rStyle w:val="IFTnormalCar"/>
        </w:rPr>
        <w:t>o</w:t>
      </w:r>
      <w:r w:rsidR="007C14F1">
        <w:rPr>
          <w:rStyle w:val="IFTnormalCar"/>
        </w:rPr>
        <w:t>b</w:t>
      </w:r>
      <w:r w:rsidR="00D95EB1">
        <w:rPr>
          <w:rStyle w:val="IFTnormalCar"/>
        </w:rPr>
        <w:t>ó</w:t>
      </w:r>
      <w:r w:rsidR="007C14F1">
        <w:rPr>
          <w:rStyle w:val="IFTnormalCar"/>
        </w:rPr>
        <w:t xml:space="preserve"> el “</w:t>
      </w:r>
      <w:r w:rsidR="007C14F1" w:rsidRPr="00F83047">
        <w:rPr>
          <w:rStyle w:val="IFTnormalCar"/>
          <w:i/>
          <w:caps/>
        </w:rPr>
        <w:t>Acuerdo mediante el cual el Pleno del Instituto Federal de Telecomunicaciones expide el modelo integral de red de acceso fijo y el modelo costos evitados para determinar las tarifas del servicio de acceso y uso compartido de infraestructura pasiva fija y del servicio de desagregación efectiva de la red local del Agente Económico Preponderante en el sector telecomunicaciones</w:t>
      </w:r>
      <w:r w:rsidR="007C14F1">
        <w:rPr>
          <w:rStyle w:val="IFTnormalCar"/>
        </w:rPr>
        <w:t>”</w:t>
      </w:r>
      <w:r w:rsidR="0051002A">
        <w:rPr>
          <w:rStyle w:val="IFTnormalCar"/>
        </w:rPr>
        <w:t xml:space="preserve"> (en lo sucesivo, el “Acuerdo </w:t>
      </w:r>
      <w:r w:rsidR="00234D90">
        <w:rPr>
          <w:rStyle w:val="IFTnormalCar"/>
        </w:rPr>
        <w:t>M</w:t>
      </w:r>
      <w:r w:rsidR="0051002A">
        <w:rPr>
          <w:rStyle w:val="IFTnormalCar"/>
        </w:rPr>
        <w:t>etodológico”).</w:t>
      </w:r>
      <w:r w:rsidR="00666054">
        <w:rPr>
          <w:rStyle w:val="IFTnormalCar"/>
        </w:rPr>
        <w:t xml:space="preserve"> </w:t>
      </w:r>
    </w:p>
    <w:p w14:paraId="4108C19A" w14:textId="3CF07C25" w:rsidR="0051002A" w:rsidRDefault="0051002A" w:rsidP="00666054">
      <w:pPr>
        <w:jc w:val="both"/>
        <w:rPr>
          <w:rStyle w:val="IFTnormalCar"/>
        </w:rPr>
      </w:pPr>
      <w:r>
        <w:rPr>
          <w:rStyle w:val="IFTnormalCar"/>
        </w:rPr>
        <w:t xml:space="preserve">En dicho instrumento se autorizó el denominado “Modelo de Costos Evitados”, en </w:t>
      </w:r>
      <w:r w:rsidR="00666054">
        <w:rPr>
          <w:rStyle w:val="IFTnormalCar"/>
        </w:rPr>
        <w:t xml:space="preserve">el cual </w:t>
      </w:r>
      <w:r w:rsidR="00142C56">
        <w:rPr>
          <w:rStyle w:val="IFTnormalCar"/>
        </w:rPr>
        <w:t xml:space="preserve">se </w:t>
      </w:r>
      <w:r w:rsidR="005F00B2">
        <w:rPr>
          <w:rStyle w:val="IFTnormalCar"/>
        </w:rPr>
        <w:t>fundamentan los</w:t>
      </w:r>
      <w:r w:rsidR="00142C56">
        <w:rPr>
          <w:rStyle w:val="IFTnormalCar"/>
        </w:rPr>
        <w:t xml:space="preserve"> parámetros y</w:t>
      </w:r>
      <w:r w:rsidR="009A475E">
        <w:rPr>
          <w:rStyle w:val="IFTnormalCar"/>
        </w:rPr>
        <w:t xml:space="preserve"> se motiva</w:t>
      </w:r>
      <w:r w:rsidR="00142C56">
        <w:rPr>
          <w:rStyle w:val="IFTnormalCar"/>
        </w:rPr>
        <w:t xml:space="preserve"> </w:t>
      </w:r>
      <w:r w:rsidR="009A475E">
        <w:rPr>
          <w:rStyle w:val="IFTnormalCar"/>
        </w:rPr>
        <w:t xml:space="preserve">la </w:t>
      </w:r>
      <w:r w:rsidR="00142C56">
        <w:rPr>
          <w:rStyle w:val="IFTnormalCar"/>
        </w:rPr>
        <w:t>metodología emplead</w:t>
      </w:r>
      <w:r w:rsidR="009A475E">
        <w:rPr>
          <w:rStyle w:val="IFTnormalCar"/>
        </w:rPr>
        <w:t>a</w:t>
      </w:r>
      <w:r w:rsidR="00142C56">
        <w:rPr>
          <w:rStyle w:val="IFTnormalCar"/>
        </w:rPr>
        <w:t xml:space="preserve"> para </w:t>
      </w:r>
      <w:r>
        <w:rPr>
          <w:rStyle w:val="IFTnormalCar"/>
        </w:rPr>
        <w:t xml:space="preserve">determinar los niveles tarifarios aplicables a </w:t>
      </w:r>
      <w:r w:rsidR="007A616E">
        <w:rPr>
          <w:rStyle w:val="IFTnormalCar"/>
        </w:rPr>
        <w:t xml:space="preserve">los </w:t>
      </w:r>
      <w:r w:rsidR="00142C56">
        <w:rPr>
          <w:rStyle w:val="IFTnormalCar"/>
        </w:rPr>
        <w:t>servicios de desagregación</w:t>
      </w:r>
      <w:r>
        <w:rPr>
          <w:rStyle w:val="IFTnormalCar"/>
        </w:rPr>
        <w:t>, en este caso, a</w:t>
      </w:r>
      <w:r w:rsidR="009A475E">
        <w:rPr>
          <w:rStyle w:val="IFTnormalCar"/>
        </w:rPr>
        <w:t xml:space="preserve"> </w:t>
      </w:r>
      <w:r>
        <w:rPr>
          <w:rStyle w:val="IFTnormalCar"/>
        </w:rPr>
        <w:t>l</w:t>
      </w:r>
      <w:r w:rsidR="009A475E">
        <w:rPr>
          <w:rStyle w:val="IFTnormalCar"/>
        </w:rPr>
        <w:t>os</w:t>
      </w:r>
      <w:r>
        <w:rPr>
          <w:rStyle w:val="IFTnormalCar"/>
        </w:rPr>
        <w:t xml:space="preserve"> </w:t>
      </w:r>
      <w:r w:rsidR="009A475E">
        <w:rPr>
          <w:rStyle w:val="IFTnormalCar"/>
        </w:rPr>
        <w:t>s</w:t>
      </w:r>
      <w:r>
        <w:rPr>
          <w:rStyle w:val="IFTnormalCar"/>
        </w:rPr>
        <w:t>ervicio</w:t>
      </w:r>
      <w:r w:rsidR="008B066B">
        <w:rPr>
          <w:rStyle w:val="IFTnormalCar"/>
        </w:rPr>
        <w:t>s</w:t>
      </w:r>
      <w:r>
        <w:rPr>
          <w:rStyle w:val="IFTnormalCar"/>
        </w:rPr>
        <w:t xml:space="preserve"> de </w:t>
      </w:r>
      <w:r w:rsidR="009A475E">
        <w:rPr>
          <w:rStyle w:val="IFTnormalCar"/>
        </w:rPr>
        <w:t>r</w:t>
      </w:r>
      <w:r>
        <w:rPr>
          <w:rStyle w:val="IFTnormalCar"/>
        </w:rPr>
        <w:t>eventa.</w:t>
      </w:r>
    </w:p>
    <w:p w14:paraId="414A8937" w14:textId="4176E15C" w:rsidR="00D7312A" w:rsidRDefault="00D7312A" w:rsidP="00666054">
      <w:pPr>
        <w:jc w:val="both"/>
        <w:rPr>
          <w:rStyle w:val="IFTnormalCar"/>
        </w:rPr>
      </w:pPr>
      <w:r>
        <w:rPr>
          <w:rStyle w:val="IFTnormalCar"/>
        </w:rPr>
        <w:t xml:space="preserve">A efecto de realizar la estimación de las tarifas </w:t>
      </w:r>
      <w:r w:rsidR="005F00B2">
        <w:rPr>
          <w:rStyle w:val="IFTnormalCar"/>
        </w:rPr>
        <w:t>mayoristas</w:t>
      </w:r>
      <w:r>
        <w:rPr>
          <w:rStyle w:val="IFTnormalCar"/>
        </w:rPr>
        <w:t xml:space="preserve"> aplicables para el año 2019 y 2020</w:t>
      </w:r>
      <w:r w:rsidR="00FD6FB6">
        <w:rPr>
          <w:rStyle w:val="IFTnormalCar"/>
        </w:rPr>
        <w:t>,</w:t>
      </w:r>
      <w:r>
        <w:rPr>
          <w:rStyle w:val="IFTnormalCar"/>
        </w:rPr>
        <w:t xml:space="preserve"> hasta antes de la implementación de</w:t>
      </w:r>
      <w:r w:rsidR="00681CED">
        <w:rPr>
          <w:rStyle w:val="IFTnormalCar"/>
        </w:rPr>
        <w:t xml:space="preserve"> plan de Separación Funcional, el Instituto consideró procedente </w:t>
      </w:r>
      <w:r w:rsidR="00757E77">
        <w:rPr>
          <w:rStyle w:val="IFTnormalCar"/>
        </w:rPr>
        <w:t xml:space="preserve">autorizar las tarifas mayoristas, así como </w:t>
      </w:r>
      <w:r w:rsidR="00681CED">
        <w:rPr>
          <w:rStyle w:val="IFTnormalCar"/>
        </w:rPr>
        <w:t>actualizar el Modelo de Costos Evitados mediante las siguientes resoluciones</w:t>
      </w:r>
      <w:r w:rsidR="008805C8">
        <w:rPr>
          <w:rStyle w:val="IFTnormalCar"/>
        </w:rPr>
        <w:t>:</w:t>
      </w:r>
    </w:p>
    <w:p w14:paraId="30C7B734" w14:textId="45303C66" w:rsidR="008805C8" w:rsidRDefault="002106D8" w:rsidP="007348F2">
      <w:pPr>
        <w:pStyle w:val="Prrafodelista"/>
        <w:numPr>
          <w:ilvl w:val="0"/>
          <w:numId w:val="26"/>
        </w:numPr>
        <w:jc w:val="both"/>
        <w:rPr>
          <w:rStyle w:val="IFTnormalCar"/>
        </w:rPr>
      </w:pPr>
      <w:r>
        <w:rPr>
          <w:rStyle w:val="IFTnormalCar"/>
        </w:rPr>
        <w:t>“</w:t>
      </w:r>
      <w:r w:rsidR="008805C8" w:rsidRPr="005F00B2">
        <w:rPr>
          <w:rStyle w:val="IFTnormalCar"/>
          <w:i/>
        </w:rPr>
        <w:t>Resolución mediante la cual el Pleno del Instituto Federal de Telecomunicaciones modifica al Agente Económico Preponderante los términos y condiciones de la propuesta de Oferta de Referencia de desagregación efectiva de la red local del Agente Económico Preponderante presentada por Teléfonos de México, S.A.B. de C.V., aplicables del 1 de enero de 2019 al 31 de diciembre de 2019</w:t>
      </w:r>
      <w:r>
        <w:rPr>
          <w:rStyle w:val="IFTnormalCar"/>
        </w:rPr>
        <w:t xml:space="preserve">” aprobada mediante Acuerdo </w:t>
      </w:r>
      <w:r w:rsidRPr="002106D8">
        <w:rPr>
          <w:rStyle w:val="IFTnormalCar"/>
        </w:rPr>
        <w:t>P/IFT/EXT/111218/25</w:t>
      </w:r>
      <w:r>
        <w:rPr>
          <w:rStyle w:val="IFTnormalCar"/>
        </w:rPr>
        <w:t>.</w:t>
      </w:r>
    </w:p>
    <w:p w14:paraId="7276E95E" w14:textId="233244C7" w:rsidR="006C3384" w:rsidRDefault="002106D8" w:rsidP="007348F2">
      <w:pPr>
        <w:pStyle w:val="Prrafodelista"/>
        <w:numPr>
          <w:ilvl w:val="0"/>
          <w:numId w:val="26"/>
        </w:numPr>
        <w:jc w:val="both"/>
        <w:rPr>
          <w:rStyle w:val="IFTnormalCar"/>
        </w:rPr>
      </w:pPr>
      <w:r>
        <w:rPr>
          <w:rStyle w:val="IFTnormalCar"/>
        </w:rPr>
        <w:t>“</w:t>
      </w:r>
      <w:r w:rsidR="006C3384" w:rsidRPr="005F00B2">
        <w:rPr>
          <w:rStyle w:val="IFTnormalCar"/>
          <w:i/>
        </w:rPr>
        <w:t>Resolución mediante la cual el Pleno del Instituto Federal de Telecomunicaciones modifica y autoriza al Agente Económico Preponderante los términos y condiciones de las Ofertas de Referencia de Desagregación Efectiva de la Red Local del Agente Económico Preponderante presentadas por Teléfonos de México, S.A.B. de C. V. y Teléfonos del Noroeste, S.A. de C.V.</w:t>
      </w:r>
      <w:r w:rsidR="006C3384">
        <w:rPr>
          <w:rStyle w:val="IFTnormalCar"/>
        </w:rPr>
        <w:t xml:space="preserve">” aprobada mediante Acuerdo </w:t>
      </w:r>
      <w:r w:rsidR="006C3384" w:rsidRPr="006C3384">
        <w:rPr>
          <w:rStyle w:val="IFTnormalCar"/>
        </w:rPr>
        <w:t>P/IFT/061219/863</w:t>
      </w:r>
      <w:r w:rsidR="006C3384">
        <w:rPr>
          <w:rStyle w:val="IFTnormalCar"/>
        </w:rPr>
        <w:t>.</w:t>
      </w:r>
    </w:p>
    <w:p w14:paraId="2E2A6626" w14:textId="2C4A2A85" w:rsidR="00B0057F" w:rsidRDefault="009F7D95" w:rsidP="00B0057F">
      <w:pPr>
        <w:pStyle w:val="IFTnormal"/>
      </w:pPr>
      <w:r>
        <w:rPr>
          <w:rStyle w:val="IFTnormalCar"/>
        </w:rPr>
        <w:t>Posteriormente,</w:t>
      </w:r>
      <w:r w:rsidR="00B0057F">
        <w:rPr>
          <w:rStyle w:val="IFTnormalCar"/>
        </w:rPr>
        <w:t xml:space="preserve"> en concordancia con el</w:t>
      </w:r>
      <w:r w:rsidR="00B0057F" w:rsidRPr="00B0057F">
        <w:t xml:space="preserve"> </w:t>
      </w:r>
      <w:r w:rsidR="00B0057F">
        <w:t>Acuerdo de</w:t>
      </w:r>
      <w:r w:rsidR="00B0057F" w:rsidRPr="00C70282">
        <w:t xml:space="preserve"> Separación Funcional</w:t>
      </w:r>
      <w:r w:rsidR="001968AC">
        <w:rPr>
          <w:rStyle w:val="Refdenotaalpie"/>
        </w:rPr>
        <w:footnoteReference w:id="2"/>
      </w:r>
      <w:r w:rsidR="00E01D62">
        <w:t xml:space="preserve"> autorizado por el Instituto</w:t>
      </w:r>
      <w:r w:rsidR="00B0057F" w:rsidRPr="00C70282">
        <w:t>,</w:t>
      </w:r>
      <w:r w:rsidR="00B0057F">
        <w:t xml:space="preserve"> </w:t>
      </w:r>
      <w:r w:rsidR="00E01D62">
        <w:t>el M</w:t>
      </w:r>
      <w:r w:rsidR="00A968D0">
        <w:t xml:space="preserve">odelo de </w:t>
      </w:r>
      <w:r w:rsidR="00E01D62">
        <w:t>C</w:t>
      </w:r>
      <w:r w:rsidR="00A968D0">
        <w:t xml:space="preserve">ostos </w:t>
      </w:r>
      <w:r w:rsidR="00E01D62">
        <w:t>E</w:t>
      </w:r>
      <w:r w:rsidR="00A968D0">
        <w:t>vitados</w:t>
      </w:r>
      <w:r w:rsidR="00E01D62">
        <w:t xml:space="preserve"> no se modificó de manera </w:t>
      </w:r>
      <w:r w:rsidR="00E01D62">
        <w:lastRenderedPageBreak/>
        <w:t xml:space="preserve">estructural, ya que los elementos de </w:t>
      </w:r>
      <w:r w:rsidR="007348F2">
        <w:t xml:space="preserve">los costos minoristas asociados a los servicios de </w:t>
      </w:r>
      <w:r w:rsidR="0060091D">
        <w:t>reventa correspondientes a Teléfonos</w:t>
      </w:r>
      <w:r w:rsidR="00E01D62">
        <w:t xml:space="preserve"> </w:t>
      </w:r>
      <w:r w:rsidR="0060091D">
        <w:t>de México, S.A.B. de C.V. y Teléfonos del Noroeste S.A. de C.V</w:t>
      </w:r>
      <w:r w:rsidR="00B0057F" w:rsidRPr="00C70282">
        <w:t>.</w:t>
      </w:r>
      <w:r w:rsidR="0060091D">
        <w:t xml:space="preserve"> (en lo sucesivo</w:t>
      </w:r>
      <w:r w:rsidR="00701671">
        <w:t>, “</w:t>
      </w:r>
      <w:r w:rsidR="00E74F7A">
        <w:t>TELMEX/TELNOR</w:t>
      </w:r>
      <w:r w:rsidR="00701671">
        <w:t>”) mantuvieran su integridad de la misma manera a como se encontraban previo a la implementación de la separación funcional.</w:t>
      </w:r>
    </w:p>
    <w:p w14:paraId="78E1790D" w14:textId="70D77360" w:rsidR="00516293" w:rsidRDefault="00701671" w:rsidP="00F8004C">
      <w:pPr>
        <w:jc w:val="both"/>
        <w:rPr>
          <w:rStyle w:val="IFTnormalCar"/>
        </w:rPr>
      </w:pPr>
      <w:r>
        <w:rPr>
          <w:rStyle w:val="IFTnormalCar"/>
        </w:rPr>
        <w:t>Es por ello que el Instituto resolvió la misma estructura y niveles tarifarios aplicables a partir del 6 de marzo de 2020</w:t>
      </w:r>
      <w:r w:rsidR="00866FE7">
        <w:rPr>
          <w:rStyle w:val="IFTnormalCar"/>
        </w:rPr>
        <w:t>, mediante la “</w:t>
      </w:r>
      <w:r w:rsidR="005C7A03" w:rsidRPr="005C7A03">
        <w:rPr>
          <w:rStyle w:val="IFTnormalCar"/>
        </w:rPr>
        <w:t>R</w:t>
      </w:r>
      <w:r w:rsidR="005C7A03" w:rsidRPr="005F00B2">
        <w:rPr>
          <w:rStyle w:val="IFTnormalCar"/>
          <w:i/>
        </w:rPr>
        <w:t>esolución mediante la cual el Pleno del Instituto Federal de Telecomunicaciones modifica y autoriza los términos y condiciones de las Ofertas de Referencia de Desagregación Efectiva de la Red Local, para las Divisiones Mayoristas de Teléfonos de México, S.A.B. de C.V. y de Teléfonos del Noroeste, S.A. de C.V.</w:t>
      </w:r>
      <w:r w:rsidR="005C7A03">
        <w:rPr>
          <w:rStyle w:val="IFTnormalCar"/>
        </w:rPr>
        <w:t xml:space="preserve">” aprobada por el Pleno del Instituto en su V sesión </w:t>
      </w:r>
      <w:r w:rsidR="00E83C4E">
        <w:rPr>
          <w:rStyle w:val="IFTnormalCar"/>
        </w:rPr>
        <w:t>o</w:t>
      </w:r>
      <w:r w:rsidR="005C7A03">
        <w:rPr>
          <w:rStyle w:val="IFTnormalCar"/>
        </w:rPr>
        <w:t xml:space="preserve">rdinaria celebrada el 25 de febrero de 2020 a través del  Acuerdo </w:t>
      </w:r>
      <w:r w:rsidR="005C7A03" w:rsidRPr="005C7A03">
        <w:rPr>
          <w:rStyle w:val="IFTnormalCar"/>
        </w:rPr>
        <w:t>P/IFT/250220/62</w:t>
      </w:r>
      <w:r w:rsidR="00E83C4E">
        <w:rPr>
          <w:rStyle w:val="IFTnormalCar"/>
        </w:rPr>
        <w:t>, mediante la cual se determinaron las tarifas aplicables para el año 2020</w:t>
      </w:r>
      <w:r w:rsidR="00E66793">
        <w:rPr>
          <w:rStyle w:val="IFTnormalCar"/>
        </w:rPr>
        <w:t xml:space="preserve"> a partir de </w:t>
      </w:r>
      <w:r w:rsidR="007A616E">
        <w:rPr>
          <w:rStyle w:val="IFTnormalCar"/>
        </w:rPr>
        <w:t>l</w:t>
      </w:r>
      <w:r w:rsidR="00E66793">
        <w:rPr>
          <w:rStyle w:val="IFTnormalCar"/>
        </w:rPr>
        <w:t>a separación funcional.</w:t>
      </w:r>
    </w:p>
    <w:p w14:paraId="0350F5AA" w14:textId="7EF42A44" w:rsidR="00203043" w:rsidRDefault="00757E77" w:rsidP="00203043">
      <w:pPr>
        <w:jc w:val="both"/>
        <w:rPr>
          <w:rStyle w:val="IFTnormalCar"/>
        </w:rPr>
      </w:pPr>
      <w:r>
        <w:rPr>
          <w:rStyle w:val="IFTnormalCar"/>
        </w:rPr>
        <w:t>Por su parte, d</w:t>
      </w:r>
      <w:r w:rsidR="00203043">
        <w:rPr>
          <w:rStyle w:val="IFTnormalCar"/>
        </w:rPr>
        <w:t>el 8 de octubre al 6 de noviembre d</w:t>
      </w:r>
      <w:r w:rsidR="00203043" w:rsidRPr="00CB1423">
        <w:rPr>
          <w:rStyle w:val="IFTnormalCar"/>
        </w:rPr>
        <w:t xml:space="preserve">el </w:t>
      </w:r>
      <w:r w:rsidR="00203043">
        <w:rPr>
          <w:rStyle w:val="IFTnormalCar"/>
        </w:rPr>
        <w:t>2020, el Instituto llev</w:t>
      </w:r>
      <w:r w:rsidR="007A616E">
        <w:rPr>
          <w:rStyle w:val="IFTnormalCar"/>
        </w:rPr>
        <w:t>ó</w:t>
      </w:r>
      <w:r w:rsidR="00203043">
        <w:rPr>
          <w:rStyle w:val="IFTnormalCar"/>
        </w:rPr>
        <w:t xml:space="preserve"> a cabo una consulta pública para actualizar el Modelo de Costos Evitados </w:t>
      </w:r>
      <w:r w:rsidR="007A616E">
        <w:rPr>
          <w:rStyle w:val="IFTnormalCar"/>
        </w:rPr>
        <w:t xml:space="preserve">emitido mediante </w:t>
      </w:r>
      <w:r w:rsidR="00203043">
        <w:rPr>
          <w:rStyle w:val="IFTnormalCar"/>
        </w:rPr>
        <w:t xml:space="preserve">el Acuerdo </w:t>
      </w:r>
      <w:r w:rsidR="00234D90">
        <w:rPr>
          <w:rStyle w:val="IFTnormalCar"/>
        </w:rPr>
        <w:t>M</w:t>
      </w:r>
      <w:r w:rsidR="00203043">
        <w:rPr>
          <w:rStyle w:val="IFTnormalCar"/>
        </w:rPr>
        <w:t xml:space="preserve">etodológico con el objeto de determinar los niveles tarifarios </w:t>
      </w:r>
      <w:r>
        <w:rPr>
          <w:rStyle w:val="IFTnormalCar"/>
        </w:rPr>
        <w:t xml:space="preserve">aplicables a </w:t>
      </w:r>
      <w:r w:rsidR="00203043">
        <w:rPr>
          <w:rStyle w:val="IFTnormalCar"/>
        </w:rPr>
        <w:t xml:space="preserve">los servicios de reventa mediante la metodología de costos evitados. Adicional a ello, se puso a </w:t>
      </w:r>
      <w:r w:rsidR="00516293">
        <w:rPr>
          <w:rStyle w:val="IFTnormalCar"/>
        </w:rPr>
        <w:t xml:space="preserve">revisión de la industria la metodología </w:t>
      </w:r>
      <w:r w:rsidR="007A616E">
        <w:rPr>
          <w:rStyle w:val="IFTnormalCar"/>
        </w:rPr>
        <w:t xml:space="preserve">con el fin de otorgar mayor </w:t>
      </w:r>
      <w:r w:rsidR="00516293">
        <w:rPr>
          <w:rStyle w:val="IFTnormalCar"/>
        </w:rPr>
        <w:t xml:space="preserve">transparencia y precisión en el cálculo de </w:t>
      </w:r>
      <w:r w:rsidR="007A616E">
        <w:rPr>
          <w:rStyle w:val="IFTnormalCar"/>
        </w:rPr>
        <w:t>las tarifas</w:t>
      </w:r>
      <w:r>
        <w:rPr>
          <w:rStyle w:val="Refdenotaalpie"/>
          <w:rFonts w:ascii="ITC Avant Garde" w:eastAsia="MS Mincho" w:hAnsi="ITC Avant Garde" w:cs="Calibri"/>
          <w:bCs/>
        </w:rPr>
        <w:footnoteReference w:id="3"/>
      </w:r>
      <w:r w:rsidR="00516293">
        <w:rPr>
          <w:rStyle w:val="IFTnormalCar"/>
        </w:rPr>
        <w:t>.</w:t>
      </w:r>
    </w:p>
    <w:p w14:paraId="4B1B6B8E" w14:textId="2842792C" w:rsidR="005D133B" w:rsidRPr="0051002A" w:rsidRDefault="00757E77" w:rsidP="005D133B">
      <w:pPr>
        <w:jc w:val="both"/>
        <w:rPr>
          <w:rStyle w:val="IFTnormalCar"/>
        </w:rPr>
      </w:pPr>
      <w:r>
        <w:rPr>
          <w:rStyle w:val="IFTnormalCar"/>
        </w:rPr>
        <w:t>Posterior a dicho procedimiento, l</w:t>
      </w:r>
      <w:r w:rsidR="005D133B" w:rsidRPr="0051002A">
        <w:rPr>
          <w:rStyle w:val="IFTnormalCar"/>
        </w:rPr>
        <w:t>os días 2, 3 y 4 de diciembre de 2020 el Pleno del Instituto en su XXIV Sesión Ordinaria aprobó mediante Acuerdo P/IFT/021220/488 la “</w:t>
      </w:r>
      <w:r w:rsidR="005D133B" w:rsidRPr="00A70892">
        <w:rPr>
          <w:rStyle w:val="IFTnormalCar"/>
          <w:i/>
        </w:rPr>
        <w:t>Resolución mediante la cual el Pleno del Instituto Federal de Telecomunicaciones suprime, modifica y adiciona las medidas impuestas al agente económico preponderante en el sector de telecomunicaciones mediante Acuerdos P/IFT/EXT/060314/76 y P/IFT/EXT/270217/119.</w:t>
      </w:r>
      <w:r w:rsidR="005D133B" w:rsidRPr="0051002A">
        <w:rPr>
          <w:rStyle w:val="IFTnormalCar"/>
        </w:rPr>
        <w:t>”  (</w:t>
      </w:r>
      <w:r>
        <w:rPr>
          <w:rStyle w:val="IFTnormalCar"/>
        </w:rPr>
        <w:t>en lo sucesivo, “</w:t>
      </w:r>
      <w:r w:rsidR="005D133B" w:rsidRPr="0051002A">
        <w:rPr>
          <w:rStyle w:val="IFTnormalCar"/>
        </w:rPr>
        <w:t>Segunda Resolución Bienal</w:t>
      </w:r>
      <w:r>
        <w:rPr>
          <w:rStyle w:val="IFTnormalCar"/>
        </w:rPr>
        <w:t>”</w:t>
      </w:r>
      <w:r w:rsidR="005D133B" w:rsidRPr="0051002A">
        <w:rPr>
          <w:rStyle w:val="IFTnormalCar"/>
        </w:rPr>
        <w:t xml:space="preserve">). </w:t>
      </w:r>
    </w:p>
    <w:p w14:paraId="75FA067E" w14:textId="192F646E" w:rsidR="005D133B" w:rsidRDefault="005D133B" w:rsidP="005D133B">
      <w:pPr>
        <w:jc w:val="both"/>
        <w:rPr>
          <w:rStyle w:val="IFTnormalCar"/>
        </w:rPr>
      </w:pPr>
      <w:r w:rsidRPr="0051002A">
        <w:rPr>
          <w:rStyle w:val="IFTnormalCar"/>
        </w:rPr>
        <w:t>En dicho instrumento, el Instituto autorizó modificaciones al Anexo 3 correspondiente a las “</w:t>
      </w:r>
      <w:r w:rsidRPr="002C7E91">
        <w:rPr>
          <w:rStyle w:val="IFTnormalCar"/>
          <w:i/>
        </w:rPr>
        <w:t>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r w:rsidRPr="0051002A">
        <w:rPr>
          <w:rStyle w:val="IFTnormalCar"/>
        </w:rPr>
        <w:t>” (</w:t>
      </w:r>
      <w:r>
        <w:rPr>
          <w:rStyle w:val="IFTnormalCar"/>
        </w:rPr>
        <w:t>en lo sucesivo, “Medidas de Desagregación”</w:t>
      </w:r>
      <w:r w:rsidRPr="0051002A">
        <w:rPr>
          <w:rStyle w:val="IFTnormalCar"/>
        </w:rPr>
        <w:t>).</w:t>
      </w:r>
    </w:p>
    <w:p w14:paraId="7B74823C" w14:textId="2F33FE67" w:rsidR="00E66793" w:rsidRDefault="00757E77" w:rsidP="00F8004C">
      <w:pPr>
        <w:jc w:val="both"/>
        <w:rPr>
          <w:rStyle w:val="IFTnormalCar"/>
        </w:rPr>
      </w:pPr>
      <w:r>
        <w:rPr>
          <w:rStyle w:val="IFTnormalCar"/>
        </w:rPr>
        <w:lastRenderedPageBreak/>
        <w:t>A partir de dicha modificación, el Modelo de Costos Evitados</w:t>
      </w:r>
      <w:r w:rsidR="00E66793">
        <w:rPr>
          <w:rStyle w:val="IFTnormalCar"/>
        </w:rPr>
        <w:t xml:space="preserve"> fue actualizado para la determinación de los niveles tarifarios aplicables a los años </w:t>
      </w:r>
      <w:r w:rsidR="00516293">
        <w:rPr>
          <w:rStyle w:val="IFTnormalCar"/>
        </w:rPr>
        <w:t xml:space="preserve">2021 y 2022 </w:t>
      </w:r>
      <w:r w:rsidR="00E66793">
        <w:rPr>
          <w:rStyle w:val="IFTnormalCar"/>
        </w:rPr>
        <w:t>a partir de las siguientes resoluciones:</w:t>
      </w:r>
    </w:p>
    <w:p w14:paraId="10EE6081" w14:textId="0AE89EF5" w:rsidR="00E66793" w:rsidRDefault="00EC568F" w:rsidP="00F83047">
      <w:pPr>
        <w:pStyle w:val="Prrafodelista"/>
        <w:numPr>
          <w:ilvl w:val="0"/>
          <w:numId w:val="26"/>
        </w:numPr>
        <w:jc w:val="both"/>
        <w:rPr>
          <w:rStyle w:val="IFTnormalCar"/>
        </w:rPr>
      </w:pPr>
      <w:r>
        <w:rPr>
          <w:rStyle w:val="IFTnormalCar"/>
        </w:rPr>
        <w:t>“</w:t>
      </w:r>
      <w:r w:rsidRPr="00655F14">
        <w:rPr>
          <w:rStyle w:val="IFTnormalCar"/>
          <w:i/>
        </w:rPr>
        <w:t>Resolución mediante la cual el Pleno del Instituto Federal de Telecomunicaciones modifica y aprueba al Agente Económico Preponderante los Términos y Condiciones de las Ofertas de Referencia de los Servicios de Desagregación presentadas por Teléfonos de México, S.A.B. de C. V. y Teléfonos del Noroeste, S.A. de C.V. aplicables del 1 de enero al 31 de diciembre de 2021</w:t>
      </w:r>
      <w:r>
        <w:rPr>
          <w:rStyle w:val="IFTnormalCar"/>
        </w:rPr>
        <w:t>”</w:t>
      </w:r>
      <w:r w:rsidR="0024461A">
        <w:rPr>
          <w:rStyle w:val="IFTnormalCar"/>
        </w:rPr>
        <w:t xml:space="preserve"> autorizada por el Pleno del Instituto mediante Acuerdo </w:t>
      </w:r>
      <w:r w:rsidR="0024461A" w:rsidRPr="0024461A">
        <w:rPr>
          <w:rStyle w:val="IFTnormalCar"/>
        </w:rPr>
        <w:t>P/IFT/</w:t>
      </w:r>
      <w:r w:rsidR="00543ED4">
        <w:rPr>
          <w:rStyle w:val="IFTnormalCar"/>
        </w:rPr>
        <w:t>EXT/</w:t>
      </w:r>
      <w:r w:rsidR="0024461A" w:rsidRPr="0024461A">
        <w:rPr>
          <w:rStyle w:val="IFTnormalCar"/>
        </w:rPr>
        <w:t>091220/46</w:t>
      </w:r>
      <w:r w:rsidR="00543ED4">
        <w:rPr>
          <w:rStyle w:val="IFTnormalCar"/>
        </w:rPr>
        <w:t>.</w:t>
      </w:r>
    </w:p>
    <w:p w14:paraId="316B90D1" w14:textId="2DB9D9CD" w:rsidR="00EC568F" w:rsidRDefault="00DA011E" w:rsidP="00F83047">
      <w:pPr>
        <w:pStyle w:val="Prrafodelista"/>
        <w:numPr>
          <w:ilvl w:val="0"/>
          <w:numId w:val="26"/>
        </w:numPr>
        <w:jc w:val="both"/>
        <w:rPr>
          <w:rStyle w:val="IFTnormalCar"/>
        </w:rPr>
      </w:pPr>
      <w:r>
        <w:rPr>
          <w:rStyle w:val="IFTnormalCar"/>
        </w:rPr>
        <w:t>“</w:t>
      </w:r>
      <w:r w:rsidR="00EC568F" w:rsidRPr="00655F14">
        <w:rPr>
          <w:rStyle w:val="IFTnormalCar"/>
          <w:i/>
        </w:rPr>
        <w:t>Resolución mediante la cual el Pleno del Instituto Federal de Telecomunicaciones modifica y aprueba los términos y condiciones de las Ofertas de Referencia para la prestación de los Servicios de Desagregación presentadas por Teléfonos de México, S.A.B. de C.V. y Teléfonos del Noroeste, S.A. de C.V. aplicables del 1 de enero al 31 de diciembre de 2022</w:t>
      </w:r>
      <w:r>
        <w:rPr>
          <w:rStyle w:val="IFTnormalCar"/>
        </w:rPr>
        <w:t xml:space="preserve">” aprobada por el Pleno del Instituto mediante Acuerdo </w:t>
      </w:r>
      <w:bookmarkStart w:id="4" w:name="_Hlk113948091"/>
      <w:r w:rsidRPr="00DA011E">
        <w:rPr>
          <w:rStyle w:val="IFTnormalCar"/>
        </w:rPr>
        <w:t>P/IFT/EXT/071221/43</w:t>
      </w:r>
      <w:bookmarkEnd w:id="4"/>
      <w:r>
        <w:rPr>
          <w:rStyle w:val="IFTnormalCar"/>
        </w:rPr>
        <w:t>.</w:t>
      </w:r>
      <w:r w:rsidRPr="00DA011E">
        <w:rPr>
          <w:rStyle w:val="IFTnormalCar"/>
        </w:rPr>
        <w:t xml:space="preserve"> </w:t>
      </w:r>
      <w:r>
        <w:rPr>
          <w:rStyle w:val="IFTnormalCar"/>
        </w:rPr>
        <w:t xml:space="preserve"> </w:t>
      </w:r>
    </w:p>
    <w:p w14:paraId="1938D392" w14:textId="5391D21F" w:rsidR="00DB4B31" w:rsidRDefault="00DB4B31" w:rsidP="00451002">
      <w:pPr>
        <w:jc w:val="both"/>
        <w:rPr>
          <w:rStyle w:val="IFTnormalCar"/>
        </w:rPr>
      </w:pPr>
      <w:r>
        <w:rPr>
          <w:rStyle w:val="IFTnormalCar"/>
        </w:rPr>
        <w:t xml:space="preserve">La versión más actualizada publicada por el Instituto del </w:t>
      </w:r>
      <w:r w:rsidR="00757E77">
        <w:rPr>
          <w:rStyle w:val="IFTnormalCar"/>
        </w:rPr>
        <w:t>Modelo de Costos Evitados</w:t>
      </w:r>
      <w:r>
        <w:rPr>
          <w:rStyle w:val="IFTnormalCar"/>
        </w:rPr>
        <w:t xml:space="preserve"> aplicable para las tarifas del año 2022 puede ser consultada en la siguiente liga electrónica:</w:t>
      </w:r>
      <w:r w:rsidR="00451002">
        <w:rPr>
          <w:rStyle w:val="IFTnormalCar"/>
        </w:rPr>
        <w:t xml:space="preserve"> </w:t>
      </w:r>
      <w:hyperlink r:id="rId11" w:history="1">
        <w:r w:rsidR="00451002" w:rsidRPr="00C55F01">
          <w:rPr>
            <w:rStyle w:val="Hipervnculo"/>
            <w:rFonts w:ascii="ITC Avant Garde" w:eastAsia="MS Mincho" w:hAnsi="ITC Avant Garde" w:cs="Calibri"/>
          </w:rPr>
          <w:t>https://www.ift.org.mx/sites/default/files/contenidogeneral/politica-regulatoria/modelodecostosevitados2022vpublica.zip</w:t>
        </w:r>
      </w:hyperlink>
      <w:r w:rsidR="00355986">
        <w:rPr>
          <w:rStyle w:val="IFTnormalCar"/>
        </w:rPr>
        <w:t>.</w:t>
      </w:r>
    </w:p>
    <w:p w14:paraId="6C9F9310" w14:textId="77777777" w:rsidR="00383D10" w:rsidRPr="00523452" w:rsidRDefault="00383D10" w:rsidP="00181D64">
      <w:pPr>
        <w:jc w:val="both"/>
        <w:rPr>
          <w:rStyle w:val="IFTnormalCar"/>
        </w:rPr>
      </w:pPr>
    </w:p>
    <w:p w14:paraId="0EB88A67" w14:textId="1E5C7ACD" w:rsidR="00E920E0" w:rsidRDefault="00A16627" w:rsidP="00181D64">
      <w:pPr>
        <w:pStyle w:val="Ttulo1"/>
        <w:numPr>
          <w:ilvl w:val="0"/>
          <w:numId w:val="7"/>
        </w:numPr>
        <w:spacing w:after="240"/>
        <w:ind w:left="357" w:hanging="357"/>
        <w:rPr>
          <w:rStyle w:val="IFTnormalCar"/>
          <w:b/>
          <w:bCs w:val="0"/>
          <w:color w:val="auto"/>
          <w:sz w:val="24"/>
          <w:szCs w:val="24"/>
        </w:rPr>
      </w:pPr>
      <w:bookmarkStart w:id="5" w:name="_Toc114513047"/>
      <w:bookmarkStart w:id="6" w:name="_Toc114513291"/>
      <w:r>
        <w:rPr>
          <w:rStyle w:val="IFTnormalCar"/>
          <w:b/>
          <w:bCs w:val="0"/>
          <w:color w:val="auto"/>
          <w:sz w:val="24"/>
          <w:szCs w:val="24"/>
        </w:rPr>
        <w:t>Introducción</w:t>
      </w:r>
      <w:bookmarkEnd w:id="5"/>
      <w:bookmarkEnd w:id="6"/>
    </w:p>
    <w:p w14:paraId="5CDFDA0C" w14:textId="1F05F32D" w:rsidR="00A16627" w:rsidRDefault="00A16627" w:rsidP="00A16627">
      <w:pPr>
        <w:jc w:val="both"/>
        <w:rPr>
          <w:rFonts w:ascii="ITC Avant Garde" w:hAnsi="ITC Avant Garde"/>
        </w:rPr>
      </w:pPr>
      <w:r>
        <w:rPr>
          <w:rFonts w:ascii="ITC Avant Garde" w:hAnsi="ITC Avant Garde"/>
        </w:rPr>
        <w:t xml:space="preserve">El presente documento tiene el objetivo de describir las </w:t>
      </w:r>
      <w:r w:rsidR="009B385D">
        <w:rPr>
          <w:rFonts w:ascii="ITC Avant Garde" w:hAnsi="ITC Avant Garde"/>
        </w:rPr>
        <w:t xml:space="preserve">adecuaciones realizadas </w:t>
      </w:r>
      <w:r>
        <w:rPr>
          <w:rFonts w:ascii="ITC Avant Garde" w:hAnsi="ITC Avant Garde"/>
        </w:rPr>
        <w:t>al Acuerdo Metodológico,</w:t>
      </w:r>
      <w:r w:rsidR="00890E09">
        <w:rPr>
          <w:rFonts w:ascii="ITC Avant Garde" w:hAnsi="ITC Avant Garde"/>
        </w:rPr>
        <w:t xml:space="preserve"> el cual ha sido sujeto de modificaciones y actualizaciones como parte del proceso de autorización de la</w:t>
      </w:r>
      <w:r w:rsidR="009B385D">
        <w:rPr>
          <w:rFonts w:ascii="ITC Avant Garde" w:hAnsi="ITC Avant Garde"/>
        </w:rPr>
        <w:t>s</w:t>
      </w:r>
      <w:r w:rsidR="00890E09">
        <w:rPr>
          <w:rFonts w:ascii="ITC Avant Garde" w:hAnsi="ITC Avant Garde"/>
        </w:rPr>
        <w:t xml:space="preserve"> </w:t>
      </w:r>
      <w:r w:rsidR="009F292B">
        <w:rPr>
          <w:rFonts w:ascii="ITC Avant Garde" w:hAnsi="ITC Avant Garde"/>
        </w:rPr>
        <w:t>o</w:t>
      </w:r>
      <w:r w:rsidR="00890E09">
        <w:rPr>
          <w:rFonts w:ascii="ITC Avant Garde" w:hAnsi="ITC Avant Garde"/>
        </w:rPr>
        <w:t>ferta</w:t>
      </w:r>
      <w:r w:rsidR="009B385D">
        <w:rPr>
          <w:rFonts w:ascii="ITC Avant Garde" w:hAnsi="ITC Avant Garde"/>
        </w:rPr>
        <w:t>s</w:t>
      </w:r>
      <w:r w:rsidR="00890E09">
        <w:rPr>
          <w:rFonts w:ascii="ITC Avant Garde" w:hAnsi="ITC Avant Garde"/>
        </w:rPr>
        <w:t xml:space="preserve"> de </w:t>
      </w:r>
      <w:r w:rsidR="009F292B">
        <w:rPr>
          <w:rFonts w:ascii="ITC Avant Garde" w:hAnsi="ITC Avant Garde"/>
        </w:rPr>
        <w:t>r</w:t>
      </w:r>
      <w:r w:rsidR="00890E09">
        <w:rPr>
          <w:rFonts w:ascii="ITC Avant Garde" w:hAnsi="ITC Avant Garde"/>
        </w:rPr>
        <w:t>eferencia para la Desagregación del Bucle Local</w:t>
      </w:r>
      <w:r w:rsidR="00600401">
        <w:rPr>
          <w:rFonts w:ascii="ITC Avant Garde" w:hAnsi="ITC Avant Garde"/>
        </w:rPr>
        <w:t xml:space="preserve"> aplicables a </w:t>
      </w:r>
      <w:r w:rsidR="009B385D">
        <w:rPr>
          <w:rFonts w:ascii="ITC Avant Garde" w:hAnsi="ITC Avant Garde"/>
        </w:rPr>
        <w:t xml:space="preserve">los años </w:t>
      </w:r>
      <w:r w:rsidR="00600401">
        <w:rPr>
          <w:rFonts w:ascii="ITC Avant Garde" w:hAnsi="ITC Avant Garde"/>
        </w:rPr>
        <w:t>2019, 2020, 2021 y 2022</w:t>
      </w:r>
      <w:r w:rsidR="00965EC2">
        <w:rPr>
          <w:rFonts w:ascii="ITC Avant Garde" w:hAnsi="ITC Avant Garde"/>
        </w:rPr>
        <w:t>, el cual fue</w:t>
      </w:r>
      <w:r>
        <w:rPr>
          <w:rFonts w:ascii="ITC Avant Garde" w:hAnsi="ITC Avant Garde"/>
        </w:rPr>
        <w:t xml:space="preserve"> </w:t>
      </w:r>
      <w:r w:rsidR="00757E77">
        <w:rPr>
          <w:rFonts w:ascii="ITC Avant Garde" w:hAnsi="ITC Avant Garde"/>
        </w:rPr>
        <w:t>referido en el numeral previo del presente documento metodológico</w:t>
      </w:r>
      <w:r w:rsidR="00890E09">
        <w:rPr>
          <w:rFonts w:ascii="ITC Avant Garde" w:hAnsi="ITC Avant Garde"/>
        </w:rPr>
        <w:t>,</w:t>
      </w:r>
      <w:r>
        <w:rPr>
          <w:rFonts w:ascii="ITC Avant Garde" w:hAnsi="ITC Avant Garde"/>
        </w:rPr>
        <w:t xml:space="preserve"> </w:t>
      </w:r>
      <w:r w:rsidRPr="00A16627">
        <w:rPr>
          <w:rFonts w:ascii="ITC Avant Garde" w:hAnsi="ITC Avant Garde"/>
        </w:rPr>
        <w:t xml:space="preserve">así como la estructura y flujo de cálculo del Modelo de Costos Evitados, además de presentar los resultados preliminares obtenidos con </w:t>
      </w:r>
      <w:r w:rsidR="009B385D">
        <w:rPr>
          <w:rFonts w:ascii="ITC Avant Garde" w:hAnsi="ITC Avant Garde"/>
        </w:rPr>
        <w:t>su correspondiente</w:t>
      </w:r>
      <w:r w:rsidRPr="00A16627">
        <w:rPr>
          <w:rFonts w:ascii="ITC Avant Garde" w:hAnsi="ITC Avant Garde"/>
        </w:rPr>
        <w:t xml:space="preserve"> actualización</w:t>
      </w:r>
      <w:r>
        <w:rPr>
          <w:rFonts w:ascii="ITC Avant Garde" w:hAnsi="ITC Avant Garde"/>
        </w:rPr>
        <w:t>.</w:t>
      </w:r>
    </w:p>
    <w:p w14:paraId="0102E1CD" w14:textId="3D5DCEBF" w:rsidR="00A16627" w:rsidRDefault="00A16627" w:rsidP="00A16627">
      <w:pPr>
        <w:jc w:val="both"/>
        <w:rPr>
          <w:rFonts w:ascii="ITC Avant Garde" w:hAnsi="ITC Avant Garde"/>
        </w:rPr>
      </w:pPr>
      <w:r w:rsidRPr="00A16627">
        <w:rPr>
          <w:rFonts w:ascii="ITC Avant Garde" w:hAnsi="ITC Avant Garde"/>
        </w:rPr>
        <w:t xml:space="preserve">En vista de ello, el Instituto considera conveniente someter el Modelo de Costos Evitados a </w:t>
      </w:r>
      <w:r w:rsidR="006E430E">
        <w:rPr>
          <w:rFonts w:ascii="ITC Avant Garde" w:hAnsi="ITC Avant Garde"/>
        </w:rPr>
        <w:t>c</w:t>
      </w:r>
      <w:r w:rsidRPr="00A16627">
        <w:rPr>
          <w:rFonts w:ascii="ITC Avant Garde" w:hAnsi="ITC Avant Garde"/>
        </w:rPr>
        <w:t xml:space="preserve">onsulta </w:t>
      </w:r>
      <w:r w:rsidR="006E430E">
        <w:rPr>
          <w:rFonts w:ascii="ITC Avant Garde" w:hAnsi="ITC Avant Garde"/>
        </w:rPr>
        <w:t>p</w:t>
      </w:r>
      <w:r w:rsidRPr="00A16627">
        <w:rPr>
          <w:rFonts w:ascii="ITC Avant Garde" w:hAnsi="ITC Avant Garde"/>
        </w:rPr>
        <w:t>ública a efecto de recabar comentarios, opiniones y aportaciones de información que ayuden a ajustar su implementación y calibración.</w:t>
      </w:r>
    </w:p>
    <w:p w14:paraId="1011D86F" w14:textId="7DFB235F" w:rsidR="00A16627" w:rsidRDefault="00A16627" w:rsidP="00A16627">
      <w:pPr>
        <w:jc w:val="both"/>
        <w:rPr>
          <w:rFonts w:ascii="ITC Avant Garde" w:hAnsi="ITC Avant Garde"/>
        </w:rPr>
      </w:pPr>
      <w:r>
        <w:rPr>
          <w:rFonts w:ascii="ITC Avant Garde" w:hAnsi="ITC Avant Garde"/>
        </w:rPr>
        <w:t xml:space="preserve">Para este ejercicio se considera de la mayor relevancia dar a conocer las principales </w:t>
      </w:r>
      <w:r w:rsidR="009B385D">
        <w:rPr>
          <w:rFonts w:ascii="ITC Avant Garde" w:hAnsi="ITC Avant Garde"/>
        </w:rPr>
        <w:t xml:space="preserve">adecuaciones y actualizaciones </w:t>
      </w:r>
      <w:r>
        <w:rPr>
          <w:rFonts w:ascii="ITC Avant Garde" w:hAnsi="ITC Avant Garde"/>
        </w:rPr>
        <w:t>respecto a los parámetros y referencias de costos evitados</w:t>
      </w:r>
      <w:r w:rsidR="009B385D">
        <w:rPr>
          <w:rFonts w:ascii="ITC Avant Garde" w:hAnsi="ITC Avant Garde"/>
        </w:rPr>
        <w:t xml:space="preserve"> utilizados previamente</w:t>
      </w:r>
      <w:r>
        <w:rPr>
          <w:rFonts w:ascii="ITC Avant Garde" w:hAnsi="ITC Avant Garde"/>
        </w:rPr>
        <w:t xml:space="preserve">, a partir del enfoque de precios de referencia y precios implícitos descrito en el Acuerdo Metodológico. </w:t>
      </w:r>
    </w:p>
    <w:p w14:paraId="7ED6BD2E" w14:textId="09C462D6" w:rsidR="00A16627" w:rsidRDefault="00A16627" w:rsidP="00A16627">
      <w:pPr>
        <w:pStyle w:val="IFTnormal"/>
      </w:pPr>
      <w:r>
        <w:lastRenderedPageBreak/>
        <w:t xml:space="preserve">Para ello, la estructura </w:t>
      </w:r>
      <w:r w:rsidR="00600401">
        <w:t>de la presente consulta pública</w:t>
      </w:r>
      <w:r>
        <w:t xml:space="preserve"> se ha organizado mediante diversos capítulos cuyo contenido se resume como sigue:</w:t>
      </w:r>
    </w:p>
    <w:p w14:paraId="0F2494CF" w14:textId="43EEB9C0" w:rsidR="00A16627" w:rsidRDefault="00A16627" w:rsidP="00F83047">
      <w:pPr>
        <w:pStyle w:val="IFTnormal"/>
        <w:numPr>
          <w:ilvl w:val="0"/>
          <w:numId w:val="29"/>
        </w:numPr>
      </w:pPr>
      <w:r>
        <w:rPr>
          <w:b/>
        </w:rPr>
        <w:t>Metodología. -</w:t>
      </w:r>
      <w:r>
        <w:t xml:space="preserve"> Describe de manera general los principios metodológicos y de implementación adoptados en el Acuerdo Metodológico para el desarrollo del Modelo de Costos Evitados, incluyendo las actualizaciones aplicables respecto a los parámetros de referencia de costos evitados.</w:t>
      </w:r>
    </w:p>
    <w:p w14:paraId="096D8FDC" w14:textId="0DB98A72" w:rsidR="00A16627" w:rsidRDefault="00A16627" w:rsidP="00F83047">
      <w:pPr>
        <w:pStyle w:val="IFTnormal"/>
        <w:numPr>
          <w:ilvl w:val="0"/>
          <w:numId w:val="29"/>
        </w:numPr>
      </w:pPr>
      <w:r>
        <w:rPr>
          <w:b/>
        </w:rPr>
        <w:t>Presentación del modelo Excel. -</w:t>
      </w:r>
      <w:r>
        <w:t xml:space="preserve"> Contiene una descripción de las hojas de cálculo que conforman al Modelo de Costos Evitados.</w:t>
      </w:r>
    </w:p>
    <w:p w14:paraId="4B34A969" w14:textId="44C6A30E" w:rsidR="00A16627" w:rsidRDefault="00A16627" w:rsidP="00F83047">
      <w:pPr>
        <w:pStyle w:val="IFTnormal"/>
        <w:numPr>
          <w:ilvl w:val="0"/>
          <w:numId w:val="29"/>
        </w:numPr>
      </w:pPr>
      <w:r>
        <w:rPr>
          <w:b/>
        </w:rPr>
        <w:t xml:space="preserve">Presentación de resultados. - </w:t>
      </w:r>
      <w:r>
        <w:t>Se presentan los resultados obtenidos por el Modelo</w:t>
      </w:r>
      <w:r w:rsidR="00B87E25">
        <w:t xml:space="preserve"> de Costos Evitados</w:t>
      </w:r>
      <w:r>
        <w:t>, en términos de los niveles de costos evitados estimados para los servicios.</w:t>
      </w:r>
      <w:bookmarkStart w:id="7" w:name="_Toc525142204"/>
      <w:bookmarkEnd w:id="7"/>
    </w:p>
    <w:p w14:paraId="20C5525F" w14:textId="25561241" w:rsidR="00A16627" w:rsidRPr="00A16627" w:rsidRDefault="00A16627" w:rsidP="00A16627">
      <w:pPr>
        <w:jc w:val="both"/>
        <w:rPr>
          <w:rFonts w:ascii="ITC Avant Garde" w:hAnsi="ITC Avant Garde"/>
        </w:rPr>
      </w:pPr>
      <w:r w:rsidRPr="00A16627">
        <w:rPr>
          <w:rFonts w:ascii="ITC Avant Garde" w:hAnsi="ITC Avant Garde"/>
        </w:rPr>
        <w:t xml:space="preserve">En complemento, se destaca que con el objetivo de preservar la confidencialidad de la información aportada </w:t>
      </w:r>
      <w:r w:rsidR="0033168B">
        <w:rPr>
          <w:rFonts w:ascii="ITC Avant Garde" w:hAnsi="ITC Avant Garde"/>
        </w:rPr>
        <w:t xml:space="preserve">por el Agente Económico Preponderante (en lo sucesivo, “AEP”) </w:t>
      </w:r>
      <w:r w:rsidRPr="00A16627">
        <w:rPr>
          <w:rFonts w:ascii="ITC Avant Garde" w:hAnsi="ITC Avant Garde"/>
        </w:rPr>
        <w:t>durante la fase de construcción del modelo se han modificado los datos de entrada, aplicando un factor aleatorio. Para facilitar la identificación de aquellos datos sometidos a dicho proceso, las celdas del archivo Excel al que corresponde el modelo de costos se han marcado con un fondo en color rosado, tal como se muestra a continuación:</w:t>
      </w:r>
    </w:p>
    <w:p w14:paraId="4CF5DA95" w14:textId="6C9498ED" w:rsidR="00A16627" w:rsidRPr="00A16627" w:rsidRDefault="00A16627" w:rsidP="00A16627">
      <w:pPr>
        <w:jc w:val="center"/>
        <w:rPr>
          <w:rFonts w:ascii="ITC Avant Garde" w:hAnsi="ITC Avant Garde"/>
        </w:rPr>
      </w:pPr>
      <w:r>
        <w:rPr>
          <w:noProof/>
        </w:rPr>
        <w:drawing>
          <wp:inline distT="0" distB="0" distL="0" distR="0" wp14:anchorId="67A3D003" wp14:editId="126FF848">
            <wp:extent cx="4874260" cy="330200"/>
            <wp:effectExtent l="0" t="0" r="0" b="0"/>
            <wp:docPr id="9" name="Imagen 13"/>
            <wp:cNvGraphicFramePr/>
            <a:graphic xmlns:a="http://schemas.openxmlformats.org/drawingml/2006/main">
              <a:graphicData uri="http://schemas.openxmlformats.org/drawingml/2006/picture">
                <pic:pic xmlns:pic="http://schemas.openxmlformats.org/drawingml/2006/picture">
                  <pic:nvPicPr>
                    <pic:cNvPr id="9" name="Imagen 1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4260" cy="330200"/>
                    </a:xfrm>
                    <a:prstGeom prst="rect">
                      <a:avLst/>
                    </a:prstGeom>
                    <a:noFill/>
                    <a:ln>
                      <a:noFill/>
                    </a:ln>
                  </pic:spPr>
                </pic:pic>
              </a:graphicData>
            </a:graphic>
          </wp:inline>
        </w:drawing>
      </w:r>
    </w:p>
    <w:p w14:paraId="491F0688" w14:textId="50D005E3" w:rsidR="00FA1C79" w:rsidRPr="005F00B2" w:rsidRDefault="00FA1C79" w:rsidP="005F00B2">
      <w:pPr>
        <w:pStyle w:val="Figura"/>
        <w:spacing w:before="0" w:after="240" w:line="259" w:lineRule="auto"/>
        <w:jc w:val="both"/>
        <w:rPr>
          <w:rFonts w:cs="Arial"/>
          <w:bCs/>
          <w:szCs w:val="18"/>
        </w:rPr>
      </w:pPr>
      <w:r w:rsidRPr="005F00B2">
        <w:rPr>
          <w:rFonts w:cs="Arial"/>
          <w:bCs/>
          <w:szCs w:val="18"/>
        </w:rPr>
        <w:t>Esquema con el que se indica en el modelo de costos aquellas celdas cuyos valores se han modificado para preservar la confidencialidad de los valores aportados</w:t>
      </w:r>
      <w:r w:rsidR="00E6389D">
        <w:rPr>
          <w:rFonts w:cs="Arial"/>
          <w:bCs/>
          <w:szCs w:val="18"/>
        </w:rPr>
        <w:t>.</w:t>
      </w:r>
    </w:p>
    <w:p w14:paraId="05EEFAB6" w14:textId="59308674" w:rsidR="00A16627" w:rsidRDefault="00A16627" w:rsidP="00A16627">
      <w:pPr>
        <w:jc w:val="both"/>
        <w:rPr>
          <w:rFonts w:ascii="ITC Avant Garde" w:hAnsi="ITC Avant Garde"/>
        </w:rPr>
      </w:pPr>
      <w:r w:rsidRPr="00A16627">
        <w:rPr>
          <w:rFonts w:ascii="ITC Avant Garde" w:hAnsi="ITC Avant Garde"/>
        </w:rPr>
        <w:t xml:space="preserve">Finalmente, se destaca que para la implementación del modelo en cuestión se ha considerado principalmente la información aportada por </w:t>
      </w:r>
      <w:r w:rsidR="00890E09">
        <w:rPr>
          <w:rFonts w:ascii="ITC Avant Garde" w:hAnsi="ITC Avant Garde"/>
        </w:rPr>
        <w:t>TELMEX/TELNOR</w:t>
      </w:r>
      <w:r w:rsidRPr="00A16627">
        <w:rPr>
          <w:rFonts w:ascii="ITC Avant Garde" w:hAnsi="ITC Avant Garde"/>
        </w:rPr>
        <w:t>, y que en aquellos casos en que los datos aportados no fueron debidamente justificados se realizaron los ajustes necesarios a partir de estimaciones propias.</w:t>
      </w:r>
    </w:p>
    <w:p w14:paraId="375B16E4" w14:textId="77777777" w:rsidR="00A16627" w:rsidRPr="00585213" w:rsidRDefault="00A16627" w:rsidP="00585213">
      <w:pPr>
        <w:jc w:val="both"/>
      </w:pPr>
    </w:p>
    <w:p w14:paraId="0D60B682" w14:textId="4E99650A" w:rsidR="00181D64" w:rsidRPr="00523452" w:rsidRDefault="00890E09" w:rsidP="00181D64">
      <w:pPr>
        <w:pStyle w:val="Ttulo1"/>
        <w:numPr>
          <w:ilvl w:val="0"/>
          <w:numId w:val="7"/>
        </w:numPr>
        <w:spacing w:after="240"/>
        <w:ind w:left="357" w:hanging="357"/>
        <w:rPr>
          <w:rStyle w:val="IFTnormalCar"/>
          <w:b/>
          <w:bCs w:val="0"/>
          <w:color w:val="auto"/>
          <w:sz w:val="24"/>
          <w:szCs w:val="24"/>
        </w:rPr>
      </w:pPr>
      <w:bookmarkStart w:id="8" w:name="_Toc114513048"/>
      <w:bookmarkStart w:id="9" w:name="_Toc114513292"/>
      <w:r>
        <w:rPr>
          <w:rStyle w:val="IFTnormalCar"/>
          <w:b/>
          <w:color w:val="auto"/>
          <w:sz w:val="24"/>
          <w:szCs w:val="24"/>
        </w:rPr>
        <w:t>M</w:t>
      </w:r>
      <w:r w:rsidR="00181D64" w:rsidRPr="00523452">
        <w:rPr>
          <w:rStyle w:val="IFTnormalCar"/>
          <w:b/>
          <w:color w:val="auto"/>
          <w:sz w:val="24"/>
          <w:szCs w:val="24"/>
        </w:rPr>
        <w:t>etodología del Modelo de Costos Evitados</w:t>
      </w:r>
      <w:bookmarkEnd w:id="8"/>
      <w:bookmarkEnd w:id="9"/>
    </w:p>
    <w:p w14:paraId="391831F5" w14:textId="755F50AB" w:rsidR="0046688C" w:rsidRPr="00523452" w:rsidRDefault="00700ABD" w:rsidP="00181D64">
      <w:pPr>
        <w:pStyle w:val="IFTnormal"/>
      </w:pPr>
      <w:r>
        <w:t>El Modelo de Costos Evitados que se describe a continuación tiene como base el Acuerdo Metodológico, desarrollado a partir de una metodología de costos evitados (</w:t>
      </w:r>
      <w:proofErr w:type="spellStart"/>
      <w:r w:rsidRPr="00A55E62">
        <w:rPr>
          <w:i/>
        </w:rPr>
        <w:t>retail</w:t>
      </w:r>
      <w:proofErr w:type="spellEnd"/>
      <w:r w:rsidRPr="00A55E62">
        <w:rPr>
          <w:i/>
        </w:rPr>
        <w:t xml:space="preserve"> </w:t>
      </w:r>
      <w:proofErr w:type="spellStart"/>
      <w:r w:rsidRPr="00A55E62">
        <w:rPr>
          <w:i/>
        </w:rPr>
        <w:t>minus</w:t>
      </w:r>
      <w:proofErr w:type="spellEnd"/>
      <w:r>
        <w:t xml:space="preserve">), conforme a lo establecido en la Medida TRIGÉSIMA NOVENA de las Medidas de Desagregación, para determinar las tarifas de </w:t>
      </w:r>
      <w:r w:rsidR="00B30501">
        <w:t xml:space="preserve">los </w:t>
      </w:r>
      <w:r>
        <w:t>servicios de reventa aplicables para el año 202</w:t>
      </w:r>
      <w:r w:rsidR="00822B41">
        <w:t>3</w:t>
      </w:r>
      <w:r w:rsidR="00F83047">
        <w:t>.</w:t>
      </w:r>
    </w:p>
    <w:p w14:paraId="0B70A021" w14:textId="6630089F" w:rsidR="00822B41" w:rsidRPr="00585213" w:rsidRDefault="00822B41" w:rsidP="00585213">
      <w:pPr>
        <w:pStyle w:val="Ttulo2"/>
        <w:numPr>
          <w:ilvl w:val="1"/>
          <w:numId w:val="7"/>
        </w:numPr>
        <w:ind w:left="426" w:hanging="360"/>
        <w:rPr>
          <w:rStyle w:val="IFTnormalCar"/>
          <w:bCs/>
          <w:color w:val="auto"/>
          <w:lang w:val="es-MX"/>
        </w:rPr>
      </w:pPr>
      <w:bookmarkStart w:id="10" w:name="_Toc114513049"/>
      <w:bookmarkStart w:id="11" w:name="_Toc114513293"/>
      <w:r w:rsidRPr="00F25F1C">
        <w:rPr>
          <w:rStyle w:val="IFTnormalCar"/>
          <w:color w:val="auto"/>
          <w:lang w:val="es-MX"/>
        </w:rPr>
        <w:lastRenderedPageBreak/>
        <w:t>Contexto regulatorio</w:t>
      </w:r>
      <w:bookmarkEnd w:id="10"/>
      <w:bookmarkEnd w:id="11"/>
    </w:p>
    <w:p w14:paraId="628BAA35" w14:textId="37598482" w:rsidR="00822B41" w:rsidRDefault="00822B41" w:rsidP="00822B41">
      <w:pPr>
        <w:pStyle w:val="IFTnormal"/>
      </w:pPr>
      <w:bookmarkStart w:id="12" w:name="_Hlk114471365"/>
      <w:r>
        <w:t>Como parte de la regulación asimétrica impuesta por el Instituto al AEP</w:t>
      </w:r>
      <w:r w:rsidR="0051002A">
        <w:t xml:space="preserve">, </w:t>
      </w:r>
      <w:r w:rsidR="0011296A">
        <w:t>TELMEX/TELNOR</w:t>
      </w:r>
      <w:r>
        <w:t xml:space="preserve"> se encuentra</w:t>
      </w:r>
      <w:r w:rsidR="00C67B89">
        <w:t>n</w:t>
      </w:r>
      <w:r>
        <w:t xml:space="preserve"> obligado</w:t>
      </w:r>
      <w:r w:rsidR="00C67B89">
        <w:t>s</w:t>
      </w:r>
      <w:r>
        <w:t xml:space="preserve"> a presentar a más tardar el 30 de junio de cada año una oferta de referencia de servicios de desagregación, la cual debe ser aprobada o modificada por el Pleno del Instituto. Mediante dicha oferta de referencia se deben plasmar los términos y condiciones bajo los cuales </w:t>
      </w:r>
      <w:r w:rsidR="0011296A">
        <w:t>se</w:t>
      </w:r>
      <w:r>
        <w:t xml:space="preserve"> ofrece el acceso a su red </w:t>
      </w:r>
      <w:r w:rsidR="0033168B">
        <w:t xml:space="preserve">local </w:t>
      </w:r>
      <w:r>
        <w:t>a los C</w:t>
      </w:r>
      <w:r w:rsidR="006D2A56">
        <w:t xml:space="preserve">oncesionarios </w:t>
      </w:r>
      <w:r>
        <w:t>S</w:t>
      </w:r>
      <w:r w:rsidR="006D2A56">
        <w:t>olicitantes (en lo sucesivo, el o los “CS”)</w:t>
      </w:r>
      <w:r>
        <w:t xml:space="preserve"> a través de </w:t>
      </w:r>
      <w:r w:rsidR="0033168B">
        <w:t xml:space="preserve">diversos </w:t>
      </w:r>
      <w:r>
        <w:t>servicios mayoristas</w:t>
      </w:r>
      <w:r w:rsidR="0033168B">
        <w:t xml:space="preserve"> de desagregación</w:t>
      </w:r>
      <w:r>
        <w:t>.</w:t>
      </w:r>
    </w:p>
    <w:p w14:paraId="230DA6A5" w14:textId="77777777" w:rsidR="00822B41" w:rsidRDefault="00822B41" w:rsidP="00822B41">
      <w:pPr>
        <w:pStyle w:val="IFTnormal"/>
      </w:pPr>
      <w:r>
        <w:t>De manera particular, la Medida TRIGÉSIMA NOVENA de las Medidas de Desagregación señala lo siguiente:</w:t>
      </w:r>
    </w:p>
    <w:p w14:paraId="5DBED74A" w14:textId="51430E01" w:rsidR="00822B41" w:rsidRDefault="00822B41" w:rsidP="00822B41">
      <w:pPr>
        <w:pStyle w:val="Citaift"/>
        <w:rPr>
          <w:lang w:val="es-ES_tradnl"/>
        </w:rPr>
      </w:pPr>
      <w:r>
        <w:rPr>
          <w:lang w:val="es-ES_tradnl"/>
        </w:rPr>
        <w:t>“</w:t>
      </w:r>
      <w:r>
        <w:rPr>
          <w:b/>
          <w:lang w:val="es-ES_tradnl"/>
        </w:rPr>
        <w:t xml:space="preserve">TRIGÉSIMA </w:t>
      </w:r>
      <w:proofErr w:type="gramStart"/>
      <w:r>
        <w:rPr>
          <w:b/>
          <w:lang w:val="es-ES_tradnl"/>
        </w:rPr>
        <w:t>NOVENA.-</w:t>
      </w:r>
      <w:proofErr w:type="gramEnd"/>
      <w:r>
        <w:rPr>
          <w:lang w:val="es-ES_tradnl"/>
        </w:rPr>
        <w:t xml:space="preserve"> </w:t>
      </w:r>
      <w:r w:rsidR="0011296A" w:rsidRPr="0011296A">
        <w:rPr>
          <w:lang w:val="es-ES_tradnl"/>
        </w:rPr>
        <w:t xml:space="preserve">Las tarifas aplicables al Servicio de Acceso Indirecto al Bucle Local y a los Servicios de Desagregación Total y Compartida del Bucle, </w:t>
      </w:r>
      <w:proofErr w:type="spellStart"/>
      <w:r w:rsidR="0011296A" w:rsidRPr="0011296A">
        <w:rPr>
          <w:lang w:val="es-ES_tradnl"/>
        </w:rPr>
        <w:t>Sub-bucle</w:t>
      </w:r>
      <w:proofErr w:type="spellEnd"/>
      <w:r w:rsidR="0011296A" w:rsidRPr="0011296A">
        <w:rPr>
          <w:lang w:val="es-ES_tradnl"/>
        </w:rPr>
        <w:t xml:space="preserve"> Local, </w:t>
      </w:r>
      <w:proofErr w:type="spellStart"/>
      <w:r w:rsidR="0011296A" w:rsidRPr="0011296A">
        <w:rPr>
          <w:lang w:val="es-ES_tradnl"/>
        </w:rPr>
        <w:t>Coubicación</w:t>
      </w:r>
      <w:proofErr w:type="spellEnd"/>
      <w:r w:rsidR="0011296A" w:rsidRPr="0011296A">
        <w:rPr>
          <w:lang w:val="es-ES_tradnl"/>
        </w:rPr>
        <w:t xml:space="preserve"> para Desagregación y Servicios Auxiliares, se determinarán a partir de un modelo de costos basado en una metodología de costos incrementales promedio de largo plazo, que al efecto emita el Instituto.</w:t>
      </w:r>
    </w:p>
    <w:p w14:paraId="7D56196E" w14:textId="69F7E9CB" w:rsidR="00822B41" w:rsidRDefault="0011296A" w:rsidP="00822B41">
      <w:pPr>
        <w:pStyle w:val="Citaift"/>
        <w:rPr>
          <w:lang w:val="es-ES_tradnl"/>
        </w:rPr>
      </w:pPr>
      <w:r w:rsidRPr="00A02ABE">
        <w:rPr>
          <w:b/>
          <w:u w:val="single"/>
          <w:lang w:val="es-ES_tradnl"/>
        </w:rPr>
        <w:t>Tratándose de las tarifas por los Servicios de Reventa, estas se determinarán mediante una metodología de costos evitados (</w:t>
      </w:r>
      <w:proofErr w:type="spellStart"/>
      <w:r w:rsidRPr="00A02ABE">
        <w:rPr>
          <w:b/>
          <w:u w:val="single"/>
          <w:lang w:val="es-ES_tradnl"/>
        </w:rPr>
        <w:t>retail</w:t>
      </w:r>
      <w:proofErr w:type="spellEnd"/>
      <w:r w:rsidRPr="00A02ABE">
        <w:rPr>
          <w:b/>
          <w:u w:val="single"/>
          <w:lang w:val="es-ES_tradnl"/>
        </w:rPr>
        <w:t xml:space="preserve"> </w:t>
      </w:r>
      <w:proofErr w:type="spellStart"/>
      <w:r w:rsidRPr="00A02ABE">
        <w:rPr>
          <w:b/>
          <w:u w:val="single"/>
          <w:lang w:val="es-ES_tradnl"/>
        </w:rPr>
        <w:t>minus</w:t>
      </w:r>
      <w:proofErr w:type="spellEnd"/>
      <w:r w:rsidRPr="00A02ABE">
        <w:rPr>
          <w:b/>
          <w:u w:val="single"/>
          <w:lang w:val="es-ES_tradnl"/>
        </w:rPr>
        <w:t>), a partir de los ingresos o las tarifas minoristas y, eliminando aquellos costos que no sean necesarios para la comercialización de los servicios, de tal forma que puedan ser replicadas por un operador eficiente</w:t>
      </w:r>
      <w:r w:rsidRPr="0011296A">
        <w:rPr>
          <w:lang w:val="es-ES_tradnl"/>
        </w:rPr>
        <w:t>.</w:t>
      </w:r>
    </w:p>
    <w:p w14:paraId="75680831" w14:textId="198627E3" w:rsidR="00822B41" w:rsidRDefault="0011296A" w:rsidP="00822B41">
      <w:pPr>
        <w:pStyle w:val="Citaift"/>
        <w:rPr>
          <w:lang w:val="es-ES_tradnl"/>
        </w:rPr>
      </w:pPr>
      <w:r>
        <w:rPr>
          <w:lang w:val="es-ES_tradnl"/>
        </w:rPr>
        <w:t>[…]</w:t>
      </w:r>
      <w:r w:rsidR="00822B41">
        <w:rPr>
          <w:lang w:val="es-ES_tradnl"/>
        </w:rPr>
        <w:t>”</w:t>
      </w:r>
    </w:p>
    <w:p w14:paraId="330F3344" w14:textId="77777777" w:rsidR="00822B41" w:rsidRDefault="00822B41" w:rsidP="00822B41">
      <w:pPr>
        <w:pStyle w:val="Citaift"/>
        <w:jc w:val="right"/>
        <w:rPr>
          <w:lang w:val="es-ES_tradnl"/>
        </w:rPr>
      </w:pPr>
      <w:r>
        <w:rPr>
          <w:lang w:val="es-ES_tradnl"/>
        </w:rPr>
        <w:t>(Énfasis añadido)</w:t>
      </w:r>
    </w:p>
    <w:p w14:paraId="3642B934" w14:textId="468CC16F" w:rsidR="0011296A" w:rsidRDefault="0011296A" w:rsidP="00822B41">
      <w:pPr>
        <w:pStyle w:val="IFTnormal"/>
      </w:pPr>
      <w:r>
        <w:t>Conviene destacar que, de conformidad con la Medida TERCERA de las Medidas de Desagregación, el “Servicio de Reventa” está definido en los siguientes términos:</w:t>
      </w:r>
    </w:p>
    <w:p w14:paraId="7FD4D8D1" w14:textId="5F5A2C03" w:rsidR="00600401" w:rsidRDefault="00600401" w:rsidP="00600401">
      <w:pPr>
        <w:pStyle w:val="Citaift"/>
      </w:pPr>
      <w:r>
        <w:t>“</w:t>
      </w:r>
      <w:proofErr w:type="gramStart"/>
      <w:r>
        <w:rPr>
          <w:b/>
        </w:rPr>
        <w:t>TERCERA.-</w:t>
      </w:r>
      <w:proofErr w:type="gramEnd"/>
      <w:r>
        <w:rPr>
          <w:b/>
        </w:rPr>
        <w:t xml:space="preserve"> </w:t>
      </w:r>
      <w:r>
        <w:t>A</w:t>
      </w:r>
      <w:r w:rsidRPr="00600401">
        <w:t xml:space="preserve"> demás de las definiciones previstas en el artículo 3 de la Ley Federal de Telecomunicaciones y Radiodifusión, para efectos de las presentes medidas, se entenderá por:</w:t>
      </w:r>
    </w:p>
    <w:p w14:paraId="238EB48D" w14:textId="77777777" w:rsidR="00600401" w:rsidRDefault="00600401" w:rsidP="00600401">
      <w:pPr>
        <w:pStyle w:val="Citaift"/>
      </w:pPr>
      <w:r>
        <w:t>[…]</w:t>
      </w:r>
    </w:p>
    <w:p w14:paraId="34B14AFB" w14:textId="05FA9242" w:rsidR="00600401" w:rsidRDefault="00600401" w:rsidP="00600401">
      <w:pPr>
        <w:pStyle w:val="Citaift"/>
        <w:numPr>
          <w:ilvl w:val="0"/>
          <w:numId w:val="30"/>
        </w:numPr>
        <w:rPr>
          <w:lang w:val="es-ES"/>
        </w:rPr>
      </w:pPr>
      <w:r>
        <w:rPr>
          <w:rFonts w:cs="ITC Avant Garde"/>
          <w:b/>
          <w:lang w:eastAsia="es-MX"/>
        </w:rPr>
        <w:t xml:space="preserve">Servicio de Reventa: </w:t>
      </w:r>
      <w:r w:rsidRPr="0077517D">
        <w:rPr>
          <w:lang w:val="es-ES"/>
        </w:rPr>
        <w:t>Mediante este servicio se permite que el Concesionario Solicitante o Autorizado Solicitante realice la reventa o comercialización de la línea, acceso a Internet o cualquier otro servicio de la Red pública de telecomunicaciones del Agente Económico Preponderante;</w:t>
      </w:r>
    </w:p>
    <w:p w14:paraId="78C9A6FE" w14:textId="400688B7" w:rsidR="00600401" w:rsidRDefault="00600401" w:rsidP="00DE30C0">
      <w:pPr>
        <w:pStyle w:val="Citaift"/>
        <w:rPr>
          <w:lang w:val="es-ES"/>
        </w:rPr>
      </w:pPr>
      <w:r w:rsidRPr="00DE30C0">
        <w:rPr>
          <w:rFonts w:cs="ITC Avant Garde"/>
          <w:lang w:eastAsia="es-MX"/>
        </w:rPr>
        <w:t>[…</w:t>
      </w:r>
      <w:r w:rsidRPr="001C1AE2">
        <w:rPr>
          <w:lang w:val="es-ES"/>
        </w:rPr>
        <w:t>]</w:t>
      </w:r>
      <w:r>
        <w:rPr>
          <w:lang w:val="es-ES"/>
        </w:rPr>
        <w:t>”</w:t>
      </w:r>
    </w:p>
    <w:p w14:paraId="4DE7C2ED" w14:textId="7119CCB5" w:rsidR="00AB2179" w:rsidRPr="00BE32BA" w:rsidRDefault="00822B41" w:rsidP="00DE30C0">
      <w:pPr>
        <w:pStyle w:val="IFTnormal"/>
        <w:rPr>
          <w:b/>
          <w:sz w:val="17"/>
          <w:szCs w:val="17"/>
        </w:rPr>
      </w:pPr>
      <w:r>
        <w:t xml:space="preserve">De lo anterior se desprende que los CS pueden solicitar dicho servicio con el propósito de revender o comercializar servicios de línea telefónica y/o de </w:t>
      </w:r>
      <w:r w:rsidR="00E33C8A">
        <w:t>I</w:t>
      </w:r>
      <w:r>
        <w:t>nternet que</w:t>
      </w:r>
      <w:r w:rsidR="00600401">
        <w:t xml:space="preserve"> TELMEX/TELNOR</w:t>
      </w:r>
      <w:r>
        <w:t xml:space="preserve"> ofrezca</w:t>
      </w:r>
      <w:r w:rsidR="00EE3D21">
        <w:t>n</w:t>
      </w:r>
      <w:r>
        <w:t xml:space="preserve"> o comercialice</w:t>
      </w:r>
      <w:r w:rsidR="00EE3D21">
        <w:t>n</w:t>
      </w:r>
      <w:r>
        <w:t xml:space="preserve"> en el segmento minorista. En función </w:t>
      </w:r>
      <w:r>
        <w:lastRenderedPageBreak/>
        <w:t xml:space="preserve">de ello, para efectos de este documento, se hará uso de los términos siguientes para distinguir diferentes modalidades del </w:t>
      </w:r>
      <w:r w:rsidR="00E33C8A">
        <w:t>s</w:t>
      </w:r>
      <w:r>
        <w:t xml:space="preserve">ervicio de </w:t>
      </w:r>
      <w:r w:rsidR="00E33C8A">
        <w:t>r</w:t>
      </w:r>
      <w:r>
        <w:t>eventa:</w:t>
      </w:r>
    </w:p>
    <w:tbl>
      <w:tblPr>
        <w:tblStyle w:val="Tablaconcuadrcula1clara"/>
        <w:tblW w:w="0" w:type="auto"/>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2427"/>
        <w:gridCol w:w="1184"/>
        <w:gridCol w:w="5217"/>
      </w:tblGrid>
      <w:tr w:rsidR="00600627" w14:paraId="210E6E68" w14:textId="77777777" w:rsidTr="00822B41">
        <w:trPr>
          <w:cnfStyle w:val="100000000000" w:firstRow="1" w:lastRow="0" w:firstColumn="0" w:lastColumn="0" w:oddVBand="0" w:evenVBand="0" w:oddHBand="0" w:evenHBand="0" w:firstRowFirstColumn="0" w:firstRowLastColumn="0" w:lastRowFirstColumn="0" w:lastRowLastColumn="0"/>
          <w:trHeight w:val="289"/>
          <w:jc w:val="center"/>
        </w:trPr>
        <w:tc>
          <w:tcPr>
            <w:tcW w:w="0" w:type="auto"/>
            <w:tcBorders>
              <w:top w:val="single" w:sz="4" w:space="0" w:color="999999" w:themeColor="text1" w:themeTint="66"/>
              <w:left w:val="single" w:sz="4" w:space="0" w:color="999999" w:themeColor="text1" w:themeTint="66"/>
              <w:right w:val="single" w:sz="4" w:space="0" w:color="999999" w:themeColor="text1" w:themeTint="66"/>
            </w:tcBorders>
            <w:shd w:val="clear" w:color="auto" w:fill="E7E6E6" w:themeFill="background2"/>
            <w:hideMark/>
          </w:tcPr>
          <w:p w14:paraId="0B1CA7B8" w14:textId="77777777" w:rsidR="00822B41" w:rsidRDefault="00822B41">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Denominación</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shd w:val="clear" w:color="auto" w:fill="E7E6E6" w:themeFill="background2"/>
            <w:hideMark/>
          </w:tcPr>
          <w:p w14:paraId="655AF058" w14:textId="77777777" w:rsidR="00822B41" w:rsidRDefault="00822B41">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Acrónimo</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shd w:val="clear" w:color="auto" w:fill="E7E6E6" w:themeFill="background2"/>
            <w:hideMark/>
          </w:tcPr>
          <w:p w14:paraId="6CC34A24" w14:textId="003D41BA" w:rsidR="00822B41" w:rsidRDefault="00822B41">
            <w:pPr>
              <w:pStyle w:val="Tableheading"/>
              <w:spacing w:before="0" w:after="0"/>
              <w:jc w:val="both"/>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 xml:space="preserve">Tipo de servicio </w:t>
            </w:r>
            <w:r w:rsidR="00E33C8A">
              <w:rPr>
                <w:rFonts w:ascii="ITC Avant Garde" w:hAnsi="ITC Avant Garde"/>
                <w:b/>
                <w:color w:val="000000" w:themeColor="text1"/>
                <w:szCs w:val="18"/>
                <w:lang w:val="es-ES_tradnl"/>
              </w:rPr>
              <w:t>que</w:t>
            </w:r>
            <w:r>
              <w:rPr>
                <w:rFonts w:ascii="ITC Avant Garde" w:hAnsi="ITC Avant Garde"/>
                <w:b/>
                <w:color w:val="000000" w:themeColor="text1"/>
                <w:szCs w:val="18"/>
                <w:lang w:val="es-ES_tradnl"/>
              </w:rPr>
              <w:t xml:space="preserve"> </w:t>
            </w:r>
            <w:r w:rsidR="00204529">
              <w:rPr>
                <w:rFonts w:ascii="ITC Avant Garde" w:hAnsi="ITC Avant Garde"/>
                <w:b/>
                <w:color w:val="000000" w:themeColor="text1"/>
                <w:szCs w:val="18"/>
                <w:lang w:val="es-ES_tradnl"/>
              </w:rPr>
              <w:t>TELMEX/TELNOR</w:t>
            </w:r>
            <w:r>
              <w:rPr>
                <w:rFonts w:ascii="ITC Avant Garde" w:hAnsi="ITC Avant Garde"/>
                <w:b/>
                <w:color w:val="000000" w:themeColor="text1"/>
                <w:szCs w:val="18"/>
                <w:lang w:val="es-ES_tradnl"/>
              </w:rPr>
              <w:t xml:space="preserve"> </w:t>
            </w:r>
            <w:r w:rsidR="005D0416">
              <w:rPr>
                <w:rFonts w:ascii="ITC Avant Garde" w:hAnsi="ITC Avant Garde"/>
                <w:b/>
                <w:color w:val="000000" w:themeColor="text1"/>
                <w:szCs w:val="18"/>
                <w:lang w:val="es-ES_tradnl"/>
              </w:rPr>
              <w:t xml:space="preserve">debe </w:t>
            </w:r>
            <w:r>
              <w:rPr>
                <w:rFonts w:ascii="ITC Avant Garde" w:hAnsi="ITC Avant Garde"/>
                <w:b/>
                <w:color w:val="000000" w:themeColor="text1"/>
                <w:szCs w:val="18"/>
                <w:lang w:val="es-ES_tradnl"/>
              </w:rPr>
              <w:t xml:space="preserve">revender o comercializar </w:t>
            </w:r>
            <w:r w:rsidR="00E33C8A">
              <w:rPr>
                <w:rFonts w:ascii="ITC Avant Garde" w:hAnsi="ITC Avant Garde"/>
                <w:b/>
                <w:color w:val="000000" w:themeColor="text1"/>
                <w:szCs w:val="18"/>
                <w:lang w:val="es-ES_tradnl"/>
              </w:rPr>
              <w:t xml:space="preserve">al </w:t>
            </w:r>
            <w:r w:rsidR="00E33C8A" w:rsidRPr="00E33C8A">
              <w:rPr>
                <w:rFonts w:ascii="ITC Avant Garde" w:hAnsi="ITC Avant Garde"/>
                <w:b/>
                <w:bCs w:val="0"/>
                <w:color w:val="000000" w:themeColor="text1"/>
                <w:szCs w:val="18"/>
                <w:lang w:val="es-ES_tradnl"/>
              </w:rPr>
              <w:t>CS</w:t>
            </w:r>
            <w:r w:rsidR="00E33C8A">
              <w:rPr>
                <w:rFonts w:ascii="ITC Avant Garde" w:hAnsi="ITC Avant Garde"/>
                <w:b/>
                <w:color w:val="000000" w:themeColor="text1"/>
                <w:szCs w:val="18"/>
                <w:lang w:val="es-ES_tradnl"/>
              </w:rPr>
              <w:t xml:space="preserve"> </w:t>
            </w:r>
            <w:r>
              <w:rPr>
                <w:rFonts w:ascii="ITC Avant Garde" w:hAnsi="ITC Avant Garde"/>
                <w:b/>
                <w:color w:val="000000" w:themeColor="text1"/>
                <w:szCs w:val="18"/>
                <w:lang w:val="es-ES_tradnl"/>
              </w:rPr>
              <w:t xml:space="preserve">mediante </w:t>
            </w:r>
            <w:r w:rsidR="00E33C8A">
              <w:rPr>
                <w:rFonts w:ascii="ITC Avant Garde" w:hAnsi="ITC Avant Garde"/>
                <w:b/>
                <w:color w:val="000000" w:themeColor="text1"/>
                <w:szCs w:val="18"/>
                <w:lang w:val="es-ES_tradnl"/>
              </w:rPr>
              <w:t>la</w:t>
            </w:r>
            <w:r>
              <w:rPr>
                <w:rFonts w:ascii="ITC Avant Garde" w:hAnsi="ITC Avant Garde"/>
                <w:b/>
                <w:color w:val="000000" w:themeColor="text1"/>
                <w:szCs w:val="18"/>
                <w:lang w:val="es-ES_tradnl"/>
              </w:rPr>
              <w:t xml:space="preserve"> modalidad del “servicio de reventa”</w:t>
            </w:r>
          </w:p>
        </w:tc>
      </w:tr>
      <w:tr w:rsidR="00600627" w14:paraId="602680AB" w14:textId="77777777" w:rsidTr="00822B41">
        <w:trPr>
          <w:trHeight w:val="287"/>
          <w:jc w:val="center"/>
        </w:trPr>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131EF90" w14:textId="77777777" w:rsidR="00822B41" w:rsidRDefault="00822B41">
            <w:pPr>
              <w:pStyle w:val="Tablecells"/>
              <w:spacing w:after="0"/>
              <w:ind w:right="39"/>
              <w:jc w:val="both"/>
              <w:rPr>
                <w:rFonts w:ascii="ITC Avant Garde" w:hAnsi="ITC Avant Garde"/>
                <w:szCs w:val="18"/>
                <w:lang w:val="es-ES_tradnl"/>
              </w:rPr>
            </w:pPr>
            <w:r>
              <w:rPr>
                <w:rFonts w:ascii="ITC Avant Garde" w:hAnsi="ITC Avant Garde"/>
                <w:szCs w:val="18"/>
                <w:lang w:val="es-ES_tradnl"/>
              </w:rPr>
              <w:t>Servicio de Reventa de Línea Telefónica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3C060D9" w14:textId="77777777" w:rsidR="00822B41" w:rsidRDefault="00822B41">
            <w:pPr>
              <w:pStyle w:val="Tablecells"/>
              <w:spacing w:before="0" w:after="0"/>
              <w:jc w:val="center"/>
              <w:rPr>
                <w:rFonts w:ascii="ITC Avant Garde" w:hAnsi="ITC Avant Garde"/>
                <w:szCs w:val="18"/>
                <w:lang w:val="es-ES_tradnl"/>
              </w:rPr>
            </w:pPr>
            <w:r>
              <w:rPr>
                <w:rFonts w:ascii="ITC Avant Garde" w:hAnsi="ITC Avant Garde"/>
                <w:szCs w:val="18"/>
                <w:lang w:val="es-ES_tradnl"/>
              </w:rPr>
              <w:t>SRLT</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6503049" w14:textId="77777777" w:rsidR="00822B41" w:rsidRDefault="00822B41">
            <w:pPr>
              <w:pStyle w:val="Tablecells"/>
              <w:spacing w:before="0" w:after="0"/>
              <w:jc w:val="both"/>
              <w:rPr>
                <w:rFonts w:ascii="ITC Avant Garde" w:hAnsi="ITC Avant Garde"/>
                <w:szCs w:val="18"/>
                <w:lang w:val="es-ES_tradnl"/>
              </w:rPr>
            </w:pPr>
            <w:r>
              <w:rPr>
                <w:rFonts w:ascii="ITC Avant Garde" w:hAnsi="ITC Avant Garde"/>
                <w:szCs w:val="18"/>
                <w:lang w:val="es-ES_tradnl"/>
              </w:rPr>
              <w:t>Servicios de telefonía fija, mediante en los cuales se provee únicamente servicios de voz (es decir, sin banda ancha fija).</w:t>
            </w:r>
          </w:p>
        </w:tc>
      </w:tr>
      <w:tr w:rsidR="00600627" w14:paraId="160A1E7A" w14:textId="77777777" w:rsidTr="00822B41">
        <w:trPr>
          <w:trHeight w:val="278"/>
          <w:jc w:val="center"/>
        </w:trPr>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29F52EB" w14:textId="77777777" w:rsidR="00822B41" w:rsidRDefault="00822B41">
            <w:pPr>
              <w:pStyle w:val="Tablecells"/>
              <w:spacing w:after="0"/>
              <w:ind w:right="39"/>
              <w:jc w:val="both"/>
              <w:rPr>
                <w:rFonts w:ascii="ITC Avant Garde" w:hAnsi="ITC Avant Garde"/>
                <w:b/>
                <w:szCs w:val="18"/>
                <w:lang w:val="es-ES_tradnl"/>
              </w:rPr>
            </w:pPr>
            <w:r>
              <w:rPr>
                <w:rFonts w:ascii="ITC Avant Garde" w:hAnsi="ITC Avant Garde"/>
                <w:szCs w:val="18"/>
                <w:lang w:val="es-ES_tradnl"/>
              </w:rPr>
              <w:t>Servicio de Reventa de Internet</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53CAE1B" w14:textId="77777777" w:rsidR="00822B41" w:rsidRDefault="00822B41">
            <w:pPr>
              <w:pStyle w:val="Tablecells"/>
              <w:spacing w:before="0" w:after="0"/>
              <w:jc w:val="center"/>
              <w:rPr>
                <w:rFonts w:ascii="ITC Avant Garde" w:hAnsi="ITC Avant Garde"/>
                <w:szCs w:val="18"/>
                <w:lang w:val="es-ES_tradnl"/>
              </w:rPr>
            </w:pPr>
            <w:r>
              <w:rPr>
                <w:rFonts w:ascii="ITC Avant Garde" w:hAnsi="ITC Avant Garde"/>
                <w:szCs w:val="18"/>
                <w:lang w:val="es-ES_tradnl"/>
              </w:rPr>
              <w:t>SRI</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3F00626" w14:textId="77777777" w:rsidR="00822B41" w:rsidRDefault="00822B41">
            <w:pPr>
              <w:pStyle w:val="Tablecells"/>
              <w:spacing w:before="0" w:after="0"/>
              <w:jc w:val="both"/>
              <w:rPr>
                <w:rFonts w:ascii="ITC Avant Garde" w:hAnsi="ITC Avant Garde"/>
                <w:szCs w:val="18"/>
                <w:lang w:val="es-ES_tradnl"/>
              </w:rPr>
            </w:pPr>
            <w:r>
              <w:rPr>
                <w:rFonts w:ascii="ITC Avant Garde" w:hAnsi="ITC Avant Garde"/>
                <w:szCs w:val="18"/>
                <w:lang w:val="es-ES_tradnl"/>
              </w:rPr>
              <w:t>Servicios de banda ancha fija, en los cuales no proveen servicios de voz.</w:t>
            </w:r>
          </w:p>
        </w:tc>
      </w:tr>
      <w:tr w:rsidR="00600627" w14:paraId="3DC30FFA" w14:textId="77777777" w:rsidTr="00822B41">
        <w:trPr>
          <w:trHeight w:val="278"/>
          <w:jc w:val="center"/>
        </w:trPr>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FAD1996" w14:textId="77777777" w:rsidR="00822B41" w:rsidRDefault="00822B41">
            <w:pPr>
              <w:pStyle w:val="Tablecells"/>
              <w:spacing w:after="0"/>
              <w:ind w:right="39"/>
              <w:jc w:val="both"/>
              <w:rPr>
                <w:rFonts w:ascii="ITC Avant Garde" w:hAnsi="ITC Avant Garde"/>
                <w:b/>
                <w:szCs w:val="18"/>
                <w:lang w:val="es-ES_tradnl"/>
              </w:rPr>
            </w:pPr>
            <w:r>
              <w:rPr>
                <w:rFonts w:ascii="ITC Avant Garde" w:hAnsi="ITC Avant Garde"/>
                <w:szCs w:val="18"/>
                <w:lang w:val="es-ES_tradnl"/>
              </w:rPr>
              <w:t>Servicio de Reventa de Paquetes</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EBB8BA6" w14:textId="77777777" w:rsidR="00822B41" w:rsidRDefault="00822B41">
            <w:pPr>
              <w:pStyle w:val="Tablecells"/>
              <w:spacing w:before="0" w:after="0"/>
              <w:jc w:val="center"/>
              <w:rPr>
                <w:rFonts w:ascii="ITC Avant Garde" w:hAnsi="ITC Avant Garde"/>
                <w:szCs w:val="18"/>
                <w:lang w:val="es-ES_tradnl"/>
              </w:rPr>
            </w:pPr>
            <w:r>
              <w:rPr>
                <w:rFonts w:ascii="ITC Avant Garde" w:hAnsi="ITC Avant Garde"/>
                <w:szCs w:val="18"/>
                <w:lang w:val="es-ES_tradnl"/>
              </w:rPr>
              <w:t>SRP</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E93865" w14:textId="77777777" w:rsidR="00822B41" w:rsidRDefault="00822B41">
            <w:pPr>
              <w:pStyle w:val="Tablecells"/>
              <w:spacing w:before="0" w:after="0"/>
              <w:jc w:val="both"/>
              <w:rPr>
                <w:rFonts w:ascii="ITC Avant Garde" w:hAnsi="ITC Avant Garde"/>
                <w:szCs w:val="18"/>
                <w:lang w:val="es-ES_tradnl"/>
              </w:rPr>
            </w:pPr>
            <w:r>
              <w:rPr>
                <w:rFonts w:ascii="ITC Avant Garde" w:hAnsi="ITC Avant Garde"/>
                <w:szCs w:val="18"/>
                <w:lang w:val="es-ES_tradnl"/>
              </w:rPr>
              <w:t>Servicios de telefonía y banda ancha fija, en forma conjunta.</w:t>
            </w:r>
          </w:p>
        </w:tc>
      </w:tr>
    </w:tbl>
    <w:p w14:paraId="3BFD9905" w14:textId="78EF833B" w:rsidR="00822B41" w:rsidRPr="00A02ABE" w:rsidRDefault="00E33C8A" w:rsidP="00A02ABE">
      <w:pPr>
        <w:pStyle w:val="IFTnormal"/>
        <w:numPr>
          <w:ilvl w:val="0"/>
          <w:numId w:val="59"/>
        </w:numPr>
        <w:jc w:val="center"/>
        <w:rPr>
          <w:rFonts w:eastAsia="Calibri"/>
          <w:sz w:val="20"/>
          <w:szCs w:val="20"/>
          <w:lang w:val="es-ES_tradnl" w:eastAsia="es-ES"/>
        </w:rPr>
      </w:pPr>
      <w:r w:rsidRPr="00A02ABE">
        <w:rPr>
          <w:rFonts w:eastAsia="Calibri"/>
          <w:sz w:val="20"/>
          <w:szCs w:val="20"/>
          <w:lang w:val="es-ES_tradnl" w:eastAsia="es-ES"/>
        </w:rPr>
        <w:t>Definición de los servicios de reventa</w:t>
      </w:r>
      <w:r w:rsidR="00EE3D21">
        <w:rPr>
          <w:rFonts w:eastAsia="Calibri"/>
          <w:sz w:val="20"/>
          <w:szCs w:val="20"/>
          <w:lang w:val="es-ES_tradnl" w:eastAsia="es-ES"/>
        </w:rPr>
        <w:t>.</w:t>
      </w:r>
    </w:p>
    <w:p w14:paraId="0AE41F4C" w14:textId="126EF812" w:rsidR="00822B41" w:rsidRDefault="00822B41" w:rsidP="00822B41">
      <w:pPr>
        <w:pStyle w:val="IFTnormal"/>
      </w:pPr>
      <w:r>
        <w:t xml:space="preserve">Por otra parte, a través de la </w:t>
      </w:r>
      <w:r w:rsidR="005F00B2">
        <w:t>“</w:t>
      </w:r>
      <w:r>
        <w:t>Resolución SRMLT</w:t>
      </w:r>
      <w:r w:rsidR="005F00B2">
        <w:t>”</w:t>
      </w:r>
      <w:r w:rsidR="006B0C4A">
        <w:rPr>
          <w:rStyle w:val="Refdenotaalpie"/>
        </w:rPr>
        <w:footnoteReference w:id="4"/>
      </w:r>
      <w:r>
        <w:t xml:space="preserve"> el Instituto estableció las condiciones técnicas y operativas de un servicio de desagregación que </w:t>
      </w:r>
      <w:r w:rsidR="00204529">
        <w:t>TELMEX/TELNOR</w:t>
      </w:r>
      <w:r>
        <w:t xml:space="preserve"> </w:t>
      </w:r>
      <w:r w:rsidR="00737FB3">
        <w:t>están</w:t>
      </w:r>
      <w:r>
        <w:t xml:space="preserve"> obligado</w:t>
      </w:r>
      <w:r w:rsidR="00737FB3">
        <w:t>s</w:t>
      </w:r>
      <w:r>
        <w:t xml:space="preserve"> a ofrecer y que se denomina “Servicio de Reventa Mayorista de Línea Telefónica”, indicándose en particular, dentro del Anexo 1 de dicho documento, la descripción general que </w:t>
      </w:r>
      <w:r w:rsidR="00204529">
        <w:t>TELMEX/TELNOR</w:t>
      </w:r>
      <w:r>
        <w:t xml:space="preserve"> debe</w:t>
      </w:r>
      <w:r w:rsidR="00737FB3">
        <w:t>n</w:t>
      </w:r>
      <w:r>
        <w:t xml:space="preserve"> observar para ofrecer tal servicio a los CS:</w:t>
      </w:r>
    </w:p>
    <w:p w14:paraId="6D978735" w14:textId="77777777" w:rsidR="00822B41" w:rsidRDefault="00822B41" w:rsidP="00822B41">
      <w:pPr>
        <w:pStyle w:val="Citaift"/>
      </w:pPr>
      <w:r>
        <w:t>“</w:t>
      </w:r>
      <w:r>
        <w:rPr>
          <w:b/>
        </w:rPr>
        <w:t>1. Descripción General</w:t>
      </w:r>
    </w:p>
    <w:p w14:paraId="692AF2B7" w14:textId="77777777" w:rsidR="00822B41" w:rsidRDefault="00822B41" w:rsidP="00822B41">
      <w:pPr>
        <w:pStyle w:val="Citaift"/>
      </w:pPr>
      <w:r>
        <w:t>Servicio mayorista que hace uso de la red telefónica del AEP para la entrega de todas las llamadas telefónicas originadas por los usuarios finales del Concesionario Solicitante (CS), en desagregación para el nuevo servicio SRMLT hasta el punto de entrega con la red del CS, cuando sea procedente.”</w:t>
      </w:r>
    </w:p>
    <w:p w14:paraId="7A3A0F4F" w14:textId="3D98E576" w:rsidR="007D2E15" w:rsidRDefault="00367812" w:rsidP="00367812">
      <w:pPr>
        <w:pStyle w:val="IFTnormal"/>
      </w:pPr>
      <w:r>
        <w:t>En consideración de lo anterior, el Instituto desarrolló en 2018 el Modelo de Costos Evitado</w:t>
      </w:r>
      <w:r w:rsidR="00B54C4F">
        <w:t>s</w:t>
      </w:r>
      <w:r>
        <w:t xml:space="preserve"> descrito en el Acuerdo </w:t>
      </w:r>
      <w:r w:rsidR="00234D90">
        <w:t>M</w:t>
      </w:r>
      <w:r>
        <w:t xml:space="preserve">etodológico, cuyo objeto era determinar las tarifas del </w:t>
      </w:r>
      <w:r w:rsidR="00C17653">
        <w:t>Servicio de Reventa de Línea (en lo sucesivo, el “</w:t>
      </w:r>
      <w:r>
        <w:t>SRL</w:t>
      </w:r>
      <w:r w:rsidR="00C17653">
        <w:t>”)</w:t>
      </w:r>
      <w:r>
        <w:t xml:space="preserve"> y SRMLT</w:t>
      </w:r>
      <w:r>
        <w:rPr>
          <w:rStyle w:val="Refdenotaalpie"/>
        </w:rPr>
        <w:footnoteReference w:id="5"/>
      </w:r>
      <w:r>
        <w:t xml:space="preserve">, así como la información relevante actualizada que permitiera calibrar las estimaciones correspondientes. </w:t>
      </w:r>
    </w:p>
    <w:p w14:paraId="1D2271F5" w14:textId="790F6E34" w:rsidR="00367812" w:rsidRDefault="00367812" w:rsidP="00367812">
      <w:pPr>
        <w:pStyle w:val="IFTnormal"/>
      </w:pPr>
      <w:r>
        <w:t xml:space="preserve">Para su desarrollo se adoptaron fundamentalmente los </w:t>
      </w:r>
      <w:r w:rsidR="00A005A9">
        <w:t xml:space="preserve">siguientes </w:t>
      </w:r>
      <w:r>
        <w:t>criterios:</w:t>
      </w:r>
    </w:p>
    <w:p w14:paraId="33F7FD84" w14:textId="77777777" w:rsidR="00367812" w:rsidRDefault="00367812" w:rsidP="00367812">
      <w:pPr>
        <w:pStyle w:val="IFTnormal"/>
        <w:numPr>
          <w:ilvl w:val="0"/>
          <w:numId w:val="31"/>
        </w:numPr>
      </w:pPr>
      <w:r>
        <w:t>Implementar una metodología de costos evitados (</w:t>
      </w:r>
      <w:proofErr w:type="spellStart"/>
      <w:r w:rsidRPr="00A55E62">
        <w:rPr>
          <w:i/>
        </w:rPr>
        <w:t>retail</w:t>
      </w:r>
      <w:proofErr w:type="spellEnd"/>
      <w:r w:rsidRPr="00A55E62">
        <w:rPr>
          <w:i/>
        </w:rPr>
        <w:t xml:space="preserve"> </w:t>
      </w:r>
      <w:proofErr w:type="spellStart"/>
      <w:r w:rsidRPr="00A55E62">
        <w:rPr>
          <w:i/>
        </w:rPr>
        <w:t>minus</w:t>
      </w:r>
      <w:proofErr w:type="spellEnd"/>
      <w:r>
        <w:t>).</w:t>
      </w:r>
    </w:p>
    <w:p w14:paraId="4BC577AF" w14:textId="77777777" w:rsidR="00367812" w:rsidRDefault="00367812" w:rsidP="00367812">
      <w:pPr>
        <w:pStyle w:val="IFTnormal"/>
        <w:numPr>
          <w:ilvl w:val="0"/>
          <w:numId w:val="31"/>
        </w:numPr>
      </w:pPr>
      <w:r>
        <w:t xml:space="preserve">Dicho modelo debería ser capaz de determinar niveles tarifarios para: </w:t>
      </w:r>
    </w:p>
    <w:p w14:paraId="718D6065" w14:textId="6003A7C4" w:rsidR="00367812" w:rsidRDefault="00367812" w:rsidP="00367812">
      <w:pPr>
        <w:pStyle w:val="IFTnormal"/>
        <w:numPr>
          <w:ilvl w:val="1"/>
          <w:numId w:val="31"/>
        </w:numPr>
      </w:pPr>
      <w:r>
        <w:rPr>
          <w:b/>
        </w:rPr>
        <w:lastRenderedPageBreak/>
        <w:t>SRL, a través de las modalidades SRLT, SRI y SRP</w:t>
      </w:r>
      <w:r>
        <w:t xml:space="preserve">: En específico, considerando la relación de dichas modalidades con los productos minoristas mediante los cuales </w:t>
      </w:r>
      <w:r w:rsidR="00B43795">
        <w:t>TELMEX/TELNOR</w:t>
      </w:r>
      <w:r>
        <w:t xml:space="preserve"> ofrece y/o comercializa servicio de telefonía fija y/o banda ancha fija en la actualidad;</w:t>
      </w:r>
    </w:p>
    <w:p w14:paraId="57B7EB24" w14:textId="77777777" w:rsidR="00367812" w:rsidRDefault="00367812" w:rsidP="00367812">
      <w:pPr>
        <w:pStyle w:val="IFTnormal"/>
        <w:numPr>
          <w:ilvl w:val="1"/>
          <w:numId w:val="31"/>
        </w:numPr>
      </w:pPr>
      <w:r>
        <w:rPr>
          <w:b/>
        </w:rPr>
        <w:t xml:space="preserve">SRMLT: </w:t>
      </w:r>
      <w:r>
        <w:t>Considerando el alcance del servicio, y las diferencias aplicables en el caso de línea de uso residencial y no residencial.</w:t>
      </w:r>
    </w:p>
    <w:p w14:paraId="78173179" w14:textId="16F88873" w:rsidR="00367812" w:rsidRDefault="00367812" w:rsidP="00367812">
      <w:pPr>
        <w:pStyle w:val="IFTnormal"/>
      </w:pPr>
      <w:r>
        <w:t>En 2019 e</w:t>
      </w:r>
      <w:r w:rsidR="0010439E">
        <w:t>l</w:t>
      </w:r>
      <w:r>
        <w:t xml:space="preserve"> </w:t>
      </w:r>
      <w:r w:rsidR="0010439E">
        <w:t>M</w:t>
      </w:r>
      <w:r>
        <w:t xml:space="preserve">odelo de </w:t>
      </w:r>
      <w:r w:rsidR="0010439E">
        <w:t>C</w:t>
      </w:r>
      <w:r>
        <w:t xml:space="preserve">ostos </w:t>
      </w:r>
      <w:r w:rsidR="0010439E">
        <w:t xml:space="preserve">Evitados </w:t>
      </w:r>
      <w:r>
        <w:t xml:space="preserve">fue sujeto de actualizaciones para el cálculo anual de las tarifas de los </w:t>
      </w:r>
      <w:r w:rsidR="00F70528">
        <w:t>s</w:t>
      </w:r>
      <w:r>
        <w:t xml:space="preserve">ervicios </w:t>
      </w:r>
      <w:r w:rsidR="00F70528">
        <w:t>r</w:t>
      </w:r>
      <w:r>
        <w:t xml:space="preserve">eventa. </w:t>
      </w:r>
      <w:r w:rsidR="007D2E15">
        <w:t>Asimismo,</w:t>
      </w:r>
      <w:r>
        <w:t xml:space="preserve"> se destaca que</w:t>
      </w:r>
      <w:r w:rsidR="007D2E15">
        <w:t xml:space="preserve"> </w:t>
      </w:r>
      <w:r w:rsidR="00B54C4F">
        <w:t xml:space="preserve">para las tarifas aplicables para </w:t>
      </w:r>
      <w:r w:rsidR="007D2E15">
        <w:t>2020</w:t>
      </w:r>
      <w:r>
        <w:t xml:space="preserve"> e</w:t>
      </w:r>
      <w:r w:rsidR="0010439E">
        <w:t>ste</w:t>
      </w:r>
      <w:r>
        <w:t xml:space="preserve"> </w:t>
      </w:r>
      <w:r w:rsidR="0010439E">
        <w:t>m</w:t>
      </w:r>
      <w:r>
        <w:t xml:space="preserve">odelo fue </w:t>
      </w:r>
      <w:r w:rsidR="007D2E15">
        <w:t xml:space="preserve">sometido </w:t>
      </w:r>
      <w:r w:rsidR="00B54C4F">
        <w:t xml:space="preserve">nuevamente </w:t>
      </w:r>
      <w:r w:rsidR="007D2E15">
        <w:t>a consulta pública, a partir de la revisión y actualización de diversos componentes derivados de</w:t>
      </w:r>
      <w:r>
        <w:t xml:space="preserve"> la oferta minorista de TELMEX/TELNOR</w:t>
      </w:r>
      <w:r w:rsidR="007D2E15">
        <w:rPr>
          <w:rStyle w:val="Refdenotaalpie"/>
        </w:rPr>
        <w:footnoteReference w:id="6"/>
      </w:r>
      <w:r>
        <w:t xml:space="preserve">. </w:t>
      </w:r>
    </w:p>
    <w:p w14:paraId="2CD1E75E" w14:textId="3BA6DC46" w:rsidR="00367812" w:rsidRDefault="0010439E" w:rsidP="00F35705">
      <w:pPr>
        <w:spacing w:after="240"/>
        <w:jc w:val="both"/>
        <w:rPr>
          <w:rFonts w:ascii="ITC Avant Garde" w:hAnsi="ITC Avant Garde"/>
          <w:bCs/>
          <w:color w:val="000000"/>
        </w:rPr>
      </w:pPr>
      <w:r>
        <w:rPr>
          <w:rFonts w:ascii="ITC Avant Garde" w:hAnsi="ITC Avant Garde"/>
        </w:rPr>
        <w:t xml:space="preserve">Esta estructura </w:t>
      </w:r>
      <w:r w:rsidR="00B54C4F">
        <w:rPr>
          <w:rFonts w:ascii="ITC Avant Garde" w:hAnsi="ITC Avant Garde"/>
        </w:rPr>
        <w:t>se mantuv</w:t>
      </w:r>
      <w:r>
        <w:rPr>
          <w:rFonts w:ascii="ITC Avant Garde" w:hAnsi="ITC Avant Garde"/>
        </w:rPr>
        <w:t>o</w:t>
      </w:r>
      <w:r w:rsidR="00B54C4F">
        <w:rPr>
          <w:rFonts w:ascii="ITC Avant Garde" w:hAnsi="ITC Avant Garde"/>
        </w:rPr>
        <w:t xml:space="preserve"> en los términos previstos en el Acuerdo de Separación Funcional, </w:t>
      </w:r>
      <w:r>
        <w:rPr>
          <w:rFonts w:ascii="ITC Avant Garde" w:hAnsi="ITC Avant Garde"/>
        </w:rPr>
        <w:t>a partir d</w:t>
      </w:r>
      <w:r w:rsidR="00B54C4F">
        <w:rPr>
          <w:rFonts w:ascii="ITC Avant Garde" w:hAnsi="ITC Avant Garde"/>
        </w:rPr>
        <w:t>el cual se</w:t>
      </w:r>
      <w:r w:rsidR="00367812">
        <w:rPr>
          <w:rFonts w:ascii="ITC Avant Garde" w:eastAsia="Times New Roman" w:hAnsi="ITC Avant Garde"/>
          <w:bCs/>
          <w:color w:val="000000"/>
          <w:lang w:eastAsia="es-MX"/>
        </w:rPr>
        <w:t xml:space="preserve"> emiti</w:t>
      </w:r>
      <w:r w:rsidR="00B54C4F">
        <w:rPr>
          <w:rFonts w:ascii="ITC Avant Garde" w:eastAsia="Times New Roman" w:hAnsi="ITC Avant Garde"/>
          <w:bCs/>
          <w:color w:val="000000"/>
          <w:lang w:eastAsia="es-MX"/>
        </w:rPr>
        <w:t>eron</w:t>
      </w:r>
      <w:r w:rsidR="00367812">
        <w:rPr>
          <w:rFonts w:ascii="ITC Avant Garde" w:eastAsia="Times New Roman" w:hAnsi="ITC Avant Garde"/>
          <w:bCs/>
          <w:color w:val="000000"/>
          <w:lang w:eastAsia="es-MX"/>
        </w:rPr>
        <w:t xml:space="preserve"> las Ofertas de Referencia de Desagregación para las Divisiones Mayoristas (“DM”) de </w:t>
      </w:r>
      <w:r w:rsidR="007D2E15">
        <w:rPr>
          <w:rFonts w:ascii="ITC Avant Garde" w:eastAsia="Times New Roman" w:hAnsi="ITC Avant Garde"/>
          <w:bCs/>
          <w:color w:val="000000"/>
          <w:lang w:eastAsia="es-MX"/>
        </w:rPr>
        <w:t>TELMEX/TELNOR</w:t>
      </w:r>
      <w:r w:rsidR="00367812">
        <w:rPr>
          <w:rFonts w:ascii="ITC Avant Garde" w:eastAsia="Times New Roman" w:hAnsi="ITC Avant Garde"/>
          <w:bCs/>
          <w:color w:val="000000"/>
          <w:lang w:eastAsia="es-MX"/>
        </w:rPr>
        <w:t>, mediante la resoluci</w:t>
      </w:r>
      <w:r w:rsidR="006B53CD" w:rsidRPr="00601427">
        <w:rPr>
          <w:rFonts w:ascii="ITC Avant Garde" w:eastAsia="Times New Roman" w:hAnsi="ITC Avant Garde"/>
          <w:color w:val="000000"/>
          <w:lang w:eastAsia="es-MX"/>
        </w:rPr>
        <w:t>ó</w:t>
      </w:r>
      <w:r w:rsidR="00367812">
        <w:rPr>
          <w:rFonts w:ascii="ITC Avant Garde" w:eastAsia="Times New Roman" w:hAnsi="ITC Avant Garde"/>
          <w:bCs/>
          <w:color w:val="000000"/>
          <w:lang w:eastAsia="es-MX"/>
        </w:rPr>
        <w:t>n</w:t>
      </w:r>
      <w:r w:rsidR="00367812">
        <w:rPr>
          <w:rStyle w:val="Refdenotaalpie"/>
          <w:rFonts w:eastAsia="Times New Roman"/>
          <w:bCs/>
          <w:lang w:eastAsia="es-MX"/>
        </w:rPr>
        <w:footnoteReference w:id="7"/>
      </w:r>
      <w:r w:rsidR="00367812">
        <w:rPr>
          <w:rFonts w:ascii="ITC Avant Garde" w:eastAsia="Times New Roman" w:hAnsi="ITC Avant Garde"/>
          <w:bCs/>
          <w:color w:val="000000"/>
          <w:lang w:eastAsia="es-MX"/>
        </w:rPr>
        <w:t xml:space="preserve"> </w:t>
      </w:r>
      <w:r w:rsidR="00367812">
        <w:rPr>
          <w:rFonts w:ascii="ITC Avant Garde" w:hAnsi="ITC Avant Garde"/>
          <w:bCs/>
          <w:color w:val="000000"/>
        </w:rPr>
        <w:t>P/IFT/250220/62</w:t>
      </w:r>
      <w:r>
        <w:rPr>
          <w:rFonts w:ascii="ITC Avant Garde" w:hAnsi="ITC Avant Garde"/>
          <w:bCs/>
          <w:color w:val="000000"/>
        </w:rPr>
        <w:t xml:space="preserve">, que </w:t>
      </w:r>
      <w:r w:rsidR="007D2E15">
        <w:rPr>
          <w:rFonts w:ascii="ITC Avant Garde" w:hAnsi="ITC Avant Garde"/>
          <w:bCs/>
          <w:color w:val="000000"/>
        </w:rPr>
        <w:t>consideró las tarifas aplicables para 2020</w:t>
      </w:r>
      <w:r>
        <w:rPr>
          <w:rFonts w:ascii="ITC Avant Garde" w:hAnsi="ITC Avant Garde"/>
          <w:bCs/>
          <w:color w:val="000000"/>
        </w:rPr>
        <w:t xml:space="preserve"> a partir de la implementación de la Separación Funcional</w:t>
      </w:r>
      <w:r w:rsidR="007D2E15">
        <w:rPr>
          <w:rFonts w:ascii="ITC Avant Garde" w:hAnsi="ITC Avant Garde"/>
          <w:bCs/>
          <w:color w:val="000000"/>
        </w:rPr>
        <w:t>.</w:t>
      </w:r>
    </w:p>
    <w:p w14:paraId="7439744E" w14:textId="108C268A" w:rsidR="00367812" w:rsidRDefault="00B54C4F" w:rsidP="00367812">
      <w:pPr>
        <w:pStyle w:val="IFTnormal"/>
      </w:pPr>
      <w:r>
        <w:rPr>
          <w:rFonts w:eastAsia="Times New Roman"/>
          <w:bCs w:val="0"/>
          <w:lang w:eastAsia="es-MX"/>
        </w:rPr>
        <w:t xml:space="preserve">Finalmente, el Modelo de Costos Evitados fue actualizado para determinar tarifas aplicables para los años 2021 y 2022. Por lo cual, a partir de </w:t>
      </w:r>
      <w:r w:rsidR="00BC42A1">
        <w:rPr>
          <w:rFonts w:eastAsia="Times New Roman"/>
          <w:bCs w:val="0"/>
          <w:lang w:eastAsia="es-MX"/>
        </w:rPr>
        <w:t xml:space="preserve">estas versiones del modelo </w:t>
      </w:r>
      <w:r>
        <w:rPr>
          <w:rFonts w:eastAsia="Times New Roman"/>
          <w:bCs w:val="0"/>
          <w:lang w:eastAsia="es-MX"/>
        </w:rPr>
        <w:t>se describe a</w:t>
      </w:r>
      <w:r w:rsidR="00367812">
        <w:t xml:space="preserve"> continuación la metodología empleada haciendo hincapié en los ajustes pertinentes realizados por el Instituto a través del Acuerdo Metodológico</w:t>
      </w:r>
      <w:r>
        <w:t xml:space="preserve"> y las actualizaciones antes realizadas</w:t>
      </w:r>
      <w:r w:rsidR="00367812">
        <w:t>.</w:t>
      </w:r>
      <w:bookmarkEnd w:id="12"/>
    </w:p>
    <w:p w14:paraId="187CFE16" w14:textId="7B355AD6" w:rsidR="00181D64" w:rsidRPr="00CA2F00" w:rsidRDefault="002428B4" w:rsidP="00CA2F00">
      <w:pPr>
        <w:pStyle w:val="Ttulo2"/>
        <w:numPr>
          <w:ilvl w:val="1"/>
          <w:numId w:val="7"/>
        </w:numPr>
        <w:ind w:left="426" w:hanging="360"/>
        <w:rPr>
          <w:rStyle w:val="IFTnormalCar"/>
          <w:bCs/>
          <w:color w:val="auto"/>
          <w:sz w:val="22"/>
          <w:szCs w:val="22"/>
          <w:lang w:val="es-MX"/>
        </w:rPr>
      </w:pPr>
      <w:bookmarkStart w:id="13" w:name="_Toc114513050"/>
      <w:bookmarkStart w:id="14" w:name="_Toc114513294"/>
      <w:r w:rsidRPr="001C39B2">
        <w:rPr>
          <w:rStyle w:val="IFTnormalCar"/>
          <w:color w:val="auto"/>
          <w:lang w:val="es-MX"/>
        </w:rPr>
        <w:t xml:space="preserve">Principios de la metodología de </w:t>
      </w:r>
      <w:r w:rsidR="00F70528">
        <w:rPr>
          <w:rStyle w:val="IFTnormalCar"/>
          <w:color w:val="auto"/>
          <w:lang w:val="es-MX"/>
        </w:rPr>
        <w:t>c</w:t>
      </w:r>
      <w:r w:rsidRPr="001C39B2">
        <w:rPr>
          <w:rStyle w:val="IFTnormalCar"/>
          <w:color w:val="auto"/>
          <w:lang w:val="es-MX"/>
        </w:rPr>
        <w:t xml:space="preserve">ostos </w:t>
      </w:r>
      <w:r w:rsidR="00F70528">
        <w:rPr>
          <w:rStyle w:val="IFTnormalCar"/>
          <w:color w:val="auto"/>
          <w:lang w:val="es-MX"/>
        </w:rPr>
        <w:t>e</w:t>
      </w:r>
      <w:r w:rsidRPr="001C39B2">
        <w:rPr>
          <w:rStyle w:val="IFTnormalCar"/>
          <w:color w:val="auto"/>
          <w:lang w:val="es-MX"/>
        </w:rPr>
        <w:t>vitados</w:t>
      </w:r>
      <w:bookmarkEnd w:id="13"/>
      <w:bookmarkEnd w:id="14"/>
    </w:p>
    <w:p w14:paraId="0BD74B6B" w14:textId="16F94E8E" w:rsidR="002428B4" w:rsidRDefault="002428B4" w:rsidP="00181D64">
      <w:pPr>
        <w:pStyle w:val="IFTnormal"/>
      </w:pPr>
      <w:r>
        <w:t>El objetivo del Modelo de Costos Evitados es estimar las tarifas de los servicios de reventa de TELMEX/TELNOR mediante la implementación de una metodología de costos evitados (</w:t>
      </w:r>
      <w:proofErr w:type="spellStart"/>
      <w:r w:rsidRPr="00A55E62">
        <w:rPr>
          <w:i/>
          <w:iCs/>
        </w:rPr>
        <w:t>retail</w:t>
      </w:r>
      <w:proofErr w:type="spellEnd"/>
      <w:r w:rsidRPr="00A55E62">
        <w:rPr>
          <w:i/>
          <w:iCs/>
        </w:rPr>
        <w:t xml:space="preserve"> </w:t>
      </w:r>
      <w:proofErr w:type="spellStart"/>
      <w:r w:rsidRPr="00A55E62">
        <w:rPr>
          <w:i/>
          <w:iCs/>
        </w:rPr>
        <w:t>minus</w:t>
      </w:r>
      <w:proofErr w:type="spellEnd"/>
      <w:r>
        <w:t>), la cual permite establecer niveles tarifarios de dichos servicios mayoristas en función de precios o tarifas minoristas, sin necesidad de conocer los costos asociados a la infraestructura requerida para prestar dichos servicios.</w:t>
      </w:r>
    </w:p>
    <w:p w14:paraId="6D4C7E69" w14:textId="77777777" w:rsidR="00181D64" w:rsidRPr="00523452" w:rsidRDefault="00181D64" w:rsidP="00181D64">
      <w:pPr>
        <w:pStyle w:val="IFTnormal"/>
      </w:pPr>
      <w:r w:rsidRPr="00523452">
        <w:t xml:space="preserve">La base teórica de la metodología de costos evitados tiene como principio asegurar que exista un margen suficiente entre el nivel de tarifas mayoristas y los </w:t>
      </w:r>
      <w:r w:rsidRPr="00523452">
        <w:lastRenderedPageBreak/>
        <w:t>precios minoristas para que un “operador eficiente” pueda ofrecer, en el mercado minorista, servicios competitivos con la oferta comercial del operador histórico.</w:t>
      </w:r>
    </w:p>
    <w:p w14:paraId="2A9A7264" w14:textId="38C238BB" w:rsidR="00181D64" w:rsidRPr="00523452" w:rsidRDefault="00181D64" w:rsidP="00181D64">
      <w:pPr>
        <w:pStyle w:val="IFTnormal"/>
      </w:pPr>
      <w:r w:rsidRPr="00523452">
        <w:t xml:space="preserve">Cabe destacar que este enfoque metodológico hace uso de dos elementos: 1) un </w:t>
      </w:r>
      <w:r w:rsidRPr="00523452">
        <w:rPr>
          <w:b/>
        </w:rPr>
        <w:t>precio de referencia</w:t>
      </w:r>
      <w:r w:rsidRPr="00523452">
        <w:t xml:space="preserve"> asociado a un producto o servicio ofrecido por el operador histórico en el mercado minorista, y 2) un conjunto de costos en los que el operador histórico dejaría de incurrir si prestara dicho producto o servicio s</w:t>
      </w:r>
      <w:r w:rsidR="00F70528">
        <w:t>o</w:t>
      </w:r>
      <w:r w:rsidRPr="00523452">
        <w:t>lo en el mercado mayorista (estos últimos conceptos de costos es lo que se suelen denominar “</w:t>
      </w:r>
      <w:r w:rsidRPr="00523452">
        <w:rPr>
          <w:b/>
        </w:rPr>
        <w:t>costos evitados</w:t>
      </w:r>
      <w:r w:rsidRPr="00523452">
        <w:t>”). En este sentido, la tarifa del servicio mayorista correspondiente se determina descontando al precio de referencia los costos evitados.</w:t>
      </w:r>
    </w:p>
    <w:p w14:paraId="02231DB4" w14:textId="7007987C" w:rsidR="00181D64" w:rsidRPr="00523452" w:rsidRDefault="00181D64" w:rsidP="00181D64">
      <w:pPr>
        <w:pStyle w:val="IFTnormal"/>
        <w:rPr>
          <w:iCs/>
        </w:rPr>
      </w:pPr>
      <w:r w:rsidRPr="00523452">
        <w:t xml:space="preserve">Lo anterior se puede </w:t>
      </w:r>
      <w:r w:rsidR="00F70528">
        <w:t>conceptualizar</w:t>
      </w:r>
      <w:r w:rsidR="00F70528" w:rsidRPr="00523452">
        <w:t xml:space="preserve"> </w:t>
      </w:r>
      <w:r w:rsidRPr="00523452">
        <w:t xml:space="preserve">aplicando un esquema del tipo </w:t>
      </w:r>
      <m:oMath>
        <m:sSup>
          <m:sSupPr>
            <m:ctrlPr>
              <w:rPr>
                <w:rFonts w:ascii="Cambria Math" w:hAnsi="Cambria Math"/>
                <w:b/>
              </w:rPr>
            </m:ctrlPr>
          </m:sSupPr>
          <m:e>
            <m:r>
              <m:rPr>
                <m:nor/>
              </m:rPr>
              <w:rPr>
                <w:b/>
                <w:iCs/>
              </w:rPr>
              <m:t>P</m:t>
            </m:r>
          </m:e>
          <m:sup>
            <m:r>
              <m:rPr>
                <m:nor/>
              </m:rPr>
              <w:rPr>
                <w:b/>
                <w:iCs/>
              </w:rPr>
              <m:t>m</m:t>
            </m:r>
          </m:sup>
        </m:sSup>
        <m:r>
          <m:rPr>
            <m:nor/>
          </m:rPr>
          <m:t>=</m:t>
        </m:r>
        <m:sSup>
          <m:sSupPr>
            <m:ctrlPr>
              <w:rPr>
                <w:rFonts w:ascii="Cambria Math" w:hAnsi="Cambria Math"/>
                <w:b/>
              </w:rPr>
            </m:ctrlPr>
          </m:sSupPr>
          <m:e>
            <m:r>
              <m:rPr>
                <m:nor/>
              </m:rPr>
              <w:rPr>
                <w:b/>
                <w:iCs/>
              </w:rPr>
              <m:t xml:space="preserve"> P</m:t>
            </m:r>
          </m:e>
          <m:sup>
            <m:r>
              <m:rPr>
                <m:nor/>
              </m:rPr>
              <w:rPr>
                <w:b/>
                <w:iCs/>
              </w:rPr>
              <m:t>r</m:t>
            </m:r>
          </m:sup>
        </m:sSup>
        <m:r>
          <m:rPr>
            <m:nor/>
          </m:rPr>
          <m:t xml:space="preserve">- </m:t>
        </m:r>
        <m:r>
          <m:rPr>
            <m:nor/>
          </m:rPr>
          <w:rPr>
            <w:b/>
            <w:iCs/>
          </w:rPr>
          <m:t>c</m:t>
        </m:r>
      </m:oMath>
      <w:r w:rsidRPr="00523452">
        <w:t>, d</w:t>
      </w:r>
      <w:r w:rsidRPr="00523452">
        <w:rPr>
          <w:iCs/>
        </w:rPr>
        <w:t xml:space="preserve">onde los términos involucrados representan: </w:t>
      </w:r>
    </w:p>
    <w:p w14:paraId="18373EC9" w14:textId="77777777" w:rsidR="00181D64" w:rsidRPr="00523452" w:rsidRDefault="00E85AB8" w:rsidP="00181D64">
      <w:pPr>
        <w:pStyle w:val="IFTnormal"/>
        <w:numPr>
          <w:ilvl w:val="0"/>
          <w:numId w:val="4"/>
        </w:numPr>
        <w:spacing w:after="0"/>
      </w:pPr>
      <m:oMath>
        <m:sSup>
          <m:sSupPr>
            <m:ctrlPr>
              <w:rPr>
                <w:rFonts w:ascii="Cambria Math" w:hAnsi="Cambria Math"/>
                <w:b/>
              </w:rPr>
            </m:ctrlPr>
          </m:sSupPr>
          <m:e>
            <m:r>
              <m:rPr>
                <m:nor/>
              </m:rPr>
              <w:rPr>
                <w:b/>
                <w:iCs/>
              </w:rPr>
              <m:t>P</m:t>
            </m:r>
          </m:e>
          <m:sup>
            <m:r>
              <m:rPr>
                <m:nor/>
              </m:rPr>
              <w:rPr>
                <w:b/>
                <w:iCs/>
              </w:rPr>
              <m:t>m</m:t>
            </m:r>
          </m:sup>
        </m:sSup>
        <m:r>
          <m:rPr>
            <m:sty m:val="bi"/>
          </m:rPr>
          <w:rPr>
            <w:rFonts w:ascii="Cambria Math" w:hAnsi="Cambria Math"/>
          </w:rPr>
          <m:t>:</m:t>
        </m:r>
      </m:oMath>
      <w:r w:rsidR="00181D64" w:rsidRPr="00523452">
        <w:rPr>
          <w:b/>
        </w:rPr>
        <w:t xml:space="preserve"> </w:t>
      </w:r>
      <w:r w:rsidR="00181D64" w:rsidRPr="00523452">
        <w:t xml:space="preserve">precio del servicio mayorista de acceso a la red del operador histórico, </w:t>
      </w:r>
    </w:p>
    <w:p w14:paraId="1A7067EF" w14:textId="77777777" w:rsidR="00181D64" w:rsidRPr="00523452" w:rsidRDefault="00E85AB8" w:rsidP="00181D64">
      <w:pPr>
        <w:pStyle w:val="IFTnormal"/>
        <w:numPr>
          <w:ilvl w:val="0"/>
          <w:numId w:val="4"/>
        </w:numPr>
        <w:spacing w:before="240" w:after="240"/>
        <w:ind w:left="714" w:hanging="357"/>
      </w:pPr>
      <m:oMath>
        <m:sSup>
          <m:sSupPr>
            <m:ctrlPr>
              <w:rPr>
                <w:rFonts w:ascii="Cambria Math" w:hAnsi="Cambria Math"/>
                <w:b/>
              </w:rPr>
            </m:ctrlPr>
          </m:sSupPr>
          <m:e>
            <m:r>
              <m:rPr>
                <m:nor/>
              </m:rPr>
              <w:rPr>
                <w:b/>
                <w:iCs/>
              </w:rPr>
              <m:t>P</m:t>
            </m:r>
          </m:e>
          <m:sup>
            <m:r>
              <m:rPr>
                <m:nor/>
              </m:rPr>
              <w:rPr>
                <w:b/>
                <w:iCs/>
              </w:rPr>
              <m:t>r</m:t>
            </m:r>
          </m:sup>
        </m:sSup>
      </m:oMath>
      <w:r w:rsidR="00181D64" w:rsidRPr="00523452">
        <w:rPr>
          <w:b/>
        </w:rPr>
        <w:t xml:space="preserve">: </w:t>
      </w:r>
      <w:r w:rsidR="00181D64" w:rsidRPr="00523452">
        <w:t xml:space="preserve">precio de referencia del producto o servicio minorista que se encuentra asociado al servicio mayorista en cuestión, y </w:t>
      </w:r>
    </w:p>
    <w:p w14:paraId="65500E2B" w14:textId="77777777" w:rsidR="00181D64" w:rsidRPr="00523452" w:rsidRDefault="00181D64" w:rsidP="00181D64">
      <w:pPr>
        <w:pStyle w:val="IFTnormal"/>
        <w:numPr>
          <w:ilvl w:val="0"/>
          <w:numId w:val="4"/>
        </w:numPr>
        <w:spacing w:before="240" w:after="240"/>
        <w:ind w:left="714" w:hanging="357"/>
      </w:pPr>
      <m:oMath>
        <m:r>
          <m:rPr>
            <m:nor/>
          </m:rPr>
          <w:rPr>
            <w:b/>
            <w:iCs/>
          </w:rPr>
          <m:t>c:</m:t>
        </m:r>
      </m:oMath>
      <w:r w:rsidRPr="00523452">
        <w:rPr>
          <w:b/>
          <w:iCs/>
        </w:rPr>
        <w:t xml:space="preserve"> </w:t>
      </w:r>
      <w:r w:rsidRPr="00523452">
        <w:rPr>
          <w:iCs/>
        </w:rPr>
        <w:t xml:space="preserve">valor del conjunto de costos evitados inherentes a la prestación del servicio </w:t>
      </w:r>
      <w:r w:rsidRPr="00523452">
        <w:t>mayorista.</w:t>
      </w:r>
    </w:p>
    <w:p w14:paraId="4B3C795D" w14:textId="77777777" w:rsidR="00181D64" w:rsidRPr="00523452" w:rsidRDefault="00181D64" w:rsidP="00181D64">
      <w:pPr>
        <w:pStyle w:val="IFTnormal"/>
      </w:pPr>
      <w:r w:rsidRPr="00523452">
        <w:t>Cabe destacar que los costos evitados típicamente suelen representarse como un valor numérico, como un porcentaje a descontarse del precio de referencia</w:t>
      </w:r>
      <w:r w:rsidRPr="00523452">
        <w:rPr>
          <w:vertAlign w:val="superscript"/>
        </w:rPr>
        <w:footnoteReference w:id="8"/>
      </w:r>
      <w:r w:rsidRPr="00523452">
        <w:t>, o bien a través de una combinación de ambos enfoques.</w:t>
      </w:r>
    </w:p>
    <w:p w14:paraId="131804EA" w14:textId="48F07603" w:rsidR="002428B4" w:rsidRDefault="002428B4" w:rsidP="00181D64">
      <w:pPr>
        <w:pStyle w:val="Ttulo2"/>
        <w:numPr>
          <w:ilvl w:val="1"/>
          <w:numId w:val="7"/>
        </w:numPr>
        <w:ind w:left="426" w:hanging="360"/>
        <w:rPr>
          <w:rStyle w:val="IFTnormalCar"/>
          <w:bCs/>
          <w:color w:val="auto"/>
          <w:lang w:val="es-MX"/>
        </w:rPr>
      </w:pPr>
      <w:bookmarkStart w:id="15" w:name="_Metodología_para_definir"/>
      <w:bookmarkStart w:id="16" w:name="_Servicios_asociados_a"/>
      <w:bookmarkStart w:id="17" w:name="_Toc114513051"/>
      <w:bookmarkStart w:id="18" w:name="_Toc114513295"/>
      <w:bookmarkEnd w:id="15"/>
      <w:bookmarkEnd w:id="16"/>
      <w:r>
        <w:rPr>
          <w:rStyle w:val="IFTnormalCar"/>
          <w:bCs/>
          <w:color w:val="auto"/>
          <w:lang w:val="es-MX"/>
        </w:rPr>
        <w:t>Servicios asociados a la Oferta de Referencia de Desagregación de TELMEX/TELNOR.</w:t>
      </w:r>
      <w:bookmarkEnd w:id="17"/>
      <w:bookmarkEnd w:id="18"/>
    </w:p>
    <w:p w14:paraId="4725579D" w14:textId="7593FF78" w:rsidR="002428B4" w:rsidRDefault="002428B4" w:rsidP="00C67B89">
      <w:pPr>
        <w:pStyle w:val="IFTnormal"/>
      </w:pPr>
      <w:r w:rsidRPr="00523452">
        <w:t xml:space="preserve">De conformidad con las Medidas CUARTA y TRIGÉSIMA NOVENA de las Medidas de Desagregación, los servicios de </w:t>
      </w:r>
      <w:r w:rsidR="005A67C7">
        <w:t>reventa</w:t>
      </w:r>
      <w:r w:rsidRPr="00523452">
        <w:t xml:space="preserve"> provistos por </w:t>
      </w:r>
      <w:r>
        <w:t xml:space="preserve">TELMEX/TELNOR </w:t>
      </w:r>
      <w:r w:rsidRPr="00523452">
        <w:t>que se consideran en el Modelo de Costos Evitados son</w:t>
      </w:r>
      <w:r w:rsidR="00F64017">
        <w:t xml:space="preserve"> a</w:t>
      </w:r>
      <w:r w:rsidRPr="00523452">
        <w:t>quellos que</w:t>
      </w:r>
      <w:r w:rsidRPr="00523452">
        <w:rPr>
          <w:b/>
        </w:rPr>
        <w:t xml:space="preserve"> </w:t>
      </w:r>
      <w:r w:rsidRPr="00523452">
        <w:t xml:space="preserve">permiten a los CS realizar la reventa o comercialización de la línea, acceso a Internet o cualquier otro servicio de la </w:t>
      </w:r>
      <w:r w:rsidR="002D4B62">
        <w:t>r</w:t>
      </w:r>
      <w:r w:rsidRPr="00523452">
        <w:t xml:space="preserve">ed pública de telecomunicaciones de </w:t>
      </w:r>
      <w:r>
        <w:t>TELMEX/TELNOR</w:t>
      </w:r>
      <w:r w:rsidRPr="00523452">
        <w:t>, a través de las siguientes modalidades:</w:t>
      </w:r>
    </w:p>
    <w:tbl>
      <w:tblPr>
        <w:tblStyle w:val="Tablaconcuadrcula1clara"/>
        <w:tblW w:w="8642" w:type="dxa"/>
        <w:jc w:val="right"/>
        <w:tblLook w:val="0420" w:firstRow="1" w:lastRow="0" w:firstColumn="0" w:lastColumn="0" w:noHBand="0" w:noVBand="1"/>
        <w:tblCaption w:val="Figura 3: Estrutura del modelo de costos de coubicación móvil (Fuente: IFT, 2015)"/>
        <w:tblDescription w:val="Se divida en hoja de cálculo y descripción"/>
      </w:tblPr>
      <w:tblGrid>
        <w:gridCol w:w="2689"/>
        <w:gridCol w:w="5953"/>
      </w:tblGrid>
      <w:tr w:rsidR="002428B4" w:rsidRPr="00523452" w14:paraId="44094137" w14:textId="77777777" w:rsidTr="00CA2F00">
        <w:trPr>
          <w:cnfStyle w:val="100000000000" w:firstRow="1" w:lastRow="0" w:firstColumn="0" w:lastColumn="0" w:oddVBand="0" w:evenVBand="0" w:oddHBand="0" w:evenHBand="0" w:firstRowFirstColumn="0" w:firstRowLastColumn="0" w:lastRowFirstColumn="0" w:lastRowLastColumn="0"/>
          <w:trHeight w:val="617"/>
          <w:tblHeader/>
          <w:jc w:val="right"/>
        </w:trPr>
        <w:tc>
          <w:tcPr>
            <w:tcW w:w="0" w:type="dxa"/>
            <w:shd w:val="clear" w:color="auto" w:fill="E7E6E6" w:themeFill="background2"/>
          </w:tcPr>
          <w:p w14:paraId="19C639ED" w14:textId="77777777" w:rsidR="002428B4" w:rsidRPr="00523452" w:rsidRDefault="002428B4" w:rsidP="002428B4">
            <w:pPr>
              <w:pStyle w:val="aaaIFTNormalArial"/>
              <w:rPr>
                <w:rFonts w:ascii="ITC Avant Garde" w:hAnsi="ITC Avant Garde"/>
                <w:color w:val="000000" w:themeColor="text1"/>
                <w:sz w:val="19"/>
                <w:szCs w:val="19"/>
                <w:lang w:val="es-MX"/>
              </w:rPr>
            </w:pPr>
            <w:r w:rsidRPr="00523452">
              <w:rPr>
                <w:rFonts w:ascii="ITC Avant Garde" w:hAnsi="ITC Avant Garde"/>
                <w:sz w:val="19"/>
                <w:szCs w:val="19"/>
                <w:lang w:val="es-MX"/>
              </w:rPr>
              <w:t>Modalidad de Servicio de Reventa</w:t>
            </w:r>
          </w:p>
        </w:tc>
        <w:tc>
          <w:tcPr>
            <w:tcW w:w="0" w:type="dxa"/>
            <w:shd w:val="clear" w:color="auto" w:fill="E7E6E6" w:themeFill="background2"/>
          </w:tcPr>
          <w:p w14:paraId="64A90A9E" w14:textId="2BCAAF51" w:rsidR="002428B4" w:rsidRPr="00523452" w:rsidRDefault="002428B4" w:rsidP="002428B4">
            <w:pPr>
              <w:pStyle w:val="aaaIFTNormalArial"/>
              <w:rPr>
                <w:rFonts w:ascii="ITC Avant Garde" w:hAnsi="ITC Avant Garde"/>
                <w:color w:val="000000" w:themeColor="text1"/>
                <w:sz w:val="19"/>
                <w:szCs w:val="19"/>
                <w:lang w:val="es-MX"/>
              </w:rPr>
            </w:pPr>
            <w:r w:rsidRPr="00523452">
              <w:rPr>
                <w:rFonts w:ascii="ITC Avant Garde" w:hAnsi="ITC Avant Garde"/>
                <w:color w:val="000000" w:themeColor="text1"/>
                <w:sz w:val="19"/>
                <w:szCs w:val="19"/>
                <w:lang w:val="es-MX"/>
              </w:rPr>
              <w:t xml:space="preserve">Tipo de servicio de </w:t>
            </w:r>
            <w:r w:rsidR="005A7336">
              <w:rPr>
                <w:rFonts w:ascii="ITC Avant Garde" w:hAnsi="ITC Avant Garde"/>
                <w:color w:val="000000" w:themeColor="text1"/>
                <w:sz w:val="19"/>
                <w:szCs w:val="19"/>
                <w:lang w:val="es-MX"/>
              </w:rPr>
              <w:t>TELMEX/TELNOR</w:t>
            </w:r>
            <w:r w:rsidRPr="00523452">
              <w:rPr>
                <w:rFonts w:ascii="ITC Avant Garde" w:hAnsi="ITC Avant Garde"/>
                <w:color w:val="000000" w:themeColor="text1"/>
                <w:sz w:val="19"/>
                <w:szCs w:val="19"/>
                <w:lang w:val="es-MX"/>
              </w:rPr>
              <w:t xml:space="preserve"> que se permiten revender o comercializar mediante esta modalidad</w:t>
            </w:r>
          </w:p>
        </w:tc>
      </w:tr>
      <w:tr w:rsidR="002428B4" w:rsidRPr="00523452" w14:paraId="4B3DF2AD" w14:textId="77777777" w:rsidTr="002428B4">
        <w:trPr>
          <w:trHeight w:val="507"/>
          <w:jc w:val="right"/>
        </w:trPr>
        <w:tc>
          <w:tcPr>
            <w:tcW w:w="2689" w:type="dxa"/>
            <w:vAlign w:val="center"/>
          </w:tcPr>
          <w:p w14:paraId="3217B173" w14:textId="77777777" w:rsidR="002428B4" w:rsidRPr="00523452" w:rsidRDefault="002428B4" w:rsidP="002428B4">
            <w:pPr>
              <w:pStyle w:val="aaaIFTNormalArial"/>
              <w:jc w:val="left"/>
              <w:rPr>
                <w:rFonts w:ascii="ITC Avant Garde" w:hAnsi="ITC Avant Garde"/>
                <w:i/>
                <w:sz w:val="19"/>
                <w:szCs w:val="19"/>
                <w:lang w:val="es-MX"/>
              </w:rPr>
            </w:pPr>
            <w:r w:rsidRPr="00523452">
              <w:rPr>
                <w:rFonts w:ascii="ITC Avant Garde" w:hAnsi="ITC Avant Garde"/>
                <w:i/>
                <w:sz w:val="19"/>
                <w:szCs w:val="19"/>
                <w:lang w:val="es-MX"/>
              </w:rPr>
              <w:t>Servicio de Reventa de Línea Telefónica (SRLT)</w:t>
            </w:r>
          </w:p>
        </w:tc>
        <w:tc>
          <w:tcPr>
            <w:tcW w:w="5953" w:type="dxa"/>
            <w:vAlign w:val="center"/>
          </w:tcPr>
          <w:p w14:paraId="51FF53C8" w14:textId="77777777" w:rsidR="002428B4" w:rsidRPr="00523452" w:rsidRDefault="002428B4" w:rsidP="002428B4">
            <w:pPr>
              <w:pStyle w:val="aaaIFTNormalArial"/>
              <w:rPr>
                <w:rFonts w:ascii="ITC Avant Garde" w:hAnsi="ITC Avant Garde"/>
                <w:sz w:val="19"/>
                <w:szCs w:val="19"/>
                <w:lang w:val="es-MX"/>
              </w:rPr>
            </w:pPr>
            <w:r w:rsidRPr="00523452">
              <w:rPr>
                <w:rFonts w:ascii="ITC Avant Garde" w:hAnsi="ITC Avant Garde"/>
                <w:sz w:val="19"/>
                <w:szCs w:val="19"/>
                <w:lang w:val="es-MX"/>
              </w:rPr>
              <w:t>Servicios de línea telefónica y voz (es decir, sin la provisión de servicios de Internet)</w:t>
            </w:r>
          </w:p>
        </w:tc>
      </w:tr>
      <w:tr w:rsidR="002428B4" w:rsidRPr="00523452" w14:paraId="24DAD0A1" w14:textId="77777777" w:rsidTr="002428B4">
        <w:trPr>
          <w:trHeight w:val="566"/>
          <w:jc w:val="right"/>
        </w:trPr>
        <w:tc>
          <w:tcPr>
            <w:tcW w:w="2689" w:type="dxa"/>
            <w:vAlign w:val="center"/>
          </w:tcPr>
          <w:p w14:paraId="2293BA94" w14:textId="77777777" w:rsidR="002428B4" w:rsidRPr="00523452" w:rsidRDefault="002428B4" w:rsidP="002428B4">
            <w:pPr>
              <w:pStyle w:val="aaaIFTNormalArial"/>
              <w:jc w:val="left"/>
              <w:rPr>
                <w:rFonts w:ascii="ITC Avant Garde" w:hAnsi="ITC Avant Garde"/>
                <w:b/>
                <w:i/>
                <w:sz w:val="19"/>
                <w:szCs w:val="19"/>
                <w:lang w:val="es-MX"/>
              </w:rPr>
            </w:pPr>
            <w:r w:rsidRPr="00523452">
              <w:rPr>
                <w:rFonts w:ascii="ITC Avant Garde" w:hAnsi="ITC Avant Garde"/>
                <w:i/>
                <w:sz w:val="19"/>
                <w:szCs w:val="19"/>
                <w:lang w:val="es-MX"/>
              </w:rPr>
              <w:lastRenderedPageBreak/>
              <w:t>Servicio de Reventa de Internet (SRI)</w:t>
            </w:r>
          </w:p>
        </w:tc>
        <w:tc>
          <w:tcPr>
            <w:tcW w:w="5953" w:type="dxa"/>
            <w:vAlign w:val="center"/>
          </w:tcPr>
          <w:p w14:paraId="1869908B" w14:textId="77777777" w:rsidR="002428B4" w:rsidRPr="00523452" w:rsidRDefault="002428B4" w:rsidP="002428B4">
            <w:pPr>
              <w:pStyle w:val="aaaIFTNormalArial"/>
              <w:rPr>
                <w:rFonts w:ascii="ITC Avant Garde" w:hAnsi="ITC Avant Garde"/>
                <w:sz w:val="19"/>
                <w:szCs w:val="19"/>
                <w:lang w:val="es-MX"/>
              </w:rPr>
            </w:pPr>
            <w:r w:rsidRPr="00523452">
              <w:rPr>
                <w:rFonts w:ascii="ITC Avant Garde" w:hAnsi="ITC Avant Garde"/>
                <w:sz w:val="19"/>
                <w:szCs w:val="19"/>
                <w:lang w:val="es-MX"/>
              </w:rPr>
              <w:t>Servicios de Internet o voz, en los cuales no se proveen servicios de línea telefónica.</w:t>
            </w:r>
          </w:p>
        </w:tc>
      </w:tr>
      <w:tr w:rsidR="002428B4" w:rsidRPr="00523452" w14:paraId="0DF43DB2" w14:textId="77777777" w:rsidTr="002428B4">
        <w:trPr>
          <w:trHeight w:val="646"/>
          <w:jc w:val="right"/>
        </w:trPr>
        <w:tc>
          <w:tcPr>
            <w:tcW w:w="2689" w:type="dxa"/>
            <w:vAlign w:val="center"/>
          </w:tcPr>
          <w:p w14:paraId="798289CD" w14:textId="77777777" w:rsidR="002428B4" w:rsidRPr="00523452" w:rsidRDefault="002428B4" w:rsidP="002428B4">
            <w:pPr>
              <w:pStyle w:val="aaaIFTNormalArial"/>
              <w:jc w:val="left"/>
              <w:rPr>
                <w:rFonts w:ascii="ITC Avant Garde" w:hAnsi="ITC Avant Garde"/>
                <w:b/>
                <w:i/>
                <w:sz w:val="19"/>
                <w:szCs w:val="19"/>
                <w:lang w:val="es-MX"/>
              </w:rPr>
            </w:pPr>
            <w:r w:rsidRPr="00523452">
              <w:rPr>
                <w:rFonts w:ascii="ITC Avant Garde" w:hAnsi="ITC Avant Garde"/>
                <w:i/>
                <w:sz w:val="19"/>
                <w:szCs w:val="19"/>
                <w:lang w:val="es-MX"/>
              </w:rPr>
              <w:t>Servicio de Reventa de Paquetes (SRP)</w:t>
            </w:r>
          </w:p>
        </w:tc>
        <w:tc>
          <w:tcPr>
            <w:tcW w:w="5953" w:type="dxa"/>
            <w:vAlign w:val="center"/>
          </w:tcPr>
          <w:p w14:paraId="1FED6B18" w14:textId="77777777" w:rsidR="002428B4" w:rsidRPr="00523452" w:rsidRDefault="002428B4" w:rsidP="002428B4">
            <w:pPr>
              <w:pStyle w:val="aaaIFTNormalArial"/>
              <w:rPr>
                <w:rFonts w:ascii="ITC Avant Garde" w:hAnsi="ITC Avant Garde"/>
                <w:sz w:val="19"/>
                <w:szCs w:val="19"/>
                <w:lang w:val="es-MX"/>
              </w:rPr>
            </w:pPr>
            <w:r w:rsidRPr="00523452">
              <w:rPr>
                <w:rFonts w:ascii="ITC Avant Garde" w:hAnsi="ITC Avant Garde"/>
                <w:sz w:val="19"/>
                <w:szCs w:val="19"/>
                <w:lang w:val="es-MX"/>
              </w:rPr>
              <w:t>Servicios de línea telefónica e Internet, en forma conjunta.</w:t>
            </w:r>
          </w:p>
          <w:p w14:paraId="723247AA" w14:textId="77777777" w:rsidR="002428B4" w:rsidRPr="00523452" w:rsidRDefault="002428B4" w:rsidP="002428B4">
            <w:pPr>
              <w:pStyle w:val="aaaIFTNormalArial"/>
              <w:rPr>
                <w:rFonts w:ascii="ITC Avant Garde" w:hAnsi="ITC Avant Garde"/>
                <w:sz w:val="19"/>
                <w:szCs w:val="19"/>
                <w:lang w:val="es-MX"/>
              </w:rPr>
            </w:pPr>
          </w:p>
        </w:tc>
      </w:tr>
      <w:tr w:rsidR="002428B4" w:rsidRPr="00523452" w14:paraId="6D3734AA" w14:textId="77777777" w:rsidTr="002428B4">
        <w:trPr>
          <w:trHeight w:val="794"/>
          <w:jc w:val="right"/>
        </w:trPr>
        <w:tc>
          <w:tcPr>
            <w:tcW w:w="2689" w:type="dxa"/>
            <w:vAlign w:val="center"/>
          </w:tcPr>
          <w:p w14:paraId="6DEF8FBB" w14:textId="77777777" w:rsidR="002428B4" w:rsidRPr="00523452" w:rsidRDefault="002428B4" w:rsidP="002428B4">
            <w:pPr>
              <w:pStyle w:val="aaaIFTNormalArial"/>
              <w:jc w:val="left"/>
              <w:rPr>
                <w:rFonts w:ascii="ITC Avant Garde" w:hAnsi="ITC Avant Garde"/>
                <w:i/>
                <w:sz w:val="19"/>
                <w:szCs w:val="19"/>
                <w:lang w:val="es-MX"/>
              </w:rPr>
            </w:pPr>
            <w:r w:rsidRPr="00523452">
              <w:rPr>
                <w:rFonts w:ascii="ITC Avant Garde" w:hAnsi="ITC Avant Garde"/>
                <w:i/>
                <w:sz w:val="19"/>
                <w:szCs w:val="19"/>
                <w:lang w:val="es-MX"/>
              </w:rPr>
              <w:t>Servicio de Reventa Mayorista de Línea Telefónica (SRMLT)</w:t>
            </w:r>
          </w:p>
        </w:tc>
        <w:tc>
          <w:tcPr>
            <w:tcW w:w="5953" w:type="dxa"/>
            <w:vAlign w:val="center"/>
          </w:tcPr>
          <w:p w14:paraId="1A69F05F" w14:textId="4C501300" w:rsidR="002428B4" w:rsidRPr="00523452" w:rsidRDefault="002428B4" w:rsidP="002428B4">
            <w:pPr>
              <w:pStyle w:val="aaaIFTNormalArial"/>
              <w:rPr>
                <w:rFonts w:ascii="ITC Avant Garde" w:hAnsi="ITC Avant Garde"/>
                <w:sz w:val="19"/>
                <w:szCs w:val="19"/>
                <w:lang w:val="es-MX"/>
              </w:rPr>
            </w:pPr>
            <w:r w:rsidRPr="00523452">
              <w:rPr>
                <w:rFonts w:ascii="ITC Avant Garde" w:hAnsi="ITC Avant Garde"/>
                <w:sz w:val="19"/>
                <w:szCs w:val="19"/>
                <w:lang w:val="es-MX"/>
              </w:rPr>
              <w:t xml:space="preserve">Servicio mayorista que hace uso de la red telefónica de </w:t>
            </w:r>
            <w:r w:rsidR="005A7336">
              <w:rPr>
                <w:rFonts w:ascii="ITC Avant Garde" w:hAnsi="ITC Avant Garde"/>
                <w:sz w:val="19"/>
                <w:szCs w:val="19"/>
                <w:lang w:val="es-MX"/>
              </w:rPr>
              <w:t>TELMEX/TELNOR</w:t>
            </w:r>
            <w:r w:rsidRPr="00523452">
              <w:rPr>
                <w:rFonts w:ascii="ITC Avant Garde" w:hAnsi="ITC Avant Garde"/>
                <w:sz w:val="19"/>
                <w:szCs w:val="19"/>
                <w:lang w:val="es-MX"/>
              </w:rPr>
              <w:t xml:space="preserve"> para la entrega de todas las llamadas telefónicas originadas por los usuarios finales en desagregación para el servicio SRMLT hasta el punto de entrega.</w:t>
            </w:r>
          </w:p>
        </w:tc>
      </w:tr>
    </w:tbl>
    <w:p w14:paraId="7840AC68" w14:textId="46A6DC75" w:rsidR="00601427" w:rsidRPr="00CA2F00" w:rsidRDefault="00093A48" w:rsidP="00CA2F00">
      <w:pPr>
        <w:pStyle w:val="IFTnormal"/>
        <w:numPr>
          <w:ilvl w:val="0"/>
          <w:numId w:val="59"/>
        </w:numPr>
        <w:jc w:val="center"/>
        <w:rPr>
          <w:bCs w:val="0"/>
          <w:sz w:val="20"/>
          <w:szCs w:val="20"/>
        </w:rPr>
      </w:pPr>
      <w:r>
        <w:rPr>
          <w:bCs w:val="0"/>
          <w:sz w:val="20"/>
          <w:szCs w:val="20"/>
        </w:rPr>
        <w:t>S</w:t>
      </w:r>
      <w:r w:rsidR="00896B63" w:rsidRPr="00CA2F00">
        <w:rPr>
          <w:bCs w:val="0"/>
          <w:sz w:val="20"/>
          <w:szCs w:val="20"/>
        </w:rPr>
        <w:t>ervicios de reventa de la Oferta de referencia de Desagregación</w:t>
      </w:r>
      <w:r w:rsidR="00493288">
        <w:rPr>
          <w:bCs w:val="0"/>
          <w:sz w:val="20"/>
          <w:szCs w:val="20"/>
        </w:rPr>
        <w:t>.</w:t>
      </w:r>
    </w:p>
    <w:p w14:paraId="283E2286" w14:textId="05865B3E" w:rsidR="006B53CD" w:rsidRPr="00523452" w:rsidRDefault="006B53CD" w:rsidP="002428B4">
      <w:pPr>
        <w:pStyle w:val="IFTnormal"/>
      </w:pPr>
      <w:r>
        <w:t xml:space="preserve">La última versión autorizada por el Instituto de estos servicios corresponde a la oferta de referencia de desagregación vigente en 2022, con referencia al Acuerdo </w:t>
      </w:r>
      <w:r w:rsidRPr="006B53CD">
        <w:t>P/IFT/EXT/071221/43</w:t>
      </w:r>
      <w:r w:rsidR="0014218A">
        <w:t>.</w:t>
      </w:r>
    </w:p>
    <w:p w14:paraId="6A08B448" w14:textId="77777777" w:rsidR="00181D64" w:rsidRPr="00523452" w:rsidRDefault="00181D64" w:rsidP="00181D64">
      <w:pPr>
        <w:pStyle w:val="Ttulo2"/>
        <w:numPr>
          <w:ilvl w:val="1"/>
          <w:numId w:val="7"/>
        </w:numPr>
        <w:ind w:left="426" w:hanging="360"/>
        <w:rPr>
          <w:rStyle w:val="IFTnormalCar"/>
          <w:bCs/>
          <w:color w:val="auto"/>
          <w:lang w:val="es-MX"/>
        </w:rPr>
      </w:pPr>
      <w:bookmarkStart w:id="19" w:name="_Metodología_para_definir_1"/>
      <w:bookmarkStart w:id="20" w:name="_Toc114513052"/>
      <w:bookmarkStart w:id="21" w:name="_Toc114513296"/>
      <w:bookmarkEnd w:id="19"/>
      <w:r w:rsidRPr="00523452">
        <w:rPr>
          <w:rStyle w:val="IFTnormalCar"/>
          <w:color w:val="auto"/>
          <w:lang w:val="es-MX"/>
        </w:rPr>
        <w:t>Metodología para definir precios de referencia de los servicios de desagregación</w:t>
      </w:r>
      <w:bookmarkEnd w:id="20"/>
      <w:bookmarkEnd w:id="21"/>
    </w:p>
    <w:p w14:paraId="6AF923A4" w14:textId="608A1371" w:rsidR="00181D64" w:rsidRPr="00523452" w:rsidRDefault="00181D64" w:rsidP="00181D64">
      <w:pPr>
        <w:pStyle w:val="IFTnormal"/>
      </w:pPr>
      <w:r w:rsidRPr="00523452">
        <w:t xml:space="preserve">En la metodología de costos evitados se considera que los precios </w:t>
      </w:r>
      <w:r w:rsidR="002428B4">
        <w:t xml:space="preserve">ofrecidos </w:t>
      </w:r>
      <w:r w:rsidR="005035D6">
        <w:t>por el operador histórico</w:t>
      </w:r>
      <w:r w:rsidRPr="00523452">
        <w:t xml:space="preserve"> en el mercado minorista son un insumo adecuado para establecer los precios de referencia de los servicios mayorista</w:t>
      </w:r>
      <w:r w:rsidR="005035D6">
        <w:t>s</w:t>
      </w:r>
      <w:r w:rsidRPr="00523452">
        <w:t>, como está previsto en las Medidas de Desagregación</w:t>
      </w:r>
      <w:r w:rsidR="00E7758A">
        <w:t>.</w:t>
      </w:r>
      <w:r w:rsidRPr="00523452">
        <w:t xml:space="preserve"> </w:t>
      </w:r>
      <w:r w:rsidR="00E7758A">
        <w:t>S</w:t>
      </w:r>
      <w:r w:rsidRPr="00523452">
        <w:t>e estima que a través de dicho enfoque los operadores entrantes pueden ofrecer</w:t>
      </w:r>
      <w:r w:rsidR="00CC7F1C">
        <w:t>,</w:t>
      </w:r>
      <w:r w:rsidRPr="00523452">
        <w:t xml:space="preserve"> dentro del mercado minorista</w:t>
      </w:r>
      <w:r w:rsidR="00CC7F1C">
        <w:t>,</w:t>
      </w:r>
      <w:r w:rsidRPr="00523452">
        <w:t xml:space="preserve"> servicios competitivos </w:t>
      </w:r>
      <w:r w:rsidR="005144B5">
        <w:t>a partir de</w:t>
      </w:r>
      <w:r w:rsidRPr="00523452">
        <w:t xml:space="preserve"> la oferta comercial</w:t>
      </w:r>
      <w:r w:rsidR="00CC7F1C">
        <w:t xml:space="preserve"> del operador histórico</w:t>
      </w:r>
      <w:r w:rsidRPr="00523452">
        <w:t>.</w:t>
      </w:r>
    </w:p>
    <w:p w14:paraId="72D94396" w14:textId="2C18CFE3" w:rsidR="00181D64" w:rsidRPr="00523452" w:rsidRDefault="00181D64" w:rsidP="00181D64">
      <w:pPr>
        <w:pStyle w:val="IFTnormal"/>
      </w:pPr>
      <w:r w:rsidRPr="00523452">
        <w:t xml:space="preserve">Sin embargo, </w:t>
      </w:r>
      <w:r w:rsidR="002428B4">
        <w:t>TELMEX/TELNOR</w:t>
      </w:r>
      <w:r w:rsidRPr="00523452">
        <w:t xml:space="preserve"> configura</w:t>
      </w:r>
      <w:r w:rsidR="00493288">
        <w:t>n</w:t>
      </w:r>
      <w:r w:rsidRPr="00523452">
        <w:t xml:space="preserve"> su oferta minorista a través de distintos planes y paquetes tarifarios que</w:t>
      </w:r>
      <w:r w:rsidR="00F36CF7">
        <w:t>, a cambio de una renta mensual,</w:t>
      </w:r>
      <w:r w:rsidRPr="00523452">
        <w:t xml:space="preserve"> incorporan diferentes </w:t>
      </w:r>
      <w:r w:rsidR="005144B5">
        <w:t xml:space="preserve">componentes en su </w:t>
      </w:r>
      <w:r w:rsidRPr="00523452">
        <w:t>canasta de servicios, con el fin de establecer el precio de referencia de los diferentes servicios de desagregación</w:t>
      </w:r>
      <w:r w:rsidR="00547644">
        <w:t>. E</w:t>
      </w:r>
      <w:r w:rsidRPr="00523452">
        <w:t xml:space="preserve">n el </w:t>
      </w:r>
      <w:r w:rsidRPr="008073CC">
        <w:t>Modelo de Costos Evitados</w:t>
      </w:r>
      <w:r w:rsidRPr="00523452">
        <w:t xml:space="preserve"> se adoptó el uso de un esquema basado en el </w:t>
      </w:r>
      <w:r w:rsidRPr="00F36CF7">
        <w:rPr>
          <w:b/>
          <w:bCs w:val="0"/>
        </w:rPr>
        <w:t>precio implícito</w:t>
      </w:r>
      <w:r w:rsidRPr="00523452">
        <w:t xml:space="preserve"> de los elementos o servicios prestados a los usuarios finales,</w:t>
      </w:r>
      <w:r w:rsidR="0040723C">
        <w:t xml:space="preserve"> es decir,</w:t>
      </w:r>
      <w:r w:rsidRPr="00523452">
        <w:t xml:space="preserve"> los planes o paquetes de </w:t>
      </w:r>
      <w:r w:rsidR="00443561">
        <w:t>TELMEX/TELNOR</w:t>
      </w:r>
      <w:r w:rsidRPr="00523452">
        <w:t>. Dichas canastas están integradas generalmente por:</w:t>
      </w:r>
    </w:p>
    <w:p w14:paraId="1402B8D2" w14:textId="7B5D2CB1" w:rsidR="00181D64" w:rsidRPr="00CB0A81" w:rsidRDefault="00181D64" w:rsidP="00181D64">
      <w:pPr>
        <w:pStyle w:val="IFTnormal"/>
        <w:numPr>
          <w:ilvl w:val="0"/>
          <w:numId w:val="5"/>
        </w:numPr>
        <w:spacing w:after="0"/>
        <w:rPr>
          <w:b/>
        </w:rPr>
      </w:pPr>
      <w:r w:rsidRPr="00523452">
        <w:rPr>
          <w:b/>
        </w:rPr>
        <w:t xml:space="preserve">Renta de línea: </w:t>
      </w:r>
      <w:r w:rsidRPr="00523452">
        <w:t xml:space="preserve">Se refiere al arrendamiento por parte de un </w:t>
      </w:r>
      <w:r w:rsidR="00F87AB1">
        <w:t>u</w:t>
      </w:r>
      <w:r w:rsidRPr="00523452">
        <w:t xml:space="preserve">suario </w:t>
      </w:r>
      <w:r w:rsidR="00F87AB1">
        <w:t>f</w:t>
      </w:r>
      <w:r w:rsidRPr="00523452">
        <w:t xml:space="preserve">inal de una línea telefónica de </w:t>
      </w:r>
      <w:r w:rsidR="007C4200">
        <w:t>TELMEX/TELNOR</w:t>
      </w:r>
      <w:r w:rsidRPr="00523452">
        <w:t xml:space="preserve">, contratada para uso residencial o comercial, mediante la cual dicho operador le brinda servicios de telecomunicaciones. </w:t>
      </w:r>
    </w:p>
    <w:p w14:paraId="4088837A" w14:textId="77777777" w:rsidR="005144B5" w:rsidRPr="00523452" w:rsidRDefault="005144B5" w:rsidP="00CB0A81">
      <w:pPr>
        <w:pStyle w:val="IFTnormal"/>
        <w:spacing w:after="0"/>
        <w:ind w:left="720"/>
        <w:rPr>
          <w:b/>
        </w:rPr>
      </w:pPr>
    </w:p>
    <w:p w14:paraId="0D415688" w14:textId="69B79DCA" w:rsidR="00F87AB1" w:rsidRPr="00F87AB1" w:rsidRDefault="00181D64" w:rsidP="00181D64">
      <w:pPr>
        <w:pStyle w:val="IFTnormal"/>
        <w:numPr>
          <w:ilvl w:val="0"/>
          <w:numId w:val="6"/>
        </w:numPr>
        <w:spacing w:after="0"/>
        <w:rPr>
          <w:b/>
        </w:rPr>
      </w:pPr>
      <w:r w:rsidRPr="00523452">
        <w:rPr>
          <w:b/>
        </w:rPr>
        <w:t xml:space="preserve">Servicios de voz: </w:t>
      </w:r>
      <w:r w:rsidRPr="00523452">
        <w:t>Es relativo a una cantidad de llamadas o minutos a números telefónicos</w:t>
      </w:r>
      <w:r w:rsidR="00F87AB1">
        <w:t xml:space="preserve"> bajo diferentes catego</w:t>
      </w:r>
      <w:r w:rsidR="00687151">
        <w:t>r</w:t>
      </w:r>
      <w:r w:rsidR="00F87AB1">
        <w:t>ías:</w:t>
      </w:r>
    </w:p>
    <w:p w14:paraId="6CC739B3" w14:textId="72D7D171" w:rsidR="00F87AB1" w:rsidRDefault="0050124A" w:rsidP="00F87AB1">
      <w:pPr>
        <w:pStyle w:val="IFTnormal"/>
        <w:numPr>
          <w:ilvl w:val="1"/>
          <w:numId w:val="6"/>
        </w:numPr>
        <w:spacing w:after="0"/>
        <w:rPr>
          <w:bCs w:val="0"/>
        </w:rPr>
      </w:pPr>
      <w:r>
        <w:rPr>
          <w:bCs w:val="0"/>
        </w:rPr>
        <w:lastRenderedPageBreak/>
        <w:t>Llamadas de servicio medido</w:t>
      </w:r>
      <w:r w:rsidR="00A11FDB">
        <w:rPr>
          <w:bCs w:val="0"/>
        </w:rPr>
        <w:t xml:space="preserve"> Local y Nacional</w:t>
      </w:r>
      <w:r w:rsidR="00DD2593">
        <w:rPr>
          <w:rStyle w:val="Refdenotaalpie"/>
          <w:bCs w:val="0"/>
        </w:rPr>
        <w:footnoteReference w:id="9"/>
      </w:r>
      <w:r w:rsidR="00F87AB1" w:rsidRPr="00687151">
        <w:rPr>
          <w:bCs w:val="0"/>
        </w:rPr>
        <w:t>,</w:t>
      </w:r>
    </w:p>
    <w:p w14:paraId="65EB9514" w14:textId="326F18E1" w:rsidR="00F87AB1" w:rsidRPr="00687151" w:rsidRDefault="00F87AB1" w:rsidP="00F87AB1">
      <w:pPr>
        <w:pStyle w:val="IFTnormal"/>
        <w:numPr>
          <w:ilvl w:val="1"/>
          <w:numId w:val="6"/>
        </w:numPr>
        <w:spacing w:after="0"/>
        <w:rPr>
          <w:bCs w:val="0"/>
        </w:rPr>
      </w:pPr>
      <w:r w:rsidRPr="00687151">
        <w:rPr>
          <w:bCs w:val="0"/>
        </w:rPr>
        <w:t>Destinos de “Larga Distancia Internacional”</w:t>
      </w:r>
      <w:r w:rsidR="008073CC" w:rsidRPr="00984D4E">
        <w:rPr>
          <w:rStyle w:val="Refdenotaalpie"/>
        </w:rPr>
        <w:footnoteReference w:id="10"/>
      </w:r>
      <w:r w:rsidR="00687151" w:rsidRPr="00687151">
        <w:rPr>
          <w:bCs w:val="0"/>
        </w:rPr>
        <w:t>, y</w:t>
      </w:r>
    </w:p>
    <w:p w14:paraId="47791659" w14:textId="2E5FF60D" w:rsidR="00181D64" w:rsidRPr="00523452" w:rsidRDefault="00687151" w:rsidP="00F87AB1">
      <w:pPr>
        <w:pStyle w:val="IFTnormal"/>
        <w:numPr>
          <w:ilvl w:val="1"/>
          <w:numId w:val="6"/>
        </w:numPr>
        <w:spacing w:after="0"/>
        <w:rPr>
          <w:b/>
        </w:rPr>
      </w:pPr>
      <w:r>
        <w:t>Destinos de “Larga Distancia Mundial”</w:t>
      </w:r>
      <w:r w:rsidR="00E47725" w:rsidRPr="00984D4E">
        <w:rPr>
          <w:rStyle w:val="Refdenotaalpie"/>
        </w:rPr>
        <w:footnoteReference w:id="11"/>
      </w:r>
      <w:r w:rsidR="00181D64" w:rsidRPr="00523452">
        <w:t xml:space="preserve">. </w:t>
      </w:r>
    </w:p>
    <w:p w14:paraId="65943BE1" w14:textId="77777777" w:rsidR="005144B5" w:rsidRPr="00CB0A81" w:rsidRDefault="005144B5" w:rsidP="00CB0A81">
      <w:pPr>
        <w:pStyle w:val="IFTnormal"/>
        <w:spacing w:after="0"/>
        <w:ind w:left="720"/>
      </w:pPr>
    </w:p>
    <w:p w14:paraId="0B5B27CE" w14:textId="52501721" w:rsidR="00181D64" w:rsidRPr="00523452" w:rsidRDefault="00181D64" w:rsidP="00181D64">
      <w:pPr>
        <w:pStyle w:val="IFTnormal"/>
        <w:numPr>
          <w:ilvl w:val="0"/>
          <w:numId w:val="6"/>
        </w:numPr>
        <w:spacing w:after="0"/>
      </w:pPr>
      <w:r w:rsidRPr="00523452">
        <w:rPr>
          <w:b/>
        </w:rPr>
        <w:t>Servicios de Internet:</w:t>
      </w:r>
      <w:r w:rsidRPr="00523452">
        <w:t xml:space="preserve"> Se refiere a la prestación de servicios de Internet, asimétricos o simétricos, para el </w:t>
      </w:r>
      <w:r w:rsidR="00DD2593">
        <w:t>u</w:t>
      </w:r>
      <w:r w:rsidRPr="00523452">
        <w:t xml:space="preserve">suario </w:t>
      </w:r>
      <w:r w:rsidR="00DD2593">
        <w:t>f</w:t>
      </w:r>
      <w:r w:rsidRPr="00523452">
        <w:t>inal, de acuerdo con un determinado perfil de velocidad (</w:t>
      </w:r>
      <w:r w:rsidR="00DD2593">
        <w:t xml:space="preserve">medida </w:t>
      </w:r>
      <w:r w:rsidRPr="00523452">
        <w:t>en Mbps</w:t>
      </w:r>
      <w:r w:rsidR="000640F0">
        <w:rPr>
          <w:rStyle w:val="Refdenotaalpie"/>
        </w:rPr>
        <w:footnoteReference w:id="12"/>
      </w:r>
      <w:r w:rsidRPr="00523452">
        <w:t>).</w:t>
      </w:r>
    </w:p>
    <w:p w14:paraId="7FEC4916" w14:textId="77777777" w:rsidR="00CE3B73" w:rsidRPr="00523452" w:rsidRDefault="00CE3B73" w:rsidP="00CA2F00">
      <w:pPr>
        <w:pStyle w:val="IFTnormal"/>
        <w:spacing w:after="0"/>
        <w:ind w:left="720"/>
      </w:pPr>
    </w:p>
    <w:p w14:paraId="4312CAA6" w14:textId="1FC6AF66" w:rsidR="00181D64" w:rsidRPr="00523452" w:rsidRDefault="00181D64" w:rsidP="00181D64">
      <w:pPr>
        <w:pStyle w:val="IFTnormal"/>
        <w:numPr>
          <w:ilvl w:val="0"/>
          <w:numId w:val="6"/>
        </w:numPr>
        <w:spacing w:after="0"/>
        <w:rPr>
          <w:b/>
        </w:rPr>
      </w:pPr>
      <w:r w:rsidRPr="00523452">
        <w:rPr>
          <w:b/>
        </w:rPr>
        <w:t xml:space="preserve">Otros conceptos: </w:t>
      </w:r>
      <w:r w:rsidRPr="00523452">
        <w:t xml:space="preserve">Adicionalmente existen otros servicios que caracterizan a los planes y paquetes de </w:t>
      </w:r>
      <w:r w:rsidR="00CE3B73">
        <w:t>TELMEX/TELNOR</w:t>
      </w:r>
      <w:r w:rsidRPr="00523452">
        <w:t>, entre los que destacan:</w:t>
      </w:r>
    </w:p>
    <w:p w14:paraId="42F520B7" w14:textId="1C24F8D4" w:rsidR="00181D64" w:rsidRPr="00523452" w:rsidRDefault="00181D64" w:rsidP="00181D64">
      <w:pPr>
        <w:pStyle w:val="IFTnormal"/>
        <w:numPr>
          <w:ilvl w:val="1"/>
          <w:numId w:val="6"/>
        </w:numPr>
        <w:spacing w:before="240" w:after="0"/>
        <w:ind w:left="1434" w:hanging="357"/>
        <w:rPr>
          <w:b/>
        </w:rPr>
      </w:pPr>
      <w:r w:rsidRPr="00523452">
        <w:rPr>
          <w:b/>
        </w:rPr>
        <w:t>Servicios digitales asociados al servicio de voz</w:t>
      </w:r>
      <w:r w:rsidRPr="00523452">
        <w:rPr>
          <w:rStyle w:val="Refdenotaalpie"/>
          <w:b/>
        </w:rPr>
        <w:footnoteReference w:id="13"/>
      </w:r>
      <w:r w:rsidRPr="00523452">
        <w:rPr>
          <w:b/>
        </w:rPr>
        <w:t>:</w:t>
      </w:r>
      <w:r w:rsidRPr="00523452">
        <w:t xml:space="preserve"> En esta categoría se encuentran “Buzón Premium”, “Identificador de llamadas”, “Llamada en espera”</w:t>
      </w:r>
      <w:r w:rsidRPr="00523452">
        <w:rPr>
          <w:b/>
        </w:rPr>
        <w:t xml:space="preserve">, </w:t>
      </w:r>
      <w:r w:rsidRPr="00523452">
        <w:t xml:space="preserve">“Sígueme” y “Tres a la vez”, los cuales son provistos por </w:t>
      </w:r>
      <w:r w:rsidR="0045340E">
        <w:t>TELMEX/TELNOR</w:t>
      </w:r>
      <w:r w:rsidRPr="00523452">
        <w:t xml:space="preserve">. </w:t>
      </w:r>
    </w:p>
    <w:p w14:paraId="50F4E139" w14:textId="7974C946" w:rsidR="00181D64" w:rsidRPr="00523452" w:rsidRDefault="00181D64" w:rsidP="00181D64">
      <w:pPr>
        <w:pStyle w:val="IFTnormal"/>
        <w:numPr>
          <w:ilvl w:val="1"/>
          <w:numId w:val="6"/>
        </w:numPr>
        <w:spacing w:after="0"/>
        <w:rPr>
          <w:b/>
        </w:rPr>
      </w:pPr>
      <w:r w:rsidRPr="00583787">
        <w:rPr>
          <w:b/>
        </w:rPr>
        <w:t>Servicios adicionales asociados a la banda ancha</w:t>
      </w:r>
      <w:r w:rsidRPr="00523452">
        <w:t>, entre los cuales se encuentran:</w:t>
      </w:r>
      <w:r w:rsidRPr="00523452">
        <w:rPr>
          <w:b/>
        </w:rPr>
        <w:t xml:space="preserve"> </w:t>
      </w:r>
    </w:p>
    <w:p w14:paraId="209D792E" w14:textId="3045BCE2" w:rsidR="00CE3B73" w:rsidRPr="00583787" w:rsidRDefault="00CE3B73" w:rsidP="001C2B08">
      <w:pPr>
        <w:pStyle w:val="IFTnormal"/>
        <w:numPr>
          <w:ilvl w:val="2"/>
          <w:numId w:val="6"/>
        </w:numPr>
        <w:spacing w:after="240"/>
        <w:ind w:left="2154" w:hanging="357"/>
        <w:rPr>
          <w:i/>
        </w:rPr>
      </w:pPr>
      <w:r>
        <w:rPr>
          <w:b/>
        </w:rPr>
        <w:t>S</w:t>
      </w:r>
      <w:r w:rsidRPr="00CE3B73">
        <w:rPr>
          <w:b/>
        </w:rPr>
        <w:t xml:space="preserve">ervicios </w:t>
      </w:r>
      <w:proofErr w:type="spellStart"/>
      <w:r w:rsidRPr="00CE3B73">
        <w:rPr>
          <w:b/>
        </w:rPr>
        <w:t>Over</w:t>
      </w:r>
      <w:proofErr w:type="spellEnd"/>
      <w:r w:rsidRPr="00CE3B73">
        <w:rPr>
          <w:b/>
        </w:rPr>
        <w:t xml:space="preserve"> </w:t>
      </w:r>
      <w:proofErr w:type="spellStart"/>
      <w:r w:rsidRPr="00CE3B73">
        <w:rPr>
          <w:b/>
        </w:rPr>
        <w:t>The</w:t>
      </w:r>
      <w:proofErr w:type="spellEnd"/>
      <w:r w:rsidRPr="00CE3B73">
        <w:rPr>
          <w:b/>
        </w:rPr>
        <w:t xml:space="preserve"> Top (“O</w:t>
      </w:r>
      <w:r w:rsidRPr="00583787">
        <w:rPr>
          <w:b/>
        </w:rPr>
        <w:t xml:space="preserve">TT”): </w:t>
      </w:r>
      <w:r w:rsidRPr="00583787">
        <w:t>De acuerdo</w:t>
      </w:r>
      <w:r>
        <w:t xml:space="preserve"> con TELMEX/TELNOR, en esta categoría se clasifican dos tipos de plataformas:</w:t>
      </w:r>
    </w:p>
    <w:p w14:paraId="5DD04FC8" w14:textId="40BD624A" w:rsidR="00CE3B73" w:rsidRPr="00CA2F00" w:rsidRDefault="00CE3B73" w:rsidP="00CE3B73">
      <w:pPr>
        <w:pStyle w:val="IFTnormal"/>
        <w:numPr>
          <w:ilvl w:val="3"/>
          <w:numId w:val="6"/>
        </w:numPr>
        <w:spacing w:after="240"/>
        <w:rPr>
          <w:i/>
        </w:rPr>
      </w:pPr>
      <w:r>
        <w:rPr>
          <w:b/>
        </w:rPr>
        <w:t xml:space="preserve">Claro Video: </w:t>
      </w:r>
      <w:r w:rsidR="00896B63">
        <w:rPr>
          <w:bCs w:val="0"/>
        </w:rPr>
        <w:t>se considera</w:t>
      </w:r>
      <w:r w:rsidRPr="00523452">
        <w:t xml:space="preserve"> </w:t>
      </w:r>
      <w:r w:rsidRPr="00523452">
        <w:rPr>
          <w:i/>
        </w:rPr>
        <w:t>“</w:t>
      </w:r>
      <w:r w:rsidR="00410DD1">
        <w:rPr>
          <w:i/>
        </w:rPr>
        <w:t xml:space="preserve">… </w:t>
      </w:r>
      <w:r w:rsidRPr="00523452">
        <w:rPr>
          <w:i/>
        </w:rPr>
        <w:t>un servicio de suscripción de video en demanda a través de internet que puede ser ingresado a través de múltiples dispositivos que cuenten con acceso a internet</w:t>
      </w:r>
      <w:r w:rsidRPr="00523452">
        <w:t xml:space="preserve">” el cual </w:t>
      </w:r>
      <w:r w:rsidRPr="00523452">
        <w:rPr>
          <w:i/>
        </w:rPr>
        <w:t>“</w:t>
      </w:r>
      <w:r w:rsidR="00410DD1">
        <w:rPr>
          <w:i/>
        </w:rPr>
        <w:t xml:space="preserve">… </w:t>
      </w:r>
      <w:r w:rsidRPr="00523452">
        <w:rPr>
          <w:i/>
        </w:rPr>
        <w:t xml:space="preserve">cuenta con un catálogo de suscripción, con una oferta de renta/compra contenidos exclusivos o contenidos transaccionales y la opción a suscribirse a contenidos </w:t>
      </w:r>
      <w:r w:rsidRPr="00523452">
        <w:rPr>
          <w:i/>
        </w:rPr>
        <w:lastRenderedPageBreak/>
        <w:t>Premium por un costo mensual adicional</w:t>
      </w:r>
      <w:r w:rsidRPr="00523452">
        <w:t>”</w:t>
      </w:r>
      <w:r w:rsidR="00410DD1">
        <w:rPr>
          <w:rStyle w:val="Refdenotaalpie"/>
        </w:rPr>
        <w:footnoteReference w:id="14"/>
      </w:r>
      <w:r w:rsidRPr="00523452">
        <w:t xml:space="preserve">. De acuerdo con manifestaciones de </w:t>
      </w:r>
      <w:r>
        <w:t>TELMEX/TELNOR</w:t>
      </w:r>
      <w:r w:rsidRPr="00523452">
        <w:t>, estas empresas únicamente son medio de cobro de Claro Video, siendo este servicio proporcionado por un tercero</w:t>
      </w:r>
      <w:r>
        <w:t>.</w:t>
      </w:r>
      <w:r w:rsidR="00B37AB7">
        <w:t xml:space="preserve"> A diferencia de otros servicios OTT, Claro Video se incluye en la renta mensual que se aplica a los usuarios finales.</w:t>
      </w:r>
    </w:p>
    <w:p w14:paraId="50911BDA" w14:textId="254891A3" w:rsidR="00CE3B73" w:rsidRPr="00501D33" w:rsidRDefault="00CE3B73" w:rsidP="00501D33">
      <w:pPr>
        <w:pStyle w:val="IFTnormal"/>
        <w:numPr>
          <w:ilvl w:val="3"/>
          <w:numId w:val="6"/>
        </w:numPr>
        <w:spacing w:after="240"/>
        <w:rPr>
          <w:i/>
        </w:rPr>
      </w:pPr>
      <w:r>
        <w:rPr>
          <w:b/>
        </w:rPr>
        <w:t>Otros servicios OTT:</w:t>
      </w:r>
      <w:r>
        <w:rPr>
          <w:i/>
        </w:rPr>
        <w:t xml:space="preserve"> </w:t>
      </w:r>
      <w:r>
        <w:t>Bajo esta categoría</w:t>
      </w:r>
      <w:r w:rsidR="007E7D82">
        <w:t>, de acuerdo con</w:t>
      </w:r>
      <w:r w:rsidR="007E7D82" w:rsidRPr="007E7D82">
        <w:t xml:space="preserve"> </w:t>
      </w:r>
      <w:r w:rsidR="007E7D82">
        <w:t>TELMEX/TELNOR</w:t>
      </w:r>
      <w:r w:rsidR="007E7D82">
        <w:rPr>
          <w:rStyle w:val="Refdenotaalpie"/>
        </w:rPr>
        <w:footnoteReference w:id="15"/>
      </w:r>
      <w:r w:rsidR="007E7D82">
        <w:t>,</w:t>
      </w:r>
      <w:r>
        <w:t xml:space="preserve"> se consideran </w:t>
      </w:r>
      <w:r w:rsidR="00625A09">
        <w:t xml:space="preserve">los </w:t>
      </w:r>
      <w:r>
        <w:t>servicios OTT provistos por terceros</w:t>
      </w:r>
      <w:r w:rsidR="007E7D82">
        <w:t xml:space="preserve">. En este caso, para la adquisición de dichos servicios </w:t>
      </w:r>
      <w:r w:rsidR="00501D33">
        <w:t>por parte de los usuarios finales</w:t>
      </w:r>
      <w:r w:rsidR="00742AFE">
        <w:t>,</w:t>
      </w:r>
      <w:r w:rsidR="00501D33">
        <w:t xml:space="preserve"> </w:t>
      </w:r>
      <w:r w:rsidR="007A009E">
        <w:t xml:space="preserve">el AEP aplica </w:t>
      </w:r>
      <w:r w:rsidR="007E7D82">
        <w:t xml:space="preserve">un </w:t>
      </w:r>
      <w:r w:rsidR="007A009E">
        <w:t xml:space="preserve">cargo </w:t>
      </w:r>
      <w:r w:rsidR="007E7D82">
        <w:t xml:space="preserve">adicional a la </w:t>
      </w:r>
      <w:r>
        <w:t>tarifa mensual</w:t>
      </w:r>
      <w:r w:rsidR="00547644">
        <w:t xml:space="preserve"> por servicios de telecomunicaciones. Algunos ejemplos de estas plataformas son</w:t>
      </w:r>
      <w:r w:rsidR="00742AFE">
        <w:t>:</w:t>
      </w:r>
      <w:r w:rsidR="00547644">
        <w:t xml:space="preserve"> Netflix, Prime Video, HBO Max, Disney +, </w:t>
      </w:r>
      <w:proofErr w:type="spellStart"/>
      <w:r w:rsidR="00547644">
        <w:t>Star</w:t>
      </w:r>
      <w:proofErr w:type="spellEnd"/>
      <w:r w:rsidR="00547644">
        <w:t xml:space="preserve"> +, entre otras.</w:t>
      </w:r>
    </w:p>
    <w:p w14:paraId="11A2907C" w14:textId="3F664525" w:rsidR="00DD7B6E" w:rsidRDefault="00DD7B6E" w:rsidP="00181D64">
      <w:pPr>
        <w:pStyle w:val="IFTnormal"/>
      </w:pPr>
      <w:r>
        <w:t xml:space="preserve">Otro elemento relevante </w:t>
      </w:r>
      <w:r w:rsidR="00640C24">
        <w:t>por</w:t>
      </w:r>
      <w:r>
        <w:t xml:space="preserve"> </w:t>
      </w:r>
      <w:r w:rsidR="00A55E62">
        <w:t>destacar</w:t>
      </w:r>
      <w:r>
        <w:t xml:space="preserve"> es que derivado de la estructura comercial minorista de TELMEX/TELNOR se identificaron esquemas tarifarios </w:t>
      </w:r>
      <w:r w:rsidR="00BB674B">
        <w:t xml:space="preserve">preferenciales </w:t>
      </w:r>
      <w:r>
        <w:t xml:space="preserve">en los que se ofrecen </w:t>
      </w:r>
      <w:r w:rsidR="00D200B4">
        <w:t xml:space="preserve">atributos adicionales a los </w:t>
      </w:r>
      <w:r>
        <w:t>servicios de telecomunicaciones</w:t>
      </w:r>
      <w:r w:rsidR="00D200B4">
        <w:t xml:space="preserve"> ya contratados</w:t>
      </w:r>
      <w:r>
        <w:t>, ya sea por la adquisición por un tiempo definido</w:t>
      </w:r>
      <w:r w:rsidR="00BB674B">
        <w:t xml:space="preserve"> en el plan de renta, como</w:t>
      </w:r>
      <w:r>
        <w:t xml:space="preserve"> la “Promoción de Paquetes Superiores”</w:t>
      </w:r>
      <w:r>
        <w:rPr>
          <w:rStyle w:val="Refdenotaalpie"/>
        </w:rPr>
        <w:footnoteReference w:id="16"/>
      </w:r>
      <w:r>
        <w:t>, o bien</w:t>
      </w:r>
      <w:r w:rsidR="00BB674B">
        <w:t>,</w:t>
      </w:r>
      <w:r>
        <w:t xml:space="preserve"> por la adquisición</w:t>
      </w:r>
      <w:r w:rsidR="00BB674B">
        <w:t xml:space="preserve"> y pago</w:t>
      </w:r>
      <w:r>
        <w:t xml:space="preserve"> adicional al plan de renta mensual de servicios provistos por terceros OTT</w:t>
      </w:r>
      <w:r>
        <w:rPr>
          <w:rStyle w:val="Refdenotaalpie"/>
        </w:rPr>
        <w:footnoteReference w:id="17"/>
      </w:r>
      <w:r>
        <w:t>.</w:t>
      </w:r>
    </w:p>
    <w:p w14:paraId="25ABC538" w14:textId="394DE07D" w:rsidR="00BB674B" w:rsidRDefault="00BB674B" w:rsidP="00181D64">
      <w:pPr>
        <w:pStyle w:val="IFTnormal"/>
      </w:pPr>
      <w:r>
        <w:lastRenderedPageBreak/>
        <w:t xml:space="preserve">Bajo este contexto, resulta relevante para el Modelo de Costos Evitados considerar la amplia oferta minorista de planes y paquetes por la que existan condiciones comerciales que modifiquen el precio de renta mensual </w:t>
      </w:r>
      <w:r w:rsidR="00E1085C">
        <w:t>exclusivamente</w:t>
      </w:r>
      <w:r>
        <w:t xml:space="preserve"> por la provisión de servicios de telecomunicaciones.</w:t>
      </w:r>
    </w:p>
    <w:p w14:paraId="2176208E" w14:textId="51777861" w:rsidR="00181D64" w:rsidRPr="00523452" w:rsidRDefault="00181D64" w:rsidP="00181D64">
      <w:pPr>
        <w:pStyle w:val="IFTnormal"/>
      </w:pPr>
      <w:r w:rsidRPr="00523452">
        <w:t xml:space="preserve">Por lo anterior, la composición de los elementos o servicios que se ofrecen a través diferentes planes y paquetes mediante los cuales </w:t>
      </w:r>
      <w:r w:rsidR="00547644">
        <w:t>TELMEX/TELNOR</w:t>
      </w:r>
      <w:r w:rsidRPr="00523452">
        <w:t xml:space="preserve"> estructuran su oferta minorista asociada a servicios de voz e Internet, implica que el precio efectivo que los usuarios finales terminan pagando por una unidad de servicio</w:t>
      </w:r>
      <w:r w:rsidRPr="00523452">
        <w:rPr>
          <w:rStyle w:val="Refdenotaalpie"/>
        </w:rPr>
        <w:footnoteReference w:id="18"/>
      </w:r>
      <w:r w:rsidRPr="00523452">
        <w:t xml:space="preserve"> es variable dependiendo del plan o paquete tarifario elegido, así como de sus patrones de consumo.</w:t>
      </w:r>
    </w:p>
    <w:p w14:paraId="4BCBA148" w14:textId="0610109D" w:rsidR="00181D64" w:rsidRPr="00523452" w:rsidRDefault="00181D64" w:rsidP="00181D64">
      <w:pPr>
        <w:pStyle w:val="IFTnormal"/>
      </w:pPr>
      <w:r w:rsidRPr="00523452">
        <w:t xml:space="preserve">En tal contexto, el concepto de precio implícito cobra relevancia pues se refiere precisamente al precio efectivo que un cliente paga por una unidad de servicio, de entre todos aquellos elementos o servicios que se ofrecen en los planes o paquetes a la que el cliente puede acceder mediante un cargo asociado a dicho plan o paquete. Así, el precio minorista de un plan o paquete de la oferta minorista de </w:t>
      </w:r>
      <w:r w:rsidR="00547644">
        <w:t>TELMEX/TELNOR</w:t>
      </w:r>
      <w:r w:rsidRPr="00523452">
        <w:t xml:space="preserve"> se descompone a través de los precios implícitos de sus elementos o servicios.</w:t>
      </w:r>
    </w:p>
    <w:p w14:paraId="5DF71BC0" w14:textId="3CF74D3C" w:rsidR="00181D64" w:rsidRPr="00523452" w:rsidRDefault="00181D64" w:rsidP="000B6702">
      <w:pPr>
        <w:pStyle w:val="IFTnormal"/>
        <w:spacing w:after="0"/>
        <w:jc w:val="center"/>
      </w:pPr>
      <w:r w:rsidRPr="00523452">
        <w:rPr>
          <w:rFonts w:ascii="Arial" w:hAnsi="Arial"/>
          <w:noProof/>
          <w:lang w:eastAsia="es-MX"/>
        </w:rPr>
        <mc:AlternateContent>
          <mc:Choice Requires="cx1">
            <w:drawing>
              <wp:inline distT="0" distB="0" distL="0" distR="0" wp14:anchorId="449E0557" wp14:editId="7D3FB5CA">
                <wp:extent cx="4472104" cy="1697525"/>
                <wp:effectExtent l="0" t="0" r="5080" b="17145"/>
                <wp:docPr id="5" name="Gráfico 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drawing>
              <wp:inline distT="0" distB="0" distL="0" distR="0" wp14:anchorId="449E0557" wp14:editId="7D3FB5CA">
                <wp:extent cx="4472104" cy="1697525"/>
                <wp:effectExtent l="0" t="0" r="5080" b="17145"/>
                <wp:docPr id="5" name="Gráfico 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Gráfico 5"/>
                        <pic:cNvPicPr>
                          <a:picLocks noGrp="1" noRot="1" noChangeAspect="1" noMove="1" noResize="1" noEditPoints="1" noAdjustHandles="1" noChangeArrowheads="1" noChangeShapeType="1"/>
                        </pic:cNvPicPr>
                      </pic:nvPicPr>
                      <pic:blipFill>
                        <a:blip r:embed="rId18"/>
                        <a:stretch>
                          <a:fillRect/>
                        </a:stretch>
                      </pic:blipFill>
                      <pic:spPr>
                        <a:xfrm>
                          <a:off x="0" y="0"/>
                          <a:ext cx="4471670" cy="1697355"/>
                        </a:xfrm>
                        <a:prstGeom prst="rect">
                          <a:avLst/>
                        </a:prstGeom>
                      </pic:spPr>
                    </pic:pic>
                  </a:graphicData>
                </a:graphic>
              </wp:inline>
            </w:drawing>
          </mc:Fallback>
        </mc:AlternateContent>
      </w:r>
    </w:p>
    <w:p w14:paraId="6BF0715C" w14:textId="238F40B5" w:rsidR="00181D64" w:rsidRPr="00CA2F00" w:rsidRDefault="00181D64" w:rsidP="00CA2F00">
      <w:pPr>
        <w:pStyle w:val="Figura"/>
        <w:spacing w:before="0" w:after="240" w:line="259" w:lineRule="auto"/>
        <w:ind w:left="851" w:right="900"/>
        <w:jc w:val="both"/>
        <w:rPr>
          <w:szCs w:val="20"/>
        </w:rPr>
      </w:pPr>
      <w:r w:rsidRPr="00CA2F00" w:rsidDel="00680D10">
        <w:rPr>
          <w:bCs/>
          <w:szCs w:val="20"/>
        </w:rPr>
        <w:t xml:space="preserve">Esquema de precios implícitos asociados a la canasta de servicios de Internet, voz u otros a los que un </w:t>
      </w:r>
      <w:r w:rsidR="00B62E8A">
        <w:rPr>
          <w:bCs/>
          <w:szCs w:val="20"/>
        </w:rPr>
        <w:t>u</w:t>
      </w:r>
      <w:r w:rsidRPr="00CA2F00" w:rsidDel="00680D10">
        <w:rPr>
          <w:bCs/>
          <w:szCs w:val="20"/>
        </w:rPr>
        <w:t xml:space="preserve">suario </w:t>
      </w:r>
      <w:r w:rsidR="00B62E8A">
        <w:rPr>
          <w:bCs/>
          <w:szCs w:val="20"/>
        </w:rPr>
        <w:t>f</w:t>
      </w:r>
      <w:r w:rsidRPr="00CA2F00" w:rsidDel="00680D10">
        <w:rPr>
          <w:bCs/>
          <w:szCs w:val="20"/>
        </w:rPr>
        <w:t xml:space="preserve">inal accede a través de un plan o paquete de </w:t>
      </w:r>
      <w:r w:rsidR="0045340E" w:rsidRPr="00CA2F00">
        <w:rPr>
          <w:szCs w:val="20"/>
        </w:rPr>
        <w:t>TELMEX/TELNOR</w:t>
      </w:r>
      <w:r w:rsidRPr="00CA2F00">
        <w:rPr>
          <w:bCs/>
          <w:szCs w:val="20"/>
        </w:rPr>
        <w:t xml:space="preserve"> (</w:t>
      </w:r>
      <w:r w:rsidRPr="00CA2F00">
        <w:rPr>
          <w:b/>
          <w:bCs/>
          <w:szCs w:val="20"/>
        </w:rPr>
        <w:t>Fuente:</w:t>
      </w:r>
      <w:r w:rsidRPr="00CA2F00">
        <w:rPr>
          <w:b/>
          <w:szCs w:val="20"/>
        </w:rPr>
        <w:t xml:space="preserve"> </w:t>
      </w:r>
      <w:r w:rsidRPr="00CA2F00">
        <w:rPr>
          <w:szCs w:val="20"/>
        </w:rPr>
        <w:t>IFT).</w:t>
      </w:r>
    </w:p>
    <w:p w14:paraId="0239C3BF" w14:textId="7CB136A4" w:rsidR="00181D64" w:rsidRPr="00523452" w:rsidRDefault="007F3A1F" w:rsidP="00181D64">
      <w:pPr>
        <w:pStyle w:val="IFTnormal"/>
      </w:pPr>
      <w:r>
        <w:t>Es por ello que</w:t>
      </w:r>
      <w:r w:rsidR="00181D64" w:rsidRPr="00523452">
        <w:t xml:space="preserve"> en el Modelo de Costos Evitados se establecen los precios de referencia de los servicios de desagregación </w:t>
      </w:r>
      <w:r w:rsidR="00D200B4">
        <w:t xml:space="preserve">a </w:t>
      </w:r>
      <w:r w:rsidR="00181D64" w:rsidRPr="00523452">
        <w:t xml:space="preserve">partir de los precios implícitos de los elementos o servicios que caracterizan los planes y paquetes de </w:t>
      </w:r>
      <w:r w:rsidR="007E7D82">
        <w:t>TELMEX/TELNOR</w:t>
      </w:r>
      <w:r w:rsidR="00181D64" w:rsidRPr="00523452">
        <w:t>, con los que ofrece servicios de telefonía e Internet en el mercado minorista.</w:t>
      </w:r>
    </w:p>
    <w:p w14:paraId="01C12004" w14:textId="365F2858" w:rsidR="00D73D7E" w:rsidRPr="00ED171E" w:rsidRDefault="00181D64" w:rsidP="00B70AA3">
      <w:pPr>
        <w:pStyle w:val="IFTnormal"/>
        <w:rPr>
          <w:b/>
          <w:bCs w:val="0"/>
          <w:sz w:val="17"/>
          <w:szCs w:val="17"/>
        </w:rPr>
      </w:pPr>
      <w:r w:rsidRPr="00523452">
        <w:t xml:space="preserve">Con base en este enfoque los ingresos que </w:t>
      </w:r>
      <w:r w:rsidR="00935405">
        <w:t>TELMEX/TELNOR</w:t>
      </w:r>
      <w:r w:rsidRPr="00523452">
        <w:t xml:space="preserve"> obtiene</w:t>
      </w:r>
      <w:r w:rsidR="00B3793D">
        <w:t>n</w:t>
      </w:r>
      <w:r w:rsidRPr="00523452">
        <w:t xml:space="preserve"> respecto a los elementos o servicios que conforman las canastas de dichos planes o paquetes </w:t>
      </w:r>
      <w:r w:rsidR="00625A09">
        <w:t>resultan de</w:t>
      </w:r>
      <w:r w:rsidRPr="00523452">
        <w:t xml:space="preserve"> la multiplicación del precio implícito por la cantidad de usuarios de los </w:t>
      </w:r>
      <w:r w:rsidRPr="00523452">
        <w:lastRenderedPageBreak/>
        <w:t>planes o paquetes correspondientes, para posteriormente atribuir, a partir de dichos ingresos, los costos evitados correspondientes a tales actividades de acuerdo con el alcance de los diferentes servicios mayoristas modelados.</w:t>
      </w:r>
    </w:p>
    <w:p w14:paraId="7CC4D3EC" w14:textId="287554D3" w:rsidR="00181D64" w:rsidRDefault="008D1A16" w:rsidP="00ED171E">
      <w:pPr>
        <w:pStyle w:val="IFTnormal"/>
        <w:spacing w:after="0"/>
        <w:jc w:val="center"/>
      </w:pPr>
      <w:r>
        <w:rPr>
          <w:noProof/>
        </w:rPr>
        <w:drawing>
          <wp:inline distT="0" distB="0" distL="0" distR="0" wp14:anchorId="3843ED35" wp14:editId="688CD0E9">
            <wp:extent cx="5612130" cy="1901190"/>
            <wp:effectExtent l="0" t="0" r="7620" b="381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5612130" cy="1901190"/>
                    </a:xfrm>
                    <a:prstGeom prst="rect">
                      <a:avLst/>
                    </a:prstGeom>
                  </pic:spPr>
                </pic:pic>
              </a:graphicData>
            </a:graphic>
          </wp:inline>
        </w:drawing>
      </w:r>
    </w:p>
    <w:p w14:paraId="2602FA99" w14:textId="6B681AAD" w:rsidR="00181D64" w:rsidRPr="00CA2F00" w:rsidRDefault="00181D64" w:rsidP="004676C5">
      <w:pPr>
        <w:pStyle w:val="Figura"/>
        <w:spacing w:before="0" w:after="240" w:line="259" w:lineRule="auto"/>
        <w:ind w:right="49"/>
        <w:jc w:val="both"/>
        <w:rPr>
          <w:szCs w:val="20"/>
        </w:rPr>
      </w:pPr>
      <w:r w:rsidRPr="00CA2F00">
        <w:rPr>
          <w:szCs w:val="20"/>
        </w:rPr>
        <w:t xml:space="preserve">Esquema de precios implícitos asociados a los elementos o servicios que caracterizan a los planes o paquetes de </w:t>
      </w:r>
      <w:r w:rsidR="0045340E" w:rsidRPr="00CA2F00">
        <w:rPr>
          <w:szCs w:val="20"/>
        </w:rPr>
        <w:t>TELMEX/TELNOR</w:t>
      </w:r>
      <w:r w:rsidRPr="00CA2F00">
        <w:rPr>
          <w:szCs w:val="20"/>
        </w:rPr>
        <w:t xml:space="preserve"> en el Modelo de Costos Evitados.</w:t>
      </w:r>
      <w:r w:rsidR="00D80EAC" w:rsidRPr="00CA2F00">
        <w:rPr>
          <w:szCs w:val="20"/>
        </w:rPr>
        <w:t xml:space="preserve"> </w:t>
      </w:r>
      <w:r w:rsidR="00D80EAC" w:rsidRPr="00CA2F00">
        <w:rPr>
          <w:bCs/>
          <w:szCs w:val="20"/>
        </w:rPr>
        <w:t>(</w:t>
      </w:r>
      <w:r w:rsidR="00D80EAC" w:rsidRPr="00CA2F00">
        <w:rPr>
          <w:b/>
          <w:szCs w:val="20"/>
        </w:rPr>
        <w:t>Fuente</w:t>
      </w:r>
      <w:r w:rsidR="00D80EAC" w:rsidRPr="00CA2F00">
        <w:rPr>
          <w:szCs w:val="20"/>
        </w:rPr>
        <w:t>: IFT).</w:t>
      </w:r>
    </w:p>
    <w:p w14:paraId="5B548EC8" w14:textId="2BD63CDF" w:rsidR="00181D64" w:rsidRPr="00523452" w:rsidRDefault="00181D64" w:rsidP="00D80EAC">
      <w:pPr>
        <w:pStyle w:val="IFTnormal"/>
      </w:pPr>
      <w:r w:rsidRPr="00523452">
        <w:t xml:space="preserve">Otra de las razones por las que en el Modelo de Costos Evitados se emplea el enfoque de precios implícitos es que permite representar a nivel promedio el precio de referencia que se asocia a ciertos servicios de desagregación, a partir de las tarifas que </w:t>
      </w:r>
      <w:r w:rsidR="00935405">
        <w:t>TELMEX/TELNOR</w:t>
      </w:r>
      <w:r w:rsidRPr="00523452">
        <w:t xml:space="preserve"> ofrece</w:t>
      </w:r>
      <w:r w:rsidR="001C1606">
        <w:t>n</w:t>
      </w:r>
      <w:r w:rsidRPr="00523452">
        <w:t xml:space="preserve"> para sus </w:t>
      </w:r>
      <w:r w:rsidR="00625A09">
        <w:t xml:space="preserve">propios </w:t>
      </w:r>
      <w:r w:rsidRPr="00523452">
        <w:t xml:space="preserve">usuarios. Ello se realiza través de la estimación del </w:t>
      </w:r>
      <w:r w:rsidRPr="00523452">
        <w:rPr>
          <w:b/>
        </w:rPr>
        <w:t xml:space="preserve">precio implícito a nivel promedio </w:t>
      </w:r>
      <w:r w:rsidRPr="00523452">
        <w:t>al tomar los precios implícitos individuales de cada elemento o servicio que ofrece las mismas características en cada plan o paquete y ponderarlos con el número de clientes que acceden a cada uno de estos planes o paquetes.</w:t>
      </w:r>
    </w:p>
    <w:p w14:paraId="55F66845" w14:textId="3063C92E" w:rsidR="00181D64" w:rsidRPr="00523452" w:rsidRDefault="00181D64" w:rsidP="00181D64">
      <w:pPr>
        <w:pStyle w:val="aaaIFTnormal"/>
        <w:rPr>
          <w:rFonts w:ascii="ITC Avant Garde" w:hAnsi="ITC Avant Garde"/>
        </w:rPr>
      </w:pPr>
      <w:r w:rsidRPr="00523452">
        <w:rPr>
          <w:rFonts w:ascii="ITC Avant Garde" w:hAnsi="ITC Avant Garde"/>
        </w:rPr>
        <w:t xml:space="preserve">En este sentido, el enfoque metodológico para representar el precio implícito de los servicios que componen planes y paquetes de </w:t>
      </w:r>
      <w:r w:rsidR="0045340E">
        <w:rPr>
          <w:rFonts w:ascii="ITC Avant Garde" w:hAnsi="ITC Avant Garde"/>
        </w:rPr>
        <w:t>TELMEX/TELNOR</w:t>
      </w:r>
      <w:r w:rsidRPr="00523452">
        <w:rPr>
          <w:rFonts w:ascii="ITC Avant Garde" w:hAnsi="ITC Avant Garde"/>
        </w:rPr>
        <w:t xml:space="preserve"> se aborda en la sección </w:t>
      </w:r>
      <w:hyperlink w:anchor="_Enfoque_de_estimación" w:history="1">
        <w:r w:rsidR="00625A09" w:rsidRPr="00625A09">
          <w:rPr>
            <w:rStyle w:val="Hipervnculo"/>
            <w:rFonts w:ascii="ITC Avant Garde" w:hAnsi="ITC Avant Garde"/>
            <w:color w:val="auto"/>
            <w:u w:val="none"/>
          </w:rPr>
          <w:t>3.5</w:t>
        </w:r>
      </w:hyperlink>
      <w:r w:rsidRPr="00523452">
        <w:rPr>
          <w:rFonts w:ascii="ITC Avant Garde" w:hAnsi="ITC Avant Garde"/>
        </w:rPr>
        <w:t xml:space="preserve"> mientras que el enfoque metodológico seguido en el modelo para definir los precios de referencia de los servicios de desagregación se aborda en la sección </w:t>
      </w:r>
      <w:hyperlink w:anchor="_Precio_de_Referencia" w:history="1">
        <w:r w:rsidR="00625A09" w:rsidRPr="00625A09">
          <w:rPr>
            <w:rStyle w:val="Hipervnculo"/>
            <w:rFonts w:ascii="ITC Avant Garde" w:hAnsi="ITC Avant Garde"/>
            <w:color w:val="auto"/>
            <w:u w:val="none"/>
          </w:rPr>
          <w:t>3.6</w:t>
        </w:r>
      </w:hyperlink>
      <w:r w:rsidR="00425FD3">
        <w:rPr>
          <w:rFonts w:ascii="ITC Avant Garde" w:hAnsi="ITC Avant Garde"/>
        </w:rPr>
        <w:t xml:space="preserve"> (Servicios de Reventa y particularmente SRMLT).</w:t>
      </w:r>
    </w:p>
    <w:p w14:paraId="690B0232" w14:textId="3D90A428" w:rsidR="00181D64" w:rsidRPr="00523452" w:rsidRDefault="00181D64" w:rsidP="00181D64">
      <w:pPr>
        <w:pStyle w:val="Ttulo2"/>
        <w:numPr>
          <w:ilvl w:val="1"/>
          <w:numId w:val="7"/>
        </w:numPr>
        <w:ind w:left="426" w:hanging="360"/>
        <w:rPr>
          <w:rStyle w:val="IFTnormalCar"/>
          <w:color w:val="auto"/>
          <w:lang w:val="es-MX"/>
        </w:rPr>
      </w:pPr>
      <w:bookmarkStart w:id="22" w:name="_Enfoque_de_estimación"/>
      <w:bookmarkStart w:id="23" w:name="_Toc114513053"/>
      <w:bookmarkStart w:id="24" w:name="_Toc114513297"/>
      <w:bookmarkEnd w:id="22"/>
      <w:r w:rsidRPr="00523452">
        <w:rPr>
          <w:rStyle w:val="IFTnormalCar"/>
          <w:color w:val="auto"/>
          <w:lang w:val="es-MX"/>
        </w:rPr>
        <w:t xml:space="preserve">Enfoque de estimación del precio implícito de los elementos que integran la canasta de servicios de los planes y paquetes de </w:t>
      </w:r>
      <w:r w:rsidR="00244935">
        <w:rPr>
          <w:rStyle w:val="IFTnormalCar"/>
          <w:color w:val="auto"/>
          <w:lang w:val="es-MX"/>
        </w:rPr>
        <w:t>TELMEX/TELNOR</w:t>
      </w:r>
      <w:bookmarkEnd w:id="23"/>
      <w:bookmarkEnd w:id="24"/>
    </w:p>
    <w:p w14:paraId="780CD894" w14:textId="1F9A2004" w:rsidR="00935405" w:rsidRPr="00984D4E" w:rsidRDefault="00935405" w:rsidP="00935405">
      <w:pPr>
        <w:pStyle w:val="IFTnormal"/>
        <w:rPr>
          <w:rFonts w:ascii="Calibri" w:hAnsi="Calibri" w:cs="Times New Roman"/>
        </w:rPr>
      </w:pPr>
      <w:r>
        <w:t xml:space="preserve">En el </w:t>
      </w:r>
      <w:r w:rsidRPr="00B55028">
        <w:t>Modelo de Costos</w:t>
      </w:r>
      <w:r>
        <w:t xml:space="preserve"> Evitados</w:t>
      </w:r>
      <w:r w:rsidRPr="00B55028">
        <w:t xml:space="preserve"> </w:t>
      </w:r>
      <w:r>
        <w:t>l</w:t>
      </w:r>
      <w:r w:rsidRPr="00B55028">
        <w:t xml:space="preserve">a estimación </w:t>
      </w:r>
      <w:r>
        <w:t xml:space="preserve">de </w:t>
      </w:r>
      <w:r w:rsidRPr="00B55028">
        <w:t xml:space="preserve">los precios implícitos asociados a los planes y paquetes mediante los cuales </w:t>
      </w:r>
      <w:r>
        <w:t>TELMEX/TELNOR</w:t>
      </w:r>
      <w:r w:rsidRPr="00B55028">
        <w:t xml:space="preserve"> ofrece</w:t>
      </w:r>
      <w:r>
        <w:t>n</w:t>
      </w:r>
      <w:r w:rsidRPr="00B55028">
        <w:t xml:space="preserve"> telefonía e </w:t>
      </w:r>
      <w:r>
        <w:t>I</w:t>
      </w:r>
      <w:r w:rsidRPr="00B55028">
        <w:t xml:space="preserve">nternet en el mercado minorista se </w:t>
      </w:r>
      <w:r>
        <w:t xml:space="preserve">realiza a partir de la información y datos aportados por </w:t>
      </w:r>
      <w:r w:rsidR="00C67B89">
        <w:t xml:space="preserve">los </w:t>
      </w:r>
      <w:r>
        <w:t>operador</w:t>
      </w:r>
      <w:r w:rsidR="00C67B89">
        <w:t>es</w:t>
      </w:r>
      <w:r>
        <w:t>, respecto a la</w:t>
      </w:r>
      <w:r w:rsidRPr="00B55028">
        <w:t xml:space="preserve"> </w:t>
      </w:r>
      <w:r w:rsidRPr="00CE51F4">
        <w:t xml:space="preserve">composición de precios de </w:t>
      </w:r>
      <w:r>
        <w:t xml:space="preserve">dichos </w:t>
      </w:r>
      <w:r w:rsidRPr="00CE51F4">
        <w:t>planes y paquetes</w:t>
      </w:r>
      <w:r>
        <w:t>,</w:t>
      </w:r>
      <w:r w:rsidRPr="00CE51F4">
        <w:t xml:space="preserve"> </w:t>
      </w:r>
      <w:r>
        <w:t>precios implícitos y otros elementos</w:t>
      </w:r>
      <w:r w:rsidRPr="00B55028">
        <w:t>.</w:t>
      </w:r>
      <w:r>
        <w:t xml:space="preserve"> Como se ha mencionado anteriormente,</w:t>
      </w:r>
      <w:r w:rsidRPr="00984D4E">
        <w:t xml:space="preserve"> dichos planes o paquetes se </w:t>
      </w:r>
      <w:r>
        <w:t>componen por</w:t>
      </w:r>
      <w:r w:rsidRPr="00984D4E">
        <w:t xml:space="preserve"> una combinación de</w:t>
      </w:r>
      <w:r>
        <w:t xml:space="preserve"> i) </w:t>
      </w:r>
      <w:r>
        <w:lastRenderedPageBreak/>
        <w:t xml:space="preserve">renta de línea, </w:t>
      </w:r>
      <w:proofErr w:type="spellStart"/>
      <w:r>
        <w:t>ii</w:t>
      </w:r>
      <w:proofErr w:type="spellEnd"/>
      <w:r>
        <w:t xml:space="preserve">) servicios de voz, </w:t>
      </w:r>
      <w:proofErr w:type="spellStart"/>
      <w:r>
        <w:t>iii</w:t>
      </w:r>
      <w:proofErr w:type="spellEnd"/>
      <w:r>
        <w:t xml:space="preserve">) servicios de Internet y </w:t>
      </w:r>
      <w:proofErr w:type="spellStart"/>
      <w:r>
        <w:t>iv</w:t>
      </w:r>
      <w:proofErr w:type="spellEnd"/>
      <w:r>
        <w:t xml:space="preserve">) otros conceptos (conforme a los argumentos expuestos en la sección </w:t>
      </w:r>
      <w:r w:rsidRPr="00625A09">
        <w:fldChar w:fldCharType="begin"/>
      </w:r>
      <w:r w:rsidRPr="00625A09">
        <w:instrText xml:space="preserve"> REF _Ref530071322 \r \h </w:instrText>
      </w:r>
      <w:r w:rsidR="00997DAD" w:rsidRPr="00625A09">
        <w:instrText xml:space="preserve"> \* MERGEFORMAT </w:instrText>
      </w:r>
      <w:r w:rsidRPr="00625A09">
        <w:fldChar w:fldCharType="separate"/>
      </w:r>
      <w:hyperlink w:anchor="_Metodología_para_definir_1" w:history="1">
        <w:r w:rsidR="00625A09" w:rsidRPr="00625A09">
          <w:rPr>
            <w:rStyle w:val="Hipervnculo"/>
            <w:color w:val="auto"/>
            <w:u w:val="none"/>
          </w:rPr>
          <w:t>3.4</w:t>
        </w:r>
      </w:hyperlink>
      <w:r w:rsidRPr="00625A09">
        <w:fldChar w:fldCharType="end"/>
      </w:r>
      <w:r w:rsidRPr="00625A09">
        <w:t>).</w:t>
      </w:r>
    </w:p>
    <w:p w14:paraId="1FDDAC30" w14:textId="7E30BF82" w:rsidR="00935405" w:rsidRDefault="00935405" w:rsidP="00935405">
      <w:pPr>
        <w:pStyle w:val="IFTnormal"/>
      </w:pPr>
      <w:r>
        <w:t xml:space="preserve">En este sentido, el Instituto analizó la información presentada por </w:t>
      </w:r>
      <w:r w:rsidR="004A3E90">
        <w:t>TELMEX/TELNOR</w:t>
      </w:r>
      <w:r>
        <w:t xml:space="preserve"> respecto al precio implícito de los elementos o servicios que integran los diferentes </w:t>
      </w:r>
      <w:r w:rsidRPr="00B55028">
        <w:t xml:space="preserve">planes y paquetes mediante los cuales </w:t>
      </w:r>
      <w:r w:rsidR="004A3E90">
        <w:t>TELMEX/TELNOR</w:t>
      </w:r>
      <w:r w:rsidRPr="00B55028">
        <w:t xml:space="preserve"> </w:t>
      </w:r>
      <w:r w:rsidRPr="000E27C7">
        <w:t>ofrece</w:t>
      </w:r>
      <w:r w:rsidR="00CC68AD">
        <w:t>n</w:t>
      </w:r>
      <w:r w:rsidRPr="00B55028">
        <w:t xml:space="preserve"> telefonía e </w:t>
      </w:r>
      <w:r>
        <w:t>I</w:t>
      </w:r>
      <w:r w:rsidRPr="00B55028">
        <w:t>nternet en el mercado minorista</w:t>
      </w:r>
      <w:r>
        <w:t>.</w:t>
      </w:r>
    </w:p>
    <w:p w14:paraId="4A957977" w14:textId="10023AEA" w:rsidR="00D665A2" w:rsidRPr="00CA2F00" w:rsidRDefault="00935405" w:rsidP="00C348CB">
      <w:pPr>
        <w:pStyle w:val="IFTnormal"/>
        <w:rPr>
          <w:b/>
          <w:sz w:val="17"/>
          <w:szCs w:val="17"/>
        </w:rPr>
      </w:pPr>
      <w:r>
        <w:t>Los resultados de dicho análisis, así como las consideraciones metodológicas del Instituto derivadas de este proceso para la implementación del Modelo de Costos Evitados, se resumen en el siguiente cuadro:</w:t>
      </w:r>
      <w:bookmarkStart w:id="25" w:name="_Hlk113896182"/>
    </w:p>
    <w:tbl>
      <w:tblPr>
        <w:tblStyle w:val="Tablaconcuadrcula1clara"/>
        <w:tblpPr w:leftFromText="141" w:rightFromText="141" w:vertAnchor="text" w:horzAnchor="margin" w:tblpY="174"/>
        <w:tblW w:w="9515" w:type="dxa"/>
        <w:tblLook w:val="0420" w:firstRow="1" w:lastRow="0" w:firstColumn="0" w:lastColumn="0" w:noHBand="0" w:noVBand="1"/>
        <w:tblCaption w:val="Figura 3: Estrutura del modelo de costos de coubicación móvil (Fuente: IFT, 2015)"/>
        <w:tblDescription w:val="Se divida en hoja de cálculo y descripción"/>
      </w:tblPr>
      <w:tblGrid>
        <w:gridCol w:w="1980"/>
        <w:gridCol w:w="3118"/>
        <w:gridCol w:w="4417"/>
      </w:tblGrid>
      <w:tr w:rsidR="00181D64" w:rsidRPr="00523452" w14:paraId="03E2B1F2" w14:textId="77777777" w:rsidTr="00CA2F00">
        <w:trPr>
          <w:cnfStyle w:val="100000000000" w:firstRow="1" w:lastRow="0" w:firstColumn="0" w:lastColumn="0" w:oddVBand="0" w:evenVBand="0" w:oddHBand="0" w:evenHBand="0" w:firstRowFirstColumn="0" w:firstRowLastColumn="0" w:lastRowFirstColumn="0" w:lastRowLastColumn="0"/>
          <w:trHeight w:val="560"/>
          <w:tblHeader/>
        </w:trPr>
        <w:tc>
          <w:tcPr>
            <w:tcW w:w="0" w:type="dxa"/>
            <w:shd w:val="clear" w:color="auto" w:fill="000000" w:themeFill="text1"/>
            <w:vAlign w:val="center"/>
          </w:tcPr>
          <w:bookmarkEnd w:id="25"/>
          <w:p w14:paraId="62B2A8E8" w14:textId="30605533" w:rsidR="00181D64" w:rsidRPr="00523452" w:rsidRDefault="00181D64" w:rsidP="00A02ABE">
            <w:pPr>
              <w:pStyle w:val="Tableheading"/>
              <w:spacing w:before="0" w:after="120" w:line="276" w:lineRule="auto"/>
              <w:rPr>
                <w:rFonts w:ascii="ITC Avant Garde" w:hAnsi="ITC Avant Garde" w:cs="Arial"/>
                <w:b/>
                <w:color w:val="FFFFFF" w:themeColor="background1"/>
                <w:lang w:val="es-MX"/>
              </w:rPr>
            </w:pPr>
            <w:r w:rsidRPr="00523452">
              <w:rPr>
                <w:rFonts w:ascii="ITC Avant Garde" w:hAnsi="ITC Avant Garde" w:cs="Arial"/>
                <w:b/>
                <w:color w:val="FFFFFF" w:themeColor="background1"/>
                <w:lang w:val="es-MX"/>
              </w:rPr>
              <w:t xml:space="preserve">Concepto de precio implícito requerido a </w:t>
            </w:r>
            <w:r w:rsidR="00935405">
              <w:rPr>
                <w:rFonts w:ascii="ITC Avant Garde" w:hAnsi="ITC Avant Garde" w:cs="Arial"/>
                <w:b/>
                <w:color w:val="FFFFFF" w:themeColor="background1"/>
                <w:lang w:val="es-MX"/>
              </w:rPr>
              <w:t>TELMEX/TELNOR</w:t>
            </w:r>
          </w:p>
        </w:tc>
        <w:tc>
          <w:tcPr>
            <w:tcW w:w="0" w:type="dxa"/>
            <w:shd w:val="clear" w:color="auto" w:fill="000000" w:themeFill="text1"/>
            <w:vAlign w:val="center"/>
          </w:tcPr>
          <w:p w14:paraId="7B06B6C0" w14:textId="46788655" w:rsidR="00181D64" w:rsidRPr="00523452" w:rsidRDefault="00181D64" w:rsidP="00A02ABE">
            <w:pPr>
              <w:pStyle w:val="Tableheading"/>
              <w:spacing w:before="0" w:after="120" w:line="276" w:lineRule="auto"/>
              <w:rPr>
                <w:rFonts w:ascii="ITC Avant Garde" w:hAnsi="ITC Avant Garde" w:cs="Arial"/>
                <w:b/>
                <w:color w:val="FFFFFF" w:themeColor="background1"/>
                <w:lang w:val="es-MX"/>
              </w:rPr>
            </w:pPr>
            <w:r w:rsidRPr="00523452">
              <w:rPr>
                <w:rFonts w:ascii="ITC Avant Garde" w:hAnsi="ITC Avant Garde" w:cs="Arial"/>
                <w:b/>
                <w:color w:val="FFFFFF" w:themeColor="background1"/>
                <w:lang w:val="es-MX"/>
              </w:rPr>
              <w:t xml:space="preserve">Análisis de datos de composición de precios de planes y paquetes proporcionados por </w:t>
            </w:r>
            <w:r w:rsidR="00935405">
              <w:rPr>
                <w:rFonts w:ascii="ITC Avant Garde" w:hAnsi="ITC Avant Garde" w:cs="Arial"/>
                <w:b/>
                <w:color w:val="FFFFFF" w:themeColor="background1"/>
                <w:lang w:val="es-MX"/>
              </w:rPr>
              <w:t>TELMEX/TELNOR</w:t>
            </w:r>
          </w:p>
        </w:tc>
        <w:tc>
          <w:tcPr>
            <w:tcW w:w="0" w:type="dxa"/>
            <w:shd w:val="clear" w:color="auto" w:fill="000000" w:themeFill="text1"/>
            <w:vAlign w:val="center"/>
          </w:tcPr>
          <w:p w14:paraId="4B9DE839" w14:textId="77777777" w:rsidR="00181D64" w:rsidRPr="00523452" w:rsidRDefault="00181D64" w:rsidP="00A02ABE">
            <w:pPr>
              <w:pStyle w:val="Tableheading"/>
              <w:spacing w:before="0" w:after="120" w:line="276" w:lineRule="auto"/>
              <w:jc w:val="center"/>
              <w:rPr>
                <w:rFonts w:ascii="ITC Avant Garde" w:hAnsi="ITC Avant Garde" w:cs="Arial"/>
                <w:b/>
                <w:color w:val="FFFFFF" w:themeColor="background1"/>
                <w:lang w:val="es-MX"/>
              </w:rPr>
            </w:pPr>
            <w:r w:rsidRPr="00523452">
              <w:rPr>
                <w:rFonts w:ascii="ITC Avant Garde" w:hAnsi="ITC Avant Garde" w:cs="Arial"/>
                <w:b/>
                <w:color w:val="FFFFFF" w:themeColor="background1"/>
                <w:lang w:val="es-MX"/>
              </w:rPr>
              <w:t>Consideraciones metodológicas</w:t>
            </w:r>
          </w:p>
        </w:tc>
      </w:tr>
      <w:tr w:rsidR="00181D64" w:rsidRPr="00523452" w14:paraId="38732AED" w14:textId="77777777" w:rsidTr="00A02ABE">
        <w:trPr>
          <w:trHeight w:val="113"/>
        </w:trPr>
        <w:tc>
          <w:tcPr>
            <w:tcW w:w="9515" w:type="dxa"/>
            <w:gridSpan w:val="3"/>
            <w:shd w:val="clear" w:color="auto" w:fill="E7E6E6" w:themeFill="background2"/>
          </w:tcPr>
          <w:p w14:paraId="2AD13F39" w14:textId="77777777" w:rsidR="00181D64" w:rsidRPr="00523452" w:rsidRDefault="00181D64" w:rsidP="00A02ABE">
            <w:pPr>
              <w:pStyle w:val="Tablecells"/>
              <w:spacing w:before="0" w:after="120" w:line="276" w:lineRule="auto"/>
              <w:rPr>
                <w:rFonts w:ascii="ITC Avant Garde" w:hAnsi="ITC Avant Garde" w:cs="Arial"/>
                <w:b/>
                <w:lang w:val="es-MX"/>
              </w:rPr>
            </w:pPr>
            <w:r w:rsidRPr="00523452">
              <w:rPr>
                <w:rFonts w:ascii="ITC Avant Garde" w:hAnsi="ITC Avant Garde" w:cs="Arial"/>
                <w:b/>
                <w:lang w:val="es-MX"/>
              </w:rPr>
              <w:t xml:space="preserve">Renta de línea </w:t>
            </w:r>
          </w:p>
        </w:tc>
      </w:tr>
      <w:tr w:rsidR="00181D64" w:rsidRPr="00523452" w14:paraId="2BF8DCA6" w14:textId="77777777" w:rsidTr="00A02ABE">
        <w:trPr>
          <w:trHeight w:val="340"/>
        </w:trPr>
        <w:tc>
          <w:tcPr>
            <w:tcW w:w="1980" w:type="dxa"/>
          </w:tcPr>
          <w:p w14:paraId="354288EF" w14:textId="77777777" w:rsidR="00181D64" w:rsidRPr="00523452" w:rsidRDefault="00181D64" w:rsidP="00547732">
            <w:pPr>
              <w:pStyle w:val="Tablecells"/>
              <w:spacing w:before="0" w:after="120" w:line="276" w:lineRule="auto"/>
              <w:jc w:val="both"/>
              <w:rPr>
                <w:rFonts w:ascii="ITC Avant Garde" w:hAnsi="ITC Avant Garde" w:cs="Arial"/>
                <w:i/>
                <w:lang w:val="es-MX"/>
              </w:rPr>
            </w:pPr>
            <w:r w:rsidRPr="00523452">
              <w:rPr>
                <w:rFonts w:ascii="ITC Avant Garde" w:hAnsi="ITC Avant Garde" w:cs="Arial"/>
                <w:i/>
                <w:lang w:val="es-MX"/>
              </w:rPr>
              <w:t>Asociado a planes y paquetes residenciales</w:t>
            </w:r>
          </w:p>
        </w:tc>
        <w:tc>
          <w:tcPr>
            <w:tcW w:w="3118" w:type="dxa"/>
          </w:tcPr>
          <w:p w14:paraId="548C1390" w14:textId="041101F5" w:rsidR="00181D64" w:rsidRPr="00523452" w:rsidRDefault="00181D64" w:rsidP="00547732">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Se reportó el valor de la renta mensual de la “Línea residencial”, dentro del cual se incluyen</w:t>
            </w:r>
            <w:r w:rsidR="004A3E90">
              <w:rPr>
                <w:rStyle w:val="Refdenotaalpie"/>
                <w:rFonts w:ascii="ITC Avant Garde" w:hAnsi="ITC Avant Garde" w:cs="Arial"/>
                <w:lang w:val="es-MX"/>
              </w:rPr>
              <w:footnoteReference w:id="19"/>
            </w:r>
            <w:r w:rsidRPr="00523452">
              <w:rPr>
                <w:rFonts w:ascii="ITC Avant Garde" w:hAnsi="ITC Avant Garde" w:cs="Arial"/>
                <w:lang w:val="es-MX"/>
              </w:rPr>
              <w:t>:</w:t>
            </w:r>
          </w:p>
          <w:p w14:paraId="1CD753E1" w14:textId="77777777" w:rsidR="00181D64" w:rsidRPr="00523452" w:rsidRDefault="00181D64" w:rsidP="00547732">
            <w:pPr>
              <w:pStyle w:val="Tablecells"/>
              <w:numPr>
                <w:ilvl w:val="0"/>
                <w:numId w:val="9"/>
              </w:numPr>
              <w:spacing w:before="0" w:after="120" w:line="276" w:lineRule="auto"/>
              <w:jc w:val="both"/>
              <w:rPr>
                <w:rFonts w:ascii="ITC Avant Garde" w:hAnsi="ITC Avant Garde" w:cs="Arial"/>
                <w:lang w:val="es-MX"/>
              </w:rPr>
            </w:pPr>
            <w:r w:rsidRPr="00523452">
              <w:rPr>
                <w:rFonts w:ascii="ITC Avant Garde" w:hAnsi="ITC Avant Garde" w:cs="Arial"/>
                <w:lang w:val="es-MX"/>
              </w:rPr>
              <w:t>Realizar hasta 100 llamadas locales libres de cargo.</w:t>
            </w:r>
          </w:p>
          <w:p w14:paraId="0BB9AD0B" w14:textId="77777777" w:rsidR="00181D64" w:rsidRPr="00523452" w:rsidRDefault="00181D64" w:rsidP="00547732">
            <w:pPr>
              <w:pStyle w:val="Tablecells"/>
              <w:numPr>
                <w:ilvl w:val="0"/>
                <w:numId w:val="9"/>
              </w:numPr>
              <w:spacing w:before="0" w:after="120" w:line="276" w:lineRule="auto"/>
              <w:jc w:val="both"/>
              <w:rPr>
                <w:rFonts w:ascii="ITC Avant Garde" w:hAnsi="ITC Avant Garde" w:cs="Arial"/>
                <w:lang w:val="es-MX"/>
              </w:rPr>
            </w:pPr>
            <w:r w:rsidRPr="00523452">
              <w:rPr>
                <w:rFonts w:ascii="ITC Avant Garde" w:hAnsi="ITC Avant Garde" w:cs="Arial"/>
                <w:lang w:val="es-MX"/>
              </w:rPr>
              <w:t>Algunos servicios digitales, por un periodo de tiempo.</w:t>
            </w:r>
          </w:p>
          <w:p w14:paraId="6D302B5A" w14:textId="77777777" w:rsidR="00181D64" w:rsidRPr="00523452" w:rsidRDefault="00181D64" w:rsidP="00547732">
            <w:pPr>
              <w:pStyle w:val="Tablecells"/>
              <w:spacing w:before="0" w:after="120" w:line="276" w:lineRule="auto"/>
              <w:ind w:left="720"/>
              <w:jc w:val="both"/>
              <w:rPr>
                <w:rFonts w:ascii="ITC Avant Garde" w:hAnsi="ITC Avant Garde" w:cs="Arial"/>
                <w:lang w:val="es-MX"/>
              </w:rPr>
            </w:pPr>
          </w:p>
        </w:tc>
        <w:tc>
          <w:tcPr>
            <w:tcW w:w="4417" w:type="dxa"/>
          </w:tcPr>
          <w:p w14:paraId="6BFC09EA" w14:textId="77777777" w:rsidR="00181D64" w:rsidRPr="00523452" w:rsidRDefault="00181D64" w:rsidP="00547732">
            <w:pPr>
              <w:pStyle w:val="Tablecells"/>
              <w:spacing w:before="0" w:after="120" w:line="276" w:lineRule="auto"/>
              <w:jc w:val="both"/>
              <w:rPr>
                <w:rFonts w:ascii="ITC Avant Garde" w:hAnsi="ITC Avant Garde" w:cs="Arial"/>
                <w:bCs/>
                <w:lang w:val="es-MX"/>
              </w:rPr>
            </w:pPr>
            <w:r w:rsidRPr="00523452">
              <w:rPr>
                <w:rFonts w:ascii="ITC Avant Garde" w:hAnsi="ITC Avant Garde" w:cs="Arial"/>
                <w:bCs/>
                <w:lang w:val="es-MX"/>
              </w:rPr>
              <w:t>En el caso de planes y paquetes residenciales, se asume que el precio implícito de este servicio es una porción de la renta mensual de la “Línea residencial”.</w:t>
            </w:r>
          </w:p>
          <w:p w14:paraId="3F153757" w14:textId="77777777" w:rsidR="00181D64" w:rsidRPr="00523452" w:rsidRDefault="00181D64" w:rsidP="00547732">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Se asume que dicho valor se descompone en los precios implícitos del 1) acceso a la línea telefónica de uso residencial, 2) el precio implícito de las llamadas locales asociadas a la renta de “línea residencial” y 3) los servicios digitales relativos a la renta de “línea residencial”.</w:t>
            </w:r>
          </w:p>
        </w:tc>
      </w:tr>
      <w:tr w:rsidR="00181D64" w:rsidRPr="00523452" w14:paraId="402D96EA" w14:textId="77777777" w:rsidTr="00A02ABE">
        <w:trPr>
          <w:trHeight w:val="1000"/>
        </w:trPr>
        <w:tc>
          <w:tcPr>
            <w:tcW w:w="1980" w:type="dxa"/>
            <w:vAlign w:val="center"/>
          </w:tcPr>
          <w:p w14:paraId="05359032" w14:textId="77777777" w:rsidR="00181D64" w:rsidRPr="00523452" w:rsidRDefault="00181D64" w:rsidP="00547732">
            <w:pPr>
              <w:pStyle w:val="Tablecells"/>
              <w:spacing w:before="0" w:after="120" w:line="276" w:lineRule="auto"/>
              <w:jc w:val="both"/>
              <w:rPr>
                <w:rFonts w:ascii="ITC Avant Garde" w:hAnsi="ITC Avant Garde" w:cs="Arial"/>
                <w:i/>
                <w:lang w:val="es-MX"/>
              </w:rPr>
            </w:pPr>
            <w:r w:rsidRPr="00523452">
              <w:rPr>
                <w:rFonts w:ascii="ITC Avant Garde" w:hAnsi="ITC Avant Garde" w:cs="Arial"/>
                <w:i/>
                <w:lang w:val="es-MX"/>
              </w:rPr>
              <w:t>Correspondiente a planes y paquetes comerciales</w:t>
            </w:r>
          </w:p>
        </w:tc>
        <w:tc>
          <w:tcPr>
            <w:tcW w:w="3118" w:type="dxa"/>
            <w:vAlign w:val="center"/>
          </w:tcPr>
          <w:p w14:paraId="72E97101" w14:textId="77777777" w:rsidR="00181D64" w:rsidRPr="00523452" w:rsidRDefault="00181D64" w:rsidP="00547732">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Reportó el valor de la renta mensual de la “Línea comercial”, el cual no incluye servicios de voz ni servicios digitales.</w:t>
            </w:r>
          </w:p>
        </w:tc>
        <w:tc>
          <w:tcPr>
            <w:tcW w:w="4417" w:type="dxa"/>
            <w:vAlign w:val="center"/>
          </w:tcPr>
          <w:p w14:paraId="00A11EF7" w14:textId="77777777" w:rsidR="00181D64" w:rsidRPr="00523452" w:rsidRDefault="00181D64" w:rsidP="00547732">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Se asume que dicho valor representa el precio implícito del acceso a la línea telefónica de uso no residencial.</w:t>
            </w:r>
          </w:p>
        </w:tc>
      </w:tr>
      <w:tr w:rsidR="00181D64" w:rsidRPr="00523452" w14:paraId="0B256924" w14:textId="77777777" w:rsidTr="00A02ABE">
        <w:trPr>
          <w:trHeight w:val="170"/>
        </w:trPr>
        <w:tc>
          <w:tcPr>
            <w:tcW w:w="9515" w:type="dxa"/>
            <w:gridSpan w:val="3"/>
            <w:shd w:val="clear" w:color="auto" w:fill="E7E6E6" w:themeFill="background2"/>
          </w:tcPr>
          <w:p w14:paraId="300356CB" w14:textId="77777777" w:rsidR="00181D64" w:rsidRPr="00523452" w:rsidRDefault="00181D64" w:rsidP="00A02ABE">
            <w:pPr>
              <w:pStyle w:val="Tablecells"/>
              <w:spacing w:before="0" w:after="120" w:line="276" w:lineRule="auto"/>
              <w:rPr>
                <w:rFonts w:ascii="ITC Avant Garde" w:hAnsi="ITC Avant Garde" w:cs="Arial"/>
                <w:b/>
                <w:lang w:val="es-MX"/>
              </w:rPr>
            </w:pPr>
            <w:r w:rsidRPr="00523452">
              <w:rPr>
                <w:rFonts w:ascii="ITC Avant Garde" w:hAnsi="ITC Avant Garde" w:cs="Arial"/>
                <w:b/>
                <w:lang w:val="es-MX"/>
              </w:rPr>
              <w:t>Servicios de voz</w:t>
            </w:r>
          </w:p>
        </w:tc>
      </w:tr>
      <w:tr w:rsidR="00181D64" w:rsidRPr="00523452" w14:paraId="7BDD1CE6" w14:textId="77777777" w:rsidTr="00A02ABE">
        <w:trPr>
          <w:trHeight w:val="340"/>
        </w:trPr>
        <w:tc>
          <w:tcPr>
            <w:tcW w:w="1980" w:type="dxa"/>
            <w:vAlign w:val="center"/>
          </w:tcPr>
          <w:p w14:paraId="353F30D1" w14:textId="77777777" w:rsidR="00181D64" w:rsidRPr="00523452" w:rsidRDefault="00181D64" w:rsidP="00547732">
            <w:pPr>
              <w:pStyle w:val="Tablecells"/>
              <w:spacing w:before="0" w:after="120" w:line="276" w:lineRule="auto"/>
              <w:jc w:val="both"/>
              <w:rPr>
                <w:rFonts w:ascii="ITC Avant Garde" w:hAnsi="ITC Avant Garde" w:cs="Arial"/>
                <w:i/>
                <w:lang w:val="es-MX"/>
              </w:rPr>
            </w:pPr>
            <w:r w:rsidRPr="00523452">
              <w:rPr>
                <w:rFonts w:ascii="ITC Avant Garde" w:hAnsi="ITC Avant Garde" w:cs="Arial"/>
                <w:i/>
                <w:lang w:val="es-MX"/>
              </w:rPr>
              <w:t>Números telefónicos fijos locales</w:t>
            </w:r>
          </w:p>
        </w:tc>
        <w:tc>
          <w:tcPr>
            <w:tcW w:w="3118" w:type="dxa"/>
            <w:vMerge w:val="restart"/>
            <w:vAlign w:val="center"/>
          </w:tcPr>
          <w:p w14:paraId="5440983E" w14:textId="2B1AEE6D" w:rsidR="00181D64" w:rsidRPr="00523452" w:rsidRDefault="00181D64" w:rsidP="00547732">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Estos datos fueron aportados, para los planes y paquetes en cuestión.</w:t>
            </w:r>
          </w:p>
        </w:tc>
        <w:tc>
          <w:tcPr>
            <w:tcW w:w="4417" w:type="dxa"/>
          </w:tcPr>
          <w:p w14:paraId="4D1D65F4" w14:textId="26EFB088" w:rsidR="00181D64" w:rsidRPr="00523452" w:rsidRDefault="00181D64" w:rsidP="00547732">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Se considera que el precio implícito de este servicio proviene</w:t>
            </w:r>
            <w:r w:rsidR="00FB7D1F">
              <w:rPr>
                <w:rFonts w:ascii="ITC Avant Garde" w:hAnsi="ITC Avant Garde" w:cs="Arial"/>
                <w:lang w:val="es-MX"/>
              </w:rPr>
              <w:t xml:space="preserve"> de</w:t>
            </w:r>
            <w:r w:rsidRPr="00523452">
              <w:rPr>
                <w:rFonts w:ascii="ITC Avant Garde" w:hAnsi="ITC Avant Garde" w:cs="Arial"/>
                <w:lang w:val="es-MX"/>
              </w:rPr>
              <w:t xml:space="preserve"> los datos</w:t>
            </w:r>
            <w:r w:rsidR="00FB7D1F">
              <w:rPr>
                <w:rFonts w:ascii="ITC Avant Garde" w:hAnsi="ITC Avant Garde" w:cs="Arial"/>
                <w:lang w:val="es-MX"/>
              </w:rPr>
              <w:t xml:space="preserve"> proporcionados</w:t>
            </w:r>
            <w:r w:rsidRPr="00523452">
              <w:rPr>
                <w:rFonts w:ascii="ITC Avant Garde" w:hAnsi="ITC Avant Garde" w:cs="Arial"/>
                <w:lang w:val="es-MX"/>
              </w:rPr>
              <w:t xml:space="preserve"> por </w:t>
            </w:r>
            <w:r w:rsidR="00F24FA9">
              <w:rPr>
                <w:rFonts w:ascii="ITC Avant Garde" w:hAnsi="ITC Avant Garde" w:cs="Arial"/>
                <w:lang w:val="es-MX"/>
              </w:rPr>
              <w:t>TELMEX/TELNOR</w:t>
            </w:r>
            <w:r w:rsidRPr="00523452">
              <w:rPr>
                <w:rFonts w:ascii="ITC Avant Garde" w:hAnsi="ITC Avant Garde" w:cs="Arial"/>
                <w:lang w:val="es-MX"/>
              </w:rPr>
              <w:t xml:space="preserve"> sobre este apartado, y también del valor de las llamadas locales asociadas a la renta de “línea residencial”.</w:t>
            </w:r>
          </w:p>
        </w:tc>
      </w:tr>
      <w:tr w:rsidR="00181D64" w:rsidRPr="00523452" w14:paraId="56FF80E3" w14:textId="77777777" w:rsidTr="00A02ABE">
        <w:trPr>
          <w:trHeight w:val="340"/>
        </w:trPr>
        <w:tc>
          <w:tcPr>
            <w:tcW w:w="1980" w:type="dxa"/>
          </w:tcPr>
          <w:p w14:paraId="6CAAACE5" w14:textId="77777777" w:rsidR="00181D64" w:rsidRPr="00523452" w:rsidRDefault="00181D64" w:rsidP="00547732">
            <w:pPr>
              <w:pStyle w:val="Tablecells"/>
              <w:spacing w:before="0" w:after="120" w:line="276" w:lineRule="auto"/>
              <w:jc w:val="both"/>
              <w:rPr>
                <w:rFonts w:ascii="ITC Avant Garde" w:hAnsi="ITC Avant Garde" w:cs="Arial"/>
                <w:i/>
                <w:lang w:val="es-MX"/>
              </w:rPr>
            </w:pPr>
            <w:r w:rsidRPr="00523452">
              <w:rPr>
                <w:rFonts w:ascii="ITC Avant Garde" w:hAnsi="ITC Avant Garde" w:cs="Arial"/>
                <w:i/>
                <w:lang w:val="es-MX"/>
              </w:rPr>
              <w:lastRenderedPageBreak/>
              <w:t>Números celulares</w:t>
            </w:r>
          </w:p>
        </w:tc>
        <w:tc>
          <w:tcPr>
            <w:tcW w:w="3118" w:type="dxa"/>
            <w:vMerge/>
          </w:tcPr>
          <w:p w14:paraId="6AB7CB71" w14:textId="77777777" w:rsidR="00181D64" w:rsidRPr="00523452" w:rsidRDefault="00181D64" w:rsidP="00A02ABE">
            <w:pPr>
              <w:pStyle w:val="Tablecells"/>
              <w:spacing w:before="0" w:after="120" w:line="276" w:lineRule="auto"/>
              <w:rPr>
                <w:rFonts w:ascii="ITC Avant Garde" w:hAnsi="ITC Avant Garde" w:cs="Arial"/>
                <w:lang w:val="es-MX"/>
              </w:rPr>
            </w:pPr>
          </w:p>
        </w:tc>
        <w:tc>
          <w:tcPr>
            <w:tcW w:w="4417" w:type="dxa"/>
            <w:vMerge w:val="restart"/>
            <w:vAlign w:val="center"/>
          </w:tcPr>
          <w:p w14:paraId="2804B0CD" w14:textId="77777777" w:rsidR="00181D64" w:rsidRPr="00523452" w:rsidRDefault="00181D64" w:rsidP="00CA2F00">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Considerados para representar el precio implícito de estos servicios.</w:t>
            </w:r>
          </w:p>
        </w:tc>
      </w:tr>
      <w:tr w:rsidR="00181D64" w:rsidRPr="00523452" w14:paraId="686BE5FF" w14:textId="77777777" w:rsidTr="00A02ABE">
        <w:trPr>
          <w:trHeight w:val="340"/>
        </w:trPr>
        <w:tc>
          <w:tcPr>
            <w:tcW w:w="1980" w:type="dxa"/>
          </w:tcPr>
          <w:p w14:paraId="23006B32" w14:textId="77777777" w:rsidR="00181D64" w:rsidRPr="00523452" w:rsidRDefault="00181D64" w:rsidP="00547732">
            <w:pPr>
              <w:pStyle w:val="Tablecells"/>
              <w:spacing w:before="0" w:after="120" w:line="276" w:lineRule="auto"/>
              <w:jc w:val="both"/>
              <w:rPr>
                <w:rFonts w:ascii="ITC Avant Garde" w:hAnsi="ITC Avant Garde" w:cs="Arial"/>
                <w:i/>
                <w:lang w:val="es-MX"/>
              </w:rPr>
            </w:pPr>
            <w:r w:rsidRPr="00523452">
              <w:rPr>
                <w:rFonts w:ascii="ITC Avant Garde" w:hAnsi="ITC Avant Garde" w:cs="Arial"/>
                <w:i/>
                <w:lang w:val="es-MX"/>
              </w:rPr>
              <w:t>Números de “Larga Distancia Internacional”</w:t>
            </w:r>
          </w:p>
        </w:tc>
        <w:tc>
          <w:tcPr>
            <w:tcW w:w="3118" w:type="dxa"/>
            <w:vMerge/>
          </w:tcPr>
          <w:p w14:paraId="621D11C3" w14:textId="77777777" w:rsidR="00181D64" w:rsidRPr="00523452" w:rsidRDefault="00181D64" w:rsidP="00A02ABE">
            <w:pPr>
              <w:pStyle w:val="Tablecells"/>
              <w:spacing w:before="0" w:after="120" w:line="276" w:lineRule="auto"/>
              <w:rPr>
                <w:rFonts w:ascii="ITC Avant Garde" w:hAnsi="ITC Avant Garde" w:cs="Arial"/>
                <w:lang w:val="es-MX"/>
              </w:rPr>
            </w:pPr>
          </w:p>
        </w:tc>
        <w:tc>
          <w:tcPr>
            <w:tcW w:w="4417" w:type="dxa"/>
            <w:vMerge/>
          </w:tcPr>
          <w:p w14:paraId="103F5350" w14:textId="77777777" w:rsidR="00181D64" w:rsidRPr="00523452" w:rsidRDefault="00181D64" w:rsidP="00A02ABE">
            <w:pPr>
              <w:pStyle w:val="Tablecells"/>
              <w:spacing w:before="0" w:after="120" w:line="276" w:lineRule="auto"/>
              <w:rPr>
                <w:rFonts w:ascii="ITC Avant Garde" w:hAnsi="ITC Avant Garde" w:cs="Arial"/>
                <w:lang w:val="es-MX"/>
              </w:rPr>
            </w:pPr>
          </w:p>
        </w:tc>
      </w:tr>
      <w:tr w:rsidR="00181D64" w:rsidRPr="00523452" w14:paraId="699A2A93" w14:textId="77777777" w:rsidTr="00A02ABE">
        <w:trPr>
          <w:trHeight w:val="340"/>
        </w:trPr>
        <w:tc>
          <w:tcPr>
            <w:tcW w:w="1980" w:type="dxa"/>
          </w:tcPr>
          <w:p w14:paraId="0E6361D9" w14:textId="77777777" w:rsidR="00181D64" w:rsidRPr="00523452" w:rsidRDefault="00181D64" w:rsidP="00547732">
            <w:pPr>
              <w:pStyle w:val="Tablecells"/>
              <w:spacing w:before="0" w:after="120" w:line="276" w:lineRule="auto"/>
              <w:jc w:val="both"/>
              <w:rPr>
                <w:rFonts w:ascii="ITC Avant Garde" w:hAnsi="ITC Avant Garde" w:cs="Arial"/>
                <w:i/>
                <w:lang w:val="es-MX"/>
              </w:rPr>
            </w:pPr>
            <w:r w:rsidRPr="00523452">
              <w:rPr>
                <w:rFonts w:ascii="ITC Avant Garde" w:hAnsi="ITC Avant Garde" w:cs="Arial"/>
                <w:i/>
                <w:lang w:val="es-MX"/>
              </w:rPr>
              <w:t>Números de “Larga Distancia Mundial”</w:t>
            </w:r>
          </w:p>
        </w:tc>
        <w:tc>
          <w:tcPr>
            <w:tcW w:w="3118" w:type="dxa"/>
            <w:vMerge/>
          </w:tcPr>
          <w:p w14:paraId="15AD7F20" w14:textId="77777777" w:rsidR="00181D64" w:rsidRPr="00523452" w:rsidRDefault="00181D64" w:rsidP="00A02ABE">
            <w:pPr>
              <w:pStyle w:val="Tablecells"/>
              <w:spacing w:before="0" w:after="120" w:line="276" w:lineRule="auto"/>
              <w:rPr>
                <w:rFonts w:ascii="ITC Avant Garde" w:hAnsi="ITC Avant Garde" w:cs="Arial"/>
                <w:lang w:val="es-MX"/>
              </w:rPr>
            </w:pPr>
          </w:p>
        </w:tc>
        <w:tc>
          <w:tcPr>
            <w:tcW w:w="4417" w:type="dxa"/>
            <w:vMerge/>
          </w:tcPr>
          <w:p w14:paraId="3BF2B86E" w14:textId="77777777" w:rsidR="00181D64" w:rsidRPr="00523452" w:rsidRDefault="00181D64" w:rsidP="00A02ABE">
            <w:pPr>
              <w:pStyle w:val="Tablecells"/>
              <w:spacing w:before="0" w:after="120" w:line="276" w:lineRule="auto"/>
              <w:rPr>
                <w:rFonts w:ascii="ITC Avant Garde" w:hAnsi="ITC Avant Garde" w:cs="Arial"/>
                <w:lang w:val="es-MX"/>
              </w:rPr>
            </w:pPr>
          </w:p>
        </w:tc>
      </w:tr>
      <w:tr w:rsidR="00181D64" w:rsidRPr="00523452" w14:paraId="3AD21288" w14:textId="77777777" w:rsidTr="00A02ABE">
        <w:trPr>
          <w:trHeight w:val="227"/>
        </w:trPr>
        <w:tc>
          <w:tcPr>
            <w:tcW w:w="9515" w:type="dxa"/>
            <w:gridSpan w:val="3"/>
            <w:shd w:val="clear" w:color="auto" w:fill="E7E6E6" w:themeFill="background2"/>
          </w:tcPr>
          <w:p w14:paraId="5A6048B4" w14:textId="1B84D1BF" w:rsidR="00181D64" w:rsidRPr="00523452" w:rsidRDefault="00181D64" w:rsidP="00A02ABE">
            <w:pPr>
              <w:pStyle w:val="Tablecells"/>
              <w:spacing w:before="0" w:after="120" w:line="276" w:lineRule="auto"/>
              <w:rPr>
                <w:rFonts w:ascii="ITC Avant Garde" w:hAnsi="ITC Avant Garde" w:cs="Arial"/>
                <w:b/>
                <w:lang w:val="es-MX"/>
              </w:rPr>
            </w:pPr>
            <w:r w:rsidRPr="00523452">
              <w:rPr>
                <w:rFonts w:ascii="ITC Avant Garde" w:hAnsi="ITC Avant Garde" w:cs="Arial"/>
                <w:b/>
                <w:lang w:val="es-MX"/>
              </w:rPr>
              <w:t xml:space="preserve">Servicios digitales </w:t>
            </w:r>
          </w:p>
        </w:tc>
      </w:tr>
      <w:tr w:rsidR="00181D64" w:rsidRPr="00523452" w14:paraId="3C1CCAA0" w14:textId="77777777" w:rsidTr="00A02ABE">
        <w:trPr>
          <w:trHeight w:val="511"/>
        </w:trPr>
        <w:tc>
          <w:tcPr>
            <w:tcW w:w="1980" w:type="dxa"/>
            <w:vAlign w:val="center"/>
          </w:tcPr>
          <w:p w14:paraId="281DCFE3" w14:textId="77777777" w:rsidR="00181D64" w:rsidRPr="00523452" w:rsidRDefault="00181D64" w:rsidP="00A02ABE">
            <w:pPr>
              <w:pStyle w:val="Tablecells"/>
              <w:spacing w:before="0" w:after="120" w:line="276" w:lineRule="auto"/>
              <w:rPr>
                <w:rFonts w:ascii="ITC Avant Garde" w:hAnsi="ITC Avant Garde" w:cs="Arial"/>
                <w:i/>
                <w:lang w:val="es-MX"/>
              </w:rPr>
            </w:pPr>
            <w:r w:rsidRPr="00523452">
              <w:rPr>
                <w:rFonts w:ascii="ITC Avant Garde" w:hAnsi="ITC Avant Garde" w:cs="Arial"/>
                <w:i/>
                <w:lang w:val="es-MX"/>
              </w:rPr>
              <w:t>Corresponden a planes y paquetes residenciales</w:t>
            </w:r>
          </w:p>
        </w:tc>
        <w:tc>
          <w:tcPr>
            <w:tcW w:w="3118" w:type="dxa"/>
            <w:vAlign w:val="center"/>
          </w:tcPr>
          <w:p w14:paraId="1ABD0132" w14:textId="77777777" w:rsidR="00181D64" w:rsidRPr="00523452" w:rsidRDefault="00181D64" w:rsidP="00A02ABE">
            <w:pPr>
              <w:pStyle w:val="Tablecells"/>
              <w:spacing w:before="0" w:after="120" w:line="276" w:lineRule="auto"/>
              <w:rPr>
                <w:rFonts w:ascii="ITC Avant Garde" w:hAnsi="ITC Avant Garde" w:cs="Arial"/>
                <w:lang w:val="es-MX"/>
              </w:rPr>
            </w:pPr>
            <w:r w:rsidRPr="00523452">
              <w:rPr>
                <w:rFonts w:ascii="ITC Avant Garde" w:hAnsi="ITC Avant Garde" w:cs="Arial"/>
                <w:lang w:val="es-MX"/>
              </w:rPr>
              <w:t>Información no proporcionada.</w:t>
            </w:r>
          </w:p>
        </w:tc>
        <w:tc>
          <w:tcPr>
            <w:tcW w:w="4417" w:type="dxa"/>
            <w:vAlign w:val="center"/>
          </w:tcPr>
          <w:p w14:paraId="5FE3AAD0" w14:textId="37CEA678" w:rsidR="00181D64" w:rsidRPr="00523452" w:rsidRDefault="00181D64" w:rsidP="00CA2F00">
            <w:pPr>
              <w:pStyle w:val="Tablecells"/>
              <w:spacing w:before="0" w:after="120" w:line="276" w:lineRule="auto"/>
              <w:jc w:val="both"/>
              <w:rPr>
                <w:rFonts w:ascii="ITC Avant Garde" w:hAnsi="ITC Avant Garde" w:cs="Arial"/>
                <w:bCs/>
                <w:lang w:val="es-MX"/>
              </w:rPr>
            </w:pPr>
            <w:r w:rsidRPr="00523452">
              <w:rPr>
                <w:rFonts w:ascii="ITC Avant Garde" w:hAnsi="ITC Avant Garde" w:cs="Arial"/>
                <w:bCs/>
                <w:lang w:val="es-MX"/>
              </w:rPr>
              <w:t>En el caso de planes y paquetes residenciales, se asume que el precio implícito de este servicio es una porción de la renta mensual de la “Línea residencial”.</w:t>
            </w:r>
          </w:p>
        </w:tc>
      </w:tr>
      <w:tr w:rsidR="00181D64" w:rsidRPr="00523452" w14:paraId="2D71B7A8" w14:textId="77777777" w:rsidTr="00A02ABE">
        <w:trPr>
          <w:trHeight w:val="852"/>
        </w:trPr>
        <w:tc>
          <w:tcPr>
            <w:tcW w:w="1980" w:type="dxa"/>
            <w:vAlign w:val="center"/>
          </w:tcPr>
          <w:p w14:paraId="37962688" w14:textId="77777777" w:rsidR="00181D64" w:rsidRPr="00523452" w:rsidRDefault="00181D64" w:rsidP="00547732">
            <w:pPr>
              <w:pStyle w:val="Tablecells"/>
              <w:spacing w:before="0" w:after="120" w:line="276" w:lineRule="auto"/>
              <w:jc w:val="both"/>
              <w:rPr>
                <w:rFonts w:ascii="ITC Avant Garde" w:hAnsi="ITC Avant Garde" w:cs="Arial"/>
                <w:i/>
                <w:lang w:val="es-MX"/>
              </w:rPr>
            </w:pPr>
            <w:r w:rsidRPr="00523452">
              <w:rPr>
                <w:rFonts w:ascii="ITC Avant Garde" w:hAnsi="ITC Avant Garde" w:cs="Arial"/>
                <w:i/>
                <w:lang w:val="es-MX"/>
              </w:rPr>
              <w:t>Correspondiente a planes y paquetes no residenciales</w:t>
            </w:r>
          </w:p>
        </w:tc>
        <w:tc>
          <w:tcPr>
            <w:tcW w:w="3118" w:type="dxa"/>
            <w:vAlign w:val="center"/>
          </w:tcPr>
          <w:p w14:paraId="1650F10C" w14:textId="77777777" w:rsidR="00181D64" w:rsidRPr="00523452" w:rsidRDefault="00181D64" w:rsidP="00547732">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 xml:space="preserve">Información no proporcionada </w:t>
            </w:r>
          </w:p>
        </w:tc>
        <w:tc>
          <w:tcPr>
            <w:tcW w:w="4417" w:type="dxa"/>
            <w:vAlign w:val="center"/>
          </w:tcPr>
          <w:p w14:paraId="3A3C1155" w14:textId="691AC40E" w:rsidR="00181D64" w:rsidRPr="00523452" w:rsidRDefault="00B632AD" w:rsidP="00547732">
            <w:pPr>
              <w:pStyle w:val="Tablecells"/>
              <w:spacing w:before="0" w:after="120" w:line="276" w:lineRule="auto"/>
              <w:jc w:val="both"/>
              <w:rPr>
                <w:rFonts w:ascii="ITC Avant Garde" w:hAnsi="ITC Avant Garde" w:cs="Arial"/>
                <w:lang w:val="es-MX"/>
              </w:rPr>
            </w:pPr>
            <w:r w:rsidRPr="00C53454">
              <w:rPr>
                <w:rFonts w:ascii="ITC Avant Garde" w:hAnsi="ITC Avant Garde" w:cs="Arial"/>
                <w:lang w:val="es-MX"/>
              </w:rPr>
              <w:t>En particular, no se asume como una parte de la</w:t>
            </w:r>
            <w:r w:rsidR="004D7857" w:rsidRPr="00C53454">
              <w:rPr>
                <w:rFonts w:ascii="ITC Avant Garde" w:hAnsi="ITC Avant Garde" w:cs="Arial"/>
                <w:lang w:val="es-MX"/>
              </w:rPr>
              <w:t xml:space="preserve"> renta</w:t>
            </w:r>
            <w:r w:rsidR="00181D64" w:rsidRPr="00C53454">
              <w:rPr>
                <w:rFonts w:ascii="ITC Avant Garde" w:hAnsi="ITC Avant Garde" w:cs="Arial"/>
                <w:lang w:val="es-MX"/>
              </w:rPr>
              <w:t xml:space="preserve"> mensual de la “Línea comercial”, dado que las líneas de uso comercial de </w:t>
            </w:r>
            <w:r w:rsidRPr="00C53454">
              <w:rPr>
                <w:rFonts w:ascii="ITC Avant Garde" w:hAnsi="ITC Avant Garde" w:cs="Arial"/>
                <w:lang w:val="es-MX"/>
              </w:rPr>
              <w:t>TELMEX/TELNOR</w:t>
            </w:r>
            <w:r w:rsidR="00181D64" w:rsidRPr="00C53454">
              <w:rPr>
                <w:rFonts w:ascii="ITC Avant Garde" w:hAnsi="ITC Avant Garde" w:cs="Arial"/>
                <w:lang w:val="es-MX"/>
              </w:rPr>
              <w:t xml:space="preserve"> no incluyen “servicios digitales”.</w:t>
            </w:r>
          </w:p>
        </w:tc>
      </w:tr>
      <w:tr w:rsidR="00181D64" w:rsidRPr="00523452" w14:paraId="32293290" w14:textId="77777777" w:rsidTr="00547732">
        <w:trPr>
          <w:trHeight w:val="2098"/>
        </w:trPr>
        <w:tc>
          <w:tcPr>
            <w:tcW w:w="1980" w:type="dxa"/>
            <w:shd w:val="clear" w:color="auto" w:fill="E7E6E6" w:themeFill="background2"/>
            <w:vAlign w:val="center"/>
          </w:tcPr>
          <w:p w14:paraId="7E9F7055" w14:textId="586B9D43" w:rsidR="00181D64" w:rsidRPr="00523452" w:rsidRDefault="00B632AD" w:rsidP="00547732">
            <w:pPr>
              <w:pStyle w:val="Tablecells"/>
              <w:spacing w:before="0" w:after="120" w:line="276" w:lineRule="auto"/>
              <w:jc w:val="both"/>
              <w:rPr>
                <w:rFonts w:ascii="ITC Avant Garde" w:hAnsi="ITC Avant Garde" w:cs="Arial"/>
                <w:b/>
                <w:i/>
                <w:lang w:val="es-MX"/>
              </w:rPr>
            </w:pPr>
            <w:r>
              <w:rPr>
                <w:rFonts w:ascii="ITC Avant Garde" w:hAnsi="ITC Avant Garde" w:cs="Arial"/>
                <w:b/>
                <w:i/>
                <w:lang w:val="es-MX"/>
              </w:rPr>
              <w:t>Banda ancha</w:t>
            </w:r>
          </w:p>
        </w:tc>
        <w:tc>
          <w:tcPr>
            <w:tcW w:w="3118" w:type="dxa"/>
            <w:shd w:val="clear" w:color="auto" w:fill="E7E6E6" w:themeFill="background2"/>
            <w:vAlign w:val="center"/>
          </w:tcPr>
          <w:p w14:paraId="45A577F2" w14:textId="314709F6" w:rsidR="00181D64" w:rsidRPr="00523452" w:rsidRDefault="00181D64" w:rsidP="00547732">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 xml:space="preserve">Estos datos fueron estimados para los planes y paquetes mediante los cuales </w:t>
            </w:r>
            <w:r w:rsidR="00B632AD">
              <w:rPr>
                <w:rFonts w:ascii="ITC Avant Garde" w:hAnsi="ITC Avant Garde" w:cs="Arial"/>
                <w:lang w:val="es-MX"/>
              </w:rPr>
              <w:t>TELMEX/TELNOR</w:t>
            </w:r>
            <w:r w:rsidRPr="00523452">
              <w:rPr>
                <w:rFonts w:ascii="ITC Avant Garde" w:hAnsi="ITC Avant Garde" w:cs="Arial"/>
                <w:lang w:val="es-MX"/>
              </w:rPr>
              <w:t xml:space="preserve"> ofrecen servicios de Internet.</w:t>
            </w:r>
          </w:p>
        </w:tc>
        <w:tc>
          <w:tcPr>
            <w:tcW w:w="4417" w:type="dxa"/>
            <w:shd w:val="clear" w:color="auto" w:fill="E7E6E6" w:themeFill="background2"/>
          </w:tcPr>
          <w:p w14:paraId="67CCAD82" w14:textId="7BAB12BF" w:rsidR="00181D64" w:rsidRPr="00523452" w:rsidRDefault="00061A13" w:rsidP="00C53454">
            <w:pPr>
              <w:pStyle w:val="Tablecells"/>
              <w:spacing w:before="0" w:after="120" w:line="276" w:lineRule="auto"/>
              <w:jc w:val="both"/>
              <w:rPr>
                <w:rFonts w:ascii="ITC Avant Garde" w:hAnsi="ITC Avant Garde" w:cs="Arial"/>
                <w:lang w:val="es-MX"/>
              </w:rPr>
            </w:pPr>
            <w:r>
              <w:rPr>
                <w:rFonts w:ascii="ITC Avant Garde" w:hAnsi="ITC Avant Garde" w:cs="Arial"/>
                <w:lang w:val="es-MX"/>
              </w:rPr>
              <w:t>S</w:t>
            </w:r>
            <w:r w:rsidR="004E3A71">
              <w:rPr>
                <w:rFonts w:ascii="ITC Avant Garde" w:hAnsi="ITC Avant Garde" w:cs="Arial"/>
                <w:lang w:val="es-MX"/>
              </w:rPr>
              <w:t xml:space="preserve">e consideró el valor reportado por TELMEX/TELNOR </w:t>
            </w:r>
            <w:r w:rsidR="005342B1">
              <w:rPr>
                <w:rFonts w:ascii="ITC Avant Garde" w:hAnsi="ITC Avant Garde" w:cs="Arial"/>
                <w:lang w:val="es-MX"/>
              </w:rPr>
              <w:t>p</w:t>
            </w:r>
            <w:r w:rsidR="00E57FB3">
              <w:rPr>
                <w:rFonts w:ascii="ITC Avant Garde" w:hAnsi="ITC Avant Garde" w:cs="Arial"/>
                <w:lang w:val="es-MX"/>
              </w:rPr>
              <w:t>ara</w:t>
            </w:r>
            <w:r w:rsidR="005342B1">
              <w:rPr>
                <w:rFonts w:ascii="ITC Avant Garde" w:hAnsi="ITC Avant Garde" w:cs="Arial"/>
                <w:lang w:val="es-MX"/>
              </w:rPr>
              <w:t xml:space="preserve"> la provisión de este servicio</w:t>
            </w:r>
            <w:r w:rsidR="005342B1">
              <w:rPr>
                <w:rStyle w:val="Refdenotaalpie"/>
              </w:rPr>
              <w:footnoteReference w:id="20"/>
            </w:r>
            <w:r w:rsidR="005342B1">
              <w:rPr>
                <w:rFonts w:ascii="ITC Avant Garde" w:hAnsi="ITC Avant Garde" w:cs="Arial"/>
                <w:lang w:val="es-MX"/>
              </w:rPr>
              <w:t>.</w:t>
            </w:r>
            <w:r w:rsidR="00C74E9A">
              <w:rPr>
                <w:rFonts w:ascii="ITC Avant Garde" w:hAnsi="ITC Avant Garde" w:cs="Arial"/>
                <w:lang w:val="es-MX"/>
              </w:rPr>
              <w:t xml:space="preserve"> Lo anterior a partir de esquemas de cobro de servicios minoristas como: 1) pago por renta mensual del servicio empaquetado; 2) pago por renta mensual de manera individual (solo </w:t>
            </w:r>
            <w:r w:rsidR="00E57FB3">
              <w:rPr>
                <w:rFonts w:ascii="ITC Avant Garde" w:hAnsi="ITC Avant Garde" w:cs="Arial"/>
                <w:lang w:val="es-MX"/>
              </w:rPr>
              <w:t>I</w:t>
            </w:r>
            <w:r w:rsidR="00C74E9A">
              <w:rPr>
                <w:rFonts w:ascii="ITC Avant Garde" w:hAnsi="ITC Avant Garde" w:cs="Arial"/>
                <w:lang w:val="es-MX"/>
              </w:rPr>
              <w:t xml:space="preserve">nternet); 3) pago por renta mensual en planes y paquetes por los que se obtiene una tarifa preferencial en la renta mensual. </w:t>
            </w:r>
            <w:r w:rsidR="00181D64" w:rsidRPr="003D3A12">
              <w:rPr>
                <w:rFonts w:ascii="ITC Avant Garde" w:hAnsi="ITC Avant Garde" w:cs="Arial"/>
                <w:highlight w:val="yellow"/>
                <w:lang w:val="es-MX"/>
              </w:rPr>
              <w:t xml:space="preserve"> </w:t>
            </w:r>
          </w:p>
        </w:tc>
      </w:tr>
      <w:tr w:rsidR="00181D64" w:rsidRPr="00523452" w14:paraId="15D11B97" w14:textId="77777777" w:rsidTr="00A02ABE">
        <w:trPr>
          <w:trHeight w:val="488"/>
        </w:trPr>
        <w:tc>
          <w:tcPr>
            <w:tcW w:w="1980" w:type="dxa"/>
            <w:vAlign w:val="center"/>
          </w:tcPr>
          <w:p w14:paraId="71858C16" w14:textId="0B793EEA" w:rsidR="00181D64" w:rsidRPr="00523452" w:rsidRDefault="00181D64" w:rsidP="00547732">
            <w:pPr>
              <w:pStyle w:val="Tablecells"/>
              <w:spacing w:before="0" w:after="120" w:line="276" w:lineRule="auto"/>
              <w:jc w:val="both"/>
              <w:rPr>
                <w:rFonts w:ascii="ITC Avant Garde" w:hAnsi="ITC Avant Garde" w:cs="Arial"/>
                <w:b/>
                <w:i/>
                <w:lang w:val="es-MX"/>
              </w:rPr>
            </w:pPr>
            <w:r w:rsidRPr="00523452">
              <w:rPr>
                <w:rFonts w:ascii="ITC Avant Garde" w:hAnsi="ITC Avant Garde" w:cs="Arial"/>
                <w:b/>
                <w:i/>
                <w:lang w:val="es-MX"/>
              </w:rPr>
              <w:t>Claro video</w:t>
            </w:r>
          </w:p>
        </w:tc>
        <w:tc>
          <w:tcPr>
            <w:tcW w:w="3118" w:type="dxa"/>
            <w:vAlign w:val="center"/>
          </w:tcPr>
          <w:p w14:paraId="2B5C16AA" w14:textId="77777777" w:rsidR="00181D64" w:rsidRPr="00523452" w:rsidRDefault="00181D64" w:rsidP="00547732">
            <w:pPr>
              <w:pStyle w:val="Tablecells"/>
              <w:spacing w:before="0" w:after="120" w:line="276" w:lineRule="auto"/>
              <w:jc w:val="both"/>
              <w:rPr>
                <w:rFonts w:ascii="ITC Avant Garde" w:hAnsi="ITC Avant Garde" w:cs="Arial"/>
                <w:lang w:val="es-MX"/>
              </w:rPr>
            </w:pPr>
            <w:r w:rsidRPr="00523452">
              <w:rPr>
                <w:rFonts w:ascii="ITC Avant Garde" w:hAnsi="ITC Avant Garde" w:cs="Arial"/>
                <w:lang w:val="es-MX"/>
              </w:rPr>
              <w:t xml:space="preserve">Información no disponible. </w:t>
            </w:r>
          </w:p>
        </w:tc>
        <w:tc>
          <w:tcPr>
            <w:tcW w:w="4417" w:type="dxa"/>
          </w:tcPr>
          <w:p w14:paraId="06DE362D" w14:textId="7880A73F" w:rsidR="00181D64" w:rsidRPr="00523452" w:rsidRDefault="004E3A71" w:rsidP="00547732">
            <w:pPr>
              <w:pStyle w:val="Tablecells"/>
              <w:spacing w:before="0" w:after="120" w:line="276" w:lineRule="auto"/>
              <w:jc w:val="both"/>
              <w:rPr>
                <w:rFonts w:ascii="ITC Avant Garde" w:hAnsi="ITC Avant Garde" w:cs="Arial"/>
                <w:lang w:val="es-MX"/>
              </w:rPr>
            </w:pPr>
            <w:r>
              <w:rPr>
                <w:rFonts w:ascii="ITC Avant Garde" w:hAnsi="ITC Avant Garde" w:cs="Arial"/>
                <w:lang w:val="es-MX"/>
              </w:rPr>
              <w:t xml:space="preserve">TELMEX/TELNOR </w:t>
            </w:r>
            <w:r w:rsidR="00364A08">
              <w:rPr>
                <w:rFonts w:ascii="ITC Avant Garde" w:hAnsi="ITC Avant Garde" w:cs="Arial"/>
                <w:lang w:val="es-MX"/>
              </w:rPr>
              <w:t>señalan</w:t>
            </w:r>
            <w:r w:rsidR="00364A08" w:rsidRPr="00523452">
              <w:rPr>
                <w:rFonts w:ascii="ITC Avant Garde" w:hAnsi="ITC Avant Garde" w:cs="Arial"/>
                <w:lang w:val="es-MX"/>
              </w:rPr>
              <w:t xml:space="preserve"> </w:t>
            </w:r>
            <w:r w:rsidR="00181D64" w:rsidRPr="00523452">
              <w:rPr>
                <w:rFonts w:ascii="ITC Avant Garde" w:hAnsi="ITC Avant Garde" w:cs="Arial"/>
                <w:lang w:val="es-MX"/>
              </w:rPr>
              <w:t xml:space="preserve">que incurren en un costo por ofrecer dicho beneficio a los usuarios de sus planes y paquetes, por lo que se considera que debe estar representado como un precio implícito aparte del precio implícito determinado para </w:t>
            </w:r>
            <w:r>
              <w:rPr>
                <w:rFonts w:ascii="ITC Avant Garde" w:hAnsi="ITC Avant Garde" w:cs="Arial"/>
                <w:lang w:val="es-MX"/>
              </w:rPr>
              <w:t>banda ancha</w:t>
            </w:r>
            <w:r w:rsidR="00181D64" w:rsidRPr="00523452">
              <w:rPr>
                <w:rFonts w:ascii="ITC Avant Garde" w:hAnsi="ITC Avant Garde" w:cs="Arial"/>
                <w:lang w:val="es-MX"/>
              </w:rPr>
              <w:t xml:space="preserve">, con el propósito de asegurar la recuperación </w:t>
            </w:r>
            <w:r w:rsidR="005514E4" w:rsidRPr="00523452">
              <w:rPr>
                <w:rFonts w:ascii="ITC Avant Garde" w:hAnsi="ITC Avant Garde" w:cs="Arial"/>
                <w:lang w:val="es-MX"/>
              </w:rPr>
              <w:t xml:space="preserve">de </w:t>
            </w:r>
            <w:r w:rsidR="00364A08">
              <w:rPr>
                <w:rFonts w:ascii="ITC Avant Garde" w:hAnsi="ITC Avant Garde" w:cs="Arial"/>
                <w:lang w:val="es-MX"/>
              </w:rPr>
              <w:t>dicho costo</w:t>
            </w:r>
            <w:r w:rsidR="00364A08" w:rsidRPr="00523452">
              <w:rPr>
                <w:rFonts w:ascii="ITC Avant Garde" w:hAnsi="ITC Avant Garde" w:cs="Arial"/>
                <w:lang w:val="es-MX"/>
              </w:rPr>
              <w:t xml:space="preserve"> </w:t>
            </w:r>
            <w:r w:rsidR="00181D64" w:rsidRPr="00523452">
              <w:rPr>
                <w:rFonts w:ascii="ITC Avant Garde" w:hAnsi="ITC Avant Garde" w:cs="Arial"/>
                <w:lang w:val="es-MX"/>
              </w:rPr>
              <w:t xml:space="preserve">por parte de </w:t>
            </w:r>
            <w:r>
              <w:rPr>
                <w:rFonts w:ascii="ITC Avant Garde" w:hAnsi="ITC Avant Garde" w:cs="Arial"/>
                <w:lang w:val="es-MX"/>
              </w:rPr>
              <w:t>TELMEX/TELNOR</w:t>
            </w:r>
            <w:r w:rsidR="00181D64" w:rsidRPr="00523452">
              <w:rPr>
                <w:rFonts w:ascii="ITC Avant Garde" w:hAnsi="ITC Avant Garde" w:cs="Arial"/>
                <w:lang w:val="es-MX"/>
              </w:rPr>
              <w:t>.</w:t>
            </w:r>
          </w:p>
        </w:tc>
      </w:tr>
    </w:tbl>
    <w:p w14:paraId="121C2F06" w14:textId="7C1A7DB8" w:rsidR="00181D64" w:rsidRPr="00523452" w:rsidRDefault="00510FBE" w:rsidP="00CA2F00">
      <w:pPr>
        <w:pStyle w:val="IFTnormal"/>
        <w:numPr>
          <w:ilvl w:val="0"/>
          <w:numId w:val="59"/>
        </w:numPr>
        <w:tabs>
          <w:tab w:val="left" w:pos="1134"/>
        </w:tabs>
        <w:ind w:left="142" w:hanging="142"/>
      </w:pPr>
      <w:r w:rsidRPr="00CA2F00">
        <w:rPr>
          <w:bCs w:val="0"/>
          <w:sz w:val="20"/>
          <w:szCs w:val="20"/>
        </w:rPr>
        <w:t xml:space="preserve">Información solicitada de los planes y paquetes de </w:t>
      </w:r>
      <w:r w:rsidR="008F78FC" w:rsidRPr="00CA2F00">
        <w:rPr>
          <w:bCs w:val="0"/>
          <w:sz w:val="20"/>
          <w:szCs w:val="20"/>
        </w:rPr>
        <w:t>TELMEX/TELNOR</w:t>
      </w:r>
      <w:r w:rsidRPr="00CA2F00">
        <w:rPr>
          <w:b/>
          <w:sz w:val="20"/>
          <w:szCs w:val="20"/>
        </w:rPr>
        <w:t xml:space="preserve"> (Fuente: IFT)</w:t>
      </w:r>
      <w:r w:rsidR="00AE0C97">
        <w:rPr>
          <w:b/>
          <w:sz w:val="20"/>
          <w:szCs w:val="20"/>
        </w:rPr>
        <w:t>.</w:t>
      </w:r>
    </w:p>
    <w:p w14:paraId="5E44B160" w14:textId="3C7378F5" w:rsidR="00181D64" w:rsidRPr="00523452" w:rsidRDefault="00181D64" w:rsidP="00181D64">
      <w:pPr>
        <w:pStyle w:val="IFTnormal"/>
      </w:pPr>
      <w:r w:rsidRPr="00523452">
        <w:t xml:space="preserve">En consideración de lo anterior, en el modelo de costos se adoptó el siguiente enfoque para estimar los precios implícitos de los servicios que integran los planes y </w:t>
      </w:r>
      <w:r w:rsidRPr="00523452">
        <w:lastRenderedPageBreak/>
        <w:t xml:space="preserve">paquetes </w:t>
      </w:r>
      <w:r w:rsidR="00117811">
        <w:t>a partir de la información de la estructura de precios de éstos proporcionada por</w:t>
      </w:r>
      <w:r w:rsidR="00E210C6">
        <w:t xml:space="preserve"> TELMEX/TELNOR</w:t>
      </w:r>
      <w:r w:rsidR="00117811">
        <w:t>:</w:t>
      </w:r>
    </w:p>
    <w:p w14:paraId="0C55928F" w14:textId="4FACCDE7" w:rsidR="00181D64" w:rsidRPr="007A6FD5" w:rsidRDefault="00181D64" w:rsidP="00181D64">
      <w:pPr>
        <w:pStyle w:val="IFTnormal"/>
        <w:numPr>
          <w:ilvl w:val="0"/>
          <w:numId w:val="10"/>
        </w:numPr>
        <w:spacing w:after="0"/>
        <w:rPr>
          <w:b/>
        </w:rPr>
      </w:pPr>
      <w:r w:rsidRPr="00523452">
        <w:rPr>
          <w:b/>
        </w:rPr>
        <w:t>Asociados a los servicios de renta de línea</w:t>
      </w:r>
      <w:r w:rsidRPr="00523452">
        <w:t>. -</w:t>
      </w:r>
      <w:r w:rsidRPr="00523452">
        <w:rPr>
          <w:b/>
        </w:rPr>
        <w:t xml:space="preserve"> </w:t>
      </w:r>
      <w:r w:rsidRPr="00523452">
        <w:t>se descompone mediante los siguientes elementos:</w:t>
      </w:r>
    </w:p>
    <w:p w14:paraId="3363F21B" w14:textId="77777777" w:rsidR="00E13369" w:rsidRPr="00523452" w:rsidRDefault="00E13369" w:rsidP="003D3A12">
      <w:pPr>
        <w:pStyle w:val="IFTnormal"/>
        <w:spacing w:after="0"/>
        <w:ind w:left="720"/>
        <w:rPr>
          <w:b/>
        </w:rPr>
      </w:pPr>
    </w:p>
    <w:p w14:paraId="49E433E4" w14:textId="72EE27C9" w:rsidR="00181D64" w:rsidRPr="00523452" w:rsidRDefault="00181D64" w:rsidP="00181D64">
      <w:pPr>
        <w:pStyle w:val="IFTnormal"/>
        <w:numPr>
          <w:ilvl w:val="1"/>
          <w:numId w:val="10"/>
        </w:numPr>
        <w:spacing w:after="0"/>
        <w:rPr>
          <w:i/>
        </w:rPr>
      </w:pPr>
      <w:r w:rsidRPr="00523452">
        <w:rPr>
          <w:i/>
        </w:rPr>
        <w:t xml:space="preserve">Servicios digitales </w:t>
      </w:r>
      <w:r w:rsidR="00117811">
        <w:rPr>
          <w:i/>
        </w:rPr>
        <w:t>incluidos en la renta de la línea:</w:t>
      </w:r>
    </w:p>
    <w:p w14:paraId="52A797A8" w14:textId="34F41091" w:rsidR="00181D64" w:rsidRPr="00523452" w:rsidRDefault="00181D64" w:rsidP="00181D64">
      <w:pPr>
        <w:pStyle w:val="IFTnormal"/>
        <w:numPr>
          <w:ilvl w:val="2"/>
          <w:numId w:val="10"/>
        </w:numPr>
        <w:spacing w:after="0"/>
        <w:rPr>
          <w:b/>
        </w:rPr>
      </w:pPr>
      <w:r w:rsidRPr="00523452">
        <w:t>En el caso de la “línea residencial” se estima el valor del precio del número de servicios digitales</w:t>
      </w:r>
      <w:r w:rsidRPr="00523452">
        <w:rPr>
          <w:rStyle w:val="Refdenotaalpie"/>
        </w:rPr>
        <w:footnoteReference w:id="21"/>
      </w:r>
      <w:r w:rsidRPr="00523452">
        <w:t xml:space="preserve"> que se incluyen en la renta mensual por el periodo de tiempo determinado en las condiciones comerciales, ponderado por el periodo de retención de los clientes de </w:t>
      </w:r>
      <w:r w:rsidR="00DC13EB">
        <w:t>TELMEX/TELNOR</w:t>
      </w:r>
      <w:r w:rsidRPr="00523452">
        <w:t xml:space="preserve"> (en meses).</w:t>
      </w:r>
    </w:p>
    <w:p w14:paraId="0271DC1B" w14:textId="5FD7679E" w:rsidR="00181D64" w:rsidRPr="00523452" w:rsidRDefault="00181D64" w:rsidP="00181D64">
      <w:pPr>
        <w:pStyle w:val="IFTnormal"/>
        <w:numPr>
          <w:ilvl w:val="2"/>
          <w:numId w:val="10"/>
        </w:numPr>
        <w:spacing w:after="0"/>
        <w:rPr>
          <w:b/>
        </w:rPr>
      </w:pPr>
      <w:r w:rsidRPr="00523452">
        <w:t xml:space="preserve">En el caso de los planes y paquetes que cuentan con una cantidad de servicios digitales de forma permanente se considera el valor de la renta mensual por esta cantidad de servicios digitales cuando son vendidos como opción independiente por </w:t>
      </w:r>
      <w:r w:rsidR="00244935">
        <w:t>TELMEX/TELNOR</w:t>
      </w:r>
      <w:r w:rsidRPr="00523452">
        <w:t xml:space="preserve"> a sus clientes.</w:t>
      </w:r>
    </w:p>
    <w:p w14:paraId="6515A3A4" w14:textId="36F8EF27" w:rsidR="00181D64" w:rsidRPr="00523452" w:rsidRDefault="00181D64" w:rsidP="00181D64">
      <w:pPr>
        <w:pStyle w:val="IFTnormal"/>
        <w:numPr>
          <w:ilvl w:val="2"/>
          <w:numId w:val="10"/>
        </w:numPr>
      </w:pPr>
      <w:r w:rsidRPr="00523452">
        <w:t xml:space="preserve">Se considera cero en el caso de los planes y paquetes no residenciales, dado que la “línea comercial” de </w:t>
      </w:r>
      <w:r w:rsidR="00663701">
        <w:t>TELMEX/TELNOR</w:t>
      </w:r>
      <w:r w:rsidR="00663701" w:rsidRPr="00523452">
        <w:t xml:space="preserve"> </w:t>
      </w:r>
      <w:r w:rsidRPr="00523452">
        <w:t xml:space="preserve">no incluye servicios de voz. </w:t>
      </w:r>
    </w:p>
    <w:p w14:paraId="0A33AE63" w14:textId="77777777" w:rsidR="00181D64" w:rsidRPr="00523452" w:rsidRDefault="00181D64" w:rsidP="00181D64">
      <w:pPr>
        <w:pStyle w:val="IFTnormal"/>
        <w:numPr>
          <w:ilvl w:val="1"/>
          <w:numId w:val="10"/>
        </w:numPr>
        <w:spacing w:after="0"/>
        <w:rPr>
          <w:b/>
        </w:rPr>
      </w:pPr>
      <w:r w:rsidRPr="00523452">
        <w:rPr>
          <w:i/>
        </w:rPr>
        <w:t>Servicios de voz incluidos en la renta de línea:</w:t>
      </w:r>
    </w:p>
    <w:p w14:paraId="7BB5D458" w14:textId="77777777" w:rsidR="00181D64" w:rsidRPr="00523452" w:rsidRDefault="00181D64" w:rsidP="00181D64">
      <w:pPr>
        <w:pStyle w:val="IFTnormal"/>
        <w:numPr>
          <w:ilvl w:val="2"/>
          <w:numId w:val="10"/>
        </w:numPr>
        <w:spacing w:after="0"/>
        <w:rPr>
          <w:b/>
        </w:rPr>
      </w:pPr>
      <w:r w:rsidRPr="00523452">
        <w:t>Para los planes y paquetes residenciales, el valor del servicio de voz se estima como el producto entre el valor promedio de las llamadas consumidas (de las 100 llamadas a destinos locales que se incluyen como parte de la renta mensual de una “línea residencial”) y una estimación del precio del minuto por llamada telefónica</w:t>
      </w:r>
      <w:r w:rsidRPr="00523452">
        <w:rPr>
          <w:rStyle w:val="Refdenotaalpie"/>
        </w:rPr>
        <w:footnoteReference w:id="22"/>
      </w:r>
      <w:r w:rsidRPr="00523452">
        <w:t>.</w:t>
      </w:r>
    </w:p>
    <w:p w14:paraId="09A01FA5" w14:textId="37413FDC" w:rsidR="00181D64" w:rsidRPr="009F3B5F" w:rsidRDefault="00181D64" w:rsidP="00181D64">
      <w:pPr>
        <w:pStyle w:val="IFTnormal"/>
        <w:numPr>
          <w:ilvl w:val="2"/>
          <w:numId w:val="10"/>
        </w:numPr>
        <w:spacing w:after="0"/>
        <w:rPr>
          <w:b/>
        </w:rPr>
      </w:pPr>
      <w:r w:rsidRPr="00523452">
        <w:t>Se considera cero en el caso de los planes y paquetes no residenciales, dado que la renta mensual de una “línea comercial” no incluye llamadas.</w:t>
      </w:r>
    </w:p>
    <w:p w14:paraId="5D3BA2A0" w14:textId="77777777" w:rsidR="00E13369" w:rsidRPr="00523452" w:rsidRDefault="00E13369" w:rsidP="009F3B5F">
      <w:pPr>
        <w:pStyle w:val="IFTnormal"/>
        <w:spacing w:after="0"/>
        <w:ind w:left="2160"/>
        <w:rPr>
          <w:b/>
        </w:rPr>
      </w:pPr>
    </w:p>
    <w:p w14:paraId="5EEAB12A" w14:textId="122C620C" w:rsidR="00181D64" w:rsidRPr="00523452" w:rsidRDefault="00181D64" w:rsidP="00CA2F00">
      <w:pPr>
        <w:pStyle w:val="IFTnormal"/>
        <w:numPr>
          <w:ilvl w:val="1"/>
          <w:numId w:val="10"/>
        </w:numPr>
        <w:spacing w:after="240"/>
        <w:ind w:left="1434" w:hanging="357"/>
        <w:rPr>
          <w:b/>
        </w:rPr>
      </w:pPr>
      <w:r w:rsidRPr="00523452">
        <w:rPr>
          <w:i/>
        </w:rPr>
        <w:t xml:space="preserve">El Acceso a la línea telefónica: </w:t>
      </w:r>
      <w:r w:rsidRPr="00523452">
        <w:t>se estima como la diferencia entr</w:t>
      </w:r>
      <w:r w:rsidR="009706C4">
        <w:t>e</w:t>
      </w:r>
      <w:r w:rsidRPr="00523452">
        <w:t xml:space="preserve"> la renta mensual según su tipo de uso (residencial o no residencial) y el valor estimado para servicios digitales y servicios de voz incluidos en la renta de línea. </w:t>
      </w:r>
    </w:p>
    <w:p w14:paraId="25ED32CB" w14:textId="3D373FBE" w:rsidR="00181D64" w:rsidRDefault="00181D64" w:rsidP="00DE0DBD">
      <w:pPr>
        <w:pStyle w:val="IFTnormal"/>
        <w:widowControl w:val="0"/>
      </w:pPr>
      <w:r w:rsidRPr="00523452">
        <w:t xml:space="preserve">Los </w:t>
      </w:r>
      <w:r w:rsidRPr="00E13369">
        <w:t>conceptos</w:t>
      </w:r>
      <w:r w:rsidRPr="00523452">
        <w:t xml:space="preserve"> anteriores se suman para representar el valor conjunto de la </w:t>
      </w:r>
      <w:r w:rsidRPr="00523452">
        <w:lastRenderedPageBreak/>
        <w:t>provisión de los servicios mencionados</w:t>
      </w:r>
      <w:r w:rsidR="00DC13EB">
        <w:t xml:space="preserve"> individualmente</w:t>
      </w:r>
      <w:r w:rsidRPr="00523452">
        <w:t>. A partir de ello, se calcula la desviación, en términos de porcentaje, que tiene este valor conjunto respecto al precio minorista del paquete. Este porcentaje se emplea sobre el valor de cada servicio</w:t>
      </w:r>
      <w:r w:rsidR="006A47BA">
        <w:t xml:space="preserve"> reportado por </w:t>
      </w:r>
      <w:r w:rsidR="00DC13EB">
        <w:t xml:space="preserve">TELMEX/TELNOR </w:t>
      </w:r>
      <w:r w:rsidRPr="00523452">
        <w:t>para determinar los precios implícitos de los mismos, incluyendo los servicios digitales, garantizando que la suma de los precios implícitos calculados para todos los servicios sea equivalente a la composición de precios</w:t>
      </w:r>
      <w:r w:rsidR="005F59BA">
        <w:t xml:space="preserve"> presentada por </w:t>
      </w:r>
      <w:r w:rsidR="00DC13EB">
        <w:t>TELMEX/TELNOR</w:t>
      </w:r>
      <w:r w:rsidRPr="00523452">
        <w:t>.</w:t>
      </w:r>
    </w:p>
    <w:p w14:paraId="1814AC9E" w14:textId="7B7A470E" w:rsidR="00181D64" w:rsidRPr="00523452" w:rsidRDefault="009E017C" w:rsidP="00C53454">
      <w:pPr>
        <w:widowControl w:val="0"/>
        <w:jc w:val="center"/>
        <w:rPr>
          <w:b/>
          <w:sz w:val="17"/>
          <w:szCs w:val="17"/>
        </w:rPr>
      </w:pPr>
      <w:r>
        <w:rPr>
          <w:b/>
          <w:noProof/>
          <w:sz w:val="17"/>
          <w:szCs w:val="17"/>
        </w:rPr>
        <w:drawing>
          <wp:inline distT="0" distB="0" distL="0" distR="0" wp14:anchorId="1D04F167" wp14:editId="62948F95">
            <wp:extent cx="5124713" cy="2768742"/>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124713" cy="2768742"/>
                    </a:xfrm>
                    <a:prstGeom prst="rect">
                      <a:avLst/>
                    </a:prstGeom>
                  </pic:spPr>
                </pic:pic>
              </a:graphicData>
            </a:graphic>
          </wp:inline>
        </w:drawing>
      </w:r>
    </w:p>
    <w:p w14:paraId="6C2EE304" w14:textId="4AD88B89" w:rsidR="00181D64" w:rsidRPr="00CA2F00" w:rsidRDefault="00181D64" w:rsidP="00CA2F00">
      <w:pPr>
        <w:pStyle w:val="Figura"/>
        <w:keepNext w:val="0"/>
        <w:widowControl w:val="0"/>
        <w:spacing w:before="0" w:after="240" w:line="259" w:lineRule="auto"/>
        <w:ind w:right="49"/>
        <w:jc w:val="both"/>
        <w:rPr>
          <w:bCs/>
          <w:szCs w:val="20"/>
        </w:rPr>
      </w:pPr>
      <w:r w:rsidRPr="005674F5">
        <w:rPr>
          <w:bCs/>
          <w:szCs w:val="20"/>
        </w:rPr>
        <w:t xml:space="preserve">Esquema estimación del precio implícito asociados los servicios digitales, servicios de voz y renta de línea asociados a los planes o paquetes de </w:t>
      </w:r>
      <w:r w:rsidR="00244935" w:rsidRPr="005674F5">
        <w:rPr>
          <w:bCs/>
          <w:szCs w:val="20"/>
        </w:rPr>
        <w:t>TELMEX/TELNOR</w:t>
      </w:r>
      <w:r w:rsidRPr="005674F5">
        <w:rPr>
          <w:bCs/>
          <w:szCs w:val="20"/>
        </w:rPr>
        <w:t xml:space="preserve"> (</w:t>
      </w:r>
      <w:r w:rsidRPr="00CA2F00">
        <w:rPr>
          <w:b/>
          <w:szCs w:val="20"/>
        </w:rPr>
        <w:t>Fuente</w:t>
      </w:r>
      <w:r w:rsidRPr="00CA2F00">
        <w:rPr>
          <w:bCs/>
          <w:szCs w:val="20"/>
        </w:rPr>
        <w:t>: IFT).</w:t>
      </w:r>
    </w:p>
    <w:p w14:paraId="5D5F43C8" w14:textId="4D7C1579" w:rsidR="00181D64" w:rsidRDefault="00181D64" w:rsidP="00181D64">
      <w:pPr>
        <w:pStyle w:val="IFTnormal"/>
        <w:numPr>
          <w:ilvl w:val="0"/>
          <w:numId w:val="10"/>
        </w:numPr>
        <w:spacing w:after="0"/>
      </w:pPr>
      <w:bookmarkStart w:id="26" w:name="_Ref51597214"/>
      <w:r w:rsidRPr="00523452">
        <w:rPr>
          <w:b/>
        </w:rPr>
        <w:t xml:space="preserve">Asociados a los servicios de </w:t>
      </w:r>
      <w:r w:rsidR="00DC13EB">
        <w:rPr>
          <w:b/>
        </w:rPr>
        <w:t>banda ancha fija</w:t>
      </w:r>
      <w:r w:rsidRPr="00523452">
        <w:t>. -</w:t>
      </w:r>
      <w:r w:rsidRPr="00523452">
        <w:rPr>
          <w:b/>
        </w:rPr>
        <w:t xml:space="preserve"> </w:t>
      </w:r>
      <w:r w:rsidRPr="00523452">
        <w:t>se descompone mediante los siguientes elementos:</w:t>
      </w:r>
      <w:bookmarkEnd w:id="26"/>
    </w:p>
    <w:p w14:paraId="2C50A8A3" w14:textId="77777777" w:rsidR="00E13369" w:rsidRPr="00523452" w:rsidRDefault="00E13369" w:rsidP="003D3A12">
      <w:pPr>
        <w:pStyle w:val="IFTnormal"/>
        <w:spacing w:after="0"/>
        <w:ind w:left="720"/>
      </w:pPr>
    </w:p>
    <w:p w14:paraId="26A9FEF3" w14:textId="7B87FB7C" w:rsidR="00496E8A" w:rsidRDefault="00DC13EB" w:rsidP="00133B12">
      <w:pPr>
        <w:pStyle w:val="IFTnormal"/>
        <w:numPr>
          <w:ilvl w:val="1"/>
          <w:numId w:val="11"/>
        </w:numPr>
        <w:spacing w:after="0"/>
      </w:pPr>
      <w:r w:rsidRPr="00133B12">
        <w:rPr>
          <w:i/>
        </w:rPr>
        <w:t>Banda ancha</w:t>
      </w:r>
      <w:r w:rsidR="00181D64" w:rsidRPr="00133B12">
        <w:rPr>
          <w:i/>
        </w:rPr>
        <w:t>:</w:t>
      </w:r>
      <w:r w:rsidR="00181D64" w:rsidRPr="00B45C0C">
        <w:t xml:space="preserve"> valor </w:t>
      </w:r>
      <w:r w:rsidR="004A17D7" w:rsidRPr="00B45C0C">
        <w:t xml:space="preserve">reportado por </w:t>
      </w:r>
      <w:r>
        <w:t>TELMEX/TELNOR</w:t>
      </w:r>
      <w:r w:rsidR="009410C5">
        <w:t xml:space="preserve"> correspondiente a l</w:t>
      </w:r>
      <w:r w:rsidR="000544FE">
        <w:t>o</w:t>
      </w:r>
      <w:r w:rsidR="009410C5">
        <w:t xml:space="preserve">s </w:t>
      </w:r>
      <w:r w:rsidR="000544FE">
        <w:t xml:space="preserve">servicios </w:t>
      </w:r>
      <w:r w:rsidR="00133B12">
        <w:t>minoristas</w:t>
      </w:r>
      <w:r w:rsidR="009410C5">
        <w:t xml:space="preserve"> por las cuales se recibe una renta mensual </w:t>
      </w:r>
      <w:r w:rsidR="00133B12">
        <w:t>por la provisión de este</w:t>
      </w:r>
      <w:r w:rsidR="009410C5">
        <w:t xml:space="preserve"> servicio</w:t>
      </w:r>
      <w:r w:rsidR="00496E8A">
        <w:t xml:space="preserve">. </w:t>
      </w:r>
    </w:p>
    <w:p w14:paraId="31F2D821" w14:textId="2020B18E" w:rsidR="00DC13EB" w:rsidRPr="00B45C0C" w:rsidRDefault="00C74E9A" w:rsidP="003D3A12">
      <w:pPr>
        <w:pStyle w:val="IFTnormal"/>
        <w:spacing w:after="0"/>
        <w:ind w:left="1440"/>
      </w:pPr>
      <w:r>
        <w:t>En este caso</w:t>
      </w:r>
      <w:r w:rsidR="005342B1">
        <w:t xml:space="preserve"> </w:t>
      </w:r>
      <w:r w:rsidR="00496E8A">
        <w:t xml:space="preserve">se consideró únicamente el valor reportado de banda ancha </w:t>
      </w:r>
      <w:r w:rsidR="005342B1">
        <w:t>de planes y paquetes, si éste se ofrece de manera empaquetada o como parte de la</w:t>
      </w:r>
      <w:r w:rsidR="00133B12" w:rsidRPr="00133B12">
        <w:rPr>
          <w:rFonts w:cs="Arial"/>
        </w:rPr>
        <w:t xml:space="preserve"> tarifa preferencial en la renta mensual de servicios de telecomunicaciones, por la adquisición de servicios OTT</w:t>
      </w:r>
      <w:r w:rsidR="005342B1">
        <w:rPr>
          <w:rStyle w:val="Refdenotaalpie"/>
          <w:rFonts w:cs="Arial"/>
        </w:rPr>
        <w:footnoteReference w:id="23"/>
      </w:r>
      <w:r w:rsidR="00133B12" w:rsidRPr="00133B12">
        <w:rPr>
          <w:rFonts w:cs="Arial"/>
        </w:rPr>
        <w:t>, así como de promociones en las que se obtenga un descuento en la tarifa de renta mensual</w:t>
      </w:r>
      <w:r w:rsidR="00133B12">
        <w:rPr>
          <w:rFonts w:cs="Arial"/>
        </w:rPr>
        <w:t xml:space="preserve"> (véase Cuadro</w:t>
      </w:r>
      <w:r w:rsidR="00AB2179">
        <w:rPr>
          <w:rFonts w:cs="Arial"/>
        </w:rPr>
        <w:t xml:space="preserve"> 3</w:t>
      </w:r>
      <w:r w:rsidR="00133B12">
        <w:rPr>
          <w:rFonts w:cs="Arial"/>
        </w:rPr>
        <w:t>)</w:t>
      </w:r>
      <w:r w:rsidR="00133B12">
        <w:t>.</w:t>
      </w:r>
    </w:p>
    <w:p w14:paraId="375B73A5" w14:textId="7CE0FF3D" w:rsidR="00133B12" w:rsidRPr="00133B12" w:rsidRDefault="00133B12" w:rsidP="003D3A12">
      <w:pPr>
        <w:pStyle w:val="IFTnormal"/>
        <w:spacing w:after="0"/>
        <w:ind w:left="1416"/>
      </w:pPr>
      <w:r w:rsidRPr="004676C5">
        <w:lastRenderedPageBreak/>
        <w:t xml:space="preserve">En el caso de </w:t>
      </w:r>
      <w:r>
        <w:t xml:space="preserve">tarifa preferencial por la adquisición de servicios OTT, se considera el valor reportado por TELMEX/TELNOR </w:t>
      </w:r>
      <w:r w:rsidR="00C74E9A">
        <w:t>asignado para</w:t>
      </w:r>
      <w:r>
        <w:t xml:space="preserve"> la banda ancha </w:t>
      </w:r>
      <w:r w:rsidR="00C74E9A">
        <w:t>de manera individual o empaquetada</w:t>
      </w:r>
      <w:r>
        <w:rPr>
          <w:rStyle w:val="Refdenotaalpie"/>
        </w:rPr>
        <w:footnoteReference w:id="24"/>
      </w:r>
      <w:r>
        <w:t>.</w:t>
      </w:r>
    </w:p>
    <w:p w14:paraId="3E051CD6" w14:textId="528519E5" w:rsidR="00133B12" w:rsidRDefault="00133B12" w:rsidP="007A6FD5">
      <w:pPr>
        <w:pStyle w:val="IFTnormal"/>
        <w:spacing w:after="0"/>
        <w:ind w:left="1416"/>
      </w:pPr>
      <w:r>
        <w:t>En el caso particular de planes y paquetes con la promoción de “</w:t>
      </w:r>
      <w:r>
        <w:rPr>
          <w:rFonts w:cs="Arial"/>
        </w:rPr>
        <w:t>Paquetes superiores” aplicables a los planes denominados “435”, “499” y “599”</w:t>
      </w:r>
      <w:r>
        <w:rPr>
          <w:rStyle w:val="Refdenotaalpie"/>
          <w:rFonts w:cs="Arial"/>
        </w:rPr>
        <w:footnoteReference w:id="25"/>
      </w:r>
      <w:r>
        <w:rPr>
          <w:rFonts w:cs="Arial"/>
        </w:rPr>
        <w:t xml:space="preserve">, se consideró el valor reportado por TELMEX/TELNOR para </w:t>
      </w:r>
      <w:r w:rsidR="00461418">
        <w:rPr>
          <w:rFonts w:cs="Arial"/>
        </w:rPr>
        <w:t>dichos planes y paquetes sin la promoción</w:t>
      </w:r>
      <w:r w:rsidR="00461418">
        <w:t xml:space="preserve">, así como el valor </w:t>
      </w:r>
      <w:r w:rsidR="00B62E8A">
        <w:t>presentado</w:t>
      </w:r>
      <w:r w:rsidR="00461418">
        <w:t xml:space="preserve"> para la banda ancha con la promoción. Con base en ello, se calculó el precio implícito, a partir </w:t>
      </w:r>
      <w:r w:rsidRPr="00523452">
        <w:t>de</w:t>
      </w:r>
      <w:r w:rsidR="00461418">
        <w:t>l</w:t>
      </w:r>
      <w:r w:rsidRPr="00523452">
        <w:t xml:space="preserve"> tiempo determinado en las condiciones comerciales</w:t>
      </w:r>
      <w:r w:rsidR="00461418">
        <w:t xml:space="preserve"> (con descuento y sin descuento)</w:t>
      </w:r>
      <w:r w:rsidRPr="00523452">
        <w:t xml:space="preserve">, ponderado por el periodo de retención de los clientes de </w:t>
      </w:r>
      <w:r>
        <w:t>TELMEX/TELNOR</w:t>
      </w:r>
      <w:r w:rsidRPr="00523452">
        <w:t xml:space="preserve"> (en meses)</w:t>
      </w:r>
      <w:r w:rsidR="00461418">
        <w:t xml:space="preserve"> para determinar el valor del precio implícito de este servicio.</w:t>
      </w:r>
    </w:p>
    <w:p w14:paraId="2A7E4A4E" w14:textId="77777777" w:rsidR="00E13369" w:rsidRPr="00133B12" w:rsidRDefault="00E13369" w:rsidP="004E2ED5">
      <w:pPr>
        <w:pStyle w:val="IFTnormal"/>
        <w:spacing w:after="0"/>
        <w:ind w:left="2160"/>
      </w:pPr>
    </w:p>
    <w:p w14:paraId="78F9BDD4" w14:textId="62209090" w:rsidR="00181D64" w:rsidRPr="00523452" w:rsidRDefault="00181D64" w:rsidP="004676C5">
      <w:pPr>
        <w:pStyle w:val="IFTnormal"/>
        <w:numPr>
          <w:ilvl w:val="1"/>
          <w:numId w:val="11"/>
        </w:numPr>
        <w:spacing w:after="240"/>
        <w:ind w:left="1434" w:hanging="357"/>
      </w:pPr>
      <w:r w:rsidRPr="004A17D7">
        <w:rPr>
          <w:i/>
        </w:rPr>
        <w:t>Claro video:</w:t>
      </w:r>
      <w:r w:rsidRPr="00523452">
        <w:t xml:space="preserve"> Estimado como el cociente de la renta mensual de dicho servicio</w:t>
      </w:r>
      <w:r w:rsidRPr="00523452">
        <w:rPr>
          <w:rStyle w:val="Refdenotaalpie"/>
        </w:rPr>
        <w:footnoteReference w:id="26"/>
      </w:r>
      <w:r w:rsidRPr="00523452">
        <w:t xml:space="preserve">, ponderada por el periodo de retención de los clientes de </w:t>
      </w:r>
      <w:r w:rsidR="00244935">
        <w:t>TELMEX/TELNOR</w:t>
      </w:r>
      <w:r w:rsidRPr="00523452">
        <w:t xml:space="preserve"> (en meses). Ello bajo la hipótesis de que la recuperación de los gastos involucrados en dicho servicio se efectuaría en el tiempo esperado en que el </w:t>
      </w:r>
      <w:r w:rsidR="00B62E8A">
        <w:t>u</w:t>
      </w:r>
      <w:r w:rsidRPr="00523452">
        <w:t xml:space="preserve">suario </w:t>
      </w:r>
      <w:r w:rsidR="00B62E8A">
        <w:t>f</w:t>
      </w:r>
      <w:r w:rsidRPr="00523452">
        <w:t xml:space="preserve">inal permanece con servicios de telecomunicaciones de </w:t>
      </w:r>
      <w:r w:rsidR="00244935">
        <w:t>TELMEX/TELNOR</w:t>
      </w:r>
      <w:r w:rsidRPr="00523452">
        <w:t>.</w:t>
      </w:r>
    </w:p>
    <w:p w14:paraId="45E42979" w14:textId="2F3804E0" w:rsidR="00F34A81" w:rsidRPr="00523452" w:rsidRDefault="00F34A81" w:rsidP="00F34A81">
      <w:pPr>
        <w:pStyle w:val="IFTnormal"/>
      </w:pPr>
      <w:r w:rsidRPr="00523452">
        <w:t xml:space="preserve">Como en el caso anterior, los conceptos se suman para representar el valor conjunto de la provisión de los servicios mencionados. A partir de ello, se calcula la desviación, en términos de porcentaje, que tiene este valor conjunto respecto al precio minorista del paquete. Este porcentaje se emplea sobre el valor de cada servicio reportado por </w:t>
      </w:r>
      <w:r w:rsidR="00244935">
        <w:t>TELMEX/TELNOR</w:t>
      </w:r>
      <w:r w:rsidRPr="00523452">
        <w:t xml:space="preserve"> para determinar los precios implícitos de los mismos, garantizando que la suma de los precios implícitos calculados para todos los servicios sea equivalente a la composición de </w:t>
      </w:r>
      <w:r w:rsidR="00A8310E">
        <w:t xml:space="preserve">los </w:t>
      </w:r>
      <w:r w:rsidRPr="00523452">
        <w:t>precios.</w:t>
      </w:r>
    </w:p>
    <w:p w14:paraId="0AF6CF7B" w14:textId="1284B3D3" w:rsidR="00181D64" w:rsidRPr="00523452" w:rsidRDefault="00FE4136" w:rsidP="004676C5">
      <w:pPr>
        <w:pStyle w:val="IFTnormal"/>
        <w:spacing w:after="0"/>
        <w:jc w:val="center"/>
      </w:pPr>
      <w:r>
        <w:rPr>
          <w:noProof/>
        </w:rPr>
        <w:lastRenderedPageBreak/>
        <w:drawing>
          <wp:inline distT="0" distB="0" distL="0" distR="0" wp14:anchorId="07F35742" wp14:editId="401FC89B">
            <wp:extent cx="5612130" cy="2652395"/>
            <wp:effectExtent l="0" t="0" r="762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612130" cy="2652395"/>
                    </a:xfrm>
                    <a:prstGeom prst="rect">
                      <a:avLst/>
                    </a:prstGeom>
                  </pic:spPr>
                </pic:pic>
              </a:graphicData>
            </a:graphic>
          </wp:inline>
        </w:drawing>
      </w:r>
    </w:p>
    <w:p w14:paraId="398248DF" w14:textId="5D0D2DEA" w:rsidR="00181D64" w:rsidRPr="004676C5" w:rsidRDefault="00181D64" w:rsidP="004676C5">
      <w:pPr>
        <w:pStyle w:val="Figura"/>
        <w:keepNext w:val="0"/>
        <w:widowControl w:val="0"/>
        <w:spacing w:before="0" w:after="240" w:line="259" w:lineRule="auto"/>
        <w:ind w:right="49"/>
        <w:jc w:val="both"/>
        <w:rPr>
          <w:bCs/>
          <w:szCs w:val="20"/>
        </w:rPr>
      </w:pPr>
      <w:r w:rsidRPr="005674F5">
        <w:rPr>
          <w:bCs/>
          <w:szCs w:val="20"/>
        </w:rPr>
        <w:t xml:space="preserve">Esquema estimación del precio implícito asociado a los servicios de Internet de los planes o paquetes de </w:t>
      </w:r>
      <w:r w:rsidR="00244935" w:rsidRPr="004676C5">
        <w:rPr>
          <w:bCs/>
          <w:szCs w:val="20"/>
        </w:rPr>
        <w:t>TELMEX/TELNOR</w:t>
      </w:r>
      <w:r w:rsidRPr="005674F5">
        <w:rPr>
          <w:bCs/>
          <w:szCs w:val="20"/>
        </w:rPr>
        <w:t xml:space="preserve"> (</w:t>
      </w:r>
      <w:r w:rsidRPr="005674F5">
        <w:rPr>
          <w:b/>
          <w:bCs/>
          <w:szCs w:val="20"/>
        </w:rPr>
        <w:t>Fuente:</w:t>
      </w:r>
      <w:r w:rsidRPr="005674F5">
        <w:rPr>
          <w:bCs/>
          <w:szCs w:val="20"/>
        </w:rPr>
        <w:t xml:space="preserve"> IFT)</w:t>
      </w:r>
      <w:r w:rsidRPr="005674F5">
        <w:rPr>
          <w:szCs w:val="20"/>
        </w:rPr>
        <w:t>.</w:t>
      </w:r>
    </w:p>
    <w:p w14:paraId="27553F7B" w14:textId="5DA741BF" w:rsidR="00357A58" w:rsidRPr="00523452" w:rsidRDefault="00357A58" w:rsidP="00357A58">
      <w:pPr>
        <w:pStyle w:val="IFTnormal"/>
      </w:pPr>
      <w:r w:rsidRPr="00523452">
        <w:t xml:space="preserve">Finalmente, a continuación, se describe el enfoque seguido para estimar los precios implícitos asociados a </w:t>
      </w:r>
      <w:r w:rsidR="00961D72">
        <w:t>servicios de voz y digitales</w:t>
      </w:r>
      <w:r w:rsidRPr="00523452">
        <w:t>:</w:t>
      </w:r>
    </w:p>
    <w:p w14:paraId="1A50375A" w14:textId="77777777" w:rsidR="00357A58" w:rsidRPr="00AA723E" w:rsidRDefault="00300E50" w:rsidP="00300E50">
      <w:pPr>
        <w:pStyle w:val="IFTnormal"/>
        <w:numPr>
          <w:ilvl w:val="0"/>
          <w:numId w:val="10"/>
        </w:numPr>
        <w:spacing w:before="240" w:after="240"/>
        <w:ind w:left="714" w:hanging="357"/>
      </w:pPr>
      <w:r w:rsidRPr="00AA723E">
        <w:rPr>
          <w:b/>
        </w:rPr>
        <w:t>Asociados a servicios de voz</w:t>
      </w:r>
      <w:r w:rsidRPr="00AA723E">
        <w:t>. –</w:t>
      </w:r>
      <w:r w:rsidRPr="00AA723E">
        <w:rPr>
          <w:b/>
        </w:rPr>
        <w:t xml:space="preserve"> </w:t>
      </w:r>
      <w:r w:rsidRPr="00AA723E">
        <w:t>la representación de estos servicios se realiza</w:t>
      </w:r>
      <w:r w:rsidR="00357A58" w:rsidRPr="00AA723E">
        <w:t xml:space="preserve"> como sigue:</w:t>
      </w:r>
    </w:p>
    <w:p w14:paraId="6A18D378" w14:textId="77777777" w:rsidR="00357A58" w:rsidRPr="00357A58" w:rsidRDefault="00357A58" w:rsidP="00357A58">
      <w:pPr>
        <w:pStyle w:val="Prrafodelista"/>
        <w:numPr>
          <w:ilvl w:val="1"/>
          <w:numId w:val="10"/>
        </w:numPr>
        <w:rPr>
          <w:rFonts w:ascii="ITC Avant Garde" w:eastAsia="MS Mincho" w:hAnsi="ITC Avant Garde" w:cs="Calibri"/>
          <w:bCs/>
        </w:rPr>
      </w:pPr>
      <w:r w:rsidRPr="00357A58">
        <w:rPr>
          <w:rFonts w:ascii="ITC Avant Garde" w:eastAsia="MS Mincho" w:hAnsi="ITC Avant Garde" w:cs="Calibri"/>
          <w:bCs/>
        </w:rPr>
        <w:t xml:space="preserve">Servicios de voz de números telefónicos fijos locales: </w:t>
      </w:r>
    </w:p>
    <w:p w14:paraId="5258AD6A" w14:textId="79FACEAC" w:rsidR="00357A58" w:rsidRDefault="00357A58" w:rsidP="004676C5">
      <w:pPr>
        <w:pStyle w:val="IFTnormal"/>
        <w:numPr>
          <w:ilvl w:val="2"/>
          <w:numId w:val="10"/>
        </w:numPr>
        <w:spacing w:before="240" w:after="240"/>
      </w:pPr>
      <w:r>
        <w:t xml:space="preserve">En el caso residencial, se obtiene como la suma de los datos aportados por </w:t>
      </w:r>
      <w:r w:rsidR="00B64F29">
        <w:t>TELMEX/TELNOR</w:t>
      </w:r>
      <w:r>
        <w:t xml:space="preserve"> para este concepto.</w:t>
      </w:r>
    </w:p>
    <w:p w14:paraId="2F019E7D" w14:textId="6690194F" w:rsidR="00357A58" w:rsidRDefault="00357A58" w:rsidP="004676C5">
      <w:pPr>
        <w:pStyle w:val="IFTnormal"/>
        <w:numPr>
          <w:ilvl w:val="2"/>
          <w:numId w:val="10"/>
        </w:numPr>
        <w:spacing w:before="240" w:after="240"/>
      </w:pPr>
      <w:r>
        <w:t xml:space="preserve">En el caso no residencial, se obtiene como el valor reportado por </w:t>
      </w:r>
      <w:r w:rsidR="00B64F29">
        <w:t>TELMEX/TELNOR</w:t>
      </w:r>
      <w:r>
        <w:t xml:space="preserve"> para las llamadas locales asociadas a la renta de “línea</w:t>
      </w:r>
      <w:r w:rsidR="00EB775D">
        <w:t xml:space="preserve"> no</w:t>
      </w:r>
      <w:r>
        <w:t xml:space="preserve"> residencial”.</w:t>
      </w:r>
    </w:p>
    <w:p w14:paraId="7E4BBFB6" w14:textId="573F595B" w:rsidR="00357A58" w:rsidRPr="00357A58" w:rsidRDefault="00300E50" w:rsidP="00B439FE">
      <w:pPr>
        <w:pStyle w:val="Prrafodelista"/>
        <w:numPr>
          <w:ilvl w:val="1"/>
          <w:numId w:val="10"/>
        </w:numPr>
        <w:jc w:val="both"/>
        <w:rPr>
          <w:rFonts w:ascii="ITC Avant Garde" w:eastAsia="MS Mincho" w:hAnsi="ITC Avant Garde" w:cs="Calibri"/>
          <w:bCs/>
        </w:rPr>
      </w:pPr>
      <w:r w:rsidRPr="00523452">
        <w:t xml:space="preserve"> </w:t>
      </w:r>
      <w:r w:rsidR="00357A58" w:rsidRPr="00357A58">
        <w:rPr>
          <w:rFonts w:ascii="ITC Avant Garde" w:eastAsia="MS Mincho" w:hAnsi="ITC Avant Garde" w:cs="Calibri"/>
          <w:bCs/>
        </w:rPr>
        <w:t xml:space="preserve">Servicios de voz </w:t>
      </w:r>
      <w:r w:rsidR="0009081C">
        <w:rPr>
          <w:rFonts w:ascii="ITC Avant Garde" w:eastAsia="MS Mincho" w:hAnsi="ITC Avant Garde" w:cs="Calibri"/>
          <w:bCs/>
        </w:rPr>
        <w:t>a</w:t>
      </w:r>
      <w:r w:rsidR="0009081C" w:rsidRPr="00357A58">
        <w:rPr>
          <w:rFonts w:ascii="ITC Avant Garde" w:eastAsia="MS Mincho" w:hAnsi="ITC Avant Garde" w:cs="Calibri"/>
          <w:bCs/>
        </w:rPr>
        <w:t xml:space="preserve"> </w:t>
      </w:r>
      <w:r w:rsidR="00357A58" w:rsidRPr="00357A58">
        <w:rPr>
          <w:rFonts w:ascii="ITC Avant Garde" w:eastAsia="MS Mincho" w:hAnsi="ITC Avant Garde" w:cs="Calibri"/>
          <w:bCs/>
        </w:rPr>
        <w:t xml:space="preserve">1) números celulares, a 2) números de “Larga Distancia Internacional” y 3) “Larga Distancia Mundial”: se emplean los datos proporcionados por </w:t>
      </w:r>
      <w:r w:rsidR="00B67B7F">
        <w:rPr>
          <w:rFonts w:ascii="ITC Avant Garde" w:eastAsia="MS Mincho" w:hAnsi="ITC Avant Garde" w:cs="Calibri"/>
          <w:bCs/>
        </w:rPr>
        <w:t>TELMEX/TELNOR</w:t>
      </w:r>
      <w:r w:rsidR="00357A58" w:rsidRPr="00357A58">
        <w:rPr>
          <w:rFonts w:ascii="ITC Avant Garde" w:eastAsia="MS Mincho" w:hAnsi="ITC Avant Garde" w:cs="Calibri"/>
          <w:bCs/>
        </w:rPr>
        <w:t>.</w:t>
      </w:r>
    </w:p>
    <w:p w14:paraId="714E8624" w14:textId="77777777" w:rsidR="00F34A81" w:rsidRPr="00274850" w:rsidRDefault="00F34A81" w:rsidP="00F34A81">
      <w:pPr>
        <w:pStyle w:val="IFTnormal"/>
        <w:numPr>
          <w:ilvl w:val="0"/>
          <w:numId w:val="10"/>
        </w:numPr>
      </w:pPr>
      <w:r>
        <w:rPr>
          <w:b/>
        </w:rPr>
        <w:t>Asociados a servicios digitales</w:t>
      </w:r>
      <w:r>
        <w:t>. -</w:t>
      </w:r>
      <w:r>
        <w:rPr>
          <w:b/>
        </w:rPr>
        <w:t xml:space="preserve"> </w:t>
      </w:r>
      <w:r>
        <w:t>Se integran de los siguientes conceptos:</w:t>
      </w:r>
    </w:p>
    <w:p w14:paraId="6C7D19CC" w14:textId="77777777" w:rsidR="00F34A81" w:rsidRPr="00B316F4" w:rsidRDefault="00F34A81" w:rsidP="00F34A81">
      <w:pPr>
        <w:pStyle w:val="IFTnormal"/>
        <w:numPr>
          <w:ilvl w:val="1"/>
          <w:numId w:val="10"/>
        </w:numPr>
      </w:pPr>
      <w:r>
        <w:rPr>
          <w:i/>
        </w:rPr>
        <w:t>Digitales incluidos en la renta de línea:</w:t>
      </w:r>
      <w:r>
        <w:t xml:space="preserve"> Estimado con el procedimiento previamente descrito en el inciso </w:t>
      </w:r>
      <w:r w:rsidRPr="00693A18">
        <w:rPr>
          <w:b/>
        </w:rPr>
        <w:t>a)</w:t>
      </w:r>
      <w:r>
        <w:t>.</w:t>
      </w:r>
    </w:p>
    <w:p w14:paraId="165397BB" w14:textId="3453D8DE" w:rsidR="00F34A81" w:rsidRDefault="00F34A81" w:rsidP="00F34A81">
      <w:pPr>
        <w:pStyle w:val="IFTnormal"/>
        <w:numPr>
          <w:ilvl w:val="1"/>
          <w:numId w:val="10"/>
        </w:numPr>
      </w:pPr>
      <w:r>
        <w:rPr>
          <w:i/>
        </w:rPr>
        <w:t>S</w:t>
      </w:r>
      <w:r w:rsidRPr="00666F47">
        <w:rPr>
          <w:i/>
        </w:rPr>
        <w:t xml:space="preserve">ervicios digitales </w:t>
      </w:r>
      <w:r>
        <w:rPr>
          <w:i/>
        </w:rPr>
        <w:t>no incluidos en la renta de línea</w:t>
      </w:r>
      <w:r w:rsidRPr="00666F47">
        <w:rPr>
          <w:i/>
        </w:rPr>
        <w:t>:</w:t>
      </w:r>
      <w:r>
        <w:rPr>
          <w:i/>
        </w:rPr>
        <w:t xml:space="preserve"> </w:t>
      </w:r>
    </w:p>
    <w:p w14:paraId="1FF094B6" w14:textId="77777777" w:rsidR="00F34A81" w:rsidRDefault="00F34A81" w:rsidP="00F34A81">
      <w:pPr>
        <w:pStyle w:val="IFTnormal"/>
        <w:numPr>
          <w:ilvl w:val="2"/>
          <w:numId w:val="10"/>
        </w:numPr>
      </w:pPr>
      <w:r>
        <w:lastRenderedPageBreak/>
        <w:t>En el caso de planes y paquetes residenciales, se estima como el valor del precio del número de servicios digitales</w:t>
      </w:r>
      <w:r>
        <w:rPr>
          <w:rStyle w:val="Refdenotaalpie"/>
        </w:rPr>
        <w:footnoteReference w:id="27"/>
      </w:r>
      <w:r>
        <w:t xml:space="preserve"> que se incluyen en el plan o paquete y se ajusta descontando </w:t>
      </w:r>
      <w:r w:rsidRPr="00B316F4">
        <w:t>servicios digitales incluidos en la renta de línea</w:t>
      </w:r>
      <w:r>
        <w:t>.</w:t>
      </w:r>
    </w:p>
    <w:p w14:paraId="6B85D14C" w14:textId="57569BCD" w:rsidR="00F34A81" w:rsidRPr="007A27CF" w:rsidRDefault="00F34A81" w:rsidP="00F34A81">
      <w:pPr>
        <w:pStyle w:val="IFTnormal"/>
        <w:numPr>
          <w:ilvl w:val="2"/>
          <w:numId w:val="10"/>
        </w:numPr>
        <w:rPr>
          <w:b/>
        </w:rPr>
      </w:pPr>
      <w:r w:rsidRPr="007A27CF">
        <w:t>Se considera cero en el caso de los planes y paquetes no residenciales</w:t>
      </w:r>
      <w:r>
        <w:t xml:space="preserve">, debido a que, como se ha mencionado antes, </w:t>
      </w:r>
      <w:r w:rsidRPr="00AA2515">
        <w:t>la “Línea comercial”</w:t>
      </w:r>
      <w:r>
        <w:t xml:space="preserve"> de</w:t>
      </w:r>
      <w:r w:rsidR="00803FC1">
        <w:t xml:space="preserve"> TELMEX/TELNOR </w:t>
      </w:r>
      <w:r w:rsidRPr="00AA2515">
        <w:t>no incluye servicios de voz</w:t>
      </w:r>
      <w:r>
        <w:t>.</w:t>
      </w:r>
    </w:p>
    <w:p w14:paraId="646F9EC3" w14:textId="45A80AFD" w:rsidR="00F34A81" w:rsidRDefault="00F34A81" w:rsidP="00181D64">
      <w:pPr>
        <w:pStyle w:val="IFTnormal"/>
      </w:pPr>
      <w:r w:rsidRPr="00F34A81">
        <w:t xml:space="preserve">Nuevamente, los conceptos anteriores se suman para representar el valor conjunto de la provisión de los servicios mencionados. A partir de ello, se calcula la desviación, en términos de porcentaje, que tiene este valor conjunto respecto al precio minorista del paquete presentado por </w:t>
      </w:r>
      <w:r w:rsidR="00803FC1">
        <w:t>TELMEX/TELNOR</w:t>
      </w:r>
      <w:r w:rsidRPr="00F34A81">
        <w:t xml:space="preserve">. Este porcentaje se emplea sobre el valor de cada servicio reportado por </w:t>
      </w:r>
      <w:r w:rsidR="00B64F29">
        <w:t xml:space="preserve">TELMEX/TELNOR </w:t>
      </w:r>
      <w:r w:rsidRPr="00F34A81">
        <w:t xml:space="preserve">para determinar los precios implícitos de los mismos, garantizando que la suma de los precios implícitos calculados para todos los servicios sea equivalente a la composición de precios presentada por </w:t>
      </w:r>
      <w:r w:rsidR="001623F2">
        <w:t>TELMEX/TELNOR</w:t>
      </w:r>
      <w:r w:rsidRPr="00F34A81">
        <w:t>.</w:t>
      </w:r>
    </w:p>
    <w:p w14:paraId="41D2C05E" w14:textId="7B640D05" w:rsidR="00AA723E" w:rsidRDefault="00904BA0" w:rsidP="00904BA0">
      <w:pPr>
        <w:pStyle w:val="IFTnormal"/>
        <w:jc w:val="center"/>
        <w:rPr>
          <w:highlight w:val="yellow"/>
        </w:rPr>
      </w:pPr>
      <w:r>
        <w:rPr>
          <w:noProof/>
        </w:rPr>
        <w:drawing>
          <wp:inline distT="0" distB="0" distL="0" distR="0" wp14:anchorId="48546B3B" wp14:editId="04CDA317">
            <wp:extent cx="4521432" cy="2806844"/>
            <wp:effectExtent l="0" t="0" r="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4521432" cy="2806844"/>
                    </a:xfrm>
                    <a:prstGeom prst="rect">
                      <a:avLst/>
                    </a:prstGeom>
                  </pic:spPr>
                </pic:pic>
              </a:graphicData>
            </a:graphic>
          </wp:inline>
        </w:drawing>
      </w:r>
    </w:p>
    <w:p w14:paraId="44B194E0" w14:textId="7DBFBE36" w:rsidR="00244935" w:rsidRDefault="00244935" w:rsidP="004676C5">
      <w:pPr>
        <w:pStyle w:val="Figura"/>
        <w:keepNext w:val="0"/>
        <w:widowControl w:val="0"/>
        <w:spacing w:before="0" w:after="240" w:line="259" w:lineRule="auto"/>
        <w:ind w:right="49"/>
        <w:jc w:val="both"/>
        <w:rPr>
          <w:bCs/>
          <w:sz w:val="17"/>
          <w:szCs w:val="17"/>
        </w:rPr>
      </w:pPr>
      <w:r w:rsidRPr="00244935">
        <w:t xml:space="preserve">Esquema estimación del precio implícito asociados los servicios digitales, servicios de voz y renta de línea asociados a los planes o paquetes de </w:t>
      </w:r>
      <w:r>
        <w:rPr>
          <w:bCs/>
        </w:rPr>
        <w:t>TELMEX/TELNOR</w:t>
      </w:r>
      <w:r w:rsidRPr="00244935">
        <w:t xml:space="preserve"> </w:t>
      </w:r>
      <w:r w:rsidRPr="00244935">
        <w:rPr>
          <w:bCs/>
        </w:rPr>
        <w:t>(</w:t>
      </w:r>
      <w:r w:rsidRPr="00244935">
        <w:rPr>
          <w:b/>
          <w:bCs/>
        </w:rPr>
        <w:t>Fuente:</w:t>
      </w:r>
      <w:r w:rsidRPr="00244935">
        <w:rPr>
          <w:bCs/>
        </w:rPr>
        <w:t xml:space="preserve"> IFT)</w:t>
      </w:r>
      <w:r w:rsidRPr="00DF7C8F">
        <w:t>.</w:t>
      </w:r>
    </w:p>
    <w:p w14:paraId="48288C26" w14:textId="77777777" w:rsidR="00181D64" w:rsidRPr="00523452" w:rsidRDefault="00181D64" w:rsidP="00181D64">
      <w:pPr>
        <w:pStyle w:val="Ttulo2"/>
        <w:numPr>
          <w:ilvl w:val="1"/>
          <w:numId w:val="7"/>
        </w:numPr>
        <w:ind w:left="426" w:hanging="360"/>
        <w:rPr>
          <w:rStyle w:val="IFTnormalCar"/>
          <w:color w:val="auto"/>
          <w:lang w:val="es-MX"/>
        </w:rPr>
      </w:pPr>
      <w:bookmarkStart w:id="27" w:name="_Precio_de_Referencia"/>
      <w:bookmarkStart w:id="28" w:name="_Toc114513054"/>
      <w:bookmarkStart w:id="29" w:name="_Toc114513298"/>
      <w:bookmarkEnd w:id="27"/>
      <w:r w:rsidRPr="00523452">
        <w:rPr>
          <w:rStyle w:val="IFTnormalCar"/>
          <w:color w:val="auto"/>
          <w:lang w:val="es-MX"/>
        </w:rPr>
        <w:lastRenderedPageBreak/>
        <w:t>Precio de Referencia asociado al Servicio de Reventa</w:t>
      </w:r>
      <w:bookmarkEnd w:id="28"/>
      <w:bookmarkEnd w:id="29"/>
    </w:p>
    <w:p w14:paraId="56955BA7" w14:textId="75C9A04A" w:rsidR="00181D64" w:rsidRPr="00523452" w:rsidRDefault="00181D64" w:rsidP="00181D64">
      <w:pPr>
        <w:pStyle w:val="IFTnormal"/>
      </w:pPr>
      <w:r w:rsidRPr="00523452">
        <w:t xml:space="preserve">De acuerdo con la exposición previa, el precio minorista de un plan o paquete se descompone a través de los precios implícitos de </w:t>
      </w:r>
      <w:r w:rsidR="00787172">
        <w:t>cada uno de</w:t>
      </w:r>
      <w:r w:rsidR="00787172" w:rsidRPr="00523452">
        <w:t xml:space="preserve"> </w:t>
      </w:r>
      <w:r w:rsidRPr="00523452">
        <w:t xml:space="preserve">los </w:t>
      </w:r>
      <w:r w:rsidR="00787172">
        <w:t xml:space="preserve">servicios </w:t>
      </w:r>
      <w:r w:rsidRPr="00523452">
        <w:t xml:space="preserve">que se incluyen dentro de dicho plan o paquete. En consecuencia, el precio implícito asociado a un elemento o servicio particular se puede obtener a través del precio minorista </w:t>
      </w:r>
      <w:r w:rsidR="00787172">
        <w:t xml:space="preserve">autorizado </w:t>
      </w:r>
      <w:r w:rsidRPr="00523452">
        <w:t xml:space="preserve">de la oferta minorista contratada a </w:t>
      </w:r>
      <w:r w:rsidR="007C03C8">
        <w:t>TELMEX/TELNOR</w:t>
      </w:r>
      <w:r w:rsidRPr="00523452">
        <w:t>.</w:t>
      </w:r>
    </w:p>
    <w:p w14:paraId="22CA5A55" w14:textId="2502A2BB" w:rsidR="000569BB" w:rsidRPr="004676C5" w:rsidRDefault="00181D64">
      <w:pPr>
        <w:pStyle w:val="IFTnormal"/>
        <w:rPr>
          <w:b/>
          <w:bCs w:val="0"/>
          <w:sz w:val="17"/>
          <w:szCs w:val="17"/>
        </w:rPr>
      </w:pPr>
      <w:r w:rsidRPr="00523452">
        <w:t xml:space="preserve">En consecuencia, el precio implícito asociado a cada elemento o servicio incluido en un plan o paquete se puede obtener al retirar cierta porción de la tarifa correspondiente que el </w:t>
      </w:r>
      <w:r w:rsidR="00170D8A">
        <w:t>usuario</w:t>
      </w:r>
      <w:r w:rsidR="00F53AC7">
        <w:t xml:space="preserve"> final</w:t>
      </w:r>
      <w:r w:rsidRPr="00523452">
        <w:t xml:space="preserve"> cubre a </w:t>
      </w:r>
      <w:r w:rsidR="00DF75EB">
        <w:t>TELMEX/TELNOR</w:t>
      </w:r>
      <w:r w:rsidRPr="00523452">
        <w:t>. Este concepto se denomina “</w:t>
      </w:r>
      <w:r w:rsidRPr="00523452">
        <w:rPr>
          <w:b/>
        </w:rPr>
        <w:t>factor de estimación del precio implícito</w:t>
      </w:r>
      <w:r w:rsidRPr="00523452">
        <w:t>”.</w:t>
      </w:r>
    </w:p>
    <w:p w14:paraId="3FC08FEB" w14:textId="77777777" w:rsidR="00181D64" w:rsidRPr="00523452" w:rsidRDefault="00181D64" w:rsidP="00181D64">
      <w:pPr>
        <w:pStyle w:val="IFTnormal"/>
        <w:spacing w:after="0"/>
        <w:jc w:val="center"/>
      </w:pPr>
      <w:r w:rsidRPr="00523452">
        <w:rPr>
          <w:rFonts w:ascii="Arial" w:hAnsi="Arial"/>
          <w:noProof/>
          <w:lang w:eastAsia="es-MX"/>
        </w:rPr>
        <w:drawing>
          <wp:inline distT="0" distB="0" distL="0" distR="0" wp14:anchorId="0AF35160" wp14:editId="3385987B">
            <wp:extent cx="4734962" cy="1882606"/>
            <wp:effectExtent l="0" t="0" r="0" b="3810"/>
            <wp:docPr id="28" name="Imagen 2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Escala de tiempo&#10;&#10;Descripción generada automáticamente"/>
                    <pic:cNvPicPr/>
                  </pic:nvPicPr>
                  <pic:blipFill>
                    <a:blip r:embed="rId23"/>
                    <a:stretch>
                      <a:fillRect/>
                    </a:stretch>
                  </pic:blipFill>
                  <pic:spPr>
                    <a:xfrm>
                      <a:off x="0" y="0"/>
                      <a:ext cx="4762381" cy="1893508"/>
                    </a:xfrm>
                    <a:prstGeom prst="rect">
                      <a:avLst/>
                    </a:prstGeom>
                  </pic:spPr>
                </pic:pic>
              </a:graphicData>
            </a:graphic>
          </wp:inline>
        </w:drawing>
      </w:r>
    </w:p>
    <w:p w14:paraId="595E0961" w14:textId="1A3158A0" w:rsidR="00181D64" w:rsidRPr="004676C5" w:rsidRDefault="00181D64" w:rsidP="004676C5">
      <w:pPr>
        <w:pStyle w:val="Figura"/>
        <w:keepNext w:val="0"/>
        <w:widowControl w:val="0"/>
        <w:spacing w:before="0" w:after="240" w:line="259" w:lineRule="auto"/>
        <w:ind w:right="49"/>
        <w:jc w:val="both"/>
        <w:rPr>
          <w:bCs/>
          <w:szCs w:val="20"/>
        </w:rPr>
      </w:pPr>
      <w:r w:rsidRPr="004676C5">
        <w:rPr>
          <w:bCs/>
          <w:szCs w:val="20"/>
        </w:rPr>
        <w:t xml:space="preserve">Esquema del factor de estimación del precio implícito de los elementos que integran los elementos o servicios que se incluyen en planes y paquetes asociados a telefonía fija e Internet de </w:t>
      </w:r>
      <w:r w:rsidR="00244935" w:rsidRPr="004676C5">
        <w:rPr>
          <w:bCs/>
          <w:szCs w:val="20"/>
        </w:rPr>
        <w:t>TELMEX/TELNOR</w:t>
      </w:r>
      <w:r w:rsidRPr="004676C5">
        <w:rPr>
          <w:bCs/>
          <w:szCs w:val="20"/>
        </w:rPr>
        <w:t xml:space="preserve"> (</w:t>
      </w:r>
      <w:r w:rsidRPr="00524F3B">
        <w:rPr>
          <w:b/>
          <w:szCs w:val="20"/>
        </w:rPr>
        <w:t>Fuente:</w:t>
      </w:r>
      <w:r w:rsidRPr="004676C5">
        <w:rPr>
          <w:bCs/>
          <w:szCs w:val="20"/>
        </w:rPr>
        <w:t xml:space="preserve"> IFT).</w:t>
      </w:r>
    </w:p>
    <w:p w14:paraId="079AB45F" w14:textId="531727F3" w:rsidR="00181D64" w:rsidRDefault="00181D64" w:rsidP="00181D64">
      <w:pPr>
        <w:pStyle w:val="IFTnormal"/>
      </w:pPr>
      <w:r w:rsidRPr="00523452">
        <w:t xml:space="preserve">Para ejemplificar lo anterior, </w:t>
      </w:r>
      <w:r w:rsidR="00170D8A">
        <w:t>se considera</w:t>
      </w:r>
      <w:r w:rsidR="00170D8A" w:rsidRPr="00523452">
        <w:t xml:space="preserve"> </w:t>
      </w:r>
      <w:r w:rsidRPr="00523452">
        <w:t xml:space="preserve">que si un operador de telecomunicaciones brinda de manera empaquetada un servicio de telefonía e Internet a sus clientes mediante un precio </w:t>
      </w:r>
      <w:r w:rsidRPr="00523452">
        <w:rPr>
          <w:b/>
          <w:i/>
        </w:rPr>
        <w:t>P = $200</w:t>
      </w:r>
      <w:r w:rsidRPr="00523452">
        <w:t>, bajo el supuesto de que agrupa servicios de renta de línea, servicios de voz, e Internet, cuyo precio implícito corresponde</w:t>
      </w:r>
      <w:r w:rsidR="00787172">
        <w:t>,</w:t>
      </w:r>
      <w:r w:rsidRPr="00523452">
        <w:t xml:space="preserve"> respectivamente, a 20%, 35% y 45% de </w:t>
      </w:r>
      <w:r w:rsidRPr="00523452">
        <w:rPr>
          <w:b/>
          <w:i/>
        </w:rPr>
        <w:t>P</w:t>
      </w:r>
      <w:r w:rsidRPr="00523452">
        <w:rPr>
          <w:i/>
        </w:rPr>
        <w:t>,</w:t>
      </w:r>
      <w:r w:rsidRPr="00523452">
        <w:t xml:space="preserve"> la representación del nivel de los precios implícitos, así como del nivel de factor de estimación del precio implícito asociado a cada elemento o servicio incluidos en el paquete, sería como sigue:</w:t>
      </w:r>
    </w:p>
    <w:tbl>
      <w:tblPr>
        <w:tblStyle w:val="Tablaconcuadrcula1clara"/>
        <w:tblW w:w="5000" w:type="pct"/>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1993"/>
        <w:gridCol w:w="101"/>
        <w:gridCol w:w="2431"/>
        <w:gridCol w:w="2057"/>
        <w:gridCol w:w="2246"/>
      </w:tblGrid>
      <w:tr w:rsidR="00181D64" w:rsidRPr="00523452" w14:paraId="3AC18B8B" w14:textId="77777777" w:rsidTr="00A02ABE">
        <w:trPr>
          <w:cnfStyle w:val="100000000000" w:firstRow="1" w:lastRow="0" w:firstColumn="0" w:lastColumn="0" w:oddVBand="0" w:evenVBand="0" w:oddHBand="0" w:evenHBand="0" w:firstRowFirstColumn="0" w:firstRowLastColumn="0" w:lastRowFirstColumn="0" w:lastRowLastColumn="0"/>
          <w:trHeight w:val="244"/>
          <w:jc w:val="center"/>
        </w:trPr>
        <w:tc>
          <w:tcPr>
            <w:tcW w:w="1186" w:type="pct"/>
            <w:gridSpan w:val="2"/>
            <w:tcBorders>
              <w:top w:val="single" w:sz="4" w:space="0" w:color="FFFFFF" w:themeColor="background1"/>
              <w:left w:val="single" w:sz="4" w:space="0" w:color="FFFFFF" w:themeColor="background1"/>
              <w:right w:val="single" w:sz="4" w:space="0" w:color="FFFFFF" w:themeColor="background1"/>
            </w:tcBorders>
            <w:shd w:val="clear" w:color="auto" w:fill="auto"/>
          </w:tcPr>
          <w:p w14:paraId="550643BA" w14:textId="77777777" w:rsidR="00181D64" w:rsidRPr="00523452" w:rsidRDefault="00181D64" w:rsidP="00A02ABE">
            <w:pPr>
              <w:pStyle w:val="Tableheading"/>
              <w:spacing w:before="0" w:after="0" w:line="276" w:lineRule="auto"/>
              <w:jc w:val="center"/>
              <w:rPr>
                <w:rFonts w:ascii="ITC Avant Garde" w:hAnsi="ITC Avant Garde" w:cs="Arial"/>
                <w:b/>
                <w:color w:val="000000" w:themeColor="text1"/>
                <w:lang w:val="es-MX"/>
              </w:rPr>
            </w:pPr>
          </w:p>
        </w:tc>
        <w:tc>
          <w:tcPr>
            <w:tcW w:w="1377" w:type="pct"/>
            <w:tcBorders>
              <w:top w:val="single" w:sz="4" w:space="0" w:color="FFFFFF" w:themeColor="background1"/>
              <w:left w:val="single" w:sz="4" w:space="0" w:color="FFFFFF" w:themeColor="background1"/>
            </w:tcBorders>
          </w:tcPr>
          <w:p w14:paraId="6C611EA5" w14:textId="77777777" w:rsidR="00181D64" w:rsidRPr="00523452" w:rsidRDefault="00181D64" w:rsidP="00A02ABE">
            <w:pPr>
              <w:pStyle w:val="Tableheading"/>
              <w:spacing w:before="0" w:after="0" w:line="276" w:lineRule="auto"/>
              <w:jc w:val="center"/>
              <w:rPr>
                <w:rFonts w:ascii="ITC Avant Garde" w:hAnsi="ITC Avant Garde" w:cs="Arial"/>
                <w:color w:val="000000" w:themeColor="text1"/>
                <w:lang w:val="es-MX"/>
              </w:rPr>
            </w:pPr>
          </w:p>
        </w:tc>
        <w:tc>
          <w:tcPr>
            <w:tcW w:w="2437" w:type="pct"/>
            <w:gridSpan w:val="2"/>
            <w:tcBorders>
              <w:right w:val="single" w:sz="4" w:space="0" w:color="AEAAAA" w:themeColor="background2" w:themeShade="BF"/>
            </w:tcBorders>
            <w:shd w:val="clear" w:color="auto" w:fill="E7E6E6" w:themeFill="background2"/>
          </w:tcPr>
          <w:p w14:paraId="64E1853E" w14:textId="77777777" w:rsidR="00181D64" w:rsidRPr="00523452" w:rsidRDefault="00181D64" w:rsidP="00A02ABE">
            <w:pPr>
              <w:pStyle w:val="Tableheading"/>
              <w:spacing w:before="0" w:after="0" w:line="276" w:lineRule="auto"/>
              <w:jc w:val="center"/>
              <w:rPr>
                <w:rFonts w:ascii="ITC Avant Garde" w:hAnsi="ITC Avant Garde" w:cs="Arial"/>
                <w:b/>
                <w:color w:val="000000" w:themeColor="text1"/>
                <w:lang w:val="es-MX"/>
              </w:rPr>
            </w:pPr>
            <w:r w:rsidRPr="00523452">
              <w:rPr>
                <w:rFonts w:ascii="ITC Avant Garde" w:hAnsi="ITC Avant Garde" w:cs="Arial"/>
                <w:b/>
                <w:color w:val="000000" w:themeColor="text1"/>
                <w:lang w:val="es-MX"/>
              </w:rPr>
              <w:t>Representación del precio implícito de elementos o servicios del paquete</w:t>
            </w:r>
            <w:r w:rsidRPr="00523452">
              <w:rPr>
                <w:rFonts w:ascii="ITC Avant Garde" w:hAnsi="ITC Avant Garde" w:cs="Arial"/>
                <w:b/>
                <w:color w:val="000000" w:themeColor="text1"/>
                <w:lang w:val="es-MX"/>
              </w:rPr>
              <w:br/>
              <w:t xml:space="preserve">(respecto a </w:t>
            </w:r>
            <w:r w:rsidRPr="00523452">
              <w:rPr>
                <w:rFonts w:ascii="ITC Avant Garde" w:hAnsi="ITC Avant Garde" w:cs="Arial"/>
                <w:b/>
                <w:i/>
                <w:color w:val="000000" w:themeColor="text1"/>
                <w:lang w:val="es-MX"/>
              </w:rPr>
              <w:t>P</w:t>
            </w:r>
            <w:r w:rsidRPr="00523452">
              <w:rPr>
                <w:rFonts w:ascii="ITC Avant Garde" w:hAnsi="ITC Avant Garde" w:cs="Arial"/>
                <w:b/>
                <w:color w:val="000000" w:themeColor="text1"/>
                <w:lang w:val="es-MX"/>
              </w:rPr>
              <w:t>)</w:t>
            </w:r>
          </w:p>
        </w:tc>
      </w:tr>
      <w:tr w:rsidR="00181D64" w:rsidRPr="00523452" w14:paraId="3CA67259" w14:textId="77777777" w:rsidTr="00A02ABE">
        <w:trPr>
          <w:trHeight w:val="244"/>
          <w:jc w:val="center"/>
        </w:trPr>
        <w:tc>
          <w:tcPr>
            <w:tcW w:w="1129" w:type="pct"/>
            <w:shd w:val="clear" w:color="auto" w:fill="E7E6E6" w:themeFill="background2"/>
          </w:tcPr>
          <w:p w14:paraId="2E131C2E" w14:textId="77777777" w:rsidR="00181D64" w:rsidRPr="00523452" w:rsidRDefault="00181D64" w:rsidP="00A02ABE">
            <w:pPr>
              <w:pStyle w:val="Tableheading"/>
              <w:spacing w:before="0" w:after="0" w:line="276" w:lineRule="auto"/>
              <w:jc w:val="center"/>
              <w:rPr>
                <w:rFonts w:ascii="ITC Avant Garde" w:hAnsi="ITC Avant Garde" w:cs="Arial"/>
                <w:color w:val="000000" w:themeColor="text1"/>
                <w:lang w:val="es-MX"/>
              </w:rPr>
            </w:pPr>
            <w:r w:rsidRPr="00523452">
              <w:rPr>
                <w:rFonts w:ascii="ITC Avant Garde" w:hAnsi="ITC Avant Garde" w:cs="Arial"/>
                <w:color w:val="000000" w:themeColor="text1"/>
                <w:lang w:val="es-MX"/>
              </w:rPr>
              <w:t>Elementos o servicios incluidos en el paquete</w:t>
            </w:r>
          </w:p>
        </w:tc>
        <w:tc>
          <w:tcPr>
            <w:tcW w:w="1434" w:type="pct"/>
            <w:gridSpan w:val="2"/>
            <w:shd w:val="clear" w:color="auto" w:fill="E7E6E6" w:themeFill="background2"/>
          </w:tcPr>
          <w:p w14:paraId="2E2CCB88" w14:textId="77777777" w:rsidR="00181D64" w:rsidRPr="00523452" w:rsidRDefault="00181D64" w:rsidP="00A02ABE">
            <w:pPr>
              <w:pStyle w:val="Tableheading"/>
              <w:spacing w:before="0" w:after="0" w:line="276" w:lineRule="auto"/>
              <w:jc w:val="center"/>
              <w:rPr>
                <w:rFonts w:ascii="ITC Avant Garde" w:hAnsi="ITC Avant Garde" w:cs="Arial"/>
                <w:color w:val="000000" w:themeColor="text1"/>
                <w:lang w:val="es-MX"/>
              </w:rPr>
            </w:pPr>
            <w:r w:rsidRPr="00523452">
              <w:rPr>
                <w:rFonts w:ascii="ITC Avant Garde" w:hAnsi="ITC Avant Garde" w:cs="Arial"/>
                <w:color w:val="000000" w:themeColor="text1"/>
                <w:lang w:val="es-MX"/>
              </w:rPr>
              <w:t>Factor de estimación del precio implícito (</w:t>
            </w:r>
            <w:r w:rsidRPr="00523452">
              <w:rPr>
                <w:rFonts w:ascii="Calibri" w:hAnsi="Calibri" w:cs="Calibri"/>
                <w:color w:val="000000" w:themeColor="text1"/>
                <w:lang w:val="es-MX"/>
              </w:rPr>
              <w:t>α</w:t>
            </w:r>
            <w:r w:rsidRPr="00523452">
              <w:rPr>
                <w:rFonts w:ascii="ITC Avant Garde" w:hAnsi="ITC Avant Garde" w:cs="Arial"/>
                <w:color w:val="000000" w:themeColor="text1"/>
                <w:lang w:val="es-MX"/>
              </w:rPr>
              <w:t xml:space="preserve"> %)</w:t>
            </w:r>
          </w:p>
        </w:tc>
        <w:tc>
          <w:tcPr>
            <w:tcW w:w="1165" w:type="pct"/>
            <w:shd w:val="clear" w:color="auto" w:fill="E7E6E6" w:themeFill="background2"/>
          </w:tcPr>
          <w:p w14:paraId="0788EA70" w14:textId="77777777" w:rsidR="00181D64" w:rsidRPr="00523452" w:rsidRDefault="00181D64" w:rsidP="00A02ABE">
            <w:pPr>
              <w:pStyle w:val="Tableheading"/>
              <w:spacing w:before="0" w:after="0" w:line="276" w:lineRule="auto"/>
              <w:jc w:val="center"/>
              <w:rPr>
                <w:rFonts w:ascii="ITC Avant Garde" w:hAnsi="ITC Avant Garde" w:cs="Arial"/>
                <w:color w:val="000000" w:themeColor="text1"/>
                <w:lang w:val="es-MX"/>
              </w:rPr>
            </w:pPr>
            <w:r w:rsidRPr="00523452">
              <w:rPr>
                <w:rFonts w:ascii="ITC Avant Garde" w:hAnsi="ITC Avant Garde" w:cs="Arial"/>
                <w:color w:val="000000" w:themeColor="text1"/>
                <w:lang w:val="es-MX"/>
              </w:rPr>
              <w:t xml:space="preserve">Porcentual </w:t>
            </w:r>
          </w:p>
          <w:p w14:paraId="2A968FD9" w14:textId="77777777" w:rsidR="00181D64" w:rsidRPr="00523452" w:rsidRDefault="00181D64" w:rsidP="00A02ABE">
            <w:pPr>
              <w:pStyle w:val="Tableheading"/>
              <w:spacing w:before="0" w:after="0" w:line="276" w:lineRule="auto"/>
              <w:jc w:val="center"/>
              <w:rPr>
                <w:rFonts w:ascii="ITC Avant Garde" w:hAnsi="ITC Avant Garde" w:cs="Arial"/>
                <w:color w:val="000000" w:themeColor="text1"/>
                <w:lang w:val="es-MX"/>
              </w:rPr>
            </w:pPr>
            <w:r w:rsidRPr="00523452">
              <w:rPr>
                <w:rFonts w:ascii="ITC Avant Garde" w:hAnsi="ITC Avant Garde" w:cs="Arial"/>
                <w:color w:val="000000" w:themeColor="text1"/>
                <w:lang w:val="es-MX"/>
              </w:rPr>
              <w:t xml:space="preserve">(1 - </w:t>
            </w:r>
            <w:r w:rsidRPr="00523452">
              <w:rPr>
                <w:rFonts w:ascii="Calibri" w:hAnsi="Calibri" w:cs="Calibri"/>
                <w:color w:val="000000" w:themeColor="text1"/>
                <w:lang w:val="es-MX"/>
              </w:rPr>
              <w:t>α</w:t>
            </w:r>
            <w:r w:rsidRPr="00523452">
              <w:rPr>
                <w:rFonts w:ascii="ITC Avant Garde" w:hAnsi="ITC Avant Garde" w:cs="Arial"/>
                <w:color w:val="000000" w:themeColor="text1"/>
                <w:lang w:val="es-MX"/>
              </w:rPr>
              <w:t>) %</w:t>
            </w:r>
          </w:p>
        </w:tc>
        <w:tc>
          <w:tcPr>
            <w:tcW w:w="1272" w:type="pct"/>
            <w:shd w:val="clear" w:color="auto" w:fill="E7E6E6" w:themeFill="background2"/>
          </w:tcPr>
          <w:p w14:paraId="6D194468" w14:textId="77777777" w:rsidR="00181D64" w:rsidRPr="00523452" w:rsidRDefault="00181D64" w:rsidP="00A02ABE">
            <w:pPr>
              <w:pStyle w:val="Tableheading"/>
              <w:spacing w:before="0" w:after="0" w:line="276" w:lineRule="auto"/>
              <w:jc w:val="center"/>
              <w:rPr>
                <w:rFonts w:ascii="ITC Avant Garde" w:hAnsi="ITC Avant Garde" w:cs="Arial"/>
                <w:color w:val="000000" w:themeColor="text1"/>
                <w:lang w:val="es-MX"/>
              </w:rPr>
            </w:pPr>
            <w:r w:rsidRPr="00523452">
              <w:rPr>
                <w:rFonts w:ascii="ITC Avant Garde" w:hAnsi="ITC Avant Garde" w:cs="Arial"/>
                <w:color w:val="000000" w:themeColor="text1"/>
                <w:lang w:val="es-MX"/>
              </w:rPr>
              <w:t>Monetaria</w:t>
            </w:r>
          </w:p>
          <w:p w14:paraId="7D623C0B" w14:textId="77777777" w:rsidR="00181D64" w:rsidRPr="00523452" w:rsidRDefault="00181D64" w:rsidP="00A02ABE">
            <w:pPr>
              <w:pStyle w:val="Tableheading"/>
              <w:spacing w:before="0" w:after="0" w:line="276" w:lineRule="auto"/>
              <w:jc w:val="center"/>
              <w:rPr>
                <w:rFonts w:ascii="ITC Avant Garde" w:hAnsi="ITC Avant Garde" w:cs="Arial"/>
                <w:lang w:val="es-MX"/>
              </w:rPr>
            </w:pPr>
            <w:r w:rsidRPr="00523452">
              <w:rPr>
                <w:rFonts w:ascii="ITC Avant Garde" w:hAnsi="ITC Avant Garde" w:cs="Arial"/>
                <w:color w:val="000000" w:themeColor="text1"/>
                <w:lang w:val="es-MX"/>
              </w:rPr>
              <w:t xml:space="preserve">(1 - </w:t>
            </w:r>
            <w:r w:rsidRPr="00523452">
              <w:rPr>
                <w:rFonts w:ascii="Calibri" w:hAnsi="Calibri" w:cs="Calibri"/>
                <w:color w:val="000000" w:themeColor="text1"/>
                <w:lang w:val="es-MX"/>
              </w:rPr>
              <w:t>α</w:t>
            </w:r>
            <w:r w:rsidRPr="00523452">
              <w:rPr>
                <w:rFonts w:ascii="ITC Avant Garde" w:hAnsi="ITC Avant Garde" w:cs="Arial"/>
                <w:color w:val="000000" w:themeColor="text1"/>
                <w:lang w:val="es-MX"/>
              </w:rPr>
              <w:t xml:space="preserve">) % </w:t>
            </w:r>
            <m:oMath>
              <m:r>
                <m:rPr>
                  <m:sty m:val="bi"/>
                </m:rPr>
                <w:rPr>
                  <w:rFonts w:ascii="Cambria Math" w:hAnsi="Cambria Math" w:cs="Arial"/>
                  <w:color w:val="000000" w:themeColor="text1"/>
                  <w:lang w:val="es-MX"/>
                </w:rPr>
                <m:t>×</m:t>
              </m:r>
            </m:oMath>
            <w:r w:rsidRPr="00523452">
              <w:rPr>
                <w:rFonts w:ascii="ITC Avant Garde" w:eastAsiaTheme="minorEastAsia" w:hAnsi="ITC Avant Garde" w:cs="Arial"/>
                <w:color w:val="000000" w:themeColor="text1"/>
                <w:lang w:val="es-MX"/>
              </w:rPr>
              <w:t xml:space="preserve"> </w:t>
            </w:r>
            <w:r w:rsidRPr="00523452">
              <w:rPr>
                <w:rFonts w:ascii="ITC Avant Garde" w:hAnsi="ITC Avant Garde" w:cs="Arial"/>
                <w:i/>
                <w:color w:val="000000" w:themeColor="text1"/>
                <w:lang w:val="es-MX"/>
              </w:rPr>
              <w:t>P</w:t>
            </w:r>
          </w:p>
        </w:tc>
      </w:tr>
      <w:tr w:rsidR="00181D64" w:rsidRPr="00523452" w14:paraId="68687F66" w14:textId="77777777" w:rsidTr="00A02ABE">
        <w:trPr>
          <w:trHeight w:val="235"/>
          <w:jc w:val="center"/>
        </w:trPr>
        <w:tc>
          <w:tcPr>
            <w:tcW w:w="1129" w:type="pct"/>
          </w:tcPr>
          <w:p w14:paraId="587DA004" w14:textId="77777777" w:rsidR="00181D64" w:rsidRPr="00523452" w:rsidRDefault="00181D64" w:rsidP="00A02ABE">
            <w:pPr>
              <w:pStyle w:val="Tablecells"/>
              <w:spacing w:before="0" w:after="0" w:line="276" w:lineRule="auto"/>
              <w:jc w:val="both"/>
              <w:rPr>
                <w:rFonts w:ascii="ITC Avant Garde" w:hAnsi="ITC Avant Garde" w:cs="Arial"/>
                <w:sz w:val="20"/>
                <w:lang w:val="es-MX"/>
              </w:rPr>
            </w:pPr>
            <w:r w:rsidRPr="00523452">
              <w:rPr>
                <w:rFonts w:ascii="ITC Avant Garde" w:hAnsi="ITC Avant Garde" w:cs="Arial"/>
                <w:sz w:val="20"/>
                <w:lang w:val="es-MX"/>
              </w:rPr>
              <w:t>Renta de línea</w:t>
            </w:r>
          </w:p>
        </w:tc>
        <w:tc>
          <w:tcPr>
            <w:tcW w:w="1434" w:type="pct"/>
            <w:gridSpan w:val="2"/>
          </w:tcPr>
          <w:p w14:paraId="66709191"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hAnsi="ITC Avant Garde" w:cs="Arial"/>
                <w:sz w:val="20"/>
                <w:lang w:val="es-MX"/>
              </w:rPr>
              <w:t>80%</w:t>
            </w:r>
          </w:p>
        </w:tc>
        <w:tc>
          <w:tcPr>
            <w:tcW w:w="1165" w:type="pct"/>
            <w:vAlign w:val="center"/>
          </w:tcPr>
          <w:p w14:paraId="078D58E5"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hAnsi="ITC Avant Garde" w:cs="Arial"/>
                <w:sz w:val="20"/>
                <w:lang w:val="es-MX"/>
              </w:rPr>
              <w:t>20%</w:t>
            </w:r>
          </w:p>
        </w:tc>
        <w:tc>
          <w:tcPr>
            <w:tcW w:w="1272" w:type="pct"/>
          </w:tcPr>
          <w:p w14:paraId="54980E46"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hAnsi="ITC Avant Garde" w:cs="Arial"/>
                <w:sz w:val="20"/>
                <w:lang w:val="es-MX"/>
              </w:rPr>
              <w:t>$40</w:t>
            </w:r>
          </w:p>
        </w:tc>
      </w:tr>
      <w:tr w:rsidR="00181D64" w:rsidRPr="00523452" w14:paraId="70D9093D" w14:textId="77777777" w:rsidTr="00A02ABE">
        <w:trPr>
          <w:trHeight w:val="235"/>
          <w:jc w:val="center"/>
        </w:trPr>
        <w:tc>
          <w:tcPr>
            <w:tcW w:w="1129" w:type="pct"/>
            <w:tcBorders>
              <w:bottom w:val="single" w:sz="4" w:space="0" w:color="999999" w:themeColor="text1" w:themeTint="66"/>
            </w:tcBorders>
          </w:tcPr>
          <w:p w14:paraId="0BEC6272" w14:textId="77777777" w:rsidR="00181D64" w:rsidRPr="00523452" w:rsidRDefault="00181D64" w:rsidP="00A02ABE">
            <w:pPr>
              <w:pStyle w:val="Tablecells"/>
              <w:spacing w:before="0" w:after="0" w:line="276" w:lineRule="auto"/>
              <w:jc w:val="both"/>
              <w:rPr>
                <w:rFonts w:ascii="ITC Avant Garde" w:hAnsi="ITC Avant Garde" w:cs="Arial"/>
                <w:sz w:val="20"/>
                <w:lang w:val="es-MX"/>
              </w:rPr>
            </w:pPr>
            <w:r w:rsidRPr="00523452">
              <w:rPr>
                <w:rFonts w:ascii="ITC Avant Garde" w:hAnsi="ITC Avant Garde" w:cs="Arial"/>
                <w:sz w:val="20"/>
                <w:lang w:val="es-MX"/>
              </w:rPr>
              <w:t>Servicios de voz</w:t>
            </w:r>
          </w:p>
        </w:tc>
        <w:tc>
          <w:tcPr>
            <w:tcW w:w="1434" w:type="pct"/>
            <w:gridSpan w:val="2"/>
            <w:tcBorders>
              <w:bottom w:val="single" w:sz="4" w:space="0" w:color="999999" w:themeColor="text1" w:themeTint="66"/>
            </w:tcBorders>
          </w:tcPr>
          <w:p w14:paraId="06896298"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hAnsi="ITC Avant Garde" w:cs="Arial"/>
                <w:sz w:val="20"/>
                <w:lang w:val="es-MX"/>
              </w:rPr>
              <w:t>65%</w:t>
            </w:r>
          </w:p>
        </w:tc>
        <w:tc>
          <w:tcPr>
            <w:tcW w:w="1165" w:type="pct"/>
            <w:tcBorders>
              <w:bottom w:val="single" w:sz="4" w:space="0" w:color="999999" w:themeColor="text1" w:themeTint="66"/>
            </w:tcBorders>
            <w:vAlign w:val="center"/>
          </w:tcPr>
          <w:p w14:paraId="5F981704"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hAnsi="ITC Avant Garde" w:cs="Arial"/>
                <w:sz w:val="20"/>
                <w:lang w:val="es-MX"/>
              </w:rPr>
              <w:t>35%</w:t>
            </w:r>
          </w:p>
        </w:tc>
        <w:tc>
          <w:tcPr>
            <w:tcW w:w="1272" w:type="pct"/>
            <w:tcBorders>
              <w:bottom w:val="single" w:sz="4" w:space="0" w:color="999999" w:themeColor="text1" w:themeTint="66"/>
            </w:tcBorders>
          </w:tcPr>
          <w:p w14:paraId="68B7DE53"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hAnsi="ITC Avant Garde" w:cs="Arial"/>
                <w:sz w:val="20"/>
                <w:lang w:val="es-MX"/>
              </w:rPr>
              <w:t>$70</w:t>
            </w:r>
          </w:p>
        </w:tc>
      </w:tr>
      <w:tr w:rsidR="00181D64" w:rsidRPr="00523452" w14:paraId="14FF0ED4" w14:textId="77777777" w:rsidTr="00A02ABE">
        <w:trPr>
          <w:trHeight w:val="235"/>
          <w:jc w:val="center"/>
        </w:trPr>
        <w:tc>
          <w:tcPr>
            <w:tcW w:w="1129" w:type="pct"/>
            <w:tcBorders>
              <w:bottom w:val="single" w:sz="4" w:space="0" w:color="auto"/>
            </w:tcBorders>
          </w:tcPr>
          <w:p w14:paraId="5144695D" w14:textId="77777777" w:rsidR="00181D64" w:rsidRPr="00523452" w:rsidRDefault="00181D64" w:rsidP="00A02ABE">
            <w:pPr>
              <w:pStyle w:val="Tablecells"/>
              <w:spacing w:before="0" w:after="0" w:line="276" w:lineRule="auto"/>
              <w:jc w:val="both"/>
              <w:rPr>
                <w:rFonts w:ascii="ITC Avant Garde" w:hAnsi="ITC Avant Garde" w:cs="Arial"/>
                <w:sz w:val="20"/>
                <w:lang w:val="es-MX"/>
              </w:rPr>
            </w:pPr>
            <w:r w:rsidRPr="00523452">
              <w:rPr>
                <w:rFonts w:ascii="ITC Avant Garde" w:hAnsi="ITC Avant Garde" w:cs="Arial"/>
                <w:sz w:val="20"/>
                <w:lang w:val="es-MX"/>
              </w:rPr>
              <w:lastRenderedPageBreak/>
              <w:t>Internet</w:t>
            </w:r>
          </w:p>
        </w:tc>
        <w:tc>
          <w:tcPr>
            <w:tcW w:w="1434" w:type="pct"/>
            <w:gridSpan w:val="2"/>
            <w:tcBorders>
              <w:bottom w:val="single" w:sz="4" w:space="0" w:color="auto"/>
            </w:tcBorders>
          </w:tcPr>
          <w:p w14:paraId="488AE688"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hAnsi="ITC Avant Garde" w:cs="Arial"/>
                <w:sz w:val="20"/>
                <w:lang w:val="es-MX"/>
              </w:rPr>
              <w:t>55%</w:t>
            </w:r>
          </w:p>
        </w:tc>
        <w:tc>
          <w:tcPr>
            <w:tcW w:w="1165" w:type="pct"/>
            <w:tcBorders>
              <w:bottom w:val="single" w:sz="4" w:space="0" w:color="auto"/>
            </w:tcBorders>
            <w:vAlign w:val="center"/>
          </w:tcPr>
          <w:p w14:paraId="13BACFC4"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hAnsi="ITC Avant Garde" w:cs="Arial"/>
                <w:sz w:val="20"/>
                <w:lang w:val="es-MX"/>
              </w:rPr>
              <w:t>45%</w:t>
            </w:r>
          </w:p>
        </w:tc>
        <w:tc>
          <w:tcPr>
            <w:tcW w:w="1272" w:type="pct"/>
            <w:tcBorders>
              <w:bottom w:val="single" w:sz="4" w:space="0" w:color="auto"/>
            </w:tcBorders>
          </w:tcPr>
          <w:p w14:paraId="00C15C50"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hAnsi="ITC Avant Garde" w:cs="Arial"/>
                <w:sz w:val="20"/>
                <w:lang w:val="es-MX"/>
              </w:rPr>
              <w:t>$90</w:t>
            </w:r>
          </w:p>
        </w:tc>
      </w:tr>
      <w:tr w:rsidR="00181D64" w:rsidRPr="00523452" w14:paraId="0F746BF2" w14:textId="77777777" w:rsidTr="00A02ABE">
        <w:trPr>
          <w:trHeight w:val="235"/>
          <w:jc w:val="center"/>
        </w:trPr>
        <w:tc>
          <w:tcPr>
            <w:tcW w:w="1129" w:type="pct"/>
            <w:tcBorders>
              <w:top w:val="single" w:sz="4" w:space="0" w:color="auto"/>
              <w:bottom w:val="single" w:sz="4" w:space="0" w:color="auto"/>
            </w:tcBorders>
          </w:tcPr>
          <w:p w14:paraId="17E8A37A" w14:textId="77777777" w:rsidR="00181D64" w:rsidRPr="00523452" w:rsidRDefault="00181D64" w:rsidP="00A02ABE">
            <w:pPr>
              <w:pStyle w:val="Tablecells"/>
              <w:spacing w:before="0" w:after="0" w:line="276" w:lineRule="auto"/>
              <w:jc w:val="both"/>
              <w:rPr>
                <w:rFonts w:ascii="ITC Avant Garde" w:hAnsi="ITC Avant Garde" w:cs="Arial"/>
                <w:b/>
                <w:sz w:val="20"/>
                <w:lang w:val="es-MX"/>
              </w:rPr>
            </w:pPr>
            <w:r w:rsidRPr="00523452">
              <w:rPr>
                <w:rFonts w:ascii="ITC Avant Garde" w:hAnsi="ITC Avant Garde" w:cs="Arial"/>
                <w:b/>
                <w:sz w:val="20"/>
                <w:lang w:val="es-MX"/>
              </w:rPr>
              <w:t>Total</w:t>
            </w:r>
          </w:p>
        </w:tc>
        <w:tc>
          <w:tcPr>
            <w:tcW w:w="1434" w:type="pct"/>
            <w:gridSpan w:val="2"/>
            <w:tcBorders>
              <w:top w:val="single" w:sz="4" w:space="0" w:color="auto"/>
              <w:bottom w:val="single" w:sz="4" w:space="0" w:color="auto"/>
            </w:tcBorders>
            <w:shd w:val="clear" w:color="auto" w:fill="E7E6E6" w:themeFill="background2"/>
          </w:tcPr>
          <w:p w14:paraId="52D430BC" w14:textId="77777777" w:rsidR="00181D64" w:rsidRPr="00523452" w:rsidRDefault="00181D64" w:rsidP="00A02ABE">
            <w:pPr>
              <w:pStyle w:val="Tablecells"/>
              <w:spacing w:before="0" w:after="0" w:line="276" w:lineRule="auto"/>
              <w:jc w:val="center"/>
              <w:rPr>
                <w:rFonts w:ascii="ITC Avant Garde" w:eastAsia="Times New Roman" w:hAnsi="ITC Avant Garde" w:cs="Arial"/>
                <w:b/>
                <w:sz w:val="20"/>
                <w:lang w:val="es-MX" w:eastAsia="es-MX"/>
              </w:rPr>
            </w:pPr>
          </w:p>
        </w:tc>
        <w:tc>
          <w:tcPr>
            <w:tcW w:w="1165" w:type="pct"/>
            <w:tcBorders>
              <w:top w:val="single" w:sz="4" w:space="0" w:color="auto"/>
              <w:bottom w:val="single" w:sz="4" w:space="0" w:color="auto"/>
            </w:tcBorders>
            <w:vAlign w:val="center"/>
          </w:tcPr>
          <w:p w14:paraId="315E8157" w14:textId="77777777" w:rsidR="00181D64" w:rsidRPr="00523452" w:rsidRDefault="00181D64" w:rsidP="00A02ABE">
            <w:pPr>
              <w:pStyle w:val="Tablecells"/>
              <w:spacing w:before="0" w:after="0" w:line="276" w:lineRule="auto"/>
              <w:jc w:val="center"/>
              <w:rPr>
                <w:rFonts w:ascii="ITC Avant Garde" w:hAnsi="ITC Avant Garde" w:cs="Arial"/>
                <w:sz w:val="20"/>
                <w:lang w:val="es-MX"/>
              </w:rPr>
            </w:pPr>
            <w:r w:rsidRPr="00523452">
              <w:rPr>
                <w:rFonts w:ascii="ITC Avant Garde" w:eastAsia="Times New Roman" w:hAnsi="ITC Avant Garde" w:cs="Arial"/>
                <w:b/>
                <w:sz w:val="20"/>
                <w:lang w:val="es-MX" w:eastAsia="es-MX"/>
              </w:rPr>
              <w:t>100%</w:t>
            </w:r>
          </w:p>
        </w:tc>
        <w:tc>
          <w:tcPr>
            <w:tcW w:w="1272" w:type="pct"/>
            <w:tcBorders>
              <w:top w:val="single" w:sz="4" w:space="0" w:color="auto"/>
              <w:bottom w:val="single" w:sz="4" w:space="0" w:color="auto"/>
            </w:tcBorders>
          </w:tcPr>
          <w:p w14:paraId="1194AB18" w14:textId="77777777" w:rsidR="00181D64" w:rsidRPr="00523452" w:rsidRDefault="00181D64" w:rsidP="00A02ABE">
            <w:pPr>
              <w:pStyle w:val="Tablecells"/>
              <w:spacing w:before="0" w:after="0" w:line="276" w:lineRule="auto"/>
              <w:jc w:val="center"/>
              <w:rPr>
                <w:rFonts w:ascii="ITC Avant Garde" w:eastAsia="Times New Roman" w:hAnsi="ITC Avant Garde" w:cs="Arial"/>
                <w:b/>
                <w:sz w:val="20"/>
                <w:lang w:val="es-MX" w:eastAsia="es-MX"/>
              </w:rPr>
            </w:pPr>
            <w:r w:rsidRPr="00523452">
              <w:rPr>
                <w:rFonts w:ascii="ITC Avant Garde" w:eastAsia="Times New Roman" w:hAnsi="ITC Avant Garde" w:cs="Arial"/>
                <w:b/>
                <w:sz w:val="20"/>
                <w:lang w:val="es-MX" w:eastAsia="es-MX"/>
              </w:rPr>
              <w:t>$200</w:t>
            </w:r>
          </w:p>
        </w:tc>
      </w:tr>
    </w:tbl>
    <w:p w14:paraId="005DED8C" w14:textId="64B0D3F2" w:rsidR="00181D64" w:rsidRDefault="007B464C" w:rsidP="004676C5">
      <w:pPr>
        <w:pStyle w:val="IFTnormal"/>
        <w:numPr>
          <w:ilvl w:val="0"/>
          <w:numId w:val="59"/>
        </w:numPr>
        <w:tabs>
          <w:tab w:val="left" w:pos="1134"/>
        </w:tabs>
        <w:ind w:left="142" w:hanging="142"/>
        <w:rPr>
          <w:b/>
          <w:bCs w:val="0"/>
          <w:sz w:val="17"/>
          <w:szCs w:val="17"/>
        </w:rPr>
      </w:pPr>
      <w:r w:rsidRPr="004676C5">
        <w:rPr>
          <w:sz w:val="20"/>
          <w:szCs w:val="20"/>
        </w:rPr>
        <w:t>Ejemplo de representación del precio implícito</w:t>
      </w:r>
    </w:p>
    <w:p w14:paraId="2E6EC40A" w14:textId="566D1808" w:rsidR="00181D64" w:rsidRPr="00523452" w:rsidRDefault="00181D64" w:rsidP="00181D64">
      <w:pPr>
        <w:pStyle w:val="IFTnormal"/>
      </w:pPr>
      <w:r w:rsidRPr="00523452">
        <w:t xml:space="preserve">En el Modelo de Costos Evitados el precio de referencia del </w:t>
      </w:r>
      <w:r w:rsidRPr="00640978">
        <w:t>SRL</w:t>
      </w:r>
      <w:r w:rsidRPr="00523452">
        <w:t xml:space="preserve"> se establece a través del factor de estimación del precio implícito, como se describe a continuación.</w:t>
      </w:r>
    </w:p>
    <w:p w14:paraId="6A63859B" w14:textId="77777777" w:rsidR="00181D64" w:rsidRDefault="00181D64" w:rsidP="00181D64">
      <w:pPr>
        <w:pStyle w:val="IFTnormal"/>
      </w:pPr>
      <w:r w:rsidRPr="00523452">
        <w:t>Dado un conjunto de planes y paquetes que ofrecen un elemento o servicio particular, los ingresos guardan la siguiente relación:</w:t>
      </w:r>
    </w:p>
    <w:p w14:paraId="4DA238AD" w14:textId="52ED0754" w:rsidR="00220A8D" w:rsidRPr="005C2960" w:rsidRDefault="00265444" w:rsidP="00181D64">
      <w:pPr>
        <w:pStyle w:val="IFTnormal"/>
        <w:rPr>
          <w:bCs w:val="0"/>
          <w:iCs/>
        </w:rPr>
      </w:pPr>
      <m:oMathPara>
        <m:oMath>
          <m:r>
            <m:rPr>
              <m:sty m:val="p"/>
            </m:rPr>
            <w:rPr>
              <w:rFonts w:ascii="Cambria Math" w:hAnsi="Cambria Math"/>
            </w:rPr>
            <m:t>Ingresos de los planes y paquetes</m:t>
          </m:r>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P</m:t>
                  </m:r>
                </m:e>
                <m:sub>
                  <m:r>
                    <w:rPr>
                      <w:rFonts w:ascii="Cambria Math" w:hAnsi="Cambria Math"/>
                    </w:rPr>
                    <m:t>minorista</m:t>
                  </m:r>
                </m:sub>
                <m:sup>
                  <m:r>
                    <w:rPr>
                      <w:rFonts w:ascii="Cambria Math" w:hAnsi="Cambria Math"/>
                    </w:rPr>
                    <m:t>i</m:t>
                  </m:r>
                </m:sup>
              </m:sSub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i</m:t>
                  </m:r>
                </m:sup>
              </m:sSup>
            </m:e>
          </m:nary>
        </m:oMath>
      </m:oMathPara>
    </w:p>
    <w:p w14:paraId="6A3F1008" w14:textId="21E9663F" w:rsidR="00BD5DB6" w:rsidRPr="00BD5DB6" w:rsidRDefault="00186A46" w:rsidP="00181D64">
      <w:pPr>
        <w:pStyle w:val="IFTnormal"/>
        <w:rPr>
          <w:bCs w:val="0"/>
          <w:iCs/>
        </w:rPr>
      </w:pPr>
      <m:oMathPara>
        <m:oMath>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P</m:t>
                  </m:r>
                </m:e>
                <m:sub>
                  <m:r>
                    <w:rPr>
                      <w:rFonts w:ascii="Cambria Math" w:hAnsi="Cambria Math"/>
                    </w:rPr>
                    <m:t>implícito</m:t>
                  </m:r>
                </m:sub>
                <m:sup>
                  <m:r>
                    <w:rPr>
                      <w:rFonts w:ascii="Cambria Math" w:hAnsi="Cambria Math"/>
                    </w:rPr>
                    <m:t>i</m:t>
                  </m:r>
                </m:sup>
              </m:sSub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i</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minorista</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implícito</m:t>
                  </m:r>
                </m:sub>
                <m:sup>
                  <m:r>
                    <w:rPr>
                      <w:rFonts w:ascii="Cambria Math" w:hAnsi="Cambria Math"/>
                    </w:rPr>
                    <m:t>i</m:t>
                  </m:r>
                </m:sup>
              </m:sSub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i</m:t>
                  </m:r>
                </m:sup>
              </m:sSup>
            </m:e>
          </m:nary>
        </m:oMath>
      </m:oMathPara>
    </w:p>
    <w:p w14:paraId="71FCE92B" w14:textId="77777777" w:rsidR="00BD5DB6" w:rsidRPr="00265444" w:rsidRDefault="00BD5DB6" w:rsidP="00181D64">
      <w:pPr>
        <w:pStyle w:val="IFTnormal"/>
      </w:pPr>
    </w:p>
    <w:p w14:paraId="0E6A4EAC" w14:textId="77777777" w:rsidR="00181D64" w:rsidRPr="00523452" w:rsidRDefault="00181D64" w:rsidP="00181D64">
      <w:pPr>
        <w:pStyle w:val="IFTnormal"/>
        <w:spacing w:after="0"/>
      </w:pPr>
      <m:oMathPara>
        <m:oMath>
          <m:r>
            <m:rPr>
              <m:nor/>
            </m:rPr>
            <m:t xml:space="preserve">= Ingresos del servicio de interés + </m:t>
          </m:r>
        </m:oMath>
      </m:oMathPara>
    </w:p>
    <w:p w14:paraId="1F58DFB3" w14:textId="77777777" w:rsidR="00181D64" w:rsidRPr="00523452" w:rsidRDefault="00181D64" w:rsidP="00181D64">
      <w:pPr>
        <w:pStyle w:val="IFTnormal"/>
        <w:spacing w:after="0"/>
      </w:pPr>
      <m:oMathPara>
        <m:oMath>
          <m:r>
            <m:rPr>
              <m:nor/>
            </m:rPr>
            <m:t>Ingresos del resto de servicios que se ofrecen en planes y paquetes.</m:t>
          </m:r>
        </m:oMath>
      </m:oMathPara>
    </w:p>
    <w:p w14:paraId="2F8A86E2" w14:textId="77777777" w:rsidR="00181D64" w:rsidRDefault="00181D64" w:rsidP="00181D64">
      <w:pPr>
        <w:pStyle w:val="IFTnormal"/>
        <w:spacing w:before="240"/>
      </w:pPr>
      <w:r w:rsidRPr="00523452">
        <w:t>donde para el periodo de tiempo en estudio, los términos involucrados tienen el significado descrito a continuación:</w:t>
      </w:r>
    </w:p>
    <w:p w14:paraId="7065500F" w14:textId="77777777" w:rsidR="00181D64" w:rsidRPr="00523452" w:rsidRDefault="00181D64" w:rsidP="00181D64">
      <w:pPr>
        <w:pStyle w:val="IFTnormal"/>
        <w:numPr>
          <w:ilvl w:val="0"/>
          <w:numId w:val="12"/>
        </w:numPr>
        <w:spacing w:after="0"/>
        <w:ind w:left="714" w:hanging="357"/>
      </w:pPr>
      <m:oMath>
        <m:r>
          <m:rPr>
            <m:nor/>
          </m:rPr>
          <m:t>n:</m:t>
        </m:r>
      </m:oMath>
      <w:r w:rsidRPr="00523452">
        <w:t xml:space="preserve"> denota el número de planes o paquetes en cuestión,</w:t>
      </w:r>
    </w:p>
    <w:p w14:paraId="79BD45FC" w14:textId="77777777" w:rsidR="00181D64" w:rsidRPr="00523452" w:rsidRDefault="00E85AB8" w:rsidP="00181D64">
      <w:pPr>
        <w:pStyle w:val="IFTnormal"/>
        <w:numPr>
          <w:ilvl w:val="0"/>
          <w:numId w:val="12"/>
        </w:numPr>
        <w:spacing w:after="0"/>
        <w:ind w:left="714" w:hanging="357"/>
      </w:pPr>
      <m:oMath>
        <m:sSubSup>
          <m:sSubSupPr>
            <m:ctrlPr>
              <w:rPr>
                <w:rFonts w:ascii="Cambria Math" w:hAnsi="Cambria Math"/>
                <w:i/>
              </w:rPr>
            </m:ctrlPr>
          </m:sSubSupPr>
          <m:e>
            <m:r>
              <m:rPr>
                <m:nor/>
              </m:rPr>
              <m:t>P</m:t>
            </m:r>
          </m:e>
          <m:sub>
            <m:r>
              <m:rPr>
                <m:nor/>
              </m:rPr>
              <m:t>minorista</m:t>
            </m:r>
          </m:sub>
          <m:sup>
            <m:r>
              <m:rPr>
                <m:nor/>
              </m:rPr>
              <m:t>i</m:t>
            </m:r>
          </m:sup>
        </m:sSubSup>
      </m:oMath>
      <w:r w:rsidR="00181D64" w:rsidRPr="00523452">
        <w:t>: se refiere al precio minorista del i-</w:t>
      </w:r>
      <w:proofErr w:type="spellStart"/>
      <w:r w:rsidR="00181D64" w:rsidRPr="00523452">
        <w:t>ésimo</w:t>
      </w:r>
      <w:proofErr w:type="spellEnd"/>
      <w:r w:rsidR="00181D64" w:rsidRPr="00523452">
        <w:t xml:space="preserve"> plan o paquete,</w:t>
      </w:r>
    </w:p>
    <w:p w14:paraId="6D32BC2C" w14:textId="77777777" w:rsidR="00181D64" w:rsidRPr="00523452" w:rsidRDefault="00E85AB8" w:rsidP="00181D64">
      <w:pPr>
        <w:pStyle w:val="IFTnormal"/>
        <w:numPr>
          <w:ilvl w:val="0"/>
          <w:numId w:val="12"/>
        </w:numPr>
        <w:spacing w:after="0"/>
        <w:ind w:left="714" w:right="-93" w:hanging="357"/>
      </w:pPr>
      <m:oMath>
        <m:sSup>
          <m:sSupPr>
            <m:ctrlPr>
              <w:rPr>
                <w:rFonts w:ascii="Cambria Math" w:hAnsi="Cambria Math"/>
                <w:i/>
              </w:rPr>
            </m:ctrlPr>
          </m:sSupPr>
          <m:e>
            <m:r>
              <m:rPr>
                <m:nor/>
              </m:rPr>
              <m:t>Q</m:t>
            </m:r>
          </m:e>
          <m:sup>
            <m:r>
              <m:rPr>
                <m:nor/>
              </m:rPr>
              <m:t>i</m:t>
            </m:r>
          </m:sup>
        </m:sSup>
      </m:oMath>
      <w:r w:rsidR="00181D64" w:rsidRPr="00523452">
        <w:t>: corresponde a la cantidad de usuarios que contratan el i-</w:t>
      </w:r>
      <w:proofErr w:type="spellStart"/>
      <w:r w:rsidR="00181D64" w:rsidRPr="00523452">
        <w:t>ésimo</w:t>
      </w:r>
      <w:proofErr w:type="spellEnd"/>
      <w:r w:rsidR="00181D64" w:rsidRPr="00523452">
        <w:t xml:space="preserve"> plan o paquete, y</w:t>
      </w:r>
    </w:p>
    <w:p w14:paraId="4E69C5EA" w14:textId="77777777" w:rsidR="00181D64" w:rsidRPr="00523452" w:rsidRDefault="00E85AB8" w:rsidP="00181D64">
      <w:pPr>
        <w:pStyle w:val="IFTnormal"/>
        <w:numPr>
          <w:ilvl w:val="0"/>
          <w:numId w:val="12"/>
        </w:numPr>
        <w:spacing w:after="0"/>
        <w:ind w:left="714" w:hanging="357"/>
      </w:pPr>
      <m:oMath>
        <m:sSubSup>
          <m:sSubSupPr>
            <m:ctrlPr>
              <w:rPr>
                <w:rFonts w:ascii="Cambria Math" w:hAnsi="Cambria Math"/>
                <w:lang w:val="en-US"/>
              </w:rPr>
            </m:ctrlPr>
          </m:sSubSupPr>
          <m:e>
            <m:r>
              <m:rPr>
                <m:nor/>
              </m:rPr>
              <m:t>P</m:t>
            </m:r>
          </m:e>
          <m:sub>
            <m:r>
              <m:rPr>
                <m:nor/>
              </m:rPr>
              <m:t>implícito</m:t>
            </m:r>
          </m:sub>
          <m:sup>
            <m:r>
              <m:rPr>
                <m:nor/>
              </m:rPr>
              <m:t>i</m:t>
            </m:r>
          </m:sup>
        </m:sSubSup>
      </m:oMath>
      <w:r w:rsidR="00181D64" w:rsidRPr="00523452">
        <w:t>: relativo al precio implícito del servicio de interés, con respecto al i-</w:t>
      </w:r>
      <w:proofErr w:type="spellStart"/>
      <w:r w:rsidR="00181D64" w:rsidRPr="00523452">
        <w:t>ésimo</w:t>
      </w:r>
      <w:proofErr w:type="spellEnd"/>
      <w:r w:rsidR="00181D64" w:rsidRPr="00523452">
        <w:t xml:space="preserve"> plan o paquete</w:t>
      </w:r>
    </w:p>
    <w:p w14:paraId="4ADA8B6E" w14:textId="77777777" w:rsidR="00181D64" w:rsidRPr="00523452" w:rsidRDefault="00181D64" w:rsidP="00181D64">
      <w:pPr>
        <w:pStyle w:val="IFTnormal"/>
        <w:spacing w:before="240"/>
      </w:pPr>
      <w:r w:rsidRPr="00523452">
        <w:t xml:space="preserve">En consecuencia, a </w:t>
      </w:r>
      <w:r w:rsidRPr="000E590D">
        <w:rPr>
          <w:b/>
          <w:bCs w:val="0"/>
        </w:rPr>
        <w:t>nivel promedio</w:t>
      </w:r>
      <w:r w:rsidRPr="00523452">
        <w:t>, el factor de estimación del precio implícito de un servicio se puede aproximar por el cociente entre 1) los ingresos obtenidos por todos los servicios distintos de aquel cuyo precio implícito resulta de interés y 2) los ingresos de planes y paquetes en estudio.</w:t>
      </w:r>
    </w:p>
    <w:p w14:paraId="3D23EA9B" w14:textId="6B3BB7D0" w:rsidR="00181D64" w:rsidRDefault="00181D64" w:rsidP="00181D64">
      <w:pPr>
        <w:pStyle w:val="IFTnormal"/>
      </w:pPr>
      <w:r w:rsidRPr="000E590D">
        <w:t xml:space="preserve">Asimismo, también se desprende que para estimar la cantidad descrita en el inciso </w:t>
      </w:r>
      <w:r w:rsidRPr="00DF75EB">
        <w:t xml:space="preserve">1), </w:t>
      </w:r>
      <w:r w:rsidRPr="000E590D">
        <w:t>basta hacer la diferencia entre los precios minoristas de los planes y paquetes junto con el precio implícito de un elemento o servicio que se incluye en los planes o paquetes y multiplicar dicho valor por la cantidad de clientes correspondientes.</w:t>
      </w:r>
    </w:p>
    <w:p w14:paraId="25EC0883" w14:textId="77777777" w:rsidR="00181D64" w:rsidRDefault="00181D64" w:rsidP="00181D64">
      <w:pPr>
        <w:pStyle w:val="IFTnormal"/>
        <w:spacing w:after="240"/>
      </w:pPr>
      <w:r w:rsidRPr="00B4546D">
        <w:t xml:space="preserve">A través de dicho procedimiento en el Modelo de Costos Evitados, se calculan los factores de estimación del precio implícito, a nivel promedio, correspondiente a la </w:t>
      </w:r>
      <w:r w:rsidRPr="00B4546D">
        <w:lastRenderedPageBreak/>
        <w:t xml:space="preserve">renta de línea </w:t>
      </w:r>
      <m:oMath>
        <m:r>
          <w:rPr>
            <w:rFonts w:ascii="Cambria Math" w:hAnsi="Cambria Math"/>
          </w:rPr>
          <m:t>(</m:t>
        </m:r>
        <m:r>
          <m:rPr>
            <m:nor/>
          </m:rPr>
          <w:rPr>
            <w:b/>
          </w:rPr>
          <m:t xml:space="preserve">% </m:t>
        </m:r>
        <m:sSub>
          <m:sSubPr>
            <m:ctrlPr>
              <w:rPr>
                <w:rFonts w:ascii="Cambria Math" w:hAnsi="Cambria Math"/>
                <w:b/>
                <w:i/>
              </w:rPr>
            </m:ctrlPr>
          </m:sSubPr>
          <m:e>
            <m:r>
              <m:rPr>
                <m:nor/>
              </m:rPr>
              <w:rPr>
                <w:rFonts w:ascii="Calibri" w:hAnsi="Calibri"/>
                <w:b/>
              </w:rPr>
              <m:t>β</m:t>
            </m:r>
          </m:e>
          <m:sub>
            <m:r>
              <m:rPr>
                <m:nor/>
              </m:rPr>
              <w:rPr>
                <w:b/>
              </w:rPr>
              <m:t>renta de línea</m:t>
            </m:r>
          </m:sub>
        </m:sSub>
        <m:r>
          <m:rPr>
            <m:nor/>
          </m:rPr>
          <m:t>)</m:t>
        </m:r>
      </m:oMath>
      <w:r w:rsidRPr="00B4546D">
        <w:t xml:space="preserve">, servicios voz </w:t>
      </w:r>
      <m:oMath>
        <m:r>
          <w:rPr>
            <w:rFonts w:ascii="Cambria Math" w:hAnsi="Cambria Math"/>
          </w:rPr>
          <m:t>(</m:t>
        </m:r>
        <m:r>
          <m:rPr>
            <m:nor/>
          </m:rPr>
          <w:rPr>
            <w:b/>
          </w:rPr>
          <m:t xml:space="preserve">% </m:t>
        </m:r>
        <m:sSub>
          <m:sSubPr>
            <m:ctrlPr>
              <w:rPr>
                <w:rFonts w:ascii="Cambria Math" w:hAnsi="Cambria Math"/>
                <w:b/>
                <w:i/>
              </w:rPr>
            </m:ctrlPr>
          </m:sSubPr>
          <m:e>
            <m:r>
              <m:rPr>
                <m:nor/>
              </m:rPr>
              <w:rPr>
                <w:rFonts w:ascii="Calibri" w:hAnsi="Calibri"/>
                <w:b/>
              </w:rPr>
              <m:t>β</m:t>
            </m:r>
          </m:e>
          <m:sub>
            <m:r>
              <m:rPr>
                <m:nor/>
              </m:rPr>
              <w:rPr>
                <w:b/>
              </w:rPr>
              <m:t>servicios de voz</m:t>
            </m:r>
          </m:sub>
        </m:sSub>
        <m:r>
          <m:rPr>
            <m:nor/>
          </m:rPr>
          <m:t>)</m:t>
        </m:r>
      </m:oMath>
      <w:r w:rsidRPr="00B4546D">
        <w:rPr>
          <w:b/>
        </w:rPr>
        <w:t xml:space="preserve"> </w:t>
      </w:r>
      <w:r w:rsidRPr="00B4546D">
        <w:t xml:space="preserve">y servicio de Internet </w:t>
      </w:r>
      <m:oMath>
        <m:r>
          <w:rPr>
            <w:rFonts w:ascii="Cambria Math" w:hAnsi="Cambria Math"/>
          </w:rPr>
          <m:t>(</m:t>
        </m:r>
        <m:r>
          <m:rPr>
            <m:nor/>
          </m:rPr>
          <w:rPr>
            <w:b/>
          </w:rPr>
          <m:t xml:space="preserve">% </m:t>
        </m:r>
        <m:sSub>
          <m:sSubPr>
            <m:ctrlPr>
              <w:rPr>
                <w:rFonts w:ascii="Cambria Math" w:hAnsi="Cambria Math"/>
                <w:b/>
                <w:i/>
              </w:rPr>
            </m:ctrlPr>
          </m:sSubPr>
          <m:e>
            <m:r>
              <m:rPr>
                <m:nor/>
              </m:rPr>
              <w:rPr>
                <w:rFonts w:ascii="Calibri" w:hAnsi="Calibri"/>
                <w:b/>
              </w:rPr>
              <m:t>β</m:t>
            </m:r>
          </m:e>
          <m:sub>
            <m:r>
              <m:rPr>
                <m:nor/>
              </m:rPr>
              <w:rPr>
                <w:b/>
              </w:rPr>
              <m:t>servicio de Internet</m:t>
            </m:r>
          </m:sub>
        </m:sSub>
        <m:r>
          <m:rPr>
            <m:nor/>
          </m:rPr>
          <m:t>)</m:t>
        </m:r>
      </m:oMath>
      <w:r w:rsidRPr="00B4546D">
        <w:t>.</w:t>
      </w:r>
    </w:p>
    <w:p w14:paraId="6B0F5903" w14:textId="77777777" w:rsidR="00181D64" w:rsidRPr="00B4546D" w:rsidRDefault="00181D64" w:rsidP="00181D64">
      <w:pPr>
        <w:pStyle w:val="Ttulo3"/>
        <w:numPr>
          <w:ilvl w:val="2"/>
          <w:numId w:val="7"/>
        </w:numPr>
        <w:spacing w:after="240"/>
        <w:ind w:left="851" w:hanging="789"/>
        <w:rPr>
          <w:rStyle w:val="IFTnormalCar"/>
          <w:b/>
          <w:color w:val="auto"/>
        </w:rPr>
      </w:pPr>
      <w:bookmarkStart w:id="30" w:name="_Toc114513055"/>
      <w:bookmarkStart w:id="31" w:name="_Toc114513299"/>
      <w:r w:rsidRPr="00B4546D">
        <w:rPr>
          <w:rStyle w:val="IFTnormalCar"/>
          <w:b/>
          <w:color w:val="auto"/>
        </w:rPr>
        <w:t>Precio de referencia del SRLT</w:t>
      </w:r>
      <w:bookmarkEnd w:id="30"/>
      <w:bookmarkEnd w:id="31"/>
    </w:p>
    <w:p w14:paraId="46D6B69C" w14:textId="6C201472" w:rsidR="00181D64" w:rsidRDefault="00181D64" w:rsidP="00181D64">
      <w:pPr>
        <w:pStyle w:val="IFTnormal"/>
      </w:pPr>
      <w:r w:rsidRPr="003F0BA7">
        <w:t>El precio de referencia para este servicio se estima a partir del precio implícito, a nivel promedio de los servicios asociados a telefonía (es decir, que no incluyen servicios de Internet).</w:t>
      </w:r>
    </w:p>
    <w:p w14:paraId="36285584" w14:textId="2ED6C007" w:rsidR="00181D64" w:rsidRDefault="00181D64" w:rsidP="00181D64">
      <w:pPr>
        <w:pStyle w:val="IFTnormal"/>
        <w:spacing w:before="240" w:after="240"/>
      </w:pPr>
      <w:r w:rsidRPr="003F0BA7">
        <w:t xml:space="preserve">En este sentido, empleando los factores de estimación del precio implícito, a nivel promedio, correspondiente a la renta de línea </w:t>
      </w:r>
      <m:oMath>
        <m:r>
          <w:rPr>
            <w:rFonts w:ascii="Cambria Math" w:hAnsi="Cambria Math"/>
          </w:rPr>
          <m:t>(</m:t>
        </m:r>
        <m:r>
          <m:rPr>
            <m:nor/>
          </m:rPr>
          <w:rPr>
            <w:b/>
          </w:rPr>
          <m:t xml:space="preserve">% </m:t>
        </m:r>
        <m:sSub>
          <m:sSubPr>
            <m:ctrlPr>
              <w:rPr>
                <w:rFonts w:ascii="Cambria Math" w:hAnsi="Cambria Math"/>
                <w:b/>
                <w:i/>
              </w:rPr>
            </m:ctrlPr>
          </m:sSubPr>
          <m:e>
            <m:r>
              <m:rPr>
                <m:nor/>
              </m:rPr>
              <w:rPr>
                <w:rFonts w:ascii="Calibri" w:hAnsi="Calibri"/>
                <w:b/>
              </w:rPr>
              <m:t>β</m:t>
            </m:r>
          </m:e>
          <m:sub>
            <m:r>
              <m:rPr>
                <m:nor/>
              </m:rPr>
              <w:rPr>
                <w:b/>
              </w:rPr>
              <m:t>renta de línea</m:t>
            </m:r>
          </m:sub>
        </m:sSub>
        <m:r>
          <m:rPr>
            <m:nor/>
          </m:rPr>
          <m:t>)</m:t>
        </m:r>
      </m:oMath>
      <w:r w:rsidRPr="003F0BA7">
        <w:t xml:space="preserve"> y servicios voz </w:t>
      </w:r>
      <m:oMath>
        <m:r>
          <w:rPr>
            <w:rFonts w:ascii="Cambria Math" w:hAnsi="Cambria Math"/>
          </w:rPr>
          <m:t>(</m:t>
        </m:r>
        <m:r>
          <m:rPr>
            <m:nor/>
          </m:rPr>
          <w:rPr>
            <w:b/>
          </w:rPr>
          <m:t xml:space="preserve">% </m:t>
        </m:r>
        <m:sSub>
          <m:sSubPr>
            <m:ctrlPr>
              <w:rPr>
                <w:rFonts w:ascii="Cambria Math" w:hAnsi="Cambria Math"/>
                <w:b/>
                <w:i/>
              </w:rPr>
            </m:ctrlPr>
          </m:sSubPr>
          <m:e>
            <m:r>
              <m:rPr>
                <m:nor/>
              </m:rPr>
              <w:rPr>
                <w:rFonts w:ascii="Calibri" w:hAnsi="Calibri"/>
                <w:b/>
              </w:rPr>
              <m:t>β</m:t>
            </m:r>
          </m:e>
          <m:sub>
            <m:r>
              <m:rPr>
                <m:nor/>
              </m:rPr>
              <w:rPr>
                <w:b/>
              </w:rPr>
              <m:t>servicios de voz</m:t>
            </m:r>
          </m:sub>
        </m:sSub>
        <m:r>
          <m:rPr>
            <m:nor/>
          </m:rPr>
          <m:t>)</m:t>
        </m:r>
      </m:oMath>
      <w:r w:rsidRPr="003F0BA7">
        <w:t>, el precio de referencia del SRLT se establece tomando a partir de</w:t>
      </w:r>
      <w:r w:rsidR="00C25FB0">
        <w:t xml:space="preserve"> </w:t>
      </w:r>
      <w:r w:rsidRPr="003F0BA7">
        <w:t>l</w:t>
      </w:r>
      <w:r w:rsidR="00C25FB0">
        <w:t xml:space="preserve">a tarifa minorista de </w:t>
      </w:r>
      <w:r w:rsidRPr="003F0BA7">
        <w:t xml:space="preserve">un plan o paquete de </w:t>
      </w:r>
      <w:r w:rsidR="00244935">
        <w:t>TELMEX/TELNOR</w:t>
      </w:r>
      <w:r w:rsidRPr="003F0BA7">
        <w:t xml:space="preserve"> (</w:t>
      </w:r>
      <m:oMath>
        <m:sSub>
          <m:sSubPr>
            <m:ctrlPr>
              <w:rPr>
                <w:rFonts w:ascii="Cambria Math" w:hAnsi="Cambria Math"/>
                <w:b/>
              </w:rPr>
            </m:ctrlPr>
          </m:sSubPr>
          <m:e>
            <m:r>
              <m:rPr>
                <m:nor/>
              </m:rPr>
              <w:rPr>
                <w:b/>
              </w:rPr>
              <m:t>P</m:t>
            </m:r>
          </m:e>
          <m:sub>
            <m:r>
              <m:rPr>
                <m:nor/>
              </m:rPr>
              <w:rPr>
                <w:b/>
              </w:rPr>
              <m:t xml:space="preserve">minorista </m:t>
            </m:r>
          </m:sub>
        </m:sSub>
        <m:r>
          <m:rPr>
            <m:sty m:val="bi"/>
          </m:rPr>
          <w:rPr>
            <w:rFonts w:ascii="Cambria Math" w:hAnsi="Cambria Math"/>
          </w:rPr>
          <m:t>)</m:t>
        </m:r>
      </m:oMath>
      <w:r w:rsidR="00C25FB0" w:rsidRPr="00715779">
        <w:rPr>
          <w:bCs w:val="0"/>
        </w:rPr>
        <w:t xml:space="preserve">, </w:t>
      </w:r>
      <w:r w:rsidR="00EF7E81">
        <w:rPr>
          <w:bCs w:val="0"/>
        </w:rPr>
        <w:t>considerando</w:t>
      </w:r>
      <w:r w:rsidR="00C25FB0" w:rsidRPr="00715779">
        <w:rPr>
          <w:bCs w:val="0"/>
        </w:rPr>
        <w:t xml:space="preserve"> si este</w:t>
      </w:r>
      <w:r w:rsidR="00715779">
        <w:rPr>
          <w:bCs w:val="0"/>
        </w:rPr>
        <w:t xml:space="preserve"> se trata d</w:t>
      </w:r>
      <w:r w:rsidR="00EF7E81">
        <w:rPr>
          <w:bCs w:val="0"/>
        </w:rPr>
        <w:t>e</w:t>
      </w:r>
      <w:r w:rsidR="00715779">
        <w:rPr>
          <w:bCs w:val="0"/>
        </w:rPr>
        <w:t xml:space="preserve"> un producto en el que ofrece I) la renta de la línea, o bien si II) este es relativo a un servicio de voz. Lo anterior, se traduce </w:t>
      </w:r>
      <w:r w:rsidR="00EF7E81">
        <w:rPr>
          <w:bCs w:val="0"/>
        </w:rPr>
        <w:t>en</w:t>
      </w:r>
      <w:r w:rsidR="00715779">
        <w:rPr>
          <w:bCs w:val="0"/>
        </w:rPr>
        <w:t xml:space="preserve"> las expresiones</w:t>
      </w:r>
      <w:r w:rsidRPr="003F0BA7">
        <w:t>:</w:t>
      </w:r>
    </w:p>
    <w:p w14:paraId="4465706F" w14:textId="77777777" w:rsidR="00181D64" w:rsidRPr="003F0BA7" w:rsidRDefault="00E85AB8" w:rsidP="00181D64">
      <w:pPr>
        <w:pStyle w:val="IFTnormal"/>
        <w:numPr>
          <w:ilvl w:val="0"/>
          <w:numId w:val="13"/>
        </w:numPr>
        <w:spacing w:after="0"/>
        <w:jc w:val="center"/>
      </w:pPr>
      <m:oMath>
        <m:sSup>
          <m:sSupPr>
            <m:ctrlPr>
              <w:rPr>
                <w:rFonts w:ascii="Cambria Math" w:hAnsi="Cambria Math"/>
                <w:b/>
              </w:rPr>
            </m:ctrlPr>
          </m:sSupPr>
          <m:e>
            <m:r>
              <m:rPr>
                <m:nor/>
              </m:rPr>
              <w:rPr>
                <w:b/>
                <w:iCs/>
              </w:rPr>
              <m:t xml:space="preserve"> P</m:t>
            </m:r>
          </m:e>
          <m:sup>
            <m:r>
              <m:rPr>
                <m:nor/>
              </m:rPr>
              <w:rPr>
                <w:b/>
                <w:iCs/>
              </w:rPr>
              <m:t>r</m:t>
            </m:r>
          </m:sup>
        </m:sSup>
      </m:oMath>
      <w:r w:rsidR="00181D64" w:rsidRPr="003F0BA7">
        <w:rPr>
          <w:b/>
        </w:rPr>
        <w:t xml:space="preserve"> = </w:t>
      </w:r>
      <m:oMath>
        <m:sSub>
          <m:sSubPr>
            <m:ctrlPr>
              <w:rPr>
                <w:rFonts w:ascii="Cambria Math" w:hAnsi="Cambria Math"/>
                <w:b/>
              </w:rPr>
            </m:ctrlPr>
          </m:sSubPr>
          <m:e>
            <m:r>
              <m:rPr>
                <m:nor/>
              </m:rPr>
              <w:rPr>
                <w:b/>
              </w:rPr>
              <m:t>P</m:t>
            </m:r>
          </m:e>
          <m:sub>
            <m:r>
              <m:rPr>
                <m:nor/>
              </m:rPr>
              <w:rPr>
                <w:b/>
              </w:rPr>
              <m:t>minorista implícito</m:t>
            </m:r>
          </m:sub>
        </m:sSub>
        <m:r>
          <m:rPr>
            <m:sty m:val="bi"/>
          </m:rPr>
          <w:rPr>
            <w:rFonts w:ascii="Cambria Math" w:hAnsi="Cambria Math"/>
          </w:rPr>
          <m:t xml:space="preserve"> ×(</m:t>
        </m:r>
        <m:r>
          <m:rPr>
            <m:nor/>
          </m:rPr>
          <w:rPr>
            <w:b/>
          </w:rPr>
          <m:t>1- %</m:t>
        </m:r>
        <m:sSub>
          <m:sSubPr>
            <m:ctrlPr>
              <w:rPr>
                <w:rFonts w:ascii="Cambria Math" w:hAnsi="Cambria Math"/>
                <w:b/>
                <w:i/>
              </w:rPr>
            </m:ctrlPr>
          </m:sSubPr>
          <m:e>
            <m:r>
              <m:rPr>
                <m:nor/>
              </m:rPr>
              <w:rPr>
                <w:rFonts w:ascii="Calibri" w:hAnsi="Calibri"/>
                <w:b/>
              </w:rPr>
              <m:t>β</m:t>
            </m:r>
          </m:e>
          <m:sub>
            <m:r>
              <m:rPr>
                <m:nor/>
              </m:rPr>
              <w:rPr>
                <w:b/>
              </w:rPr>
              <m:t>renta de línea</m:t>
            </m:r>
          </m:sub>
        </m:sSub>
        <m:r>
          <m:rPr>
            <m:sty m:val="b"/>
          </m:rPr>
          <w:rPr>
            <w:rFonts w:ascii="Cambria Math" w:hAnsi="Cambria Math"/>
            <w:color w:val="555555"/>
            <w:shd w:val="clear" w:color="auto" w:fill="FFFFFF"/>
          </w:rPr>
          <m:t xml:space="preserve">) </m:t>
        </m:r>
      </m:oMath>
    </w:p>
    <w:p w14:paraId="0297371B" w14:textId="77777777" w:rsidR="00181D64" w:rsidRPr="003F0BA7" w:rsidRDefault="00E85AB8" w:rsidP="00181D64">
      <w:pPr>
        <w:pStyle w:val="IFTnormal"/>
        <w:numPr>
          <w:ilvl w:val="0"/>
          <w:numId w:val="13"/>
        </w:numPr>
        <w:spacing w:after="0"/>
        <w:jc w:val="center"/>
      </w:pPr>
      <m:oMath>
        <m:sSup>
          <m:sSupPr>
            <m:ctrlPr>
              <w:rPr>
                <w:rFonts w:ascii="Cambria Math" w:hAnsi="Cambria Math"/>
                <w:b/>
              </w:rPr>
            </m:ctrlPr>
          </m:sSupPr>
          <m:e>
            <m:r>
              <m:rPr>
                <m:nor/>
              </m:rPr>
              <w:rPr>
                <w:b/>
                <w:iCs/>
              </w:rPr>
              <m:t xml:space="preserve"> P</m:t>
            </m:r>
          </m:e>
          <m:sup>
            <m:r>
              <m:rPr>
                <m:nor/>
              </m:rPr>
              <w:rPr>
                <w:b/>
                <w:iCs/>
              </w:rPr>
              <m:t>r</m:t>
            </m:r>
          </m:sup>
        </m:sSup>
      </m:oMath>
      <w:r w:rsidR="00181D64" w:rsidRPr="003F0BA7">
        <w:rPr>
          <w:b/>
        </w:rPr>
        <w:t xml:space="preserve"> = </w:t>
      </w:r>
      <m:oMath>
        <m:sSub>
          <m:sSubPr>
            <m:ctrlPr>
              <w:rPr>
                <w:rFonts w:ascii="Cambria Math" w:hAnsi="Cambria Math"/>
                <w:b/>
              </w:rPr>
            </m:ctrlPr>
          </m:sSubPr>
          <m:e>
            <m:r>
              <m:rPr>
                <m:nor/>
              </m:rPr>
              <w:rPr>
                <w:b/>
              </w:rPr>
              <m:t>P</m:t>
            </m:r>
          </m:e>
          <m:sub>
            <m:r>
              <m:rPr>
                <m:nor/>
              </m:rPr>
              <w:rPr>
                <w:b/>
              </w:rPr>
              <m:t>minorista implícito</m:t>
            </m:r>
          </m:sub>
        </m:sSub>
        <m:r>
          <m:rPr>
            <m:sty m:val="bi"/>
          </m:rPr>
          <w:rPr>
            <w:rFonts w:ascii="Cambria Math" w:hAnsi="Cambria Math"/>
          </w:rPr>
          <m:t xml:space="preserve"> ×(</m:t>
        </m:r>
        <m:r>
          <m:rPr>
            <m:nor/>
          </m:rPr>
          <w:rPr>
            <w:b/>
          </w:rPr>
          <m:t>1- %</m:t>
        </m:r>
        <m:sSub>
          <m:sSubPr>
            <m:ctrlPr>
              <w:rPr>
                <w:rFonts w:ascii="Cambria Math" w:hAnsi="Cambria Math"/>
                <w:b/>
                <w:i/>
              </w:rPr>
            </m:ctrlPr>
          </m:sSubPr>
          <m:e>
            <m:r>
              <m:rPr>
                <m:nor/>
              </m:rPr>
              <w:rPr>
                <w:rFonts w:ascii="Calibri" w:hAnsi="Calibri"/>
                <w:b/>
              </w:rPr>
              <m:t>β</m:t>
            </m:r>
          </m:e>
          <m:sub>
            <m:r>
              <m:rPr>
                <m:nor/>
              </m:rPr>
              <w:rPr>
                <w:b/>
              </w:rPr>
              <m:t>servicios de voz</m:t>
            </m:r>
          </m:sub>
        </m:sSub>
        <m:r>
          <m:rPr>
            <m:sty m:val="b"/>
          </m:rPr>
          <w:rPr>
            <w:rFonts w:ascii="Cambria Math" w:hAnsi="Cambria Math"/>
            <w:color w:val="555555"/>
            <w:shd w:val="clear" w:color="auto" w:fill="FFFFFF"/>
          </w:rPr>
          <m:t xml:space="preserve">) </m:t>
        </m:r>
      </m:oMath>
    </w:p>
    <w:p w14:paraId="397670DA" w14:textId="5710690E" w:rsidR="008E1A18" w:rsidRPr="001B3493" w:rsidRDefault="00181D64" w:rsidP="001B3493">
      <w:pPr>
        <w:pStyle w:val="IFTnormal"/>
        <w:spacing w:after="0"/>
        <w:rPr>
          <w:b/>
          <w:bCs w:val="0"/>
          <w:sz w:val="17"/>
          <w:szCs w:val="17"/>
        </w:rPr>
      </w:pPr>
      <w:r w:rsidRPr="003F0BA7">
        <w:t xml:space="preserve">Para facilitar el entendimiento de la metodología anteriormente descrita, se presentan esquemas de </w:t>
      </w:r>
      <w:r w:rsidR="008E1A18" w:rsidRPr="003F0BA7">
        <w:t>esta</w:t>
      </w:r>
      <w:r w:rsidRPr="003F0BA7">
        <w:t>:</w:t>
      </w:r>
    </w:p>
    <w:p w14:paraId="239F9FE4" w14:textId="3D422FE0" w:rsidR="00181D64" w:rsidRDefault="0086274E" w:rsidP="00181D64">
      <w:pPr>
        <w:pStyle w:val="IFTnormal"/>
        <w:spacing w:before="240" w:after="0"/>
      </w:pPr>
      <w:r>
        <w:rPr>
          <w:noProof/>
        </w:rPr>
        <w:drawing>
          <wp:inline distT="0" distB="0" distL="0" distR="0" wp14:anchorId="2F33785F" wp14:editId="04A77F93">
            <wp:extent cx="5612130" cy="1939290"/>
            <wp:effectExtent l="0" t="0" r="7620" b="381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5612130" cy="1939290"/>
                    </a:xfrm>
                    <a:prstGeom prst="rect">
                      <a:avLst/>
                    </a:prstGeom>
                  </pic:spPr>
                </pic:pic>
              </a:graphicData>
            </a:graphic>
          </wp:inline>
        </w:drawing>
      </w:r>
    </w:p>
    <w:p w14:paraId="3DC5BD07" w14:textId="018577A4" w:rsidR="00181D64" w:rsidRPr="00524F3B" w:rsidRDefault="00181D64" w:rsidP="004676C5">
      <w:pPr>
        <w:pStyle w:val="Figura"/>
        <w:keepNext w:val="0"/>
        <w:widowControl w:val="0"/>
        <w:spacing w:before="0" w:after="240" w:line="259" w:lineRule="auto"/>
        <w:ind w:right="49"/>
        <w:jc w:val="both"/>
        <w:rPr>
          <w:bCs/>
          <w:szCs w:val="20"/>
        </w:rPr>
      </w:pPr>
      <w:r w:rsidRPr="00524F3B">
        <w:rPr>
          <w:bCs/>
          <w:szCs w:val="20"/>
        </w:rPr>
        <w:t>Esquema de la metodología del Modelo de Costos Evitados para la tarifa de referencia del SRLT, asociada a la renta de la línea telefónica (</w:t>
      </w:r>
      <w:r w:rsidRPr="00524F3B">
        <w:rPr>
          <w:b/>
          <w:szCs w:val="20"/>
        </w:rPr>
        <w:t>Fuente:</w:t>
      </w:r>
      <w:r w:rsidRPr="00524F3B">
        <w:rPr>
          <w:bCs/>
          <w:szCs w:val="20"/>
        </w:rPr>
        <w:t xml:space="preserve"> IF</w:t>
      </w:r>
      <w:r w:rsidRPr="00524F3B">
        <w:rPr>
          <w:szCs w:val="20"/>
        </w:rPr>
        <w:t>T).</w:t>
      </w:r>
    </w:p>
    <w:p w14:paraId="65F18F28" w14:textId="77777777" w:rsidR="00181D64" w:rsidRPr="003F0BA7" w:rsidRDefault="00181D64" w:rsidP="00181D64">
      <w:pPr>
        <w:pStyle w:val="aaaFiguras"/>
        <w:spacing w:line="276" w:lineRule="auto"/>
        <w:rPr>
          <w:rFonts w:ascii="ITC Avant Garde" w:hAnsi="ITC Avant Garde"/>
        </w:rPr>
      </w:pPr>
    </w:p>
    <w:p w14:paraId="7F0DD4A8" w14:textId="64A41B3B" w:rsidR="00181D64" w:rsidRPr="003F0BA7" w:rsidRDefault="00715F42" w:rsidP="00181D64">
      <w:pPr>
        <w:pStyle w:val="IFTnormal"/>
        <w:spacing w:before="240" w:after="0"/>
      </w:pPr>
      <w:r>
        <w:rPr>
          <w:noProof/>
        </w:rPr>
        <w:lastRenderedPageBreak/>
        <w:drawing>
          <wp:inline distT="0" distB="0" distL="0" distR="0" wp14:anchorId="06B5975B" wp14:editId="5066EEDB">
            <wp:extent cx="5612130" cy="1965325"/>
            <wp:effectExtent l="0" t="0" r="7620" b="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5612130" cy="1965325"/>
                    </a:xfrm>
                    <a:prstGeom prst="rect">
                      <a:avLst/>
                    </a:prstGeom>
                  </pic:spPr>
                </pic:pic>
              </a:graphicData>
            </a:graphic>
          </wp:inline>
        </w:drawing>
      </w:r>
    </w:p>
    <w:p w14:paraId="50A43D25" w14:textId="6DB1C0F6" w:rsidR="00181D64" w:rsidRPr="000502EA" w:rsidRDefault="00181D64" w:rsidP="004676C5">
      <w:pPr>
        <w:pStyle w:val="Figura"/>
        <w:keepNext w:val="0"/>
        <w:widowControl w:val="0"/>
        <w:spacing w:before="0" w:after="240" w:line="259" w:lineRule="auto"/>
        <w:ind w:right="49"/>
        <w:jc w:val="both"/>
        <w:rPr>
          <w:bCs/>
          <w:szCs w:val="20"/>
        </w:rPr>
      </w:pPr>
      <w:r w:rsidRPr="000502EA">
        <w:rPr>
          <w:bCs/>
          <w:szCs w:val="20"/>
        </w:rPr>
        <w:t xml:space="preserve">Esquema de la metodología del Modelo de Costos Evitados para la tarifa de referencia del SRLT, asociada a </w:t>
      </w:r>
      <w:r w:rsidR="001B3493">
        <w:rPr>
          <w:bCs/>
          <w:szCs w:val="20"/>
        </w:rPr>
        <w:t xml:space="preserve">los </w:t>
      </w:r>
      <w:r w:rsidRPr="000502EA">
        <w:rPr>
          <w:bCs/>
          <w:szCs w:val="20"/>
        </w:rPr>
        <w:t xml:space="preserve">servicios de voz </w:t>
      </w:r>
      <w:r w:rsidRPr="000502EA">
        <w:rPr>
          <w:szCs w:val="20"/>
        </w:rPr>
        <w:t>(</w:t>
      </w:r>
      <w:r w:rsidRPr="000502EA">
        <w:rPr>
          <w:b/>
          <w:szCs w:val="20"/>
        </w:rPr>
        <w:t>Fuente</w:t>
      </w:r>
      <w:r w:rsidRPr="004676C5">
        <w:rPr>
          <w:bCs/>
          <w:szCs w:val="20"/>
        </w:rPr>
        <w:t>:</w:t>
      </w:r>
      <w:r w:rsidRPr="000502EA">
        <w:rPr>
          <w:bCs/>
          <w:szCs w:val="20"/>
        </w:rPr>
        <w:t xml:space="preserve"> IFT).</w:t>
      </w:r>
    </w:p>
    <w:p w14:paraId="47CAA80E" w14:textId="77777777" w:rsidR="00181D64" w:rsidRPr="00FD3AA6" w:rsidRDefault="00181D64" w:rsidP="00181D64">
      <w:pPr>
        <w:pStyle w:val="Ttulo3"/>
        <w:numPr>
          <w:ilvl w:val="2"/>
          <w:numId w:val="7"/>
        </w:numPr>
        <w:spacing w:after="240"/>
        <w:ind w:left="851" w:hanging="789"/>
        <w:rPr>
          <w:rStyle w:val="IFTnormalCar"/>
          <w:b/>
          <w:bCs w:val="0"/>
          <w:color w:val="auto"/>
        </w:rPr>
      </w:pPr>
      <w:bookmarkStart w:id="32" w:name="_Toc114513056"/>
      <w:bookmarkStart w:id="33" w:name="_Toc114513300"/>
      <w:r w:rsidRPr="00FD3AA6">
        <w:rPr>
          <w:rStyle w:val="IFTnormalCar"/>
          <w:b/>
          <w:color w:val="auto"/>
        </w:rPr>
        <w:t>Precio de referencia del SRI</w:t>
      </w:r>
      <w:bookmarkEnd w:id="32"/>
      <w:bookmarkEnd w:id="33"/>
    </w:p>
    <w:p w14:paraId="56BC72F1" w14:textId="04250E20" w:rsidR="000257AD" w:rsidRDefault="000257AD" w:rsidP="000257AD">
      <w:pPr>
        <w:pStyle w:val="IFTnormal"/>
      </w:pPr>
      <w:r w:rsidRPr="000257AD">
        <w:t>E</w:t>
      </w:r>
      <w:r w:rsidR="007F2B78">
        <w:t xml:space="preserve">l precio de referencia </w:t>
      </w:r>
      <w:r w:rsidR="00016CAD">
        <w:t>para este servicio se estima a partir de</w:t>
      </w:r>
      <w:r w:rsidRPr="000257AD">
        <w:t>l precio implícito</w:t>
      </w:r>
      <w:r w:rsidR="00D13AA6">
        <w:t>, a nivel promedio</w:t>
      </w:r>
      <w:r w:rsidR="00D13AA6" w:rsidRPr="00AC7E83">
        <w:t xml:space="preserve"> de los servicios asociados a </w:t>
      </w:r>
      <w:r w:rsidR="00D13AA6">
        <w:t>Internet</w:t>
      </w:r>
      <w:r w:rsidR="00D13AA6" w:rsidRPr="00AC7E83">
        <w:t xml:space="preserve"> (es decir</w:t>
      </w:r>
      <w:r w:rsidR="00D13AA6">
        <w:t>, que no incluyen servicios de voz</w:t>
      </w:r>
      <w:r w:rsidR="00D13AA6" w:rsidRPr="00AC7E83">
        <w:t>)</w:t>
      </w:r>
      <w:r w:rsidR="00D13AA6">
        <w:t>.</w:t>
      </w:r>
    </w:p>
    <w:p w14:paraId="70E07A28" w14:textId="67DD4C18" w:rsidR="00D13AA6" w:rsidRDefault="00D13AA6" w:rsidP="00D13AA6">
      <w:pPr>
        <w:pStyle w:val="IFTnormal"/>
      </w:pPr>
      <w:r>
        <w:t>En consecuencia, a través del factor</w:t>
      </w:r>
      <w:r w:rsidRPr="008F0715">
        <w:t xml:space="preserve"> de </w:t>
      </w:r>
      <w:r>
        <w:t>estimación del precio implícito,</w:t>
      </w:r>
      <w:r w:rsidRPr="00147B5C">
        <w:t xml:space="preserve"> </w:t>
      </w:r>
      <w:r>
        <w:t xml:space="preserve">a nivel promedio, correspondiente al servicio de Internet </w:t>
      </w:r>
      <m:oMath>
        <m:r>
          <w:rPr>
            <w:rFonts w:ascii="Cambria Math" w:hAnsi="Cambria Math"/>
          </w:rPr>
          <m:t>(</m:t>
        </m:r>
        <m:r>
          <m:rPr>
            <m:nor/>
          </m:rPr>
          <w:rPr>
            <w:b/>
          </w:rPr>
          <m:t>%</m:t>
        </m:r>
        <m:r>
          <m:rPr>
            <m:nor/>
          </m:rPr>
          <w:rPr>
            <w:rFonts w:ascii="Calibri" w:hAnsi="Calibri"/>
            <w:b/>
          </w:rPr>
          <m:t xml:space="preserve"> </m:t>
        </m:r>
        <m:sSub>
          <m:sSubPr>
            <m:ctrlPr>
              <w:rPr>
                <w:rFonts w:ascii="Cambria Math" w:hAnsi="Cambria Math"/>
                <w:b/>
                <w:i/>
              </w:rPr>
            </m:ctrlPr>
          </m:sSubPr>
          <m:e>
            <m:r>
              <m:rPr>
                <m:nor/>
              </m:rPr>
              <w:rPr>
                <w:rFonts w:ascii="Calibri" w:hAnsi="Calibri"/>
                <w:b/>
              </w:rPr>
              <m:t>β</m:t>
            </m:r>
          </m:e>
          <m:sub>
            <m:r>
              <m:rPr>
                <m:nor/>
              </m:rPr>
              <w:rPr>
                <w:b/>
              </w:rPr>
              <m:t>servicio de Internet</m:t>
            </m:r>
          </m:sub>
        </m:sSub>
        <m:r>
          <m:rPr>
            <m:nor/>
          </m:rPr>
          <w:rPr>
            <w:rFonts w:ascii="Cambria Math" w:hAnsi="Calibri"/>
          </w:rPr>
          <m:t>)</m:t>
        </m:r>
      </m:oMath>
      <w:r>
        <w:t>, el precio de referencia del SRI se establece a partir de la</w:t>
      </w:r>
      <w:r w:rsidRPr="008F0715">
        <w:t xml:space="preserve"> tarifa</w:t>
      </w:r>
      <w:r>
        <w:t xml:space="preserve"> minorista de un plan o paquete</w:t>
      </w:r>
      <w:r w:rsidRPr="008F0715">
        <w:t xml:space="preserve"> de </w:t>
      </w:r>
      <w:r w:rsidR="001623F2">
        <w:t>TELMEX/TELNOR</w:t>
      </w:r>
      <w:r w:rsidR="001623F2" w:rsidRPr="008F0715">
        <w:t xml:space="preserve"> </w:t>
      </w:r>
      <w:r w:rsidRPr="008F0715">
        <w:t>(</w:t>
      </w:r>
      <m:oMath>
        <m:sSub>
          <m:sSubPr>
            <m:ctrlPr>
              <w:rPr>
                <w:rFonts w:ascii="Cambria Math" w:hAnsi="Cambria Math"/>
                <w:b/>
              </w:rPr>
            </m:ctrlPr>
          </m:sSubPr>
          <m:e>
            <m:r>
              <m:rPr>
                <m:nor/>
              </m:rPr>
              <w:rPr>
                <w:b/>
              </w:rPr>
              <m:t>P</m:t>
            </m:r>
          </m:e>
          <m:sub>
            <m:r>
              <m:rPr>
                <m:nor/>
              </m:rPr>
              <w:rPr>
                <w:b/>
              </w:rPr>
              <m:t>minorista</m:t>
            </m:r>
          </m:sub>
        </m:sSub>
      </m:oMath>
      <w:r w:rsidRPr="008F0715">
        <w:t>)</w:t>
      </w:r>
      <w:r>
        <w:t xml:space="preserve"> en el que se provee Internet</w:t>
      </w:r>
      <w:r w:rsidR="00E84011">
        <w:rPr>
          <w:rStyle w:val="Refdenotaalpie"/>
        </w:rPr>
        <w:footnoteReference w:id="28"/>
      </w:r>
      <w:r>
        <w:t>, conforme a la ecuación:</w:t>
      </w:r>
    </w:p>
    <w:p w14:paraId="467EE2C6" w14:textId="712B47B5" w:rsidR="00D13AA6" w:rsidRDefault="00E85AB8" w:rsidP="000257AD">
      <w:pPr>
        <w:pStyle w:val="IFTnormal"/>
      </w:pPr>
      <m:oMathPara>
        <m:oMath>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 xml:space="preserve">r </m:t>
              </m:r>
            </m:sup>
          </m:sSup>
          <m:r>
            <m:rPr>
              <m:sty m:val="bi"/>
            </m:rPr>
            <w:rPr>
              <w:rFonts w:ascii="Cambria Math" w:hAnsi="Cambria Math"/>
            </w:rPr>
            <m:t>=</m:t>
          </m:r>
          <m:sSub>
            <m:sSubPr>
              <m:ctrlPr>
                <w:rPr>
                  <w:rFonts w:ascii="Cambria Math" w:hAnsi="Cambria Math"/>
                  <w:b/>
                </w:rPr>
              </m:ctrlPr>
            </m:sSubPr>
            <m:e>
              <m:r>
                <m:rPr>
                  <m:nor/>
                </m:rPr>
                <w:rPr>
                  <w:b/>
                </w:rPr>
                <m:t>P</m:t>
              </m:r>
            </m:e>
            <m:sub>
              <m:r>
                <m:rPr>
                  <m:nor/>
                </m:rPr>
                <w:rPr>
                  <w:b/>
                </w:rPr>
                <m:t>minorista</m:t>
              </m:r>
            </m:sub>
          </m:sSub>
          <m:r>
            <m:rPr>
              <m:sty m:val="bi"/>
            </m:rPr>
            <w:rPr>
              <w:rFonts w:ascii="Cambria Math" w:hAnsi="Cambria Math"/>
            </w:rPr>
            <m:t xml:space="preserve"> ×(</m:t>
          </m:r>
          <m:r>
            <m:rPr>
              <m:nor/>
            </m:rPr>
            <w:rPr>
              <w:b/>
            </w:rPr>
            <m:t>1- %</m:t>
          </m:r>
          <m:sSub>
            <m:sSubPr>
              <m:ctrlPr>
                <w:rPr>
                  <w:rFonts w:ascii="Cambria Math" w:hAnsi="Cambria Math"/>
                  <w:b/>
                  <w:i/>
                </w:rPr>
              </m:ctrlPr>
            </m:sSubPr>
            <m:e>
              <m:r>
                <m:rPr>
                  <m:nor/>
                </m:rPr>
                <w:rPr>
                  <w:rFonts w:ascii="Calibri" w:hAnsi="Calibri"/>
                  <w:b/>
                </w:rPr>
                <m:t>β</m:t>
              </m:r>
            </m:e>
            <m:sub>
              <m:r>
                <m:rPr>
                  <m:nor/>
                </m:rPr>
                <w:rPr>
                  <w:b/>
                </w:rPr>
                <m:t>servicio de Internet</m:t>
              </m:r>
            </m:sub>
          </m:sSub>
          <m:r>
            <m:rPr>
              <m:sty m:val="b"/>
            </m:rPr>
            <w:rPr>
              <w:rFonts w:ascii="Cambria Math" w:hAnsi="Cambria Math"/>
              <w:color w:val="555555"/>
              <w:sz w:val="21"/>
              <w:szCs w:val="21"/>
              <w:shd w:val="clear" w:color="auto" w:fill="FFFFFF"/>
            </w:rPr>
            <m:t>)</m:t>
          </m:r>
        </m:oMath>
      </m:oMathPara>
    </w:p>
    <w:p w14:paraId="18AB1DFA" w14:textId="77777777" w:rsidR="000257AD" w:rsidRPr="000257AD" w:rsidRDefault="00E85AB8" w:rsidP="000257AD">
      <w:pPr>
        <w:pStyle w:val="IFTnormal"/>
        <w:spacing w:after="0"/>
        <w:ind w:left="1080"/>
        <w:jc w:val="center"/>
      </w:pPr>
      <m:oMath>
        <m:sSup>
          <m:sSupPr>
            <m:ctrlPr>
              <w:rPr>
                <w:rFonts w:ascii="Cambria Math" w:hAnsi="Cambria Math"/>
                <w:b/>
              </w:rPr>
            </m:ctrlPr>
          </m:sSupPr>
          <m:e>
            <m:r>
              <m:rPr>
                <m:nor/>
              </m:rPr>
              <w:rPr>
                <w:b/>
                <w:iCs/>
              </w:rPr>
              <m:t xml:space="preserve"> P</m:t>
            </m:r>
          </m:e>
          <m:sup>
            <m:r>
              <m:rPr>
                <m:nor/>
              </m:rPr>
              <w:rPr>
                <w:b/>
                <w:iCs/>
              </w:rPr>
              <m:t>r</m:t>
            </m:r>
          </m:sup>
        </m:sSup>
      </m:oMath>
      <w:r w:rsidR="000257AD" w:rsidRPr="000257AD">
        <w:rPr>
          <w:b/>
        </w:rPr>
        <w:t xml:space="preserve"> = </w:t>
      </w:r>
      <m:oMath>
        <m:sSub>
          <m:sSubPr>
            <m:ctrlPr>
              <w:rPr>
                <w:rFonts w:ascii="Cambria Math" w:hAnsi="Cambria Math"/>
                <w:b/>
              </w:rPr>
            </m:ctrlPr>
          </m:sSubPr>
          <m:e>
            <m:r>
              <m:rPr>
                <m:nor/>
              </m:rPr>
              <w:rPr>
                <w:b/>
              </w:rPr>
              <m:t>P</m:t>
            </m:r>
          </m:e>
          <m:sub>
            <m:r>
              <m:rPr>
                <m:nor/>
              </m:rPr>
              <w:rPr>
                <w:b/>
              </w:rPr>
              <m:t>implícito</m:t>
            </m:r>
          </m:sub>
        </m:sSub>
        <m:r>
          <m:rPr>
            <m:sty m:val="bi"/>
          </m:rPr>
          <w:rPr>
            <w:rFonts w:ascii="Cambria Math" w:hAnsi="Cambria Math"/>
          </w:rPr>
          <m:t xml:space="preserve"> </m:t>
        </m:r>
      </m:oMath>
    </w:p>
    <w:p w14:paraId="7CBEFF66" w14:textId="47D4090D" w:rsidR="006C218B" w:rsidRDefault="006C218B" w:rsidP="006C218B">
      <w:pPr>
        <w:pStyle w:val="IFTnormal"/>
      </w:pPr>
      <w:r>
        <w:t>A efecto resumir la metodología aludida, a continuación, se presenta esquema de esta:</w:t>
      </w:r>
    </w:p>
    <w:p w14:paraId="2C6C1B4E" w14:textId="374CF33B" w:rsidR="00715F42" w:rsidRDefault="00715F42" w:rsidP="006C218B">
      <w:pPr>
        <w:pStyle w:val="IFTnormal"/>
      </w:pPr>
      <w:r>
        <w:rPr>
          <w:noProof/>
        </w:rPr>
        <w:lastRenderedPageBreak/>
        <w:drawing>
          <wp:inline distT="0" distB="0" distL="0" distR="0" wp14:anchorId="1E1BF128" wp14:editId="6DF1D868">
            <wp:extent cx="5612130" cy="1946275"/>
            <wp:effectExtent l="0" t="0" r="762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612130" cy="1946275"/>
                    </a:xfrm>
                    <a:prstGeom prst="rect">
                      <a:avLst/>
                    </a:prstGeom>
                  </pic:spPr>
                </pic:pic>
              </a:graphicData>
            </a:graphic>
          </wp:inline>
        </w:drawing>
      </w:r>
    </w:p>
    <w:p w14:paraId="099BFF00" w14:textId="3C0CC750" w:rsidR="006C218B" w:rsidRDefault="00A509FB" w:rsidP="004676C5">
      <w:pPr>
        <w:pStyle w:val="Figura"/>
        <w:keepNext w:val="0"/>
        <w:widowControl w:val="0"/>
        <w:spacing w:before="0" w:after="240" w:line="259" w:lineRule="auto"/>
        <w:ind w:right="49"/>
        <w:jc w:val="both"/>
      </w:pPr>
      <w:r w:rsidRPr="004676C5">
        <w:rPr>
          <w:szCs w:val="20"/>
        </w:rPr>
        <w:t>Esquema de la metodología del Modelo de Costos Evitados para la estimación de la tarifa de referencia del SRI, asociada a los servicios de Internet de</w:t>
      </w:r>
      <w:r w:rsidR="001D2749">
        <w:rPr>
          <w:szCs w:val="20"/>
        </w:rPr>
        <w:t xml:space="preserve"> TELMEX/TELNOR </w:t>
      </w:r>
      <w:r w:rsidRPr="004676C5">
        <w:rPr>
          <w:szCs w:val="20"/>
        </w:rPr>
        <w:t>(</w:t>
      </w:r>
      <w:r w:rsidRPr="004676C5">
        <w:rPr>
          <w:b/>
          <w:szCs w:val="20"/>
        </w:rPr>
        <w:t>Fuente</w:t>
      </w:r>
      <w:r w:rsidRPr="004676C5">
        <w:rPr>
          <w:bCs/>
          <w:szCs w:val="20"/>
        </w:rPr>
        <w:t>: IFT)</w:t>
      </w:r>
      <w:r w:rsidR="006C218B" w:rsidRPr="004676C5">
        <w:rPr>
          <w:szCs w:val="20"/>
        </w:rPr>
        <w:t>.</w:t>
      </w:r>
    </w:p>
    <w:p w14:paraId="24117CC6" w14:textId="63D0398C" w:rsidR="000257AD" w:rsidRPr="000257AD" w:rsidRDefault="000257AD" w:rsidP="000257AD">
      <w:pPr>
        <w:pStyle w:val="Ttulo3"/>
        <w:numPr>
          <w:ilvl w:val="2"/>
          <w:numId w:val="7"/>
        </w:numPr>
        <w:spacing w:after="240"/>
        <w:ind w:left="851" w:hanging="789"/>
        <w:rPr>
          <w:rStyle w:val="IFTnormalCar"/>
          <w:b/>
          <w:color w:val="auto"/>
        </w:rPr>
      </w:pPr>
      <w:bookmarkStart w:id="34" w:name="_Toc114513057"/>
      <w:bookmarkStart w:id="35" w:name="_Toc114513301"/>
      <w:r w:rsidRPr="000257AD">
        <w:rPr>
          <w:rStyle w:val="IFTnormalCar"/>
          <w:b/>
          <w:color w:val="auto"/>
        </w:rPr>
        <w:t>Precio de referencia del SRP</w:t>
      </w:r>
      <w:bookmarkEnd w:id="34"/>
      <w:bookmarkEnd w:id="35"/>
    </w:p>
    <w:p w14:paraId="19322E4F" w14:textId="06E5DF21" w:rsidR="00A02ABE" w:rsidRDefault="000257AD" w:rsidP="004D3F53">
      <w:pPr>
        <w:pStyle w:val="IFTnormal"/>
        <w:spacing w:before="240"/>
      </w:pPr>
      <w:r w:rsidRPr="000257AD">
        <w:t xml:space="preserve">En el Modelo de Costos Evitados, el precio de referencia del SRP se considera a través de los precios implícitos de los elementos o servicios que se incluyen en los planes y paquetes mediante los cuales </w:t>
      </w:r>
      <w:r w:rsidR="00244935">
        <w:t>TELMEX/TELNOR</w:t>
      </w:r>
      <w:r w:rsidRPr="000257AD">
        <w:t xml:space="preserve"> proporcionan telefonía e Internet, de manera conjunta a la excepción de los precios implícitos de los servicios adicionales asociados a la banda ancha ofrecidos por terceros por no tener portabilidad en los servicios de reventa.</w:t>
      </w:r>
    </w:p>
    <w:p w14:paraId="4B12BDA2" w14:textId="29E8A443" w:rsidR="004D3F53" w:rsidRDefault="004D3F53" w:rsidP="004D3F53">
      <w:pPr>
        <w:pStyle w:val="IFTnormal"/>
        <w:spacing w:before="240"/>
      </w:pPr>
      <w:r w:rsidRPr="004D3F53">
        <w:t xml:space="preserve">Para el caso del SRP, los precios implícitos a emplearse corresponden a los estimados por el modelo para planes o paquetes mediante los cuales </w:t>
      </w:r>
      <w:r w:rsidR="00244935">
        <w:t>TELMEX/TELNOR</w:t>
      </w:r>
      <w:r w:rsidRPr="004D3F53">
        <w:t xml:space="preserve"> ofrece</w:t>
      </w:r>
      <w:r w:rsidR="003664D9">
        <w:t>n</w:t>
      </w:r>
      <w:r w:rsidRPr="004D3F53">
        <w:t xml:space="preserve"> simultáneamente telefonía e Internet, a los cuales se les descontarán los correspondientes costos evitados.</w:t>
      </w:r>
    </w:p>
    <w:p w14:paraId="75AB3285" w14:textId="257D07D7" w:rsidR="004D3F53" w:rsidRPr="00F35B3E" w:rsidRDefault="004D3F53" w:rsidP="00F35B3E">
      <w:pPr>
        <w:pStyle w:val="Ttulo3"/>
        <w:numPr>
          <w:ilvl w:val="2"/>
          <w:numId w:val="7"/>
        </w:numPr>
        <w:spacing w:after="240"/>
        <w:ind w:left="851" w:hanging="789"/>
        <w:rPr>
          <w:rStyle w:val="IFTnormalCar"/>
          <w:b/>
          <w:color w:val="auto"/>
        </w:rPr>
      </w:pPr>
      <w:bookmarkStart w:id="36" w:name="_Precio_de_referencia_1"/>
      <w:bookmarkStart w:id="37" w:name="_Toc114513058"/>
      <w:bookmarkStart w:id="38" w:name="_Toc114513302"/>
      <w:bookmarkEnd w:id="36"/>
      <w:r w:rsidRPr="00F35B3E">
        <w:rPr>
          <w:rStyle w:val="IFTnormalCar"/>
          <w:b/>
          <w:color w:val="auto"/>
        </w:rPr>
        <w:t>Precio de referencia asociado al SRMLT</w:t>
      </w:r>
      <w:bookmarkEnd w:id="37"/>
      <w:bookmarkEnd w:id="38"/>
    </w:p>
    <w:p w14:paraId="34895A27" w14:textId="4F1E06B3" w:rsidR="004D3F53" w:rsidRDefault="004D3F53" w:rsidP="004D3F53">
      <w:pPr>
        <w:pStyle w:val="IFTnormal"/>
        <w:spacing w:before="240"/>
      </w:pPr>
      <w:r w:rsidRPr="004D3F53">
        <w:t>Para el SRMLT, el precio de referencia se considera a partir del promedio ponderado los precios implícitos de acceso a la línea dentro de los diferentes planes y paquetes en estudio, a efecto de reflejar las particularidades del acceso a la línea telefónica que se observa en la oferta minorista de</w:t>
      </w:r>
      <w:r w:rsidR="00B87B20">
        <w:t xml:space="preserve"> TELMEX</w:t>
      </w:r>
      <w:r w:rsidR="00244935">
        <w:t>/TELNOR</w:t>
      </w:r>
      <w:r w:rsidRPr="004D3F53">
        <w:t xml:space="preserve">, de acuerdo </w:t>
      </w:r>
      <w:r w:rsidR="00A829DD">
        <w:t xml:space="preserve">con </w:t>
      </w:r>
      <w:r>
        <w:t>e</w:t>
      </w:r>
      <w:r w:rsidRPr="004D3F53">
        <w:t>l uso residencial o comercial de la misma.</w:t>
      </w:r>
    </w:p>
    <w:p w14:paraId="5583286D" w14:textId="3D876EF8" w:rsidR="004D3F53" w:rsidRDefault="00B01F2A" w:rsidP="00A3588E">
      <w:pPr>
        <w:pStyle w:val="IFTnormal"/>
        <w:spacing w:before="240" w:after="0"/>
        <w:jc w:val="center"/>
      </w:pPr>
      <w:r>
        <w:rPr>
          <w:noProof/>
        </w:rPr>
        <w:lastRenderedPageBreak/>
        <w:drawing>
          <wp:inline distT="0" distB="0" distL="0" distR="0" wp14:anchorId="0FB8FCA3" wp14:editId="6369FB5A">
            <wp:extent cx="5612130" cy="2690495"/>
            <wp:effectExtent l="0" t="0" r="7620"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612130" cy="2690495"/>
                    </a:xfrm>
                    <a:prstGeom prst="rect">
                      <a:avLst/>
                    </a:prstGeom>
                  </pic:spPr>
                </pic:pic>
              </a:graphicData>
            </a:graphic>
          </wp:inline>
        </w:drawing>
      </w:r>
    </w:p>
    <w:p w14:paraId="07B004D4" w14:textId="41E8EF57" w:rsidR="004D3F53" w:rsidRPr="00D9612B" w:rsidRDefault="004D3F53" w:rsidP="004676C5">
      <w:pPr>
        <w:pStyle w:val="Figura"/>
        <w:keepNext w:val="0"/>
        <w:widowControl w:val="0"/>
        <w:spacing w:before="0" w:after="240" w:line="259" w:lineRule="auto"/>
        <w:ind w:right="49"/>
        <w:jc w:val="both"/>
        <w:rPr>
          <w:bCs/>
          <w:szCs w:val="20"/>
        </w:rPr>
      </w:pPr>
      <w:r w:rsidRPr="00D9612B">
        <w:rPr>
          <w:bCs/>
          <w:szCs w:val="20"/>
        </w:rPr>
        <w:t xml:space="preserve">Esquema del uso de estimación de la tarifa de referencia del SRMLT, asociada a los servicios de telefonía de </w:t>
      </w:r>
      <w:r w:rsidR="00DF75EB">
        <w:rPr>
          <w:bCs/>
          <w:szCs w:val="20"/>
        </w:rPr>
        <w:t>TELMEX/TELNOR</w:t>
      </w:r>
      <w:r w:rsidRPr="00D9612B">
        <w:rPr>
          <w:bCs/>
          <w:szCs w:val="20"/>
        </w:rPr>
        <w:t xml:space="preserve"> (</w:t>
      </w:r>
      <w:r w:rsidRPr="00D9612B">
        <w:rPr>
          <w:b/>
          <w:szCs w:val="20"/>
        </w:rPr>
        <w:t>Fuente:</w:t>
      </w:r>
      <w:r w:rsidRPr="00D9612B">
        <w:rPr>
          <w:bCs/>
          <w:szCs w:val="20"/>
        </w:rPr>
        <w:t xml:space="preserve"> IFT).</w:t>
      </w:r>
    </w:p>
    <w:p w14:paraId="63E79343" w14:textId="7470462A" w:rsidR="00A3588E" w:rsidRDefault="00A3588E" w:rsidP="00A3588E">
      <w:pPr>
        <w:pStyle w:val="aaaIFTnormal"/>
        <w:rPr>
          <w:rFonts w:ascii="ITC Avant Garde" w:hAnsi="ITC Avant Garde"/>
        </w:rPr>
      </w:pPr>
      <w:r w:rsidRPr="00A3588E">
        <w:rPr>
          <w:rFonts w:ascii="ITC Avant Garde" w:hAnsi="ITC Avant Garde"/>
        </w:rPr>
        <w:t xml:space="preserve">Este sentido, los precios implícitos del acceso a la línea telefónica para los diferentes planes y paquetes de </w:t>
      </w:r>
      <w:r w:rsidR="00B87B20">
        <w:rPr>
          <w:rFonts w:ascii="ITC Avant Garde" w:hAnsi="ITC Avant Garde"/>
        </w:rPr>
        <w:t xml:space="preserve">TELMEX/TELNOR </w:t>
      </w:r>
      <w:r w:rsidRPr="00A3588E">
        <w:rPr>
          <w:rFonts w:ascii="ITC Avant Garde" w:hAnsi="ITC Avant Garde"/>
        </w:rPr>
        <w:t xml:space="preserve">se obtienen mediante el procedimiento descrito en la </w:t>
      </w:r>
      <w:r w:rsidRPr="007E06FC">
        <w:rPr>
          <w:rFonts w:ascii="ITC Avant Garde" w:hAnsi="ITC Avant Garde"/>
        </w:rPr>
        <w:t xml:space="preserve">sección </w:t>
      </w:r>
      <w:hyperlink w:anchor="_Enfoque_de_estimación" w:history="1">
        <w:r w:rsidR="007E06FC" w:rsidRPr="00AD70FE">
          <w:rPr>
            <w:rStyle w:val="Hipervnculo"/>
            <w:rFonts w:ascii="ITC Avant Garde" w:hAnsi="ITC Avant Garde"/>
            <w:color w:val="auto"/>
            <w:u w:val="none"/>
          </w:rPr>
          <w:t>3.5</w:t>
        </w:r>
      </w:hyperlink>
      <w:r w:rsidRPr="007E06FC">
        <w:rPr>
          <w:rFonts w:ascii="ITC Avant Garde" w:hAnsi="ITC Avant Garde"/>
        </w:rPr>
        <w:t>,</w:t>
      </w:r>
      <w:r w:rsidRPr="00A3588E">
        <w:rPr>
          <w:rFonts w:ascii="ITC Avant Garde" w:hAnsi="ITC Avant Garde"/>
        </w:rPr>
        <w:t xml:space="preserve"> mismos que se ponderan conforme a la distribución de usuarios de los planes y paquetes en los que </w:t>
      </w:r>
      <w:r w:rsidR="00B87B20">
        <w:rPr>
          <w:rFonts w:ascii="ITC Avant Garde" w:hAnsi="ITC Avant Garde"/>
        </w:rPr>
        <w:t>TELMEX/TELNOR</w:t>
      </w:r>
      <w:r w:rsidRPr="00A3588E">
        <w:rPr>
          <w:rFonts w:ascii="ITC Avant Garde" w:hAnsi="ITC Avant Garde"/>
        </w:rPr>
        <w:t xml:space="preserve"> ofrecen líneas telefónicas de uso residencial y comercial.</w:t>
      </w:r>
    </w:p>
    <w:p w14:paraId="2C018F5D" w14:textId="2032C402" w:rsidR="00A3588E" w:rsidRPr="00F35B3E" w:rsidRDefault="00A3588E" w:rsidP="00F35B3E">
      <w:pPr>
        <w:pStyle w:val="Ttulo2"/>
        <w:numPr>
          <w:ilvl w:val="1"/>
          <w:numId w:val="7"/>
        </w:numPr>
        <w:ind w:left="426" w:hanging="360"/>
        <w:rPr>
          <w:rStyle w:val="IFTnormalCar"/>
          <w:color w:val="auto"/>
          <w:lang w:val="es-MX"/>
        </w:rPr>
      </w:pPr>
      <w:bookmarkStart w:id="39" w:name="_Toc114513059"/>
      <w:bookmarkStart w:id="40" w:name="_Toc114513303"/>
      <w:r w:rsidRPr="00F35B3E">
        <w:rPr>
          <w:rStyle w:val="IFTnormalCar"/>
          <w:color w:val="auto"/>
          <w:lang w:val="es-MX"/>
        </w:rPr>
        <w:t>Definición de conceptos de costos evitados e</w:t>
      </w:r>
      <w:r w:rsidR="000E25D5" w:rsidRPr="00F35B3E">
        <w:rPr>
          <w:rStyle w:val="IFTnormalCar"/>
          <w:color w:val="auto"/>
          <w:lang w:val="es-MX"/>
        </w:rPr>
        <w:t xml:space="preserve">n </w:t>
      </w:r>
      <w:r w:rsidRPr="00F35B3E">
        <w:rPr>
          <w:rStyle w:val="IFTnormalCar"/>
          <w:color w:val="auto"/>
          <w:lang w:val="es-MX"/>
        </w:rPr>
        <w:t>l</w:t>
      </w:r>
      <w:r w:rsidR="000E25D5" w:rsidRPr="00F35B3E">
        <w:rPr>
          <w:rStyle w:val="IFTnormalCar"/>
          <w:color w:val="auto"/>
          <w:lang w:val="es-MX"/>
        </w:rPr>
        <w:t>os</w:t>
      </w:r>
      <w:r w:rsidRPr="00F35B3E">
        <w:rPr>
          <w:rStyle w:val="IFTnormalCar"/>
          <w:color w:val="auto"/>
          <w:lang w:val="es-MX"/>
        </w:rPr>
        <w:t xml:space="preserve"> Servicios de Reventa</w:t>
      </w:r>
      <w:bookmarkEnd w:id="39"/>
      <w:bookmarkEnd w:id="40"/>
    </w:p>
    <w:p w14:paraId="3FC0A3C1" w14:textId="5F2ED497" w:rsidR="00A3588E" w:rsidRPr="004676C5" w:rsidRDefault="00A3588E" w:rsidP="00A3588E">
      <w:pPr>
        <w:jc w:val="both"/>
        <w:rPr>
          <w:rFonts w:ascii="ITC Avant Garde" w:eastAsia="MS Mincho" w:hAnsi="ITC Avant Garde" w:cs="Calibri"/>
        </w:rPr>
      </w:pPr>
      <w:r w:rsidRPr="004676C5">
        <w:rPr>
          <w:rFonts w:ascii="ITC Avant Garde" w:eastAsia="MS Mincho" w:hAnsi="ITC Avant Garde" w:cs="Calibri"/>
        </w:rPr>
        <w:t xml:space="preserve">Para el desarrollo del Modelo de Costos </w:t>
      </w:r>
      <w:r w:rsidR="00993675">
        <w:rPr>
          <w:rFonts w:ascii="ITC Avant Garde" w:eastAsia="MS Mincho" w:hAnsi="ITC Avant Garde" w:cs="Calibri"/>
          <w:bCs/>
        </w:rPr>
        <w:t xml:space="preserve">Evitados </w:t>
      </w:r>
      <w:r w:rsidRPr="004676C5">
        <w:rPr>
          <w:rFonts w:ascii="ITC Avant Garde" w:eastAsia="MS Mincho" w:hAnsi="ITC Avant Garde" w:cs="Calibri"/>
        </w:rPr>
        <w:t>se consideran las siguientes categorías de costos:</w:t>
      </w:r>
    </w:p>
    <w:p w14:paraId="0D0FD05B" w14:textId="13948154" w:rsidR="00A3588E" w:rsidRPr="00A3588E" w:rsidRDefault="00A3588E" w:rsidP="00A3588E">
      <w:pPr>
        <w:pStyle w:val="IFTnormal"/>
        <w:numPr>
          <w:ilvl w:val="0"/>
          <w:numId w:val="18"/>
        </w:numPr>
        <w:spacing w:after="0"/>
        <w:rPr>
          <w:b/>
        </w:rPr>
      </w:pPr>
      <w:r w:rsidRPr="00A3588E">
        <w:rPr>
          <w:b/>
        </w:rPr>
        <w:t xml:space="preserve">Facturación: </w:t>
      </w:r>
      <w:r w:rsidR="00431680">
        <w:t>se considera e</w:t>
      </w:r>
      <w:r w:rsidRPr="00A3588E">
        <w:t>l sistema de facturación a usuarios finales minoristas.</w:t>
      </w:r>
    </w:p>
    <w:p w14:paraId="32B8E03E" w14:textId="764DED19" w:rsidR="00A3588E" w:rsidRPr="00A3588E" w:rsidRDefault="00A3588E" w:rsidP="00A3588E">
      <w:pPr>
        <w:pStyle w:val="IFTnormal"/>
        <w:numPr>
          <w:ilvl w:val="0"/>
          <w:numId w:val="18"/>
        </w:numPr>
        <w:spacing w:after="0"/>
        <w:rPr>
          <w:b/>
        </w:rPr>
      </w:pPr>
      <w:r w:rsidRPr="00A3588E">
        <w:rPr>
          <w:b/>
        </w:rPr>
        <w:t>Deuda incobrable</w:t>
      </w:r>
      <w:r w:rsidRPr="00A3588E">
        <w:t xml:space="preserve">: </w:t>
      </w:r>
      <w:r w:rsidR="00431680">
        <w:t>se considera</w:t>
      </w:r>
      <w:r w:rsidR="00226471">
        <w:t xml:space="preserve"> </w:t>
      </w:r>
      <w:r w:rsidRPr="00A3588E">
        <w:t xml:space="preserve">el valor de incobrabilidad </w:t>
      </w:r>
      <w:r w:rsidR="00226471">
        <w:t>para los servicios minoristas</w:t>
      </w:r>
      <w:r w:rsidRPr="00A3588E">
        <w:t>.</w:t>
      </w:r>
    </w:p>
    <w:p w14:paraId="797F724D" w14:textId="28875319" w:rsidR="00A3588E" w:rsidRPr="00A3588E" w:rsidRDefault="00A3588E" w:rsidP="00A3588E">
      <w:pPr>
        <w:pStyle w:val="IFTnormal"/>
        <w:numPr>
          <w:ilvl w:val="0"/>
          <w:numId w:val="18"/>
        </w:numPr>
        <w:spacing w:after="0"/>
      </w:pPr>
      <w:r w:rsidRPr="00A3588E">
        <w:rPr>
          <w:b/>
        </w:rPr>
        <w:t>Mercadotecnia y publicidad:</w:t>
      </w:r>
      <w:r w:rsidRPr="00A3588E">
        <w:t xml:space="preserve"> En este caso se asume que los costos de ventas y mercadotecnia son atribuibles únicamente a los servicios de Internet, bajo la hipótesis de que </w:t>
      </w:r>
      <w:r w:rsidR="00C77919">
        <w:t>TELMEX/TELNOR</w:t>
      </w:r>
      <w:r w:rsidRPr="00A3588E">
        <w:t xml:space="preserve"> dirigen su publicidad para captar suscriptores en servicios que ofrecen Internet, y no suscriptores </w:t>
      </w:r>
      <w:r w:rsidR="00783704">
        <w:t xml:space="preserve">solamente </w:t>
      </w:r>
      <w:r w:rsidRPr="00A3588E">
        <w:t>de voz (en modalidad individual, es decir, sin la provisión conjunta con el servicio de Internet).</w:t>
      </w:r>
    </w:p>
    <w:p w14:paraId="2950F4A0" w14:textId="6A8BB80D" w:rsidR="00A3588E" w:rsidRPr="00A3588E" w:rsidRDefault="00A3588E" w:rsidP="00A3588E">
      <w:pPr>
        <w:pStyle w:val="IFTnormal"/>
        <w:numPr>
          <w:ilvl w:val="0"/>
          <w:numId w:val="18"/>
        </w:numPr>
        <w:spacing w:after="0"/>
        <w:rPr>
          <w:b/>
        </w:rPr>
      </w:pPr>
      <w:r w:rsidRPr="00A3588E">
        <w:rPr>
          <w:b/>
        </w:rPr>
        <w:t xml:space="preserve">Servicio de atención al cliente: </w:t>
      </w:r>
      <w:r w:rsidR="00226471">
        <w:t>se considera la</w:t>
      </w:r>
      <w:r w:rsidRPr="00A3588E">
        <w:t xml:space="preserve"> asistencia técnica de primera línea.</w:t>
      </w:r>
    </w:p>
    <w:p w14:paraId="21C57352" w14:textId="057F28CF" w:rsidR="00A3588E" w:rsidRPr="00A3588E" w:rsidRDefault="00A3588E" w:rsidP="00A3588E">
      <w:pPr>
        <w:pStyle w:val="IFTnormal"/>
        <w:numPr>
          <w:ilvl w:val="0"/>
          <w:numId w:val="18"/>
        </w:numPr>
        <w:spacing w:after="0"/>
      </w:pPr>
      <w:r w:rsidRPr="00A3588E">
        <w:rPr>
          <w:b/>
        </w:rPr>
        <w:lastRenderedPageBreak/>
        <w:t>Gastos generales y administrativos:</w:t>
      </w:r>
      <w:r w:rsidRPr="00A3588E">
        <w:t xml:space="preserve"> </w:t>
      </w:r>
      <w:r w:rsidR="00226471" w:rsidRPr="003D3A12">
        <w:t>considera</w:t>
      </w:r>
      <w:r w:rsidRPr="00A3588E">
        <w:t xml:space="preserve"> los gastos de personal (salarios y participación en las utilidades) y los asociados al uso de espacio para oficina</w:t>
      </w:r>
      <w:r w:rsidR="00783704">
        <w:t>.</w:t>
      </w:r>
    </w:p>
    <w:p w14:paraId="2EE5D86C" w14:textId="2BE95556" w:rsidR="00A3588E" w:rsidRPr="00A3588E" w:rsidRDefault="00A3588E" w:rsidP="00A3588E">
      <w:pPr>
        <w:pStyle w:val="Tablecells"/>
        <w:numPr>
          <w:ilvl w:val="0"/>
          <w:numId w:val="17"/>
        </w:numPr>
        <w:spacing w:before="0" w:after="0" w:line="276" w:lineRule="auto"/>
        <w:jc w:val="both"/>
        <w:rPr>
          <w:rFonts w:ascii="ITC Avant Garde" w:hAnsi="ITC Avant Garde" w:cs="Arial"/>
          <w:sz w:val="22"/>
          <w:lang w:val="es-ES_tradnl"/>
        </w:rPr>
      </w:pPr>
      <w:r w:rsidRPr="00A3588E">
        <w:rPr>
          <w:rFonts w:ascii="ITC Avant Garde" w:hAnsi="ITC Avant Garde" w:cs="Arial"/>
          <w:b/>
          <w:sz w:val="22"/>
          <w:lang w:val="es-ES_tradnl"/>
        </w:rPr>
        <w:t>Margen de beneficios sobre costos evitados</w:t>
      </w:r>
      <w:r w:rsidRPr="00A3588E">
        <w:rPr>
          <w:rFonts w:ascii="ITC Avant Garde" w:hAnsi="ITC Avant Garde" w:cs="Arial"/>
          <w:sz w:val="22"/>
          <w:lang w:val="es-ES_tradnl"/>
        </w:rPr>
        <w:t>.</w:t>
      </w:r>
      <w:r w:rsidR="00EA7164">
        <w:rPr>
          <w:rFonts w:ascii="ITC Avant Garde" w:hAnsi="ITC Avant Garde" w:cs="Arial"/>
          <w:sz w:val="22"/>
          <w:lang w:val="es-ES_tradnl"/>
        </w:rPr>
        <w:t xml:space="preserve"> </w:t>
      </w:r>
      <w:r w:rsidR="00EA7164" w:rsidRPr="00EA7164">
        <w:rPr>
          <w:rFonts w:ascii="ITC Avant Garde" w:hAnsi="ITC Avant Garde" w:cs="Arial"/>
          <w:sz w:val="22"/>
          <w:lang w:val="es-ES_tradnl"/>
        </w:rPr>
        <w:t>Este margen representa la proporción de los beneficios que dicho operador puede razonablemente esperar al ofrecer sus servicios minoristas aplicados al conjunto de costos evitados</w:t>
      </w:r>
      <w:r w:rsidR="002544F8">
        <w:rPr>
          <w:rFonts w:ascii="ITC Avant Garde" w:hAnsi="ITC Avant Garde" w:cs="Arial"/>
          <w:sz w:val="22"/>
          <w:lang w:val="es-ES_tradnl"/>
        </w:rPr>
        <w:t>.</w:t>
      </w:r>
    </w:p>
    <w:p w14:paraId="73C7F42A" w14:textId="067879FE" w:rsidR="00A3588E" w:rsidRDefault="00A3588E" w:rsidP="004676C5">
      <w:pPr>
        <w:pStyle w:val="IFTnormal"/>
        <w:spacing w:before="240"/>
      </w:pPr>
      <w:r w:rsidRPr="00D6663F">
        <w:t xml:space="preserve">Como se describió </w:t>
      </w:r>
      <w:r w:rsidR="00002DF8">
        <w:t xml:space="preserve">en la sección </w:t>
      </w:r>
      <w:hyperlink w:anchor="_Metodología_para_definir" w:history="1">
        <w:r w:rsidR="00AD70FE" w:rsidRPr="004676C5">
          <w:rPr>
            <w:rStyle w:val="Hipervnculo"/>
            <w:color w:val="auto"/>
            <w:u w:val="none"/>
          </w:rPr>
          <w:t>3.3</w:t>
        </w:r>
      </w:hyperlink>
      <w:r w:rsidRPr="00D6663F">
        <w:t xml:space="preserve"> los ingresos asociados a los servicios de renta de línea, voz e Internet que se incluyen en planes y paquetes de </w:t>
      </w:r>
      <w:r w:rsidR="0063470F">
        <w:t>TELMEX/TELNOR</w:t>
      </w:r>
      <w:r w:rsidRPr="00D6663F">
        <w:t xml:space="preserve"> mediante los cuales ofrece</w:t>
      </w:r>
      <w:r w:rsidR="003664D9">
        <w:t>n</w:t>
      </w:r>
      <w:r w:rsidRPr="00D6663F">
        <w:t xml:space="preserve"> servicio de telefonía e Internet en el mercado minorista, se calculan a través de los precios implícitos de estos.</w:t>
      </w:r>
    </w:p>
    <w:p w14:paraId="16CBCE92" w14:textId="31944426" w:rsidR="00F311E7" w:rsidRDefault="00F311E7" w:rsidP="00F311E7">
      <w:pPr>
        <w:pStyle w:val="IFTnormal"/>
      </w:pPr>
      <w:r w:rsidRPr="00F311E7">
        <w:t xml:space="preserve">A partir de estos ingresos, los conceptos de costos evitados correspondientes a los elementos o servicios que se incluyen en los planes y paquetes de </w:t>
      </w:r>
      <w:r w:rsidR="0063470F">
        <w:t>TELMEX/TELNOR</w:t>
      </w:r>
      <w:r w:rsidRPr="00F311E7">
        <w:t xml:space="preserve"> se representan </w:t>
      </w:r>
      <w:r w:rsidR="00EA7164">
        <w:t xml:space="preserve">de manera puntual </w:t>
      </w:r>
      <w:r w:rsidRPr="00F311E7">
        <w:t xml:space="preserve">como </w:t>
      </w:r>
      <w:r w:rsidR="00EA7164">
        <w:t>sigue</w:t>
      </w:r>
      <w:r w:rsidRPr="00F311E7">
        <w:t>:</w:t>
      </w:r>
    </w:p>
    <w:p w14:paraId="381F2CD6" w14:textId="02D88632" w:rsidR="001A539A" w:rsidRPr="004676C5" w:rsidRDefault="007D765F" w:rsidP="004676C5">
      <w:pPr>
        <w:pStyle w:val="Ttulo3"/>
        <w:numPr>
          <w:ilvl w:val="2"/>
          <w:numId w:val="7"/>
        </w:numPr>
        <w:spacing w:after="240"/>
        <w:ind w:left="851" w:hanging="789"/>
        <w:rPr>
          <w:b/>
          <w:color w:val="auto"/>
        </w:rPr>
      </w:pPr>
      <w:bookmarkStart w:id="41" w:name="_Toc114513060"/>
      <w:bookmarkStart w:id="42" w:name="_Toc114513304"/>
      <w:r w:rsidRPr="004676C5">
        <w:rPr>
          <w:rStyle w:val="IFTnormalCar"/>
          <w:b/>
          <w:color w:val="auto"/>
        </w:rPr>
        <w:t>Facturación</w:t>
      </w:r>
      <w:r w:rsidR="00BB5901" w:rsidRPr="004676C5">
        <w:rPr>
          <w:rFonts w:ascii="ITC Avant Garde" w:hAnsi="ITC Avant Garde"/>
          <w:b/>
          <w:color w:val="auto"/>
        </w:rPr>
        <w:t xml:space="preserve"> (incluyendo el sistema de facturación a usuarios finales minoristas)</w:t>
      </w:r>
      <w:bookmarkEnd w:id="41"/>
      <w:bookmarkEnd w:id="42"/>
      <w:r w:rsidR="000605BE" w:rsidRPr="004676C5" w:rsidDel="000605BE">
        <w:rPr>
          <w:rFonts w:ascii="ITC Avant Garde" w:hAnsi="ITC Avant Garde"/>
          <w:b/>
          <w:color w:val="auto"/>
        </w:rPr>
        <w:t xml:space="preserve"> </w:t>
      </w:r>
    </w:p>
    <w:tbl>
      <w:tblPr>
        <w:tblStyle w:val="Tablaconcuadrcula1clara"/>
        <w:tblW w:w="5000" w:type="pct"/>
        <w:jc w:val="center"/>
        <w:tblLook w:val="0420" w:firstRow="1" w:lastRow="0" w:firstColumn="0" w:lastColumn="0" w:noHBand="0" w:noVBand="1"/>
      </w:tblPr>
      <w:tblGrid>
        <w:gridCol w:w="2123"/>
        <w:gridCol w:w="4818"/>
        <w:gridCol w:w="1887"/>
      </w:tblGrid>
      <w:tr w:rsidR="00BB5901" w:rsidRPr="00F311E7" w14:paraId="090FB165" w14:textId="77777777" w:rsidTr="004676C5">
        <w:trPr>
          <w:cnfStyle w:val="100000000000" w:firstRow="1" w:lastRow="0" w:firstColumn="0" w:lastColumn="0" w:oddVBand="0" w:evenVBand="0" w:oddHBand="0" w:evenHBand="0" w:firstRowFirstColumn="0" w:firstRowLastColumn="0" w:lastRowFirstColumn="0" w:lastRowLastColumn="0"/>
          <w:trHeight w:val="70"/>
          <w:tblHeader/>
          <w:jc w:val="center"/>
        </w:trPr>
        <w:tc>
          <w:tcPr>
            <w:tcW w:w="1202" w:type="pct"/>
            <w:shd w:val="clear" w:color="auto" w:fill="E7E6E6" w:themeFill="background2"/>
          </w:tcPr>
          <w:p w14:paraId="3E4D3D37" w14:textId="1DBBEBC7" w:rsidR="00BB5901" w:rsidRPr="00F311E7" w:rsidRDefault="00BB5901" w:rsidP="003E1A15">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Vigente 2022</w:t>
            </w:r>
          </w:p>
        </w:tc>
        <w:tc>
          <w:tcPr>
            <w:tcW w:w="2729" w:type="pct"/>
            <w:shd w:val="clear" w:color="auto" w:fill="E7E6E6" w:themeFill="background2"/>
          </w:tcPr>
          <w:p w14:paraId="0891EE49" w14:textId="5A47CF70" w:rsidR="00BB5901" w:rsidRDefault="00BB5901" w:rsidP="003E1A15">
            <w:pPr>
              <w:pStyle w:val="Tableheading"/>
              <w:spacing w:before="0" w:after="0" w:line="276" w:lineRule="auto"/>
              <w:rPr>
                <w:rFonts w:ascii="ITC Avant Garde" w:hAnsi="ITC Avant Garde" w:cs="Arial"/>
                <w:b/>
                <w:color w:val="000000" w:themeColor="text1"/>
                <w:sz w:val="20"/>
                <w:lang w:val="es-ES_tradnl"/>
              </w:rPr>
            </w:pPr>
            <w:r w:rsidRPr="00F311E7">
              <w:rPr>
                <w:rFonts w:ascii="ITC Avant Garde" w:hAnsi="ITC Avant Garde" w:cs="Arial"/>
                <w:b/>
                <w:color w:val="000000" w:themeColor="text1"/>
                <w:sz w:val="20"/>
                <w:lang w:val="es-ES_tradnl"/>
              </w:rPr>
              <w:t>Enfoque de estimación</w:t>
            </w:r>
            <w:r>
              <w:rPr>
                <w:rFonts w:ascii="ITC Avant Garde" w:hAnsi="ITC Avant Garde" w:cs="Arial"/>
                <w:b/>
                <w:color w:val="000000" w:themeColor="text1"/>
                <w:sz w:val="20"/>
                <w:lang w:val="es-ES_tradnl"/>
              </w:rPr>
              <w:t xml:space="preserve"> para 2023</w:t>
            </w:r>
          </w:p>
        </w:tc>
        <w:tc>
          <w:tcPr>
            <w:tcW w:w="1069" w:type="pct"/>
            <w:shd w:val="clear" w:color="auto" w:fill="E7E6E6" w:themeFill="background2"/>
          </w:tcPr>
          <w:p w14:paraId="34324F0F" w14:textId="6F61652D" w:rsidR="00BB5901" w:rsidRPr="00F311E7" w:rsidRDefault="00BB5901" w:rsidP="003E1A15">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Valor para 2023</w:t>
            </w:r>
          </w:p>
        </w:tc>
      </w:tr>
      <w:tr w:rsidR="00BB5901" w:rsidRPr="00F311E7" w14:paraId="341DD7A5" w14:textId="77777777" w:rsidTr="004676C5">
        <w:trPr>
          <w:trHeight w:val="298"/>
          <w:jc w:val="center"/>
        </w:trPr>
        <w:tc>
          <w:tcPr>
            <w:tcW w:w="1202" w:type="pct"/>
            <w:vAlign w:val="center"/>
          </w:tcPr>
          <w:p w14:paraId="24C2C34D" w14:textId="77777777" w:rsidR="00BB5901" w:rsidRDefault="00BB5901" w:rsidP="009B0ED5">
            <w:pPr>
              <w:pStyle w:val="Tablecells"/>
              <w:spacing w:before="0" w:after="0" w:line="276" w:lineRule="auto"/>
              <w:ind w:right="-18"/>
              <w:jc w:val="center"/>
              <w:rPr>
                <w:rFonts w:ascii="ITC Avant Garde" w:hAnsi="ITC Avant Garde" w:cs="Arial"/>
                <w:sz w:val="20"/>
                <w:lang w:val="es-MX"/>
              </w:rPr>
            </w:pPr>
            <w:r>
              <w:rPr>
                <w:rFonts w:ascii="ITC Avant Garde" w:hAnsi="ITC Avant Garde" w:cs="Arial"/>
                <w:sz w:val="20"/>
                <w:lang w:val="es-MX"/>
              </w:rPr>
              <w:t>5%</w:t>
            </w:r>
          </w:p>
          <w:p w14:paraId="5586163A" w14:textId="6B9EAB7A" w:rsidR="00BB5901" w:rsidRPr="004676C5" w:rsidRDefault="00BB5901" w:rsidP="004676C5">
            <w:pPr>
              <w:pStyle w:val="Tablecells"/>
              <w:spacing w:before="0" w:after="0" w:line="276" w:lineRule="auto"/>
              <w:ind w:right="-18"/>
              <w:jc w:val="center"/>
              <w:rPr>
                <w:rFonts w:ascii="ITC Avant Garde" w:hAnsi="ITC Avant Garde" w:cs="Arial"/>
                <w:sz w:val="20"/>
                <w:lang w:val="es-MX"/>
              </w:rPr>
            </w:pPr>
            <w:r>
              <w:rPr>
                <w:rFonts w:ascii="ITC Avant Garde" w:hAnsi="ITC Avant Garde" w:cs="Arial"/>
                <w:sz w:val="20"/>
                <w:lang w:val="es-MX"/>
              </w:rPr>
              <w:t xml:space="preserve">Valor </w:t>
            </w:r>
            <w:r w:rsidR="0062216B">
              <w:rPr>
                <w:rFonts w:ascii="ITC Avant Garde" w:hAnsi="ITC Avant Garde" w:cs="Arial"/>
                <w:sz w:val="20"/>
                <w:lang w:val="es-MX"/>
              </w:rPr>
              <w:t>considerado</w:t>
            </w:r>
            <w:r>
              <w:rPr>
                <w:rFonts w:ascii="ITC Avant Garde" w:hAnsi="ITC Avant Garde" w:cs="Arial"/>
                <w:sz w:val="20"/>
                <w:lang w:val="es-MX"/>
              </w:rPr>
              <w:t xml:space="preserve"> </w:t>
            </w:r>
            <w:r w:rsidR="0062216B">
              <w:rPr>
                <w:rFonts w:ascii="ITC Avant Garde" w:hAnsi="ITC Avant Garde" w:cs="Arial"/>
                <w:sz w:val="20"/>
                <w:lang w:val="es-MX"/>
              </w:rPr>
              <w:t>respecto al total de los ingresos.</w:t>
            </w:r>
          </w:p>
        </w:tc>
        <w:tc>
          <w:tcPr>
            <w:tcW w:w="2729" w:type="pct"/>
            <w:vAlign w:val="center"/>
          </w:tcPr>
          <w:p w14:paraId="7DDD5899" w14:textId="3D029BAA" w:rsidR="0062216B" w:rsidRDefault="001F4340" w:rsidP="003E1A15">
            <w:pPr>
              <w:pStyle w:val="Tablecells"/>
              <w:spacing w:before="0" w:after="0" w:line="276" w:lineRule="auto"/>
              <w:rPr>
                <w:rFonts w:ascii="ITC Avant Garde" w:hAnsi="ITC Avant Garde" w:cs="Arial"/>
                <w:sz w:val="20"/>
                <w:lang w:val="es-ES_tradnl"/>
              </w:rPr>
            </w:pPr>
            <w:r>
              <w:rPr>
                <w:rFonts w:ascii="ITC Avant Garde" w:hAnsi="ITC Avant Garde" w:cs="Arial"/>
                <w:sz w:val="20"/>
                <w:lang w:val="es-ES_tradnl"/>
              </w:rPr>
              <w:t>S</w:t>
            </w:r>
            <w:r w:rsidR="00BB5901">
              <w:rPr>
                <w:rFonts w:ascii="ITC Avant Garde" w:hAnsi="ITC Avant Garde" w:cs="Arial"/>
                <w:sz w:val="20"/>
                <w:lang w:val="es-ES_tradnl"/>
              </w:rPr>
              <w:t>e considera el monto de</w:t>
            </w:r>
            <w:r w:rsidR="00BB5901" w:rsidRPr="007D765F">
              <w:rPr>
                <w:rFonts w:ascii="ITC Avant Garde" w:hAnsi="ITC Avant Garde" w:cs="Arial"/>
                <w:sz w:val="20"/>
                <w:lang w:val="es-ES_tradnl"/>
              </w:rPr>
              <w:t xml:space="preserve"> TELMEX/TELNOR</w:t>
            </w:r>
            <w:r w:rsidR="0062216B">
              <w:rPr>
                <w:rFonts w:ascii="ITC Avant Garde" w:hAnsi="ITC Avant Garde" w:cs="Arial"/>
                <w:sz w:val="20"/>
                <w:lang w:val="es-ES_tradnl"/>
              </w:rPr>
              <w:t xml:space="preserve"> imputado a “Costos de voz e internet”. </w:t>
            </w:r>
          </w:p>
          <w:p w14:paraId="4DC3AD25" w14:textId="1DC05D14" w:rsidR="00BB5901" w:rsidRDefault="0062216B" w:rsidP="003E1A15">
            <w:pPr>
              <w:pStyle w:val="Tablecells"/>
              <w:spacing w:before="0" w:after="0" w:line="276" w:lineRule="auto"/>
              <w:rPr>
                <w:rFonts w:ascii="ITC Avant Garde" w:hAnsi="ITC Avant Garde" w:cs="Arial"/>
                <w:sz w:val="20"/>
                <w:lang w:val="es-ES_tradnl"/>
              </w:rPr>
            </w:pPr>
            <w:r>
              <w:rPr>
                <w:rFonts w:ascii="ITC Avant Garde" w:hAnsi="ITC Avant Garde" w:cs="Arial"/>
                <w:sz w:val="20"/>
                <w:lang w:val="es-ES_tradnl"/>
              </w:rPr>
              <w:t xml:space="preserve">A partir de dicho enfoque, se comparó </w:t>
            </w:r>
            <w:r w:rsidR="001F4340">
              <w:rPr>
                <w:rFonts w:ascii="ITC Avant Garde" w:hAnsi="ITC Avant Garde" w:cs="Arial"/>
                <w:sz w:val="20"/>
                <w:lang w:val="es-ES_tradnl"/>
              </w:rPr>
              <w:t>este monto</w:t>
            </w:r>
            <w:r>
              <w:rPr>
                <w:rFonts w:ascii="ITC Avant Garde" w:hAnsi="ITC Avant Garde" w:cs="Arial"/>
                <w:sz w:val="20"/>
                <w:lang w:val="es-ES_tradnl"/>
              </w:rPr>
              <w:t xml:space="preserve"> con los ingresos resultante por el pago recurrente de servicios empaquetados. </w:t>
            </w:r>
          </w:p>
          <w:p w14:paraId="489963D0" w14:textId="43D012F8" w:rsidR="0091709C" w:rsidRDefault="0091709C" w:rsidP="003E1A15">
            <w:pPr>
              <w:pStyle w:val="Tablecells"/>
              <w:spacing w:before="0" w:after="0" w:line="276" w:lineRule="auto"/>
              <w:rPr>
                <w:rFonts w:ascii="ITC Avant Garde" w:hAnsi="ITC Avant Garde" w:cs="Arial"/>
                <w:sz w:val="20"/>
                <w:lang w:val="es-ES_tradnl"/>
              </w:rPr>
            </w:pPr>
            <w:r>
              <w:rPr>
                <w:rFonts w:ascii="ITC Avant Garde" w:hAnsi="ITC Avant Garde" w:cs="Arial"/>
                <w:sz w:val="20"/>
                <w:lang w:val="es-ES_tradnl"/>
              </w:rPr>
              <w:t xml:space="preserve">Por lo que la cifra </w:t>
            </w:r>
            <w:r w:rsidR="00EA7164">
              <w:rPr>
                <w:rFonts w:ascii="ITC Avant Garde" w:hAnsi="ITC Avant Garde" w:cs="Arial"/>
                <w:sz w:val="20"/>
                <w:lang w:val="es-ES_tradnl"/>
              </w:rPr>
              <w:t xml:space="preserve">propuesta </w:t>
            </w:r>
            <w:r>
              <w:rPr>
                <w:rFonts w:ascii="ITC Avant Garde" w:hAnsi="ITC Avant Garde" w:cs="Arial"/>
                <w:sz w:val="20"/>
                <w:lang w:val="es-ES_tradnl"/>
              </w:rPr>
              <w:t>resulta del promedio observado de 201</w:t>
            </w:r>
            <w:r w:rsidR="00EA7164">
              <w:rPr>
                <w:rFonts w:ascii="ITC Avant Garde" w:hAnsi="ITC Avant Garde" w:cs="Arial"/>
                <w:sz w:val="20"/>
                <w:lang w:val="es-ES_tradnl"/>
              </w:rPr>
              <w:t>9</w:t>
            </w:r>
            <w:r>
              <w:rPr>
                <w:rFonts w:ascii="ITC Avant Garde" w:hAnsi="ITC Avant Garde" w:cs="Arial"/>
                <w:sz w:val="20"/>
                <w:lang w:val="es-ES_tradnl"/>
              </w:rPr>
              <w:t>-202</w:t>
            </w:r>
            <w:r w:rsidR="00EA7164">
              <w:rPr>
                <w:rFonts w:ascii="ITC Avant Garde" w:hAnsi="ITC Avant Garde" w:cs="Arial"/>
                <w:sz w:val="20"/>
                <w:lang w:val="es-ES_tradnl"/>
              </w:rPr>
              <w:t>1</w:t>
            </w:r>
            <w:r>
              <w:rPr>
                <w:rFonts w:ascii="ITC Avant Garde" w:hAnsi="ITC Avant Garde" w:cs="Arial"/>
                <w:sz w:val="20"/>
                <w:lang w:val="es-ES_tradnl"/>
              </w:rPr>
              <w:t>.</w:t>
            </w:r>
          </w:p>
        </w:tc>
        <w:tc>
          <w:tcPr>
            <w:tcW w:w="1069" w:type="pct"/>
            <w:vAlign w:val="center"/>
          </w:tcPr>
          <w:p w14:paraId="140F9041" w14:textId="0106FB89" w:rsidR="00BB5901" w:rsidRPr="00F311E7" w:rsidRDefault="00BB5901" w:rsidP="004676C5">
            <w:pPr>
              <w:pStyle w:val="Tablecells"/>
              <w:spacing w:before="0" w:after="0" w:line="276" w:lineRule="auto"/>
              <w:jc w:val="center"/>
              <w:rPr>
                <w:rFonts w:ascii="ITC Avant Garde" w:hAnsi="ITC Avant Garde" w:cs="Arial"/>
                <w:sz w:val="20"/>
                <w:lang w:val="es-ES_tradnl"/>
              </w:rPr>
            </w:pPr>
            <w:r>
              <w:rPr>
                <w:rFonts w:ascii="ITC Avant Garde" w:hAnsi="ITC Avant Garde" w:cs="Arial"/>
                <w:sz w:val="20"/>
                <w:lang w:val="es-ES_tradnl"/>
              </w:rPr>
              <w:t>3.99</w:t>
            </w:r>
            <w:r w:rsidRPr="00F311E7">
              <w:rPr>
                <w:rFonts w:ascii="ITC Avant Garde" w:hAnsi="ITC Avant Garde" w:cs="Arial"/>
                <w:sz w:val="20"/>
                <w:lang w:val="es-ES_tradnl"/>
              </w:rPr>
              <w:t>%</w:t>
            </w:r>
          </w:p>
        </w:tc>
      </w:tr>
    </w:tbl>
    <w:p w14:paraId="61D7B0D6" w14:textId="5B24E4C6" w:rsidR="00BB5901" w:rsidRPr="004676C5" w:rsidRDefault="00BB5901" w:rsidP="004676C5">
      <w:pPr>
        <w:pStyle w:val="Ttulo3"/>
        <w:numPr>
          <w:ilvl w:val="2"/>
          <w:numId w:val="7"/>
        </w:numPr>
        <w:spacing w:before="240" w:after="240"/>
        <w:ind w:left="850" w:hanging="788"/>
        <w:rPr>
          <w:rStyle w:val="IFTnormalCar"/>
          <w:b/>
          <w:color w:val="auto"/>
        </w:rPr>
      </w:pPr>
      <w:bookmarkStart w:id="43" w:name="_Toc114513061"/>
      <w:bookmarkStart w:id="44" w:name="_Toc114513305"/>
      <w:r w:rsidRPr="004676C5">
        <w:rPr>
          <w:rStyle w:val="IFTnormalCar"/>
          <w:b/>
          <w:color w:val="auto"/>
        </w:rPr>
        <w:t>Deuda incobrable</w:t>
      </w:r>
      <w:bookmarkEnd w:id="43"/>
      <w:bookmarkEnd w:id="44"/>
    </w:p>
    <w:tbl>
      <w:tblPr>
        <w:tblStyle w:val="Tablaconcuadrcula1clara"/>
        <w:tblW w:w="5000" w:type="pct"/>
        <w:jc w:val="center"/>
        <w:tblLook w:val="0420" w:firstRow="1" w:lastRow="0" w:firstColumn="0" w:lastColumn="0" w:noHBand="0" w:noVBand="1"/>
      </w:tblPr>
      <w:tblGrid>
        <w:gridCol w:w="2123"/>
        <w:gridCol w:w="4818"/>
        <w:gridCol w:w="1887"/>
      </w:tblGrid>
      <w:tr w:rsidR="0091709C" w:rsidRPr="00F311E7" w14:paraId="2C05D626" w14:textId="77777777" w:rsidTr="0091709C">
        <w:trPr>
          <w:cnfStyle w:val="100000000000" w:firstRow="1" w:lastRow="0" w:firstColumn="0" w:lastColumn="0" w:oddVBand="0" w:evenVBand="0" w:oddHBand="0" w:evenHBand="0" w:firstRowFirstColumn="0" w:firstRowLastColumn="0" w:lastRowFirstColumn="0" w:lastRowLastColumn="0"/>
          <w:trHeight w:val="70"/>
          <w:tblHeader/>
          <w:jc w:val="center"/>
        </w:trPr>
        <w:tc>
          <w:tcPr>
            <w:tcW w:w="1202" w:type="pct"/>
            <w:shd w:val="clear" w:color="auto" w:fill="E7E6E6" w:themeFill="background2"/>
          </w:tcPr>
          <w:p w14:paraId="7009B50F" w14:textId="77777777" w:rsidR="0091709C" w:rsidRPr="00F311E7" w:rsidRDefault="0091709C" w:rsidP="0091709C">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Vigente 2022</w:t>
            </w:r>
          </w:p>
        </w:tc>
        <w:tc>
          <w:tcPr>
            <w:tcW w:w="2729" w:type="pct"/>
            <w:shd w:val="clear" w:color="auto" w:fill="E7E6E6" w:themeFill="background2"/>
          </w:tcPr>
          <w:p w14:paraId="3F73EC7F" w14:textId="77777777" w:rsidR="0091709C" w:rsidRDefault="0091709C" w:rsidP="0091709C">
            <w:pPr>
              <w:pStyle w:val="Tableheading"/>
              <w:spacing w:before="0" w:after="0" w:line="276" w:lineRule="auto"/>
              <w:rPr>
                <w:rFonts w:ascii="ITC Avant Garde" w:hAnsi="ITC Avant Garde" w:cs="Arial"/>
                <w:b/>
                <w:color w:val="000000" w:themeColor="text1"/>
                <w:sz w:val="20"/>
                <w:lang w:val="es-ES_tradnl"/>
              </w:rPr>
            </w:pPr>
            <w:r w:rsidRPr="00F311E7">
              <w:rPr>
                <w:rFonts w:ascii="ITC Avant Garde" w:hAnsi="ITC Avant Garde" w:cs="Arial"/>
                <w:b/>
                <w:color w:val="000000" w:themeColor="text1"/>
                <w:sz w:val="20"/>
                <w:lang w:val="es-ES_tradnl"/>
              </w:rPr>
              <w:t>Enfoque de estimación</w:t>
            </w:r>
            <w:r>
              <w:rPr>
                <w:rFonts w:ascii="ITC Avant Garde" w:hAnsi="ITC Avant Garde" w:cs="Arial"/>
                <w:b/>
                <w:color w:val="000000" w:themeColor="text1"/>
                <w:sz w:val="20"/>
                <w:lang w:val="es-ES_tradnl"/>
              </w:rPr>
              <w:t xml:space="preserve"> para 2023</w:t>
            </w:r>
          </w:p>
        </w:tc>
        <w:tc>
          <w:tcPr>
            <w:tcW w:w="1069" w:type="pct"/>
            <w:shd w:val="clear" w:color="auto" w:fill="E7E6E6" w:themeFill="background2"/>
          </w:tcPr>
          <w:p w14:paraId="5D449B47" w14:textId="77777777" w:rsidR="0091709C" w:rsidRPr="00F311E7" w:rsidRDefault="0091709C" w:rsidP="0091709C">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Valor para 2023</w:t>
            </w:r>
          </w:p>
        </w:tc>
      </w:tr>
      <w:tr w:rsidR="0091709C" w:rsidRPr="00F311E7" w14:paraId="4056BDEE" w14:textId="77777777" w:rsidTr="0091709C">
        <w:trPr>
          <w:trHeight w:val="298"/>
          <w:jc w:val="center"/>
        </w:trPr>
        <w:tc>
          <w:tcPr>
            <w:tcW w:w="1202" w:type="pct"/>
            <w:vAlign w:val="center"/>
          </w:tcPr>
          <w:p w14:paraId="4942A125" w14:textId="77777777" w:rsidR="0091709C" w:rsidRDefault="0091709C" w:rsidP="0091709C">
            <w:pPr>
              <w:pStyle w:val="Tablecells"/>
              <w:spacing w:before="0" w:after="0" w:line="276" w:lineRule="auto"/>
              <w:ind w:right="-18"/>
              <w:jc w:val="center"/>
              <w:rPr>
                <w:rFonts w:ascii="ITC Avant Garde" w:hAnsi="ITC Avant Garde" w:cs="Arial"/>
                <w:sz w:val="20"/>
                <w:lang w:val="es-MX"/>
              </w:rPr>
            </w:pPr>
            <w:r>
              <w:rPr>
                <w:rFonts w:ascii="ITC Avant Garde" w:hAnsi="ITC Avant Garde" w:cs="Arial"/>
                <w:sz w:val="20"/>
                <w:lang w:val="es-MX"/>
              </w:rPr>
              <w:t>1.78%</w:t>
            </w:r>
          </w:p>
          <w:p w14:paraId="3A425A2F" w14:textId="0CBC0FCB" w:rsidR="0091709C" w:rsidRPr="007B405B" w:rsidRDefault="0091709C" w:rsidP="0091709C">
            <w:pPr>
              <w:pStyle w:val="Tablecells"/>
              <w:spacing w:before="0" w:after="0" w:line="276" w:lineRule="auto"/>
              <w:ind w:right="-18"/>
              <w:jc w:val="center"/>
              <w:rPr>
                <w:rFonts w:ascii="ITC Avant Garde" w:hAnsi="ITC Avant Garde" w:cs="Arial"/>
                <w:sz w:val="20"/>
                <w:lang w:val="es-MX"/>
              </w:rPr>
            </w:pPr>
            <w:r>
              <w:rPr>
                <w:rFonts w:ascii="ITC Avant Garde" w:hAnsi="ITC Avant Garde" w:cs="Arial"/>
                <w:sz w:val="20"/>
                <w:lang w:val="es-MX"/>
              </w:rPr>
              <w:t xml:space="preserve">Valor estimado a partir del valor de la cuenta por cuentas incobrables, respecto al total de ingresos observado en la Separación </w:t>
            </w:r>
            <w:r>
              <w:rPr>
                <w:rFonts w:ascii="ITC Avant Garde" w:hAnsi="ITC Avant Garde" w:cs="Arial"/>
                <w:sz w:val="20"/>
                <w:lang w:val="es-MX"/>
              </w:rPr>
              <w:lastRenderedPageBreak/>
              <w:t>Contable</w:t>
            </w:r>
            <w:r w:rsidR="009275B1">
              <w:rPr>
                <w:rStyle w:val="Refdenotaalpie"/>
                <w:rFonts w:ascii="ITC Avant Garde" w:hAnsi="ITC Avant Garde" w:cs="Arial"/>
                <w:sz w:val="20"/>
                <w:lang w:val="es-MX"/>
              </w:rPr>
              <w:footnoteReference w:id="29"/>
            </w:r>
            <w:r>
              <w:rPr>
                <w:rFonts w:ascii="ITC Avant Garde" w:hAnsi="ITC Avant Garde" w:cs="Arial"/>
                <w:sz w:val="20"/>
                <w:lang w:val="es-MX"/>
              </w:rPr>
              <w:t xml:space="preserve"> correspondiente a los años 2017-2018.</w:t>
            </w:r>
          </w:p>
        </w:tc>
        <w:tc>
          <w:tcPr>
            <w:tcW w:w="2729" w:type="pct"/>
            <w:vAlign w:val="center"/>
          </w:tcPr>
          <w:p w14:paraId="03D8901A" w14:textId="70F51F78" w:rsidR="0091709C" w:rsidRDefault="0091709C" w:rsidP="0091709C">
            <w:pPr>
              <w:pStyle w:val="Tablecells"/>
              <w:spacing w:before="0" w:after="0" w:line="276" w:lineRule="auto"/>
              <w:rPr>
                <w:rFonts w:ascii="ITC Avant Garde" w:hAnsi="ITC Avant Garde" w:cs="Arial"/>
                <w:sz w:val="20"/>
                <w:lang w:val="es-ES_tradnl"/>
              </w:rPr>
            </w:pPr>
            <w:r>
              <w:rPr>
                <w:rFonts w:ascii="ITC Avant Garde" w:hAnsi="ITC Avant Garde" w:cs="Arial"/>
                <w:sz w:val="20"/>
                <w:lang w:val="es-ES_tradnl"/>
              </w:rPr>
              <w:lastRenderedPageBreak/>
              <w:t xml:space="preserve">Se mantiene el enfoque de estimación </w:t>
            </w:r>
            <w:r w:rsidR="009275B1">
              <w:rPr>
                <w:rFonts w:ascii="ITC Avant Garde" w:hAnsi="ITC Avant Garde" w:cs="Arial"/>
                <w:sz w:val="20"/>
                <w:lang w:val="es-ES_tradnl"/>
              </w:rPr>
              <w:t xml:space="preserve">considerando </w:t>
            </w:r>
            <w:r>
              <w:rPr>
                <w:rFonts w:ascii="ITC Avant Garde" w:hAnsi="ITC Avant Garde" w:cs="Arial"/>
                <w:sz w:val="20"/>
                <w:lang w:val="es-ES_tradnl"/>
              </w:rPr>
              <w:t>el valor de cuentas incobrables respecto al total de ingresos</w:t>
            </w:r>
            <w:r w:rsidR="00D3387A">
              <w:rPr>
                <w:rFonts w:ascii="ITC Avant Garde" w:hAnsi="ITC Avant Garde" w:cs="Arial"/>
                <w:sz w:val="20"/>
                <w:lang w:val="es-ES_tradnl"/>
              </w:rPr>
              <w:t xml:space="preserve"> operativos</w:t>
            </w:r>
            <w:r>
              <w:rPr>
                <w:rFonts w:ascii="ITC Avant Garde" w:hAnsi="ITC Avant Garde" w:cs="Arial"/>
                <w:sz w:val="20"/>
                <w:lang w:val="es-ES_tradnl"/>
              </w:rPr>
              <w:t>. En este caso, se actualizó dicho valor a partir del promedio observado en la Separación Contable correspondiente a los años 2017-2020</w:t>
            </w:r>
            <w:r w:rsidRPr="007D765F">
              <w:rPr>
                <w:rFonts w:ascii="ITC Avant Garde" w:hAnsi="ITC Avant Garde" w:cs="Arial"/>
                <w:sz w:val="20"/>
                <w:lang w:val="es-ES_tradnl"/>
              </w:rPr>
              <w:t>.</w:t>
            </w:r>
          </w:p>
        </w:tc>
        <w:tc>
          <w:tcPr>
            <w:tcW w:w="1069" w:type="pct"/>
            <w:vAlign w:val="center"/>
          </w:tcPr>
          <w:p w14:paraId="261CF7AF" w14:textId="22394ACE" w:rsidR="0091709C" w:rsidRPr="00F311E7" w:rsidRDefault="0091709C" w:rsidP="0091709C">
            <w:pPr>
              <w:pStyle w:val="Tablecells"/>
              <w:spacing w:before="0" w:after="0" w:line="276" w:lineRule="auto"/>
              <w:jc w:val="center"/>
              <w:rPr>
                <w:rFonts w:ascii="ITC Avant Garde" w:hAnsi="ITC Avant Garde" w:cs="Arial"/>
                <w:sz w:val="20"/>
                <w:lang w:val="es-ES_tradnl"/>
              </w:rPr>
            </w:pPr>
            <w:r>
              <w:rPr>
                <w:rFonts w:ascii="ITC Avant Garde" w:hAnsi="ITC Avant Garde" w:cs="Arial"/>
                <w:sz w:val="20"/>
                <w:lang w:val="es-ES_tradnl"/>
              </w:rPr>
              <w:t>1.85</w:t>
            </w:r>
            <w:r w:rsidRPr="00F311E7">
              <w:rPr>
                <w:rFonts w:ascii="ITC Avant Garde" w:hAnsi="ITC Avant Garde" w:cs="Arial"/>
                <w:sz w:val="20"/>
                <w:lang w:val="es-ES_tradnl"/>
              </w:rPr>
              <w:t>%</w:t>
            </w:r>
          </w:p>
        </w:tc>
      </w:tr>
    </w:tbl>
    <w:p w14:paraId="0C132F10" w14:textId="7F6E7629" w:rsidR="0091709C" w:rsidRPr="004676C5" w:rsidRDefault="0091709C" w:rsidP="004676C5">
      <w:pPr>
        <w:pStyle w:val="Ttulo3"/>
        <w:numPr>
          <w:ilvl w:val="2"/>
          <w:numId w:val="7"/>
        </w:numPr>
        <w:spacing w:before="240" w:after="240"/>
        <w:ind w:left="850" w:hanging="788"/>
        <w:rPr>
          <w:rStyle w:val="IFTnormalCar"/>
          <w:b/>
          <w:color w:val="auto"/>
        </w:rPr>
      </w:pPr>
      <w:bookmarkStart w:id="45" w:name="_Toc114513062"/>
      <w:bookmarkStart w:id="46" w:name="_Toc114513306"/>
      <w:r w:rsidRPr="004676C5">
        <w:rPr>
          <w:rStyle w:val="IFTnormalCar"/>
          <w:b/>
          <w:color w:val="auto"/>
        </w:rPr>
        <w:t>Mercadotecnia y publicidad</w:t>
      </w:r>
      <w:bookmarkEnd w:id="45"/>
      <w:bookmarkEnd w:id="46"/>
    </w:p>
    <w:tbl>
      <w:tblPr>
        <w:tblStyle w:val="Tablaconcuadrcula1clara"/>
        <w:tblW w:w="5000" w:type="pct"/>
        <w:jc w:val="center"/>
        <w:tblLook w:val="0420" w:firstRow="1" w:lastRow="0" w:firstColumn="0" w:lastColumn="0" w:noHBand="0" w:noVBand="1"/>
      </w:tblPr>
      <w:tblGrid>
        <w:gridCol w:w="2123"/>
        <w:gridCol w:w="4818"/>
        <w:gridCol w:w="1887"/>
      </w:tblGrid>
      <w:tr w:rsidR="0091709C" w:rsidRPr="00F311E7" w14:paraId="7C4F8589" w14:textId="77777777" w:rsidTr="0091709C">
        <w:trPr>
          <w:cnfStyle w:val="100000000000" w:firstRow="1" w:lastRow="0" w:firstColumn="0" w:lastColumn="0" w:oddVBand="0" w:evenVBand="0" w:oddHBand="0" w:evenHBand="0" w:firstRowFirstColumn="0" w:firstRowLastColumn="0" w:lastRowFirstColumn="0" w:lastRowLastColumn="0"/>
          <w:trHeight w:val="70"/>
          <w:tblHeader/>
          <w:jc w:val="center"/>
        </w:trPr>
        <w:tc>
          <w:tcPr>
            <w:tcW w:w="1202" w:type="pct"/>
            <w:shd w:val="clear" w:color="auto" w:fill="E7E6E6" w:themeFill="background2"/>
          </w:tcPr>
          <w:p w14:paraId="4C4AE83A" w14:textId="77777777" w:rsidR="0091709C" w:rsidRPr="00F311E7" w:rsidRDefault="0091709C" w:rsidP="0091709C">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Vigente 2022</w:t>
            </w:r>
          </w:p>
        </w:tc>
        <w:tc>
          <w:tcPr>
            <w:tcW w:w="2729" w:type="pct"/>
            <w:shd w:val="clear" w:color="auto" w:fill="E7E6E6" w:themeFill="background2"/>
          </w:tcPr>
          <w:p w14:paraId="70BBDEBF" w14:textId="77777777" w:rsidR="0091709C" w:rsidRDefault="0091709C" w:rsidP="0091709C">
            <w:pPr>
              <w:pStyle w:val="Tableheading"/>
              <w:spacing w:before="0" w:after="0" w:line="276" w:lineRule="auto"/>
              <w:rPr>
                <w:rFonts w:ascii="ITC Avant Garde" w:hAnsi="ITC Avant Garde" w:cs="Arial"/>
                <w:b/>
                <w:color w:val="000000" w:themeColor="text1"/>
                <w:sz w:val="20"/>
                <w:lang w:val="es-ES_tradnl"/>
              </w:rPr>
            </w:pPr>
            <w:r w:rsidRPr="00F311E7">
              <w:rPr>
                <w:rFonts w:ascii="ITC Avant Garde" w:hAnsi="ITC Avant Garde" w:cs="Arial"/>
                <w:b/>
                <w:color w:val="000000" w:themeColor="text1"/>
                <w:sz w:val="20"/>
                <w:lang w:val="es-ES_tradnl"/>
              </w:rPr>
              <w:t>Enfoque de estimación</w:t>
            </w:r>
            <w:r>
              <w:rPr>
                <w:rFonts w:ascii="ITC Avant Garde" w:hAnsi="ITC Avant Garde" w:cs="Arial"/>
                <w:b/>
                <w:color w:val="000000" w:themeColor="text1"/>
                <w:sz w:val="20"/>
                <w:lang w:val="es-ES_tradnl"/>
              </w:rPr>
              <w:t xml:space="preserve"> para 2023</w:t>
            </w:r>
          </w:p>
        </w:tc>
        <w:tc>
          <w:tcPr>
            <w:tcW w:w="1069" w:type="pct"/>
            <w:shd w:val="clear" w:color="auto" w:fill="E7E6E6" w:themeFill="background2"/>
          </w:tcPr>
          <w:p w14:paraId="725D31E1" w14:textId="77777777" w:rsidR="0091709C" w:rsidRPr="00F311E7" w:rsidRDefault="0091709C" w:rsidP="0091709C">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Valor para 2023</w:t>
            </w:r>
          </w:p>
        </w:tc>
      </w:tr>
      <w:tr w:rsidR="0091709C" w:rsidRPr="00F311E7" w14:paraId="328E02AF" w14:textId="77777777" w:rsidTr="004676C5">
        <w:trPr>
          <w:trHeight w:val="298"/>
          <w:jc w:val="center"/>
        </w:trPr>
        <w:tc>
          <w:tcPr>
            <w:tcW w:w="0" w:type="pct"/>
          </w:tcPr>
          <w:p w14:paraId="2038E569" w14:textId="77BF9849" w:rsidR="00B94810" w:rsidRPr="00F311E7" w:rsidRDefault="00B94810" w:rsidP="00B94810">
            <w:pPr>
              <w:pStyle w:val="Tablecells"/>
              <w:spacing w:before="0" w:after="0" w:line="276" w:lineRule="auto"/>
              <w:rPr>
                <w:rFonts w:ascii="ITC Avant Garde" w:hAnsi="ITC Avant Garde" w:cs="Arial"/>
                <w:sz w:val="20"/>
                <w:lang w:val="es-ES_tradnl"/>
              </w:rPr>
            </w:pPr>
            <w:r w:rsidRPr="00F311E7">
              <w:rPr>
                <w:rFonts w:ascii="ITC Avant Garde" w:hAnsi="ITC Avant Garde" w:cs="Arial"/>
                <w:sz w:val="20"/>
                <w:lang w:val="es-ES_tradnl"/>
              </w:rPr>
              <w:t xml:space="preserve">Se asume que los costos de ventas y mercadotecnia son atribuibles únicamente a los servicios de Internet, bajo la hipótesis de que </w:t>
            </w:r>
            <w:r w:rsidR="001F4340">
              <w:rPr>
                <w:rFonts w:ascii="ITC Avant Garde" w:hAnsi="ITC Avant Garde" w:cs="Arial"/>
                <w:sz w:val="20"/>
                <w:lang w:val="es-ES_tradnl"/>
              </w:rPr>
              <w:t xml:space="preserve">TELMEX/TELNOR </w:t>
            </w:r>
            <w:r w:rsidRPr="00F311E7">
              <w:rPr>
                <w:rFonts w:ascii="ITC Avant Garde" w:hAnsi="ITC Avant Garde" w:cs="Arial"/>
                <w:sz w:val="20"/>
                <w:lang w:val="es-ES_tradnl"/>
              </w:rPr>
              <w:t xml:space="preserve">dirigen su publicidad para captar suscriptores en servicios que ofrecen </w:t>
            </w:r>
            <w:r>
              <w:rPr>
                <w:rFonts w:ascii="ITC Avant Garde" w:hAnsi="ITC Avant Garde" w:cs="Arial"/>
                <w:sz w:val="20"/>
                <w:lang w:val="es-ES_tradnl"/>
              </w:rPr>
              <w:t>I</w:t>
            </w:r>
            <w:r w:rsidRPr="00F311E7">
              <w:rPr>
                <w:rFonts w:ascii="ITC Avant Garde" w:hAnsi="ITC Avant Garde" w:cs="Arial"/>
                <w:sz w:val="20"/>
                <w:lang w:val="es-ES_tradnl"/>
              </w:rPr>
              <w:t>nternet, y no suscriptores de voz fija.</w:t>
            </w:r>
          </w:p>
          <w:p w14:paraId="41C5B2C1" w14:textId="77777777" w:rsidR="00B94810" w:rsidRPr="00F311E7" w:rsidRDefault="00B94810" w:rsidP="00B94810">
            <w:pPr>
              <w:pStyle w:val="Tablecells"/>
              <w:spacing w:before="0" w:after="0" w:line="276" w:lineRule="auto"/>
              <w:rPr>
                <w:rFonts w:ascii="ITC Avant Garde" w:hAnsi="ITC Avant Garde" w:cs="Arial"/>
                <w:sz w:val="20"/>
                <w:lang w:val="es-ES_tradnl"/>
              </w:rPr>
            </w:pPr>
          </w:p>
          <w:p w14:paraId="58676623" w14:textId="0C42286D" w:rsidR="00B94810" w:rsidRPr="00F311E7" w:rsidRDefault="00226471" w:rsidP="00B94810">
            <w:pPr>
              <w:pStyle w:val="Tablecells"/>
              <w:spacing w:before="0" w:after="0" w:line="276" w:lineRule="auto"/>
              <w:rPr>
                <w:rFonts w:ascii="ITC Avant Garde" w:hAnsi="ITC Avant Garde" w:cs="Arial"/>
                <w:sz w:val="20"/>
                <w:lang w:val="es-ES_tradnl"/>
              </w:rPr>
            </w:pPr>
            <w:r>
              <w:rPr>
                <w:rFonts w:ascii="ITC Avant Garde" w:hAnsi="ITC Avant Garde" w:cs="Arial"/>
                <w:sz w:val="20"/>
                <w:lang w:val="es-ES_tradnl"/>
              </w:rPr>
              <w:t xml:space="preserve">En este </w:t>
            </w:r>
            <w:proofErr w:type="gramStart"/>
            <w:r>
              <w:rPr>
                <w:rFonts w:ascii="ITC Avant Garde" w:hAnsi="ITC Avant Garde" w:cs="Arial"/>
                <w:sz w:val="20"/>
                <w:lang w:val="es-ES_tradnl"/>
              </w:rPr>
              <w:t xml:space="preserve">caso </w:t>
            </w:r>
            <w:r w:rsidR="00B94810" w:rsidRPr="00F311E7">
              <w:rPr>
                <w:rFonts w:ascii="ITC Avant Garde" w:hAnsi="ITC Avant Garde" w:cs="Arial"/>
                <w:sz w:val="20"/>
                <w:lang w:val="es-ES_tradnl"/>
              </w:rPr>
              <w:t xml:space="preserve"> (</w:t>
            </w:r>
            <w:proofErr w:type="gramEnd"/>
            <w:r w:rsidR="00B94810" w:rsidRPr="00F311E7">
              <w:rPr>
                <w:rFonts w:ascii="ITC Avant Garde" w:hAnsi="ITC Avant Garde" w:cs="Arial"/>
                <w:sz w:val="20"/>
                <w:lang w:val="es-ES_tradnl"/>
              </w:rPr>
              <w:t>estimación proporcional al total de ingresos</w:t>
            </w:r>
            <w:r w:rsidR="00B30E82">
              <w:rPr>
                <w:rFonts w:ascii="ITC Avant Garde" w:hAnsi="ITC Avant Garde" w:cs="Arial"/>
                <w:sz w:val="20"/>
                <w:lang w:val="es-ES_tradnl"/>
              </w:rPr>
              <w:t xml:space="preserve"> de banda ancha</w:t>
            </w:r>
            <w:r w:rsidR="00B94810" w:rsidRPr="00F311E7">
              <w:rPr>
                <w:rFonts w:ascii="ITC Avant Garde" w:hAnsi="ITC Avant Garde" w:cs="Arial"/>
                <w:sz w:val="20"/>
                <w:lang w:val="es-ES_tradnl"/>
              </w:rPr>
              <w:t xml:space="preserve">) se asume </w:t>
            </w:r>
            <w:r w:rsidR="00B94810">
              <w:rPr>
                <w:rFonts w:ascii="ITC Avant Garde" w:hAnsi="ITC Avant Garde" w:cs="Arial"/>
                <w:sz w:val="20"/>
                <w:lang w:val="es-ES_tradnl"/>
              </w:rPr>
              <w:t>8.45</w:t>
            </w:r>
            <w:r w:rsidR="00B94810" w:rsidRPr="00F311E7">
              <w:rPr>
                <w:rFonts w:ascii="ITC Avant Garde" w:hAnsi="ITC Avant Garde" w:cs="Arial"/>
                <w:sz w:val="20"/>
                <w:lang w:val="es-ES_tradnl"/>
              </w:rPr>
              <w:t>%</w:t>
            </w:r>
            <w:r w:rsidR="00B94810" w:rsidRPr="00F311E7">
              <w:rPr>
                <w:rStyle w:val="Refdenotaalpie"/>
                <w:rFonts w:ascii="ITC Avant Garde" w:hAnsi="ITC Avant Garde" w:cs="Arial"/>
                <w:sz w:val="20"/>
                <w:lang w:val="es-ES_tradnl"/>
              </w:rPr>
              <w:footnoteReference w:id="30"/>
            </w:r>
            <w:r w:rsidR="00B94810" w:rsidRPr="00F311E7">
              <w:rPr>
                <w:rFonts w:ascii="ITC Avant Garde" w:hAnsi="ITC Avant Garde" w:cs="Arial"/>
                <w:sz w:val="20"/>
                <w:lang w:val="es-ES_tradnl"/>
              </w:rPr>
              <w:t xml:space="preserve"> sobre total de ingresos del servicio en estudio, para el caso de servicios de Internet.</w:t>
            </w:r>
          </w:p>
          <w:p w14:paraId="7C6F0A2A" w14:textId="11C62642" w:rsidR="0091709C" w:rsidRPr="004676C5" w:rsidRDefault="00B94810" w:rsidP="004676C5">
            <w:pPr>
              <w:pStyle w:val="Tablecells"/>
              <w:spacing w:before="0" w:after="0" w:line="276" w:lineRule="auto"/>
              <w:ind w:right="-18"/>
              <w:jc w:val="both"/>
              <w:rPr>
                <w:rFonts w:ascii="ITC Avant Garde" w:hAnsi="ITC Avant Garde" w:cs="Arial"/>
                <w:sz w:val="20"/>
                <w:lang w:val="es-ES_tradnl"/>
              </w:rPr>
            </w:pPr>
            <w:r w:rsidRPr="00F311E7">
              <w:rPr>
                <w:rFonts w:ascii="ITC Avant Garde" w:hAnsi="ITC Avant Garde" w:cs="Arial"/>
                <w:sz w:val="20"/>
                <w:lang w:val="es-ES_tradnl"/>
              </w:rPr>
              <w:lastRenderedPageBreak/>
              <w:t>En la segunda alternativa (estimación de costos de atención a clientes) se multiplica la cantidad de suscriptores brutos adicionales por los costos de marketing y ventas por suscriptor bruto adicional.</w:t>
            </w:r>
          </w:p>
        </w:tc>
        <w:tc>
          <w:tcPr>
            <w:tcW w:w="0" w:type="pct"/>
            <w:vAlign w:val="center"/>
          </w:tcPr>
          <w:p w14:paraId="5F4EB8A4" w14:textId="77777777" w:rsidR="00B94810" w:rsidRDefault="00B94810" w:rsidP="00B94810">
            <w:pPr>
              <w:pStyle w:val="Tablecells"/>
              <w:spacing w:before="0" w:after="0" w:line="276" w:lineRule="auto"/>
              <w:rPr>
                <w:rFonts w:ascii="ITC Avant Garde" w:hAnsi="ITC Avant Garde" w:cs="Arial"/>
                <w:sz w:val="20"/>
                <w:lang w:val="es-ES_tradnl"/>
              </w:rPr>
            </w:pPr>
          </w:p>
          <w:p w14:paraId="6692A1AC" w14:textId="77777777" w:rsidR="00B94810" w:rsidRDefault="00B94810" w:rsidP="00B94810">
            <w:pPr>
              <w:pStyle w:val="Tablecells"/>
              <w:spacing w:before="0" w:after="0" w:line="276" w:lineRule="auto"/>
              <w:rPr>
                <w:rFonts w:ascii="ITC Avant Garde" w:hAnsi="ITC Avant Garde" w:cs="Arial"/>
                <w:sz w:val="20"/>
                <w:lang w:val="es-ES_tradnl"/>
              </w:rPr>
            </w:pPr>
            <w:r>
              <w:rPr>
                <w:rFonts w:ascii="ITC Avant Garde" w:hAnsi="ITC Avant Garde" w:cs="Arial"/>
                <w:sz w:val="20"/>
                <w:lang w:val="es-ES_tradnl"/>
              </w:rPr>
              <w:t>Se mantiene el enfoque de modelación observado en la última actualización, solo se actualiza el valor como porcentaje del valor de los ingresos</w:t>
            </w:r>
            <w:r w:rsidR="001C12D1">
              <w:rPr>
                <w:rFonts w:ascii="ITC Avant Garde" w:hAnsi="ITC Avant Garde" w:cs="Arial"/>
                <w:sz w:val="20"/>
                <w:lang w:val="es-ES_tradnl"/>
              </w:rPr>
              <w:t xml:space="preserve"> </w:t>
            </w:r>
            <w:r w:rsidR="00B30E82">
              <w:rPr>
                <w:rFonts w:ascii="ITC Avant Garde" w:hAnsi="ITC Avant Garde" w:cs="Arial"/>
                <w:sz w:val="20"/>
                <w:lang w:val="es-ES_tradnl"/>
              </w:rPr>
              <w:t>por servicios minoristas de banda ancha, a partir de los valores observados en la Separación Contable 2020.</w:t>
            </w:r>
          </w:p>
          <w:p w14:paraId="19A8C7D1" w14:textId="20748279" w:rsidR="00B30E82" w:rsidRDefault="00B30E82" w:rsidP="00B94810">
            <w:pPr>
              <w:pStyle w:val="Tablecells"/>
              <w:spacing w:before="0" w:after="0" w:line="276" w:lineRule="auto"/>
              <w:rPr>
                <w:rFonts w:ascii="ITC Avant Garde" w:hAnsi="ITC Avant Garde" w:cs="Arial"/>
                <w:sz w:val="20"/>
                <w:lang w:val="es-ES_tradnl"/>
              </w:rPr>
            </w:pPr>
            <w:r>
              <w:rPr>
                <w:rFonts w:ascii="ITC Avant Garde" w:hAnsi="ITC Avant Garde" w:cs="Arial"/>
                <w:sz w:val="20"/>
                <w:lang w:val="es-ES_tradnl"/>
              </w:rPr>
              <w:t>De esta manera, el valor correspondiente considera el valor promedio observado de 2017 a 2020.</w:t>
            </w:r>
          </w:p>
          <w:p w14:paraId="4AE5E7B1" w14:textId="60D8B84B" w:rsidR="0091709C" w:rsidRDefault="0091709C" w:rsidP="0091709C">
            <w:pPr>
              <w:pStyle w:val="Tablecells"/>
              <w:spacing w:before="0" w:after="0" w:line="276" w:lineRule="auto"/>
              <w:rPr>
                <w:rFonts w:ascii="ITC Avant Garde" w:hAnsi="ITC Avant Garde" w:cs="Arial"/>
                <w:sz w:val="20"/>
                <w:lang w:val="es-ES_tradnl"/>
              </w:rPr>
            </w:pPr>
          </w:p>
        </w:tc>
        <w:tc>
          <w:tcPr>
            <w:tcW w:w="0" w:type="pct"/>
            <w:vAlign w:val="center"/>
          </w:tcPr>
          <w:p w14:paraId="70F643A5" w14:textId="2ECDFCF5" w:rsidR="0091709C" w:rsidRPr="00F311E7" w:rsidRDefault="00B30E82" w:rsidP="0091709C">
            <w:pPr>
              <w:pStyle w:val="Tablecells"/>
              <w:spacing w:before="0" w:after="0" w:line="276" w:lineRule="auto"/>
              <w:jc w:val="center"/>
              <w:rPr>
                <w:rFonts w:ascii="ITC Avant Garde" w:hAnsi="ITC Avant Garde" w:cs="Arial"/>
                <w:sz w:val="20"/>
                <w:lang w:val="es-ES_tradnl"/>
              </w:rPr>
            </w:pPr>
            <w:r>
              <w:rPr>
                <w:rFonts w:ascii="ITC Avant Garde" w:hAnsi="ITC Avant Garde" w:cs="Arial"/>
                <w:sz w:val="20"/>
                <w:lang w:val="es-ES_tradnl"/>
              </w:rPr>
              <w:t>8.08</w:t>
            </w:r>
            <w:r w:rsidR="00B94810" w:rsidRPr="00F311E7">
              <w:rPr>
                <w:rFonts w:ascii="ITC Avant Garde" w:hAnsi="ITC Avant Garde" w:cs="Arial"/>
                <w:sz w:val="20"/>
                <w:lang w:val="es-ES_tradnl"/>
              </w:rPr>
              <w:t>%</w:t>
            </w:r>
          </w:p>
        </w:tc>
      </w:tr>
    </w:tbl>
    <w:p w14:paraId="50209BCA" w14:textId="20DAF406" w:rsidR="0091709C" w:rsidRPr="004676C5" w:rsidRDefault="00B30E82" w:rsidP="004676C5">
      <w:pPr>
        <w:pStyle w:val="Ttulo3"/>
        <w:numPr>
          <w:ilvl w:val="2"/>
          <w:numId w:val="7"/>
        </w:numPr>
        <w:spacing w:before="240" w:after="240"/>
        <w:ind w:left="850" w:hanging="788"/>
        <w:jc w:val="both"/>
        <w:rPr>
          <w:rStyle w:val="IFTnormalCar"/>
          <w:b/>
          <w:color w:val="auto"/>
        </w:rPr>
      </w:pPr>
      <w:bookmarkStart w:id="47" w:name="_Toc114513063"/>
      <w:bookmarkStart w:id="48" w:name="_Toc114513307"/>
      <w:r w:rsidRPr="004676C5">
        <w:rPr>
          <w:rStyle w:val="IFTnormalCar"/>
          <w:b/>
          <w:color w:val="auto"/>
        </w:rPr>
        <w:t xml:space="preserve">Servicio de atención </w:t>
      </w:r>
      <w:r w:rsidR="00F5401A" w:rsidRPr="004676C5">
        <w:rPr>
          <w:rStyle w:val="IFTnormalCar"/>
          <w:b/>
          <w:color w:val="auto"/>
        </w:rPr>
        <w:t>al</w:t>
      </w:r>
      <w:r w:rsidRPr="004676C5">
        <w:rPr>
          <w:rStyle w:val="IFTnormalCar"/>
          <w:b/>
          <w:color w:val="auto"/>
        </w:rPr>
        <w:t xml:space="preserve"> cliente (incluyendo asistencia técnica de primera línea</w:t>
      </w:r>
      <w:bookmarkEnd w:id="47"/>
      <w:bookmarkEnd w:id="48"/>
    </w:p>
    <w:tbl>
      <w:tblPr>
        <w:tblStyle w:val="Tablaconcuadrcula1clara"/>
        <w:tblW w:w="5000" w:type="pct"/>
        <w:jc w:val="center"/>
        <w:tblLook w:val="0420" w:firstRow="1" w:lastRow="0" w:firstColumn="0" w:lastColumn="0" w:noHBand="0" w:noVBand="1"/>
      </w:tblPr>
      <w:tblGrid>
        <w:gridCol w:w="2123"/>
        <w:gridCol w:w="4818"/>
        <w:gridCol w:w="1887"/>
      </w:tblGrid>
      <w:tr w:rsidR="00B30E82" w:rsidRPr="00F311E7" w14:paraId="3AF49C51" w14:textId="77777777" w:rsidTr="00A02ABE">
        <w:trPr>
          <w:cnfStyle w:val="100000000000" w:firstRow="1" w:lastRow="0" w:firstColumn="0" w:lastColumn="0" w:oddVBand="0" w:evenVBand="0" w:oddHBand="0" w:evenHBand="0" w:firstRowFirstColumn="0" w:firstRowLastColumn="0" w:lastRowFirstColumn="0" w:lastRowLastColumn="0"/>
          <w:trHeight w:val="70"/>
          <w:tblHeader/>
          <w:jc w:val="center"/>
        </w:trPr>
        <w:tc>
          <w:tcPr>
            <w:tcW w:w="1202" w:type="pct"/>
            <w:shd w:val="clear" w:color="auto" w:fill="E7E6E6" w:themeFill="background2"/>
          </w:tcPr>
          <w:p w14:paraId="78B2E5C7" w14:textId="77777777" w:rsidR="00B30E82" w:rsidRPr="00F311E7" w:rsidRDefault="00B30E82" w:rsidP="00A02ABE">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Vigente 2022</w:t>
            </w:r>
          </w:p>
        </w:tc>
        <w:tc>
          <w:tcPr>
            <w:tcW w:w="2729" w:type="pct"/>
            <w:shd w:val="clear" w:color="auto" w:fill="E7E6E6" w:themeFill="background2"/>
          </w:tcPr>
          <w:p w14:paraId="0225FE08" w14:textId="77777777" w:rsidR="00B30E82" w:rsidRDefault="00B30E82" w:rsidP="00A02ABE">
            <w:pPr>
              <w:pStyle w:val="Tableheading"/>
              <w:spacing w:before="0" w:after="0" w:line="276" w:lineRule="auto"/>
              <w:rPr>
                <w:rFonts w:ascii="ITC Avant Garde" w:hAnsi="ITC Avant Garde" w:cs="Arial"/>
                <w:b/>
                <w:color w:val="000000" w:themeColor="text1"/>
                <w:sz w:val="20"/>
                <w:lang w:val="es-ES_tradnl"/>
              </w:rPr>
            </w:pPr>
            <w:r w:rsidRPr="00F311E7">
              <w:rPr>
                <w:rFonts w:ascii="ITC Avant Garde" w:hAnsi="ITC Avant Garde" w:cs="Arial"/>
                <w:b/>
                <w:color w:val="000000" w:themeColor="text1"/>
                <w:sz w:val="20"/>
                <w:lang w:val="es-ES_tradnl"/>
              </w:rPr>
              <w:t>Enfoque de estimación</w:t>
            </w:r>
            <w:r>
              <w:rPr>
                <w:rFonts w:ascii="ITC Avant Garde" w:hAnsi="ITC Avant Garde" w:cs="Arial"/>
                <w:b/>
                <w:color w:val="000000" w:themeColor="text1"/>
                <w:sz w:val="20"/>
                <w:lang w:val="es-ES_tradnl"/>
              </w:rPr>
              <w:t xml:space="preserve"> para 2023</w:t>
            </w:r>
          </w:p>
        </w:tc>
        <w:tc>
          <w:tcPr>
            <w:tcW w:w="1069" w:type="pct"/>
            <w:shd w:val="clear" w:color="auto" w:fill="E7E6E6" w:themeFill="background2"/>
          </w:tcPr>
          <w:p w14:paraId="068F1A67" w14:textId="77777777" w:rsidR="00B30E82" w:rsidRPr="00F311E7" w:rsidRDefault="00B30E82" w:rsidP="00A02ABE">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Valor para 2023</w:t>
            </w:r>
          </w:p>
        </w:tc>
      </w:tr>
      <w:tr w:rsidR="00B30E82" w:rsidRPr="00F311E7" w14:paraId="0E22D6C8" w14:textId="77777777" w:rsidTr="00A02ABE">
        <w:trPr>
          <w:trHeight w:val="298"/>
          <w:jc w:val="center"/>
        </w:trPr>
        <w:tc>
          <w:tcPr>
            <w:tcW w:w="1202" w:type="pct"/>
            <w:vAlign w:val="center"/>
          </w:tcPr>
          <w:p w14:paraId="6A529522" w14:textId="3E7F54AC" w:rsidR="00B30E82" w:rsidRPr="004676C5" w:rsidRDefault="00CA0FAA" w:rsidP="004676C5">
            <w:pPr>
              <w:pStyle w:val="Tablecells"/>
              <w:spacing w:before="0" w:after="0" w:line="276" w:lineRule="auto"/>
              <w:ind w:right="-18"/>
              <w:rPr>
                <w:rFonts w:ascii="ITC Avant Garde" w:hAnsi="ITC Avant Garde" w:cs="Arial"/>
                <w:sz w:val="20"/>
                <w:lang w:val="es-ES_tradnl"/>
              </w:rPr>
            </w:pPr>
            <w:r w:rsidRPr="00F311E7">
              <w:rPr>
                <w:rFonts w:ascii="ITC Avant Garde" w:hAnsi="ITC Avant Garde" w:cs="Arial"/>
                <w:sz w:val="20"/>
                <w:lang w:val="es-ES_tradnl"/>
              </w:rPr>
              <w:t>Proporcional al número de personal necesario para atender a los suscriptores y el costo que representa cada empleado</w:t>
            </w:r>
            <w:r>
              <w:rPr>
                <w:rFonts w:ascii="ITC Avant Garde" w:hAnsi="ITC Avant Garde" w:cs="Arial"/>
                <w:sz w:val="20"/>
                <w:lang w:val="es-ES_tradnl"/>
              </w:rPr>
              <w:t>.</w:t>
            </w:r>
          </w:p>
        </w:tc>
        <w:tc>
          <w:tcPr>
            <w:tcW w:w="2729" w:type="pct"/>
            <w:vAlign w:val="center"/>
          </w:tcPr>
          <w:p w14:paraId="4A6C913E" w14:textId="58495004" w:rsidR="00B30E82" w:rsidRPr="00F311E7" w:rsidRDefault="00CA0FAA" w:rsidP="00B30E82">
            <w:pPr>
              <w:pStyle w:val="Tablecells"/>
              <w:spacing w:before="0" w:after="0" w:line="276" w:lineRule="auto"/>
              <w:ind w:right="-18"/>
              <w:rPr>
                <w:rFonts w:ascii="ITC Avant Garde" w:hAnsi="ITC Avant Garde" w:cs="Arial"/>
                <w:sz w:val="20"/>
                <w:lang w:val="es-ES_tradnl"/>
              </w:rPr>
            </w:pPr>
            <w:r>
              <w:rPr>
                <w:rFonts w:ascii="ITC Avant Garde" w:hAnsi="ITC Avant Garde" w:cs="Arial"/>
                <w:sz w:val="20"/>
                <w:lang w:val="es-ES_tradnl"/>
              </w:rPr>
              <w:t xml:space="preserve">Se mantiene el enfoque de modelación, ajustando dicha asignación con el valor promedio reportado por TELMEX/TELNOR </w:t>
            </w:r>
            <w:r w:rsidR="00D80084">
              <w:rPr>
                <w:rFonts w:ascii="ITC Avant Garde" w:hAnsi="ITC Avant Garde" w:cs="Arial"/>
                <w:sz w:val="20"/>
                <w:lang w:val="es-ES_tradnl"/>
              </w:rPr>
              <w:t>y en los ejercicios de Separación Contable</w:t>
            </w:r>
            <w:r>
              <w:rPr>
                <w:rFonts w:ascii="ITC Avant Garde" w:hAnsi="ITC Avant Garde" w:cs="Arial"/>
                <w:sz w:val="20"/>
                <w:lang w:val="es-ES_tradnl"/>
              </w:rPr>
              <w:t>.</w:t>
            </w:r>
          </w:p>
          <w:p w14:paraId="0825661C" w14:textId="55065964" w:rsidR="00B30E82" w:rsidRDefault="00B30E82" w:rsidP="00A02ABE">
            <w:pPr>
              <w:pStyle w:val="Tablecells"/>
              <w:spacing w:before="0" w:after="0" w:line="276" w:lineRule="auto"/>
              <w:rPr>
                <w:rFonts w:ascii="ITC Avant Garde" w:hAnsi="ITC Avant Garde" w:cs="Arial"/>
                <w:sz w:val="20"/>
                <w:lang w:val="es-ES_tradnl"/>
              </w:rPr>
            </w:pPr>
          </w:p>
        </w:tc>
        <w:tc>
          <w:tcPr>
            <w:tcW w:w="1069" w:type="pct"/>
            <w:vAlign w:val="center"/>
          </w:tcPr>
          <w:p w14:paraId="1DCAF4EC" w14:textId="4D53FA8C" w:rsidR="00B30E82" w:rsidRPr="00F311E7" w:rsidRDefault="00CA0FAA" w:rsidP="00A02ABE">
            <w:pPr>
              <w:pStyle w:val="Tablecells"/>
              <w:spacing w:before="0" w:after="0" w:line="276" w:lineRule="auto"/>
              <w:jc w:val="center"/>
              <w:rPr>
                <w:rFonts w:ascii="ITC Avant Garde" w:hAnsi="ITC Avant Garde" w:cs="Arial"/>
                <w:sz w:val="20"/>
                <w:lang w:val="es-ES_tradnl"/>
              </w:rPr>
            </w:pPr>
            <w:r>
              <w:rPr>
                <w:rFonts w:ascii="ITC Avant Garde" w:hAnsi="ITC Avant Garde" w:cs="Arial"/>
                <w:sz w:val="20"/>
                <w:lang w:val="es-ES_tradnl"/>
              </w:rPr>
              <w:t xml:space="preserve">Valor promedio de 2019-2021 observado del costo del servicio de atención </w:t>
            </w:r>
            <w:proofErr w:type="spellStart"/>
            <w:r>
              <w:rPr>
                <w:rFonts w:ascii="ITC Avant Garde" w:hAnsi="ITC Avant Garde" w:cs="Arial"/>
                <w:sz w:val="20"/>
                <w:lang w:val="es-ES_tradnl"/>
              </w:rPr>
              <w:t>a</w:t>
            </w:r>
            <w:proofErr w:type="spellEnd"/>
            <w:r>
              <w:rPr>
                <w:rFonts w:ascii="ITC Avant Garde" w:hAnsi="ITC Avant Garde" w:cs="Arial"/>
                <w:sz w:val="20"/>
                <w:lang w:val="es-ES_tradnl"/>
              </w:rPr>
              <w:t xml:space="preserve"> cliente (incluyendo asistencia técnica de primera línea).</w:t>
            </w:r>
          </w:p>
        </w:tc>
      </w:tr>
    </w:tbl>
    <w:p w14:paraId="48DEBC66" w14:textId="2A7FC36C" w:rsidR="00BB5901" w:rsidRPr="004676C5" w:rsidRDefault="00CA0FAA" w:rsidP="004676C5">
      <w:pPr>
        <w:pStyle w:val="Ttulo3"/>
        <w:numPr>
          <w:ilvl w:val="2"/>
          <w:numId w:val="7"/>
        </w:numPr>
        <w:spacing w:before="240" w:after="240"/>
        <w:ind w:left="850" w:hanging="788"/>
        <w:jc w:val="both"/>
        <w:rPr>
          <w:rStyle w:val="IFTnormalCar"/>
          <w:b/>
          <w:color w:val="auto"/>
        </w:rPr>
      </w:pPr>
      <w:bookmarkStart w:id="49" w:name="_Toc114513064"/>
      <w:bookmarkStart w:id="50" w:name="_Toc114513308"/>
      <w:r w:rsidRPr="004676C5">
        <w:rPr>
          <w:rStyle w:val="IFTnormalCar"/>
          <w:b/>
          <w:color w:val="auto"/>
        </w:rPr>
        <w:t>Gastos generales y administrativos, incluyendo los gastos de personal (salarios y participación en las utilidades) y los asociados al uso de espacio para oficina</w:t>
      </w:r>
      <w:bookmarkEnd w:id="49"/>
      <w:bookmarkEnd w:id="50"/>
    </w:p>
    <w:tbl>
      <w:tblPr>
        <w:tblStyle w:val="Tablaconcuadrcula1clara"/>
        <w:tblW w:w="5000" w:type="pct"/>
        <w:jc w:val="center"/>
        <w:tblLook w:val="0420" w:firstRow="1" w:lastRow="0" w:firstColumn="0" w:lastColumn="0" w:noHBand="0" w:noVBand="1"/>
      </w:tblPr>
      <w:tblGrid>
        <w:gridCol w:w="2117"/>
        <w:gridCol w:w="4813"/>
        <w:gridCol w:w="1898"/>
      </w:tblGrid>
      <w:tr w:rsidR="00296094" w:rsidRPr="00F311E7" w14:paraId="01C59619" w14:textId="77777777" w:rsidTr="00A02ABE">
        <w:trPr>
          <w:cnfStyle w:val="100000000000" w:firstRow="1" w:lastRow="0" w:firstColumn="0" w:lastColumn="0" w:oddVBand="0" w:evenVBand="0" w:oddHBand="0" w:evenHBand="0" w:firstRowFirstColumn="0" w:firstRowLastColumn="0" w:lastRowFirstColumn="0" w:lastRowLastColumn="0"/>
          <w:trHeight w:val="70"/>
          <w:tblHeader/>
          <w:jc w:val="center"/>
        </w:trPr>
        <w:tc>
          <w:tcPr>
            <w:tcW w:w="1202" w:type="pct"/>
            <w:shd w:val="clear" w:color="auto" w:fill="E7E6E6" w:themeFill="background2"/>
          </w:tcPr>
          <w:p w14:paraId="6FB36FA9" w14:textId="77777777" w:rsidR="00CA0FAA" w:rsidRPr="00F311E7" w:rsidRDefault="00CA0FAA" w:rsidP="00A02ABE">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Vigente 2022</w:t>
            </w:r>
          </w:p>
        </w:tc>
        <w:tc>
          <w:tcPr>
            <w:tcW w:w="2729" w:type="pct"/>
            <w:shd w:val="clear" w:color="auto" w:fill="E7E6E6" w:themeFill="background2"/>
          </w:tcPr>
          <w:p w14:paraId="51CF894D" w14:textId="77777777" w:rsidR="00CA0FAA" w:rsidRDefault="00CA0FAA" w:rsidP="00A02ABE">
            <w:pPr>
              <w:pStyle w:val="Tableheading"/>
              <w:spacing w:before="0" w:after="0" w:line="276" w:lineRule="auto"/>
              <w:rPr>
                <w:rFonts w:ascii="ITC Avant Garde" w:hAnsi="ITC Avant Garde" w:cs="Arial"/>
                <w:b/>
                <w:color w:val="000000" w:themeColor="text1"/>
                <w:sz w:val="20"/>
                <w:lang w:val="es-ES_tradnl"/>
              </w:rPr>
            </w:pPr>
            <w:r w:rsidRPr="00F311E7">
              <w:rPr>
                <w:rFonts w:ascii="ITC Avant Garde" w:hAnsi="ITC Avant Garde" w:cs="Arial"/>
                <w:b/>
                <w:color w:val="000000" w:themeColor="text1"/>
                <w:sz w:val="20"/>
                <w:lang w:val="es-ES_tradnl"/>
              </w:rPr>
              <w:t>Enfoque de estimación</w:t>
            </w:r>
            <w:r>
              <w:rPr>
                <w:rFonts w:ascii="ITC Avant Garde" w:hAnsi="ITC Avant Garde" w:cs="Arial"/>
                <w:b/>
                <w:color w:val="000000" w:themeColor="text1"/>
                <w:sz w:val="20"/>
                <w:lang w:val="es-ES_tradnl"/>
              </w:rPr>
              <w:t xml:space="preserve"> para 2023</w:t>
            </w:r>
          </w:p>
        </w:tc>
        <w:tc>
          <w:tcPr>
            <w:tcW w:w="1069" w:type="pct"/>
            <w:shd w:val="clear" w:color="auto" w:fill="E7E6E6" w:themeFill="background2"/>
          </w:tcPr>
          <w:p w14:paraId="21D31FD3" w14:textId="77777777" w:rsidR="00CA0FAA" w:rsidRPr="00F311E7" w:rsidRDefault="00CA0FAA" w:rsidP="00A02ABE">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Valor para 2023</w:t>
            </w:r>
          </w:p>
        </w:tc>
      </w:tr>
      <w:tr w:rsidR="00296094" w:rsidRPr="00F311E7" w14:paraId="1F161823" w14:textId="77777777" w:rsidTr="00A02ABE">
        <w:trPr>
          <w:trHeight w:val="298"/>
          <w:jc w:val="center"/>
        </w:trPr>
        <w:tc>
          <w:tcPr>
            <w:tcW w:w="1202" w:type="pct"/>
            <w:vAlign w:val="center"/>
          </w:tcPr>
          <w:p w14:paraId="0991BBC2" w14:textId="77777777" w:rsidR="00CA0FAA" w:rsidRDefault="00CA0FAA" w:rsidP="00A02ABE">
            <w:pPr>
              <w:pStyle w:val="Tablecells"/>
              <w:spacing w:before="0" w:after="0" w:line="276" w:lineRule="auto"/>
              <w:ind w:right="-18"/>
              <w:rPr>
                <w:rFonts w:ascii="ITC Avant Garde" w:hAnsi="ITC Avant Garde" w:cs="Arial"/>
                <w:sz w:val="20"/>
                <w:lang w:val="es-ES_tradnl"/>
              </w:rPr>
            </w:pPr>
            <w:r>
              <w:rPr>
                <w:rFonts w:ascii="ITC Avant Garde" w:hAnsi="ITC Avant Garde" w:cs="Arial"/>
                <w:sz w:val="20"/>
                <w:lang w:val="es-ES_tradnl"/>
              </w:rPr>
              <w:t>Se obtiene como la suma de dos componentes:</w:t>
            </w:r>
          </w:p>
          <w:p w14:paraId="1A329E8C" w14:textId="77777777" w:rsidR="00CA0FAA" w:rsidRDefault="00CA0FAA" w:rsidP="004676C5">
            <w:pPr>
              <w:pStyle w:val="Tablecells"/>
              <w:numPr>
                <w:ilvl w:val="0"/>
                <w:numId w:val="33"/>
              </w:numPr>
              <w:spacing w:before="0" w:after="0" w:line="276" w:lineRule="auto"/>
              <w:ind w:left="0" w:right="0" w:firstLine="0"/>
              <w:rPr>
                <w:rFonts w:ascii="ITC Avant Garde" w:hAnsi="ITC Avant Garde" w:cs="Arial"/>
                <w:sz w:val="20"/>
                <w:lang w:val="es-ES_tradnl"/>
              </w:rPr>
            </w:pPr>
            <w:r>
              <w:rPr>
                <w:rFonts w:ascii="ITC Avant Garde" w:hAnsi="ITC Avant Garde" w:cs="Arial"/>
                <w:sz w:val="20"/>
                <w:lang w:val="es-ES_tradnl"/>
              </w:rPr>
              <w:t xml:space="preserve">Costos asociados al uso de espacio de oficinas, estimado por cantidad de empleado y costo </w:t>
            </w:r>
            <w:r>
              <w:rPr>
                <w:rFonts w:ascii="ITC Avant Garde" w:hAnsi="ITC Avant Garde" w:cs="Arial"/>
                <w:sz w:val="20"/>
                <w:lang w:val="es-ES_tradnl"/>
              </w:rPr>
              <w:lastRenderedPageBreak/>
              <w:t>del espacio de oficina.</w:t>
            </w:r>
          </w:p>
          <w:p w14:paraId="1BEF854F" w14:textId="49656D3E" w:rsidR="00CA0FAA" w:rsidRPr="007B405B" w:rsidRDefault="00CA0FAA" w:rsidP="004676C5">
            <w:pPr>
              <w:pStyle w:val="Tablecells"/>
              <w:numPr>
                <w:ilvl w:val="0"/>
                <w:numId w:val="33"/>
              </w:numPr>
              <w:spacing w:before="0" w:after="0" w:line="276" w:lineRule="auto"/>
              <w:ind w:left="0" w:right="0" w:firstLine="0"/>
              <w:rPr>
                <w:rFonts w:ascii="ITC Avant Garde" w:hAnsi="ITC Avant Garde" w:cs="Arial"/>
                <w:sz w:val="20"/>
                <w:lang w:val="es-ES_tradnl"/>
              </w:rPr>
            </w:pPr>
            <w:r>
              <w:rPr>
                <w:rFonts w:ascii="ITC Avant Garde" w:hAnsi="ITC Avant Garde" w:cs="Arial"/>
                <w:sz w:val="20"/>
                <w:lang w:val="es-ES_tradnl"/>
              </w:rPr>
              <w:t xml:space="preserve">Costos generales y administrativos modelados como un </w:t>
            </w:r>
            <w:r w:rsidR="00D80084">
              <w:rPr>
                <w:rFonts w:ascii="ITC Avant Garde" w:hAnsi="ITC Avant Garde" w:cs="Arial"/>
                <w:sz w:val="20"/>
                <w:lang w:val="es-ES_tradnl"/>
              </w:rPr>
              <w:t>porcentaje</w:t>
            </w:r>
            <w:r>
              <w:rPr>
                <w:rFonts w:ascii="ITC Avant Garde" w:hAnsi="ITC Avant Garde" w:cs="Arial"/>
                <w:sz w:val="20"/>
                <w:lang w:val="es-ES_tradnl"/>
              </w:rPr>
              <w:t xml:space="preserve"> sobre el total de ingresos. En este caso, se considera un valor de 2%.</w:t>
            </w:r>
          </w:p>
        </w:tc>
        <w:tc>
          <w:tcPr>
            <w:tcW w:w="2729" w:type="pct"/>
            <w:vAlign w:val="center"/>
          </w:tcPr>
          <w:p w14:paraId="4ED9EF55" w14:textId="0F8F94AE" w:rsidR="00CA0FAA" w:rsidRDefault="00CA0FAA" w:rsidP="004676C5">
            <w:pPr>
              <w:pStyle w:val="Tablecells"/>
              <w:spacing w:before="0" w:after="0" w:line="276" w:lineRule="auto"/>
              <w:ind w:right="-18"/>
              <w:jc w:val="both"/>
              <w:rPr>
                <w:rFonts w:ascii="ITC Avant Garde" w:hAnsi="ITC Avant Garde" w:cs="Arial"/>
                <w:sz w:val="20"/>
                <w:lang w:val="es-ES_tradnl"/>
              </w:rPr>
            </w:pPr>
            <w:r>
              <w:rPr>
                <w:rFonts w:ascii="ITC Avant Garde" w:hAnsi="ITC Avant Garde" w:cs="Arial"/>
                <w:sz w:val="20"/>
                <w:lang w:val="es-ES_tradnl"/>
              </w:rPr>
              <w:lastRenderedPageBreak/>
              <w:t>Se mantiene el enfoque de modelación, ajustando dicha asignación con el valor promedio reportado por TELMEX/TELNOR respecto a:</w:t>
            </w:r>
          </w:p>
          <w:p w14:paraId="04FC4D97" w14:textId="6EF4481D" w:rsidR="00CA0FAA" w:rsidRDefault="00CA0FAA" w:rsidP="004676C5">
            <w:pPr>
              <w:pStyle w:val="Tablecells"/>
              <w:numPr>
                <w:ilvl w:val="0"/>
                <w:numId w:val="34"/>
              </w:numPr>
              <w:spacing w:before="0" w:after="0" w:line="276" w:lineRule="auto"/>
              <w:ind w:right="-18"/>
              <w:jc w:val="both"/>
              <w:rPr>
                <w:rFonts w:ascii="ITC Avant Garde" w:hAnsi="ITC Avant Garde" w:cs="Arial"/>
                <w:sz w:val="20"/>
                <w:lang w:val="es-ES_tradnl"/>
              </w:rPr>
            </w:pPr>
            <w:r>
              <w:rPr>
                <w:rFonts w:ascii="ITC Avant Garde" w:hAnsi="ITC Avant Garde" w:cs="Arial"/>
                <w:sz w:val="20"/>
                <w:lang w:val="es-ES_tradnl"/>
              </w:rPr>
              <w:t>Superficie de suelo usada por empleado.</w:t>
            </w:r>
          </w:p>
          <w:p w14:paraId="2C7F8011" w14:textId="7C756D49" w:rsidR="00CA0FAA" w:rsidRDefault="00CA0FAA" w:rsidP="004676C5">
            <w:pPr>
              <w:pStyle w:val="Tablecells"/>
              <w:numPr>
                <w:ilvl w:val="0"/>
                <w:numId w:val="34"/>
              </w:numPr>
              <w:spacing w:before="0" w:after="0" w:line="276" w:lineRule="auto"/>
              <w:ind w:right="-18"/>
              <w:jc w:val="both"/>
              <w:rPr>
                <w:rFonts w:ascii="ITC Avant Garde" w:hAnsi="ITC Avant Garde" w:cs="Arial"/>
                <w:sz w:val="20"/>
                <w:lang w:val="es-ES_tradnl"/>
              </w:rPr>
            </w:pPr>
            <w:r>
              <w:rPr>
                <w:rFonts w:ascii="ITC Avant Garde" w:hAnsi="ITC Avant Garde" w:cs="Arial"/>
                <w:sz w:val="20"/>
                <w:lang w:val="es-ES_tradnl"/>
              </w:rPr>
              <w:t>Costo de alquiler de oficinas.</w:t>
            </w:r>
          </w:p>
          <w:p w14:paraId="281CA956" w14:textId="2F6620F9" w:rsidR="00CA0FAA" w:rsidRDefault="00CA0FAA" w:rsidP="004676C5">
            <w:pPr>
              <w:pStyle w:val="Tablecells"/>
              <w:numPr>
                <w:ilvl w:val="0"/>
                <w:numId w:val="34"/>
              </w:numPr>
              <w:spacing w:before="0" w:after="0" w:line="276" w:lineRule="auto"/>
              <w:ind w:right="-18"/>
              <w:jc w:val="both"/>
              <w:rPr>
                <w:rFonts w:ascii="ITC Avant Garde" w:hAnsi="ITC Avant Garde" w:cs="Arial"/>
                <w:sz w:val="20"/>
                <w:lang w:val="es-ES_tradnl"/>
              </w:rPr>
            </w:pPr>
            <w:r w:rsidRPr="00CA0FAA">
              <w:rPr>
                <w:rFonts w:ascii="ITC Avant Garde" w:hAnsi="ITC Avant Garde" w:cs="Arial"/>
                <w:sz w:val="20"/>
                <w:lang w:val="es-ES_tradnl"/>
              </w:rPr>
              <w:lastRenderedPageBreak/>
              <w:t>Personal administrativo (incluyendo personal de marketing y ventas) por empleado de atención al cliente</w:t>
            </w:r>
            <w:r>
              <w:rPr>
                <w:rFonts w:ascii="ITC Avant Garde" w:hAnsi="ITC Avant Garde" w:cs="Arial"/>
                <w:sz w:val="20"/>
                <w:lang w:val="es-ES_tradnl"/>
              </w:rPr>
              <w:t>.</w:t>
            </w:r>
          </w:p>
          <w:p w14:paraId="7C0BB47D" w14:textId="300FF3D2" w:rsidR="00CA0FAA" w:rsidRPr="00F311E7" w:rsidRDefault="00CA0FAA" w:rsidP="004676C5">
            <w:pPr>
              <w:pStyle w:val="Tablecells"/>
              <w:numPr>
                <w:ilvl w:val="0"/>
                <w:numId w:val="34"/>
              </w:numPr>
              <w:spacing w:before="0" w:after="0" w:line="276" w:lineRule="auto"/>
              <w:ind w:right="-18"/>
              <w:jc w:val="both"/>
              <w:rPr>
                <w:rFonts w:ascii="ITC Avant Garde" w:hAnsi="ITC Avant Garde" w:cs="Arial"/>
                <w:sz w:val="20"/>
                <w:lang w:val="es-ES_tradnl"/>
              </w:rPr>
            </w:pPr>
            <w:r>
              <w:rPr>
                <w:rFonts w:ascii="ITC Avant Garde" w:hAnsi="ITC Avant Garde" w:cs="Arial"/>
                <w:sz w:val="20"/>
                <w:lang w:val="es-ES_tradnl"/>
              </w:rPr>
              <w:t xml:space="preserve">Costos administrativos sobre el total de ingresos </w:t>
            </w:r>
            <w:r w:rsidRPr="00CA0FAA">
              <w:rPr>
                <w:rFonts w:ascii="ITC Avant Garde" w:hAnsi="ITC Avant Garde" w:cs="Arial"/>
                <w:sz w:val="20"/>
                <w:lang w:val="es-ES_tradnl"/>
              </w:rPr>
              <w:t>(incluye personal de soporte IT, recursos humanos, estrategia, finanzas, etc.)</w:t>
            </w:r>
          </w:p>
          <w:p w14:paraId="19BF5C3C" w14:textId="77777777" w:rsidR="00CA0FAA" w:rsidRDefault="00CA0FAA" w:rsidP="004676C5">
            <w:pPr>
              <w:pStyle w:val="Tablecells"/>
              <w:spacing w:before="0" w:after="0" w:line="276" w:lineRule="auto"/>
              <w:jc w:val="both"/>
              <w:rPr>
                <w:rFonts w:ascii="ITC Avant Garde" w:hAnsi="ITC Avant Garde" w:cs="Arial"/>
                <w:sz w:val="20"/>
                <w:lang w:val="es-ES_tradnl"/>
              </w:rPr>
            </w:pPr>
          </w:p>
        </w:tc>
        <w:tc>
          <w:tcPr>
            <w:tcW w:w="1069" w:type="pct"/>
            <w:vAlign w:val="center"/>
          </w:tcPr>
          <w:p w14:paraId="4108F518" w14:textId="1F68D015" w:rsidR="00CA0FAA" w:rsidRDefault="00CA0FAA" w:rsidP="00A02ABE">
            <w:pPr>
              <w:pStyle w:val="Tablecells"/>
              <w:spacing w:before="0" w:after="0" w:line="276" w:lineRule="auto"/>
              <w:jc w:val="center"/>
              <w:rPr>
                <w:rFonts w:ascii="ITC Avant Garde" w:hAnsi="ITC Avant Garde" w:cs="Arial"/>
                <w:sz w:val="20"/>
                <w:lang w:val="es-ES_tradnl"/>
              </w:rPr>
            </w:pPr>
            <w:r>
              <w:rPr>
                <w:rFonts w:ascii="ITC Avant Garde" w:hAnsi="ITC Avant Garde" w:cs="Arial"/>
                <w:sz w:val="20"/>
                <w:lang w:val="es-ES_tradnl"/>
              </w:rPr>
              <w:lastRenderedPageBreak/>
              <w:t>Valores promedio de 2019-2021 reportado</w:t>
            </w:r>
            <w:r w:rsidR="001D031F">
              <w:rPr>
                <w:rFonts w:ascii="ITC Avant Garde" w:hAnsi="ITC Avant Garde" w:cs="Arial"/>
                <w:sz w:val="20"/>
                <w:lang w:val="es-ES_tradnl"/>
              </w:rPr>
              <w:t>s</w:t>
            </w:r>
            <w:r>
              <w:rPr>
                <w:rFonts w:ascii="ITC Avant Garde" w:hAnsi="ITC Avant Garde" w:cs="Arial"/>
                <w:sz w:val="20"/>
                <w:lang w:val="es-ES_tradnl"/>
              </w:rPr>
              <w:t xml:space="preserve"> por TELMEX/TELNOR.</w:t>
            </w:r>
          </w:p>
          <w:p w14:paraId="5D4220CB" w14:textId="7A0C778B" w:rsidR="00CA0FAA" w:rsidRPr="00F311E7" w:rsidRDefault="00CA0FAA" w:rsidP="00A02ABE">
            <w:pPr>
              <w:pStyle w:val="Tablecells"/>
              <w:spacing w:before="0" w:after="0" w:line="276" w:lineRule="auto"/>
              <w:jc w:val="center"/>
              <w:rPr>
                <w:rFonts w:ascii="ITC Avant Garde" w:hAnsi="ITC Avant Garde" w:cs="Arial"/>
                <w:sz w:val="20"/>
                <w:lang w:val="es-ES_tradnl"/>
              </w:rPr>
            </w:pPr>
            <w:r>
              <w:rPr>
                <w:rFonts w:ascii="ITC Avant Garde" w:hAnsi="ITC Avant Garde" w:cs="Arial"/>
                <w:sz w:val="20"/>
                <w:lang w:val="es-ES_tradnl"/>
              </w:rPr>
              <w:t xml:space="preserve">En el caso de los costos generales y administrativos, </w:t>
            </w:r>
            <w:r>
              <w:rPr>
                <w:rFonts w:ascii="ITC Avant Garde" w:hAnsi="ITC Avant Garde" w:cs="Arial"/>
                <w:sz w:val="20"/>
                <w:lang w:val="es-ES_tradnl"/>
              </w:rPr>
              <w:lastRenderedPageBreak/>
              <w:t>se considera un porcentaje de 2.2%.</w:t>
            </w:r>
          </w:p>
        </w:tc>
      </w:tr>
    </w:tbl>
    <w:p w14:paraId="51DB7052" w14:textId="688DDB40" w:rsidR="00CA0FAA" w:rsidRPr="004676C5" w:rsidRDefault="00CA0FAA" w:rsidP="004676C5">
      <w:pPr>
        <w:pStyle w:val="Ttulo3"/>
        <w:numPr>
          <w:ilvl w:val="2"/>
          <w:numId w:val="7"/>
        </w:numPr>
        <w:spacing w:before="240" w:after="240"/>
        <w:ind w:left="850" w:hanging="788"/>
        <w:jc w:val="both"/>
        <w:rPr>
          <w:rStyle w:val="IFTnormalCar"/>
          <w:b/>
          <w:color w:val="auto"/>
        </w:rPr>
      </w:pPr>
      <w:bookmarkStart w:id="51" w:name="_Toc114513065"/>
      <w:bookmarkStart w:id="52" w:name="_Toc114513309"/>
      <w:r w:rsidRPr="004676C5">
        <w:rPr>
          <w:rStyle w:val="IFTnormalCar"/>
          <w:b/>
          <w:color w:val="auto"/>
        </w:rPr>
        <w:lastRenderedPageBreak/>
        <w:t>Margen de beneficios sobre costos evitados</w:t>
      </w:r>
      <w:bookmarkEnd w:id="51"/>
      <w:bookmarkEnd w:id="52"/>
    </w:p>
    <w:tbl>
      <w:tblPr>
        <w:tblStyle w:val="Tablaconcuadrcula1clara"/>
        <w:tblW w:w="5000" w:type="pct"/>
        <w:jc w:val="center"/>
        <w:tblLook w:val="0420" w:firstRow="1" w:lastRow="0" w:firstColumn="0" w:lastColumn="0" w:noHBand="0" w:noVBand="1"/>
      </w:tblPr>
      <w:tblGrid>
        <w:gridCol w:w="2123"/>
        <w:gridCol w:w="4818"/>
        <w:gridCol w:w="1887"/>
      </w:tblGrid>
      <w:tr w:rsidR="00CA0FAA" w:rsidRPr="00F311E7" w14:paraId="005EB7FA" w14:textId="77777777" w:rsidTr="00A02ABE">
        <w:trPr>
          <w:cnfStyle w:val="100000000000" w:firstRow="1" w:lastRow="0" w:firstColumn="0" w:lastColumn="0" w:oddVBand="0" w:evenVBand="0" w:oddHBand="0" w:evenHBand="0" w:firstRowFirstColumn="0" w:firstRowLastColumn="0" w:lastRowFirstColumn="0" w:lastRowLastColumn="0"/>
          <w:trHeight w:val="70"/>
          <w:tblHeader/>
          <w:jc w:val="center"/>
        </w:trPr>
        <w:tc>
          <w:tcPr>
            <w:tcW w:w="1202" w:type="pct"/>
            <w:shd w:val="clear" w:color="auto" w:fill="E7E6E6" w:themeFill="background2"/>
          </w:tcPr>
          <w:p w14:paraId="23D233FC" w14:textId="77777777" w:rsidR="00CA0FAA" w:rsidRPr="00F311E7" w:rsidRDefault="00CA0FAA" w:rsidP="00A02ABE">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Vigente 2022</w:t>
            </w:r>
          </w:p>
        </w:tc>
        <w:tc>
          <w:tcPr>
            <w:tcW w:w="2729" w:type="pct"/>
            <w:shd w:val="clear" w:color="auto" w:fill="E7E6E6" w:themeFill="background2"/>
          </w:tcPr>
          <w:p w14:paraId="522117CC" w14:textId="77777777" w:rsidR="00CA0FAA" w:rsidRDefault="00CA0FAA" w:rsidP="00A02ABE">
            <w:pPr>
              <w:pStyle w:val="Tableheading"/>
              <w:spacing w:before="0" w:after="0" w:line="276" w:lineRule="auto"/>
              <w:rPr>
                <w:rFonts w:ascii="ITC Avant Garde" w:hAnsi="ITC Avant Garde" w:cs="Arial"/>
                <w:b/>
                <w:color w:val="000000" w:themeColor="text1"/>
                <w:sz w:val="20"/>
                <w:lang w:val="es-ES_tradnl"/>
              </w:rPr>
            </w:pPr>
            <w:r w:rsidRPr="00F311E7">
              <w:rPr>
                <w:rFonts w:ascii="ITC Avant Garde" w:hAnsi="ITC Avant Garde" w:cs="Arial"/>
                <w:b/>
                <w:color w:val="000000" w:themeColor="text1"/>
                <w:sz w:val="20"/>
                <w:lang w:val="es-ES_tradnl"/>
              </w:rPr>
              <w:t>Enfoque de estimación</w:t>
            </w:r>
            <w:r>
              <w:rPr>
                <w:rFonts w:ascii="ITC Avant Garde" w:hAnsi="ITC Avant Garde" w:cs="Arial"/>
                <w:b/>
                <w:color w:val="000000" w:themeColor="text1"/>
                <w:sz w:val="20"/>
                <w:lang w:val="es-ES_tradnl"/>
              </w:rPr>
              <w:t xml:space="preserve"> para 2023</w:t>
            </w:r>
          </w:p>
        </w:tc>
        <w:tc>
          <w:tcPr>
            <w:tcW w:w="1069" w:type="pct"/>
            <w:shd w:val="clear" w:color="auto" w:fill="E7E6E6" w:themeFill="background2"/>
          </w:tcPr>
          <w:p w14:paraId="5A9AD15D" w14:textId="77777777" w:rsidR="00CA0FAA" w:rsidRPr="00F311E7" w:rsidRDefault="00CA0FAA" w:rsidP="00A02ABE">
            <w:pPr>
              <w:pStyle w:val="Tableheading"/>
              <w:spacing w:before="0" w:after="0" w:line="276" w:lineRule="auto"/>
              <w:rPr>
                <w:rFonts w:ascii="ITC Avant Garde" w:hAnsi="ITC Avant Garde" w:cs="Arial"/>
                <w:b/>
                <w:color w:val="000000" w:themeColor="text1"/>
                <w:sz w:val="20"/>
                <w:lang w:val="es-ES_tradnl"/>
              </w:rPr>
            </w:pPr>
            <w:r>
              <w:rPr>
                <w:rFonts w:ascii="ITC Avant Garde" w:hAnsi="ITC Avant Garde" w:cs="Arial"/>
                <w:b/>
                <w:color w:val="000000" w:themeColor="text1"/>
                <w:sz w:val="20"/>
                <w:lang w:val="es-ES_tradnl"/>
              </w:rPr>
              <w:t>Valor para 2023</w:t>
            </w:r>
          </w:p>
        </w:tc>
      </w:tr>
      <w:tr w:rsidR="00CA0FAA" w:rsidRPr="00F311E7" w14:paraId="4FE8A674" w14:textId="77777777" w:rsidTr="00A02ABE">
        <w:trPr>
          <w:trHeight w:val="298"/>
          <w:jc w:val="center"/>
        </w:trPr>
        <w:tc>
          <w:tcPr>
            <w:tcW w:w="1202" w:type="pct"/>
            <w:vAlign w:val="center"/>
          </w:tcPr>
          <w:p w14:paraId="4CC4A778" w14:textId="5D7BA415" w:rsidR="00CA0FAA" w:rsidRPr="007B405B" w:rsidRDefault="00D80084" w:rsidP="004676C5">
            <w:pPr>
              <w:pStyle w:val="Tablecells"/>
              <w:spacing w:before="0" w:after="0" w:line="276" w:lineRule="auto"/>
              <w:ind w:right="-18"/>
              <w:jc w:val="center"/>
              <w:rPr>
                <w:rFonts w:ascii="ITC Avant Garde" w:hAnsi="ITC Avant Garde" w:cs="Arial"/>
                <w:sz w:val="20"/>
                <w:lang w:val="es-ES_tradnl"/>
              </w:rPr>
            </w:pPr>
            <w:r>
              <w:rPr>
                <w:rFonts w:ascii="ITC Avant Garde" w:hAnsi="ITC Avant Garde" w:cs="Arial"/>
                <w:sz w:val="20"/>
                <w:lang w:val="es-ES_tradnl"/>
              </w:rPr>
              <w:t>8.98%</w:t>
            </w:r>
          </w:p>
        </w:tc>
        <w:tc>
          <w:tcPr>
            <w:tcW w:w="2729" w:type="pct"/>
            <w:vAlign w:val="center"/>
          </w:tcPr>
          <w:p w14:paraId="17F17EC4" w14:textId="51A86B7C" w:rsidR="00CA0FAA" w:rsidRDefault="00D80084" w:rsidP="00A02ABE">
            <w:pPr>
              <w:pStyle w:val="Tablecells"/>
              <w:spacing w:before="0" w:after="0" w:line="276" w:lineRule="auto"/>
              <w:rPr>
                <w:rFonts w:ascii="ITC Avant Garde" w:hAnsi="ITC Avant Garde" w:cs="Arial"/>
                <w:sz w:val="20"/>
                <w:lang w:val="es-ES_tradnl"/>
              </w:rPr>
            </w:pPr>
            <w:r w:rsidRPr="00F311E7">
              <w:rPr>
                <w:rFonts w:ascii="ITC Avant Garde" w:hAnsi="ITC Avant Garde" w:cs="Arial"/>
                <w:sz w:val="20"/>
                <w:lang w:val="es-ES_tradnl"/>
              </w:rPr>
              <w:t>Proporcional al nivel de costos evitados de todos los rubros anteriores</w:t>
            </w:r>
            <w:r w:rsidR="00226471">
              <w:rPr>
                <w:rStyle w:val="Refdenotaalpie"/>
                <w:rFonts w:ascii="ITC Avant Garde" w:hAnsi="ITC Avant Garde" w:cs="Arial"/>
                <w:sz w:val="20"/>
                <w:lang w:val="es-ES_tradnl"/>
              </w:rPr>
              <w:footnoteReference w:id="31"/>
            </w:r>
            <w:r>
              <w:rPr>
                <w:rFonts w:ascii="ITC Avant Garde" w:hAnsi="ITC Avant Garde" w:cs="Arial"/>
                <w:sz w:val="20"/>
                <w:lang w:val="es-ES_tradnl"/>
              </w:rPr>
              <w:t xml:space="preserve"> </w:t>
            </w:r>
          </w:p>
        </w:tc>
        <w:tc>
          <w:tcPr>
            <w:tcW w:w="1069" w:type="pct"/>
            <w:vAlign w:val="center"/>
          </w:tcPr>
          <w:p w14:paraId="2698D323" w14:textId="7A87131B" w:rsidR="00CA0FAA" w:rsidRPr="00F311E7" w:rsidRDefault="00D80084" w:rsidP="00A02ABE">
            <w:pPr>
              <w:pStyle w:val="Tablecells"/>
              <w:spacing w:before="0" w:after="0" w:line="276" w:lineRule="auto"/>
              <w:jc w:val="center"/>
              <w:rPr>
                <w:rFonts w:ascii="ITC Avant Garde" w:hAnsi="ITC Avant Garde" w:cs="Arial"/>
                <w:sz w:val="20"/>
                <w:lang w:val="es-ES_tradnl"/>
              </w:rPr>
            </w:pPr>
            <w:r>
              <w:rPr>
                <w:rFonts w:ascii="ITC Avant Garde" w:hAnsi="ITC Avant Garde" w:cs="Arial"/>
                <w:sz w:val="20"/>
                <w:lang w:val="es-ES_tradnl"/>
              </w:rPr>
              <w:t>8.98%</w:t>
            </w:r>
            <w:r w:rsidR="00CA0FAA">
              <w:rPr>
                <w:rFonts w:ascii="ITC Avant Garde" w:hAnsi="ITC Avant Garde" w:cs="Arial"/>
                <w:sz w:val="20"/>
                <w:lang w:val="es-ES_tradnl"/>
              </w:rPr>
              <w:t>.</w:t>
            </w:r>
          </w:p>
        </w:tc>
      </w:tr>
    </w:tbl>
    <w:p w14:paraId="37A13302" w14:textId="5825C229" w:rsidR="001A539A" w:rsidRPr="004676C5" w:rsidRDefault="001A539A" w:rsidP="00F311E7">
      <w:pPr>
        <w:pStyle w:val="IFTnormal"/>
        <w:rPr>
          <w:lang w:val="es-ES_tradnl"/>
        </w:rPr>
      </w:pPr>
    </w:p>
    <w:p w14:paraId="3B967523" w14:textId="58E8E408" w:rsidR="001A539A" w:rsidRPr="00C53454" w:rsidRDefault="00A2604F" w:rsidP="003D3A12">
      <w:pPr>
        <w:pStyle w:val="Ttulo3"/>
        <w:numPr>
          <w:ilvl w:val="2"/>
          <w:numId w:val="7"/>
        </w:numPr>
        <w:spacing w:before="240" w:after="240"/>
        <w:ind w:left="850" w:hanging="788"/>
        <w:jc w:val="both"/>
        <w:rPr>
          <w:rStyle w:val="IFTnormalCar"/>
          <w:b/>
          <w:color w:val="auto"/>
        </w:rPr>
      </w:pPr>
      <w:bookmarkStart w:id="53" w:name="_Toc114513066"/>
      <w:bookmarkStart w:id="54" w:name="_Toc114513310"/>
      <w:r w:rsidRPr="00C53454">
        <w:rPr>
          <w:rStyle w:val="IFTnormalCar"/>
          <w:b/>
          <w:color w:val="auto"/>
        </w:rPr>
        <w:t>Aspectos generales relacionados con la determinación de ingresos de TELMEX/TELNOR.</w:t>
      </w:r>
      <w:bookmarkEnd w:id="53"/>
      <w:bookmarkEnd w:id="54"/>
    </w:p>
    <w:p w14:paraId="6FD1D7A6" w14:textId="64EB70D0" w:rsidR="00D3387A" w:rsidRDefault="00D3387A" w:rsidP="00F311E7">
      <w:pPr>
        <w:pStyle w:val="IFTnormal"/>
      </w:pPr>
      <w:r>
        <w:t>Es importante señalar que para el caso del Modelo de Costos Evitados resulta relevante evaluar dicha composición de ingresos como referencia de la composición de los valores de costos evitados calculados como porcentaje sobre el total de ingresos que se pretende implementar y en el que, en este ejercicio, se mantuvo la información observada en la Separación Contable y la información proporcionada por TELMEX/TELNOR.</w:t>
      </w:r>
    </w:p>
    <w:p w14:paraId="7980E0D1" w14:textId="00386675" w:rsidR="00A2604F" w:rsidRDefault="00193AFD" w:rsidP="00F311E7">
      <w:pPr>
        <w:pStyle w:val="IFTnormal"/>
      </w:pPr>
      <w:r w:rsidRPr="003E5E39">
        <w:t xml:space="preserve">Como parte de la revisión </w:t>
      </w:r>
      <w:r w:rsidR="00657235">
        <w:t>de la información proporcionada por TELMEX/TELNOR</w:t>
      </w:r>
      <w:r w:rsidRPr="003E5E39">
        <w:t>, se identificaron aspectos particulares en la evolución de la composición de ingresos operativos</w:t>
      </w:r>
      <w:r w:rsidR="000B7FEA">
        <w:t xml:space="preserve"> que reflejan el comportamiento de la empresa por la provisión de sus servicios</w:t>
      </w:r>
      <w:r w:rsidRPr="003E5E39">
        <w:t>.</w:t>
      </w:r>
    </w:p>
    <w:p w14:paraId="6EC2AF56" w14:textId="5D2F60B7" w:rsidR="003E5E39" w:rsidRDefault="000B7FEA" w:rsidP="00F311E7">
      <w:pPr>
        <w:pStyle w:val="IFTnormal"/>
      </w:pPr>
      <w:r>
        <w:t>Para ilustrar dicha dinámica se destaca la</w:t>
      </w:r>
      <w:r w:rsidR="003E5E39">
        <w:t xml:space="preserve"> evolución </w:t>
      </w:r>
      <w:r>
        <w:t>que ha tenido en la</w:t>
      </w:r>
      <w:r w:rsidR="003E5E39">
        <w:t xml:space="preserve"> disminución en el monto de ingresos por concepto de pago recurrente de servicios empaquetados</w:t>
      </w:r>
      <w:r w:rsidR="00D13D2D">
        <w:t xml:space="preserve">, así como un incremento </w:t>
      </w:r>
      <w:r w:rsidR="00226471">
        <w:t>por ingresos bajo el rubro de otros ingresos no relacionados con la operación recurrente del operador.</w:t>
      </w:r>
      <w:r w:rsidR="00D13D2D">
        <w:t xml:space="preserve"> </w:t>
      </w:r>
    </w:p>
    <w:p w14:paraId="015E67E6" w14:textId="77777777" w:rsidR="006D08EF" w:rsidRDefault="006D08EF" w:rsidP="006D08EF">
      <w:pPr>
        <w:pStyle w:val="IFTnormal"/>
      </w:pPr>
      <w:r>
        <w:lastRenderedPageBreak/>
        <w:t>A continuación, se presenta una gráfica con la evolución de los rubros de ingresos operativos de TELMEX/TELNOR.</w:t>
      </w:r>
    </w:p>
    <w:p w14:paraId="1DC486D3" w14:textId="77777777" w:rsidR="006D08EF" w:rsidRDefault="006D08EF" w:rsidP="006D08EF">
      <w:pPr>
        <w:pStyle w:val="IFTnormal"/>
      </w:pPr>
      <w:r>
        <w:rPr>
          <w:noProof/>
        </w:rPr>
        <w:drawing>
          <wp:inline distT="0" distB="0" distL="0" distR="0" wp14:anchorId="647BBDC4" wp14:editId="7A2BE4F6">
            <wp:extent cx="5612130" cy="1664970"/>
            <wp:effectExtent l="0" t="0" r="7620" b="0"/>
            <wp:docPr id="31" name="Imagen 3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 Gráfico circular&#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5612130" cy="1664970"/>
                    </a:xfrm>
                    <a:prstGeom prst="rect">
                      <a:avLst/>
                    </a:prstGeom>
                  </pic:spPr>
                </pic:pic>
              </a:graphicData>
            </a:graphic>
          </wp:inline>
        </w:drawing>
      </w:r>
    </w:p>
    <w:p w14:paraId="1774FCD6" w14:textId="3062A45A" w:rsidR="006D08EF" w:rsidRPr="004676C5" w:rsidRDefault="006D08EF" w:rsidP="006D08EF">
      <w:pPr>
        <w:pStyle w:val="Figura"/>
        <w:keepNext w:val="0"/>
        <w:widowControl w:val="0"/>
        <w:spacing w:before="0" w:after="240" w:line="259" w:lineRule="auto"/>
        <w:ind w:right="49"/>
        <w:rPr>
          <w:bCs/>
          <w:szCs w:val="20"/>
        </w:rPr>
      </w:pPr>
      <w:r w:rsidRPr="004676C5">
        <w:rPr>
          <w:rFonts w:eastAsia="Times New Roman"/>
          <w:bCs/>
          <w:szCs w:val="20"/>
        </w:rPr>
        <w:t>Evolución de los ingresos operativos de TELMEX/TELNOR 2019-2021</w:t>
      </w:r>
      <w:r w:rsidR="00E601A4">
        <w:rPr>
          <w:rFonts w:eastAsia="Times New Roman"/>
          <w:bCs/>
          <w:szCs w:val="20"/>
        </w:rPr>
        <w:t>. Elaboración del IFT con información de TELMEX/TELNOR.</w:t>
      </w:r>
    </w:p>
    <w:p w14:paraId="7E1454D9" w14:textId="39DC52BC" w:rsidR="006D08EF" w:rsidRPr="00DC04F9" w:rsidRDefault="006D08EF" w:rsidP="00C22ABF">
      <w:pPr>
        <w:pStyle w:val="aaaFiguras"/>
        <w:spacing w:after="0" w:line="276" w:lineRule="auto"/>
        <w:ind w:left="709" w:right="758"/>
        <w:rPr>
          <w:rFonts w:ascii="ITC Avant Garde" w:hAnsi="ITC Avant Garde"/>
          <w:bCs/>
          <w:sz w:val="16"/>
          <w:szCs w:val="16"/>
        </w:rPr>
      </w:pPr>
      <w:r w:rsidRPr="00DC04F9">
        <w:rPr>
          <w:rFonts w:ascii="ITC Avant Garde" w:hAnsi="ITC Avant Garde"/>
          <w:bCs/>
          <w:sz w:val="16"/>
          <w:szCs w:val="16"/>
        </w:rPr>
        <w:t>Fuente: Información presentada por TELMEX/TELNOR.</w:t>
      </w:r>
    </w:p>
    <w:p w14:paraId="68DDB9A6" w14:textId="7DB6EB9E" w:rsidR="006D08EF" w:rsidRPr="00DC04F9" w:rsidRDefault="006D08EF" w:rsidP="00C22ABF">
      <w:pPr>
        <w:pStyle w:val="aaaFiguras"/>
        <w:spacing w:after="240" w:line="276" w:lineRule="auto"/>
        <w:ind w:left="709" w:right="758"/>
        <w:rPr>
          <w:rFonts w:ascii="ITC Avant Garde" w:hAnsi="ITC Avant Garde"/>
          <w:bCs/>
          <w:sz w:val="14"/>
          <w:szCs w:val="14"/>
        </w:rPr>
      </w:pPr>
      <w:r w:rsidRPr="00DC04F9">
        <w:rPr>
          <w:rFonts w:ascii="ITC Avant Garde" w:hAnsi="ITC Avant Garde"/>
          <w:bCs/>
          <w:sz w:val="14"/>
          <w:szCs w:val="14"/>
        </w:rPr>
        <w:t>* Otro</w:t>
      </w:r>
      <w:r>
        <w:rPr>
          <w:rFonts w:ascii="ITC Avant Garde" w:hAnsi="ITC Avant Garde"/>
          <w:bCs/>
          <w:sz w:val="14"/>
          <w:szCs w:val="14"/>
        </w:rPr>
        <w:t>s</w:t>
      </w:r>
      <w:r w:rsidRPr="00DC04F9">
        <w:rPr>
          <w:rFonts w:ascii="ITC Avant Garde" w:hAnsi="ITC Avant Garde"/>
          <w:bCs/>
          <w:sz w:val="14"/>
          <w:szCs w:val="14"/>
        </w:rPr>
        <w:t xml:space="preserve"> rubro</w:t>
      </w:r>
      <w:r>
        <w:rPr>
          <w:rFonts w:ascii="ITC Avant Garde" w:hAnsi="ITC Avant Garde"/>
          <w:bCs/>
          <w:sz w:val="14"/>
          <w:szCs w:val="14"/>
        </w:rPr>
        <w:t>s</w:t>
      </w:r>
      <w:r w:rsidRPr="00DC04F9">
        <w:rPr>
          <w:rFonts w:ascii="ITC Avant Garde" w:hAnsi="ITC Avant Garde"/>
          <w:bCs/>
          <w:sz w:val="14"/>
          <w:szCs w:val="14"/>
        </w:rPr>
        <w:t xml:space="preserve"> de ingresos considera las siguientes cuentas: Servicios de conectividad; Servicio de arrendamiento de enlaces; Otros servicios minoristas; Facturación y cobranza de servicios OTT; Instalación de línea o acometida; Venta de equipos terminales; Servicios de interconexión; Otros servicios mayoristas; Costos Financieros y Servicios de </w:t>
      </w:r>
      <w:r w:rsidRPr="00821F97">
        <w:rPr>
          <w:rFonts w:ascii="ITC Avant Garde" w:hAnsi="ITC Avant Garde"/>
          <w:bCs/>
          <w:sz w:val="14"/>
          <w:szCs w:val="14"/>
        </w:rPr>
        <w:t>desagregación</w:t>
      </w:r>
      <w:r w:rsidRPr="00DC04F9">
        <w:rPr>
          <w:rFonts w:ascii="ITC Avant Garde" w:hAnsi="ITC Avant Garde"/>
          <w:bCs/>
          <w:sz w:val="14"/>
          <w:szCs w:val="14"/>
        </w:rPr>
        <w:t>.</w:t>
      </w:r>
    </w:p>
    <w:p w14:paraId="1D281369" w14:textId="1E45387A" w:rsidR="006D08EF" w:rsidRDefault="00226471" w:rsidP="006D08EF">
      <w:pPr>
        <w:pStyle w:val="IFTnormal"/>
      </w:pPr>
      <w:r>
        <w:t xml:space="preserve">Lo anterior tiene una relevancia particular en la medida que también en la información ofrecida en la Bolsa Mexicana de Valores (en lo sucesivo, “BMV”) el rubro de otros ingresos no relacionados con su operación tuvo </w:t>
      </w:r>
      <w:r w:rsidR="00D3387A">
        <w:t>una participación mayor</w:t>
      </w:r>
      <w:r>
        <w:t xml:space="preserve"> en 2021 (de</w:t>
      </w:r>
      <w:r w:rsidR="000B7FEA">
        <w:t xml:space="preserve"> 4% a 13.9%)</w:t>
      </w:r>
      <w:r w:rsidR="00D3387A">
        <w:t>, aunque</w:t>
      </w:r>
      <w:r w:rsidR="00431680">
        <w:t xml:space="preserve"> dichos montos son menores a l</w:t>
      </w:r>
      <w:r w:rsidR="00D3387A">
        <w:t>a participación de los</w:t>
      </w:r>
      <w:r w:rsidR="000B7FEA">
        <w:t xml:space="preserve"> ingresos recurrentes por servicios de datos</w:t>
      </w:r>
      <w:r w:rsidR="00431680">
        <w:t xml:space="preserve"> y del servicio</w:t>
      </w:r>
      <w:r w:rsidR="000B7FEA">
        <w:t xml:space="preserve"> local </w:t>
      </w:r>
      <w:proofErr w:type="gramStart"/>
      <w:r w:rsidR="000B7FEA">
        <w:t>principalmente.</w:t>
      </w:r>
      <w:r w:rsidR="003E5E39">
        <w:t>.</w:t>
      </w:r>
      <w:proofErr w:type="gramEnd"/>
      <w:r w:rsidR="006D08EF">
        <w:t xml:space="preserve"> </w:t>
      </w:r>
    </w:p>
    <w:p w14:paraId="257D7185" w14:textId="58CF27F2" w:rsidR="006D08EF" w:rsidRDefault="00A42A9B" w:rsidP="006D08EF">
      <w:pPr>
        <w:pStyle w:val="IFTnormal"/>
      </w:pPr>
      <w:r>
        <w:rPr>
          <w:noProof/>
        </w:rPr>
        <w:drawing>
          <wp:inline distT="0" distB="0" distL="0" distR="0" wp14:anchorId="5BBDC377" wp14:editId="42CEF997">
            <wp:extent cx="5612130" cy="1675130"/>
            <wp:effectExtent l="0" t="0" r="7620" b="1270"/>
            <wp:docPr id="1"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circular&#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612130" cy="1675130"/>
                    </a:xfrm>
                    <a:prstGeom prst="rect">
                      <a:avLst/>
                    </a:prstGeom>
                  </pic:spPr>
                </pic:pic>
              </a:graphicData>
            </a:graphic>
          </wp:inline>
        </w:drawing>
      </w:r>
    </w:p>
    <w:p w14:paraId="5878D501" w14:textId="77777777" w:rsidR="006D08EF" w:rsidRPr="004676C5" w:rsidRDefault="006D08EF" w:rsidP="006D08EF">
      <w:pPr>
        <w:pStyle w:val="Figura"/>
        <w:keepNext w:val="0"/>
        <w:widowControl w:val="0"/>
        <w:spacing w:before="0" w:after="240" w:line="259" w:lineRule="auto"/>
        <w:ind w:right="49"/>
        <w:rPr>
          <w:bCs/>
          <w:szCs w:val="20"/>
        </w:rPr>
      </w:pPr>
      <w:r w:rsidRPr="004676C5">
        <w:rPr>
          <w:rFonts w:eastAsia="Times New Roman"/>
          <w:bCs/>
          <w:szCs w:val="20"/>
        </w:rPr>
        <w:t>Evolución de los ingresos operativos de TELMEX/TELNOR 2019-2021</w:t>
      </w:r>
      <w:r>
        <w:rPr>
          <w:rFonts w:eastAsia="Times New Roman"/>
          <w:bCs/>
          <w:szCs w:val="20"/>
        </w:rPr>
        <w:t xml:space="preserve"> conforme a lo reportado en BMV</w:t>
      </w:r>
    </w:p>
    <w:p w14:paraId="2E907177" w14:textId="77777777" w:rsidR="006D08EF" w:rsidRPr="00DC04F9" w:rsidRDefault="006D08EF" w:rsidP="00C22ABF">
      <w:pPr>
        <w:pStyle w:val="aaaFiguras"/>
        <w:spacing w:after="0" w:line="276" w:lineRule="auto"/>
        <w:ind w:left="142" w:right="191"/>
        <w:rPr>
          <w:rFonts w:ascii="ITC Avant Garde" w:hAnsi="ITC Avant Garde"/>
          <w:bCs/>
          <w:sz w:val="16"/>
          <w:szCs w:val="16"/>
        </w:rPr>
      </w:pPr>
      <w:r w:rsidRPr="004676C5">
        <w:rPr>
          <w:rFonts w:ascii="ITC Avant Garde" w:hAnsi="ITC Avant Garde"/>
          <w:b/>
          <w:sz w:val="16"/>
          <w:szCs w:val="16"/>
        </w:rPr>
        <w:t>Fuente:</w:t>
      </w:r>
      <w:r w:rsidRPr="00DC04F9">
        <w:rPr>
          <w:rFonts w:ascii="ITC Avant Garde" w:hAnsi="ITC Avant Garde"/>
          <w:bCs/>
          <w:sz w:val="16"/>
          <w:szCs w:val="16"/>
        </w:rPr>
        <w:t xml:space="preserve"> </w:t>
      </w:r>
      <w:r>
        <w:rPr>
          <w:rFonts w:ascii="ITC Avant Garde" w:hAnsi="ITC Avant Garde"/>
          <w:bCs/>
          <w:sz w:val="16"/>
          <w:szCs w:val="16"/>
        </w:rPr>
        <w:t>Elaboración con i</w:t>
      </w:r>
      <w:r w:rsidRPr="00DC04F9">
        <w:rPr>
          <w:rFonts w:ascii="ITC Avant Garde" w:hAnsi="ITC Avant Garde"/>
          <w:bCs/>
          <w:sz w:val="16"/>
          <w:szCs w:val="16"/>
        </w:rPr>
        <w:t xml:space="preserve">nformación de </w:t>
      </w:r>
      <w:r>
        <w:rPr>
          <w:rFonts w:ascii="ITC Avant Garde" w:hAnsi="ITC Avant Garde"/>
          <w:bCs/>
          <w:sz w:val="16"/>
          <w:szCs w:val="16"/>
        </w:rPr>
        <w:t xml:space="preserve">la Bolsa Mexicana de Valores publicada </w:t>
      </w:r>
      <w:r w:rsidRPr="00DC04F9">
        <w:rPr>
          <w:rFonts w:ascii="ITC Avant Garde" w:hAnsi="ITC Avant Garde"/>
          <w:bCs/>
          <w:sz w:val="16"/>
          <w:szCs w:val="16"/>
        </w:rPr>
        <w:t>por TELMEX/TELNOR.</w:t>
      </w:r>
    </w:p>
    <w:p w14:paraId="007004FB" w14:textId="60013F0B" w:rsidR="006D08EF" w:rsidRPr="00AE32C1" w:rsidRDefault="006D08EF" w:rsidP="006D08EF">
      <w:pPr>
        <w:pStyle w:val="IFTnormal"/>
      </w:pPr>
      <w:r>
        <w:t>Lo</w:t>
      </w:r>
      <w:r w:rsidR="000B7FEA">
        <w:t xml:space="preserve"> anterior refleja que dicha empresa ha tenido una evolución relevante en cuanto al comportamiento de sus ingresos, a partir de la comercialización de servicios</w:t>
      </w:r>
      <w:r w:rsidR="00D3387A">
        <w:t>,</w:t>
      </w:r>
      <w:r w:rsidR="000B7FEA">
        <w:t xml:space="preserve"> pero al mismo tiempo, un comportamiento contrastante con los rubros de otros ingresos no relacionados con la operación de la empresa.</w:t>
      </w:r>
    </w:p>
    <w:p w14:paraId="51525F70" w14:textId="252112D3" w:rsidR="00EA7164" w:rsidRPr="004676C5" w:rsidRDefault="00EA7164" w:rsidP="004676C5">
      <w:pPr>
        <w:pStyle w:val="Ttulo2"/>
        <w:numPr>
          <w:ilvl w:val="1"/>
          <w:numId w:val="7"/>
        </w:numPr>
        <w:ind w:left="426" w:hanging="360"/>
        <w:rPr>
          <w:rStyle w:val="IFTnormalCar"/>
          <w:lang w:val="es-MX"/>
        </w:rPr>
      </w:pPr>
      <w:bookmarkStart w:id="55" w:name="_Toc114513067"/>
      <w:bookmarkStart w:id="56" w:name="_Toc114513311"/>
      <w:r w:rsidRPr="004676C5">
        <w:rPr>
          <w:rStyle w:val="IFTnormalCar"/>
          <w:lang w:val="es-MX"/>
        </w:rPr>
        <w:lastRenderedPageBreak/>
        <w:t>Integración de los costos evitados e ingresos en el porcentaje de descuento aplicable.</w:t>
      </w:r>
      <w:bookmarkEnd w:id="55"/>
      <w:bookmarkEnd w:id="56"/>
    </w:p>
    <w:p w14:paraId="01BABE51" w14:textId="574D3577" w:rsidR="00CB319B" w:rsidRPr="004676C5" w:rsidRDefault="00CB319B" w:rsidP="00F311E7">
      <w:pPr>
        <w:pStyle w:val="IFTnormal"/>
      </w:pPr>
      <w:r w:rsidRPr="004676C5">
        <w:t xml:space="preserve">Para resumir el enfoque de modelación seguido en el Modelo de Costos Evitados se siguen dos procedimientos de cálculo: </w:t>
      </w:r>
      <w:r w:rsidR="001D1F0C">
        <w:t xml:space="preserve">estimar </w:t>
      </w:r>
      <w:r w:rsidRPr="004676C5">
        <w:t>los ingresos y los costos evitados minoristas por la prestación de los servicios.</w:t>
      </w:r>
    </w:p>
    <w:p w14:paraId="047762D6" w14:textId="265A787E" w:rsidR="00CB319B" w:rsidRDefault="00AD46DC" w:rsidP="004676C5">
      <w:pPr>
        <w:pStyle w:val="Figura"/>
        <w:keepNext w:val="0"/>
        <w:widowControl w:val="0"/>
        <w:spacing w:before="0" w:after="240" w:line="259" w:lineRule="auto"/>
        <w:ind w:right="49"/>
        <w:jc w:val="both"/>
        <w:rPr>
          <w:b/>
        </w:rPr>
      </w:pPr>
      <w:r w:rsidRPr="006D08EF">
        <w:rPr>
          <w:noProof/>
        </w:rPr>
        <w:drawing>
          <wp:anchor distT="0" distB="0" distL="114300" distR="114300" simplePos="0" relativeHeight="251658240" behindDoc="0" locked="0" layoutInCell="1" allowOverlap="1" wp14:anchorId="3DC3C49E" wp14:editId="2A41D768">
            <wp:simplePos x="0" y="0"/>
            <wp:positionH relativeFrom="margin">
              <wp:align>left</wp:align>
            </wp:positionH>
            <wp:positionV relativeFrom="paragraph">
              <wp:posOffset>0</wp:posOffset>
            </wp:positionV>
            <wp:extent cx="5612130" cy="1452880"/>
            <wp:effectExtent l="0" t="0" r="7620" b="0"/>
            <wp:wrapSquare wrapText="bothSides"/>
            <wp:docPr id="18" name="Imagen 1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612130" cy="1452880"/>
                    </a:xfrm>
                    <a:prstGeom prst="rect">
                      <a:avLst/>
                    </a:prstGeom>
                  </pic:spPr>
                </pic:pic>
              </a:graphicData>
            </a:graphic>
          </wp:anchor>
        </w:drawing>
      </w:r>
      <w:r w:rsidR="006D08EF" w:rsidRPr="006D08EF">
        <w:t>Esquema general de implementación de ingresos y costos evitados</w:t>
      </w:r>
      <w:r w:rsidR="006D08EF">
        <w:rPr>
          <w:b/>
        </w:rPr>
        <w:t xml:space="preserve"> </w:t>
      </w:r>
      <w:bookmarkStart w:id="57" w:name="_Hlk114036130"/>
      <w:r w:rsidR="006D08EF" w:rsidRPr="00D9612B">
        <w:rPr>
          <w:bCs/>
          <w:szCs w:val="20"/>
        </w:rPr>
        <w:t>(</w:t>
      </w:r>
      <w:r w:rsidR="006D08EF" w:rsidRPr="00D9612B">
        <w:rPr>
          <w:b/>
          <w:szCs w:val="20"/>
        </w:rPr>
        <w:t>Fuente:</w:t>
      </w:r>
      <w:r w:rsidR="006D08EF" w:rsidRPr="00D9612B">
        <w:rPr>
          <w:bCs/>
          <w:szCs w:val="20"/>
        </w:rPr>
        <w:t xml:space="preserve"> IFT).</w:t>
      </w:r>
      <w:bookmarkEnd w:id="57"/>
    </w:p>
    <w:p w14:paraId="0CF38844" w14:textId="0A5B0CB9" w:rsidR="00CB319B" w:rsidRDefault="00C15FA0" w:rsidP="00CB319B">
      <w:pPr>
        <w:pStyle w:val="IFTnormal"/>
      </w:pPr>
      <w:r w:rsidRPr="004676C5">
        <w:rPr>
          <w:b/>
          <w:noProof/>
        </w:rPr>
        <w:drawing>
          <wp:anchor distT="0" distB="0" distL="114300" distR="114300" simplePos="0" relativeHeight="251658241" behindDoc="0" locked="0" layoutInCell="1" allowOverlap="1" wp14:anchorId="76A2812F" wp14:editId="3C753A12">
            <wp:simplePos x="0" y="0"/>
            <wp:positionH relativeFrom="column">
              <wp:posOffset>13115</wp:posOffset>
            </wp:positionH>
            <wp:positionV relativeFrom="paragraph">
              <wp:posOffset>683711</wp:posOffset>
            </wp:positionV>
            <wp:extent cx="5612130" cy="3397885"/>
            <wp:effectExtent l="0" t="0" r="762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1">
                      <a:extLst>
                        <a:ext uri="{28A0092B-C50C-407E-A947-70E740481C1C}">
                          <a14:useLocalDpi xmlns:a14="http://schemas.microsoft.com/office/drawing/2010/main" val="0"/>
                        </a:ext>
                      </a:extLst>
                    </a:blip>
                    <a:stretch>
                      <a:fillRect/>
                    </a:stretch>
                  </pic:blipFill>
                  <pic:spPr>
                    <a:xfrm>
                      <a:off x="0" y="0"/>
                      <a:ext cx="5612130" cy="3397885"/>
                    </a:xfrm>
                    <a:prstGeom prst="rect">
                      <a:avLst/>
                    </a:prstGeom>
                  </pic:spPr>
                </pic:pic>
              </a:graphicData>
            </a:graphic>
          </wp:anchor>
        </w:drawing>
      </w:r>
      <w:r w:rsidR="00CB319B" w:rsidRPr="004676C5">
        <w:t>En el caso de los ingresos, a partir de los precios de referencia (d</w:t>
      </w:r>
      <w:r w:rsidR="00CB319B" w:rsidRPr="00CB319B">
        <w:t xml:space="preserve">escrito en la sección </w:t>
      </w:r>
      <w:hyperlink w:anchor="_Precio_de_Referencia" w:history="1">
        <w:r w:rsidR="00296094" w:rsidRPr="00600627">
          <w:rPr>
            <w:rStyle w:val="Hipervnculo"/>
            <w:color w:val="auto"/>
            <w:u w:val="none"/>
          </w:rPr>
          <w:t>3.6</w:t>
        </w:r>
      </w:hyperlink>
      <w:r w:rsidR="00CB319B" w:rsidRPr="00CB319B">
        <w:t xml:space="preserve"> del presente documento) se </w:t>
      </w:r>
      <w:r w:rsidR="00CB319B">
        <w:t xml:space="preserve">estiman </w:t>
      </w:r>
      <w:r w:rsidR="00CB319B" w:rsidRPr="00CB319B">
        <w:t>los niveles de ing</w:t>
      </w:r>
      <w:r w:rsidR="00CB319B">
        <w:t>reso por tipo de servicio (renta de línea, voz e internet).</w:t>
      </w:r>
    </w:p>
    <w:p w14:paraId="7F0BE518" w14:textId="794F25D6" w:rsidR="00DC6B9C" w:rsidRDefault="006D08EF" w:rsidP="004676C5">
      <w:pPr>
        <w:pStyle w:val="Figura"/>
        <w:keepNext w:val="0"/>
        <w:widowControl w:val="0"/>
        <w:spacing w:before="0" w:after="240" w:line="259" w:lineRule="auto"/>
        <w:ind w:right="49"/>
        <w:jc w:val="both"/>
      </w:pPr>
      <w:r>
        <w:t xml:space="preserve">Esquema de implementación de precios de referencia </w:t>
      </w:r>
      <w:r w:rsidRPr="00D9612B">
        <w:rPr>
          <w:bCs/>
          <w:szCs w:val="20"/>
        </w:rPr>
        <w:t>(</w:t>
      </w:r>
      <w:r w:rsidRPr="00D9612B">
        <w:rPr>
          <w:b/>
          <w:szCs w:val="20"/>
        </w:rPr>
        <w:t>Fuente:</w:t>
      </w:r>
      <w:r w:rsidRPr="00D9612B">
        <w:rPr>
          <w:bCs/>
          <w:szCs w:val="20"/>
        </w:rPr>
        <w:t xml:space="preserve"> IFT)</w:t>
      </w:r>
      <w:r>
        <w:t>.</w:t>
      </w:r>
    </w:p>
    <w:p w14:paraId="524C4867" w14:textId="22300789" w:rsidR="00CB319B" w:rsidRDefault="00CB319B" w:rsidP="00F311E7">
      <w:pPr>
        <w:pStyle w:val="IFTnormal"/>
      </w:pPr>
      <w:r>
        <w:t xml:space="preserve">Por el lado de los costos evitados se siguen los insumos actualizados y descrito en el numeral </w:t>
      </w:r>
      <w:hyperlink w:anchor="_Precio_de_Referencia" w:history="1">
        <w:r w:rsidR="00600627" w:rsidRPr="00600627">
          <w:rPr>
            <w:rStyle w:val="Hipervnculo"/>
            <w:color w:val="auto"/>
            <w:u w:val="none"/>
          </w:rPr>
          <w:t>3.6</w:t>
        </w:r>
      </w:hyperlink>
      <w:r>
        <w:t xml:space="preserve"> del presente documento.</w:t>
      </w:r>
    </w:p>
    <w:p w14:paraId="4EFF5C41" w14:textId="13FCF2F9" w:rsidR="0031133A" w:rsidRDefault="00D23636" w:rsidP="00F311E7">
      <w:pPr>
        <w:pStyle w:val="IFTnormal"/>
      </w:pPr>
      <w:r>
        <w:rPr>
          <w:noProof/>
        </w:rPr>
        <w:lastRenderedPageBreak/>
        <w:drawing>
          <wp:inline distT="0" distB="0" distL="0" distR="0" wp14:anchorId="6A01FD37" wp14:editId="582E5718">
            <wp:extent cx="5612130" cy="3434715"/>
            <wp:effectExtent l="0" t="0" r="7620" b="0"/>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5612130" cy="3434715"/>
                    </a:xfrm>
                    <a:prstGeom prst="rect">
                      <a:avLst/>
                    </a:prstGeom>
                  </pic:spPr>
                </pic:pic>
              </a:graphicData>
            </a:graphic>
          </wp:inline>
        </w:drawing>
      </w:r>
    </w:p>
    <w:p w14:paraId="3D653083" w14:textId="75866ABF" w:rsidR="00EF4BA3" w:rsidRPr="004676C5" w:rsidRDefault="00CB319B" w:rsidP="004676C5">
      <w:pPr>
        <w:pStyle w:val="Figura"/>
        <w:keepNext w:val="0"/>
        <w:widowControl w:val="0"/>
        <w:spacing w:before="0" w:after="240" w:line="259" w:lineRule="auto"/>
        <w:ind w:right="49"/>
        <w:jc w:val="both"/>
      </w:pPr>
      <w:r>
        <w:t xml:space="preserve"> </w:t>
      </w:r>
      <w:r w:rsidR="004676C5">
        <w:t>Esquema del enfoque de modelación de costos evitados</w:t>
      </w:r>
      <w:r w:rsidR="006D08EF">
        <w:t xml:space="preserve"> </w:t>
      </w:r>
      <w:r w:rsidR="006D08EF" w:rsidRPr="00D9612B">
        <w:rPr>
          <w:bCs/>
          <w:szCs w:val="20"/>
        </w:rPr>
        <w:t>(</w:t>
      </w:r>
      <w:r w:rsidR="006D08EF" w:rsidRPr="00D9612B">
        <w:rPr>
          <w:b/>
          <w:szCs w:val="20"/>
        </w:rPr>
        <w:t>Fuente:</w:t>
      </w:r>
      <w:r w:rsidR="006D08EF" w:rsidRPr="00D9612B">
        <w:rPr>
          <w:bCs/>
          <w:szCs w:val="20"/>
        </w:rPr>
        <w:t xml:space="preserve"> IFT).</w:t>
      </w:r>
    </w:p>
    <w:p w14:paraId="72242269" w14:textId="30082DE1" w:rsidR="00CB319B" w:rsidRDefault="00CB319B" w:rsidP="00CB319B">
      <w:pPr>
        <w:pStyle w:val="IFTnormal"/>
      </w:pPr>
      <w:r>
        <w:t>Al sumar la representación de todos los conceptos previos, en términos del ingreso correspondiente, se obtienen los costos evitados asociados a la renta de línea, voz e Internet.</w:t>
      </w:r>
    </w:p>
    <w:p w14:paraId="7A37CAB5" w14:textId="7FA8F77A" w:rsidR="00CB319B" w:rsidRDefault="00CB319B" w:rsidP="00CB319B">
      <w:pPr>
        <w:pStyle w:val="IFTnormal"/>
      </w:pPr>
      <w:r w:rsidRPr="00F311E7">
        <w:t xml:space="preserve">En este sentido, al dividir dicho valor entre total de ingresos obtenidos por el operador (según corresponda, renta de línea, voz e Internet) se obtiene la porción que deberá descontarse del precio de referencia para determinar el nivel tarifario de los correspondientes servicios mayoristas, misma que representan el nivel de costos evitados de los servicios de desagregación conforme al alcance de </w:t>
      </w:r>
      <w:r w:rsidR="00484837" w:rsidRPr="00F311E7">
        <w:t>estos</w:t>
      </w:r>
      <w:r w:rsidRPr="00F311E7">
        <w:t>.</w:t>
      </w:r>
    </w:p>
    <w:p w14:paraId="363DE848" w14:textId="43CF27F6" w:rsidR="00146C0D" w:rsidRDefault="00146C0D" w:rsidP="00CB319B">
      <w:pPr>
        <w:pStyle w:val="IFTnormal"/>
      </w:pPr>
      <w:r>
        <w:rPr>
          <w:noProof/>
        </w:rPr>
        <w:lastRenderedPageBreak/>
        <w:drawing>
          <wp:inline distT="0" distB="0" distL="0" distR="0" wp14:anchorId="7D3CEBB8" wp14:editId="6F3D90B8">
            <wp:extent cx="5612130" cy="2910840"/>
            <wp:effectExtent l="0" t="0" r="7620" b="3810"/>
            <wp:docPr id="34" name="Imagen 34"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Aplicación&#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5612130" cy="2910840"/>
                    </a:xfrm>
                    <a:prstGeom prst="rect">
                      <a:avLst/>
                    </a:prstGeom>
                  </pic:spPr>
                </pic:pic>
              </a:graphicData>
            </a:graphic>
          </wp:inline>
        </w:drawing>
      </w:r>
    </w:p>
    <w:p w14:paraId="25507CD3" w14:textId="6DF75F31" w:rsidR="00F311E7" w:rsidRPr="00D9612B" w:rsidRDefault="00F311E7" w:rsidP="004676C5">
      <w:pPr>
        <w:pStyle w:val="Figura"/>
        <w:keepNext w:val="0"/>
        <w:widowControl w:val="0"/>
        <w:spacing w:before="0" w:after="240" w:line="259" w:lineRule="auto"/>
        <w:ind w:right="49"/>
        <w:jc w:val="both"/>
        <w:rPr>
          <w:szCs w:val="20"/>
        </w:rPr>
      </w:pPr>
      <w:bookmarkStart w:id="58" w:name="_Hlk114035937"/>
      <w:r w:rsidRPr="00D9612B">
        <w:rPr>
          <w:szCs w:val="20"/>
        </w:rPr>
        <w:t xml:space="preserve">Esquema de la estimación de los costos evitados en el modelo los elementos o servicios que se incluyen en los planes y paquetes de </w:t>
      </w:r>
      <w:r w:rsidR="0063470F" w:rsidRPr="00D9612B">
        <w:rPr>
          <w:szCs w:val="20"/>
        </w:rPr>
        <w:t>TELMEX/TELNOR</w:t>
      </w:r>
      <w:r w:rsidRPr="00D9612B">
        <w:rPr>
          <w:szCs w:val="20"/>
        </w:rPr>
        <w:t xml:space="preserve"> (</w:t>
      </w:r>
      <w:r w:rsidRPr="00D9612B">
        <w:rPr>
          <w:b/>
          <w:szCs w:val="20"/>
        </w:rPr>
        <w:t>Fuente:</w:t>
      </w:r>
      <w:r w:rsidRPr="00D9612B">
        <w:rPr>
          <w:szCs w:val="20"/>
        </w:rPr>
        <w:t xml:space="preserve"> IFT).</w:t>
      </w:r>
    </w:p>
    <w:p w14:paraId="6376F419" w14:textId="05A35C62" w:rsidR="004D3F53" w:rsidRPr="004676C5" w:rsidRDefault="00A438BC" w:rsidP="004676C5">
      <w:pPr>
        <w:pStyle w:val="Ttulo2"/>
        <w:numPr>
          <w:ilvl w:val="1"/>
          <w:numId w:val="7"/>
        </w:numPr>
        <w:ind w:left="426" w:hanging="360"/>
        <w:rPr>
          <w:rStyle w:val="IFTnormalCar"/>
          <w:b w:val="0"/>
          <w:color w:val="auto"/>
          <w:lang w:val="es-MX"/>
        </w:rPr>
      </w:pPr>
      <w:bookmarkStart w:id="59" w:name="_Toc114513068"/>
      <w:bookmarkStart w:id="60" w:name="_Toc114513312"/>
      <w:bookmarkEnd w:id="58"/>
      <w:r w:rsidRPr="004676C5">
        <w:rPr>
          <w:rStyle w:val="IFTnormalCar"/>
          <w:color w:val="auto"/>
          <w:lang w:val="es-MX"/>
        </w:rPr>
        <w:t>Resumen de esquemas de aplicación del Modelo de Costos Evitados</w:t>
      </w:r>
      <w:bookmarkEnd w:id="59"/>
      <w:bookmarkEnd w:id="60"/>
    </w:p>
    <w:p w14:paraId="205ECA4B" w14:textId="20B7526D" w:rsidR="00A438BC" w:rsidRPr="005F00B2" w:rsidRDefault="00862BE1" w:rsidP="004676C5">
      <w:pPr>
        <w:pStyle w:val="Ttulo3"/>
        <w:numPr>
          <w:ilvl w:val="2"/>
          <w:numId w:val="7"/>
        </w:numPr>
        <w:spacing w:after="240"/>
        <w:ind w:left="851" w:hanging="789"/>
        <w:rPr>
          <w:rStyle w:val="IFTnormalCar"/>
          <w:color w:val="auto"/>
        </w:rPr>
      </w:pPr>
      <w:bookmarkStart w:id="61" w:name="_Toc114513069"/>
      <w:bookmarkStart w:id="62" w:name="_Toc114513313"/>
      <w:r w:rsidRPr="004676C5">
        <w:rPr>
          <w:rStyle w:val="IFTnormalCar"/>
          <w:b/>
          <w:color w:val="auto"/>
        </w:rPr>
        <w:t>Esquema para el SRLT</w:t>
      </w:r>
      <w:bookmarkEnd w:id="61"/>
      <w:bookmarkEnd w:id="62"/>
    </w:p>
    <w:p w14:paraId="5FA0269A" w14:textId="7301EAC9" w:rsidR="007444DC" w:rsidRPr="00337CB4" w:rsidRDefault="007444DC" w:rsidP="007444DC">
      <w:pPr>
        <w:pStyle w:val="IFTnormal"/>
      </w:pPr>
      <w:r w:rsidRPr="00D6663F">
        <w:t>Para determinar el nivel tarifario del SRLT (</w:t>
      </w:r>
      <m:oMath>
        <m:sSup>
          <m:sSupPr>
            <m:ctrlPr>
              <w:rPr>
                <w:rFonts w:ascii="Cambria Math" w:hAnsi="Cambria Math"/>
                <w:b/>
              </w:rPr>
            </m:ctrlPr>
          </m:sSupPr>
          <m:e>
            <m:r>
              <m:rPr>
                <m:nor/>
              </m:rPr>
              <w:rPr>
                <w:b/>
                <w:iCs/>
              </w:rPr>
              <m:t>P</m:t>
            </m:r>
          </m:e>
          <m:sup>
            <m:r>
              <m:rPr>
                <m:nor/>
              </m:rPr>
              <w:rPr>
                <w:b/>
                <w:iCs/>
              </w:rPr>
              <m:t>r</m:t>
            </m:r>
          </m:sup>
        </m:sSup>
        <m:r>
          <m:rPr>
            <m:sty m:val="bi"/>
          </m:rPr>
          <w:rPr>
            <w:rFonts w:ascii="Cambria Math" w:hAnsi="Cambria Math"/>
          </w:rPr>
          <m:t>)</m:t>
        </m:r>
      </m:oMath>
      <w:r w:rsidRPr="00D6663F">
        <w:t>, en el modelo se estima primero el precio de referencia, a partir de</w:t>
      </w:r>
      <w:r w:rsidR="00A675EC">
        <w:t xml:space="preserve"> </w:t>
      </w:r>
      <w:r w:rsidR="001A465C">
        <w:t xml:space="preserve">la tarifa minorista de un plan o paquete de </w:t>
      </w:r>
      <w:r w:rsidR="00CB319B">
        <w:t>TELMEX/TELNOR</w:t>
      </w:r>
      <w:r>
        <w:t xml:space="preserve"> </w:t>
      </w:r>
      <w:r w:rsidRPr="00D6663F">
        <w:t>(</w:t>
      </w:r>
      <m:oMath>
        <m:sSub>
          <m:sSubPr>
            <m:ctrlPr>
              <w:rPr>
                <w:rFonts w:ascii="Cambria Math" w:hAnsi="Cambria Math"/>
                <w:b/>
              </w:rPr>
            </m:ctrlPr>
          </m:sSubPr>
          <m:e>
            <m:r>
              <m:rPr>
                <m:nor/>
              </m:rPr>
              <w:rPr>
                <w:b/>
              </w:rPr>
              <m:t>P</m:t>
            </m:r>
          </m:e>
          <m:sub>
            <m:r>
              <m:rPr>
                <m:nor/>
              </m:rPr>
              <w:rPr>
                <w:b/>
              </w:rPr>
              <m:t xml:space="preserve">minorista </m:t>
            </m:r>
          </m:sub>
        </m:sSub>
      </m:oMath>
      <w:r w:rsidRPr="00D6663F">
        <w:t>),</w:t>
      </w:r>
      <w:r w:rsidR="00F13F37">
        <w:t xml:space="preserve"> de acuerdo</w:t>
      </w:r>
      <w:r w:rsidR="009A1A29">
        <w:t xml:space="preserve"> con</w:t>
      </w:r>
      <w:r w:rsidR="00F13F37">
        <w:t xml:space="preserve"> el producto en el que ofrece</w:t>
      </w:r>
      <w:r w:rsidR="00F20137">
        <w:t>n</w:t>
      </w:r>
      <w:r w:rsidR="00F13F37">
        <w:t xml:space="preserve"> I)</w:t>
      </w:r>
      <w:r w:rsidRPr="00D6663F">
        <w:t xml:space="preserve"> la renta de la línea</w:t>
      </w:r>
      <w:r w:rsidR="00F13F37">
        <w:t xml:space="preserve">, o bien si II) este es relativo a un </w:t>
      </w:r>
      <w:r w:rsidRPr="00D6663F">
        <w:t xml:space="preserve">servicio de voz. Para ello se estima el precio implícito de dichos servicios, a partir del factor de representación del precio implícito de la renta de línea </w:t>
      </w:r>
      <m:oMath>
        <m:r>
          <w:rPr>
            <w:rFonts w:ascii="Cambria Math" w:hAnsi="Cambria Math"/>
          </w:rPr>
          <m:t>(</m:t>
        </m:r>
        <m:r>
          <m:rPr>
            <m:nor/>
          </m:rPr>
          <w:rPr>
            <w:b/>
          </w:rPr>
          <m:t xml:space="preserve">% </m:t>
        </m:r>
        <m:sSub>
          <m:sSubPr>
            <m:ctrlPr>
              <w:rPr>
                <w:rFonts w:ascii="Cambria Math" w:hAnsi="Cambria Math"/>
                <w:b/>
                <w:i/>
              </w:rPr>
            </m:ctrlPr>
          </m:sSubPr>
          <m:e>
            <m:r>
              <m:rPr>
                <m:nor/>
              </m:rPr>
              <w:rPr>
                <w:rFonts w:ascii="Calibri" w:hAnsi="Calibri"/>
                <w:b/>
              </w:rPr>
              <m:t>β</m:t>
            </m:r>
          </m:e>
          <m:sub>
            <m:r>
              <m:rPr>
                <m:nor/>
              </m:rPr>
              <w:rPr>
                <w:b/>
              </w:rPr>
              <m:t>renta de línea</m:t>
            </m:r>
          </m:sub>
        </m:sSub>
        <m:r>
          <m:rPr>
            <m:nor/>
          </m:rPr>
          <m:t>)</m:t>
        </m:r>
      </m:oMath>
      <w:r w:rsidRPr="00D6663F">
        <w:t xml:space="preserve"> o servicios voz </w:t>
      </w:r>
      <m:oMath>
        <m:r>
          <w:rPr>
            <w:rFonts w:ascii="Cambria Math" w:hAnsi="Cambria Math"/>
          </w:rPr>
          <m:t>(</m:t>
        </m:r>
        <m:r>
          <m:rPr>
            <m:nor/>
          </m:rPr>
          <w:rPr>
            <w:b/>
          </w:rPr>
          <m:t xml:space="preserve">% </m:t>
        </m:r>
        <m:sSub>
          <m:sSubPr>
            <m:ctrlPr>
              <w:rPr>
                <w:rFonts w:ascii="Cambria Math" w:hAnsi="Cambria Math"/>
                <w:b/>
                <w:i/>
              </w:rPr>
            </m:ctrlPr>
          </m:sSubPr>
          <m:e>
            <m:r>
              <m:rPr>
                <m:nor/>
              </m:rPr>
              <w:rPr>
                <w:rFonts w:ascii="Calibri" w:hAnsi="Calibri"/>
                <w:b/>
              </w:rPr>
              <m:t>β</m:t>
            </m:r>
          </m:e>
          <m:sub>
            <m:r>
              <m:rPr>
                <m:nor/>
              </m:rPr>
              <w:rPr>
                <w:b/>
              </w:rPr>
              <m:t>servicios de voz</m:t>
            </m:r>
          </m:sub>
        </m:sSub>
        <m:r>
          <m:rPr>
            <m:nor/>
          </m:rPr>
          <m:t>)</m:t>
        </m:r>
      </m:oMath>
      <w:r w:rsidRPr="00D6663F">
        <w:t>, según corresponda, para posteriormente descontar los costos evitados asociados tales servicios, es decir, renta de línea (</w:t>
      </w:r>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renta de línea</m:t>
            </m:r>
          </m:sub>
        </m:sSub>
      </m:oMath>
      <w:r w:rsidRPr="00D6663F">
        <w:t>) o voz (</w:t>
      </w:r>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oMath>
      <w:r w:rsidRPr="00D6663F">
        <w:t xml:space="preserve">). Lo anterior se traduce en las expresiones, de acuerdo </w:t>
      </w:r>
      <w:r>
        <w:t>con</w:t>
      </w:r>
      <w:r w:rsidRPr="00D6663F">
        <w:t xml:space="preserve"> los casos antes </w:t>
      </w:r>
      <w:r w:rsidRPr="00337CB4">
        <w:t>descritos:</w:t>
      </w:r>
    </w:p>
    <w:p w14:paraId="13184487" w14:textId="77777777" w:rsidR="007444DC" w:rsidRPr="00337CB4" w:rsidRDefault="00E85AB8" w:rsidP="007444DC">
      <w:pPr>
        <w:pStyle w:val="IFTnormal"/>
        <w:numPr>
          <w:ilvl w:val="0"/>
          <w:numId w:val="21"/>
        </w:numPr>
        <w:spacing w:after="0"/>
        <w:jc w:val="center"/>
      </w:pPr>
      <m:oMath>
        <m:sSup>
          <m:sSupPr>
            <m:ctrlPr>
              <w:rPr>
                <w:rFonts w:ascii="Cambria Math" w:hAnsi="Cambria Math"/>
                <w:b/>
              </w:rPr>
            </m:ctrlPr>
          </m:sSupPr>
          <m:e>
            <m:r>
              <m:rPr>
                <m:nor/>
              </m:rPr>
              <w:rPr>
                <w:b/>
                <w:iCs/>
              </w:rPr>
              <m:t xml:space="preserve"> P</m:t>
            </m:r>
          </m:e>
          <m:sup>
            <m:r>
              <m:rPr>
                <m:nor/>
              </m:rPr>
              <w:rPr>
                <w:b/>
                <w:iCs/>
              </w:rPr>
              <m:t>r</m:t>
            </m:r>
          </m:sup>
        </m:sSup>
      </m:oMath>
      <w:r w:rsidR="007444DC" w:rsidRPr="00337CB4">
        <w:rPr>
          <w:b/>
        </w:rPr>
        <w:t xml:space="preserve"> = </w:t>
      </w:r>
      <m:oMath>
        <m:sSub>
          <m:sSubPr>
            <m:ctrlPr>
              <w:rPr>
                <w:rFonts w:ascii="Cambria Math" w:hAnsi="Cambria Math"/>
                <w:b/>
              </w:rPr>
            </m:ctrlPr>
          </m:sSubPr>
          <m:e>
            <m:r>
              <m:rPr>
                <m:nor/>
              </m:rPr>
              <w:rPr>
                <w:b/>
              </w:rPr>
              <m:t>P</m:t>
            </m:r>
          </m:e>
          <m:sub>
            <m:r>
              <m:rPr>
                <m:nor/>
              </m:rPr>
              <w:rPr>
                <w:b/>
              </w:rPr>
              <m:t>minorista implícito</m:t>
            </m:r>
          </m:sub>
        </m:sSub>
        <m:r>
          <m:rPr>
            <m:sty m:val="bi"/>
          </m:rPr>
          <w:rPr>
            <w:rFonts w:ascii="Cambria Math" w:hAnsi="Cambria Math"/>
          </w:rPr>
          <m:t xml:space="preserve"> ×(</m:t>
        </m:r>
        <m:r>
          <m:rPr>
            <m:nor/>
          </m:rPr>
          <w:rPr>
            <w:b/>
          </w:rPr>
          <m:t>1- %</m:t>
        </m:r>
        <m:sSub>
          <m:sSubPr>
            <m:ctrlPr>
              <w:rPr>
                <w:rFonts w:ascii="Cambria Math" w:hAnsi="Cambria Math"/>
                <w:b/>
                <w:i/>
              </w:rPr>
            </m:ctrlPr>
          </m:sSubPr>
          <m:e>
            <m:r>
              <m:rPr>
                <m:nor/>
              </m:rPr>
              <w:rPr>
                <w:rFonts w:ascii="Calibri" w:hAnsi="Calibri"/>
                <w:b/>
              </w:rPr>
              <m:t>β</m:t>
            </m:r>
          </m:e>
          <m:sub>
            <m:r>
              <m:rPr>
                <m:nor/>
              </m:rPr>
              <w:rPr>
                <w:b/>
              </w:rPr>
              <m:t>renta de línea</m:t>
            </m:r>
          </m:sub>
        </m:sSub>
        <m:r>
          <m:rPr>
            <m:sty m:val="b"/>
          </m:rPr>
          <w:rPr>
            <w:rFonts w:ascii="Cambria Math" w:hAnsi="Cambria Math"/>
            <w:color w:val="555555"/>
            <w:shd w:val="clear" w:color="auto" w:fill="FFFFFF"/>
          </w:rPr>
          <m:t xml:space="preserve">- </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renta de línea</m:t>
            </m:r>
          </m:sub>
        </m:sSub>
        <m:r>
          <m:rPr>
            <m:sty m:val="b"/>
          </m:rPr>
          <w:rPr>
            <w:rFonts w:ascii="Cambria Math" w:hAnsi="Cambria Math"/>
            <w:color w:val="555555"/>
            <w:shd w:val="clear" w:color="auto" w:fill="FFFFFF"/>
          </w:rPr>
          <m:t xml:space="preserve">) </m:t>
        </m:r>
      </m:oMath>
    </w:p>
    <w:p w14:paraId="2509A2D2" w14:textId="77777777" w:rsidR="007444DC" w:rsidRPr="00337CB4" w:rsidRDefault="00E85AB8" w:rsidP="007444DC">
      <w:pPr>
        <w:pStyle w:val="IFTnormal"/>
        <w:numPr>
          <w:ilvl w:val="0"/>
          <w:numId w:val="21"/>
        </w:numPr>
        <w:spacing w:after="0"/>
        <w:jc w:val="center"/>
      </w:pPr>
      <m:oMath>
        <m:sSup>
          <m:sSupPr>
            <m:ctrlPr>
              <w:rPr>
                <w:rFonts w:ascii="Cambria Math" w:hAnsi="Cambria Math"/>
                <w:b/>
              </w:rPr>
            </m:ctrlPr>
          </m:sSupPr>
          <m:e>
            <m:r>
              <m:rPr>
                <m:nor/>
              </m:rPr>
              <w:rPr>
                <w:b/>
                <w:iCs/>
              </w:rPr>
              <m:t xml:space="preserve"> P</m:t>
            </m:r>
          </m:e>
          <m:sup>
            <m:r>
              <m:rPr>
                <m:nor/>
              </m:rPr>
              <w:rPr>
                <w:b/>
                <w:iCs/>
              </w:rPr>
              <m:t>r</m:t>
            </m:r>
          </m:sup>
        </m:sSup>
      </m:oMath>
      <w:r w:rsidR="007444DC" w:rsidRPr="00337CB4">
        <w:rPr>
          <w:b/>
        </w:rPr>
        <w:t xml:space="preserve"> = </w:t>
      </w:r>
      <m:oMath>
        <m:sSub>
          <m:sSubPr>
            <m:ctrlPr>
              <w:rPr>
                <w:rFonts w:ascii="Cambria Math" w:hAnsi="Cambria Math"/>
                <w:b/>
              </w:rPr>
            </m:ctrlPr>
          </m:sSubPr>
          <m:e>
            <m:r>
              <m:rPr>
                <m:nor/>
              </m:rPr>
              <w:rPr>
                <w:b/>
              </w:rPr>
              <m:t>P</m:t>
            </m:r>
          </m:e>
          <m:sub>
            <m:r>
              <m:rPr>
                <m:nor/>
              </m:rPr>
              <w:rPr>
                <w:b/>
              </w:rPr>
              <m:t>minorista implícito</m:t>
            </m:r>
          </m:sub>
        </m:sSub>
        <m:r>
          <m:rPr>
            <m:sty m:val="bi"/>
          </m:rPr>
          <w:rPr>
            <w:rFonts w:ascii="Cambria Math" w:hAnsi="Cambria Math"/>
          </w:rPr>
          <m:t xml:space="preserve"> ×(</m:t>
        </m:r>
        <m:r>
          <m:rPr>
            <m:nor/>
          </m:rPr>
          <w:rPr>
            <w:b/>
          </w:rPr>
          <m:t>1- %</m:t>
        </m:r>
        <m:sSub>
          <m:sSubPr>
            <m:ctrlPr>
              <w:rPr>
                <w:rFonts w:ascii="Cambria Math" w:hAnsi="Cambria Math"/>
                <w:b/>
                <w:i/>
              </w:rPr>
            </m:ctrlPr>
          </m:sSubPr>
          <m:e>
            <m:r>
              <m:rPr>
                <m:nor/>
              </m:rPr>
              <w:rPr>
                <w:rFonts w:ascii="Calibri" w:hAnsi="Calibri"/>
                <w:b/>
              </w:rPr>
              <m:t>β</m:t>
            </m:r>
          </m:e>
          <m:sub>
            <m:r>
              <m:rPr>
                <m:nor/>
              </m:rPr>
              <w:rPr>
                <w:b/>
              </w:rPr>
              <m:t>servicios de voz</m:t>
            </m:r>
          </m:sub>
        </m:sSub>
        <m:r>
          <m:rPr>
            <m:sty m:val="b"/>
          </m:rPr>
          <w:rPr>
            <w:rFonts w:ascii="Cambria Math" w:hAnsi="Cambria Math"/>
            <w:color w:val="555555"/>
            <w:shd w:val="clear" w:color="auto" w:fill="FFFFFF"/>
          </w:rPr>
          <m:t xml:space="preserve">- </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r>
          <m:rPr>
            <m:sty m:val="b"/>
          </m:rPr>
          <w:rPr>
            <w:rFonts w:ascii="Cambria Math" w:hAnsi="Cambria Math"/>
            <w:color w:val="555555"/>
            <w:shd w:val="clear" w:color="auto" w:fill="FFFFFF"/>
          </w:rPr>
          <m:t xml:space="preserve">) </m:t>
        </m:r>
      </m:oMath>
    </w:p>
    <w:p w14:paraId="33E1E98E" w14:textId="718B2C7F" w:rsidR="00862BE1" w:rsidRDefault="00862BE1" w:rsidP="007444DC">
      <w:pPr>
        <w:jc w:val="both"/>
        <w:rPr>
          <w:rFonts w:ascii="ITC Avant Garde" w:hAnsi="ITC Avant Garde"/>
        </w:rPr>
      </w:pPr>
    </w:p>
    <w:p w14:paraId="0336FA4D" w14:textId="1661D739" w:rsidR="007444DC" w:rsidRPr="004676C5" w:rsidRDefault="007444DC" w:rsidP="004676C5">
      <w:pPr>
        <w:pStyle w:val="Ttulo3"/>
        <w:numPr>
          <w:ilvl w:val="2"/>
          <w:numId w:val="7"/>
        </w:numPr>
        <w:spacing w:after="240"/>
        <w:ind w:left="851" w:hanging="789"/>
        <w:rPr>
          <w:rStyle w:val="IFTnormalCar"/>
          <w:b/>
          <w:bCs w:val="0"/>
          <w:color w:val="auto"/>
        </w:rPr>
      </w:pPr>
      <w:bookmarkStart w:id="63" w:name="_Toc114513070"/>
      <w:bookmarkStart w:id="64" w:name="_Toc114513314"/>
      <w:r w:rsidRPr="004676C5">
        <w:rPr>
          <w:rStyle w:val="IFTnormalCar"/>
          <w:b/>
          <w:color w:val="auto"/>
        </w:rPr>
        <w:t>Esquema para el SRI</w:t>
      </w:r>
      <w:bookmarkEnd w:id="63"/>
      <w:bookmarkEnd w:id="64"/>
    </w:p>
    <w:p w14:paraId="1D6F5D94" w14:textId="17648E7A" w:rsidR="0092010C" w:rsidRPr="00D6663F" w:rsidRDefault="0092010C" w:rsidP="0092010C">
      <w:pPr>
        <w:pStyle w:val="IFTnormal"/>
      </w:pPr>
      <w:r w:rsidRPr="00D6663F">
        <w:t>A efecto de determinar el nivel tarifario del SRI (</w:t>
      </w:r>
      <m:oMath>
        <m:sSup>
          <m:sSupPr>
            <m:ctrlPr>
              <w:rPr>
                <w:rFonts w:ascii="Cambria Math" w:hAnsi="Cambria Math"/>
                <w:b/>
              </w:rPr>
            </m:ctrlPr>
          </m:sSupPr>
          <m:e>
            <m:r>
              <m:rPr>
                <m:nor/>
              </m:rPr>
              <w:rPr>
                <w:b/>
                <w:iCs/>
              </w:rPr>
              <m:t>P</m:t>
            </m:r>
          </m:e>
          <m:sup>
            <m:r>
              <m:rPr>
                <m:nor/>
              </m:rPr>
              <w:rPr>
                <w:b/>
                <w:iCs/>
              </w:rPr>
              <m:t>r</m:t>
            </m:r>
          </m:sup>
        </m:sSup>
        <m:r>
          <m:rPr>
            <m:sty m:val="bi"/>
          </m:rPr>
          <w:rPr>
            <w:rFonts w:ascii="Cambria Math" w:hAnsi="Cambria Math"/>
          </w:rPr>
          <m:t>)</m:t>
        </m:r>
      </m:oMath>
      <w:r w:rsidRPr="00D6663F">
        <w:rPr>
          <w:b/>
        </w:rPr>
        <w:t xml:space="preserve"> </w:t>
      </w:r>
      <w:r w:rsidRPr="00D6663F">
        <w:t>que sea asimétrico o simétrico, a través del modelo se determina de inicio</w:t>
      </w:r>
      <w:r w:rsidR="00E80881">
        <w:t xml:space="preserve"> el precio de referencia</w:t>
      </w:r>
      <w:r w:rsidRPr="00D6663F">
        <w:t xml:space="preserve"> a partir de la tarifa minorista de un plan o paquete de </w:t>
      </w:r>
      <w:r w:rsidR="0063470F">
        <w:t>TELMEX/TELNOR</w:t>
      </w:r>
      <w:r w:rsidRPr="00D6663F">
        <w:t xml:space="preserve"> (</w:t>
      </w:r>
      <m:oMath>
        <m:sSub>
          <m:sSubPr>
            <m:ctrlPr>
              <w:rPr>
                <w:rFonts w:ascii="Cambria Math" w:hAnsi="Cambria Math"/>
                <w:b/>
              </w:rPr>
            </m:ctrlPr>
          </m:sSubPr>
          <m:e>
            <m:r>
              <m:rPr>
                <m:nor/>
              </m:rPr>
              <w:rPr>
                <w:b/>
              </w:rPr>
              <m:t>P</m:t>
            </m:r>
          </m:e>
          <m:sub>
            <m:r>
              <m:rPr>
                <m:sty m:val="b"/>
              </m:rPr>
              <w:rPr>
                <w:rFonts w:ascii="Cambria Math" w:hAnsi="Cambria Math"/>
              </w:rPr>
              <m:t>implícito</m:t>
            </m:r>
          </m:sub>
        </m:sSub>
      </m:oMath>
      <w:r w:rsidRPr="00D6663F">
        <w:t xml:space="preserve">), de acuerdo </w:t>
      </w:r>
      <w:r w:rsidR="002E0068">
        <w:t>con</w:t>
      </w:r>
      <w:r w:rsidR="002E0068" w:rsidRPr="00D6663F">
        <w:t xml:space="preserve"> </w:t>
      </w:r>
      <w:r w:rsidRPr="00D6663F">
        <w:t>un producto en el que ofrece</w:t>
      </w:r>
      <w:r w:rsidR="00F20137">
        <w:t>n</w:t>
      </w:r>
      <w:r w:rsidRPr="00D6663F">
        <w:t xml:space="preserve"> </w:t>
      </w:r>
      <w:r w:rsidR="005D768E">
        <w:t xml:space="preserve">solamente </w:t>
      </w:r>
      <w:r w:rsidRPr="00D6663F">
        <w:t>Internet en modalidad individual</w:t>
      </w:r>
      <w:r w:rsidR="0041117B">
        <w:t xml:space="preserve">. En este </w:t>
      </w:r>
      <w:r w:rsidR="0041117B">
        <w:lastRenderedPageBreak/>
        <w:t xml:space="preserve">sentido </w:t>
      </w:r>
      <w:r w:rsidR="006B090F">
        <w:t xml:space="preserve">para </w:t>
      </w:r>
      <w:r w:rsidR="0041117B">
        <w:t xml:space="preserve">el precio implícito </w:t>
      </w:r>
      <w:r w:rsidR="001C4929">
        <w:t xml:space="preserve">de tal servicio se emplea el factor de representación del precio implícito </w:t>
      </w:r>
      <w:r w:rsidR="0041117B">
        <w:t xml:space="preserve">de Internet </w:t>
      </w:r>
      <m:oMath>
        <m:r>
          <w:rPr>
            <w:rFonts w:ascii="Cambria Math" w:hAnsi="Cambria Math"/>
          </w:rPr>
          <m:t>(</m:t>
        </m:r>
        <m:r>
          <m:rPr>
            <m:nor/>
          </m:rPr>
          <w:rPr>
            <w:b/>
          </w:rPr>
          <m:t xml:space="preserve">% </m:t>
        </m:r>
        <m:sSub>
          <m:sSubPr>
            <m:ctrlPr>
              <w:rPr>
                <w:rFonts w:ascii="Cambria Math" w:hAnsi="Cambria Math"/>
                <w:b/>
                <w:i/>
              </w:rPr>
            </m:ctrlPr>
          </m:sSubPr>
          <m:e>
            <m:r>
              <m:rPr>
                <m:nor/>
              </m:rPr>
              <w:rPr>
                <w:rFonts w:ascii="Calibri" w:hAnsi="Calibri"/>
                <w:b/>
              </w:rPr>
              <m:t>β</m:t>
            </m:r>
          </m:e>
          <m:sub>
            <m:r>
              <m:rPr>
                <m:nor/>
              </m:rPr>
              <w:rPr>
                <w:b/>
              </w:rPr>
              <m:t>Internet</m:t>
            </m:r>
          </m:sub>
        </m:sSub>
        <m:r>
          <m:rPr>
            <m:nor/>
          </m:rPr>
          <m:t>)</m:t>
        </m:r>
      </m:oMath>
      <w:r w:rsidR="0041117B" w:rsidRPr="00D6663F">
        <w:t xml:space="preserve"> </w:t>
      </w:r>
      <w:r w:rsidRPr="00D6663F">
        <w:t>para descontar los costos evitados del servicio de Internet (</w:t>
      </w:r>
      <m:oMath>
        <m:r>
          <m:rPr>
            <m:sty m:val="b"/>
          </m:rPr>
          <w:rPr>
            <w:rFonts w:ascii="Cambria Math" w:hAnsi="Cambria Math"/>
          </w:rPr>
          <m:t>%</m:t>
        </m:r>
        <m:sSub>
          <m:sSubPr>
            <m:ctrlPr>
              <w:rPr>
                <w:rFonts w:ascii="Cambria Math" w:hAnsi="Cambria Math"/>
                <w:b/>
              </w:rPr>
            </m:ctrlPr>
          </m:sSubPr>
          <m:e>
            <m:r>
              <m:rPr>
                <m:nor/>
              </m:rPr>
              <w:rPr>
                <w:b/>
              </w:rPr>
              <m:t>c</m:t>
            </m:r>
          </m:e>
          <m:sub>
            <m:r>
              <m:rPr>
                <m:nor/>
              </m:rPr>
              <w:rPr>
                <w:b/>
              </w:rPr>
              <m:t>Internet</m:t>
            </m:r>
          </m:sub>
        </m:sSub>
        <m:r>
          <m:rPr>
            <m:sty m:val="bi"/>
          </m:rPr>
          <w:rPr>
            <w:rFonts w:ascii="Cambria Math" w:hAnsi="Cambria Math"/>
          </w:rPr>
          <m:t>)</m:t>
        </m:r>
      </m:oMath>
      <w:r w:rsidRPr="00D6663F">
        <w:t>, lo que deriva en la siguiente expresión algebraica:</w:t>
      </w:r>
    </w:p>
    <w:p w14:paraId="34BE820A" w14:textId="03F7F9C1" w:rsidR="0092010C" w:rsidRPr="00337CB4" w:rsidRDefault="00E85AB8" w:rsidP="0092010C">
      <w:pPr>
        <w:pStyle w:val="IFTnormal"/>
        <w:numPr>
          <w:ilvl w:val="0"/>
          <w:numId w:val="21"/>
        </w:numPr>
        <w:spacing w:after="0"/>
        <w:jc w:val="center"/>
      </w:pPr>
      <m:oMath>
        <m:sSup>
          <m:sSupPr>
            <m:ctrlPr>
              <w:rPr>
                <w:rFonts w:ascii="Cambria Math" w:hAnsi="Cambria Math"/>
                <w:b/>
              </w:rPr>
            </m:ctrlPr>
          </m:sSupPr>
          <m:e>
            <m:r>
              <m:rPr>
                <m:nor/>
              </m:rPr>
              <w:rPr>
                <w:b/>
                <w:iCs/>
              </w:rPr>
              <m:t xml:space="preserve"> P</m:t>
            </m:r>
          </m:e>
          <m:sup>
            <m:r>
              <m:rPr>
                <m:nor/>
              </m:rPr>
              <w:rPr>
                <w:b/>
                <w:iCs/>
              </w:rPr>
              <m:t>r</m:t>
            </m:r>
          </m:sup>
        </m:sSup>
      </m:oMath>
      <w:r w:rsidR="0092010C" w:rsidRPr="00337CB4">
        <w:rPr>
          <w:b/>
        </w:rPr>
        <w:t xml:space="preserve"> = </w:t>
      </w:r>
      <m:oMath>
        <m:sSub>
          <m:sSubPr>
            <m:ctrlPr>
              <w:rPr>
                <w:rFonts w:ascii="Cambria Math" w:hAnsi="Cambria Math"/>
                <w:b/>
              </w:rPr>
            </m:ctrlPr>
          </m:sSubPr>
          <m:e>
            <m:r>
              <m:rPr>
                <m:nor/>
              </m:rPr>
              <w:rPr>
                <w:b/>
              </w:rPr>
              <m:t>P</m:t>
            </m:r>
          </m:e>
          <m:sub>
            <m:r>
              <m:rPr>
                <m:nor/>
              </m:rPr>
              <w:rPr>
                <w:b/>
              </w:rPr>
              <m:t>implícito</m:t>
            </m:r>
          </m:sub>
        </m:sSub>
        <m:r>
          <m:rPr>
            <m:sty m:val="bi"/>
          </m:rPr>
          <w:rPr>
            <w:rFonts w:ascii="Cambria Math" w:hAnsi="Cambria Math"/>
          </w:rPr>
          <m:t xml:space="preserve"> ×</m:t>
        </m:r>
        <m:d>
          <m:dPr>
            <m:ctrlPr>
              <w:rPr>
                <w:rFonts w:ascii="Cambria Math" w:hAnsi="Cambria Math"/>
                <w:b/>
                <w:i/>
              </w:rPr>
            </m:ctrlPr>
          </m:dPr>
          <m:e>
            <m:r>
              <m:rPr>
                <m:nor/>
              </m:rPr>
              <w:rPr>
                <w:b/>
              </w:rPr>
              <m:t>1</m:t>
            </m:r>
            <m:r>
              <m:rPr>
                <m:sty m:val="b"/>
              </m:rPr>
              <w:rPr>
                <w:rFonts w:ascii="Cambria Math" w:hAnsi="Cambria Math"/>
                <w:color w:val="555555"/>
                <w:shd w:val="clear" w:color="auto" w:fill="FFFFFF"/>
              </w:rPr>
              <m:t>-</m:t>
            </m:r>
            <m:r>
              <m:rPr>
                <m:nor/>
              </m:rPr>
              <w:rPr>
                <w:b/>
              </w:rPr>
              <m:t xml:space="preserve">% </m:t>
            </m:r>
            <m:sSub>
              <m:sSubPr>
                <m:ctrlPr>
                  <w:rPr>
                    <w:rFonts w:ascii="Cambria Math" w:hAnsi="Cambria Math"/>
                    <w:b/>
                    <w:i/>
                  </w:rPr>
                </m:ctrlPr>
              </m:sSubPr>
              <m:e>
                <m:r>
                  <m:rPr>
                    <m:nor/>
                  </m:rPr>
                  <w:rPr>
                    <w:rFonts w:ascii="Calibri" w:hAnsi="Calibri"/>
                    <w:b/>
                  </w:rPr>
                  <m:t>β</m:t>
                </m:r>
              </m:e>
              <m:sub>
                <m:r>
                  <m:rPr>
                    <m:nor/>
                  </m:rPr>
                  <w:rPr>
                    <w:b/>
                  </w:rPr>
                  <m:t>Internet</m:t>
                </m:r>
              </m:sub>
            </m:sSub>
            <m:r>
              <m:rPr>
                <m:sty m:val="b"/>
              </m:rPr>
              <w:rPr>
                <w:rFonts w:ascii="Cambria Math" w:hAnsi="Cambria Math"/>
              </w:rPr>
              <m:t>-%</m:t>
            </m:r>
            <m:sSub>
              <m:sSubPr>
                <m:ctrlPr>
                  <w:rPr>
                    <w:rFonts w:ascii="Cambria Math" w:hAnsi="Cambria Math"/>
                    <w:b/>
                  </w:rPr>
                </m:ctrlPr>
              </m:sSubPr>
              <m:e>
                <m:r>
                  <m:rPr>
                    <m:nor/>
                  </m:rPr>
                  <w:rPr>
                    <w:b/>
                  </w:rPr>
                  <m:t>c</m:t>
                </m:r>
              </m:e>
              <m:sub>
                <m:r>
                  <m:rPr>
                    <m:nor/>
                  </m:rPr>
                  <w:rPr>
                    <w:b/>
                  </w:rPr>
                  <m:t>Internet</m:t>
                </m:r>
              </m:sub>
            </m:sSub>
            <m:r>
              <m:rPr>
                <m:sty m:val="bi"/>
              </m:rPr>
              <w:rPr>
                <w:rFonts w:ascii="Cambria Math" w:hAnsi="Cambria Math"/>
              </w:rPr>
              <m:t xml:space="preserve"> </m:t>
            </m:r>
            <m:ctrlPr>
              <w:rPr>
                <w:rFonts w:ascii="Cambria Math" w:hAnsi="Cambria Math"/>
                <w:b/>
                <w:color w:val="555555"/>
                <w:shd w:val="clear" w:color="auto" w:fill="FFFFFF"/>
              </w:rPr>
            </m:ctrlPr>
          </m:e>
        </m:d>
        <m:r>
          <m:rPr>
            <m:sty m:val="b"/>
          </m:rPr>
          <w:rPr>
            <w:rFonts w:ascii="Cambria Math" w:hAnsi="Cambria Math"/>
            <w:color w:val="555555"/>
            <w:shd w:val="clear" w:color="auto" w:fill="FFFFFF"/>
          </w:rPr>
          <m:t xml:space="preserve"> </m:t>
        </m:r>
      </m:oMath>
    </w:p>
    <w:p w14:paraId="06252D24" w14:textId="798B7C4C" w:rsidR="00337CB4" w:rsidRPr="004676C5" w:rsidRDefault="00337CB4" w:rsidP="004676C5">
      <w:pPr>
        <w:pStyle w:val="Ttulo3"/>
        <w:numPr>
          <w:ilvl w:val="2"/>
          <w:numId w:val="7"/>
        </w:numPr>
        <w:spacing w:after="240"/>
        <w:ind w:left="851" w:hanging="789"/>
        <w:rPr>
          <w:rStyle w:val="IFTnormalCar"/>
          <w:b/>
          <w:color w:val="auto"/>
        </w:rPr>
      </w:pPr>
      <w:bookmarkStart w:id="65" w:name="_Toc114513071"/>
      <w:bookmarkStart w:id="66" w:name="_Toc114513315"/>
      <w:r w:rsidRPr="004676C5">
        <w:rPr>
          <w:rStyle w:val="IFTnormalCar"/>
          <w:b/>
          <w:color w:val="auto"/>
        </w:rPr>
        <w:t>Esquema para el SRP</w:t>
      </w:r>
      <w:bookmarkEnd w:id="65"/>
      <w:bookmarkEnd w:id="66"/>
    </w:p>
    <w:p w14:paraId="1C693E13" w14:textId="07BAAC53" w:rsidR="00337CB4" w:rsidRDefault="00337CB4" w:rsidP="00337CB4">
      <w:pPr>
        <w:pStyle w:val="IFTnormal"/>
      </w:pPr>
      <w:r w:rsidRPr="00D6663F">
        <w:t xml:space="preserve">Por otra parte, en el caso del SRP los precios implícitos a emplearse corresponden a los estimados por el modelo para planes o paquetes mediante los cuales </w:t>
      </w:r>
      <w:r w:rsidR="0063470F">
        <w:t>TELMEX/TELNOR</w:t>
      </w:r>
      <w:r w:rsidRPr="00D6663F">
        <w:t xml:space="preserve"> ofrecen simultáneamente telefonía e Internet, en consideración de lo cual la estimación correspondiente se realiza a través del esquema:</w:t>
      </w:r>
    </w:p>
    <w:p w14:paraId="0715597B" w14:textId="0E1024C2" w:rsidR="00337CB4" w:rsidRPr="00337CB4" w:rsidRDefault="00E85AB8" w:rsidP="00B439FE">
      <w:pPr>
        <w:pStyle w:val="IFTnormal"/>
        <w:spacing w:after="240"/>
        <w:jc w:val="center"/>
      </w:pPr>
      <m:oMath>
        <m:sSub>
          <m:sSubPr>
            <m:ctrlPr>
              <w:rPr>
                <w:rFonts w:ascii="Cambria Math" w:hAnsi="Cambria Math"/>
                <w:b/>
              </w:rPr>
            </m:ctrlPr>
          </m:sSubPr>
          <m:e>
            <m:r>
              <m:rPr>
                <m:nor/>
              </m:rPr>
              <w:rPr>
                <w:b/>
              </w:rPr>
              <m:t>P</m:t>
            </m:r>
          </m:e>
          <m:sub>
            <m:r>
              <m:rPr>
                <m:nor/>
              </m:rPr>
              <w:rPr>
                <w:b/>
              </w:rPr>
              <m:t>mayorista</m:t>
            </m:r>
          </m:sub>
        </m:sSub>
      </m:oMath>
      <w:r w:rsidR="00337CB4" w:rsidRPr="00337CB4">
        <w:rPr>
          <w:b/>
        </w:rPr>
        <w:t xml:space="preserve"> = </w:t>
      </w:r>
      <m:oMath>
        <m:sSub>
          <m:sSubPr>
            <m:ctrlPr>
              <w:rPr>
                <w:rFonts w:ascii="Cambria Math" w:hAnsi="Cambria Math"/>
                <w:b/>
              </w:rPr>
            </m:ctrlPr>
          </m:sSubPr>
          <m:e>
            <m:r>
              <m:rPr>
                <m:nor/>
              </m:rPr>
              <w:rPr>
                <w:b/>
              </w:rPr>
              <m:t>P</m:t>
            </m:r>
          </m:e>
          <m:sub>
            <m:r>
              <m:rPr>
                <m:nor/>
              </m:rPr>
              <w:rPr>
                <w:b/>
              </w:rPr>
              <m:t>implícito renta de línea</m:t>
            </m:r>
          </m:sub>
        </m:sSub>
        <m:r>
          <m:rPr>
            <m:sty m:val="bi"/>
          </m:rPr>
          <w:rPr>
            <w:rFonts w:ascii="Cambria Math" w:hAnsi="Cambria Math"/>
          </w:rPr>
          <m:t xml:space="preserve"> ×</m:t>
        </m:r>
        <m:d>
          <m:dPr>
            <m:ctrlPr>
              <w:rPr>
                <w:rFonts w:ascii="Cambria Math" w:hAnsi="Cambria Math"/>
                <w:b/>
                <w:i/>
              </w:rPr>
            </m:ctrlPr>
          </m:dPr>
          <m:e>
            <m:r>
              <m:rPr>
                <m:sty m:val="bi"/>
              </m:rPr>
              <w:rPr>
                <w:rFonts w:ascii="Cambria Math" w:hAnsi="Cambria Math"/>
              </w:rPr>
              <m:t>1</m:t>
            </m:r>
            <m:r>
              <m:rPr>
                <m:sty m:val="b"/>
              </m:rPr>
              <w:rPr>
                <w:rFonts w:ascii="Cambria Math" w:hAnsi="Cambria Math"/>
              </w:rPr>
              <m:t>- %</m:t>
            </m:r>
            <m:sSub>
              <m:sSubPr>
                <m:ctrlPr>
                  <w:rPr>
                    <w:rFonts w:ascii="Cambria Math" w:hAnsi="Cambria Math"/>
                    <w:b/>
                  </w:rPr>
                </m:ctrlPr>
              </m:sSubPr>
              <m:e>
                <m:r>
                  <m:rPr>
                    <m:nor/>
                  </m:rPr>
                  <w:rPr>
                    <w:b/>
                    <w:iCs/>
                  </w:rPr>
                  <m:t>c</m:t>
                </m:r>
              </m:e>
              <m:sub>
                <m:r>
                  <m:rPr>
                    <m:nor/>
                  </m:rPr>
                  <w:rPr>
                    <w:b/>
                  </w:rPr>
                  <m:t>renta de línea</m:t>
                </m:r>
              </m:sub>
            </m:sSub>
            <m:ctrlPr>
              <w:rPr>
                <w:rFonts w:ascii="Cambria Math" w:hAnsi="Cambria Math"/>
                <w:b/>
              </w:rPr>
            </m:ctrlPr>
          </m:e>
        </m:d>
        <m:r>
          <m:rPr>
            <m:sty m:val="b"/>
          </m:rPr>
          <w:rPr>
            <w:rFonts w:ascii="Cambria Math" w:hAnsi="Cambria Math"/>
            <w:color w:val="555555"/>
            <w:shd w:val="clear" w:color="auto" w:fill="FFFFFF"/>
          </w:rPr>
          <m:t xml:space="preserve">+ </m:t>
        </m:r>
        <m:sSub>
          <m:sSubPr>
            <m:ctrlPr>
              <w:rPr>
                <w:rFonts w:ascii="Cambria Math" w:hAnsi="Cambria Math"/>
                <w:b/>
              </w:rPr>
            </m:ctrlPr>
          </m:sSubPr>
          <m:e>
            <m:r>
              <m:rPr>
                <m:nor/>
              </m:rPr>
              <w:rPr>
                <w:b/>
              </w:rPr>
              <m:t>( P</m:t>
            </m:r>
          </m:e>
          <m:sub>
            <m:r>
              <m:rPr>
                <m:nor/>
              </m:rPr>
              <w:rPr>
                <w:b/>
              </w:rPr>
              <m:t>implícito servicios de voz</m:t>
            </m:r>
          </m:sub>
        </m:sSub>
        <m:r>
          <m:rPr>
            <m:sty m:val="bi"/>
          </m:rPr>
          <w:rPr>
            <w:rFonts w:ascii="Cambria Math" w:hAnsi="Cambria Math"/>
          </w:rPr>
          <m:t>+ )×</m:t>
        </m:r>
        <m:d>
          <m:dPr>
            <m:ctrlPr>
              <w:rPr>
                <w:rFonts w:ascii="Cambria Math" w:hAnsi="Cambria Math"/>
                <w:b/>
                <w:i/>
              </w:rPr>
            </m:ctrlPr>
          </m:dPr>
          <m:e>
            <m:r>
              <m:rPr>
                <m:sty m:val="bi"/>
              </m:rPr>
              <w:rPr>
                <w:rFonts w:ascii="Cambria Math" w:hAnsi="Cambria Math"/>
              </w:rPr>
              <m:t>1</m:t>
            </m:r>
            <m:r>
              <m:rPr>
                <m:sty m:val="b"/>
              </m:rPr>
              <w:rPr>
                <w:rFonts w:ascii="Cambria Math" w:hAnsi="Cambria Math"/>
              </w:rPr>
              <m:t>- %</m:t>
            </m:r>
            <m:sSub>
              <m:sSubPr>
                <m:ctrlPr>
                  <w:rPr>
                    <w:rFonts w:ascii="Cambria Math" w:hAnsi="Cambria Math"/>
                    <w:b/>
                  </w:rPr>
                </m:ctrlPr>
              </m:sSubPr>
              <m:e>
                <m:r>
                  <m:rPr>
                    <m:nor/>
                  </m:rPr>
                  <w:rPr>
                    <w:b/>
                    <w:iCs/>
                  </w:rPr>
                  <m:t>c</m:t>
                </m:r>
              </m:e>
              <m:sub>
                <m:r>
                  <m:rPr>
                    <m:nor/>
                  </m:rPr>
                  <w:rPr>
                    <w:b/>
                  </w:rPr>
                  <m:t>servicios de voz</m:t>
                </m:r>
              </m:sub>
            </m:sSub>
            <m:ctrlPr>
              <w:rPr>
                <w:rFonts w:ascii="Cambria Math" w:hAnsi="Cambria Math"/>
                <w:b/>
              </w:rPr>
            </m:ctrlPr>
          </m:e>
        </m:d>
        <m:r>
          <m:rPr>
            <m:sty m:val="bi"/>
          </m:rPr>
          <w:rPr>
            <w:rFonts w:ascii="Cambria Math" w:hAnsi="Cambria Math"/>
          </w:rPr>
          <m:t xml:space="preserve">+ </m:t>
        </m:r>
        <m:r>
          <m:rPr>
            <m:sty m:val="b"/>
          </m:rPr>
          <w:rPr>
            <w:rFonts w:ascii="Cambria Math" w:hAnsi="Cambria Math"/>
            <w:color w:val="555555"/>
            <w:shd w:val="clear" w:color="auto" w:fill="FFFFFF"/>
          </w:rPr>
          <m:t xml:space="preserve"> </m:t>
        </m:r>
        <m:sSub>
          <m:sSubPr>
            <m:ctrlPr>
              <w:rPr>
                <w:rFonts w:ascii="Cambria Math" w:hAnsi="Cambria Math"/>
                <w:b/>
              </w:rPr>
            </m:ctrlPr>
          </m:sSubPr>
          <m:e>
            <m:r>
              <m:rPr>
                <m:nor/>
              </m:rPr>
              <w:rPr>
                <w:b/>
              </w:rPr>
              <m:t>P</m:t>
            </m:r>
          </m:e>
          <m:sub>
            <m:r>
              <m:rPr>
                <m:nor/>
              </m:rPr>
              <w:rPr>
                <w:b/>
              </w:rPr>
              <m:t>implícito Internet</m:t>
            </m:r>
          </m:sub>
        </m:sSub>
        <m:r>
          <m:rPr>
            <m:sty m:val="bi"/>
          </m:rPr>
          <w:rPr>
            <w:rFonts w:ascii="Cambria Math" w:hAnsi="Cambria Math"/>
          </w:rPr>
          <m:t xml:space="preserve"> ×</m:t>
        </m:r>
        <m:d>
          <m:dPr>
            <m:ctrlPr>
              <w:rPr>
                <w:rFonts w:ascii="Cambria Math" w:hAnsi="Cambria Math"/>
                <w:b/>
              </w:rPr>
            </m:ctrlPr>
          </m:dPr>
          <m:e>
            <m:r>
              <m:rPr>
                <m:sty m:val="b"/>
              </m:rPr>
              <w:rPr>
                <w:rFonts w:ascii="Cambria Math" w:hAnsi="Cambria Math"/>
              </w:rPr>
              <m:t>1- %</m:t>
            </m:r>
            <m:sSub>
              <m:sSubPr>
                <m:ctrlPr>
                  <w:rPr>
                    <w:rFonts w:ascii="Cambria Math" w:hAnsi="Cambria Math"/>
                    <w:b/>
                  </w:rPr>
                </m:ctrlPr>
              </m:sSubPr>
              <m:e>
                <m:r>
                  <m:rPr>
                    <m:nor/>
                  </m:rPr>
                  <w:rPr>
                    <w:b/>
                  </w:rPr>
                  <m:t>c</m:t>
                </m:r>
              </m:e>
              <m:sub>
                <m:r>
                  <m:rPr>
                    <m:nor/>
                  </m:rPr>
                  <w:rPr>
                    <w:b/>
                  </w:rPr>
                  <m:t>Internet</m:t>
                </m:r>
              </m:sub>
            </m:sSub>
          </m:e>
        </m:d>
      </m:oMath>
    </w:p>
    <w:p w14:paraId="6F741995" w14:textId="7DC25879" w:rsidR="00337CB4" w:rsidRDefault="00A847B1" w:rsidP="00337CB4">
      <w:pPr>
        <w:pStyle w:val="IFTnormal"/>
      </w:pPr>
      <w:r>
        <w:t>D</w:t>
      </w:r>
      <w:r w:rsidR="00337CB4" w:rsidRPr="00337CB4">
        <w:t xml:space="preserve">onde los términos involucrados tienen el significado descrito en </w:t>
      </w:r>
      <w:r w:rsidR="005514E4">
        <w:t>el</w:t>
      </w:r>
      <w:r w:rsidR="005514E4" w:rsidRPr="00337CB4">
        <w:t xml:space="preserve"> </w:t>
      </w:r>
      <w:r w:rsidR="00337CB4" w:rsidRPr="00337CB4">
        <w:t xml:space="preserve">siguiente </w:t>
      </w:r>
      <w:r w:rsidR="005514E4">
        <w:t>cuadro</w:t>
      </w:r>
      <w:r w:rsidR="00337CB4" w:rsidRPr="00337CB4">
        <w:t>:</w:t>
      </w:r>
    </w:p>
    <w:tbl>
      <w:tblPr>
        <w:tblStyle w:val="Tablaconcuadrcula1clara"/>
        <w:tblW w:w="5000" w:type="pct"/>
        <w:jc w:val="center"/>
        <w:tblLook w:val="0420" w:firstRow="1" w:lastRow="0" w:firstColumn="0" w:lastColumn="0" w:noHBand="0" w:noVBand="1"/>
      </w:tblPr>
      <w:tblGrid>
        <w:gridCol w:w="2225"/>
        <w:gridCol w:w="6603"/>
      </w:tblGrid>
      <w:tr w:rsidR="00AE32C1" w:rsidRPr="00AE32C1" w14:paraId="76B90E9C" w14:textId="77777777" w:rsidTr="00A02ABE">
        <w:trPr>
          <w:cnfStyle w:val="100000000000" w:firstRow="1" w:lastRow="0" w:firstColumn="0" w:lastColumn="0" w:oddVBand="0" w:evenVBand="0" w:oddHBand="0" w:evenHBand="0" w:firstRowFirstColumn="0" w:firstRowLastColumn="0" w:lastRowFirstColumn="0" w:lastRowLastColumn="0"/>
          <w:trHeight w:val="278"/>
          <w:jc w:val="center"/>
        </w:trPr>
        <w:tc>
          <w:tcPr>
            <w:tcW w:w="1260" w:type="pct"/>
            <w:shd w:val="clear" w:color="auto" w:fill="E7E6E6" w:themeFill="background2"/>
          </w:tcPr>
          <w:p w14:paraId="02784B40" w14:textId="77777777" w:rsidR="00AE32C1" w:rsidRPr="00AE32C1" w:rsidRDefault="00AE32C1" w:rsidP="00A02ABE">
            <w:pPr>
              <w:pStyle w:val="Tableheading"/>
              <w:spacing w:before="0" w:after="0" w:line="276" w:lineRule="auto"/>
              <w:jc w:val="center"/>
              <w:rPr>
                <w:rFonts w:ascii="ITC Avant Garde" w:hAnsi="ITC Avant Garde" w:cs="Arial"/>
                <w:b/>
                <w:color w:val="000000" w:themeColor="text1"/>
                <w:sz w:val="20"/>
                <w:lang w:val="es-ES_tradnl"/>
              </w:rPr>
            </w:pPr>
            <w:r w:rsidRPr="00AE32C1">
              <w:rPr>
                <w:rFonts w:ascii="ITC Avant Garde" w:hAnsi="ITC Avant Garde" w:cs="Arial"/>
                <w:b/>
                <w:color w:val="000000"/>
                <w:sz w:val="20"/>
                <w:lang w:val="es-ES" w:eastAsia="es-ES"/>
              </w:rPr>
              <w:t>Concepto</w:t>
            </w:r>
          </w:p>
        </w:tc>
        <w:tc>
          <w:tcPr>
            <w:tcW w:w="3740" w:type="pct"/>
            <w:shd w:val="clear" w:color="auto" w:fill="E7E6E6" w:themeFill="background2"/>
          </w:tcPr>
          <w:p w14:paraId="5BEB8E25" w14:textId="77777777" w:rsidR="00AE32C1" w:rsidRPr="00AE32C1" w:rsidRDefault="00AE32C1" w:rsidP="00A02ABE">
            <w:pPr>
              <w:pStyle w:val="Tableheading"/>
              <w:spacing w:before="0" w:after="0" w:line="276" w:lineRule="auto"/>
              <w:jc w:val="center"/>
              <w:rPr>
                <w:rFonts w:ascii="ITC Avant Garde" w:hAnsi="ITC Avant Garde" w:cs="Arial"/>
                <w:b/>
                <w:color w:val="000000" w:themeColor="text1"/>
                <w:sz w:val="20"/>
                <w:lang w:val="es-ES_tradnl"/>
              </w:rPr>
            </w:pPr>
            <w:r w:rsidRPr="00AE32C1">
              <w:rPr>
                <w:rFonts w:ascii="ITC Avant Garde" w:hAnsi="ITC Avant Garde" w:cs="Arial"/>
                <w:b/>
                <w:color w:val="000000" w:themeColor="text1"/>
                <w:sz w:val="20"/>
                <w:lang w:val="es-ES_tradnl"/>
              </w:rPr>
              <w:t xml:space="preserve">Descripción </w:t>
            </w:r>
          </w:p>
        </w:tc>
      </w:tr>
      <w:tr w:rsidR="00AE32C1" w:rsidRPr="00AE32C1" w14:paraId="39CF14A0" w14:textId="77777777" w:rsidTr="00A02ABE">
        <w:trPr>
          <w:trHeight w:val="276"/>
          <w:jc w:val="center"/>
        </w:trPr>
        <w:tc>
          <w:tcPr>
            <w:tcW w:w="1260" w:type="pct"/>
            <w:vAlign w:val="center"/>
          </w:tcPr>
          <w:p w14:paraId="34728077" w14:textId="77777777" w:rsidR="00AE32C1" w:rsidRPr="00AE32C1" w:rsidRDefault="00E85AB8" w:rsidP="00A02ABE">
            <w:pPr>
              <w:pStyle w:val="IFTnormal"/>
              <w:spacing w:after="0"/>
              <w:jc w:val="center"/>
              <w:rPr>
                <w:b/>
                <w:sz w:val="20"/>
              </w:rPr>
            </w:pPr>
            <m:oMathPara>
              <m:oMath>
                <m:sSub>
                  <m:sSubPr>
                    <m:ctrlPr>
                      <w:rPr>
                        <w:rFonts w:ascii="Cambria Math" w:hAnsi="Cambria Math"/>
                        <w:b/>
                        <w:sz w:val="20"/>
                      </w:rPr>
                    </m:ctrlPr>
                  </m:sSubPr>
                  <m:e>
                    <m:r>
                      <m:rPr>
                        <m:nor/>
                      </m:rPr>
                      <w:rPr>
                        <w:b/>
                        <w:sz w:val="20"/>
                      </w:rPr>
                      <m:t>P</m:t>
                    </m:r>
                  </m:e>
                  <m:sub>
                    <m:r>
                      <m:rPr>
                        <m:nor/>
                      </m:rPr>
                      <w:rPr>
                        <w:b/>
                        <w:sz w:val="20"/>
                      </w:rPr>
                      <m:t>implícito renta de línea</m:t>
                    </m:r>
                  </m:sub>
                </m:sSub>
              </m:oMath>
            </m:oMathPara>
          </w:p>
        </w:tc>
        <w:tc>
          <w:tcPr>
            <w:tcW w:w="3740" w:type="pct"/>
            <w:vAlign w:val="center"/>
          </w:tcPr>
          <w:p w14:paraId="27B73092" w14:textId="77777777" w:rsidR="00AE32C1" w:rsidRPr="00AE32C1" w:rsidRDefault="00AE32C1" w:rsidP="00A02ABE">
            <w:pPr>
              <w:pStyle w:val="Tablecells"/>
              <w:spacing w:before="0" w:after="0" w:line="276" w:lineRule="auto"/>
              <w:jc w:val="both"/>
              <w:rPr>
                <w:rFonts w:ascii="ITC Avant Garde" w:hAnsi="ITC Avant Garde" w:cs="Arial"/>
                <w:sz w:val="20"/>
                <w:lang w:val="es-ES_tradnl"/>
              </w:rPr>
            </w:pPr>
            <w:r w:rsidRPr="00AE32C1">
              <w:rPr>
                <w:rFonts w:ascii="ITC Avant Garde" w:hAnsi="ITC Avant Garde" w:cs="Arial"/>
                <w:sz w:val="20"/>
                <w:lang w:val="es-ES_tradnl"/>
              </w:rPr>
              <w:t>Se refiere al precio implícito estimado por el modelo de la renta de la línea del plan o paquete en estudio.</w:t>
            </w:r>
          </w:p>
        </w:tc>
      </w:tr>
      <w:tr w:rsidR="00AE32C1" w:rsidRPr="00AE32C1" w14:paraId="60A2CDC5" w14:textId="77777777" w:rsidTr="00A02ABE">
        <w:trPr>
          <w:trHeight w:val="276"/>
          <w:jc w:val="center"/>
        </w:trPr>
        <w:tc>
          <w:tcPr>
            <w:tcW w:w="1260" w:type="pct"/>
            <w:shd w:val="clear" w:color="auto" w:fill="F2F2F2" w:themeFill="background1" w:themeFillShade="F2"/>
            <w:vAlign w:val="center"/>
          </w:tcPr>
          <w:p w14:paraId="585711D2" w14:textId="77777777" w:rsidR="00AE32C1" w:rsidRPr="00AE32C1" w:rsidRDefault="00AE32C1" w:rsidP="00A02ABE">
            <w:pPr>
              <w:pStyle w:val="IFTnormal"/>
              <w:spacing w:after="0"/>
              <w:jc w:val="center"/>
              <w:rPr>
                <w:b/>
                <w:sz w:val="20"/>
              </w:rPr>
            </w:pPr>
            <m:oMathPara>
              <m:oMath>
                <m:r>
                  <m:rPr>
                    <m:sty m:val="b"/>
                  </m:rPr>
                  <w:rPr>
                    <w:rFonts w:ascii="Cambria Math" w:hAnsi="Cambria Math"/>
                    <w:sz w:val="20"/>
                  </w:rPr>
                  <m:t>%</m:t>
                </m:r>
                <m:sSub>
                  <m:sSubPr>
                    <m:ctrlPr>
                      <w:rPr>
                        <w:rFonts w:ascii="Cambria Math" w:hAnsi="Cambria Math"/>
                        <w:b/>
                        <w:sz w:val="20"/>
                      </w:rPr>
                    </m:ctrlPr>
                  </m:sSubPr>
                  <m:e>
                    <m:r>
                      <m:rPr>
                        <m:nor/>
                      </m:rPr>
                      <w:rPr>
                        <w:b/>
                        <w:iCs/>
                        <w:sz w:val="20"/>
                      </w:rPr>
                      <m:t>c</m:t>
                    </m:r>
                  </m:e>
                  <m:sub>
                    <m:r>
                      <m:rPr>
                        <m:nor/>
                      </m:rPr>
                      <w:rPr>
                        <w:b/>
                        <w:sz w:val="20"/>
                      </w:rPr>
                      <m:t>renta de línea</m:t>
                    </m:r>
                  </m:sub>
                </m:sSub>
              </m:oMath>
            </m:oMathPara>
          </w:p>
        </w:tc>
        <w:tc>
          <w:tcPr>
            <w:tcW w:w="3740" w:type="pct"/>
            <w:shd w:val="clear" w:color="auto" w:fill="F2F2F2" w:themeFill="background1" w:themeFillShade="F2"/>
            <w:vAlign w:val="center"/>
          </w:tcPr>
          <w:p w14:paraId="1F537B02" w14:textId="77777777" w:rsidR="00AE32C1" w:rsidRPr="00AE32C1" w:rsidRDefault="00AE32C1" w:rsidP="00A02ABE">
            <w:pPr>
              <w:pStyle w:val="Tablecells"/>
              <w:spacing w:before="0" w:after="0" w:line="276" w:lineRule="auto"/>
              <w:jc w:val="both"/>
              <w:rPr>
                <w:rFonts w:ascii="ITC Avant Garde" w:hAnsi="ITC Avant Garde" w:cs="Arial"/>
                <w:sz w:val="20"/>
                <w:lang w:val="es-ES_tradnl"/>
              </w:rPr>
            </w:pPr>
            <w:r w:rsidRPr="00AE32C1">
              <w:rPr>
                <w:rFonts w:ascii="ITC Avant Garde" w:hAnsi="ITC Avant Garde" w:cs="Arial"/>
                <w:sz w:val="20"/>
                <w:lang w:val="es-ES_tradnl"/>
              </w:rPr>
              <w:t>Representa el porcentaje de costos evitados estimado respecto al servicio de renta de la línea.</w:t>
            </w:r>
          </w:p>
        </w:tc>
      </w:tr>
      <w:tr w:rsidR="00AE32C1" w:rsidRPr="00AE32C1" w14:paraId="6BB71A58" w14:textId="77777777" w:rsidTr="00A02ABE">
        <w:trPr>
          <w:trHeight w:val="276"/>
          <w:jc w:val="center"/>
        </w:trPr>
        <w:tc>
          <w:tcPr>
            <w:tcW w:w="1260" w:type="pct"/>
            <w:vAlign w:val="center"/>
          </w:tcPr>
          <w:p w14:paraId="60BCFACC" w14:textId="77777777" w:rsidR="00AE32C1" w:rsidRPr="00AE32C1" w:rsidRDefault="00E85AB8" w:rsidP="00A02ABE">
            <w:pPr>
              <w:pStyle w:val="IFTnormal"/>
              <w:spacing w:after="0"/>
              <w:rPr>
                <w:b/>
                <w:sz w:val="20"/>
              </w:rPr>
            </w:pPr>
            <m:oMathPara>
              <m:oMath>
                <m:sSub>
                  <m:sSubPr>
                    <m:ctrlPr>
                      <w:rPr>
                        <w:rFonts w:ascii="Cambria Math" w:hAnsi="Cambria Math"/>
                        <w:b/>
                        <w:sz w:val="20"/>
                      </w:rPr>
                    </m:ctrlPr>
                  </m:sSubPr>
                  <m:e>
                    <m:r>
                      <m:rPr>
                        <m:nor/>
                      </m:rPr>
                      <w:rPr>
                        <w:b/>
                        <w:sz w:val="20"/>
                      </w:rPr>
                      <m:t>P</m:t>
                    </m:r>
                  </m:e>
                  <m:sub>
                    <m:r>
                      <m:rPr>
                        <m:nor/>
                      </m:rPr>
                      <w:rPr>
                        <w:b/>
                        <w:sz w:val="20"/>
                      </w:rPr>
                      <m:t>implícito servicios de voz</m:t>
                    </m:r>
                  </m:sub>
                </m:sSub>
              </m:oMath>
            </m:oMathPara>
          </w:p>
        </w:tc>
        <w:tc>
          <w:tcPr>
            <w:tcW w:w="3740" w:type="pct"/>
            <w:vAlign w:val="center"/>
          </w:tcPr>
          <w:p w14:paraId="4CEE4418" w14:textId="77777777" w:rsidR="00AE32C1" w:rsidRPr="00AE32C1" w:rsidRDefault="00AE32C1" w:rsidP="00A02ABE">
            <w:pPr>
              <w:pStyle w:val="Tablecells"/>
              <w:spacing w:before="0" w:after="0" w:line="276" w:lineRule="auto"/>
              <w:jc w:val="both"/>
              <w:rPr>
                <w:rFonts w:ascii="ITC Avant Garde" w:hAnsi="ITC Avant Garde" w:cs="Arial"/>
                <w:sz w:val="20"/>
                <w:lang w:val="es-ES_tradnl"/>
              </w:rPr>
            </w:pPr>
            <w:r w:rsidRPr="00AE32C1">
              <w:rPr>
                <w:rFonts w:ascii="ITC Avant Garde" w:hAnsi="ITC Avant Garde" w:cs="Arial"/>
                <w:sz w:val="20"/>
                <w:lang w:val="es-ES_tradnl"/>
              </w:rPr>
              <w:t>Se refiere al precio implícito estimado para los servicios de voz asociados al plan o paquete en estudio</w:t>
            </w:r>
          </w:p>
        </w:tc>
      </w:tr>
      <w:tr w:rsidR="00AE32C1" w:rsidRPr="00AE32C1" w14:paraId="69298336" w14:textId="77777777" w:rsidTr="00A02ABE">
        <w:trPr>
          <w:trHeight w:val="276"/>
          <w:jc w:val="center"/>
        </w:trPr>
        <w:tc>
          <w:tcPr>
            <w:tcW w:w="1260" w:type="pct"/>
            <w:shd w:val="clear" w:color="auto" w:fill="F2F2F2" w:themeFill="background1" w:themeFillShade="F2"/>
            <w:vAlign w:val="center"/>
          </w:tcPr>
          <w:p w14:paraId="6A7A82B3" w14:textId="77777777" w:rsidR="00AE32C1" w:rsidRPr="00AE32C1" w:rsidRDefault="00AE32C1" w:rsidP="00A02ABE">
            <w:pPr>
              <w:pStyle w:val="IFTnormal"/>
              <w:spacing w:after="0"/>
              <w:rPr>
                <w:b/>
                <w:sz w:val="20"/>
              </w:rPr>
            </w:pPr>
            <m:oMathPara>
              <m:oMath>
                <m:r>
                  <m:rPr>
                    <m:sty m:val="b"/>
                  </m:rPr>
                  <w:rPr>
                    <w:rFonts w:ascii="Cambria Math" w:hAnsi="Cambria Math"/>
                    <w:sz w:val="20"/>
                  </w:rPr>
                  <m:t>%</m:t>
                </m:r>
                <m:sSub>
                  <m:sSubPr>
                    <m:ctrlPr>
                      <w:rPr>
                        <w:rFonts w:ascii="Cambria Math" w:hAnsi="Cambria Math"/>
                        <w:b/>
                        <w:sz w:val="20"/>
                      </w:rPr>
                    </m:ctrlPr>
                  </m:sSubPr>
                  <m:e>
                    <m:r>
                      <m:rPr>
                        <m:nor/>
                      </m:rPr>
                      <w:rPr>
                        <w:b/>
                        <w:iCs/>
                        <w:sz w:val="20"/>
                      </w:rPr>
                      <m:t>c</m:t>
                    </m:r>
                  </m:e>
                  <m:sub>
                    <m:r>
                      <m:rPr>
                        <m:nor/>
                      </m:rPr>
                      <w:rPr>
                        <w:b/>
                        <w:sz w:val="20"/>
                      </w:rPr>
                      <m:t>servicios de voz</m:t>
                    </m:r>
                  </m:sub>
                </m:sSub>
              </m:oMath>
            </m:oMathPara>
          </w:p>
        </w:tc>
        <w:tc>
          <w:tcPr>
            <w:tcW w:w="3740" w:type="pct"/>
            <w:shd w:val="clear" w:color="auto" w:fill="F2F2F2" w:themeFill="background1" w:themeFillShade="F2"/>
            <w:vAlign w:val="center"/>
          </w:tcPr>
          <w:p w14:paraId="78F4FA0B" w14:textId="77777777" w:rsidR="00AE32C1" w:rsidRPr="00AE32C1" w:rsidRDefault="00AE32C1" w:rsidP="00A02ABE">
            <w:pPr>
              <w:pStyle w:val="Tablecells"/>
              <w:spacing w:before="0" w:after="0" w:line="276" w:lineRule="auto"/>
              <w:jc w:val="both"/>
              <w:rPr>
                <w:rFonts w:ascii="ITC Avant Garde" w:hAnsi="ITC Avant Garde" w:cs="Arial"/>
                <w:sz w:val="20"/>
                <w:lang w:val="es-ES_tradnl"/>
              </w:rPr>
            </w:pPr>
            <w:r w:rsidRPr="00AE32C1">
              <w:rPr>
                <w:rFonts w:ascii="ITC Avant Garde" w:hAnsi="ITC Avant Garde" w:cs="Arial"/>
                <w:sz w:val="20"/>
                <w:lang w:val="es-ES_tradnl"/>
              </w:rPr>
              <w:t>Representa el porcentaje de costos evitados estimado respecto a los servicios de voz.</w:t>
            </w:r>
          </w:p>
        </w:tc>
      </w:tr>
      <w:tr w:rsidR="00AE32C1" w:rsidRPr="00AE32C1" w14:paraId="014C4E57" w14:textId="77777777" w:rsidTr="00A02ABE">
        <w:trPr>
          <w:trHeight w:val="276"/>
          <w:jc w:val="center"/>
        </w:trPr>
        <w:tc>
          <w:tcPr>
            <w:tcW w:w="1260" w:type="pct"/>
            <w:vAlign w:val="center"/>
          </w:tcPr>
          <w:p w14:paraId="789B9B56" w14:textId="77777777" w:rsidR="00AE32C1" w:rsidRPr="00AE32C1" w:rsidRDefault="00E85AB8" w:rsidP="00A02ABE">
            <w:pPr>
              <w:pStyle w:val="IFTnormal"/>
              <w:spacing w:after="0"/>
              <w:rPr>
                <w:b/>
                <w:sz w:val="20"/>
              </w:rPr>
            </w:pPr>
            <m:oMathPara>
              <m:oMath>
                <m:sSub>
                  <m:sSubPr>
                    <m:ctrlPr>
                      <w:rPr>
                        <w:rFonts w:ascii="Cambria Math" w:hAnsi="Cambria Math"/>
                        <w:b/>
                        <w:sz w:val="20"/>
                      </w:rPr>
                    </m:ctrlPr>
                  </m:sSubPr>
                  <m:e>
                    <m:r>
                      <m:rPr>
                        <m:nor/>
                      </m:rPr>
                      <w:rPr>
                        <w:b/>
                        <w:sz w:val="20"/>
                      </w:rPr>
                      <m:t>P</m:t>
                    </m:r>
                  </m:e>
                  <m:sub>
                    <m:r>
                      <m:rPr>
                        <m:nor/>
                      </m:rPr>
                      <w:rPr>
                        <w:b/>
                        <w:sz w:val="20"/>
                      </w:rPr>
                      <m:t>implícito Internet</m:t>
                    </m:r>
                  </m:sub>
                </m:sSub>
              </m:oMath>
            </m:oMathPara>
          </w:p>
        </w:tc>
        <w:tc>
          <w:tcPr>
            <w:tcW w:w="3740" w:type="pct"/>
            <w:vAlign w:val="center"/>
          </w:tcPr>
          <w:p w14:paraId="04A32197" w14:textId="77777777" w:rsidR="00AE32C1" w:rsidRPr="00AE32C1" w:rsidRDefault="00AE32C1" w:rsidP="00A02ABE">
            <w:pPr>
              <w:pStyle w:val="Tablecells"/>
              <w:spacing w:before="0" w:after="0" w:line="276" w:lineRule="auto"/>
              <w:jc w:val="both"/>
              <w:rPr>
                <w:rFonts w:ascii="ITC Avant Garde" w:hAnsi="ITC Avant Garde" w:cs="Arial"/>
                <w:sz w:val="20"/>
                <w:lang w:val="es-ES_tradnl"/>
              </w:rPr>
            </w:pPr>
            <w:r w:rsidRPr="00AE32C1">
              <w:rPr>
                <w:rFonts w:ascii="ITC Avant Garde" w:hAnsi="ITC Avant Garde" w:cs="Arial"/>
                <w:sz w:val="20"/>
                <w:lang w:val="es-ES_tradnl"/>
              </w:rPr>
              <w:t>Corresponde al precio implícito estimado para el servicio de Internet, respecto al plan o paquete en estudio</w:t>
            </w:r>
          </w:p>
        </w:tc>
      </w:tr>
      <w:tr w:rsidR="00AE32C1" w:rsidRPr="00AE32C1" w14:paraId="7D57BD9C" w14:textId="77777777" w:rsidTr="00A02ABE">
        <w:trPr>
          <w:trHeight w:val="268"/>
          <w:jc w:val="center"/>
        </w:trPr>
        <w:tc>
          <w:tcPr>
            <w:tcW w:w="1260" w:type="pct"/>
            <w:shd w:val="clear" w:color="auto" w:fill="F2F2F2" w:themeFill="background1" w:themeFillShade="F2"/>
            <w:vAlign w:val="center"/>
          </w:tcPr>
          <w:p w14:paraId="676600B9" w14:textId="77777777" w:rsidR="00AE32C1" w:rsidRPr="00AE32C1" w:rsidRDefault="00AE32C1" w:rsidP="00A02ABE">
            <w:pPr>
              <w:pStyle w:val="IFTnormal"/>
              <w:spacing w:after="0"/>
              <w:rPr>
                <w:b/>
                <w:sz w:val="20"/>
              </w:rPr>
            </w:pPr>
            <m:oMathPara>
              <m:oMath>
                <m:r>
                  <m:rPr>
                    <m:sty m:val="b"/>
                  </m:rPr>
                  <w:rPr>
                    <w:rFonts w:ascii="Cambria Math" w:hAnsi="Cambria Math"/>
                    <w:sz w:val="20"/>
                  </w:rPr>
                  <m:t>%</m:t>
                </m:r>
                <m:sSub>
                  <m:sSubPr>
                    <m:ctrlPr>
                      <w:rPr>
                        <w:rFonts w:ascii="Cambria Math" w:hAnsi="Cambria Math"/>
                        <w:b/>
                        <w:sz w:val="20"/>
                      </w:rPr>
                    </m:ctrlPr>
                  </m:sSubPr>
                  <m:e>
                    <m:r>
                      <m:rPr>
                        <m:nor/>
                      </m:rPr>
                      <w:rPr>
                        <w:b/>
                        <w:iCs/>
                        <w:sz w:val="20"/>
                      </w:rPr>
                      <m:t>c</m:t>
                    </m:r>
                  </m:e>
                  <m:sub>
                    <m:r>
                      <m:rPr>
                        <m:nor/>
                      </m:rPr>
                      <w:rPr>
                        <w:b/>
                        <w:sz w:val="20"/>
                      </w:rPr>
                      <m:t>banda ancha</m:t>
                    </m:r>
                  </m:sub>
                </m:sSub>
              </m:oMath>
            </m:oMathPara>
          </w:p>
        </w:tc>
        <w:tc>
          <w:tcPr>
            <w:tcW w:w="3740" w:type="pct"/>
            <w:shd w:val="clear" w:color="auto" w:fill="F2F2F2" w:themeFill="background1" w:themeFillShade="F2"/>
            <w:vAlign w:val="center"/>
          </w:tcPr>
          <w:p w14:paraId="4F369DFC" w14:textId="77777777" w:rsidR="00AE32C1" w:rsidRPr="00AE32C1" w:rsidRDefault="00AE32C1" w:rsidP="00A02ABE">
            <w:pPr>
              <w:pStyle w:val="Tablecells"/>
              <w:spacing w:before="0" w:after="0" w:line="276" w:lineRule="auto"/>
              <w:jc w:val="both"/>
              <w:rPr>
                <w:rFonts w:ascii="ITC Avant Garde" w:hAnsi="ITC Avant Garde" w:cs="Arial"/>
                <w:sz w:val="20"/>
                <w:lang w:val="es-ES_tradnl"/>
              </w:rPr>
            </w:pPr>
            <w:r w:rsidRPr="00AE32C1">
              <w:rPr>
                <w:rFonts w:ascii="ITC Avant Garde" w:hAnsi="ITC Avant Garde" w:cs="Arial"/>
                <w:sz w:val="20"/>
                <w:lang w:val="es-ES_tradnl"/>
              </w:rPr>
              <w:t>Representa el porcentaje de costos evitados, relativo a los servicios de Internet.</w:t>
            </w:r>
          </w:p>
        </w:tc>
      </w:tr>
    </w:tbl>
    <w:p w14:paraId="5861E07D" w14:textId="25E132D8" w:rsidR="00AE32C1" w:rsidRDefault="00AE32C1" w:rsidP="004676C5">
      <w:pPr>
        <w:pStyle w:val="IFTnormal"/>
        <w:numPr>
          <w:ilvl w:val="0"/>
          <w:numId w:val="59"/>
        </w:numPr>
        <w:jc w:val="center"/>
      </w:pPr>
    </w:p>
    <w:p w14:paraId="4B683C65" w14:textId="504DD894" w:rsidR="00AE32C1" w:rsidRDefault="00AE32C1" w:rsidP="00337CB4">
      <w:pPr>
        <w:pStyle w:val="IFTnormal"/>
      </w:pPr>
      <w:r w:rsidRPr="00AE32C1">
        <w:t xml:space="preserve">En lo referente a los nuevos planes o paquetes mediante los cuales se ofrecen conjuntamente servicios de telefonía e </w:t>
      </w:r>
      <w:r w:rsidR="000B603B">
        <w:t>I</w:t>
      </w:r>
      <w:r w:rsidRPr="00AE32C1">
        <w:t xml:space="preserve">nternet, en el modelo se estima un porcentaje de descuento aplicable al precio minorista, como el promedio ponderado (por la distribución de usuarios de los paquetes de </w:t>
      </w:r>
      <w:r w:rsidR="0063470F">
        <w:t>TELMEX/TELNOR</w:t>
      </w:r>
      <w:r w:rsidRPr="00AE32C1">
        <w:t xml:space="preserve">) del nivel de descuento total que se obtiene al comparar el precio mayorista y minorista de los planes y paquetes existentes en la oferta minorista de </w:t>
      </w:r>
      <w:r w:rsidR="0063470F">
        <w:t>TELMEX/TELNOR</w:t>
      </w:r>
      <w:r w:rsidRPr="00AE32C1">
        <w:t>, que se consideran directamente en dicha herramienta.</w:t>
      </w:r>
    </w:p>
    <w:p w14:paraId="428A7608" w14:textId="0EDBD8A7" w:rsidR="007444DC" w:rsidRPr="004676C5" w:rsidRDefault="00AE32C1" w:rsidP="004676C5">
      <w:pPr>
        <w:pStyle w:val="Ttulo3"/>
        <w:numPr>
          <w:ilvl w:val="2"/>
          <w:numId w:val="7"/>
        </w:numPr>
        <w:spacing w:after="240"/>
        <w:ind w:left="851" w:hanging="789"/>
        <w:rPr>
          <w:rStyle w:val="IFTnormalCar"/>
          <w:b/>
          <w:color w:val="auto"/>
        </w:rPr>
      </w:pPr>
      <w:bookmarkStart w:id="67" w:name="_Toc114513072"/>
      <w:bookmarkStart w:id="68" w:name="_Toc114513316"/>
      <w:r w:rsidRPr="004676C5">
        <w:rPr>
          <w:rStyle w:val="IFTnormalCar"/>
          <w:b/>
          <w:color w:val="auto"/>
        </w:rPr>
        <w:lastRenderedPageBreak/>
        <w:t>Esquema aplicable al SRMLT</w:t>
      </w:r>
      <w:bookmarkEnd w:id="67"/>
      <w:bookmarkEnd w:id="68"/>
    </w:p>
    <w:p w14:paraId="23133657" w14:textId="36311E32" w:rsidR="00AE32C1" w:rsidRDefault="00B34E81" w:rsidP="00AE32C1">
      <w:pPr>
        <w:pStyle w:val="IFTnormal"/>
      </w:pPr>
      <w:r w:rsidRPr="00B34E81">
        <w:t>En el caso del SRLMT, en el modelo a efecto de determinar la tarifa correspondiente se utiliza el esquema:</w:t>
      </w:r>
    </w:p>
    <w:p w14:paraId="76F9C1C3" w14:textId="4301EE1F" w:rsidR="00B34E81" w:rsidRPr="000B603B" w:rsidRDefault="00E85AB8" w:rsidP="00B34E81">
      <w:pPr>
        <w:pStyle w:val="IFTnormal"/>
        <w:spacing w:after="240"/>
        <w:jc w:val="center"/>
      </w:pPr>
      <m:oMath>
        <m:sSub>
          <m:sSubPr>
            <m:ctrlPr>
              <w:rPr>
                <w:rFonts w:ascii="Cambria Math" w:hAnsi="Cambria Math"/>
                <w:b/>
              </w:rPr>
            </m:ctrlPr>
          </m:sSubPr>
          <m:e>
            <m:r>
              <m:rPr>
                <m:nor/>
              </m:rPr>
              <w:rPr>
                <w:b/>
              </w:rPr>
              <m:t>P</m:t>
            </m:r>
          </m:e>
          <m:sub>
            <m:r>
              <m:rPr>
                <m:nor/>
              </m:rPr>
              <w:rPr>
                <w:b/>
              </w:rPr>
              <m:t>mayorista</m:t>
            </m:r>
          </m:sub>
        </m:sSub>
      </m:oMath>
      <w:r w:rsidR="00B34E81" w:rsidRPr="000B603B">
        <w:rPr>
          <w:b/>
        </w:rPr>
        <w:t xml:space="preserve"> = </w:t>
      </w:r>
      <m:oMath>
        <m:sSub>
          <m:sSubPr>
            <m:ctrlPr>
              <w:rPr>
                <w:rFonts w:ascii="Cambria Math" w:hAnsi="Cambria Math"/>
                <w:b/>
              </w:rPr>
            </m:ctrlPr>
          </m:sSubPr>
          <m:e>
            <m:r>
              <m:rPr>
                <m:nor/>
              </m:rPr>
              <w:rPr>
                <w:b/>
              </w:rPr>
              <m:t>P</m:t>
            </m:r>
          </m:e>
          <m:sub>
            <m:r>
              <m:rPr>
                <m:nor/>
              </m:rPr>
              <w:rPr>
                <w:b/>
              </w:rPr>
              <m:t xml:space="preserve"> promedio del acceso </m:t>
            </m:r>
          </m:sub>
        </m:sSub>
        <m:r>
          <m:rPr>
            <m:sty m:val="bi"/>
          </m:rPr>
          <w:rPr>
            <w:rFonts w:ascii="Cambria Math" w:hAnsi="Cambria Math"/>
          </w:rPr>
          <m:t xml:space="preserve"> ×(1</m:t>
        </m:r>
        <m:r>
          <m:rPr>
            <m:nor/>
          </m:rPr>
          <w:rPr>
            <w:b/>
          </w:rPr>
          <m:t>-</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r>
          <m:rPr>
            <m:sty m:val="b"/>
          </m:rPr>
          <w:rPr>
            <w:rFonts w:ascii="Cambria Math" w:hAnsi="Cambria Math"/>
            <w:color w:val="555555"/>
            <w:shd w:val="clear" w:color="auto" w:fill="FFFFFF"/>
          </w:rPr>
          <m:t xml:space="preserve">) </m:t>
        </m:r>
      </m:oMath>
    </w:p>
    <w:p w14:paraId="2BBDC9BA" w14:textId="72E041C9" w:rsidR="00B34E81" w:rsidRDefault="000B603B" w:rsidP="00AE32C1">
      <w:pPr>
        <w:pStyle w:val="IFTnormal"/>
      </w:pPr>
      <w:r>
        <w:t>D</w:t>
      </w:r>
      <w:r w:rsidR="00B34E81" w:rsidRPr="00B34E81">
        <w:t>onde los términos involucrados denotan lo siguiente:</w:t>
      </w:r>
    </w:p>
    <w:tbl>
      <w:tblPr>
        <w:tblStyle w:val="Tablaconcuadrcula1clara"/>
        <w:tblW w:w="5000" w:type="pct"/>
        <w:jc w:val="center"/>
        <w:tblLook w:val="0420" w:firstRow="1" w:lastRow="0" w:firstColumn="0" w:lastColumn="0" w:noHBand="0" w:noVBand="1"/>
      </w:tblPr>
      <w:tblGrid>
        <w:gridCol w:w="2505"/>
        <w:gridCol w:w="6323"/>
      </w:tblGrid>
      <w:tr w:rsidR="008C4801" w:rsidRPr="008C4801" w14:paraId="5EF378EC" w14:textId="77777777" w:rsidTr="00A02ABE">
        <w:trPr>
          <w:cnfStyle w:val="100000000000" w:firstRow="1" w:lastRow="0" w:firstColumn="0" w:lastColumn="0" w:oddVBand="0" w:evenVBand="0" w:oddHBand="0" w:evenHBand="0" w:firstRowFirstColumn="0" w:firstRowLastColumn="0" w:lastRowFirstColumn="0" w:lastRowLastColumn="0"/>
          <w:trHeight w:val="278"/>
          <w:jc w:val="center"/>
        </w:trPr>
        <w:tc>
          <w:tcPr>
            <w:tcW w:w="1419" w:type="pct"/>
            <w:shd w:val="clear" w:color="auto" w:fill="E7E6E6" w:themeFill="background2"/>
          </w:tcPr>
          <w:p w14:paraId="53B60D78" w14:textId="77777777" w:rsidR="008C4801" w:rsidRPr="008C4801" w:rsidRDefault="008C4801" w:rsidP="00A02ABE">
            <w:pPr>
              <w:pStyle w:val="Tableheading"/>
              <w:spacing w:before="0" w:after="0" w:line="276" w:lineRule="auto"/>
              <w:jc w:val="center"/>
              <w:rPr>
                <w:rFonts w:ascii="ITC Avant Garde" w:hAnsi="ITC Avant Garde" w:cs="Arial"/>
                <w:b/>
                <w:color w:val="000000" w:themeColor="text1"/>
                <w:sz w:val="22"/>
                <w:lang w:val="es-ES_tradnl"/>
              </w:rPr>
            </w:pPr>
            <w:r w:rsidRPr="008C4801">
              <w:rPr>
                <w:rFonts w:ascii="ITC Avant Garde" w:hAnsi="ITC Avant Garde" w:cs="Arial"/>
                <w:b/>
                <w:color w:val="000000"/>
                <w:sz w:val="22"/>
                <w:lang w:val="es-ES" w:eastAsia="es-ES"/>
              </w:rPr>
              <w:t>Concepto</w:t>
            </w:r>
          </w:p>
        </w:tc>
        <w:tc>
          <w:tcPr>
            <w:tcW w:w="3581" w:type="pct"/>
            <w:shd w:val="clear" w:color="auto" w:fill="E7E6E6" w:themeFill="background2"/>
          </w:tcPr>
          <w:p w14:paraId="0A2F9854" w14:textId="77777777" w:rsidR="008C4801" w:rsidRPr="008C4801" w:rsidRDefault="008C4801" w:rsidP="00A02ABE">
            <w:pPr>
              <w:pStyle w:val="Tableheading"/>
              <w:spacing w:before="0" w:after="0" w:line="276" w:lineRule="auto"/>
              <w:jc w:val="center"/>
              <w:rPr>
                <w:rFonts w:ascii="ITC Avant Garde" w:hAnsi="ITC Avant Garde" w:cs="Arial"/>
                <w:b/>
                <w:color w:val="000000" w:themeColor="text1"/>
                <w:sz w:val="22"/>
                <w:lang w:val="es-ES_tradnl"/>
              </w:rPr>
            </w:pPr>
            <w:r w:rsidRPr="008C4801">
              <w:rPr>
                <w:rFonts w:ascii="ITC Avant Garde" w:hAnsi="ITC Avant Garde" w:cs="Arial"/>
                <w:b/>
                <w:color w:val="000000" w:themeColor="text1"/>
                <w:sz w:val="22"/>
                <w:lang w:val="es-ES_tradnl"/>
              </w:rPr>
              <w:t>Descripción</w:t>
            </w:r>
          </w:p>
        </w:tc>
      </w:tr>
      <w:tr w:rsidR="008C4801" w:rsidRPr="008C4801" w14:paraId="6BC54D06" w14:textId="77777777" w:rsidTr="00A02ABE">
        <w:trPr>
          <w:trHeight w:val="276"/>
          <w:jc w:val="center"/>
        </w:trPr>
        <w:tc>
          <w:tcPr>
            <w:tcW w:w="1419" w:type="pct"/>
            <w:vAlign w:val="center"/>
          </w:tcPr>
          <w:p w14:paraId="3D72EE98" w14:textId="6671299D" w:rsidR="008C4801" w:rsidRPr="008C4801" w:rsidRDefault="00E85AB8" w:rsidP="00A02ABE">
            <w:pPr>
              <w:pStyle w:val="IFTnormal"/>
              <w:spacing w:after="0"/>
              <w:jc w:val="center"/>
              <w:rPr>
                <w:b/>
              </w:rPr>
            </w:pPr>
            <m:oMathPara>
              <m:oMath>
                <m:sSub>
                  <m:sSubPr>
                    <m:ctrlPr>
                      <w:rPr>
                        <w:rFonts w:ascii="Cambria Math" w:hAnsi="Cambria Math"/>
                        <w:b/>
                      </w:rPr>
                    </m:ctrlPr>
                  </m:sSubPr>
                  <m:e>
                    <m:r>
                      <m:rPr>
                        <m:nor/>
                      </m:rPr>
                      <w:rPr>
                        <w:b/>
                      </w:rPr>
                      <m:t>P</m:t>
                    </m:r>
                  </m:e>
                  <m:sub>
                    <m:r>
                      <m:rPr>
                        <m:nor/>
                      </m:rPr>
                      <w:rPr>
                        <w:b/>
                      </w:rPr>
                      <m:t>promedio del acceso</m:t>
                    </m:r>
                  </m:sub>
                </m:sSub>
              </m:oMath>
            </m:oMathPara>
          </w:p>
        </w:tc>
        <w:tc>
          <w:tcPr>
            <w:tcW w:w="3581" w:type="pct"/>
            <w:vAlign w:val="center"/>
          </w:tcPr>
          <w:p w14:paraId="7D381688" w14:textId="5A3B8F6C" w:rsidR="008C4801" w:rsidRPr="008C4801" w:rsidRDefault="008C4801" w:rsidP="00A02ABE">
            <w:pPr>
              <w:pStyle w:val="Tablecells"/>
              <w:spacing w:before="0" w:after="0" w:line="276" w:lineRule="auto"/>
              <w:jc w:val="both"/>
              <w:rPr>
                <w:rFonts w:ascii="ITC Avant Garde" w:hAnsi="ITC Avant Garde" w:cs="Arial"/>
                <w:sz w:val="22"/>
                <w:lang w:val="es-ES_tradnl"/>
              </w:rPr>
            </w:pPr>
            <w:r w:rsidRPr="008C4801">
              <w:rPr>
                <w:rFonts w:ascii="ITC Avant Garde" w:hAnsi="ITC Avant Garde" w:cs="Arial"/>
                <w:sz w:val="22"/>
                <w:lang w:val="es-ES_tradnl"/>
              </w:rPr>
              <w:t>Se refiere al precio promedio estimado por el modelo para el acceso a la línea telefónica de uso residencial o no residencial, según corresponda (ver sección</w:t>
            </w:r>
            <w:r w:rsidR="009A3CD8">
              <w:rPr>
                <w:rFonts w:ascii="ITC Avant Garde" w:hAnsi="ITC Avant Garde" w:cs="Arial"/>
                <w:sz w:val="22"/>
                <w:lang w:val="es-ES_tradnl"/>
              </w:rPr>
              <w:t xml:space="preserve"> </w:t>
            </w:r>
            <w:hyperlink w:anchor="_Precio_de_referencia_1" w:history="1">
              <w:r w:rsidR="009A3CD8" w:rsidRPr="004676C5">
                <w:rPr>
                  <w:rStyle w:val="Hipervnculo"/>
                  <w:color w:val="auto"/>
                  <w:u w:val="none"/>
                  <w:lang w:val="es-MX"/>
                </w:rPr>
                <w:t>3.4</w:t>
              </w:r>
            </w:hyperlink>
            <w:r w:rsidRPr="008C4801">
              <w:rPr>
                <w:rFonts w:ascii="ITC Avant Garde" w:hAnsi="ITC Avant Garde" w:cs="Arial"/>
                <w:sz w:val="22"/>
                <w:lang w:val="es-ES_tradnl"/>
              </w:rPr>
              <w:t>).</w:t>
            </w:r>
          </w:p>
        </w:tc>
      </w:tr>
      <w:tr w:rsidR="008C4801" w:rsidRPr="008C4801" w14:paraId="7DA9911E" w14:textId="77777777" w:rsidTr="00A02ABE">
        <w:trPr>
          <w:trHeight w:val="276"/>
          <w:jc w:val="center"/>
        </w:trPr>
        <w:tc>
          <w:tcPr>
            <w:tcW w:w="1419" w:type="pct"/>
            <w:shd w:val="clear" w:color="auto" w:fill="F2F2F2" w:themeFill="background1" w:themeFillShade="F2"/>
            <w:vAlign w:val="center"/>
          </w:tcPr>
          <w:p w14:paraId="0B28D57F" w14:textId="77777777" w:rsidR="008C4801" w:rsidRPr="008C4801" w:rsidRDefault="008C4801" w:rsidP="00A02ABE">
            <w:pPr>
              <w:pStyle w:val="IFTnormal"/>
              <w:spacing w:after="0"/>
              <w:rPr>
                <w:b/>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oMath>
            </m:oMathPara>
          </w:p>
        </w:tc>
        <w:tc>
          <w:tcPr>
            <w:tcW w:w="3581" w:type="pct"/>
            <w:shd w:val="clear" w:color="auto" w:fill="F2F2F2" w:themeFill="background1" w:themeFillShade="F2"/>
            <w:vAlign w:val="center"/>
          </w:tcPr>
          <w:p w14:paraId="3893156C" w14:textId="77777777" w:rsidR="008C4801" w:rsidRPr="008C4801" w:rsidRDefault="008C4801" w:rsidP="00A02ABE">
            <w:pPr>
              <w:pStyle w:val="Tablecells"/>
              <w:spacing w:before="0" w:after="0" w:line="276" w:lineRule="auto"/>
              <w:jc w:val="both"/>
              <w:rPr>
                <w:rFonts w:ascii="ITC Avant Garde" w:hAnsi="ITC Avant Garde" w:cs="Arial"/>
                <w:sz w:val="22"/>
                <w:lang w:val="es-ES_tradnl"/>
              </w:rPr>
            </w:pPr>
            <w:r w:rsidRPr="008C4801">
              <w:rPr>
                <w:rFonts w:ascii="ITC Avant Garde" w:hAnsi="ITC Avant Garde" w:cs="Arial"/>
                <w:sz w:val="22"/>
                <w:lang w:val="es-ES_tradnl"/>
              </w:rPr>
              <w:t>Representa el porcentaje de costos evitados relativo a los servicios de voz</w:t>
            </w:r>
          </w:p>
        </w:tc>
      </w:tr>
    </w:tbl>
    <w:p w14:paraId="62BB84D6" w14:textId="418ACB2C" w:rsidR="00B34E81" w:rsidRDefault="00B34E81" w:rsidP="004676C5">
      <w:pPr>
        <w:pStyle w:val="IFTnormal"/>
        <w:numPr>
          <w:ilvl w:val="0"/>
          <w:numId w:val="59"/>
        </w:numPr>
        <w:jc w:val="center"/>
      </w:pPr>
    </w:p>
    <w:sectPr w:rsidR="00B34E81" w:rsidSect="00A02ABE">
      <w:footerReference w:type="default" r:id="rId34"/>
      <w:headerReference w:type="first" r:id="rId35"/>
      <w:pgSz w:w="12240" w:h="15840"/>
      <w:pgMar w:top="1417" w:right="1701"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F8256" w16cex:dateUtc="2022-09-17T04:16:00Z"/>
  <w16cex:commentExtensible w16cex:durableId="26D321DB" w16cex:dateUtc="2022-09-19T22:14:00Z"/>
  <w16cex:commentExtensible w16cex:durableId="26CF82BA" w16cex:dateUtc="2022-09-17T04:18:00Z"/>
  <w16cex:commentExtensible w16cex:durableId="26D32319" w16cex:dateUtc="2022-09-19T22:19:00Z"/>
  <w16cex:commentExtensible w16cex:durableId="26D094C3" w16cex:dateUtc="2022-09-17T23:47:00Z"/>
  <w16cex:commentExtensible w16cex:durableId="26D09492" w16cex:dateUtc="2022-09-17T23:46:00Z"/>
  <w16cex:commentExtensible w16cex:durableId="26D09535" w16cex:dateUtc="2022-09-17T23:49:00Z"/>
  <w16cex:commentExtensible w16cex:durableId="26D0964F" w16cex:dateUtc="2022-09-17T23:54:00Z"/>
  <w16cex:commentExtensible w16cex:durableId="26D2B255" w16cex:dateUtc="2022-09-19T14:18:00Z"/>
  <w16cex:commentExtensible w16cex:durableId="26D09666" w16cex:dateUtc="2022-09-17T23:54:00Z"/>
  <w16cex:commentExtensible w16cex:durableId="26D2BF4E" w16cex:dateUtc="2022-09-19T15:13:00Z"/>
  <w16cex:commentExtensible w16cex:durableId="26D096E5" w16cex:dateUtc="2022-09-17T23:56:00Z"/>
  <w16cex:commentExtensible w16cex:durableId="26D2BF76" w16cex:dateUtc="2022-09-19T15:14:00Z"/>
  <w16cex:commentExtensible w16cex:durableId="26D0974C" w16cex:dateUtc="2022-09-17T23:58:00Z"/>
  <w16cex:commentExtensible w16cex:durableId="26D2BFDC" w16cex:dateUtc="2022-09-19T15:15:00Z"/>
  <w16cex:commentExtensible w16cex:durableId="26D097D1" w16cex:dateUtc="2022-09-18T00:00:00Z"/>
  <w16cex:commentExtensible w16cex:durableId="26D0AFFD" w16cex:dateUtc="2022-09-18T01:43:00Z"/>
  <w16cex:commentExtensible w16cex:durableId="26D2DDCD" w16cex:dateUtc="2022-09-19T17:23:00Z"/>
  <w16cex:commentExtensible w16cex:durableId="26D0B01F" w16cex:dateUtc="2022-09-18T01:44:00Z"/>
  <w16cex:commentExtensible w16cex:durableId="26D2B567" w16cex:dateUtc="2022-09-19T14:31:00Z"/>
  <w16cex:commentExtensible w16cex:durableId="26D0B0D5" w16cex:dateUtc="2022-09-18T01:47:00Z"/>
  <w16cex:commentExtensible w16cex:durableId="26D0B258" w16cex:dateUtc="2022-09-18T01:53:00Z"/>
  <w16cex:commentExtensible w16cex:durableId="26D0B3BE" w16cex:dateUtc="2022-09-18T01:59:00Z"/>
  <w16cex:commentExtensible w16cex:durableId="26D0B5BB" w16cex:dateUtc="2022-09-18T02:08:00Z"/>
  <w16cex:commentExtensible w16cex:durableId="26D0B5F2" w16cex:dateUtc="2022-09-18T02:09:00Z"/>
  <w16cex:commentExtensible w16cex:durableId="26D0B4C8" w16cex:dateUtc="2022-09-18T02:04:00Z"/>
  <w16cex:commentExtensible w16cex:durableId="26D0B576" w16cex:dateUtc="2022-09-18T02: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F559F" w14:textId="77777777" w:rsidR="00E85AB8" w:rsidRDefault="00E85AB8" w:rsidP="00181D64">
      <w:pPr>
        <w:spacing w:after="0" w:line="240" w:lineRule="auto"/>
      </w:pPr>
      <w:r>
        <w:separator/>
      </w:r>
    </w:p>
  </w:endnote>
  <w:endnote w:type="continuationSeparator" w:id="0">
    <w:p w14:paraId="094D754D" w14:textId="77777777" w:rsidR="00E85AB8" w:rsidRDefault="00E85AB8" w:rsidP="00181D64">
      <w:pPr>
        <w:spacing w:after="0" w:line="240" w:lineRule="auto"/>
      </w:pPr>
      <w:r>
        <w:continuationSeparator/>
      </w:r>
    </w:p>
  </w:endnote>
  <w:endnote w:type="continuationNotice" w:id="1">
    <w:p w14:paraId="53969A2C" w14:textId="77777777" w:rsidR="00E85AB8" w:rsidRDefault="00E85A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ris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691502"/>
      <w:docPartObj>
        <w:docPartGallery w:val="Page Numbers (Bottom of Page)"/>
        <w:docPartUnique/>
      </w:docPartObj>
    </w:sdtPr>
    <w:sdtEndPr>
      <w:rPr>
        <w:rFonts w:ascii="ITC Avant Garde" w:hAnsi="ITC Avant Garde"/>
      </w:rPr>
    </w:sdtEndPr>
    <w:sdtContent>
      <w:sdt>
        <w:sdtPr>
          <w:id w:val="-1769616900"/>
          <w:docPartObj>
            <w:docPartGallery w:val="Page Numbers (Top of Page)"/>
            <w:docPartUnique/>
          </w:docPartObj>
        </w:sdtPr>
        <w:sdtEndPr>
          <w:rPr>
            <w:rFonts w:ascii="ITC Avant Garde" w:hAnsi="ITC Avant Garde"/>
          </w:rPr>
        </w:sdtEndPr>
        <w:sdtContent>
          <w:p w14:paraId="7F938EF3" w14:textId="77777777" w:rsidR="00965EC2" w:rsidRPr="00C56796" w:rsidRDefault="00965EC2">
            <w:pPr>
              <w:pStyle w:val="Piedepgina"/>
              <w:jc w:val="right"/>
              <w:rPr>
                <w:rFonts w:ascii="ITC Avant Garde" w:hAnsi="ITC Avant Garde"/>
              </w:rPr>
            </w:pPr>
            <w:r w:rsidRPr="00C56796">
              <w:rPr>
                <w:rFonts w:ascii="ITC Avant Garde" w:hAnsi="ITC Avant Garde"/>
                <w:lang w:val="es-ES"/>
              </w:rPr>
              <w:t xml:space="preserve">Página </w:t>
            </w:r>
            <w:r w:rsidRPr="00C56796">
              <w:rPr>
                <w:rFonts w:ascii="ITC Avant Garde" w:hAnsi="ITC Avant Garde"/>
                <w:b/>
                <w:sz w:val="24"/>
                <w:szCs w:val="24"/>
              </w:rPr>
              <w:fldChar w:fldCharType="begin"/>
            </w:r>
            <w:r w:rsidRPr="00C56796">
              <w:rPr>
                <w:rFonts w:ascii="ITC Avant Garde" w:hAnsi="ITC Avant Garde"/>
                <w:b/>
              </w:rPr>
              <w:instrText>PAGE</w:instrText>
            </w:r>
            <w:r w:rsidRPr="00C56796">
              <w:rPr>
                <w:rFonts w:ascii="ITC Avant Garde" w:hAnsi="ITC Avant Garde"/>
                <w:b/>
                <w:sz w:val="24"/>
                <w:szCs w:val="24"/>
              </w:rPr>
              <w:fldChar w:fldCharType="separate"/>
            </w:r>
            <w:r w:rsidRPr="00C56796">
              <w:rPr>
                <w:rFonts w:ascii="ITC Avant Garde" w:hAnsi="ITC Avant Garde"/>
                <w:b/>
                <w:lang w:val="es-ES"/>
              </w:rPr>
              <w:t>2</w:t>
            </w:r>
            <w:r w:rsidRPr="00C56796">
              <w:rPr>
                <w:rFonts w:ascii="ITC Avant Garde" w:hAnsi="ITC Avant Garde"/>
                <w:b/>
                <w:sz w:val="24"/>
                <w:szCs w:val="24"/>
              </w:rPr>
              <w:fldChar w:fldCharType="end"/>
            </w:r>
            <w:r w:rsidRPr="00C56796">
              <w:rPr>
                <w:rFonts w:ascii="ITC Avant Garde" w:hAnsi="ITC Avant Garde"/>
                <w:lang w:val="es-ES"/>
              </w:rPr>
              <w:t xml:space="preserve"> de </w:t>
            </w:r>
            <w:r w:rsidRPr="00C56796">
              <w:rPr>
                <w:rFonts w:ascii="ITC Avant Garde" w:hAnsi="ITC Avant Garde"/>
                <w:b/>
                <w:sz w:val="24"/>
                <w:szCs w:val="24"/>
              </w:rPr>
              <w:fldChar w:fldCharType="begin"/>
            </w:r>
            <w:r w:rsidRPr="00C56796">
              <w:rPr>
                <w:rFonts w:ascii="ITC Avant Garde" w:hAnsi="ITC Avant Garde"/>
                <w:b/>
              </w:rPr>
              <w:instrText>NUMPAGES</w:instrText>
            </w:r>
            <w:r w:rsidRPr="00C56796">
              <w:rPr>
                <w:rFonts w:ascii="ITC Avant Garde" w:hAnsi="ITC Avant Garde"/>
                <w:b/>
                <w:sz w:val="24"/>
                <w:szCs w:val="24"/>
              </w:rPr>
              <w:fldChar w:fldCharType="separate"/>
            </w:r>
            <w:r w:rsidRPr="00C56796">
              <w:rPr>
                <w:rFonts w:ascii="ITC Avant Garde" w:hAnsi="ITC Avant Garde"/>
                <w:b/>
                <w:lang w:val="es-ES"/>
              </w:rPr>
              <w:t>2</w:t>
            </w:r>
            <w:r w:rsidRPr="00C56796">
              <w:rPr>
                <w:rFonts w:ascii="ITC Avant Garde" w:hAnsi="ITC Avant Garde"/>
                <w:b/>
                <w:sz w:val="24"/>
                <w:szCs w:val="24"/>
              </w:rPr>
              <w:fldChar w:fldCharType="end"/>
            </w:r>
          </w:p>
        </w:sdtContent>
      </w:sdt>
    </w:sdtContent>
  </w:sdt>
  <w:p w14:paraId="5AE00A12" w14:textId="77777777" w:rsidR="00965EC2" w:rsidRDefault="00965E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33840" w14:textId="77777777" w:rsidR="00E85AB8" w:rsidRDefault="00E85AB8" w:rsidP="00181D64">
      <w:pPr>
        <w:spacing w:after="0" w:line="240" w:lineRule="auto"/>
      </w:pPr>
      <w:r>
        <w:separator/>
      </w:r>
    </w:p>
  </w:footnote>
  <w:footnote w:type="continuationSeparator" w:id="0">
    <w:p w14:paraId="6AC0BAE4" w14:textId="77777777" w:rsidR="00E85AB8" w:rsidRDefault="00E85AB8" w:rsidP="00181D64">
      <w:pPr>
        <w:spacing w:after="0" w:line="240" w:lineRule="auto"/>
      </w:pPr>
      <w:r>
        <w:continuationSeparator/>
      </w:r>
    </w:p>
  </w:footnote>
  <w:footnote w:type="continuationNotice" w:id="1">
    <w:p w14:paraId="587528E0" w14:textId="77777777" w:rsidR="00E85AB8" w:rsidRDefault="00E85AB8">
      <w:pPr>
        <w:spacing w:after="0" w:line="240" w:lineRule="auto"/>
      </w:pPr>
    </w:p>
  </w:footnote>
  <w:footnote w:id="2">
    <w:p w14:paraId="101883E3" w14:textId="04C0AA5F" w:rsidR="00965EC2" w:rsidRPr="00655F14" w:rsidRDefault="00965EC2" w:rsidP="005820A3">
      <w:pPr>
        <w:pStyle w:val="Textonotapie"/>
        <w:jc w:val="both"/>
        <w:rPr>
          <w:rFonts w:ascii="ITC Avant Garde" w:hAnsi="ITC Avant Garde"/>
          <w:i/>
          <w:iCs/>
          <w:sz w:val="16"/>
          <w:szCs w:val="16"/>
        </w:rPr>
      </w:pPr>
      <w:r w:rsidRPr="005820A3">
        <w:rPr>
          <w:rStyle w:val="Refdenotaalpie"/>
          <w:rFonts w:ascii="ITC Avant Garde" w:hAnsi="ITC Avant Garde"/>
          <w:sz w:val="16"/>
          <w:szCs w:val="16"/>
        </w:rPr>
        <w:footnoteRef/>
      </w:r>
      <w:r w:rsidRPr="005820A3">
        <w:rPr>
          <w:rFonts w:ascii="ITC Avant Garde" w:hAnsi="ITC Avant Garde"/>
          <w:sz w:val="16"/>
          <w:szCs w:val="16"/>
        </w:rPr>
        <w:t xml:space="preserve"> </w:t>
      </w:r>
      <w:r w:rsidRPr="00655F14">
        <w:rPr>
          <w:rFonts w:ascii="ITC Avant Garde" w:hAnsi="ITC Avant Garde"/>
          <w:i/>
          <w:iCs/>
          <w:sz w:val="16"/>
          <w:szCs w:val="16"/>
        </w:rPr>
        <w:t>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r>
        <w:rPr>
          <w:rFonts w:ascii="ITC Avant Garde" w:hAnsi="ITC Avant Garde"/>
          <w:i/>
          <w:iCs/>
          <w:sz w:val="16"/>
          <w:szCs w:val="16"/>
        </w:rPr>
        <w:t>.</w:t>
      </w:r>
    </w:p>
  </w:footnote>
  <w:footnote w:id="3">
    <w:p w14:paraId="1AC4882C" w14:textId="30EF5A46" w:rsidR="00965EC2" w:rsidRPr="00305BE3" w:rsidRDefault="00965EC2" w:rsidP="005820A3">
      <w:pPr>
        <w:pStyle w:val="Textonotapie"/>
        <w:jc w:val="both"/>
        <w:rPr>
          <w:rFonts w:ascii="ITC Avant Garde" w:hAnsi="ITC Avant Garde"/>
          <w:sz w:val="16"/>
          <w:szCs w:val="16"/>
        </w:rPr>
      </w:pPr>
      <w:r w:rsidRPr="00305BE3">
        <w:rPr>
          <w:rStyle w:val="Refdenotaalpie"/>
          <w:rFonts w:ascii="ITC Avant Garde" w:hAnsi="ITC Avant Garde"/>
          <w:sz w:val="16"/>
          <w:szCs w:val="16"/>
        </w:rPr>
        <w:footnoteRef/>
      </w:r>
      <w:r w:rsidRPr="00305BE3">
        <w:rPr>
          <w:rFonts w:ascii="ITC Avant Garde" w:hAnsi="ITC Avant Garde"/>
          <w:sz w:val="16"/>
          <w:szCs w:val="16"/>
        </w:rPr>
        <w:t xml:space="preserve"> El detalle y alcance de la consulta pública se localiza en la siguiente liga electrónica:</w:t>
      </w:r>
      <w:r>
        <w:rPr>
          <w:rFonts w:ascii="ITC Avant Garde" w:hAnsi="ITC Avant Garde"/>
          <w:sz w:val="16"/>
          <w:szCs w:val="16"/>
        </w:rPr>
        <w:t xml:space="preserve"> </w:t>
      </w:r>
      <w:hyperlink r:id="rId1" w:history="1">
        <w:r w:rsidRPr="00B74DB7">
          <w:rPr>
            <w:rStyle w:val="Hipervnculo"/>
            <w:rFonts w:ascii="ITC Avant Garde" w:hAnsi="ITC Avant Garde"/>
            <w:sz w:val="16"/>
            <w:szCs w:val="16"/>
          </w:rPr>
          <w:t>https://www.ift.org.mx/industria/consultas-publicas/consulta-publica-sobre-las-actualizaciones-al-modelo-de-costos-evitados-y-modelo-de-costos-integral</w:t>
        </w:r>
      </w:hyperlink>
      <w:r>
        <w:rPr>
          <w:rStyle w:val="Hipervnculo"/>
          <w:rFonts w:ascii="ITC Avant Garde" w:hAnsi="ITC Avant Garde"/>
          <w:sz w:val="16"/>
          <w:szCs w:val="16"/>
        </w:rPr>
        <w:t>.</w:t>
      </w:r>
    </w:p>
  </w:footnote>
  <w:footnote w:id="4">
    <w:p w14:paraId="256DF4A0" w14:textId="1D5B1CC5" w:rsidR="00965EC2" w:rsidRPr="00655F14" w:rsidRDefault="00965EC2" w:rsidP="00F47ED0">
      <w:pPr>
        <w:pStyle w:val="Textonotapie"/>
        <w:jc w:val="both"/>
        <w:rPr>
          <w:rFonts w:ascii="ITC Avant Garde" w:hAnsi="ITC Avant Garde"/>
          <w:sz w:val="16"/>
          <w:szCs w:val="16"/>
        </w:rPr>
      </w:pPr>
      <w:r w:rsidRPr="00655F14">
        <w:rPr>
          <w:rStyle w:val="Refdenotaalpie"/>
          <w:rFonts w:ascii="ITC Avant Garde" w:hAnsi="ITC Avant Garde"/>
          <w:sz w:val="16"/>
          <w:szCs w:val="16"/>
        </w:rPr>
        <w:footnoteRef/>
      </w:r>
      <w:r w:rsidRPr="00655F14">
        <w:rPr>
          <w:rFonts w:ascii="ITC Avant Garde" w:hAnsi="ITC Avant Garde"/>
          <w:sz w:val="16"/>
          <w:szCs w:val="16"/>
        </w:rPr>
        <w:t xml:space="preserve"> El 22 de marzo de 2018, mediante Acuerdo P/IFT/220318/243 el Pleno del Instituto en su XII Sesión Ordinaria aprobó la “</w:t>
      </w:r>
      <w:r w:rsidRPr="00655F14">
        <w:rPr>
          <w:rFonts w:ascii="ITC Avant Garde" w:hAnsi="ITC Avant Garde"/>
          <w:i/>
          <w:iCs/>
          <w:sz w:val="16"/>
          <w:szCs w:val="16"/>
        </w:rPr>
        <w:t>RESOLUCIÓN MEDIANTE LA CUAL EL PLENO DEL INSTITUTO FEDERAL DE TELECOMUNICACIONES MODIFICA Y APRUEBA LAS TARIFAS DEL SERVICIO DE REVENTA MAYORISTA DE LÍNEA TELEFÓNICA DE LA OFERTA DE REFERENCIA DE LA DESAGREGACIÓN EFECTIVA DE LA RED LOCAL DEL AGENTE ECONÓMICO PREPONDERANTE</w:t>
      </w:r>
      <w:r w:rsidRPr="00655F14">
        <w:rPr>
          <w:rFonts w:ascii="ITC Avant Garde" w:hAnsi="ITC Avant Garde"/>
          <w:sz w:val="16"/>
          <w:szCs w:val="16"/>
        </w:rPr>
        <w:t>”.</w:t>
      </w:r>
    </w:p>
  </w:footnote>
  <w:footnote w:id="5">
    <w:p w14:paraId="24218414" w14:textId="20FA97E9" w:rsidR="00965EC2" w:rsidRPr="00E33C8A" w:rsidRDefault="00965EC2" w:rsidP="001C39B2">
      <w:pPr>
        <w:pStyle w:val="Textonotapie"/>
        <w:jc w:val="both"/>
        <w:rPr>
          <w:rFonts w:ascii="ITC Avant Garde" w:hAnsi="ITC Avant Garde"/>
          <w:sz w:val="16"/>
          <w:szCs w:val="16"/>
        </w:rPr>
      </w:pPr>
      <w:r w:rsidRPr="00E33C8A">
        <w:rPr>
          <w:rStyle w:val="Refdenotaalpie"/>
          <w:rFonts w:ascii="ITC Avant Garde" w:hAnsi="ITC Avant Garde"/>
          <w:sz w:val="16"/>
          <w:szCs w:val="18"/>
        </w:rPr>
        <w:footnoteRef/>
      </w:r>
      <w:r w:rsidRPr="00E33C8A">
        <w:rPr>
          <w:rFonts w:ascii="ITC Avant Garde" w:hAnsi="ITC Avant Garde"/>
          <w:sz w:val="16"/>
          <w:szCs w:val="18"/>
        </w:rPr>
        <w:t xml:space="preserve"> En dicho instrumento también se definió el alcance metodológico aplicable al Servicio de Acceso Indirecto al Bucle Local. Sin embargo, a partir de las medidas aplicables en la Segunda Resolución Bienal se modificó la metodología para determinar las tarifas mayoristas por este servicio, </w:t>
      </w:r>
      <w:r>
        <w:rPr>
          <w:rFonts w:ascii="ITC Avant Garde" w:hAnsi="ITC Avant Garde"/>
          <w:sz w:val="16"/>
          <w:szCs w:val="18"/>
        </w:rPr>
        <w:t>el cual se determina</w:t>
      </w:r>
      <w:r w:rsidRPr="00E33C8A">
        <w:rPr>
          <w:rFonts w:ascii="ITC Avant Garde" w:hAnsi="ITC Avant Garde"/>
          <w:sz w:val="16"/>
          <w:szCs w:val="18"/>
        </w:rPr>
        <w:t xml:space="preserve"> a partir de una metodología de costos incrementales promedio de largo plazo.</w:t>
      </w:r>
    </w:p>
  </w:footnote>
  <w:footnote w:id="6">
    <w:p w14:paraId="778217D6" w14:textId="3D7A18FF" w:rsidR="00965EC2" w:rsidRPr="00350496" w:rsidRDefault="00965EC2" w:rsidP="001C39B2">
      <w:pPr>
        <w:pStyle w:val="Textonotapie"/>
        <w:jc w:val="both"/>
        <w:rPr>
          <w:rFonts w:ascii="ITC Avant Garde" w:hAnsi="ITC Avant Garde"/>
          <w:sz w:val="16"/>
          <w:szCs w:val="16"/>
        </w:rPr>
      </w:pPr>
      <w:r w:rsidRPr="00350496">
        <w:rPr>
          <w:rStyle w:val="Refdenotaalpie"/>
          <w:rFonts w:ascii="ITC Avant Garde" w:hAnsi="ITC Avant Garde"/>
          <w:sz w:val="16"/>
          <w:szCs w:val="16"/>
        </w:rPr>
        <w:footnoteRef/>
      </w:r>
      <w:r w:rsidRPr="00350496">
        <w:rPr>
          <w:rFonts w:ascii="ITC Avant Garde" w:hAnsi="ITC Avant Garde"/>
          <w:sz w:val="16"/>
          <w:szCs w:val="16"/>
        </w:rPr>
        <w:t xml:space="preserve"> Para más detalle, el alcance de dicha consulta pública puede ser consultado en la siguiente liga electrónica: </w:t>
      </w:r>
      <w:hyperlink r:id="rId2" w:history="1">
        <w:r w:rsidRPr="00350496">
          <w:rPr>
            <w:rStyle w:val="Hipervnculo"/>
            <w:rFonts w:ascii="ITC Avant Garde" w:hAnsi="ITC Avant Garde"/>
            <w:sz w:val="16"/>
            <w:szCs w:val="16"/>
          </w:rPr>
          <w:t>https://www.ift.org.mx/industria/consultas-publicas/consulta-publica-sobre-las-actualizaciones-al-modelo-de-costos-evitados-y-modelo-de-costos-integral</w:t>
        </w:r>
      </w:hyperlink>
      <w:r w:rsidRPr="00350496">
        <w:rPr>
          <w:rFonts w:ascii="ITC Avant Garde" w:hAnsi="ITC Avant Garde"/>
          <w:sz w:val="16"/>
          <w:szCs w:val="16"/>
        </w:rPr>
        <w:t xml:space="preserve"> </w:t>
      </w:r>
    </w:p>
  </w:footnote>
  <w:footnote w:id="7">
    <w:p w14:paraId="5B2FC434" w14:textId="6D26250E" w:rsidR="00965EC2" w:rsidRPr="00E33C8A" w:rsidRDefault="00965EC2" w:rsidP="001C39B2">
      <w:pPr>
        <w:pStyle w:val="Textonotapie"/>
        <w:jc w:val="both"/>
        <w:rPr>
          <w:sz w:val="18"/>
          <w:szCs w:val="18"/>
        </w:rPr>
      </w:pPr>
      <w:r w:rsidRPr="00E33C8A">
        <w:rPr>
          <w:rStyle w:val="Refdenotaalpie"/>
          <w:rFonts w:ascii="ITC Avant Garde" w:hAnsi="ITC Avant Garde"/>
          <w:sz w:val="16"/>
          <w:szCs w:val="22"/>
        </w:rPr>
        <w:footnoteRef/>
      </w:r>
      <w:r w:rsidRPr="00E33C8A">
        <w:rPr>
          <w:rFonts w:ascii="ITC Avant Garde" w:hAnsi="ITC Avant Garde"/>
          <w:sz w:val="16"/>
          <w:szCs w:val="22"/>
        </w:rPr>
        <w:t xml:space="preserve"> </w:t>
      </w:r>
      <w:hyperlink r:id="rId3" w:history="1">
        <w:r w:rsidRPr="00E33C8A">
          <w:rPr>
            <w:rStyle w:val="Hipervnculo"/>
            <w:rFonts w:ascii="ITC Avant Garde" w:hAnsi="ITC Avant Garde"/>
            <w:sz w:val="16"/>
            <w:szCs w:val="22"/>
          </w:rPr>
          <w:t>http://www.ift.org.mx/politica-regulatoria/ofertas-de-referencia/ofertas-de-referencia-2020</w:t>
        </w:r>
      </w:hyperlink>
      <w:r w:rsidRPr="00E33C8A">
        <w:rPr>
          <w:rFonts w:ascii="ITC Avant Garde" w:hAnsi="ITC Avant Garde"/>
          <w:sz w:val="16"/>
          <w:szCs w:val="22"/>
        </w:rPr>
        <w:t xml:space="preserve"> </w:t>
      </w:r>
    </w:p>
  </w:footnote>
  <w:footnote w:id="8">
    <w:p w14:paraId="627852E2" w14:textId="77777777" w:rsidR="00965EC2" w:rsidRPr="00523310" w:rsidRDefault="00965EC2" w:rsidP="00181D64">
      <w:pPr>
        <w:pStyle w:val="aaaNOTAalpie"/>
        <w:spacing w:after="0"/>
        <w:rPr>
          <w:rFonts w:ascii="ITC Avant Garde" w:hAnsi="ITC Avant Garde"/>
          <w:sz w:val="20"/>
          <w:szCs w:val="20"/>
        </w:rPr>
      </w:pPr>
      <w:r w:rsidRPr="00523310">
        <w:rPr>
          <w:rStyle w:val="Refdenotaalpie"/>
          <w:rFonts w:ascii="ITC Avant Garde" w:hAnsi="ITC Avant Garde"/>
          <w:sz w:val="16"/>
          <w:szCs w:val="20"/>
        </w:rPr>
        <w:footnoteRef/>
      </w:r>
      <w:r w:rsidRPr="00523310">
        <w:rPr>
          <w:rFonts w:ascii="ITC Avant Garde" w:hAnsi="ITC Avant Garde"/>
          <w:sz w:val="16"/>
          <w:szCs w:val="20"/>
        </w:rPr>
        <w:t xml:space="preserve"> </w:t>
      </w:r>
      <w:r w:rsidRPr="00523310">
        <w:rPr>
          <w:rFonts w:ascii="ITC Avant Garde" w:hAnsi="ITC Avant Garde"/>
          <w:sz w:val="16"/>
          <w:szCs w:val="20"/>
        </w:rPr>
        <w:tab/>
        <w:t xml:space="preserve">En este caso, la fórmula anterior equivaldría a la expresión </w:t>
      </w:r>
      <m:oMath>
        <m:sSup>
          <m:sSupPr>
            <m:ctrlPr>
              <w:rPr>
                <w:rFonts w:ascii="Cambria Math" w:hAnsi="Cambria Math"/>
                <w:b/>
                <w:sz w:val="16"/>
                <w:szCs w:val="20"/>
              </w:rPr>
            </m:ctrlPr>
          </m:sSupPr>
          <m:e>
            <m:r>
              <m:rPr>
                <m:nor/>
              </m:rPr>
              <w:rPr>
                <w:rFonts w:ascii="ITC Avant Garde" w:hAnsi="ITC Avant Garde"/>
                <w:b/>
                <w:sz w:val="16"/>
                <w:szCs w:val="20"/>
              </w:rPr>
              <m:t>P</m:t>
            </m:r>
          </m:e>
          <m:sup>
            <m:r>
              <m:rPr>
                <m:nor/>
              </m:rPr>
              <w:rPr>
                <w:rFonts w:ascii="ITC Avant Garde" w:hAnsi="ITC Avant Garde"/>
                <w:b/>
                <w:sz w:val="16"/>
                <w:szCs w:val="20"/>
              </w:rPr>
              <m:t>m</m:t>
            </m:r>
          </m:sup>
        </m:sSup>
        <m:r>
          <m:rPr>
            <m:nor/>
          </m:rPr>
          <w:rPr>
            <w:rFonts w:ascii="ITC Avant Garde" w:hAnsi="ITC Avant Garde"/>
            <w:sz w:val="16"/>
            <w:szCs w:val="20"/>
          </w:rPr>
          <m:t>=</m:t>
        </m:r>
        <m:sSup>
          <m:sSupPr>
            <m:ctrlPr>
              <w:rPr>
                <w:rFonts w:ascii="Cambria Math" w:hAnsi="Cambria Math"/>
                <w:b/>
                <w:sz w:val="16"/>
                <w:szCs w:val="20"/>
              </w:rPr>
            </m:ctrlPr>
          </m:sSupPr>
          <m:e>
            <m:r>
              <m:rPr>
                <m:nor/>
              </m:rPr>
              <w:rPr>
                <w:rFonts w:ascii="ITC Avant Garde" w:hAnsi="ITC Avant Garde"/>
                <w:b/>
                <w:sz w:val="16"/>
                <w:szCs w:val="20"/>
              </w:rPr>
              <m:t xml:space="preserve"> P</m:t>
            </m:r>
          </m:e>
          <m:sup>
            <m:r>
              <m:rPr>
                <m:nor/>
              </m:rPr>
              <w:rPr>
                <w:rFonts w:ascii="ITC Avant Garde" w:hAnsi="ITC Avant Garde"/>
                <w:b/>
                <w:sz w:val="16"/>
                <w:szCs w:val="20"/>
              </w:rPr>
              <m:t>r</m:t>
            </m:r>
          </m:sup>
        </m:sSup>
        <m:r>
          <m:rPr>
            <m:nor/>
          </m:rPr>
          <w:rPr>
            <w:rFonts w:ascii="ITC Avant Garde" w:hAnsi="ITC Avant Garde"/>
            <w:b/>
            <w:sz w:val="16"/>
            <w:szCs w:val="20"/>
          </w:rPr>
          <m:t xml:space="preserve"> × (1</m:t>
        </m:r>
        <m:r>
          <m:rPr>
            <m:sty m:val="bi"/>
          </m:rPr>
          <w:rPr>
            <w:rFonts w:ascii="Cambria Math" w:hAnsi="Cambria Math"/>
            <w:sz w:val="16"/>
            <w:szCs w:val="20"/>
          </w:rPr>
          <m:t xml:space="preserve"> </m:t>
        </m:r>
        <m:r>
          <m:rPr>
            <m:nor/>
          </m:rPr>
          <w:rPr>
            <w:rFonts w:ascii="ITC Avant Garde" w:hAnsi="ITC Avant Garde"/>
            <w:sz w:val="16"/>
            <w:szCs w:val="20"/>
          </w:rPr>
          <m:t xml:space="preserve">- </m:t>
        </m:r>
        <m:r>
          <m:rPr>
            <m:nor/>
          </m:rPr>
          <w:rPr>
            <w:rFonts w:ascii="ITC Avant Garde" w:hAnsi="ITC Avant Garde"/>
            <w:b/>
            <w:sz w:val="16"/>
            <w:szCs w:val="20"/>
          </w:rPr>
          <m:t>%c</m:t>
        </m:r>
      </m:oMath>
      <w:r w:rsidRPr="00523310">
        <w:rPr>
          <w:rFonts w:ascii="ITC Avant Garde" w:hAnsi="ITC Avant Garde"/>
          <w:b/>
          <w:sz w:val="16"/>
          <w:szCs w:val="20"/>
        </w:rPr>
        <w:t xml:space="preserve">), </w:t>
      </w:r>
      <w:r w:rsidRPr="00523310">
        <w:rPr>
          <w:rFonts w:ascii="ITC Avant Garde" w:hAnsi="ITC Avant Garde"/>
          <w:sz w:val="16"/>
          <w:szCs w:val="20"/>
        </w:rPr>
        <w:t xml:space="preserve">donde </w:t>
      </w:r>
      <w:r w:rsidRPr="00523310">
        <w:rPr>
          <w:rFonts w:ascii="ITC Avant Garde" w:hAnsi="ITC Avant Garde"/>
          <w:b/>
          <w:sz w:val="16"/>
          <w:szCs w:val="20"/>
        </w:rPr>
        <w:t xml:space="preserve">%c </w:t>
      </w:r>
      <w:r w:rsidRPr="00523310">
        <w:rPr>
          <w:rFonts w:ascii="ITC Avant Garde" w:hAnsi="ITC Avant Garde"/>
          <w:sz w:val="16"/>
          <w:szCs w:val="20"/>
        </w:rPr>
        <w:t>correspondería al valor porcentual del precio de referencia que representaría el nivel de costos evitados asociados al servicio mayorista</w:t>
      </w:r>
      <w:r w:rsidRPr="00523310">
        <w:rPr>
          <w:rFonts w:ascii="ITC Avant Garde" w:hAnsi="ITC Avant Garde"/>
          <w:b/>
          <w:sz w:val="16"/>
          <w:szCs w:val="20"/>
        </w:rPr>
        <w:t>.</w:t>
      </w:r>
    </w:p>
  </w:footnote>
  <w:footnote w:id="9">
    <w:p w14:paraId="0D74E12C" w14:textId="48A2972B" w:rsidR="00965EC2" w:rsidRPr="0040723C" w:rsidRDefault="00965EC2" w:rsidP="0040723C">
      <w:pPr>
        <w:pStyle w:val="Textonotapie"/>
        <w:jc w:val="both"/>
        <w:rPr>
          <w:rFonts w:ascii="ITC Avant Garde" w:hAnsi="ITC Avant Garde"/>
          <w:sz w:val="16"/>
          <w:szCs w:val="16"/>
        </w:rPr>
      </w:pPr>
      <w:r w:rsidRPr="0040723C">
        <w:rPr>
          <w:rStyle w:val="Refdenotaalpie"/>
          <w:rFonts w:ascii="ITC Avant Garde" w:hAnsi="ITC Avant Garde"/>
          <w:sz w:val="16"/>
          <w:szCs w:val="16"/>
        </w:rPr>
        <w:footnoteRef/>
      </w:r>
      <w:r w:rsidRPr="0040723C">
        <w:rPr>
          <w:rFonts w:ascii="ITC Avant Garde" w:hAnsi="ITC Avant Garde"/>
          <w:sz w:val="16"/>
          <w:szCs w:val="16"/>
        </w:rPr>
        <w:t xml:space="preserve"> </w:t>
      </w:r>
      <w:r w:rsidRPr="0040723C">
        <w:rPr>
          <w:rFonts w:ascii="ITC Avant Garde" w:eastAsia="MS Mincho" w:hAnsi="ITC Avant Garde" w:cs="Calibri"/>
          <w:bCs/>
          <w:sz w:val="16"/>
          <w:szCs w:val="16"/>
        </w:rPr>
        <w:t xml:space="preserve">De acuerdo con el documento “CONDICIONES DE TELEFONÍA BÁSICA Y LARGA DISTANCIA”, el servicio medido </w:t>
      </w:r>
      <w:r w:rsidRPr="0040723C">
        <w:rPr>
          <w:rFonts w:ascii="ITC Avant Garde" w:eastAsia="MS Mincho" w:hAnsi="ITC Avant Garde" w:cs="Calibri"/>
          <w:bCs/>
          <w:i/>
          <w:iCs/>
          <w:sz w:val="16"/>
          <w:szCs w:val="16"/>
        </w:rPr>
        <w:t xml:space="preserve">“Consiste en las llamadas mensuales realizadas y completadas por el CONSUMIDOR adicionales a las que incluye la renta mensual correspondiente a la línea telefónica”. </w:t>
      </w:r>
      <w:r w:rsidRPr="0040723C">
        <w:rPr>
          <w:rFonts w:ascii="ITC Avant Garde" w:eastAsia="MS Mincho" w:hAnsi="ITC Avant Garde" w:cs="Calibri"/>
          <w:bCs/>
          <w:sz w:val="16"/>
          <w:szCs w:val="16"/>
        </w:rPr>
        <w:t xml:space="preserve">Para más información véase: </w:t>
      </w:r>
      <w:hyperlink r:id="rId4" w:history="1">
        <w:r w:rsidRPr="0040723C">
          <w:rPr>
            <w:rStyle w:val="Hipervnculo"/>
            <w:rFonts w:ascii="ITC Avant Garde" w:hAnsi="ITC Avant Garde"/>
            <w:sz w:val="16"/>
            <w:szCs w:val="16"/>
          </w:rPr>
          <w:t>http://downloads.telmex.com/pdf/TelmexCondTel.docx?_ga=2.17009593.1423765675.1536854933-825438508.1517963246</w:t>
        </w:r>
      </w:hyperlink>
      <w:r w:rsidRPr="0040723C">
        <w:rPr>
          <w:rStyle w:val="Hipervnculo"/>
          <w:rFonts w:ascii="ITC Avant Garde" w:hAnsi="ITC Avant Garde"/>
          <w:sz w:val="16"/>
          <w:szCs w:val="16"/>
        </w:rPr>
        <w:t xml:space="preserve"> </w:t>
      </w:r>
    </w:p>
  </w:footnote>
  <w:footnote w:id="10">
    <w:p w14:paraId="717F7DE1" w14:textId="06F9A831" w:rsidR="00965EC2" w:rsidRPr="0040723C" w:rsidRDefault="00965EC2" w:rsidP="001C2B08">
      <w:pPr>
        <w:pStyle w:val="IFTnormal"/>
        <w:spacing w:after="0" w:line="240" w:lineRule="auto"/>
        <w:rPr>
          <w:sz w:val="16"/>
          <w:szCs w:val="16"/>
        </w:rPr>
      </w:pPr>
      <w:r w:rsidRPr="0040723C">
        <w:rPr>
          <w:rStyle w:val="Refdenotaalpie"/>
          <w:sz w:val="16"/>
          <w:szCs w:val="16"/>
        </w:rPr>
        <w:footnoteRef/>
      </w:r>
      <w:r w:rsidRPr="0040723C">
        <w:rPr>
          <w:sz w:val="16"/>
          <w:szCs w:val="16"/>
        </w:rPr>
        <w:t xml:space="preserve"> De acuerdo con el documento</w:t>
      </w:r>
      <w:r>
        <w:rPr>
          <w:sz w:val="16"/>
          <w:szCs w:val="16"/>
        </w:rPr>
        <w:t xml:space="preserve"> anterior</w:t>
      </w:r>
      <w:r w:rsidRPr="0040723C">
        <w:rPr>
          <w:sz w:val="16"/>
          <w:szCs w:val="16"/>
        </w:rPr>
        <w:t>, este servicio “</w:t>
      </w:r>
      <w:r w:rsidRPr="0040723C">
        <w:rPr>
          <w:i/>
          <w:sz w:val="16"/>
          <w:szCs w:val="16"/>
        </w:rPr>
        <w:t>permite cursar tráfico de voz entre dos o más localidades diferentes</w:t>
      </w:r>
      <w:r w:rsidRPr="0040723C">
        <w:rPr>
          <w:sz w:val="16"/>
          <w:szCs w:val="16"/>
        </w:rPr>
        <w:t>” y “</w:t>
      </w:r>
      <w:r w:rsidRPr="0040723C">
        <w:rPr>
          <w:i/>
          <w:sz w:val="16"/>
          <w:szCs w:val="16"/>
        </w:rPr>
        <w:t>Consiste en el cobro de tarifas por minuto o fracción aplicable a todas las comunicaciones de larga distancia de o hacia puntos conectados directamente por la red explotada por TELMEX y hacia puntos de los Estados Unidos o Canadá</w:t>
      </w:r>
      <w:r w:rsidRPr="0040723C">
        <w:rPr>
          <w:sz w:val="16"/>
          <w:szCs w:val="16"/>
        </w:rPr>
        <w:t>”.</w:t>
      </w:r>
    </w:p>
  </w:footnote>
  <w:footnote w:id="11">
    <w:p w14:paraId="0F9F35F3" w14:textId="01688C55" w:rsidR="00965EC2" w:rsidRPr="00E96B91" w:rsidRDefault="00965EC2" w:rsidP="001C2B08">
      <w:pPr>
        <w:pStyle w:val="IFTnormal"/>
        <w:spacing w:after="0" w:line="240" w:lineRule="auto"/>
        <w:rPr>
          <w:sz w:val="16"/>
          <w:szCs w:val="16"/>
        </w:rPr>
      </w:pPr>
      <w:r w:rsidRPr="00E96B91">
        <w:rPr>
          <w:rStyle w:val="Refdenotaalpie"/>
          <w:sz w:val="16"/>
          <w:szCs w:val="16"/>
        </w:rPr>
        <w:footnoteRef/>
      </w:r>
      <w:r w:rsidRPr="00E96B91">
        <w:rPr>
          <w:sz w:val="16"/>
          <w:szCs w:val="16"/>
        </w:rPr>
        <w:t xml:space="preserve"> En términos del documento anterior, dicho servicio “</w:t>
      </w:r>
      <w:r w:rsidRPr="00E96B91">
        <w:rPr>
          <w:i/>
          <w:sz w:val="16"/>
          <w:szCs w:val="16"/>
        </w:rPr>
        <w:t>permite cursar tráfico de voz entre dos o más localidades diferentes</w:t>
      </w:r>
      <w:r w:rsidRPr="00E96B91">
        <w:rPr>
          <w:sz w:val="16"/>
          <w:szCs w:val="16"/>
        </w:rPr>
        <w:t>” y “</w:t>
      </w:r>
      <w:r w:rsidRPr="00E96B91">
        <w:rPr>
          <w:i/>
          <w:sz w:val="16"/>
          <w:szCs w:val="16"/>
        </w:rPr>
        <w:t>Consiste en el cobro de tarifas a llamadas realizadas a nivel mundial de manera automática o con la asistencia de una operadora, desde los puntos conectados por la red explotada por TELMEX, hacia los países localizados en las siguientes regiones del mundo: (1) Sudamérica, Caribe y Alaska, (2) Europa, África, Cuenca del Mediterráneo, (3) Centro América, y (4) Resto del mundo, Israel y Hawái</w:t>
      </w:r>
      <w:r w:rsidRPr="00E96B91">
        <w:rPr>
          <w:sz w:val="16"/>
          <w:szCs w:val="16"/>
        </w:rPr>
        <w:t>”.</w:t>
      </w:r>
    </w:p>
  </w:footnote>
  <w:footnote w:id="12">
    <w:p w14:paraId="53A1E2F3" w14:textId="5D777224" w:rsidR="00965EC2" w:rsidRPr="00E96B91" w:rsidRDefault="00965EC2">
      <w:pPr>
        <w:pStyle w:val="Textonotapie"/>
        <w:rPr>
          <w:sz w:val="16"/>
          <w:szCs w:val="16"/>
        </w:rPr>
      </w:pPr>
      <w:r w:rsidRPr="00E96B91">
        <w:rPr>
          <w:rStyle w:val="Refdenotaalpie"/>
          <w:rFonts w:ascii="ITC Avant Garde" w:hAnsi="ITC Avant Garde"/>
          <w:sz w:val="16"/>
          <w:szCs w:val="16"/>
        </w:rPr>
        <w:footnoteRef/>
      </w:r>
      <w:r w:rsidRPr="00E96B91">
        <w:rPr>
          <w:rFonts w:ascii="ITC Avant Garde" w:hAnsi="ITC Avant Garde"/>
          <w:sz w:val="16"/>
          <w:szCs w:val="16"/>
        </w:rPr>
        <w:t xml:space="preserve"> </w:t>
      </w:r>
      <w:r w:rsidRPr="00E96B91">
        <w:rPr>
          <w:rFonts w:ascii="ITC Avant Garde" w:hAnsi="ITC Avant Garde" w:cs="Arial"/>
          <w:sz w:val="16"/>
          <w:szCs w:val="16"/>
          <w:lang w:eastAsia="es-ES"/>
        </w:rPr>
        <w:t>Megabytes por segundo</w:t>
      </w:r>
    </w:p>
  </w:footnote>
  <w:footnote w:id="13">
    <w:p w14:paraId="3D108F94" w14:textId="5B1CBAF0" w:rsidR="00965EC2" w:rsidRPr="000E2CD7" w:rsidRDefault="00965EC2" w:rsidP="00181D64">
      <w:pPr>
        <w:pStyle w:val="aaaNOTAalpie"/>
        <w:spacing w:after="0"/>
        <w:rPr>
          <w:rFonts w:ascii="ITC Avant Garde" w:hAnsi="ITC Avant Garde" w:cs="Arial"/>
          <w:sz w:val="16"/>
          <w:szCs w:val="16"/>
        </w:rPr>
      </w:pPr>
      <w:r w:rsidRPr="000E2CD7">
        <w:rPr>
          <w:rStyle w:val="Refdenotaalpie"/>
          <w:rFonts w:ascii="ITC Avant Garde" w:hAnsi="ITC Avant Garde" w:cs="Arial"/>
          <w:sz w:val="16"/>
          <w:szCs w:val="16"/>
        </w:rPr>
        <w:footnoteRef/>
      </w:r>
      <w:r w:rsidRPr="000E2CD7">
        <w:rPr>
          <w:rFonts w:ascii="ITC Avant Garde" w:hAnsi="ITC Avant Garde" w:cs="Arial"/>
          <w:sz w:val="16"/>
          <w:szCs w:val="16"/>
        </w:rPr>
        <w:t xml:space="preserve"> Véase la dirección electrónica: </w:t>
      </w:r>
      <w:hyperlink r:id="rId5" w:history="1">
        <w:r w:rsidRPr="000E2CD7">
          <w:rPr>
            <w:rStyle w:val="Hipervnculo"/>
            <w:rFonts w:ascii="ITC Avant Garde" w:hAnsi="ITC Avant Garde"/>
            <w:sz w:val="16"/>
            <w:szCs w:val="16"/>
          </w:rPr>
          <w:t>https://downloads.telmex.com/pdf/servicios-digitales.pdf</w:t>
        </w:r>
      </w:hyperlink>
      <w:r w:rsidRPr="000E2CD7">
        <w:rPr>
          <w:rFonts w:ascii="ITC Avant Garde" w:hAnsi="ITC Avant Garde" w:cs="Arial"/>
          <w:sz w:val="16"/>
          <w:szCs w:val="16"/>
        </w:rPr>
        <w:t xml:space="preserve"> </w:t>
      </w:r>
    </w:p>
  </w:footnote>
  <w:footnote w:id="14">
    <w:p w14:paraId="524EF4D9" w14:textId="64B3BAB1" w:rsidR="00965EC2" w:rsidRPr="000E2CD7" w:rsidRDefault="00965EC2">
      <w:pPr>
        <w:pStyle w:val="Textonotapie"/>
        <w:rPr>
          <w:sz w:val="22"/>
          <w:szCs w:val="22"/>
        </w:rPr>
      </w:pPr>
      <w:r w:rsidRPr="000E2CD7">
        <w:rPr>
          <w:rStyle w:val="Refdenotaalpie"/>
          <w:rFonts w:ascii="ITC Avant Garde" w:hAnsi="ITC Avant Garde"/>
          <w:sz w:val="16"/>
          <w:szCs w:val="16"/>
        </w:rPr>
        <w:footnoteRef/>
      </w:r>
      <w:r w:rsidRPr="000E2CD7">
        <w:rPr>
          <w:rFonts w:ascii="ITC Avant Garde" w:hAnsi="ITC Avant Garde"/>
          <w:sz w:val="16"/>
          <w:szCs w:val="16"/>
        </w:rPr>
        <w:t xml:space="preserve"> Información disponible en la siguiente dirección electrónica: </w:t>
      </w:r>
      <w:hyperlink r:id="rId6" w:history="1">
        <w:r w:rsidRPr="000E2CD7">
          <w:rPr>
            <w:rStyle w:val="Hipervnculo"/>
            <w:rFonts w:ascii="ITC Avant Garde" w:hAnsi="ITC Avant Garde"/>
            <w:sz w:val="16"/>
            <w:szCs w:val="16"/>
          </w:rPr>
          <w:t>https://downloads.telmex.com/pdf/infoRelevante_ClaroVideo.pdf</w:t>
        </w:r>
      </w:hyperlink>
      <w:r w:rsidRPr="000E2CD7">
        <w:rPr>
          <w:sz w:val="22"/>
          <w:szCs w:val="22"/>
        </w:rPr>
        <w:t xml:space="preserve"> </w:t>
      </w:r>
    </w:p>
  </w:footnote>
  <w:footnote w:id="15">
    <w:p w14:paraId="1176EAC1" w14:textId="77777777" w:rsidR="00965EC2" w:rsidRPr="009C369C" w:rsidRDefault="00965EC2" w:rsidP="007E7D82">
      <w:pPr>
        <w:pStyle w:val="Textonotapie"/>
        <w:jc w:val="both"/>
        <w:rPr>
          <w:rFonts w:ascii="ITC Avant Garde" w:hAnsi="ITC Avant Garde"/>
          <w:sz w:val="22"/>
          <w:szCs w:val="22"/>
        </w:rPr>
      </w:pPr>
      <w:r w:rsidRPr="009C369C">
        <w:rPr>
          <w:rStyle w:val="Refdenotaalpie"/>
          <w:rFonts w:ascii="ITC Avant Garde" w:hAnsi="ITC Avant Garde"/>
          <w:sz w:val="16"/>
          <w:szCs w:val="22"/>
        </w:rPr>
        <w:footnoteRef/>
      </w:r>
      <w:r w:rsidRPr="009C369C">
        <w:rPr>
          <w:rFonts w:ascii="ITC Avant Garde" w:hAnsi="ITC Avant Garde"/>
          <w:sz w:val="16"/>
          <w:szCs w:val="22"/>
        </w:rPr>
        <w:t xml:space="preserve"> Véase la dirección electrónica: </w:t>
      </w:r>
      <w:hyperlink r:id="rId7" w:history="1">
        <w:r w:rsidRPr="009C369C">
          <w:rPr>
            <w:rStyle w:val="Hipervnculo"/>
            <w:rFonts w:ascii="ITC Avant Garde" w:hAnsi="ITC Avant Garde"/>
            <w:sz w:val="16"/>
            <w:szCs w:val="22"/>
          </w:rPr>
          <w:t>https://downloads.telmex.com/pdf/libro-tarifas-telmex.pdf?_ga=2.262187468.1969286310.1662991424-1471557596.1661228773</w:t>
        </w:r>
      </w:hyperlink>
      <w:r w:rsidRPr="009C369C">
        <w:rPr>
          <w:rFonts w:ascii="ITC Avant Garde" w:hAnsi="ITC Avant Garde"/>
          <w:sz w:val="16"/>
          <w:szCs w:val="22"/>
        </w:rPr>
        <w:t xml:space="preserve"> </w:t>
      </w:r>
    </w:p>
  </w:footnote>
  <w:footnote w:id="16">
    <w:p w14:paraId="3298B420" w14:textId="40CE1505" w:rsidR="00965EC2" w:rsidRPr="00583787" w:rsidRDefault="00965EC2">
      <w:pPr>
        <w:pStyle w:val="Textonotapie"/>
        <w:rPr>
          <w:rFonts w:ascii="ITC Avant Garde" w:hAnsi="ITC Avant Garde" w:cs="IrisUPC"/>
        </w:rPr>
      </w:pPr>
      <w:r w:rsidRPr="00583787">
        <w:rPr>
          <w:rStyle w:val="Refdenotaalpie"/>
          <w:rFonts w:ascii="ITC Avant Garde" w:hAnsi="ITC Avant Garde" w:cs="IrisUPC"/>
          <w:sz w:val="16"/>
        </w:rPr>
        <w:footnoteRef/>
      </w:r>
      <w:r w:rsidRPr="00583787">
        <w:rPr>
          <w:rFonts w:ascii="ITC Avant Garde" w:hAnsi="ITC Avant Garde" w:cs="IrisUPC"/>
          <w:sz w:val="16"/>
        </w:rPr>
        <w:t xml:space="preserve"> De acuerdo con el propio TELMEX/TELNOR, esta una promoción que consiste en que los clientes residenciales nuevos o existentes paguen durante los primeros tres meses la renta del paquete inmediato inferior, y a partir del cuarto mes la renta mensual del paquete contratado. Aplica a los paquetes: Paquete 435, Paquete 499 y Paquete 599 vigentes y modificaciones subsecuentes a éstos. </w:t>
      </w:r>
      <w:hyperlink r:id="rId8" w:history="1">
        <w:r w:rsidRPr="00583787">
          <w:rPr>
            <w:rStyle w:val="Hipervnculo"/>
            <w:rFonts w:ascii="ITC Avant Garde" w:hAnsi="ITC Avant Garde" w:cs="IrisUPC"/>
            <w:sz w:val="16"/>
          </w:rPr>
          <w:t>https://downloads.telmex.com/pdf/condiciones-paquetes-superiores.pdf?_ga=2.168876648.877688520.1658153842-1148093154.1654910611</w:t>
        </w:r>
      </w:hyperlink>
      <w:r w:rsidRPr="00583787">
        <w:rPr>
          <w:rFonts w:ascii="ITC Avant Garde" w:hAnsi="ITC Avant Garde" w:cs="IrisUPC"/>
          <w:sz w:val="16"/>
        </w:rPr>
        <w:t xml:space="preserve"> </w:t>
      </w:r>
    </w:p>
  </w:footnote>
  <w:footnote w:id="17">
    <w:p w14:paraId="66EF070E" w14:textId="242E730C" w:rsidR="00965EC2" w:rsidRPr="009C369C" w:rsidRDefault="00965EC2" w:rsidP="00583787">
      <w:pPr>
        <w:pStyle w:val="Textonotapie"/>
        <w:jc w:val="both"/>
        <w:rPr>
          <w:rFonts w:ascii="ITC Avant Garde" w:hAnsi="ITC Avant Garde"/>
          <w:sz w:val="16"/>
          <w:szCs w:val="16"/>
        </w:rPr>
      </w:pPr>
      <w:r w:rsidRPr="009C369C">
        <w:rPr>
          <w:rStyle w:val="Refdenotaalpie"/>
          <w:rFonts w:ascii="ITC Avant Garde" w:hAnsi="ITC Avant Garde"/>
          <w:sz w:val="16"/>
          <w:szCs w:val="16"/>
        </w:rPr>
        <w:footnoteRef/>
      </w:r>
      <w:r w:rsidRPr="009C369C">
        <w:rPr>
          <w:rFonts w:ascii="ITC Avant Garde" w:hAnsi="ITC Avant Garde"/>
          <w:sz w:val="16"/>
          <w:szCs w:val="16"/>
        </w:rPr>
        <w:t xml:space="preserve"> Referente a los planes y paquetes: “</w:t>
      </w:r>
      <w:r w:rsidRPr="009C369C">
        <w:rPr>
          <w:rFonts w:ascii="ITC Avant Garde" w:hAnsi="ITC Avant Garde"/>
          <w:i/>
          <w:sz w:val="16"/>
          <w:szCs w:val="16"/>
        </w:rPr>
        <w:t>Paquete Infinitum Entretenimiento 30; Paquete Infinitum  Entretenimiento 40; Paquete Infinitum Entretenimiento 50; Paquete Infinitum Entretenimiento 250; Paquete Infinitum Entretenimiento 500; Infinitum Entretenimiento 30; Infinitum Entretenimiento 40; Infinitum Entretenimiento 120; Infinitum Entretenimiento 200; Infinitum Entretenimiento 500; Paquete infinitum Entretenimiento+ 30  (Netflix 1 dispositivo); Paquete infinitum Entretenimiento+ 30  (Netflix 2 dispositivos); Paquete infinitum Entretenimiento+ 30  (Netflix 4 dispositivos); Paquete Infinitum Entretenimiento+ 70   (Netflix 2 dispositivos); Paquete Infinitum Entretenimiento+ 70   (Netflix 4 dispositivos); Paquete Infinitum Entretenimiento+ 120    (Netflix 2 dispositivos); Paquete Infinitum Entretenimiento+ 120    (Netflix 4 dispositivos); Paquete infinitum Entretenimiento+ 200  (Netflix 4 dispositivos); Paquete infinitum Entretenimiento+ 200  (Netflix 2 dispositivos); Paquete infinitum Entretenimiento+ 500 (Netflix 4 dispositivos); Paquete infinitum Entretenimiento+ 500  (Netflix 2 dispositivos); Infinitum Entretenimiento +30   (Netflix 1 dispositivo); Infinitum Entretenimiento +30   (Netflix 2 dispositivos); Infinitum Entretenimiento +30   (Netflix 4 dispositivos); Infinitum Entretenimiento+ 70  (Netflix 2 dispositivos); Infinitum Entretenimiento+ 70  (Netflix 4 dispositivos); Infinitum Entretenimiento+ 120 (Netflix 2 dispositivos); Infinitum Entretenimiento+ 120 (Netflix 4 dispositivos); Infinitum Entretenimiento+ 250  (Netflix 4 dispositivos); Infinitum Entretenimiento+ 250  (Netflix 2 dispositivos); Infinitum Entretenimiento+ 500   (Netflix 4 dispositivos); Infinitum Entretenimiento+ 500   (Netflix 2 dispositivos).</w:t>
      </w:r>
      <w:r w:rsidRPr="009C369C">
        <w:rPr>
          <w:rFonts w:ascii="ITC Avant Garde" w:hAnsi="ITC Avant Garde"/>
          <w:sz w:val="16"/>
          <w:szCs w:val="16"/>
        </w:rPr>
        <w:t>”</w:t>
      </w:r>
    </w:p>
  </w:footnote>
  <w:footnote w:id="18">
    <w:p w14:paraId="2AE81236" w14:textId="32B60A36" w:rsidR="00965EC2" w:rsidRPr="009C369C" w:rsidRDefault="00965EC2" w:rsidP="00181D64">
      <w:pPr>
        <w:pStyle w:val="aaaNOTAalpie"/>
        <w:rPr>
          <w:rFonts w:ascii="ITC Avant Garde" w:hAnsi="ITC Avant Garde" w:cs="Arial"/>
          <w:sz w:val="16"/>
          <w:szCs w:val="16"/>
        </w:rPr>
      </w:pPr>
      <w:r w:rsidRPr="009C369C">
        <w:rPr>
          <w:rStyle w:val="Refdenotaalpie"/>
          <w:rFonts w:ascii="ITC Avant Garde" w:hAnsi="ITC Avant Garde" w:cs="Arial"/>
          <w:sz w:val="16"/>
          <w:szCs w:val="16"/>
        </w:rPr>
        <w:footnoteRef/>
      </w:r>
      <w:r w:rsidRPr="009C369C">
        <w:rPr>
          <w:rFonts w:ascii="ITC Avant Garde" w:hAnsi="ITC Avant Garde" w:cs="Arial"/>
          <w:sz w:val="16"/>
          <w:szCs w:val="16"/>
        </w:rPr>
        <w:t xml:space="preserve"> Es decir, la unidad aplicable a cada elemento o servicio que se incluye en los planes y paquetes de TELMEX/TELNOR.</w:t>
      </w:r>
    </w:p>
  </w:footnote>
  <w:footnote w:id="19">
    <w:p w14:paraId="5A96E8BF" w14:textId="1D9D8676" w:rsidR="00965EC2" w:rsidRPr="00C348CB" w:rsidRDefault="00965EC2" w:rsidP="00547732">
      <w:pPr>
        <w:pStyle w:val="Textonotapie"/>
        <w:jc w:val="both"/>
        <w:rPr>
          <w:sz w:val="16"/>
          <w:szCs w:val="16"/>
        </w:rPr>
      </w:pPr>
      <w:r w:rsidRPr="00547732">
        <w:rPr>
          <w:rStyle w:val="Refdenotaalpie"/>
          <w:rFonts w:ascii="ITC Avant Garde" w:hAnsi="ITC Avant Garde"/>
          <w:sz w:val="16"/>
          <w:szCs w:val="16"/>
        </w:rPr>
        <w:footnoteRef/>
      </w:r>
      <w:r w:rsidRPr="00547732">
        <w:rPr>
          <w:rFonts w:ascii="ITC Avant Garde" w:hAnsi="ITC Avant Garde"/>
          <w:sz w:val="16"/>
          <w:szCs w:val="16"/>
        </w:rPr>
        <w:t xml:space="preserve"> Ver página 4 del documento “</w:t>
      </w:r>
      <w:r w:rsidRPr="00547732">
        <w:rPr>
          <w:rFonts w:ascii="ITC Avant Garde" w:hAnsi="ITC Avant Garde"/>
          <w:i/>
          <w:sz w:val="16"/>
          <w:szCs w:val="16"/>
        </w:rPr>
        <w:t>CONDICIONES DEL SERVICIO DE TELEFONÍA BÁSICA PARA MERCADO RESIDENCIAL Y COMERCIAL (MASIVO)</w:t>
      </w:r>
      <w:r w:rsidRPr="00547732">
        <w:rPr>
          <w:rFonts w:ascii="ITC Avant Garde" w:hAnsi="ITC Avant Garde"/>
          <w:sz w:val="16"/>
          <w:szCs w:val="16"/>
        </w:rPr>
        <w:t xml:space="preserve">”, disponible a través de la dirección electrónica: </w:t>
      </w:r>
      <w:hyperlink r:id="rId9" w:history="1">
        <w:r w:rsidRPr="00547732">
          <w:rPr>
            <w:rFonts w:ascii="ITC Avant Garde" w:hAnsi="ITC Avant Garde"/>
            <w:color w:val="0563C1"/>
            <w:sz w:val="16"/>
            <w:szCs w:val="16"/>
            <w:u w:val="single"/>
          </w:rPr>
          <w:t>https://downloads.telmex.com/pdf/ServiciosMercadoMasivo.pdf</w:t>
        </w:r>
      </w:hyperlink>
    </w:p>
  </w:footnote>
  <w:footnote w:id="20">
    <w:p w14:paraId="0B007F9C" w14:textId="77777777" w:rsidR="00965EC2" w:rsidRPr="00F435AC" w:rsidRDefault="00965EC2" w:rsidP="005342B1">
      <w:pPr>
        <w:pStyle w:val="Textonotapie"/>
        <w:jc w:val="both"/>
        <w:rPr>
          <w:rFonts w:ascii="ITC Avant Garde" w:hAnsi="ITC Avant Garde"/>
          <w:sz w:val="14"/>
          <w:szCs w:val="14"/>
        </w:rPr>
      </w:pPr>
      <w:r w:rsidRPr="00F435AC">
        <w:rPr>
          <w:rStyle w:val="Refdenotaalpie"/>
          <w:rFonts w:ascii="ITC Avant Garde" w:hAnsi="ITC Avant Garde"/>
          <w:sz w:val="14"/>
          <w:szCs w:val="14"/>
        </w:rPr>
        <w:footnoteRef/>
      </w:r>
      <w:r w:rsidRPr="00F435AC">
        <w:rPr>
          <w:rFonts w:ascii="ITC Avant Garde" w:hAnsi="ITC Avant Garde"/>
          <w:sz w:val="14"/>
          <w:szCs w:val="14"/>
        </w:rPr>
        <w:t xml:space="preserve"> </w:t>
      </w:r>
      <w:r w:rsidRPr="005342B1">
        <w:rPr>
          <w:rFonts w:ascii="ITC Avant Garde" w:hAnsi="ITC Avant Garde"/>
          <w:sz w:val="14"/>
          <w:szCs w:val="14"/>
        </w:rPr>
        <w:t>Lo anterior, en consistencia con lo analizado por el Instituto en el numeral “</w:t>
      </w:r>
      <w:r w:rsidRPr="005342B1">
        <w:rPr>
          <w:rFonts w:ascii="ITC Avant Garde" w:hAnsi="ITC Avant Garde"/>
          <w:i/>
          <w:sz w:val="14"/>
          <w:szCs w:val="14"/>
        </w:rPr>
        <w:t>6.1 SERVCIOS PROPORCIONADOS POR TERCEROS</w:t>
      </w:r>
      <w:r w:rsidRPr="005342B1">
        <w:rPr>
          <w:rFonts w:ascii="ITC Avant Garde" w:hAnsi="ITC Avant Garde"/>
          <w:sz w:val="14"/>
          <w:szCs w:val="14"/>
        </w:rPr>
        <w:t>” de la “</w:t>
      </w:r>
      <w:r w:rsidRPr="005342B1">
        <w:rPr>
          <w:rFonts w:ascii="ITC Avant Garde" w:hAnsi="ITC Avant Garde"/>
          <w:i/>
          <w:sz w:val="14"/>
          <w:szCs w:val="14"/>
        </w:rPr>
        <w:t>Resolución mediante la cual el Pleno del Instituto Federal de Telecomunicaciones modifica y aprueba los términos y condiciones de las Ofertas de Referencia para la prestación de los Servicios de Desagregación presentadas por Teléfonos de México, S.A.B. de C.V. y Teléfonos del Noroeste, S.A. de C.V. aplicables del 1 de enero al 31 de diciembre de 2022</w:t>
      </w:r>
      <w:r w:rsidRPr="005342B1">
        <w:rPr>
          <w:rFonts w:ascii="ITC Avant Garde" w:hAnsi="ITC Avant Garde"/>
          <w:sz w:val="14"/>
          <w:szCs w:val="14"/>
        </w:rPr>
        <w:t>”, por la cual los servicios de terceros no forman parte de la Oferta de Referencia de Desagregación del Bucle Local.</w:t>
      </w:r>
    </w:p>
  </w:footnote>
  <w:footnote w:id="21">
    <w:p w14:paraId="6309252E" w14:textId="77777777" w:rsidR="00965EC2" w:rsidRPr="003C6E6B" w:rsidRDefault="00965EC2" w:rsidP="00181D64">
      <w:pPr>
        <w:pStyle w:val="aaaNOTAalpie"/>
        <w:spacing w:after="0"/>
        <w:rPr>
          <w:rFonts w:ascii="ITC Avant Garde" w:hAnsi="ITC Avant Garde"/>
          <w:sz w:val="20"/>
          <w:szCs w:val="20"/>
        </w:rPr>
      </w:pPr>
      <w:r w:rsidRPr="003C6E6B">
        <w:rPr>
          <w:rStyle w:val="Refdenotaalpie"/>
          <w:rFonts w:ascii="ITC Avant Garde" w:hAnsi="ITC Avant Garde" w:cs="Arial"/>
          <w:sz w:val="16"/>
          <w:szCs w:val="16"/>
        </w:rPr>
        <w:footnoteRef/>
      </w:r>
      <w:r w:rsidRPr="003C6E6B">
        <w:rPr>
          <w:rFonts w:ascii="ITC Avant Garde" w:hAnsi="ITC Avant Garde" w:cs="Arial"/>
          <w:sz w:val="16"/>
          <w:szCs w:val="16"/>
        </w:rPr>
        <w:t xml:space="preserve"> </w:t>
      </w:r>
      <w:r w:rsidRPr="003C6E6B">
        <w:rPr>
          <w:rFonts w:ascii="ITC Avant Garde" w:hAnsi="ITC Avant Garde" w:cs="Arial"/>
          <w:sz w:val="16"/>
          <w:szCs w:val="16"/>
        </w:rPr>
        <w:tab/>
        <w:t>En el caso de la “línea residencial”, se incluyen 3 servicios digitales en la renta mensual.</w:t>
      </w:r>
    </w:p>
  </w:footnote>
  <w:footnote w:id="22">
    <w:p w14:paraId="70E43FB2" w14:textId="2F6D47BF" w:rsidR="00965EC2" w:rsidRPr="003C6E6B" w:rsidRDefault="00965EC2" w:rsidP="00181D64">
      <w:pPr>
        <w:pStyle w:val="aaaNOTAalpie"/>
        <w:rPr>
          <w:sz w:val="16"/>
          <w:szCs w:val="16"/>
        </w:rPr>
      </w:pPr>
      <w:r w:rsidRPr="003C6E6B">
        <w:rPr>
          <w:rStyle w:val="Refdenotaalpie"/>
          <w:rFonts w:ascii="ITC Avant Garde" w:hAnsi="ITC Avant Garde"/>
          <w:sz w:val="16"/>
          <w:szCs w:val="16"/>
        </w:rPr>
        <w:footnoteRef/>
      </w:r>
      <w:r w:rsidRPr="003C6E6B">
        <w:rPr>
          <w:rFonts w:ascii="ITC Avant Garde" w:hAnsi="ITC Avant Garde"/>
          <w:sz w:val="16"/>
          <w:szCs w:val="16"/>
        </w:rPr>
        <w:t xml:space="preserve"> </w:t>
      </w:r>
      <w:r w:rsidRPr="003C6E6B">
        <w:rPr>
          <w:rFonts w:ascii="ITC Avant Garde" w:hAnsi="ITC Avant Garde"/>
          <w:sz w:val="16"/>
          <w:szCs w:val="16"/>
        </w:rPr>
        <w:tab/>
        <w:t>Estimado con una aproximación del precio promedio del minuto, de acuerdo con las características del “Plan Local Sin Límites”, y un factor del uso de los minutos incluidos en los diferentes planes y paquetes en lo</w:t>
      </w:r>
      <w:r>
        <w:rPr>
          <w:rFonts w:ascii="ITC Avant Garde" w:hAnsi="ITC Avant Garde"/>
          <w:sz w:val="16"/>
          <w:szCs w:val="16"/>
        </w:rPr>
        <w:t>s</w:t>
      </w:r>
      <w:r w:rsidRPr="003C6E6B">
        <w:rPr>
          <w:rFonts w:ascii="ITC Avant Garde" w:hAnsi="ITC Avant Garde"/>
          <w:sz w:val="16"/>
          <w:szCs w:val="16"/>
        </w:rPr>
        <w:t xml:space="preserve"> que TELMEX/TELNOR ofrecen telefonía fija en su modalidad residencial.</w:t>
      </w:r>
    </w:p>
  </w:footnote>
  <w:footnote w:id="23">
    <w:p w14:paraId="4C96A9CB" w14:textId="25EEBE5F" w:rsidR="00965EC2" w:rsidRPr="00713EFD" w:rsidRDefault="00965EC2" w:rsidP="00713EFD">
      <w:pPr>
        <w:pStyle w:val="Textonotapie"/>
        <w:jc w:val="both"/>
        <w:rPr>
          <w:rFonts w:ascii="ITC Avant Garde" w:hAnsi="ITC Avant Garde"/>
          <w:sz w:val="22"/>
          <w:szCs w:val="22"/>
        </w:rPr>
      </w:pPr>
      <w:r w:rsidRPr="00713EFD">
        <w:rPr>
          <w:rStyle w:val="Refdenotaalpie"/>
          <w:rFonts w:ascii="ITC Avant Garde" w:hAnsi="ITC Avant Garde"/>
          <w:sz w:val="16"/>
          <w:szCs w:val="22"/>
        </w:rPr>
        <w:footnoteRef/>
      </w:r>
      <w:r w:rsidRPr="00713EFD">
        <w:rPr>
          <w:rFonts w:ascii="ITC Avant Garde" w:hAnsi="ITC Avant Garde"/>
          <w:sz w:val="16"/>
          <w:szCs w:val="22"/>
        </w:rPr>
        <w:t xml:space="preserve"> </w:t>
      </w:r>
      <w:r w:rsidRPr="00713EFD">
        <w:rPr>
          <w:rFonts w:ascii="ITC Avant Garde" w:hAnsi="ITC Avant Garde"/>
          <w:sz w:val="16"/>
          <w:szCs w:val="16"/>
        </w:rPr>
        <w:t>Lo anterior, en consistencia con lo analizado por el Instituto en el numeral “</w:t>
      </w:r>
      <w:r w:rsidRPr="00713EFD">
        <w:rPr>
          <w:rFonts w:ascii="ITC Avant Garde" w:hAnsi="ITC Avant Garde"/>
          <w:i/>
          <w:sz w:val="16"/>
          <w:szCs w:val="16"/>
        </w:rPr>
        <w:t>6.1 SERVCIOS PROPORCIONADOS POR TERCEROS</w:t>
      </w:r>
      <w:r w:rsidRPr="00713EFD">
        <w:rPr>
          <w:rFonts w:ascii="ITC Avant Garde" w:hAnsi="ITC Avant Garde"/>
          <w:sz w:val="16"/>
          <w:szCs w:val="16"/>
        </w:rPr>
        <w:t>” de la “</w:t>
      </w:r>
      <w:r w:rsidRPr="00713EFD">
        <w:rPr>
          <w:rFonts w:ascii="ITC Avant Garde" w:hAnsi="ITC Avant Garde"/>
          <w:i/>
          <w:sz w:val="16"/>
          <w:szCs w:val="16"/>
        </w:rPr>
        <w:t>Resolución mediante la cual el Pleno del Instituto Federal de Telecomunicaciones modifica y aprueba los términos y condiciones de las Ofertas de Referencia para la prestación de los Servicios de Desagregación presentadas por Teléfonos de México, S.A.B. de C.V. y Teléfonos del Noroeste, S.A. de C.V. aplicables del 1 de enero al 31 de diciembre de 2022</w:t>
      </w:r>
      <w:r w:rsidRPr="00713EFD">
        <w:rPr>
          <w:rFonts w:ascii="ITC Avant Garde" w:hAnsi="ITC Avant Garde"/>
          <w:sz w:val="16"/>
          <w:szCs w:val="16"/>
        </w:rPr>
        <w:t>”, por la cual los servicios de terceros no forman parte de la Oferta de Referencia de Desagregación del Bucle Local.</w:t>
      </w:r>
    </w:p>
  </w:footnote>
  <w:footnote w:id="24">
    <w:p w14:paraId="59684AE4" w14:textId="6966ED65" w:rsidR="00965EC2" w:rsidRDefault="00965EC2" w:rsidP="00DA38FC">
      <w:pPr>
        <w:pStyle w:val="Textonotapie"/>
        <w:jc w:val="both"/>
      </w:pPr>
      <w:r w:rsidRPr="00DA38FC">
        <w:rPr>
          <w:rStyle w:val="Refdenotaalpie"/>
          <w:rFonts w:ascii="ITC Avant Garde" w:hAnsi="ITC Avant Garde"/>
          <w:sz w:val="14"/>
          <w:szCs w:val="14"/>
        </w:rPr>
        <w:footnoteRef/>
      </w:r>
      <w:r w:rsidRPr="00DA38FC">
        <w:rPr>
          <w:rFonts w:ascii="ITC Avant Garde" w:hAnsi="ITC Avant Garde"/>
          <w:sz w:val="14"/>
          <w:szCs w:val="14"/>
        </w:rPr>
        <w:t xml:space="preserve"> </w:t>
      </w:r>
      <w:r>
        <w:rPr>
          <w:rFonts w:ascii="ITC Avant Garde" w:hAnsi="ITC Avant Garde"/>
          <w:sz w:val="14"/>
          <w:szCs w:val="14"/>
        </w:rPr>
        <w:t>P</w:t>
      </w:r>
      <w:r w:rsidRPr="00DA38FC">
        <w:rPr>
          <w:rFonts w:ascii="ITC Avant Garde" w:hAnsi="ITC Avant Garde"/>
          <w:sz w:val="14"/>
          <w:szCs w:val="14"/>
        </w:rPr>
        <w:t>ara planes y paquetes denominados como: “</w:t>
      </w:r>
      <w:r w:rsidRPr="00DA38FC">
        <w:rPr>
          <w:rFonts w:ascii="ITC Avant Garde" w:hAnsi="ITC Avant Garde"/>
          <w:i/>
          <w:sz w:val="14"/>
          <w:szCs w:val="14"/>
        </w:rPr>
        <w:t>Paquete Infinitum Entretenimiento 30; Paquete Infinitum  Entretenimiento 40; Paquete Infinitum Entretenimiento 50; Paquete Infinitum Entretenimiento 250; Paquete Infinitum Entretenimiento 500; Infinitum Entretenimiento 30; Infinitum Entretenimiento 40; Infinitum Entretenimiento 120; Infinitum Entretenimiento 200; Infinitum Entretenimiento 500; Paquete infinitum Entretenimiento+ 30  (Netflix 1 dispositivo); Paquete infinitum Entretenimiento+ 30  (Netflix 2 dispositivos); Paquete infinitum Entretenimiento+ 30  (Netflix 4 dispositivos); Paquete Infinitum Entretenimiento+ 70   (Netflix 2 dispositivos); Paquete Infinitum Entretenimiento+ 70   (Netflix 4 dispositivos); Paquete Infinitum Entretenimiento+ 120    (Netflix 2 dispositivos); Paquete Infinitum Entretenimiento+ 120    (Netflix 4 dispositivos); Paquete infinitum Entretenimiento+ 200  (Netflix 4 dispositivos); Paquete infinitum Entretenimiento+ 200  (Netflix 2 dispositivos); Paquete infinitum Entretenimiento+ 500 (Netflix 4 dispositivos); Paquete infinitum Entretenimiento+ 500  (Netflix 2 dispositivos); Infinitum Entretenimiento +30</w:t>
      </w:r>
      <w:r w:rsidRPr="007B405B">
        <w:rPr>
          <w:i/>
        </w:rPr>
        <w:t xml:space="preserve">   </w:t>
      </w:r>
      <w:r w:rsidRPr="00DA38FC">
        <w:rPr>
          <w:rFonts w:ascii="ITC Avant Garde" w:hAnsi="ITC Avant Garde"/>
          <w:i/>
          <w:sz w:val="14"/>
          <w:szCs w:val="14"/>
        </w:rPr>
        <w:t>(Netflix 1 dispositivo); Infinitum Entretenimiento +30   (Netflix 2 dispositivos); Infinitum Entretenimiento +30   (Netflix 4 dispositivos); Infinitum Entretenimiento+ 70  (Netflix 2 dispositivos); Infinitum Entretenimiento+ 70  (Netflix 4 dispositivos); Infinitum Entretenimiento+ 120 (Netflix 2 dispositivos); Infinitum Entretenimiento+ 120 (Netflix 4 dispositivos); Infinitum Entretenimiento+ 250  (Netflix 4 dispositivos); Infinitum Entretenimiento+ 250  (Netflix 2 dispositivos); Infinitum Entretenimiento+ 500   (Netflix 4 dispositivos); Infinitum Entretenimiento+ 500   (Netflix 2 dispositivos).</w:t>
      </w:r>
      <w:r w:rsidRPr="00DA38FC">
        <w:rPr>
          <w:rFonts w:ascii="ITC Avant Garde" w:hAnsi="ITC Avant Garde"/>
          <w:sz w:val="14"/>
          <w:szCs w:val="14"/>
        </w:rPr>
        <w:t>”</w:t>
      </w:r>
    </w:p>
  </w:footnote>
  <w:footnote w:id="25">
    <w:p w14:paraId="5691594B" w14:textId="77777777" w:rsidR="00965EC2" w:rsidRPr="000338C9" w:rsidRDefault="00965EC2" w:rsidP="00133B12">
      <w:pPr>
        <w:pStyle w:val="Textonotapie"/>
        <w:rPr>
          <w:rFonts w:ascii="ITC Avant Garde" w:hAnsi="ITC Avant Garde"/>
          <w:sz w:val="16"/>
          <w:szCs w:val="16"/>
        </w:rPr>
      </w:pPr>
      <w:r w:rsidRPr="000338C9">
        <w:rPr>
          <w:rStyle w:val="Refdenotaalpie"/>
          <w:rFonts w:ascii="ITC Avant Garde" w:hAnsi="ITC Avant Garde"/>
          <w:sz w:val="16"/>
          <w:szCs w:val="16"/>
        </w:rPr>
        <w:footnoteRef/>
      </w:r>
      <w:r w:rsidRPr="000338C9">
        <w:rPr>
          <w:rFonts w:ascii="ITC Avant Garde" w:hAnsi="ITC Avant Garde"/>
          <w:sz w:val="16"/>
          <w:szCs w:val="16"/>
        </w:rPr>
        <w:t xml:space="preserve"> Véase </w:t>
      </w:r>
      <w:hyperlink r:id="rId10" w:history="1">
        <w:r w:rsidRPr="000338C9">
          <w:rPr>
            <w:rStyle w:val="Hipervnculo"/>
            <w:rFonts w:ascii="ITC Avant Garde" w:hAnsi="ITC Avant Garde"/>
            <w:sz w:val="16"/>
            <w:szCs w:val="16"/>
          </w:rPr>
          <w:t>https://downloads.telmex.com/pdf/condiciones-paquetes-superiores.pdf</w:t>
        </w:r>
      </w:hyperlink>
      <w:r w:rsidRPr="000338C9">
        <w:rPr>
          <w:rFonts w:ascii="ITC Avant Garde" w:hAnsi="ITC Avant Garde"/>
          <w:sz w:val="16"/>
          <w:szCs w:val="16"/>
        </w:rPr>
        <w:t xml:space="preserve"> </w:t>
      </w:r>
    </w:p>
  </w:footnote>
  <w:footnote w:id="26">
    <w:p w14:paraId="7F6C7A0F" w14:textId="482420A3" w:rsidR="00965EC2" w:rsidRPr="000338C9" w:rsidRDefault="00965EC2" w:rsidP="00181D64">
      <w:pPr>
        <w:pStyle w:val="Textonotapie"/>
        <w:rPr>
          <w:rFonts w:ascii="ITC Avant Garde" w:hAnsi="ITC Avant Garde" w:cs="Arial"/>
          <w:sz w:val="16"/>
          <w:szCs w:val="16"/>
        </w:rPr>
      </w:pPr>
      <w:r w:rsidRPr="000338C9">
        <w:rPr>
          <w:rStyle w:val="Refdenotaalpie"/>
          <w:rFonts w:ascii="ITC Avant Garde" w:hAnsi="ITC Avant Garde" w:cs="Arial"/>
          <w:sz w:val="16"/>
          <w:szCs w:val="16"/>
        </w:rPr>
        <w:footnoteRef/>
      </w:r>
      <w:r w:rsidRPr="000338C9">
        <w:rPr>
          <w:rFonts w:ascii="ITC Avant Garde" w:hAnsi="ITC Avant Garde" w:cs="Arial"/>
          <w:sz w:val="16"/>
          <w:szCs w:val="16"/>
        </w:rPr>
        <w:t xml:space="preserve"> Véase: </w:t>
      </w:r>
      <w:hyperlink r:id="rId11" w:history="1">
        <w:r w:rsidRPr="000338C9">
          <w:rPr>
            <w:rStyle w:val="Hipervnculo"/>
            <w:rFonts w:ascii="ITC Avant Garde" w:hAnsi="ITC Avant Garde"/>
            <w:sz w:val="16"/>
            <w:szCs w:val="16"/>
            <w:lang w:val="fr-FR"/>
          </w:rPr>
          <w:t>https://www.clarovideo.com/fe/sitesplus/sk_telmex/html/esp/faqs.html</w:t>
        </w:r>
      </w:hyperlink>
    </w:p>
  </w:footnote>
  <w:footnote w:id="27">
    <w:p w14:paraId="07BB3FE2" w14:textId="77777777" w:rsidR="00965EC2" w:rsidRPr="007B464C" w:rsidRDefault="00965EC2" w:rsidP="00F34A81">
      <w:pPr>
        <w:pStyle w:val="IFTnormal"/>
        <w:rPr>
          <w:sz w:val="16"/>
          <w:szCs w:val="16"/>
        </w:rPr>
      </w:pPr>
      <w:r w:rsidRPr="007B464C">
        <w:rPr>
          <w:rStyle w:val="Refdenotaalpie"/>
          <w:sz w:val="16"/>
          <w:szCs w:val="16"/>
        </w:rPr>
        <w:footnoteRef/>
      </w:r>
      <w:r w:rsidRPr="007B464C">
        <w:rPr>
          <w:sz w:val="16"/>
          <w:szCs w:val="16"/>
        </w:rPr>
        <w:t xml:space="preserve"> En el caso de planes y paquetes de telefonía e Internet de manera conjunta, incluyen 5 servicios digitales dentro de la renta mensual.</w:t>
      </w:r>
    </w:p>
  </w:footnote>
  <w:footnote w:id="28">
    <w:p w14:paraId="2FBD15E7" w14:textId="01BECC6C" w:rsidR="00965EC2" w:rsidRPr="002326AB" w:rsidRDefault="00965EC2">
      <w:pPr>
        <w:pStyle w:val="Textonotapie"/>
        <w:rPr>
          <w:rFonts w:ascii="ITC Avant Garde" w:hAnsi="ITC Avant Garde"/>
          <w:sz w:val="14"/>
          <w:szCs w:val="14"/>
        </w:rPr>
      </w:pPr>
      <w:r w:rsidRPr="002326AB">
        <w:rPr>
          <w:rStyle w:val="Refdenotaalpie"/>
          <w:rFonts w:ascii="ITC Avant Garde" w:hAnsi="ITC Avant Garde"/>
          <w:sz w:val="14"/>
          <w:szCs w:val="14"/>
        </w:rPr>
        <w:footnoteRef/>
      </w:r>
      <w:r w:rsidRPr="002326AB">
        <w:rPr>
          <w:rFonts w:ascii="ITC Avant Garde" w:hAnsi="ITC Avant Garde"/>
          <w:sz w:val="14"/>
          <w:szCs w:val="14"/>
        </w:rPr>
        <w:t xml:space="preserve"> </w:t>
      </w:r>
      <w:r>
        <w:rPr>
          <w:rFonts w:ascii="ITC Avant Garde" w:hAnsi="ITC Avant Garde"/>
          <w:sz w:val="14"/>
          <w:szCs w:val="14"/>
        </w:rPr>
        <w:t>Excluyendo</w:t>
      </w:r>
      <w:r w:rsidRPr="00E84011">
        <w:rPr>
          <w:rFonts w:ascii="ITC Avant Garde" w:hAnsi="ITC Avant Garde"/>
          <w:sz w:val="14"/>
          <w:szCs w:val="14"/>
        </w:rPr>
        <w:t xml:space="preserve"> aquellos servicios analizados por el Instituto en el numeral “</w:t>
      </w:r>
      <w:r w:rsidRPr="00E84011">
        <w:rPr>
          <w:rFonts w:ascii="ITC Avant Garde" w:hAnsi="ITC Avant Garde"/>
          <w:i/>
          <w:sz w:val="14"/>
          <w:szCs w:val="14"/>
        </w:rPr>
        <w:t>6.1 SERVCIOS PROPORCIONADOS POR TERCEROS</w:t>
      </w:r>
      <w:r w:rsidRPr="00E84011">
        <w:rPr>
          <w:rFonts w:ascii="ITC Avant Garde" w:hAnsi="ITC Avant Garde"/>
          <w:sz w:val="14"/>
          <w:szCs w:val="14"/>
        </w:rPr>
        <w:t>” de la “</w:t>
      </w:r>
      <w:r w:rsidRPr="00E84011">
        <w:rPr>
          <w:rFonts w:ascii="ITC Avant Garde" w:hAnsi="ITC Avant Garde"/>
          <w:i/>
          <w:sz w:val="14"/>
          <w:szCs w:val="14"/>
        </w:rPr>
        <w:t>Resolución mediante la cual el Pleno del Instituto Federal de Telecomunicaciones modifica y aprueba los términos y condiciones de las Ofertas de Referencia para la prestación de los Servicios de Desagregación presentadas por Teléfonos de México, S.A.B. de C.V. y Teléfonos del Noroeste, S.A. de C.V. aplicables del 1 de enero al 31 de diciembre de 2022</w:t>
      </w:r>
      <w:r w:rsidRPr="00E84011">
        <w:rPr>
          <w:rFonts w:ascii="ITC Avant Garde" w:hAnsi="ITC Avant Garde"/>
          <w:sz w:val="14"/>
          <w:szCs w:val="14"/>
        </w:rPr>
        <w:t>”, por la cual los servicios de terceros no forman parte de la Oferta de Referencia de Desagregación del Bucle Local.</w:t>
      </w:r>
    </w:p>
  </w:footnote>
  <w:footnote w:id="29">
    <w:p w14:paraId="25B6A1BC" w14:textId="0C23A3E9" w:rsidR="00965EC2" w:rsidRPr="004676C5" w:rsidRDefault="00965EC2" w:rsidP="004676C5">
      <w:pPr>
        <w:pStyle w:val="Textonotapie"/>
        <w:ind w:left="284" w:hanging="284"/>
        <w:jc w:val="both"/>
        <w:rPr>
          <w:rFonts w:ascii="ITC Avant Garde" w:hAnsi="ITC Avant Garde"/>
          <w:sz w:val="16"/>
          <w:szCs w:val="16"/>
        </w:rPr>
      </w:pPr>
      <w:r w:rsidRPr="004676C5">
        <w:rPr>
          <w:rStyle w:val="Refdenotaalpie"/>
          <w:rFonts w:ascii="ITC Avant Garde" w:hAnsi="ITC Avant Garde"/>
          <w:sz w:val="16"/>
          <w:szCs w:val="16"/>
        </w:rPr>
        <w:footnoteRef/>
      </w:r>
      <w:r w:rsidRPr="004676C5">
        <w:rPr>
          <w:rFonts w:ascii="ITC Avant Garde" w:hAnsi="ITC Avant Garde"/>
          <w:sz w:val="16"/>
          <w:szCs w:val="16"/>
        </w:rPr>
        <w:t xml:space="preserve"> "ACUERDO MEDIANTE EL CUAL EL PLENO DEL INSTITUTO FEDERAL DE TELECOMUNICACIONES EXPIDE LA METODOLOGÍA DE SEPARACIÓN CONTABLE APLICABLE A LOS AGENTES ECONÓMICOS PREPONDERANTES, AGENTES DECLARADOS CON PODER SUSTANCIAL DE MERCADO Y REDES COMPARTIDAS MAYORISTAS", </w:t>
      </w:r>
      <w:r>
        <w:rPr>
          <w:rFonts w:ascii="ITC Avant Garde" w:hAnsi="ITC Avant Garde"/>
          <w:sz w:val="16"/>
          <w:szCs w:val="16"/>
        </w:rPr>
        <w:t>aprobado</w:t>
      </w:r>
      <w:r w:rsidRPr="004676C5">
        <w:rPr>
          <w:rFonts w:ascii="ITC Avant Garde" w:hAnsi="ITC Avant Garde"/>
          <w:sz w:val="16"/>
          <w:szCs w:val="16"/>
        </w:rPr>
        <w:t xml:space="preserve"> </w:t>
      </w:r>
      <w:r>
        <w:rPr>
          <w:rFonts w:ascii="ITC Avant Garde" w:hAnsi="ITC Avant Garde"/>
          <w:sz w:val="16"/>
          <w:szCs w:val="16"/>
        </w:rPr>
        <w:t xml:space="preserve">mediante Acuerdo </w:t>
      </w:r>
      <w:r w:rsidRPr="004676C5">
        <w:rPr>
          <w:rFonts w:ascii="ITC Avant Garde" w:hAnsi="ITC Avant Garde"/>
          <w:sz w:val="16"/>
          <w:szCs w:val="16"/>
        </w:rPr>
        <w:t xml:space="preserve">P/IFT/191217/914 </w:t>
      </w:r>
      <w:r>
        <w:rPr>
          <w:rFonts w:ascii="ITC Avant Garde" w:hAnsi="ITC Avant Garde"/>
          <w:sz w:val="16"/>
          <w:szCs w:val="16"/>
        </w:rPr>
        <w:t xml:space="preserve">y modificado mediante Acuerdo </w:t>
      </w:r>
      <w:r w:rsidRPr="004676C5">
        <w:rPr>
          <w:rFonts w:ascii="ITC Avant Garde" w:hAnsi="ITC Avant Garde"/>
          <w:sz w:val="16"/>
          <w:szCs w:val="16"/>
        </w:rPr>
        <w:t>P/IFT/051218/884.</w:t>
      </w:r>
    </w:p>
  </w:footnote>
  <w:footnote w:id="30">
    <w:p w14:paraId="65B800CD" w14:textId="77777777" w:rsidR="00965EC2" w:rsidRPr="004676C5" w:rsidRDefault="00965EC2" w:rsidP="00F311E7">
      <w:pPr>
        <w:pStyle w:val="aaaNOTAalpie"/>
        <w:rPr>
          <w:rFonts w:ascii="ITC Avant Garde" w:hAnsi="ITC Avant Garde"/>
          <w:sz w:val="16"/>
          <w:szCs w:val="16"/>
        </w:rPr>
      </w:pPr>
      <w:r w:rsidRPr="004676C5">
        <w:rPr>
          <w:rStyle w:val="Refdenotaalpie"/>
          <w:rFonts w:ascii="ITC Avant Garde" w:hAnsi="ITC Avant Garde"/>
          <w:sz w:val="16"/>
          <w:szCs w:val="16"/>
        </w:rPr>
        <w:footnoteRef/>
      </w:r>
      <w:r w:rsidRPr="004676C5">
        <w:rPr>
          <w:rFonts w:ascii="ITC Avant Garde" w:hAnsi="ITC Avant Garde"/>
          <w:sz w:val="16"/>
          <w:szCs w:val="16"/>
        </w:rPr>
        <w:t xml:space="preserve"> </w:t>
      </w:r>
      <w:r w:rsidRPr="004676C5">
        <w:rPr>
          <w:rFonts w:ascii="ITC Avant Garde" w:hAnsi="ITC Avant Garde"/>
          <w:sz w:val="16"/>
          <w:szCs w:val="16"/>
        </w:rPr>
        <w:tab/>
        <w:t>El valor estimado fue calculado a partir de información de la Separación Contable para 2020. En este caso, por cada ejercicio se promediaron los porcentajes de los gastos operativos por Publicidad respecto de los ingresos operativos correspondientes a Internet de banda ancha para los periodos 2018-2020.</w:t>
      </w:r>
    </w:p>
  </w:footnote>
  <w:footnote w:id="31">
    <w:p w14:paraId="453046B1" w14:textId="74DD70E7" w:rsidR="00965EC2" w:rsidRPr="007A6FD5" w:rsidRDefault="00965EC2" w:rsidP="00713EFD">
      <w:pPr>
        <w:pStyle w:val="Textonotapie"/>
        <w:jc w:val="both"/>
        <w:rPr>
          <w:rFonts w:ascii="ITC Avant Garde" w:hAnsi="ITC Avant Garde"/>
          <w:sz w:val="14"/>
          <w:szCs w:val="14"/>
        </w:rPr>
      </w:pPr>
      <w:r w:rsidRPr="00713EFD">
        <w:rPr>
          <w:rStyle w:val="Refdenotaalpie"/>
          <w:rFonts w:ascii="ITC Avant Garde" w:hAnsi="ITC Avant Garde"/>
          <w:sz w:val="14"/>
          <w:szCs w:val="14"/>
        </w:rPr>
        <w:footnoteRef/>
      </w:r>
      <w:r w:rsidRPr="00713EFD">
        <w:rPr>
          <w:rFonts w:ascii="ITC Avant Garde" w:hAnsi="ITC Avant Garde"/>
          <w:sz w:val="14"/>
          <w:szCs w:val="14"/>
        </w:rPr>
        <w:t xml:space="preserve"> Para fines de referencia, se considera de manera preliminar el valor del CCPP nominal antes de impuestos establecido en la “Consulta Pública sobre el “Anteproyecto de Condiciones técnicas mínimas para la interconexión entre concesionarios de redes públicas de telecomunicaciones y las tarifas que resulten de las metodologías de costos que estarán vigentes para el año 2023” (disponible en la siguiente liga electrónica: </w:t>
      </w:r>
      <w:hyperlink r:id="rId12" w:history="1">
        <w:r w:rsidRPr="00B74DB7">
          <w:rPr>
            <w:rStyle w:val="Hipervnculo"/>
            <w:rFonts w:ascii="ITC Avant Garde" w:hAnsi="ITC Avant Garde"/>
            <w:sz w:val="14"/>
            <w:szCs w:val="14"/>
          </w:rPr>
          <w:t>https://www.ift.org.mx/industria/consultas-publicas/consulta-publica-sobre-el-anteproyecto-de-condiciones-tecnicas-minimas-para-la-interconexion-entre-2</w:t>
        </w:r>
      </w:hyperlink>
      <w:r>
        <w:rPr>
          <w:rFonts w:ascii="ITC Avant Garde" w:hAnsi="ITC Avant Garde"/>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C6F98" w14:textId="6C60DD9B" w:rsidR="00965EC2" w:rsidRDefault="00E85AB8">
    <w:pPr>
      <w:pStyle w:val="Encabezado"/>
    </w:pPr>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49" type="#_x0000_t75" alt="hoja membretada s dir-01" style="position:absolute;margin-left:-88.15pt;margin-top:-82pt;width:612pt;height:808pt;z-index:-251658752;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35325"/>
    <w:multiLevelType w:val="hybridMultilevel"/>
    <w:tmpl w:val="EE4EE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F23FA"/>
    <w:multiLevelType w:val="hybridMultilevel"/>
    <w:tmpl w:val="DAA4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974E6"/>
    <w:multiLevelType w:val="hybridMultilevel"/>
    <w:tmpl w:val="D37CF9C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706FCA"/>
    <w:multiLevelType w:val="hybridMultilevel"/>
    <w:tmpl w:val="6A7A6286"/>
    <w:styleLink w:val="Estilo1"/>
    <w:lvl w:ilvl="0" w:tplc="28D4B3C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877E00"/>
    <w:multiLevelType w:val="hybridMultilevel"/>
    <w:tmpl w:val="11B00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7A39EB"/>
    <w:multiLevelType w:val="hybridMultilevel"/>
    <w:tmpl w:val="4BB258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5A5AD6"/>
    <w:multiLevelType w:val="hybridMultilevel"/>
    <w:tmpl w:val="4BB60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B241BF"/>
    <w:multiLevelType w:val="hybridMultilevel"/>
    <w:tmpl w:val="18F279C8"/>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BD74EB"/>
    <w:multiLevelType w:val="hybridMultilevel"/>
    <w:tmpl w:val="9CC6C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5E7246"/>
    <w:multiLevelType w:val="hybridMultilevel"/>
    <w:tmpl w:val="721AE71A"/>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1D7C9C"/>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2EA115B8"/>
    <w:multiLevelType w:val="hybridMultilevel"/>
    <w:tmpl w:val="AD926076"/>
    <w:lvl w:ilvl="0" w:tplc="080A0019">
      <w:start w:val="1"/>
      <w:numFmt w:val="lowerLetter"/>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8317DE3"/>
    <w:multiLevelType w:val="hybridMultilevel"/>
    <w:tmpl w:val="E6D0756E"/>
    <w:lvl w:ilvl="0" w:tplc="89F4D20E">
      <w:start w:val="1"/>
      <w:numFmt w:val="decimal"/>
      <w:pStyle w:val="Figura"/>
      <w:suff w:val="space"/>
      <w:lvlText w:val="Figura %1. "/>
      <w:lvlJc w:val="left"/>
      <w:rPr>
        <w:rFonts w:ascii="ITC Avant Garde" w:hAnsi="ITC Avant Garde" w:cs="Arial"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3" w15:restartNumberingAfterBreak="0">
    <w:nsid w:val="3C7F08AD"/>
    <w:multiLevelType w:val="hybridMultilevel"/>
    <w:tmpl w:val="071ACB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6007B5"/>
    <w:multiLevelType w:val="hybridMultilevel"/>
    <w:tmpl w:val="252448AA"/>
    <w:styleLink w:val="Estilo3"/>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75196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9690C48"/>
    <w:multiLevelType w:val="hybridMultilevel"/>
    <w:tmpl w:val="02E09E7C"/>
    <w:lvl w:ilvl="0" w:tplc="69C417CA">
      <w:start w:val="1"/>
      <w:numFmt w:val="lowerLetter"/>
      <w:lvlText w:val="%1)"/>
      <w:lvlJc w:val="left"/>
      <w:pPr>
        <w:ind w:left="720" w:hanging="360"/>
      </w:pPr>
      <w:rPr>
        <w:rFonts w:ascii="ITC Avant Garde" w:eastAsia="Calibri" w:hAnsi="ITC Avant Garde" w:cs="Arial"/>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8D2503"/>
    <w:multiLevelType w:val="hybridMultilevel"/>
    <w:tmpl w:val="546ACF0E"/>
    <w:lvl w:ilvl="0" w:tplc="0BB2EC6C">
      <w:start w:val="14"/>
      <w:numFmt w:val="decimal"/>
      <w:lvlText w:val="%1)"/>
      <w:lvlJc w:val="left"/>
      <w:pPr>
        <w:ind w:left="1211" w:hanging="360"/>
      </w:pPr>
      <w:rPr>
        <w:rFonts w:cs="ITC Avant Garde"/>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5CD60D3"/>
    <w:multiLevelType w:val="hybridMultilevel"/>
    <w:tmpl w:val="6BB21374"/>
    <w:lvl w:ilvl="0" w:tplc="B12A2CEE">
      <w:start w:val="1"/>
      <w:numFmt w:val="lowerLetter"/>
      <w:lvlText w:val="%1)"/>
      <w:lvlJc w:val="left"/>
      <w:pPr>
        <w:ind w:left="720" w:hanging="360"/>
      </w:pPr>
      <w:rPr>
        <w:rFonts w:ascii="ITC Avant Garde" w:eastAsia="Calibri" w:hAnsi="ITC Avant Garde" w:cs="Aria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555031"/>
    <w:multiLevelType w:val="hybridMultilevel"/>
    <w:tmpl w:val="6890B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D72464"/>
    <w:multiLevelType w:val="hybridMultilevel"/>
    <w:tmpl w:val="8E582B74"/>
    <w:lvl w:ilvl="0" w:tplc="76426794">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1BB1ED0"/>
    <w:multiLevelType w:val="hybridMultilevel"/>
    <w:tmpl w:val="7E088880"/>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22" w15:restartNumberingAfterBreak="0">
    <w:nsid w:val="62F359E8"/>
    <w:multiLevelType w:val="hybridMultilevel"/>
    <w:tmpl w:val="800CC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4B32BC"/>
    <w:multiLevelType w:val="hybridMultilevel"/>
    <w:tmpl w:val="5C8CC258"/>
    <w:lvl w:ilvl="0" w:tplc="1E90E5AE">
      <w:start w:val="1"/>
      <w:numFmt w:val="decimal"/>
      <w:lvlText w:val="Cuadro %1."/>
      <w:lvlJc w:val="left"/>
      <w:pPr>
        <w:ind w:left="720" w:hanging="360"/>
      </w:pPr>
      <w:rPr>
        <w:rFonts w:hint="default"/>
        <w:b/>
        <w:bCs w:val="0"/>
        <w:sz w:val="20"/>
        <w:szCs w:val="2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4C0BB1"/>
    <w:multiLevelType w:val="hybridMultilevel"/>
    <w:tmpl w:val="499E9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3E24CD"/>
    <w:multiLevelType w:val="hybridMultilevel"/>
    <w:tmpl w:val="721AE71A"/>
    <w:lvl w:ilvl="0" w:tplc="28D4B3C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715B4B"/>
    <w:multiLevelType w:val="hybridMultilevel"/>
    <w:tmpl w:val="2C783B8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215A65"/>
    <w:multiLevelType w:val="multilevel"/>
    <w:tmpl w:val="83FE44AA"/>
    <w:lvl w:ilvl="0">
      <w:start w:val="1"/>
      <w:numFmt w:val="decimal"/>
      <w:lvlText w:val="%1."/>
      <w:lvlJc w:val="left"/>
      <w:pPr>
        <w:ind w:left="2502" w:hanging="360"/>
      </w:pPr>
    </w:lvl>
    <w:lvl w:ilvl="1">
      <w:start w:val="1"/>
      <w:numFmt w:val="decimal"/>
      <w:lvlText w:val="%1.%2."/>
      <w:lvlJc w:val="left"/>
      <w:pPr>
        <w:ind w:left="2934" w:hanging="432"/>
      </w:pPr>
      <w:rPr>
        <w:b/>
      </w:rPr>
    </w:lvl>
    <w:lvl w:ilvl="2">
      <w:start w:val="1"/>
      <w:numFmt w:val="decimal"/>
      <w:lvlText w:val="%1.%2.%3."/>
      <w:lvlJc w:val="left"/>
      <w:pPr>
        <w:ind w:left="3366" w:hanging="504"/>
      </w:pPr>
      <w:rPr>
        <w:rFonts w:ascii="ITC Avant Garde" w:hAnsi="ITC Avant Garde" w:hint="default"/>
        <w:b/>
      </w:rPr>
    </w:lvl>
    <w:lvl w:ilvl="3">
      <w:start w:val="1"/>
      <w:numFmt w:val="decimal"/>
      <w:lvlText w:val="%1.%2.%3.%4."/>
      <w:lvlJc w:val="left"/>
      <w:pPr>
        <w:ind w:left="3870" w:hanging="648"/>
      </w:pPr>
    </w:lvl>
    <w:lvl w:ilvl="4">
      <w:start w:val="1"/>
      <w:numFmt w:val="decimal"/>
      <w:lvlText w:val="%1.%2.%3.%4.%5."/>
      <w:lvlJc w:val="left"/>
      <w:pPr>
        <w:ind w:left="4374" w:hanging="792"/>
      </w:pPr>
    </w:lvl>
    <w:lvl w:ilvl="5">
      <w:start w:val="1"/>
      <w:numFmt w:val="decimal"/>
      <w:lvlText w:val="%1.%2.%3.%4.%5.%6."/>
      <w:lvlJc w:val="left"/>
      <w:pPr>
        <w:ind w:left="4878" w:hanging="936"/>
      </w:pPr>
    </w:lvl>
    <w:lvl w:ilvl="6">
      <w:start w:val="1"/>
      <w:numFmt w:val="decimal"/>
      <w:lvlText w:val="%1.%2.%3.%4.%5.%6.%7."/>
      <w:lvlJc w:val="left"/>
      <w:pPr>
        <w:ind w:left="5382" w:hanging="1080"/>
      </w:pPr>
    </w:lvl>
    <w:lvl w:ilvl="7">
      <w:start w:val="1"/>
      <w:numFmt w:val="decimal"/>
      <w:lvlText w:val="%1.%2.%3.%4.%5.%6.%7.%8."/>
      <w:lvlJc w:val="left"/>
      <w:pPr>
        <w:ind w:left="5886" w:hanging="1224"/>
      </w:pPr>
    </w:lvl>
    <w:lvl w:ilvl="8">
      <w:start w:val="1"/>
      <w:numFmt w:val="decimal"/>
      <w:lvlText w:val="%1.%2.%3.%4.%5.%6.%7.%8.%9."/>
      <w:lvlJc w:val="left"/>
      <w:pPr>
        <w:ind w:left="6462" w:hanging="1440"/>
      </w:pPr>
    </w:lvl>
  </w:abstractNum>
  <w:abstractNum w:abstractNumId="28" w15:restartNumberingAfterBreak="0">
    <w:nsid w:val="7AA43A00"/>
    <w:multiLevelType w:val="hybridMultilevel"/>
    <w:tmpl w:val="1CB4A9F4"/>
    <w:lvl w:ilvl="0" w:tplc="D5469448">
      <w:start w:val="1"/>
      <w:numFmt w:val="bullet"/>
      <w:lvlText w:val="-"/>
      <w:lvlJc w:val="left"/>
      <w:pPr>
        <w:ind w:left="720" w:hanging="360"/>
      </w:pPr>
      <w:rPr>
        <w:rFonts w:ascii="ITC Avant Garde" w:eastAsiaTheme="minorHAns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0"/>
  </w:num>
  <w:num w:numId="4">
    <w:abstractNumId w:val="6"/>
  </w:num>
  <w:num w:numId="5">
    <w:abstractNumId w:val="24"/>
  </w:num>
  <w:num w:numId="6">
    <w:abstractNumId w:val="14"/>
  </w:num>
  <w:num w:numId="7">
    <w:abstractNumId w:val="27"/>
  </w:num>
  <w:num w:numId="8">
    <w:abstractNumId w:val="10"/>
  </w:num>
  <w:num w:numId="9">
    <w:abstractNumId w:val="13"/>
  </w:num>
  <w:num w:numId="10">
    <w:abstractNumId w:val="18"/>
  </w:num>
  <w:num w:numId="11">
    <w:abstractNumId w:val="16"/>
  </w:num>
  <w:num w:numId="12">
    <w:abstractNumId w:val="4"/>
  </w:num>
  <w:num w:numId="13">
    <w:abstractNumId w:val="25"/>
  </w:num>
  <w:num w:numId="14">
    <w:abstractNumId w:val="10"/>
  </w:num>
  <w:num w:numId="15">
    <w:abstractNumId w:val="10"/>
  </w:num>
  <w:num w:numId="16">
    <w:abstractNumId w:val="10"/>
  </w:num>
  <w:num w:numId="17">
    <w:abstractNumId w:val="22"/>
  </w:num>
  <w:num w:numId="18">
    <w:abstractNumId w:val="19"/>
  </w:num>
  <w:num w:numId="19">
    <w:abstractNumId w:val="10"/>
  </w:num>
  <w:num w:numId="20">
    <w:abstractNumId w:val="10"/>
  </w:num>
  <w:num w:numId="21">
    <w:abstractNumId w:val="3"/>
  </w:num>
  <w:num w:numId="22">
    <w:abstractNumId w:val="10"/>
  </w:num>
  <w:num w:numId="23">
    <w:abstractNumId w:val="9"/>
  </w:num>
  <w:num w:numId="24">
    <w:abstractNumId w:val="10"/>
  </w:num>
  <w:num w:numId="25">
    <w:abstractNumId w:val="7"/>
  </w:num>
  <w:num w:numId="26">
    <w:abstractNumId w:val="8"/>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20"/>
  </w:num>
  <w:num w:numId="29">
    <w:abstractNumId w:val="11"/>
  </w:num>
  <w:num w:numId="30">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6"/>
  </w:num>
  <w:num w:numId="33">
    <w:abstractNumId w:val="2"/>
  </w:num>
  <w:num w:numId="34">
    <w:abstractNumId w:val="28"/>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5"/>
  </w:num>
  <w:num w:numId="43">
    <w:abstractNumId w:val="12"/>
  </w:num>
  <w:num w:numId="44">
    <w:abstractNumId w:val="12"/>
  </w:num>
  <w:num w:numId="45">
    <w:abstractNumId w:val="12"/>
  </w:num>
  <w:num w:numId="46">
    <w:abstractNumId w:val="12"/>
  </w:num>
  <w:num w:numId="47">
    <w:abstractNumId w:val="12"/>
  </w:num>
  <w:num w:numId="48">
    <w:abstractNumId w:val="12"/>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2"/>
  </w:num>
  <w:num w:numId="58">
    <w:abstractNumId w:val="12"/>
  </w:num>
  <w:num w:numId="59">
    <w:abstractNumId w:val="23"/>
  </w:num>
  <w:num w:numId="60">
    <w:abstractNumId w:val="12"/>
  </w:num>
  <w:num w:numId="61">
    <w:abstractNumId w:val="12"/>
  </w:num>
  <w:num w:numId="62">
    <w:abstractNumId w:val="12"/>
  </w:num>
  <w:num w:numId="63">
    <w:abstractNumId w:val="10"/>
  </w:num>
  <w:num w:numId="64">
    <w:abstractNumId w:val="10"/>
  </w:num>
  <w:num w:numId="65">
    <w:abstractNumId w:val="10"/>
  </w:num>
  <w:num w:numId="66">
    <w:abstractNumId w:val="10"/>
  </w:num>
  <w:num w:numId="67">
    <w:abstractNumId w:val="10"/>
  </w:num>
  <w:num w:numId="68">
    <w:abstractNumId w:val="10"/>
  </w:num>
  <w:num w:numId="69">
    <w:abstractNumId w:val="10"/>
  </w:num>
  <w:num w:numId="70">
    <w:abstractNumId w:val="10"/>
  </w:num>
  <w:num w:numId="71">
    <w:abstractNumId w:val="10"/>
  </w:num>
  <w:num w:numId="72">
    <w:abstractNumId w:val="10"/>
  </w:num>
  <w:num w:numId="73">
    <w:abstractNumId w:val="1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D64"/>
    <w:rsid w:val="00002DF8"/>
    <w:rsid w:val="00002E17"/>
    <w:rsid w:val="000055EE"/>
    <w:rsid w:val="000067E1"/>
    <w:rsid w:val="00007BAD"/>
    <w:rsid w:val="000165CD"/>
    <w:rsid w:val="00016CAD"/>
    <w:rsid w:val="000257AD"/>
    <w:rsid w:val="000338C9"/>
    <w:rsid w:val="00045FC9"/>
    <w:rsid w:val="000502EA"/>
    <w:rsid w:val="000544FE"/>
    <w:rsid w:val="000569BB"/>
    <w:rsid w:val="000605BE"/>
    <w:rsid w:val="00061A13"/>
    <w:rsid w:val="000640F0"/>
    <w:rsid w:val="00065E20"/>
    <w:rsid w:val="00066A44"/>
    <w:rsid w:val="000755A5"/>
    <w:rsid w:val="00076CFB"/>
    <w:rsid w:val="00082EAE"/>
    <w:rsid w:val="0008470F"/>
    <w:rsid w:val="0009081C"/>
    <w:rsid w:val="00093A48"/>
    <w:rsid w:val="000A03FA"/>
    <w:rsid w:val="000A3304"/>
    <w:rsid w:val="000B5AF9"/>
    <w:rsid w:val="000B603B"/>
    <w:rsid w:val="000B6702"/>
    <w:rsid w:val="000B7FEA"/>
    <w:rsid w:val="000C49BB"/>
    <w:rsid w:val="000D0FA3"/>
    <w:rsid w:val="000D6C29"/>
    <w:rsid w:val="000E00BE"/>
    <w:rsid w:val="000E1384"/>
    <w:rsid w:val="000E176F"/>
    <w:rsid w:val="000E25D5"/>
    <w:rsid w:val="000E27C7"/>
    <w:rsid w:val="000E2CD7"/>
    <w:rsid w:val="000E423D"/>
    <w:rsid w:val="000E53D3"/>
    <w:rsid w:val="000F33B1"/>
    <w:rsid w:val="000F5533"/>
    <w:rsid w:val="000F6A2A"/>
    <w:rsid w:val="0010439E"/>
    <w:rsid w:val="00105685"/>
    <w:rsid w:val="00111D34"/>
    <w:rsid w:val="0011296A"/>
    <w:rsid w:val="00114851"/>
    <w:rsid w:val="00115EE8"/>
    <w:rsid w:val="00117811"/>
    <w:rsid w:val="001241E7"/>
    <w:rsid w:val="00125FBF"/>
    <w:rsid w:val="00127BBD"/>
    <w:rsid w:val="00130E11"/>
    <w:rsid w:val="0013372D"/>
    <w:rsid w:val="00133B12"/>
    <w:rsid w:val="00134042"/>
    <w:rsid w:val="0013640B"/>
    <w:rsid w:val="00137894"/>
    <w:rsid w:val="00140049"/>
    <w:rsid w:val="0014218A"/>
    <w:rsid w:val="00142C56"/>
    <w:rsid w:val="00146C0D"/>
    <w:rsid w:val="001475A2"/>
    <w:rsid w:val="0015332A"/>
    <w:rsid w:val="00153A66"/>
    <w:rsid w:val="00153A79"/>
    <w:rsid w:val="00156FF4"/>
    <w:rsid w:val="001577BA"/>
    <w:rsid w:val="001623F2"/>
    <w:rsid w:val="00170D8A"/>
    <w:rsid w:val="0017291E"/>
    <w:rsid w:val="001731B4"/>
    <w:rsid w:val="0017499F"/>
    <w:rsid w:val="00176456"/>
    <w:rsid w:val="00177968"/>
    <w:rsid w:val="00181D64"/>
    <w:rsid w:val="00186A46"/>
    <w:rsid w:val="00191561"/>
    <w:rsid w:val="00192F32"/>
    <w:rsid w:val="001935DC"/>
    <w:rsid w:val="00193AFD"/>
    <w:rsid w:val="001968AC"/>
    <w:rsid w:val="00197C23"/>
    <w:rsid w:val="001A1440"/>
    <w:rsid w:val="001A1DF7"/>
    <w:rsid w:val="001A465C"/>
    <w:rsid w:val="001A539A"/>
    <w:rsid w:val="001B3493"/>
    <w:rsid w:val="001B78DC"/>
    <w:rsid w:val="001B7EB0"/>
    <w:rsid w:val="001C12D1"/>
    <w:rsid w:val="001C1606"/>
    <w:rsid w:val="001C1AE2"/>
    <w:rsid w:val="001C28ED"/>
    <w:rsid w:val="001C2B08"/>
    <w:rsid w:val="001C39B2"/>
    <w:rsid w:val="001C4929"/>
    <w:rsid w:val="001C7A5F"/>
    <w:rsid w:val="001D031F"/>
    <w:rsid w:val="001D1F0C"/>
    <w:rsid w:val="001D2570"/>
    <w:rsid w:val="001D2749"/>
    <w:rsid w:val="001D6894"/>
    <w:rsid w:val="001D7720"/>
    <w:rsid w:val="001E055B"/>
    <w:rsid w:val="001E5604"/>
    <w:rsid w:val="001E5761"/>
    <w:rsid w:val="001F06FA"/>
    <w:rsid w:val="001F2BB2"/>
    <w:rsid w:val="001F4340"/>
    <w:rsid w:val="00203043"/>
    <w:rsid w:val="00203615"/>
    <w:rsid w:val="00204529"/>
    <w:rsid w:val="00206731"/>
    <w:rsid w:val="002106D8"/>
    <w:rsid w:val="00214767"/>
    <w:rsid w:val="00220A8D"/>
    <w:rsid w:val="00226471"/>
    <w:rsid w:val="002326AB"/>
    <w:rsid w:val="00234D90"/>
    <w:rsid w:val="002428B4"/>
    <w:rsid w:val="0024461A"/>
    <w:rsid w:val="00244935"/>
    <w:rsid w:val="00245945"/>
    <w:rsid w:val="002544F8"/>
    <w:rsid w:val="0026106C"/>
    <w:rsid w:val="002637D1"/>
    <w:rsid w:val="0026392D"/>
    <w:rsid w:val="00264F20"/>
    <w:rsid w:val="00265444"/>
    <w:rsid w:val="00272183"/>
    <w:rsid w:val="00290D69"/>
    <w:rsid w:val="00296094"/>
    <w:rsid w:val="002A323F"/>
    <w:rsid w:val="002C5A42"/>
    <w:rsid w:val="002D2D64"/>
    <w:rsid w:val="002D33A0"/>
    <w:rsid w:val="002D4B62"/>
    <w:rsid w:val="002E0068"/>
    <w:rsid w:val="002E2D8D"/>
    <w:rsid w:val="002E4BC0"/>
    <w:rsid w:val="002F2049"/>
    <w:rsid w:val="002F3CE1"/>
    <w:rsid w:val="002F6771"/>
    <w:rsid w:val="00300E50"/>
    <w:rsid w:val="00305BE3"/>
    <w:rsid w:val="003060C6"/>
    <w:rsid w:val="00306276"/>
    <w:rsid w:val="0031133A"/>
    <w:rsid w:val="00312DD0"/>
    <w:rsid w:val="003135E0"/>
    <w:rsid w:val="003144AF"/>
    <w:rsid w:val="003149EF"/>
    <w:rsid w:val="00314CCE"/>
    <w:rsid w:val="00320314"/>
    <w:rsid w:val="00321117"/>
    <w:rsid w:val="0033168B"/>
    <w:rsid w:val="003346C2"/>
    <w:rsid w:val="00337CB4"/>
    <w:rsid w:val="003417E8"/>
    <w:rsid w:val="00343BB4"/>
    <w:rsid w:val="00346083"/>
    <w:rsid w:val="00350496"/>
    <w:rsid w:val="00351B9D"/>
    <w:rsid w:val="00354BF8"/>
    <w:rsid w:val="00355986"/>
    <w:rsid w:val="00357A58"/>
    <w:rsid w:val="00364A08"/>
    <w:rsid w:val="003664D9"/>
    <w:rsid w:val="00367812"/>
    <w:rsid w:val="00383D10"/>
    <w:rsid w:val="00391129"/>
    <w:rsid w:val="003979E2"/>
    <w:rsid w:val="003A4FBC"/>
    <w:rsid w:val="003B08B3"/>
    <w:rsid w:val="003B2F53"/>
    <w:rsid w:val="003B493A"/>
    <w:rsid w:val="003C57DA"/>
    <w:rsid w:val="003C6E6B"/>
    <w:rsid w:val="003D3A12"/>
    <w:rsid w:val="003D7036"/>
    <w:rsid w:val="003D7D68"/>
    <w:rsid w:val="003E1A15"/>
    <w:rsid w:val="003E4B1E"/>
    <w:rsid w:val="003E5AB8"/>
    <w:rsid w:val="003E5E39"/>
    <w:rsid w:val="003E7F86"/>
    <w:rsid w:val="003F06E6"/>
    <w:rsid w:val="003F1A33"/>
    <w:rsid w:val="003F4C02"/>
    <w:rsid w:val="0040723C"/>
    <w:rsid w:val="00410106"/>
    <w:rsid w:val="00410775"/>
    <w:rsid w:val="00410DD1"/>
    <w:rsid w:val="00411019"/>
    <w:rsid w:val="0041117B"/>
    <w:rsid w:val="0041709C"/>
    <w:rsid w:val="004229AF"/>
    <w:rsid w:val="00422AE7"/>
    <w:rsid w:val="00425173"/>
    <w:rsid w:val="00425FD3"/>
    <w:rsid w:val="00426486"/>
    <w:rsid w:val="00431680"/>
    <w:rsid w:val="00431AA8"/>
    <w:rsid w:val="00435C22"/>
    <w:rsid w:val="00437916"/>
    <w:rsid w:val="00443561"/>
    <w:rsid w:val="00445F54"/>
    <w:rsid w:val="00451002"/>
    <w:rsid w:val="0045340E"/>
    <w:rsid w:val="004534E4"/>
    <w:rsid w:val="0045689B"/>
    <w:rsid w:val="0046052B"/>
    <w:rsid w:val="00461418"/>
    <w:rsid w:val="00463891"/>
    <w:rsid w:val="00463E8D"/>
    <w:rsid w:val="0046444A"/>
    <w:rsid w:val="0046688C"/>
    <w:rsid w:val="004676C5"/>
    <w:rsid w:val="00471470"/>
    <w:rsid w:val="0047510D"/>
    <w:rsid w:val="004826F1"/>
    <w:rsid w:val="00483DD4"/>
    <w:rsid w:val="00484696"/>
    <w:rsid w:val="00484837"/>
    <w:rsid w:val="00486ACB"/>
    <w:rsid w:val="0048711F"/>
    <w:rsid w:val="004906A5"/>
    <w:rsid w:val="00491CC5"/>
    <w:rsid w:val="00493288"/>
    <w:rsid w:val="00496E8A"/>
    <w:rsid w:val="004A17D7"/>
    <w:rsid w:val="004A3E90"/>
    <w:rsid w:val="004A4DD6"/>
    <w:rsid w:val="004B2533"/>
    <w:rsid w:val="004C7657"/>
    <w:rsid w:val="004D17E0"/>
    <w:rsid w:val="004D2F45"/>
    <w:rsid w:val="004D3F53"/>
    <w:rsid w:val="004D472B"/>
    <w:rsid w:val="004D740B"/>
    <w:rsid w:val="004D7857"/>
    <w:rsid w:val="004E0925"/>
    <w:rsid w:val="004E2A82"/>
    <w:rsid w:val="004E2ED5"/>
    <w:rsid w:val="004E3A71"/>
    <w:rsid w:val="004E3A87"/>
    <w:rsid w:val="004E45D2"/>
    <w:rsid w:val="004E4CCC"/>
    <w:rsid w:val="004E5B76"/>
    <w:rsid w:val="004E5D84"/>
    <w:rsid w:val="004F421C"/>
    <w:rsid w:val="0050124A"/>
    <w:rsid w:val="00501D33"/>
    <w:rsid w:val="00501E4B"/>
    <w:rsid w:val="005035D6"/>
    <w:rsid w:val="00506B69"/>
    <w:rsid w:val="0051002A"/>
    <w:rsid w:val="00510FBE"/>
    <w:rsid w:val="00514009"/>
    <w:rsid w:val="005144B5"/>
    <w:rsid w:val="00515BD5"/>
    <w:rsid w:val="00516293"/>
    <w:rsid w:val="00523310"/>
    <w:rsid w:val="00524F3B"/>
    <w:rsid w:val="00527036"/>
    <w:rsid w:val="005328A3"/>
    <w:rsid w:val="0053413C"/>
    <w:rsid w:val="005342B1"/>
    <w:rsid w:val="00537526"/>
    <w:rsid w:val="00540427"/>
    <w:rsid w:val="00543ED4"/>
    <w:rsid w:val="00547206"/>
    <w:rsid w:val="00547644"/>
    <w:rsid w:val="00547732"/>
    <w:rsid w:val="005514E4"/>
    <w:rsid w:val="00562282"/>
    <w:rsid w:val="005674F5"/>
    <w:rsid w:val="0057696C"/>
    <w:rsid w:val="005819BB"/>
    <w:rsid w:val="005820A3"/>
    <w:rsid w:val="00583787"/>
    <w:rsid w:val="0058496B"/>
    <w:rsid w:val="00585213"/>
    <w:rsid w:val="00590920"/>
    <w:rsid w:val="00594B21"/>
    <w:rsid w:val="00594F05"/>
    <w:rsid w:val="005977CE"/>
    <w:rsid w:val="00597DC0"/>
    <w:rsid w:val="005A0094"/>
    <w:rsid w:val="005A1D36"/>
    <w:rsid w:val="005A3D59"/>
    <w:rsid w:val="005A67C7"/>
    <w:rsid w:val="005A7336"/>
    <w:rsid w:val="005B04D7"/>
    <w:rsid w:val="005B2D5F"/>
    <w:rsid w:val="005B6A5F"/>
    <w:rsid w:val="005C247C"/>
    <w:rsid w:val="005C283C"/>
    <w:rsid w:val="005C2960"/>
    <w:rsid w:val="005C7A03"/>
    <w:rsid w:val="005D00CC"/>
    <w:rsid w:val="005D0416"/>
    <w:rsid w:val="005D133B"/>
    <w:rsid w:val="005D768E"/>
    <w:rsid w:val="005E2860"/>
    <w:rsid w:val="005E6325"/>
    <w:rsid w:val="005E7AB2"/>
    <w:rsid w:val="005E7F89"/>
    <w:rsid w:val="005F00B2"/>
    <w:rsid w:val="005F1AB4"/>
    <w:rsid w:val="005F59BA"/>
    <w:rsid w:val="005F6AA1"/>
    <w:rsid w:val="00600401"/>
    <w:rsid w:val="00600627"/>
    <w:rsid w:val="0060091D"/>
    <w:rsid w:val="00601427"/>
    <w:rsid w:val="00601B06"/>
    <w:rsid w:val="00613C1A"/>
    <w:rsid w:val="00616235"/>
    <w:rsid w:val="0062216B"/>
    <w:rsid w:val="00625143"/>
    <w:rsid w:val="00625A09"/>
    <w:rsid w:val="00632FDF"/>
    <w:rsid w:val="006335FD"/>
    <w:rsid w:val="0063470F"/>
    <w:rsid w:val="00640978"/>
    <w:rsid w:val="00640C24"/>
    <w:rsid w:val="0065051E"/>
    <w:rsid w:val="00652865"/>
    <w:rsid w:val="00655F14"/>
    <w:rsid w:val="00657235"/>
    <w:rsid w:val="0066248B"/>
    <w:rsid w:val="00663701"/>
    <w:rsid w:val="00664388"/>
    <w:rsid w:val="00666054"/>
    <w:rsid w:val="00680D10"/>
    <w:rsid w:val="00681CED"/>
    <w:rsid w:val="006861C6"/>
    <w:rsid w:val="00687151"/>
    <w:rsid w:val="006915F9"/>
    <w:rsid w:val="00691B64"/>
    <w:rsid w:val="006942D7"/>
    <w:rsid w:val="00695405"/>
    <w:rsid w:val="00696F4D"/>
    <w:rsid w:val="006A04BB"/>
    <w:rsid w:val="006A3A95"/>
    <w:rsid w:val="006A3DCD"/>
    <w:rsid w:val="006A47BA"/>
    <w:rsid w:val="006B090F"/>
    <w:rsid w:val="006B0C4A"/>
    <w:rsid w:val="006B2D4F"/>
    <w:rsid w:val="006B3D9F"/>
    <w:rsid w:val="006B53CD"/>
    <w:rsid w:val="006C218B"/>
    <w:rsid w:val="006C3384"/>
    <w:rsid w:val="006C7816"/>
    <w:rsid w:val="006D08EF"/>
    <w:rsid w:val="006D0C85"/>
    <w:rsid w:val="006D2A56"/>
    <w:rsid w:val="006D2B68"/>
    <w:rsid w:val="006E430E"/>
    <w:rsid w:val="006F1F94"/>
    <w:rsid w:val="006F41F9"/>
    <w:rsid w:val="006F7450"/>
    <w:rsid w:val="00700ABD"/>
    <w:rsid w:val="00701671"/>
    <w:rsid w:val="007077E1"/>
    <w:rsid w:val="00712EF1"/>
    <w:rsid w:val="00713EFD"/>
    <w:rsid w:val="00714D50"/>
    <w:rsid w:val="00715779"/>
    <w:rsid w:val="007157EB"/>
    <w:rsid w:val="00715F42"/>
    <w:rsid w:val="00727201"/>
    <w:rsid w:val="0073415D"/>
    <w:rsid w:val="007348F2"/>
    <w:rsid w:val="00737FB3"/>
    <w:rsid w:val="007429AA"/>
    <w:rsid w:val="00742AFE"/>
    <w:rsid w:val="007444DC"/>
    <w:rsid w:val="00745F15"/>
    <w:rsid w:val="00747D88"/>
    <w:rsid w:val="00753BA6"/>
    <w:rsid w:val="00757E77"/>
    <w:rsid w:val="00761FDD"/>
    <w:rsid w:val="00764288"/>
    <w:rsid w:val="00771FC7"/>
    <w:rsid w:val="00772593"/>
    <w:rsid w:val="00773A86"/>
    <w:rsid w:val="00773E81"/>
    <w:rsid w:val="00780AA3"/>
    <w:rsid w:val="00783704"/>
    <w:rsid w:val="00785588"/>
    <w:rsid w:val="00787172"/>
    <w:rsid w:val="00793F68"/>
    <w:rsid w:val="007A009E"/>
    <w:rsid w:val="007A409D"/>
    <w:rsid w:val="007A616E"/>
    <w:rsid w:val="007A6FD5"/>
    <w:rsid w:val="007B15D8"/>
    <w:rsid w:val="007B464C"/>
    <w:rsid w:val="007B4E66"/>
    <w:rsid w:val="007B5FCA"/>
    <w:rsid w:val="007C03C8"/>
    <w:rsid w:val="007C0948"/>
    <w:rsid w:val="007C14F1"/>
    <w:rsid w:val="007C4200"/>
    <w:rsid w:val="007D2E15"/>
    <w:rsid w:val="007D765F"/>
    <w:rsid w:val="007E06FC"/>
    <w:rsid w:val="007E213A"/>
    <w:rsid w:val="007E6125"/>
    <w:rsid w:val="007E7287"/>
    <w:rsid w:val="007E73A8"/>
    <w:rsid w:val="007E7A9F"/>
    <w:rsid w:val="007E7D82"/>
    <w:rsid w:val="007F239D"/>
    <w:rsid w:val="007F2B78"/>
    <w:rsid w:val="007F31A4"/>
    <w:rsid w:val="007F3A1F"/>
    <w:rsid w:val="008024A0"/>
    <w:rsid w:val="00802E23"/>
    <w:rsid w:val="00803FC1"/>
    <w:rsid w:val="008054A9"/>
    <w:rsid w:val="008073CC"/>
    <w:rsid w:val="00821F97"/>
    <w:rsid w:val="00822B41"/>
    <w:rsid w:val="008238CC"/>
    <w:rsid w:val="00830C97"/>
    <w:rsid w:val="0084299F"/>
    <w:rsid w:val="0086118C"/>
    <w:rsid w:val="00861462"/>
    <w:rsid w:val="0086274E"/>
    <w:rsid w:val="00862BE1"/>
    <w:rsid w:val="00864051"/>
    <w:rsid w:val="00864B13"/>
    <w:rsid w:val="00864ECC"/>
    <w:rsid w:val="00866FE7"/>
    <w:rsid w:val="008722DA"/>
    <w:rsid w:val="008761FC"/>
    <w:rsid w:val="008805C8"/>
    <w:rsid w:val="00880BC4"/>
    <w:rsid w:val="00883D72"/>
    <w:rsid w:val="00890E09"/>
    <w:rsid w:val="00896B63"/>
    <w:rsid w:val="008A08D4"/>
    <w:rsid w:val="008A594B"/>
    <w:rsid w:val="008B066B"/>
    <w:rsid w:val="008B0D4C"/>
    <w:rsid w:val="008B5E04"/>
    <w:rsid w:val="008B6DAB"/>
    <w:rsid w:val="008C0220"/>
    <w:rsid w:val="008C4337"/>
    <w:rsid w:val="008C4801"/>
    <w:rsid w:val="008D1352"/>
    <w:rsid w:val="008D1A16"/>
    <w:rsid w:val="008D1DD8"/>
    <w:rsid w:val="008D4697"/>
    <w:rsid w:val="008D76E7"/>
    <w:rsid w:val="008D79EC"/>
    <w:rsid w:val="008E1A18"/>
    <w:rsid w:val="008E1E7A"/>
    <w:rsid w:val="008E2CBF"/>
    <w:rsid w:val="008F17A7"/>
    <w:rsid w:val="008F78FC"/>
    <w:rsid w:val="00900559"/>
    <w:rsid w:val="00900C5D"/>
    <w:rsid w:val="00904B8C"/>
    <w:rsid w:val="00904BA0"/>
    <w:rsid w:val="009108E0"/>
    <w:rsid w:val="00910CCD"/>
    <w:rsid w:val="00913B79"/>
    <w:rsid w:val="009149B7"/>
    <w:rsid w:val="0091709C"/>
    <w:rsid w:val="0092010C"/>
    <w:rsid w:val="009275B1"/>
    <w:rsid w:val="00935405"/>
    <w:rsid w:val="0094018A"/>
    <w:rsid w:val="009410C5"/>
    <w:rsid w:val="009425B6"/>
    <w:rsid w:val="00954C21"/>
    <w:rsid w:val="00954F3F"/>
    <w:rsid w:val="00961D72"/>
    <w:rsid w:val="00962D58"/>
    <w:rsid w:val="00965EC2"/>
    <w:rsid w:val="00965F99"/>
    <w:rsid w:val="009706C4"/>
    <w:rsid w:val="00971228"/>
    <w:rsid w:val="0097199A"/>
    <w:rsid w:val="009721CA"/>
    <w:rsid w:val="00983B71"/>
    <w:rsid w:val="00990F12"/>
    <w:rsid w:val="00993675"/>
    <w:rsid w:val="00994550"/>
    <w:rsid w:val="00997DAD"/>
    <w:rsid w:val="009A02E3"/>
    <w:rsid w:val="009A1A29"/>
    <w:rsid w:val="009A3CD8"/>
    <w:rsid w:val="009A4243"/>
    <w:rsid w:val="009A475E"/>
    <w:rsid w:val="009A7268"/>
    <w:rsid w:val="009B0ED5"/>
    <w:rsid w:val="009B3411"/>
    <w:rsid w:val="009B385D"/>
    <w:rsid w:val="009B4922"/>
    <w:rsid w:val="009B6063"/>
    <w:rsid w:val="009B685C"/>
    <w:rsid w:val="009B7026"/>
    <w:rsid w:val="009C369C"/>
    <w:rsid w:val="009C5468"/>
    <w:rsid w:val="009C762E"/>
    <w:rsid w:val="009D314E"/>
    <w:rsid w:val="009D6D50"/>
    <w:rsid w:val="009E017C"/>
    <w:rsid w:val="009E0B9B"/>
    <w:rsid w:val="009F157E"/>
    <w:rsid w:val="009F292B"/>
    <w:rsid w:val="009F3B5F"/>
    <w:rsid w:val="009F7D95"/>
    <w:rsid w:val="00A005A9"/>
    <w:rsid w:val="00A02ABE"/>
    <w:rsid w:val="00A06644"/>
    <w:rsid w:val="00A11FDB"/>
    <w:rsid w:val="00A16627"/>
    <w:rsid w:val="00A214CB"/>
    <w:rsid w:val="00A21C17"/>
    <w:rsid w:val="00A24735"/>
    <w:rsid w:val="00A2604F"/>
    <w:rsid w:val="00A31E96"/>
    <w:rsid w:val="00A3588E"/>
    <w:rsid w:val="00A3646E"/>
    <w:rsid w:val="00A3726E"/>
    <w:rsid w:val="00A42A9B"/>
    <w:rsid w:val="00A43131"/>
    <w:rsid w:val="00A43212"/>
    <w:rsid w:val="00A438BC"/>
    <w:rsid w:val="00A452F2"/>
    <w:rsid w:val="00A509FB"/>
    <w:rsid w:val="00A51233"/>
    <w:rsid w:val="00A55E62"/>
    <w:rsid w:val="00A5653C"/>
    <w:rsid w:val="00A675EC"/>
    <w:rsid w:val="00A707C6"/>
    <w:rsid w:val="00A710CE"/>
    <w:rsid w:val="00A71EB7"/>
    <w:rsid w:val="00A81613"/>
    <w:rsid w:val="00A829DD"/>
    <w:rsid w:val="00A8310E"/>
    <w:rsid w:val="00A840EB"/>
    <w:rsid w:val="00A847B1"/>
    <w:rsid w:val="00A85C6C"/>
    <w:rsid w:val="00A90752"/>
    <w:rsid w:val="00A91206"/>
    <w:rsid w:val="00A9239D"/>
    <w:rsid w:val="00A968D0"/>
    <w:rsid w:val="00A96D37"/>
    <w:rsid w:val="00AA21D2"/>
    <w:rsid w:val="00AA4BF2"/>
    <w:rsid w:val="00AA5E75"/>
    <w:rsid w:val="00AA723E"/>
    <w:rsid w:val="00AB2179"/>
    <w:rsid w:val="00AB309D"/>
    <w:rsid w:val="00AB460A"/>
    <w:rsid w:val="00AB79EB"/>
    <w:rsid w:val="00AB7E69"/>
    <w:rsid w:val="00AC7695"/>
    <w:rsid w:val="00AD3E6C"/>
    <w:rsid w:val="00AD46DC"/>
    <w:rsid w:val="00AD70FE"/>
    <w:rsid w:val="00AE083A"/>
    <w:rsid w:val="00AE0C97"/>
    <w:rsid w:val="00AE32C1"/>
    <w:rsid w:val="00AE4559"/>
    <w:rsid w:val="00AE5017"/>
    <w:rsid w:val="00AE638F"/>
    <w:rsid w:val="00AF6035"/>
    <w:rsid w:val="00B0057F"/>
    <w:rsid w:val="00B00F4D"/>
    <w:rsid w:val="00B01F2A"/>
    <w:rsid w:val="00B04EAC"/>
    <w:rsid w:val="00B16017"/>
    <w:rsid w:val="00B16EAB"/>
    <w:rsid w:val="00B20F49"/>
    <w:rsid w:val="00B22AC0"/>
    <w:rsid w:val="00B22EAD"/>
    <w:rsid w:val="00B236DE"/>
    <w:rsid w:val="00B240BB"/>
    <w:rsid w:val="00B243BD"/>
    <w:rsid w:val="00B30501"/>
    <w:rsid w:val="00B30E82"/>
    <w:rsid w:val="00B30F42"/>
    <w:rsid w:val="00B311A2"/>
    <w:rsid w:val="00B3143B"/>
    <w:rsid w:val="00B34E81"/>
    <w:rsid w:val="00B3793D"/>
    <w:rsid w:val="00B37AB7"/>
    <w:rsid w:val="00B43795"/>
    <w:rsid w:val="00B439FE"/>
    <w:rsid w:val="00B45546"/>
    <w:rsid w:val="00B45C0C"/>
    <w:rsid w:val="00B46AF6"/>
    <w:rsid w:val="00B477B1"/>
    <w:rsid w:val="00B5231A"/>
    <w:rsid w:val="00B54C4F"/>
    <w:rsid w:val="00B621AB"/>
    <w:rsid w:val="00B62E8A"/>
    <w:rsid w:val="00B632AD"/>
    <w:rsid w:val="00B637E2"/>
    <w:rsid w:val="00B64F29"/>
    <w:rsid w:val="00B66EB4"/>
    <w:rsid w:val="00B67B7F"/>
    <w:rsid w:val="00B70AA3"/>
    <w:rsid w:val="00B77821"/>
    <w:rsid w:val="00B86A67"/>
    <w:rsid w:val="00B87B20"/>
    <w:rsid w:val="00B87E25"/>
    <w:rsid w:val="00B94810"/>
    <w:rsid w:val="00BA3977"/>
    <w:rsid w:val="00BA3BBB"/>
    <w:rsid w:val="00BA3EAC"/>
    <w:rsid w:val="00BA5E06"/>
    <w:rsid w:val="00BB22B6"/>
    <w:rsid w:val="00BB4A84"/>
    <w:rsid w:val="00BB5901"/>
    <w:rsid w:val="00BB674B"/>
    <w:rsid w:val="00BC2021"/>
    <w:rsid w:val="00BC42A1"/>
    <w:rsid w:val="00BC5730"/>
    <w:rsid w:val="00BC7E62"/>
    <w:rsid w:val="00BD2055"/>
    <w:rsid w:val="00BD25A9"/>
    <w:rsid w:val="00BD3A9D"/>
    <w:rsid w:val="00BD52D7"/>
    <w:rsid w:val="00BD5DB6"/>
    <w:rsid w:val="00BE2E0F"/>
    <w:rsid w:val="00BF1726"/>
    <w:rsid w:val="00BF241E"/>
    <w:rsid w:val="00BF49C2"/>
    <w:rsid w:val="00BF75BA"/>
    <w:rsid w:val="00C0256E"/>
    <w:rsid w:val="00C07513"/>
    <w:rsid w:val="00C152D8"/>
    <w:rsid w:val="00C15994"/>
    <w:rsid w:val="00C15FA0"/>
    <w:rsid w:val="00C16330"/>
    <w:rsid w:val="00C17653"/>
    <w:rsid w:val="00C17FA4"/>
    <w:rsid w:val="00C213C2"/>
    <w:rsid w:val="00C22ABF"/>
    <w:rsid w:val="00C256D3"/>
    <w:rsid w:val="00C25FB0"/>
    <w:rsid w:val="00C30661"/>
    <w:rsid w:val="00C30AD1"/>
    <w:rsid w:val="00C348CB"/>
    <w:rsid w:val="00C35939"/>
    <w:rsid w:val="00C46B69"/>
    <w:rsid w:val="00C526FA"/>
    <w:rsid w:val="00C53454"/>
    <w:rsid w:val="00C542B0"/>
    <w:rsid w:val="00C60978"/>
    <w:rsid w:val="00C6352F"/>
    <w:rsid w:val="00C67B89"/>
    <w:rsid w:val="00C70282"/>
    <w:rsid w:val="00C721B1"/>
    <w:rsid w:val="00C74E9A"/>
    <w:rsid w:val="00C752AC"/>
    <w:rsid w:val="00C7553E"/>
    <w:rsid w:val="00C7749F"/>
    <w:rsid w:val="00C77919"/>
    <w:rsid w:val="00C83E13"/>
    <w:rsid w:val="00C91169"/>
    <w:rsid w:val="00C9373B"/>
    <w:rsid w:val="00C96700"/>
    <w:rsid w:val="00CA0FAA"/>
    <w:rsid w:val="00CA2F00"/>
    <w:rsid w:val="00CA5BFA"/>
    <w:rsid w:val="00CA73A1"/>
    <w:rsid w:val="00CB0A81"/>
    <w:rsid w:val="00CB1423"/>
    <w:rsid w:val="00CB319B"/>
    <w:rsid w:val="00CB361E"/>
    <w:rsid w:val="00CB6FE4"/>
    <w:rsid w:val="00CC68AD"/>
    <w:rsid w:val="00CC7F1C"/>
    <w:rsid w:val="00CD2911"/>
    <w:rsid w:val="00CD32B3"/>
    <w:rsid w:val="00CD5224"/>
    <w:rsid w:val="00CE0FCE"/>
    <w:rsid w:val="00CE3B73"/>
    <w:rsid w:val="00CE5B24"/>
    <w:rsid w:val="00CF12A5"/>
    <w:rsid w:val="00CF2D51"/>
    <w:rsid w:val="00CF3DA9"/>
    <w:rsid w:val="00D03447"/>
    <w:rsid w:val="00D122B1"/>
    <w:rsid w:val="00D13AA6"/>
    <w:rsid w:val="00D13D2D"/>
    <w:rsid w:val="00D158C3"/>
    <w:rsid w:val="00D17DFA"/>
    <w:rsid w:val="00D200B4"/>
    <w:rsid w:val="00D21DF9"/>
    <w:rsid w:val="00D2293F"/>
    <w:rsid w:val="00D22DDC"/>
    <w:rsid w:val="00D23344"/>
    <w:rsid w:val="00D23636"/>
    <w:rsid w:val="00D31F24"/>
    <w:rsid w:val="00D3228C"/>
    <w:rsid w:val="00D3387A"/>
    <w:rsid w:val="00D359E3"/>
    <w:rsid w:val="00D36C61"/>
    <w:rsid w:val="00D376C0"/>
    <w:rsid w:val="00D415B3"/>
    <w:rsid w:val="00D4237F"/>
    <w:rsid w:val="00D42A2E"/>
    <w:rsid w:val="00D4482A"/>
    <w:rsid w:val="00D50503"/>
    <w:rsid w:val="00D5693A"/>
    <w:rsid w:val="00D611F1"/>
    <w:rsid w:val="00D665A2"/>
    <w:rsid w:val="00D71F30"/>
    <w:rsid w:val="00D7312A"/>
    <w:rsid w:val="00D73D7E"/>
    <w:rsid w:val="00D80084"/>
    <w:rsid w:val="00D80EAC"/>
    <w:rsid w:val="00D85945"/>
    <w:rsid w:val="00D86765"/>
    <w:rsid w:val="00D90394"/>
    <w:rsid w:val="00D936A4"/>
    <w:rsid w:val="00D95EB1"/>
    <w:rsid w:val="00D9612B"/>
    <w:rsid w:val="00DA011E"/>
    <w:rsid w:val="00DA0D26"/>
    <w:rsid w:val="00DA2950"/>
    <w:rsid w:val="00DA38FC"/>
    <w:rsid w:val="00DB3AC6"/>
    <w:rsid w:val="00DB3ACC"/>
    <w:rsid w:val="00DB4B31"/>
    <w:rsid w:val="00DB5643"/>
    <w:rsid w:val="00DC04F9"/>
    <w:rsid w:val="00DC13EB"/>
    <w:rsid w:val="00DC4151"/>
    <w:rsid w:val="00DC5087"/>
    <w:rsid w:val="00DC6B9C"/>
    <w:rsid w:val="00DD1604"/>
    <w:rsid w:val="00DD191C"/>
    <w:rsid w:val="00DD2593"/>
    <w:rsid w:val="00DD7B6E"/>
    <w:rsid w:val="00DE0DBD"/>
    <w:rsid w:val="00DE30C0"/>
    <w:rsid w:val="00DE3F99"/>
    <w:rsid w:val="00DE4514"/>
    <w:rsid w:val="00DF2289"/>
    <w:rsid w:val="00DF3A95"/>
    <w:rsid w:val="00DF75EB"/>
    <w:rsid w:val="00DF7C8F"/>
    <w:rsid w:val="00E01D62"/>
    <w:rsid w:val="00E1085C"/>
    <w:rsid w:val="00E13369"/>
    <w:rsid w:val="00E1433B"/>
    <w:rsid w:val="00E20432"/>
    <w:rsid w:val="00E210C6"/>
    <w:rsid w:val="00E331F8"/>
    <w:rsid w:val="00E33C8A"/>
    <w:rsid w:val="00E33E00"/>
    <w:rsid w:val="00E35905"/>
    <w:rsid w:val="00E41304"/>
    <w:rsid w:val="00E44FCF"/>
    <w:rsid w:val="00E47725"/>
    <w:rsid w:val="00E54CE9"/>
    <w:rsid w:val="00E57FB3"/>
    <w:rsid w:val="00E601A4"/>
    <w:rsid w:val="00E60D14"/>
    <w:rsid w:val="00E6389D"/>
    <w:rsid w:val="00E64182"/>
    <w:rsid w:val="00E65BF5"/>
    <w:rsid w:val="00E65E1F"/>
    <w:rsid w:val="00E66793"/>
    <w:rsid w:val="00E67F7D"/>
    <w:rsid w:val="00E748C2"/>
    <w:rsid w:val="00E74F7A"/>
    <w:rsid w:val="00E7758A"/>
    <w:rsid w:val="00E80881"/>
    <w:rsid w:val="00E830BC"/>
    <w:rsid w:val="00E83C1F"/>
    <w:rsid w:val="00E83C4E"/>
    <w:rsid w:val="00E84011"/>
    <w:rsid w:val="00E85AB8"/>
    <w:rsid w:val="00E866C0"/>
    <w:rsid w:val="00E91902"/>
    <w:rsid w:val="00E920E0"/>
    <w:rsid w:val="00E96565"/>
    <w:rsid w:val="00E96B91"/>
    <w:rsid w:val="00EA04E9"/>
    <w:rsid w:val="00EA7164"/>
    <w:rsid w:val="00EB2764"/>
    <w:rsid w:val="00EB2DD3"/>
    <w:rsid w:val="00EB775D"/>
    <w:rsid w:val="00EB7BF8"/>
    <w:rsid w:val="00EC5479"/>
    <w:rsid w:val="00EC568F"/>
    <w:rsid w:val="00ED171E"/>
    <w:rsid w:val="00EE3A33"/>
    <w:rsid w:val="00EE3D21"/>
    <w:rsid w:val="00EF36CF"/>
    <w:rsid w:val="00EF4BA3"/>
    <w:rsid w:val="00EF6297"/>
    <w:rsid w:val="00EF6827"/>
    <w:rsid w:val="00EF7E81"/>
    <w:rsid w:val="00F00A80"/>
    <w:rsid w:val="00F01357"/>
    <w:rsid w:val="00F019B4"/>
    <w:rsid w:val="00F02970"/>
    <w:rsid w:val="00F052D4"/>
    <w:rsid w:val="00F114D2"/>
    <w:rsid w:val="00F12A08"/>
    <w:rsid w:val="00F13F37"/>
    <w:rsid w:val="00F147BF"/>
    <w:rsid w:val="00F20137"/>
    <w:rsid w:val="00F24FA9"/>
    <w:rsid w:val="00F25D6B"/>
    <w:rsid w:val="00F25F1C"/>
    <w:rsid w:val="00F26E24"/>
    <w:rsid w:val="00F27B62"/>
    <w:rsid w:val="00F30912"/>
    <w:rsid w:val="00F311E7"/>
    <w:rsid w:val="00F312E9"/>
    <w:rsid w:val="00F33F0F"/>
    <w:rsid w:val="00F34A81"/>
    <w:rsid w:val="00F35705"/>
    <w:rsid w:val="00F35B3E"/>
    <w:rsid w:val="00F36CF7"/>
    <w:rsid w:val="00F4061D"/>
    <w:rsid w:val="00F408C1"/>
    <w:rsid w:val="00F44E11"/>
    <w:rsid w:val="00F46A98"/>
    <w:rsid w:val="00F47ED0"/>
    <w:rsid w:val="00F53AC7"/>
    <w:rsid w:val="00F5401A"/>
    <w:rsid w:val="00F55D41"/>
    <w:rsid w:val="00F56871"/>
    <w:rsid w:val="00F577F7"/>
    <w:rsid w:val="00F64017"/>
    <w:rsid w:val="00F7003A"/>
    <w:rsid w:val="00F70528"/>
    <w:rsid w:val="00F73877"/>
    <w:rsid w:val="00F77B1A"/>
    <w:rsid w:val="00F8004C"/>
    <w:rsid w:val="00F80A27"/>
    <w:rsid w:val="00F81B37"/>
    <w:rsid w:val="00F83047"/>
    <w:rsid w:val="00F83F45"/>
    <w:rsid w:val="00F8476A"/>
    <w:rsid w:val="00F87AB1"/>
    <w:rsid w:val="00FA1C79"/>
    <w:rsid w:val="00FA2CE9"/>
    <w:rsid w:val="00FA7D96"/>
    <w:rsid w:val="00FB2330"/>
    <w:rsid w:val="00FB5AEE"/>
    <w:rsid w:val="00FB700D"/>
    <w:rsid w:val="00FB70D3"/>
    <w:rsid w:val="00FB7D1F"/>
    <w:rsid w:val="00FC0B14"/>
    <w:rsid w:val="00FD033D"/>
    <w:rsid w:val="00FD6FB6"/>
    <w:rsid w:val="00FE4136"/>
    <w:rsid w:val="00FF18C9"/>
    <w:rsid w:val="00FF221E"/>
    <w:rsid w:val="00FF65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D26D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1D64"/>
  </w:style>
  <w:style w:type="paragraph" w:styleId="Ttulo1">
    <w:name w:val="heading 1"/>
    <w:basedOn w:val="Normal"/>
    <w:next w:val="Normal"/>
    <w:link w:val="Ttulo1Car"/>
    <w:uiPriority w:val="9"/>
    <w:qFormat/>
    <w:rsid w:val="00181D64"/>
    <w:pPr>
      <w:keepNext/>
      <w:keepLines/>
      <w:numPr>
        <w:numId w:val="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181D64"/>
    <w:pPr>
      <w:keepNext/>
      <w:keepLines/>
      <w:numPr>
        <w:ilvl w:val="1"/>
        <w:numId w:val="8"/>
      </w:numPr>
      <w:spacing w:before="360" w:after="240" w:line="288" w:lineRule="auto"/>
      <w:jc w:val="both"/>
      <w:outlineLvl w:val="1"/>
    </w:pPr>
    <w:rPr>
      <w:rFonts w:ascii="Arial" w:eastAsiaTheme="majorEastAsia" w:hAnsi="Arial" w:cs="Arial"/>
      <w:b/>
      <w:bCs/>
      <w:color w:val="000000" w:themeColor="text1"/>
      <w:sz w:val="24"/>
      <w:szCs w:val="24"/>
      <w:lang w:val="en-GB"/>
    </w:rPr>
  </w:style>
  <w:style w:type="paragraph" w:styleId="Ttulo3">
    <w:name w:val="heading 3"/>
    <w:basedOn w:val="Normal"/>
    <w:next w:val="Normal"/>
    <w:link w:val="Ttulo3Car"/>
    <w:unhideWhenUsed/>
    <w:qFormat/>
    <w:rsid w:val="00181D64"/>
    <w:pPr>
      <w:keepNext/>
      <w:keepLines/>
      <w:numPr>
        <w:ilvl w:val="2"/>
        <w:numId w:val="8"/>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81D64"/>
    <w:pPr>
      <w:keepNext/>
      <w:keepLines/>
      <w:numPr>
        <w:ilvl w:val="3"/>
        <w:numId w:val="8"/>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81D64"/>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81D64"/>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81D64"/>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81D64"/>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81D64"/>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1D6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81D64"/>
    <w:rPr>
      <w:rFonts w:ascii="Arial" w:eastAsiaTheme="majorEastAsia" w:hAnsi="Arial" w:cs="Arial"/>
      <w:b/>
      <w:bCs/>
      <w:color w:val="000000" w:themeColor="text1"/>
      <w:sz w:val="24"/>
      <w:szCs w:val="24"/>
      <w:lang w:val="en-GB"/>
    </w:rPr>
  </w:style>
  <w:style w:type="character" w:customStyle="1" w:styleId="Ttulo3Car">
    <w:name w:val="Título 3 Car"/>
    <w:basedOn w:val="Fuentedeprrafopredeter"/>
    <w:link w:val="Ttulo3"/>
    <w:rsid w:val="00181D64"/>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181D64"/>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181D64"/>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81D64"/>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81D64"/>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81D6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81D64"/>
    <w:rPr>
      <w:rFonts w:asciiTheme="majorHAnsi" w:eastAsiaTheme="majorEastAsia" w:hAnsiTheme="majorHAnsi" w:cstheme="majorBidi"/>
      <w:i/>
      <w:iCs/>
      <w:color w:val="272727" w:themeColor="text1" w:themeTint="D8"/>
      <w:sz w:val="21"/>
      <w:szCs w:val="21"/>
    </w:rPr>
  </w:style>
  <w:style w:type="paragraph" w:customStyle="1" w:styleId="IFTnormal">
    <w:name w:val="IFT normal"/>
    <w:basedOn w:val="Normal"/>
    <w:link w:val="IFTnormalCar"/>
    <w:qFormat/>
    <w:rsid w:val="00181D64"/>
    <w:pPr>
      <w:spacing w:after="200" w:line="276" w:lineRule="auto"/>
      <w:jc w:val="both"/>
    </w:pPr>
    <w:rPr>
      <w:rFonts w:ascii="ITC Avant Garde" w:eastAsia="MS Mincho" w:hAnsi="ITC Avant Garde" w:cs="Calibri"/>
      <w:bCs/>
    </w:rPr>
  </w:style>
  <w:style w:type="character" w:customStyle="1" w:styleId="IFTnormalCar">
    <w:name w:val="IFT normal Car"/>
    <w:basedOn w:val="Fuentedeprrafopredeter"/>
    <w:link w:val="IFTnormal"/>
    <w:qFormat/>
    <w:rsid w:val="00181D64"/>
    <w:rPr>
      <w:rFonts w:ascii="ITC Avant Garde" w:eastAsia="MS Mincho" w:hAnsi="ITC Avant Garde" w:cs="Calibri"/>
      <w:bCs/>
    </w:rPr>
  </w:style>
  <w:style w:type="character" w:styleId="Refdenotaalpie">
    <w:name w:val="footnote reference"/>
    <w:aliases w:val="Ref,de nota al pie,(NECG) Footnote Reference,o,fr,Style 3,Appel note de bas de p,Style 12,Style 124,Ref. de nota al pie 2,Style 6,Footnote Reference Superscript,Style 13,FR,Style 17,Footnote Reference/,Texto de nota al pie,註腳內容,11 pt"/>
    <w:uiPriority w:val="99"/>
    <w:unhideWhenUsed/>
    <w:qFormat/>
    <w:rsid w:val="00181D64"/>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unhideWhenUsed/>
    <w:qFormat/>
    <w:rsid w:val="00181D64"/>
    <w:pPr>
      <w:spacing w:after="0" w:line="240" w:lineRule="auto"/>
    </w:pPr>
    <w:rPr>
      <w:rFonts w:ascii="Calibri" w:eastAsia="Calibri" w:hAnsi="Calibri" w:cs="Times New Roman"/>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181D64"/>
    <w:rPr>
      <w:rFonts w:ascii="Calibri" w:eastAsia="Calibri" w:hAnsi="Calibri" w:cs="Times New Roman"/>
      <w:sz w:val="20"/>
      <w:szCs w:val="20"/>
    </w:rPr>
  </w:style>
  <w:style w:type="character" w:styleId="Hipervnculo">
    <w:name w:val="Hyperlink"/>
    <w:basedOn w:val="Fuentedeprrafopredeter"/>
    <w:uiPriority w:val="99"/>
    <w:unhideWhenUsed/>
    <w:rsid w:val="00181D64"/>
    <w:rPr>
      <w:color w:val="0563C1" w:themeColor="hyperlink"/>
      <w:u w:val="single"/>
    </w:rPr>
  </w:style>
  <w:style w:type="paragraph" w:styleId="Prrafodelista">
    <w:name w:val="List Paragraph"/>
    <w:aliases w:val="prueba1"/>
    <w:basedOn w:val="Normal"/>
    <w:link w:val="PrrafodelistaCar"/>
    <w:uiPriority w:val="34"/>
    <w:qFormat/>
    <w:rsid w:val="00181D64"/>
    <w:pPr>
      <w:spacing w:after="200" w:line="276" w:lineRule="auto"/>
      <w:ind w:left="720"/>
      <w:contextualSpacing/>
    </w:pPr>
    <w:rPr>
      <w:rFonts w:ascii="Calibri" w:eastAsia="Calibri" w:hAnsi="Calibri" w:cs="Times New Roman"/>
    </w:rPr>
  </w:style>
  <w:style w:type="character" w:customStyle="1" w:styleId="PrrafodelistaCar">
    <w:name w:val="Párrafo de lista Car"/>
    <w:aliases w:val="prueba1 Car"/>
    <w:link w:val="Prrafodelista"/>
    <w:uiPriority w:val="34"/>
    <w:qFormat/>
    <w:rsid w:val="00181D64"/>
    <w:rPr>
      <w:rFonts w:ascii="Calibri" w:eastAsia="Calibri" w:hAnsi="Calibri" w:cs="Times New Roman"/>
    </w:rPr>
  </w:style>
  <w:style w:type="paragraph" w:customStyle="1" w:styleId="Tablecells">
    <w:name w:val="Table: cells"/>
    <w:qFormat/>
    <w:rsid w:val="00181D64"/>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qFormat/>
    <w:rsid w:val="00181D64"/>
    <w:pPr>
      <w:keepNext/>
    </w:pPr>
    <w:rPr>
      <w:b/>
      <w:color w:val="FFFFFF"/>
    </w:rPr>
  </w:style>
  <w:style w:type="paragraph" w:styleId="Ttulo">
    <w:name w:val="Title"/>
    <w:basedOn w:val="Normal"/>
    <w:next w:val="Normal"/>
    <w:link w:val="TtuloCar"/>
    <w:uiPriority w:val="10"/>
    <w:rsid w:val="00181D64"/>
    <w:pPr>
      <w:spacing w:after="0" w:line="240" w:lineRule="auto"/>
      <w:contextualSpacing/>
      <w:jc w:val="both"/>
    </w:pPr>
    <w:rPr>
      <w:rFonts w:ascii="Arial" w:eastAsiaTheme="majorEastAsia" w:hAnsi="Arial" w:cs="Arial"/>
      <w:b/>
      <w:bCs/>
      <w:spacing w:val="-10"/>
      <w:kern w:val="28"/>
      <w:sz w:val="56"/>
      <w:szCs w:val="56"/>
      <w:lang w:val="en-GB"/>
    </w:rPr>
  </w:style>
  <w:style w:type="character" w:customStyle="1" w:styleId="TtuloCar">
    <w:name w:val="Título Car"/>
    <w:basedOn w:val="Fuentedeprrafopredeter"/>
    <w:link w:val="Ttulo"/>
    <w:uiPriority w:val="10"/>
    <w:rsid w:val="00181D64"/>
    <w:rPr>
      <w:rFonts w:ascii="Arial" w:eastAsiaTheme="majorEastAsia" w:hAnsi="Arial" w:cs="Arial"/>
      <w:b/>
      <w:bCs/>
      <w:spacing w:val="-10"/>
      <w:kern w:val="28"/>
      <w:sz w:val="56"/>
      <w:szCs w:val="56"/>
      <w:lang w:val="en-GB"/>
    </w:rPr>
  </w:style>
  <w:style w:type="paragraph" w:styleId="Piedepgina">
    <w:name w:val="footer"/>
    <w:basedOn w:val="Normal"/>
    <w:link w:val="PiedepginaCar"/>
    <w:uiPriority w:val="99"/>
    <w:unhideWhenUsed/>
    <w:rsid w:val="00181D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D64"/>
  </w:style>
  <w:style w:type="paragraph" w:styleId="TtuloTDC">
    <w:name w:val="TOC Heading"/>
    <w:basedOn w:val="Ttulo1"/>
    <w:next w:val="Normal"/>
    <w:uiPriority w:val="39"/>
    <w:unhideWhenUsed/>
    <w:qFormat/>
    <w:rsid w:val="00181D64"/>
    <w:pPr>
      <w:outlineLvl w:val="9"/>
    </w:pPr>
    <w:rPr>
      <w:lang w:eastAsia="es-MX"/>
    </w:rPr>
  </w:style>
  <w:style w:type="paragraph" w:styleId="TDC2">
    <w:name w:val="toc 2"/>
    <w:basedOn w:val="Normal"/>
    <w:next w:val="Normal"/>
    <w:autoRedefine/>
    <w:uiPriority w:val="39"/>
    <w:unhideWhenUsed/>
    <w:rsid w:val="0053413C"/>
    <w:pPr>
      <w:tabs>
        <w:tab w:val="left" w:pos="660"/>
        <w:tab w:val="right" w:leader="dot" w:pos="8828"/>
      </w:tabs>
      <w:spacing w:after="100"/>
    </w:pPr>
    <w:rPr>
      <w:rFonts w:eastAsiaTheme="minorEastAsia" w:cs="Times New Roman"/>
      <w:lang w:eastAsia="es-MX"/>
    </w:rPr>
  </w:style>
  <w:style w:type="paragraph" w:styleId="TDC1">
    <w:name w:val="toc 1"/>
    <w:basedOn w:val="Normal"/>
    <w:next w:val="Normal"/>
    <w:autoRedefine/>
    <w:uiPriority w:val="39"/>
    <w:unhideWhenUsed/>
    <w:rsid w:val="00F83F45"/>
    <w:pPr>
      <w:tabs>
        <w:tab w:val="left" w:pos="660"/>
        <w:tab w:val="right" w:leader="dot" w:pos="8828"/>
      </w:tabs>
      <w:spacing w:after="100"/>
    </w:pPr>
    <w:rPr>
      <w:rFonts w:eastAsiaTheme="minorEastAsia" w:cs="Times New Roman"/>
      <w:lang w:eastAsia="es-MX"/>
    </w:rPr>
  </w:style>
  <w:style w:type="paragraph" w:styleId="TDC3">
    <w:name w:val="toc 3"/>
    <w:basedOn w:val="Normal"/>
    <w:next w:val="Normal"/>
    <w:autoRedefine/>
    <w:uiPriority w:val="39"/>
    <w:unhideWhenUsed/>
    <w:rsid w:val="00181D64"/>
    <w:pPr>
      <w:tabs>
        <w:tab w:val="left" w:pos="709"/>
        <w:tab w:val="right" w:leader="dot" w:pos="8828"/>
      </w:tabs>
      <w:spacing w:after="100"/>
    </w:pPr>
    <w:rPr>
      <w:rFonts w:eastAsiaTheme="minorEastAsia" w:cs="Times New Roman"/>
      <w:lang w:eastAsia="es-MX"/>
    </w:rPr>
  </w:style>
  <w:style w:type="table" w:styleId="Tablaconcuadrcula1clara">
    <w:name w:val="Grid Table 1 Light"/>
    <w:basedOn w:val="Tablanormal"/>
    <w:uiPriority w:val="99"/>
    <w:rsid w:val="00181D6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aaIFTNormalArial">
    <w:name w:val="aaa IFT Normal Arial"/>
    <w:basedOn w:val="IFTnormal"/>
    <w:rsid w:val="00181D64"/>
    <w:pPr>
      <w:spacing w:after="0"/>
    </w:pPr>
    <w:rPr>
      <w:rFonts w:ascii="Arial" w:eastAsia="Calibri" w:hAnsi="Arial" w:cs="Arial"/>
      <w:bCs w:val="0"/>
      <w:color w:val="000000"/>
      <w:lang w:val="es-ES_tradnl" w:eastAsia="es-ES"/>
    </w:rPr>
  </w:style>
  <w:style w:type="paragraph" w:customStyle="1" w:styleId="aaaIFTnormal">
    <w:name w:val="aaa IFT normal"/>
    <w:basedOn w:val="Normal"/>
    <w:link w:val="aaaIFTnormalCar"/>
    <w:qFormat/>
    <w:rsid w:val="00181D64"/>
    <w:pPr>
      <w:spacing w:after="240" w:line="276" w:lineRule="auto"/>
      <w:jc w:val="both"/>
    </w:pPr>
    <w:rPr>
      <w:rFonts w:ascii="Arial" w:eastAsia="MS Mincho" w:hAnsi="Arial" w:cs="Calibri"/>
      <w:bCs/>
    </w:rPr>
  </w:style>
  <w:style w:type="character" w:customStyle="1" w:styleId="aaaIFTnormalCar">
    <w:name w:val="aaa IFT normal Car"/>
    <w:link w:val="aaaIFTnormal"/>
    <w:qFormat/>
    <w:rsid w:val="00181D64"/>
    <w:rPr>
      <w:rFonts w:ascii="Arial" w:eastAsia="MS Mincho" w:hAnsi="Arial" w:cs="Calibri"/>
      <w:bCs/>
    </w:rPr>
  </w:style>
  <w:style w:type="paragraph" w:customStyle="1" w:styleId="aaaNOTAalpie">
    <w:name w:val="aaa NOTA al pie"/>
    <w:basedOn w:val="Textonotapie"/>
    <w:qFormat/>
    <w:rsid w:val="00181D64"/>
    <w:pPr>
      <w:tabs>
        <w:tab w:val="left" w:pos="284"/>
      </w:tabs>
      <w:spacing w:after="60"/>
      <w:ind w:left="284" w:hanging="284"/>
      <w:jc w:val="both"/>
    </w:pPr>
    <w:rPr>
      <w:rFonts w:ascii="Arial" w:hAnsi="Arial"/>
      <w:sz w:val="18"/>
      <w:szCs w:val="18"/>
      <w:lang w:val="es-ES_tradnl" w:eastAsia="es-ES"/>
    </w:rPr>
  </w:style>
  <w:style w:type="numbering" w:customStyle="1" w:styleId="Estilo3">
    <w:name w:val="Estilo3"/>
    <w:rsid w:val="00181D64"/>
    <w:pPr>
      <w:numPr>
        <w:numId w:val="6"/>
      </w:numPr>
    </w:pPr>
  </w:style>
  <w:style w:type="paragraph" w:customStyle="1" w:styleId="aaaFiguras">
    <w:name w:val="aaa Figuras"/>
    <w:basedOn w:val="Normal"/>
    <w:rsid w:val="00181D64"/>
    <w:pPr>
      <w:adjustRightInd w:val="0"/>
      <w:spacing w:after="200" w:line="240" w:lineRule="auto"/>
      <w:ind w:left="1276" w:right="1325"/>
      <w:jc w:val="both"/>
    </w:pPr>
    <w:rPr>
      <w:rFonts w:ascii="Arial" w:eastAsia="Times New Roman" w:hAnsi="Arial" w:cs="Arial"/>
      <w:color w:val="000000"/>
      <w:sz w:val="18"/>
      <w:szCs w:val="18"/>
      <w:lang w:eastAsia="es-ES"/>
    </w:rPr>
  </w:style>
  <w:style w:type="numbering" w:customStyle="1" w:styleId="Estilo1">
    <w:name w:val="Estilo1"/>
    <w:rsid w:val="007444DC"/>
    <w:pPr>
      <w:numPr>
        <w:numId w:val="21"/>
      </w:numPr>
    </w:pPr>
  </w:style>
  <w:style w:type="character" w:styleId="Mencinsinresolver">
    <w:name w:val="Unresolved Mention"/>
    <w:basedOn w:val="Fuentedeprrafopredeter"/>
    <w:uiPriority w:val="99"/>
    <w:semiHidden/>
    <w:unhideWhenUsed/>
    <w:rsid w:val="00111D34"/>
    <w:rPr>
      <w:color w:val="605E5C"/>
      <w:shd w:val="clear" w:color="auto" w:fill="E1DFDD"/>
    </w:rPr>
  </w:style>
  <w:style w:type="character" w:styleId="Hipervnculovisitado">
    <w:name w:val="FollowedHyperlink"/>
    <w:basedOn w:val="Fuentedeprrafopredeter"/>
    <w:uiPriority w:val="99"/>
    <w:semiHidden/>
    <w:unhideWhenUsed/>
    <w:rsid w:val="00DC5087"/>
    <w:rPr>
      <w:color w:val="954F72" w:themeColor="followedHyperlink"/>
      <w:u w:val="single"/>
    </w:rPr>
  </w:style>
  <w:style w:type="paragraph" w:styleId="Revisin">
    <w:name w:val="Revision"/>
    <w:hidden/>
    <w:uiPriority w:val="99"/>
    <w:semiHidden/>
    <w:rsid w:val="00AB460A"/>
    <w:pPr>
      <w:spacing w:after="0" w:line="240" w:lineRule="auto"/>
    </w:pPr>
  </w:style>
  <w:style w:type="character" w:styleId="Refdecomentario">
    <w:name w:val="annotation reference"/>
    <w:uiPriority w:val="99"/>
    <w:unhideWhenUsed/>
    <w:rsid w:val="00214767"/>
    <w:rPr>
      <w:sz w:val="16"/>
      <w:szCs w:val="16"/>
    </w:rPr>
  </w:style>
  <w:style w:type="table" w:styleId="Tablaconcuadrcula">
    <w:name w:val="Table Grid"/>
    <w:basedOn w:val="Tablanormal"/>
    <w:uiPriority w:val="59"/>
    <w:rsid w:val="0021476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Listado">
    <w:name w:val="TxtListado"/>
    <w:basedOn w:val="Normal"/>
    <w:qFormat/>
    <w:rsid w:val="00214767"/>
    <w:pPr>
      <w:spacing w:after="200" w:line="276" w:lineRule="auto"/>
    </w:pPr>
    <w:rPr>
      <w:rFonts w:ascii="ITC Avant Garde" w:eastAsia="Calibri" w:hAnsi="ITC Avant Garde" w:cs="Times New Roman"/>
      <w:sz w:val="20"/>
      <w:szCs w:val="20"/>
      <w:lang w:eastAsia="es-ES"/>
    </w:rPr>
  </w:style>
  <w:style w:type="paragraph" w:styleId="Textocomentario">
    <w:name w:val="annotation text"/>
    <w:basedOn w:val="Normal"/>
    <w:link w:val="TextocomentarioCar"/>
    <w:uiPriority w:val="99"/>
    <w:unhideWhenUsed/>
    <w:rsid w:val="00EC5479"/>
    <w:pPr>
      <w:spacing w:line="240" w:lineRule="auto"/>
    </w:pPr>
    <w:rPr>
      <w:sz w:val="20"/>
      <w:szCs w:val="20"/>
    </w:rPr>
  </w:style>
  <w:style w:type="character" w:customStyle="1" w:styleId="TextocomentarioCar">
    <w:name w:val="Texto comentario Car"/>
    <w:basedOn w:val="Fuentedeprrafopredeter"/>
    <w:link w:val="Textocomentario"/>
    <w:uiPriority w:val="99"/>
    <w:rsid w:val="00EC5479"/>
    <w:rPr>
      <w:sz w:val="20"/>
      <w:szCs w:val="20"/>
    </w:rPr>
  </w:style>
  <w:style w:type="paragraph" w:styleId="Asuntodelcomentario">
    <w:name w:val="annotation subject"/>
    <w:basedOn w:val="Textocomentario"/>
    <w:next w:val="Textocomentario"/>
    <w:link w:val="AsuntodelcomentarioCar"/>
    <w:uiPriority w:val="99"/>
    <w:semiHidden/>
    <w:unhideWhenUsed/>
    <w:rsid w:val="00EC5479"/>
    <w:rPr>
      <w:b/>
      <w:bCs/>
    </w:rPr>
  </w:style>
  <w:style w:type="character" w:customStyle="1" w:styleId="AsuntodelcomentarioCar">
    <w:name w:val="Asunto del comentario Car"/>
    <w:basedOn w:val="TextocomentarioCar"/>
    <w:link w:val="Asuntodelcomentario"/>
    <w:uiPriority w:val="99"/>
    <w:semiHidden/>
    <w:rsid w:val="00EC5479"/>
    <w:rPr>
      <w:b/>
      <w:bCs/>
      <w:sz w:val="20"/>
      <w:szCs w:val="20"/>
    </w:rPr>
  </w:style>
  <w:style w:type="paragraph" w:styleId="Encabezado">
    <w:name w:val="header"/>
    <w:basedOn w:val="Normal"/>
    <w:link w:val="EncabezadoCar"/>
    <w:uiPriority w:val="99"/>
    <w:unhideWhenUsed/>
    <w:rsid w:val="00E83C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3C1F"/>
  </w:style>
  <w:style w:type="paragraph" w:styleId="Textodeglobo">
    <w:name w:val="Balloon Text"/>
    <w:basedOn w:val="Normal"/>
    <w:link w:val="TextodegloboCar"/>
    <w:uiPriority w:val="99"/>
    <w:semiHidden/>
    <w:unhideWhenUsed/>
    <w:rsid w:val="0027218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183"/>
    <w:rPr>
      <w:rFonts w:ascii="Segoe UI" w:hAnsi="Segoe UI" w:cs="Segoe UI"/>
      <w:sz w:val="18"/>
      <w:szCs w:val="18"/>
    </w:rPr>
  </w:style>
  <w:style w:type="character" w:customStyle="1" w:styleId="CitaiftCar">
    <w:name w:val="Cita ift Car"/>
    <w:link w:val="Citaift"/>
    <w:locked/>
    <w:rsid w:val="00DD1604"/>
    <w:rPr>
      <w:rFonts w:ascii="ITC Avant Garde" w:eastAsia="Times New Roman" w:hAnsi="ITC Avant Garde" w:cs="Arial"/>
      <w:i/>
      <w:color w:val="000000"/>
      <w:sz w:val="18"/>
      <w:szCs w:val="18"/>
      <w:lang w:eastAsia="es-ES"/>
    </w:rPr>
  </w:style>
  <w:style w:type="paragraph" w:customStyle="1" w:styleId="Citaift">
    <w:name w:val="Cita ift"/>
    <w:basedOn w:val="Normal"/>
    <w:link w:val="CitaiftCar"/>
    <w:qFormat/>
    <w:rsid w:val="00DD1604"/>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styleId="Textodelmarcadordeposicin">
    <w:name w:val="Placeholder Text"/>
    <w:basedOn w:val="Fuentedeprrafopredeter"/>
    <w:uiPriority w:val="99"/>
    <w:semiHidden/>
    <w:rsid w:val="00265444"/>
    <w:rPr>
      <w:color w:val="808080"/>
    </w:rPr>
  </w:style>
  <w:style w:type="paragraph" w:styleId="NormalWeb">
    <w:name w:val="Normal (Web)"/>
    <w:basedOn w:val="Normal"/>
    <w:uiPriority w:val="99"/>
    <w:semiHidden/>
    <w:unhideWhenUsed/>
    <w:rsid w:val="004D74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igura">
    <w:name w:val="Figura"/>
    <w:basedOn w:val="Normal"/>
    <w:link w:val="FiguraCar"/>
    <w:qFormat/>
    <w:rsid w:val="00FA1C79"/>
    <w:pPr>
      <w:keepNext/>
      <w:numPr>
        <w:numId w:val="43"/>
      </w:numPr>
      <w:spacing w:before="120" w:after="120" w:line="276" w:lineRule="auto"/>
      <w:jc w:val="center"/>
    </w:pPr>
    <w:rPr>
      <w:rFonts w:ascii="ITC Avant Garde" w:hAnsi="ITC Avant Garde"/>
      <w:sz w:val="20"/>
    </w:rPr>
  </w:style>
  <w:style w:type="character" w:customStyle="1" w:styleId="FiguraCar">
    <w:name w:val="Figura Car"/>
    <w:basedOn w:val="Fuentedeprrafopredeter"/>
    <w:link w:val="Figura"/>
    <w:rsid w:val="00FA1C79"/>
    <w:rPr>
      <w:rFonts w:ascii="ITC Avant Garde" w:hAnsi="ITC Avant Gard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7231">
      <w:bodyDiv w:val="1"/>
      <w:marLeft w:val="0"/>
      <w:marRight w:val="0"/>
      <w:marTop w:val="0"/>
      <w:marBottom w:val="0"/>
      <w:divBdr>
        <w:top w:val="none" w:sz="0" w:space="0" w:color="auto"/>
        <w:left w:val="none" w:sz="0" w:space="0" w:color="auto"/>
        <w:bottom w:val="none" w:sz="0" w:space="0" w:color="auto"/>
        <w:right w:val="none" w:sz="0" w:space="0" w:color="auto"/>
      </w:divBdr>
    </w:div>
    <w:div w:id="133135261">
      <w:bodyDiv w:val="1"/>
      <w:marLeft w:val="0"/>
      <w:marRight w:val="0"/>
      <w:marTop w:val="0"/>
      <w:marBottom w:val="0"/>
      <w:divBdr>
        <w:top w:val="none" w:sz="0" w:space="0" w:color="auto"/>
        <w:left w:val="none" w:sz="0" w:space="0" w:color="auto"/>
        <w:bottom w:val="none" w:sz="0" w:space="0" w:color="auto"/>
        <w:right w:val="none" w:sz="0" w:space="0" w:color="auto"/>
      </w:divBdr>
    </w:div>
    <w:div w:id="168444987">
      <w:bodyDiv w:val="1"/>
      <w:marLeft w:val="0"/>
      <w:marRight w:val="0"/>
      <w:marTop w:val="0"/>
      <w:marBottom w:val="0"/>
      <w:divBdr>
        <w:top w:val="none" w:sz="0" w:space="0" w:color="auto"/>
        <w:left w:val="none" w:sz="0" w:space="0" w:color="auto"/>
        <w:bottom w:val="none" w:sz="0" w:space="0" w:color="auto"/>
        <w:right w:val="none" w:sz="0" w:space="0" w:color="auto"/>
      </w:divBdr>
    </w:div>
    <w:div w:id="232547311">
      <w:bodyDiv w:val="1"/>
      <w:marLeft w:val="0"/>
      <w:marRight w:val="0"/>
      <w:marTop w:val="0"/>
      <w:marBottom w:val="0"/>
      <w:divBdr>
        <w:top w:val="none" w:sz="0" w:space="0" w:color="auto"/>
        <w:left w:val="none" w:sz="0" w:space="0" w:color="auto"/>
        <w:bottom w:val="none" w:sz="0" w:space="0" w:color="auto"/>
        <w:right w:val="none" w:sz="0" w:space="0" w:color="auto"/>
      </w:divBdr>
    </w:div>
    <w:div w:id="371464206">
      <w:bodyDiv w:val="1"/>
      <w:marLeft w:val="0"/>
      <w:marRight w:val="0"/>
      <w:marTop w:val="0"/>
      <w:marBottom w:val="0"/>
      <w:divBdr>
        <w:top w:val="none" w:sz="0" w:space="0" w:color="auto"/>
        <w:left w:val="none" w:sz="0" w:space="0" w:color="auto"/>
        <w:bottom w:val="none" w:sz="0" w:space="0" w:color="auto"/>
        <w:right w:val="none" w:sz="0" w:space="0" w:color="auto"/>
      </w:divBdr>
    </w:div>
    <w:div w:id="559948031">
      <w:bodyDiv w:val="1"/>
      <w:marLeft w:val="0"/>
      <w:marRight w:val="0"/>
      <w:marTop w:val="0"/>
      <w:marBottom w:val="0"/>
      <w:divBdr>
        <w:top w:val="none" w:sz="0" w:space="0" w:color="auto"/>
        <w:left w:val="none" w:sz="0" w:space="0" w:color="auto"/>
        <w:bottom w:val="none" w:sz="0" w:space="0" w:color="auto"/>
        <w:right w:val="none" w:sz="0" w:space="0" w:color="auto"/>
      </w:divBdr>
    </w:div>
    <w:div w:id="643705562">
      <w:bodyDiv w:val="1"/>
      <w:marLeft w:val="0"/>
      <w:marRight w:val="0"/>
      <w:marTop w:val="0"/>
      <w:marBottom w:val="0"/>
      <w:divBdr>
        <w:top w:val="none" w:sz="0" w:space="0" w:color="auto"/>
        <w:left w:val="none" w:sz="0" w:space="0" w:color="auto"/>
        <w:bottom w:val="none" w:sz="0" w:space="0" w:color="auto"/>
        <w:right w:val="none" w:sz="0" w:space="0" w:color="auto"/>
      </w:divBdr>
    </w:div>
    <w:div w:id="702826814">
      <w:bodyDiv w:val="1"/>
      <w:marLeft w:val="0"/>
      <w:marRight w:val="0"/>
      <w:marTop w:val="0"/>
      <w:marBottom w:val="0"/>
      <w:divBdr>
        <w:top w:val="none" w:sz="0" w:space="0" w:color="auto"/>
        <w:left w:val="none" w:sz="0" w:space="0" w:color="auto"/>
        <w:bottom w:val="none" w:sz="0" w:space="0" w:color="auto"/>
        <w:right w:val="none" w:sz="0" w:space="0" w:color="auto"/>
      </w:divBdr>
    </w:div>
    <w:div w:id="1110392743">
      <w:bodyDiv w:val="1"/>
      <w:marLeft w:val="0"/>
      <w:marRight w:val="0"/>
      <w:marTop w:val="0"/>
      <w:marBottom w:val="0"/>
      <w:divBdr>
        <w:top w:val="none" w:sz="0" w:space="0" w:color="auto"/>
        <w:left w:val="none" w:sz="0" w:space="0" w:color="auto"/>
        <w:bottom w:val="none" w:sz="0" w:space="0" w:color="auto"/>
        <w:right w:val="none" w:sz="0" w:space="0" w:color="auto"/>
      </w:divBdr>
    </w:div>
    <w:div w:id="1150824541">
      <w:bodyDiv w:val="1"/>
      <w:marLeft w:val="0"/>
      <w:marRight w:val="0"/>
      <w:marTop w:val="0"/>
      <w:marBottom w:val="0"/>
      <w:divBdr>
        <w:top w:val="none" w:sz="0" w:space="0" w:color="auto"/>
        <w:left w:val="none" w:sz="0" w:space="0" w:color="auto"/>
        <w:bottom w:val="none" w:sz="0" w:space="0" w:color="auto"/>
        <w:right w:val="none" w:sz="0" w:space="0" w:color="auto"/>
      </w:divBdr>
    </w:div>
    <w:div w:id="1193759649">
      <w:bodyDiv w:val="1"/>
      <w:marLeft w:val="0"/>
      <w:marRight w:val="0"/>
      <w:marTop w:val="0"/>
      <w:marBottom w:val="0"/>
      <w:divBdr>
        <w:top w:val="none" w:sz="0" w:space="0" w:color="auto"/>
        <w:left w:val="none" w:sz="0" w:space="0" w:color="auto"/>
        <w:bottom w:val="none" w:sz="0" w:space="0" w:color="auto"/>
        <w:right w:val="none" w:sz="0" w:space="0" w:color="auto"/>
      </w:divBdr>
    </w:div>
    <w:div w:id="1268267398">
      <w:bodyDiv w:val="1"/>
      <w:marLeft w:val="0"/>
      <w:marRight w:val="0"/>
      <w:marTop w:val="0"/>
      <w:marBottom w:val="0"/>
      <w:divBdr>
        <w:top w:val="none" w:sz="0" w:space="0" w:color="auto"/>
        <w:left w:val="none" w:sz="0" w:space="0" w:color="auto"/>
        <w:bottom w:val="none" w:sz="0" w:space="0" w:color="auto"/>
        <w:right w:val="none" w:sz="0" w:space="0" w:color="auto"/>
      </w:divBdr>
    </w:div>
    <w:div w:id="1673990184">
      <w:bodyDiv w:val="1"/>
      <w:marLeft w:val="0"/>
      <w:marRight w:val="0"/>
      <w:marTop w:val="0"/>
      <w:marBottom w:val="0"/>
      <w:divBdr>
        <w:top w:val="none" w:sz="0" w:space="0" w:color="auto"/>
        <w:left w:val="none" w:sz="0" w:space="0" w:color="auto"/>
        <w:bottom w:val="none" w:sz="0" w:space="0" w:color="auto"/>
        <w:right w:val="none" w:sz="0" w:space="0" w:color="auto"/>
      </w:divBdr>
    </w:div>
    <w:div w:id="201591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4/relationships/chartEx" Target="charts/chartEx1.xml"/><Relationship Id="rId18" Type="http://schemas.openxmlformats.org/officeDocument/2006/relationships/image" Target="media/image3.png"/><Relationship Id="rId26" Type="http://schemas.openxmlformats.org/officeDocument/2006/relationships/image" Target="media/image9.tmp"/><Relationship Id="rId3" Type="http://schemas.openxmlformats.org/officeDocument/2006/relationships/customXml" Target="../customXml/item3.xml"/><Relationship Id="rId21" Type="http://schemas.openxmlformats.org/officeDocument/2006/relationships/image" Target="media/image4.tmp"/><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emf"/><Relationship Id="rId25" Type="http://schemas.openxmlformats.org/officeDocument/2006/relationships/image" Target="media/image8.tmp"/><Relationship Id="rId33" Type="http://schemas.openxmlformats.org/officeDocument/2006/relationships/image" Target="media/image16.tmp"/><Relationship Id="rId2" Type="http://schemas.openxmlformats.org/officeDocument/2006/relationships/customXml" Target="../customXml/item2.xml"/><Relationship Id="rId20" Type="http://schemas.openxmlformats.org/officeDocument/2006/relationships/image" Target="media/image3.tmp"/><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ft.org.mx/sites/default/files/contenidogeneral/politica-regulatoria/modelodecostosevitados2022vpublica.zip" TargetMode="External"/><Relationship Id="rId24" Type="http://schemas.openxmlformats.org/officeDocument/2006/relationships/image" Target="media/image7.tmp"/><Relationship Id="rId32" Type="http://schemas.openxmlformats.org/officeDocument/2006/relationships/image" Target="media/image15.tmp"/><Relationship Id="rId37"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image" Target="media/image6.png"/><Relationship Id="rId28" Type="http://schemas.openxmlformats.org/officeDocument/2006/relationships/image" Target="media/image11.tmp"/><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tmp"/><Relationship Id="rId31" Type="http://schemas.openxmlformats.org/officeDocument/2006/relationships/image" Target="media/image14.tmp"/><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5.tmp"/><Relationship Id="rId27" Type="http://schemas.openxmlformats.org/officeDocument/2006/relationships/image" Target="media/image10.tmp"/><Relationship Id="rId30" Type="http://schemas.openxmlformats.org/officeDocument/2006/relationships/image" Target="media/image13.tmp"/><Relationship Id="rId35" Type="http://schemas.openxmlformats.org/officeDocument/2006/relationships/header" Target="header1.xml"/><Relationship Id="rId14" Type="http://schemas.microsoft.com/office/2018/08/relationships/commentsExtensible" Target="commentsExtensi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downloads.telmex.com/pdf/condiciones-paquetes-superiores.pdf?_ga=2.168876648.877688520.1658153842-1148093154.1654910611" TargetMode="External"/><Relationship Id="rId3" Type="http://schemas.openxmlformats.org/officeDocument/2006/relationships/hyperlink" Target="http://www.ift.org.mx/politica-regulatoria/ofertas-de-referencia/ofertas-de-referencia-2020" TargetMode="External"/><Relationship Id="rId7" Type="http://schemas.openxmlformats.org/officeDocument/2006/relationships/hyperlink" Target="https://downloads.telmex.com/pdf/libro-tarifas-telmex.pdf?_ga=2.262187468.1969286310.1662991424-1471557596.1661228773" TargetMode="External"/><Relationship Id="rId12" Type="http://schemas.openxmlformats.org/officeDocument/2006/relationships/hyperlink" Target="https://www.ift.org.mx/industria/consultas-publicas/consulta-publica-sobre-el-anteproyecto-de-condiciones-tecnicas-minimas-para-la-interconexion-entre-2" TargetMode="External"/><Relationship Id="rId2" Type="http://schemas.openxmlformats.org/officeDocument/2006/relationships/hyperlink" Target="https://www.ift.org.mx/industria/consultas-publicas/consulta-publica-sobre-las-actualizaciones-al-modelo-de-costos-evitados-y-modelo-de-costos-integral" TargetMode="External"/><Relationship Id="rId1" Type="http://schemas.openxmlformats.org/officeDocument/2006/relationships/hyperlink" Target="https://www.ift.org.mx/industria/consultas-publicas/consulta-publica-sobre-las-actualizaciones-al-modelo-de-costos-evitados-y-modelo-de-costos-integral" TargetMode="External"/><Relationship Id="rId6" Type="http://schemas.openxmlformats.org/officeDocument/2006/relationships/hyperlink" Target="https://downloads.telmex.com/pdf/infoRelevante_ClaroVideo.pdf" TargetMode="External"/><Relationship Id="rId11" Type="http://schemas.openxmlformats.org/officeDocument/2006/relationships/hyperlink" Target="https://www.clarovideo.com/fe/sitesplus/sk_telmex/html/esp/faqs.html" TargetMode="External"/><Relationship Id="rId5" Type="http://schemas.openxmlformats.org/officeDocument/2006/relationships/hyperlink" Target="https://downloads.telmex.com/pdf/servicios-digitales.pdf" TargetMode="External"/><Relationship Id="rId10" Type="http://schemas.openxmlformats.org/officeDocument/2006/relationships/hyperlink" Target="https://downloads.telmex.com/pdf/condiciones-paquetes-superiores.pdf" TargetMode="External"/><Relationship Id="rId4" Type="http://schemas.openxmlformats.org/officeDocument/2006/relationships/hyperlink" Target="http://downloads.telmex.com/pdf/TelmexCondTel.docx?_ga=2.17009593.1423765675.1536854933-825438508.1517963246" TargetMode="External"/><Relationship Id="rId9" Type="http://schemas.openxmlformats.org/officeDocument/2006/relationships/hyperlink" Target="https://downloads.telmex.com/pdf/ServiciosMercadoMasiv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xlsx"/></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Hoja1!$A$2:$A$5</cx:f>
        <cx:lvl ptCount="4">
          <cx:pt idx="0">Precio minorista</cx:pt>
          <cx:pt idx="1">Precio implícito de 
servicios de internet</cx:pt>
          <cx:pt idx="2">Precio implícito de 
   servicios de voz</cx:pt>
          <cx:pt idx="3">Precio implícito de 
     otros servicios</cx:pt>
        </cx:lvl>
      </cx:strDim>
      <cx:numDim type="val">
        <cx:f>Hoja1!$B$2:$B$5</cx:f>
        <cx:lvl ptCount="4" formatCode="Estándar">
          <cx:pt idx="0">120</cx:pt>
          <cx:pt idx="1">-65</cx:pt>
          <cx:pt idx="2">-25</cx:pt>
          <cx:pt idx="3">-30</cx:pt>
        </cx:lvl>
      </cx:numDim>
    </cx:data>
  </cx:chartData>
  <cx:chart>
    <cx:title pos="t" align="ctr" overlay="0">
      <cx:tx>
        <cx:txData>
          <cx:v/>
        </cx:txData>
      </cx:tx>
      <cx:txPr>
        <a:bodyPr spcFirstLastPara="1" vertOverflow="ellipsis" wrap="square" lIns="0" tIns="0" rIns="0" bIns="0" anchor="ctr" anchorCtr="1"/>
        <a:lstStyle/>
        <a:p>
          <a:pPr algn="ctr">
            <a:defRPr/>
          </a:pPr>
          <a:endParaRPr lang="es-MX" dirty="0"/>
        </a:p>
      </cx:txPr>
    </cx:title>
    <cx:plotArea>
      <cx:plotAreaRegion>
        <cx:series layoutId="waterfall" uniqueId="{319A90F0-D75C-48CA-B6D3-DC5C29089F63}">
          <cx:tx>
            <cx:txData>
              <cx:f>Hoja1!$B$1</cx:f>
              <cx:v>Serie1</cx:v>
            </cx:txData>
          </cx:tx>
          <cx:spPr>
            <a:pattFill prst="pct5">
              <a:fgClr>
                <a:schemeClr val="tx1"/>
              </a:fgClr>
              <a:bgClr>
                <a:schemeClr val="bg1"/>
              </a:bgClr>
            </a:pattFill>
          </cx:spPr>
          <cx:dataPt idx="0">
            <cx:spPr>
              <a:noFill/>
              <a:ln w="19050">
                <a:solidFill>
                  <a:schemeClr val="tx1"/>
                </a:solidFill>
              </a:ln>
            </cx:spPr>
          </cx:dataPt>
          <cx:dataPt idx="2">
            <cx:spPr>
              <a:pattFill prst="pct75"/>
            </cx:spPr>
          </cx:dataPt>
          <cx:dataPt idx="3">
            <cx:spPr>
              <a:pattFill prst="wdDnDiag"/>
            </cx:spPr>
          </cx:dataPt>
          <cx:dataId val="0"/>
          <cx:layoutPr>
            <cx:subtotals/>
          </cx:layoutPr>
        </cx:series>
      </cx:plotAreaRegion>
      <cx:axis id="0">
        <cx:catScaling gapWidth="0.5"/>
        <cx:tickLabels/>
        <cx:numFmt formatCode="#,##0;-#,##0" sourceLinked="0"/>
        <cx:txPr>
          <a:bodyPr spcFirstLastPara="1" vertOverflow="ellipsis" wrap="square" lIns="0" tIns="0" rIns="0" bIns="0" anchor="ctr" anchorCtr="1"/>
          <a:lstStyle/>
          <a:p>
            <a:pPr>
              <a:defRPr sz="800" b="1" i="0" baseline="0">
                <a:latin typeface="ITC Avant Garde" panose="020B0402020203020304" pitchFamily="34" charset="0"/>
              </a:defRPr>
            </a:pPr>
            <a:endParaRPr lang="es-MX" sz="800" b="1" i="0" baseline="0">
              <a:latin typeface="ITC Avant Garde" panose="020B0402020203020304" pitchFamily="34" charset="0"/>
            </a:endParaRPr>
          </a:p>
        </cx:txPr>
      </cx:axis>
      <cx:axis id="1" hidden="1">
        <cx:valScaling max="120"/>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6">
  <cs:axisTitle>
    <cs:lnRef idx="0"/>
    <cs:fillRef idx="0"/>
    <cs:effectRef idx="0"/>
    <cs:fontRef idx="minor">
      <a:schemeClr val="tx1">
        <a:lumMod val="65000"/>
        <a:lumOff val="35000"/>
      </a:schemeClr>
    </cs:fontRef>
    <cs:defRPr sz="900" b="1" kern="1200"/>
    <cs:bodyPr/>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1" ma:contentTypeDescription="Crear nuevo documento." ma:contentTypeScope="" ma:versionID="e5b2b1bc40cfb3cae1b7f5794256c86a">
  <xsd:schema xmlns:xsd="http://www.w3.org/2001/XMLSchema" xmlns:xs="http://www.w3.org/2001/XMLSchema" xmlns:p="http://schemas.microsoft.com/office/2006/metadata/properties" xmlns:ns2="http://schemas.microsoft.com/sharepoint/v4" targetNamespace="http://schemas.microsoft.com/office/2006/metadata/properties" ma:root="true" ma:fieldsID="5d741355d893ccfc20f5dcbc1d4f0952"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A8927-4563-47B3-B40D-B309DFB6E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62A68-BF42-4859-8679-F873FBB11C0A}">
  <ds:schemaRefs>
    <ds:schemaRef ds:uri="http://schemas.microsoft.com/sharepoint/v3/contenttype/forms"/>
  </ds:schemaRefs>
</ds:datastoreItem>
</file>

<file path=customXml/itemProps3.xml><?xml version="1.0" encoding="utf-8"?>
<ds:datastoreItem xmlns:ds="http://schemas.openxmlformats.org/officeDocument/2006/customXml" ds:itemID="{53E2717F-04B8-4E92-BE98-E8F849DA0351}">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537EE2BC-C8BA-412B-83E9-887A1BF76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9793</Words>
  <Characters>53862</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2022-09-20T04:07:00Z</dcterms:created>
  <dcterms:modified xsi:type="dcterms:W3CDTF">2022-09-28T17:55:00Z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