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2856" w14:textId="77777777" w:rsidR="00682E20" w:rsidRPr="006B160F" w:rsidRDefault="00682E20" w:rsidP="00682E20">
      <w:pPr>
        <w:spacing w:before="79" w:line="276" w:lineRule="auto"/>
        <w:ind w:left="810" w:right="818"/>
        <w:jc w:val="both"/>
        <w:rPr>
          <w:b/>
          <w:lang w:val="es-MX"/>
        </w:rPr>
      </w:pPr>
      <w:r w:rsidRPr="006B160F">
        <w:rPr>
          <w:b/>
          <w:lang w:val="es-MX"/>
        </w:rPr>
        <w:t>RESPUESTAS</w:t>
      </w:r>
      <w:r w:rsidRPr="006B160F">
        <w:rPr>
          <w:b/>
          <w:spacing w:val="1"/>
          <w:lang w:val="es-MX"/>
        </w:rPr>
        <w:t xml:space="preserve"> </w:t>
      </w:r>
      <w:r w:rsidRPr="006B160F">
        <w:rPr>
          <w:b/>
          <w:lang w:val="es-MX"/>
        </w:rPr>
        <w:t>GENERALES</w:t>
      </w:r>
      <w:r w:rsidRPr="006B160F">
        <w:rPr>
          <w:b/>
          <w:spacing w:val="1"/>
          <w:lang w:val="es-MX"/>
        </w:rPr>
        <w:t xml:space="preserve"> </w:t>
      </w:r>
      <w:r w:rsidRPr="006B160F">
        <w:rPr>
          <w:b/>
          <w:lang w:val="es-MX"/>
        </w:rPr>
        <w:t>QUE</w:t>
      </w:r>
      <w:r w:rsidRPr="006B160F">
        <w:rPr>
          <w:b/>
          <w:spacing w:val="1"/>
          <w:lang w:val="es-MX"/>
        </w:rPr>
        <w:t xml:space="preserve"> </w:t>
      </w:r>
      <w:r w:rsidRPr="006B160F">
        <w:rPr>
          <w:b/>
          <w:lang w:val="es-MX"/>
        </w:rPr>
        <w:t>BRINDA</w:t>
      </w:r>
      <w:r w:rsidRPr="006B160F">
        <w:rPr>
          <w:b/>
          <w:spacing w:val="1"/>
          <w:lang w:val="es-MX"/>
        </w:rPr>
        <w:t xml:space="preserve"> </w:t>
      </w:r>
      <w:r w:rsidRPr="006B160F">
        <w:rPr>
          <w:b/>
          <w:lang w:val="es-MX"/>
        </w:rPr>
        <w:t>EL</w:t>
      </w:r>
      <w:r w:rsidRPr="006B160F">
        <w:rPr>
          <w:b/>
          <w:spacing w:val="1"/>
          <w:lang w:val="es-MX"/>
        </w:rPr>
        <w:t xml:space="preserve"> </w:t>
      </w:r>
      <w:r w:rsidRPr="006B160F">
        <w:rPr>
          <w:b/>
          <w:lang w:val="es-MX"/>
        </w:rPr>
        <w:t>INSTITUTO</w:t>
      </w:r>
      <w:r w:rsidRPr="006B160F">
        <w:rPr>
          <w:b/>
          <w:spacing w:val="1"/>
          <w:lang w:val="es-MX"/>
        </w:rPr>
        <w:t xml:space="preserve"> </w:t>
      </w:r>
      <w:r w:rsidRPr="006B160F">
        <w:rPr>
          <w:b/>
          <w:lang w:val="es-MX"/>
        </w:rPr>
        <w:t>FEDERAL</w:t>
      </w:r>
      <w:r w:rsidRPr="006B160F">
        <w:rPr>
          <w:b/>
          <w:spacing w:val="1"/>
          <w:lang w:val="es-MX"/>
        </w:rPr>
        <w:t xml:space="preserve"> </w:t>
      </w:r>
      <w:r w:rsidRPr="006B160F">
        <w:rPr>
          <w:b/>
          <w:lang w:val="es-MX"/>
        </w:rPr>
        <w:t>DE</w:t>
      </w:r>
      <w:r w:rsidRPr="006B160F">
        <w:rPr>
          <w:b/>
          <w:spacing w:val="-59"/>
          <w:lang w:val="es-MX"/>
        </w:rPr>
        <w:t xml:space="preserve"> </w:t>
      </w:r>
      <w:r w:rsidRPr="006B160F">
        <w:rPr>
          <w:b/>
          <w:lang w:val="es-MX"/>
        </w:rPr>
        <w:t>TELECOMUNICACIONES A LAS MANIFESTACIONES, OPINIONES, COMENTARIOS</w:t>
      </w:r>
      <w:r w:rsidRPr="006B160F">
        <w:rPr>
          <w:b/>
          <w:spacing w:val="1"/>
          <w:lang w:val="es-MX"/>
        </w:rPr>
        <w:t xml:space="preserve"> </w:t>
      </w:r>
      <w:r w:rsidRPr="006B160F">
        <w:rPr>
          <w:b/>
          <w:lang w:val="es-MX"/>
        </w:rPr>
        <w:t>Y</w:t>
      </w:r>
      <w:r w:rsidRPr="006B160F">
        <w:rPr>
          <w:b/>
          <w:spacing w:val="-11"/>
          <w:lang w:val="es-MX"/>
        </w:rPr>
        <w:t xml:space="preserve"> </w:t>
      </w:r>
      <w:r w:rsidRPr="006B160F">
        <w:rPr>
          <w:b/>
          <w:lang w:val="es-MX"/>
        </w:rPr>
        <w:t>PROPUESTAS</w:t>
      </w:r>
      <w:r w:rsidRPr="006B160F">
        <w:rPr>
          <w:b/>
          <w:spacing w:val="-8"/>
          <w:lang w:val="es-MX"/>
        </w:rPr>
        <w:t xml:space="preserve"> </w:t>
      </w:r>
      <w:r w:rsidRPr="006B160F">
        <w:rPr>
          <w:b/>
          <w:lang w:val="es-MX"/>
        </w:rPr>
        <w:t>CONCRETAS,</w:t>
      </w:r>
      <w:r w:rsidRPr="006B160F">
        <w:rPr>
          <w:b/>
          <w:spacing w:val="-10"/>
          <w:lang w:val="es-MX"/>
        </w:rPr>
        <w:t xml:space="preserve"> </w:t>
      </w:r>
      <w:r w:rsidRPr="006B160F">
        <w:rPr>
          <w:b/>
          <w:lang w:val="es-MX"/>
        </w:rPr>
        <w:t>PRESENTADAS</w:t>
      </w:r>
      <w:r w:rsidRPr="006B160F">
        <w:rPr>
          <w:b/>
          <w:spacing w:val="-11"/>
          <w:lang w:val="es-MX"/>
        </w:rPr>
        <w:t xml:space="preserve"> </w:t>
      </w:r>
      <w:r w:rsidRPr="006B160F">
        <w:rPr>
          <w:b/>
          <w:lang w:val="es-MX"/>
        </w:rPr>
        <w:t>DURANTE</w:t>
      </w:r>
      <w:r w:rsidRPr="006B160F">
        <w:rPr>
          <w:b/>
          <w:spacing w:val="-10"/>
          <w:lang w:val="es-MX"/>
        </w:rPr>
        <w:t xml:space="preserve"> </w:t>
      </w:r>
      <w:r w:rsidRPr="006B160F">
        <w:rPr>
          <w:b/>
          <w:lang w:val="es-MX"/>
        </w:rPr>
        <w:t>LA</w:t>
      </w:r>
      <w:r w:rsidRPr="006B160F">
        <w:rPr>
          <w:b/>
          <w:spacing w:val="-12"/>
          <w:lang w:val="es-MX"/>
        </w:rPr>
        <w:t xml:space="preserve"> </w:t>
      </w:r>
      <w:r w:rsidRPr="006B160F">
        <w:rPr>
          <w:b/>
          <w:lang w:val="es-MX"/>
        </w:rPr>
        <w:t>CONSULTA</w:t>
      </w:r>
      <w:r w:rsidRPr="006B160F">
        <w:rPr>
          <w:b/>
          <w:spacing w:val="-8"/>
          <w:lang w:val="es-MX"/>
        </w:rPr>
        <w:t xml:space="preserve"> </w:t>
      </w:r>
      <w:r w:rsidRPr="006B160F">
        <w:rPr>
          <w:b/>
          <w:lang w:val="es-MX"/>
        </w:rPr>
        <w:t>PÚBLICA</w:t>
      </w:r>
    </w:p>
    <w:p w14:paraId="32D34CE0" w14:textId="66791647" w:rsidR="00682E20" w:rsidRPr="006B160F" w:rsidRDefault="00682E20" w:rsidP="00682E20">
      <w:pPr>
        <w:spacing w:line="276" w:lineRule="auto"/>
        <w:ind w:left="810" w:right="818"/>
        <w:jc w:val="both"/>
        <w:rPr>
          <w:b/>
          <w:lang w:val="es-MX"/>
        </w:rPr>
      </w:pPr>
      <w:r w:rsidRPr="006B160F">
        <w:rPr>
          <w:b/>
          <w:lang w:val="es-MX"/>
        </w:rPr>
        <w:t>SOBRE “</w:t>
      </w:r>
      <w:r w:rsidRPr="00EA3DC9">
        <w:rPr>
          <w:b/>
          <w:lang w:val="es-MX"/>
        </w:rPr>
        <w:t>MODELO DE COSTOS EVITADOS PARA LOS SERVICIOS DE REVENTA PROVISTOS POR EL AGENTE ECONÓMICO PREPONDERANTE EN EL MARCO DE LA OFERTA DE REFERENCIA DE DESAGREGACIÓN</w:t>
      </w:r>
      <w:r w:rsidRPr="006B160F">
        <w:rPr>
          <w:b/>
          <w:lang w:val="es-MX"/>
        </w:rPr>
        <w:t>”</w:t>
      </w:r>
    </w:p>
    <w:p w14:paraId="6F38FAD9" w14:textId="77777777" w:rsidR="00682E20" w:rsidRPr="006B160F" w:rsidRDefault="00682E20" w:rsidP="00682E20">
      <w:pPr>
        <w:spacing w:before="201"/>
        <w:ind w:left="810"/>
        <w:rPr>
          <w:b/>
          <w:lang w:val="es-MX"/>
        </w:rPr>
      </w:pPr>
      <w:r w:rsidRPr="006B160F">
        <w:rPr>
          <w:b/>
          <w:lang w:val="es-MX"/>
        </w:rPr>
        <w:t>Fecha de</w:t>
      </w:r>
      <w:r w:rsidRPr="006B160F">
        <w:rPr>
          <w:b/>
          <w:spacing w:val="-5"/>
          <w:lang w:val="es-MX"/>
        </w:rPr>
        <w:t xml:space="preserve"> </w:t>
      </w:r>
      <w:r w:rsidRPr="006B160F">
        <w:rPr>
          <w:b/>
          <w:lang w:val="es-MX"/>
        </w:rPr>
        <w:t>elaboración:</w:t>
      </w:r>
    </w:p>
    <w:p w14:paraId="77FC4FFD" w14:textId="77777777" w:rsidR="00682E20" w:rsidRPr="006B160F" w:rsidRDefault="00682E20" w:rsidP="00682E20">
      <w:pPr>
        <w:pStyle w:val="Textoindependiente"/>
        <w:spacing w:before="7"/>
        <w:rPr>
          <w:b/>
          <w:sz w:val="20"/>
          <w:lang w:val="es-MX"/>
        </w:rPr>
      </w:pPr>
    </w:p>
    <w:p w14:paraId="2595922D" w14:textId="0891DE7B" w:rsidR="00682E20" w:rsidRPr="006B160F" w:rsidRDefault="00C4461B" w:rsidP="00682E20">
      <w:pPr>
        <w:pStyle w:val="Textoindependiente"/>
        <w:ind w:left="810"/>
        <w:rPr>
          <w:lang w:val="es-MX"/>
        </w:rPr>
      </w:pPr>
      <w:r>
        <w:rPr>
          <w:lang w:val="es-MX"/>
        </w:rPr>
        <w:t>15</w:t>
      </w:r>
      <w:r w:rsidRPr="00EE7362">
        <w:rPr>
          <w:lang w:val="es-MX"/>
        </w:rPr>
        <w:t xml:space="preserve"> </w:t>
      </w:r>
      <w:r w:rsidR="00682E20" w:rsidRPr="00EE7362">
        <w:rPr>
          <w:lang w:val="es-MX"/>
        </w:rPr>
        <w:t>de n</w:t>
      </w:r>
      <w:r w:rsidR="00682E20">
        <w:rPr>
          <w:lang w:val="es-MX"/>
        </w:rPr>
        <w:t>oviembre</w:t>
      </w:r>
      <w:r w:rsidR="00682E20" w:rsidRPr="006B160F">
        <w:rPr>
          <w:lang w:val="es-MX"/>
        </w:rPr>
        <w:t xml:space="preserve"> de 202</w:t>
      </w:r>
      <w:r w:rsidR="00A86927">
        <w:rPr>
          <w:lang w:val="es-MX"/>
        </w:rPr>
        <w:t>2</w:t>
      </w:r>
    </w:p>
    <w:p w14:paraId="76158629" w14:textId="77777777" w:rsidR="00682E20" w:rsidRPr="006B160F" w:rsidRDefault="00682E20" w:rsidP="00682E20">
      <w:pPr>
        <w:pStyle w:val="Textoindependiente"/>
        <w:spacing w:before="7"/>
        <w:rPr>
          <w:sz w:val="20"/>
          <w:lang w:val="es-MX"/>
        </w:rPr>
      </w:pPr>
    </w:p>
    <w:p w14:paraId="32C8CD7A" w14:textId="77777777" w:rsidR="00682E20" w:rsidRPr="006B160F" w:rsidRDefault="00682E20" w:rsidP="00682E20">
      <w:pPr>
        <w:pStyle w:val="Ttulo1"/>
        <w:rPr>
          <w:lang w:val="es-MX"/>
        </w:rPr>
      </w:pPr>
      <w:r w:rsidRPr="006B160F">
        <w:rPr>
          <w:lang w:val="es-MX"/>
        </w:rPr>
        <w:t>Título</w:t>
      </w:r>
      <w:r w:rsidRPr="006B160F">
        <w:rPr>
          <w:spacing w:val="-4"/>
          <w:lang w:val="es-MX"/>
        </w:rPr>
        <w:t xml:space="preserve"> </w:t>
      </w:r>
      <w:r w:rsidRPr="006B160F">
        <w:rPr>
          <w:lang w:val="es-MX"/>
        </w:rPr>
        <w:t>o</w:t>
      </w:r>
      <w:r w:rsidRPr="006B160F">
        <w:rPr>
          <w:spacing w:val="-1"/>
          <w:lang w:val="es-MX"/>
        </w:rPr>
        <w:t xml:space="preserve"> </w:t>
      </w:r>
      <w:r w:rsidRPr="006B160F">
        <w:rPr>
          <w:lang w:val="es-MX"/>
        </w:rPr>
        <w:t>denominación</w:t>
      </w:r>
      <w:r w:rsidRPr="006B160F">
        <w:rPr>
          <w:spacing w:val="-2"/>
          <w:lang w:val="es-MX"/>
        </w:rPr>
        <w:t xml:space="preserve"> </w:t>
      </w:r>
      <w:r w:rsidRPr="006B160F">
        <w:rPr>
          <w:lang w:val="es-MX"/>
        </w:rPr>
        <w:t>de la</w:t>
      </w:r>
      <w:r w:rsidRPr="006B160F">
        <w:rPr>
          <w:spacing w:val="-5"/>
          <w:lang w:val="es-MX"/>
        </w:rPr>
        <w:t xml:space="preserve"> </w:t>
      </w:r>
      <w:r>
        <w:rPr>
          <w:lang w:val="es-MX"/>
        </w:rPr>
        <w:t>C</w:t>
      </w:r>
      <w:r w:rsidRPr="006B160F">
        <w:rPr>
          <w:lang w:val="es-MX"/>
        </w:rPr>
        <w:t xml:space="preserve">onsulta </w:t>
      </w:r>
      <w:r>
        <w:rPr>
          <w:lang w:val="es-MX"/>
        </w:rPr>
        <w:t>P</w:t>
      </w:r>
      <w:r w:rsidRPr="006B160F">
        <w:rPr>
          <w:lang w:val="es-MX"/>
        </w:rPr>
        <w:t>ública:</w:t>
      </w:r>
    </w:p>
    <w:p w14:paraId="5C7FA174" w14:textId="77777777" w:rsidR="00682E20" w:rsidRPr="006B160F" w:rsidRDefault="00682E20" w:rsidP="00682E20">
      <w:pPr>
        <w:pStyle w:val="Textoindependiente"/>
        <w:spacing w:before="7"/>
        <w:rPr>
          <w:b/>
          <w:sz w:val="20"/>
          <w:lang w:val="es-MX"/>
        </w:rPr>
      </w:pPr>
    </w:p>
    <w:p w14:paraId="2761BAB4" w14:textId="0C485F02" w:rsidR="00682E20" w:rsidRPr="006B160F" w:rsidRDefault="00A86927" w:rsidP="00682E20">
      <w:pPr>
        <w:pStyle w:val="Textoindependiente"/>
        <w:spacing w:line="276" w:lineRule="auto"/>
        <w:ind w:left="810" w:right="816"/>
        <w:jc w:val="both"/>
        <w:rPr>
          <w:lang w:val="es-MX"/>
        </w:rPr>
      </w:pPr>
      <w:r>
        <w:rPr>
          <w:lang w:val="es-MX"/>
        </w:rPr>
        <w:t>“</w:t>
      </w:r>
      <w:r w:rsidRPr="00A86927">
        <w:rPr>
          <w:lang w:val="es-MX"/>
        </w:rPr>
        <w:t xml:space="preserve">Consulta Pública sobre el Modelo de Costos Evitados para los </w:t>
      </w:r>
      <w:r w:rsidR="001F197D">
        <w:rPr>
          <w:lang w:val="es-MX"/>
        </w:rPr>
        <w:t>S</w:t>
      </w:r>
      <w:r w:rsidRPr="00A86927">
        <w:rPr>
          <w:lang w:val="es-MX"/>
        </w:rPr>
        <w:t xml:space="preserve">ervicios de </w:t>
      </w:r>
      <w:r w:rsidR="001F197D">
        <w:rPr>
          <w:lang w:val="es-MX"/>
        </w:rPr>
        <w:t>R</w:t>
      </w:r>
      <w:r w:rsidRPr="00A86927">
        <w:rPr>
          <w:lang w:val="es-MX"/>
        </w:rPr>
        <w:t>eventa provistos por el Agente Económico Preponderante en el marco de la Oferta de Referencia de Desagregación</w:t>
      </w:r>
      <w:r w:rsidR="00682E20" w:rsidRPr="006B160F">
        <w:rPr>
          <w:lang w:val="es-MX"/>
        </w:rPr>
        <w:t>”</w:t>
      </w:r>
      <w:r w:rsidR="00682E20" w:rsidRPr="006B160F">
        <w:rPr>
          <w:spacing w:val="-59"/>
          <w:lang w:val="es-MX"/>
        </w:rPr>
        <w:t xml:space="preserve"> </w:t>
      </w:r>
      <w:r w:rsidR="00682E20" w:rsidRPr="006B160F">
        <w:rPr>
          <w:lang w:val="es-MX"/>
        </w:rPr>
        <w:t>(en lo</w:t>
      </w:r>
      <w:r w:rsidR="00682E20" w:rsidRPr="006B160F">
        <w:rPr>
          <w:spacing w:val="1"/>
          <w:lang w:val="es-MX"/>
        </w:rPr>
        <w:t xml:space="preserve"> </w:t>
      </w:r>
      <w:r w:rsidR="00682E20" w:rsidRPr="006B160F">
        <w:rPr>
          <w:lang w:val="es-MX"/>
        </w:rPr>
        <w:t>sucesivo,</w:t>
      </w:r>
      <w:r w:rsidR="00682E20" w:rsidRPr="006B160F">
        <w:rPr>
          <w:spacing w:val="-3"/>
          <w:lang w:val="es-MX"/>
        </w:rPr>
        <w:t xml:space="preserve"> </w:t>
      </w:r>
      <w:r w:rsidR="00682E20" w:rsidRPr="006B160F">
        <w:rPr>
          <w:lang w:val="es-MX"/>
        </w:rPr>
        <w:t>la</w:t>
      </w:r>
      <w:r w:rsidR="00682E20" w:rsidRPr="006B160F">
        <w:rPr>
          <w:spacing w:val="1"/>
          <w:lang w:val="es-MX"/>
        </w:rPr>
        <w:t xml:space="preserve"> </w:t>
      </w:r>
      <w:r w:rsidR="00682E20" w:rsidRPr="006B160F">
        <w:rPr>
          <w:lang w:val="es-MX"/>
        </w:rPr>
        <w:t>“</w:t>
      </w:r>
      <w:r w:rsidR="00682E20">
        <w:rPr>
          <w:lang w:val="es-MX"/>
        </w:rPr>
        <w:t>Consulta Pública</w:t>
      </w:r>
      <w:r w:rsidR="00682E20" w:rsidRPr="006B160F">
        <w:rPr>
          <w:lang w:val="es-MX"/>
        </w:rPr>
        <w:t>”).</w:t>
      </w:r>
    </w:p>
    <w:p w14:paraId="6B4463E1" w14:textId="77777777" w:rsidR="00682E20" w:rsidRPr="006B160F" w:rsidRDefault="00682E20" w:rsidP="00682E20">
      <w:pPr>
        <w:pStyle w:val="Ttulo1"/>
        <w:spacing w:before="202"/>
        <w:rPr>
          <w:lang w:val="es-MX"/>
        </w:rPr>
      </w:pPr>
      <w:r w:rsidRPr="006B160F">
        <w:rPr>
          <w:lang w:val="es-MX"/>
        </w:rPr>
        <w:t>Descripción</w:t>
      </w:r>
      <w:r w:rsidRPr="006B160F">
        <w:rPr>
          <w:spacing w:val="-4"/>
          <w:lang w:val="es-MX"/>
        </w:rPr>
        <w:t xml:space="preserve"> </w:t>
      </w:r>
      <w:r w:rsidRPr="006B160F">
        <w:rPr>
          <w:lang w:val="es-MX"/>
        </w:rPr>
        <w:t>de</w:t>
      </w:r>
      <w:r w:rsidRPr="006B160F">
        <w:rPr>
          <w:spacing w:val="-2"/>
          <w:lang w:val="es-MX"/>
        </w:rPr>
        <w:t xml:space="preserve"> </w:t>
      </w:r>
      <w:r w:rsidRPr="006B160F">
        <w:rPr>
          <w:lang w:val="es-MX"/>
        </w:rPr>
        <w:t>la</w:t>
      </w:r>
      <w:r w:rsidRPr="006B160F">
        <w:rPr>
          <w:spacing w:val="-1"/>
          <w:lang w:val="es-MX"/>
        </w:rPr>
        <w:t xml:space="preserve"> </w:t>
      </w:r>
      <w:r>
        <w:rPr>
          <w:lang w:val="es-MX"/>
        </w:rPr>
        <w:t>C</w:t>
      </w:r>
      <w:r w:rsidRPr="006B160F">
        <w:rPr>
          <w:lang w:val="es-MX"/>
        </w:rPr>
        <w:t>onsulta</w:t>
      </w:r>
      <w:r w:rsidRPr="006B160F">
        <w:rPr>
          <w:spacing w:val="-2"/>
          <w:lang w:val="es-MX"/>
        </w:rPr>
        <w:t xml:space="preserve"> </w:t>
      </w:r>
      <w:r>
        <w:rPr>
          <w:lang w:val="es-MX"/>
        </w:rPr>
        <w:t>P</w:t>
      </w:r>
      <w:r w:rsidRPr="006B160F">
        <w:rPr>
          <w:lang w:val="es-MX"/>
        </w:rPr>
        <w:t>ública:</w:t>
      </w:r>
    </w:p>
    <w:p w14:paraId="39B89C6F" w14:textId="77777777" w:rsidR="00682E20" w:rsidRPr="006B160F" w:rsidRDefault="00682E20" w:rsidP="00682E20">
      <w:pPr>
        <w:pStyle w:val="Textoindependiente"/>
        <w:spacing w:before="7"/>
        <w:rPr>
          <w:b/>
          <w:sz w:val="20"/>
          <w:lang w:val="es-MX"/>
        </w:rPr>
      </w:pPr>
    </w:p>
    <w:p w14:paraId="7A56252A" w14:textId="624AD862" w:rsidR="00682E20" w:rsidRPr="006B160F" w:rsidRDefault="00682E20" w:rsidP="00682E20">
      <w:pPr>
        <w:pStyle w:val="Textoindependiente"/>
        <w:spacing w:line="276" w:lineRule="auto"/>
        <w:ind w:left="810" w:right="812"/>
        <w:jc w:val="both"/>
        <w:rPr>
          <w:lang w:val="es-MX"/>
        </w:rPr>
      </w:pPr>
      <w:r w:rsidRPr="006B160F">
        <w:rPr>
          <w:lang w:val="es-MX"/>
        </w:rPr>
        <w:t xml:space="preserve">El Instituto Federal de Telecomunicaciones (en lo sucesivo, </w:t>
      </w:r>
      <w:r>
        <w:rPr>
          <w:lang w:val="es-MX"/>
        </w:rPr>
        <w:t xml:space="preserve">el </w:t>
      </w:r>
      <w:r w:rsidRPr="006B160F">
        <w:rPr>
          <w:lang w:val="es-MX"/>
        </w:rPr>
        <w:t>“Instituto” o “IFT”) recibió los</w:t>
      </w:r>
      <w:r w:rsidRPr="006B160F">
        <w:rPr>
          <w:spacing w:val="1"/>
          <w:lang w:val="es-MX"/>
        </w:rPr>
        <w:t xml:space="preserve"> </w:t>
      </w:r>
      <w:r w:rsidRPr="006B160F">
        <w:rPr>
          <w:lang w:val="es-MX"/>
        </w:rPr>
        <w:t>comentarios, opiniones y aportaciones con relación al contenido de</w:t>
      </w:r>
      <w:r w:rsidR="00FA751F">
        <w:rPr>
          <w:lang w:val="es-MX"/>
        </w:rPr>
        <w:t xml:space="preserve"> la Consulta Pública</w:t>
      </w:r>
      <w:r>
        <w:rPr>
          <w:lang w:val="es-MX"/>
        </w:rPr>
        <w:t>,</w:t>
      </w:r>
      <w:r w:rsidRPr="006B160F">
        <w:rPr>
          <w:spacing w:val="-5"/>
          <w:lang w:val="es-MX"/>
        </w:rPr>
        <w:t xml:space="preserve"> </w:t>
      </w:r>
      <w:r w:rsidRPr="006B160F">
        <w:rPr>
          <w:lang w:val="es-MX"/>
        </w:rPr>
        <w:t>del</w:t>
      </w:r>
      <w:r w:rsidRPr="006B160F">
        <w:rPr>
          <w:spacing w:val="-1"/>
          <w:lang w:val="es-MX"/>
        </w:rPr>
        <w:t xml:space="preserve"> </w:t>
      </w:r>
      <w:r w:rsidR="00051AE6">
        <w:rPr>
          <w:spacing w:val="-1"/>
          <w:lang w:val="es-MX"/>
        </w:rPr>
        <w:t>29 de s</w:t>
      </w:r>
      <w:r w:rsidR="00051AE6">
        <w:rPr>
          <w:lang w:val="es-MX"/>
        </w:rPr>
        <w:t>eptiembre</w:t>
      </w:r>
      <w:r w:rsidRPr="006B160F">
        <w:rPr>
          <w:spacing w:val="-5"/>
          <w:lang w:val="es-MX"/>
        </w:rPr>
        <w:t xml:space="preserve"> </w:t>
      </w:r>
      <w:r w:rsidRPr="006B160F">
        <w:rPr>
          <w:lang w:val="es-MX"/>
        </w:rPr>
        <w:t>al</w:t>
      </w:r>
      <w:r w:rsidRPr="006B160F">
        <w:rPr>
          <w:spacing w:val="-7"/>
          <w:lang w:val="es-MX"/>
        </w:rPr>
        <w:t xml:space="preserve"> </w:t>
      </w:r>
      <w:r w:rsidR="00051AE6">
        <w:rPr>
          <w:lang w:val="es-MX"/>
        </w:rPr>
        <w:t>28</w:t>
      </w:r>
      <w:r w:rsidRPr="006B160F">
        <w:rPr>
          <w:spacing w:val="-5"/>
          <w:lang w:val="es-MX"/>
        </w:rPr>
        <w:t xml:space="preserve"> </w:t>
      </w:r>
      <w:r w:rsidRPr="006B160F">
        <w:rPr>
          <w:lang w:val="es-MX"/>
        </w:rPr>
        <w:t>de</w:t>
      </w:r>
      <w:r w:rsidRPr="006B160F">
        <w:rPr>
          <w:spacing w:val="-2"/>
          <w:lang w:val="es-MX"/>
        </w:rPr>
        <w:t xml:space="preserve"> </w:t>
      </w:r>
      <w:r w:rsidR="00051AE6">
        <w:rPr>
          <w:lang w:val="es-MX"/>
        </w:rPr>
        <w:t>octubre</w:t>
      </w:r>
      <w:r w:rsidRPr="006B160F">
        <w:rPr>
          <w:lang w:val="es-MX"/>
        </w:rPr>
        <w:t xml:space="preserve"> de</w:t>
      </w:r>
      <w:r w:rsidRPr="006B160F">
        <w:rPr>
          <w:spacing w:val="-5"/>
          <w:lang w:val="es-MX"/>
        </w:rPr>
        <w:t xml:space="preserve"> </w:t>
      </w:r>
      <w:r w:rsidRPr="006B160F">
        <w:rPr>
          <w:lang w:val="es-MX"/>
        </w:rPr>
        <w:t>202</w:t>
      </w:r>
      <w:r w:rsidR="00051AE6">
        <w:rPr>
          <w:lang w:val="es-MX"/>
        </w:rPr>
        <w:t>2</w:t>
      </w:r>
      <w:r w:rsidRPr="006B160F">
        <w:rPr>
          <w:lang w:val="es-MX"/>
        </w:rPr>
        <w:t>,</w:t>
      </w:r>
      <w:r w:rsidRPr="006B160F">
        <w:rPr>
          <w:spacing w:val="-58"/>
          <w:lang w:val="es-MX"/>
        </w:rPr>
        <w:t xml:space="preserve"> </w:t>
      </w:r>
      <w:r w:rsidRPr="006B160F">
        <w:rPr>
          <w:lang w:val="es-MX"/>
        </w:rPr>
        <w:t xml:space="preserve">a través de la dirección de correo electrónico: </w:t>
      </w:r>
      <w:hyperlink r:id="rId8">
        <w:r w:rsidRPr="006B160F">
          <w:rPr>
            <w:color w:val="0462C1"/>
            <w:u w:val="single" w:color="0462C1"/>
            <w:lang w:val="es-MX"/>
          </w:rPr>
          <w:t>modelos.dgci@ift.org.mx</w:t>
        </w:r>
      </w:hyperlink>
      <w:r w:rsidRPr="006B160F">
        <w:rPr>
          <w:lang w:val="es-MX"/>
        </w:rPr>
        <w:t>, y/o mediante</w:t>
      </w:r>
      <w:r w:rsidRPr="006B160F">
        <w:rPr>
          <w:spacing w:val="1"/>
          <w:lang w:val="es-MX"/>
        </w:rPr>
        <w:t xml:space="preserve"> </w:t>
      </w:r>
      <w:r w:rsidRPr="006B160F">
        <w:rPr>
          <w:lang w:val="es-MX"/>
        </w:rPr>
        <w:t>escrito presentado en la Oficialía de Partes  del Instituto ubicada en Insurgentes</w:t>
      </w:r>
      <w:r w:rsidRPr="006B160F">
        <w:rPr>
          <w:spacing w:val="1"/>
          <w:lang w:val="es-MX"/>
        </w:rPr>
        <w:t xml:space="preserve"> </w:t>
      </w:r>
      <w:r w:rsidRPr="006B160F">
        <w:rPr>
          <w:lang w:val="es-MX"/>
        </w:rPr>
        <w:t>Sur 1143, colonia Nochebuena, Alcaldía Benito Juárez, C.P. 03720, Ciudad de México.</w:t>
      </w:r>
      <w:r w:rsidRPr="006B160F">
        <w:rPr>
          <w:spacing w:val="1"/>
          <w:lang w:val="es-MX"/>
        </w:rPr>
        <w:t xml:space="preserve"> </w:t>
      </w:r>
      <w:r w:rsidRPr="006B160F">
        <w:rPr>
          <w:lang w:val="es-MX"/>
        </w:rPr>
        <w:t>Para ello</w:t>
      </w:r>
      <w:r>
        <w:rPr>
          <w:lang w:val="es-MX"/>
        </w:rPr>
        <w:t>,</w:t>
      </w:r>
      <w:r w:rsidRPr="006B160F">
        <w:rPr>
          <w:lang w:val="es-MX"/>
        </w:rPr>
        <w:t xml:space="preserve"> el Instituto puso a disposición de todos los interesados el “</w:t>
      </w:r>
      <w:r w:rsidRPr="006B160F">
        <w:rPr>
          <w:i/>
          <w:lang w:val="es-MX"/>
        </w:rPr>
        <w:t>Formato</w:t>
      </w:r>
      <w:r w:rsidRPr="006B160F">
        <w:rPr>
          <w:i/>
          <w:spacing w:val="-59"/>
          <w:lang w:val="es-MX"/>
        </w:rPr>
        <w:t xml:space="preserve"> </w:t>
      </w:r>
      <w:r>
        <w:rPr>
          <w:i/>
          <w:spacing w:val="-59"/>
          <w:lang w:val="es-MX"/>
        </w:rPr>
        <w:t xml:space="preserve">        </w:t>
      </w:r>
      <w:r w:rsidRPr="006B160F">
        <w:rPr>
          <w:i/>
          <w:lang w:val="es-MX"/>
        </w:rPr>
        <w:t>para participar en</w:t>
      </w:r>
      <w:r w:rsidRPr="006B160F">
        <w:rPr>
          <w:i/>
          <w:spacing w:val="1"/>
          <w:lang w:val="es-MX"/>
        </w:rPr>
        <w:t xml:space="preserve"> </w:t>
      </w:r>
      <w:r w:rsidRPr="006B160F">
        <w:rPr>
          <w:i/>
          <w:lang w:val="es-MX"/>
        </w:rPr>
        <w:t>la</w:t>
      </w:r>
      <w:r w:rsidRPr="006B160F">
        <w:rPr>
          <w:i/>
          <w:spacing w:val="1"/>
          <w:lang w:val="es-MX"/>
        </w:rPr>
        <w:t xml:space="preserve"> </w:t>
      </w:r>
      <w:r w:rsidRPr="006B160F">
        <w:rPr>
          <w:i/>
          <w:lang w:val="es-MX"/>
        </w:rPr>
        <w:t>Consulta</w:t>
      </w:r>
      <w:r w:rsidRPr="006B160F">
        <w:rPr>
          <w:i/>
          <w:spacing w:val="1"/>
          <w:lang w:val="es-MX"/>
        </w:rPr>
        <w:t xml:space="preserve"> </w:t>
      </w:r>
      <w:r w:rsidRPr="006B160F">
        <w:rPr>
          <w:i/>
          <w:lang w:val="es-MX"/>
        </w:rPr>
        <w:t>Pública</w:t>
      </w:r>
      <w:r w:rsidRPr="006B160F">
        <w:rPr>
          <w:lang w:val="es-MX"/>
        </w:rPr>
        <w:t>”.</w:t>
      </w:r>
    </w:p>
    <w:p w14:paraId="55DCAA1A" w14:textId="77777777" w:rsidR="00682E20" w:rsidRPr="006B160F" w:rsidRDefault="00682E20" w:rsidP="00682E20">
      <w:pPr>
        <w:pStyle w:val="Textoindependiente"/>
        <w:spacing w:before="203" w:line="276" w:lineRule="auto"/>
        <w:ind w:left="810" w:right="818"/>
        <w:jc w:val="both"/>
        <w:rPr>
          <w:lang w:val="es-MX"/>
        </w:rPr>
      </w:pPr>
      <w:r w:rsidRPr="006B160F">
        <w:rPr>
          <w:lang w:val="es-MX"/>
        </w:rPr>
        <w:t>La información que los interesados hicieron llegar al Instituto, de acuerdo con los plazos y</w:t>
      </w:r>
      <w:r w:rsidRPr="006B160F">
        <w:rPr>
          <w:spacing w:val="1"/>
          <w:lang w:val="es-MX"/>
        </w:rPr>
        <w:t xml:space="preserve"> </w:t>
      </w:r>
      <w:r w:rsidRPr="006B160F">
        <w:rPr>
          <w:lang w:val="es-MX"/>
        </w:rPr>
        <w:t>términos descritos en esta mecánica y con relación al presente proceso consultivo, no</w:t>
      </w:r>
      <w:r w:rsidRPr="006B160F">
        <w:rPr>
          <w:spacing w:val="1"/>
          <w:lang w:val="es-MX"/>
        </w:rPr>
        <w:t xml:space="preserve"> </w:t>
      </w:r>
      <w:r w:rsidRPr="006B160F">
        <w:rPr>
          <w:lang w:val="es-MX"/>
        </w:rPr>
        <w:t>tendrá</w:t>
      </w:r>
      <w:r w:rsidRPr="006B160F">
        <w:rPr>
          <w:spacing w:val="-8"/>
          <w:lang w:val="es-MX"/>
        </w:rPr>
        <w:t xml:space="preserve"> </w:t>
      </w:r>
      <w:r w:rsidRPr="006B160F">
        <w:rPr>
          <w:lang w:val="es-MX"/>
        </w:rPr>
        <w:t>carácter</w:t>
      </w:r>
      <w:r w:rsidRPr="006B160F">
        <w:rPr>
          <w:spacing w:val="-9"/>
          <w:lang w:val="es-MX"/>
        </w:rPr>
        <w:t xml:space="preserve"> </w:t>
      </w:r>
      <w:r w:rsidRPr="006B160F">
        <w:rPr>
          <w:lang w:val="es-MX"/>
        </w:rPr>
        <w:t>vinculante,</w:t>
      </w:r>
      <w:r w:rsidRPr="006B160F">
        <w:rPr>
          <w:spacing w:val="-11"/>
          <w:lang w:val="es-MX"/>
        </w:rPr>
        <w:t xml:space="preserve"> </w:t>
      </w:r>
      <w:r w:rsidRPr="006B160F">
        <w:rPr>
          <w:lang w:val="es-MX"/>
        </w:rPr>
        <w:t>sin</w:t>
      </w:r>
      <w:r w:rsidRPr="006B160F">
        <w:rPr>
          <w:spacing w:val="-7"/>
          <w:lang w:val="es-MX"/>
        </w:rPr>
        <w:t xml:space="preserve"> </w:t>
      </w:r>
      <w:r w:rsidRPr="006B160F">
        <w:rPr>
          <w:lang w:val="es-MX"/>
        </w:rPr>
        <w:t>perjuicio</w:t>
      </w:r>
      <w:r w:rsidRPr="006B160F">
        <w:rPr>
          <w:spacing w:val="-8"/>
          <w:lang w:val="es-MX"/>
        </w:rPr>
        <w:t xml:space="preserve"> </w:t>
      </w:r>
      <w:r w:rsidRPr="006B160F">
        <w:rPr>
          <w:lang w:val="es-MX"/>
        </w:rPr>
        <w:t>de</w:t>
      </w:r>
      <w:r w:rsidRPr="006B160F">
        <w:rPr>
          <w:spacing w:val="-8"/>
          <w:lang w:val="es-MX"/>
        </w:rPr>
        <w:t xml:space="preserve"> </w:t>
      </w:r>
      <w:r w:rsidRPr="006B160F">
        <w:rPr>
          <w:lang w:val="es-MX"/>
        </w:rPr>
        <w:t>que</w:t>
      </w:r>
      <w:r w:rsidRPr="006B160F">
        <w:rPr>
          <w:spacing w:val="-7"/>
          <w:lang w:val="es-MX"/>
        </w:rPr>
        <w:t xml:space="preserve"> </w:t>
      </w:r>
      <w:r w:rsidRPr="006B160F">
        <w:rPr>
          <w:lang w:val="es-MX"/>
        </w:rPr>
        <w:t>el</w:t>
      </w:r>
      <w:r w:rsidRPr="006B160F">
        <w:rPr>
          <w:spacing w:val="-10"/>
          <w:lang w:val="es-MX"/>
        </w:rPr>
        <w:t xml:space="preserve"> </w:t>
      </w:r>
      <w:r w:rsidRPr="006B160F">
        <w:rPr>
          <w:lang w:val="es-MX"/>
        </w:rPr>
        <w:t>Instituto</w:t>
      </w:r>
      <w:r w:rsidRPr="006B160F">
        <w:rPr>
          <w:spacing w:val="-7"/>
          <w:lang w:val="es-MX"/>
        </w:rPr>
        <w:t xml:space="preserve"> </w:t>
      </w:r>
      <w:r w:rsidRPr="006B160F">
        <w:rPr>
          <w:lang w:val="es-MX"/>
        </w:rPr>
        <w:t>pueda</w:t>
      </w:r>
      <w:r w:rsidRPr="006B160F">
        <w:rPr>
          <w:spacing w:val="-8"/>
          <w:lang w:val="es-MX"/>
        </w:rPr>
        <w:t xml:space="preserve"> </w:t>
      </w:r>
      <w:r w:rsidRPr="006B160F">
        <w:rPr>
          <w:lang w:val="es-MX"/>
        </w:rPr>
        <w:t>ponderarla</w:t>
      </w:r>
      <w:r w:rsidRPr="006B160F">
        <w:rPr>
          <w:spacing w:val="-7"/>
          <w:lang w:val="es-MX"/>
        </w:rPr>
        <w:t xml:space="preserve"> </w:t>
      </w:r>
      <w:r w:rsidRPr="006B160F">
        <w:rPr>
          <w:lang w:val="es-MX"/>
        </w:rPr>
        <w:t>conforme</w:t>
      </w:r>
      <w:r w:rsidRPr="006B160F">
        <w:rPr>
          <w:spacing w:val="-8"/>
          <w:lang w:val="es-MX"/>
        </w:rPr>
        <w:t xml:space="preserve"> </w:t>
      </w:r>
      <w:r w:rsidRPr="006B160F">
        <w:rPr>
          <w:lang w:val="es-MX"/>
        </w:rPr>
        <w:t>a</w:t>
      </w:r>
      <w:r w:rsidRPr="006B160F">
        <w:rPr>
          <w:spacing w:val="-7"/>
          <w:lang w:val="es-MX"/>
        </w:rPr>
        <w:t xml:space="preserve"> </w:t>
      </w:r>
      <w:r w:rsidRPr="006B160F">
        <w:rPr>
          <w:lang w:val="es-MX"/>
        </w:rPr>
        <w:t>lo</w:t>
      </w:r>
      <w:r w:rsidRPr="006B160F">
        <w:rPr>
          <w:spacing w:val="-59"/>
          <w:lang w:val="es-MX"/>
        </w:rPr>
        <w:t xml:space="preserve"> </w:t>
      </w:r>
      <w:r w:rsidRPr="006B160F">
        <w:rPr>
          <w:lang w:val="es-MX"/>
        </w:rPr>
        <w:t>establecido</w:t>
      </w:r>
      <w:r w:rsidRPr="006B160F">
        <w:rPr>
          <w:spacing w:val="-5"/>
          <w:lang w:val="es-MX"/>
        </w:rPr>
        <w:t xml:space="preserve"> </w:t>
      </w:r>
      <w:r w:rsidRPr="006B160F">
        <w:rPr>
          <w:lang w:val="es-MX"/>
        </w:rPr>
        <w:t>en</w:t>
      </w:r>
      <w:r w:rsidRPr="006B160F">
        <w:rPr>
          <w:spacing w:val="-4"/>
          <w:lang w:val="es-MX"/>
        </w:rPr>
        <w:t xml:space="preserve"> </w:t>
      </w:r>
      <w:r w:rsidRPr="006B160F">
        <w:rPr>
          <w:lang w:val="es-MX"/>
        </w:rPr>
        <w:t>el</w:t>
      </w:r>
      <w:r w:rsidRPr="006B160F">
        <w:rPr>
          <w:spacing w:val="-1"/>
          <w:lang w:val="es-MX"/>
        </w:rPr>
        <w:t xml:space="preserve"> </w:t>
      </w:r>
      <w:r w:rsidRPr="006B160F">
        <w:rPr>
          <w:lang w:val="es-MX"/>
        </w:rPr>
        <w:t>presente</w:t>
      </w:r>
      <w:r w:rsidRPr="006B160F">
        <w:rPr>
          <w:spacing w:val="1"/>
          <w:lang w:val="es-MX"/>
        </w:rPr>
        <w:t xml:space="preserve"> </w:t>
      </w:r>
      <w:r w:rsidRPr="006B160F">
        <w:rPr>
          <w:lang w:val="es-MX"/>
        </w:rPr>
        <w:t>informe.</w:t>
      </w:r>
    </w:p>
    <w:p w14:paraId="0D768C61" w14:textId="77777777" w:rsidR="00682E20" w:rsidRPr="006B160F" w:rsidRDefault="00682E20" w:rsidP="00682E20">
      <w:pPr>
        <w:pStyle w:val="Ttulo1"/>
        <w:spacing w:before="196"/>
        <w:rPr>
          <w:lang w:val="es-MX"/>
        </w:rPr>
      </w:pPr>
      <w:r w:rsidRPr="006B160F">
        <w:rPr>
          <w:lang w:val="es-MX"/>
        </w:rPr>
        <w:t>Objetivos</w:t>
      </w:r>
      <w:r w:rsidRPr="006B160F">
        <w:rPr>
          <w:spacing w:val="-3"/>
          <w:lang w:val="es-MX"/>
        </w:rPr>
        <w:t xml:space="preserve"> </w:t>
      </w:r>
      <w:r w:rsidRPr="006B160F">
        <w:rPr>
          <w:lang w:val="es-MX"/>
        </w:rPr>
        <w:t>de</w:t>
      </w:r>
      <w:r w:rsidRPr="006B160F">
        <w:rPr>
          <w:spacing w:val="-1"/>
          <w:lang w:val="es-MX"/>
        </w:rPr>
        <w:t xml:space="preserve"> </w:t>
      </w:r>
      <w:r w:rsidRPr="006B160F">
        <w:rPr>
          <w:lang w:val="es-MX"/>
        </w:rPr>
        <w:t>la</w:t>
      </w:r>
      <w:r w:rsidRPr="006B160F">
        <w:rPr>
          <w:spacing w:val="-3"/>
          <w:lang w:val="es-MX"/>
        </w:rPr>
        <w:t xml:space="preserve"> </w:t>
      </w:r>
      <w:r>
        <w:rPr>
          <w:lang w:val="es-MX"/>
        </w:rPr>
        <w:t>Consulta Pública</w:t>
      </w:r>
      <w:r w:rsidRPr="006B160F">
        <w:rPr>
          <w:lang w:val="es-MX"/>
        </w:rPr>
        <w:t>:</w:t>
      </w:r>
    </w:p>
    <w:p w14:paraId="17F40C0E" w14:textId="77777777" w:rsidR="00682E20" w:rsidRPr="006B160F" w:rsidRDefault="00682E20" w:rsidP="00682E20">
      <w:pPr>
        <w:pStyle w:val="Textoindependiente"/>
        <w:spacing w:before="1"/>
        <w:rPr>
          <w:b/>
          <w:sz w:val="21"/>
          <w:lang w:val="es-MX"/>
        </w:rPr>
      </w:pPr>
    </w:p>
    <w:p w14:paraId="6C388FA7" w14:textId="43352370" w:rsidR="00FA751F" w:rsidRDefault="00682E20" w:rsidP="00682E20">
      <w:pPr>
        <w:pStyle w:val="Textoindependiente"/>
        <w:spacing w:after="240" w:line="276" w:lineRule="auto"/>
        <w:ind w:left="810" w:right="817"/>
        <w:jc w:val="both"/>
        <w:rPr>
          <w:spacing w:val="1"/>
          <w:lang w:val="es-MX"/>
        </w:rPr>
      </w:pPr>
      <w:r w:rsidRPr="006B160F">
        <w:rPr>
          <w:spacing w:val="1"/>
          <w:lang w:val="es-MX"/>
        </w:rPr>
        <w:t>Los objetivos principales de</w:t>
      </w:r>
      <w:r w:rsidR="00FA751F">
        <w:rPr>
          <w:spacing w:val="1"/>
          <w:lang w:val="es-MX"/>
        </w:rPr>
        <w:t xml:space="preserve"> la Consulta Pública son: </w:t>
      </w:r>
      <w:r w:rsidR="00FA751F" w:rsidRPr="00FA751F">
        <w:rPr>
          <w:spacing w:val="1"/>
          <w:lang w:val="es-MX"/>
        </w:rPr>
        <w:t xml:space="preserve">i) establecer las bases para la determinación de los niveles de descuento aplicables a los servicios de reventa en el marco de la Oferta de Referencia de Desagregación, mediante la metodología de costos evitados, y </w:t>
      </w:r>
      <w:proofErr w:type="spellStart"/>
      <w:r w:rsidR="00FA751F" w:rsidRPr="00FA751F">
        <w:rPr>
          <w:spacing w:val="1"/>
          <w:lang w:val="es-MX"/>
        </w:rPr>
        <w:t>ii</w:t>
      </w:r>
      <w:proofErr w:type="spellEnd"/>
      <w:r w:rsidR="00FA751F" w:rsidRPr="00FA751F">
        <w:rPr>
          <w:spacing w:val="1"/>
          <w:lang w:val="es-MX"/>
        </w:rPr>
        <w:t>) evaluar y calibrar los niveles de costos evitados a partir del enfoque implementado.</w:t>
      </w:r>
    </w:p>
    <w:p w14:paraId="11C8280A" w14:textId="1F0F00DB" w:rsidR="00682E20" w:rsidRDefault="00682E20" w:rsidP="00682E20">
      <w:pPr>
        <w:pStyle w:val="Textoindependiente"/>
        <w:spacing w:after="240" w:line="276" w:lineRule="auto"/>
        <w:ind w:left="810" w:right="817"/>
        <w:jc w:val="both"/>
        <w:rPr>
          <w:spacing w:val="1"/>
          <w:lang w:val="es-MX"/>
        </w:rPr>
      </w:pPr>
      <w:r w:rsidRPr="006B160F">
        <w:rPr>
          <w:spacing w:val="1"/>
          <w:lang w:val="es-MX"/>
        </w:rPr>
        <w:t xml:space="preserve">En virtud de lo anterior, la presente </w:t>
      </w:r>
      <w:r>
        <w:rPr>
          <w:spacing w:val="1"/>
          <w:lang w:val="es-MX"/>
        </w:rPr>
        <w:t>Consulta Pública</w:t>
      </w:r>
      <w:r w:rsidRPr="006B160F">
        <w:rPr>
          <w:spacing w:val="1"/>
          <w:lang w:val="es-MX"/>
        </w:rPr>
        <w:t xml:space="preserve"> tiene por objeto transparentar y dar a conocer la propuesta de regulación y su análisis de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1DA099DE" w14:textId="77777777" w:rsidR="00ED799C" w:rsidRPr="006B160F" w:rsidRDefault="00ED799C" w:rsidP="00682E20">
      <w:pPr>
        <w:pStyle w:val="Textoindependiente"/>
        <w:spacing w:after="240" w:line="276" w:lineRule="auto"/>
        <w:ind w:left="810" w:right="817"/>
        <w:jc w:val="both"/>
        <w:rPr>
          <w:lang w:val="es-MX"/>
        </w:rPr>
      </w:pPr>
    </w:p>
    <w:p w14:paraId="46B4BCE8" w14:textId="77777777" w:rsidR="00682E20" w:rsidRPr="006B160F" w:rsidRDefault="00682E20" w:rsidP="00682E20">
      <w:pPr>
        <w:pStyle w:val="Ttulo1"/>
        <w:spacing w:before="195"/>
        <w:rPr>
          <w:lang w:val="es-MX"/>
        </w:rPr>
      </w:pPr>
      <w:r w:rsidRPr="006B160F">
        <w:rPr>
          <w:lang w:val="es-MX"/>
        </w:rPr>
        <w:lastRenderedPageBreak/>
        <w:t>Unidad</w:t>
      </w:r>
      <w:r>
        <w:rPr>
          <w:lang w:val="es-MX"/>
        </w:rPr>
        <w:t>es y/o Coordinaciones Generales</w:t>
      </w:r>
      <w:r w:rsidRPr="006B160F">
        <w:rPr>
          <w:spacing w:val="-3"/>
          <w:lang w:val="es-MX"/>
        </w:rPr>
        <w:t xml:space="preserve"> </w:t>
      </w:r>
      <w:r w:rsidRPr="006B160F">
        <w:rPr>
          <w:lang w:val="es-MX"/>
        </w:rPr>
        <w:t>responsable</w:t>
      </w:r>
      <w:r>
        <w:rPr>
          <w:lang w:val="es-MX"/>
        </w:rPr>
        <w:t>s</w:t>
      </w:r>
      <w:r w:rsidRPr="006B160F">
        <w:rPr>
          <w:spacing w:val="-3"/>
          <w:lang w:val="es-MX"/>
        </w:rPr>
        <w:t xml:space="preserve"> </w:t>
      </w:r>
      <w:r w:rsidRPr="006B160F">
        <w:rPr>
          <w:lang w:val="es-MX"/>
        </w:rPr>
        <w:t>de</w:t>
      </w:r>
      <w:r w:rsidRPr="006B160F">
        <w:rPr>
          <w:spacing w:val="-1"/>
          <w:lang w:val="es-MX"/>
        </w:rPr>
        <w:t xml:space="preserve"> </w:t>
      </w:r>
      <w:r w:rsidRPr="006B160F">
        <w:rPr>
          <w:lang w:val="es-MX"/>
        </w:rPr>
        <w:t>la</w:t>
      </w:r>
      <w:r w:rsidRPr="006B160F">
        <w:rPr>
          <w:spacing w:val="-2"/>
          <w:lang w:val="es-MX"/>
        </w:rPr>
        <w:t xml:space="preserve"> </w:t>
      </w:r>
      <w:r>
        <w:rPr>
          <w:lang w:val="es-MX"/>
        </w:rPr>
        <w:t>Consulta Pública</w:t>
      </w:r>
      <w:r w:rsidRPr="006B160F">
        <w:rPr>
          <w:lang w:val="es-MX"/>
        </w:rPr>
        <w:t>:</w:t>
      </w:r>
    </w:p>
    <w:p w14:paraId="1EBFEFBE" w14:textId="77777777" w:rsidR="00682E20" w:rsidRPr="006B160F" w:rsidRDefault="00682E20" w:rsidP="00682E20">
      <w:pPr>
        <w:pStyle w:val="Textoindependiente"/>
        <w:spacing w:before="6"/>
        <w:rPr>
          <w:b/>
          <w:sz w:val="20"/>
          <w:lang w:val="es-MX"/>
        </w:rPr>
      </w:pPr>
    </w:p>
    <w:p w14:paraId="445D0F3C" w14:textId="77777777" w:rsidR="00682E20" w:rsidRDefault="00682E20" w:rsidP="00682E20">
      <w:pPr>
        <w:pStyle w:val="Textoindependiente"/>
        <w:spacing w:before="1"/>
        <w:ind w:left="810"/>
        <w:jc w:val="both"/>
        <w:rPr>
          <w:lang w:val="es-MX"/>
        </w:rPr>
      </w:pPr>
      <w:r w:rsidRPr="006B160F">
        <w:rPr>
          <w:lang w:val="es-MX"/>
        </w:rPr>
        <w:t>Unidad</w:t>
      </w:r>
      <w:r w:rsidRPr="006B160F">
        <w:rPr>
          <w:spacing w:val="-2"/>
          <w:lang w:val="es-MX"/>
        </w:rPr>
        <w:t xml:space="preserve"> </w:t>
      </w:r>
      <w:r w:rsidRPr="006B160F">
        <w:rPr>
          <w:lang w:val="es-MX"/>
        </w:rPr>
        <w:t>de</w:t>
      </w:r>
      <w:r w:rsidRPr="006B160F">
        <w:rPr>
          <w:spacing w:val="-2"/>
          <w:lang w:val="es-MX"/>
        </w:rPr>
        <w:t xml:space="preserve"> </w:t>
      </w:r>
      <w:r w:rsidRPr="006B160F">
        <w:rPr>
          <w:lang w:val="es-MX"/>
        </w:rPr>
        <w:t>Política</w:t>
      </w:r>
      <w:r w:rsidRPr="006B160F">
        <w:rPr>
          <w:spacing w:val="-3"/>
          <w:lang w:val="es-MX"/>
        </w:rPr>
        <w:t xml:space="preserve"> </w:t>
      </w:r>
      <w:r w:rsidRPr="006B160F">
        <w:rPr>
          <w:lang w:val="es-MX"/>
        </w:rPr>
        <w:t>Regulatoria</w:t>
      </w:r>
      <w:r>
        <w:rPr>
          <w:lang w:val="es-MX"/>
        </w:rPr>
        <w:t xml:space="preserve"> (en lo sucesivo, la “UPR”)</w:t>
      </w:r>
      <w:r w:rsidRPr="006B160F">
        <w:rPr>
          <w:lang w:val="es-MX"/>
        </w:rPr>
        <w:t>.</w:t>
      </w:r>
    </w:p>
    <w:p w14:paraId="411E4803" w14:textId="77777777" w:rsidR="00682E20" w:rsidRPr="006B160F" w:rsidRDefault="00682E20" w:rsidP="00682E20">
      <w:pPr>
        <w:pStyle w:val="Textoindependiente"/>
        <w:spacing w:before="1"/>
        <w:ind w:left="810"/>
        <w:jc w:val="both"/>
        <w:rPr>
          <w:lang w:val="es-MX"/>
        </w:rPr>
      </w:pPr>
    </w:p>
    <w:p w14:paraId="41BD856A" w14:textId="77777777" w:rsidR="00682E20" w:rsidRPr="006B160F" w:rsidRDefault="00682E20" w:rsidP="00682E20">
      <w:pPr>
        <w:pStyle w:val="Ttulo1"/>
        <w:spacing w:before="79"/>
        <w:rPr>
          <w:lang w:val="es-MX"/>
        </w:rPr>
      </w:pPr>
      <w:r w:rsidRPr="006B160F">
        <w:rPr>
          <w:lang w:val="es-MX"/>
        </w:rPr>
        <w:t>Descripción</w:t>
      </w:r>
      <w:r w:rsidRPr="006B160F">
        <w:rPr>
          <w:spacing w:val="-5"/>
          <w:lang w:val="es-MX"/>
        </w:rPr>
        <w:t xml:space="preserve"> </w:t>
      </w:r>
      <w:r w:rsidRPr="006B160F">
        <w:rPr>
          <w:lang w:val="es-MX"/>
        </w:rPr>
        <w:t>de</w:t>
      </w:r>
      <w:r w:rsidRPr="006B160F">
        <w:rPr>
          <w:spacing w:val="-2"/>
          <w:lang w:val="es-MX"/>
        </w:rPr>
        <w:t xml:space="preserve"> </w:t>
      </w:r>
      <w:r w:rsidRPr="006B160F">
        <w:rPr>
          <w:lang w:val="es-MX"/>
        </w:rPr>
        <w:t>los</w:t>
      </w:r>
      <w:r w:rsidRPr="006B160F">
        <w:rPr>
          <w:spacing w:val="-1"/>
          <w:lang w:val="es-MX"/>
        </w:rPr>
        <w:t xml:space="preserve"> </w:t>
      </w:r>
      <w:r w:rsidRPr="006B160F">
        <w:rPr>
          <w:lang w:val="es-MX"/>
        </w:rPr>
        <w:t>participantes</w:t>
      </w:r>
      <w:r w:rsidRPr="006B160F">
        <w:rPr>
          <w:spacing w:val="-2"/>
          <w:lang w:val="es-MX"/>
        </w:rPr>
        <w:t xml:space="preserve"> </w:t>
      </w:r>
      <w:r w:rsidRPr="006B160F">
        <w:rPr>
          <w:lang w:val="es-MX"/>
        </w:rPr>
        <w:t>en</w:t>
      </w:r>
      <w:r w:rsidRPr="006B160F">
        <w:rPr>
          <w:spacing w:val="-3"/>
          <w:lang w:val="es-MX"/>
        </w:rPr>
        <w:t xml:space="preserve"> </w:t>
      </w:r>
      <w:r w:rsidRPr="006B160F">
        <w:rPr>
          <w:lang w:val="es-MX"/>
        </w:rPr>
        <w:t>la</w:t>
      </w:r>
      <w:r w:rsidRPr="006B160F">
        <w:rPr>
          <w:spacing w:val="-2"/>
          <w:lang w:val="es-MX"/>
        </w:rPr>
        <w:t xml:space="preserve"> </w:t>
      </w:r>
      <w:r>
        <w:rPr>
          <w:lang w:val="es-MX"/>
        </w:rPr>
        <w:t>Consulta Pública</w:t>
      </w:r>
      <w:r w:rsidRPr="006B160F">
        <w:rPr>
          <w:lang w:val="es-MX"/>
        </w:rPr>
        <w:t>:</w:t>
      </w:r>
    </w:p>
    <w:p w14:paraId="1EB403AF" w14:textId="77777777" w:rsidR="00682E20" w:rsidRPr="006B160F" w:rsidRDefault="00682E20" w:rsidP="00682E20">
      <w:pPr>
        <w:pStyle w:val="Textoindependiente"/>
        <w:spacing w:before="8"/>
        <w:rPr>
          <w:b/>
          <w:sz w:val="26"/>
          <w:lang w:val="es-MX"/>
        </w:rPr>
      </w:pPr>
    </w:p>
    <w:p w14:paraId="7AFE11AF" w14:textId="77777777" w:rsidR="00682E20" w:rsidRDefault="00682E20" w:rsidP="00682E20">
      <w:pPr>
        <w:pStyle w:val="Textoindependiente"/>
        <w:spacing w:line="302" w:lineRule="auto"/>
        <w:ind w:left="810" w:right="823"/>
        <w:jc w:val="both"/>
        <w:rPr>
          <w:lang w:val="es-MX"/>
        </w:rPr>
      </w:pPr>
      <w:r>
        <w:rPr>
          <w:lang w:val="es-MX"/>
        </w:rPr>
        <w:t>Durante el periodo de la Consulta Pública de mérito, se recibieron comentarios por parte de los siguientes participantes:</w:t>
      </w:r>
    </w:p>
    <w:p w14:paraId="4B2FF58C" w14:textId="2EBF131F" w:rsidR="00333CE3" w:rsidRPr="000F42BC" w:rsidRDefault="00333CE3" w:rsidP="00682E20">
      <w:pPr>
        <w:pStyle w:val="Textoindependiente"/>
        <w:numPr>
          <w:ilvl w:val="0"/>
          <w:numId w:val="11"/>
        </w:numPr>
        <w:spacing w:line="302" w:lineRule="auto"/>
        <w:ind w:right="823"/>
        <w:jc w:val="both"/>
        <w:rPr>
          <w:bCs/>
          <w:lang w:val="es-MX"/>
        </w:rPr>
      </w:pPr>
      <w:r w:rsidRPr="00333CE3">
        <w:rPr>
          <w:bCs/>
          <w:lang w:val="es-MX"/>
        </w:rPr>
        <w:t>OPERBES, S.A. DE C.V., CABLEVISIÓN, S.A. DE C.V., CABLEMÁS TELECOMUNICACIONES, S.A. DE C.V., CABLEVISIÓN RED, S.A. DE C.V., TELEVISIÓN INTERNACIONAL, S.A. DE C.V., MÉXICO RED DE TELECOMUNICACIONES, S. DE R.L. DE C.V. Y TV CABLE DE ORIENTE S.A. DE C.V.</w:t>
      </w:r>
      <w:r>
        <w:rPr>
          <w:bCs/>
          <w:lang w:val="es-MX"/>
        </w:rPr>
        <w:t xml:space="preserve">, Y </w:t>
      </w:r>
      <w:r w:rsidRPr="00333CE3">
        <w:rPr>
          <w:bCs/>
          <w:lang w:val="es-MX"/>
        </w:rPr>
        <w:t>CORPORACIÓN DE RADIO Y TELEVISIÓN DEL NORTE DE MÉXICO, S DE R L DE C.V.</w:t>
      </w:r>
      <w:r w:rsidR="00302750">
        <w:rPr>
          <w:bCs/>
          <w:lang w:val="es-MX"/>
        </w:rPr>
        <w:t xml:space="preserve"> (en </w:t>
      </w:r>
      <w:r w:rsidR="00904CDD">
        <w:rPr>
          <w:bCs/>
          <w:lang w:val="es-MX"/>
        </w:rPr>
        <w:t>lo sucesivo</w:t>
      </w:r>
      <w:r w:rsidR="00302750">
        <w:rPr>
          <w:bCs/>
          <w:lang w:val="es-MX"/>
        </w:rPr>
        <w:t>, “GTV”)</w:t>
      </w:r>
    </w:p>
    <w:p w14:paraId="1D059C2F" w14:textId="75643C86" w:rsidR="00682E20" w:rsidRDefault="00682E20" w:rsidP="00682E20">
      <w:pPr>
        <w:pStyle w:val="Textoindependiente"/>
        <w:numPr>
          <w:ilvl w:val="0"/>
          <w:numId w:val="11"/>
        </w:numPr>
        <w:spacing w:line="302" w:lineRule="auto"/>
        <w:ind w:right="823"/>
        <w:jc w:val="both"/>
        <w:rPr>
          <w:bCs/>
          <w:lang w:val="es-MX"/>
        </w:rPr>
      </w:pPr>
      <w:r w:rsidRPr="000F42BC">
        <w:rPr>
          <w:bCs/>
          <w:lang w:val="es-MX"/>
        </w:rPr>
        <w:t>MEGA CABLE, S.A. DE C.V.</w:t>
      </w:r>
      <w:r w:rsidR="00904CDD">
        <w:rPr>
          <w:bCs/>
          <w:lang w:val="es-MX"/>
        </w:rPr>
        <w:t xml:space="preserve"> (en adelante, “Megacable”)</w:t>
      </w:r>
    </w:p>
    <w:p w14:paraId="06107EA4" w14:textId="0EAB077F" w:rsidR="00302750" w:rsidRPr="000F42BC" w:rsidRDefault="00302750" w:rsidP="00682E20">
      <w:pPr>
        <w:pStyle w:val="Textoindependiente"/>
        <w:numPr>
          <w:ilvl w:val="0"/>
          <w:numId w:val="11"/>
        </w:numPr>
        <w:spacing w:line="302" w:lineRule="auto"/>
        <w:ind w:right="823"/>
        <w:jc w:val="both"/>
        <w:rPr>
          <w:bCs/>
          <w:lang w:val="es-MX"/>
        </w:rPr>
      </w:pPr>
      <w:r w:rsidRPr="00302750">
        <w:rPr>
          <w:bCs/>
          <w:lang w:val="es-MX"/>
        </w:rPr>
        <w:t>CÁMARA NACIONAL DE LA INDUSTRIA ELECTRÓNICA, DE TELECOMUNICACIONES Y TECNOLOGÍAS DE LA INFORMACIÓN</w:t>
      </w:r>
      <w:r>
        <w:rPr>
          <w:bCs/>
          <w:lang w:val="es-MX"/>
        </w:rPr>
        <w:t xml:space="preserve"> (en lo sucesivo, “CANIETI”)</w:t>
      </w:r>
    </w:p>
    <w:p w14:paraId="33D2D557" w14:textId="77777777" w:rsidR="00682E20" w:rsidRPr="006B160F" w:rsidRDefault="00682E20" w:rsidP="00682E20">
      <w:pPr>
        <w:pStyle w:val="Textoindependiente"/>
        <w:spacing w:before="2"/>
        <w:rPr>
          <w:sz w:val="15"/>
          <w:lang w:val="es-MX"/>
        </w:rPr>
      </w:pPr>
    </w:p>
    <w:p w14:paraId="3A4F3C0E" w14:textId="2B87633B" w:rsidR="00682E20" w:rsidRPr="006B160F" w:rsidRDefault="00682E20" w:rsidP="00682E20">
      <w:pPr>
        <w:pStyle w:val="Textoindependiente"/>
        <w:spacing w:before="69" w:line="302" w:lineRule="auto"/>
        <w:ind w:left="810" w:right="831"/>
        <w:jc w:val="both"/>
        <w:rPr>
          <w:lang w:val="es-MX"/>
        </w:rPr>
      </w:pPr>
      <w:r w:rsidRPr="006B160F">
        <w:rPr>
          <w:lang w:val="es-MX"/>
        </w:rPr>
        <w:t>Dichos</w:t>
      </w:r>
      <w:r w:rsidRPr="006B160F">
        <w:rPr>
          <w:spacing w:val="5"/>
          <w:lang w:val="es-MX"/>
        </w:rPr>
        <w:t xml:space="preserve"> </w:t>
      </w:r>
      <w:r w:rsidRPr="006B160F">
        <w:rPr>
          <w:lang w:val="es-MX"/>
        </w:rPr>
        <w:t>comentarios</w:t>
      </w:r>
      <w:r w:rsidRPr="006B160F">
        <w:rPr>
          <w:spacing w:val="6"/>
          <w:lang w:val="es-MX"/>
        </w:rPr>
        <w:t xml:space="preserve"> </w:t>
      </w:r>
      <w:r w:rsidRPr="006B160F">
        <w:rPr>
          <w:lang w:val="es-MX"/>
        </w:rPr>
        <w:t>se</w:t>
      </w:r>
      <w:r w:rsidRPr="006B160F">
        <w:rPr>
          <w:spacing w:val="9"/>
          <w:lang w:val="es-MX"/>
        </w:rPr>
        <w:t xml:space="preserve"> </w:t>
      </w:r>
      <w:r w:rsidRPr="006B160F">
        <w:rPr>
          <w:lang w:val="es-MX"/>
        </w:rPr>
        <w:t>encuentran</w:t>
      </w:r>
      <w:r w:rsidRPr="006B160F">
        <w:rPr>
          <w:spacing w:val="8"/>
          <w:lang w:val="es-MX"/>
        </w:rPr>
        <w:t xml:space="preserve"> </w:t>
      </w:r>
      <w:r w:rsidRPr="006B160F">
        <w:rPr>
          <w:lang w:val="es-MX"/>
        </w:rPr>
        <w:t>disponibles</w:t>
      </w:r>
      <w:r w:rsidRPr="006B160F">
        <w:rPr>
          <w:spacing w:val="6"/>
          <w:lang w:val="es-MX"/>
        </w:rPr>
        <w:t xml:space="preserve"> </w:t>
      </w:r>
      <w:r w:rsidRPr="006B160F">
        <w:rPr>
          <w:lang w:val="es-MX"/>
        </w:rPr>
        <w:t>para</w:t>
      </w:r>
      <w:r w:rsidRPr="006B160F">
        <w:rPr>
          <w:spacing w:val="4"/>
          <w:lang w:val="es-MX"/>
        </w:rPr>
        <w:t xml:space="preserve"> </w:t>
      </w:r>
      <w:r w:rsidRPr="006B160F">
        <w:rPr>
          <w:lang w:val="es-MX"/>
        </w:rPr>
        <w:t>su</w:t>
      </w:r>
      <w:r w:rsidRPr="006B160F">
        <w:rPr>
          <w:spacing w:val="9"/>
          <w:lang w:val="es-MX"/>
        </w:rPr>
        <w:t xml:space="preserve"> </w:t>
      </w:r>
      <w:r w:rsidRPr="006B160F">
        <w:rPr>
          <w:lang w:val="es-MX"/>
        </w:rPr>
        <w:t>consulta</w:t>
      </w:r>
      <w:r w:rsidRPr="006B160F">
        <w:rPr>
          <w:spacing w:val="9"/>
          <w:lang w:val="es-MX"/>
        </w:rPr>
        <w:t xml:space="preserve"> </w:t>
      </w:r>
      <w:r w:rsidRPr="006B160F">
        <w:rPr>
          <w:lang w:val="es-MX"/>
        </w:rPr>
        <w:t>en</w:t>
      </w:r>
      <w:r w:rsidRPr="006B160F">
        <w:rPr>
          <w:spacing w:val="8"/>
          <w:lang w:val="es-MX"/>
        </w:rPr>
        <w:t xml:space="preserve"> </w:t>
      </w:r>
      <w:r w:rsidRPr="006B160F">
        <w:rPr>
          <w:lang w:val="es-MX"/>
        </w:rPr>
        <w:t>la</w:t>
      </w:r>
      <w:r w:rsidRPr="006B160F">
        <w:rPr>
          <w:spacing w:val="9"/>
          <w:lang w:val="es-MX"/>
        </w:rPr>
        <w:t xml:space="preserve"> </w:t>
      </w:r>
      <w:r w:rsidRPr="006B160F">
        <w:rPr>
          <w:lang w:val="es-MX"/>
        </w:rPr>
        <w:t>página</w:t>
      </w:r>
      <w:r w:rsidRPr="006B160F">
        <w:rPr>
          <w:spacing w:val="9"/>
          <w:lang w:val="es-MX"/>
        </w:rPr>
        <w:t xml:space="preserve"> </w:t>
      </w:r>
      <w:r w:rsidRPr="006B160F">
        <w:rPr>
          <w:lang w:val="es-MX"/>
        </w:rPr>
        <w:t>de</w:t>
      </w:r>
      <w:r w:rsidRPr="006B160F">
        <w:rPr>
          <w:spacing w:val="8"/>
          <w:lang w:val="es-MX"/>
        </w:rPr>
        <w:t xml:space="preserve"> </w:t>
      </w:r>
      <w:r w:rsidRPr="006B160F">
        <w:rPr>
          <w:lang w:val="es-MX"/>
        </w:rPr>
        <w:t>Internet</w:t>
      </w:r>
      <w:r>
        <w:rPr>
          <w:lang w:val="es-MX"/>
        </w:rPr>
        <w:t xml:space="preserve">: </w:t>
      </w:r>
      <w:r w:rsidRPr="006B160F">
        <w:rPr>
          <w:spacing w:val="-58"/>
          <w:lang w:val="es-MX"/>
        </w:rPr>
        <w:t xml:space="preserve"> </w:t>
      </w:r>
      <w:hyperlink r:id="rId9" w:history="1">
        <w:r w:rsidR="00F16F6F" w:rsidRPr="00852FC8">
          <w:rPr>
            <w:rStyle w:val="Hipervnculo"/>
          </w:rPr>
          <w:t>https://www.ift.org.mx/industria/consultas-p</w:t>
        </w:r>
        <w:bookmarkStart w:id="0" w:name="_GoBack"/>
        <w:bookmarkEnd w:id="0"/>
        <w:r w:rsidR="00F16F6F" w:rsidRPr="00852FC8">
          <w:rPr>
            <w:rStyle w:val="Hipervnculo"/>
          </w:rPr>
          <w:t>ublicas/consulta-publica-sobre-el-modelo-de-costos-evitados-para-los-servicios-de-reventa-provistos-por-el-0</w:t>
        </w:r>
      </w:hyperlink>
      <w:r w:rsidR="00F16F6F">
        <w:t xml:space="preserve"> </w:t>
      </w:r>
    </w:p>
    <w:p w14:paraId="0CBFA993" w14:textId="77777777" w:rsidR="00682E20" w:rsidRPr="006B160F" w:rsidRDefault="00682E20" w:rsidP="00A4210C">
      <w:pPr>
        <w:pStyle w:val="Textoindependiente"/>
        <w:spacing w:before="69"/>
        <w:ind w:left="811" w:right="833"/>
        <w:rPr>
          <w:lang w:val="es-MX"/>
        </w:rPr>
      </w:pPr>
    </w:p>
    <w:p w14:paraId="2FD920A1" w14:textId="77777777" w:rsidR="00682E20" w:rsidRPr="006B160F" w:rsidRDefault="00682E20" w:rsidP="00682E20">
      <w:pPr>
        <w:pStyle w:val="Ttulo1"/>
        <w:spacing w:before="174"/>
        <w:rPr>
          <w:lang w:val="es-MX"/>
        </w:rPr>
      </w:pPr>
      <w:r w:rsidRPr="006B160F">
        <w:rPr>
          <w:lang w:val="es-MX"/>
        </w:rPr>
        <w:t>Respuestas</w:t>
      </w:r>
      <w:r w:rsidRPr="006B160F">
        <w:rPr>
          <w:spacing w:val="-2"/>
          <w:lang w:val="es-MX"/>
        </w:rPr>
        <w:t xml:space="preserve"> </w:t>
      </w:r>
      <w:r w:rsidRPr="006B160F">
        <w:rPr>
          <w:lang w:val="es-MX"/>
        </w:rPr>
        <w:t>o</w:t>
      </w:r>
      <w:r w:rsidRPr="006B160F">
        <w:rPr>
          <w:spacing w:val="-3"/>
          <w:lang w:val="es-MX"/>
        </w:rPr>
        <w:t xml:space="preserve"> </w:t>
      </w:r>
      <w:r w:rsidRPr="006B160F">
        <w:rPr>
          <w:lang w:val="es-MX"/>
        </w:rPr>
        <w:t>posicionamientos</w:t>
      </w:r>
      <w:r w:rsidRPr="006B160F">
        <w:rPr>
          <w:spacing w:val="-1"/>
          <w:lang w:val="es-MX"/>
        </w:rPr>
        <w:t xml:space="preserve"> </w:t>
      </w:r>
      <w:r w:rsidRPr="006B160F">
        <w:rPr>
          <w:lang w:val="es-MX"/>
        </w:rPr>
        <w:t>por</w:t>
      </w:r>
      <w:r w:rsidRPr="006B160F">
        <w:rPr>
          <w:spacing w:val="-5"/>
          <w:lang w:val="es-MX"/>
        </w:rPr>
        <w:t xml:space="preserve"> </w:t>
      </w:r>
      <w:r w:rsidRPr="006B160F">
        <w:rPr>
          <w:lang w:val="es-MX"/>
        </w:rPr>
        <w:t>parte</w:t>
      </w:r>
      <w:r w:rsidRPr="006B160F">
        <w:rPr>
          <w:spacing w:val="-2"/>
          <w:lang w:val="es-MX"/>
        </w:rPr>
        <w:t xml:space="preserve"> </w:t>
      </w:r>
      <w:r w:rsidRPr="006B160F">
        <w:rPr>
          <w:lang w:val="es-MX"/>
        </w:rPr>
        <w:t>del</w:t>
      </w:r>
      <w:r w:rsidRPr="006B160F">
        <w:rPr>
          <w:spacing w:val="-5"/>
          <w:lang w:val="es-MX"/>
        </w:rPr>
        <w:t xml:space="preserve"> </w:t>
      </w:r>
      <w:r w:rsidRPr="006B160F">
        <w:rPr>
          <w:lang w:val="es-MX"/>
        </w:rPr>
        <w:t>Instituto</w:t>
      </w:r>
    </w:p>
    <w:p w14:paraId="37C58B1E" w14:textId="77777777" w:rsidR="00682E20" w:rsidRPr="006B160F" w:rsidRDefault="00682E20" w:rsidP="00682E20">
      <w:pPr>
        <w:pStyle w:val="Textoindependiente"/>
        <w:spacing w:before="7"/>
        <w:rPr>
          <w:b/>
          <w:sz w:val="20"/>
          <w:lang w:val="es-MX"/>
        </w:rPr>
      </w:pPr>
    </w:p>
    <w:p w14:paraId="3076D471" w14:textId="6678AA46" w:rsidR="00682E20" w:rsidRPr="00904CDD" w:rsidRDefault="00682E20" w:rsidP="00904CDD">
      <w:pPr>
        <w:pStyle w:val="Textoindependiente"/>
        <w:spacing w:line="276" w:lineRule="auto"/>
        <w:ind w:left="810" w:right="812"/>
        <w:jc w:val="both"/>
        <w:rPr>
          <w:lang w:val="es-MX"/>
        </w:rPr>
      </w:pPr>
      <w:r w:rsidRPr="00904CDD">
        <w:rPr>
          <w:lang w:val="es-MX"/>
        </w:rPr>
        <w:t>Las respuestas brindadas a los comentarios de la Consulta Pública atienden únicamente</w:t>
      </w:r>
      <w:r w:rsidRPr="00904CDD">
        <w:rPr>
          <w:spacing w:val="1"/>
          <w:lang w:val="es-MX"/>
        </w:rPr>
        <w:t xml:space="preserve"> </w:t>
      </w:r>
      <w:r w:rsidRPr="00904CDD">
        <w:rPr>
          <w:lang w:val="es-MX"/>
        </w:rPr>
        <w:t>lo</w:t>
      </w:r>
      <w:r w:rsidRPr="00904CDD">
        <w:rPr>
          <w:spacing w:val="1"/>
          <w:lang w:val="es-MX"/>
        </w:rPr>
        <w:t xml:space="preserve"> </w:t>
      </w:r>
      <w:r w:rsidRPr="00904CDD">
        <w:rPr>
          <w:lang w:val="es-MX"/>
        </w:rPr>
        <w:t>relacionado</w:t>
      </w:r>
      <w:r w:rsidRPr="00904CDD">
        <w:rPr>
          <w:spacing w:val="1"/>
          <w:lang w:val="es-MX"/>
        </w:rPr>
        <w:t xml:space="preserve"> </w:t>
      </w:r>
      <w:r w:rsidRPr="00904CDD">
        <w:rPr>
          <w:lang w:val="es-MX"/>
        </w:rPr>
        <w:t>con</w:t>
      </w:r>
      <w:r w:rsidRPr="00904CDD">
        <w:rPr>
          <w:spacing w:val="1"/>
          <w:lang w:val="es-MX"/>
        </w:rPr>
        <w:t xml:space="preserve"> </w:t>
      </w:r>
      <w:r w:rsidRPr="00904CDD">
        <w:rPr>
          <w:lang w:val="es-MX"/>
        </w:rPr>
        <w:t>las</w:t>
      </w:r>
      <w:r w:rsidRPr="00904CDD">
        <w:rPr>
          <w:spacing w:val="1"/>
          <w:lang w:val="es-MX"/>
        </w:rPr>
        <w:t xml:space="preserve"> </w:t>
      </w:r>
      <w:r w:rsidRPr="00904CDD">
        <w:rPr>
          <w:lang w:val="es-MX"/>
        </w:rPr>
        <w:t>observaciones</w:t>
      </w:r>
      <w:r w:rsidRPr="00904CDD">
        <w:rPr>
          <w:spacing w:val="1"/>
          <w:lang w:val="es-MX"/>
        </w:rPr>
        <w:t xml:space="preserve"> </w:t>
      </w:r>
      <w:r w:rsidRPr="00904CDD">
        <w:rPr>
          <w:lang w:val="es-MX"/>
        </w:rPr>
        <w:t>realizadas</w:t>
      </w:r>
      <w:r w:rsidRPr="00904CDD">
        <w:rPr>
          <w:spacing w:val="1"/>
          <w:lang w:val="es-MX"/>
        </w:rPr>
        <w:t xml:space="preserve"> </w:t>
      </w:r>
      <w:r w:rsidRPr="00904CDD">
        <w:rPr>
          <w:lang w:val="es-MX"/>
        </w:rPr>
        <w:t>por</w:t>
      </w:r>
      <w:r w:rsidRPr="00904CDD">
        <w:rPr>
          <w:spacing w:val="1"/>
          <w:lang w:val="es-MX"/>
        </w:rPr>
        <w:t xml:space="preserve"> </w:t>
      </w:r>
      <w:r w:rsidRPr="00904CDD">
        <w:rPr>
          <w:lang w:val="es-MX"/>
        </w:rPr>
        <w:t>los</w:t>
      </w:r>
      <w:r w:rsidRPr="00904CDD">
        <w:rPr>
          <w:spacing w:val="1"/>
          <w:lang w:val="es-MX"/>
        </w:rPr>
        <w:t xml:space="preserve"> </w:t>
      </w:r>
      <w:r w:rsidRPr="00904CDD">
        <w:rPr>
          <w:lang w:val="es-MX"/>
        </w:rPr>
        <w:t>participantes</w:t>
      </w:r>
      <w:r w:rsidRPr="00904CDD">
        <w:rPr>
          <w:spacing w:val="1"/>
          <w:lang w:val="es-MX"/>
        </w:rPr>
        <w:t xml:space="preserve"> </w:t>
      </w:r>
      <w:r w:rsidRPr="00904CDD">
        <w:rPr>
          <w:lang w:val="es-MX"/>
        </w:rPr>
        <w:t>al</w:t>
      </w:r>
      <w:r w:rsidRPr="00904CDD">
        <w:rPr>
          <w:spacing w:val="1"/>
          <w:lang w:val="es-MX"/>
        </w:rPr>
        <w:t xml:space="preserve"> </w:t>
      </w:r>
      <w:r w:rsidR="00792E78" w:rsidRPr="00904CDD">
        <w:rPr>
          <w:lang w:val="es-MX"/>
        </w:rPr>
        <w:t>Modelo de Costos Evitados</w:t>
      </w:r>
      <w:r w:rsidR="00FE67FF">
        <w:rPr>
          <w:lang w:val="es-MX"/>
        </w:rPr>
        <w:t xml:space="preserve"> (en adelante, “MCE”)</w:t>
      </w:r>
      <w:r w:rsidR="00792E78" w:rsidRPr="00904CDD">
        <w:rPr>
          <w:lang w:val="es-MX"/>
        </w:rPr>
        <w:t xml:space="preserve"> </w:t>
      </w:r>
      <w:r w:rsidRPr="00904CDD">
        <w:rPr>
          <w:lang w:val="es-MX"/>
        </w:rPr>
        <w:t>o</w:t>
      </w:r>
      <w:r w:rsidRPr="00904CDD">
        <w:rPr>
          <w:spacing w:val="1"/>
          <w:lang w:val="es-MX"/>
        </w:rPr>
        <w:t xml:space="preserve"> </w:t>
      </w:r>
      <w:r w:rsidRPr="00904CDD">
        <w:rPr>
          <w:lang w:val="es-MX"/>
        </w:rPr>
        <w:t>comentarios generales que pueden aplicarse a</w:t>
      </w:r>
      <w:r w:rsidRPr="00904CDD">
        <w:rPr>
          <w:spacing w:val="1"/>
          <w:lang w:val="es-MX"/>
        </w:rPr>
        <w:t xml:space="preserve"> </w:t>
      </w:r>
      <w:r w:rsidRPr="00904CDD">
        <w:rPr>
          <w:lang w:val="es-MX"/>
        </w:rPr>
        <w:t>éste. Asimismo, se</w:t>
      </w:r>
      <w:r w:rsidRPr="00904CDD">
        <w:rPr>
          <w:spacing w:val="1"/>
          <w:lang w:val="es-MX"/>
        </w:rPr>
        <w:t xml:space="preserve"> </w:t>
      </w:r>
      <w:r w:rsidRPr="00904CDD">
        <w:rPr>
          <w:lang w:val="es-MX"/>
        </w:rPr>
        <w:t>atienden</w:t>
      </w:r>
      <w:r w:rsidRPr="00904CDD">
        <w:rPr>
          <w:spacing w:val="-6"/>
          <w:lang w:val="es-MX"/>
        </w:rPr>
        <w:t xml:space="preserve"> </w:t>
      </w:r>
      <w:r w:rsidRPr="00904CDD">
        <w:rPr>
          <w:lang w:val="es-MX"/>
        </w:rPr>
        <w:t>cada</w:t>
      </w:r>
      <w:r w:rsidRPr="00904CDD">
        <w:rPr>
          <w:spacing w:val="-11"/>
          <w:lang w:val="es-MX"/>
        </w:rPr>
        <w:t xml:space="preserve"> </w:t>
      </w:r>
      <w:r w:rsidRPr="00904CDD">
        <w:rPr>
          <w:lang w:val="es-MX"/>
        </w:rPr>
        <w:t>uno</w:t>
      </w:r>
      <w:r w:rsidRPr="00904CDD">
        <w:rPr>
          <w:spacing w:val="-12"/>
          <w:lang w:val="es-MX"/>
        </w:rPr>
        <w:t xml:space="preserve"> </w:t>
      </w:r>
      <w:r w:rsidRPr="00904CDD">
        <w:rPr>
          <w:lang w:val="es-MX"/>
        </w:rPr>
        <w:t>de</w:t>
      </w:r>
      <w:r w:rsidRPr="00904CDD">
        <w:rPr>
          <w:spacing w:val="-7"/>
          <w:lang w:val="es-MX"/>
        </w:rPr>
        <w:t xml:space="preserve"> </w:t>
      </w:r>
      <w:r w:rsidRPr="00904CDD">
        <w:rPr>
          <w:lang w:val="es-MX"/>
        </w:rPr>
        <w:t>los</w:t>
      </w:r>
      <w:r w:rsidRPr="00904CDD">
        <w:rPr>
          <w:spacing w:val="-10"/>
          <w:lang w:val="es-MX"/>
        </w:rPr>
        <w:t xml:space="preserve"> </w:t>
      </w:r>
      <w:r w:rsidRPr="00904CDD">
        <w:rPr>
          <w:lang w:val="es-MX"/>
        </w:rPr>
        <w:t>temas</w:t>
      </w:r>
      <w:r w:rsidRPr="00904CDD">
        <w:rPr>
          <w:spacing w:val="-11"/>
          <w:lang w:val="es-MX"/>
        </w:rPr>
        <w:t xml:space="preserve"> </w:t>
      </w:r>
      <w:r w:rsidRPr="00904CDD">
        <w:rPr>
          <w:spacing w:val="-5"/>
          <w:lang w:val="es-MX"/>
        </w:rPr>
        <w:t xml:space="preserve">en </w:t>
      </w:r>
      <w:r w:rsidRPr="00904CDD">
        <w:rPr>
          <w:lang w:val="es-MX"/>
        </w:rPr>
        <w:t>el</w:t>
      </w:r>
      <w:r w:rsidRPr="00904CDD">
        <w:rPr>
          <w:spacing w:val="-14"/>
          <w:lang w:val="es-MX"/>
        </w:rPr>
        <w:t xml:space="preserve"> </w:t>
      </w:r>
      <w:r w:rsidRPr="00904CDD">
        <w:rPr>
          <w:lang w:val="es-MX"/>
        </w:rPr>
        <w:t>orden</w:t>
      </w:r>
      <w:r w:rsidRPr="00904CDD">
        <w:rPr>
          <w:spacing w:val="-12"/>
          <w:lang w:val="es-MX"/>
        </w:rPr>
        <w:t xml:space="preserve"> </w:t>
      </w:r>
      <w:r w:rsidRPr="00904CDD">
        <w:rPr>
          <w:lang w:val="es-MX"/>
        </w:rPr>
        <w:t>en</w:t>
      </w:r>
      <w:r w:rsidRPr="00904CDD">
        <w:rPr>
          <w:spacing w:val="-7"/>
          <w:lang w:val="es-MX"/>
        </w:rPr>
        <w:t xml:space="preserve"> </w:t>
      </w:r>
      <w:r w:rsidRPr="00904CDD">
        <w:rPr>
          <w:lang w:val="es-MX"/>
        </w:rPr>
        <w:t>que</w:t>
      </w:r>
      <w:r w:rsidRPr="00904CDD">
        <w:rPr>
          <w:spacing w:val="-4"/>
          <w:lang w:val="es-MX"/>
        </w:rPr>
        <w:t xml:space="preserve"> </w:t>
      </w:r>
      <w:r w:rsidRPr="00904CDD">
        <w:rPr>
          <w:lang w:val="es-MX"/>
        </w:rPr>
        <w:t>fueron</w:t>
      </w:r>
      <w:r w:rsidRPr="00904CDD">
        <w:rPr>
          <w:spacing w:val="-12"/>
          <w:lang w:val="es-MX"/>
        </w:rPr>
        <w:t xml:space="preserve"> </w:t>
      </w:r>
      <w:r w:rsidRPr="00904CDD">
        <w:rPr>
          <w:lang w:val="es-MX"/>
        </w:rPr>
        <w:t>abordados</w:t>
      </w:r>
      <w:r w:rsidRPr="00904CDD">
        <w:rPr>
          <w:spacing w:val="-9"/>
          <w:lang w:val="es-MX"/>
        </w:rPr>
        <w:t xml:space="preserve"> </w:t>
      </w:r>
      <w:r w:rsidR="00792E78" w:rsidRPr="00904CDD">
        <w:rPr>
          <w:spacing w:val="-9"/>
          <w:lang w:val="es-MX"/>
        </w:rPr>
        <w:t>por los</w:t>
      </w:r>
      <w:r w:rsidRPr="00904CDD">
        <w:rPr>
          <w:spacing w:val="1"/>
          <w:lang w:val="es-MX"/>
        </w:rPr>
        <w:t xml:space="preserve"> </w:t>
      </w:r>
      <w:r w:rsidRPr="00904CDD">
        <w:rPr>
          <w:lang w:val="es-MX"/>
        </w:rPr>
        <w:t>participantes.</w:t>
      </w:r>
      <w:r w:rsidRPr="00904CDD">
        <w:rPr>
          <w:spacing w:val="1"/>
          <w:lang w:val="es-MX"/>
        </w:rPr>
        <w:t xml:space="preserve"> </w:t>
      </w:r>
      <w:r w:rsidRPr="00904CDD">
        <w:rPr>
          <w:lang w:val="es-MX"/>
        </w:rPr>
        <w:t>Primero,</w:t>
      </w:r>
      <w:r w:rsidRPr="00904CDD">
        <w:rPr>
          <w:spacing w:val="1"/>
          <w:lang w:val="es-MX"/>
        </w:rPr>
        <w:t xml:space="preserve"> </w:t>
      </w:r>
      <w:r w:rsidRPr="00904CDD">
        <w:rPr>
          <w:lang w:val="es-MX"/>
        </w:rPr>
        <w:t>se</w:t>
      </w:r>
      <w:r w:rsidRPr="00904CDD">
        <w:rPr>
          <w:spacing w:val="1"/>
          <w:lang w:val="es-MX"/>
        </w:rPr>
        <w:t xml:space="preserve"> </w:t>
      </w:r>
      <w:r w:rsidRPr="00904CDD">
        <w:rPr>
          <w:lang w:val="es-MX"/>
        </w:rPr>
        <w:t>presenta</w:t>
      </w:r>
      <w:r w:rsidRPr="00904CDD">
        <w:rPr>
          <w:spacing w:val="1"/>
          <w:lang w:val="es-MX"/>
        </w:rPr>
        <w:t xml:space="preserve"> </w:t>
      </w:r>
      <w:r w:rsidRPr="00904CDD">
        <w:rPr>
          <w:lang w:val="es-MX"/>
        </w:rPr>
        <w:t>un</w:t>
      </w:r>
      <w:r w:rsidRPr="00904CDD">
        <w:rPr>
          <w:spacing w:val="1"/>
          <w:lang w:val="es-MX"/>
        </w:rPr>
        <w:t xml:space="preserve"> </w:t>
      </w:r>
      <w:r w:rsidRPr="00904CDD">
        <w:rPr>
          <w:lang w:val="es-MX"/>
        </w:rPr>
        <w:t>resumen</w:t>
      </w:r>
      <w:r w:rsidRPr="00904CDD">
        <w:rPr>
          <w:spacing w:val="1"/>
          <w:lang w:val="es-MX"/>
        </w:rPr>
        <w:t xml:space="preserve"> </w:t>
      </w:r>
      <w:r w:rsidRPr="00904CDD">
        <w:rPr>
          <w:lang w:val="es-MX"/>
        </w:rPr>
        <w:t>de</w:t>
      </w:r>
      <w:r w:rsidRPr="00904CDD">
        <w:rPr>
          <w:spacing w:val="1"/>
          <w:lang w:val="es-MX"/>
        </w:rPr>
        <w:t xml:space="preserve"> </w:t>
      </w:r>
      <w:r w:rsidRPr="00904CDD">
        <w:rPr>
          <w:lang w:val="es-MX"/>
        </w:rPr>
        <w:t>los</w:t>
      </w:r>
      <w:r w:rsidRPr="00904CDD">
        <w:rPr>
          <w:spacing w:val="1"/>
          <w:lang w:val="es-MX"/>
        </w:rPr>
        <w:t xml:space="preserve"> </w:t>
      </w:r>
      <w:r w:rsidRPr="00904CDD">
        <w:rPr>
          <w:lang w:val="es-MX"/>
        </w:rPr>
        <w:t>comentarios</w:t>
      </w:r>
      <w:r w:rsidRPr="00904CDD">
        <w:rPr>
          <w:spacing w:val="1"/>
          <w:lang w:val="es-MX"/>
        </w:rPr>
        <w:t xml:space="preserve"> </w:t>
      </w:r>
      <w:r w:rsidRPr="00904CDD">
        <w:rPr>
          <w:lang w:val="es-MX"/>
        </w:rPr>
        <w:t>que</w:t>
      </w:r>
      <w:r w:rsidRPr="00904CDD">
        <w:rPr>
          <w:spacing w:val="1"/>
          <w:lang w:val="es-MX"/>
        </w:rPr>
        <w:t xml:space="preserve"> </w:t>
      </w:r>
      <w:r w:rsidRPr="00904CDD">
        <w:rPr>
          <w:lang w:val="es-MX"/>
        </w:rPr>
        <w:t>los</w:t>
      </w:r>
      <w:r w:rsidRPr="00904CDD">
        <w:rPr>
          <w:spacing w:val="1"/>
          <w:lang w:val="es-MX"/>
        </w:rPr>
        <w:t xml:space="preserve"> </w:t>
      </w:r>
      <w:r w:rsidRPr="00904CDD">
        <w:rPr>
          <w:spacing w:val="-1"/>
          <w:lang w:val="es-MX"/>
        </w:rPr>
        <w:t>participantes</w:t>
      </w:r>
      <w:r w:rsidRPr="00904CDD">
        <w:rPr>
          <w:spacing w:val="-17"/>
          <w:lang w:val="es-MX"/>
        </w:rPr>
        <w:t xml:space="preserve"> </w:t>
      </w:r>
      <w:r w:rsidRPr="00904CDD">
        <w:rPr>
          <w:spacing w:val="-1"/>
          <w:lang w:val="es-MX"/>
        </w:rPr>
        <w:t>hicieron</w:t>
      </w:r>
      <w:r w:rsidRPr="00904CDD">
        <w:rPr>
          <w:spacing w:val="-10"/>
          <w:lang w:val="es-MX"/>
        </w:rPr>
        <w:t xml:space="preserve"> </w:t>
      </w:r>
      <w:r w:rsidRPr="00904CDD">
        <w:rPr>
          <w:spacing w:val="-1"/>
          <w:lang w:val="es-MX"/>
        </w:rPr>
        <w:t>y</w:t>
      </w:r>
      <w:r w:rsidRPr="00904CDD">
        <w:rPr>
          <w:spacing w:val="-17"/>
          <w:lang w:val="es-MX"/>
        </w:rPr>
        <w:t xml:space="preserve"> </w:t>
      </w:r>
      <w:r w:rsidRPr="00904CDD">
        <w:rPr>
          <w:spacing w:val="-1"/>
          <w:lang w:val="es-MX"/>
        </w:rPr>
        <w:t>enseguida</w:t>
      </w:r>
      <w:r w:rsidRPr="00904CDD">
        <w:rPr>
          <w:spacing w:val="-12"/>
          <w:lang w:val="es-MX"/>
        </w:rPr>
        <w:t xml:space="preserve"> </w:t>
      </w:r>
      <w:r w:rsidRPr="00904CDD">
        <w:rPr>
          <w:spacing w:val="-1"/>
          <w:lang w:val="es-MX"/>
        </w:rPr>
        <w:t>la</w:t>
      </w:r>
      <w:r w:rsidRPr="00904CDD">
        <w:rPr>
          <w:spacing w:val="-14"/>
          <w:lang w:val="es-MX"/>
        </w:rPr>
        <w:t xml:space="preserve"> </w:t>
      </w:r>
      <w:r w:rsidRPr="00904CDD">
        <w:rPr>
          <w:spacing w:val="-1"/>
          <w:lang w:val="es-MX"/>
        </w:rPr>
        <w:t>respuesta</w:t>
      </w:r>
      <w:r w:rsidRPr="00904CDD">
        <w:rPr>
          <w:spacing w:val="-13"/>
          <w:lang w:val="es-MX"/>
        </w:rPr>
        <w:t xml:space="preserve"> </w:t>
      </w:r>
      <w:r w:rsidRPr="00904CDD">
        <w:rPr>
          <w:lang w:val="es-MX"/>
        </w:rPr>
        <w:t>que</w:t>
      </w:r>
      <w:r w:rsidRPr="00904CDD">
        <w:rPr>
          <w:spacing w:val="-11"/>
          <w:lang w:val="es-MX"/>
        </w:rPr>
        <w:t xml:space="preserve"> </w:t>
      </w:r>
      <w:r w:rsidR="006B4B9A">
        <w:rPr>
          <w:lang w:val="es-MX"/>
        </w:rPr>
        <w:t>la UPR</w:t>
      </w:r>
      <w:r w:rsidRPr="00904CDD">
        <w:rPr>
          <w:spacing w:val="-13"/>
          <w:lang w:val="es-MX"/>
        </w:rPr>
        <w:t xml:space="preserve"> </w:t>
      </w:r>
      <w:r w:rsidRPr="00904CDD">
        <w:rPr>
          <w:lang w:val="es-MX"/>
        </w:rPr>
        <w:t>realiza</w:t>
      </w:r>
      <w:r w:rsidRPr="00904CDD">
        <w:rPr>
          <w:spacing w:val="-13"/>
          <w:lang w:val="es-MX"/>
        </w:rPr>
        <w:t xml:space="preserve"> </w:t>
      </w:r>
      <w:r w:rsidRPr="00904CDD">
        <w:rPr>
          <w:lang w:val="es-MX"/>
        </w:rPr>
        <w:t>a</w:t>
      </w:r>
      <w:r w:rsidRPr="00904CDD">
        <w:rPr>
          <w:spacing w:val="-14"/>
          <w:lang w:val="es-MX"/>
        </w:rPr>
        <w:t xml:space="preserve"> </w:t>
      </w:r>
      <w:r w:rsidRPr="00904CDD">
        <w:rPr>
          <w:lang w:val="es-MX"/>
        </w:rPr>
        <w:t>cada</w:t>
      </w:r>
      <w:r w:rsidRPr="00904CDD">
        <w:rPr>
          <w:spacing w:val="-13"/>
          <w:lang w:val="es-MX"/>
        </w:rPr>
        <w:t xml:space="preserve"> </w:t>
      </w:r>
      <w:r w:rsidRPr="00904CDD">
        <w:rPr>
          <w:lang w:val="es-MX"/>
        </w:rPr>
        <w:t>uno</w:t>
      </w:r>
      <w:r w:rsidRPr="00904CDD">
        <w:rPr>
          <w:spacing w:val="-19"/>
          <w:lang w:val="es-MX"/>
        </w:rPr>
        <w:t xml:space="preserve"> </w:t>
      </w:r>
      <w:r w:rsidRPr="00904CDD">
        <w:rPr>
          <w:lang w:val="es-MX"/>
        </w:rPr>
        <w:t>de</w:t>
      </w:r>
      <w:r w:rsidRPr="00904CDD">
        <w:rPr>
          <w:spacing w:val="-17"/>
          <w:lang w:val="es-MX"/>
        </w:rPr>
        <w:t xml:space="preserve"> </w:t>
      </w:r>
      <w:r w:rsidRPr="00904CDD">
        <w:rPr>
          <w:lang w:val="es-MX"/>
        </w:rPr>
        <w:t>éstos.</w:t>
      </w:r>
    </w:p>
    <w:p w14:paraId="59C0C505" w14:textId="77777777" w:rsidR="00682E20" w:rsidRPr="006B160F" w:rsidRDefault="00682E20" w:rsidP="00682E20">
      <w:pPr>
        <w:pStyle w:val="Textoindependiente"/>
        <w:spacing w:before="200" w:line="276" w:lineRule="auto"/>
        <w:ind w:left="810" w:right="832"/>
        <w:jc w:val="both"/>
        <w:rPr>
          <w:lang w:val="es-MX"/>
        </w:rPr>
      </w:pPr>
      <w:r w:rsidRPr="006B160F">
        <w:rPr>
          <w:lang w:val="es-MX"/>
        </w:rPr>
        <w:t xml:space="preserve">Por lo anterior, </w:t>
      </w:r>
      <w:r>
        <w:rPr>
          <w:lang w:val="es-MX"/>
        </w:rPr>
        <w:t>la UPR</w:t>
      </w:r>
      <w:r w:rsidRPr="006B160F">
        <w:rPr>
          <w:lang w:val="es-MX"/>
        </w:rPr>
        <w:t xml:space="preserve"> emite las siguientes respuestas y consideraciones para cada</w:t>
      </w:r>
      <w:r w:rsidRPr="006B160F">
        <w:rPr>
          <w:spacing w:val="1"/>
          <w:lang w:val="es-MX"/>
        </w:rPr>
        <w:t xml:space="preserve"> </w:t>
      </w:r>
      <w:r w:rsidRPr="006B160F">
        <w:rPr>
          <w:lang w:val="es-MX"/>
        </w:rPr>
        <w:t>una de</w:t>
      </w:r>
      <w:r w:rsidRPr="006B160F">
        <w:rPr>
          <w:spacing w:val="2"/>
          <w:lang w:val="es-MX"/>
        </w:rPr>
        <w:t xml:space="preserve"> </w:t>
      </w:r>
      <w:r w:rsidRPr="006B160F">
        <w:rPr>
          <w:lang w:val="es-MX"/>
        </w:rPr>
        <w:t>las</w:t>
      </w:r>
      <w:r w:rsidRPr="006B160F">
        <w:rPr>
          <w:spacing w:val="-2"/>
          <w:lang w:val="es-MX"/>
        </w:rPr>
        <w:t xml:space="preserve"> </w:t>
      </w:r>
      <w:r w:rsidRPr="006B160F">
        <w:rPr>
          <w:lang w:val="es-MX"/>
        </w:rPr>
        <w:t>participaciones</w:t>
      </w:r>
      <w:r w:rsidRPr="006B160F">
        <w:rPr>
          <w:spacing w:val="-2"/>
          <w:lang w:val="es-MX"/>
        </w:rPr>
        <w:t xml:space="preserve"> </w:t>
      </w:r>
      <w:r w:rsidRPr="006B160F">
        <w:rPr>
          <w:lang w:val="es-MX"/>
        </w:rPr>
        <w:t>recibidas</w:t>
      </w:r>
      <w:r>
        <w:rPr>
          <w:lang w:val="es-MX"/>
        </w:rPr>
        <w:t>.</w:t>
      </w:r>
    </w:p>
    <w:p w14:paraId="53534614" w14:textId="77777777" w:rsidR="00682E20" w:rsidRPr="006B160F" w:rsidRDefault="00682E20" w:rsidP="00682E20">
      <w:pPr>
        <w:pStyle w:val="Textoindependiente"/>
        <w:rPr>
          <w:sz w:val="24"/>
          <w:lang w:val="es-MX"/>
        </w:rPr>
      </w:pPr>
    </w:p>
    <w:p w14:paraId="3CB4515F" w14:textId="723E4D3F" w:rsidR="00682E20" w:rsidRPr="006B160F" w:rsidRDefault="003901FC" w:rsidP="00682E20">
      <w:pPr>
        <w:pStyle w:val="Ttulo1"/>
        <w:numPr>
          <w:ilvl w:val="0"/>
          <w:numId w:val="1"/>
        </w:numPr>
        <w:tabs>
          <w:tab w:val="left" w:pos="1530"/>
          <w:tab w:val="left" w:pos="1531"/>
        </w:tabs>
        <w:spacing w:before="158"/>
        <w:jc w:val="left"/>
        <w:rPr>
          <w:lang w:val="es-MX"/>
        </w:rPr>
      </w:pPr>
      <w:bookmarkStart w:id="1" w:name="I._COMENTARIOS_GENERALES"/>
      <w:bookmarkEnd w:id="1"/>
      <w:r>
        <w:rPr>
          <w:spacing w:val="-1"/>
          <w:lang w:val="es-MX"/>
        </w:rPr>
        <w:t>Antecedentes</w:t>
      </w:r>
    </w:p>
    <w:p w14:paraId="6CA276C3" w14:textId="77777777" w:rsidR="00682E20" w:rsidRPr="006B160F" w:rsidRDefault="00682E20" w:rsidP="00682E20">
      <w:pPr>
        <w:pStyle w:val="Textoindependiente"/>
        <w:spacing w:before="7"/>
        <w:rPr>
          <w:b/>
          <w:sz w:val="20"/>
          <w:lang w:val="es-MX"/>
        </w:rPr>
      </w:pPr>
    </w:p>
    <w:p w14:paraId="2FB2FB18" w14:textId="77777777" w:rsidR="00682E20" w:rsidRPr="006B160F" w:rsidRDefault="00682E20" w:rsidP="00682E20">
      <w:pPr>
        <w:ind w:left="810"/>
        <w:rPr>
          <w:i/>
          <w:lang w:val="es-MX"/>
        </w:rPr>
      </w:pPr>
      <w:bookmarkStart w:id="2" w:name="Resumen_de_comentarios_generales_a_la_Co"/>
      <w:bookmarkEnd w:id="2"/>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3"/>
          <w:u w:val="single"/>
          <w:lang w:val="es-MX"/>
        </w:rPr>
        <w:t xml:space="preserve"> </w:t>
      </w:r>
      <w:r w:rsidRPr="006B160F">
        <w:rPr>
          <w:i/>
          <w:u w:val="single"/>
          <w:lang w:val="es-MX"/>
        </w:rPr>
        <w:t>comentarios</w:t>
      </w:r>
      <w:r w:rsidRPr="006B160F">
        <w:rPr>
          <w:i/>
          <w:spacing w:val="-1"/>
          <w:u w:val="single"/>
          <w:lang w:val="es-MX"/>
        </w:rPr>
        <w:t xml:space="preserve"> </w:t>
      </w:r>
      <w:r w:rsidRPr="006B160F">
        <w:rPr>
          <w:i/>
          <w:u w:val="single"/>
          <w:lang w:val="es-MX"/>
        </w:rPr>
        <w:t>a</w:t>
      </w:r>
      <w:r w:rsidRPr="006B160F">
        <w:rPr>
          <w:i/>
          <w:spacing w:val="-2"/>
          <w:u w:val="single"/>
          <w:lang w:val="es-MX"/>
        </w:rPr>
        <w:t xml:space="preserve"> </w:t>
      </w:r>
      <w:r w:rsidRPr="006B160F">
        <w:rPr>
          <w:i/>
          <w:u w:val="single"/>
          <w:lang w:val="es-MX"/>
        </w:rPr>
        <w:t>la</w:t>
      </w:r>
      <w:r w:rsidRPr="006B160F">
        <w:rPr>
          <w:i/>
          <w:spacing w:val="-3"/>
          <w:u w:val="single"/>
          <w:lang w:val="es-MX"/>
        </w:rPr>
        <w:t xml:space="preserve"> </w:t>
      </w:r>
      <w:r>
        <w:rPr>
          <w:i/>
          <w:u w:val="single"/>
          <w:lang w:val="es-MX"/>
        </w:rPr>
        <w:t>Consulta Pública</w:t>
      </w:r>
    </w:p>
    <w:p w14:paraId="0057A310" w14:textId="77777777" w:rsidR="00682E20" w:rsidRPr="006B160F" w:rsidRDefault="00682E20" w:rsidP="00682E20">
      <w:pPr>
        <w:pStyle w:val="Textoindependiente"/>
        <w:spacing w:before="7"/>
        <w:rPr>
          <w:i/>
          <w:sz w:val="18"/>
          <w:lang w:val="es-MX"/>
        </w:rPr>
      </w:pPr>
    </w:p>
    <w:p w14:paraId="3D173A09" w14:textId="6C5C1239" w:rsidR="00682E20" w:rsidRPr="006B160F" w:rsidRDefault="00255ACF" w:rsidP="00E07175">
      <w:pPr>
        <w:pStyle w:val="Textoindependiente"/>
        <w:spacing w:before="93" w:line="302" w:lineRule="auto"/>
        <w:ind w:left="810" w:right="817"/>
        <w:jc w:val="both"/>
        <w:rPr>
          <w:lang w:val="es-MX"/>
        </w:rPr>
      </w:pPr>
      <w:r>
        <w:rPr>
          <w:lang w:val="es-MX"/>
        </w:rPr>
        <w:t>La</w:t>
      </w:r>
      <w:r w:rsidR="00790E1D">
        <w:rPr>
          <w:lang w:val="es-MX"/>
        </w:rPr>
        <w:t xml:space="preserve"> </w:t>
      </w:r>
      <w:r w:rsidR="001C34A1">
        <w:rPr>
          <w:lang w:val="es-MX"/>
        </w:rPr>
        <w:t xml:space="preserve">CANIETI y Megacable </w:t>
      </w:r>
      <w:r w:rsidR="003901FC">
        <w:rPr>
          <w:lang w:val="es-MX"/>
        </w:rPr>
        <w:t xml:space="preserve">consideran </w:t>
      </w:r>
      <w:r w:rsidR="003901FC" w:rsidRPr="003901FC">
        <w:rPr>
          <w:lang w:val="es-MX"/>
        </w:rPr>
        <w:t>que</w:t>
      </w:r>
      <w:r w:rsidR="0059610C">
        <w:rPr>
          <w:lang w:val="es-MX"/>
        </w:rPr>
        <w:t xml:space="preserve"> en el documento metodológico</w:t>
      </w:r>
      <w:r w:rsidR="003901FC" w:rsidRPr="003901FC">
        <w:rPr>
          <w:lang w:val="es-MX"/>
        </w:rPr>
        <w:t xml:space="preserve"> no se aclaran las diferencias y similitudes respecto a los </w:t>
      </w:r>
      <w:r w:rsidR="00851798">
        <w:rPr>
          <w:lang w:val="es-MX"/>
        </w:rPr>
        <w:t>MCE</w:t>
      </w:r>
      <w:r w:rsidR="003901FC" w:rsidRPr="003901FC">
        <w:rPr>
          <w:lang w:val="es-MX"/>
        </w:rPr>
        <w:t xml:space="preserve"> anteriores</w:t>
      </w:r>
      <w:r w:rsidR="00790E1D">
        <w:rPr>
          <w:lang w:val="es-MX"/>
        </w:rPr>
        <w:t>, en particular con el que fue objeto de consulta pública en 2020</w:t>
      </w:r>
      <w:r w:rsidR="003901FC" w:rsidRPr="003901FC">
        <w:rPr>
          <w:lang w:val="es-MX"/>
        </w:rPr>
        <w:t>.</w:t>
      </w:r>
    </w:p>
    <w:p w14:paraId="6CEE6DD5" w14:textId="77777777" w:rsidR="00682E20" w:rsidRPr="00E23F6F" w:rsidRDefault="00682E20" w:rsidP="00682E20">
      <w:pPr>
        <w:pStyle w:val="Textoindependiente"/>
        <w:spacing w:before="93" w:line="302" w:lineRule="auto"/>
        <w:ind w:left="810" w:right="817"/>
        <w:jc w:val="both"/>
        <w:rPr>
          <w:i/>
          <w:u w:val="single"/>
          <w:lang w:val="es-MX"/>
        </w:rPr>
      </w:pPr>
      <w:r w:rsidRPr="00E23F6F">
        <w:rPr>
          <w:i/>
          <w:u w:val="single"/>
          <w:lang w:val="es-MX"/>
        </w:rPr>
        <w:t>Respuesta</w:t>
      </w:r>
      <w:r w:rsidRPr="00E23F6F">
        <w:rPr>
          <w:i/>
          <w:spacing w:val="-4"/>
          <w:u w:val="single"/>
          <w:lang w:val="es-MX"/>
        </w:rPr>
        <w:t xml:space="preserve"> </w:t>
      </w:r>
      <w:r w:rsidRPr="00E23F6F">
        <w:rPr>
          <w:i/>
          <w:u w:val="single"/>
          <w:lang w:val="es-MX"/>
        </w:rPr>
        <w:t>de</w:t>
      </w:r>
      <w:r>
        <w:rPr>
          <w:i/>
          <w:u w:val="single"/>
          <w:lang w:val="es-MX"/>
        </w:rPr>
        <w:t xml:space="preserve"> la UPR</w:t>
      </w:r>
    </w:p>
    <w:p w14:paraId="77569561" w14:textId="69B77C39" w:rsidR="00690F8C" w:rsidRDefault="00851798" w:rsidP="00682E20">
      <w:pPr>
        <w:pStyle w:val="Textoindependiente"/>
        <w:spacing w:before="93" w:line="302" w:lineRule="auto"/>
        <w:ind w:left="810" w:right="817"/>
        <w:jc w:val="both"/>
        <w:rPr>
          <w:lang w:val="es-MX"/>
        </w:rPr>
      </w:pPr>
      <w:r>
        <w:rPr>
          <w:lang w:val="es-MX"/>
        </w:rPr>
        <w:t xml:space="preserve">Por lo que hace </w:t>
      </w:r>
      <w:r w:rsidR="001A5719">
        <w:rPr>
          <w:lang w:val="es-MX"/>
        </w:rPr>
        <w:t>al comentario</w:t>
      </w:r>
      <w:r>
        <w:rPr>
          <w:lang w:val="es-MX"/>
        </w:rPr>
        <w:t xml:space="preserve"> anterior, </w:t>
      </w:r>
      <w:r w:rsidR="00E07175">
        <w:rPr>
          <w:lang w:val="es-MX"/>
        </w:rPr>
        <w:t xml:space="preserve">el </w:t>
      </w:r>
      <w:r>
        <w:rPr>
          <w:lang w:val="es-MX"/>
        </w:rPr>
        <w:t>MCE</w:t>
      </w:r>
      <w:r w:rsidR="00E07175">
        <w:rPr>
          <w:lang w:val="es-MX"/>
        </w:rPr>
        <w:t xml:space="preserve"> sometido a consulta pública guarda </w:t>
      </w:r>
      <w:r w:rsidR="00E07175">
        <w:rPr>
          <w:lang w:val="es-MX"/>
        </w:rPr>
        <w:lastRenderedPageBreak/>
        <w:t xml:space="preserve">consistencia metodológica con lo dispuesto en el Acuerdo </w:t>
      </w:r>
      <w:r w:rsidR="001D552E" w:rsidRPr="001D552E">
        <w:rPr>
          <w:lang w:val="es-MX"/>
        </w:rPr>
        <w:t>P/IFT/EXT/111218/24</w:t>
      </w:r>
      <w:r w:rsidR="00E32292">
        <w:rPr>
          <w:rStyle w:val="Refdenotaalpie"/>
          <w:lang w:val="es-MX"/>
        </w:rPr>
        <w:footnoteReference w:id="2"/>
      </w:r>
      <w:r w:rsidR="003B6567">
        <w:rPr>
          <w:lang w:val="es-MX"/>
        </w:rPr>
        <w:t>.</w:t>
      </w:r>
      <w:r w:rsidR="00C52A7B">
        <w:rPr>
          <w:lang w:val="es-MX"/>
        </w:rPr>
        <w:t xml:space="preserve"> </w:t>
      </w:r>
      <w:r w:rsidR="00644DE1">
        <w:rPr>
          <w:lang w:val="es-MX"/>
        </w:rPr>
        <w:t xml:space="preserve">Bajo este enfoque, </w:t>
      </w:r>
      <w:r w:rsidR="005D0AC9">
        <w:rPr>
          <w:lang w:val="es-MX"/>
        </w:rPr>
        <w:t xml:space="preserve">la presente Consulta Pública </w:t>
      </w:r>
      <w:r w:rsidR="00644DE1">
        <w:rPr>
          <w:lang w:val="es-MX"/>
        </w:rPr>
        <w:t xml:space="preserve">presenta </w:t>
      </w:r>
      <w:r w:rsidR="009932C8">
        <w:rPr>
          <w:lang w:val="es-MX"/>
        </w:rPr>
        <w:t>l</w:t>
      </w:r>
      <w:r w:rsidR="003B6567">
        <w:rPr>
          <w:lang w:val="es-MX"/>
        </w:rPr>
        <w:t xml:space="preserve">os principales cambios y </w:t>
      </w:r>
      <w:r w:rsidR="00341BE5">
        <w:rPr>
          <w:lang w:val="es-MX"/>
        </w:rPr>
        <w:t>ajustes</w:t>
      </w:r>
      <w:r w:rsidR="003B6567">
        <w:rPr>
          <w:lang w:val="es-MX"/>
        </w:rPr>
        <w:t xml:space="preserve"> </w:t>
      </w:r>
      <w:r w:rsidR="00644DE1">
        <w:rPr>
          <w:lang w:val="es-MX"/>
        </w:rPr>
        <w:t>que derivan de la actualización de</w:t>
      </w:r>
      <w:r w:rsidR="0044575D">
        <w:rPr>
          <w:lang w:val="es-MX"/>
        </w:rPr>
        <w:t xml:space="preserve"> </w:t>
      </w:r>
      <w:r w:rsidR="003B6567">
        <w:rPr>
          <w:lang w:val="es-MX"/>
        </w:rPr>
        <w:t xml:space="preserve">planes y paquetes </w:t>
      </w:r>
      <w:r w:rsidR="00341BE5">
        <w:rPr>
          <w:lang w:val="es-MX"/>
        </w:rPr>
        <w:t>ofrecidos a nivel minorista por parte de</w:t>
      </w:r>
      <w:r w:rsidR="003B6567">
        <w:rPr>
          <w:lang w:val="es-MX"/>
        </w:rPr>
        <w:t xml:space="preserve"> </w:t>
      </w:r>
      <w:r w:rsidR="00341BE5">
        <w:rPr>
          <w:lang w:val="es-MX"/>
        </w:rPr>
        <w:t>Teléfonos de México, S.A.B. de C.V. y Teléfonos del Noroeste, S.A. de C.V. (en lo sucesivo, de manera conjunta, “AEP”)</w:t>
      </w:r>
      <w:r w:rsidR="00690F8C">
        <w:rPr>
          <w:lang w:val="es-MX"/>
        </w:rPr>
        <w:t>,</w:t>
      </w:r>
      <w:r w:rsidR="00644DE1">
        <w:rPr>
          <w:lang w:val="es-MX"/>
        </w:rPr>
        <w:t xml:space="preserve"> </w:t>
      </w:r>
      <w:r w:rsidR="00690F8C">
        <w:rPr>
          <w:lang w:val="es-MX"/>
        </w:rPr>
        <w:t>entre</w:t>
      </w:r>
      <w:r w:rsidR="00A97F93">
        <w:rPr>
          <w:lang w:val="es-MX"/>
        </w:rPr>
        <w:t xml:space="preserve"> </w:t>
      </w:r>
      <w:r w:rsidR="00690F8C">
        <w:rPr>
          <w:lang w:val="es-MX"/>
        </w:rPr>
        <w:t>algunas</w:t>
      </w:r>
      <w:r w:rsidR="00A97F93">
        <w:rPr>
          <w:lang w:val="es-MX"/>
        </w:rPr>
        <w:t xml:space="preserve"> promociones</w:t>
      </w:r>
      <w:r w:rsidR="00690F8C">
        <w:rPr>
          <w:lang w:val="es-MX"/>
        </w:rPr>
        <w:t xml:space="preserve"> </w:t>
      </w:r>
      <w:r w:rsidR="00F44F8C">
        <w:rPr>
          <w:lang w:val="es-MX"/>
        </w:rPr>
        <w:t>para</w:t>
      </w:r>
      <w:r w:rsidR="00644DE1">
        <w:rPr>
          <w:lang w:val="es-MX"/>
        </w:rPr>
        <w:t xml:space="preserve"> la comercialización minorist</w:t>
      </w:r>
      <w:r w:rsidR="00F44F8C">
        <w:rPr>
          <w:lang w:val="es-MX"/>
        </w:rPr>
        <w:t>a, cuyo</w:t>
      </w:r>
      <w:r w:rsidR="00690F8C">
        <w:rPr>
          <w:lang w:val="es-MX"/>
        </w:rPr>
        <w:t xml:space="preserve"> detalle </w:t>
      </w:r>
      <w:r w:rsidR="00F44F8C">
        <w:rPr>
          <w:lang w:val="es-MX"/>
        </w:rPr>
        <w:t xml:space="preserve">se menciona </w:t>
      </w:r>
      <w:r w:rsidR="00690F8C">
        <w:rPr>
          <w:lang w:val="es-MX"/>
        </w:rPr>
        <w:t>en el numeral “</w:t>
      </w:r>
      <w:r w:rsidR="00690F8C" w:rsidRPr="005D0AC9">
        <w:rPr>
          <w:i/>
          <w:lang w:val="es-MX"/>
        </w:rPr>
        <w:t>3. Metodología del Modelo de Costos Evitados</w:t>
      </w:r>
      <w:r w:rsidR="00690F8C">
        <w:rPr>
          <w:lang w:val="es-MX"/>
        </w:rPr>
        <w:t>”.</w:t>
      </w:r>
    </w:p>
    <w:p w14:paraId="7B6BB453" w14:textId="55AFCB88" w:rsidR="00362C90" w:rsidRDefault="00690F8C" w:rsidP="00682E20">
      <w:pPr>
        <w:pStyle w:val="Textoindependiente"/>
        <w:spacing w:before="93" w:line="302" w:lineRule="auto"/>
        <w:ind w:left="810" w:right="817"/>
        <w:jc w:val="both"/>
        <w:rPr>
          <w:lang w:val="es-MX"/>
        </w:rPr>
      </w:pPr>
      <w:r>
        <w:rPr>
          <w:lang w:val="es-MX"/>
        </w:rPr>
        <w:t>Particularmente se resaltan actualizaciones en el numeral “</w:t>
      </w:r>
      <w:r w:rsidRPr="00A86034">
        <w:rPr>
          <w:i/>
        </w:rPr>
        <w:t>3.4. Metodología para definir precios de referencia de los servicios de desagregación</w:t>
      </w:r>
      <w:r>
        <w:t>” y “</w:t>
      </w:r>
      <w:r w:rsidRPr="00A86034">
        <w:rPr>
          <w:i/>
        </w:rPr>
        <w:t>3.5. Enfoque de estimación del precio implícito de los elementos que integran la canasta de servicios de los planes y paquetes de TELMEX/TELNOR</w:t>
      </w:r>
      <w:r>
        <w:t>”</w:t>
      </w:r>
      <w:r w:rsidR="00644DE1">
        <w:rPr>
          <w:lang w:val="es-MX"/>
        </w:rPr>
        <w:t xml:space="preserve">. </w:t>
      </w:r>
      <w:r>
        <w:rPr>
          <w:lang w:val="es-MX"/>
        </w:rPr>
        <w:t>Se destaca también las actualizaciones a los insumos para la actualización de costos evitados en el numeral</w:t>
      </w:r>
      <w:r w:rsidR="00644DE1">
        <w:rPr>
          <w:lang w:val="es-MX"/>
        </w:rPr>
        <w:t xml:space="preserve"> “</w:t>
      </w:r>
      <w:r w:rsidR="00644DE1" w:rsidRPr="00A86034">
        <w:rPr>
          <w:i/>
        </w:rPr>
        <w:t>3.7. Definición de conceptos de costos evitados en los Servicios de Reventa</w:t>
      </w:r>
      <w:r w:rsidR="00644DE1">
        <w:t>”</w:t>
      </w:r>
      <w:r>
        <w:t>, así como los criterios de estimación seguido en el modelo en el numeral “</w:t>
      </w:r>
      <w:r w:rsidRPr="00A86034">
        <w:rPr>
          <w:i/>
        </w:rPr>
        <w:t>3.8. Integración de los costos evitados e ingresos en el porcentaje de descuento aplicable</w:t>
      </w:r>
      <w:r>
        <w:t>”</w:t>
      </w:r>
      <w:r w:rsidR="00386F3F">
        <w:rPr>
          <w:lang w:val="es-MX"/>
        </w:rPr>
        <w:t>.</w:t>
      </w:r>
    </w:p>
    <w:p w14:paraId="62CAAA45" w14:textId="13F31766" w:rsidR="00172C57" w:rsidRDefault="00172C57" w:rsidP="00682E20">
      <w:pPr>
        <w:pStyle w:val="Textoindependiente"/>
        <w:spacing w:before="93" w:line="302" w:lineRule="auto"/>
        <w:ind w:left="810" w:right="817"/>
        <w:jc w:val="both"/>
        <w:rPr>
          <w:lang w:val="es-MX"/>
        </w:rPr>
      </w:pPr>
    </w:p>
    <w:p w14:paraId="6FD560F8" w14:textId="064173C3" w:rsidR="00172C57" w:rsidRPr="00172C57" w:rsidRDefault="00172C57" w:rsidP="00172C57">
      <w:pPr>
        <w:pStyle w:val="Ttulo1"/>
        <w:numPr>
          <w:ilvl w:val="0"/>
          <w:numId w:val="1"/>
        </w:numPr>
        <w:tabs>
          <w:tab w:val="left" w:pos="1530"/>
          <w:tab w:val="left" w:pos="1531"/>
        </w:tabs>
        <w:spacing w:before="158"/>
        <w:jc w:val="left"/>
        <w:rPr>
          <w:spacing w:val="-1"/>
          <w:lang w:val="es-MX"/>
        </w:rPr>
      </w:pPr>
      <w:r w:rsidRPr="00172C57">
        <w:rPr>
          <w:spacing w:val="-1"/>
          <w:lang w:val="es-MX"/>
        </w:rPr>
        <w:t>Metodología de costos evitados</w:t>
      </w:r>
    </w:p>
    <w:p w14:paraId="5E9D0256" w14:textId="77777777" w:rsidR="00682E20" w:rsidRPr="006B160F" w:rsidRDefault="00682E20" w:rsidP="00682E20">
      <w:pPr>
        <w:spacing w:line="276" w:lineRule="auto"/>
        <w:jc w:val="both"/>
        <w:rPr>
          <w:lang w:val="es-MX"/>
        </w:rPr>
      </w:pPr>
    </w:p>
    <w:p w14:paraId="486F798E" w14:textId="77777777" w:rsidR="00682E20" w:rsidRPr="006B160F" w:rsidRDefault="00682E20" w:rsidP="00682E20">
      <w:pPr>
        <w:ind w:left="810"/>
        <w:rPr>
          <w:i/>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3"/>
          <w:u w:val="single"/>
          <w:lang w:val="es-MX"/>
        </w:rPr>
        <w:t xml:space="preserve"> </w:t>
      </w:r>
      <w:r w:rsidRPr="006B160F">
        <w:rPr>
          <w:i/>
          <w:u w:val="single"/>
          <w:lang w:val="es-MX"/>
        </w:rPr>
        <w:t>comentarios</w:t>
      </w:r>
      <w:r w:rsidRPr="006B160F">
        <w:rPr>
          <w:i/>
          <w:spacing w:val="-1"/>
          <w:u w:val="single"/>
          <w:lang w:val="es-MX"/>
        </w:rPr>
        <w:t xml:space="preserve"> </w:t>
      </w:r>
      <w:r w:rsidRPr="006B160F">
        <w:rPr>
          <w:i/>
          <w:u w:val="single"/>
          <w:lang w:val="es-MX"/>
        </w:rPr>
        <w:t>a</w:t>
      </w:r>
      <w:r w:rsidRPr="006B160F">
        <w:rPr>
          <w:i/>
          <w:spacing w:val="-2"/>
          <w:u w:val="single"/>
          <w:lang w:val="es-MX"/>
        </w:rPr>
        <w:t xml:space="preserve"> </w:t>
      </w:r>
      <w:r w:rsidRPr="006B160F">
        <w:rPr>
          <w:i/>
          <w:u w:val="single"/>
          <w:lang w:val="es-MX"/>
        </w:rPr>
        <w:t>la</w:t>
      </w:r>
      <w:r w:rsidRPr="006B160F">
        <w:rPr>
          <w:i/>
          <w:spacing w:val="-3"/>
          <w:u w:val="single"/>
          <w:lang w:val="es-MX"/>
        </w:rPr>
        <w:t xml:space="preserve"> </w:t>
      </w:r>
      <w:r>
        <w:rPr>
          <w:i/>
          <w:u w:val="single"/>
          <w:lang w:val="es-MX"/>
        </w:rPr>
        <w:t>Consulta Pública</w:t>
      </w:r>
    </w:p>
    <w:p w14:paraId="77970E08" w14:textId="77777777" w:rsidR="00682E20" w:rsidRPr="006B160F" w:rsidRDefault="00682E20" w:rsidP="00682E20">
      <w:pPr>
        <w:pStyle w:val="Textoindependiente"/>
        <w:spacing w:before="7"/>
        <w:rPr>
          <w:i/>
          <w:sz w:val="18"/>
          <w:lang w:val="es-MX"/>
        </w:rPr>
      </w:pPr>
    </w:p>
    <w:p w14:paraId="5C1F7CD6" w14:textId="113590AC" w:rsidR="00682E20" w:rsidRPr="00E23F6F" w:rsidRDefault="001C297C" w:rsidP="00682E20">
      <w:pPr>
        <w:pStyle w:val="Textoindependiente"/>
        <w:spacing w:before="93" w:line="302" w:lineRule="auto"/>
        <w:ind w:left="810" w:right="817"/>
        <w:jc w:val="both"/>
        <w:rPr>
          <w:lang w:val="es-MX"/>
        </w:rPr>
      </w:pPr>
      <w:r>
        <w:rPr>
          <w:lang w:val="es-MX"/>
        </w:rPr>
        <w:t xml:space="preserve">La </w:t>
      </w:r>
      <w:r w:rsidR="001C34A1">
        <w:rPr>
          <w:lang w:val="es-MX"/>
        </w:rPr>
        <w:t>CANIETI y Megacable</w:t>
      </w:r>
      <w:r w:rsidR="00E953C0">
        <w:rPr>
          <w:lang w:val="es-MX"/>
        </w:rPr>
        <w:t xml:space="preserve"> </w:t>
      </w:r>
      <w:r w:rsidR="0059610C">
        <w:rPr>
          <w:lang w:val="es-MX"/>
        </w:rPr>
        <w:t>mencionan que el documento metodológico no cuenta con suficiente información sobre supuestos y fuentes de información utilizadas.</w:t>
      </w:r>
      <w:r w:rsidR="0089078B">
        <w:rPr>
          <w:lang w:val="es-MX"/>
        </w:rPr>
        <w:t xml:space="preserve"> Además, señalan que el documento no</w:t>
      </w:r>
      <w:r w:rsidR="00354532">
        <w:rPr>
          <w:lang w:val="es-MX"/>
        </w:rPr>
        <w:t xml:space="preserve"> detalla la manera en que se calcularon los supuestos utilizados para los costos evitados de equipos terminales y otros cálculos “auxiliares</w:t>
      </w:r>
      <w:r w:rsidR="0089078B">
        <w:rPr>
          <w:lang w:val="es-MX"/>
        </w:rPr>
        <w:t>”</w:t>
      </w:r>
      <w:r w:rsidR="00354532">
        <w:rPr>
          <w:lang w:val="es-MX"/>
        </w:rPr>
        <w:t xml:space="preserve"> del modelo.</w:t>
      </w:r>
      <w:r w:rsidR="00585AE1">
        <w:rPr>
          <w:lang w:val="es-MX"/>
        </w:rPr>
        <w:t xml:space="preserve"> </w:t>
      </w:r>
      <w:r w:rsidR="00354532">
        <w:rPr>
          <w:lang w:val="es-MX"/>
        </w:rPr>
        <w:t xml:space="preserve">Por lo que </w:t>
      </w:r>
      <w:r w:rsidR="00E953C0">
        <w:rPr>
          <w:lang w:val="es-MX"/>
        </w:rPr>
        <w:t>s</w:t>
      </w:r>
      <w:r w:rsidR="00E953C0" w:rsidRPr="00E953C0">
        <w:rPr>
          <w:lang w:val="es-MX"/>
        </w:rPr>
        <w:t>olicitan incluir información y una explicación de la frecuencia y antigüedad de la información proporcionada por el AEP, así como de las medidas que seguirá el Instituto para auditar y verificar la veracidad, representatividad y confiabilidad de dicha información.</w:t>
      </w:r>
      <w:r w:rsidR="00543B79">
        <w:rPr>
          <w:lang w:val="es-MX"/>
        </w:rPr>
        <w:t xml:space="preserve"> </w:t>
      </w:r>
    </w:p>
    <w:p w14:paraId="3F04F303" w14:textId="77777777" w:rsidR="00682E20" w:rsidRPr="005F4990" w:rsidRDefault="00682E20" w:rsidP="00682E20">
      <w:pPr>
        <w:spacing w:before="53"/>
        <w:ind w:left="810"/>
        <w:jc w:val="both"/>
        <w:rPr>
          <w:lang w:val="es-MX"/>
        </w:rPr>
      </w:pPr>
    </w:p>
    <w:p w14:paraId="3BEB88B1" w14:textId="77777777" w:rsidR="00682E20" w:rsidRPr="00E23F6F" w:rsidRDefault="00682E20" w:rsidP="00682E20">
      <w:pPr>
        <w:spacing w:before="53"/>
        <w:ind w:left="810"/>
        <w:jc w:val="both"/>
        <w:rPr>
          <w:i/>
          <w:u w:val="single"/>
          <w:lang w:val="es-MX"/>
        </w:rPr>
      </w:pPr>
      <w:r w:rsidRPr="00E23F6F">
        <w:rPr>
          <w:i/>
          <w:u w:val="single"/>
          <w:lang w:val="es-MX"/>
        </w:rPr>
        <w:t>Respuesta</w:t>
      </w:r>
      <w:r w:rsidRPr="00E23F6F">
        <w:rPr>
          <w:i/>
          <w:spacing w:val="-4"/>
          <w:u w:val="single"/>
          <w:lang w:val="es-MX"/>
        </w:rPr>
        <w:t xml:space="preserve"> </w:t>
      </w:r>
      <w:r w:rsidRPr="00E23F6F">
        <w:rPr>
          <w:i/>
          <w:u w:val="single"/>
          <w:lang w:val="es-MX"/>
        </w:rPr>
        <w:t>de</w:t>
      </w:r>
      <w:r>
        <w:rPr>
          <w:i/>
          <w:u w:val="single"/>
          <w:lang w:val="es-MX"/>
        </w:rPr>
        <w:t xml:space="preserve"> la UPR</w:t>
      </w:r>
    </w:p>
    <w:p w14:paraId="55E7B688" w14:textId="77777777" w:rsidR="00682E20" w:rsidRPr="006B160F" w:rsidRDefault="00682E20" w:rsidP="00682E20">
      <w:pPr>
        <w:spacing w:before="53"/>
        <w:ind w:left="810"/>
        <w:jc w:val="both"/>
        <w:rPr>
          <w:i/>
          <w:lang w:val="es-MX"/>
        </w:rPr>
      </w:pPr>
    </w:p>
    <w:p w14:paraId="0E9181E7" w14:textId="72E99391" w:rsidR="00A0295F" w:rsidRDefault="00FB2BED" w:rsidP="00682E20">
      <w:pPr>
        <w:pStyle w:val="Textoindependiente"/>
        <w:spacing w:before="93" w:line="302" w:lineRule="auto"/>
        <w:ind w:left="810" w:right="817"/>
        <w:jc w:val="both"/>
        <w:rPr>
          <w:lang w:val="es-MX"/>
        </w:rPr>
      </w:pPr>
      <w:r>
        <w:rPr>
          <w:lang w:val="es-MX"/>
        </w:rPr>
        <w:t xml:space="preserve">Respecto a </w:t>
      </w:r>
      <w:r w:rsidR="00A15E0F">
        <w:rPr>
          <w:lang w:val="es-MX"/>
        </w:rPr>
        <w:t xml:space="preserve">que </w:t>
      </w:r>
      <w:r w:rsidR="00A15E0F" w:rsidRPr="00F67ECC">
        <w:rPr>
          <w:lang w:val="es-MX"/>
        </w:rPr>
        <w:t>el documento metodológico no cuenta con suficiente información sobre supuestos y fuentes de información utilizadas</w:t>
      </w:r>
      <w:r>
        <w:rPr>
          <w:lang w:val="es-MX"/>
        </w:rPr>
        <w:t>, l</w:t>
      </w:r>
      <w:r w:rsidR="00E953C0" w:rsidRPr="00E953C0">
        <w:rPr>
          <w:lang w:val="es-MX"/>
        </w:rPr>
        <w:t>a UPR</w:t>
      </w:r>
      <w:r w:rsidR="00184388">
        <w:rPr>
          <w:lang w:val="es-MX"/>
        </w:rPr>
        <w:t xml:space="preserve"> </w:t>
      </w:r>
      <w:r w:rsidR="00FE636B">
        <w:rPr>
          <w:lang w:val="es-MX"/>
        </w:rPr>
        <w:t xml:space="preserve">hizo </w:t>
      </w:r>
      <w:r w:rsidR="001317FD">
        <w:rPr>
          <w:lang w:val="es-MX"/>
        </w:rPr>
        <w:t>una revisión de l</w:t>
      </w:r>
      <w:r w:rsidR="00A0295F">
        <w:rPr>
          <w:lang w:val="es-MX"/>
        </w:rPr>
        <w:t>os supuestos y</w:t>
      </w:r>
      <w:r w:rsidR="001317FD">
        <w:rPr>
          <w:lang w:val="es-MX"/>
        </w:rPr>
        <w:t xml:space="preserve"> fuentes a efecto de que ofrezca mayor claridad sobre </w:t>
      </w:r>
      <w:r w:rsidR="00A0295F">
        <w:rPr>
          <w:lang w:val="es-MX"/>
        </w:rPr>
        <w:t xml:space="preserve">la utilización </w:t>
      </w:r>
      <w:r w:rsidR="00FE636B">
        <w:rPr>
          <w:lang w:val="es-MX"/>
        </w:rPr>
        <w:t>los datos</w:t>
      </w:r>
      <w:r w:rsidR="004C0AC3">
        <w:rPr>
          <w:rStyle w:val="Refdenotaalpie"/>
          <w:lang w:val="es-MX"/>
        </w:rPr>
        <w:footnoteReference w:id="3"/>
      </w:r>
      <w:r w:rsidR="001317FD">
        <w:rPr>
          <w:lang w:val="es-MX"/>
        </w:rPr>
        <w:t xml:space="preserve"> </w:t>
      </w:r>
      <w:r w:rsidR="00A0295F" w:rsidRPr="00330782">
        <w:rPr>
          <w:lang w:val="es-MX"/>
        </w:rPr>
        <w:t>y que se encuentren acordes con aquellos</w:t>
      </w:r>
      <w:r w:rsidR="00EE67E2" w:rsidRPr="00330782">
        <w:rPr>
          <w:lang w:val="es-MX"/>
        </w:rPr>
        <w:t xml:space="preserve"> estrictamente relacionados</w:t>
      </w:r>
      <w:r w:rsidR="00A0295F" w:rsidRPr="00330782">
        <w:rPr>
          <w:lang w:val="es-MX"/>
        </w:rPr>
        <w:t xml:space="preserve"> para proveer los servicios </w:t>
      </w:r>
      <w:r w:rsidR="00A0295F" w:rsidRPr="00330782">
        <w:rPr>
          <w:lang w:val="es-MX"/>
        </w:rPr>
        <w:lastRenderedPageBreak/>
        <w:t>mayoristas</w:t>
      </w:r>
      <w:r w:rsidR="00F1479F" w:rsidRPr="00B31D00">
        <w:rPr>
          <w:lang w:val="es-MX"/>
        </w:rPr>
        <w:t>.</w:t>
      </w:r>
      <w:r w:rsidR="00F1479F">
        <w:rPr>
          <w:lang w:val="es-MX"/>
        </w:rPr>
        <w:t xml:space="preserve"> </w:t>
      </w:r>
    </w:p>
    <w:p w14:paraId="1F1B62F3" w14:textId="630EFC20" w:rsidR="00B33E28" w:rsidRDefault="005D0AC9" w:rsidP="00682E20">
      <w:pPr>
        <w:pStyle w:val="Textoindependiente"/>
        <w:spacing w:before="93" w:line="302" w:lineRule="auto"/>
        <w:ind w:left="810" w:right="817"/>
        <w:jc w:val="both"/>
        <w:rPr>
          <w:lang w:val="es-MX"/>
        </w:rPr>
      </w:pPr>
      <w:r>
        <w:rPr>
          <w:lang w:val="es-MX"/>
        </w:rPr>
        <w:t>En este caso, respecto de</w:t>
      </w:r>
      <w:r w:rsidR="002B1E4E">
        <w:rPr>
          <w:lang w:val="es-MX"/>
        </w:rPr>
        <w:t xml:space="preserve"> los costos evitados por equipos terminales y otros cálculos auxiliares del modelo, </w:t>
      </w:r>
      <w:r w:rsidR="00020ABC">
        <w:rPr>
          <w:lang w:val="es-MX"/>
        </w:rPr>
        <w:t>éstos</w:t>
      </w:r>
      <w:r w:rsidR="002B1E4E">
        <w:rPr>
          <w:lang w:val="es-MX"/>
        </w:rPr>
        <w:t xml:space="preserve"> se basan en principios metodológicos </w:t>
      </w:r>
      <w:r w:rsidR="00892DA2">
        <w:rPr>
          <w:lang w:val="es-MX"/>
        </w:rPr>
        <w:t>considerados en</w:t>
      </w:r>
      <w:r w:rsidR="002B1E4E">
        <w:rPr>
          <w:lang w:val="es-MX"/>
        </w:rPr>
        <w:t xml:space="preserve"> la </w:t>
      </w:r>
      <w:r w:rsidR="00FE636B">
        <w:rPr>
          <w:lang w:val="es-MX"/>
        </w:rPr>
        <w:t>oferta de referencia autorizada para</w:t>
      </w:r>
      <w:r w:rsidR="006A53F8">
        <w:rPr>
          <w:lang w:val="es-MX"/>
        </w:rPr>
        <w:t xml:space="preserve"> 2022</w:t>
      </w:r>
      <w:r w:rsidR="002B1E4E">
        <w:rPr>
          <w:rStyle w:val="Refdenotaalpie"/>
          <w:lang w:val="es-MX"/>
        </w:rPr>
        <w:footnoteReference w:id="4"/>
      </w:r>
      <w:r w:rsidR="002B1E4E">
        <w:rPr>
          <w:lang w:val="es-MX"/>
        </w:rPr>
        <w:t xml:space="preserve">, </w:t>
      </w:r>
      <w:r w:rsidR="007F7482">
        <w:rPr>
          <w:lang w:val="es-MX"/>
        </w:rPr>
        <w:t>numerales “7.3 Servicios Auxiliares” y “7.4 OTROS SERVICIOS”</w:t>
      </w:r>
      <w:r w:rsidR="00020ABC">
        <w:rPr>
          <w:lang w:val="es-MX"/>
        </w:rPr>
        <w:t xml:space="preserve">, los cuales no fueron sujetos de revisión en la presente </w:t>
      </w:r>
      <w:r w:rsidR="00A37EBF">
        <w:rPr>
          <w:lang w:val="es-MX"/>
        </w:rPr>
        <w:t>C</w:t>
      </w:r>
      <w:r w:rsidR="00020ABC">
        <w:rPr>
          <w:lang w:val="es-MX"/>
        </w:rPr>
        <w:t xml:space="preserve">onsulta </w:t>
      </w:r>
      <w:r w:rsidR="00A37EBF">
        <w:rPr>
          <w:lang w:val="es-MX"/>
        </w:rPr>
        <w:t>P</w:t>
      </w:r>
      <w:r w:rsidR="00020ABC">
        <w:rPr>
          <w:lang w:val="es-MX"/>
        </w:rPr>
        <w:t>ública</w:t>
      </w:r>
      <w:r w:rsidR="007F7482">
        <w:rPr>
          <w:lang w:val="es-MX"/>
        </w:rPr>
        <w:t xml:space="preserve">. </w:t>
      </w:r>
      <w:r w:rsidR="00B33E28">
        <w:rPr>
          <w:lang w:val="es-MX"/>
        </w:rPr>
        <w:t xml:space="preserve"> </w:t>
      </w:r>
    </w:p>
    <w:p w14:paraId="6A2AE4AE" w14:textId="729FD4AD" w:rsidR="00330B7E" w:rsidRDefault="00B33E28" w:rsidP="00330782">
      <w:pPr>
        <w:pStyle w:val="Textoindependiente"/>
        <w:spacing w:before="93" w:line="302" w:lineRule="auto"/>
        <w:ind w:left="851" w:right="817"/>
        <w:jc w:val="both"/>
        <w:rPr>
          <w:lang w:val="es-MX"/>
        </w:rPr>
      </w:pPr>
      <w:r>
        <w:rPr>
          <w:lang w:val="es-MX"/>
        </w:rPr>
        <w:t xml:space="preserve">Asimismo, </w:t>
      </w:r>
      <w:r w:rsidR="00486498">
        <w:rPr>
          <w:lang w:val="es-MX"/>
        </w:rPr>
        <w:t>la UPR</w:t>
      </w:r>
      <w:r>
        <w:rPr>
          <w:lang w:val="es-MX"/>
        </w:rPr>
        <w:t xml:space="preserve"> destaca que este </w:t>
      </w:r>
      <w:r w:rsidR="00FE67FF">
        <w:rPr>
          <w:lang w:val="es-MX"/>
        </w:rPr>
        <w:t>MCE</w:t>
      </w:r>
      <w:r>
        <w:rPr>
          <w:lang w:val="es-MX"/>
        </w:rPr>
        <w:t xml:space="preserve"> </w:t>
      </w:r>
      <w:r w:rsidR="005547F3">
        <w:rPr>
          <w:lang w:val="es-MX"/>
        </w:rPr>
        <w:t xml:space="preserve">se actualiza con información cuyas fuentes se describen en el documento metodológico y el archivo de Excel. </w:t>
      </w:r>
      <w:r w:rsidR="00020ABC">
        <w:rPr>
          <w:lang w:val="es-MX"/>
        </w:rPr>
        <w:t xml:space="preserve">Es decir, </w:t>
      </w:r>
      <w:r w:rsidR="00892DA2">
        <w:rPr>
          <w:lang w:val="es-MX"/>
        </w:rPr>
        <w:t xml:space="preserve">se identifica de manera transparente que </w:t>
      </w:r>
      <w:r w:rsidR="00020ABC">
        <w:rPr>
          <w:lang w:val="es-MX"/>
        </w:rPr>
        <w:t>este</w:t>
      </w:r>
      <w:r w:rsidR="00C84B42">
        <w:rPr>
          <w:lang w:val="es-MX"/>
        </w:rPr>
        <w:t xml:space="preserve"> modelo </w:t>
      </w:r>
      <w:r w:rsidR="00291360">
        <w:rPr>
          <w:lang w:val="es-MX"/>
        </w:rPr>
        <w:t xml:space="preserve">considera para su actualización </w:t>
      </w:r>
      <w:r>
        <w:rPr>
          <w:lang w:val="es-MX"/>
        </w:rPr>
        <w:t>diversas fuentes autorizadas por el Instituto como la Separación Contable</w:t>
      </w:r>
      <w:r w:rsidR="00F23560">
        <w:rPr>
          <w:lang w:val="es-MX"/>
        </w:rPr>
        <w:t xml:space="preserve"> del AEP (en lo sucesivo, “Separación Contable”)</w:t>
      </w:r>
      <w:r w:rsidR="00291360">
        <w:rPr>
          <w:lang w:val="es-MX"/>
        </w:rPr>
        <w:t xml:space="preserve"> de 2019</w:t>
      </w:r>
      <w:r w:rsidR="00020ABC">
        <w:rPr>
          <w:lang w:val="es-MX"/>
        </w:rPr>
        <w:t xml:space="preserve"> a 2021</w:t>
      </w:r>
      <w:r w:rsidR="007F7482">
        <w:rPr>
          <w:lang w:val="es-MX"/>
        </w:rPr>
        <w:t xml:space="preserve">, </w:t>
      </w:r>
      <w:r w:rsidR="00243C9C">
        <w:rPr>
          <w:lang w:val="es-MX"/>
        </w:rPr>
        <w:t>información relacionada con la comercialización de los servicios minoristas ofrecidos por</w:t>
      </w:r>
      <w:r w:rsidR="00C84B42">
        <w:rPr>
          <w:lang w:val="es-MX"/>
        </w:rPr>
        <w:t xml:space="preserve"> el AEP</w:t>
      </w:r>
      <w:r w:rsidR="00020ABC">
        <w:rPr>
          <w:lang w:val="es-MX"/>
        </w:rPr>
        <w:t xml:space="preserve"> con fecha de corte a</w:t>
      </w:r>
      <w:r w:rsidR="00243C9C">
        <w:rPr>
          <w:lang w:val="es-MX"/>
        </w:rPr>
        <w:t xml:space="preserve"> junio de 2022</w:t>
      </w:r>
      <w:r w:rsidR="00C84B42">
        <w:rPr>
          <w:lang w:val="es-MX"/>
        </w:rPr>
        <w:t>, entre algunos dato</w:t>
      </w:r>
      <w:r w:rsidR="00243C9C">
        <w:rPr>
          <w:lang w:val="es-MX"/>
        </w:rPr>
        <w:t>s de mercado publicados por el Banco de Información de Telecomunicaciones</w:t>
      </w:r>
      <w:r w:rsidR="00F64C39">
        <w:rPr>
          <w:lang w:val="es-MX"/>
        </w:rPr>
        <w:t xml:space="preserve"> (en adelante, </w:t>
      </w:r>
      <w:r w:rsidR="0008386B">
        <w:rPr>
          <w:lang w:val="es-MX"/>
        </w:rPr>
        <w:t xml:space="preserve">el </w:t>
      </w:r>
      <w:r w:rsidR="00F64C39">
        <w:rPr>
          <w:lang w:val="es-MX"/>
        </w:rPr>
        <w:t>“BIT”)</w:t>
      </w:r>
      <w:r w:rsidR="00243C9C">
        <w:rPr>
          <w:lang w:val="es-MX"/>
        </w:rPr>
        <w:t xml:space="preserve"> al cuarto trimestre de 2021</w:t>
      </w:r>
      <w:r w:rsidR="00E953C0" w:rsidRPr="00E953C0">
        <w:rPr>
          <w:lang w:val="es-MX"/>
        </w:rPr>
        <w:t>.</w:t>
      </w:r>
    </w:p>
    <w:p w14:paraId="32437155" w14:textId="77777777" w:rsidR="003A3DB6" w:rsidRDefault="003A3DB6" w:rsidP="00BC78B8">
      <w:pPr>
        <w:pStyle w:val="Textoindependiente"/>
        <w:spacing w:before="93" w:line="302" w:lineRule="auto"/>
        <w:ind w:left="708" w:right="817"/>
        <w:jc w:val="both"/>
        <w:rPr>
          <w:lang w:val="es-MX"/>
        </w:rPr>
      </w:pPr>
    </w:p>
    <w:p w14:paraId="5614856D" w14:textId="21DD1546" w:rsidR="001C34A1" w:rsidRPr="001C34A1" w:rsidRDefault="001C34A1" w:rsidP="001C34A1">
      <w:pPr>
        <w:pStyle w:val="Ttulo1"/>
        <w:numPr>
          <w:ilvl w:val="0"/>
          <w:numId w:val="1"/>
        </w:numPr>
        <w:tabs>
          <w:tab w:val="left" w:pos="1530"/>
          <w:tab w:val="left" w:pos="1531"/>
        </w:tabs>
        <w:spacing w:before="158"/>
        <w:jc w:val="left"/>
        <w:rPr>
          <w:spacing w:val="-1"/>
          <w:lang w:val="es-MX"/>
        </w:rPr>
      </w:pPr>
      <w:r w:rsidRPr="001C34A1">
        <w:rPr>
          <w:spacing w:val="-1"/>
          <w:lang w:val="es-MX"/>
        </w:rPr>
        <w:t>Principios de la metodología de costos evitados</w:t>
      </w:r>
    </w:p>
    <w:p w14:paraId="3985E4CA" w14:textId="77777777" w:rsidR="001C34A1" w:rsidRDefault="001C34A1" w:rsidP="00682E20">
      <w:pPr>
        <w:pStyle w:val="Textoindependiente"/>
        <w:spacing w:before="93" w:line="302" w:lineRule="auto"/>
        <w:ind w:left="810" w:right="817"/>
        <w:jc w:val="both"/>
        <w:rPr>
          <w:lang w:val="es-MX"/>
        </w:rPr>
      </w:pPr>
    </w:p>
    <w:p w14:paraId="62F6C6FE" w14:textId="77777777" w:rsidR="00682E20" w:rsidRPr="006B160F" w:rsidRDefault="00682E20" w:rsidP="00682E20">
      <w:pPr>
        <w:ind w:left="810"/>
        <w:rPr>
          <w:i/>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3"/>
          <w:u w:val="single"/>
          <w:lang w:val="es-MX"/>
        </w:rPr>
        <w:t xml:space="preserve"> </w:t>
      </w:r>
      <w:r w:rsidRPr="006B160F">
        <w:rPr>
          <w:i/>
          <w:u w:val="single"/>
          <w:lang w:val="es-MX"/>
        </w:rPr>
        <w:t>comentarios</w:t>
      </w:r>
      <w:r w:rsidRPr="006B160F">
        <w:rPr>
          <w:i/>
          <w:spacing w:val="-1"/>
          <w:u w:val="single"/>
          <w:lang w:val="es-MX"/>
        </w:rPr>
        <w:t xml:space="preserve"> </w:t>
      </w:r>
      <w:r w:rsidRPr="006B160F">
        <w:rPr>
          <w:i/>
          <w:u w:val="single"/>
          <w:lang w:val="es-MX"/>
        </w:rPr>
        <w:t>a</w:t>
      </w:r>
      <w:r w:rsidRPr="006B160F">
        <w:rPr>
          <w:i/>
          <w:spacing w:val="-2"/>
          <w:u w:val="single"/>
          <w:lang w:val="es-MX"/>
        </w:rPr>
        <w:t xml:space="preserve"> </w:t>
      </w:r>
      <w:r w:rsidRPr="006B160F">
        <w:rPr>
          <w:i/>
          <w:u w:val="single"/>
          <w:lang w:val="es-MX"/>
        </w:rPr>
        <w:t>la</w:t>
      </w:r>
      <w:r w:rsidRPr="006B160F">
        <w:rPr>
          <w:i/>
          <w:spacing w:val="-3"/>
          <w:u w:val="single"/>
          <w:lang w:val="es-MX"/>
        </w:rPr>
        <w:t xml:space="preserve"> </w:t>
      </w:r>
      <w:r>
        <w:rPr>
          <w:i/>
          <w:u w:val="single"/>
          <w:lang w:val="es-MX"/>
        </w:rPr>
        <w:t>Consulta Pública</w:t>
      </w:r>
    </w:p>
    <w:p w14:paraId="303CFAF5" w14:textId="77777777" w:rsidR="00682E20" w:rsidRPr="006B160F" w:rsidRDefault="00682E20" w:rsidP="00682E20">
      <w:pPr>
        <w:pStyle w:val="Textoindependiente"/>
        <w:spacing w:before="7"/>
        <w:rPr>
          <w:i/>
          <w:sz w:val="18"/>
          <w:lang w:val="es-MX"/>
        </w:rPr>
      </w:pPr>
    </w:p>
    <w:p w14:paraId="6DE3CE5D" w14:textId="2F741283" w:rsidR="0036358C" w:rsidRDefault="0036358C" w:rsidP="00682E20">
      <w:pPr>
        <w:pStyle w:val="Textoindependiente"/>
        <w:spacing w:line="276" w:lineRule="auto"/>
        <w:ind w:left="810" w:right="812"/>
        <w:jc w:val="both"/>
        <w:rPr>
          <w:lang w:val="es-MX"/>
        </w:rPr>
      </w:pPr>
      <w:r>
        <w:rPr>
          <w:lang w:val="es-MX"/>
        </w:rPr>
        <w:t xml:space="preserve">GTV </w:t>
      </w:r>
      <w:r w:rsidR="00243C9C">
        <w:rPr>
          <w:lang w:val="es-MX"/>
        </w:rPr>
        <w:t>refiere que hay un</w:t>
      </w:r>
      <w:r>
        <w:rPr>
          <w:lang w:val="es-MX"/>
        </w:rPr>
        <w:t xml:space="preserve"> error metodológico en el cual se está incurriendo al basar la determinación de las tarifas de los servicios de reventa en el </w:t>
      </w:r>
      <w:r w:rsidR="00153FFC">
        <w:rPr>
          <w:lang w:val="es-MX"/>
        </w:rPr>
        <w:t>MCE</w:t>
      </w:r>
      <w:r>
        <w:rPr>
          <w:lang w:val="es-MX"/>
        </w:rPr>
        <w:t>. Señala que una de las condiciones para que est</w:t>
      </w:r>
      <w:r w:rsidR="00BB0F34">
        <w:rPr>
          <w:lang w:val="es-MX"/>
        </w:rPr>
        <w:t>a</w:t>
      </w:r>
      <w:r>
        <w:rPr>
          <w:lang w:val="es-MX"/>
        </w:rPr>
        <w:t xml:space="preserve"> metodología se aplicable es que los precios minoristas</w:t>
      </w:r>
      <w:r w:rsidR="00BB0F34">
        <w:rPr>
          <w:lang w:val="es-MX"/>
        </w:rPr>
        <w:t xml:space="preserve"> sean determinados por las condiciones competitivas de los mercados y no por los agentes con dominancia en los mercados.</w:t>
      </w:r>
    </w:p>
    <w:p w14:paraId="713E2398" w14:textId="77777777" w:rsidR="00243C9C" w:rsidRDefault="00243C9C" w:rsidP="00682E20">
      <w:pPr>
        <w:pStyle w:val="Textoindependiente"/>
        <w:spacing w:line="276" w:lineRule="auto"/>
        <w:ind w:left="810" w:right="812"/>
        <w:jc w:val="both"/>
        <w:rPr>
          <w:lang w:val="es-MX"/>
        </w:rPr>
      </w:pPr>
    </w:p>
    <w:p w14:paraId="2E744612" w14:textId="2BE5C32D" w:rsidR="00682E20" w:rsidRDefault="003F747E" w:rsidP="00682E20">
      <w:pPr>
        <w:pStyle w:val="Textoindependiente"/>
        <w:spacing w:line="276" w:lineRule="auto"/>
        <w:ind w:left="810" w:right="812"/>
        <w:jc w:val="both"/>
        <w:rPr>
          <w:lang w:val="es-MX"/>
        </w:rPr>
      </w:pPr>
      <w:r>
        <w:rPr>
          <w:lang w:val="es-MX"/>
        </w:rPr>
        <w:t xml:space="preserve">De manera conjunta, </w:t>
      </w:r>
      <w:r w:rsidR="001C34A1">
        <w:rPr>
          <w:lang w:val="es-MX"/>
        </w:rPr>
        <w:t>CANIETI y GTV s</w:t>
      </w:r>
      <w:r w:rsidR="001C34A1" w:rsidRPr="001C34A1">
        <w:rPr>
          <w:lang w:val="es-MX"/>
        </w:rPr>
        <w:t xml:space="preserve">ugieren un cambio de metodología de estimación tarifaria de los servicios de reventa. Proponen emplear un modelo basado en una metodología </w:t>
      </w:r>
      <w:r w:rsidR="001C34A1" w:rsidRPr="003F747E">
        <w:rPr>
          <w:i/>
          <w:iCs/>
          <w:lang w:val="es-MX"/>
        </w:rPr>
        <w:t>bottom-up</w:t>
      </w:r>
      <w:r w:rsidR="001C34A1" w:rsidRPr="001C34A1">
        <w:rPr>
          <w:lang w:val="es-MX"/>
        </w:rPr>
        <w:t>, como se implementa en el SAIB</w:t>
      </w:r>
      <w:r>
        <w:rPr>
          <w:rStyle w:val="Refdenotaalpie"/>
          <w:lang w:val="es-MX"/>
        </w:rPr>
        <w:footnoteReference w:id="5"/>
      </w:r>
      <w:r w:rsidR="001C34A1" w:rsidRPr="001C34A1">
        <w:rPr>
          <w:lang w:val="es-MX"/>
        </w:rPr>
        <w:t>. Además</w:t>
      </w:r>
      <w:r w:rsidR="001C34A1">
        <w:rPr>
          <w:lang w:val="es-MX"/>
        </w:rPr>
        <w:t>,</w:t>
      </w:r>
      <w:r w:rsidR="001C34A1" w:rsidRPr="001C34A1">
        <w:rPr>
          <w:lang w:val="es-MX"/>
        </w:rPr>
        <w:t xml:space="preserve"> mencionan que el uso del </w:t>
      </w:r>
      <w:r w:rsidR="00680A28">
        <w:rPr>
          <w:lang w:val="es-MX"/>
        </w:rPr>
        <w:t xml:space="preserve">MCE </w:t>
      </w:r>
      <w:r w:rsidR="001C34A1" w:rsidRPr="001C34A1">
        <w:rPr>
          <w:lang w:val="es-MX"/>
        </w:rPr>
        <w:t>no es la mejor herramienta para la determinación tarifaria de los servicios de reventa, dado el bajo nivel de competencia de los mercados de Internet y telefonía fija.</w:t>
      </w:r>
    </w:p>
    <w:p w14:paraId="1FFAC608" w14:textId="728BDF2C" w:rsidR="00B645C0" w:rsidRDefault="00B645C0" w:rsidP="00682E20">
      <w:pPr>
        <w:pStyle w:val="Textoindependiente"/>
        <w:spacing w:line="276" w:lineRule="auto"/>
        <w:ind w:left="810" w:right="812"/>
        <w:jc w:val="both"/>
        <w:rPr>
          <w:lang w:val="es-MX"/>
        </w:rPr>
      </w:pPr>
    </w:p>
    <w:p w14:paraId="7AFD89A6" w14:textId="78AEE249" w:rsidR="00B645C0" w:rsidRPr="006B160F" w:rsidRDefault="00B645C0" w:rsidP="00682E20">
      <w:pPr>
        <w:pStyle w:val="Textoindependiente"/>
        <w:spacing w:line="276" w:lineRule="auto"/>
        <w:ind w:left="810" w:right="812"/>
        <w:jc w:val="both"/>
        <w:rPr>
          <w:lang w:val="es-MX"/>
        </w:rPr>
      </w:pPr>
      <w:r>
        <w:rPr>
          <w:lang w:val="es-MX"/>
        </w:rPr>
        <w:t>Adicionalmente, solicitan se incluyan los servicios adicionales como Antivi</w:t>
      </w:r>
      <w:r w:rsidR="00892DA2">
        <w:rPr>
          <w:lang w:val="es-MX"/>
        </w:rPr>
        <w:t>r</w:t>
      </w:r>
      <w:r>
        <w:rPr>
          <w:lang w:val="es-MX"/>
        </w:rPr>
        <w:t>us y servicios en la nube (Mc Afee y Claro Drive</w:t>
      </w:r>
      <w:r w:rsidR="00BD5FE1">
        <w:rPr>
          <w:lang w:val="es-MX"/>
        </w:rPr>
        <w:t>) en los servicios de reventa.</w:t>
      </w:r>
    </w:p>
    <w:p w14:paraId="3DB0FBCD" w14:textId="77777777" w:rsidR="00682E20" w:rsidRPr="006B160F" w:rsidRDefault="00682E20" w:rsidP="00682E20">
      <w:pPr>
        <w:spacing w:line="276" w:lineRule="auto"/>
        <w:jc w:val="both"/>
        <w:rPr>
          <w:lang w:val="es-MX"/>
        </w:rPr>
      </w:pPr>
    </w:p>
    <w:p w14:paraId="49B8CA74" w14:textId="77777777" w:rsidR="00682E20" w:rsidRPr="006B160F" w:rsidRDefault="00682E20" w:rsidP="00682E20">
      <w:pPr>
        <w:spacing w:before="53"/>
        <w:ind w:left="810"/>
        <w:jc w:val="both"/>
        <w:rPr>
          <w:i/>
          <w:lang w:val="es-MX"/>
        </w:rPr>
      </w:pPr>
      <w:r w:rsidRPr="00614C1D">
        <w:rPr>
          <w:i/>
          <w:u w:val="single"/>
          <w:lang w:val="es-MX"/>
        </w:rPr>
        <w:t>Respuesta</w:t>
      </w:r>
      <w:r w:rsidRPr="00614C1D">
        <w:rPr>
          <w:i/>
          <w:spacing w:val="-4"/>
          <w:u w:val="single"/>
          <w:lang w:val="es-MX"/>
        </w:rPr>
        <w:t xml:space="preserve"> </w:t>
      </w:r>
      <w:r w:rsidRPr="00614C1D">
        <w:rPr>
          <w:i/>
          <w:u w:val="single"/>
          <w:lang w:val="es-MX"/>
        </w:rPr>
        <w:t>de</w:t>
      </w:r>
      <w:r>
        <w:rPr>
          <w:i/>
          <w:u w:val="single"/>
          <w:lang w:val="es-MX"/>
        </w:rPr>
        <w:t xml:space="preserve"> la UPR</w:t>
      </w:r>
    </w:p>
    <w:p w14:paraId="513B9BF5" w14:textId="77777777" w:rsidR="00682E20" w:rsidRPr="006B160F" w:rsidRDefault="00682E20" w:rsidP="00682E20">
      <w:pPr>
        <w:spacing w:line="276" w:lineRule="auto"/>
        <w:jc w:val="both"/>
        <w:rPr>
          <w:lang w:val="es-MX"/>
        </w:rPr>
      </w:pPr>
    </w:p>
    <w:p w14:paraId="2D09F5A8" w14:textId="140E77D5" w:rsidR="00682E20" w:rsidRDefault="003023D1">
      <w:pPr>
        <w:pStyle w:val="Textoindependiente"/>
        <w:spacing w:line="276" w:lineRule="auto"/>
        <w:ind w:left="810" w:right="812"/>
        <w:jc w:val="both"/>
        <w:rPr>
          <w:lang w:val="es-MX"/>
        </w:rPr>
      </w:pPr>
      <w:r>
        <w:rPr>
          <w:lang w:val="es-MX"/>
        </w:rPr>
        <w:t xml:space="preserve">En lo que concierne al error metodológico, donde </w:t>
      </w:r>
      <w:r w:rsidRPr="009923CA">
        <w:rPr>
          <w:lang w:val="es-MX"/>
        </w:rPr>
        <w:t>sugieren un</w:t>
      </w:r>
      <w:r w:rsidR="00F002B8" w:rsidRPr="009923CA">
        <w:rPr>
          <w:lang w:val="es-MX"/>
        </w:rPr>
        <w:t xml:space="preserve"> cambio en la metodología de estimación tarifaria de los servicios de reve</w:t>
      </w:r>
      <w:r w:rsidR="00460AD7" w:rsidRPr="009923CA">
        <w:rPr>
          <w:lang w:val="es-MX"/>
        </w:rPr>
        <w:t>n</w:t>
      </w:r>
      <w:r w:rsidR="00F002B8" w:rsidRPr="009923CA">
        <w:rPr>
          <w:lang w:val="es-MX"/>
        </w:rPr>
        <w:t>ta</w:t>
      </w:r>
      <w:r w:rsidR="00F002B8">
        <w:rPr>
          <w:lang w:val="es-MX"/>
        </w:rPr>
        <w:t>,</w:t>
      </w:r>
      <w:r w:rsidR="00460AD7">
        <w:rPr>
          <w:lang w:val="es-MX"/>
        </w:rPr>
        <w:t xml:space="preserve"> la UPR </w:t>
      </w:r>
      <w:r w:rsidR="00892DA2">
        <w:rPr>
          <w:lang w:val="es-MX"/>
        </w:rPr>
        <w:t xml:space="preserve">precisa </w:t>
      </w:r>
      <w:r w:rsidR="00460AD7">
        <w:rPr>
          <w:lang w:val="es-MX"/>
        </w:rPr>
        <w:t>que</w:t>
      </w:r>
      <w:r w:rsidR="00243C9C">
        <w:rPr>
          <w:lang w:val="es-MX"/>
        </w:rPr>
        <w:t xml:space="preserve"> la metodología </w:t>
      </w:r>
      <w:r w:rsidR="00892DA2">
        <w:rPr>
          <w:lang w:val="es-MX"/>
        </w:rPr>
        <w:t xml:space="preserve">se apega a lo previsto </w:t>
      </w:r>
      <w:r w:rsidR="00243C9C">
        <w:rPr>
          <w:lang w:val="es-MX"/>
        </w:rPr>
        <w:t>en la Medida TRIGÉSIMA NOVENA de las Medidas de Desagregación</w:t>
      </w:r>
      <w:r w:rsidR="009B1C65">
        <w:rPr>
          <w:rStyle w:val="Refdenotaalpie"/>
          <w:lang w:val="es-MX"/>
        </w:rPr>
        <w:footnoteReference w:id="6"/>
      </w:r>
      <w:r w:rsidR="00B31D00">
        <w:rPr>
          <w:lang w:val="es-MX"/>
        </w:rPr>
        <w:t xml:space="preserve"> </w:t>
      </w:r>
      <w:r w:rsidR="00E034E9">
        <w:rPr>
          <w:lang w:val="es-MX"/>
        </w:rPr>
        <w:lastRenderedPageBreak/>
        <w:t xml:space="preserve">para los servicios de reventa, </w:t>
      </w:r>
      <w:r w:rsidR="00892DA2">
        <w:rPr>
          <w:lang w:val="es-MX"/>
        </w:rPr>
        <w:t xml:space="preserve">a partir de </w:t>
      </w:r>
      <w:r w:rsidR="0085197F">
        <w:rPr>
          <w:lang w:val="es-MX"/>
        </w:rPr>
        <w:t xml:space="preserve">los principios metodológicos autorizados en el Acuerdo </w:t>
      </w:r>
      <w:r w:rsidR="0085197F" w:rsidRPr="001D552E">
        <w:rPr>
          <w:lang w:val="es-MX"/>
        </w:rPr>
        <w:t>P/IFT/EXT/111218/24</w:t>
      </w:r>
      <w:r w:rsidR="00B31D00">
        <w:rPr>
          <w:lang w:val="es-MX"/>
        </w:rPr>
        <w:t>.</w:t>
      </w:r>
    </w:p>
    <w:p w14:paraId="2568871B" w14:textId="77777777" w:rsidR="00BD5FE1" w:rsidRDefault="00BD5FE1" w:rsidP="00682E20">
      <w:pPr>
        <w:pStyle w:val="Textoindependiente"/>
        <w:spacing w:line="276" w:lineRule="auto"/>
        <w:ind w:left="810" w:right="812"/>
        <w:jc w:val="both"/>
        <w:rPr>
          <w:lang w:val="es-MX"/>
        </w:rPr>
      </w:pPr>
    </w:p>
    <w:p w14:paraId="796776F1" w14:textId="0A17E1CD" w:rsidR="00BD5FE1" w:rsidRPr="006B160F" w:rsidRDefault="005D5A13" w:rsidP="00682E20">
      <w:pPr>
        <w:pStyle w:val="Textoindependiente"/>
        <w:spacing w:line="276" w:lineRule="auto"/>
        <w:ind w:left="810" w:right="812"/>
        <w:jc w:val="both"/>
        <w:rPr>
          <w:lang w:val="es-MX"/>
        </w:rPr>
      </w:pPr>
      <w:r>
        <w:rPr>
          <w:lang w:val="es-MX"/>
        </w:rPr>
        <w:t>En respuesta a la inclusión de</w:t>
      </w:r>
      <w:r w:rsidR="00BD5FE1">
        <w:rPr>
          <w:lang w:val="es-MX"/>
        </w:rPr>
        <w:t xml:space="preserve"> los servicios adicionales, </w:t>
      </w:r>
      <w:r w:rsidR="00243C9C">
        <w:rPr>
          <w:lang w:val="es-MX"/>
        </w:rPr>
        <w:t>se analizará el alcance de dichos servicios</w:t>
      </w:r>
      <w:r w:rsidR="00181E7F">
        <w:rPr>
          <w:lang w:val="es-MX"/>
        </w:rPr>
        <w:t xml:space="preserve"> </w:t>
      </w:r>
      <w:r w:rsidR="0085197F">
        <w:rPr>
          <w:lang w:val="es-MX"/>
        </w:rPr>
        <w:t>en el contexto de provisión minorista del AEP</w:t>
      </w:r>
      <w:r w:rsidR="00243C9C">
        <w:rPr>
          <w:lang w:val="es-MX"/>
        </w:rPr>
        <w:t xml:space="preserve">, de manera que la determinación de tarifas mayoristas considere aquellos </w:t>
      </w:r>
      <w:r w:rsidR="00B31D00">
        <w:rPr>
          <w:lang w:val="es-MX"/>
        </w:rPr>
        <w:t>estrictamente relacionados</w:t>
      </w:r>
      <w:r w:rsidR="00243C9C">
        <w:rPr>
          <w:lang w:val="es-MX"/>
        </w:rPr>
        <w:t xml:space="preserve"> la prestación de servicios de reventa.</w:t>
      </w:r>
    </w:p>
    <w:p w14:paraId="7221FFDA" w14:textId="77777777" w:rsidR="00682E20" w:rsidRPr="006B160F" w:rsidRDefault="00682E20" w:rsidP="00682E20">
      <w:pPr>
        <w:pStyle w:val="Textoindependiente"/>
        <w:spacing w:line="276" w:lineRule="auto"/>
        <w:ind w:left="810" w:right="812"/>
        <w:jc w:val="both"/>
        <w:rPr>
          <w:lang w:val="es-MX"/>
        </w:rPr>
      </w:pPr>
    </w:p>
    <w:p w14:paraId="354F1BBD" w14:textId="4989D801" w:rsidR="00682E20" w:rsidRPr="006B160F" w:rsidRDefault="00BD5FE1" w:rsidP="00682E20">
      <w:pPr>
        <w:pStyle w:val="Ttulo1"/>
        <w:numPr>
          <w:ilvl w:val="0"/>
          <w:numId w:val="1"/>
        </w:numPr>
        <w:tabs>
          <w:tab w:val="left" w:pos="1530"/>
          <w:tab w:val="left" w:pos="1531"/>
        </w:tabs>
        <w:spacing w:before="201"/>
        <w:ind w:hanging="545"/>
        <w:jc w:val="left"/>
        <w:rPr>
          <w:lang w:val="es-MX"/>
        </w:rPr>
      </w:pPr>
      <w:r>
        <w:rPr>
          <w:lang w:val="es-MX"/>
        </w:rPr>
        <w:t>Metodología para definir los precios de referencia</w:t>
      </w:r>
    </w:p>
    <w:p w14:paraId="36E7F522" w14:textId="77777777" w:rsidR="00682E20" w:rsidRPr="006B160F" w:rsidRDefault="00682E20" w:rsidP="00682E20">
      <w:pPr>
        <w:pStyle w:val="Textoindependiente"/>
        <w:spacing w:before="7"/>
        <w:rPr>
          <w:b/>
          <w:sz w:val="20"/>
          <w:lang w:val="es-MX"/>
        </w:rPr>
      </w:pPr>
    </w:p>
    <w:p w14:paraId="3DC55BAB" w14:textId="1A12F2E6" w:rsidR="00682E20" w:rsidRDefault="00682E20" w:rsidP="00682E20">
      <w:pPr>
        <w:ind w:left="810"/>
        <w:jc w:val="both"/>
        <w:rPr>
          <w:i/>
          <w:u w:val="single"/>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comentarios</w:t>
      </w:r>
      <w:r w:rsidRPr="006B160F">
        <w:rPr>
          <w:i/>
          <w:spacing w:val="-6"/>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la</w:t>
      </w:r>
      <w:r w:rsidRPr="006B160F">
        <w:rPr>
          <w:i/>
          <w:spacing w:val="-4"/>
          <w:u w:val="single"/>
          <w:lang w:val="es-MX"/>
        </w:rPr>
        <w:t xml:space="preserve"> </w:t>
      </w:r>
      <w:r>
        <w:rPr>
          <w:i/>
          <w:u w:val="single"/>
          <w:lang w:val="es-MX"/>
        </w:rPr>
        <w:t>Consulta Pública</w:t>
      </w:r>
    </w:p>
    <w:p w14:paraId="63FD3087" w14:textId="77777777" w:rsidR="00B645C0" w:rsidRPr="006B160F" w:rsidRDefault="00B645C0" w:rsidP="00682E20">
      <w:pPr>
        <w:ind w:left="810"/>
        <w:jc w:val="both"/>
        <w:rPr>
          <w:i/>
          <w:lang w:val="es-MX"/>
        </w:rPr>
      </w:pPr>
    </w:p>
    <w:p w14:paraId="46819FD5" w14:textId="49700B56" w:rsidR="00682E20" w:rsidRDefault="00694CF7" w:rsidP="00BD5FE1">
      <w:pPr>
        <w:pStyle w:val="Textoindependiente"/>
        <w:spacing w:before="93" w:line="302" w:lineRule="auto"/>
        <w:ind w:left="810" w:right="815"/>
        <w:jc w:val="both"/>
        <w:rPr>
          <w:lang w:val="es-MX"/>
        </w:rPr>
      </w:pPr>
      <w:r>
        <w:rPr>
          <w:lang w:val="es-MX"/>
        </w:rPr>
        <w:t xml:space="preserve">La </w:t>
      </w:r>
      <w:r w:rsidR="00BD5FE1">
        <w:rPr>
          <w:lang w:val="es-MX"/>
        </w:rPr>
        <w:t>CANIETI y GTV</w:t>
      </w:r>
      <w:r w:rsidR="00682E20">
        <w:rPr>
          <w:lang w:val="es-MX"/>
        </w:rPr>
        <w:t xml:space="preserve"> </w:t>
      </w:r>
      <w:r w:rsidR="00BD5FE1">
        <w:rPr>
          <w:lang w:val="es-MX"/>
        </w:rPr>
        <w:t>solicitan una explicación del criterio para definir los planes que son considerados en el modelo (pestaña Lista y Cálculos principales del archivo de Excel).</w:t>
      </w:r>
      <w:r w:rsidR="00682E20" w:rsidRPr="006C439E">
        <w:rPr>
          <w:lang w:val="es-MX"/>
        </w:rPr>
        <w:t xml:space="preserve"> </w:t>
      </w:r>
    </w:p>
    <w:p w14:paraId="0F9772BE" w14:textId="5BF1CA5F" w:rsidR="00FC4B1A" w:rsidRPr="006B160F" w:rsidRDefault="00FC4B1A" w:rsidP="00923ABD">
      <w:pPr>
        <w:pStyle w:val="Textoindependiente"/>
        <w:spacing w:before="93" w:line="302" w:lineRule="auto"/>
        <w:ind w:left="810" w:right="815"/>
        <w:jc w:val="both"/>
        <w:rPr>
          <w:lang w:val="es-MX"/>
        </w:rPr>
      </w:pPr>
      <w:r>
        <w:rPr>
          <w:lang w:val="es-MX"/>
        </w:rPr>
        <w:t xml:space="preserve">Por otro lado, </w:t>
      </w:r>
      <w:r w:rsidR="002F0AE5">
        <w:rPr>
          <w:lang w:val="es-MX"/>
        </w:rPr>
        <w:t xml:space="preserve">la </w:t>
      </w:r>
      <w:r w:rsidRPr="00FC4B1A">
        <w:rPr>
          <w:lang w:val="es-MX"/>
        </w:rPr>
        <w:t>CANIETI y Megacable</w:t>
      </w:r>
      <w:r w:rsidR="00923ABD">
        <w:rPr>
          <w:lang w:val="es-MX"/>
        </w:rPr>
        <w:t xml:space="preserve"> m</w:t>
      </w:r>
      <w:r w:rsidR="00923ABD" w:rsidRPr="00923ABD">
        <w:rPr>
          <w:lang w:val="es-MX"/>
        </w:rPr>
        <w:t xml:space="preserve">encionan que </w:t>
      </w:r>
      <w:r w:rsidR="00E034E9">
        <w:rPr>
          <w:lang w:val="es-MX"/>
        </w:rPr>
        <w:t xml:space="preserve">no se observa la aclaración de del cambio en el enfoque de costos evitados para 2021 y 2022 utilizando un modelo econométrico para determinar los precios de referencia de cada servicio, mientras que ahora se utilizan promedios ponderados por clientes. También señalan que </w:t>
      </w:r>
      <w:r w:rsidR="00923ABD" w:rsidRPr="00923ABD">
        <w:rPr>
          <w:lang w:val="es-MX"/>
        </w:rPr>
        <w:t xml:space="preserve">se </w:t>
      </w:r>
      <w:r w:rsidR="00073882" w:rsidRPr="00923ABD">
        <w:rPr>
          <w:lang w:val="es-MX"/>
        </w:rPr>
        <w:t>abandona</w:t>
      </w:r>
      <w:r w:rsidR="00073882">
        <w:rPr>
          <w:lang w:val="es-MX"/>
        </w:rPr>
        <w:t xml:space="preserve"> </w:t>
      </w:r>
      <w:r w:rsidR="00073882" w:rsidRPr="00923ABD">
        <w:rPr>
          <w:lang w:val="es-MX"/>
        </w:rPr>
        <w:t>la</w:t>
      </w:r>
      <w:r w:rsidR="00923ABD" w:rsidRPr="00923ABD">
        <w:rPr>
          <w:lang w:val="es-MX"/>
        </w:rPr>
        <w:t xml:space="preserve"> división entre </w:t>
      </w:r>
      <w:r w:rsidR="00E034E9">
        <w:rPr>
          <w:lang w:val="es-MX"/>
        </w:rPr>
        <w:t xml:space="preserve">ofertas y </w:t>
      </w:r>
      <w:r w:rsidR="00923ABD" w:rsidRPr="00923ABD">
        <w:rPr>
          <w:lang w:val="es-MX"/>
        </w:rPr>
        <w:t>paquetes de entrada</w:t>
      </w:r>
      <w:r w:rsidR="00E034E9">
        <w:rPr>
          <w:lang w:val="es-MX"/>
        </w:rPr>
        <w:t xml:space="preserve"> con</w:t>
      </w:r>
      <w:r w:rsidR="00923ABD" w:rsidRPr="00923ABD">
        <w:rPr>
          <w:lang w:val="es-MX"/>
        </w:rPr>
        <w:t xml:space="preserve"> paquetes superiores. </w:t>
      </w:r>
      <w:r w:rsidR="00E034E9">
        <w:rPr>
          <w:lang w:val="es-MX"/>
        </w:rPr>
        <w:t>Consideran que</w:t>
      </w:r>
      <w:r w:rsidR="00923ABD" w:rsidRPr="00923ABD">
        <w:rPr>
          <w:lang w:val="es-MX"/>
        </w:rPr>
        <w:t xml:space="preserve"> unos pocos paquetes comerciales de Telmex tienen un peso significativo en su oferta comercial, por lo cual, los precios promedio implícitos son en realidad representativos de esos pocos paquetes.</w:t>
      </w:r>
    </w:p>
    <w:p w14:paraId="75DD9374" w14:textId="36348775" w:rsidR="00682E20" w:rsidRPr="006B160F" w:rsidRDefault="00682E20" w:rsidP="00682E20">
      <w:pPr>
        <w:pStyle w:val="Textoindependiente"/>
        <w:spacing w:before="93" w:line="302" w:lineRule="auto"/>
        <w:ind w:left="810" w:right="815"/>
        <w:jc w:val="center"/>
        <w:rPr>
          <w:lang w:val="es-MX"/>
        </w:rPr>
      </w:pPr>
    </w:p>
    <w:p w14:paraId="455FE471" w14:textId="77777777" w:rsidR="00682E20" w:rsidRPr="006A1A80" w:rsidRDefault="00682E20" w:rsidP="00682E20">
      <w:pPr>
        <w:pStyle w:val="Textoindependiente"/>
        <w:spacing w:before="93" w:line="302" w:lineRule="auto"/>
        <w:ind w:left="810" w:right="815"/>
        <w:jc w:val="both"/>
        <w:rPr>
          <w:i/>
          <w:u w:val="single"/>
          <w:lang w:val="es-MX"/>
        </w:rPr>
      </w:pPr>
      <w:r w:rsidRPr="006A1A80">
        <w:rPr>
          <w:i/>
          <w:u w:val="single"/>
          <w:lang w:val="es-MX"/>
        </w:rPr>
        <w:t>Respuesta de la UPR</w:t>
      </w:r>
    </w:p>
    <w:p w14:paraId="52901F89" w14:textId="6C7F0CA2" w:rsidR="00E034E9" w:rsidRDefault="001C297C" w:rsidP="00682E20">
      <w:pPr>
        <w:pStyle w:val="Textoindependiente"/>
        <w:spacing w:before="93" w:line="302" w:lineRule="auto"/>
        <w:ind w:left="810" w:right="815"/>
        <w:jc w:val="both"/>
        <w:rPr>
          <w:lang w:val="es-MX"/>
        </w:rPr>
      </w:pPr>
      <w:r>
        <w:rPr>
          <w:lang w:val="es-MX"/>
        </w:rPr>
        <w:t xml:space="preserve">Por lo que concierne al comentario </w:t>
      </w:r>
      <w:r w:rsidR="000847E5">
        <w:rPr>
          <w:lang w:val="es-MX"/>
        </w:rPr>
        <w:t xml:space="preserve">de la </w:t>
      </w:r>
      <w:r w:rsidR="000847E5" w:rsidRPr="001C3EC2">
        <w:rPr>
          <w:lang w:val="es-MX"/>
        </w:rPr>
        <w:t>explicación del criterio para definir los planes y paquetes en el modelo</w:t>
      </w:r>
      <w:r w:rsidR="000847E5">
        <w:rPr>
          <w:lang w:val="es-MX"/>
        </w:rPr>
        <w:t>,</w:t>
      </w:r>
      <w:r>
        <w:rPr>
          <w:lang w:val="es-MX"/>
        </w:rPr>
        <w:t xml:space="preserve"> </w:t>
      </w:r>
      <w:r w:rsidR="00891291">
        <w:rPr>
          <w:lang w:val="es-MX"/>
        </w:rPr>
        <w:t xml:space="preserve">el MCE </w:t>
      </w:r>
      <w:r w:rsidR="0085197F">
        <w:rPr>
          <w:lang w:val="es-MX"/>
        </w:rPr>
        <w:t xml:space="preserve">considera </w:t>
      </w:r>
      <w:r w:rsidR="00FC4B1A" w:rsidRPr="00FC4B1A">
        <w:rPr>
          <w:lang w:val="es-MX"/>
        </w:rPr>
        <w:t xml:space="preserve">toda la oferta comercial </w:t>
      </w:r>
      <w:r w:rsidR="00C34A34">
        <w:rPr>
          <w:lang w:val="es-MX"/>
        </w:rPr>
        <w:t xml:space="preserve">minorista </w:t>
      </w:r>
      <w:r w:rsidR="0085197F">
        <w:rPr>
          <w:lang w:val="es-MX"/>
        </w:rPr>
        <w:t>del AEP</w:t>
      </w:r>
      <w:r w:rsidR="00C34A34">
        <w:rPr>
          <w:lang w:val="es-MX"/>
        </w:rPr>
        <w:t xml:space="preserve"> </w:t>
      </w:r>
      <w:r>
        <w:rPr>
          <w:lang w:val="es-MX"/>
        </w:rPr>
        <w:t xml:space="preserve">para estimar los precios implícitos mediante información proporcionada </w:t>
      </w:r>
      <w:r w:rsidR="00CD7C94">
        <w:rPr>
          <w:lang w:val="es-MX"/>
        </w:rPr>
        <w:t xml:space="preserve">por </w:t>
      </w:r>
      <w:r w:rsidR="0085197F">
        <w:rPr>
          <w:lang w:val="es-MX"/>
        </w:rPr>
        <w:t xml:space="preserve">el </w:t>
      </w:r>
      <w:r w:rsidR="00D60DB7">
        <w:rPr>
          <w:lang w:val="es-MX"/>
        </w:rPr>
        <w:t>AEP</w:t>
      </w:r>
      <w:r w:rsidR="00FC4B1A" w:rsidRPr="00FC4B1A">
        <w:rPr>
          <w:lang w:val="es-MX"/>
        </w:rPr>
        <w:t>.</w:t>
      </w:r>
      <w:r w:rsidR="00E034E9">
        <w:rPr>
          <w:lang w:val="es-MX"/>
        </w:rPr>
        <w:t xml:space="preserve"> </w:t>
      </w:r>
    </w:p>
    <w:p w14:paraId="16C79520" w14:textId="4ECF5EE8" w:rsidR="001C297C" w:rsidRDefault="00E034E9" w:rsidP="00682E20">
      <w:pPr>
        <w:pStyle w:val="Textoindependiente"/>
        <w:spacing w:before="93" w:line="302" w:lineRule="auto"/>
        <w:ind w:left="810" w:right="815"/>
        <w:jc w:val="both"/>
        <w:rPr>
          <w:lang w:val="es-MX"/>
        </w:rPr>
      </w:pPr>
      <w:r>
        <w:rPr>
          <w:lang w:val="es-MX"/>
        </w:rPr>
        <w:t xml:space="preserve">Por su parte, respecto a la aclaración del cambio de enfoque para 2021 y 2022 se consideró que el enfoque actualizado permite representar </w:t>
      </w:r>
      <w:r w:rsidR="00073882">
        <w:rPr>
          <w:lang w:val="es-MX"/>
        </w:rPr>
        <w:t xml:space="preserve">el valor de los precios implícitos (voz, línea, banda ancha) a partir de las condiciones comerciales observadas en los planes y paquetes </w:t>
      </w:r>
      <w:r w:rsidR="005D0AC9">
        <w:rPr>
          <w:lang w:val="es-MX"/>
        </w:rPr>
        <w:t>del</w:t>
      </w:r>
      <w:r w:rsidR="00073882">
        <w:rPr>
          <w:lang w:val="es-MX"/>
        </w:rPr>
        <w:t xml:space="preserve"> AEP a partir de un enfoque </w:t>
      </w:r>
      <w:r w:rsidR="001A3D59">
        <w:rPr>
          <w:lang w:val="es-MX"/>
        </w:rPr>
        <w:t>práctico</w:t>
      </w:r>
      <w:r w:rsidR="004266F6">
        <w:rPr>
          <w:lang w:val="es-MX"/>
        </w:rPr>
        <w:t xml:space="preserve">, el cual </w:t>
      </w:r>
      <w:r w:rsidR="00073882">
        <w:rPr>
          <w:lang w:val="es-MX"/>
        </w:rPr>
        <w:t xml:space="preserve">no pierde representatividad </w:t>
      </w:r>
      <w:r w:rsidR="004266F6">
        <w:rPr>
          <w:lang w:val="es-MX"/>
        </w:rPr>
        <w:t xml:space="preserve">respecto </w:t>
      </w:r>
      <w:r w:rsidR="00073882">
        <w:rPr>
          <w:lang w:val="es-MX"/>
        </w:rPr>
        <w:t xml:space="preserve">de los valores de precios implícitos estimados mediante </w:t>
      </w:r>
      <w:r w:rsidR="001A3D59">
        <w:rPr>
          <w:lang w:val="es-MX"/>
        </w:rPr>
        <w:t>el</w:t>
      </w:r>
      <w:r w:rsidR="00073882">
        <w:rPr>
          <w:lang w:val="es-MX"/>
        </w:rPr>
        <w:t xml:space="preserve"> modelo econométrico. </w:t>
      </w:r>
    </w:p>
    <w:p w14:paraId="75E53C2E" w14:textId="63A1DE83" w:rsidR="004266F6" w:rsidRDefault="004266F6" w:rsidP="00682E20">
      <w:pPr>
        <w:pStyle w:val="Textoindependiente"/>
        <w:spacing w:before="93" w:line="302" w:lineRule="auto"/>
        <w:ind w:left="810" w:right="815"/>
        <w:jc w:val="both"/>
        <w:rPr>
          <w:lang w:val="es-MX"/>
        </w:rPr>
      </w:pPr>
      <w:r>
        <w:rPr>
          <w:lang w:val="es-MX"/>
        </w:rPr>
        <w:t>En este contexto</w:t>
      </w:r>
      <w:r w:rsidR="000965AB">
        <w:rPr>
          <w:lang w:val="es-MX"/>
        </w:rPr>
        <w:t>,</w:t>
      </w:r>
      <w:r>
        <w:rPr>
          <w:lang w:val="es-MX"/>
        </w:rPr>
        <w:t xml:space="preserve"> la asignación a partir de coeficientes </w:t>
      </w:r>
      <w:r w:rsidR="004202FE">
        <w:rPr>
          <w:lang w:val="es-MX"/>
        </w:rPr>
        <w:t xml:space="preserve">resultó una herramienta valiosa que permitió determinar los precios implícitos con base en paquetes </w:t>
      </w:r>
      <w:r w:rsidR="004202FE" w:rsidRPr="007B7A4D">
        <w:rPr>
          <w:i/>
          <w:lang w:val="es-MX"/>
        </w:rPr>
        <w:t xml:space="preserve">doble </w:t>
      </w:r>
      <w:proofErr w:type="spellStart"/>
      <w:r w:rsidR="004202FE" w:rsidRPr="007B7A4D">
        <w:rPr>
          <w:i/>
          <w:lang w:val="es-MX"/>
        </w:rPr>
        <w:t>play</w:t>
      </w:r>
      <w:proofErr w:type="spellEnd"/>
      <w:r w:rsidR="004202FE">
        <w:rPr>
          <w:lang w:val="es-MX"/>
        </w:rPr>
        <w:t xml:space="preserve"> vigentes en marzo de 2020 para los segmentos residenciales como comerciales.</w:t>
      </w:r>
      <w:r>
        <w:rPr>
          <w:lang w:val="es-MX"/>
        </w:rPr>
        <w:t xml:space="preserve"> Si</w:t>
      </w:r>
      <w:r w:rsidR="004202FE">
        <w:rPr>
          <w:lang w:val="es-MX"/>
        </w:rPr>
        <w:t xml:space="preserve">n embargo, a partir de la modificación de la oferta comercial minorista del AEP y de los CS, </w:t>
      </w:r>
      <w:r w:rsidR="000965AB">
        <w:rPr>
          <w:lang w:val="es-MX"/>
        </w:rPr>
        <w:t>además de la complejidad para implementación de</w:t>
      </w:r>
      <w:r w:rsidR="004202FE">
        <w:rPr>
          <w:lang w:val="es-MX"/>
        </w:rPr>
        <w:t>l enfoque</w:t>
      </w:r>
      <w:r w:rsidR="000965AB">
        <w:rPr>
          <w:lang w:val="es-MX"/>
        </w:rPr>
        <w:t xml:space="preserve"> en su actualización anual, se consideró pertinente mantener el</w:t>
      </w:r>
      <w:r w:rsidR="004202FE">
        <w:rPr>
          <w:lang w:val="es-MX"/>
        </w:rPr>
        <w:t xml:space="preserve"> enfoque </w:t>
      </w:r>
      <w:r w:rsidR="000965AB">
        <w:rPr>
          <w:lang w:val="es-MX"/>
        </w:rPr>
        <w:t xml:space="preserve">autorizado en el Acuerdo </w:t>
      </w:r>
      <w:r w:rsidR="000965AB" w:rsidRPr="001D552E">
        <w:rPr>
          <w:lang w:val="es-MX"/>
        </w:rPr>
        <w:t>P/IFT/EXT/111218/24</w:t>
      </w:r>
      <w:r w:rsidR="004202FE">
        <w:rPr>
          <w:lang w:val="es-MX"/>
        </w:rPr>
        <w:t xml:space="preserve"> </w:t>
      </w:r>
      <w:r w:rsidR="000965AB">
        <w:rPr>
          <w:lang w:val="es-MX"/>
        </w:rPr>
        <w:t xml:space="preserve">para la determinación de precios implícitos, </w:t>
      </w:r>
      <w:r w:rsidR="001A3D59">
        <w:rPr>
          <w:lang w:val="es-MX"/>
        </w:rPr>
        <w:t>permitiendo una</w:t>
      </w:r>
      <w:r w:rsidR="000965AB">
        <w:rPr>
          <w:lang w:val="es-MX"/>
        </w:rPr>
        <w:t xml:space="preserve"> </w:t>
      </w:r>
      <w:r w:rsidR="001A3D59">
        <w:rPr>
          <w:lang w:val="es-MX"/>
        </w:rPr>
        <w:t xml:space="preserve">mejor </w:t>
      </w:r>
      <w:r w:rsidR="000965AB">
        <w:rPr>
          <w:lang w:val="es-MX"/>
        </w:rPr>
        <w:t xml:space="preserve">adaptabilidad a los cambios en </w:t>
      </w:r>
      <w:r w:rsidR="000965AB">
        <w:rPr>
          <w:lang w:val="es-MX"/>
        </w:rPr>
        <w:lastRenderedPageBreak/>
        <w:t>la oferta comercial minorista</w:t>
      </w:r>
      <w:r w:rsidR="001A3D59">
        <w:rPr>
          <w:lang w:val="es-MX"/>
        </w:rPr>
        <w:t xml:space="preserve"> del AEP</w:t>
      </w:r>
      <w:r w:rsidR="000965AB">
        <w:rPr>
          <w:lang w:val="es-MX"/>
        </w:rPr>
        <w:t>,</w:t>
      </w:r>
      <w:r w:rsidR="00FD4106">
        <w:rPr>
          <w:lang w:val="es-MX"/>
        </w:rPr>
        <w:t xml:space="preserve"> </w:t>
      </w:r>
      <w:r w:rsidR="001A3D59">
        <w:rPr>
          <w:lang w:val="es-MX"/>
        </w:rPr>
        <w:t>en</w:t>
      </w:r>
      <w:r w:rsidR="000965AB">
        <w:rPr>
          <w:lang w:val="es-MX"/>
        </w:rPr>
        <w:t xml:space="preserve"> consistencia con el enfoque metodológico para la determinación de las tarifas mayoristas autorizadas por el Instituto. </w:t>
      </w:r>
      <w:r>
        <w:rPr>
          <w:lang w:val="es-MX"/>
        </w:rPr>
        <w:t xml:space="preserve"> </w:t>
      </w:r>
    </w:p>
    <w:p w14:paraId="30636CE2" w14:textId="642DFC23" w:rsidR="00682E20" w:rsidRDefault="00EF74E6" w:rsidP="00682E20">
      <w:pPr>
        <w:pStyle w:val="Textoindependiente"/>
        <w:spacing w:before="93" w:line="302" w:lineRule="auto"/>
        <w:ind w:left="810" w:right="815"/>
        <w:jc w:val="both"/>
        <w:rPr>
          <w:lang w:val="es-MX"/>
        </w:rPr>
      </w:pPr>
      <w:r>
        <w:rPr>
          <w:lang w:val="es-MX"/>
        </w:rPr>
        <w:t>Con relación</w:t>
      </w:r>
      <w:r w:rsidR="00243C9C">
        <w:rPr>
          <w:lang w:val="es-MX"/>
        </w:rPr>
        <w:t xml:space="preserve"> al peso específico de los planes representativos de la oferta comercial del AEP</w:t>
      </w:r>
      <w:r w:rsidR="006E7239">
        <w:rPr>
          <w:lang w:val="es-MX"/>
        </w:rPr>
        <w:t xml:space="preserve">, </w:t>
      </w:r>
      <w:r w:rsidR="0085197F">
        <w:rPr>
          <w:lang w:val="es-MX"/>
        </w:rPr>
        <w:t xml:space="preserve">se destaca que </w:t>
      </w:r>
      <w:r>
        <w:rPr>
          <w:lang w:val="es-MX"/>
        </w:rPr>
        <w:t xml:space="preserve">la estimación de la tarifa mayorista </w:t>
      </w:r>
      <w:r w:rsidR="00B1259B">
        <w:rPr>
          <w:lang w:val="es-MX"/>
        </w:rPr>
        <w:t xml:space="preserve">y los porcentajes de descuento estimados para los servicios de reventa </w:t>
      </w:r>
      <w:r w:rsidR="00FA39A5">
        <w:rPr>
          <w:lang w:val="es-MX"/>
        </w:rPr>
        <w:t>se determinan por plan y paquete de acuerdo</w:t>
      </w:r>
      <w:r>
        <w:rPr>
          <w:lang w:val="es-MX"/>
        </w:rPr>
        <w:t xml:space="preserve"> con las características particulares que comercializa el AEP, lo cual </w:t>
      </w:r>
      <w:r w:rsidR="00B1259B">
        <w:rPr>
          <w:lang w:val="es-MX"/>
        </w:rPr>
        <w:t>permite</w:t>
      </w:r>
      <w:r>
        <w:rPr>
          <w:lang w:val="es-MX"/>
        </w:rPr>
        <w:t xml:space="preserve"> la estimación de</w:t>
      </w:r>
      <w:r w:rsidR="00673735">
        <w:rPr>
          <w:lang w:val="es-MX"/>
        </w:rPr>
        <w:t xml:space="preserve"> ingresos </w:t>
      </w:r>
      <w:r>
        <w:rPr>
          <w:lang w:val="es-MX"/>
        </w:rPr>
        <w:t>y costos evitados autorizada por el Instituto</w:t>
      </w:r>
      <w:r w:rsidR="00B1259B">
        <w:rPr>
          <w:lang w:val="es-MX"/>
        </w:rPr>
        <w:t xml:space="preserve"> en el Acuerdo </w:t>
      </w:r>
      <w:r w:rsidR="00B1259B" w:rsidRPr="001D552E">
        <w:rPr>
          <w:lang w:val="es-MX"/>
        </w:rPr>
        <w:t>P/IFT/EXT/111218/24</w:t>
      </w:r>
      <w:r w:rsidR="002B7C75">
        <w:rPr>
          <w:lang w:val="es-MX"/>
        </w:rPr>
        <w:t xml:space="preserve"> </w:t>
      </w:r>
      <w:r>
        <w:rPr>
          <w:lang w:val="es-MX"/>
        </w:rPr>
        <w:t>y lo dispuesto en la metodología señalada en la Medida TRIGÉSIMA NOVENA de las Medidas de Desagregación</w:t>
      </w:r>
      <w:r w:rsidR="003A52A7" w:rsidRPr="003A52A7">
        <w:rPr>
          <w:lang w:val="es-MX"/>
        </w:rPr>
        <w:t>.</w:t>
      </w:r>
    </w:p>
    <w:p w14:paraId="58A7DB14" w14:textId="77777777" w:rsidR="0085197F" w:rsidRDefault="0085197F" w:rsidP="00682E20">
      <w:pPr>
        <w:pStyle w:val="Textoindependiente"/>
        <w:spacing w:before="93" w:line="302" w:lineRule="auto"/>
        <w:ind w:left="810" w:right="815"/>
        <w:jc w:val="both"/>
        <w:rPr>
          <w:lang w:val="es-MX"/>
        </w:rPr>
      </w:pPr>
    </w:p>
    <w:p w14:paraId="616972D7" w14:textId="4712BA38" w:rsidR="00FC4B1A" w:rsidRDefault="003A52A7" w:rsidP="003A52A7">
      <w:pPr>
        <w:pStyle w:val="Ttulo1"/>
        <w:numPr>
          <w:ilvl w:val="0"/>
          <w:numId w:val="1"/>
        </w:numPr>
        <w:tabs>
          <w:tab w:val="left" w:pos="1530"/>
          <w:tab w:val="left" w:pos="1531"/>
        </w:tabs>
        <w:spacing w:before="201"/>
        <w:ind w:hanging="545"/>
        <w:jc w:val="left"/>
        <w:rPr>
          <w:lang w:val="es-MX"/>
        </w:rPr>
      </w:pPr>
      <w:r>
        <w:rPr>
          <w:lang w:val="es-MX"/>
        </w:rPr>
        <w:t>Enfoque de estimación de precios implícitos</w:t>
      </w:r>
    </w:p>
    <w:p w14:paraId="347EE0D1" w14:textId="77777777" w:rsidR="003A52A7" w:rsidRDefault="003A52A7" w:rsidP="00682E20">
      <w:pPr>
        <w:pStyle w:val="Textoindependiente"/>
        <w:spacing w:before="93" w:line="302" w:lineRule="auto"/>
        <w:ind w:left="810" w:right="815"/>
        <w:jc w:val="both"/>
        <w:rPr>
          <w:lang w:val="es-MX"/>
        </w:rPr>
      </w:pPr>
    </w:p>
    <w:p w14:paraId="63335551" w14:textId="77777777" w:rsidR="00682E20" w:rsidRPr="006B160F" w:rsidRDefault="00682E20" w:rsidP="00682E20">
      <w:pPr>
        <w:ind w:left="810"/>
        <w:jc w:val="both"/>
        <w:rPr>
          <w:i/>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comentarios</w:t>
      </w:r>
      <w:r w:rsidRPr="006B160F">
        <w:rPr>
          <w:i/>
          <w:spacing w:val="-6"/>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la</w:t>
      </w:r>
      <w:r w:rsidRPr="006B160F">
        <w:rPr>
          <w:i/>
          <w:spacing w:val="-4"/>
          <w:u w:val="single"/>
          <w:lang w:val="es-MX"/>
        </w:rPr>
        <w:t xml:space="preserve"> </w:t>
      </w:r>
      <w:r>
        <w:rPr>
          <w:i/>
          <w:u w:val="single"/>
          <w:lang w:val="es-MX"/>
        </w:rPr>
        <w:t>Consulta Pública</w:t>
      </w:r>
    </w:p>
    <w:p w14:paraId="7D00B0BF" w14:textId="1CEC87CE" w:rsidR="005E7821" w:rsidRDefault="002F0AE5" w:rsidP="00682E20">
      <w:pPr>
        <w:pStyle w:val="Textoindependiente"/>
        <w:spacing w:before="93" w:line="302" w:lineRule="auto"/>
        <w:ind w:left="810" w:right="815"/>
        <w:jc w:val="both"/>
        <w:rPr>
          <w:lang w:val="es-MX"/>
        </w:rPr>
      </w:pPr>
      <w:r>
        <w:rPr>
          <w:lang w:val="es-MX"/>
        </w:rPr>
        <w:t xml:space="preserve">La </w:t>
      </w:r>
      <w:r w:rsidR="003A52A7">
        <w:rPr>
          <w:lang w:val="es-MX"/>
        </w:rPr>
        <w:t xml:space="preserve">CANIETI y Megacable </w:t>
      </w:r>
      <w:r w:rsidR="009B2660">
        <w:rPr>
          <w:lang w:val="es-MX"/>
        </w:rPr>
        <w:t>manifiestan no estar</w:t>
      </w:r>
      <w:r w:rsidR="009B2660" w:rsidRPr="009B2660">
        <w:rPr>
          <w:lang w:val="es-MX"/>
        </w:rPr>
        <w:t xml:space="preserve"> de acuerdo </w:t>
      </w:r>
      <w:r w:rsidR="004A7230">
        <w:rPr>
          <w:lang w:val="es-MX"/>
        </w:rPr>
        <w:t>con</w:t>
      </w:r>
      <w:r w:rsidR="004A7230" w:rsidRPr="009B2660">
        <w:rPr>
          <w:lang w:val="es-MX"/>
        </w:rPr>
        <w:t xml:space="preserve"> </w:t>
      </w:r>
      <w:r w:rsidR="009B2660" w:rsidRPr="009B2660">
        <w:rPr>
          <w:lang w:val="es-MX"/>
        </w:rPr>
        <w:t xml:space="preserve">la manera en que se estiman los precios implícitos de las promociones que incluyen el costo de Claro Video y otros servicios </w:t>
      </w:r>
      <w:proofErr w:type="spellStart"/>
      <w:r w:rsidR="00146458" w:rsidRPr="00997441">
        <w:rPr>
          <w:i/>
          <w:iCs/>
          <w:lang w:val="es-MX"/>
        </w:rPr>
        <w:t>Over</w:t>
      </w:r>
      <w:proofErr w:type="spellEnd"/>
      <w:r w:rsidR="00146458" w:rsidRPr="00997441">
        <w:rPr>
          <w:i/>
          <w:iCs/>
          <w:lang w:val="es-MX"/>
        </w:rPr>
        <w:t xml:space="preserve"> </w:t>
      </w:r>
      <w:proofErr w:type="spellStart"/>
      <w:r w:rsidR="00146458" w:rsidRPr="00997441">
        <w:rPr>
          <w:i/>
          <w:iCs/>
          <w:lang w:val="es-MX"/>
        </w:rPr>
        <w:t>the</w:t>
      </w:r>
      <w:proofErr w:type="spellEnd"/>
      <w:r w:rsidR="00146458" w:rsidRPr="00997441">
        <w:rPr>
          <w:i/>
          <w:iCs/>
          <w:lang w:val="es-MX"/>
        </w:rPr>
        <w:t xml:space="preserve"> Top</w:t>
      </w:r>
      <w:r w:rsidR="00146458">
        <w:rPr>
          <w:lang w:val="es-MX"/>
        </w:rPr>
        <w:t xml:space="preserve"> (por sus siglas en inglés, “</w:t>
      </w:r>
      <w:r w:rsidR="009B2660" w:rsidRPr="009B2660">
        <w:rPr>
          <w:lang w:val="es-MX"/>
        </w:rPr>
        <w:t>OTT</w:t>
      </w:r>
      <w:r w:rsidR="00146458">
        <w:rPr>
          <w:lang w:val="es-MX"/>
        </w:rPr>
        <w:t>”)</w:t>
      </w:r>
      <w:r w:rsidR="009B2660" w:rsidRPr="009B2660">
        <w:rPr>
          <w:lang w:val="es-MX"/>
        </w:rPr>
        <w:t>.</w:t>
      </w:r>
      <w:r w:rsidR="00D76281">
        <w:rPr>
          <w:lang w:val="es-MX"/>
        </w:rPr>
        <w:t xml:space="preserve"> </w:t>
      </w:r>
      <w:r w:rsidR="00B47548">
        <w:rPr>
          <w:lang w:val="es-MX"/>
        </w:rPr>
        <w:t xml:space="preserve">En adición, señalan que el factor de descuento por el precio implícito de la banda ancha es muy reducido (7.6%), lo que hace </w:t>
      </w:r>
      <w:r w:rsidR="001B350B">
        <w:rPr>
          <w:lang w:val="es-MX"/>
        </w:rPr>
        <w:t>imposible replicar las ofertas del AEP a partir de los precios mayoristas de reventa (</w:t>
      </w:r>
      <w:r w:rsidR="001F5D57">
        <w:rPr>
          <w:lang w:val="es-MX"/>
        </w:rPr>
        <w:t xml:space="preserve">en especial con los </w:t>
      </w:r>
      <w:r w:rsidR="001B350B">
        <w:rPr>
          <w:lang w:val="es-MX"/>
        </w:rPr>
        <w:t>paquetes superiores).</w:t>
      </w:r>
      <w:r w:rsidR="00FF5A26">
        <w:rPr>
          <w:lang w:val="es-MX"/>
        </w:rPr>
        <w:t xml:space="preserve"> Por lo tanto, </w:t>
      </w:r>
      <w:r w:rsidR="0085197F">
        <w:rPr>
          <w:lang w:val="es-MX"/>
        </w:rPr>
        <w:t xml:space="preserve">señalan que </w:t>
      </w:r>
      <w:r w:rsidR="00FF5A26">
        <w:rPr>
          <w:lang w:val="es-MX"/>
        </w:rPr>
        <w:t>el servicio de reventa en el MCE no es un instrumento de política regulatoria eficaz para generar competencia en los servicios de banda ancha que incluyen servicios adicionales.</w:t>
      </w:r>
    </w:p>
    <w:p w14:paraId="0EBA6201" w14:textId="77777777" w:rsidR="002D5A8D" w:rsidRDefault="002D5A8D" w:rsidP="00682E20">
      <w:pPr>
        <w:pStyle w:val="Textoindependiente"/>
        <w:spacing w:before="93" w:line="302" w:lineRule="auto"/>
        <w:ind w:left="810" w:right="815"/>
        <w:jc w:val="both"/>
        <w:rPr>
          <w:lang w:val="es-MX"/>
        </w:rPr>
      </w:pPr>
    </w:p>
    <w:p w14:paraId="0021BAEE" w14:textId="77777777" w:rsidR="00682E20" w:rsidRPr="006A1A80" w:rsidRDefault="00682E20" w:rsidP="00682E20">
      <w:pPr>
        <w:pStyle w:val="Textoindependiente"/>
        <w:spacing w:before="93" w:line="302" w:lineRule="auto"/>
        <w:ind w:left="810" w:right="815"/>
        <w:jc w:val="both"/>
        <w:rPr>
          <w:i/>
          <w:u w:val="single"/>
          <w:lang w:val="es-MX"/>
        </w:rPr>
      </w:pPr>
      <w:r w:rsidRPr="006A1A80">
        <w:rPr>
          <w:i/>
          <w:u w:val="single"/>
          <w:lang w:val="es-MX"/>
        </w:rPr>
        <w:t>Respuesta de la UPR</w:t>
      </w:r>
    </w:p>
    <w:p w14:paraId="2057F533" w14:textId="4D4D7CE8" w:rsidR="00D76281" w:rsidRDefault="009B2660" w:rsidP="00293F74">
      <w:pPr>
        <w:pStyle w:val="Textoindependiente"/>
        <w:spacing w:before="93" w:line="302" w:lineRule="auto"/>
        <w:ind w:left="810" w:right="815"/>
        <w:jc w:val="both"/>
        <w:rPr>
          <w:lang w:val="es-MX"/>
        </w:rPr>
      </w:pPr>
      <w:r w:rsidRPr="00997441">
        <w:rPr>
          <w:lang w:val="es-MX"/>
        </w:rPr>
        <w:t xml:space="preserve">Respecto a la manifestación de los participantes, </w:t>
      </w:r>
      <w:r w:rsidR="00A2070E">
        <w:rPr>
          <w:lang w:val="es-MX"/>
        </w:rPr>
        <w:t>el enfoque metodológico descrito en el numeral “</w:t>
      </w:r>
      <w:r w:rsidR="00A2070E" w:rsidRPr="00997441">
        <w:rPr>
          <w:i/>
          <w:lang w:val="es-MX"/>
        </w:rPr>
        <w:t xml:space="preserve">3.5 </w:t>
      </w:r>
      <w:r w:rsidR="003B713C" w:rsidRPr="00997441">
        <w:rPr>
          <w:i/>
          <w:lang w:val="es-MX"/>
        </w:rPr>
        <w:t>Enfoque de estimación del precio implícito de los elementos que integran la canasta de servicios de los planes y paquetes de TELMEX/TELNOR</w:t>
      </w:r>
      <w:r w:rsidR="003B713C">
        <w:rPr>
          <w:lang w:val="es-MX"/>
        </w:rPr>
        <w:t>”</w:t>
      </w:r>
      <w:r w:rsidR="00293F74">
        <w:rPr>
          <w:lang w:val="es-MX"/>
        </w:rPr>
        <w:t xml:space="preserve"> </w:t>
      </w:r>
      <w:r w:rsidR="00FA39A5">
        <w:rPr>
          <w:lang w:val="es-MX"/>
        </w:rPr>
        <w:t>del documento metodológico</w:t>
      </w:r>
      <w:r w:rsidR="00293F74">
        <w:rPr>
          <w:lang w:val="es-MX"/>
        </w:rPr>
        <w:t xml:space="preserve"> considera de manera íntegra </w:t>
      </w:r>
      <w:r w:rsidR="00A2070E">
        <w:rPr>
          <w:lang w:val="es-MX"/>
        </w:rPr>
        <w:t>las condiciones comerciales</w:t>
      </w:r>
      <w:r w:rsidR="003B713C">
        <w:rPr>
          <w:lang w:val="es-MX"/>
        </w:rPr>
        <w:t xml:space="preserve"> </w:t>
      </w:r>
      <w:r w:rsidR="00293F74">
        <w:rPr>
          <w:lang w:val="es-MX"/>
        </w:rPr>
        <w:t xml:space="preserve">de toda la oferta </w:t>
      </w:r>
      <w:r w:rsidR="003B713C">
        <w:rPr>
          <w:lang w:val="es-MX"/>
        </w:rPr>
        <w:t>minorista</w:t>
      </w:r>
      <w:r w:rsidR="00A2070E">
        <w:rPr>
          <w:lang w:val="es-MX"/>
        </w:rPr>
        <w:t xml:space="preserve"> </w:t>
      </w:r>
      <w:r w:rsidR="00FD4106">
        <w:rPr>
          <w:lang w:val="es-MX"/>
        </w:rPr>
        <w:t>del AEP</w:t>
      </w:r>
      <w:r w:rsidR="00693FAF">
        <w:rPr>
          <w:lang w:val="es-MX"/>
        </w:rPr>
        <w:t xml:space="preserve">, </w:t>
      </w:r>
      <w:r w:rsidR="00293F74">
        <w:rPr>
          <w:lang w:val="es-MX"/>
        </w:rPr>
        <w:t xml:space="preserve">incluyendo </w:t>
      </w:r>
      <w:r w:rsidR="00693FAF">
        <w:rPr>
          <w:lang w:val="es-MX"/>
        </w:rPr>
        <w:t xml:space="preserve">aquellas </w:t>
      </w:r>
      <w:r w:rsidR="00E43E29">
        <w:rPr>
          <w:lang w:val="es-MX"/>
        </w:rPr>
        <w:t xml:space="preserve">tarifas preferenciales </w:t>
      </w:r>
      <w:r w:rsidR="00293F74">
        <w:rPr>
          <w:lang w:val="es-MX"/>
        </w:rPr>
        <w:t xml:space="preserve">por las </w:t>
      </w:r>
      <w:r w:rsidR="00E43E29">
        <w:rPr>
          <w:lang w:val="es-MX"/>
        </w:rPr>
        <w:t>que se ofrecen atributos adicionales a los servicios de telecomunicaciones ya contratados</w:t>
      </w:r>
      <w:r w:rsidR="00FD4106">
        <w:rPr>
          <w:lang w:val="es-MX"/>
        </w:rPr>
        <w:t>. P</w:t>
      </w:r>
      <w:r w:rsidR="00E43E29">
        <w:rPr>
          <w:lang w:val="es-MX"/>
        </w:rPr>
        <w:t>or ejemplo</w:t>
      </w:r>
      <w:r w:rsidR="005D0AC9">
        <w:rPr>
          <w:lang w:val="es-MX"/>
        </w:rPr>
        <w:t>:</w:t>
      </w:r>
      <w:r w:rsidR="00E43E29">
        <w:rPr>
          <w:lang w:val="es-MX"/>
        </w:rPr>
        <w:t xml:space="preserve"> la “Promoción de </w:t>
      </w:r>
      <w:r w:rsidR="00693FAF">
        <w:rPr>
          <w:lang w:val="es-MX"/>
        </w:rPr>
        <w:t>Paquetes Superiores”</w:t>
      </w:r>
      <w:r w:rsidR="00E43E29">
        <w:rPr>
          <w:lang w:val="es-MX"/>
        </w:rPr>
        <w:t xml:space="preserve">, </w:t>
      </w:r>
      <w:r w:rsidR="00E43E29">
        <w:t>o bien, por la adquisición y pago adicional al plan de renta mensual de servicios provistos por terceros OTT</w:t>
      </w:r>
      <w:r w:rsidR="002F240B">
        <w:t>. Con ello</w:t>
      </w:r>
      <w:r w:rsidR="000A550D">
        <w:rPr>
          <w:lang w:val="es-MX"/>
        </w:rPr>
        <w:t xml:space="preserve"> se</w:t>
      </w:r>
      <w:r w:rsidR="00752B87" w:rsidRPr="00A11A21">
        <w:rPr>
          <w:lang w:val="es-MX"/>
        </w:rPr>
        <w:t xml:space="preserve"> reconocen los costos por servicios OTT </w:t>
      </w:r>
      <w:r w:rsidR="003B713C">
        <w:rPr>
          <w:lang w:val="es-MX"/>
        </w:rPr>
        <w:t xml:space="preserve">y Claro Video </w:t>
      </w:r>
      <w:r w:rsidR="00752B87" w:rsidRPr="00A11A21">
        <w:rPr>
          <w:lang w:val="es-MX"/>
        </w:rPr>
        <w:t xml:space="preserve">a partir </w:t>
      </w:r>
      <w:r w:rsidR="00B1259B">
        <w:rPr>
          <w:lang w:val="es-MX"/>
        </w:rPr>
        <w:t>de los precios observados en el mercado</w:t>
      </w:r>
      <w:r w:rsidR="002F240B">
        <w:rPr>
          <w:lang w:val="es-MX"/>
        </w:rPr>
        <w:t xml:space="preserve"> y la metodología de costos evitados</w:t>
      </w:r>
      <w:r w:rsidR="00B1259B">
        <w:rPr>
          <w:lang w:val="es-MX"/>
        </w:rPr>
        <w:t xml:space="preserve">, </w:t>
      </w:r>
      <w:r w:rsidR="000A550D">
        <w:rPr>
          <w:lang w:val="es-MX"/>
        </w:rPr>
        <w:t>en consi</w:t>
      </w:r>
      <w:r w:rsidR="00B1259B">
        <w:rPr>
          <w:lang w:val="es-MX"/>
        </w:rPr>
        <w:t>stencia con</w:t>
      </w:r>
      <w:r w:rsidR="00A74358" w:rsidRPr="00A11A21">
        <w:rPr>
          <w:lang w:val="es-MX"/>
        </w:rPr>
        <w:t xml:space="preserve"> las características particulares de cada plan y paquete </w:t>
      </w:r>
      <w:r w:rsidR="003B713C">
        <w:rPr>
          <w:lang w:val="es-MX"/>
        </w:rPr>
        <w:t>para</w:t>
      </w:r>
      <w:r w:rsidR="00A74358" w:rsidRPr="00A11A21">
        <w:rPr>
          <w:lang w:val="es-MX"/>
        </w:rPr>
        <w:t xml:space="preserve"> estima</w:t>
      </w:r>
      <w:r w:rsidR="00293F74">
        <w:rPr>
          <w:lang w:val="es-MX"/>
        </w:rPr>
        <w:t>r</w:t>
      </w:r>
      <w:r w:rsidR="00A74358" w:rsidRPr="00A11A21">
        <w:rPr>
          <w:lang w:val="es-MX"/>
        </w:rPr>
        <w:t xml:space="preserve"> el precio implícito correspondiente</w:t>
      </w:r>
      <w:r w:rsidR="00752B87" w:rsidRPr="00A11A21">
        <w:rPr>
          <w:lang w:val="es-MX"/>
        </w:rPr>
        <w:t>.</w:t>
      </w:r>
    </w:p>
    <w:p w14:paraId="26ADC642" w14:textId="066CC4FA" w:rsidR="002F240B" w:rsidRDefault="002F240B" w:rsidP="00293F74">
      <w:pPr>
        <w:pStyle w:val="Textoindependiente"/>
        <w:spacing w:before="93" w:line="302" w:lineRule="auto"/>
        <w:ind w:left="810" w:right="815"/>
        <w:jc w:val="both"/>
        <w:rPr>
          <w:lang w:val="es-MX"/>
        </w:rPr>
      </w:pPr>
      <w:r>
        <w:rPr>
          <w:lang w:val="es-MX"/>
        </w:rPr>
        <w:t>En consecuencia, no puede evaluarse sin mayor evidencia el juicio emitido por los participantes respecto a que el valor de 7.6% es “muy reducido” .</w:t>
      </w:r>
    </w:p>
    <w:p w14:paraId="02642C03" w14:textId="0478D031" w:rsidR="00FD4106" w:rsidRDefault="00FD4106" w:rsidP="007B7A4D">
      <w:pPr>
        <w:pStyle w:val="Textoindependiente"/>
        <w:spacing w:before="93" w:line="302" w:lineRule="auto"/>
        <w:ind w:right="815"/>
        <w:jc w:val="both"/>
        <w:rPr>
          <w:lang w:val="es-MX"/>
        </w:rPr>
      </w:pPr>
    </w:p>
    <w:p w14:paraId="29D78D1E" w14:textId="77777777" w:rsidR="005D0AC9" w:rsidRDefault="005D0AC9" w:rsidP="007B7A4D">
      <w:pPr>
        <w:pStyle w:val="Textoindependiente"/>
        <w:spacing w:before="93" w:line="302" w:lineRule="auto"/>
        <w:ind w:right="815"/>
        <w:jc w:val="both"/>
        <w:rPr>
          <w:lang w:val="es-MX"/>
        </w:rPr>
      </w:pPr>
    </w:p>
    <w:p w14:paraId="29BC34BA" w14:textId="77777777" w:rsidR="00682E20" w:rsidRDefault="00682E20" w:rsidP="00682E20">
      <w:pPr>
        <w:pStyle w:val="Textoindependiente"/>
        <w:spacing w:before="93" w:line="302" w:lineRule="auto"/>
        <w:ind w:left="810" w:right="815"/>
        <w:jc w:val="both"/>
        <w:rPr>
          <w:lang w:val="es-MX"/>
        </w:rPr>
      </w:pPr>
    </w:p>
    <w:p w14:paraId="343F9984" w14:textId="2DAC717A" w:rsidR="00682E20" w:rsidRPr="000E58E2" w:rsidRDefault="000E58E2" w:rsidP="000E58E2">
      <w:pPr>
        <w:pStyle w:val="Ttulo1"/>
        <w:numPr>
          <w:ilvl w:val="0"/>
          <w:numId w:val="1"/>
        </w:numPr>
        <w:tabs>
          <w:tab w:val="left" w:pos="1530"/>
          <w:tab w:val="left" w:pos="1531"/>
        </w:tabs>
        <w:spacing w:before="201"/>
        <w:ind w:hanging="545"/>
        <w:jc w:val="left"/>
        <w:rPr>
          <w:lang w:val="es-MX"/>
        </w:rPr>
      </w:pPr>
      <w:r w:rsidRPr="000E58E2">
        <w:rPr>
          <w:lang w:val="es-MX"/>
        </w:rPr>
        <w:lastRenderedPageBreak/>
        <w:t>Precio de referencia asociado al servicio de reventa</w:t>
      </w:r>
    </w:p>
    <w:p w14:paraId="06F11D8C" w14:textId="77777777" w:rsidR="00682E20" w:rsidRDefault="00682E20" w:rsidP="00682E20">
      <w:pPr>
        <w:ind w:left="810"/>
        <w:jc w:val="both"/>
        <w:rPr>
          <w:i/>
          <w:u w:val="single"/>
          <w:lang w:val="es-MX"/>
        </w:rPr>
      </w:pPr>
    </w:p>
    <w:p w14:paraId="6B072700" w14:textId="77777777" w:rsidR="00682E20" w:rsidRPr="006B160F" w:rsidRDefault="00682E20" w:rsidP="00682E20">
      <w:pPr>
        <w:ind w:left="810"/>
        <w:jc w:val="both"/>
        <w:rPr>
          <w:i/>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comentarios</w:t>
      </w:r>
      <w:r w:rsidRPr="006B160F">
        <w:rPr>
          <w:i/>
          <w:spacing w:val="-6"/>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la</w:t>
      </w:r>
      <w:r w:rsidRPr="006B160F">
        <w:rPr>
          <w:i/>
          <w:spacing w:val="-4"/>
          <w:u w:val="single"/>
          <w:lang w:val="es-MX"/>
        </w:rPr>
        <w:t xml:space="preserve"> </w:t>
      </w:r>
      <w:r>
        <w:rPr>
          <w:i/>
          <w:u w:val="single"/>
          <w:lang w:val="es-MX"/>
        </w:rPr>
        <w:t>Consulta Pública</w:t>
      </w:r>
    </w:p>
    <w:p w14:paraId="65723413" w14:textId="6DE60DA5" w:rsidR="00682E20" w:rsidRDefault="00826719" w:rsidP="00682E20">
      <w:pPr>
        <w:pStyle w:val="Textoindependiente"/>
        <w:spacing w:before="93" w:line="302" w:lineRule="auto"/>
        <w:ind w:left="810" w:right="815"/>
        <w:jc w:val="both"/>
        <w:rPr>
          <w:lang w:val="es-MX"/>
        </w:rPr>
      </w:pPr>
      <w:r>
        <w:rPr>
          <w:lang w:val="es-MX"/>
        </w:rPr>
        <w:t xml:space="preserve">La </w:t>
      </w:r>
      <w:r w:rsidR="00777F62">
        <w:rPr>
          <w:lang w:val="es-MX"/>
        </w:rPr>
        <w:t>CANIETI y GTV s</w:t>
      </w:r>
      <w:r w:rsidR="00777F62" w:rsidRPr="00777F62">
        <w:rPr>
          <w:lang w:val="es-MX"/>
        </w:rPr>
        <w:t xml:space="preserve">olicitan se publique la debida documentación de soporte para los datos de </w:t>
      </w:r>
      <w:bookmarkStart w:id="3" w:name="_Hlk157072382"/>
      <w:r w:rsidR="00777F62" w:rsidRPr="00777F62">
        <w:rPr>
          <w:lang w:val="es-MX"/>
        </w:rPr>
        <w:t>"</w:t>
      </w:r>
      <w:r w:rsidR="00777F62" w:rsidRPr="00181E7F">
        <w:rPr>
          <w:i/>
          <w:lang w:val="es-MX"/>
        </w:rPr>
        <w:t>Suscripciones de banda ancha fija, residenciales y no residenciales del mercado y del AEP</w:t>
      </w:r>
      <w:r w:rsidR="00777F62" w:rsidRPr="00777F62">
        <w:rPr>
          <w:lang w:val="es-MX"/>
        </w:rPr>
        <w:t>" y de "</w:t>
      </w:r>
      <w:r w:rsidR="00777F62" w:rsidRPr="00181E7F">
        <w:rPr>
          <w:i/>
          <w:lang w:val="es-MX"/>
        </w:rPr>
        <w:t>Líneas de telefonía fija, residenciales y no residenciales del mercado y del AEP</w:t>
      </w:r>
      <w:r w:rsidR="00777F62" w:rsidRPr="00777F62">
        <w:rPr>
          <w:lang w:val="es-MX"/>
        </w:rPr>
        <w:t>"</w:t>
      </w:r>
      <w:bookmarkEnd w:id="3"/>
      <w:r w:rsidR="00777F62" w:rsidRPr="00777F62">
        <w:rPr>
          <w:lang w:val="es-MX"/>
        </w:rPr>
        <w:t xml:space="preserve"> para 2022</w:t>
      </w:r>
      <w:r w:rsidR="00682E20" w:rsidRPr="006B160F">
        <w:rPr>
          <w:lang w:val="es-MX"/>
        </w:rPr>
        <w:t>.</w:t>
      </w:r>
    </w:p>
    <w:p w14:paraId="0ED16C1B" w14:textId="63ECC7BF" w:rsidR="00A15794" w:rsidRDefault="00BA1628" w:rsidP="00682E20">
      <w:pPr>
        <w:pStyle w:val="Textoindependiente"/>
        <w:spacing w:before="93" w:line="302" w:lineRule="auto"/>
        <w:ind w:left="810" w:right="815"/>
        <w:jc w:val="both"/>
        <w:rPr>
          <w:lang w:val="es-MX"/>
        </w:rPr>
      </w:pPr>
      <w:r>
        <w:rPr>
          <w:lang w:val="es-MX"/>
        </w:rPr>
        <w:t>Asimismo, los mismo</w:t>
      </w:r>
      <w:r w:rsidR="00A15794">
        <w:rPr>
          <w:lang w:val="es-MX"/>
        </w:rPr>
        <w:t xml:space="preserve">s </w:t>
      </w:r>
      <w:r>
        <w:rPr>
          <w:lang w:val="es-MX"/>
        </w:rPr>
        <w:t>participantes s</w:t>
      </w:r>
      <w:r w:rsidRPr="00BA1628">
        <w:rPr>
          <w:lang w:val="es-MX"/>
        </w:rPr>
        <w:t>olicitan justificar la eliminación del parámetro para estimar el precio implícito del servicio “Netflix”, y su posterior reemplazo con la variable "Contratación de OTT (servicios de terceros)"</w:t>
      </w:r>
      <w:r w:rsidR="00A66926">
        <w:rPr>
          <w:lang w:val="es-MX"/>
        </w:rPr>
        <w:t>.</w:t>
      </w:r>
      <w:r w:rsidR="00680ECA">
        <w:rPr>
          <w:lang w:val="es-MX"/>
        </w:rPr>
        <w:t xml:space="preserve"> </w:t>
      </w:r>
      <w:r w:rsidR="00A15794">
        <w:rPr>
          <w:lang w:val="es-MX"/>
        </w:rPr>
        <w:t>Por otro lado, GTV s</w:t>
      </w:r>
      <w:r w:rsidR="00A15794" w:rsidRPr="00A15794">
        <w:rPr>
          <w:lang w:val="es-MX"/>
        </w:rPr>
        <w:t>olicita justificar los insumos ut</w:t>
      </w:r>
      <w:r w:rsidR="00A15794">
        <w:rPr>
          <w:lang w:val="es-MX"/>
        </w:rPr>
        <w:t>i</w:t>
      </w:r>
      <w:r w:rsidR="00A15794" w:rsidRPr="00A15794">
        <w:rPr>
          <w:lang w:val="es-MX"/>
        </w:rPr>
        <w:t>lizados para l</w:t>
      </w:r>
      <w:r w:rsidR="002503A5">
        <w:rPr>
          <w:lang w:val="es-MX"/>
        </w:rPr>
        <w:t>a</w:t>
      </w:r>
      <w:r w:rsidR="00A15794" w:rsidRPr="00A15794">
        <w:rPr>
          <w:lang w:val="es-MX"/>
        </w:rPr>
        <w:t xml:space="preserve"> variable "Contratación de OTT (servicios de terceros)"</w:t>
      </w:r>
      <w:r w:rsidR="00847731">
        <w:rPr>
          <w:lang w:val="es-MX"/>
        </w:rPr>
        <w:t>.</w:t>
      </w:r>
    </w:p>
    <w:p w14:paraId="79B27B5F" w14:textId="599419A4" w:rsidR="00847731" w:rsidRDefault="00847731" w:rsidP="00847731">
      <w:pPr>
        <w:pStyle w:val="Textoindependiente"/>
        <w:spacing w:before="93" w:line="302" w:lineRule="auto"/>
        <w:ind w:left="810" w:right="815"/>
        <w:jc w:val="both"/>
        <w:rPr>
          <w:lang w:val="es-MX"/>
        </w:rPr>
      </w:pPr>
      <w:r>
        <w:rPr>
          <w:lang w:val="es-MX"/>
        </w:rPr>
        <w:t>La CANIETI so</w:t>
      </w:r>
      <w:r w:rsidRPr="00847731">
        <w:rPr>
          <w:lang w:val="es-MX"/>
        </w:rPr>
        <w:t>licit</w:t>
      </w:r>
      <w:r w:rsidR="00673735">
        <w:rPr>
          <w:lang w:val="es-MX"/>
        </w:rPr>
        <w:t>ó</w:t>
      </w:r>
      <w:r w:rsidRPr="00847731">
        <w:rPr>
          <w:lang w:val="es-MX"/>
        </w:rPr>
        <w:t xml:space="preserve"> una explicación de la metodología de cálculo del precio implícito de “Renta de línea comercial” y </w:t>
      </w:r>
      <w:r w:rsidR="0046367D">
        <w:rPr>
          <w:lang w:val="es-MX"/>
        </w:rPr>
        <w:t xml:space="preserve">la </w:t>
      </w:r>
      <w:r w:rsidRPr="00847731">
        <w:rPr>
          <w:lang w:val="es-MX"/>
        </w:rPr>
        <w:t>estimación de los servicios digitales contenidos en planes y paquetes residenciales.</w:t>
      </w:r>
    </w:p>
    <w:p w14:paraId="2006141A" w14:textId="51043C68" w:rsidR="00847731" w:rsidRDefault="003D1C3A" w:rsidP="00847731">
      <w:pPr>
        <w:pStyle w:val="Textoindependiente"/>
        <w:spacing w:before="93" w:line="302" w:lineRule="auto"/>
        <w:ind w:left="810" w:right="815"/>
        <w:jc w:val="both"/>
        <w:rPr>
          <w:lang w:val="es-MX"/>
        </w:rPr>
      </w:pPr>
      <w:r>
        <w:rPr>
          <w:lang w:val="es-MX"/>
        </w:rPr>
        <w:t>Por otro lado</w:t>
      </w:r>
      <w:r w:rsidR="00847731">
        <w:rPr>
          <w:lang w:val="es-MX"/>
        </w:rPr>
        <w:t xml:space="preserve">, la CANIETI y GTV </w:t>
      </w:r>
      <w:r w:rsidR="00E35BBA">
        <w:rPr>
          <w:lang w:val="es-MX"/>
        </w:rPr>
        <w:t>s</w:t>
      </w:r>
      <w:r w:rsidR="00E35BBA" w:rsidRPr="00E35BBA">
        <w:rPr>
          <w:lang w:val="es-MX"/>
        </w:rPr>
        <w:t>olicitan corregir la nomenclatura para la proporción de los servicios digitales y los servicios de voz en la renta mensual del servicio.</w:t>
      </w:r>
    </w:p>
    <w:p w14:paraId="6A552D28" w14:textId="0FA8670E" w:rsidR="003D1C3A" w:rsidRDefault="003D1C3A" w:rsidP="00847731">
      <w:pPr>
        <w:pStyle w:val="Textoindependiente"/>
        <w:spacing w:before="93" w:line="302" w:lineRule="auto"/>
        <w:ind w:left="810" w:right="815"/>
        <w:jc w:val="both"/>
        <w:rPr>
          <w:lang w:val="es-MX"/>
        </w:rPr>
      </w:pPr>
      <w:r>
        <w:rPr>
          <w:lang w:val="es-MX"/>
        </w:rPr>
        <w:t>Finalmente, la CANIETI y Megacable solicitan revisar los elementos anteriores a fin de dar mayor transparencia e impedir que el AEP pueda seguir una estrategia de tarifas donde pueda subsidiar los perfiles y velocidades de los servicios, donde enfrente mayor competencia o su demanda sea más elástica.</w:t>
      </w:r>
    </w:p>
    <w:p w14:paraId="52E45B63" w14:textId="77777777" w:rsidR="00777F62" w:rsidRDefault="00777F62" w:rsidP="00682E20">
      <w:pPr>
        <w:pStyle w:val="Textoindependiente"/>
        <w:spacing w:before="93" w:line="302" w:lineRule="auto"/>
        <w:ind w:left="810" w:right="815"/>
        <w:jc w:val="both"/>
        <w:rPr>
          <w:lang w:val="es-MX"/>
        </w:rPr>
      </w:pPr>
    </w:p>
    <w:p w14:paraId="6944AF77" w14:textId="77777777" w:rsidR="00682E20" w:rsidRPr="006A1A80" w:rsidRDefault="00682E20" w:rsidP="00682E20">
      <w:pPr>
        <w:pStyle w:val="Textoindependiente"/>
        <w:spacing w:before="93" w:line="302" w:lineRule="auto"/>
        <w:ind w:left="810" w:right="815"/>
        <w:jc w:val="both"/>
        <w:rPr>
          <w:i/>
          <w:u w:val="single"/>
          <w:lang w:val="es-MX"/>
        </w:rPr>
      </w:pPr>
      <w:r w:rsidRPr="006A1A80">
        <w:rPr>
          <w:i/>
          <w:u w:val="single"/>
          <w:lang w:val="es-MX"/>
        </w:rPr>
        <w:t>Respuesta de la UPR</w:t>
      </w:r>
    </w:p>
    <w:p w14:paraId="46C90ACE" w14:textId="34803269" w:rsidR="00977848" w:rsidRDefault="00FA7DCE" w:rsidP="00554DCF">
      <w:pPr>
        <w:pStyle w:val="Textoindependiente"/>
        <w:spacing w:before="93" w:line="302" w:lineRule="auto"/>
        <w:ind w:left="810" w:right="815"/>
        <w:jc w:val="both"/>
        <w:rPr>
          <w:lang w:val="es-MX"/>
        </w:rPr>
      </w:pPr>
      <w:r>
        <w:rPr>
          <w:lang w:val="es-MX"/>
        </w:rPr>
        <w:t>Respect</w:t>
      </w:r>
      <w:r w:rsidR="00DD4DCC">
        <w:rPr>
          <w:lang w:val="es-MX"/>
        </w:rPr>
        <w:t xml:space="preserve">o al comentario de </w:t>
      </w:r>
      <w:r w:rsidR="00DD4DCC" w:rsidRPr="004F5533">
        <w:rPr>
          <w:lang w:val="es-MX"/>
        </w:rPr>
        <w:t>Suscripciones de banda ancha fija, residenciales y no residenciales del mercado y del AEP</w:t>
      </w:r>
      <w:r w:rsidR="002868EB" w:rsidRPr="004F5533">
        <w:rPr>
          <w:lang w:val="es-MX"/>
        </w:rPr>
        <w:t>,</w:t>
      </w:r>
      <w:r w:rsidR="00DD4DCC" w:rsidRPr="004F5533">
        <w:rPr>
          <w:lang w:val="es-MX"/>
        </w:rPr>
        <w:t xml:space="preserve"> y de Líneas de telefonía fija, residenciales y no residenciales del mercado y del AEP</w:t>
      </w:r>
      <w:r>
        <w:rPr>
          <w:lang w:val="es-MX"/>
        </w:rPr>
        <w:t xml:space="preserve">, </w:t>
      </w:r>
      <w:r w:rsidR="00181E7F">
        <w:rPr>
          <w:lang w:val="es-MX"/>
        </w:rPr>
        <w:t>se destaca</w:t>
      </w:r>
      <w:r w:rsidR="0046367D" w:rsidRPr="00997441">
        <w:rPr>
          <w:lang w:val="es-MX"/>
        </w:rPr>
        <w:t xml:space="preserve"> que</w:t>
      </w:r>
      <w:r w:rsidR="00A06B33">
        <w:rPr>
          <w:lang w:val="es-MX"/>
        </w:rPr>
        <w:t xml:space="preserve"> dicha información corresponde</w:t>
      </w:r>
      <w:r w:rsidR="0026564C">
        <w:rPr>
          <w:lang w:val="es-MX"/>
        </w:rPr>
        <w:t xml:space="preserve"> a la </w:t>
      </w:r>
      <w:r w:rsidR="00A06B33">
        <w:rPr>
          <w:lang w:val="es-MX"/>
        </w:rPr>
        <w:t>más actualizada publicada en el BIT</w:t>
      </w:r>
      <w:r w:rsidR="00602ACC">
        <w:rPr>
          <w:rStyle w:val="Refdenotaalpie"/>
          <w:lang w:val="es-MX"/>
        </w:rPr>
        <w:footnoteReference w:id="7"/>
      </w:r>
      <w:r w:rsidR="0026564C">
        <w:rPr>
          <w:lang w:val="es-MX"/>
        </w:rPr>
        <w:t xml:space="preserve"> al momento en que se elaboró el documento metodológico.</w:t>
      </w:r>
      <w:r w:rsidR="00A06B33">
        <w:rPr>
          <w:lang w:val="es-MX"/>
        </w:rPr>
        <w:t xml:space="preserve"> </w:t>
      </w:r>
      <w:r w:rsidR="0026564C">
        <w:rPr>
          <w:lang w:val="es-MX"/>
        </w:rPr>
        <w:t xml:space="preserve">Por lo que </w:t>
      </w:r>
      <w:r w:rsidR="00671981">
        <w:rPr>
          <w:lang w:val="es-MX"/>
        </w:rPr>
        <w:t xml:space="preserve">se encuentra disponible para consulta de los interesados, y </w:t>
      </w:r>
      <w:r w:rsidR="00977848">
        <w:rPr>
          <w:lang w:val="es-MX"/>
        </w:rPr>
        <w:t>cualquier actualización o modificación a la misma será considerada</w:t>
      </w:r>
      <w:r w:rsidR="00602ACC">
        <w:rPr>
          <w:lang w:val="es-MX"/>
        </w:rPr>
        <w:t xml:space="preserve"> para </w:t>
      </w:r>
      <w:r w:rsidR="00145F3B">
        <w:rPr>
          <w:lang w:val="es-MX"/>
        </w:rPr>
        <w:t>su</w:t>
      </w:r>
      <w:r w:rsidR="00602ACC">
        <w:rPr>
          <w:lang w:val="es-MX"/>
        </w:rPr>
        <w:t xml:space="preserve"> autorización </w:t>
      </w:r>
      <w:r w:rsidR="00145F3B">
        <w:rPr>
          <w:lang w:val="es-MX"/>
        </w:rPr>
        <w:t>en el</w:t>
      </w:r>
      <w:r w:rsidR="00977848">
        <w:rPr>
          <w:lang w:val="es-MX"/>
        </w:rPr>
        <w:t xml:space="preserve"> MCE</w:t>
      </w:r>
      <w:r w:rsidR="00181E7F">
        <w:rPr>
          <w:lang w:val="es-MX"/>
        </w:rPr>
        <w:t xml:space="preserve"> y referida para su mejor localización</w:t>
      </w:r>
      <w:r w:rsidR="00977848">
        <w:rPr>
          <w:lang w:val="es-MX"/>
        </w:rPr>
        <w:t>.</w:t>
      </w:r>
    </w:p>
    <w:p w14:paraId="7671A003" w14:textId="62359CD1" w:rsidR="00FA673B" w:rsidRDefault="00680ECA" w:rsidP="00FA673B">
      <w:pPr>
        <w:pStyle w:val="Textoindependiente"/>
        <w:spacing w:before="93" w:line="302" w:lineRule="auto"/>
        <w:ind w:left="810" w:right="815"/>
        <w:jc w:val="both"/>
        <w:rPr>
          <w:lang w:val="es-MX"/>
        </w:rPr>
      </w:pPr>
      <w:r>
        <w:rPr>
          <w:lang w:val="es-MX"/>
        </w:rPr>
        <w:t xml:space="preserve">Con relación al comentario sobre la justificación de </w:t>
      </w:r>
      <w:r w:rsidRPr="004F5533">
        <w:rPr>
          <w:lang w:val="es-MX"/>
        </w:rPr>
        <w:t>la eliminación del parámetro</w:t>
      </w:r>
      <w:r w:rsidR="00756396" w:rsidRPr="004F5533">
        <w:rPr>
          <w:lang w:val="es-MX"/>
        </w:rPr>
        <w:t xml:space="preserve"> para estimar el precio implícito del servicio </w:t>
      </w:r>
      <w:r w:rsidR="00756396" w:rsidRPr="00FA673B">
        <w:rPr>
          <w:lang w:val="es-MX"/>
        </w:rPr>
        <w:t xml:space="preserve">Netflix </w:t>
      </w:r>
      <w:r w:rsidR="00756396" w:rsidRPr="004F5533">
        <w:rPr>
          <w:lang w:val="es-MX"/>
        </w:rPr>
        <w:t>y su posterior reemplazo con la variable "Contratación de OTT (servicios de terceros)</w:t>
      </w:r>
      <w:r w:rsidR="00FA673B">
        <w:rPr>
          <w:lang w:val="es-MX"/>
        </w:rPr>
        <w:t>”</w:t>
      </w:r>
      <w:r w:rsidR="00671981">
        <w:rPr>
          <w:lang w:val="es-MX"/>
        </w:rPr>
        <w:t>,</w:t>
      </w:r>
      <w:r w:rsidR="00FA673B">
        <w:rPr>
          <w:lang w:val="es-MX"/>
        </w:rPr>
        <w:t xml:space="preserve"> </w:t>
      </w:r>
      <w:r w:rsidR="00671981">
        <w:rPr>
          <w:lang w:val="es-MX"/>
        </w:rPr>
        <w:t>e</w:t>
      </w:r>
      <w:r w:rsidR="00FA673B">
        <w:rPr>
          <w:lang w:val="es-MX"/>
        </w:rPr>
        <w:t>n el</w:t>
      </w:r>
      <w:r w:rsidR="00145F3B">
        <w:rPr>
          <w:lang w:val="es-MX"/>
        </w:rPr>
        <w:t xml:space="preserve"> MCE </w:t>
      </w:r>
      <w:r w:rsidR="005D0AC9">
        <w:rPr>
          <w:lang w:val="es-MX"/>
        </w:rPr>
        <w:t xml:space="preserve">y el documento metodológico </w:t>
      </w:r>
      <w:r w:rsidR="00FA673B">
        <w:rPr>
          <w:lang w:val="es-MX"/>
        </w:rPr>
        <w:t xml:space="preserve">se </w:t>
      </w:r>
      <w:r w:rsidR="002D419E">
        <w:rPr>
          <w:lang w:val="es-MX"/>
        </w:rPr>
        <w:t xml:space="preserve">muestra </w:t>
      </w:r>
      <w:r w:rsidR="00FA673B">
        <w:rPr>
          <w:lang w:val="es-MX"/>
        </w:rPr>
        <w:t>que las estimaciones asociadas a plataformas OTT</w:t>
      </w:r>
      <w:r w:rsidR="0073648D">
        <w:rPr>
          <w:lang w:val="es-MX"/>
        </w:rPr>
        <w:t xml:space="preserve"> (incluyendo a Netflix)</w:t>
      </w:r>
      <w:r w:rsidR="00FA673B">
        <w:rPr>
          <w:lang w:val="es-MX"/>
        </w:rPr>
        <w:t xml:space="preserve"> tiene como objetivo estimar el valor correspondiente a la banda ancha en los diferentes planes y paquetes sin dichos componentes. Para el caso específico que se refiere en el comentario, d</w:t>
      </w:r>
      <w:r w:rsidR="00145F3B">
        <w:rPr>
          <w:lang w:val="es-MX"/>
        </w:rPr>
        <w:t>icha variable</w:t>
      </w:r>
      <w:r w:rsidR="00A742B7">
        <w:rPr>
          <w:lang w:val="es-MX"/>
        </w:rPr>
        <w:t xml:space="preserve"> </w:t>
      </w:r>
      <w:r w:rsidR="00F219F4">
        <w:rPr>
          <w:lang w:val="es-MX"/>
        </w:rPr>
        <w:t xml:space="preserve">corresponde </w:t>
      </w:r>
      <w:r w:rsidR="00FA673B">
        <w:rPr>
          <w:lang w:val="es-MX"/>
        </w:rPr>
        <w:t>a la variable que permite estimar el</w:t>
      </w:r>
      <w:r w:rsidR="00F219F4">
        <w:rPr>
          <w:lang w:val="es-MX"/>
        </w:rPr>
        <w:t xml:space="preserve"> costo del servicio de banda ancha de la </w:t>
      </w:r>
      <w:r w:rsidR="00AB23D1">
        <w:rPr>
          <w:lang w:val="es-MX"/>
        </w:rPr>
        <w:t>c</w:t>
      </w:r>
      <w:r w:rsidR="00F219F4" w:rsidRPr="00F219F4">
        <w:rPr>
          <w:lang w:val="es-MX"/>
        </w:rPr>
        <w:t>anasta de servicios que se incluyen como parte de la tarifa preferencial de la renta mensual por la adquisición de servicios OTT</w:t>
      </w:r>
      <w:r w:rsidR="00AB23D1">
        <w:rPr>
          <w:lang w:val="es-MX"/>
        </w:rPr>
        <w:t>.</w:t>
      </w:r>
      <w:r w:rsidR="00E93844">
        <w:rPr>
          <w:lang w:val="es-MX"/>
        </w:rPr>
        <w:t xml:space="preserve"> </w:t>
      </w:r>
    </w:p>
    <w:p w14:paraId="512F3811" w14:textId="55D88B78" w:rsidR="00083BC7" w:rsidRDefault="00FA673B" w:rsidP="00083BC7">
      <w:pPr>
        <w:pStyle w:val="Textoindependiente"/>
        <w:spacing w:before="93" w:line="302" w:lineRule="auto"/>
        <w:ind w:left="810" w:right="815"/>
        <w:jc w:val="both"/>
        <w:rPr>
          <w:lang w:val="es-MX"/>
        </w:rPr>
      </w:pPr>
      <w:r>
        <w:rPr>
          <w:lang w:val="es-MX"/>
        </w:rPr>
        <w:lastRenderedPageBreak/>
        <w:t>En concreto, el</w:t>
      </w:r>
      <w:r w:rsidR="0055104D">
        <w:t xml:space="preserve"> </w:t>
      </w:r>
      <w:r w:rsidR="00083BC7">
        <w:t>enfoque metodológico</w:t>
      </w:r>
      <w:r w:rsidR="0055104D">
        <w:t xml:space="preserve"> se encuentra justificado en el numeral </w:t>
      </w:r>
      <w:r w:rsidR="00145F3B">
        <w:t>“</w:t>
      </w:r>
      <w:r w:rsidR="00D515C6" w:rsidRPr="00FA673B">
        <w:rPr>
          <w:i/>
        </w:rPr>
        <w:t>3.5 Enfoque de estimación del precio implícito de los elementos que integran la canasta de servicios de los planes y paquetes de TELMEX/TELNOR</w:t>
      </w:r>
      <w:r w:rsidR="00D515C6">
        <w:t xml:space="preserve">” del documento metodológico. </w:t>
      </w:r>
      <w:r>
        <w:t>Lo anterior, asegurando</w:t>
      </w:r>
      <w:r w:rsidR="00083BC7">
        <w:t xml:space="preserve"> que </w:t>
      </w:r>
      <w:r>
        <w:t xml:space="preserve">se </w:t>
      </w:r>
      <w:r w:rsidR="00083BC7">
        <w:t>permita ofrecer servicios de reventa sin considerar los</w:t>
      </w:r>
      <w:r w:rsidR="00537B8B">
        <w:t xml:space="preserve"> </w:t>
      </w:r>
      <w:r w:rsidR="00537B8B" w:rsidRPr="00997441">
        <w:rPr>
          <w:i/>
          <w:iCs/>
        </w:rPr>
        <w:t xml:space="preserve">Internet Content </w:t>
      </w:r>
      <w:proofErr w:type="spellStart"/>
      <w:r w:rsidR="00537B8B" w:rsidRPr="00997441">
        <w:rPr>
          <w:i/>
          <w:iCs/>
        </w:rPr>
        <w:t>Provider</w:t>
      </w:r>
      <w:proofErr w:type="spellEnd"/>
      <w:r w:rsidR="00537B8B">
        <w:t xml:space="preserve"> (en lo sucesivo, los “</w:t>
      </w:r>
      <w:r w:rsidR="00083BC7">
        <w:t>ICP</w:t>
      </w:r>
      <w:r w:rsidR="00537B8B">
        <w:t>”)</w:t>
      </w:r>
      <w:r w:rsidR="00083BC7">
        <w:t xml:space="preserve"> para reflejar el valor efectivo de la banda ancha.</w:t>
      </w:r>
    </w:p>
    <w:p w14:paraId="7933CF46" w14:textId="260728F4" w:rsidR="00EE3687" w:rsidRDefault="00EE3687" w:rsidP="00EE3687">
      <w:pPr>
        <w:pStyle w:val="Textoindependiente"/>
        <w:spacing w:before="93" w:line="302" w:lineRule="auto"/>
        <w:ind w:left="810" w:right="815"/>
        <w:jc w:val="both"/>
        <w:rPr>
          <w:lang w:val="es-MX"/>
        </w:rPr>
      </w:pPr>
      <w:r>
        <w:rPr>
          <w:lang w:val="es-MX"/>
        </w:rPr>
        <w:t xml:space="preserve">Referente </w:t>
      </w:r>
      <w:r w:rsidR="0073648D">
        <w:rPr>
          <w:lang w:val="es-MX"/>
        </w:rPr>
        <w:t xml:space="preserve">a </w:t>
      </w:r>
      <w:r>
        <w:rPr>
          <w:lang w:val="es-MX"/>
        </w:rPr>
        <w:t xml:space="preserve">la solicitud de explicación del cálculo del precio implícito de </w:t>
      </w:r>
      <w:r w:rsidRPr="005D0AC9">
        <w:rPr>
          <w:i/>
          <w:lang w:val="es-MX"/>
        </w:rPr>
        <w:t>“Renta de línea comercial</w:t>
      </w:r>
      <w:r>
        <w:rPr>
          <w:lang w:val="es-MX"/>
        </w:rPr>
        <w:t>” y estimación de servicios digitales se destaca que la descripción de la estimación se describe en el numeral “</w:t>
      </w:r>
      <w:r w:rsidRPr="0090583A">
        <w:rPr>
          <w:i/>
        </w:rPr>
        <w:t>3.4. Metodología para definir precios de referencia de los servicios de desagregación</w:t>
      </w:r>
      <w:r>
        <w:rPr>
          <w:lang w:val="es-MX"/>
        </w:rPr>
        <w:t>” y “</w:t>
      </w:r>
      <w:r w:rsidRPr="0090583A">
        <w:rPr>
          <w:i/>
        </w:rPr>
        <w:t>3.5. Enfoque de estimación del precio implícito de los elementos que integran la canasta de servicios de los planes y paquetes de TELMEX/TELNOR</w:t>
      </w:r>
      <w:r>
        <w:t xml:space="preserve">” del documento metodológico. </w:t>
      </w:r>
    </w:p>
    <w:p w14:paraId="3E0912E2" w14:textId="07E4D397" w:rsidR="0046367D" w:rsidRDefault="000A3176" w:rsidP="00682E20">
      <w:pPr>
        <w:pStyle w:val="Textoindependiente"/>
        <w:spacing w:before="93" w:line="302" w:lineRule="auto"/>
        <w:ind w:left="810" w:right="815"/>
        <w:jc w:val="both"/>
      </w:pPr>
      <w:r>
        <w:t xml:space="preserve">Por lo que hace a la solicitud para la corrección de la nomenclatura de la proporción de los servicios digitales y los servicios de voz en la renta mensual del servicio, </w:t>
      </w:r>
      <w:r w:rsidR="005D0AC9">
        <w:t>se</w:t>
      </w:r>
      <w:r>
        <w:t xml:space="preserve"> hará una revisión detallada del MCE a efecto de </w:t>
      </w:r>
      <w:r w:rsidR="0073648D">
        <w:t xml:space="preserve">evitar que </w:t>
      </w:r>
      <w:r>
        <w:t xml:space="preserve">cualquier nomenclatura </w:t>
      </w:r>
      <w:r w:rsidR="00145F3B">
        <w:t xml:space="preserve">pueda resultar en una interpretación que no corresponda con la metodología </w:t>
      </w:r>
      <w:r w:rsidR="001C3EC2">
        <w:t>atendida por el Instituto</w:t>
      </w:r>
      <w:r w:rsidR="008C6EF1">
        <w:t>.</w:t>
      </w:r>
    </w:p>
    <w:p w14:paraId="6004C46E" w14:textId="70960A64" w:rsidR="00AF7197" w:rsidRDefault="00AF7197" w:rsidP="00682E20">
      <w:pPr>
        <w:pStyle w:val="Textoindependiente"/>
        <w:spacing w:before="93" w:line="302" w:lineRule="auto"/>
        <w:ind w:left="810" w:right="815"/>
        <w:jc w:val="both"/>
        <w:rPr>
          <w:lang w:val="es-MX"/>
        </w:rPr>
      </w:pPr>
      <w:r>
        <w:t xml:space="preserve">Por último, respecto al comentario de revisión de los </w:t>
      </w:r>
      <w:r w:rsidRPr="001C3EC2">
        <w:rPr>
          <w:lang w:val="es-MX"/>
        </w:rPr>
        <w:t>elementos anteriores a fin de dar ma</w:t>
      </w:r>
      <w:r w:rsidRPr="00F67ECC">
        <w:rPr>
          <w:lang w:val="es-MX"/>
        </w:rPr>
        <w:t xml:space="preserve">yor transparencia </w:t>
      </w:r>
      <w:r w:rsidR="00FA673B">
        <w:rPr>
          <w:lang w:val="es-MX"/>
        </w:rPr>
        <w:t>en la estrategia de tarifas</w:t>
      </w:r>
      <w:r>
        <w:rPr>
          <w:lang w:val="es-MX"/>
        </w:rPr>
        <w:t xml:space="preserve">, </w:t>
      </w:r>
      <w:r w:rsidR="00145F3B">
        <w:rPr>
          <w:lang w:val="es-MX"/>
        </w:rPr>
        <w:t>se</w:t>
      </w:r>
      <w:r>
        <w:rPr>
          <w:lang w:val="es-MX"/>
        </w:rPr>
        <w:t xml:space="preserve"> destaca que </w:t>
      </w:r>
      <w:r w:rsidR="005A3214">
        <w:rPr>
          <w:lang w:val="es-MX"/>
        </w:rPr>
        <w:t>la metodología reconoce las características particulares de cada plan y paquete minorista que comercializa el AEP con sus usuarios</w:t>
      </w:r>
      <w:r w:rsidR="007872FA">
        <w:rPr>
          <w:lang w:val="es-MX"/>
        </w:rPr>
        <w:t xml:space="preserve"> y</w:t>
      </w:r>
      <w:r w:rsidR="005A3214">
        <w:rPr>
          <w:lang w:val="es-MX"/>
        </w:rPr>
        <w:t>, a partir de ello, defin</w:t>
      </w:r>
      <w:r w:rsidR="00C215DB">
        <w:rPr>
          <w:lang w:val="es-MX"/>
        </w:rPr>
        <w:t>e</w:t>
      </w:r>
      <w:r w:rsidR="005A3214">
        <w:rPr>
          <w:lang w:val="es-MX"/>
        </w:rPr>
        <w:t xml:space="preserve"> </w:t>
      </w:r>
      <w:r w:rsidR="00B64A0D">
        <w:rPr>
          <w:lang w:val="es-MX"/>
        </w:rPr>
        <w:t xml:space="preserve">por cada uno </w:t>
      </w:r>
      <w:r w:rsidR="00C215DB">
        <w:rPr>
          <w:lang w:val="es-MX"/>
        </w:rPr>
        <w:t>los</w:t>
      </w:r>
      <w:r w:rsidR="005A3214">
        <w:rPr>
          <w:lang w:val="es-MX"/>
        </w:rPr>
        <w:t xml:space="preserve"> precios implícitos </w:t>
      </w:r>
      <w:r w:rsidR="00B64A0D">
        <w:rPr>
          <w:lang w:val="es-MX"/>
        </w:rPr>
        <w:t>(línea, voz, banda ancha)</w:t>
      </w:r>
      <w:r w:rsidR="005A3214">
        <w:rPr>
          <w:lang w:val="es-MX"/>
        </w:rPr>
        <w:t xml:space="preserve"> </w:t>
      </w:r>
      <w:r w:rsidR="00B64A0D">
        <w:rPr>
          <w:lang w:val="es-MX"/>
        </w:rPr>
        <w:t xml:space="preserve">los </w:t>
      </w:r>
      <w:r w:rsidR="005A3214">
        <w:rPr>
          <w:lang w:val="es-MX"/>
        </w:rPr>
        <w:t>costos evitados asociados</w:t>
      </w:r>
      <w:r w:rsidR="00FA673B">
        <w:rPr>
          <w:lang w:val="es-MX"/>
        </w:rPr>
        <w:t xml:space="preserve"> conforme a la metodología descrita en la Medida TRIGÉSIMA NOVENA</w:t>
      </w:r>
      <w:r w:rsidR="007872FA">
        <w:rPr>
          <w:lang w:val="es-MX"/>
        </w:rPr>
        <w:t xml:space="preserve">. Por lo que la tarifa mayorista </w:t>
      </w:r>
      <w:r w:rsidR="00660900">
        <w:rPr>
          <w:lang w:val="es-MX"/>
        </w:rPr>
        <w:t xml:space="preserve">reconoce los elementos estrictamente relacionados </w:t>
      </w:r>
      <w:r w:rsidR="004E0017">
        <w:rPr>
          <w:lang w:val="es-MX"/>
        </w:rPr>
        <w:t>de</w:t>
      </w:r>
      <w:r w:rsidR="00660900">
        <w:rPr>
          <w:lang w:val="es-MX"/>
        </w:rPr>
        <w:t xml:space="preserve"> cada plan y paquete.</w:t>
      </w:r>
    </w:p>
    <w:p w14:paraId="4719838E" w14:textId="77777777" w:rsidR="005D0AC9" w:rsidRPr="006B160F" w:rsidRDefault="005D0AC9" w:rsidP="00682E20">
      <w:pPr>
        <w:pStyle w:val="Textoindependiente"/>
        <w:spacing w:before="93" w:line="302" w:lineRule="auto"/>
        <w:ind w:left="810" w:right="815"/>
        <w:jc w:val="both"/>
        <w:rPr>
          <w:lang w:val="es-MX"/>
        </w:rPr>
      </w:pPr>
    </w:p>
    <w:p w14:paraId="29E102B2" w14:textId="52903D09" w:rsidR="0046367D" w:rsidRPr="0046367D" w:rsidRDefault="0046367D" w:rsidP="0046367D">
      <w:pPr>
        <w:pStyle w:val="Ttulo1"/>
        <w:numPr>
          <w:ilvl w:val="0"/>
          <w:numId w:val="1"/>
        </w:numPr>
        <w:tabs>
          <w:tab w:val="left" w:pos="1530"/>
          <w:tab w:val="left" w:pos="1531"/>
        </w:tabs>
        <w:spacing w:before="201"/>
        <w:ind w:hanging="545"/>
        <w:jc w:val="left"/>
        <w:rPr>
          <w:lang w:val="es-MX"/>
        </w:rPr>
      </w:pPr>
      <w:r w:rsidRPr="0046367D">
        <w:rPr>
          <w:lang w:val="es-MX"/>
        </w:rPr>
        <w:t>Definición de conceptos de costos evitados en los servicios de reventa</w:t>
      </w:r>
    </w:p>
    <w:p w14:paraId="6F7264E2" w14:textId="77777777" w:rsidR="005D0AC9" w:rsidRDefault="005D0AC9" w:rsidP="00682E20">
      <w:pPr>
        <w:pStyle w:val="Textoindependiente"/>
        <w:spacing w:before="93" w:line="302" w:lineRule="auto"/>
        <w:ind w:left="810" w:right="815"/>
        <w:jc w:val="both"/>
        <w:rPr>
          <w:i/>
          <w:u w:val="single"/>
          <w:lang w:val="es-MX"/>
        </w:rPr>
      </w:pPr>
    </w:p>
    <w:p w14:paraId="3CE2B606" w14:textId="38D8C7B6" w:rsidR="00682E20" w:rsidRDefault="00682E20" w:rsidP="00682E20">
      <w:pPr>
        <w:pStyle w:val="Textoindependiente"/>
        <w:spacing w:before="93" w:line="302" w:lineRule="auto"/>
        <w:ind w:left="810" w:right="815"/>
        <w:jc w:val="both"/>
        <w:rPr>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comentarios</w:t>
      </w:r>
      <w:r w:rsidRPr="006B160F">
        <w:rPr>
          <w:i/>
          <w:spacing w:val="-6"/>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la</w:t>
      </w:r>
      <w:r w:rsidRPr="006B160F">
        <w:rPr>
          <w:i/>
          <w:spacing w:val="-4"/>
          <w:u w:val="single"/>
          <w:lang w:val="es-MX"/>
        </w:rPr>
        <w:t xml:space="preserve"> </w:t>
      </w:r>
      <w:r>
        <w:rPr>
          <w:i/>
          <w:u w:val="single"/>
          <w:lang w:val="es-MX"/>
        </w:rPr>
        <w:t>Consulta Pública</w:t>
      </w:r>
    </w:p>
    <w:p w14:paraId="606DC9F0" w14:textId="012E31C8" w:rsidR="00682E20" w:rsidRPr="006B160F" w:rsidRDefault="003C6658" w:rsidP="00682E20">
      <w:pPr>
        <w:pStyle w:val="Textoindependiente"/>
        <w:spacing w:before="93" w:line="302" w:lineRule="auto"/>
        <w:ind w:left="810" w:right="815"/>
        <w:jc w:val="both"/>
        <w:rPr>
          <w:lang w:val="es-MX"/>
        </w:rPr>
      </w:pPr>
      <w:r>
        <w:rPr>
          <w:lang w:val="es-MX"/>
        </w:rPr>
        <w:t xml:space="preserve">La CANIETI </w:t>
      </w:r>
      <w:r w:rsidR="00D570CA">
        <w:rPr>
          <w:lang w:val="es-MX"/>
        </w:rPr>
        <w:t>s</w:t>
      </w:r>
      <w:r>
        <w:rPr>
          <w:lang w:val="es-MX"/>
        </w:rPr>
        <w:t xml:space="preserve">olicita detallar los cambios asociados a los conceptos de costos evitados, </w:t>
      </w:r>
      <w:r w:rsidRPr="003C6658">
        <w:rPr>
          <w:lang w:val="es-MX"/>
        </w:rPr>
        <w:t>debido a que en todos los casos representaron un detrimento de las condiciones frente a lo planteado inicialmente por el IFT.</w:t>
      </w:r>
    </w:p>
    <w:p w14:paraId="6EE8DA25" w14:textId="0A22A668" w:rsidR="00682E20" w:rsidRPr="006B160F" w:rsidRDefault="003C6658" w:rsidP="00682E20">
      <w:pPr>
        <w:pStyle w:val="Textoindependiente"/>
        <w:spacing w:before="93" w:line="302" w:lineRule="auto"/>
        <w:ind w:left="810" w:right="815"/>
        <w:jc w:val="both"/>
        <w:rPr>
          <w:lang w:val="es-MX"/>
        </w:rPr>
      </w:pPr>
      <w:r>
        <w:rPr>
          <w:lang w:val="es-MX"/>
        </w:rPr>
        <w:t xml:space="preserve">Además, la CANIETI y Megacable solicitan </w:t>
      </w:r>
      <w:r w:rsidRPr="003C6658">
        <w:rPr>
          <w:lang w:val="es-MX"/>
        </w:rPr>
        <w:t>revisar los conceptos incluidos en los costos evitados, a fin de no excluir alguno(s) y en consecuencia determinar un margen de costos evitados menor al necesario para generar condiciones de competencia en estos servicios.</w:t>
      </w:r>
    </w:p>
    <w:p w14:paraId="7605B519" w14:textId="77777777" w:rsidR="00682E20" w:rsidRDefault="00682E20" w:rsidP="00682E20">
      <w:pPr>
        <w:spacing w:before="53"/>
        <w:ind w:left="810"/>
        <w:jc w:val="both"/>
        <w:rPr>
          <w:lang w:val="es-MX"/>
        </w:rPr>
      </w:pPr>
    </w:p>
    <w:p w14:paraId="5401836E" w14:textId="77777777" w:rsidR="00682E20" w:rsidRDefault="00682E20" w:rsidP="00682E20">
      <w:pPr>
        <w:ind w:left="810"/>
        <w:jc w:val="both"/>
        <w:rPr>
          <w:i/>
          <w:u w:val="single"/>
          <w:lang w:val="es-MX"/>
        </w:rPr>
      </w:pPr>
      <w:r w:rsidRPr="00706DCD">
        <w:rPr>
          <w:i/>
          <w:u w:val="single"/>
          <w:lang w:val="es-MX"/>
        </w:rPr>
        <w:t>Respuesta</w:t>
      </w:r>
      <w:r w:rsidRPr="00770F9E">
        <w:rPr>
          <w:i/>
          <w:u w:val="single"/>
          <w:lang w:val="es-MX"/>
        </w:rPr>
        <w:t xml:space="preserve"> </w:t>
      </w:r>
      <w:r w:rsidRPr="00706DCD">
        <w:rPr>
          <w:i/>
          <w:u w:val="single"/>
          <w:lang w:val="es-MX"/>
        </w:rPr>
        <w:t>de</w:t>
      </w:r>
      <w:r>
        <w:rPr>
          <w:i/>
          <w:u w:val="single"/>
          <w:lang w:val="es-MX"/>
        </w:rPr>
        <w:t xml:space="preserve"> la UPR</w:t>
      </w:r>
    </w:p>
    <w:p w14:paraId="591BFCD5" w14:textId="77777777" w:rsidR="00682E20" w:rsidRDefault="00682E20" w:rsidP="00682E20">
      <w:pPr>
        <w:ind w:left="810"/>
        <w:jc w:val="both"/>
        <w:rPr>
          <w:i/>
          <w:u w:val="single"/>
          <w:lang w:val="es-MX"/>
        </w:rPr>
      </w:pPr>
    </w:p>
    <w:p w14:paraId="7213A54C" w14:textId="6832ED0E" w:rsidR="00562145" w:rsidRDefault="00145F3B" w:rsidP="00805096">
      <w:pPr>
        <w:pStyle w:val="Textoindependiente"/>
        <w:spacing w:before="93" w:line="302" w:lineRule="auto"/>
        <w:ind w:left="810" w:right="815"/>
        <w:jc w:val="both"/>
        <w:rPr>
          <w:lang w:val="es-MX"/>
        </w:rPr>
      </w:pPr>
      <w:r>
        <w:rPr>
          <w:lang w:val="es-MX"/>
        </w:rPr>
        <w:t>L</w:t>
      </w:r>
      <w:r w:rsidR="00DA58C2">
        <w:rPr>
          <w:lang w:val="es-MX"/>
        </w:rPr>
        <w:t xml:space="preserve">os </w:t>
      </w:r>
      <w:r w:rsidR="006F57D1">
        <w:rPr>
          <w:lang w:val="es-MX"/>
        </w:rPr>
        <w:t>conceptos de costos evitados</w:t>
      </w:r>
      <w:r w:rsidR="00DA58C2">
        <w:rPr>
          <w:lang w:val="es-MX"/>
        </w:rPr>
        <w:t xml:space="preserve"> </w:t>
      </w:r>
      <w:r w:rsidR="000C62BC">
        <w:rPr>
          <w:lang w:val="es-MX"/>
        </w:rPr>
        <w:t xml:space="preserve">se encuentran detallados en el numeral </w:t>
      </w:r>
      <w:r>
        <w:rPr>
          <w:lang w:val="es-MX"/>
        </w:rPr>
        <w:t>“</w:t>
      </w:r>
      <w:r w:rsidR="000C62BC" w:rsidRPr="00C4461B">
        <w:rPr>
          <w:i/>
          <w:lang w:val="es-MX"/>
        </w:rPr>
        <w:t xml:space="preserve">3.7 </w:t>
      </w:r>
      <w:r w:rsidR="00CC62B5" w:rsidRPr="00C4461B">
        <w:rPr>
          <w:i/>
          <w:lang w:val="es-MX"/>
        </w:rPr>
        <w:t>Definición de conceptos de costos evitados en los Servicios de Reventa</w:t>
      </w:r>
      <w:r w:rsidR="00F3647D">
        <w:rPr>
          <w:lang w:val="es-MX"/>
        </w:rPr>
        <w:t>”</w:t>
      </w:r>
      <w:r w:rsidR="00CC62B5">
        <w:rPr>
          <w:lang w:val="es-MX"/>
        </w:rPr>
        <w:t xml:space="preserve"> </w:t>
      </w:r>
      <w:r w:rsidR="006625EA">
        <w:rPr>
          <w:lang w:val="es-MX"/>
        </w:rPr>
        <w:t xml:space="preserve">donde se presentan </w:t>
      </w:r>
      <w:r w:rsidR="00562145">
        <w:rPr>
          <w:lang w:val="es-MX"/>
        </w:rPr>
        <w:t>los niveles de cada uno</w:t>
      </w:r>
      <w:r w:rsidR="00696C86">
        <w:rPr>
          <w:lang w:val="es-MX"/>
        </w:rPr>
        <w:t xml:space="preserve"> de los costos evitados</w:t>
      </w:r>
      <w:r w:rsidR="00DE17DE">
        <w:rPr>
          <w:lang w:val="es-MX"/>
        </w:rPr>
        <w:t>, en los que se</w:t>
      </w:r>
      <w:r w:rsidR="00562145">
        <w:rPr>
          <w:lang w:val="es-MX"/>
        </w:rPr>
        <w:t xml:space="preserve"> refiere</w:t>
      </w:r>
      <w:r w:rsidR="00DE17DE">
        <w:rPr>
          <w:lang w:val="es-MX"/>
        </w:rPr>
        <w:t xml:space="preserve"> la fuente </w:t>
      </w:r>
      <w:r w:rsidR="00562145">
        <w:rPr>
          <w:lang w:val="es-MX"/>
        </w:rPr>
        <w:t>y periodo p</w:t>
      </w:r>
      <w:r w:rsidR="00DE17DE">
        <w:rPr>
          <w:lang w:val="es-MX"/>
        </w:rPr>
        <w:t xml:space="preserve">ara la estimación de los porcentajes de descuento. </w:t>
      </w:r>
    </w:p>
    <w:p w14:paraId="4E5A3E94" w14:textId="60608678" w:rsidR="00C64DBC" w:rsidRDefault="00DE17DE" w:rsidP="00805096">
      <w:pPr>
        <w:pStyle w:val="Textoindependiente"/>
        <w:spacing w:before="93" w:line="302" w:lineRule="auto"/>
        <w:ind w:left="810" w:right="815"/>
        <w:jc w:val="both"/>
        <w:rPr>
          <w:lang w:val="es-MX"/>
        </w:rPr>
      </w:pPr>
      <w:r>
        <w:rPr>
          <w:lang w:val="es-MX"/>
        </w:rPr>
        <w:t>Para mayor claridad se citan los descuentos a que se hace referencia</w:t>
      </w:r>
      <w:r w:rsidR="00696C86">
        <w:rPr>
          <w:lang w:val="es-MX"/>
        </w:rPr>
        <w:t>:</w:t>
      </w:r>
    </w:p>
    <w:p w14:paraId="70BBC99D" w14:textId="18A50E5C" w:rsidR="00C64DBC" w:rsidRDefault="006625EA" w:rsidP="00C64DBC">
      <w:pPr>
        <w:pStyle w:val="Textoindependiente"/>
        <w:numPr>
          <w:ilvl w:val="0"/>
          <w:numId w:val="11"/>
        </w:numPr>
        <w:spacing w:before="93" w:line="302" w:lineRule="auto"/>
        <w:ind w:right="815"/>
        <w:jc w:val="both"/>
        <w:rPr>
          <w:lang w:val="es-MX"/>
        </w:rPr>
      </w:pPr>
      <w:r>
        <w:rPr>
          <w:lang w:val="es-MX"/>
        </w:rPr>
        <w:lastRenderedPageBreak/>
        <w:t>Facturación</w:t>
      </w:r>
      <w:r w:rsidR="00C64DBC">
        <w:rPr>
          <w:lang w:val="es-MX"/>
        </w:rPr>
        <w:t xml:space="preserve">: 3.99% </w:t>
      </w:r>
      <w:r w:rsidR="006D201C">
        <w:rPr>
          <w:lang w:val="es-MX"/>
        </w:rPr>
        <w:t>a partir de la</w:t>
      </w:r>
      <w:r w:rsidR="001F5947">
        <w:rPr>
          <w:lang w:val="es-MX"/>
        </w:rPr>
        <w:t xml:space="preserve"> información de </w:t>
      </w:r>
      <w:r w:rsidR="002D419E">
        <w:rPr>
          <w:lang w:val="es-MX"/>
        </w:rPr>
        <w:t>Separación Contable del periodo 2019 a 2021</w:t>
      </w:r>
      <w:r w:rsidR="00696C86">
        <w:rPr>
          <w:lang w:val="es-MX"/>
        </w:rPr>
        <w:t>;</w:t>
      </w:r>
    </w:p>
    <w:p w14:paraId="0AAF1998" w14:textId="7FC539D4" w:rsidR="001F5947" w:rsidRDefault="006625EA" w:rsidP="00C64DBC">
      <w:pPr>
        <w:pStyle w:val="Textoindependiente"/>
        <w:numPr>
          <w:ilvl w:val="0"/>
          <w:numId w:val="11"/>
        </w:numPr>
        <w:spacing w:before="93" w:line="302" w:lineRule="auto"/>
        <w:ind w:right="815"/>
        <w:jc w:val="both"/>
        <w:rPr>
          <w:lang w:val="es-MX"/>
        </w:rPr>
      </w:pPr>
      <w:r>
        <w:rPr>
          <w:lang w:val="es-MX"/>
        </w:rPr>
        <w:t>Deuda incobrable</w:t>
      </w:r>
      <w:r w:rsidR="001F5947">
        <w:rPr>
          <w:lang w:val="es-MX"/>
        </w:rPr>
        <w:t>: 1.85</w:t>
      </w:r>
      <w:r w:rsidR="005D0AC9">
        <w:rPr>
          <w:lang w:val="es-MX"/>
        </w:rPr>
        <w:t>% con</w:t>
      </w:r>
      <w:r w:rsidR="001F5947">
        <w:rPr>
          <w:lang w:val="es-MX"/>
        </w:rPr>
        <w:t xml:space="preserve"> información de Separación Contable de 2017-2020</w:t>
      </w:r>
      <w:r w:rsidR="00696C86">
        <w:rPr>
          <w:lang w:val="es-MX"/>
        </w:rPr>
        <w:t>;</w:t>
      </w:r>
    </w:p>
    <w:p w14:paraId="2B7FB1AA" w14:textId="6BC08B64" w:rsidR="001F5947" w:rsidRDefault="006625EA" w:rsidP="00C64DBC">
      <w:pPr>
        <w:pStyle w:val="Textoindependiente"/>
        <w:numPr>
          <w:ilvl w:val="0"/>
          <w:numId w:val="11"/>
        </w:numPr>
        <w:spacing w:before="93" w:line="302" w:lineRule="auto"/>
        <w:ind w:right="815"/>
        <w:jc w:val="both"/>
        <w:rPr>
          <w:lang w:val="es-MX"/>
        </w:rPr>
      </w:pPr>
      <w:r>
        <w:rPr>
          <w:lang w:val="es-MX"/>
        </w:rPr>
        <w:t>Mercadotecnia y publicidad</w:t>
      </w:r>
      <w:r w:rsidR="001F5947">
        <w:rPr>
          <w:lang w:val="es-MX"/>
        </w:rPr>
        <w:t xml:space="preserve">: se mantiene el enfoque </w:t>
      </w:r>
      <w:r w:rsidR="00696C86">
        <w:rPr>
          <w:lang w:val="es-MX"/>
        </w:rPr>
        <w:t>con</w:t>
      </w:r>
      <w:r w:rsidR="001F5947">
        <w:rPr>
          <w:lang w:val="es-MX"/>
        </w:rPr>
        <w:t xml:space="preserve"> que </w:t>
      </w:r>
      <w:r w:rsidR="00696C86">
        <w:rPr>
          <w:lang w:val="es-MX"/>
        </w:rPr>
        <w:t>los valores observados de Separación Contable de 2017-2020;</w:t>
      </w:r>
    </w:p>
    <w:p w14:paraId="0B4EE3CC" w14:textId="6BD4EEDA" w:rsidR="00696C86" w:rsidRDefault="006625EA" w:rsidP="00C64DBC">
      <w:pPr>
        <w:pStyle w:val="Textoindependiente"/>
        <w:numPr>
          <w:ilvl w:val="0"/>
          <w:numId w:val="11"/>
        </w:numPr>
        <w:spacing w:before="93" w:line="302" w:lineRule="auto"/>
        <w:ind w:right="815"/>
        <w:jc w:val="both"/>
        <w:rPr>
          <w:lang w:val="es-MX"/>
        </w:rPr>
      </w:pPr>
      <w:r>
        <w:rPr>
          <w:lang w:val="es-MX"/>
        </w:rPr>
        <w:t>Servicio de atención al cliente</w:t>
      </w:r>
      <w:r w:rsidR="00696C86">
        <w:rPr>
          <w:lang w:val="es-MX"/>
        </w:rPr>
        <w:t>:</w:t>
      </w:r>
      <w:r w:rsidR="00FB4248">
        <w:rPr>
          <w:lang w:val="es-MX"/>
        </w:rPr>
        <w:t xml:space="preserve"> se toma el valor promedio de 2019-2021 del costo del servicio de atención </w:t>
      </w:r>
      <w:r w:rsidR="001A3D59">
        <w:rPr>
          <w:lang w:val="es-MX"/>
        </w:rPr>
        <w:t>al</w:t>
      </w:r>
      <w:r w:rsidR="00FB4248">
        <w:rPr>
          <w:lang w:val="es-MX"/>
        </w:rPr>
        <w:t xml:space="preserve"> cliente (incluyendo asistencia técnica de primera línea);</w:t>
      </w:r>
      <w:r>
        <w:rPr>
          <w:lang w:val="es-MX"/>
        </w:rPr>
        <w:t xml:space="preserve"> </w:t>
      </w:r>
    </w:p>
    <w:p w14:paraId="2CF9A3DB" w14:textId="0C3A20F7" w:rsidR="00FB4248" w:rsidRDefault="006625EA" w:rsidP="00C64DBC">
      <w:pPr>
        <w:pStyle w:val="Textoindependiente"/>
        <w:numPr>
          <w:ilvl w:val="0"/>
          <w:numId w:val="11"/>
        </w:numPr>
        <w:spacing w:before="93" w:line="302" w:lineRule="auto"/>
        <w:ind w:right="815"/>
        <w:jc w:val="both"/>
        <w:rPr>
          <w:lang w:val="es-MX"/>
        </w:rPr>
      </w:pPr>
      <w:r>
        <w:rPr>
          <w:lang w:val="es-MX"/>
        </w:rPr>
        <w:t>Gastos Generales y Administrativos</w:t>
      </w:r>
      <w:r w:rsidR="00FB4248">
        <w:rPr>
          <w:lang w:val="es-MX"/>
        </w:rPr>
        <w:t xml:space="preserve">: se toman los valores promedio de 2019-2021 </w:t>
      </w:r>
      <w:r w:rsidR="00CD7C94">
        <w:rPr>
          <w:lang w:val="es-MX"/>
        </w:rPr>
        <w:t xml:space="preserve">proporcionados por </w:t>
      </w:r>
      <w:r w:rsidR="00FB4248">
        <w:rPr>
          <w:lang w:val="es-MX"/>
        </w:rPr>
        <w:t>el AEP</w:t>
      </w:r>
      <w:r w:rsidR="00441FF8">
        <w:rPr>
          <w:lang w:val="es-MX"/>
        </w:rPr>
        <w:t xml:space="preserve"> (2.2%)</w:t>
      </w:r>
      <w:r>
        <w:rPr>
          <w:lang w:val="es-MX"/>
        </w:rPr>
        <w:t xml:space="preserve">, y </w:t>
      </w:r>
    </w:p>
    <w:p w14:paraId="6BFCFED9" w14:textId="7B578048" w:rsidR="006625EA" w:rsidRDefault="006625EA" w:rsidP="00997441">
      <w:pPr>
        <w:pStyle w:val="Textoindependiente"/>
        <w:numPr>
          <w:ilvl w:val="0"/>
          <w:numId w:val="11"/>
        </w:numPr>
        <w:spacing w:before="93" w:line="302" w:lineRule="auto"/>
        <w:ind w:right="815"/>
        <w:jc w:val="both"/>
        <w:rPr>
          <w:lang w:val="es-MX"/>
        </w:rPr>
      </w:pPr>
      <w:r>
        <w:rPr>
          <w:lang w:val="es-MX"/>
        </w:rPr>
        <w:t>Margen de beneficios sobre costos evitados</w:t>
      </w:r>
      <w:r w:rsidR="00441FF8">
        <w:rPr>
          <w:lang w:val="es-MX"/>
        </w:rPr>
        <w:t>: el margen de beneficios se toma del Costo de Capital Promedio Ponderado el cual se mantiene sin cambios</w:t>
      </w:r>
      <w:r>
        <w:rPr>
          <w:lang w:val="es-MX"/>
        </w:rPr>
        <w:t>.</w:t>
      </w:r>
    </w:p>
    <w:p w14:paraId="21BF6A79" w14:textId="41FDB71E" w:rsidR="00682E20" w:rsidRPr="006B160F" w:rsidRDefault="00805096" w:rsidP="00805096">
      <w:pPr>
        <w:pStyle w:val="Textoindependiente"/>
        <w:spacing w:before="93" w:line="302" w:lineRule="auto"/>
        <w:ind w:left="810" w:right="815"/>
        <w:jc w:val="both"/>
        <w:rPr>
          <w:lang w:val="es-MX"/>
        </w:rPr>
      </w:pPr>
      <w:r>
        <w:rPr>
          <w:lang w:val="es-MX"/>
        </w:rPr>
        <w:t>Por lo que respecta al</w:t>
      </w:r>
      <w:r w:rsidR="00C95B23">
        <w:rPr>
          <w:lang w:val="es-MX"/>
        </w:rPr>
        <w:t xml:space="preserve"> </w:t>
      </w:r>
      <w:r>
        <w:rPr>
          <w:lang w:val="es-MX"/>
        </w:rPr>
        <w:t xml:space="preserve">comentario de </w:t>
      </w:r>
      <w:r w:rsidRPr="00F3647D">
        <w:rPr>
          <w:lang w:val="es-MX"/>
        </w:rPr>
        <w:t>revisar los conceptos incluidos en los costos evitados</w:t>
      </w:r>
      <w:r>
        <w:rPr>
          <w:lang w:val="es-MX"/>
        </w:rPr>
        <w:t xml:space="preserve">, </w:t>
      </w:r>
      <w:r w:rsidR="006B21C2">
        <w:rPr>
          <w:lang w:val="es-MX"/>
        </w:rPr>
        <w:t xml:space="preserve"> se resalta que </w:t>
      </w:r>
      <w:r w:rsidRPr="00EF5854">
        <w:rPr>
          <w:lang w:val="es-MX"/>
        </w:rPr>
        <w:t xml:space="preserve">la presente Consulta Pública busca someter a consideración de los interesados los </w:t>
      </w:r>
      <w:r w:rsidR="005912BD">
        <w:rPr>
          <w:lang w:val="es-MX"/>
        </w:rPr>
        <w:t xml:space="preserve">aspectos, elementos y </w:t>
      </w:r>
      <w:r w:rsidRPr="00EF5854">
        <w:rPr>
          <w:lang w:val="es-MX"/>
        </w:rPr>
        <w:t xml:space="preserve">resultados preliminares del </w:t>
      </w:r>
      <w:r>
        <w:rPr>
          <w:lang w:val="es-MX"/>
        </w:rPr>
        <w:t>MCE</w:t>
      </w:r>
      <w:r w:rsidR="006A2A6F">
        <w:rPr>
          <w:lang w:val="es-MX"/>
        </w:rPr>
        <w:t xml:space="preserve"> los cuales se construyen con base en la mejor información disponible y acorde con el servicio regulado</w:t>
      </w:r>
      <w:r w:rsidR="005912BD">
        <w:rPr>
          <w:lang w:val="es-MX"/>
        </w:rPr>
        <w:t>, por lo que con el fin de tomar en cuenta de manera precisa los comentarios emitidos por los participantes en la Consulta Pública se espera que sus aportaciones se pueda validar con la documentación o referencias pertinentes</w:t>
      </w:r>
      <w:r w:rsidRPr="00EF5854">
        <w:rPr>
          <w:lang w:val="es-MX"/>
        </w:rPr>
        <w:t xml:space="preserve">. </w:t>
      </w:r>
    </w:p>
    <w:p w14:paraId="4764576F" w14:textId="77777777" w:rsidR="00682E20" w:rsidRDefault="00682E20" w:rsidP="00682E20">
      <w:pPr>
        <w:ind w:left="810"/>
        <w:jc w:val="both"/>
        <w:rPr>
          <w:i/>
          <w:u w:val="single"/>
          <w:lang w:val="es-MX"/>
        </w:rPr>
      </w:pPr>
    </w:p>
    <w:p w14:paraId="5EFB2606" w14:textId="54D29549" w:rsidR="00682E20" w:rsidRPr="006B160F" w:rsidRDefault="003C6658" w:rsidP="00682E20">
      <w:pPr>
        <w:pStyle w:val="Ttulo1"/>
        <w:numPr>
          <w:ilvl w:val="0"/>
          <w:numId w:val="1"/>
        </w:numPr>
        <w:tabs>
          <w:tab w:val="left" w:pos="1530"/>
          <w:tab w:val="left" w:pos="1531"/>
        </w:tabs>
        <w:spacing w:before="201"/>
        <w:ind w:hanging="545"/>
        <w:jc w:val="left"/>
        <w:rPr>
          <w:lang w:val="es-MX"/>
        </w:rPr>
      </w:pPr>
      <w:r>
        <w:rPr>
          <w:lang w:val="es-MX"/>
        </w:rPr>
        <w:t>Mercadotecnia y publicidad</w:t>
      </w:r>
    </w:p>
    <w:p w14:paraId="63EEA8D7" w14:textId="77777777" w:rsidR="00682E20" w:rsidRPr="006B160F" w:rsidRDefault="00682E20" w:rsidP="00682E20">
      <w:pPr>
        <w:pStyle w:val="Textoindependiente"/>
        <w:spacing w:before="7"/>
        <w:rPr>
          <w:b/>
          <w:sz w:val="20"/>
          <w:lang w:val="es-MX"/>
        </w:rPr>
      </w:pPr>
    </w:p>
    <w:p w14:paraId="55D03930" w14:textId="77777777" w:rsidR="00682E20" w:rsidRPr="006B160F" w:rsidRDefault="00682E20" w:rsidP="00682E20">
      <w:pPr>
        <w:ind w:left="810"/>
        <w:jc w:val="both"/>
        <w:rPr>
          <w:i/>
          <w:lang w:val="es-MX"/>
        </w:rPr>
      </w:pPr>
      <w:r w:rsidRPr="006B160F">
        <w:rPr>
          <w:i/>
          <w:u w:val="single"/>
          <w:lang w:val="es-MX"/>
        </w:rPr>
        <w:t>Resumen</w:t>
      </w:r>
      <w:r w:rsidRPr="006B160F">
        <w:rPr>
          <w:i/>
          <w:spacing w:val="-4"/>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comentarios</w:t>
      </w:r>
      <w:r w:rsidRPr="006B160F">
        <w:rPr>
          <w:i/>
          <w:spacing w:val="-6"/>
          <w:u w:val="single"/>
          <w:lang w:val="es-MX"/>
        </w:rPr>
        <w:t xml:space="preserve"> </w:t>
      </w:r>
      <w:r w:rsidRPr="006B160F">
        <w:rPr>
          <w:i/>
          <w:u w:val="single"/>
          <w:lang w:val="es-MX"/>
        </w:rPr>
        <w:t>de</w:t>
      </w:r>
      <w:r w:rsidRPr="006B160F">
        <w:rPr>
          <w:i/>
          <w:spacing w:val="-4"/>
          <w:u w:val="single"/>
          <w:lang w:val="es-MX"/>
        </w:rPr>
        <w:t xml:space="preserve"> </w:t>
      </w:r>
      <w:r w:rsidRPr="006B160F">
        <w:rPr>
          <w:i/>
          <w:u w:val="single"/>
          <w:lang w:val="es-MX"/>
        </w:rPr>
        <w:t>la</w:t>
      </w:r>
      <w:r w:rsidRPr="006B160F">
        <w:rPr>
          <w:i/>
          <w:spacing w:val="-4"/>
          <w:u w:val="single"/>
          <w:lang w:val="es-MX"/>
        </w:rPr>
        <w:t xml:space="preserve"> </w:t>
      </w:r>
      <w:r>
        <w:rPr>
          <w:i/>
          <w:u w:val="single"/>
          <w:lang w:val="es-MX"/>
        </w:rPr>
        <w:t>Consulta Pública</w:t>
      </w:r>
    </w:p>
    <w:p w14:paraId="302ED4A9" w14:textId="1DAFE6A4" w:rsidR="00682E20" w:rsidRDefault="003C6658" w:rsidP="00682E20">
      <w:pPr>
        <w:pStyle w:val="Textoindependiente"/>
        <w:spacing w:before="93" w:after="240" w:line="302" w:lineRule="auto"/>
        <w:ind w:left="810" w:right="815"/>
        <w:jc w:val="both"/>
        <w:rPr>
          <w:lang w:val="es-MX"/>
        </w:rPr>
      </w:pPr>
      <w:r>
        <w:rPr>
          <w:lang w:val="es-MX"/>
        </w:rPr>
        <w:t xml:space="preserve">La CANIETI y Megacable solicitan </w:t>
      </w:r>
      <w:r w:rsidR="008B4031" w:rsidRPr="008B4031">
        <w:rPr>
          <w:lang w:val="es-MX"/>
        </w:rPr>
        <w:t>realizar una auditoría o revisión detallada de</w:t>
      </w:r>
      <w:r w:rsidR="008B4031">
        <w:rPr>
          <w:lang w:val="es-MX"/>
        </w:rPr>
        <w:t>l rubro de mercadotecnia y publicidad, los cuales</w:t>
      </w:r>
      <w:r w:rsidR="008B4031" w:rsidRPr="008B4031">
        <w:rPr>
          <w:lang w:val="es-MX"/>
        </w:rPr>
        <w:t xml:space="preserve"> corresponden a la </w:t>
      </w:r>
      <w:r w:rsidR="00B15091">
        <w:rPr>
          <w:lang w:val="es-MX"/>
        </w:rPr>
        <w:t>S</w:t>
      </w:r>
      <w:r w:rsidR="008B4031" w:rsidRPr="008B4031">
        <w:rPr>
          <w:lang w:val="es-MX"/>
        </w:rPr>
        <w:t xml:space="preserve">eparación </w:t>
      </w:r>
      <w:r w:rsidR="00B15091">
        <w:rPr>
          <w:lang w:val="es-MX"/>
        </w:rPr>
        <w:t>C</w:t>
      </w:r>
      <w:r w:rsidR="008B4031" w:rsidRPr="008B4031">
        <w:rPr>
          <w:lang w:val="es-MX"/>
        </w:rPr>
        <w:t>ontable del AEP.</w:t>
      </w:r>
      <w:r w:rsidR="00B15091">
        <w:rPr>
          <w:lang w:val="es-MX"/>
        </w:rPr>
        <w:t xml:space="preserve"> El MCE </w:t>
      </w:r>
      <w:r w:rsidR="001A1C1F" w:rsidRPr="001A1C1F">
        <w:rPr>
          <w:lang w:val="es-MX"/>
        </w:rPr>
        <w:t>consultado asume que el costo evitado de Mercadotecnia y Publicidad corresponde al mayor de multiplicar 1,800 por el número de nuevas adiciones brutas del AEP o un 8% sobre los ingresos por servicios.</w:t>
      </w:r>
    </w:p>
    <w:p w14:paraId="2520AE08" w14:textId="03414F59" w:rsidR="00682E20" w:rsidRPr="009E73BF" w:rsidRDefault="00682E20" w:rsidP="00682E20">
      <w:pPr>
        <w:pStyle w:val="Textoindependiente"/>
        <w:spacing w:before="93" w:after="240" w:line="302" w:lineRule="auto"/>
        <w:ind w:left="810" w:right="815"/>
        <w:jc w:val="both"/>
        <w:rPr>
          <w:i/>
          <w:u w:val="single"/>
          <w:lang w:val="es-MX"/>
        </w:rPr>
      </w:pPr>
      <w:r w:rsidRPr="009E73BF">
        <w:rPr>
          <w:i/>
          <w:u w:val="single"/>
          <w:lang w:val="es-MX"/>
        </w:rPr>
        <w:t>Respuesta de la UPR</w:t>
      </w:r>
    </w:p>
    <w:p w14:paraId="305911DF" w14:textId="57461817" w:rsidR="00160FB2" w:rsidRDefault="001C3EC2" w:rsidP="00682E20">
      <w:pPr>
        <w:pStyle w:val="Textoindependiente"/>
        <w:spacing w:before="93" w:line="302" w:lineRule="auto"/>
        <w:ind w:left="810" w:right="815"/>
        <w:jc w:val="both"/>
        <w:rPr>
          <w:lang w:val="es-MX"/>
        </w:rPr>
      </w:pPr>
      <w:r>
        <w:rPr>
          <w:lang w:val="es-MX"/>
        </w:rPr>
        <w:t>Al respecto, se</w:t>
      </w:r>
      <w:r w:rsidR="00645203">
        <w:rPr>
          <w:lang w:val="es-MX"/>
        </w:rPr>
        <w:t xml:space="preserve"> </w:t>
      </w:r>
      <w:r w:rsidR="00A62139">
        <w:rPr>
          <w:lang w:val="es-MX"/>
        </w:rPr>
        <w:t>reitera</w:t>
      </w:r>
      <w:r w:rsidR="00160FB2">
        <w:rPr>
          <w:lang w:val="es-MX"/>
        </w:rPr>
        <w:t xml:space="preserve"> que el valor de mercadotecnia y publicidad corresponde a los valores </w:t>
      </w:r>
      <w:r w:rsidR="004949D7">
        <w:rPr>
          <w:lang w:val="es-MX"/>
        </w:rPr>
        <w:t>de separación contable del AEP</w:t>
      </w:r>
      <w:r w:rsidR="0025611B">
        <w:rPr>
          <w:lang w:val="es-MX"/>
        </w:rPr>
        <w:t xml:space="preserve"> tal</w:t>
      </w:r>
      <w:r w:rsidR="004949D7">
        <w:rPr>
          <w:lang w:val="es-MX"/>
        </w:rPr>
        <w:t xml:space="preserve"> como se </w:t>
      </w:r>
      <w:r w:rsidR="00152AD0">
        <w:rPr>
          <w:lang w:val="es-MX"/>
        </w:rPr>
        <w:t xml:space="preserve">encuentra </w:t>
      </w:r>
      <w:r w:rsidR="004949D7">
        <w:rPr>
          <w:lang w:val="es-MX"/>
        </w:rPr>
        <w:t>señala</w:t>
      </w:r>
      <w:r w:rsidR="00152AD0">
        <w:rPr>
          <w:lang w:val="es-MX"/>
        </w:rPr>
        <w:t>do</w:t>
      </w:r>
      <w:r w:rsidR="004949D7">
        <w:rPr>
          <w:lang w:val="es-MX"/>
        </w:rPr>
        <w:t xml:space="preserve"> en el </w:t>
      </w:r>
      <w:r w:rsidR="00152AD0">
        <w:rPr>
          <w:lang w:val="es-MX"/>
        </w:rPr>
        <w:t xml:space="preserve">modelo y en el </w:t>
      </w:r>
      <w:r w:rsidR="004949D7">
        <w:rPr>
          <w:lang w:val="es-MX"/>
        </w:rPr>
        <w:t>documento metodológico</w:t>
      </w:r>
      <w:r w:rsidR="00076733">
        <w:rPr>
          <w:lang w:val="es-MX"/>
        </w:rPr>
        <w:t>,</w:t>
      </w:r>
      <w:r w:rsidR="00152AD0">
        <w:rPr>
          <w:lang w:val="es-MX"/>
        </w:rPr>
        <w:t xml:space="preserve"> como a continuación se transcribe</w:t>
      </w:r>
      <w:r w:rsidR="004949D7">
        <w:rPr>
          <w:lang w:val="es-MX"/>
        </w:rPr>
        <w:t>:</w:t>
      </w:r>
    </w:p>
    <w:p w14:paraId="4AD24614" w14:textId="6CD2EC53" w:rsidR="004949D7" w:rsidRDefault="004949D7" w:rsidP="00997441">
      <w:pPr>
        <w:pStyle w:val="Cita"/>
        <w:ind w:left="1560" w:right="1723"/>
        <w:jc w:val="both"/>
        <w:rPr>
          <w:lang w:val="es-MX"/>
        </w:rPr>
      </w:pPr>
      <w:r>
        <w:t>Se mantiene el enfoque de modelación observado en la última actualización, solo se actualiza el valor como porcentaje del valor de los ingresos por servicios minoristas de banda ancha, a partir de los valores observados en la Separación Contable 2020. De esta manera, el valor correspondiente considera el valor promedio observado de 2017 a 2020.</w:t>
      </w:r>
    </w:p>
    <w:p w14:paraId="056BF526" w14:textId="77777777" w:rsidR="00160FB2" w:rsidRDefault="00160FB2" w:rsidP="00682E20">
      <w:pPr>
        <w:pStyle w:val="Textoindependiente"/>
        <w:spacing w:before="93" w:line="302" w:lineRule="auto"/>
        <w:ind w:left="810" w:right="815"/>
        <w:jc w:val="both"/>
        <w:rPr>
          <w:lang w:val="es-MX"/>
        </w:rPr>
      </w:pPr>
    </w:p>
    <w:p w14:paraId="6C983A03" w14:textId="68FD20FB" w:rsidR="00D60DB7" w:rsidRDefault="0025611B" w:rsidP="005F2B99">
      <w:pPr>
        <w:pStyle w:val="Textoindependiente"/>
        <w:spacing w:before="93" w:line="302" w:lineRule="auto"/>
        <w:ind w:left="810" w:right="815"/>
        <w:jc w:val="both"/>
        <w:rPr>
          <w:lang w:val="es-MX"/>
        </w:rPr>
      </w:pPr>
      <w:r>
        <w:rPr>
          <w:lang w:val="es-MX"/>
        </w:rPr>
        <w:t xml:space="preserve">Por lo que </w:t>
      </w:r>
      <w:r w:rsidR="00330B7E">
        <w:rPr>
          <w:lang w:val="es-MX"/>
        </w:rPr>
        <w:t>el valor correspondiente se</w:t>
      </w:r>
      <w:r w:rsidR="00645203">
        <w:rPr>
          <w:lang w:val="es-MX"/>
        </w:rPr>
        <w:t xml:space="preserve"> encuentra </w:t>
      </w:r>
      <w:r w:rsidR="00076733">
        <w:rPr>
          <w:lang w:val="es-MX"/>
        </w:rPr>
        <w:t xml:space="preserve">revisado y </w:t>
      </w:r>
      <w:r w:rsidR="007F790F">
        <w:rPr>
          <w:lang w:val="es-MX"/>
        </w:rPr>
        <w:t>autorizado por el Instituto</w:t>
      </w:r>
      <w:r w:rsidR="002D419E">
        <w:rPr>
          <w:lang w:val="es-MX"/>
        </w:rPr>
        <w:t xml:space="preserve"> en la Separación Contable, el cual </w:t>
      </w:r>
      <w:r w:rsidR="001A3D59">
        <w:rPr>
          <w:lang w:val="es-MX"/>
        </w:rPr>
        <w:t>analiza</w:t>
      </w:r>
      <w:r w:rsidR="002D419E">
        <w:rPr>
          <w:lang w:val="es-MX"/>
        </w:rPr>
        <w:t xml:space="preserve"> a efecto </w:t>
      </w:r>
      <w:r w:rsidR="005D0AC9">
        <w:rPr>
          <w:lang w:val="es-MX"/>
        </w:rPr>
        <w:t>de mantener</w:t>
      </w:r>
      <w:r w:rsidR="00C86930">
        <w:rPr>
          <w:lang w:val="es-MX"/>
        </w:rPr>
        <w:t xml:space="preserve"> </w:t>
      </w:r>
      <w:r w:rsidR="00D60DB7" w:rsidRPr="00D60DB7">
        <w:rPr>
          <w:lang w:val="es-MX"/>
        </w:rPr>
        <w:t xml:space="preserve">consistencia con los centros </w:t>
      </w:r>
      <w:r w:rsidR="00D60DB7" w:rsidRPr="00D60DB7">
        <w:rPr>
          <w:lang w:val="es-MX"/>
        </w:rPr>
        <w:lastRenderedPageBreak/>
        <w:t xml:space="preserve">de costos de publicidad que el </w:t>
      </w:r>
      <w:r w:rsidR="00C86930">
        <w:rPr>
          <w:lang w:val="es-MX"/>
        </w:rPr>
        <w:t>I</w:t>
      </w:r>
      <w:r w:rsidR="00D60DB7" w:rsidRPr="00D60DB7">
        <w:rPr>
          <w:lang w:val="es-MX"/>
        </w:rPr>
        <w:t>nstituto ha considerado durante dicho periodo.</w:t>
      </w:r>
    </w:p>
    <w:p w14:paraId="5CF1AADA" w14:textId="625DDB65" w:rsidR="00F167D7" w:rsidRDefault="00F167D7" w:rsidP="00F167D7">
      <w:pPr>
        <w:pStyle w:val="Ttulo1"/>
        <w:numPr>
          <w:ilvl w:val="0"/>
          <w:numId w:val="1"/>
        </w:numPr>
        <w:tabs>
          <w:tab w:val="left" w:pos="1530"/>
          <w:tab w:val="left" w:pos="1531"/>
        </w:tabs>
        <w:spacing w:before="201"/>
        <w:ind w:hanging="545"/>
        <w:jc w:val="left"/>
        <w:rPr>
          <w:lang w:val="es-MX"/>
        </w:rPr>
      </w:pPr>
      <w:r>
        <w:rPr>
          <w:lang w:val="es-MX"/>
        </w:rPr>
        <w:t>Resumen de esquemas de aplicación del Modelo de Costos Evitados</w:t>
      </w:r>
    </w:p>
    <w:p w14:paraId="45B6A65B" w14:textId="77777777" w:rsidR="00F167D7" w:rsidRDefault="00F167D7" w:rsidP="00682E20">
      <w:pPr>
        <w:pStyle w:val="Textoindependiente"/>
        <w:spacing w:before="93" w:line="302" w:lineRule="auto"/>
        <w:ind w:left="810" w:right="815"/>
        <w:jc w:val="both"/>
        <w:rPr>
          <w:lang w:val="es-MX"/>
        </w:rPr>
      </w:pPr>
    </w:p>
    <w:p w14:paraId="4377F032" w14:textId="77777777" w:rsidR="00682E20" w:rsidRPr="00CF6E4B" w:rsidRDefault="00682E20" w:rsidP="00682E20">
      <w:pPr>
        <w:ind w:left="810"/>
        <w:jc w:val="both"/>
        <w:rPr>
          <w:i/>
          <w:lang w:val="es-MX"/>
        </w:rPr>
      </w:pPr>
      <w:r w:rsidRPr="00CF6E4B">
        <w:rPr>
          <w:i/>
          <w:u w:val="single"/>
          <w:lang w:val="es-MX"/>
        </w:rPr>
        <w:t>Resumen</w:t>
      </w:r>
      <w:r w:rsidRPr="00CF6E4B">
        <w:rPr>
          <w:i/>
          <w:spacing w:val="-4"/>
          <w:u w:val="single"/>
          <w:lang w:val="es-MX"/>
        </w:rPr>
        <w:t xml:space="preserve"> </w:t>
      </w:r>
      <w:r w:rsidRPr="00CF6E4B">
        <w:rPr>
          <w:i/>
          <w:u w:val="single"/>
          <w:lang w:val="es-MX"/>
        </w:rPr>
        <w:t>de</w:t>
      </w:r>
      <w:r w:rsidRPr="00CF6E4B">
        <w:rPr>
          <w:i/>
          <w:spacing w:val="-4"/>
          <w:u w:val="single"/>
          <w:lang w:val="es-MX"/>
        </w:rPr>
        <w:t xml:space="preserve"> </w:t>
      </w:r>
      <w:r w:rsidRPr="00CF6E4B">
        <w:rPr>
          <w:i/>
          <w:u w:val="single"/>
          <w:lang w:val="es-MX"/>
        </w:rPr>
        <w:t>comentarios</w:t>
      </w:r>
      <w:r w:rsidRPr="00CF6E4B">
        <w:rPr>
          <w:i/>
          <w:spacing w:val="-6"/>
          <w:u w:val="single"/>
          <w:lang w:val="es-MX"/>
        </w:rPr>
        <w:t xml:space="preserve"> </w:t>
      </w:r>
      <w:r w:rsidRPr="00CF6E4B">
        <w:rPr>
          <w:i/>
          <w:u w:val="single"/>
          <w:lang w:val="es-MX"/>
        </w:rPr>
        <w:t>de</w:t>
      </w:r>
      <w:r w:rsidRPr="00CF6E4B">
        <w:rPr>
          <w:i/>
          <w:spacing w:val="-4"/>
          <w:u w:val="single"/>
          <w:lang w:val="es-MX"/>
        </w:rPr>
        <w:t xml:space="preserve"> </w:t>
      </w:r>
      <w:r w:rsidRPr="00CF6E4B">
        <w:rPr>
          <w:i/>
          <w:u w:val="single"/>
          <w:lang w:val="es-MX"/>
        </w:rPr>
        <w:t>la</w:t>
      </w:r>
      <w:r w:rsidRPr="00CF6E4B">
        <w:rPr>
          <w:i/>
          <w:spacing w:val="-4"/>
          <w:u w:val="single"/>
          <w:lang w:val="es-MX"/>
        </w:rPr>
        <w:t xml:space="preserve"> </w:t>
      </w:r>
      <w:r w:rsidRPr="00CF6E4B">
        <w:rPr>
          <w:i/>
          <w:u w:val="single"/>
          <w:lang w:val="es-MX"/>
        </w:rPr>
        <w:t>Consulta</w:t>
      </w:r>
      <w:r w:rsidRPr="00CF6E4B">
        <w:rPr>
          <w:i/>
          <w:spacing w:val="-3"/>
          <w:u w:val="single"/>
          <w:lang w:val="es-MX"/>
        </w:rPr>
        <w:t xml:space="preserve"> </w:t>
      </w:r>
      <w:r w:rsidRPr="00CF6E4B">
        <w:rPr>
          <w:i/>
          <w:u w:val="single"/>
          <w:lang w:val="es-MX"/>
        </w:rPr>
        <w:t>Pública</w:t>
      </w:r>
    </w:p>
    <w:p w14:paraId="27D75BA8" w14:textId="67CC202D" w:rsidR="00682E20" w:rsidRDefault="00F167D7" w:rsidP="00682E20">
      <w:pPr>
        <w:pStyle w:val="Textoindependiente"/>
        <w:spacing w:before="93" w:line="302" w:lineRule="auto"/>
        <w:ind w:left="810" w:right="815"/>
        <w:jc w:val="both"/>
        <w:rPr>
          <w:lang w:val="es-MX"/>
        </w:rPr>
      </w:pPr>
      <w:r>
        <w:rPr>
          <w:lang w:val="es-MX"/>
        </w:rPr>
        <w:t>GTV s</w:t>
      </w:r>
      <w:r w:rsidRPr="00F167D7">
        <w:rPr>
          <w:lang w:val="es-MX"/>
        </w:rPr>
        <w:t>olicita justificar la omisión de resultados de las tarifas de SRLT, SRI, SRP en la hoja “Tarifas SRL” del modelo y las variaciones en el cálculo del descuento de la tarifa de SMRLT respecto al modelo vigente y asegurar la consistencia con el documento de metodología de costos evitados.</w:t>
      </w:r>
    </w:p>
    <w:p w14:paraId="0204F1A9" w14:textId="3ED0FD9A" w:rsidR="004541A8" w:rsidRPr="00CF6E4B" w:rsidRDefault="00221774" w:rsidP="00682E20">
      <w:pPr>
        <w:pStyle w:val="Textoindependiente"/>
        <w:spacing w:before="93" w:line="302" w:lineRule="auto"/>
        <w:ind w:left="810" w:right="815"/>
        <w:jc w:val="both"/>
        <w:rPr>
          <w:lang w:val="es-MX"/>
        </w:rPr>
      </w:pPr>
      <w:r>
        <w:rPr>
          <w:lang w:val="es-MX"/>
        </w:rPr>
        <w:t>Adicionalmente,</w:t>
      </w:r>
      <w:r w:rsidR="004541A8">
        <w:rPr>
          <w:lang w:val="es-MX"/>
        </w:rPr>
        <w:t xml:space="preserve"> solicita</w:t>
      </w:r>
      <w:r w:rsidR="004541A8" w:rsidRPr="004541A8">
        <w:rPr>
          <w:lang w:val="es-MX"/>
        </w:rPr>
        <w:t xml:space="preserve"> explicar para cada uno de los servicios de reventa </w:t>
      </w:r>
      <w:r w:rsidR="004541A8" w:rsidRPr="008D05F3">
        <w:rPr>
          <w:lang w:val="es-MX"/>
        </w:rPr>
        <w:t>la manera en que se aplican los porcentajes de descuento presentados</w:t>
      </w:r>
      <w:r w:rsidR="004541A8" w:rsidRPr="004541A8">
        <w:rPr>
          <w:lang w:val="es-MX"/>
        </w:rPr>
        <w:t xml:space="preserve"> en la hoja de "Resultados" del modelo bajo consulta y, aclarar la procedencia de las tarifas que se publicaron en la </w:t>
      </w:r>
      <w:r w:rsidR="00293807">
        <w:rPr>
          <w:lang w:val="es-MX"/>
        </w:rPr>
        <w:t xml:space="preserve">oferta de referencia </w:t>
      </w:r>
      <w:r w:rsidR="004541A8" w:rsidRPr="004541A8">
        <w:rPr>
          <w:lang w:val="es-MX"/>
        </w:rPr>
        <w:t>puesta para consulta en julio de 2022.</w:t>
      </w:r>
    </w:p>
    <w:p w14:paraId="0BE4137A" w14:textId="77777777" w:rsidR="00682E20" w:rsidRPr="00CF6E4B" w:rsidRDefault="00682E20" w:rsidP="00682E20">
      <w:pPr>
        <w:ind w:left="810"/>
        <w:jc w:val="both"/>
        <w:rPr>
          <w:i/>
          <w:u w:val="single"/>
          <w:lang w:val="es-MX"/>
        </w:rPr>
      </w:pPr>
    </w:p>
    <w:p w14:paraId="47CBE1D2" w14:textId="77777777" w:rsidR="00682E20" w:rsidRPr="00CF6E4B" w:rsidRDefault="00682E20" w:rsidP="00682E20">
      <w:pPr>
        <w:ind w:left="810"/>
        <w:jc w:val="both"/>
        <w:rPr>
          <w:i/>
          <w:lang w:val="es-MX"/>
        </w:rPr>
      </w:pPr>
      <w:r w:rsidRPr="00CF6E4B">
        <w:rPr>
          <w:i/>
          <w:u w:val="single"/>
          <w:lang w:val="es-MX"/>
        </w:rPr>
        <w:t>Respuesta de la UPR</w:t>
      </w:r>
    </w:p>
    <w:p w14:paraId="2F31D236" w14:textId="37C3B345" w:rsidR="00A4460E" w:rsidRDefault="003A2FE1" w:rsidP="00EF5854">
      <w:pPr>
        <w:pStyle w:val="Textoindependiente"/>
        <w:spacing w:before="93" w:after="240" w:line="302" w:lineRule="auto"/>
        <w:ind w:left="810" w:right="815"/>
        <w:jc w:val="both"/>
        <w:rPr>
          <w:lang w:val="es-MX"/>
        </w:rPr>
      </w:pPr>
      <w:r>
        <w:rPr>
          <w:lang w:val="es-MX"/>
        </w:rPr>
        <w:t xml:space="preserve">Al respecto, </w:t>
      </w:r>
      <w:r w:rsidR="00145F3B">
        <w:rPr>
          <w:lang w:val="es-MX"/>
        </w:rPr>
        <w:t>se</w:t>
      </w:r>
      <w:r w:rsidR="00682E20" w:rsidRPr="00997441">
        <w:rPr>
          <w:lang w:val="es-MX"/>
        </w:rPr>
        <w:t xml:space="preserve"> </w:t>
      </w:r>
      <w:r w:rsidR="00EF5854" w:rsidRPr="00EF5854">
        <w:rPr>
          <w:lang w:val="es-MX"/>
        </w:rPr>
        <w:t xml:space="preserve">señala </w:t>
      </w:r>
      <w:bookmarkStart w:id="4" w:name="_Hlk157121907"/>
      <w:r w:rsidR="00EF5854" w:rsidRPr="00EF5854">
        <w:rPr>
          <w:lang w:val="es-MX"/>
        </w:rPr>
        <w:t xml:space="preserve">que la presente Consulta Pública busca someter a consideración de los interesados los resultados preliminares del </w:t>
      </w:r>
      <w:r>
        <w:rPr>
          <w:lang w:val="es-MX"/>
        </w:rPr>
        <w:t>MCE</w:t>
      </w:r>
      <w:r w:rsidR="00EF5854" w:rsidRPr="00EF5854">
        <w:rPr>
          <w:lang w:val="es-MX"/>
        </w:rPr>
        <w:t xml:space="preserve">, sin embargo, dichos resultados serán sujetos de evaluación y análisis </w:t>
      </w:r>
      <w:r w:rsidR="00076733">
        <w:rPr>
          <w:lang w:val="es-MX"/>
        </w:rPr>
        <w:t xml:space="preserve">a partir de los comentarios vertidos en la Consulta Pública y la nueva información que ésta pudo haber generado, </w:t>
      </w:r>
      <w:r w:rsidR="00B634B4">
        <w:rPr>
          <w:lang w:val="es-MX"/>
        </w:rPr>
        <w:t xml:space="preserve">para </w:t>
      </w:r>
      <w:r>
        <w:rPr>
          <w:lang w:val="es-MX"/>
        </w:rPr>
        <w:t>la autorización de la oferta de referencia correspondiente</w:t>
      </w:r>
      <w:r w:rsidR="00EF5854" w:rsidRPr="00EF5854">
        <w:rPr>
          <w:lang w:val="es-MX"/>
        </w:rPr>
        <w:t xml:space="preserve">. </w:t>
      </w:r>
      <w:bookmarkEnd w:id="4"/>
      <w:r>
        <w:rPr>
          <w:lang w:val="es-MX"/>
        </w:rPr>
        <w:t>Adicionalmente</w:t>
      </w:r>
      <w:r w:rsidR="00EF5854" w:rsidRPr="00EF5854">
        <w:rPr>
          <w:lang w:val="es-MX"/>
        </w:rPr>
        <w:t xml:space="preserve">, el objeto de la Consulta Pública </w:t>
      </w:r>
      <w:r>
        <w:rPr>
          <w:lang w:val="es-MX"/>
        </w:rPr>
        <w:t>busca</w:t>
      </w:r>
      <w:r w:rsidR="00EF5854" w:rsidRPr="00EF5854">
        <w:rPr>
          <w:lang w:val="es-MX"/>
        </w:rPr>
        <w:t xml:space="preserve"> dar a conocer los insumos, procesos de cálculo y su implementación en el </w:t>
      </w:r>
      <w:r>
        <w:rPr>
          <w:lang w:val="es-MX"/>
        </w:rPr>
        <w:t xml:space="preserve">MCE </w:t>
      </w:r>
      <w:r w:rsidR="00EF5854" w:rsidRPr="00EF5854">
        <w:rPr>
          <w:lang w:val="es-MX"/>
        </w:rPr>
        <w:t xml:space="preserve">con el fin de recibir aportaciones </w:t>
      </w:r>
      <w:r w:rsidR="00076733">
        <w:rPr>
          <w:lang w:val="es-MX"/>
        </w:rPr>
        <w:t xml:space="preserve">documentadas por parte de interesados </w:t>
      </w:r>
      <w:r w:rsidR="00EF5854" w:rsidRPr="00EF5854">
        <w:rPr>
          <w:lang w:val="es-MX"/>
        </w:rPr>
        <w:t>a la metodología adoptada.</w:t>
      </w:r>
    </w:p>
    <w:p w14:paraId="73969EFC" w14:textId="3CBD99C3" w:rsidR="00EF5854" w:rsidRDefault="00A4460E" w:rsidP="00EF5854">
      <w:pPr>
        <w:pStyle w:val="Textoindependiente"/>
        <w:spacing w:before="93" w:after="240" w:line="302" w:lineRule="auto"/>
        <w:ind w:left="810" w:right="815"/>
        <w:jc w:val="both"/>
        <w:rPr>
          <w:lang w:val="es-MX"/>
        </w:rPr>
      </w:pPr>
      <w:r>
        <w:rPr>
          <w:lang w:val="es-MX"/>
        </w:rPr>
        <w:t xml:space="preserve">Ahora bien, por lo que hace a la justificación de la tarifa de SRMLT, </w:t>
      </w:r>
      <w:r w:rsidR="000F4500">
        <w:rPr>
          <w:lang w:val="es-MX"/>
        </w:rPr>
        <w:t xml:space="preserve">dicho comentario será considerado a efecto de reflejar el porcentaje de descuento </w:t>
      </w:r>
      <w:r w:rsidR="00D21B60">
        <w:rPr>
          <w:lang w:val="es-MX"/>
        </w:rPr>
        <w:t>consistente con el enfoque metodológico del MCE.</w:t>
      </w:r>
    </w:p>
    <w:p w14:paraId="2344C8B0" w14:textId="729DDBB0" w:rsidR="00290A25" w:rsidRDefault="00290A25" w:rsidP="007B7A4D">
      <w:pPr>
        <w:pStyle w:val="Textoindependiente"/>
        <w:spacing w:before="93" w:after="240" w:line="302" w:lineRule="auto"/>
        <w:ind w:left="851" w:right="815" w:hanging="41"/>
        <w:jc w:val="both"/>
        <w:rPr>
          <w:lang w:val="es-MX"/>
        </w:rPr>
      </w:pPr>
      <w:r>
        <w:rPr>
          <w:lang w:val="es-MX"/>
        </w:rPr>
        <w:t xml:space="preserve">Por otra parte, respecto a la explicación sobre los </w:t>
      </w:r>
      <w:r w:rsidRPr="00A4460E">
        <w:rPr>
          <w:lang w:val="es-MX"/>
        </w:rPr>
        <w:t>porcentajes de descuento presentados en la hoja de Resultados del modelo</w:t>
      </w:r>
      <w:r>
        <w:rPr>
          <w:lang w:val="es-MX"/>
        </w:rPr>
        <w:t xml:space="preserve">, </w:t>
      </w:r>
      <w:r w:rsidR="006B21C2">
        <w:rPr>
          <w:lang w:val="es-MX"/>
        </w:rPr>
        <w:t xml:space="preserve">dichos resultados se </w:t>
      </w:r>
      <w:r w:rsidR="00876260">
        <w:rPr>
          <w:lang w:val="es-MX"/>
        </w:rPr>
        <w:t>hará</w:t>
      </w:r>
      <w:r w:rsidR="006B21C2">
        <w:rPr>
          <w:lang w:val="es-MX"/>
        </w:rPr>
        <w:t>n</w:t>
      </w:r>
      <w:r w:rsidR="00876260">
        <w:rPr>
          <w:lang w:val="es-MX"/>
        </w:rPr>
        <w:t xml:space="preserve"> disponibles</w:t>
      </w:r>
      <w:r>
        <w:rPr>
          <w:lang w:val="es-MX"/>
        </w:rPr>
        <w:t xml:space="preserve"> </w:t>
      </w:r>
      <w:r w:rsidR="00876260">
        <w:rPr>
          <w:lang w:val="es-MX"/>
        </w:rPr>
        <w:t>en el MCE una vez que sea autorizada de la oferta de referencia correspondiente</w:t>
      </w:r>
      <w:r w:rsidR="002D419E">
        <w:rPr>
          <w:lang w:val="es-MX"/>
        </w:rPr>
        <w:t xml:space="preserve">, los cuales </w:t>
      </w:r>
      <w:r w:rsidR="008D05F3">
        <w:rPr>
          <w:lang w:val="es-MX"/>
        </w:rPr>
        <w:t>se aplican para cada plan y paquete minorista</w:t>
      </w:r>
      <w:r w:rsidR="002801BF" w:rsidRPr="002801BF">
        <w:t xml:space="preserve"> </w:t>
      </w:r>
      <w:r w:rsidR="002D419E">
        <w:rPr>
          <w:lang w:val="es-MX"/>
        </w:rPr>
        <w:t>en el numeral “</w:t>
      </w:r>
      <w:r w:rsidR="002D419E" w:rsidRPr="007B7A4D">
        <w:rPr>
          <w:i/>
        </w:rPr>
        <w:t>3.9. Resumen de esquemas de aplicación del Modelo de Costos Evitados</w:t>
      </w:r>
      <w:r w:rsidR="002D419E">
        <w:t>” del documento metodológico.</w:t>
      </w:r>
    </w:p>
    <w:p w14:paraId="3729961C" w14:textId="23067716" w:rsidR="00B70C72" w:rsidRPr="00AB4FE0" w:rsidRDefault="00290A25" w:rsidP="00BB7DB2">
      <w:pPr>
        <w:pStyle w:val="Textoindependiente"/>
        <w:spacing w:before="93" w:after="240" w:line="302" w:lineRule="auto"/>
        <w:ind w:left="810" w:right="815"/>
        <w:jc w:val="both"/>
        <w:rPr>
          <w:lang w:val="es-MX"/>
        </w:rPr>
      </w:pPr>
      <w:r>
        <w:rPr>
          <w:lang w:val="es-MX"/>
        </w:rPr>
        <w:t>Finalmente, por lo que respecta a la aclaración de la procedencia de la</w:t>
      </w:r>
      <w:r w:rsidR="00873A5E">
        <w:rPr>
          <w:lang w:val="es-MX"/>
        </w:rPr>
        <w:t xml:space="preserve"> propuesta de </w:t>
      </w:r>
      <w:r>
        <w:rPr>
          <w:lang w:val="es-MX"/>
        </w:rPr>
        <w:t xml:space="preserve">tarifas de la </w:t>
      </w:r>
      <w:r w:rsidR="00293807">
        <w:rPr>
          <w:lang w:val="es-MX"/>
        </w:rPr>
        <w:t xml:space="preserve">oferta de referencia </w:t>
      </w:r>
      <w:r w:rsidR="00C50B86">
        <w:rPr>
          <w:lang w:val="es-MX"/>
        </w:rPr>
        <w:t>aplicables</w:t>
      </w:r>
      <w:r w:rsidR="00873A5E">
        <w:rPr>
          <w:lang w:val="es-MX"/>
        </w:rPr>
        <w:t xml:space="preserve"> para el año 2023, </w:t>
      </w:r>
      <w:r w:rsidR="006B21C2">
        <w:rPr>
          <w:lang w:val="es-MX"/>
        </w:rPr>
        <w:t xml:space="preserve">dichos niveles </w:t>
      </w:r>
      <w:r w:rsidR="00876260">
        <w:rPr>
          <w:lang w:val="es-MX"/>
        </w:rPr>
        <w:t>corresponde</w:t>
      </w:r>
      <w:r w:rsidR="006B21C2">
        <w:rPr>
          <w:lang w:val="es-MX"/>
        </w:rPr>
        <w:t>n</w:t>
      </w:r>
      <w:r w:rsidR="00876260">
        <w:rPr>
          <w:lang w:val="es-MX"/>
        </w:rPr>
        <w:t xml:space="preserve"> a los niveles de tarifas presentados como propuesta por parte del AEP. Sin embargo, </w:t>
      </w:r>
      <w:r w:rsidR="0081717D">
        <w:rPr>
          <w:lang w:val="es-MX"/>
        </w:rPr>
        <w:t>tales</w:t>
      </w:r>
      <w:r w:rsidR="00876260">
        <w:rPr>
          <w:lang w:val="es-MX"/>
        </w:rPr>
        <w:t xml:space="preserve"> niveles se encuentran sujetos de revisión y autorización</w:t>
      </w:r>
      <w:r w:rsidR="006B21C2">
        <w:rPr>
          <w:lang w:val="es-MX"/>
        </w:rPr>
        <w:t>,</w:t>
      </w:r>
      <w:r w:rsidR="00876260">
        <w:rPr>
          <w:lang w:val="es-MX"/>
        </w:rPr>
        <w:t xml:space="preserve"> tanto de la oferta de referencia como del MCE</w:t>
      </w:r>
      <w:r w:rsidR="006B21C2">
        <w:rPr>
          <w:lang w:val="es-MX"/>
        </w:rPr>
        <w:t>,</w:t>
      </w:r>
      <w:r w:rsidR="00876260">
        <w:rPr>
          <w:lang w:val="es-MX"/>
        </w:rPr>
        <w:t xml:space="preserve"> a efecto de que sean publicadas por el Instituto una vez concluido el proceso de autorización</w:t>
      </w:r>
      <w:r w:rsidR="00873A5E">
        <w:rPr>
          <w:lang w:val="es-MX"/>
        </w:rPr>
        <w:t>.</w:t>
      </w:r>
    </w:p>
    <w:sectPr w:rsidR="00B70C72" w:rsidRPr="00AB4FE0">
      <w:footerReference w:type="default" r:id="rId10"/>
      <w:pgSz w:w="11910" w:h="16840"/>
      <w:pgMar w:top="1340" w:right="760" w:bottom="1780" w:left="780" w:header="0" w:footer="152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5AA6C" w16cex:dateUtc="2024-02-01T21:43:00Z"/>
  <w16cex:commentExtensible w16cex:durableId="521C2D8A" w16cex:dateUtc="2024-02-01T19:28:00Z"/>
  <w16cex:commentExtensible w16cex:durableId="0061807D" w16cex:dateUtc="2024-02-01T19:30:00Z"/>
  <w16cex:commentExtensible w16cex:durableId="5AFC2F78" w16cex:dateUtc="2024-02-01T21:50:00Z"/>
  <w16cex:commentExtensible w16cex:durableId="20641BA0" w16cex:dateUtc="2024-02-01T21:47:00Z"/>
  <w16cex:commentExtensible w16cex:durableId="3FFBBA23" w16cex:dateUtc="2024-02-01T21:53:00Z"/>
  <w16cex:commentExtensible w16cex:durableId="7A5E2DCE" w16cex:dateUtc="2024-02-01T22:00:00Z"/>
  <w16cex:commentExtensible w16cex:durableId="50084650" w16cex:dateUtc="2024-02-01T22:07:00Z"/>
  <w16cex:commentExtensible w16cex:durableId="3206723E" w16cex:dateUtc="2024-02-01T22:08:00Z"/>
  <w16cex:commentExtensible w16cex:durableId="4384D27C" w16cex:dateUtc="2024-02-01T22:24:00Z"/>
  <w16cex:commentExtensible w16cex:durableId="58E08B1E" w16cex:dateUtc="2024-02-01T22:25:00Z"/>
  <w16cex:commentExtensible w16cex:durableId="42650222" w16cex:dateUtc="2024-02-01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0E63" w14:textId="77777777" w:rsidR="00E05535" w:rsidRDefault="00E05535" w:rsidP="00682E20">
      <w:r>
        <w:separator/>
      </w:r>
    </w:p>
  </w:endnote>
  <w:endnote w:type="continuationSeparator" w:id="0">
    <w:p w14:paraId="6BF3D4A5" w14:textId="77777777" w:rsidR="00E05535" w:rsidRDefault="00E05535" w:rsidP="00682E20">
      <w:r>
        <w:continuationSeparator/>
      </w:r>
    </w:p>
  </w:endnote>
  <w:endnote w:type="continuationNotice" w:id="1">
    <w:p w14:paraId="02B1AAB1" w14:textId="77777777" w:rsidR="00E05535" w:rsidRDefault="00E05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C2E8" w14:textId="77777777" w:rsidR="00660900" w:rsidRDefault="00660900">
    <w:pPr>
      <w:pStyle w:val="Textoindependiente"/>
      <w:spacing w:line="14" w:lineRule="auto"/>
      <w:rPr>
        <w:sz w:val="17"/>
      </w:rPr>
    </w:pPr>
    <w:r>
      <w:rPr>
        <w:noProof/>
      </w:rPr>
      <mc:AlternateContent>
        <mc:Choice Requires="wps">
          <w:drawing>
            <wp:anchor distT="0" distB="0" distL="114300" distR="114300" simplePos="0" relativeHeight="251658240" behindDoc="1" locked="0" layoutInCell="1" allowOverlap="1" wp14:anchorId="5668C416" wp14:editId="0C375F28">
              <wp:simplePos x="0" y="0"/>
              <wp:positionH relativeFrom="page">
                <wp:posOffset>6362700</wp:posOffset>
              </wp:positionH>
              <wp:positionV relativeFrom="page">
                <wp:posOffset>9537700</wp:posOffset>
              </wp:positionV>
              <wp:extent cx="247650" cy="18161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829C" w14:textId="77777777" w:rsidR="00660900" w:rsidRDefault="00660900">
                          <w:pPr>
                            <w:pStyle w:val="Textoindependiente"/>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8C416" id="_x0000_t202" coordsize="21600,21600" o:spt="202" path="m,l,21600r21600,l21600,xe">
              <v:stroke joinstyle="miter"/>
              <v:path gradientshapeok="t" o:connecttype="rect"/>
            </v:shapetype>
            <v:shape id="Cuadro de texto 1" o:spid="_x0000_s1026" type="#_x0000_t202" style="position:absolute;margin-left:501pt;margin-top:751pt;width:19.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" filled="f" stroked="f">
              <v:textbox inset="0,0,0,0">
                <w:txbxContent>
                  <w:p w14:paraId="738F829C" w14:textId="77777777" w:rsidR="00660900" w:rsidRDefault="00660900">
                    <w:pPr>
                      <w:pStyle w:val="Textoindependiente"/>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0CB0" w14:textId="77777777" w:rsidR="00E05535" w:rsidRDefault="00E05535" w:rsidP="00682E20">
      <w:r>
        <w:separator/>
      </w:r>
    </w:p>
  </w:footnote>
  <w:footnote w:type="continuationSeparator" w:id="0">
    <w:p w14:paraId="2F711E0E" w14:textId="77777777" w:rsidR="00E05535" w:rsidRDefault="00E05535" w:rsidP="00682E20">
      <w:r>
        <w:continuationSeparator/>
      </w:r>
    </w:p>
  </w:footnote>
  <w:footnote w:type="continuationNotice" w:id="1">
    <w:p w14:paraId="4B83D926" w14:textId="77777777" w:rsidR="00E05535" w:rsidRDefault="00E05535"/>
  </w:footnote>
  <w:footnote w:id="2">
    <w:p w14:paraId="63E04BE9" w14:textId="77777777" w:rsidR="00660900" w:rsidRDefault="00660900" w:rsidP="00BC78B8">
      <w:pPr>
        <w:pStyle w:val="Textonotapie"/>
        <w:jc w:val="both"/>
      </w:pPr>
      <w:r>
        <w:rPr>
          <w:rStyle w:val="Refdenotaalpie"/>
        </w:rPr>
        <w:footnoteRef/>
      </w:r>
      <w:r>
        <w:t xml:space="preserve"> Acuerdo mediante la cual el Pleno del Instituto Federal de Telecomunicaciones expide el Modelo Integral de Red de Acceso Fijo y el Modelo Costos Evitados para determinar las tarifas del Servicios de Acceso y uso Compartido de infraestructura pasiva fija y del Servicio de Desagregación Efectiva de la Red Local del Agente Económico Preponderante en el sector de Telecomunicaciones. Disponible en:</w:t>
      </w:r>
    </w:p>
    <w:p w14:paraId="6070654E" w14:textId="28E492CB" w:rsidR="00660900" w:rsidRPr="00E32292" w:rsidRDefault="00660900" w:rsidP="0033765D">
      <w:pPr>
        <w:pStyle w:val="Textonotapie"/>
        <w:jc w:val="both"/>
      </w:pPr>
      <w:r>
        <w:t xml:space="preserve"> </w:t>
      </w:r>
      <w:hyperlink r:id="rId1" w:history="1">
        <w:r w:rsidRPr="00901CDB">
          <w:rPr>
            <w:rStyle w:val="Hipervnculo"/>
          </w:rPr>
          <w:t>https://www.ift.org.mx/sites/default/files/conocenos/pleno/sesiones/acuerdoliga/piftext11121824.pdf</w:t>
        </w:r>
      </w:hyperlink>
      <w:r>
        <w:t xml:space="preserve">  </w:t>
      </w:r>
    </w:p>
  </w:footnote>
  <w:footnote w:id="3">
    <w:p w14:paraId="6A4AFF44" w14:textId="29F838D8" w:rsidR="00660900" w:rsidRPr="00997441" w:rsidRDefault="00660900" w:rsidP="0033765D">
      <w:pPr>
        <w:pStyle w:val="Textonotapie"/>
        <w:jc w:val="both"/>
        <w:rPr>
          <w:lang w:val="es-MX"/>
        </w:rPr>
      </w:pPr>
      <w:r>
        <w:rPr>
          <w:rStyle w:val="Refdenotaalpie"/>
        </w:rPr>
        <w:footnoteRef/>
      </w:r>
      <w:r>
        <w:t xml:space="preserve"> </w:t>
      </w:r>
      <w:r>
        <w:rPr>
          <w:lang w:val="es-MX"/>
        </w:rPr>
        <w:t xml:space="preserve">Los supuestos se encuentran desarrollados por el Instituto en el Considerando séptimo, numerales </w:t>
      </w:r>
      <w:r w:rsidRPr="00997441">
        <w:rPr>
          <w:lang w:val="es-MX"/>
        </w:rPr>
        <w:t>7.3</w:t>
      </w:r>
      <w:r>
        <w:rPr>
          <w:lang w:val="es-MX"/>
        </w:rPr>
        <w:t xml:space="preserve"> y 7.4 de la Resolución</w:t>
      </w:r>
      <w:r w:rsidR="002D3332">
        <w:rPr>
          <w:lang w:val="es-MX"/>
        </w:rPr>
        <w:t xml:space="preserve"> </w:t>
      </w:r>
      <w:r w:rsidR="002D3332" w:rsidRPr="002B1E4E">
        <w:rPr>
          <w:lang w:val="es-MX"/>
        </w:rPr>
        <w:t>P/IFT/EXT/071221/43</w:t>
      </w:r>
      <w:r w:rsidR="002D3332">
        <w:rPr>
          <w:lang w:val="es-MX"/>
        </w:rPr>
        <w:t>,</w:t>
      </w:r>
      <w:r>
        <w:rPr>
          <w:lang w:val="es-MX"/>
        </w:rPr>
        <w:t xml:space="preserve"> por </w:t>
      </w:r>
      <w:r w:rsidR="002D3332">
        <w:rPr>
          <w:lang w:val="es-MX"/>
        </w:rPr>
        <w:t>la</w:t>
      </w:r>
      <w:r>
        <w:rPr>
          <w:lang w:val="es-MX"/>
        </w:rPr>
        <w:t xml:space="preserve"> cual se autorizaron las tarifas mayoristas de los servicios auxiliares, en los cuales se menciona su detalle y alcance metodológico para su modelación.</w:t>
      </w:r>
    </w:p>
  </w:footnote>
  <w:footnote w:id="4">
    <w:p w14:paraId="2EE9347B" w14:textId="589318A6" w:rsidR="00660900" w:rsidRPr="00997441" w:rsidRDefault="00660900">
      <w:pPr>
        <w:pStyle w:val="Textonotapie"/>
        <w:rPr>
          <w:lang w:val="es-MX"/>
        </w:rPr>
      </w:pPr>
      <w:r>
        <w:rPr>
          <w:rStyle w:val="Refdenotaalpie"/>
        </w:rPr>
        <w:footnoteRef/>
      </w:r>
      <w:r>
        <w:t xml:space="preserve"> </w:t>
      </w:r>
      <w:r>
        <w:rPr>
          <w:lang w:val="es-MX"/>
        </w:rPr>
        <w:t xml:space="preserve">Disponible en la siguiente liga electrónica: </w:t>
      </w:r>
      <w:hyperlink r:id="rId2" w:history="1">
        <w:r w:rsidRPr="00A84B85">
          <w:rPr>
            <w:rStyle w:val="Hipervnculo"/>
            <w:lang w:val="es-MX"/>
          </w:rPr>
          <w:t>https://www.ift.org.mx/sites/default/files/conocenos/pleno/sesiones/acuerdoliga/vpext07122143.pdf</w:t>
        </w:r>
      </w:hyperlink>
      <w:r>
        <w:rPr>
          <w:lang w:val="es-MX"/>
        </w:rPr>
        <w:t xml:space="preserve"> </w:t>
      </w:r>
    </w:p>
  </w:footnote>
  <w:footnote w:id="5">
    <w:p w14:paraId="4C7C4DBF" w14:textId="32E0BE9C" w:rsidR="00660900" w:rsidRPr="003F747E" w:rsidRDefault="00660900">
      <w:pPr>
        <w:pStyle w:val="Textonotapie"/>
        <w:rPr>
          <w:lang w:val="es-MX"/>
        </w:rPr>
      </w:pPr>
      <w:r>
        <w:rPr>
          <w:rStyle w:val="Refdenotaalpie"/>
        </w:rPr>
        <w:footnoteRef/>
      </w:r>
      <w:r>
        <w:t xml:space="preserve"> </w:t>
      </w:r>
      <w:r>
        <w:rPr>
          <w:lang w:val="es-MX"/>
        </w:rPr>
        <w:t>Servicio de Acceso Indirecto al Bucle</w:t>
      </w:r>
    </w:p>
  </w:footnote>
  <w:footnote w:id="6">
    <w:p w14:paraId="3631592F" w14:textId="60172B1E" w:rsidR="00660900" w:rsidRPr="00997441" w:rsidRDefault="00660900" w:rsidP="00997441">
      <w:pPr>
        <w:pStyle w:val="Textonotapie"/>
        <w:jc w:val="both"/>
        <w:rPr>
          <w:lang w:val="es-MX"/>
        </w:rPr>
      </w:pPr>
      <w:r>
        <w:rPr>
          <w:rStyle w:val="Refdenotaalpie"/>
        </w:rPr>
        <w:footnoteRef/>
      </w:r>
      <w:r>
        <w:t xml:space="preserve"> </w:t>
      </w:r>
      <w:r>
        <w:rPr>
          <w:lang w:val="es-MX"/>
        </w:rPr>
        <w:t xml:space="preserve">Anexo 3 del Acuerdo </w:t>
      </w:r>
      <w:r w:rsidRPr="00F018B1">
        <w:rPr>
          <w:lang w:val="es-MX"/>
        </w:rPr>
        <w:t>P/IFT/021220/488</w:t>
      </w:r>
      <w:r>
        <w:rPr>
          <w:lang w:val="es-MX"/>
        </w:rPr>
        <w:t xml:space="preserve"> “</w:t>
      </w:r>
      <w:r w:rsidRPr="00F018B1">
        <w:rPr>
          <w:lang w:val="es-MX"/>
        </w:rPr>
        <w:t xml:space="preserve">Resolución </w:t>
      </w:r>
      <w:r>
        <w:rPr>
          <w:lang w:val="es-MX"/>
        </w:rPr>
        <w:t>m</w:t>
      </w:r>
      <w:r w:rsidRPr="00F018B1">
        <w:rPr>
          <w:lang w:val="es-MX"/>
        </w:rPr>
        <w:t xml:space="preserve">ediante </w:t>
      </w:r>
      <w:r>
        <w:rPr>
          <w:lang w:val="es-MX"/>
        </w:rPr>
        <w:t>l</w:t>
      </w:r>
      <w:r w:rsidRPr="00F018B1">
        <w:rPr>
          <w:lang w:val="es-MX"/>
        </w:rPr>
        <w:t xml:space="preserve">a </w:t>
      </w:r>
      <w:r>
        <w:rPr>
          <w:lang w:val="es-MX"/>
        </w:rPr>
        <w:t>c</w:t>
      </w:r>
      <w:r w:rsidRPr="00F018B1">
        <w:rPr>
          <w:lang w:val="es-MX"/>
        </w:rPr>
        <w:t xml:space="preserve">ual </w:t>
      </w:r>
      <w:r>
        <w:rPr>
          <w:lang w:val="es-MX"/>
        </w:rPr>
        <w:t>e</w:t>
      </w:r>
      <w:r w:rsidRPr="00F018B1">
        <w:rPr>
          <w:lang w:val="es-MX"/>
        </w:rPr>
        <w:t xml:space="preserve">l Pleno </w:t>
      </w:r>
      <w:r>
        <w:rPr>
          <w:lang w:val="es-MX"/>
        </w:rPr>
        <w:t>d</w:t>
      </w:r>
      <w:r w:rsidRPr="00F018B1">
        <w:rPr>
          <w:lang w:val="es-MX"/>
        </w:rPr>
        <w:t xml:space="preserve">el Instituto Federal </w:t>
      </w:r>
      <w:r>
        <w:rPr>
          <w:lang w:val="es-MX"/>
        </w:rPr>
        <w:t>d</w:t>
      </w:r>
      <w:r w:rsidRPr="00F018B1">
        <w:rPr>
          <w:lang w:val="es-MX"/>
        </w:rPr>
        <w:t xml:space="preserve">e Telecomunicaciones </w:t>
      </w:r>
      <w:r>
        <w:rPr>
          <w:lang w:val="es-MX"/>
        </w:rPr>
        <w:t>s</w:t>
      </w:r>
      <w:r w:rsidRPr="00F018B1">
        <w:rPr>
          <w:lang w:val="es-MX"/>
        </w:rPr>
        <w:t xml:space="preserve">uprime, </w:t>
      </w:r>
      <w:r>
        <w:rPr>
          <w:lang w:val="es-MX"/>
        </w:rPr>
        <w:t>m</w:t>
      </w:r>
      <w:r w:rsidRPr="00F018B1">
        <w:rPr>
          <w:lang w:val="es-MX"/>
        </w:rPr>
        <w:t xml:space="preserve">odifica </w:t>
      </w:r>
      <w:r>
        <w:rPr>
          <w:lang w:val="es-MX"/>
        </w:rPr>
        <w:t>y</w:t>
      </w:r>
      <w:r w:rsidRPr="00F018B1">
        <w:rPr>
          <w:lang w:val="es-MX"/>
        </w:rPr>
        <w:t xml:space="preserve"> </w:t>
      </w:r>
      <w:r>
        <w:rPr>
          <w:lang w:val="es-MX"/>
        </w:rPr>
        <w:t>a</w:t>
      </w:r>
      <w:r w:rsidRPr="00F018B1">
        <w:rPr>
          <w:lang w:val="es-MX"/>
        </w:rPr>
        <w:t xml:space="preserve">diciona </w:t>
      </w:r>
      <w:r>
        <w:rPr>
          <w:lang w:val="es-MX"/>
        </w:rPr>
        <w:t>l</w:t>
      </w:r>
      <w:r w:rsidRPr="00F018B1">
        <w:rPr>
          <w:lang w:val="es-MX"/>
        </w:rPr>
        <w:t xml:space="preserve">as </w:t>
      </w:r>
      <w:r>
        <w:rPr>
          <w:lang w:val="es-MX"/>
        </w:rPr>
        <w:t>m</w:t>
      </w:r>
      <w:r w:rsidRPr="00F018B1">
        <w:rPr>
          <w:lang w:val="es-MX"/>
        </w:rPr>
        <w:t xml:space="preserve">edidas </w:t>
      </w:r>
      <w:r>
        <w:rPr>
          <w:lang w:val="es-MX"/>
        </w:rPr>
        <w:t>i</w:t>
      </w:r>
      <w:r w:rsidRPr="00F018B1">
        <w:rPr>
          <w:lang w:val="es-MX"/>
        </w:rPr>
        <w:t xml:space="preserve">mpuestas </w:t>
      </w:r>
      <w:r>
        <w:rPr>
          <w:lang w:val="es-MX"/>
        </w:rPr>
        <w:t>a</w:t>
      </w:r>
      <w:r w:rsidRPr="00F018B1">
        <w:rPr>
          <w:lang w:val="es-MX"/>
        </w:rPr>
        <w:t xml:space="preserve">l Agente Económico Preponderante </w:t>
      </w:r>
      <w:r>
        <w:rPr>
          <w:lang w:val="es-MX"/>
        </w:rPr>
        <w:t>e</w:t>
      </w:r>
      <w:r w:rsidRPr="00F018B1">
        <w:rPr>
          <w:lang w:val="es-MX"/>
        </w:rPr>
        <w:t xml:space="preserve">n </w:t>
      </w:r>
      <w:r>
        <w:rPr>
          <w:lang w:val="es-MX"/>
        </w:rPr>
        <w:t>e</w:t>
      </w:r>
      <w:r w:rsidRPr="00F018B1">
        <w:rPr>
          <w:lang w:val="es-MX"/>
        </w:rPr>
        <w:t xml:space="preserve">l </w:t>
      </w:r>
      <w:r>
        <w:rPr>
          <w:lang w:val="es-MX"/>
        </w:rPr>
        <w:t>s</w:t>
      </w:r>
      <w:r w:rsidRPr="00F018B1">
        <w:rPr>
          <w:lang w:val="es-MX"/>
        </w:rPr>
        <w:t xml:space="preserve">ector </w:t>
      </w:r>
      <w:r>
        <w:rPr>
          <w:lang w:val="es-MX"/>
        </w:rPr>
        <w:t>d</w:t>
      </w:r>
      <w:r w:rsidRPr="00F018B1">
        <w:rPr>
          <w:lang w:val="es-MX"/>
        </w:rPr>
        <w:t xml:space="preserve">e Telecomunicaciones </w:t>
      </w:r>
      <w:r>
        <w:rPr>
          <w:lang w:val="es-MX"/>
        </w:rPr>
        <w:t>m</w:t>
      </w:r>
      <w:r w:rsidRPr="00F018B1">
        <w:rPr>
          <w:lang w:val="es-MX"/>
        </w:rPr>
        <w:t>ediante Acuerdos P/IFT/EXT/060314/76 y P/IFT/EXT/270217/119</w:t>
      </w:r>
      <w:r>
        <w:rPr>
          <w:lang w:val="es-MX"/>
        </w:rPr>
        <w:t>”</w:t>
      </w:r>
      <w:r w:rsidRPr="00F018B1">
        <w:rPr>
          <w:lang w:val="es-MX"/>
        </w:rPr>
        <w:t xml:space="preserve">. </w:t>
      </w:r>
    </w:p>
  </w:footnote>
  <w:footnote w:id="7">
    <w:p w14:paraId="19EC9AF0" w14:textId="6B457104" w:rsidR="00660900" w:rsidRPr="00C4461B" w:rsidRDefault="00660900" w:rsidP="00C4461B">
      <w:pPr>
        <w:pStyle w:val="Textonotapie"/>
        <w:jc w:val="both"/>
        <w:rPr>
          <w:lang w:val="es-MX"/>
        </w:rPr>
      </w:pPr>
      <w:r>
        <w:rPr>
          <w:rStyle w:val="Refdenotaalpie"/>
        </w:rPr>
        <w:footnoteRef/>
      </w:r>
      <w:r>
        <w:t xml:space="preserve"> Dicha información</w:t>
      </w:r>
      <w:r w:rsidRPr="00602ACC">
        <w:t xml:space="preserve"> se encuentra publicada en la sección “Descarga de datos”, después para el caso de suscripciones, </w:t>
      </w:r>
      <w:r>
        <w:t>dentro de</w:t>
      </w:r>
      <w:r w:rsidRPr="00602ACC">
        <w:t xml:space="preserve"> la siguiente ruta: “Servicio Fijo de Acceso a Internet” y el cuadro de “Suscripciones”, para el caso de líneas se selecciona el apartado: “Servicio Fijo de Telefonía” y luego el cuadro de “Líneas (Nivel municipal)”.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6F31"/>
    <w:multiLevelType w:val="hybridMultilevel"/>
    <w:tmpl w:val="7ECE19A8"/>
    <w:lvl w:ilvl="0" w:tplc="CA7A2AD6">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abstractNum w:abstractNumId="1" w15:restartNumberingAfterBreak="0">
    <w:nsid w:val="100E2AE0"/>
    <w:multiLevelType w:val="hybridMultilevel"/>
    <w:tmpl w:val="06008E9C"/>
    <w:lvl w:ilvl="0" w:tplc="080A0017">
      <w:start w:val="1"/>
      <w:numFmt w:val="lowerLetter"/>
      <w:lvlText w:val="%1)"/>
      <w:lvlJc w:val="left"/>
      <w:pPr>
        <w:ind w:left="2308" w:hanging="360"/>
      </w:pPr>
    </w:lvl>
    <w:lvl w:ilvl="1" w:tplc="080A0019" w:tentative="1">
      <w:start w:val="1"/>
      <w:numFmt w:val="lowerLetter"/>
      <w:lvlText w:val="%2."/>
      <w:lvlJc w:val="left"/>
      <w:pPr>
        <w:ind w:left="3028" w:hanging="360"/>
      </w:pPr>
    </w:lvl>
    <w:lvl w:ilvl="2" w:tplc="080A001B" w:tentative="1">
      <w:start w:val="1"/>
      <w:numFmt w:val="lowerRoman"/>
      <w:lvlText w:val="%3."/>
      <w:lvlJc w:val="right"/>
      <w:pPr>
        <w:ind w:left="3748" w:hanging="180"/>
      </w:pPr>
    </w:lvl>
    <w:lvl w:ilvl="3" w:tplc="080A000F" w:tentative="1">
      <w:start w:val="1"/>
      <w:numFmt w:val="decimal"/>
      <w:lvlText w:val="%4."/>
      <w:lvlJc w:val="left"/>
      <w:pPr>
        <w:ind w:left="4468" w:hanging="360"/>
      </w:pPr>
    </w:lvl>
    <w:lvl w:ilvl="4" w:tplc="080A0019" w:tentative="1">
      <w:start w:val="1"/>
      <w:numFmt w:val="lowerLetter"/>
      <w:lvlText w:val="%5."/>
      <w:lvlJc w:val="left"/>
      <w:pPr>
        <w:ind w:left="5188" w:hanging="360"/>
      </w:pPr>
    </w:lvl>
    <w:lvl w:ilvl="5" w:tplc="080A001B" w:tentative="1">
      <w:start w:val="1"/>
      <w:numFmt w:val="lowerRoman"/>
      <w:lvlText w:val="%6."/>
      <w:lvlJc w:val="right"/>
      <w:pPr>
        <w:ind w:left="5908" w:hanging="180"/>
      </w:pPr>
    </w:lvl>
    <w:lvl w:ilvl="6" w:tplc="080A000F" w:tentative="1">
      <w:start w:val="1"/>
      <w:numFmt w:val="decimal"/>
      <w:lvlText w:val="%7."/>
      <w:lvlJc w:val="left"/>
      <w:pPr>
        <w:ind w:left="6628" w:hanging="360"/>
      </w:pPr>
    </w:lvl>
    <w:lvl w:ilvl="7" w:tplc="080A0019" w:tentative="1">
      <w:start w:val="1"/>
      <w:numFmt w:val="lowerLetter"/>
      <w:lvlText w:val="%8."/>
      <w:lvlJc w:val="left"/>
      <w:pPr>
        <w:ind w:left="7348" w:hanging="360"/>
      </w:pPr>
    </w:lvl>
    <w:lvl w:ilvl="8" w:tplc="080A001B" w:tentative="1">
      <w:start w:val="1"/>
      <w:numFmt w:val="lowerRoman"/>
      <w:lvlText w:val="%9."/>
      <w:lvlJc w:val="right"/>
      <w:pPr>
        <w:ind w:left="8068" w:hanging="180"/>
      </w:pPr>
    </w:lvl>
  </w:abstractNum>
  <w:abstractNum w:abstractNumId="2" w15:restartNumberingAfterBreak="0">
    <w:nsid w:val="2C0C114F"/>
    <w:multiLevelType w:val="hybridMultilevel"/>
    <w:tmpl w:val="12EC6E70"/>
    <w:lvl w:ilvl="0" w:tplc="E278C12A">
      <w:start w:val="1"/>
      <w:numFmt w:val="decimal"/>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 w15:restartNumberingAfterBreak="0">
    <w:nsid w:val="2E4A19AF"/>
    <w:multiLevelType w:val="hybridMultilevel"/>
    <w:tmpl w:val="C39E14F6"/>
    <w:lvl w:ilvl="0" w:tplc="6B24A72C">
      <w:numFmt w:val="bullet"/>
      <w:lvlText w:val="-"/>
      <w:lvlJc w:val="left"/>
      <w:pPr>
        <w:ind w:left="1440" w:hanging="630"/>
      </w:pPr>
      <w:rPr>
        <w:rFonts w:ascii="Arial" w:eastAsia="Arial" w:hAnsi="Arial" w:cs="Aria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4" w15:restartNumberingAfterBreak="0">
    <w:nsid w:val="31263F31"/>
    <w:multiLevelType w:val="hybridMultilevel"/>
    <w:tmpl w:val="EB8638C4"/>
    <w:lvl w:ilvl="0" w:tplc="080A0015">
      <w:start w:val="1"/>
      <w:numFmt w:val="upp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5" w15:restartNumberingAfterBreak="0">
    <w:nsid w:val="32940594"/>
    <w:multiLevelType w:val="hybridMultilevel"/>
    <w:tmpl w:val="66623808"/>
    <w:lvl w:ilvl="0" w:tplc="080A0001">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abstractNum w:abstractNumId="6" w15:restartNumberingAfterBreak="0">
    <w:nsid w:val="3B9D3F1B"/>
    <w:multiLevelType w:val="hybridMultilevel"/>
    <w:tmpl w:val="33EAF930"/>
    <w:lvl w:ilvl="0" w:tplc="3EE89478">
      <w:start w:val="1"/>
      <w:numFmt w:val="upperRoman"/>
      <w:lvlText w:val="%1."/>
      <w:lvlJc w:val="left"/>
      <w:pPr>
        <w:ind w:left="1531" w:hanging="480"/>
        <w:jc w:val="right"/>
      </w:pPr>
      <w:rPr>
        <w:rFonts w:ascii="Arial" w:eastAsia="Arial" w:hAnsi="Arial" w:cs="Arial" w:hint="default"/>
        <w:b/>
        <w:bCs/>
        <w:i w:val="0"/>
        <w:iCs w:val="0"/>
        <w:spacing w:val="-2"/>
        <w:w w:val="100"/>
        <w:sz w:val="22"/>
        <w:szCs w:val="22"/>
        <w:lang w:val="es-ES" w:eastAsia="en-US" w:bidi="ar-SA"/>
      </w:rPr>
    </w:lvl>
    <w:lvl w:ilvl="1" w:tplc="31804384">
      <w:start w:val="1"/>
      <w:numFmt w:val="upperRoman"/>
      <w:lvlText w:val="%2)"/>
      <w:lvlJc w:val="left"/>
      <w:pPr>
        <w:ind w:left="2406" w:hanging="781"/>
        <w:jc w:val="right"/>
      </w:pPr>
      <w:rPr>
        <w:rFonts w:ascii="Arial" w:eastAsia="Arial" w:hAnsi="Arial" w:cs="Arial" w:hint="default"/>
        <w:b/>
        <w:bCs/>
        <w:i w:val="0"/>
        <w:iCs w:val="0"/>
        <w:spacing w:val="-2"/>
        <w:w w:val="100"/>
        <w:position w:val="4"/>
        <w:sz w:val="22"/>
        <w:szCs w:val="22"/>
        <w:lang w:val="es-ES" w:eastAsia="en-US" w:bidi="ar-SA"/>
      </w:rPr>
    </w:lvl>
    <w:lvl w:ilvl="2" w:tplc="958C8806">
      <w:numFmt w:val="bullet"/>
      <w:lvlText w:val="•"/>
      <w:lvlJc w:val="left"/>
      <w:pPr>
        <w:ind w:left="3285" w:hanging="781"/>
      </w:pPr>
      <w:rPr>
        <w:rFonts w:hint="default"/>
        <w:lang w:val="es-ES" w:eastAsia="en-US" w:bidi="ar-SA"/>
      </w:rPr>
    </w:lvl>
    <w:lvl w:ilvl="3" w:tplc="DED2D5EA">
      <w:numFmt w:val="bullet"/>
      <w:lvlText w:val="•"/>
      <w:lvlJc w:val="left"/>
      <w:pPr>
        <w:ind w:left="4170" w:hanging="781"/>
      </w:pPr>
      <w:rPr>
        <w:rFonts w:hint="default"/>
        <w:lang w:val="es-ES" w:eastAsia="en-US" w:bidi="ar-SA"/>
      </w:rPr>
    </w:lvl>
    <w:lvl w:ilvl="4" w:tplc="2F7647E6">
      <w:numFmt w:val="bullet"/>
      <w:lvlText w:val="•"/>
      <w:lvlJc w:val="left"/>
      <w:pPr>
        <w:ind w:left="5055" w:hanging="781"/>
      </w:pPr>
      <w:rPr>
        <w:rFonts w:hint="default"/>
        <w:lang w:val="es-ES" w:eastAsia="en-US" w:bidi="ar-SA"/>
      </w:rPr>
    </w:lvl>
    <w:lvl w:ilvl="5" w:tplc="D46A9A76">
      <w:numFmt w:val="bullet"/>
      <w:lvlText w:val="•"/>
      <w:lvlJc w:val="left"/>
      <w:pPr>
        <w:ind w:left="5940" w:hanging="781"/>
      </w:pPr>
      <w:rPr>
        <w:rFonts w:hint="default"/>
        <w:lang w:val="es-ES" w:eastAsia="en-US" w:bidi="ar-SA"/>
      </w:rPr>
    </w:lvl>
    <w:lvl w:ilvl="6" w:tplc="3DE60F56">
      <w:numFmt w:val="bullet"/>
      <w:lvlText w:val="•"/>
      <w:lvlJc w:val="left"/>
      <w:pPr>
        <w:ind w:left="6825" w:hanging="781"/>
      </w:pPr>
      <w:rPr>
        <w:rFonts w:hint="default"/>
        <w:lang w:val="es-ES" w:eastAsia="en-US" w:bidi="ar-SA"/>
      </w:rPr>
    </w:lvl>
    <w:lvl w:ilvl="7" w:tplc="B0BEE7D8">
      <w:numFmt w:val="bullet"/>
      <w:lvlText w:val="•"/>
      <w:lvlJc w:val="left"/>
      <w:pPr>
        <w:ind w:left="7710" w:hanging="781"/>
      </w:pPr>
      <w:rPr>
        <w:rFonts w:hint="default"/>
        <w:lang w:val="es-ES" w:eastAsia="en-US" w:bidi="ar-SA"/>
      </w:rPr>
    </w:lvl>
    <w:lvl w:ilvl="8" w:tplc="EE04BD86">
      <w:numFmt w:val="bullet"/>
      <w:lvlText w:val="•"/>
      <w:lvlJc w:val="left"/>
      <w:pPr>
        <w:ind w:left="8595" w:hanging="781"/>
      </w:pPr>
      <w:rPr>
        <w:rFonts w:hint="default"/>
        <w:lang w:val="es-ES" w:eastAsia="en-US" w:bidi="ar-SA"/>
      </w:rPr>
    </w:lvl>
  </w:abstractNum>
  <w:abstractNum w:abstractNumId="7" w15:restartNumberingAfterBreak="0">
    <w:nsid w:val="3FEA3485"/>
    <w:multiLevelType w:val="hybridMultilevel"/>
    <w:tmpl w:val="33EAF930"/>
    <w:lvl w:ilvl="0" w:tplc="3EE89478">
      <w:start w:val="1"/>
      <w:numFmt w:val="upperRoman"/>
      <w:lvlText w:val="%1."/>
      <w:lvlJc w:val="left"/>
      <w:pPr>
        <w:ind w:left="1531" w:hanging="480"/>
        <w:jc w:val="right"/>
      </w:pPr>
      <w:rPr>
        <w:rFonts w:ascii="Arial" w:eastAsia="Arial" w:hAnsi="Arial" w:cs="Arial" w:hint="default"/>
        <w:b/>
        <w:bCs/>
        <w:i w:val="0"/>
        <w:iCs w:val="0"/>
        <w:spacing w:val="-2"/>
        <w:w w:val="100"/>
        <w:sz w:val="22"/>
        <w:szCs w:val="22"/>
        <w:lang w:val="es-ES" w:eastAsia="en-US" w:bidi="ar-SA"/>
      </w:rPr>
    </w:lvl>
    <w:lvl w:ilvl="1" w:tplc="31804384">
      <w:start w:val="1"/>
      <w:numFmt w:val="upperRoman"/>
      <w:lvlText w:val="%2)"/>
      <w:lvlJc w:val="left"/>
      <w:pPr>
        <w:ind w:left="2406" w:hanging="781"/>
        <w:jc w:val="right"/>
      </w:pPr>
      <w:rPr>
        <w:rFonts w:ascii="Arial" w:eastAsia="Arial" w:hAnsi="Arial" w:cs="Arial" w:hint="default"/>
        <w:b/>
        <w:bCs/>
        <w:i w:val="0"/>
        <w:iCs w:val="0"/>
        <w:spacing w:val="-2"/>
        <w:w w:val="100"/>
        <w:position w:val="4"/>
        <w:sz w:val="22"/>
        <w:szCs w:val="22"/>
        <w:lang w:val="es-ES" w:eastAsia="en-US" w:bidi="ar-SA"/>
      </w:rPr>
    </w:lvl>
    <w:lvl w:ilvl="2" w:tplc="958C8806">
      <w:numFmt w:val="bullet"/>
      <w:lvlText w:val="•"/>
      <w:lvlJc w:val="left"/>
      <w:pPr>
        <w:ind w:left="3285" w:hanging="781"/>
      </w:pPr>
      <w:rPr>
        <w:rFonts w:hint="default"/>
        <w:lang w:val="es-ES" w:eastAsia="en-US" w:bidi="ar-SA"/>
      </w:rPr>
    </w:lvl>
    <w:lvl w:ilvl="3" w:tplc="DED2D5EA">
      <w:numFmt w:val="bullet"/>
      <w:lvlText w:val="•"/>
      <w:lvlJc w:val="left"/>
      <w:pPr>
        <w:ind w:left="4170" w:hanging="781"/>
      </w:pPr>
      <w:rPr>
        <w:rFonts w:hint="default"/>
        <w:lang w:val="es-ES" w:eastAsia="en-US" w:bidi="ar-SA"/>
      </w:rPr>
    </w:lvl>
    <w:lvl w:ilvl="4" w:tplc="2F7647E6">
      <w:numFmt w:val="bullet"/>
      <w:lvlText w:val="•"/>
      <w:lvlJc w:val="left"/>
      <w:pPr>
        <w:ind w:left="5055" w:hanging="781"/>
      </w:pPr>
      <w:rPr>
        <w:rFonts w:hint="default"/>
        <w:lang w:val="es-ES" w:eastAsia="en-US" w:bidi="ar-SA"/>
      </w:rPr>
    </w:lvl>
    <w:lvl w:ilvl="5" w:tplc="D46A9A76">
      <w:numFmt w:val="bullet"/>
      <w:lvlText w:val="•"/>
      <w:lvlJc w:val="left"/>
      <w:pPr>
        <w:ind w:left="5940" w:hanging="781"/>
      </w:pPr>
      <w:rPr>
        <w:rFonts w:hint="default"/>
        <w:lang w:val="es-ES" w:eastAsia="en-US" w:bidi="ar-SA"/>
      </w:rPr>
    </w:lvl>
    <w:lvl w:ilvl="6" w:tplc="3DE60F56">
      <w:numFmt w:val="bullet"/>
      <w:lvlText w:val="•"/>
      <w:lvlJc w:val="left"/>
      <w:pPr>
        <w:ind w:left="6825" w:hanging="781"/>
      </w:pPr>
      <w:rPr>
        <w:rFonts w:hint="default"/>
        <w:lang w:val="es-ES" w:eastAsia="en-US" w:bidi="ar-SA"/>
      </w:rPr>
    </w:lvl>
    <w:lvl w:ilvl="7" w:tplc="B0BEE7D8">
      <w:numFmt w:val="bullet"/>
      <w:lvlText w:val="•"/>
      <w:lvlJc w:val="left"/>
      <w:pPr>
        <w:ind w:left="7710" w:hanging="781"/>
      </w:pPr>
      <w:rPr>
        <w:rFonts w:hint="default"/>
        <w:lang w:val="es-ES" w:eastAsia="en-US" w:bidi="ar-SA"/>
      </w:rPr>
    </w:lvl>
    <w:lvl w:ilvl="8" w:tplc="EE04BD86">
      <w:numFmt w:val="bullet"/>
      <w:lvlText w:val="•"/>
      <w:lvlJc w:val="left"/>
      <w:pPr>
        <w:ind w:left="8595" w:hanging="781"/>
      </w:pPr>
      <w:rPr>
        <w:rFonts w:hint="default"/>
        <w:lang w:val="es-ES" w:eastAsia="en-US" w:bidi="ar-SA"/>
      </w:rPr>
    </w:lvl>
  </w:abstractNum>
  <w:abstractNum w:abstractNumId="8" w15:restartNumberingAfterBreak="0">
    <w:nsid w:val="574821AD"/>
    <w:multiLevelType w:val="hybridMultilevel"/>
    <w:tmpl w:val="F8264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06CB2"/>
    <w:multiLevelType w:val="multilevel"/>
    <w:tmpl w:val="77EC1D8A"/>
    <w:lvl w:ilvl="0">
      <w:start w:val="1"/>
      <w:numFmt w:val="bullet"/>
      <w:lvlText w:val="-"/>
      <w:lvlJc w:val="left"/>
      <w:pPr>
        <w:ind w:left="720" w:hanging="360"/>
      </w:pPr>
      <w:rPr>
        <w:rFonts w:ascii="Courier New" w:hAnsi="Courier New" w:hint="default"/>
        <w:color w:val="auto"/>
        <w:sz w:val="16"/>
      </w:rPr>
    </w:lvl>
    <w:lvl w:ilvl="1">
      <w:start w:val="1"/>
      <w:numFmt w:val="bullet"/>
      <w:lvlText w:val=""/>
      <w:lvlJc w:val="left"/>
      <w:pPr>
        <w:ind w:left="1080" w:hanging="360"/>
      </w:pPr>
      <w:rPr>
        <w:rFonts w:ascii="Wingdings 3" w:hAnsi="Wingdings 3" w:cs="Wingdings" w:hint="default"/>
        <w:color w:val="70AD47" w:themeColor="accent6"/>
        <w:sz w:val="16"/>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697E6475"/>
    <w:multiLevelType w:val="hybridMultilevel"/>
    <w:tmpl w:val="33EAF930"/>
    <w:lvl w:ilvl="0" w:tplc="FFFFFFFF">
      <w:start w:val="1"/>
      <w:numFmt w:val="upperRoman"/>
      <w:lvlText w:val="%1."/>
      <w:lvlJc w:val="left"/>
      <w:pPr>
        <w:ind w:left="1531" w:hanging="480"/>
        <w:jc w:val="right"/>
      </w:pPr>
      <w:rPr>
        <w:rFonts w:ascii="Arial" w:eastAsia="Arial" w:hAnsi="Arial" w:cs="Arial" w:hint="default"/>
        <w:b/>
        <w:bCs/>
        <w:i w:val="0"/>
        <w:iCs w:val="0"/>
        <w:spacing w:val="-2"/>
        <w:w w:val="100"/>
        <w:sz w:val="22"/>
        <w:szCs w:val="22"/>
        <w:lang w:val="es-ES" w:eastAsia="en-US" w:bidi="ar-SA"/>
      </w:rPr>
    </w:lvl>
    <w:lvl w:ilvl="1" w:tplc="FFFFFFFF">
      <w:start w:val="1"/>
      <w:numFmt w:val="upperRoman"/>
      <w:lvlText w:val="%2)"/>
      <w:lvlJc w:val="left"/>
      <w:pPr>
        <w:ind w:left="2406" w:hanging="781"/>
        <w:jc w:val="right"/>
      </w:pPr>
      <w:rPr>
        <w:rFonts w:ascii="Arial" w:eastAsia="Arial" w:hAnsi="Arial" w:cs="Arial" w:hint="default"/>
        <w:b/>
        <w:bCs/>
        <w:i w:val="0"/>
        <w:iCs w:val="0"/>
        <w:spacing w:val="-2"/>
        <w:w w:val="100"/>
        <w:position w:val="4"/>
        <w:sz w:val="22"/>
        <w:szCs w:val="22"/>
        <w:lang w:val="es-ES" w:eastAsia="en-US" w:bidi="ar-SA"/>
      </w:rPr>
    </w:lvl>
    <w:lvl w:ilvl="2" w:tplc="FFFFFFFF">
      <w:numFmt w:val="bullet"/>
      <w:lvlText w:val="•"/>
      <w:lvlJc w:val="left"/>
      <w:pPr>
        <w:ind w:left="3285" w:hanging="781"/>
      </w:pPr>
      <w:rPr>
        <w:rFonts w:hint="default"/>
        <w:lang w:val="es-ES" w:eastAsia="en-US" w:bidi="ar-SA"/>
      </w:rPr>
    </w:lvl>
    <w:lvl w:ilvl="3" w:tplc="FFFFFFFF">
      <w:numFmt w:val="bullet"/>
      <w:lvlText w:val="•"/>
      <w:lvlJc w:val="left"/>
      <w:pPr>
        <w:ind w:left="4170" w:hanging="781"/>
      </w:pPr>
      <w:rPr>
        <w:rFonts w:hint="default"/>
        <w:lang w:val="es-ES" w:eastAsia="en-US" w:bidi="ar-SA"/>
      </w:rPr>
    </w:lvl>
    <w:lvl w:ilvl="4" w:tplc="FFFFFFFF">
      <w:numFmt w:val="bullet"/>
      <w:lvlText w:val="•"/>
      <w:lvlJc w:val="left"/>
      <w:pPr>
        <w:ind w:left="5055" w:hanging="781"/>
      </w:pPr>
      <w:rPr>
        <w:rFonts w:hint="default"/>
        <w:lang w:val="es-ES" w:eastAsia="en-US" w:bidi="ar-SA"/>
      </w:rPr>
    </w:lvl>
    <w:lvl w:ilvl="5" w:tplc="FFFFFFFF">
      <w:numFmt w:val="bullet"/>
      <w:lvlText w:val="•"/>
      <w:lvlJc w:val="left"/>
      <w:pPr>
        <w:ind w:left="5940" w:hanging="781"/>
      </w:pPr>
      <w:rPr>
        <w:rFonts w:hint="default"/>
        <w:lang w:val="es-ES" w:eastAsia="en-US" w:bidi="ar-SA"/>
      </w:rPr>
    </w:lvl>
    <w:lvl w:ilvl="6" w:tplc="FFFFFFFF">
      <w:numFmt w:val="bullet"/>
      <w:lvlText w:val="•"/>
      <w:lvlJc w:val="left"/>
      <w:pPr>
        <w:ind w:left="6825" w:hanging="781"/>
      </w:pPr>
      <w:rPr>
        <w:rFonts w:hint="default"/>
        <w:lang w:val="es-ES" w:eastAsia="en-US" w:bidi="ar-SA"/>
      </w:rPr>
    </w:lvl>
    <w:lvl w:ilvl="7" w:tplc="FFFFFFFF">
      <w:numFmt w:val="bullet"/>
      <w:lvlText w:val="•"/>
      <w:lvlJc w:val="left"/>
      <w:pPr>
        <w:ind w:left="7710" w:hanging="781"/>
      </w:pPr>
      <w:rPr>
        <w:rFonts w:hint="default"/>
        <w:lang w:val="es-ES" w:eastAsia="en-US" w:bidi="ar-SA"/>
      </w:rPr>
    </w:lvl>
    <w:lvl w:ilvl="8" w:tplc="FFFFFFFF">
      <w:numFmt w:val="bullet"/>
      <w:lvlText w:val="•"/>
      <w:lvlJc w:val="left"/>
      <w:pPr>
        <w:ind w:left="8595" w:hanging="781"/>
      </w:pPr>
      <w:rPr>
        <w:rFonts w:hint="default"/>
        <w:lang w:val="es-ES" w:eastAsia="en-US" w:bidi="ar-SA"/>
      </w:rPr>
    </w:lvl>
  </w:abstractNum>
  <w:abstractNum w:abstractNumId="11" w15:restartNumberingAfterBreak="0">
    <w:nsid w:val="785D5131"/>
    <w:multiLevelType w:val="hybridMultilevel"/>
    <w:tmpl w:val="130AE064"/>
    <w:lvl w:ilvl="0" w:tplc="080A0017">
      <w:start w:val="1"/>
      <w:numFmt w:val="lowerLetter"/>
      <w:lvlText w:val="%1)"/>
      <w:lvlJc w:val="left"/>
      <w:pPr>
        <w:ind w:left="1080" w:hanging="360"/>
      </w:pPr>
      <w:rPr>
        <w:rFonts w:hint="default"/>
      </w:rPr>
    </w:lvl>
    <w:lvl w:ilvl="1" w:tplc="D68C4BDE">
      <w:start w:val="1"/>
      <w:numFmt w:val="decimal"/>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90C0B8C"/>
    <w:multiLevelType w:val="hybridMultilevel"/>
    <w:tmpl w:val="27C4E2E6"/>
    <w:lvl w:ilvl="0" w:tplc="8B84B2AC">
      <w:start w:val="1"/>
      <w:numFmt w:val="decimal"/>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13" w15:restartNumberingAfterBreak="0">
    <w:nsid w:val="794C1B4F"/>
    <w:multiLevelType w:val="hybridMultilevel"/>
    <w:tmpl w:val="B4FCD894"/>
    <w:lvl w:ilvl="0" w:tplc="080A0001">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num w:numId="1">
    <w:abstractNumId w:val="7"/>
  </w:num>
  <w:num w:numId="2">
    <w:abstractNumId w:val="6"/>
  </w:num>
  <w:num w:numId="3">
    <w:abstractNumId w:val="13"/>
  </w:num>
  <w:num w:numId="4">
    <w:abstractNumId w:val="5"/>
  </w:num>
  <w:num w:numId="5">
    <w:abstractNumId w:val="9"/>
  </w:num>
  <w:num w:numId="6">
    <w:abstractNumId w:val="11"/>
  </w:num>
  <w:num w:numId="7">
    <w:abstractNumId w:val="4"/>
  </w:num>
  <w:num w:numId="8">
    <w:abstractNumId w:val="3"/>
  </w:num>
  <w:num w:numId="9">
    <w:abstractNumId w:val="8"/>
  </w:num>
  <w:num w:numId="10">
    <w:abstractNumId w:val="2"/>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20"/>
    <w:rsid w:val="00012023"/>
    <w:rsid w:val="00016AEF"/>
    <w:rsid w:val="00020ABC"/>
    <w:rsid w:val="00031864"/>
    <w:rsid w:val="00031F16"/>
    <w:rsid w:val="00033284"/>
    <w:rsid w:val="00046C5B"/>
    <w:rsid w:val="00051AE6"/>
    <w:rsid w:val="00063149"/>
    <w:rsid w:val="00071DC6"/>
    <w:rsid w:val="00073882"/>
    <w:rsid w:val="00076733"/>
    <w:rsid w:val="00077F0E"/>
    <w:rsid w:val="0008386B"/>
    <w:rsid w:val="00083BC7"/>
    <w:rsid w:val="00083F4D"/>
    <w:rsid w:val="000847E5"/>
    <w:rsid w:val="000965AB"/>
    <w:rsid w:val="00097673"/>
    <w:rsid w:val="000A3176"/>
    <w:rsid w:val="000A550D"/>
    <w:rsid w:val="000A56C1"/>
    <w:rsid w:val="000B19C7"/>
    <w:rsid w:val="000B3938"/>
    <w:rsid w:val="000C535F"/>
    <w:rsid w:val="000C62BC"/>
    <w:rsid w:val="000E006A"/>
    <w:rsid w:val="000E58E2"/>
    <w:rsid w:val="000E59FA"/>
    <w:rsid w:val="000F4500"/>
    <w:rsid w:val="000F471C"/>
    <w:rsid w:val="00100934"/>
    <w:rsid w:val="00113EFF"/>
    <w:rsid w:val="00115B8A"/>
    <w:rsid w:val="00122D1D"/>
    <w:rsid w:val="00127212"/>
    <w:rsid w:val="001317FD"/>
    <w:rsid w:val="0013486A"/>
    <w:rsid w:val="00134942"/>
    <w:rsid w:val="00140A08"/>
    <w:rsid w:val="00144CF7"/>
    <w:rsid w:val="00145F3B"/>
    <w:rsid w:val="00146458"/>
    <w:rsid w:val="00152AD0"/>
    <w:rsid w:val="00152C3D"/>
    <w:rsid w:val="00153FFC"/>
    <w:rsid w:val="00160FB2"/>
    <w:rsid w:val="0016643E"/>
    <w:rsid w:val="00167928"/>
    <w:rsid w:val="00172C57"/>
    <w:rsid w:val="0017317C"/>
    <w:rsid w:val="00181E7F"/>
    <w:rsid w:val="00184388"/>
    <w:rsid w:val="001A1C1F"/>
    <w:rsid w:val="001A3D59"/>
    <w:rsid w:val="001A5719"/>
    <w:rsid w:val="001B350B"/>
    <w:rsid w:val="001C297C"/>
    <w:rsid w:val="001C34A1"/>
    <w:rsid w:val="001C3EC2"/>
    <w:rsid w:val="001D49F6"/>
    <w:rsid w:val="001D552E"/>
    <w:rsid w:val="001E23D6"/>
    <w:rsid w:val="001E26CA"/>
    <w:rsid w:val="001F197D"/>
    <w:rsid w:val="001F36FB"/>
    <w:rsid w:val="001F5947"/>
    <w:rsid w:val="001F5D57"/>
    <w:rsid w:val="00200425"/>
    <w:rsid w:val="00221774"/>
    <w:rsid w:val="0022438E"/>
    <w:rsid w:val="0023714C"/>
    <w:rsid w:val="0024381A"/>
    <w:rsid w:val="00243C9C"/>
    <w:rsid w:val="002503A5"/>
    <w:rsid w:val="00252368"/>
    <w:rsid w:val="00255ACF"/>
    <w:rsid w:val="0025611B"/>
    <w:rsid w:val="0026564C"/>
    <w:rsid w:val="00272B4D"/>
    <w:rsid w:val="002801BF"/>
    <w:rsid w:val="002868EB"/>
    <w:rsid w:val="00290A25"/>
    <w:rsid w:val="00291360"/>
    <w:rsid w:val="00293807"/>
    <w:rsid w:val="00293F74"/>
    <w:rsid w:val="00297CFB"/>
    <w:rsid w:val="002A1187"/>
    <w:rsid w:val="002A2545"/>
    <w:rsid w:val="002A4140"/>
    <w:rsid w:val="002A71D9"/>
    <w:rsid w:val="002B1E4E"/>
    <w:rsid w:val="002B7C75"/>
    <w:rsid w:val="002D2BD4"/>
    <w:rsid w:val="002D3332"/>
    <w:rsid w:val="002D419E"/>
    <w:rsid w:val="002D5A8D"/>
    <w:rsid w:val="002F0AE5"/>
    <w:rsid w:val="002F240B"/>
    <w:rsid w:val="002F2D65"/>
    <w:rsid w:val="002F3B9F"/>
    <w:rsid w:val="002F5309"/>
    <w:rsid w:val="00302107"/>
    <w:rsid w:val="003023D1"/>
    <w:rsid w:val="00302750"/>
    <w:rsid w:val="00303DD4"/>
    <w:rsid w:val="00316047"/>
    <w:rsid w:val="00320723"/>
    <w:rsid w:val="00327852"/>
    <w:rsid w:val="00330782"/>
    <w:rsid w:val="00330B7E"/>
    <w:rsid w:val="00333C52"/>
    <w:rsid w:val="00333CE3"/>
    <w:rsid w:val="0033765D"/>
    <w:rsid w:val="00341BE5"/>
    <w:rsid w:val="00354532"/>
    <w:rsid w:val="00357E78"/>
    <w:rsid w:val="00360D3E"/>
    <w:rsid w:val="003624EB"/>
    <w:rsid w:val="00362C90"/>
    <w:rsid w:val="0036358C"/>
    <w:rsid w:val="003715B9"/>
    <w:rsid w:val="003732E0"/>
    <w:rsid w:val="00386A58"/>
    <w:rsid w:val="00386F3F"/>
    <w:rsid w:val="003875BB"/>
    <w:rsid w:val="003901FC"/>
    <w:rsid w:val="003A2FE1"/>
    <w:rsid w:val="003A3DB6"/>
    <w:rsid w:val="003A52A7"/>
    <w:rsid w:val="003B08B3"/>
    <w:rsid w:val="003B6567"/>
    <w:rsid w:val="003B713C"/>
    <w:rsid w:val="003C147F"/>
    <w:rsid w:val="003C6658"/>
    <w:rsid w:val="003D0484"/>
    <w:rsid w:val="003D1C3A"/>
    <w:rsid w:val="003D7625"/>
    <w:rsid w:val="003F0AAD"/>
    <w:rsid w:val="003F747E"/>
    <w:rsid w:val="003F78A7"/>
    <w:rsid w:val="004051A7"/>
    <w:rsid w:val="00407507"/>
    <w:rsid w:val="00416FD2"/>
    <w:rsid w:val="004202FE"/>
    <w:rsid w:val="004266F6"/>
    <w:rsid w:val="00431441"/>
    <w:rsid w:val="00432305"/>
    <w:rsid w:val="00441FF8"/>
    <w:rsid w:val="0044575D"/>
    <w:rsid w:val="004541A8"/>
    <w:rsid w:val="004579F5"/>
    <w:rsid w:val="00460AD7"/>
    <w:rsid w:val="0046367D"/>
    <w:rsid w:val="00486498"/>
    <w:rsid w:val="004949D7"/>
    <w:rsid w:val="00496918"/>
    <w:rsid w:val="004A7230"/>
    <w:rsid w:val="004B6E05"/>
    <w:rsid w:val="004C0AC3"/>
    <w:rsid w:val="004C227E"/>
    <w:rsid w:val="004C2D8C"/>
    <w:rsid w:val="004C462F"/>
    <w:rsid w:val="004C5D16"/>
    <w:rsid w:val="004D2948"/>
    <w:rsid w:val="004D7CB9"/>
    <w:rsid w:val="004E0017"/>
    <w:rsid w:val="004F5533"/>
    <w:rsid w:val="00503D90"/>
    <w:rsid w:val="005050E6"/>
    <w:rsid w:val="00514DBB"/>
    <w:rsid w:val="005246CD"/>
    <w:rsid w:val="005379EF"/>
    <w:rsid w:val="00537B8B"/>
    <w:rsid w:val="00543B79"/>
    <w:rsid w:val="0055104D"/>
    <w:rsid w:val="00551DCB"/>
    <w:rsid w:val="00552779"/>
    <w:rsid w:val="005547F3"/>
    <w:rsid w:val="00554DCF"/>
    <w:rsid w:val="0055606E"/>
    <w:rsid w:val="00562145"/>
    <w:rsid w:val="00576147"/>
    <w:rsid w:val="00585AE1"/>
    <w:rsid w:val="005912BD"/>
    <w:rsid w:val="00595302"/>
    <w:rsid w:val="0059610C"/>
    <w:rsid w:val="0059616E"/>
    <w:rsid w:val="005A3214"/>
    <w:rsid w:val="005A6C13"/>
    <w:rsid w:val="005C0EAD"/>
    <w:rsid w:val="005D0AC9"/>
    <w:rsid w:val="005D5A13"/>
    <w:rsid w:val="005E096B"/>
    <w:rsid w:val="005E7821"/>
    <w:rsid w:val="005F2B99"/>
    <w:rsid w:val="005F4990"/>
    <w:rsid w:val="00602ACC"/>
    <w:rsid w:val="006042B4"/>
    <w:rsid w:val="006243F3"/>
    <w:rsid w:val="0063547C"/>
    <w:rsid w:val="0064287A"/>
    <w:rsid w:val="00644DE1"/>
    <w:rsid w:val="00645203"/>
    <w:rsid w:val="00647DAD"/>
    <w:rsid w:val="00647F1C"/>
    <w:rsid w:val="00660900"/>
    <w:rsid w:val="006625EA"/>
    <w:rsid w:val="00663661"/>
    <w:rsid w:val="00671981"/>
    <w:rsid w:val="00672F2C"/>
    <w:rsid w:val="00673735"/>
    <w:rsid w:val="006740B2"/>
    <w:rsid w:val="00680A28"/>
    <w:rsid w:val="00680ECA"/>
    <w:rsid w:val="00682E20"/>
    <w:rsid w:val="00687577"/>
    <w:rsid w:val="00690F8C"/>
    <w:rsid w:val="006934AD"/>
    <w:rsid w:val="00693FAF"/>
    <w:rsid w:val="00694CF7"/>
    <w:rsid w:val="00695C8B"/>
    <w:rsid w:val="00696C86"/>
    <w:rsid w:val="006A2A6F"/>
    <w:rsid w:val="006A53F8"/>
    <w:rsid w:val="006B21C2"/>
    <w:rsid w:val="006B4B9A"/>
    <w:rsid w:val="006C4A38"/>
    <w:rsid w:val="006D201C"/>
    <w:rsid w:val="006E1BE6"/>
    <w:rsid w:val="006E7239"/>
    <w:rsid w:val="006E7EE0"/>
    <w:rsid w:val="006F57D1"/>
    <w:rsid w:val="0073648D"/>
    <w:rsid w:val="00737FD6"/>
    <w:rsid w:val="00740446"/>
    <w:rsid w:val="00746AD2"/>
    <w:rsid w:val="00752B87"/>
    <w:rsid w:val="00756396"/>
    <w:rsid w:val="00762B14"/>
    <w:rsid w:val="007672F7"/>
    <w:rsid w:val="0076782F"/>
    <w:rsid w:val="00772053"/>
    <w:rsid w:val="0077544A"/>
    <w:rsid w:val="00775DD9"/>
    <w:rsid w:val="00777F62"/>
    <w:rsid w:val="00785FAE"/>
    <w:rsid w:val="007872FA"/>
    <w:rsid w:val="00790E1D"/>
    <w:rsid w:val="00792E78"/>
    <w:rsid w:val="0079458F"/>
    <w:rsid w:val="007B1268"/>
    <w:rsid w:val="007B455D"/>
    <w:rsid w:val="007B7A4D"/>
    <w:rsid w:val="007C0337"/>
    <w:rsid w:val="007C0EDD"/>
    <w:rsid w:val="007C34DC"/>
    <w:rsid w:val="007C6F83"/>
    <w:rsid w:val="007D03A7"/>
    <w:rsid w:val="007D25F4"/>
    <w:rsid w:val="007F7482"/>
    <w:rsid w:val="007F790F"/>
    <w:rsid w:val="00801880"/>
    <w:rsid w:val="00805096"/>
    <w:rsid w:val="008145E7"/>
    <w:rsid w:val="0081717D"/>
    <w:rsid w:val="00824A16"/>
    <w:rsid w:val="00826719"/>
    <w:rsid w:val="00827220"/>
    <w:rsid w:val="00832913"/>
    <w:rsid w:val="00847731"/>
    <w:rsid w:val="00851798"/>
    <w:rsid w:val="008517DA"/>
    <w:rsid w:val="0085197F"/>
    <w:rsid w:val="00867B74"/>
    <w:rsid w:val="00873A5E"/>
    <w:rsid w:val="00876260"/>
    <w:rsid w:val="0089078B"/>
    <w:rsid w:val="00891291"/>
    <w:rsid w:val="00892DA2"/>
    <w:rsid w:val="008A379C"/>
    <w:rsid w:val="008A6A6B"/>
    <w:rsid w:val="008B4031"/>
    <w:rsid w:val="008C6EF1"/>
    <w:rsid w:val="008D05F3"/>
    <w:rsid w:val="008D62A3"/>
    <w:rsid w:val="008E2859"/>
    <w:rsid w:val="008E6586"/>
    <w:rsid w:val="00902F56"/>
    <w:rsid w:val="00904CDD"/>
    <w:rsid w:val="00912DA4"/>
    <w:rsid w:val="00915234"/>
    <w:rsid w:val="00923ABD"/>
    <w:rsid w:val="00931469"/>
    <w:rsid w:val="00942EAD"/>
    <w:rsid w:val="00944DB5"/>
    <w:rsid w:val="00951286"/>
    <w:rsid w:val="009605CD"/>
    <w:rsid w:val="00961F2E"/>
    <w:rsid w:val="0096499D"/>
    <w:rsid w:val="00977848"/>
    <w:rsid w:val="009828E1"/>
    <w:rsid w:val="009923CA"/>
    <w:rsid w:val="009932C8"/>
    <w:rsid w:val="00997441"/>
    <w:rsid w:val="009A6586"/>
    <w:rsid w:val="009B1C65"/>
    <w:rsid w:val="009B2660"/>
    <w:rsid w:val="009E2459"/>
    <w:rsid w:val="009E6070"/>
    <w:rsid w:val="00A0295F"/>
    <w:rsid w:val="00A06B33"/>
    <w:rsid w:val="00A07BB8"/>
    <w:rsid w:val="00A10C21"/>
    <w:rsid w:val="00A11A21"/>
    <w:rsid w:val="00A15794"/>
    <w:rsid w:val="00A15E0F"/>
    <w:rsid w:val="00A2070E"/>
    <w:rsid w:val="00A3087E"/>
    <w:rsid w:val="00A3451E"/>
    <w:rsid w:val="00A37EBF"/>
    <w:rsid w:val="00A4210C"/>
    <w:rsid w:val="00A4460E"/>
    <w:rsid w:val="00A5037C"/>
    <w:rsid w:val="00A56944"/>
    <w:rsid w:val="00A574CF"/>
    <w:rsid w:val="00A62139"/>
    <w:rsid w:val="00A66926"/>
    <w:rsid w:val="00A718C1"/>
    <w:rsid w:val="00A742B7"/>
    <w:rsid w:val="00A74358"/>
    <w:rsid w:val="00A86034"/>
    <w:rsid w:val="00A86927"/>
    <w:rsid w:val="00A97F93"/>
    <w:rsid w:val="00AA3FBC"/>
    <w:rsid w:val="00AB0E29"/>
    <w:rsid w:val="00AB23D1"/>
    <w:rsid w:val="00AB4E67"/>
    <w:rsid w:val="00AB4FE0"/>
    <w:rsid w:val="00AC0534"/>
    <w:rsid w:val="00AC444F"/>
    <w:rsid w:val="00AE0645"/>
    <w:rsid w:val="00AE0B09"/>
    <w:rsid w:val="00AE3FCC"/>
    <w:rsid w:val="00AE469D"/>
    <w:rsid w:val="00AE4E6F"/>
    <w:rsid w:val="00AE6430"/>
    <w:rsid w:val="00AF1862"/>
    <w:rsid w:val="00AF3EE7"/>
    <w:rsid w:val="00AF4A90"/>
    <w:rsid w:val="00AF7197"/>
    <w:rsid w:val="00B063C2"/>
    <w:rsid w:val="00B1259B"/>
    <w:rsid w:val="00B15091"/>
    <w:rsid w:val="00B22736"/>
    <w:rsid w:val="00B26B86"/>
    <w:rsid w:val="00B31D00"/>
    <w:rsid w:val="00B33E28"/>
    <w:rsid w:val="00B37B57"/>
    <w:rsid w:val="00B406DC"/>
    <w:rsid w:val="00B47548"/>
    <w:rsid w:val="00B52AE6"/>
    <w:rsid w:val="00B634B4"/>
    <w:rsid w:val="00B645C0"/>
    <w:rsid w:val="00B64A0D"/>
    <w:rsid w:val="00B6523F"/>
    <w:rsid w:val="00B705C9"/>
    <w:rsid w:val="00B70C72"/>
    <w:rsid w:val="00BA1628"/>
    <w:rsid w:val="00BB0F34"/>
    <w:rsid w:val="00BB7DB2"/>
    <w:rsid w:val="00BC065C"/>
    <w:rsid w:val="00BC2021"/>
    <w:rsid w:val="00BC78B8"/>
    <w:rsid w:val="00BD07E8"/>
    <w:rsid w:val="00BD5FE1"/>
    <w:rsid w:val="00BE256D"/>
    <w:rsid w:val="00BE25A2"/>
    <w:rsid w:val="00BF7B89"/>
    <w:rsid w:val="00C1054F"/>
    <w:rsid w:val="00C16A9E"/>
    <w:rsid w:val="00C215DB"/>
    <w:rsid w:val="00C31234"/>
    <w:rsid w:val="00C34A34"/>
    <w:rsid w:val="00C376DE"/>
    <w:rsid w:val="00C42DE2"/>
    <w:rsid w:val="00C4461B"/>
    <w:rsid w:val="00C50B86"/>
    <w:rsid w:val="00C51D0D"/>
    <w:rsid w:val="00C52A7B"/>
    <w:rsid w:val="00C63D9B"/>
    <w:rsid w:val="00C6432C"/>
    <w:rsid w:val="00C64DBC"/>
    <w:rsid w:val="00C66E3B"/>
    <w:rsid w:val="00C84432"/>
    <w:rsid w:val="00C84B42"/>
    <w:rsid w:val="00C86930"/>
    <w:rsid w:val="00C92618"/>
    <w:rsid w:val="00C92B5C"/>
    <w:rsid w:val="00C95B23"/>
    <w:rsid w:val="00CA1657"/>
    <w:rsid w:val="00CB1C7A"/>
    <w:rsid w:val="00CC1235"/>
    <w:rsid w:val="00CC62B5"/>
    <w:rsid w:val="00CD7C94"/>
    <w:rsid w:val="00CE6FB1"/>
    <w:rsid w:val="00CE75A2"/>
    <w:rsid w:val="00CF243E"/>
    <w:rsid w:val="00CF6FC2"/>
    <w:rsid w:val="00D01FB7"/>
    <w:rsid w:val="00D21B60"/>
    <w:rsid w:val="00D37B75"/>
    <w:rsid w:val="00D402E1"/>
    <w:rsid w:val="00D41A4D"/>
    <w:rsid w:val="00D44DBF"/>
    <w:rsid w:val="00D515C6"/>
    <w:rsid w:val="00D5536B"/>
    <w:rsid w:val="00D56B76"/>
    <w:rsid w:val="00D570CA"/>
    <w:rsid w:val="00D60DB7"/>
    <w:rsid w:val="00D64EDD"/>
    <w:rsid w:val="00D71F30"/>
    <w:rsid w:val="00D75824"/>
    <w:rsid w:val="00D76281"/>
    <w:rsid w:val="00D80FCB"/>
    <w:rsid w:val="00D82CBF"/>
    <w:rsid w:val="00D90619"/>
    <w:rsid w:val="00D91631"/>
    <w:rsid w:val="00DA58C2"/>
    <w:rsid w:val="00DB00F6"/>
    <w:rsid w:val="00DC447E"/>
    <w:rsid w:val="00DD4DCC"/>
    <w:rsid w:val="00DD4F54"/>
    <w:rsid w:val="00DE17DE"/>
    <w:rsid w:val="00DE2D45"/>
    <w:rsid w:val="00DE3018"/>
    <w:rsid w:val="00DE5E4B"/>
    <w:rsid w:val="00E034E9"/>
    <w:rsid w:val="00E05535"/>
    <w:rsid w:val="00E07175"/>
    <w:rsid w:val="00E32292"/>
    <w:rsid w:val="00E35BBA"/>
    <w:rsid w:val="00E4140D"/>
    <w:rsid w:val="00E4381B"/>
    <w:rsid w:val="00E43E29"/>
    <w:rsid w:val="00E61E98"/>
    <w:rsid w:val="00E92154"/>
    <w:rsid w:val="00E93844"/>
    <w:rsid w:val="00E953C0"/>
    <w:rsid w:val="00EA518F"/>
    <w:rsid w:val="00EB5AC5"/>
    <w:rsid w:val="00EC4F07"/>
    <w:rsid w:val="00ED3204"/>
    <w:rsid w:val="00ED799C"/>
    <w:rsid w:val="00EE3687"/>
    <w:rsid w:val="00EE67E2"/>
    <w:rsid w:val="00EF5854"/>
    <w:rsid w:val="00EF74E6"/>
    <w:rsid w:val="00F002B8"/>
    <w:rsid w:val="00F018B1"/>
    <w:rsid w:val="00F03DDB"/>
    <w:rsid w:val="00F04211"/>
    <w:rsid w:val="00F1479F"/>
    <w:rsid w:val="00F167D7"/>
    <w:rsid w:val="00F16D5B"/>
    <w:rsid w:val="00F16F6F"/>
    <w:rsid w:val="00F17885"/>
    <w:rsid w:val="00F17D27"/>
    <w:rsid w:val="00F219F4"/>
    <w:rsid w:val="00F23560"/>
    <w:rsid w:val="00F3647D"/>
    <w:rsid w:val="00F369CC"/>
    <w:rsid w:val="00F4088E"/>
    <w:rsid w:val="00F44F8C"/>
    <w:rsid w:val="00F64C39"/>
    <w:rsid w:val="00F67ECC"/>
    <w:rsid w:val="00F7322C"/>
    <w:rsid w:val="00F76682"/>
    <w:rsid w:val="00F80A30"/>
    <w:rsid w:val="00FA1400"/>
    <w:rsid w:val="00FA39A5"/>
    <w:rsid w:val="00FA4060"/>
    <w:rsid w:val="00FA486B"/>
    <w:rsid w:val="00FA5FDC"/>
    <w:rsid w:val="00FA6529"/>
    <w:rsid w:val="00FA673B"/>
    <w:rsid w:val="00FA751F"/>
    <w:rsid w:val="00FA7DCE"/>
    <w:rsid w:val="00FB2BED"/>
    <w:rsid w:val="00FB4248"/>
    <w:rsid w:val="00FC1601"/>
    <w:rsid w:val="00FC4B1A"/>
    <w:rsid w:val="00FC5471"/>
    <w:rsid w:val="00FD4106"/>
    <w:rsid w:val="00FE636B"/>
    <w:rsid w:val="00FE67FF"/>
    <w:rsid w:val="00FF50B3"/>
    <w:rsid w:val="00FF5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E2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682E20"/>
    <w:pPr>
      <w:ind w:left="810"/>
      <w:outlineLvl w:val="0"/>
    </w:pPr>
    <w:rPr>
      <w:b/>
      <w:bCs/>
    </w:rPr>
  </w:style>
  <w:style w:type="paragraph" w:styleId="Ttulo2">
    <w:name w:val="heading 2"/>
    <w:basedOn w:val="Normal"/>
    <w:next w:val="Normal"/>
    <w:link w:val="Ttulo2Car"/>
    <w:uiPriority w:val="9"/>
    <w:semiHidden/>
    <w:unhideWhenUsed/>
    <w:qFormat/>
    <w:rsid w:val="00682E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2B1E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E20"/>
    <w:rPr>
      <w:rFonts w:ascii="Arial" w:eastAsia="Arial" w:hAnsi="Arial" w:cs="Arial"/>
      <w:b/>
      <w:bCs/>
      <w:lang w:val="es-ES"/>
    </w:rPr>
  </w:style>
  <w:style w:type="character" w:customStyle="1" w:styleId="Ttulo2Car">
    <w:name w:val="Título 2 Car"/>
    <w:basedOn w:val="Fuentedeprrafopredeter"/>
    <w:link w:val="Ttulo2"/>
    <w:uiPriority w:val="9"/>
    <w:semiHidden/>
    <w:rsid w:val="00682E20"/>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682E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2E20"/>
  </w:style>
  <w:style w:type="character" w:customStyle="1" w:styleId="TextoindependienteCar">
    <w:name w:val="Texto independiente Car"/>
    <w:basedOn w:val="Fuentedeprrafopredeter"/>
    <w:link w:val="Textoindependiente"/>
    <w:uiPriority w:val="1"/>
    <w:rsid w:val="00682E20"/>
    <w:rPr>
      <w:rFonts w:ascii="Arial" w:eastAsia="Arial" w:hAnsi="Arial" w:cs="Arial"/>
      <w:lang w:val="es-ES"/>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1"/>
    <w:qFormat/>
    <w:rsid w:val="00682E20"/>
    <w:pPr>
      <w:ind w:left="1531" w:hanging="781"/>
    </w:pPr>
  </w:style>
  <w:style w:type="paragraph" w:customStyle="1" w:styleId="TableParagraph">
    <w:name w:val="Table Paragraph"/>
    <w:basedOn w:val="Normal"/>
    <w:uiPriority w:val="1"/>
    <w:qFormat/>
    <w:rsid w:val="00682E20"/>
    <w:pPr>
      <w:spacing w:before="26" w:line="146" w:lineRule="exact"/>
    </w:pPr>
  </w:style>
  <w:style w:type="character" w:styleId="Hipervnculo">
    <w:name w:val="Hyperlink"/>
    <w:basedOn w:val="Fuentedeprrafopredeter"/>
    <w:uiPriority w:val="99"/>
    <w:unhideWhenUsed/>
    <w:rsid w:val="00682E20"/>
    <w:rPr>
      <w:color w:val="0563C1" w:themeColor="hyperlink"/>
      <w:u w:val="single"/>
    </w:rPr>
  </w:style>
  <w:style w:type="character" w:styleId="Mencinsinresolver">
    <w:name w:val="Unresolved Mention"/>
    <w:basedOn w:val="Fuentedeprrafopredeter"/>
    <w:uiPriority w:val="99"/>
    <w:semiHidden/>
    <w:unhideWhenUsed/>
    <w:rsid w:val="00682E20"/>
    <w:rPr>
      <w:color w:val="605E5C"/>
      <w:shd w:val="clear" w:color="auto" w:fill="E1DFDD"/>
    </w:rPr>
  </w:style>
  <w:style w:type="paragraph" w:styleId="Textonotapie">
    <w:name w:val="footnote text"/>
    <w:aliases w:val="ALTS FOOTNOTE,Footnote text,Footnote Text Char Char Char,Footnote Text Char Char Char Char Char Char Char,Footnote Text Char Char Char Char Char Char Char Char Char,Footnote Text Char Char Char Char Char,Footnote Text2 Char Char,SF píe,fn"/>
    <w:basedOn w:val="Normal"/>
    <w:link w:val="TextonotapieCar"/>
    <w:uiPriority w:val="99"/>
    <w:unhideWhenUsed/>
    <w:qFormat/>
    <w:rsid w:val="00682E20"/>
    <w:rPr>
      <w:sz w:val="20"/>
      <w:szCs w:val="20"/>
    </w:rPr>
  </w:style>
  <w:style w:type="character" w:customStyle="1" w:styleId="TextonotapieCar">
    <w:name w:val="Texto nota pie Car"/>
    <w:aliases w:val="ALTS FOOTNOTE Car,Footnote text Car,Footnote Text Char Char Char Car,Footnote Text Char Char Char Char Char Char Char Car,Footnote Text Char Char Char Char Char Char Char Char Char Car,Footnote Text Char Char Char Char Char Car,fn Car"/>
    <w:basedOn w:val="Fuentedeprrafopredeter"/>
    <w:link w:val="Textonotapie"/>
    <w:uiPriority w:val="99"/>
    <w:rsid w:val="00682E20"/>
    <w:rPr>
      <w:rFonts w:ascii="Arial" w:eastAsia="Arial" w:hAnsi="Arial" w:cs="Arial"/>
      <w:sz w:val="20"/>
      <w:szCs w:val="20"/>
      <w:lang w:val="es-ES"/>
    </w:rPr>
  </w:style>
  <w:style w:type="character" w:styleId="Refdenotaalpie">
    <w:name w:val="footnote reference"/>
    <w:aliases w:val="ftref,Footnote number,ComReg Footnote Reference,Appel note de bas de p,fr,Footnote symbol,Footnote,Nota,ABA Footnote Reference,fr 2,(NECG) Footnote Reference,Style 6,Voetnootverwijzing,Style 12,Style 124,Footnotemark,FR,FR1,Ref,o"/>
    <w:basedOn w:val="Fuentedeprrafopredeter"/>
    <w:link w:val="FootnoteReferenceNumber"/>
    <w:uiPriority w:val="99"/>
    <w:unhideWhenUsed/>
    <w:qFormat/>
    <w:rsid w:val="00682E20"/>
    <w:rPr>
      <w:vertAlign w:val="superscript"/>
    </w:rPr>
  </w:style>
  <w:style w:type="paragraph" w:styleId="Encabezado">
    <w:name w:val="header"/>
    <w:basedOn w:val="Normal"/>
    <w:link w:val="EncabezadoCar"/>
    <w:uiPriority w:val="99"/>
    <w:unhideWhenUsed/>
    <w:rsid w:val="00682E20"/>
    <w:pPr>
      <w:tabs>
        <w:tab w:val="center" w:pos="4419"/>
        <w:tab w:val="right" w:pos="8838"/>
      </w:tabs>
    </w:pPr>
  </w:style>
  <w:style w:type="character" w:customStyle="1" w:styleId="EncabezadoCar">
    <w:name w:val="Encabezado Car"/>
    <w:basedOn w:val="Fuentedeprrafopredeter"/>
    <w:link w:val="Encabezado"/>
    <w:uiPriority w:val="99"/>
    <w:rsid w:val="00682E20"/>
    <w:rPr>
      <w:rFonts w:ascii="Arial" w:eastAsia="Arial" w:hAnsi="Arial" w:cs="Arial"/>
      <w:lang w:val="es-ES"/>
    </w:rPr>
  </w:style>
  <w:style w:type="paragraph" w:styleId="Piedepgina">
    <w:name w:val="footer"/>
    <w:basedOn w:val="Normal"/>
    <w:link w:val="PiedepginaCar"/>
    <w:uiPriority w:val="99"/>
    <w:unhideWhenUsed/>
    <w:rsid w:val="00682E20"/>
    <w:pPr>
      <w:tabs>
        <w:tab w:val="center" w:pos="4419"/>
        <w:tab w:val="right" w:pos="8838"/>
      </w:tabs>
    </w:pPr>
  </w:style>
  <w:style w:type="character" w:customStyle="1" w:styleId="PiedepginaCar">
    <w:name w:val="Pie de página Car"/>
    <w:basedOn w:val="Fuentedeprrafopredeter"/>
    <w:link w:val="Piedepgina"/>
    <w:uiPriority w:val="99"/>
    <w:rsid w:val="00682E20"/>
    <w:rPr>
      <w:rFonts w:ascii="Arial" w:eastAsia="Arial" w:hAnsi="Arial" w:cs="Arial"/>
      <w:lang w:val="es-ES"/>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Refdenotaalpie"/>
    <w:uiPriority w:val="99"/>
    <w:rsid w:val="00682E20"/>
    <w:pPr>
      <w:widowControl/>
      <w:autoSpaceDE/>
      <w:autoSpaceDN/>
      <w:spacing w:after="160" w:line="240" w:lineRule="exact"/>
    </w:pPr>
    <w:rPr>
      <w:rFonts w:asciiTheme="minorHAnsi" w:eastAsiaTheme="minorHAnsi" w:hAnsiTheme="minorHAnsi" w:cstheme="minorBidi"/>
      <w:vertAlign w:val="superscript"/>
      <w:lang w:val="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1"/>
    <w:qFormat/>
    <w:rsid w:val="00682E20"/>
    <w:rPr>
      <w:rFonts w:ascii="Arial" w:eastAsia="Arial" w:hAnsi="Arial" w:cs="Arial"/>
      <w:lang w:val="es-ES"/>
    </w:rPr>
  </w:style>
  <w:style w:type="paragraph" w:styleId="Cita">
    <w:name w:val="Quote"/>
    <w:basedOn w:val="Normal"/>
    <w:next w:val="Normal"/>
    <w:link w:val="CitaCar"/>
    <w:uiPriority w:val="29"/>
    <w:qFormat/>
    <w:rsid w:val="00682E20"/>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82E20"/>
    <w:rPr>
      <w:rFonts w:ascii="Arial" w:eastAsia="Arial" w:hAnsi="Arial" w:cs="Arial"/>
      <w:i/>
      <w:iCs/>
      <w:color w:val="404040" w:themeColor="text1" w:themeTint="BF"/>
      <w:lang w:val="es-ES"/>
    </w:rPr>
  </w:style>
  <w:style w:type="paragraph" w:styleId="Textodeglobo">
    <w:name w:val="Balloon Text"/>
    <w:basedOn w:val="Normal"/>
    <w:link w:val="TextodegloboCar"/>
    <w:uiPriority w:val="99"/>
    <w:semiHidden/>
    <w:unhideWhenUsed/>
    <w:rsid w:val="00682E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E20"/>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682E20"/>
    <w:rPr>
      <w:sz w:val="16"/>
      <w:szCs w:val="16"/>
    </w:rPr>
  </w:style>
  <w:style w:type="paragraph" w:styleId="Textocomentario">
    <w:name w:val="annotation text"/>
    <w:basedOn w:val="Normal"/>
    <w:link w:val="TextocomentarioCar"/>
    <w:uiPriority w:val="99"/>
    <w:unhideWhenUsed/>
    <w:rsid w:val="00682E20"/>
    <w:rPr>
      <w:sz w:val="20"/>
      <w:szCs w:val="20"/>
    </w:rPr>
  </w:style>
  <w:style w:type="character" w:customStyle="1" w:styleId="TextocomentarioCar">
    <w:name w:val="Texto comentario Car"/>
    <w:basedOn w:val="Fuentedeprrafopredeter"/>
    <w:link w:val="Textocomentario"/>
    <w:uiPriority w:val="99"/>
    <w:rsid w:val="00682E2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82E20"/>
    <w:rPr>
      <w:b/>
      <w:bCs/>
    </w:rPr>
  </w:style>
  <w:style w:type="character" w:customStyle="1" w:styleId="AsuntodelcomentarioCar">
    <w:name w:val="Asunto del comentario Car"/>
    <w:basedOn w:val="TextocomentarioCar"/>
    <w:link w:val="Asuntodelcomentario"/>
    <w:uiPriority w:val="99"/>
    <w:semiHidden/>
    <w:rsid w:val="00682E20"/>
    <w:rPr>
      <w:rFonts w:ascii="Arial" w:eastAsia="Arial" w:hAnsi="Arial" w:cs="Arial"/>
      <w:b/>
      <w:bCs/>
      <w:sz w:val="20"/>
      <w:szCs w:val="20"/>
      <w:lang w:val="es-ES"/>
    </w:rPr>
  </w:style>
  <w:style w:type="character" w:styleId="Hipervnculovisitado">
    <w:name w:val="FollowedHyperlink"/>
    <w:basedOn w:val="Fuentedeprrafopredeter"/>
    <w:uiPriority w:val="99"/>
    <w:semiHidden/>
    <w:unhideWhenUsed/>
    <w:rsid w:val="00682E20"/>
    <w:rPr>
      <w:color w:val="954F72" w:themeColor="followedHyperlink"/>
      <w:u w:val="single"/>
    </w:rPr>
  </w:style>
  <w:style w:type="table" w:styleId="Tablaconcuadrcula">
    <w:name w:val="Table Grid"/>
    <w:basedOn w:val="Tablanormal"/>
    <w:uiPriority w:val="39"/>
    <w:rsid w:val="00682E2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A518F"/>
    <w:pPr>
      <w:spacing w:after="0" w:line="240" w:lineRule="auto"/>
    </w:pPr>
    <w:rPr>
      <w:rFonts w:ascii="Arial" w:eastAsia="Arial" w:hAnsi="Arial" w:cs="Arial"/>
      <w:lang w:val="es-ES"/>
    </w:rPr>
  </w:style>
  <w:style w:type="character" w:customStyle="1" w:styleId="Ttulo4Car">
    <w:name w:val="Título 4 Car"/>
    <w:basedOn w:val="Fuentedeprrafopredeter"/>
    <w:link w:val="Ttulo4"/>
    <w:uiPriority w:val="9"/>
    <w:semiHidden/>
    <w:rsid w:val="002B1E4E"/>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30326">
      <w:bodyDiv w:val="1"/>
      <w:marLeft w:val="0"/>
      <w:marRight w:val="0"/>
      <w:marTop w:val="0"/>
      <w:marBottom w:val="0"/>
      <w:divBdr>
        <w:top w:val="none" w:sz="0" w:space="0" w:color="auto"/>
        <w:left w:val="none" w:sz="0" w:space="0" w:color="auto"/>
        <w:bottom w:val="none" w:sz="0" w:space="0" w:color="auto"/>
        <w:right w:val="none" w:sz="0" w:space="0" w:color="auto"/>
      </w:divBdr>
    </w:div>
    <w:div w:id="921329286">
      <w:bodyDiv w:val="1"/>
      <w:marLeft w:val="0"/>
      <w:marRight w:val="0"/>
      <w:marTop w:val="0"/>
      <w:marBottom w:val="0"/>
      <w:divBdr>
        <w:top w:val="none" w:sz="0" w:space="0" w:color="auto"/>
        <w:left w:val="none" w:sz="0" w:space="0" w:color="auto"/>
        <w:bottom w:val="none" w:sz="0" w:space="0" w:color="auto"/>
        <w:right w:val="none" w:sz="0" w:space="0" w:color="auto"/>
      </w:divBdr>
    </w:div>
    <w:div w:id="1540360002">
      <w:bodyDiv w:val="1"/>
      <w:marLeft w:val="0"/>
      <w:marRight w:val="0"/>
      <w:marTop w:val="0"/>
      <w:marBottom w:val="0"/>
      <w:divBdr>
        <w:top w:val="none" w:sz="0" w:space="0" w:color="auto"/>
        <w:left w:val="none" w:sz="0" w:space="0" w:color="auto"/>
        <w:bottom w:val="none" w:sz="0" w:space="0" w:color="auto"/>
        <w:right w:val="none" w:sz="0" w:space="0" w:color="auto"/>
      </w:divBdr>
    </w:div>
    <w:div w:id="1867257819">
      <w:bodyDiv w:val="1"/>
      <w:marLeft w:val="0"/>
      <w:marRight w:val="0"/>
      <w:marTop w:val="0"/>
      <w:marBottom w:val="0"/>
      <w:divBdr>
        <w:top w:val="none" w:sz="0" w:space="0" w:color="auto"/>
        <w:left w:val="none" w:sz="0" w:space="0" w:color="auto"/>
        <w:bottom w:val="none" w:sz="0" w:space="0" w:color="auto"/>
        <w:right w:val="none" w:sz="0" w:space="0" w:color="auto"/>
      </w:divBdr>
      <w:divsChild>
        <w:div w:id="119345120">
          <w:marLeft w:val="0"/>
          <w:marRight w:val="0"/>
          <w:marTop w:val="0"/>
          <w:marBottom w:val="0"/>
          <w:divBdr>
            <w:top w:val="none" w:sz="0" w:space="0" w:color="auto"/>
            <w:left w:val="none" w:sz="0" w:space="0" w:color="auto"/>
            <w:bottom w:val="none" w:sz="0" w:space="0" w:color="auto"/>
            <w:right w:val="none" w:sz="0" w:space="0" w:color="auto"/>
          </w:divBdr>
        </w:div>
        <w:div w:id="2145418142">
          <w:marLeft w:val="0"/>
          <w:marRight w:val="0"/>
          <w:marTop w:val="0"/>
          <w:marBottom w:val="0"/>
          <w:divBdr>
            <w:top w:val="none" w:sz="0" w:space="0" w:color="auto"/>
            <w:left w:val="none" w:sz="0" w:space="0" w:color="auto"/>
            <w:bottom w:val="none" w:sz="0" w:space="0" w:color="auto"/>
            <w:right w:val="none" w:sz="0" w:space="0" w:color="auto"/>
          </w:divBdr>
        </w:div>
        <w:div w:id="1996762071">
          <w:marLeft w:val="0"/>
          <w:marRight w:val="0"/>
          <w:marTop w:val="0"/>
          <w:marBottom w:val="0"/>
          <w:divBdr>
            <w:top w:val="none" w:sz="0" w:space="0" w:color="auto"/>
            <w:left w:val="none" w:sz="0" w:space="0" w:color="auto"/>
            <w:bottom w:val="none" w:sz="0" w:space="0" w:color="auto"/>
            <w:right w:val="none" w:sz="0" w:space="0" w:color="auto"/>
          </w:divBdr>
        </w:div>
        <w:div w:id="1583178223">
          <w:marLeft w:val="0"/>
          <w:marRight w:val="0"/>
          <w:marTop w:val="0"/>
          <w:marBottom w:val="0"/>
          <w:divBdr>
            <w:top w:val="none" w:sz="0" w:space="0" w:color="auto"/>
            <w:left w:val="none" w:sz="0" w:space="0" w:color="auto"/>
            <w:bottom w:val="none" w:sz="0" w:space="0" w:color="auto"/>
            <w:right w:val="none" w:sz="0" w:space="0" w:color="auto"/>
          </w:divBdr>
        </w:div>
        <w:div w:id="7000161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los.dgci@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ft.org.mx/industria/consultas-publicas/consulta-publica-sobre-el-modelo-de-costos-evitados-para-los-servicios-de-reventa-provistos-por-el-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sites/default/files/conocenos/pleno/sesiones/acuerdoliga/vpext07122143.pdf" TargetMode="External"/><Relationship Id="rId1" Type="http://schemas.openxmlformats.org/officeDocument/2006/relationships/hyperlink" Target="https://www.ift.org.mx/sites/default/files/conocenos/pleno/sesiones/acuerdoliga/piftext111218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E14A-A3A1-4567-9B1C-A89B5022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3924</Words>
  <Characters>21584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2024-02-02T20:13:00Z</dcterms:created>
  <dcterms:modified xsi:type="dcterms:W3CDTF">2024-02-02T20:14:00Z</dcterms:modified>
</cp:coreProperties>
</file>