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:rsidRPr="00FF6A29" w14:paraId="21F8C59C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23D7205F" w14:textId="77777777" w:rsidR="00501ADF" w:rsidRPr="00FF6A29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 w:rsidRPr="00FF6A2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F216972" w14:textId="77777777" w:rsidR="00D46A47" w:rsidRDefault="00D46A47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F019E61" w14:textId="2C5AB6BE" w:rsidR="0068307E" w:rsidRPr="00FF6A29" w:rsidRDefault="004E15D3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Coordinación General de Mejora Regulatoria</w:t>
            </w:r>
          </w:p>
          <w:p w14:paraId="4C2595C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8EECE86" w14:textId="77777777" w:rsidR="00501ADF" w:rsidRPr="00FF6A29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FF6A29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</w:p>
          <w:p w14:paraId="5C75DA79" w14:textId="77777777" w:rsidR="004E15D3" w:rsidRPr="00FF6A29" w:rsidRDefault="004E15D3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28FC35E4" w14:textId="77777777" w:rsidR="00D46A47" w:rsidRDefault="002979E2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7F6B15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modifica el artículo Cuarto Transitorio de los Lineamientos para la sustanciación de los trámites y servicios que se realicen ante el Instituto Federal de Telecomunicaciones, a través de la Ventanilla Electrónica, con el objeto de establecer medidas de simplificación administrativa en materia de gobierno electrónico, en los trámites y servicios que se indican</w:t>
            </w:r>
          </w:p>
          <w:p w14:paraId="4F343C43" w14:textId="5A667DFD" w:rsidR="00EC3911" w:rsidRPr="00E07AD8" w:rsidRDefault="00EC391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  <w:tr w:rsidR="0068307E" w:rsidRPr="00FF6A29" w14:paraId="238CA776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5FC1C165" w14:textId="77777777" w:rsidR="0068307E" w:rsidRPr="00FF6A29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72523B9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56D8367D" w14:textId="77777777" w:rsidR="0068307E" w:rsidRPr="00FF6A29" w:rsidRDefault="004E15D3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Mtro. Luis Fernando Rosas Yáñez</w:t>
            </w:r>
          </w:p>
          <w:p w14:paraId="3FAF41C9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55-5015-4725</w:t>
            </w:r>
          </w:p>
          <w:p w14:paraId="417B96D5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Correo electrónico:</w:t>
            </w:r>
          </w:p>
          <w:p w14:paraId="3D5648EA" w14:textId="77777777" w:rsidR="004E15D3" w:rsidRPr="00FF6A29" w:rsidRDefault="00AB6F3C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1" w:history="1">
              <w:r w:rsidR="004E15D3" w:rsidRPr="00FF6A29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luis.rosas@ift.org.mx</w:t>
              </w:r>
            </w:hyperlink>
            <w:r w:rsidR="004E15D3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3238033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9DF1B89" w14:textId="77777777" w:rsidR="0068307E" w:rsidRPr="00FF6A29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6F301B1A" w14:textId="37CB8833" w:rsidR="0068307E" w:rsidRPr="00FF6A29" w:rsidRDefault="000D75BF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07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</w:t>
            </w:r>
            <w:r>
              <w:rPr>
                <w:rFonts w:ascii="ITC Avant Garde" w:hAnsi="ITC Avant Garde"/>
                <w:sz w:val="18"/>
                <w:szCs w:val="18"/>
              </w:rPr>
              <w:t>11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/202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</w:t>
            </w:r>
          </w:p>
        </w:tc>
      </w:tr>
      <w:tr w:rsidR="0068307E" w:rsidRPr="00FF6A29" w14:paraId="4A6FF285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66012CD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56210453" w14:textId="77777777" w:rsidR="0068307E" w:rsidRPr="00FF6A29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BAFB90C" w14:textId="53E16C64" w:rsidR="004E15D3" w:rsidRPr="00FF6A29" w:rsidRDefault="00971ECB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19</w:t>
            </w:r>
            <w:r w:rsidR="000D1044">
              <w:rPr>
                <w:rFonts w:ascii="ITC Avant Garde" w:hAnsi="ITC Avant Garde"/>
                <w:sz w:val="18"/>
                <w:szCs w:val="18"/>
              </w:rPr>
              <w:t>/09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/20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22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>
              <w:rPr>
                <w:rFonts w:ascii="ITC Avant Garde" w:hAnsi="ITC Avant Garde"/>
                <w:sz w:val="18"/>
                <w:szCs w:val="18"/>
              </w:rPr>
              <w:t>14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</w:t>
            </w:r>
            <w:r w:rsidR="000D1044">
              <w:rPr>
                <w:rFonts w:ascii="ITC Avant Garde" w:hAnsi="ITC Avant Garde"/>
                <w:sz w:val="18"/>
                <w:szCs w:val="18"/>
              </w:rPr>
              <w:t>10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/20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2</w:t>
            </w:r>
          </w:p>
          <w:p w14:paraId="2F5AD37B" w14:textId="77777777" w:rsidR="0068307E" w:rsidRPr="00FF6A29" w:rsidRDefault="0068307E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43B7B42E" w14:textId="77777777" w:rsidR="00501ADF" w:rsidRPr="00FF6A29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798816B5" w14:textId="77777777" w:rsidR="001932FC" w:rsidRPr="00FF6A29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FF6A29">
        <w:rPr>
          <w:rFonts w:ascii="ITC Avant Garde" w:hAnsi="ITC Avant Garde"/>
          <w:b/>
          <w:sz w:val="18"/>
          <w:szCs w:val="18"/>
        </w:rPr>
        <w:t xml:space="preserve">PROPUESTA DE </w:t>
      </w:r>
      <w:r w:rsidRPr="00FF6A29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FF6A29" w14:paraId="19313118" w14:textId="77777777" w:rsidTr="459BDC93">
        <w:tc>
          <w:tcPr>
            <w:tcW w:w="8828" w:type="dxa"/>
            <w:shd w:val="clear" w:color="auto" w:fill="FFFFFF" w:themeFill="background1"/>
          </w:tcPr>
          <w:p w14:paraId="186DEA39" w14:textId="77777777" w:rsidR="006018A0" w:rsidRDefault="006018A0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4DC2153" w14:textId="4999480D" w:rsidR="001932FC" w:rsidRPr="00FF6A29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FF6A29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FF6A29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BF76BDB" w14:textId="77777777" w:rsidR="001634A2" w:rsidRPr="00FF6A29" w:rsidRDefault="001634A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281A309" w14:textId="1290FEE4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Durante el mes de diciembre de 2020, el Instituto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Federal de Telecomunicaciones (en lo sucesivo, el “Instituto”)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dio a conocer su </w:t>
            </w:r>
            <w:r w:rsidRPr="003C1AA7">
              <w:rPr>
                <w:rFonts w:ascii="ITC Avant Garde" w:hAnsi="ITC Avant Garde"/>
                <w:bCs/>
                <w:i/>
                <w:iCs/>
                <w:sz w:val="18"/>
                <w:szCs w:val="18"/>
                <w:lang w:val="es-ES"/>
              </w:rPr>
              <w:t>Estrategia IFT 2021 – 2025, Hoja de Ruta</w:t>
            </w:r>
            <w:r w:rsidRPr="003C1AA7">
              <w:rPr>
                <w:rFonts w:ascii="ITC Avant Garde" w:hAnsi="ITC Avant Garde"/>
                <w:bCs/>
                <w:i/>
                <w:iCs/>
                <w:sz w:val="18"/>
                <w:szCs w:val="18"/>
                <w:vertAlign w:val="superscript"/>
                <w:lang w:val="es-ES"/>
              </w:rPr>
              <w:footnoteReference w:id="1"/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(en lo sucesivo, “Hoja de Ruta”),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a través de la cual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establece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su</w:t>
            </w:r>
            <w:r w:rsidR="000C3806"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estrategia institucional, con un horizonte de cinco años,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lo que le permitirá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definir y organizar las acciones necesarias para enfrentar los desafíos que lleva consigo la era de la transformación digital en apego a las mejores prácticas internacionales.</w:t>
            </w:r>
          </w:p>
          <w:p w14:paraId="725882FB" w14:textId="77777777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</w:p>
          <w:p w14:paraId="48A5DAFB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En tal sentido, a efecto </w:t>
            </w:r>
            <w:r w:rsidRPr="00575E8F">
              <w:rPr>
                <w:rFonts w:ascii="ITC Avant Garde" w:hAnsi="ITC Avant Garde"/>
                <w:sz w:val="18"/>
                <w:szCs w:val="18"/>
                <w:lang w:val="es-ES"/>
              </w:rPr>
              <w:t>de fortalecer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innovación institucional para el desarrollo propicio de las telecomunicaciones y radiodifusión, el Instituto estableció, como parte de la Hoja de Ruta, el compromiso de implementar un gobierno digital y abierto que lleve a la sistematización y digitalización de los procesos de trabajo internos y externos para minimizar el impacto administrativo y facilitar la gestión de los trámites y servicios a su cargo.</w:t>
            </w:r>
          </w:p>
          <w:p w14:paraId="1DCEBC82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1F227B3B" w14:textId="105F824C" w:rsid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De esta forma, con la finalidad de continuar con la implementación de la estrategia de gobierno electrónico, el Instituto estableció en su 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>Programa Anual de Trabajo 2021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vertAlign w:val="superscript"/>
                <w:lang w:val="es-ES"/>
              </w:rPr>
              <w:footnoteReference w:id="2"/>
            </w:r>
            <w:r w:rsidR="000C3806"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el proyecto de “Fortalecimiento de la Ventanilla Electrónica”, a cargo de la Coordinación General de Mejora Regulatoria, el cual tiene por objeto permitir la sustanciación de más trámites y servicios, a través de medios electrónicos, de forma eficiente, accesible, económica y sencilla.</w:t>
            </w:r>
          </w:p>
          <w:p w14:paraId="01D52AEF" w14:textId="77777777" w:rsidR="000C3806" w:rsidRPr="003C1AA7" w:rsidRDefault="000C3806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08DE3C29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En virtud de lo anterior, durante el año 2021, el Instituto llevó a cabo diversas adecuaciones tecnológicas a la Ventanilla Electrónica, lo que le permitió liberar los eFormatos necesarios para la sustanciación de siete trámites más en dicho repositorio electrónico. De esta manera, el Instituto continúa integrando diversos avances y mejoras de carácter tecnológico a su Ventanilla Electrónica en beneficio de los participantes de los sectores de las telecomunicaciones y 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lastRenderedPageBreak/>
              <w:t xml:space="preserve">radiodifusión.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cr/>
            </w:r>
          </w:p>
          <w:p w14:paraId="50B6AD70" w14:textId="46DC6853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En 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ese 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mismo orden de ideas, en 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el 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>Programa Anual de Trabajo 2022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vertAlign w:val="superscript"/>
                <w:lang w:val="es-ES"/>
              </w:rPr>
              <w:footnoteReference w:id="3"/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, el Instituto reitera su compromiso de facilitar, agilizar y optimizar la sustanciación de los trámites y servicios a su cargo, a través de medios electrónicos, retomando en dicho instrumento de planeación, la necesidad de continuar con la evaluación regulatoria y procedimental de éstos para continuar con su digitalización, a fin de este órgano constitucional autónomo transite de forma transparente y ordenada a un gobierno electrónico. </w:t>
            </w:r>
          </w:p>
          <w:p w14:paraId="0B28728A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29BECB3C" w14:textId="03D76C82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Derivado de lo expuesto y de la revisión realizada a los</w:t>
            </w:r>
            <w:r w:rsidR="007F6B15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</w:t>
            </w:r>
            <w:r w:rsidR="007F6B15" w:rsidRPr="00780AE4">
              <w:rPr>
                <w:rFonts w:ascii="ITC Avant Garde" w:hAnsi="ITC Avant Garde"/>
                <w:bCs/>
                <w:i/>
                <w:iCs/>
                <w:sz w:val="18"/>
                <w:szCs w:val="18"/>
                <w:lang w:val="es-ES"/>
              </w:rPr>
              <w:t>Lineamientos para la sustanciación de los trámites y servicios que realicen ante el Instituto Federal de Telecomunicaciones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</w:t>
            </w:r>
            <w:r w:rsidR="007F6B15">
              <w:rPr>
                <w:rFonts w:ascii="ITC Avant Garde" w:hAnsi="ITC Avant Garde"/>
                <w:sz w:val="18"/>
                <w:szCs w:val="18"/>
                <w:lang w:val="es-ES"/>
              </w:rPr>
              <w:t>(en lo sucesivo, los “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Lineamientos de Ventanilla Electrónica</w:t>
            </w:r>
            <w:r w:rsidR="007F6B15">
              <w:rPr>
                <w:rFonts w:ascii="ITC Avant Garde" w:hAnsi="ITC Avant Garde"/>
                <w:sz w:val="18"/>
                <w:szCs w:val="18"/>
                <w:lang w:val="es-ES"/>
              </w:rPr>
              <w:t>”)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, resulta necesario modificar su artículo Cuarto Transitorio, para permitir a los Concesionarios y Autorizados del Instituto, previamente acreditados en la Ventanilla Electrónica, la posibilidad de presentar y sustanciar diversos trámites y servicios, a través de dicho repositorio electrónico, de manera optativa a realizarlo por la Oficialía de Partes Común, mediante la implementación de una funcionalidad denominada</w:t>
            </w:r>
            <w:r w:rsidRPr="459BDC93">
              <w:rPr>
                <w:rFonts w:ascii="ITC Avant Garde" w:hAnsi="ITC Avant Garde"/>
                <w:sz w:val="18"/>
                <w:szCs w:val="18"/>
              </w:rPr>
              <w:t>“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Más Trámites y Servicios”; ello, hasta en tanto el Instituto realiza los ajustes y adecuaciones de carácter normativo, procedimental y de tecnologías de la información y comunicaciones, para su incorporación a la Ventanilla Electrónica, de punta a punta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>;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o bien, definir su presentación a través de otro medio electrónico.</w:t>
            </w:r>
          </w:p>
          <w:p w14:paraId="178791FE" w14:textId="77777777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46F884E8" w14:textId="1B0B8D1E" w:rsid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En ese sentido, la modificación al artículo Cuarto Transitorio de los Lineamientos de Ventanilla Electrónica, resulta necesaria para aprovechar las ventajas ofrecidas por la Ventanilla Electrónica a los trámites y servicios que se señalan en el presente proyecto; lo cual, de materializarse, permitirá minimizar el impacto administrativo de los trámites y servicios a la industria, así como promover un gobierno digital y abierto.</w:t>
            </w:r>
          </w:p>
          <w:p w14:paraId="517AE305" w14:textId="0779B1F9" w:rsidR="007D636F" w:rsidRDefault="007D636F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</w:p>
          <w:p w14:paraId="2B3FCC9C" w14:textId="7AF6440A" w:rsidR="001932FC" w:rsidRDefault="0044761D" w:rsidP="00AD1DAD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  <w:r w:rsidRPr="0044761D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Con lo anterior, una vez que se expida el proyecto en mención y entre en vigor, el Instituto Federal de Telecomunicaciones estará en condiciones de habilitar, a través de una plataforma electrónica, el 73% del total de los trámites y servicios contenidos en su Registro, lo que representa haber incorporado en un medio electrónico el 90.3 % del total de los asuntos que recibió en el año 2021</w:t>
            </w:r>
            <w:r w:rsidR="007F6B15" w:rsidRPr="007F6B15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.  </w:t>
            </w:r>
          </w:p>
          <w:p w14:paraId="2FA99E78" w14:textId="30B8591F" w:rsidR="006018A0" w:rsidRPr="007F6B15" w:rsidRDefault="006018A0" w:rsidP="00AD1DAD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FF6A29" w14:paraId="27E5996F" w14:textId="77777777" w:rsidTr="00B41497">
        <w:tc>
          <w:tcPr>
            <w:tcW w:w="8828" w:type="dxa"/>
          </w:tcPr>
          <w:p w14:paraId="0F3534D9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FF6A29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FF6A29" w14:paraId="33EBE0CA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0739151E" w14:textId="77777777" w:rsidR="00B41497" w:rsidRPr="00FF6A29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FF6A29" w14:paraId="64E76DAD" w14:textId="77777777" w:rsidTr="00B41497">
              <w:tc>
                <w:tcPr>
                  <w:tcW w:w="1462" w:type="dxa"/>
                </w:tcPr>
                <w:p w14:paraId="7B1B6465" w14:textId="77777777" w:rsidR="00B41497" w:rsidRPr="00FF6A29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 w:rsidRPr="00FF6A29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2B41D8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</w:t>
                  </w:r>
                  <w:r w:rsidR="002B41D8"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X</w:t>
                  </w: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D6770C6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45E1720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8A9ED22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9FB0845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E790D84" w14:textId="77777777" w:rsidR="000C16BC" w:rsidRPr="00FF6A29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508619D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1D9583CD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FF6A29" w14:paraId="235A8E2A" w14:textId="77777777" w:rsidTr="00596FDE">
              <w:tc>
                <w:tcPr>
                  <w:tcW w:w="8602" w:type="dxa"/>
                </w:tcPr>
                <w:p w14:paraId="0BEE190E" w14:textId="77777777" w:rsidR="00596FDE" w:rsidRPr="00FF6A29" w:rsidRDefault="00596FDE" w:rsidP="003C5D6C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843EFCC" w14:textId="3D92B063" w:rsidR="00596FDE" w:rsidRPr="00FF6A29" w:rsidRDefault="00B362DA" w:rsidP="003C5D6C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No aplica.</w:t>
                  </w:r>
                </w:p>
                <w:p w14:paraId="71534A69" w14:textId="77777777" w:rsidR="000C16BC" w:rsidRPr="00FF6A29" w:rsidRDefault="000C16BC" w:rsidP="003C5D6C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640CAA03" w14:textId="77777777" w:rsidR="00596FDE" w:rsidRPr="00FF6A29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4E31D3D" w14:textId="77777777" w:rsidR="009656B1" w:rsidRPr="00FF6A29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4E604CFA" w14:textId="77777777" w:rsidR="00B41497" w:rsidRPr="00FF6A29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5F75F07B" w14:textId="77777777" w:rsidR="001932FC" w:rsidRPr="00FF6A29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lastRenderedPageBreak/>
        <w:t xml:space="preserve">II. </w:t>
      </w:r>
      <w:r w:rsidR="00E21B49" w:rsidRPr="00FF6A29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FF6A29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FF6A29">
        <w:rPr>
          <w:rFonts w:ascii="ITC Avant Garde" w:hAnsi="ITC Avant Garde"/>
          <w:b/>
          <w:sz w:val="18"/>
          <w:szCs w:val="18"/>
        </w:rPr>
        <w:t>REGULACIÓN</w:t>
      </w:r>
      <w:r w:rsidRPr="00FF6A29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FF6A29" w14:paraId="1F71E24A" w14:textId="77777777" w:rsidTr="003F600A">
        <w:tc>
          <w:tcPr>
            <w:tcW w:w="8828" w:type="dxa"/>
          </w:tcPr>
          <w:p w14:paraId="4A977A78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30423AFE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FF6A29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.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C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dos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 w:rsidRPr="00FF6A29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77DDDD3D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FF6A29" w14:paraId="48D10521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157D6B7E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07917DD8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3957C5E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FF6A29" w14:paraId="3360E6CC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15BE9AE2" w14:textId="77777777" w:rsidR="00BE7D1C" w:rsidRPr="00FF6A29" w:rsidRDefault="002B41D8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 w:rsidRPr="00FF6A29"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69808986" w14:textId="77777777" w:rsidR="00B362DA" w:rsidRDefault="00B362DA" w:rsidP="00EC302D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C48860D" w14:textId="63204EEB" w:rsidR="00BE7D1C" w:rsidRPr="00FF6A29" w:rsidRDefault="00EC302D" w:rsidP="00EC302D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la presente propuesta de modificación </w:t>
                  </w:r>
                  <w:r w:rsidR="00AB52E1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y continuar con los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actuales </w:t>
                  </w:r>
                  <w:r w:rsidR="00AB52E1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Lineamientos de </w:t>
                  </w:r>
                  <w:r w:rsidR="00E07AD8">
                    <w:rPr>
                      <w:rFonts w:ascii="ITC Avant Garde" w:hAnsi="ITC Avant Garde"/>
                      <w:sz w:val="18"/>
                      <w:szCs w:val="18"/>
                    </w:rPr>
                    <w:t>Ventanilla Electrónica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0B29F172" w14:textId="77777777" w:rsidR="00B362DA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5683117" w14:textId="48309752" w:rsidR="00B362DA" w:rsidRDefault="00885F10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no se considera conveniente en virtud de que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dejaríamos a los Concesionarios y Autorizados del Instituto, sin la posibilidad de poder presentar sus trámites y servicios ante este órgano constitucional autónomo por conducto de su Ventanilla Electrónica, de manera optativa y adicional a realizarlo en la Oficialía de Partes Común.</w:t>
                  </w:r>
                </w:p>
                <w:p w14:paraId="535D9AB1" w14:textId="77777777" w:rsidR="00B362DA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AC9AB89" w14:textId="4743A93E" w:rsidR="00885F10" w:rsidRPr="00885F10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 considera que e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artículo 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Cuarto Transitorio de los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Lineamientos de 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Ventanilla Electrónica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vigente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no contemplan los términos que se incorporaron a la realidad jurídica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, tecnológica y administrativa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 la publicación de la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885F10" w:rsidRPr="00E07AD8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>Estrategia IFT 2021 – 2025, Hoja de Ruta</w:t>
                  </w:r>
                  <w:r w:rsidR="00885F10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 xml:space="preserve">, </w:t>
                  </w:r>
                  <w:r w:rsidR="00885F10" w:rsidRP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ni los objetivos planteados en el </w:t>
                  </w:r>
                  <w:r w:rsidR="00885F10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>Programa Anual de Trabajo 2022.</w:t>
                  </w:r>
                </w:p>
                <w:p w14:paraId="05C68363" w14:textId="77777777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2BAB0D8F" w14:textId="1727F552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Además, resulta necesario transparentar y dar certeza jurídica a los particulares respecto de la forma en la que este órgano constitucional autónomo transitará </w:t>
                  </w:r>
                  <w:r w:rsidRPr="000A50C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hacia la sistematización y digitalización de los procesos internos y externos del Instituto minimizando el impacto administrativo y promoviendo un gobierno digital y abierto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.</w:t>
                  </w:r>
                </w:p>
                <w:p w14:paraId="72FB1783" w14:textId="0C453199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5C340150" w14:textId="4FE21F5B" w:rsidR="00885F10" w:rsidRDefault="00CC176C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En este sentido, </w:t>
                  </w:r>
                  <w:r w:rsidR="00536103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resulta necesario dar a conocer </w:t>
                  </w:r>
                  <w:r w:rsidR="00AB72A9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las medidas de simplificación administrativa en materia de gobierno electrónico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, dando a conocer 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las reglas, 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trámites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y servicios 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que podrán ser presentados y sustanciados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,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a través de la Ventanilla Electrónica, 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utilizando la funcionalidad de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nominada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 “Más Trámites y Servicios”, de manera 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optativa,</w:t>
                  </w:r>
                  <w:r w:rsidR="00B362DA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a su presentación por </w:t>
                  </w:r>
                  <w:r w:rsid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la Oficialía de Partes Común del Instituto.</w:t>
                  </w:r>
                </w:p>
                <w:p w14:paraId="14E514F0" w14:textId="5EA7FA50" w:rsidR="00AB52E1" w:rsidRPr="00FF6A29" w:rsidRDefault="00AB52E1" w:rsidP="008D4FF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  <w:tr w:rsidR="00BE7D1C" w:rsidRPr="00FF6A29" w14:paraId="74C537BD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782EF03" w14:textId="10D7E557" w:rsidR="00BE7D1C" w:rsidRPr="00FF6A29" w:rsidRDefault="000A50CC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27F9C7C" w14:textId="77777777" w:rsidR="00D2399D" w:rsidRDefault="00D2399D" w:rsidP="008701C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651803D4" w14:textId="3D05CC69" w:rsidR="00BE7D1C" w:rsidRPr="00FF6A29" w:rsidRDefault="008701CE" w:rsidP="008701C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 xml:space="preserve">No emitir la presente propuesta de modificación </w:t>
                  </w:r>
                  <w:r w:rsidR="000A50CC">
                    <w:rPr>
                      <w:rFonts w:ascii="ITC Avant Garde" w:hAnsi="ITC Avant Garde"/>
                      <w:sz w:val="18"/>
                      <w:szCs w:val="18"/>
                    </w:rPr>
                    <w:t xml:space="preserve">y 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 w:rsidR="00B362DA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>disposici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ó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n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jurídica individualizada</w:t>
                  </w:r>
                  <w:r w:rsidR="00B362DA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 xml:space="preserve">en la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el Instituto 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>establezca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 el procedimiento optativo de presentación y sustanciación de trámites y servicios a través de la funcionalidad denominada “Mas Trámites y Servicios”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4C041969" w14:textId="77777777" w:rsidR="00D2399D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7DD71CFC" w14:textId="14A2FE57" w:rsidR="00C43B10" w:rsidRDefault="006047C6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 xml:space="preserve">Esta alternativa no se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estima</w:t>
                  </w: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conveniente en virtud de que, además de lo señalado en la alternativa que precede,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se considera ineficiente emitir disposiciones adicionales </w:t>
                  </w:r>
                  <w:r w:rsidR="00D2399D">
                    <w:rPr>
                      <w:rFonts w:ascii="ITC Avant Garde" w:hAnsi="ITC Avant Garde"/>
                      <w:sz w:val="18"/>
                      <w:szCs w:val="18"/>
                    </w:rPr>
                    <w:t>e individuales a los propios Lineamientos de Ventanilla Electrónica, quienes regulan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la </w:t>
                  </w:r>
                  <w:r w:rsidR="00C43B10">
                    <w:rPr>
                      <w:rFonts w:ascii="ITC Avant Garde" w:hAnsi="ITC Avant Garde"/>
                      <w:sz w:val="18"/>
                      <w:szCs w:val="18"/>
                    </w:rPr>
                    <w:t xml:space="preserve">presentación, sustanciación y, en su caso, resolución de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diversos trámites y servicios </w:t>
                  </w:r>
                  <w:r w:rsidR="007B4E9E">
                    <w:rPr>
                      <w:rFonts w:ascii="ITC Avant Garde" w:hAnsi="ITC Avant Garde"/>
                      <w:sz w:val="18"/>
                      <w:szCs w:val="18"/>
                    </w:rPr>
                    <w:t xml:space="preserve">a través de </w:t>
                  </w:r>
                  <w:r w:rsidR="00D2399D">
                    <w:rPr>
                      <w:rFonts w:ascii="ITC Avant Garde" w:hAnsi="ITC Avant Garde"/>
                      <w:sz w:val="18"/>
                      <w:szCs w:val="18"/>
                    </w:rPr>
                    <w:t>dicho repositorio electrónico</w:t>
                  </w:r>
                  <w:r w:rsidR="007B4E9E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2EC59CB3" w14:textId="77777777" w:rsidR="00D2399D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EBDD583" w14:textId="2C7E91F5" w:rsidR="00D2399D" w:rsidRDefault="009F3E53" w:rsidP="00FF6A29">
                  <w:pPr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Considerando que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los Lineamientos de Ventanilla Electrónica regulan </w:t>
                  </w:r>
                  <w:r w:rsidR="00D2399D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la materia contenida en el </w:t>
                  </w:r>
                  <w:r w:rsidR="002979E2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proyecto </w:t>
                  </w:r>
                  <w:r w:rsidR="00D2399D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de regulación que </w:t>
                  </w:r>
                  <w:r w:rsidR="002979E2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fue</w:t>
                  </w:r>
                  <w:r w:rsidR="00D2399D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somet</w:t>
                  </w:r>
                  <w:r w:rsidR="002979E2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ido</w:t>
                  </w:r>
                  <w:r w:rsidR="00D2399D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a consulta pública, se concluye que éstos resultan ser el medio más propicio y eficiente para proponer la implementación de las nuevas medidas de simplificación administrativa en beneficio de las telecomunicaciones y radiodifusión. </w:t>
                  </w:r>
                </w:p>
                <w:p w14:paraId="3E0307EA" w14:textId="77777777" w:rsidR="00D2399D" w:rsidRDefault="00D2399D" w:rsidP="00FF6A29">
                  <w:pPr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549D3F1E" w14:textId="24ECFEC3" w:rsidR="006047C6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E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mitir disposiciones adicionales 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o diferentes podría generar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una 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sobrerregulación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en la materia.</w:t>
                  </w:r>
                </w:p>
                <w:p w14:paraId="6557CFA1" w14:textId="43033592" w:rsidR="008701CE" w:rsidRPr="00FF6A29" w:rsidRDefault="008701CE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3B1B3FF8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F02F883" w14:textId="77777777" w:rsidR="00634DE8" w:rsidRPr="00FF6A29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FF6A29" w14:paraId="4AD9C4F7" w14:textId="77777777" w:rsidTr="003F600A">
        <w:tc>
          <w:tcPr>
            <w:tcW w:w="8828" w:type="dxa"/>
          </w:tcPr>
          <w:p w14:paraId="0732CD07" w14:textId="77777777" w:rsidR="006018A0" w:rsidRDefault="006018A0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004AC4E" w14:textId="4BBF5BD5" w:rsidR="00BE7D1C" w:rsidRPr="00FF6A29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2E5309C6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38BEC0E" w14:textId="5AE554FE" w:rsidR="00356F52" w:rsidRPr="00356F52" w:rsidRDefault="00B654CC" w:rsidP="00356F52">
            <w:pPr>
              <w:jc w:val="both"/>
              <w:rPr>
                <w:rFonts w:ascii="ITC Avant Garde" w:hAnsi="ITC Avant Garde"/>
                <w:sz w:val="18"/>
                <w:szCs w:val="18"/>
                <w:lang w:val="es-ES_tradnl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El</w:t>
            </w:r>
            <w:r w:rsidR="00D2399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D2511" w:rsidRPr="00D2399D">
              <w:rPr>
                <w:rFonts w:ascii="ITC Avant Garde" w:hAnsi="ITC Avant Garde"/>
                <w:i/>
                <w:sz w:val="18"/>
                <w:szCs w:val="18"/>
              </w:rPr>
              <w:t>“</w:t>
            </w:r>
            <w:r w:rsidR="002F4FA1" w:rsidRPr="00D2399D">
              <w:rPr>
                <w:rFonts w:ascii="ITC Avant Garde" w:hAnsi="ITC Avant Garde"/>
                <w:i/>
                <w:sz w:val="18"/>
                <w:szCs w:val="18"/>
              </w:rPr>
              <w:t xml:space="preserve"> Acuerdo mediante el cual el Pleno del Instituto Federal de Telecomunicaciones modifica el artículo Cuarto Transitorio de los Lineamientos para la sustanciación de los trámites y servicios que se realicen ante el Instituto Federal de Telecomunicaciones, a través de la Ventanilla Electrónica</w:t>
            </w:r>
            <w:r w:rsidR="00B70A68" w:rsidRPr="00D2399D">
              <w:rPr>
                <w:rFonts w:ascii="ITC Avant Garde" w:hAnsi="ITC Avant Garde"/>
                <w:i/>
                <w:sz w:val="18"/>
                <w:szCs w:val="18"/>
              </w:rPr>
              <w:t xml:space="preserve"> con el objeto de establecer medidas de simplificación administrativa en materia de gobierno electrónico, en los trámites y servicios que se indican</w:t>
            </w:r>
            <w:r w:rsidR="00A3176C" w:rsidRPr="00D2399D">
              <w:rPr>
                <w:rFonts w:ascii="ITC Avant Garde" w:hAnsi="ITC Avant Garde"/>
                <w:i/>
                <w:sz w:val="18"/>
                <w:szCs w:val="18"/>
              </w:rPr>
              <w:t>”</w:t>
            </w:r>
            <w:r w:rsidR="002F4FA1" w:rsidRPr="002F4FA1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D2399D">
              <w:rPr>
                <w:rFonts w:ascii="ITC Avant Garde" w:hAnsi="ITC Avant Garde"/>
                <w:sz w:val="18"/>
                <w:szCs w:val="18"/>
              </w:rPr>
              <w:t>sólo tiene por</w:t>
            </w:r>
            <w:r w:rsidR="002F4FA1" w:rsidRPr="002F4FA1">
              <w:rPr>
                <w:rFonts w:ascii="ITC Avant Garde" w:hAnsi="ITC Avant Garde"/>
                <w:sz w:val="18"/>
                <w:szCs w:val="18"/>
              </w:rPr>
              <w:t xml:space="preserve"> objeto establecer medidas de simplificación administrativa en materia de gobierno electrónico,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mediante la incorporación de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la funcionalidad denominada “Más Trámites y Servicios”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en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Ventanilla Electrónica, a través de la cual diversas formalidades de los Concesionarios y Autorizados podrán ser presentadas y sustanciadas ante este órgano constitucional autónomo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en dicho repositorio electrónico, DE MANERA OPTATIVA, a diferencia de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realizarlo por la </w:t>
            </w:r>
            <w:r w:rsidR="00356F52" w:rsidRPr="00356F52">
              <w:rPr>
                <w:rFonts w:ascii="ITC Avant Garde" w:hAnsi="ITC Avant Garde" w:hint="eastAsia"/>
                <w:sz w:val="18"/>
                <w:szCs w:val="18"/>
                <w:lang w:val="es-ES"/>
              </w:rPr>
              <w:t>Oficialía de Partes Común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y por lo tanto,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a su entrada en vigor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no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se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>genera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>rán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nuevos costos de cumplimiento a los particulares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, sino todo lo contrario,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debido a que se reducirá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carga administrativa inherente a cada uno de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los trámites y servicios del Instituto que estén contenidos en la propuesta de regulación que se somet</w:t>
            </w:r>
            <w:r w:rsidR="006018A0">
              <w:rPr>
                <w:rFonts w:ascii="ITC Avant Garde" w:hAnsi="ITC Avant Garde"/>
                <w:sz w:val="18"/>
                <w:szCs w:val="18"/>
                <w:lang w:val="es-ES"/>
              </w:rPr>
              <w:t>ió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al escrutinio y participación ciudadana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>.</w:t>
            </w:r>
          </w:p>
          <w:p w14:paraId="5A457326" w14:textId="77777777" w:rsidR="009B617C" w:rsidRPr="00D2399D" w:rsidRDefault="009B617C" w:rsidP="009D2511">
            <w:pPr>
              <w:jc w:val="both"/>
              <w:rPr>
                <w:rFonts w:ascii="ITC Avant Garde" w:hAnsi="ITC Avant Garde"/>
                <w:sz w:val="18"/>
                <w:szCs w:val="18"/>
                <w:lang w:val="es-ES_tradnl"/>
              </w:rPr>
            </w:pPr>
          </w:p>
          <w:p w14:paraId="42AAB7D0" w14:textId="72C70260" w:rsidR="009D2511" w:rsidRPr="004026D0" w:rsidRDefault="003607A5" w:rsidP="009D2511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Asimismo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cabe mencionar que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presente </w:t>
            </w:r>
            <w:r w:rsidR="002979E2">
              <w:rPr>
                <w:rFonts w:ascii="ITC Avant Garde" w:hAnsi="ITC Avant Garde"/>
                <w:sz w:val="18"/>
                <w:szCs w:val="18"/>
              </w:rPr>
              <w:t xml:space="preserve">proyecto </w:t>
            </w:r>
            <w:r>
              <w:rPr>
                <w:rFonts w:ascii="ITC Avant Garde" w:hAnsi="ITC Avant Garde"/>
                <w:sz w:val="18"/>
                <w:szCs w:val="18"/>
              </w:rPr>
              <w:t>de regulación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B617C" w:rsidRPr="00FF6A29">
              <w:rPr>
                <w:rFonts w:ascii="ITC Avant Garde" w:hAnsi="ITC Avant Garde"/>
                <w:sz w:val="18"/>
                <w:szCs w:val="18"/>
              </w:rPr>
              <w:t xml:space="preserve">no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actualiza </w:t>
            </w:r>
            <w:r w:rsidR="00EB24E7">
              <w:rPr>
                <w:rFonts w:ascii="ITC Avant Garde" w:hAnsi="ITC Avant Garde"/>
                <w:sz w:val="18"/>
                <w:szCs w:val="18"/>
              </w:rPr>
              <w:t xml:space="preserve">ninguno de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los supuestos establecidos en el </w:t>
            </w: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ineamiento </w:t>
            </w:r>
            <w:r>
              <w:rPr>
                <w:rFonts w:ascii="ITC Avant Garde" w:hAnsi="ITC Avant Garde"/>
                <w:sz w:val="18"/>
                <w:szCs w:val="18"/>
              </w:rPr>
              <w:t>Vigésimo Primero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 de los </w:t>
            </w:r>
            <w:r w:rsidR="009B617C" w:rsidRPr="009B617C">
              <w:rPr>
                <w:rFonts w:ascii="ITC Avant Garde" w:hAnsi="ITC Avant Garde"/>
                <w:i/>
                <w:iCs/>
                <w:sz w:val="18"/>
                <w:szCs w:val="18"/>
              </w:rPr>
              <w:t>Lineamientos de Consulta Pública y Análisis de Impacto Regulatorio del Instituto Federal de Telecomunicaciones</w:t>
            </w:r>
            <w:r w:rsidRPr="004026D0">
              <w:rPr>
                <w:rFonts w:ascii="ITC Avant Garde" w:hAnsi="ITC Avant Garde"/>
                <w:iCs/>
                <w:sz w:val="18"/>
                <w:szCs w:val="18"/>
              </w:rPr>
              <w:t xml:space="preserve">, </w:t>
            </w:r>
            <w:r w:rsidR="004026D0">
              <w:rPr>
                <w:rFonts w:ascii="ITC Avant Garde" w:hAnsi="ITC Avant Garde"/>
                <w:iCs/>
                <w:sz w:val="18"/>
                <w:szCs w:val="18"/>
              </w:rPr>
              <w:t>el cual señala</w:t>
            </w:r>
            <w:r w:rsidRPr="004026D0">
              <w:rPr>
                <w:rFonts w:ascii="ITC Avant Garde" w:hAnsi="ITC Avant Garde"/>
                <w:iCs/>
                <w:sz w:val="18"/>
                <w:szCs w:val="18"/>
              </w:rPr>
              <w:t xml:space="preserve"> que es procedente que un proyecto de regulación sea sometido a consideración del Pleno del Instituto para el inicio de su consulta pública, cuando se estime que éste a su entrada en vigor:</w:t>
            </w:r>
          </w:p>
          <w:p w14:paraId="206E071A" w14:textId="77777777" w:rsidR="005137E3" w:rsidRPr="00FF6A29" w:rsidRDefault="005137E3" w:rsidP="009D2511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8718432" w14:textId="6C7831AD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crea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nuevas obligaciones </w:t>
            </w:r>
            <w:r w:rsidR="00DF4011">
              <w:rPr>
                <w:rFonts w:ascii="ITC Avant Garde" w:hAnsi="ITC Avant Garde"/>
                <w:sz w:val="18"/>
                <w:szCs w:val="18"/>
              </w:rPr>
              <w:t xml:space="preserve">ni </w:t>
            </w:r>
            <w:r w:rsidR="003607A5">
              <w:rPr>
                <w:rFonts w:ascii="ITC Avant Garde" w:hAnsi="ITC Avant Garde"/>
                <w:sz w:val="18"/>
                <w:szCs w:val="18"/>
              </w:rPr>
              <w:t>hará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más estrictas las existentes;</w:t>
            </w:r>
          </w:p>
          <w:p w14:paraId="69EAF9C2" w14:textId="0B1D9724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crea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ni modifica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Trámites</w:t>
            </w:r>
            <w:r w:rsidR="00DF4011">
              <w:rPr>
                <w:rFonts w:ascii="ITC Avant Garde" w:hAnsi="ITC Avant Garde"/>
                <w:sz w:val="18"/>
                <w:szCs w:val="18"/>
              </w:rPr>
              <w:t xml:space="preserve"> (</w:t>
            </w:r>
            <w:r w:rsidR="00DF4011" w:rsidRPr="006018A0">
              <w:rPr>
                <w:rFonts w:ascii="ITC Avant Garde" w:hAnsi="ITC Avant Garde"/>
                <w:sz w:val="18"/>
                <w:szCs w:val="18"/>
                <w:u w:val="single"/>
              </w:rPr>
              <w:t>salvo cuando dicha modificación los simplifi</w:t>
            </w:r>
            <w:r w:rsidR="003607A5" w:rsidRPr="006018A0">
              <w:rPr>
                <w:rFonts w:ascii="ITC Avant Garde" w:hAnsi="ITC Avant Garde"/>
                <w:sz w:val="18"/>
                <w:szCs w:val="18"/>
                <w:u w:val="single"/>
              </w:rPr>
              <w:t>que</w:t>
            </w:r>
            <w:r w:rsidR="00DF4011">
              <w:rPr>
                <w:rFonts w:ascii="ITC Avant Garde" w:hAnsi="ITC Avant Garde"/>
                <w:sz w:val="18"/>
                <w:szCs w:val="18"/>
              </w:rPr>
              <w:t>)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;</w:t>
            </w:r>
          </w:p>
          <w:p w14:paraId="655B739D" w14:textId="004FCB65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lastRenderedPageBreak/>
              <w:t>No reduc</w:t>
            </w:r>
            <w:r w:rsidR="003607A5">
              <w:rPr>
                <w:rFonts w:ascii="ITC Avant Garde" w:hAnsi="ITC Avant Garde"/>
                <w:sz w:val="18"/>
                <w:szCs w:val="18"/>
              </w:rPr>
              <w:t>irá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ni </w:t>
            </w:r>
            <w:r w:rsidR="003607A5" w:rsidRPr="005137E3">
              <w:rPr>
                <w:rFonts w:ascii="ITC Avant Garde" w:hAnsi="ITC Avant Garde"/>
                <w:sz w:val="18"/>
                <w:szCs w:val="18"/>
              </w:rPr>
              <w:t>restrin</w:t>
            </w:r>
            <w:r w:rsidR="003607A5">
              <w:rPr>
                <w:rFonts w:ascii="ITC Avant Garde" w:hAnsi="ITC Avant Garde"/>
                <w:sz w:val="18"/>
                <w:szCs w:val="18"/>
              </w:rPr>
              <w:t>girá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derechos o prestaciones </w:t>
            </w:r>
            <w:r w:rsidR="00DF4011">
              <w:rPr>
                <w:rFonts w:ascii="ITC Avant Garde" w:hAnsi="ITC Avant Garde"/>
                <w:sz w:val="18"/>
                <w:szCs w:val="18"/>
              </w:rPr>
              <w:t>a</w:t>
            </w:r>
            <w:r w:rsidR="00DF4011"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los particulares;</w:t>
            </w:r>
          </w:p>
          <w:p w14:paraId="3E1D4C79" w14:textId="658A12C1" w:rsidR="002F4FA1" w:rsidRPr="003607A5" w:rsidRDefault="009D2511" w:rsidP="003607A5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</w:t>
            </w:r>
            <w:r w:rsidR="006018A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establece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F4011">
              <w:rPr>
                <w:rFonts w:ascii="ITC Avant Garde" w:hAnsi="ITC Avant Garde"/>
                <w:sz w:val="18"/>
                <w:szCs w:val="18"/>
              </w:rPr>
              <w:t>ni</w:t>
            </w:r>
            <w:r w:rsidR="00DF4011"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modifica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definiciones, clasificaciones, metodologías, criterios, caracterizaciones o cualquier otro término de referencia, afectando derechos, obligaciones, prestaciones o trámites.</w:t>
            </w:r>
          </w:p>
          <w:p w14:paraId="125E6873" w14:textId="27357C75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1F66129F" w14:textId="77777777" w:rsidR="00BE7D1C" w:rsidRPr="00FF6A29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FF6A29" w14:paraId="5BC62C0F" w14:textId="77777777" w:rsidTr="003949C0">
        <w:tc>
          <w:tcPr>
            <w:tcW w:w="1696" w:type="dxa"/>
            <w:vMerge w:val="restart"/>
          </w:tcPr>
          <w:p w14:paraId="29E51DE7" w14:textId="77777777" w:rsidR="00804F49" w:rsidRPr="00FF6A29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55B8ECFA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3268064B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FF6A29" w14:paraId="6AE59269" w14:textId="77777777" w:rsidTr="003949C0">
        <w:tc>
          <w:tcPr>
            <w:tcW w:w="1696" w:type="dxa"/>
            <w:vMerge/>
          </w:tcPr>
          <w:p w14:paraId="5C9519DC" w14:textId="77777777" w:rsidR="00804F49" w:rsidRPr="00FF6A29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F0DE1AA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3297214F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5578F6C9" w14:textId="77777777" w:rsidTr="003949C0">
        <w:tc>
          <w:tcPr>
            <w:tcW w:w="1696" w:type="dxa"/>
            <w:vMerge/>
          </w:tcPr>
          <w:p w14:paraId="042EC7A0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1ACF3CF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 w:rsidRPr="00FF6A29">
              <w:rPr>
                <w:rFonts w:ascii="ITC Avant Garde" w:hAnsi="ITC Avant Garde"/>
                <w:sz w:val="18"/>
                <w:szCs w:val="18"/>
              </w:rPr>
              <w:t>T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FF6A29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4"/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31205E5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0A866567" w14:textId="77777777" w:rsidTr="003949C0">
        <w:tc>
          <w:tcPr>
            <w:tcW w:w="1696" w:type="dxa"/>
            <w:vMerge/>
          </w:tcPr>
          <w:p w14:paraId="1CA059A2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E9B62CF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A2A7990" w14:textId="77777777" w:rsidR="00804F49" w:rsidRPr="00FF6A29" w:rsidRDefault="00804F49" w:rsidP="002B41D8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31292FC2" w14:textId="77777777" w:rsidTr="003949C0">
        <w:tc>
          <w:tcPr>
            <w:tcW w:w="1696" w:type="dxa"/>
            <w:vMerge/>
          </w:tcPr>
          <w:p w14:paraId="60ECDCF5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E59A36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785A0971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B41D8" w:rsidRPr="00FF6A29">
              <w:rPr>
                <w:rFonts w:ascii="ITC Avant Garde" w:hAnsi="ITC Avant Garde"/>
                <w:sz w:val="18"/>
                <w:szCs w:val="18"/>
              </w:rPr>
              <w:t>)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1419FB1F" w14:textId="77777777" w:rsidR="00E21B49" w:rsidRPr="00FF6A29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43C39F57" w14:textId="77777777" w:rsidR="00A73AD8" w:rsidRPr="00FF6A29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t>I</w:t>
      </w:r>
      <w:r w:rsidR="00804F49" w:rsidRPr="00FF6A29">
        <w:rPr>
          <w:rFonts w:ascii="ITC Avant Garde" w:hAnsi="ITC Avant Garde"/>
          <w:b/>
          <w:sz w:val="18"/>
          <w:szCs w:val="18"/>
        </w:rPr>
        <w:t>I</w:t>
      </w:r>
      <w:r w:rsidRPr="00FF6A29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FF6A29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FF6A29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FF6A29" w14:paraId="34836DB7" w14:textId="77777777" w:rsidTr="00A73AD8">
        <w:tc>
          <w:tcPr>
            <w:tcW w:w="8828" w:type="dxa"/>
          </w:tcPr>
          <w:p w14:paraId="47FF9F41" w14:textId="77777777" w:rsidR="006018A0" w:rsidRDefault="006018A0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2C4A698" w14:textId="7CFE6F45" w:rsidR="00B74C55" w:rsidRPr="00FF6A29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FF6A29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0D37F4D5" w14:textId="77777777" w:rsidR="00A73AD8" w:rsidRPr="00FF6A29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B83A2A" w14:textId="09544D38" w:rsidR="00870931" w:rsidRPr="009C7499" w:rsidRDefault="00B654CC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eastAsia="Times New Roman" w:hAnsi="ITC Avant Garde"/>
                <w:kern w:val="2"/>
                <w:sz w:val="18"/>
                <w:szCs w:val="18"/>
                <w:lang w:val="es-ES" w:eastAsia="ar-SA"/>
              </w:rPr>
              <w:t>Acuerdo mediante el cual el Pleno del Instituto Federal de Telecomunicaciones aprueba y emite los Lineamientos de Consulta Pública y Análisis de Impacto Regulatorio del Instituto Federal de Telecomunicaciones</w:t>
            </w:r>
            <w:r w:rsidR="004026D0">
              <w:rPr>
                <w:rFonts w:ascii="ITC Avant Garde" w:eastAsia="Times New Roman" w:hAnsi="ITC Avant Garde"/>
                <w:kern w:val="2"/>
                <w:sz w:val="18"/>
                <w:szCs w:val="18"/>
                <w:lang w:val="es-ES" w:eastAsia="ar-SA"/>
              </w:rPr>
              <w:t>.</w:t>
            </w:r>
          </w:p>
          <w:p w14:paraId="1D8E4AB2" w14:textId="167CD7A3" w:rsidR="009C7499" w:rsidRPr="00FF6A29" w:rsidRDefault="009C7499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C7499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aprueba y emite los Lineamientos para la sustanciación de los trámites y servicios que se realicen ante el Instituto Federal de Telecomunicaciones, a través de la Ventanilla Electrónica</w:t>
            </w:r>
            <w:r w:rsidR="004026D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49C2C3B" w14:textId="73B75553" w:rsidR="00B654CC" w:rsidRPr="00236BD7" w:rsidRDefault="00236BD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36BD7">
              <w:rPr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t>Estrategia IFT 2021 – 2025, Hoja de Ruta</w:t>
            </w:r>
            <w:r w:rsidR="00B654CC" w:rsidRPr="00236BD7">
              <w:rPr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t>.</w:t>
            </w:r>
            <w:r>
              <w:rPr>
                <w:rStyle w:val="Refdenotaalpie"/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footnoteReference w:id="5"/>
            </w:r>
          </w:p>
          <w:p w14:paraId="4B6100E5" w14:textId="06069167" w:rsidR="00B654CC" w:rsidRDefault="00236BD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Programa Anual de Trabajo 2021 del Instituto Federal de Telecomunicaciones.</w:t>
            </w:r>
            <w:r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6"/>
            </w:r>
          </w:p>
          <w:p w14:paraId="4504D750" w14:textId="0CF97F65" w:rsidR="00397785" w:rsidRPr="00EB24E7" w:rsidRDefault="00EB24E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Acuerdo</w:t>
            </w:r>
            <w:r w:rsidRPr="00EB24E7">
              <w:rPr>
                <w:rFonts w:ascii="ITC Avant Garde" w:hAnsi="ITC Avant Garde"/>
                <w:sz w:val="18"/>
                <w:szCs w:val="18"/>
              </w:rPr>
              <w:t xml:space="preserve"> mediante el cual el Pleno del Instituto Federal de Telecomunicaciones </w:t>
            </w:r>
            <w:r w:rsidR="007F6B15">
              <w:rPr>
                <w:rFonts w:ascii="ITC Avant Garde" w:hAnsi="ITC Avant Garde"/>
                <w:sz w:val="18"/>
                <w:szCs w:val="18"/>
              </w:rPr>
              <w:t>modifica</w:t>
            </w:r>
            <w:r w:rsidR="007F6B15" w:rsidRPr="00EB24E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EB24E7">
              <w:rPr>
                <w:rFonts w:ascii="ITC Avant Garde" w:hAnsi="ITC Avant Garde"/>
                <w:sz w:val="18"/>
                <w:szCs w:val="18"/>
              </w:rPr>
              <w:t>los Lineamientos para la sustanciación de los trámites y servicios que se realicen ante el Instituto Federal de Telecomunicaciones, a través de la Ventanilla Electrónica</w:t>
            </w:r>
            <w:r w:rsidR="0033344D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48E5C9B" w14:textId="097EDB43" w:rsidR="006018A0" w:rsidRPr="006018A0" w:rsidRDefault="008D4FF7" w:rsidP="006018A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Programa Anual de Trabajo 202</w:t>
            </w:r>
            <w:r w:rsidR="004026D0">
              <w:rPr>
                <w:rFonts w:ascii="ITC Avant Garde" w:hAnsi="ITC Avant Garde"/>
                <w:sz w:val="18"/>
                <w:szCs w:val="18"/>
              </w:rPr>
              <w:t>2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del Instituto Federal de Telecomunicaciones.</w:t>
            </w:r>
            <w:r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7"/>
            </w:r>
          </w:p>
        </w:tc>
      </w:tr>
    </w:tbl>
    <w:p w14:paraId="3114E34B" w14:textId="77777777" w:rsidR="00FF6A29" w:rsidRPr="00FF6A29" w:rsidRDefault="00FF6A29" w:rsidP="006018A0">
      <w:pPr>
        <w:jc w:val="both"/>
        <w:rPr>
          <w:rFonts w:ascii="ITC Avant Garde" w:hAnsi="ITC Avant Garde"/>
          <w:sz w:val="18"/>
          <w:szCs w:val="18"/>
        </w:rPr>
      </w:pPr>
    </w:p>
    <w:sectPr w:rsidR="00FF6A29" w:rsidRPr="00FF6A2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A32E" w14:textId="77777777" w:rsidR="00AB6F3C" w:rsidRDefault="00AB6F3C" w:rsidP="00501ADF">
      <w:pPr>
        <w:spacing w:after="0" w:line="240" w:lineRule="auto"/>
      </w:pPr>
      <w:r>
        <w:separator/>
      </w:r>
    </w:p>
  </w:endnote>
  <w:endnote w:type="continuationSeparator" w:id="0">
    <w:p w14:paraId="192C1C5C" w14:textId="77777777" w:rsidR="00AB6F3C" w:rsidRDefault="00AB6F3C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AB462" w14:textId="77777777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E73F56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D6C129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F73E" w14:textId="77777777" w:rsidR="00AB6F3C" w:rsidRDefault="00AB6F3C" w:rsidP="00501ADF">
      <w:pPr>
        <w:spacing w:after="0" w:line="240" w:lineRule="auto"/>
      </w:pPr>
      <w:r>
        <w:separator/>
      </w:r>
    </w:p>
  </w:footnote>
  <w:footnote w:type="continuationSeparator" w:id="0">
    <w:p w14:paraId="53A7AB83" w14:textId="77777777" w:rsidR="00AB6F3C" w:rsidRDefault="00AB6F3C" w:rsidP="00501ADF">
      <w:pPr>
        <w:spacing w:after="0" w:line="240" w:lineRule="auto"/>
      </w:pPr>
      <w:r>
        <w:continuationSeparator/>
      </w:r>
    </w:p>
  </w:footnote>
  <w:footnote w:id="1">
    <w:p w14:paraId="42D4A6C2" w14:textId="77777777" w:rsidR="000C3806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470F84A2" w14:textId="4F888149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1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https://www.ift.org.mx/sites/default/files/contenidogeneral/transparencia/estrategia20202025.pdf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2">
    <w:p w14:paraId="05CB90FD" w14:textId="77777777" w:rsidR="000C3806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39601837" w14:textId="730E4720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2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https://www.ift.org.mx/sites/default/files/contenidogeneral/transparencia/pat2021.pdf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3">
    <w:p w14:paraId="05FFA01D" w14:textId="77777777" w:rsidR="00B362DA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368DB5E5" w14:textId="3F85AB0B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3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https://www.ift.org.mx/sites/default/files/contenidogeneral/transparencia/pat2022.pdf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4">
    <w:p w14:paraId="6371089C" w14:textId="17385682" w:rsidR="0033344D" w:rsidRDefault="008E1AD3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Style w:val="Refdenotaalpie"/>
          <w:rFonts w:ascii="ITC Avant Garde" w:hAnsi="ITC Avant Garde"/>
          <w:sz w:val="16"/>
          <w:szCs w:val="16"/>
        </w:rPr>
        <w:footnoteRef/>
      </w:r>
      <w:r w:rsidR="00BA4E93" w:rsidRPr="003C1AA7">
        <w:rPr>
          <w:rFonts w:ascii="ITC Avant Garde" w:hAnsi="ITC Avant Garde"/>
          <w:sz w:val="16"/>
          <w:szCs w:val="16"/>
        </w:rPr>
        <w:t xml:space="preserve"> </w:t>
      </w:r>
      <w:r w:rsidR="00525271" w:rsidRPr="003C1AA7">
        <w:rPr>
          <w:rFonts w:ascii="ITC Avant Garde" w:hAnsi="ITC Avant Garde"/>
          <w:sz w:val="16"/>
          <w:szCs w:val="16"/>
        </w:rPr>
        <w:t>De conformidad con lo previsto en el artículo 3, fracción XXI de la Ley General de Mejora Regulatoria, por trámite se</w:t>
      </w:r>
      <w:r w:rsidR="0033344D">
        <w:rPr>
          <w:rFonts w:ascii="ITC Avant Garde" w:hAnsi="ITC Avant Garde"/>
          <w:sz w:val="16"/>
          <w:szCs w:val="16"/>
        </w:rPr>
        <w:t xml:space="preserve"> entiende </w:t>
      </w:r>
      <w:r w:rsidR="00525271" w:rsidRPr="003C1AA7">
        <w:rPr>
          <w:rFonts w:ascii="ITC Avant Garde" w:hAnsi="ITC Avant Garde"/>
          <w:sz w:val="16"/>
          <w:szCs w:val="16"/>
        </w:rPr>
        <w:t xml:space="preserve">a cualquier solicitud o entrega de información que las personas físicas o morales del sector privado realicen ante la autoridad competente en el ámbito federal, de las entidades federativas, municipal o de la alcaldía, ya sea para cumplir una obligación o, en general, a fin de que se emita una resolución. El Decreto por el que se expide la Ley General de Mejora Regulatoria y se derogan diversas disposiciones de la Ley Federal de Procedimiento Administrativo fue publicado en el Diario Oficial de la Federación, el 18 de mayo del 2018. 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="00525271" w:rsidRPr="003C1AA7">
        <w:rPr>
          <w:rFonts w:ascii="ITC Avant Garde" w:hAnsi="ITC Avant Garde"/>
          <w:sz w:val="16"/>
          <w:szCs w:val="16"/>
        </w:rPr>
        <w:t>:</w:t>
      </w:r>
    </w:p>
    <w:p w14:paraId="73978E39" w14:textId="11040CF0" w:rsidR="00525271" w:rsidRPr="003C1AA7" w:rsidRDefault="00525271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</w:rPr>
        <w:t xml:space="preserve"> </w:t>
      </w:r>
      <w:hyperlink r:id="rId4" w:history="1">
        <w:r w:rsidR="00FD121A" w:rsidRPr="003C1AA7">
          <w:rPr>
            <w:rStyle w:val="Hipervnculo"/>
            <w:rFonts w:ascii="ITC Avant Garde" w:hAnsi="ITC Avant Garde"/>
            <w:sz w:val="16"/>
            <w:szCs w:val="16"/>
          </w:rPr>
          <w:t>http://www.diputados.gob.mx/LeyesBiblio/pdf/LGMR_180518.pdf</w:t>
        </w:r>
      </w:hyperlink>
      <w:r w:rsidR="00FD121A" w:rsidRPr="003C1AA7">
        <w:rPr>
          <w:rFonts w:ascii="ITC Avant Garde" w:hAnsi="ITC Avant Garde"/>
          <w:sz w:val="16"/>
          <w:szCs w:val="16"/>
        </w:rPr>
        <w:t xml:space="preserve"> </w:t>
      </w:r>
    </w:p>
  </w:footnote>
  <w:footnote w:id="5">
    <w:p w14:paraId="41DF0EC2" w14:textId="1AA2980E" w:rsidR="00802E2E" w:rsidRPr="003C1AA7" w:rsidRDefault="00236BD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footnoteRef/>
      </w:r>
      <w:r w:rsidR="00802E2E"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r w:rsidR="00802E2E" w:rsidRPr="003C1AA7">
        <w:rPr>
          <w:rFonts w:ascii="ITC Avant Garde" w:hAnsi="ITC Avant Garde"/>
          <w:sz w:val="16"/>
          <w:szCs w:val="16"/>
        </w:rPr>
        <w:t xml:space="preserve">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802E2E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802E2E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="00802E2E" w:rsidRPr="003C1AA7">
        <w:rPr>
          <w:rFonts w:ascii="ITC Avant Garde" w:hAnsi="ITC Avant Garde"/>
          <w:sz w:val="16"/>
          <w:szCs w:val="16"/>
        </w:rPr>
        <w:t xml:space="preserve">: </w:t>
      </w:r>
    </w:p>
    <w:p w14:paraId="5B5147FD" w14:textId="3068DC7A" w:rsidR="00236BD7" w:rsidRPr="003C1AA7" w:rsidRDefault="00236BD7" w:rsidP="003C1AA7">
      <w:pPr>
        <w:pStyle w:val="Textonotapie"/>
        <w:jc w:val="both"/>
        <w:rPr>
          <w:rStyle w:val="Hipervnculo"/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hyperlink r:id="rId5" w:history="1">
        <w:r w:rsidRPr="003C1AA7">
          <w:rPr>
            <w:rStyle w:val="Hipervnculo"/>
            <w:rFonts w:ascii="ITC Avant Garde" w:hAnsi="ITC Avant Garde"/>
            <w:sz w:val="16"/>
            <w:szCs w:val="16"/>
          </w:rPr>
          <w:t>http://www.ift.org.mx/sites/default/files/contenidogeneral/transparencia/estrategia20202025.pdf</w:t>
        </w:r>
      </w:hyperlink>
      <w:r w:rsidRPr="003C1AA7">
        <w:rPr>
          <w:rStyle w:val="Hipervnculo"/>
          <w:rFonts w:ascii="ITC Avant Garde" w:hAnsi="ITC Avant Garde"/>
          <w:sz w:val="16"/>
          <w:szCs w:val="16"/>
        </w:rPr>
        <w:t xml:space="preserve"> </w:t>
      </w:r>
    </w:p>
  </w:footnote>
  <w:footnote w:id="6">
    <w:p w14:paraId="06CD2CBC" w14:textId="3D42DA93" w:rsidR="00236BD7" w:rsidRPr="003C1AA7" w:rsidRDefault="00236BD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footnoteRef/>
      </w:r>
      <w:r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r w:rsidRPr="003C1AA7">
        <w:rPr>
          <w:rFonts w:ascii="ITC Avant Garde" w:hAnsi="ITC Avant Garde"/>
          <w:sz w:val="16"/>
          <w:szCs w:val="16"/>
        </w:rPr>
        <w:t xml:space="preserve">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Pr="003C1AA7">
        <w:rPr>
          <w:rFonts w:ascii="ITC Avant Garde" w:hAnsi="ITC Avant Garde"/>
          <w:sz w:val="16"/>
          <w:szCs w:val="16"/>
        </w:rPr>
        <w:t xml:space="preserve">: </w:t>
      </w:r>
    </w:p>
    <w:p w14:paraId="276D93F5" w14:textId="1CDDBCE9" w:rsidR="00236BD7" w:rsidRPr="003C1AA7" w:rsidRDefault="00AB6F3C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hyperlink r:id="rId6" w:history="1">
        <w:r w:rsidR="00236BD7" w:rsidRPr="003C1AA7">
          <w:rPr>
            <w:rStyle w:val="Hipervnculo"/>
            <w:rFonts w:ascii="ITC Avant Garde" w:hAnsi="ITC Avant Garde"/>
            <w:sz w:val="16"/>
            <w:szCs w:val="16"/>
          </w:rPr>
          <w:t>http://www.ift.org.mx/sites/default/files/contenidogeneral/transparencia/pat2021.pdf</w:t>
        </w:r>
      </w:hyperlink>
      <w:r w:rsidR="00236BD7" w:rsidRPr="003C1AA7">
        <w:rPr>
          <w:rFonts w:ascii="ITC Avant Garde" w:hAnsi="ITC Avant Garde"/>
          <w:sz w:val="16"/>
          <w:szCs w:val="16"/>
        </w:rPr>
        <w:t xml:space="preserve"> </w:t>
      </w:r>
    </w:p>
  </w:footnote>
  <w:footnote w:id="7">
    <w:p w14:paraId="2661FA2E" w14:textId="3ECAC0DE" w:rsidR="008D4FF7" w:rsidRPr="003C1AA7" w:rsidRDefault="008D4FF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Style w:val="Refdenotaalpie"/>
          <w:rFonts w:ascii="ITC Avant Garde" w:hAnsi="ITC Avant Garde"/>
          <w:sz w:val="16"/>
          <w:szCs w:val="16"/>
        </w:rPr>
        <w:footnoteRef/>
      </w:r>
      <w:r w:rsidRPr="003C1AA7">
        <w:rPr>
          <w:rFonts w:ascii="ITC Avant Garde" w:hAnsi="ITC Avant Garde"/>
          <w:sz w:val="16"/>
          <w:szCs w:val="16"/>
        </w:rPr>
        <w:t xml:space="preserve"> 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Pr="003C1AA7">
        <w:rPr>
          <w:rFonts w:ascii="ITC Avant Garde" w:hAnsi="ITC Avant Garde"/>
          <w:sz w:val="16"/>
          <w:szCs w:val="16"/>
        </w:rPr>
        <w:t>:</w:t>
      </w:r>
    </w:p>
    <w:p w14:paraId="25F1B149" w14:textId="3CB7119C" w:rsidR="008D4FF7" w:rsidRPr="003C1AA7" w:rsidRDefault="00AB6F3C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hyperlink r:id="rId7" w:history="1">
        <w:r w:rsidR="00397785" w:rsidRPr="003C1AA7">
          <w:rPr>
            <w:rStyle w:val="Hipervnculo"/>
            <w:rFonts w:ascii="ITC Avant Garde" w:hAnsi="ITC Avant Garde"/>
            <w:sz w:val="16"/>
            <w:szCs w:val="16"/>
          </w:rPr>
          <w:t>https://www.ift.org.mx/sites/default/files/contenidogeneral/transparencia/pat2022.pdf</w:t>
        </w:r>
      </w:hyperlink>
      <w:r w:rsidR="00397785" w:rsidRPr="003C1AA7">
        <w:rPr>
          <w:rFonts w:ascii="ITC Avant Garde" w:hAnsi="ITC Avant Garde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6CC1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7D5FEFA" wp14:editId="37A36BE0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6E4CEA" wp14:editId="09896D00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5648A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E4C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38D5648A" w14:textId="77777777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71F66A" w14:textId="77777777" w:rsidR="00501ADF" w:rsidRDefault="00501ADF">
    <w:pPr>
      <w:pStyle w:val="Encabezado"/>
    </w:pPr>
  </w:p>
  <w:p w14:paraId="4B07133A" w14:textId="77777777" w:rsidR="00804F49" w:rsidRDefault="00804F49">
    <w:pPr>
      <w:pStyle w:val="Encabezado"/>
    </w:pPr>
  </w:p>
  <w:p w14:paraId="6979864A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7511E" wp14:editId="175FEDFA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ector recto 2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70ad47 [3209]" strokeweight="1.5pt" from="0,10.45pt" to="443.25pt,11.2pt" w14:anchorId="6ABEC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>
              <v:stroke joinstyle="miter"/>
              <w10:wrap anchorx="margin"/>
            </v:line>
          </w:pict>
        </mc:Fallback>
      </mc:AlternateContent>
    </w:r>
  </w:p>
  <w:p w14:paraId="7621A623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E16"/>
    <w:multiLevelType w:val="hybridMultilevel"/>
    <w:tmpl w:val="967814BC"/>
    <w:lvl w:ilvl="0" w:tplc="617AFB1A"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404"/>
    <w:multiLevelType w:val="hybridMultilevel"/>
    <w:tmpl w:val="264EEC48"/>
    <w:lvl w:ilvl="0" w:tplc="080A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4A749B"/>
    <w:multiLevelType w:val="hybridMultilevel"/>
    <w:tmpl w:val="64740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18C1"/>
    <w:multiLevelType w:val="hybridMultilevel"/>
    <w:tmpl w:val="BAA00406"/>
    <w:lvl w:ilvl="0" w:tplc="28300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DF"/>
    <w:rsid w:val="00021824"/>
    <w:rsid w:val="00021FB4"/>
    <w:rsid w:val="00044D30"/>
    <w:rsid w:val="00056AE8"/>
    <w:rsid w:val="0006478F"/>
    <w:rsid w:val="000A0D49"/>
    <w:rsid w:val="000A50CC"/>
    <w:rsid w:val="000B44DE"/>
    <w:rsid w:val="000B6B0B"/>
    <w:rsid w:val="000C16BC"/>
    <w:rsid w:val="000C3806"/>
    <w:rsid w:val="000D1044"/>
    <w:rsid w:val="000D401B"/>
    <w:rsid w:val="000D75BF"/>
    <w:rsid w:val="000E6A13"/>
    <w:rsid w:val="000F669B"/>
    <w:rsid w:val="00100CBD"/>
    <w:rsid w:val="00103727"/>
    <w:rsid w:val="00116C2A"/>
    <w:rsid w:val="00142833"/>
    <w:rsid w:val="001634A2"/>
    <w:rsid w:val="001774BE"/>
    <w:rsid w:val="00177F7B"/>
    <w:rsid w:val="00180AEB"/>
    <w:rsid w:val="00180FCF"/>
    <w:rsid w:val="00181A32"/>
    <w:rsid w:val="001932FC"/>
    <w:rsid w:val="001B4A51"/>
    <w:rsid w:val="001E26FE"/>
    <w:rsid w:val="00206C6C"/>
    <w:rsid w:val="00211C96"/>
    <w:rsid w:val="00236BD7"/>
    <w:rsid w:val="00242B03"/>
    <w:rsid w:val="00247B33"/>
    <w:rsid w:val="002545EA"/>
    <w:rsid w:val="00271E31"/>
    <w:rsid w:val="00283533"/>
    <w:rsid w:val="00286496"/>
    <w:rsid w:val="00295E97"/>
    <w:rsid w:val="002979E2"/>
    <w:rsid w:val="002B41D8"/>
    <w:rsid w:val="002D28C7"/>
    <w:rsid w:val="002D424E"/>
    <w:rsid w:val="002F4FA1"/>
    <w:rsid w:val="0030055F"/>
    <w:rsid w:val="003039BF"/>
    <w:rsid w:val="00323167"/>
    <w:rsid w:val="00323442"/>
    <w:rsid w:val="0033344D"/>
    <w:rsid w:val="00333B41"/>
    <w:rsid w:val="003446E2"/>
    <w:rsid w:val="00345079"/>
    <w:rsid w:val="00356F52"/>
    <w:rsid w:val="003607A5"/>
    <w:rsid w:val="00372BF7"/>
    <w:rsid w:val="0039169A"/>
    <w:rsid w:val="003949C0"/>
    <w:rsid w:val="00397785"/>
    <w:rsid w:val="003A72BC"/>
    <w:rsid w:val="003B48A5"/>
    <w:rsid w:val="003B5978"/>
    <w:rsid w:val="003C1AA7"/>
    <w:rsid w:val="003C5D6C"/>
    <w:rsid w:val="003E1D84"/>
    <w:rsid w:val="003F05E7"/>
    <w:rsid w:val="003F59EF"/>
    <w:rsid w:val="004026D0"/>
    <w:rsid w:val="004226AE"/>
    <w:rsid w:val="0044761D"/>
    <w:rsid w:val="00451B7D"/>
    <w:rsid w:val="004603F7"/>
    <w:rsid w:val="0049127C"/>
    <w:rsid w:val="0049283E"/>
    <w:rsid w:val="004A03E4"/>
    <w:rsid w:val="004A6B76"/>
    <w:rsid w:val="004A7C30"/>
    <w:rsid w:val="004B6836"/>
    <w:rsid w:val="004B6F68"/>
    <w:rsid w:val="004E0AA9"/>
    <w:rsid w:val="004E0DA9"/>
    <w:rsid w:val="004E15D3"/>
    <w:rsid w:val="004F538A"/>
    <w:rsid w:val="00501ADF"/>
    <w:rsid w:val="00504EFE"/>
    <w:rsid w:val="005137E3"/>
    <w:rsid w:val="00522285"/>
    <w:rsid w:val="00525271"/>
    <w:rsid w:val="005319D5"/>
    <w:rsid w:val="00536103"/>
    <w:rsid w:val="005374F2"/>
    <w:rsid w:val="00575E8F"/>
    <w:rsid w:val="00581EEF"/>
    <w:rsid w:val="00596FDE"/>
    <w:rsid w:val="005A06B2"/>
    <w:rsid w:val="005A40FB"/>
    <w:rsid w:val="005B2C92"/>
    <w:rsid w:val="005C44A8"/>
    <w:rsid w:val="006013EB"/>
    <w:rsid w:val="006018A0"/>
    <w:rsid w:val="006047C6"/>
    <w:rsid w:val="006173EC"/>
    <w:rsid w:val="006220C6"/>
    <w:rsid w:val="00623EB8"/>
    <w:rsid w:val="00634DE8"/>
    <w:rsid w:val="00641D09"/>
    <w:rsid w:val="00647D0D"/>
    <w:rsid w:val="00647FB6"/>
    <w:rsid w:val="00665DE7"/>
    <w:rsid w:val="006717D5"/>
    <w:rsid w:val="006738BB"/>
    <w:rsid w:val="0068307E"/>
    <w:rsid w:val="006A3776"/>
    <w:rsid w:val="006A3A0E"/>
    <w:rsid w:val="006D1DCF"/>
    <w:rsid w:val="006D7556"/>
    <w:rsid w:val="006D7A08"/>
    <w:rsid w:val="007018A1"/>
    <w:rsid w:val="0070733E"/>
    <w:rsid w:val="00712636"/>
    <w:rsid w:val="00714252"/>
    <w:rsid w:val="007144D4"/>
    <w:rsid w:val="00717DB6"/>
    <w:rsid w:val="007325EA"/>
    <w:rsid w:val="00733BFE"/>
    <w:rsid w:val="0074323F"/>
    <w:rsid w:val="0076488A"/>
    <w:rsid w:val="00774CAB"/>
    <w:rsid w:val="00787E10"/>
    <w:rsid w:val="007906D0"/>
    <w:rsid w:val="00796657"/>
    <w:rsid w:val="007A37D6"/>
    <w:rsid w:val="007B4E9E"/>
    <w:rsid w:val="007C425A"/>
    <w:rsid w:val="007C5383"/>
    <w:rsid w:val="007D2384"/>
    <w:rsid w:val="007D4E5B"/>
    <w:rsid w:val="007D636F"/>
    <w:rsid w:val="007F37BF"/>
    <w:rsid w:val="007F6B15"/>
    <w:rsid w:val="007F77C2"/>
    <w:rsid w:val="00801FED"/>
    <w:rsid w:val="00802B67"/>
    <w:rsid w:val="00802E2E"/>
    <w:rsid w:val="00804F49"/>
    <w:rsid w:val="008135FB"/>
    <w:rsid w:val="00814A48"/>
    <w:rsid w:val="00815855"/>
    <w:rsid w:val="008207E8"/>
    <w:rsid w:val="00827470"/>
    <w:rsid w:val="0084560D"/>
    <w:rsid w:val="0086684A"/>
    <w:rsid w:val="008701CE"/>
    <w:rsid w:val="00870931"/>
    <w:rsid w:val="00876D05"/>
    <w:rsid w:val="00885F10"/>
    <w:rsid w:val="008A1704"/>
    <w:rsid w:val="008A48B0"/>
    <w:rsid w:val="008C76AF"/>
    <w:rsid w:val="008D3E0C"/>
    <w:rsid w:val="008D4FF7"/>
    <w:rsid w:val="008E1AD3"/>
    <w:rsid w:val="008E3011"/>
    <w:rsid w:val="008F7410"/>
    <w:rsid w:val="009058DB"/>
    <w:rsid w:val="00911216"/>
    <w:rsid w:val="00925B77"/>
    <w:rsid w:val="009442FD"/>
    <w:rsid w:val="009656B1"/>
    <w:rsid w:val="00971ECB"/>
    <w:rsid w:val="009806B7"/>
    <w:rsid w:val="00986E23"/>
    <w:rsid w:val="009A554E"/>
    <w:rsid w:val="009B617C"/>
    <w:rsid w:val="009B7BF7"/>
    <w:rsid w:val="009C7499"/>
    <w:rsid w:val="009D10E1"/>
    <w:rsid w:val="009D2511"/>
    <w:rsid w:val="009D5C70"/>
    <w:rsid w:val="009D73E5"/>
    <w:rsid w:val="009E2F03"/>
    <w:rsid w:val="009E6DF0"/>
    <w:rsid w:val="009F15DD"/>
    <w:rsid w:val="009F237F"/>
    <w:rsid w:val="009F3E53"/>
    <w:rsid w:val="00A1622C"/>
    <w:rsid w:val="00A22800"/>
    <w:rsid w:val="00A3176C"/>
    <w:rsid w:val="00A46D2B"/>
    <w:rsid w:val="00A61B93"/>
    <w:rsid w:val="00A678E7"/>
    <w:rsid w:val="00A7211D"/>
    <w:rsid w:val="00A73AD8"/>
    <w:rsid w:val="00A81C3A"/>
    <w:rsid w:val="00A855B0"/>
    <w:rsid w:val="00AA4CB3"/>
    <w:rsid w:val="00AA6463"/>
    <w:rsid w:val="00AB05BD"/>
    <w:rsid w:val="00AB207C"/>
    <w:rsid w:val="00AB52E1"/>
    <w:rsid w:val="00AB6F3C"/>
    <w:rsid w:val="00AB72A9"/>
    <w:rsid w:val="00AC2B87"/>
    <w:rsid w:val="00AD1DAD"/>
    <w:rsid w:val="00AD2F5C"/>
    <w:rsid w:val="00B139C7"/>
    <w:rsid w:val="00B2360F"/>
    <w:rsid w:val="00B24AB5"/>
    <w:rsid w:val="00B32137"/>
    <w:rsid w:val="00B32DDD"/>
    <w:rsid w:val="00B362DA"/>
    <w:rsid w:val="00B401B3"/>
    <w:rsid w:val="00B41497"/>
    <w:rsid w:val="00B43D57"/>
    <w:rsid w:val="00B5202F"/>
    <w:rsid w:val="00B6461E"/>
    <w:rsid w:val="00B654CC"/>
    <w:rsid w:val="00B70A68"/>
    <w:rsid w:val="00B74C55"/>
    <w:rsid w:val="00B74F10"/>
    <w:rsid w:val="00B77B4B"/>
    <w:rsid w:val="00B8094B"/>
    <w:rsid w:val="00B836D1"/>
    <w:rsid w:val="00BA0F10"/>
    <w:rsid w:val="00BA4E93"/>
    <w:rsid w:val="00BB1638"/>
    <w:rsid w:val="00BB73BA"/>
    <w:rsid w:val="00BC2FF7"/>
    <w:rsid w:val="00BE559D"/>
    <w:rsid w:val="00BE7D1C"/>
    <w:rsid w:val="00C010BE"/>
    <w:rsid w:val="00C37872"/>
    <w:rsid w:val="00C403EC"/>
    <w:rsid w:val="00C40CF5"/>
    <w:rsid w:val="00C43B10"/>
    <w:rsid w:val="00C4565A"/>
    <w:rsid w:val="00C51336"/>
    <w:rsid w:val="00C53388"/>
    <w:rsid w:val="00C5470D"/>
    <w:rsid w:val="00C5598C"/>
    <w:rsid w:val="00C917FC"/>
    <w:rsid w:val="00CB597C"/>
    <w:rsid w:val="00CC176C"/>
    <w:rsid w:val="00CE1F67"/>
    <w:rsid w:val="00CE2EA1"/>
    <w:rsid w:val="00D02DA9"/>
    <w:rsid w:val="00D0386B"/>
    <w:rsid w:val="00D046D8"/>
    <w:rsid w:val="00D221B5"/>
    <w:rsid w:val="00D2399D"/>
    <w:rsid w:val="00D23BD5"/>
    <w:rsid w:val="00D31AE9"/>
    <w:rsid w:val="00D34604"/>
    <w:rsid w:val="00D41896"/>
    <w:rsid w:val="00D46A47"/>
    <w:rsid w:val="00D55CA7"/>
    <w:rsid w:val="00D800D6"/>
    <w:rsid w:val="00D8066B"/>
    <w:rsid w:val="00D8764E"/>
    <w:rsid w:val="00D9317D"/>
    <w:rsid w:val="00DB01FA"/>
    <w:rsid w:val="00DE6F24"/>
    <w:rsid w:val="00DF4011"/>
    <w:rsid w:val="00DF7742"/>
    <w:rsid w:val="00E046F4"/>
    <w:rsid w:val="00E07AD8"/>
    <w:rsid w:val="00E16506"/>
    <w:rsid w:val="00E21B49"/>
    <w:rsid w:val="00E27972"/>
    <w:rsid w:val="00E5618B"/>
    <w:rsid w:val="00E6080B"/>
    <w:rsid w:val="00E60F0C"/>
    <w:rsid w:val="00E71321"/>
    <w:rsid w:val="00E73F56"/>
    <w:rsid w:val="00E7434D"/>
    <w:rsid w:val="00E768BA"/>
    <w:rsid w:val="00E8340B"/>
    <w:rsid w:val="00EB24E7"/>
    <w:rsid w:val="00EC17E8"/>
    <w:rsid w:val="00EC302D"/>
    <w:rsid w:val="00EC3911"/>
    <w:rsid w:val="00ED1D5B"/>
    <w:rsid w:val="00EE04B6"/>
    <w:rsid w:val="00EE6FE8"/>
    <w:rsid w:val="00EF107C"/>
    <w:rsid w:val="00EF6E6C"/>
    <w:rsid w:val="00F03289"/>
    <w:rsid w:val="00F06565"/>
    <w:rsid w:val="00F10870"/>
    <w:rsid w:val="00F20D7B"/>
    <w:rsid w:val="00F31821"/>
    <w:rsid w:val="00F33052"/>
    <w:rsid w:val="00F342A4"/>
    <w:rsid w:val="00F553C4"/>
    <w:rsid w:val="00F57B64"/>
    <w:rsid w:val="00F64AAC"/>
    <w:rsid w:val="00F651D5"/>
    <w:rsid w:val="00F75427"/>
    <w:rsid w:val="00F75C80"/>
    <w:rsid w:val="00F77074"/>
    <w:rsid w:val="00F9299E"/>
    <w:rsid w:val="00F94A28"/>
    <w:rsid w:val="00FB158A"/>
    <w:rsid w:val="00FB4FEA"/>
    <w:rsid w:val="00FB58BA"/>
    <w:rsid w:val="00FB7CC0"/>
    <w:rsid w:val="00FD121A"/>
    <w:rsid w:val="00FE174F"/>
    <w:rsid w:val="00FF6A29"/>
    <w:rsid w:val="0C810F15"/>
    <w:rsid w:val="459BDC93"/>
    <w:rsid w:val="68217645"/>
    <w:rsid w:val="7B7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20AF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aliases w:val="Ref,de nota al pie,(NECG) Footnote Reference,o,fr,Style 3,Appel note de bas de p,Style 12,Style 124,Ref. de nota al pie 2"/>
    <w:basedOn w:val="Fuentedeprrafopredeter"/>
    <w:uiPriority w:val="99"/>
    <w:unhideWhenUsed/>
    <w:qFormat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paragraph" w:customStyle="1" w:styleId="Default">
    <w:name w:val="Default"/>
    <w:rsid w:val="001634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3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rosas@ift.org.m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t.org.mx/sites/default/files/contenidogeneral/transparencia/pat2022.pdf" TargetMode="External"/><Relationship Id="rId7" Type="http://schemas.openxmlformats.org/officeDocument/2006/relationships/hyperlink" Target="https://www.ift.org.mx/sites/default/files/contenidogeneral/transparencia/pat2022.pdf" TargetMode="External"/><Relationship Id="rId2" Type="http://schemas.openxmlformats.org/officeDocument/2006/relationships/hyperlink" Target="https://www.ift.org.mx/sites/default/files/contenidogeneral/transparencia/pat2021.pdf" TargetMode="External"/><Relationship Id="rId1" Type="http://schemas.openxmlformats.org/officeDocument/2006/relationships/hyperlink" Target="https://www.ift.org.mx/sites/default/files/contenidogeneral/transparencia/estrategia20202025.pdf" TargetMode="External"/><Relationship Id="rId6" Type="http://schemas.openxmlformats.org/officeDocument/2006/relationships/hyperlink" Target="http://www.ift.org.mx/sites/default/files/contenidogeneral/transparencia/pat2021.pdf" TargetMode="External"/><Relationship Id="rId5" Type="http://schemas.openxmlformats.org/officeDocument/2006/relationships/hyperlink" Target="http://www.ift.org.mx/sites/default/files/contenidogeneral/transparencia/estrategia20202025.pdf" TargetMode="External"/><Relationship Id="rId4" Type="http://schemas.openxmlformats.org/officeDocument/2006/relationships/hyperlink" Target="http://www.diputados.gob.mx/LeyesBiblio/pdf/LGMR_1805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55"/>
    <w:rsid w:val="00014954"/>
    <w:rsid w:val="00024568"/>
    <w:rsid w:val="00055F24"/>
    <w:rsid w:val="000970D1"/>
    <w:rsid w:val="000D15A3"/>
    <w:rsid w:val="000D791F"/>
    <w:rsid w:val="00156B10"/>
    <w:rsid w:val="00162398"/>
    <w:rsid w:val="0018666F"/>
    <w:rsid w:val="001A3482"/>
    <w:rsid w:val="00276F12"/>
    <w:rsid w:val="002A3119"/>
    <w:rsid w:val="002A3EEE"/>
    <w:rsid w:val="002D1216"/>
    <w:rsid w:val="002E25CC"/>
    <w:rsid w:val="002F4E21"/>
    <w:rsid w:val="00361AF2"/>
    <w:rsid w:val="003C492A"/>
    <w:rsid w:val="003D0E8C"/>
    <w:rsid w:val="00403656"/>
    <w:rsid w:val="00411D12"/>
    <w:rsid w:val="00435F46"/>
    <w:rsid w:val="004755F0"/>
    <w:rsid w:val="00504DE3"/>
    <w:rsid w:val="0051743B"/>
    <w:rsid w:val="0052358B"/>
    <w:rsid w:val="00540EA6"/>
    <w:rsid w:val="005608EB"/>
    <w:rsid w:val="0058081F"/>
    <w:rsid w:val="006020B4"/>
    <w:rsid w:val="00622624"/>
    <w:rsid w:val="0067131A"/>
    <w:rsid w:val="007118CA"/>
    <w:rsid w:val="00713232"/>
    <w:rsid w:val="00760FAD"/>
    <w:rsid w:val="00776365"/>
    <w:rsid w:val="007E693A"/>
    <w:rsid w:val="0081168A"/>
    <w:rsid w:val="00895355"/>
    <w:rsid w:val="0094408F"/>
    <w:rsid w:val="00963F51"/>
    <w:rsid w:val="00981D52"/>
    <w:rsid w:val="00A35377"/>
    <w:rsid w:val="00A80CA9"/>
    <w:rsid w:val="00B05362"/>
    <w:rsid w:val="00B234BA"/>
    <w:rsid w:val="00B53C30"/>
    <w:rsid w:val="00B61F28"/>
    <w:rsid w:val="00B63627"/>
    <w:rsid w:val="00B748CE"/>
    <w:rsid w:val="00BD02AE"/>
    <w:rsid w:val="00BD59E5"/>
    <w:rsid w:val="00C06EBD"/>
    <w:rsid w:val="00C27F6E"/>
    <w:rsid w:val="00C8510D"/>
    <w:rsid w:val="00C877E3"/>
    <w:rsid w:val="00CF1BA4"/>
    <w:rsid w:val="00D3094E"/>
    <w:rsid w:val="00D724A7"/>
    <w:rsid w:val="00D72DDE"/>
    <w:rsid w:val="00DB3940"/>
    <w:rsid w:val="00E75A8C"/>
    <w:rsid w:val="00EB2284"/>
    <w:rsid w:val="00EE3CB7"/>
    <w:rsid w:val="00F04DDA"/>
    <w:rsid w:val="00F10181"/>
    <w:rsid w:val="00F774A0"/>
    <w:rsid w:val="00F96912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951C4-68D4-458C-A8C4-F0F0BF49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Josue Teoyotl Calderon</cp:lastModifiedBy>
  <cp:revision>3</cp:revision>
  <cp:lastPrinted>2022-12-19T17:13:00Z</cp:lastPrinted>
  <dcterms:created xsi:type="dcterms:W3CDTF">2022-12-19T16:31:00Z</dcterms:created>
  <dcterms:modified xsi:type="dcterms:W3CDTF">2022-12-19T17:14:00Z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