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01549" w14:textId="2B14956F" w:rsidR="00F97262" w:rsidRPr="00747C54" w:rsidRDefault="00F97262" w:rsidP="002E68F4">
      <w:pPr>
        <w:autoSpaceDE w:val="0"/>
        <w:autoSpaceDN w:val="0"/>
        <w:adjustRightInd w:val="0"/>
        <w:jc w:val="both"/>
        <w:rPr>
          <w:rFonts w:ascii="Arial" w:eastAsia="Times New Roman" w:hAnsi="Arial" w:cs="Arial"/>
          <w:b/>
          <w:bCs/>
          <w:sz w:val="18"/>
          <w:szCs w:val="18"/>
        </w:rPr>
      </w:pPr>
      <w:r w:rsidRPr="0017658C">
        <w:rPr>
          <w:rFonts w:ascii="Arial" w:hAnsi="Arial" w:cs="Arial"/>
          <w:b/>
          <w:bCs/>
          <w:sz w:val="18"/>
          <w:szCs w:val="18"/>
        </w:rPr>
        <w:t xml:space="preserve">Acuerdo mediante el cual el Pleno del Instituto Federal de Telecomunicaciones modifica los </w:t>
      </w:r>
      <w:r w:rsidR="00EA1BA2" w:rsidRPr="0017658C">
        <w:rPr>
          <w:rFonts w:ascii="Arial" w:hAnsi="Arial" w:cs="Arial"/>
          <w:b/>
          <w:bCs/>
          <w:sz w:val="18"/>
          <w:szCs w:val="18"/>
        </w:rPr>
        <w:t>Lineamientos que fijan los índices y parámetros de calidad a que deberán sujetarse los prestadores del servicio móvil</w:t>
      </w:r>
      <w:r w:rsidR="005C10B0" w:rsidRPr="0017658C">
        <w:rPr>
          <w:rFonts w:ascii="Arial" w:hAnsi="Arial" w:cs="Arial"/>
          <w:b/>
          <w:bCs/>
          <w:sz w:val="18"/>
          <w:szCs w:val="18"/>
        </w:rPr>
        <w:t>.</w:t>
      </w:r>
      <w:r w:rsidRPr="00747C54">
        <w:rPr>
          <w:rFonts w:ascii="Arial" w:eastAsia="Times New Roman" w:hAnsi="Arial" w:cs="Arial"/>
          <w:b/>
          <w:bCs/>
          <w:sz w:val="18"/>
          <w:szCs w:val="18"/>
        </w:rPr>
        <w:t xml:space="preserve"> </w:t>
      </w:r>
    </w:p>
    <w:p w14:paraId="3F61A8A7" w14:textId="66C76A7F" w:rsidR="00F97262" w:rsidRPr="00747C54" w:rsidRDefault="00F97262" w:rsidP="002E68F4">
      <w:pPr>
        <w:jc w:val="center"/>
        <w:rPr>
          <w:rFonts w:ascii="Arial" w:hAnsi="Arial" w:cs="Arial"/>
          <w:b/>
          <w:bCs/>
          <w:sz w:val="18"/>
          <w:szCs w:val="18"/>
        </w:rPr>
      </w:pPr>
      <w:r w:rsidRPr="00747C54">
        <w:rPr>
          <w:rFonts w:ascii="Arial" w:hAnsi="Arial" w:cs="Arial"/>
          <w:b/>
          <w:bCs/>
          <w:sz w:val="18"/>
          <w:szCs w:val="18"/>
        </w:rPr>
        <w:t>Antecedentes</w:t>
      </w:r>
    </w:p>
    <w:p w14:paraId="316C2760" w14:textId="77777777" w:rsidR="00747C54" w:rsidRPr="00E11FC5" w:rsidRDefault="00747C54" w:rsidP="00747C54">
      <w:pPr>
        <w:spacing w:after="0"/>
        <w:jc w:val="both"/>
        <w:rPr>
          <w:rFonts w:ascii="Arial" w:hAnsi="Arial" w:cs="Arial"/>
          <w:b/>
          <w:sz w:val="18"/>
          <w:szCs w:val="18"/>
        </w:rPr>
      </w:pPr>
      <w:proofErr w:type="gramStart"/>
      <w:r w:rsidRPr="00E11FC5">
        <w:rPr>
          <w:rFonts w:ascii="Arial" w:hAnsi="Arial" w:cs="Arial"/>
          <w:b/>
          <w:sz w:val="18"/>
          <w:szCs w:val="18"/>
        </w:rPr>
        <w:t>Primero.-</w:t>
      </w:r>
      <w:proofErr w:type="gramEnd"/>
      <w:r w:rsidRPr="00E11FC5">
        <w:rPr>
          <w:rFonts w:ascii="Arial" w:hAnsi="Arial" w:cs="Arial"/>
          <w:b/>
          <w:sz w:val="18"/>
          <w:szCs w:val="18"/>
        </w:rPr>
        <w:t xml:space="preserve"> </w:t>
      </w:r>
      <w:r w:rsidRPr="00C00CD4">
        <w:rPr>
          <w:rFonts w:ascii="Arial" w:hAnsi="Arial" w:cs="Arial"/>
          <w:b/>
          <w:sz w:val="18"/>
          <w:szCs w:val="18"/>
        </w:rPr>
        <w:t>Decreto de Reforma Constitucional en Materia de Telecomunicaciones.</w:t>
      </w:r>
      <w:r w:rsidRPr="00A768C5">
        <w:rPr>
          <w:rFonts w:ascii="Arial" w:hAnsi="Arial" w:cs="Arial"/>
          <w:bCs/>
          <w:sz w:val="18"/>
          <w:szCs w:val="18"/>
        </w:rPr>
        <w:t xml:space="preserve"> 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14:paraId="1D2F6398" w14:textId="77777777" w:rsidR="00747C54" w:rsidRPr="00E11FC5" w:rsidRDefault="00747C54" w:rsidP="00747C54">
      <w:pPr>
        <w:spacing w:after="0"/>
        <w:jc w:val="both"/>
        <w:rPr>
          <w:rFonts w:ascii="Arial" w:eastAsia="Times New Roman" w:hAnsi="Arial" w:cs="Arial"/>
          <w:b/>
          <w:bCs/>
          <w:color w:val="000000"/>
          <w:sz w:val="18"/>
          <w:szCs w:val="18"/>
          <w:lang w:eastAsia="es-MX"/>
        </w:rPr>
      </w:pPr>
    </w:p>
    <w:p w14:paraId="3E0C9044" w14:textId="77777777" w:rsidR="00747C54" w:rsidRPr="00E11FC5" w:rsidRDefault="00747C54" w:rsidP="00747C54">
      <w:pPr>
        <w:spacing w:after="0"/>
        <w:jc w:val="both"/>
        <w:rPr>
          <w:rFonts w:ascii="Arial" w:hAnsi="Arial" w:cs="Arial"/>
          <w:b/>
          <w:sz w:val="18"/>
          <w:szCs w:val="18"/>
        </w:rPr>
      </w:pPr>
      <w:proofErr w:type="gramStart"/>
      <w:r w:rsidRPr="00E11FC5">
        <w:rPr>
          <w:rFonts w:ascii="Arial" w:hAnsi="Arial" w:cs="Arial"/>
          <w:b/>
          <w:sz w:val="18"/>
          <w:szCs w:val="18"/>
        </w:rPr>
        <w:t>Segundo</w:t>
      </w:r>
      <w:r w:rsidRPr="00C00CD4">
        <w:rPr>
          <w:rFonts w:ascii="Arial" w:hAnsi="Arial" w:cs="Arial"/>
          <w:b/>
          <w:sz w:val="18"/>
          <w:szCs w:val="18"/>
        </w:rPr>
        <w:t>.-</w:t>
      </w:r>
      <w:proofErr w:type="gramEnd"/>
      <w:r w:rsidRPr="00C00CD4">
        <w:rPr>
          <w:rFonts w:ascii="Arial" w:hAnsi="Arial" w:cs="Arial"/>
          <w:b/>
          <w:sz w:val="18"/>
          <w:szCs w:val="18"/>
        </w:rPr>
        <w:t xml:space="preserve"> Ley Federal de Telecomunicaciones y Radiodifusión.</w:t>
      </w:r>
      <w:r w:rsidRPr="00A768C5">
        <w:rPr>
          <w:rFonts w:ascii="Arial" w:hAnsi="Arial" w:cs="Arial"/>
          <w:bCs/>
          <w:sz w:val="18"/>
          <w:szCs w:val="18"/>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mediante el cual se expidió la Ley Federal de Telecomunicaciones y Radiodifusión (en lo sucesivo, la "LFTR"), misma que entró en vigor el 13 de agosto de 2014.</w:t>
      </w:r>
    </w:p>
    <w:p w14:paraId="03075693" w14:textId="77777777" w:rsidR="00747C54" w:rsidRPr="00E11FC5" w:rsidRDefault="00747C54" w:rsidP="00747C54">
      <w:pPr>
        <w:spacing w:after="0"/>
        <w:jc w:val="both"/>
        <w:rPr>
          <w:rFonts w:ascii="Arial" w:hAnsi="Arial" w:cs="Arial"/>
          <w:sz w:val="18"/>
          <w:szCs w:val="18"/>
        </w:rPr>
      </w:pPr>
    </w:p>
    <w:p w14:paraId="4B90FF06" w14:textId="77777777" w:rsidR="00747C54" w:rsidRDefault="00747C54" w:rsidP="00747C54">
      <w:pPr>
        <w:spacing w:after="0"/>
        <w:jc w:val="both"/>
        <w:rPr>
          <w:rFonts w:ascii="Arial" w:hAnsi="Arial" w:cs="Arial"/>
          <w:b/>
          <w:sz w:val="18"/>
          <w:szCs w:val="18"/>
        </w:rPr>
      </w:pPr>
      <w:proofErr w:type="gramStart"/>
      <w:r w:rsidRPr="00E11FC5">
        <w:rPr>
          <w:rFonts w:ascii="Arial" w:hAnsi="Arial" w:cs="Arial"/>
          <w:b/>
          <w:sz w:val="18"/>
          <w:szCs w:val="18"/>
        </w:rPr>
        <w:t>Tercero.-</w:t>
      </w:r>
      <w:proofErr w:type="gramEnd"/>
      <w:r w:rsidRPr="00E11FC5">
        <w:rPr>
          <w:rFonts w:ascii="Arial" w:hAnsi="Arial" w:cs="Arial"/>
          <w:b/>
          <w:sz w:val="18"/>
          <w:szCs w:val="18"/>
        </w:rPr>
        <w:t xml:space="preserve"> </w:t>
      </w:r>
      <w:r w:rsidRPr="00C00CD4">
        <w:rPr>
          <w:rFonts w:ascii="Arial" w:hAnsi="Arial" w:cs="Arial"/>
          <w:b/>
          <w:sz w:val="18"/>
          <w:szCs w:val="18"/>
        </w:rPr>
        <w:t>Estatuto Orgánico del Instituto Federal de Telecomunicaciones</w:t>
      </w:r>
      <w:r w:rsidRPr="00747C54">
        <w:rPr>
          <w:rFonts w:ascii="Arial" w:hAnsi="Arial" w:cs="Arial"/>
          <w:b/>
          <w:sz w:val="18"/>
          <w:szCs w:val="18"/>
        </w:rPr>
        <w:t>.</w:t>
      </w:r>
      <w:r w:rsidRPr="00A768C5">
        <w:rPr>
          <w:rFonts w:ascii="Arial" w:hAnsi="Arial" w:cs="Arial"/>
          <w:bCs/>
          <w:sz w:val="18"/>
          <w:szCs w:val="18"/>
        </w:rPr>
        <w:t xml:space="preserve"> El 4 de septiembre de 2014, se publicó en el DOF el Estatuto Orgánico del Instituto Federal de Telecomunicaciones, (en lo sucesivo, el "Estatuto"), mismo que entró en vigor el 26 de septiembre de 2014</w:t>
      </w:r>
      <w:r>
        <w:rPr>
          <w:rFonts w:ascii="Arial" w:hAnsi="Arial" w:cs="Arial"/>
          <w:bCs/>
          <w:sz w:val="18"/>
          <w:szCs w:val="18"/>
        </w:rPr>
        <w:t>.</w:t>
      </w:r>
    </w:p>
    <w:p w14:paraId="67D4FABB" w14:textId="77777777" w:rsidR="00F97262" w:rsidRPr="00747C54" w:rsidRDefault="00F97262" w:rsidP="00863274">
      <w:pPr>
        <w:pStyle w:val="Default"/>
        <w:spacing w:line="276" w:lineRule="auto"/>
        <w:jc w:val="both"/>
        <w:rPr>
          <w:rFonts w:ascii="Arial" w:hAnsi="Arial" w:cs="Arial"/>
          <w:color w:val="auto"/>
          <w:sz w:val="18"/>
          <w:szCs w:val="18"/>
          <w:lang w:val="es-ES"/>
        </w:rPr>
      </w:pPr>
      <w:bookmarkStart w:id="0" w:name="_GoBack"/>
      <w:bookmarkEnd w:id="0"/>
    </w:p>
    <w:p w14:paraId="58C77D5C" w14:textId="7B212675" w:rsidR="00F97262" w:rsidRDefault="00F97262" w:rsidP="00863274">
      <w:pPr>
        <w:autoSpaceDE w:val="0"/>
        <w:autoSpaceDN w:val="0"/>
        <w:adjustRightInd w:val="0"/>
        <w:jc w:val="both"/>
        <w:rPr>
          <w:rFonts w:ascii="Arial" w:eastAsiaTheme="minorHAnsi" w:hAnsi="Arial" w:cs="Arial"/>
          <w:sz w:val="18"/>
          <w:szCs w:val="18"/>
        </w:rPr>
      </w:pPr>
      <w:proofErr w:type="gramStart"/>
      <w:r w:rsidRPr="00747C54">
        <w:rPr>
          <w:rFonts w:ascii="Arial" w:eastAsiaTheme="minorHAnsi" w:hAnsi="Arial" w:cs="Arial"/>
          <w:b/>
          <w:bCs/>
          <w:sz w:val="18"/>
          <w:szCs w:val="18"/>
        </w:rPr>
        <w:t>Cuarto.</w:t>
      </w:r>
      <w:r w:rsidR="005C10B0" w:rsidRPr="00747C54">
        <w:rPr>
          <w:rFonts w:ascii="Arial" w:eastAsiaTheme="minorHAnsi" w:hAnsi="Arial" w:cs="Arial"/>
          <w:b/>
          <w:bCs/>
          <w:sz w:val="18"/>
          <w:szCs w:val="18"/>
        </w:rPr>
        <w:t>-</w:t>
      </w:r>
      <w:proofErr w:type="gramEnd"/>
      <w:r w:rsidRPr="00747C54">
        <w:rPr>
          <w:rFonts w:ascii="Arial" w:eastAsiaTheme="minorHAnsi" w:hAnsi="Arial" w:cs="Arial"/>
          <w:b/>
          <w:bCs/>
          <w:sz w:val="18"/>
          <w:szCs w:val="18"/>
        </w:rPr>
        <w:t xml:space="preserve"> </w:t>
      </w:r>
      <w:r w:rsidR="00747C54">
        <w:rPr>
          <w:rFonts w:ascii="Arial" w:eastAsiaTheme="minorHAnsi" w:hAnsi="Arial" w:cs="Arial"/>
          <w:b/>
          <w:bCs/>
          <w:sz w:val="18"/>
          <w:szCs w:val="18"/>
        </w:rPr>
        <w:t xml:space="preserve">Lineamientos de </w:t>
      </w:r>
      <w:r w:rsidR="00E320C9">
        <w:rPr>
          <w:rFonts w:ascii="Arial" w:eastAsiaTheme="minorHAnsi" w:hAnsi="Arial" w:cs="Arial"/>
          <w:b/>
          <w:bCs/>
          <w:sz w:val="18"/>
          <w:szCs w:val="18"/>
        </w:rPr>
        <w:t>c</w:t>
      </w:r>
      <w:r w:rsidR="00747C54">
        <w:rPr>
          <w:rFonts w:ascii="Arial" w:eastAsiaTheme="minorHAnsi" w:hAnsi="Arial" w:cs="Arial"/>
          <w:b/>
          <w:bCs/>
          <w:sz w:val="18"/>
          <w:szCs w:val="18"/>
        </w:rPr>
        <w:t xml:space="preserve">alidad </w:t>
      </w:r>
      <w:r w:rsidR="00E320C9">
        <w:rPr>
          <w:rFonts w:ascii="Arial" w:eastAsiaTheme="minorHAnsi" w:hAnsi="Arial" w:cs="Arial"/>
          <w:b/>
          <w:bCs/>
          <w:sz w:val="18"/>
          <w:szCs w:val="18"/>
        </w:rPr>
        <w:t>m</w:t>
      </w:r>
      <w:r w:rsidR="00747C54">
        <w:rPr>
          <w:rFonts w:ascii="Arial" w:eastAsiaTheme="minorHAnsi" w:hAnsi="Arial" w:cs="Arial"/>
          <w:b/>
          <w:bCs/>
          <w:sz w:val="18"/>
          <w:szCs w:val="18"/>
        </w:rPr>
        <w:t xml:space="preserve">óvil. </w:t>
      </w:r>
      <w:r w:rsidR="00EA1BA2" w:rsidRPr="00747C54">
        <w:rPr>
          <w:rFonts w:ascii="Arial" w:eastAsiaTheme="minorHAnsi" w:hAnsi="Arial" w:cs="Arial"/>
          <w:sz w:val="18"/>
          <w:szCs w:val="18"/>
        </w:rPr>
        <w:t>El 17 de enero de 2018, se publicó en el DOF el “</w:t>
      </w:r>
      <w:r w:rsidR="0057058D" w:rsidRPr="00747C54">
        <w:rPr>
          <w:rFonts w:ascii="Arial" w:eastAsiaTheme="minorHAnsi" w:hAnsi="Arial" w:cs="Arial"/>
          <w:sz w:val="18"/>
          <w:szCs w:val="18"/>
        </w:rPr>
        <w:t>Ac</w:t>
      </w:r>
      <w:r w:rsidR="00B24ECC" w:rsidRPr="00747C54">
        <w:rPr>
          <w:rFonts w:ascii="Arial" w:eastAsiaTheme="minorHAnsi" w:hAnsi="Arial" w:cs="Arial"/>
          <w:sz w:val="18"/>
          <w:szCs w:val="18"/>
        </w:rPr>
        <w:t>uerdo</w:t>
      </w:r>
      <w:r w:rsidR="0057058D" w:rsidRPr="00747C54">
        <w:rPr>
          <w:rFonts w:ascii="Arial" w:eastAsiaTheme="minorHAnsi" w:hAnsi="Arial" w:cs="Arial"/>
          <w:sz w:val="18"/>
          <w:szCs w:val="18"/>
        </w:rPr>
        <w:t xml:space="preserve"> </w:t>
      </w:r>
      <w:r w:rsidR="00EA1BA2" w:rsidRPr="00747C54">
        <w:rPr>
          <w:rFonts w:ascii="Arial" w:eastAsiaTheme="minorHAnsi" w:hAnsi="Arial" w:cs="Arial"/>
          <w:sz w:val="18"/>
          <w:szCs w:val="18"/>
        </w:rPr>
        <w:t>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 mismo que entró en vigor el 17 de marzo de 2018.</w:t>
      </w:r>
    </w:p>
    <w:p w14:paraId="0DC1C046" w14:textId="2CDDBADA" w:rsidR="008C1460" w:rsidRDefault="008C1460" w:rsidP="004836FF">
      <w:pPr>
        <w:spacing w:after="0"/>
        <w:jc w:val="both"/>
        <w:rPr>
          <w:rFonts w:ascii="Arial" w:hAnsi="Arial" w:cs="Arial"/>
          <w:bCs/>
          <w:sz w:val="18"/>
          <w:szCs w:val="18"/>
        </w:rPr>
      </w:pPr>
      <w:proofErr w:type="gramStart"/>
      <w:r>
        <w:rPr>
          <w:rFonts w:ascii="Arial" w:hAnsi="Arial" w:cs="Arial"/>
          <w:b/>
          <w:sz w:val="18"/>
          <w:szCs w:val="18"/>
        </w:rPr>
        <w:t>Quinto</w:t>
      </w:r>
      <w:r w:rsidRPr="004437B4">
        <w:rPr>
          <w:rFonts w:ascii="Arial" w:hAnsi="Arial" w:cs="Arial"/>
          <w:b/>
          <w:sz w:val="18"/>
          <w:szCs w:val="18"/>
        </w:rPr>
        <w:t>.-</w:t>
      </w:r>
      <w:proofErr w:type="gramEnd"/>
      <w:r w:rsidRPr="00A50F91">
        <w:rPr>
          <w:rFonts w:ascii="Arial" w:hAnsi="Arial" w:cs="Arial"/>
          <w:b/>
          <w:sz w:val="18"/>
          <w:szCs w:val="18"/>
        </w:rPr>
        <w:t xml:space="preserve"> Consulta </w:t>
      </w:r>
      <w:r w:rsidR="0031791D">
        <w:rPr>
          <w:rFonts w:ascii="Arial" w:hAnsi="Arial" w:cs="Arial"/>
          <w:b/>
          <w:sz w:val="18"/>
          <w:szCs w:val="18"/>
        </w:rPr>
        <w:t>P</w:t>
      </w:r>
      <w:r w:rsidRPr="00A50F91">
        <w:rPr>
          <w:rFonts w:ascii="Arial" w:hAnsi="Arial" w:cs="Arial"/>
          <w:b/>
          <w:sz w:val="18"/>
          <w:szCs w:val="18"/>
        </w:rPr>
        <w:t>ública.</w:t>
      </w:r>
      <w:r>
        <w:rPr>
          <w:rFonts w:ascii="Arial" w:hAnsi="Arial" w:cs="Arial"/>
          <w:bCs/>
          <w:sz w:val="18"/>
          <w:szCs w:val="18"/>
        </w:rPr>
        <w:t xml:space="preserve"> </w:t>
      </w:r>
      <w:r w:rsidRPr="004F2E2D">
        <w:rPr>
          <w:rFonts w:ascii="Arial" w:hAnsi="Arial" w:cs="Arial"/>
          <w:bCs/>
          <w:sz w:val="18"/>
          <w:szCs w:val="18"/>
        </w:rPr>
        <w:t xml:space="preserve">El </w:t>
      </w:r>
      <w:r>
        <w:rPr>
          <w:rFonts w:ascii="Arial" w:hAnsi="Arial" w:cs="Arial"/>
          <w:bCs/>
          <w:sz w:val="18"/>
          <w:szCs w:val="18"/>
        </w:rPr>
        <w:t>17</w:t>
      </w:r>
      <w:r w:rsidRPr="004F2E2D">
        <w:rPr>
          <w:rFonts w:ascii="Arial" w:hAnsi="Arial" w:cs="Arial"/>
          <w:bCs/>
          <w:sz w:val="18"/>
          <w:szCs w:val="18"/>
        </w:rPr>
        <w:t xml:space="preserve"> de </w:t>
      </w:r>
      <w:r>
        <w:rPr>
          <w:rFonts w:ascii="Arial" w:hAnsi="Arial" w:cs="Arial"/>
          <w:bCs/>
          <w:sz w:val="18"/>
          <w:szCs w:val="18"/>
        </w:rPr>
        <w:t>agosto</w:t>
      </w:r>
      <w:r w:rsidRPr="004F2E2D">
        <w:rPr>
          <w:rFonts w:ascii="Arial" w:hAnsi="Arial" w:cs="Arial"/>
          <w:bCs/>
          <w:sz w:val="18"/>
          <w:szCs w:val="18"/>
        </w:rPr>
        <w:t xml:space="preserve"> de 202</w:t>
      </w:r>
      <w:r>
        <w:rPr>
          <w:rFonts w:ascii="Arial" w:hAnsi="Arial" w:cs="Arial"/>
          <w:bCs/>
          <w:sz w:val="18"/>
          <w:szCs w:val="18"/>
        </w:rPr>
        <w:t>2,</w:t>
      </w:r>
      <w:r w:rsidRPr="004F2E2D">
        <w:rPr>
          <w:rFonts w:ascii="Arial" w:hAnsi="Arial" w:cs="Arial"/>
          <w:bCs/>
          <w:sz w:val="18"/>
          <w:szCs w:val="18"/>
        </w:rPr>
        <w:t xml:space="preserve"> mediante el Acuerdo </w:t>
      </w:r>
      <w:r w:rsidRPr="008C1460">
        <w:rPr>
          <w:rFonts w:ascii="Arial" w:hAnsi="Arial" w:cs="Arial"/>
          <w:bCs/>
          <w:sz w:val="18"/>
          <w:szCs w:val="18"/>
        </w:rPr>
        <w:t>P/IFT/170822/429</w:t>
      </w:r>
      <w:r>
        <w:rPr>
          <w:rFonts w:ascii="Arial" w:hAnsi="Arial" w:cs="Arial"/>
          <w:bCs/>
          <w:sz w:val="18"/>
          <w:szCs w:val="18"/>
        </w:rPr>
        <w:t>,</w:t>
      </w:r>
      <w:r w:rsidRPr="004F2E2D">
        <w:rPr>
          <w:rFonts w:ascii="Arial" w:hAnsi="Arial" w:cs="Arial"/>
          <w:bCs/>
          <w:sz w:val="18"/>
          <w:szCs w:val="18"/>
        </w:rPr>
        <w:t xml:space="preserve"> se aprobó por unanimidad </w:t>
      </w:r>
      <w:r w:rsidR="007604FF" w:rsidRPr="007604FF">
        <w:rPr>
          <w:rFonts w:ascii="Arial" w:hAnsi="Arial" w:cs="Arial"/>
          <w:bCs/>
          <w:sz w:val="18"/>
          <w:szCs w:val="18"/>
        </w:rPr>
        <w:t xml:space="preserve">de votos </w:t>
      </w:r>
      <w:r w:rsidRPr="004F2E2D">
        <w:rPr>
          <w:rFonts w:ascii="Arial" w:hAnsi="Arial" w:cs="Arial"/>
          <w:bCs/>
          <w:sz w:val="18"/>
          <w:szCs w:val="18"/>
        </w:rPr>
        <w:t>en la X</w:t>
      </w:r>
      <w:r>
        <w:rPr>
          <w:rFonts w:ascii="Arial" w:hAnsi="Arial" w:cs="Arial"/>
          <w:bCs/>
          <w:sz w:val="18"/>
          <w:szCs w:val="18"/>
        </w:rPr>
        <w:t>VII</w:t>
      </w:r>
      <w:r w:rsidRPr="004F2E2D">
        <w:rPr>
          <w:rFonts w:ascii="Arial" w:hAnsi="Arial" w:cs="Arial"/>
          <w:bCs/>
          <w:sz w:val="18"/>
          <w:szCs w:val="18"/>
        </w:rPr>
        <w:t xml:space="preserve"> Sesión Ordinaria del Pleno del Instituto Federal de Telecomunicaciones llevar a cabo la publicación de la </w:t>
      </w:r>
      <w:r w:rsidR="0031791D">
        <w:rPr>
          <w:rFonts w:ascii="Arial" w:hAnsi="Arial" w:cs="Arial"/>
          <w:bCs/>
          <w:sz w:val="18"/>
          <w:szCs w:val="18"/>
        </w:rPr>
        <w:t>C</w:t>
      </w:r>
      <w:r w:rsidRPr="004F2E2D">
        <w:rPr>
          <w:rFonts w:ascii="Arial" w:hAnsi="Arial" w:cs="Arial"/>
          <w:bCs/>
          <w:sz w:val="18"/>
          <w:szCs w:val="18"/>
        </w:rPr>
        <w:t xml:space="preserve">onsulta </w:t>
      </w:r>
      <w:r w:rsidR="0031791D">
        <w:rPr>
          <w:rFonts w:ascii="Arial" w:hAnsi="Arial" w:cs="Arial"/>
          <w:bCs/>
          <w:sz w:val="18"/>
          <w:szCs w:val="18"/>
        </w:rPr>
        <w:t>P</w:t>
      </w:r>
      <w:r w:rsidRPr="004F2E2D">
        <w:rPr>
          <w:rFonts w:ascii="Arial" w:hAnsi="Arial" w:cs="Arial"/>
          <w:bCs/>
          <w:sz w:val="18"/>
          <w:szCs w:val="18"/>
        </w:rPr>
        <w:t>ública</w:t>
      </w:r>
      <w:r w:rsidR="004836FF">
        <w:rPr>
          <w:rFonts w:ascii="Arial" w:hAnsi="Arial" w:cs="Arial"/>
          <w:bCs/>
          <w:sz w:val="18"/>
          <w:szCs w:val="18"/>
        </w:rPr>
        <w:t xml:space="preserve"> del</w:t>
      </w:r>
      <w:r w:rsidRPr="004F2E2D">
        <w:rPr>
          <w:rFonts w:ascii="Arial" w:hAnsi="Arial" w:cs="Arial"/>
          <w:bCs/>
          <w:sz w:val="18"/>
          <w:szCs w:val="18"/>
        </w:rPr>
        <w:t xml:space="preserve"> </w:t>
      </w:r>
      <w:r w:rsidR="004836FF" w:rsidRPr="004836FF">
        <w:rPr>
          <w:rFonts w:ascii="Arial" w:hAnsi="Arial" w:cs="Arial"/>
          <w:bCs/>
          <w:sz w:val="18"/>
          <w:szCs w:val="18"/>
        </w:rPr>
        <w:t>“Anteproyecto del Acuerdo por el que se modifican los Lineamientos que fijan los índices y parámetros de calidad a que deberán sujetarse los prestadores del servicio móvil”.</w:t>
      </w:r>
    </w:p>
    <w:p w14:paraId="39B3BF21" w14:textId="5AA7FD2F" w:rsidR="004836FF" w:rsidRPr="004836FF" w:rsidRDefault="004836FF" w:rsidP="004836FF">
      <w:pPr>
        <w:spacing w:after="0"/>
        <w:jc w:val="both"/>
        <w:rPr>
          <w:rFonts w:ascii="Arial" w:hAnsi="Arial" w:cs="Arial"/>
          <w:bCs/>
          <w:sz w:val="18"/>
          <w:szCs w:val="18"/>
        </w:rPr>
      </w:pPr>
    </w:p>
    <w:p w14:paraId="6B6A4BCD" w14:textId="2A3D58B0" w:rsidR="00F97262" w:rsidRPr="00747C54" w:rsidRDefault="00F97262" w:rsidP="00863274">
      <w:pPr>
        <w:widowControl w:val="0"/>
        <w:jc w:val="both"/>
        <w:rPr>
          <w:rFonts w:ascii="Arial" w:hAnsi="Arial" w:cs="Arial"/>
          <w:sz w:val="18"/>
          <w:szCs w:val="18"/>
          <w:lang w:val="es-ES_tradnl"/>
        </w:rPr>
      </w:pPr>
      <w:r w:rsidRPr="00747C54">
        <w:rPr>
          <w:rFonts w:ascii="Arial" w:hAnsi="Arial" w:cs="Arial"/>
          <w:sz w:val="18"/>
          <w:szCs w:val="18"/>
          <w:lang w:val="es-ES_tradnl"/>
        </w:rPr>
        <w:t>En virtud de los antecedentes señalados y,</w:t>
      </w:r>
    </w:p>
    <w:p w14:paraId="7FB05E87" w14:textId="77777777" w:rsidR="005C10B0" w:rsidRPr="00747C54" w:rsidRDefault="005C10B0" w:rsidP="00863274">
      <w:pPr>
        <w:widowControl w:val="0"/>
        <w:jc w:val="both"/>
        <w:rPr>
          <w:rFonts w:ascii="Arial" w:hAnsi="Arial" w:cs="Arial"/>
          <w:b/>
          <w:sz w:val="18"/>
          <w:szCs w:val="18"/>
          <w:lang w:val="es-ES_tradnl"/>
        </w:rPr>
      </w:pPr>
    </w:p>
    <w:p w14:paraId="3B40C433" w14:textId="0B3C1071" w:rsidR="00F97262" w:rsidRPr="00747C54" w:rsidRDefault="00F97262" w:rsidP="00863274">
      <w:pPr>
        <w:jc w:val="center"/>
        <w:rPr>
          <w:rFonts w:ascii="Arial" w:eastAsia="Times New Roman" w:hAnsi="Arial" w:cs="Arial"/>
          <w:sz w:val="18"/>
          <w:szCs w:val="18"/>
        </w:rPr>
      </w:pPr>
      <w:r w:rsidRPr="00747C54">
        <w:rPr>
          <w:rFonts w:ascii="Arial" w:eastAsia="Times New Roman" w:hAnsi="Arial" w:cs="Arial"/>
          <w:b/>
          <w:sz w:val="18"/>
          <w:szCs w:val="18"/>
        </w:rPr>
        <w:t>Considerando</w:t>
      </w:r>
    </w:p>
    <w:p w14:paraId="3EB3B18B" w14:textId="08441C8C" w:rsidR="00F97262" w:rsidRPr="00747C54" w:rsidRDefault="00F97262" w:rsidP="00863274">
      <w:pPr>
        <w:autoSpaceDE w:val="0"/>
        <w:autoSpaceDN w:val="0"/>
        <w:adjustRightInd w:val="0"/>
        <w:jc w:val="both"/>
        <w:rPr>
          <w:rFonts w:ascii="Arial" w:eastAsiaTheme="minorHAnsi" w:hAnsi="Arial" w:cs="Arial"/>
          <w:sz w:val="18"/>
          <w:szCs w:val="18"/>
        </w:rPr>
      </w:pPr>
      <w:proofErr w:type="gramStart"/>
      <w:r w:rsidRPr="00747C54">
        <w:rPr>
          <w:rFonts w:ascii="Arial" w:eastAsiaTheme="minorHAnsi" w:hAnsi="Arial" w:cs="Arial"/>
          <w:b/>
          <w:bCs/>
          <w:sz w:val="18"/>
          <w:szCs w:val="18"/>
        </w:rPr>
        <w:t>P</w:t>
      </w:r>
      <w:r w:rsidR="002E68F4" w:rsidRPr="00747C54">
        <w:rPr>
          <w:rFonts w:ascii="Arial" w:eastAsiaTheme="minorHAnsi" w:hAnsi="Arial" w:cs="Arial"/>
          <w:b/>
          <w:bCs/>
          <w:sz w:val="18"/>
          <w:szCs w:val="18"/>
        </w:rPr>
        <w:t>rimero</w:t>
      </w:r>
      <w:r w:rsidRPr="00747C54">
        <w:rPr>
          <w:rFonts w:ascii="Arial" w:eastAsiaTheme="minorHAnsi" w:hAnsi="Arial" w:cs="Arial"/>
          <w:b/>
          <w:bCs/>
          <w:sz w:val="18"/>
          <w:szCs w:val="18"/>
        </w:rPr>
        <w:t>.</w:t>
      </w:r>
      <w:r w:rsidR="002E68F4" w:rsidRPr="00747C54">
        <w:rPr>
          <w:rFonts w:ascii="Arial" w:eastAsiaTheme="minorHAnsi" w:hAnsi="Arial" w:cs="Arial"/>
          <w:b/>
          <w:bCs/>
          <w:sz w:val="18"/>
          <w:szCs w:val="18"/>
        </w:rPr>
        <w:t>-</w:t>
      </w:r>
      <w:proofErr w:type="gramEnd"/>
      <w:r w:rsidRPr="00747C54">
        <w:rPr>
          <w:rFonts w:ascii="Arial" w:eastAsiaTheme="minorHAnsi" w:hAnsi="Arial" w:cs="Arial"/>
          <w:b/>
          <w:bCs/>
          <w:sz w:val="18"/>
          <w:szCs w:val="18"/>
        </w:rPr>
        <w:t xml:space="preserve"> Competencia del Instituto. </w:t>
      </w:r>
      <w:r w:rsidRPr="00747C54">
        <w:rPr>
          <w:rFonts w:ascii="Arial" w:eastAsiaTheme="minorHAnsi" w:hAnsi="Arial" w:cs="Arial"/>
          <w:sz w:val="18"/>
          <w:szCs w:val="18"/>
        </w:rPr>
        <w:t>De conformidad con lo establecido en el párrafo décimo quinto del artículo 28 de la Constitución Política de los Estados Unidos Mexicanos</w:t>
      </w:r>
      <w:r w:rsidR="00A007BC">
        <w:rPr>
          <w:rFonts w:ascii="Arial" w:eastAsiaTheme="minorHAnsi" w:hAnsi="Arial" w:cs="Arial"/>
          <w:sz w:val="18"/>
          <w:szCs w:val="18"/>
        </w:rPr>
        <w:t xml:space="preserve"> (en lo sucesivo, “Constitución”)</w:t>
      </w:r>
      <w:r w:rsidRPr="00747C54">
        <w:rPr>
          <w:rFonts w:ascii="Arial" w:eastAsiaTheme="minorHAnsi" w:hAnsi="Arial" w:cs="Arial"/>
          <w:sz w:val="18"/>
          <w:szCs w:val="18"/>
        </w:rPr>
        <w:t xml:space="preserve">, el Instituto es un órgano autónomo con personalidad jurídica y patrimonio propio, que tiene por objeto el desarrollo eficiente de la radiodifusión y las telecomunicaciones, conforme a lo dispuesto en la </w:t>
      </w:r>
      <w:r w:rsidR="00A007BC">
        <w:rPr>
          <w:rFonts w:ascii="Arial" w:eastAsiaTheme="minorHAnsi" w:hAnsi="Arial" w:cs="Arial"/>
          <w:sz w:val="18"/>
          <w:szCs w:val="18"/>
        </w:rPr>
        <w:t xml:space="preserve">propia </w:t>
      </w:r>
      <w:r w:rsidRPr="00747C54">
        <w:rPr>
          <w:rFonts w:ascii="Arial" w:eastAsiaTheme="minorHAnsi" w:hAnsi="Arial" w:cs="Arial"/>
          <w:sz w:val="18"/>
          <w:szCs w:val="18"/>
        </w:rPr>
        <w:t>Constitución y en los términos que fijen las leyes.</w:t>
      </w:r>
    </w:p>
    <w:p w14:paraId="3A3BB535" w14:textId="7141E816" w:rsidR="00F97262" w:rsidRPr="00747C54" w:rsidRDefault="00F97262" w:rsidP="00863274">
      <w:pPr>
        <w:autoSpaceDE w:val="0"/>
        <w:autoSpaceDN w:val="0"/>
        <w:adjustRightInd w:val="0"/>
        <w:jc w:val="both"/>
        <w:rPr>
          <w:rFonts w:ascii="Arial" w:eastAsiaTheme="minorHAnsi" w:hAnsi="Arial" w:cs="Arial"/>
          <w:sz w:val="18"/>
          <w:szCs w:val="18"/>
        </w:rPr>
      </w:pPr>
      <w:r w:rsidRPr="00747C54">
        <w:rPr>
          <w:rFonts w:ascii="Arial" w:eastAsiaTheme="minorHAnsi" w:hAnsi="Arial" w:cs="Arial"/>
          <w:sz w:val="18"/>
          <w:szCs w:val="18"/>
        </w:rPr>
        <w:t xml:space="preserve">Para tal efecto, en términos del precepto constitucional invocado así como de los artículos 1 y 7 de la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r w:rsidRPr="00747C54">
        <w:rPr>
          <w:rFonts w:ascii="Arial" w:hAnsi="Arial" w:cs="Arial"/>
          <w:sz w:val="18"/>
          <w:szCs w:val="18"/>
          <w:lang w:val="es-ES_tradnl"/>
        </w:rPr>
        <w:t>garantizando lo establecido en los artículos 6o. y 7o. de la Constitución</w:t>
      </w:r>
      <w:r w:rsidRPr="00747C54">
        <w:rPr>
          <w:rFonts w:ascii="Arial" w:eastAsiaTheme="minorHAnsi" w:hAnsi="Arial" w:cs="Arial"/>
          <w:sz w:val="18"/>
          <w:szCs w:val="18"/>
        </w:rPr>
        <w:t>.</w:t>
      </w:r>
    </w:p>
    <w:p w14:paraId="5E343E0E" w14:textId="3ADA557E" w:rsidR="00F97262" w:rsidRPr="00747C54" w:rsidRDefault="00F97262" w:rsidP="00863274">
      <w:pPr>
        <w:autoSpaceDE w:val="0"/>
        <w:autoSpaceDN w:val="0"/>
        <w:adjustRightInd w:val="0"/>
        <w:jc w:val="both"/>
        <w:rPr>
          <w:rFonts w:ascii="Arial" w:eastAsiaTheme="minorHAnsi" w:hAnsi="Arial" w:cs="Arial"/>
          <w:sz w:val="18"/>
          <w:szCs w:val="18"/>
        </w:rPr>
      </w:pPr>
      <w:r w:rsidRPr="00747C54">
        <w:rPr>
          <w:rFonts w:ascii="Arial" w:eastAsiaTheme="minorHAnsi" w:hAnsi="Arial" w:cs="Arial"/>
          <w:sz w:val="18"/>
          <w:szCs w:val="18"/>
        </w:rPr>
        <w:lastRenderedPageBreak/>
        <w:t xml:space="preserve">Adicionalmente, el vigésimo párrafo, fracción IV, del artículo 28 de la </w:t>
      </w:r>
      <w:r w:rsidR="00A007BC">
        <w:rPr>
          <w:rFonts w:ascii="Arial" w:eastAsiaTheme="minorHAnsi" w:hAnsi="Arial" w:cs="Arial"/>
          <w:sz w:val="18"/>
          <w:szCs w:val="18"/>
        </w:rPr>
        <w:t xml:space="preserve">Constitución </w:t>
      </w:r>
      <w:r w:rsidRPr="00747C54">
        <w:rPr>
          <w:rFonts w:ascii="Arial" w:eastAsiaTheme="minorHAnsi" w:hAnsi="Arial" w:cs="Arial"/>
          <w:sz w:val="18"/>
          <w:szCs w:val="18"/>
        </w:rPr>
        <w:t>señala que el Instituto podrá emitir disposiciones administrativas de carácter general exclusivamente para el cumplimiento de su función regulatoria en los sectores de su competencia.</w:t>
      </w:r>
    </w:p>
    <w:p w14:paraId="760C62F6" w14:textId="1E12FF4C" w:rsidR="00F97262" w:rsidRPr="00747C54" w:rsidRDefault="00F97262" w:rsidP="00863274">
      <w:pPr>
        <w:autoSpaceDE w:val="0"/>
        <w:autoSpaceDN w:val="0"/>
        <w:adjustRightInd w:val="0"/>
        <w:jc w:val="both"/>
        <w:rPr>
          <w:rFonts w:ascii="Arial" w:eastAsiaTheme="minorHAnsi" w:hAnsi="Arial" w:cs="Arial"/>
          <w:sz w:val="18"/>
          <w:szCs w:val="18"/>
        </w:rPr>
      </w:pPr>
      <w:r w:rsidRPr="00747C54">
        <w:rPr>
          <w:rFonts w:ascii="Arial" w:eastAsiaTheme="minorHAnsi" w:hAnsi="Arial" w:cs="Arial"/>
          <w:sz w:val="18"/>
          <w:szCs w:val="18"/>
        </w:rPr>
        <w:t>Por otra parte, el artículo 6o. constitucional, en su apartado B, fracción II, señala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66DB979F" w14:textId="24E1BC9C" w:rsidR="004836FF" w:rsidRDefault="004836FF" w:rsidP="00863274">
      <w:pPr>
        <w:autoSpaceDE w:val="0"/>
        <w:autoSpaceDN w:val="0"/>
        <w:adjustRightInd w:val="0"/>
        <w:jc w:val="both"/>
        <w:rPr>
          <w:rFonts w:ascii="Arial" w:eastAsiaTheme="minorHAnsi" w:hAnsi="Arial" w:cs="Arial"/>
          <w:sz w:val="18"/>
          <w:szCs w:val="18"/>
        </w:rPr>
      </w:pPr>
      <w:r w:rsidRPr="004836FF">
        <w:rPr>
          <w:rFonts w:ascii="Arial" w:eastAsiaTheme="minorHAnsi" w:hAnsi="Arial" w:cs="Arial"/>
          <w:sz w:val="18"/>
          <w:szCs w:val="18"/>
        </w:rPr>
        <w:t xml:space="preserve">Por todo lo anterior, y con fundamento en los artículos 6o., apartado B, fracción II, 28, párrafos décimo quinto y vigésimo, fracción IV, de la Constitución; artículos 1, 2, 7, 15 fracciones I, XLVII, LVI y 17 fracción I de la LFTR, así como los artículos 1, 4, fracción I y 6, fracciones I y XXI 22 fracción I y 23, fracción III del Estatuto, el Pleno del Instituto, en su carácter de órgano máximo de gobierno y decisión, es competente para emitir el presente </w:t>
      </w:r>
      <w:r w:rsidRPr="0017658C">
        <w:rPr>
          <w:rFonts w:ascii="Arial" w:eastAsiaTheme="minorHAnsi" w:hAnsi="Arial" w:cs="Arial"/>
          <w:sz w:val="18"/>
          <w:szCs w:val="18"/>
        </w:rPr>
        <w:t>“Acuerdo mediante el cual el Pleno del Instituto Federal de Telecomunicaciones modifica los Lineamientos que fijan los índices y parámetros de calidad a que deberán sujetarse los prestadores del servicio móvil”.</w:t>
      </w:r>
    </w:p>
    <w:p w14:paraId="6A30E2E4" w14:textId="4ECE23D0" w:rsidR="00163CA9" w:rsidRPr="00747C54" w:rsidRDefault="00F97262" w:rsidP="00863274">
      <w:pPr>
        <w:autoSpaceDE w:val="0"/>
        <w:autoSpaceDN w:val="0"/>
        <w:adjustRightInd w:val="0"/>
        <w:jc w:val="both"/>
        <w:rPr>
          <w:rFonts w:ascii="Arial" w:eastAsiaTheme="minorHAnsi" w:hAnsi="Arial" w:cs="Arial"/>
          <w:sz w:val="18"/>
          <w:szCs w:val="18"/>
        </w:rPr>
      </w:pPr>
      <w:proofErr w:type="gramStart"/>
      <w:r w:rsidRPr="00747C54">
        <w:rPr>
          <w:rFonts w:ascii="Arial" w:eastAsiaTheme="minorHAnsi" w:hAnsi="Arial" w:cs="Arial"/>
          <w:b/>
          <w:bCs/>
          <w:sz w:val="18"/>
          <w:szCs w:val="18"/>
        </w:rPr>
        <w:t>S</w:t>
      </w:r>
      <w:r w:rsidR="002E68F4" w:rsidRPr="00747C54">
        <w:rPr>
          <w:rFonts w:ascii="Arial" w:eastAsiaTheme="minorHAnsi" w:hAnsi="Arial" w:cs="Arial"/>
          <w:b/>
          <w:bCs/>
          <w:sz w:val="18"/>
          <w:szCs w:val="18"/>
        </w:rPr>
        <w:t>egundo</w:t>
      </w:r>
      <w:r w:rsidRPr="00747C54">
        <w:rPr>
          <w:rFonts w:ascii="Arial" w:eastAsiaTheme="minorHAnsi" w:hAnsi="Arial" w:cs="Arial"/>
          <w:b/>
          <w:bCs/>
          <w:sz w:val="18"/>
          <w:szCs w:val="18"/>
        </w:rPr>
        <w:t>.</w:t>
      </w:r>
      <w:r w:rsidR="002E68F4" w:rsidRPr="00747C54">
        <w:rPr>
          <w:rFonts w:ascii="Arial" w:eastAsiaTheme="minorHAnsi" w:hAnsi="Arial" w:cs="Arial"/>
          <w:b/>
          <w:bCs/>
          <w:sz w:val="18"/>
          <w:szCs w:val="18"/>
        </w:rPr>
        <w:t>-</w:t>
      </w:r>
      <w:proofErr w:type="gramEnd"/>
      <w:r w:rsidRPr="00747C54">
        <w:rPr>
          <w:rFonts w:ascii="Arial" w:eastAsiaTheme="minorHAnsi" w:hAnsi="Arial" w:cs="Arial"/>
          <w:sz w:val="18"/>
          <w:szCs w:val="18"/>
        </w:rPr>
        <w:t xml:space="preserve"> </w:t>
      </w:r>
      <w:r w:rsidR="00163CA9" w:rsidRPr="00747C54">
        <w:rPr>
          <w:rFonts w:ascii="Arial" w:eastAsiaTheme="minorHAnsi" w:hAnsi="Arial" w:cs="Arial"/>
          <w:b/>
          <w:bCs/>
          <w:sz w:val="18"/>
          <w:szCs w:val="18"/>
        </w:rPr>
        <w:t xml:space="preserve">Actualización </w:t>
      </w:r>
      <w:r w:rsidR="00E320C9">
        <w:rPr>
          <w:rFonts w:ascii="Arial" w:eastAsiaTheme="minorHAnsi" w:hAnsi="Arial" w:cs="Arial"/>
          <w:b/>
          <w:bCs/>
          <w:sz w:val="18"/>
          <w:szCs w:val="18"/>
        </w:rPr>
        <w:t>t</w:t>
      </w:r>
      <w:r w:rsidR="00163CA9" w:rsidRPr="00747C54">
        <w:rPr>
          <w:rFonts w:ascii="Arial" w:eastAsiaTheme="minorHAnsi" w:hAnsi="Arial" w:cs="Arial"/>
          <w:b/>
          <w:bCs/>
          <w:sz w:val="18"/>
          <w:szCs w:val="18"/>
        </w:rPr>
        <w:t>ecnológica</w:t>
      </w:r>
      <w:r w:rsidRPr="00747C54">
        <w:rPr>
          <w:rFonts w:ascii="Arial" w:eastAsiaTheme="minorHAnsi" w:hAnsi="Arial" w:cs="Arial"/>
          <w:b/>
          <w:bCs/>
          <w:sz w:val="18"/>
          <w:szCs w:val="18"/>
        </w:rPr>
        <w:t xml:space="preserve">. </w:t>
      </w:r>
      <w:r w:rsidR="00163CA9" w:rsidRPr="00747C54">
        <w:rPr>
          <w:rFonts w:ascii="Arial" w:eastAsiaTheme="minorHAnsi" w:hAnsi="Arial" w:cs="Arial"/>
          <w:sz w:val="18"/>
          <w:szCs w:val="18"/>
        </w:rPr>
        <w:t xml:space="preserve">El entorno digital ha </w:t>
      </w:r>
      <w:r w:rsidR="005D63BB" w:rsidRPr="00747C54">
        <w:rPr>
          <w:rFonts w:ascii="Arial" w:eastAsiaTheme="minorHAnsi" w:hAnsi="Arial" w:cs="Arial"/>
          <w:sz w:val="18"/>
          <w:szCs w:val="18"/>
        </w:rPr>
        <w:t>evolucionado</w:t>
      </w:r>
      <w:r w:rsidR="00163CA9" w:rsidRPr="00747C54">
        <w:rPr>
          <w:rFonts w:ascii="Arial" w:eastAsiaTheme="minorHAnsi" w:hAnsi="Arial" w:cs="Arial"/>
          <w:sz w:val="18"/>
          <w:szCs w:val="18"/>
        </w:rPr>
        <w:t xml:space="preserve"> y, por ende, los prestadores del servicio móvil han realizado actualizaciones en sus redes y han transitado a nuevas tecnologías de acceso</w:t>
      </w:r>
      <w:r w:rsidR="00C26DC9" w:rsidRPr="00747C54">
        <w:rPr>
          <w:rFonts w:ascii="Arial" w:eastAsiaTheme="minorHAnsi" w:hAnsi="Arial" w:cs="Arial"/>
          <w:sz w:val="18"/>
          <w:szCs w:val="18"/>
        </w:rPr>
        <w:t>,</w:t>
      </w:r>
      <w:r w:rsidR="00163CA9" w:rsidRPr="00747C54">
        <w:rPr>
          <w:rFonts w:ascii="Arial" w:eastAsiaTheme="minorHAnsi" w:hAnsi="Arial" w:cs="Arial"/>
          <w:sz w:val="18"/>
          <w:szCs w:val="18"/>
        </w:rPr>
        <w:t xml:space="preserve"> tanto para brindar un mejor servicio a sus usuarios</w:t>
      </w:r>
      <w:r w:rsidR="00C26DC9" w:rsidRPr="00747C54">
        <w:rPr>
          <w:rFonts w:ascii="Arial" w:eastAsiaTheme="minorHAnsi" w:hAnsi="Arial" w:cs="Arial"/>
          <w:sz w:val="18"/>
          <w:szCs w:val="18"/>
        </w:rPr>
        <w:t>,</w:t>
      </w:r>
      <w:r w:rsidR="00163CA9" w:rsidRPr="00747C54">
        <w:rPr>
          <w:rFonts w:ascii="Arial" w:eastAsiaTheme="minorHAnsi" w:hAnsi="Arial" w:cs="Arial"/>
          <w:sz w:val="18"/>
          <w:szCs w:val="18"/>
        </w:rPr>
        <w:t xml:space="preserve"> como para poder soportar la creciente demanda</w:t>
      </w:r>
      <w:r w:rsidR="008A2534" w:rsidRPr="00747C54">
        <w:rPr>
          <w:rFonts w:ascii="Arial" w:eastAsiaTheme="minorHAnsi" w:hAnsi="Arial" w:cs="Arial"/>
          <w:sz w:val="18"/>
          <w:szCs w:val="18"/>
        </w:rPr>
        <w:t xml:space="preserve"> de tráfico</w:t>
      </w:r>
      <w:r w:rsidR="00163CA9" w:rsidRPr="00747C54">
        <w:rPr>
          <w:rFonts w:ascii="Arial" w:eastAsiaTheme="minorHAnsi" w:hAnsi="Arial" w:cs="Arial"/>
          <w:sz w:val="18"/>
          <w:szCs w:val="18"/>
        </w:rPr>
        <w:t xml:space="preserve">. Por esta razón, </w:t>
      </w:r>
      <w:r w:rsidR="005D63BB" w:rsidRPr="00747C54">
        <w:rPr>
          <w:rFonts w:ascii="Arial" w:eastAsiaTheme="minorHAnsi" w:hAnsi="Arial" w:cs="Arial"/>
          <w:sz w:val="18"/>
          <w:szCs w:val="18"/>
        </w:rPr>
        <w:t xml:space="preserve">a nivel mundial </w:t>
      </w:r>
      <w:r w:rsidR="00163CA9" w:rsidRPr="00747C54">
        <w:rPr>
          <w:rFonts w:ascii="Arial" w:eastAsiaTheme="minorHAnsi" w:hAnsi="Arial" w:cs="Arial"/>
          <w:sz w:val="18"/>
          <w:szCs w:val="18"/>
        </w:rPr>
        <w:t>se ha observado el apagado de redes de segunda (2G) y tercera generación (3G) para abrir paso a nuevas tecnologías de acceso como son las redes 4G y 5G.</w:t>
      </w:r>
    </w:p>
    <w:p w14:paraId="56060519" w14:textId="562FDF53" w:rsidR="000A4820" w:rsidRPr="00747C54" w:rsidRDefault="000A4820" w:rsidP="00863274">
      <w:pPr>
        <w:autoSpaceDE w:val="0"/>
        <w:autoSpaceDN w:val="0"/>
        <w:adjustRightInd w:val="0"/>
        <w:jc w:val="both"/>
        <w:rPr>
          <w:rFonts w:ascii="Arial" w:eastAsiaTheme="minorHAnsi" w:hAnsi="Arial" w:cs="Arial"/>
          <w:sz w:val="18"/>
          <w:szCs w:val="18"/>
        </w:rPr>
      </w:pPr>
      <w:r w:rsidRPr="00747C54">
        <w:rPr>
          <w:rFonts w:ascii="Arial" w:eastAsiaTheme="minorHAnsi" w:hAnsi="Arial" w:cs="Arial"/>
          <w:sz w:val="18"/>
          <w:szCs w:val="18"/>
        </w:rPr>
        <w:t>Al tiempo de la emisión de los Lineamientos</w:t>
      </w:r>
      <w:r w:rsidR="00536906" w:rsidRPr="00747C54">
        <w:rPr>
          <w:rFonts w:ascii="Arial" w:eastAsiaTheme="minorHAnsi" w:hAnsi="Arial" w:cs="Arial"/>
          <w:sz w:val="18"/>
          <w:szCs w:val="18"/>
        </w:rPr>
        <w:t xml:space="preserve"> que fijan los índices y parámetros de calidad a que deberán sujetarse los prestadores del servicio móvil (“Lineamientos”)</w:t>
      </w:r>
      <w:r w:rsidR="007A478B" w:rsidRPr="00747C54">
        <w:rPr>
          <w:rFonts w:ascii="Arial" w:eastAsiaTheme="minorHAnsi" w:hAnsi="Arial" w:cs="Arial"/>
          <w:sz w:val="18"/>
          <w:szCs w:val="18"/>
        </w:rPr>
        <w:t>, la cobertura de las redes 4G se encontraba en una etapa temprana</w:t>
      </w:r>
      <w:r w:rsidR="00092CDB" w:rsidRPr="00747C54">
        <w:rPr>
          <w:rFonts w:ascii="Arial" w:eastAsiaTheme="minorHAnsi" w:hAnsi="Arial" w:cs="Arial"/>
          <w:sz w:val="18"/>
          <w:szCs w:val="18"/>
        </w:rPr>
        <w:t xml:space="preserve"> y no se contaba con despliegues comerciales de voz a través de redes LTE (</w:t>
      </w:r>
      <w:proofErr w:type="spellStart"/>
      <w:r w:rsidR="00092CDB" w:rsidRPr="00747C54">
        <w:rPr>
          <w:rFonts w:ascii="Arial" w:eastAsiaTheme="minorHAnsi" w:hAnsi="Arial" w:cs="Arial"/>
          <w:sz w:val="18"/>
          <w:szCs w:val="18"/>
        </w:rPr>
        <w:t>VoLTE</w:t>
      </w:r>
      <w:proofErr w:type="spellEnd"/>
      <w:r w:rsidR="00092CDB" w:rsidRPr="00747C54">
        <w:rPr>
          <w:rFonts w:ascii="Arial" w:eastAsiaTheme="minorHAnsi" w:hAnsi="Arial" w:cs="Arial"/>
          <w:sz w:val="18"/>
          <w:szCs w:val="18"/>
        </w:rPr>
        <w:t>). En contraste, al cierre de</w:t>
      </w:r>
      <w:r w:rsidR="00B513A6">
        <w:rPr>
          <w:rFonts w:ascii="Arial" w:eastAsiaTheme="minorHAnsi" w:hAnsi="Arial" w:cs="Arial"/>
          <w:sz w:val="18"/>
          <w:szCs w:val="18"/>
        </w:rPr>
        <w:t>l primer trimestre de</w:t>
      </w:r>
      <w:r w:rsidR="00092CDB" w:rsidRPr="00747C54">
        <w:rPr>
          <w:rFonts w:ascii="Arial" w:eastAsiaTheme="minorHAnsi" w:hAnsi="Arial" w:cs="Arial"/>
          <w:sz w:val="18"/>
          <w:szCs w:val="18"/>
        </w:rPr>
        <w:t xml:space="preserve"> 202</w:t>
      </w:r>
      <w:r w:rsidR="00B513A6">
        <w:rPr>
          <w:rFonts w:ascii="Arial" w:eastAsiaTheme="minorHAnsi" w:hAnsi="Arial" w:cs="Arial"/>
          <w:sz w:val="18"/>
          <w:szCs w:val="18"/>
        </w:rPr>
        <w:t>2</w:t>
      </w:r>
      <w:r w:rsidR="00092CDB" w:rsidRPr="00747C54">
        <w:rPr>
          <w:rFonts w:ascii="Arial" w:eastAsiaTheme="minorHAnsi" w:hAnsi="Arial" w:cs="Arial"/>
          <w:sz w:val="18"/>
          <w:szCs w:val="18"/>
        </w:rPr>
        <w:t xml:space="preserve">, se </w:t>
      </w:r>
      <w:r w:rsidR="00CF710E" w:rsidRPr="00747C54">
        <w:rPr>
          <w:rFonts w:ascii="Arial" w:eastAsiaTheme="minorHAnsi" w:hAnsi="Arial" w:cs="Arial"/>
          <w:sz w:val="18"/>
          <w:szCs w:val="18"/>
        </w:rPr>
        <w:t>cuenta</w:t>
      </w:r>
      <w:r w:rsidR="00092CDB" w:rsidRPr="00747C54">
        <w:rPr>
          <w:rFonts w:ascii="Arial" w:eastAsiaTheme="minorHAnsi" w:hAnsi="Arial" w:cs="Arial"/>
          <w:sz w:val="18"/>
          <w:szCs w:val="18"/>
        </w:rPr>
        <w:t xml:space="preserve"> con una cobertura poblacional de 4G de alrededor del 95%</w:t>
      </w:r>
      <w:r w:rsidR="00F7261B" w:rsidRPr="00747C54">
        <w:rPr>
          <w:rFonts w:ascii="Arial" w:eastAsiaTheme="minorHAnsi" w:hAnsi="Arial" w:cs="Arial"/>
          <w:sz w:val="18"/>
          <w:szCs w:val="18"/>
        </w:rPr>
        <w:t xml:space="preserve"> (tomando en cuenta la cobertura combinada de los concesionarios)</w:t>
      </w:r>
      <w:r w:rsidR="00092CDB" w:rsidRPr="00747C54">
        <w:rPr>
          <w:rFonts w:ascii="Arial" w:eastAsiaTheme="minorHAnsi" w:hAnsi="Arial" w:cs="Arial"/>
          <w:sz w:val="18"/>
          <w:szCs w:val="18"/>
        </w:rPr>
        <w:t xml:space="preserve"> </w:t>
      </w:r>
      <w:r w:rsidR="008A2534" w:rsidRPr="00747C54">
        <w:rPr>
          <w:rFonts w:ascii="Arial" w:eastAsiaTheme="minorHAnsi" w:hAnsi="Arial" w:cs="Arial"/>
          <w:sz w:val="18"/>
          <w:szCs w:val="18"/>
        </w:rPr>
        <w:t xml:space="preserve">y todos los </w:t>
      </w:r>
      <w:r w:rsidR="00F7261B" w:rsidRPr="00747C54">
        <w:rPr>
          <w:rFonts w:ascii="Arial" w:eastAsiaTheme="minorHAnsi" w:hAnsi="Arial" w:cs="Arial"/>
          <w:sz w:val="18"/>
          <w:szCs w:val="18"/>
        </w:rPr>
        <w:t>concesionarios</w:t>
      </w:r>
      <w:r w:rsidR="008A2534" w:rsidRPr="00747C54">
        <w:rPr>
          <w:rFonts w:ascii="Arial" w:eastAsiaTheme="minorHAnsi" w:hAnsi="Arial" w:cs="Arial"/>
          <w:sz w:val="18"/>
          <w:szCs w:val="18"/>
        </w:rPr>
        <w:t xml:space="preserve"> del servicio móvil ofrecen </w:t>
      </w:r>
      <w:proofErr w:type="spellStart"/>
      <w:r w:rsidR="008A2534" w:rsidRPr="00747C54">
        <w:rPr>
          <w:rFonts w:ascii="Arial" w:eastAsiaTheme="minorHAnsi" w:hAnsi="Arial" w:cs="Arial"/>
          <w:sz w:val="18"/>
          <w:szCs w:val="18"/>
        </w:rPr>
        <w:t>VoLTE</w:t>
      </w:r>
      <w:proofErr w:type="spellEnd"/>
      <w:r w:rsidR="008A2534" w:rsidRPr="00747C54">
        <w:rPr>
          <w:rFonts w:ascii="Arial" w:eastAsiaTheme="minorHAnsi" w:hAnsi="Arial" w:cs="Arial"/>
          <w:sz w:val="18"/>
          <w:szCs w:val="18"/>
        </w:rPr>
        <w:t xml:space="preserve"> en algunas zonas de su cobertura</w:t>
      </w:r>
      <w:r w:rsidR="00CF710E" w:rsidRPr="00747C54">
        <w:rPr>
          <w:rFonts w:ascii="Arial" w:eastAsiaTheme="minorHAnsi" w:hAnsi="Arial" w:cs="Arial"/>
          <w:sz w:val="18"/>
          <w:szCs w:val="18"/>
        </w:rPr>
        <w:t xml:space="preserve">. </w:t>
      </w:r>
    </w:p>
    <w:p w14:paraId="7E0F3B16" w14:textId="2E200015" w:rsidR="00163CA9" w:rsidRPr="00747C54" w:rsidRDefault="00CF710E" w:rsidP="00863274">
      <w:pPr>
        <w:autoSpaceDE w:val="0"/>
        <w:autoSpaceDN w:val="0"/>
        <w:adjustRightInd w:val="0"/>
        <w:jc w:val="both"/>
        <w:rPr>
          <w:rFonts w:ascii="Arial" w:eastAsiaTheme="minorHAnsi" w:hAnsi="Arial" w:cs="Arial"/>
          <w:sz w:val="18"/>
          <w:szCs w:val="18"/>
        </w:rPr>
      </w:pPr>
      <w:r w:rsidRPr="00747C54">
        <w:rPr>
          <w:rFonts w:ascii="Arial" w:eastAsiaTheme="minorHAnsi" w:hAnsi="Arial" w:cs="Arial"/>
          <w:sz w:val="18"/>
          <w:szCs w:val="18"/>
        </w:rPr>
        <w:t>Ahora bien, u</w:t>
      </w:r>
      <w:r w:rsidR="007E7555" w:rsidRPr="00747C54">
        <w:rPr>
          <w:rFonts w:ascii="Arial" w:eastAsiaTheme="minorHAnsi" w:hAnsi="Arial" w:cs="Arial"/>
          <w:sz w:val="18"/>
          <w:szCs w:val="18"/>
        </w:rPr>
        <w:t>no</w:t>
      </w:r>
      <w:r w:rsidR="00163CA9" w:rsidRPr="00747C54">
        <w:rPr>
          <w:rFonts w:ascii="Arial" w:eastAsiaTheme="minorHAnsi" w:hAnsi="Arial" w:cs="Arial"/>
          <w:sz w:val="18"/>
          <w:szCs w:val="18"/>
        </w:rPr>
        <w:t xml:space="preserve"> de los principales cambios en LTE es que se trata de una red IP extremo a extremo, por lo que no existe el dominio de circuitos conmutados para manejar las llamadas de voz, tal y como ocurría </w:t>
      </w:r>
      <w:r w:rsidR="00176F4C" w:rsidRPr="00747C54">
        <w:rPr>
          <w:rFonts w:ascii="Arial" w:eastAsiaTheme="minorHAnsi" w:hAnsi="Arial" w:cs="Arial"/>
          <w:sz w:val="18"/>
          <w:szCs w:val="18"/>
        </w:rPr>
        <w:t>co</w:t>
      </w:r>
      <w:r w:rsidR="00163CA9" w:rsidRPr="00747C54">
        <w:rPr>
          <w:rFonts w:ascii="Arial" w:eastAsiaTheme="minorHAnsi" w:hAnsi="Arial" w:cs="Arial"/>
          <w:sz w:val="18"/>
          <w:szCs w:val="18"/>
        </w:rPr>
        <w:t>n las redes 2G</w:t>
      </w:r>
      <w:r w:rsidR="005D63BB" w:rsidRPr="00747C54">
        <w:rPr>
          <w:rFonts w:ascii="Arial" w:eastAsiaTheme="minorHAnsi" w:hAnsi="Arial" w:cs="Arial"/>
          <w:sz w:val="18"/>
          <w:szCs w:val="18"/>
        </w:rPr>
        <w:t xml:space="preserve"> y </w:t>
      </w:r>
      <w:r w:rsidR="00163CA9" w:rsidRPr="00747C54">
        <w:rPr>
          <w:rFonts w:ascii="Arial" w:eastAsiaTheme="minorHAnsi" w:hAnsi="Arial" w:cs="Arial"/>
          <w:sz w:val="18"/>
          <w:szCs w:val="18"/>
        </w:rPr>
        <w:t>3G. En ese sentido, l</w:t>
      </w:r>
      <w:r w:rsidR="00163CA9" w:rsidRPr="00747C54">
        <w:rPr>
          <w:rFonts w:ascii="Arial" w:hAnsi="Arial" w:cs="Arial"/>
          <w:sz w:val="18"/>
          <w:szCs w:val="18"/>
        </w:rPr>
        <w:t>as llamadas de voz que usan la tecnología de acceso LTE (</w:t>
      </w:r>
      <w:proofErr w:type="spellStart"/>
      <w:r w:rsidR="00163CA9" w:rsidRPr="00747C54">
        <w:rPr>
          <w:rFonts w:ascii="Arial" w:hAnsi="Arial" w:cs="Arial"/>
          <w:sz w:val="18"/>
          <w:szCs w:val="18"/>
        </w:rPr>
        <w:t>VoLTE</w:t>
      </w:r>
      <w:proofErr w:type="spellEnd"/>
      <w:r w:rsidR="00163CA9" w:rsidRPr="00747C54">
        <w:rPr>
          <w:rFonts w:ascii="Arial" w:hAnsi="Arial" w:cs="Arial"/>
          <w:sz w:val="18"/>
          <w:szCs w:val="18"/>
        </w:rPr>
        <w:t xml:space="preserve">) consisten en la migración de sistemas basados en circuitos (3G) hacia una red de </w:t>
      </w:r>
      <w:r w:rsidR="003759D0">
        <w:rPr>
          <w:rFonts w:ascii="Arial" w:hAnsi="Arial" w:cs="Arial"/>
          <w:sz w:val="18"/>
          <w:szCs w:val="18"/>
        </w:rPr>
        <w:t xml:space="preserve">conmutación de paquetes </w:t>
      </w:r>
      <w:r w:rsidR="00163CA9" w:rsidRPr="00747C54">
        <w:rPr>
          <w:rFonts w:ascii="Arial" w:hAnsi="Arial" w:cs="Arial"/>
          <w:sz w:val="18"/>
          <w:szCs w:val="18"/>
        </w:rPr>
        <w:t xml:space="preserve">mediante el uso de un subsistema multimedia IP (IMS), implementado en la arquitectura de red 4G, que permite ofrecer servicios de voz y mensajería sobre LTE. Adicionalmente, </w:t>
      </w:r>
      <w:r w:rsidR="00F7261B" w:rsidRPr="00747C54">
        <w:rPr>
          <w:rFonts w:ascii="Arial" w:hAnsi="Arial" w:cs="Arial"/>
          <w:sz w:val="18"/>
          <w:szCs w:val="18"/>
        </w:rPr>
        <w:t>la introducción del IMS</w:t>
      </w:r>
      <w:r w:rsidR="00163CA9" w:rsidRPr="00747C54">
        <w:rPr>
          <w:rFonts w:ascii="Arial" w:hAnsi="Arial" w:cs="Arial"/>
          <w:sz w:val="18"/>
          <w:szCs w:val="18"/>
        </w:rPr>
        <w:t xml:space="preserve"> permite ofrecer a los usuarios finales una calidad de servicio mejorada, así como la posibilidad de establecer videollamadas.</w:t>
      </w:r>
    </w:p>
    <w:p w14:paraId="295AC024" w14:textId="4FE16240" w:rsidR="00163CA9" w:rsidRPr="00747C54" w:rsidRDefault="005D63BB" w:rsidP="00863274">
      <w:pPr>
        <w:autoSpaceDE w:val="0"/>
        <w:autoSpaceDN w:val="0"/>
        <w:adjustRightInd w:val="0"/>
        <w:jc w:val="both"/>
        <w:rPr>
          <w:rFonts w:ascii="Arial" w:hAnsi="Arial" w:cs="Arial"/>
          <w:sz w:val="18"/>
          <w:szCs w:val="18"/>
        </w:rPr>
      </w:pPr>
      <w:r w:rsidRPr="00747C54">
        <w:rPr>
          <w:rFonts w:ascii="Arial" w:hAnsi="Arial" w:cs="Arial"/>
          <w:sz w:val="18"/>
          <w:szCs w:val="18"/>
        </w:rPr>
        <w:t>E</w:t>
      </w:r>
      <w:r w:rsidR="00163CA9" w:rsidRPr="00747C54">
        <w:rPr>
          <w:rFonts w:ascii="Arial" w:hAnsi="Arial" w:cs="Arial"/>
          <w:sz w:val="18"/>
          <w:szCs w:val="18"/>
        </w:rPr>
        <w:t>n una red 4G, las llamadas de voz requieren de elementos de red adicionales en la infraestructura de núcleo del operador móvil</w:t>
      </w:r>
      <w:r w:rsidR="007E7555" w:rsidRPr="00747C54">
        <w:rPr>
          <w:rFonts w:ascii="Arial" w:hAnsi="Arial" w:cs="Arial"/>
          <w:sz w:val="18"/>
          <w:szCs w:val="18"/>
        </w:rPr>
        <w:t xml:space="preserve"> (CORE)</w:t>
      </w:r>
      <w:r w:rsidR="00163CA9" w:rsidRPr="00747C54">
        <w:rPr>
          <w:rFonts w:ascii="Arial" w:hAnsi="Arial" w:cs="Arial"/>
          <w:sz w:val="18"/>
          <w:szCs w:val="18"/>
        </w:rPr>
        <w:t xml:space="preserve"> para poder ofrecer el servicio de </w:t>
      </w:r>
      <w:proofErr w:type="spellStart"/>
      <w:r w:rsidR="00163CA9" w:rsidRPr="00747C54">
        <w:rPr>
          <w:rFonts w:ascii="Arial" w:hAnsi="Arial" w:cs="Arial"/>
          <w:sz w:val="18"/>
          <w:szCs w:val="18"/>
        </w:rPr>
        <w:t>VoLTE</w:t>
      </w:r>
      <w:bookmarkStart w:id="1" w:name="_Hlk122079104"/>
      <w:proofErr w:type="spellEnd"/>
      <w:r w:rsidR="00C806C6">
        <w:rPr>
          <w:rFonts w:ascii="Arial" w:hAnsi="Arial" w:cs="Arial"/>
          <w:sz w:val="18"/>
          <w:szCs w:val="18"/>
        </w:rPr>
        <w:t>,</w:t>
      </w:r>
      <w:bookmarkEnd w:id="1"/>
      <w:r w:rsidR="00163CA9" w:rsidRPr="00747C54">
        <w:rPr>
          <w:rFonts w:ascii="Arial" w:hAnsi="Arial" w:cs="Arial"/>
          <w:sz w:val="18"/>
          <w:szCs w:val="18"/>
        </w:rPr>
        <w:t xml:space="preserve"> con las características y la calidad de servicio especificadas por el estándar 4G</w:t>
      </w:r>
      <w:r w:rsidR="007E7555" w:rsidRPr="00747C54">
        <w:rPr>
          <w:rFonts w:ascii="Arial" w:hAnsi="Arial" w:cs="Arial"/>
          <w:sz w:val="18"/>
          <w:szCs w:val="18"/>
        </w:rPr>
        <w:t>. Dicha plataforma se conoce como IMS</w:t>
      </w:r>
      <w:r w:rsidR="00163CA9" w:rsidRPr="00747C54">
        <w:rPr>
          <w:rFonts w:ascii="Arial" w:hAnsi="Arial" w:cs="Arial"/>
          <w:sz w:val="18"/>
          <w:szCs w:val="18"/>
        </w:rPr>
        <w:t xml:space="preserve">. </w:t>
      </w:r>
      <w:r w:rsidR="007E7555" w:rsidRPr="00747C54">
        <w:rPr>
          <w:rFonts w:ascii="Arial" w:hAnsi="Arial" w:cs="Arial"/>
          <w:sz w:val="18"/>
          <w:szCs w:val="18"/>
        </w:rPr>
        <w:t>E</w:t>
      </w:r>
      <w:r w:rsidR="00163CA9" w:rsidRPr="00747C54">
        <w:rPr>
          <w:rFonts w:ascii="Arial" w:hAnsi="Arial" w:cs="Arial"/>
          <w:sz w:val="18"/>
          <w:szCs w:val="18"/>
        </w:rPr>
        <w:t xml:space="preserve">l equipo terminal móvil </w:t>
      </w:r>
      <w:r w:rsidR="007E7555" w:rsidRPr="00747C54">
        <w:rPr>
          <w:rFonts w:ascii="Arial" w:hAnsi="Arial" w:cs="Arial"/>
          <w:sz w:val="18"/>
          <w:szCs w:val="18"/>
        </w:rPr>
        <w:t xml:space="preserve">podrá realizar llamadas </w:t>
      </w:r>
      <w:proofErr w:type="spellStart"/>
      <w:r w:rsidR="00163CA9" w:rsidRPr="00747C54">
        <w:rPr>
          <w:rFonts w:ascii="Arial" w:hAnsi="Arial" w:cs="Arial"/>
          <w:sz w:val="18"/>
          <w:szCs w:val="18"/>
        </w:rPr>
        <w:t>VoLTE</w:t>
      </w:r>
      <w:proofErr w:type="spellEnd"/>
      <w:r w:rsidR="007E7555" w:rsidRPr="00747C54">
        <w:rPr>
          <w:rFonts w:ascii="Arial" w:hAnsi="Arial" w:cs="Arial"/>
          <w:sz w:val="18"/>
          <w:szCs w:val="18"/>
        </w:rPr>
        <w:t xml:space="preserve">, siempre y cuando </w:t>
      </w:r>
      <w:r w:rsidR="00163CA9" w:rsidRPr="00747C54">
        <w:rPr>
          <w:rFonts w:ascii="Arial" w:hAnsi="Arial" w:cs="Arial"/>
          <w:sz w:val="18"/>
          <w:szCs w:val="18"/>
        </w:rPr>
        <w:t xml:space="preserve">sea compatible con 4G y soporte la funcionalidad </w:t>
      </w:r>
      <w:proofErr w:type="spellStart"/>
      <w:r w:rsidR="00163CA9" w:rsidRPr="00747C54">
        <w:rPr>
          <w:rFonts w:ascii="Arial" w:hAnsi="Arial" w:cs="Arial"/>
          <w:sz w:val="18"/>
          <w:szCs w:val="18"/>
        </w:rPr>
        <w:t>VoLTE</w:t>
      </w:r>
      <w:proofErr w:type="spellEnd"/>
      <w:r w:rsidR="00F76204" w:rsidRPr="00747C54">
        <w:rPr>
          <w:rFonts w:ascii="Arial" w:hAnsi="Arial" w:cs="Arial"/>
          <w:sz w:val="18"/>
          <w:szCs w:val="18"/>
        </w:rPr>
        <w:t>,</w:t>
      </w:r>
      <w:r w:rsidR="00163CA9" w:rsidRPr="00747C54">
        <w:rPr>
          <w:rFonts w:ascii="Arial" w:hAnsi="Arial" w:cs="Arial"/>
          <w:sz w:val="18"/>
          <w:szCs w:val="18"/>
        </w:rPr>
        <w:t xml:space="preserve"> ya que éste realiza un registro en el CORE de la red y un registro en el IMS para poder obtener los servicios.</w:t>
      </w:r>
    </w:p>
    <w:p w14:paraId="67AA472E" w14:textId="61EC874C" w:rsidR="00CF710E" w:rsidRPr="00747C54" w:rsidRDefault="00163CA9" w:rsidP="00863274">
      <w:pPr>
        <w:autoSpaceDE w:val="0"/>
        <w:autoSpaceDN w:val="0"/>
        <w:adjustRightInd w:val="0"/>
        <w:jc w:val="both"/>
        <w:rPr>
          <w:rFonts w:ascii="Arial" w:hAnsi="Arial" w:cs="Arial"/>
          <w:sz w:val="18"/>
          <w:szCs w:val="18"/>
        </w:rPr>
      </w:pPr>
      <w:r w:rsidRPr="00747C54">
        <w:rPr>
          <w:rFonts w:ascii="Arial" w:hAnsi="Arial" w:cs="Arial"/>
          <w:sz w:val="18"/>
          <w:szCs w:val="18"/>
        </w:rPr>
        <w:t xml:space="preserve">Desde la perspectiva </w:t>
      </w:r>
      <w:r w:rsidR="007E7555" w:rsidRPr="00747C54">
        <w:rPr>
          <w:rFonts w:ascii="Arial" w:hAnsi="Arial" w:cs="Arial"/>
          <w:sz w:val="18"/>
          <w:szCs w:val="18"/>
        </w:rPr>
        <w:t xml:space="preserve">del usuario final, la introducción de </w:t>
      </w:r>
      <w:proofErr w:type="spellStart"/>
      <w:r w:rsidR="007E7555" w:rsidRPr="00747C54">
        <w:rPr>
          <w:rFonts w:ascii="Arial" w:hAnsi="Arial" w:cs="Arial"/>
          <w:sz w:val="18"/>
          <w:szCs w:val="18"/>
        </w:rPr>
        <w:t>VoLTE</w:t>
      </w:r>
      <w:proofErr w:type="spellEnd"/>
      <w:r w:rsidR="007E7555" w:rsidRPr="00747C54">
        <w:rPr>
          <w:rFonts w:ascii="Arial" w:hAnsi="Arial" w:cs="Arial"/>
          <w:sz w:val="18"/>
          <w:szCs w:val="18"/>
        </w:rPr>
        <w:t xml:space="preserve"> en las redes móviles tiene un impacto en la calidad de servicio de extremo a extremo</w:t>
      </w:r>
      <w:r w:rsidR="00C806C6">
        <w:rPr>
          <w:rFonts w:ascii="Arial" w:hAnsi="Arial" w:cs="Arial"/>
          <w:sz w:val="18"/>
          <w:szCs w:val="18"/>
        </w:rPr>
        <w:t>,</w:t>
      </w:r>
      <w:r w:rsidR="007E7555" w:rsidRPr="00747C54">
        <w:rPr>
          <w:rFonts w:ascii="Arial" w:hAnsi="Arial" w:cs="Arial"/>
          <w:sz w:val="18"/>
          <w:szCs w:val="18"/>
        </w:rPr>
        <w:t xml:space="preserve"> que ha sido reconocido por las recomendaciones internacionales emitidas por el sector de normalización de la </w:t>
      </w:r>
      <w:r w:rsidR="008A2534" w:rsidRPr="00747C54">
        <w:rPr>
          <w:rFonts w:ascii="Arial" w:hAnsi="Arial" w:cs="Arial"/>
          <w:sz w:val="18"/>
          <w:szCs w:val="18"/>
        </w:rPr>
        <w:t>Unión Internacional de Telecomunicaciones (UIT-T)</w:t>
      </w:r>
      <w:r w:rsidR="007E7555" w:rsidRPr="00747C54">
        <w:rPr>
          <w:rFonts w:ascii="Arial" w:hAnsi="Arial" w:cs="Arial"/>
          <w:sz w:val="18"/>
          <w:szCs w:val="18"/>
        </w:rPr>
        <w:t xml:space="preserve">, así como las especificaciones técnicas del </w:t>
      </w:r>
      <w:r w:rsidR="008A2534" w:rsidRPr="00747C54">
        <w:rPr>
          <w:rFonts w:ascii="Arial" w:hAnsi="Arial" w:cs="Arial"/>
          <w:sz w:val="18"/>
          <w:szCs w:val="18"/>
        </w:rPr>
        <w:t>Instituto Europeo de Estándares Técnicos (</w:t>
      </w:r>
      <w:r w:rsidR="007E7555" w:rsidRPr="00747C54">
        <w:rPr>
          <w:rFonts w:ascii="Arial" w:hAnsi="Arial" w:cs="Arial"/>
          <w:sz w:val="18"/>
          <w:szCs w:val="18"/>
        </w:rPr>
        <w:t>ETSI</w:t>
      </w:r>
      <w:r w:rsidR="008A2534" w:rsidRPr="00747C54">
        <w:rPr>
          <w:rFonts w:ascii="Arial" w:hAnsi="Arial" w:cs="Arial"/>
          <w:sz w:val="18"/>
          <w:szCs w:val="18"/>
        </w:rPr>
        <w:t>)</w:t>
      </w:r>
      <w:r w:rsidR="00CF710E" w:rsidRPr="00747C54">
        <w:rPr>
          <w:rFonts w:ascii="Arial" w:hAnsi="Arial" w:cs="Arial"/>
          <w:sz w:val="18"/>
          <w:szCs w:val="18"/>
        </w:rPr>
        <w:t>, por lo cual, se requiere actualizar los Lineamientos en función de dicho impacto</w:t>
      </w:r>
      <w:r w:rsidR="007E7555" w:rsidRPr="00747C54">
        <w:rPr>
          <w:rFonts w:ascii="Arial" w:hAnsi="Arial" w:cs="Arial"/>
          <w:sz w:val="18"/>
          <w:szCs w:val="18"/>
        </w:rPr>
        <w:t>.</w:t>
      </w:r>
      <w:r w:rsidR="005D63BB" w:rsidRPr="00747C54">
        <w:rPr>
          <w:rFonts w:ascii="Arial" w:hAnsi="Arial" w:cs="Arial"/>
          <w:sz w:val="18"/>
          <w:szCs w:val="18"/>
        </w:rPr>
        <w:t xml:space="preserve"> </w:t>
      </w:r>
    </w:p>
    <w:p w14:paraId="69FC4997" w14:textId="44D911F7" w:rsidR="00F97262" w:rsidRPr="00747C54" w:rsidRDefault="005D63BB" w:rsidP="00863274">
      <w:pPr>
        <w:autoSpaceDE w:val="0"/>
        <w:autoSpaceDN w:val="0"/>
        <w:adjustRightInd w:val="0"/>
        <w:jc w:val="both"/>
        <w:rPr>
          <w:rFonts w:ascii="Arial" w:hAnsi="Arial" w:cs="Arial"/>
          <w:sz w:val="18"/>
          <w:szCs w:val="18"/>
        </w:rPr>
      </w:pPr>
      <w:r w:rsidRPr="00747C54">
        <w:rPr>
          <w:rFonts w:ascii="Arial" w:hAnsi="Arial" w:cs="Arial"/>
          <w:sz w:val="18"/>
          <w:szCs w:val="18"/>
        </w:rPr>
        <w:lastRenderedPageBreak/>
        <w:t>En la</w:t>
      </w:r>
      <w:r w:rsidR="00EC035B" w:rsidRPr="00747C54">
        <w:rPr>
          <w:rFonts w:ascii="Arial" w:hAnsi="Arial" w:cs="Arial"/>
          <w:sz w:val="18"/>
          <w:szCs w:val="18"/>
        </w:rPr>
        <w:t>s</w:t>
      </w:r>
      <w:r w:rsidRPr="00747C54">
        <w:rPr>
          <w:rFonts w:ascii="Arial" w:hAnsi="Arial" w:cs="Arial"/>
          <w:sz w:val="18"/>
          <w:szCs w:val="18"/>
        </w:rPr>
        <w:t xml:space="preserve"> recomendaci</w:t>
      </w:r>
      <w:r w:rsidR="00EC035B" w:rsidRPr="00747C54">
        <w:rPr>
          <w:rFonts w:ascii="Arial" w:hAnsi="Arial" w:cs="Arial"/>
          <w:sz w:val="18"/>
          <w:szCs w:val="18"/>
        </w:rPr>
        <w:t>o</w:t>
      </w:r>
      <w:r w:rsidRPr="00747C54">
        <w:rPr>
          <w:rFonts w:ascii="Arial" w:hAnsi="Arial" w:cs="Arial"/>
          <w:sz w:val="18"/>
          <w:szCs w:val="18"/>
        </w:rPr>
        <w:t>n</w:t>
      </w:r>
      <w:r w:rsidR="00EC035B" w:rsidRPr="00747C54">
        <w:rPr>
          <w:rFonts w:ascii="Arial" w:hAnsi="Arial" w:cs="Arial"/>
          <w:sz w:val="18"/>
          <w:szCs w:val="18"/>
        </w:rPr>
        <w:t>es</w:t>
      </w:r>
      <w:r w:rsidR="000A4820" w:rsidRPr="00747C54">
        <w:rPr>
          <w:rFonts w:ascii="Arial" w:hAnsi="Arial" w:cs="Arial"/>
          <w:sz w:val="18"/>
          <w:szCs w:val="18"/>
        </w:rPr>
        <w:t xml:space="preserve"> del</w:t>
      </w:r>
      <w:r w:rsidR="00EC035B" w:rsidRPr="00747C54">
        <w:rPr>
          <w:rFonts w:ascii="Arial" w:hAnsi="Arial" w:cs="Arial"/>
          <w:sz w:val="18"/>
          <w:szCs w:val="18"/>
        </w:rPr>
        <w:t xml:space="preserve"> UIT-T</w:t>
      </w:r>
      <w:r w:rsidRPr="00747C54">
        <w:rPr>
          <w:rFonts w:ascii="Arial" w:hAnsi="Arial" w:cs="Arial"/>
          <w:sz w:val="18"/>
          <w:szCs w:val="18"/>
        </w:rPr>
        <w:t xml:space="preserve"> G.</w:t>
      </w:r>
      <w:r w:rsidR="00EC035B" w:rsidRPr="00747C54">
        <w:rPr>
          <w:rFonts w:ascii="Arial" w:hAnsi="Arial" w:cs="Arial"/>
          <w:sz w:val="18"/>
          <w:szCs w:val="18"/>
        </w:rPr>
        <w:t>1028</w:t>
      </w:r>
      <w:r w:rsidR="00951596" w:rsidRPr="00747C54">
        <w:rPr>
          <w:rStyle w:val="Refdenotaalpie"/>
          <w:rFonts w:ascii="Arial" w:hAnsi="Arial" w:cs="Arial"/>
          <w:sz w:val="18"/>
          <w:szCs w:val="18"/>
        </w:rPr>
        <w:footnoteReference w:id="1"/>
      </w:r>
      <w:r w:rsidR="00951596" w:rsidRPr="00747C54">
        <w:rPr>
          <w:rFonts w:ascii="Arial" w:hAnsi="Arial" w:cs="Arial"/>
          <w:sz w:val="18"/>
          <w:szCs w:val="18"/>
        </w:rPr>
        <w:t xml:space="preserve"> </w:t>
      </w:r>
      <w:r w:rsidR="00EC035B" w:rsidRPr="00747C54">
        <w:rPr>
          <w:rFonts w:ascii="Arial" w:hAnsi="Arial" w:cs="Arial"/>
          <w:sz w:val="18"/>
          <w:szCs w:val="18"/>
        </w:rPr>
        <w:t>y G.1028.2</w:t>
      </w:r>
      <w:r w:rsidR="00951596" w:rsidRPr="00747C54">
        <w:rPr>
          <w:rStyle w:val="Refdenotaalpie"/>
          <w:rFonts w:ascii="Arial" w:hAnsi="Arial" w:cs="Arial"/>
          <w:sz w:val="18"/>
          <w:szCs w:val="18"/>
        </w:rPr>
        <w:footnoteReference w:id="2"/>
      </w:r>
      <w:r w:rsidR="00EC035B" w:rsidRPr="00747C54">
        <w:rPr>
          <w:rFonts w:ascii="Arial" w:hAnsi="Arial" w:cs="Arial"/>
          <w:sz w:val="18"/>
          <w:szCs w:val="18"/>
        </w:rPr>
        <w:t xml:space="preserve">, se describen varios escenarios que pueden presentarse cuando se tienen despliegues de 2G/3G que conviven con redes 4G, ya que muchas veces la cobertura 4G se traslapa con cobertura 3G o 2G. En una red 4G, cuando aún no se tiene desplegado </w:t>
      </w:r>
      <w:proofErr w:type="spellStart"/>
      <w:r w:rsidR="00EC035B" w:rsidRPr="00747C54">
        <w:rPr>
          <w:rFonts w:ascii="Arial" w:hAnsi="Arial" w:cs="Arial"/>
          <w:sz w:val="18"/>
          <w:szCs w:val="18"/>
        </w:rPr>
        <w:t>VoLTE</w:t>
      </w:r>
      <w:proofErr w:type="spellEnd"/>
      <w:r w:rsidR="00EC035B" w:rsidRPr="00747C54">
        <w:rPr>
          <w:rFonts w:ascii="Arial" w:hAnsi="Arial" w:cs="Arial"/>
          <w:sz w:val="18"/>
          <w:szCs w:val="18"/>
        </w:rPr>
        <w:t xml:space="preserve">, las llamadas de voz se cursan a través de las redes 2G o 3G bajo un procedimiento conocido como repliegue de conmutación de circuitos (del inglés, </w:t>
      </w:r>
      <w:proofErr w:type="spellStart"/>
      <w:r w:rsidR="00EC035B" w:rsidRPr="00747C54">
        <w:rPr>
          <w:rFonts w:ascii="Arial" w:hAnsi="Arial" w:cs="Arial"/>
          <w:i/>
          <w:iCs/>
          <w:sz w:val="18"/>
          <w:szCs w:val="18"/>
        </w:rPr>
        <w:t>Circuit</w:t>
      </w:r>
      <w:proofErr w:type="spellEnd"/>
      <w:r w:rsidR="00EC035B" w:rsidRPr="00747C54">
        <w:rPr>
          <w:rFonts w:ascii="Arial" w:hAnsi="Arial" w:cs="Arial"/>
          <w:i/>
          <w:iCs/>
          <w:sz w:val="18"/>
          <w:szCs w:val="18"/>
        </w:rPr>
        <w:t xml:space="preserve"> </w:t>
      </w:r>
      <w:proofErr w:type="spellStart"/>
      <w:r w:rsidR="00EC035B" w:rsidRPr="00747C54">
        <w:rPr>
          <w:rFonts w:ascii="Arial" w:hAnsi="Arial" w:cs="Arial"/>
          <w:i/>
          <w:iCs/>
          <w:sz w:val="18"/>
          <w:szCs w:val="18"/>
        </w:rPr>
        <w:t>Switc</w:t>
      </w:r>
      <w:r w:rsidR="004E4876" w:rsidRPr="00747C54">
        <w:rPr>
          <w:rFonts w:ascii="Arial" w:hAnsi="Arial" w:cs="Arial"/>
          <w:i/>
          <w:iCs/>
          <w:sz w:val="18"/>
          <w:szCs w:val="18"/>
        </w:rPr>
        <w:t>h</w:t>
      </w:r>
      <w:r w:rsidR="00EC035B" w:rsidRPr="00747C54">
        <w:rPr>
          <w:rFonts w:ascii="Arial" w:hAnsi="Arial" w:cs="Arial"/>
          <w:i/>
          <w:iCs/>
          <w:sz w:val="18"/>
          <w:szCs w:val="18"/>
        </w:rPr>
        <w:t>ed</w:t>
      </w:r>
      <w:proofErr w:type="spellEnd"/>
      <w:r w:rsidR="00EC035B" w:rsidRPr="00747C54">
        <w:rPr>
          <w:rFonts w:ascii="Arial" w:hAnsi="Arial" w:cs="Arial"/>
          <w:i/>
          <w:iCs/>
          <w:sz w:val="18"/>
          <w:szCs w:val="18"/>
        </w:rPr>
        <w:t xml:space="preserve"> </w:t>
      </w:r>
      <w:proofErr w:type="spellStart"/>
      <w:r w:rsidR="00EC035B" w:rsidRPr="00747C54">
        <w:rPr>
          <w:rFonts w:ascii="Arial" w:hAnsi="Arial" w:cs="Arial"/>
          <w:i/>
          <w:iCs/>
          <w:sz w:val="18"/>
          <w:szCs w:val="18"/>
        </w:rPr>
        <w:t>Fall</w:t>
      </w:r>
      <w:proofErr w:type="spellEnd"/>
      <w:r w:rsidR="00EC035B" w:rsidRPr="00747C54">
        <w:rPr>
          <w:rFonts w:ascii="Arial" w:hAnsi="Arial" w:cs="Arial"/>
          <w:i/>
          <w:iCs/>
          <w:sz w:val="18"/>
          <w:szCs w:val="18"/>
        </w:rPr>
        <w:t xml:space="preserve"> Back o CSFB</w:t>
      </w:r>
      <w:r w:rsidR="00EC035B" w:rsidRPr="00747C54">
        <w:rPr>
          <w:rFonts w:ascii="Arial" w:hAnsi="Arial" w:cs="Arial"/>
          <w:sz w:val="18"/>
          <w:szCs w:val="18"/>
        </w:rPr>
        <w:t>)</w:t>
      </w:r>
      <w:r w:rsidR="00332058" w:rsidRPr="00747C54">
        <w:rPr>
          <w:rFonts w:ascii="Arial" w:hAnsi="Arial" w:cs="Arial"/>
          <w:sz w:val="18"/>
          <w:szCs w:val="18"/>
        </w:rPr>
        <w:t xml:space="preserve"> que se encuentra definido por estándares tecnológicos </w:t>
      </w:r>
      <w:r w:rsidR="00CF710E" w:rsidRPr="00747C54">
        <w:rPr>
          <w:rFonts w:ascii="Arial" w:hAnsi="Arial" w:cs="Arial"/>
          <w:sz w:val="18"/>
          <w:szCs w:val="18"/>
        </w:rPr>
        <w:t>(</w:t>
      </w:r>
      <w:r w:rsidR="00332058" w:rsidRPr="00747C54">
        <w:rPr>
          <w:rFonts w:ascii="Arial" w:hAnsi="Arial" w:cs="Arial"/>
          <w:sz w:val="18"/>
          <w:szCs w:val="18"/>
        </w:rPr>
        <w:t>ETSI TS 123 272</w:t>
      </w:r>
      <w:r w:rsidR="00736422" w:rsidRPr="00747C54">
        <w:rPr>
          <w:rStyle w:val="Refdenotaalpie"/>
          <w:rFonts w:ascii="Arial" w:hAnsi="Arial" w:cs="Arial"/>
          <w:sz w:val="18"/>
          <w:szCs w:val="18"/>
        </w:rPr>
        <w:footnoteReference w:id="3"/>
      </w:r>
      <w:r w:rsidR="00CF710E" w:rsidRPr="00747C54">
        <w:rPr>
          <w:rFonts w:ascii="Arial" w:hAnsi="Arial" w:cs="Arial"/>
          <w:sz w:val="18"/>
          <w:szCs w:val="18"/>
        </w:rPr>
        <w:t>)</w:t>
      </w:r>
      <w:r w:rsidR="00332058" w:rsidRPr="00747C54">
        <w:rPr>
          <w:rFonts w:ascii="Arial" w:hAnsi="Arial" w:cs="Arial"/>
          <w:sz w:val="18"/>
          <w:szCs w:val="18"/>
        </w:rPr>
        <w:t>. Este proceso implica un tiempo adicional que se agrega al tiempo de establecimiento de llamada</w:t>
      </w:r>
      <w:r w:rsidR="00536906" w:rsidRPr="00747C54">
        <w:rPr>
          <w:rFonts w:ascii="Arial" w:hAnsi="Arial" w:cs="Arial"/>
          <w:sz w:val="18"/>
          <w:szCs w:val="18"/>
        </w:rPr>
        <w:t>,</w:t>
      </w:r>
      <w:r w:rsidR="00332058" w:rsidRPr="00747C54">
        <w:rPr>
          <w:rFonts w:ascii="Arial" w:hAnsi="Arial" w:cs="Arial"/>
          <w:sz w:val="18"/>
          <w:szCs w:val="18"/>
        </w:rPr>
        <w:t xml:space="preserve"> ya que hay mensajes de señalización que deben ser intercambiados a distintos niveles de la red y que la recomendación G.1028 identifica con una referencia de 6 segundos (</w:t>
      </w:r>
      <w:r w:rsidR="00CF710E" w:rsidRPr="00747C54">
        <w:rPr>
          <w:rFonts w:ascii="Arial" w:hAnsi="Arial" w:cs="Arial"/>
          <w:sz w:val="18"/>
          <w:szCs w:val="18"/>
        </w:rPr>
        <w:t>considerando únicamente el</w:t>
      </w:r>
      <w:r w:rsidR="00332058" w:rsidRPr="00747C54">
        <w:rPr>
          <w:rFonts w:ascii="Arial" w:hAnsi="Arial" w:cs="Arial"/>
          <w:sz w:val="18"/>
          <w:szCs w:val="18"/>
        </w:rPr>
        <w:t xml:space="preserve"> lado </w:t>
      </w:r>
      <w:r w:rsidR="00997133" w:rsidRPr="00747C54">
        <w:rPr>
          <w:rFonts w:ascii="Arial" w:hAnsi="Arial" w:cs="Arial"/>
          <w:sz w:val="18"/>
          <w:szCs w:val="18"/>
        </w:rPr>
        <w:t>que origina</w:t>
      </w:r>
      <w:r w:rsidR="00332058" w:rsidRPr="00747C54">
        <w:rPr>
          <w:rFonts w:ascii="Arial" w:hAnsi="Arial" w:cs="Arial"/>
          <w:sz w:val="18"/>
          <w:szCs w:val="18"/>
        </w:rPr>
        <w:t xml:space="preserve"> la llamada). Tomando como referencia el tiempo para el CSFB establecido en la recomendación G.1028</w:t>
      </w:r>
      <w:r w:rsidR="00C806C6">
        <w:rPr>
          <w:rFonts w:ascii="Arial" w:hAnsi="Arial" w:cs="Arial"/>
          <w:sz w:val="18"/>
          <w:szCs w:val="18"/>
        </w:rPr>
        <w:t>,</w:t>
      </w:r>
      <w:r w:rsidR="000A4820" w:rsidRPr="00747C54">
        <w:rPr>
          <w:rFonts w:ascii="Arial" w:hAnsi="Arial" w:cs="Arial"/>
          <w:sz w:val="18"/>
          <w:szCs w:val="18"/>
        </w:rPr>
        <w:t xml:space="preserve"> y considerando que tanto el lado que origina la llamada como el que la recibe pudieran </w:t>
      </w:r>
      <w:r w:rsidR="0070008D" w:rsidRPr="00747C54">
        <w:rPr>
          <w:rFonts w:ascii="Arial" w:hAnsi="Arial" w:cs="Arial"/>
          <w:sz w:val="18"/>
          <w:szCs w:val="18"/>
        </w:rPr>
        <w:t xml:space="preserve">agotar </w:t>
      </w:r>
      <w:r w:rsidR="000A4820" w:rsidRPr="00747C54">
        <w:rPr>
          <w:rFonts w:ascii="Arial" w:hAnsi="Arial" w:cs="Arial"/>
          <w:sz w:val="18"/>
          <w:szCs w:val="18"/>
        </w:rPr>
        <w:t xml:space="preserve">un proceso de CSFB para establecer la llamada, se </w:t>
      </w:r>
      <w:r w:rsidR="0070008D" w:rsidRPr="00747C54">
        <w:rPr>
          <w:rFonts w:ascii="Arial" w:hAnsi="Arial" w:cs="Arial"/>
          <w:sz w:val="18"/>
          <w:szCs w:val="18"/>
        </w:rPr>
        <w:t xml:space="preserve">estima necesario </w:t>
      </w:r>
      <w:r w:rsidR="000A4820" w:rsidRPr="00747C54">
        <w:rPr>
          <w:rFonts w:ascii="Arial" w:hAnsi="Arial" w:cs="Arial"/>
          <w:sz w:val="18"/>
          <w:szCs w:val="18"/>
        </w:rPr>
        <w:t xml:space="preserve">aumentar en 12 segundos el tiempo máximo de establecimiento de llamada. Por lo tanto, se </w:t>
      </w:r>
      <w:r w:rsidR="0070008D" w:rsidRPr="00747C54">
        <w:rPr>
          <w:rFonts w:ascii="Arial" w:hAnsi="Arial" w:cs="Arial"/>
          <w:sz w:val="18"/>
          <w:szCs w:val="18"/>
        </w:rPr>
        <w:t>contempla</w:t>
      </w:r>
      <w:r w:rsidR="000A4820" w:rsidRPr="00747C54">
        <w:rPr>
          <w:rFonts w:ascii="Arial" w:hAnsi="Arial" w:cs="Arial"/>
          <w:sz w:val="18"/>
          <w:szCs w:val="18"/>
        </w:rPr>
        <w:t xml:space="preserve"> un tiempo </w:t>
      </w:r>
      <w:r w:rsidR="00712475">
        <w:rPr>
          <w:rFonts w:ascii="Arial" w:hAnsi="Arial" w:cs="Arial"/>
          <w:sz w:val="18"/>
          <w:szCs w:val="18"/>
        </w:rPr>
        <w:t xml:space="preserve">total </w:t>
      </w:r>
      <w:r w:rsidR="000A4820" w:rsidRPr="00747C54">
        <w:rPr>
          <w:rFonts w:ascii="Arial" w:hAnsi="Arial" w:cs="Arial"/>
          <w:sz w:val="18"/>
          <w:szCs w:val="18"/>
        </w:rPr>
        <w:t>máximo de establecimiento de llamada de 20 segundos</w:t>
      </w:r>
      <w:r w:rsidR="00712475">
        <w:rPr>
          <w:rFonts w:ascii="Arial" w:hAnsi="Arial" w:cs="Arial"/>
          <w:sz w:val="18"/>
          <w:szCs w:val="18"/>
        </w:rPr>
        <w:t xml:space="preserve"> para considerarla como fallida</w:t>
      </w:r>
      <w:r w:rsidR="000A4820" w:rsidRPr="00747C54">
        <w:rPr>
          <w:rFonts w:ascii="Arial" w:hAnsi="Arial" w:cs="Arial"/>
          <w:sz w:val="18"/>
          <w:szCs w:val="18"/>
        </w:rPr>
        <w:t>, lo cual coincide con el tiempo máximo recomendado</w:t>
      </w:r>
      <w:r w:rsidR="003D25FB" w:rsidRPr="00747C54">
        <w:rPr>
          <w:rFonts w:ascii="Arial" w:hAnsi="Arial" w:cs="Arial"/>
          <w:sz w:val="18"/>
          <w:szCs w:val="18"/>
        </w:rPr>
        <w:t xml:space="preserve"> en la sección 4.2.1.1</w:t>
      </w:r>
      <w:r w:rsidR="000A4820" w:rsidRPr="00747C54">
        <w:rPr>
          <w:rFonts w:ascii="Arial" w:hAnsi="Arial" w:cs="Arial"/>
          <w:sz w:val="18"/>
          <w:szCs w:val="18"/>
        </w:rPr>
        <w:t xml:space="preserve"> </w:t>
      </w:r>
      <w:r w:rsidR="003D25FB" w:rsidRPr="00747C54">
        <w:rPr>
          <w:rFonts w:ascii="Arial" w:hAnsi="Arial" w:cs="Arial"/>
          <w:sz w:val="18"/>
          <w:szCs w:val="18"/>
        </w:rPr>
        <w:t xml:space="preserve">de </w:t>
      </w:r>
      <w:r w:rsidR="000A4820" w:rsidRPr="00747C54">
        <w:rPr>
          <w:rFonts w:ascii="Arial" w:hAnsi="Arial" w:cs="Arial"/>
          <w:sz w:val="18"/>
          <w:szCs w:val="18"/>
        </w:rPr>
        <w:t>la especificación técnica del ETSI TS 102 250-5</w:t>
      </w:r>
      <w:r w:rsidR="00736422" w:rsidRPr="00747C54">
        <w:rPr>
          <w:rStyle w:val="Refdenotaalpie"/>
          <w:rFonts w:ascii="Arial" w:hAnsi="Arial" w:cs="Arial"/>
          <w:sz w:val="18"/>
          <w:szCs w:val="18"/>
        </w:rPr>
        <w:footnoteReference w:id="4"/>
      </w:r>
      <w:r w:rsidR="000A4820" w:rsidRPr="00747C54">
        <w:rPr>
          <w:rFonts w:ascii="Arial" w:hAnsi="Arial" w:cs="Arial"/>
          <w:sz w:val="18"/>
          <w:szCs w:val="18"/>
        </w:rPr>
        <w:t xml:space="preserve">, que define perfiles de medición para distintos servicios. </w:t>
      </w:r>
    </w:p>
    <w:p w14:paraId="5BEB29ED" w14:textId="1C1AF607" w:rsidR="0017658C" w:rsidRDefault="002E68F4" w:rsidP="0017658C">
      <w:pPr>
        <w:spacing w:after="0"/>
        <w:jc w:val="both"/>
        <w:rPr>
          <w:rFonts w:ascii="Arial" w:hAnsi="Arial" w:cs="Arial"/>
          <w:bCs/>
          <w:sz w:val="18"/>
          <w:szCs w:val="18"/>
        </w:rPr>
      </w:pPr>
      <w:proofErr w:type="gramStart"/>
      <w:r w:rsidRPr="00747C54">
        <w:rPr>
          <w:rFonts w:ascii="Arial" w:eastAsiaTheme="minorHAnsi" w:hAnsi="Arial" w:cs="Arial"/>
          <w:b/>
          <w:bCs/>
          <w:sz w:val="18"/>
          <w:szCs w:val="18"/>
        </w:rPr>
        <w:t>Tercero</w:t>
      </w:r>
      <w:r w:rsidR="00F97262" w:rsidRPr="00747C54">
        <w:rPr>
          <w:rFonts w:ascii="Arial" w:eastAsiaTheme="minorHAnsi" w:hAnsi="Arial" w:cs="Arial"/>
          <w:b/>
          <w:bCs/>
          <w:sz w:val="18"/>
          <w:szCs w:val="18"/>
        </w:rPr>
        <w:t>.</w:t>
      </w:r>
      <w:r w:rsidRPr="00747C54">
        <w:rPr>
          <w:rFonts w:ascii="Arial" w:eastAsiaTheme="minorHAnsi" w:hAnsi="Arial" w:cs="Arial"/>
          <w:b/>
          <w:bCs/>
          <w:sz w:val="18"/>
          <w:szCs w:val="18"/>
        </w:rPr>
        <w:t>-</w:t>
      </w:r>
      <w:proofErr w:type="gramEnd"/>
      <w:r w:rsidR="00F97262" w:rsidRPr="00747C54">
        <w:rPr>
          <w:rFonts w:ascii="Arial" w:eastAsiaTheme="minorHAnsi" w:hAnsi="Arial" w:cs="Arial"/>
          <w:b/>
          <w:bCs/>
          <w:sz w:val="18"/>
          <w:szCs w:val="18"/>
        </w:rPr>
        <w:t xml:space="preserve"> Consulta </w:t>
      </w:r>
      <w:r w:rsidR="0031791D">
        <w:rPr>
          <w:rFonts w:ascii="Arial" w:eastAsiaTheme="minorHAnsi" w:hAnsi="Arial" w:cs="Arial"/>
          <w:b/>
          <w:bCs/>
          <w:sz w:val="18"/>
          <w:szCs w:val="18"/>
        </w:rPr>
        <w:t>P</w:t>
      </w:r>
      <w:r w:rsidR="00F97262" w:rsidRPr="00747C54">
        <w:rPr>
          <w:rFonts w:ascii="Arial" w:eastAsiaTheme="minorHAnsi" w:hAnsi="Arial" w:cs="Arial"/>
          <w:b/>
          <w:bCs/>
          <w:sz w:val="18"/>
          <w:szCs w:val="18"/>
        </w:rPr>
        <w:t xml:space="preserve">ública. </w:t>
      </w:r>
      <w:r w:rsidR="0017658C" w:rsidRPr="00CA2AA0">
        <w:rPr>
          <w:rFonts w:ascii="Arial" w:hAnsi="Arial" w:cs="Arial"/>
          <w:bCs/>
          <w:sz w:val="18"/>
          <w:szCs w:val="18"/>
        </w:rPr>
        <w:t>En cumplimiento al artículo 51 de la LFTR, bajo los</w:t>
      </w:r>
      <w:r w:rsidR="0017658C">
        <w:rPr>
          <w:rFonts w:ascii="Arial" w:hAnsi="Arial" w:cs="Arial"/>
          <w:bCs/>
          <w:sz w:val="18"/>
          <w:szCs w:val="18"/>
        </w:rPr>
        <w:t xml:space="preserve"> </w:t>
      </w:r>
      <w:r w:rsidR="0017658C" w:rsidRPr="00CA2AA0">
        <w:rPr>
          <w:rFonts w:ascii="Arial" w:hAnsi="Arial" w:cs="Arial"/>
          <w:bCs/>
          <w:sz w:val="18"/>
          <w:szCs w:val="18"/>
        </w:rPr>
        <w:t xml:space="preserve">principios de transparencia y participación ciudadana, el Instituto llevó a cabo la </w:t>
      </w:r>
      <w:r w:rsidR="0031791D">
        <w:rPr>
          <w:rFonts w:ascii="Arial" w:hAnsi="Arial" w:cs="Arial"/>
          <w:bCs/>
          <w:sz w:val="18"/>
          <w:szCs w:val="18"/>
        </w:rPr>
        <w:t>C</w:t>
      </w:r>
      <w:r w:rsidR="0017658C" w:rsidRPr="00CA2AA0">
        <w:rPr>
          <w:rFonts w:ascii="Arial" w:hAnsi="Arial" w:cs="Arial"/>
          <w:bCs/>
          <w:sz w:val="18"/>
          <w:szCs w:val="18"/>
        </w:rPr>
        <w:t xml:space="preserve">onsulta </w:t>
      </w:r>
      <w:r w:rsidR="0031791D">
        <w:rPr>
          <w:rFonts w:ascii="Arial" w:hAnsi="Arial" w:cs="Arial"/>
          <w:bCs/>
          <w:sz w:val="18"/>
          <w:szCs w:val="18"/>
        </w:rPr>
        <w:t>P</w:t>
      </w:r>
      <w:r w:rsidR="0017658C" w:rsidRPr="00CA2AA0">
        <w:rPr>
          <w:rFonts w:ascii="Arial" w:hAnsi="Arial" w:cs="Arial"/>
          <w:bCs/>
          <w:sz w:val="18"/>
          <w:szCs w:val="18"/>
        </w:rPr>
        <w:t xml:space="preserve">ública del </w:t>
      </w:r>
      <w:r w:rsidR="00D4705C" w:rsidRPr="00D4705C">
        <w:rPr>
          <w:rFonts w:ascii="Arial" w:hAnsi="Arial" w:cs="Arial"/>
          <w:bCs/>
          <w:sz w:val="18"/>
          <w:szCs w:val="18"/>
        </w:rPr>
        <w:t xml:space="preserve">Anteproyecto </w:t>
      </w:r>
      <w:r w:rsidR="00D4705C" w:rsidRPr="004C4393">
        <w:rPr>
          <w:rFonts w:ascii="Arial" w:hAnsi="Arial" w:cs="Arial"/>
          <w:bCs/>
          <w:sz w:val="18"/>
          <w:szCs w:val="18"/>
        </w:rPr>
        <w:t>del “Acuerdo por el que se modifican los Lineamientos que fijan los índices y parámetros de calidad a que deberán sujetarse los prestadores del servicio móvil”</w:t>
      </w:r>
      <w:r w:rsidR="00D4705C" w:rsidRPr="004C4393">
        <w:rPr>
          <w:rStyle w:val="Refdenotaalpie"/>
          <w:rFonts w:ascii="Arial" w:hAnsi="Arial" w:cs="Arial"/>
          <w:bCs/>
          <w:sz w:val="18"/>
          <w:szCs w:val="18"/>
        </w:rPr>
        <w:footnoteReference w:id="5"/>
      </w:r>
      <w:r w:rsidR="00D4705C">
        <w:rPr>
          <w:rFonts w:ascii="Arial" w:hAnsi="Arial" w:cs="Arial"/>
          <w:bCs/>
          <w:sz w:val="18"/>
          <w:szCs w:val="18"/>
        </w:rPr>
        <w:t xml:space="preserve"> </w:t>
      </w:r>
      <w:r w:rsidR="0017658C" w:rsidRPr="00CA2AA0">
        <w:rPr>
          <w:rFonts w:ascii="Arial" w:hAnsi="Arial" w:cs="Arial"/>
          <w:bCs/>
          <w:sz w:val="18"/>
          <w:szCs w:val="18"/>
        </w:rPr>
        <w:t xml:space="preserve">y su </w:t>
      </w:r>
      <w:r w:rsidR="0031791D">
        <w:rPr>
          <w:rFonts w:ascii="Arial" w:hAnsi="Arial" w:cs="Arial"/>
          <w:bCs/>
          <w:sz w:val="18"/>
          <w:szCs w:val="18"/>
        </w:rPr>
        <w:t>A</w:t>
      </w:r>
      <w:r w:rsidR="0017658C" w:rsidRPr="00CA2AA0">
        <w:rPr>
          <w:rFonts w:ascii="Arial" w:hAnsi="Arial" w:cs="Arial"/>
          <w:bCs/>
          <w:sz w:val="18"/>
          <w:szCs w:val="18"/>
        </w:rPr>
        <w:t xml:space="preserve">nálisis de </w:t>
      </w:r>
      <w:r w:rsidR="0031791D">
        <w:rPr>
          <w:rFonts w:ascii="Arial" w:hAnsi="Arial" w:cs="Arial"/>
          <w:bCs/>
          <w:sz w:val="18"/>
          <w:szCs w:val="18"/>
        </w:rPr>
        <w:t>I</w:t>
      </w:r>
      <w:r w:rsidR="0017658C" w:rsidRPr="00CA2AA0">
        <w:rPr>
          <w:rFonts w:ascii="Arial" w:hAnsi="Arial" w:cs="Arial"/>
          <w:bCs/>
          <w:sz w:val="18"/>
          <w:szCs w:val="18"/>
        </w:rPr>
        <w:t xml:space="preserve">mpacto </w:t>
      </w:r>
      <w:r w:rsidR="0031791D">
        <w:rPr>
          <w:rFonts w:ascii="Arial" w:hAnsi="Arial" w:cs="Arial"/>
          <w:bCs/>
          <w:sz w:val="18"/>
          <w:szCs w:val="18"/>
        </w:rPr>
        <w:t>R</w:t>
      </w:r>
      <w:r w:rsidR="0017658C" w:rsidRPr="00CA2AA0">
        <w:rPr>
          <w:rFonts w:ascii="Arial" w:hAnsi="Arial" w:cs="Arial"/>
          <w:bCs/>
          <w:sz w:val="18"/>
          <w:szCs w:val="18"/>
        </w:rPr>
        <w:t xml:space="preserve">egulatorio del </w:t>
      </w:r>
      <w:r w:rsidR="0017658C">
        <w:rPr>
          <w:rFonts w:ascii="Arial" w:hAnsi="Arial" w:cs="Arial"/>
          <w:bCs/>
          <w:sz w:val="18"/>
          <w:szCs w:val="18"/>
        </w:rPr>
        <w:t xml:space="preserve">19 </w:t>
      </w:r>
      <w:r w:rsidR="0017658C" w:rsidRPr="00CA2AA0">
        <w:rPr>
          <w:rFonts w:ascii="Arial" w:hAnsi="Arial" w:cs="Arial"/>
          <w:bCs/>
          <w:sz w:val="18"/>
          <w:szCs w:val="18"/>
        </w:rPr>
        <w:t xml:space="preserve">de </w:t>
      </w:r>
      <w:r w:rsidR="0017658C">
        <w:rPr>
          <w:rFonts w:ascii="Arial" w:hAnsi="Arial" w:cs="Arial"/>
          <w:bCs/>
          <w:sz w:val="18"/>
          <w:szCs w:val="18"/>
        </w:rPr>
        <w:t xml:space="preserve">agosto </w:t>
      </w:r>
      <w:r w:rsidR="0017658C" w:rsidRPr="00CA2AA0">
        <w:rPr>
          <w:rFonts w:ascii="Arial" w:hAnsi="Arial" w:cs="Arial"/>
          <w:bCs/>
          <w:sz w:val="18"/>
          <w:szCs w:val="18"/>
        </w:rPr>
        <w:t>de 20</w:t>
      </w:r>
      <w:r w:rsidR="0017658C">
        <w:rPr>
          <w:rFonts w:ascii="Arial" w:hAnsi="Arial" w:cs="Arial"/>
          <w:bCs/>
          <w:sz w:val="18"/>
          <w:szCs w:val="18"/>
        </w:rPr>
        <w:t>22</w:t>
      </w:r>
      <w:r w:rsidR="0017658C" w:rsidRPr="00CA2AA0">
        <w:rPr>
          <w:rFonts w:ascii="Arial" w:hAnsi="Arial" w:cs="Arial"/>
          <w:bCs/>
          <w:sz w:val="18"/>
          <w:szCs w:val="18"/>
        </w:rPr>
        <w:t xml:space="preserve"> al</w:t>
      </w:r>
      <w:r w:rsidR="0017658C">
        <w:rPr>
          <w:rFonts w:ascii="Arial" w:hAnsi="Arial" w:cs="Arial"/>
          <w:bCs/>
          <w:sz w:val="18"/>
          <w:szCs w:val="18"/>
        </w:rPr>
        <w:t xml:space="preserve"> 15</w:t>
      </w:r>
      <w:r w:rsidR="0017658C" w:rsidRPr="00CA2AA0">
        <w:rPr>
          <w:rFonts w:ascii="Arial" w:hAnsi="Arial" w:cs="Arial"/>
          <w:bCs/>
          <w:sz w:val="18"/>
          <w:szCs w:val="18"/>
        </w:rPr>
        <w:t xml:space="preserve"> de </w:t>
      </w:r>
      <w:r w:rsidR="0017658C">
        <w:rPr>
          <w:rFonts w:ascii="Arial" w:hAnsi="Arial" w:cs="Arial"/>
          <w:bCs/>
          <w:sz w:val="18"/>
          <w:szCs w:val="18"/>
        </w:rPr>
        <w:t>septiembre</w:t>
      </w:r>
      <w:r w:rsidR="0017658C" w:rsidRPr="00CA2AA0">
        <w:rPr>
          <w:rFonts w:ascii="Arial" w:hAnsi="Arial" w:cs="Arial"/>
          <w:bCs/>
          <w:sz w:val="18"/>
          <w:szCs w:val="18"/>
        </w:rPr>
        <w:t xml:space="preserve"> de 20</w:t>
      </w:r>
      <w:r w:rsidR="0017658C">
        <w:rPr>
          <w:rFonts w:ascii="Arial" w:hAnsi="Arial" w:cs="Arial"/>
          <w:bCs/>
          <w:sz w:val="18"/>
          <w:szCs w:val="18"/>
        </w:rPr>
        <w:t>22</w:t>
      </w:r>
      <w:r w:rsidR="0017658C" w:rsidRPr="00CA2AA0">
        <w:rPr>
          <w:rFonts w:ascii="Arial" w:hAnsi="Arial" w:cs="Arial"/>
          <w:bCs/>
          <w:sz w:val="18"/>
          <w:szCs w:val="18"/>
        </w:rPr>
        <w:t xml:space="preserve"> (</w:t>
      </w:r>
      <w:r w:rsidR="0017658C">
        <w:rPr>
          <w:rFonts w:ascii="Arial" w:hAnsi="Arial" w:cs="Arial"/>
          <w:bCs/>
          <w:sz w:val="18"/>
          <w:szCs w:val="18"/>
        </w:rPr>
        <w:t>20</w:t>
      </w:r>
      <w:r w:rsidR="0017658C" w:rsidRPr="00CA2AA0">
        <w:rPr>
          <w:rFonts w:ascii="Arial" w:hAnsi="Arial" w:cs="Arial"/>
          <w:bCs/>
          <w:sz w:val="18"/>
          <w:szCs w:val="18"/>
        </w:rPr>
        <w:t xml:space="preserve"> días hábiles)</w:t>
      </w:r>
      <w:r w:rsidR="0017658C">
        <w:rPr>
          <w:rFonts w:ascii="Arial" w:hAnsi="Arial" w:cs="Arial"/>
          <w:bCs/>
          <w:sz w:val="18"/>
          <w:szCs w:val="18"/>
        </w:rPr>
        <w:t>.</w:t>
      </w:r>
    </w:p>
    <w:p w14:paraId="67B43E70" w14:textId="77777777" w:rsidR="0017658C" w:rsidRPr="00CA2AA0" w:rsidRDefault="0017658C" w:rsidP="0017658C">
      <w:pPr>
        <w:spacing w:after="0"/>
        <w:jc w:val="both"/>
        <w:rPr>
          <w:rFonts w:ascii="Arial" w:hAnsi="Arial" w:cs="Arial"/>
          <w:bCs/>
          <w:sz w:val="18"/>
          <w:szCs w:val="18"/>
        </w:rPr>
      </w:pPr>
    </w:p>
    <w:p w14:paraId="7E7745F4" w14:textId="31FDA0D2" w:rsidR="00F97262" w:rsidRPr="0017658C" w:rsidRDefault="0017658C" w:rsidP="0017658C">
      <w:pPr>
        <w:spacing w:after="0"/>
        <w:jc w:val="both"/>
        <w:rPr>
          <w:rFonts w:ascii="Arial" w:hAnsi="Arial" w:cs="Arial"/>
          <w:bCs/>
          <w:sz w:val="18"/>
          <w:szCs w:val="18"/>
        </w:rPr>
      </w:pPr>
      <w:r w:rsidRPr="00CA2AA0">
        <w:rPr>
          <w:rFonts w:ascii="Arial" w:hAnsi="Arial" w:cs="Arial"/>
          <w:bCs/>
          <w:sz w:val="18"/>
          <w:szCs w:val="18"/>
        </w:rPr>
        <w:t xml:space="preserve">Al finalizar la </w:t>
      </w:r>
      <w:r w:rsidR="0031791D">
        <w:rPr>
          <w:rFonts w:ascii="Arial" w:hAnsi="Arial" w:cs="Arial"/>
          <w:bCs/>
          <w:sz w:val="18"/>
          <w:szCs w:val="18"/>
        </w:rPr>
        <w:t>C</w:t>
      </w:r>
      <w:r w:rsidRPr="00CA2AA0">
        <w:rPr>
          <w:rFonts w:ascii="Arial" w:hAnsi="Arial" w:cs="Arial"/>
          <w:bCs/>
          <w:sz w:val="18"/>
          <w:szCs w:val="18"/>
        </w:rPr>
        <w:t xml:space="preserve">onsulta </w:t>
      </w:r>
      <w:r w:rsidR="0031791D">
        <w:rPr>
          <w:rFonts w:ascii="Arial" w:hAnsi="Arial" w:cs="Arial"/>
          <w:bCs/>
          <w:sz w:val="18"/>
          <w:szCs w:val="18"/>
        </w:rPr>
        <w:t>P</w:t>
      </w:r>
      <w:r w:rsidRPr="00CA2AA0">
        <w:rPr>
          <w:rFonts w:ascii="Arial" w:hAnsi="Arial" w:cs="Arial"/>
          <w:bCs/>
          <w:sz w:val="18"/>
          <w:szCs w:val="18"/>
        </w:rPr>
        <w:t xml:space="preserve">ública, se recibieron </w:t>
      </w:r>
      <w:r>
        <w:rPr>
          <w:rFonts w:ascii="Arial" w:hAnsi="Arial" w:cs="Arial"/>
          <w:bCs/>
          <w:sz w:val="18"/>
          <w:szCs w:val="18"/>
        </w:rPr>
        <w:t>ocho</w:t>
      </w:r>
      <w:r w:rsidRPr="00CA2AA0">
        <w:rPr>
          <w:rFonts w:ascii="Arial" w:hAnsi="Arial" w:cs="Arial"/>
          <w:bCs/>
          <w:sz w:val="18"/>
          <w:szCs w:val="18"/>
        </w:rPr>
        <w:t xml:space="preserve"> participaciones</w:t>
      </w:r>
      <w:r>
        <w:rPr>
          <w:rFonts w:ascii="Arial" w:hAnsi="Arial" w:cs="Arial"/>
          <w:bCs/>
          <w:sz w:val="18"/>
          <w:szCs w:val="18"/>
        </w:rPr>
        <w:t xml:space="preserve"> tanto de personas físicas como morales</w:t>
      </w:r>
      <w:r w:rsidRPr="00CA2AA0">
        <w:rPr>
          <w:rFonts w:ascii="Arial" w:hAnsi="Arial" w:cs="Arial"/>
          <w:bCs/>
          <w:sz w:val="18"/>
          <w:szCs w:val="18"/>
        </w:rPr>
        <w:t>, las cuales se valoraron</w:t>
      </w:r>
      <w:r w:rsidR="000B569D">
        <w:rPr>
          <w:rFonts w:ascii="Arial" w:hAnsi="Arial" w:cs="Arial"/>
          <w:bCs/>
          <w:sz w:val="18"/>
          <w:szCs w:val="18"/>
        </w:rPr>
        <w:t xml:space="preserve">. Así también, </w:t>
      </w:r>
      <w:r w:rsidRPr="00CA2AA0">
        <w:rPr>
          <w:rFonts w:ascii="Arial" w:hAnsi="Arial" w:cs="Arial"/>
          <w:bCs/>
          <w:sz w:val="18"/>
          <w:szCs w:val="18"/>
        </w:rPr>
        <w:t>se elaboró el documento de respuestas a las</w:t>
      </w:r>
      <w:r>
        <w:rPr>
          <w:rFonts w:ascii="Arial" w:hAnsi="Arial" w:cs="Arial"/>
          <w:bCs/>
          <w:sz w:val="18"/>
          <w:szCs w:val="18"/>
        </w:rPr>
        <w:t xml:space="preserve"> </w:t>
      </w:r>
      <w:r w:rsidRPr="00CA2AA0">
        <w:rPr>
          <w:rFonts w:ascii="Arial" w:hAnsi="Arial" w:cs="Arial"/>
          <w:bCs/>
          <w:sz w:val="18"/>
          <w:szCs w:val="18"/>
        </w:rPr>
        <w:t xml:space="preserve">manifestaciones, opiniones, comentarios y propuestas presentadas durante la </w:t>
      </w:r>
      <w:r w:rsidR="0031791D">
        <w:rPr>
          <w:rFonts w:ascii="Arial" w:hAnsi="Arial" w:cs="Arial"/>
          <w:bCs/>
          <w:sz w:val="18"/>
          <w:szCs w:val="18"/>
        </w:rPr>
        <w:t>C</w:t>
      </w:r>
      <w:r w:rsidRPr="00CA2AA0">
        <w:rPr>
          <w:rFonts w:ascii="Arial" w:hAnsi="Arial" w:cs="Arial"/>
          <w:bCs/>
          <w:sz w:val="18"/>
          <w:szCs w:val="18"/>
        </w:rPr>
        <w:t>onsulta</w:t>
      </w:r>
      <w:r w:rsidR="0031791D">
        <w:rPr>
          <w:rFonts w:ascii="Arial" w:hAnsi="Arial" w:cs="Arial"/>
          <w:bCs/>
          <w:sz w:val="18"/>
          <w:szCs w:val="18"/>
        </w:rPr>
        <w:t xml:space="preserve"> P</w:t>
      </w:r>
      <w:r w:rsidRPr="00CA2AA0">
        <w:rPr>
          <w:rFonts w:ascii="Arial" w:hAnsi="Arial" w:cs="Arial"/>
          <w:bCs/>
          <w:sz w:val="18"/>
          <w:szCs w:val="18"/>
        </w:rPr>
        <w:t>ública.</w:t>
      </w:r>
    </w:p>
    <w:p w14:paraId="15451E80" w14:textId="3ADC784D" w:rsidR="004836FF" w:rsidRDefault="004836FF" w:rsidP="00863274">
      <w:pPr>
        <w:pStyle w:val="Default"/>
        <w:tabs>
          <w:tab w:val="left" w:pos="0"/>
        </w:tabs>
        <w:spacing w:line="276" w:lineRule="auto"/>
        <w:jc w:val="both"/>
        <w:rPr>
          <w:rFonts w:ascii="Arial" w:hAnsi="Arial" w:cs="Arial"/>
          <w:bCs/>
          <w:sz w:val="18"/>
          <w:szCs w:val="18"/>
          <w:lang w:val="es-ES_tradnl"/>
        </w:rPr>
      </w:pPr>
    </w:p>
    <w:p w14:paraId="669F97E8" w14:textId="0828B7C3" w:rsidR="00D81506" w:rsidRPr="002105B2" w:rsidRDefault="00D81506" w:rsidP="00D81506">
      <w:pPr>
        <w:spacing w:after="0"/>
        <w:jc w:val="both"/>
        <w:rPr>
          <w:rFonts w:ascii="Arial" w:hAnsi="Arial" w:cs="Arial"/>
          <w:bCs/>
          <w:sz w:val="18"/>
          <w:szCs w:val="18"/>
        </w:rPr>
      </w:pPr>
      <w:r w:rsidRPr="00927B54">
        <w:rPr>
          <w:rFonts w:ascii="Arial" w:hAnsi="Arial" w:cs="Arial"/>
          <w:bCs/>
          <w:sz w:val="18"/>
          <w:szCs w:val="18"/>
        </w:rPr>
        <w:t xml:space="preserve">Por lo anterior, con fundamento en lo dispuesto por los artículos 6° apartado B, fracción II, y 28, párrafos décimo quinto, y vigésimo, fracción IV, de la Constitución Política de los Estados Unidos Mexicanos; 1, 2, </w:t>
      </w:r>
      <w:r>
        <w:rPr>
          <w:rFonts w:ascii="Arial" w:hAnsi="Arial" w:cs="Arial"/>
          <w:bCs/>
          <w:sz w:val="18"/>
          <w:szCs w:val="18"/>
        </w:rPr>
        <w:t xml:space="preserve">3, fracción VII, </w:t>
      </w:r>
      <w:r w:rsidRPr="00927B54">
        <w:rPr>
          <w:rFonts w:ascii="Arial" w:hAnsi="Arial" w:cs="Arial"/>
          <w:bCs/>
          <w:sz w:val="18"/>
          <w:szCs w:val="18"/>
        </w:rPr>
        <w:t>7, 15, fracciones I, XLVII, LVI, 17, fracción I,</w:t>
      </w:r>
      <w:r>
        <w:rPr>
          <w:rFonts w:ascii="Arial" w:hAnsi="Arial" w:cs="Arial"/>
          <w:bCs/>
          <w:sz w:val="18"/>
          <w:szCs w:val="18"/>
        </w:rPr>
        <w:t xml:space="preserve"> 118, fracción VII</w:t>
      </w:r>
      <w:r w:rsidRPr="00927B54">
        <w:rPr>
          <w:rFonts w:ascii="Arial" w:hAnsi="Arial" w:cs="Arial"/>
          <w:bCs/>
          <w:sz w:val="18"/>
          <w:szCs w:val="18"/>
        </w:rPr>
        <w:t xml:space="preserve"> y 191, fracción VII, de la Ley Federal de Telecomunicaciones y Radiodifusión; 1, 4, fracción I y 6, fracciones I, XXI y XXV, 22, fracción I y 23, fracción III, del Estatuto Orgánico del Instituto Federal de Telecomunicaciones, así como los Lineamientos que fijan los índices y parámetros de calidad a que deberán sujetarse los prestadores del servicio </w:t>
      </w:r>
      <w:r>
        <w:rPr>
          <w:rFonts w:ascii="Arial" w:hAnsi="Arial" w:cs="Arial"/>
          <w:bCs/>
          <w:sz w:val="18"/>
          <w:szCs w:val="18"/>
        </w:rPr>
        <w:t>móvil</w:t>
      </w:r>
      <w:r w:rsidRPr="00927B54">
        <w:rPr>
          <w:rFonts w:ascii="Arial" w:hAnsi="Arial" w:cs="Arial"/>
          <w:bCs/>
          <w:sz w:val="18"/>
          <w:szCs w:val="18"/>
        </w:rPr>
        <w:t xml:space="preserve">, el Pleno del Instituto emite </w:t>
      </w:r>
      <w:r w:rsidR="00C31D4E">
        <w:rPr>
          <w:rFonts w:ascii="Arial" w:hAnsi="Arial" w:cs="Arial"/>
          <w:bCs/>
          <w:sz w:val="18"/>
          <w:szCs w:val="18"/>
        </w:rPr>
        <w:t>e</w:t>
      </w:r>
      <w:r w:rsidR="00B529C6">
        <w:rPr>
          <w:rFonts w:ascii="Arial" w:hAnsi="Arial" w:cs="Arial"/>
          <w:bCs/>
          <w:sz w:val="18"/>
          <w:szCs w:val="18"/>
        </w:rPr>
        <w:t>l</w:t>
      </w:r>
      <w:r w:rsidR="00C31D4E">
        <w:rPr>
          <w:rFonts w:ascii="Arial" w:hAnsi="Arial" w:cs="Arial"/>
          <w:bCs/>
          <w:sz w:val="18"/>
          <w:szCs w:val="18"/>
        </w:rPr>
        <w:t xml:space="preserve"> </w:t>
      </w:r>
      <w:r w:rsidRPr="00927B54">
        <w:rPr>
          <w:rFonts w:ascii="Arial" w:hAnsi="Arial" w:cs="Arial"/>
          <w:bCs/>
          <w:sz w:val="18"/>
          <w:szCs w:val="18"/>
        </w:rPr>
        <w:t>siguiente:</w:t>
      </w:r>
    </w:p>
    <w:p w14:paraId="36FFE6C2" w14:textId="7ADA3A3C" w:rsidR="00D81506" w:rsidRDefault="00D81506" w:rsidP="00863274">
      <w:pPr>
        <w:pStyle w:val="Default"/>
        <w:tabs>
          <w:tab w:val="left" w:pos="0"/>
        </w:tabs>
        <w:spacing w:line="276" w:lineRule="auto"/>
        <w:jc w:val="both"/>
        <w:rPr>
          <w:rFonts w:ascii="Arial" w:hAnsi="Arial" w:cs="Arial"/>
          <w:bCs/>
          <w:sz w:val="18"/>
          <w:szCs w:val="18"/>
          <w:lang w:val="es-ES"/>
        </w:rPr>
      </w:pPr>
    </w:p>
    <w:p w14:paraId="20F90D87" w14:textId="77777777" w:rsidR="00C62D84" w:rsidRPr="00D81506" w:rsidRDefault="00C62D84" w:rsidP="00863274">
      <w:pPr>
        <w:pStyle w:val="Default"/>
        <w:tabs>
          <w:tab w:val="left" w:pos="0"/>
        </w:tabs>
        <w:spacing w:line="276" w:lineRule="auto"/>
        <w:jc w:val="both"/>
        <w:rPr>
          <w:rFonts w:ascii="Arial" w:hAnsi="Arial" w:cs="Arial"/>
          <w:bCs/>
          <w:sz w:val="18"/>
          <w:szCs w:val="18"/>
          <w:lang w:val="es-ES"/>
        </w:rPr>
      </w:pPr>
    </w:p>
    <w:p w14:paraId="72AA4D78" w14:textId="5D4D2C59" w:rsidR="00F97262" w:rsidRDefault="00C31D4E" w:rsidP="00C31D4E">
      <w:pPr>
        <w:jc w:val="center"/>
        <w:rPr>
          <w:rFonts w:ascii="Arial" w:hAnsi="Arial" w:cs="Arial"/>
          <w:b/>
          <w:sz w:val="18"/>
          <w:szCs w:val="18"/>
          <w:lang w:val="es-ES_tradnl"/>
        </w:rPr>
      </w:pPr>
      <w:r>
        <w:rPr>
          <w:rFonts w:ascii="Arial" w:hAnsi="Arial" w:cs="Arial"/>
          <w:b/>
          <w:sz w:val="18"/>
          <w:szCs w:val="18"/>
          <w:lang w:val="es-ES_tradnl"/>
        </w:rPr>
        <w:t>ACUERDO</w:t>
      </w:r>
    </w:p>
    <w:p w14:paraId="0FDBCBDE" w14:textId="7FD99F14" w:rsidR="00C62D84" w:rsidRPr="00C62D84" w:rsidRDefault="00C62D84" w:rsidP="00C62D84">
      <w:pPr>
        <w:autoSpaceDE w:val="0"/>
        <w:autoSpaceDN w:val="0"/>
        <w:adjustRightInd w:val="0"/>
        <w:jc w:val="both"/>
        <w:rPr>
          <w:rFonts w:ascii="Arial" w:eastAsiaTheme="minorHAnsi" w:hAnsi="Arial" w:cs="Arial"/>
          <w:b/>
          <w:bCs/>
          <w:sz w:val="18"/>
          <w:szCs w:val="18"/>
        </w:rPr>
      </w:pPr>
      <w:r w:rsidRPr="00C62D84">
        <w:rPr>
          <w:rFonts w:ascii="Arial" w:eastAsiaTheme="minorHAnsi" w:hAnsi="Arial" w:cs="Arial"/>
          <w:b/>
          <w:bCs/>
          <w:color w:val="2F2F2F"/>
          <w:sz w:val="18"/>
          <w:szCs w:val="18"/>
        </w:rPr>
        <w:t xml:space="preserve">Único.- </w:t>
      </w:r>
      <w:r w:rsidRPr="00C62D84">
        <w:rPr>
          <w:rFonts w:ascii="Arial" w:eastAsiaTheme="minorHAnsi" w:hAnsi="Arial" w:cs="Arial"/>
          <w:sz w:val="18"/>
          <w:szCs w:val="18"/>
        </w:rPr>
        <w:t xml:space="preserve">Se </w:t>
      </w:r>
      <w:r w:rsidRPr="00C62D84">
        <w:rPr>
          <w:rFonts w:ascii="Arial" w:eastAsiaTheme="minorHAnsi" w:hAnsi="Arial" w:cs="Arial"/>
          <w:b/>
          <w:bCs/>
          <w:sz w:val="18"/>
          <w:szCs w:val="18"/>
        </w:rPr>
        <w:t xml:space="preserve">MODIFICAN </w:t>
      </w:r>
      <w:r w:rsidRPr="00C62D84">
        <w:rPr>
          <w:rFonts w:ascii="Arial" w:eastAsiaTheme="minorHAnsi" w:hAnsi="Arial" w:cs="Arial"/>
          <w:sz w:val="18"/>
          <w:szCs w:val="18"/>
        </w:rPr>
        <w:t xml:space="preserve">los lineamientos CUARTO, fracción XXXIX y QUINTO, fracción I de los Lineamientos que fijan los índices y parámetros de calidad a que deberán sujetarse los prestadores del servicio móvil; asimismo, se </w:t>
      </w:r>
      <w:r w:rsidRPr="00C62D84">
        <w:rPr>
          <w:rFonts w:ascii="Arial" w:eastAsiaTheme="minorHAnsi" w:hAnsi="Arial" w:cs="Arial"/>
          <w:b/>
          <w:bCs/>
          <w:sz w:val="18"/>
          <w:szCs w:val="18"/>
        </w:rPr>
        <w:t>MODIFICAN</w:t>
      </w:r>
      <w:r w:rsidRPr="00C62D84">
        <w:rPr>
          <w:rFonts w:ascii="Arial" w:eastAsiaTheme="minorHAnsi" w:hAnsi="Arial" w:cs="Arial"/>
          <w:sz w:val="18"/>
          <w:szCs w:val="18"/>
        </w:rPr>
        <w:t xml:space="preserve"> los numerales 1, fracciones IX y X, 2, primer párrafo y 6, fracciones I, II, IV y VI y se </w:t>
      </w:r>
      <w:r w:rsidRPr="00C62D84">
        <w:rPr>
          <w:rFonts w:ascii="Arial" w:eastAsiaTheme="minorHAnsi" w:hAnsi="Arial" w:cs="Arial"/>
          <w:b/>
          <w:bCs/>
          <w:sz w:val="18"/>
          <w:szCs w:val="18"/>
        </w:rPr>
        <w:t xml:space="preserve">ADICIONA </w:t>
      </w:r>
      <w:r w:rsidRPr="00C62D84">
        <w:rPr>
          <w:rFonts w:ascii="Arial" w:eastAsiaTheme="minorHAnsi" w:hAnsi="Arial" w:cs="Arial"/>
          <w:sz w:val="18"/>
          <w:szCs w:val="18"/>
        </w:rPr>
        <w:t xml:space="preserve">la fracción XI al numeral 1 del Anexo I </w:t>
      </w:r>
      <w:r w:rsidRPr="00C62D84">
        <w:rPr>
          <w:rFonts w:ascii="Arial" w:eastAsiaTheme="minorHAnsi" w:hAnsi="Arial" w:cs="Arial"/>
          <w:sz w:val="18"/>
          <w:szCs w:val="18"/>
          <w:lang w:val="es-ES_tradnl"/>
        </w:rPr>
        <w:t xml:space="preserve">METODOLOGÍA DE MEDICIONES DE CALIDAD DEL SERVICIO MÓVIL </w:t>
      </w:r>
      <w:r w:rsidRPr="00C62D84">
        <w:rPr>
          <w:rFonts w:ascii="Arial" w:eastAsiaTheme="minorHAnsi" w:hAnsi="Arial" w:cs="Arial"/>
          <w:sz w:val="18"/>
          <w:szCs w:val="18"/>
        </w:rPr>
        <w:t>de los Lineamientos que fijan los índices y parámetros de calidad a que deberán sujetarse los prestadores del servicio móvil, para quedar como sigue:</w:t>
      </w:r>
    </w:p>
    <w:p w14:paraId="7E28BF83" w14:textId="77777777" w:rsidR="00C62D84" w:rsidRPr="00C62D84" w:rsidRDefault="00C62D84" w:rsidP="00C62D84">
      <w:pPr>
        <w:autoSpaceDE w:val="0"/>
        <w:autoSpaceDN w:val="0"/>
        <w:adjustRightInd w:val="0"/>
        <w:ind w:left="426" w:right="332"/>
        <w:jc w:val="both"/>
        <w:rPr>
          <w:rFonts w:ascii="Arial" w:eastAsiaTheme="minorHAnsi" w:hAnsi="Arial" w:cs="Arial"/>
          <w:color w:val="2F2F2F"/>
          <w:sz w:val="18"/>
          <w:szCs w:val="18"/>
          <w:lang w:val="es-ES_tradnl"/>
        </w:rPr>
      </w:pPr>
      <w:r w:rsidRPr="00C62D84">
        <w:rPr>
          <w:rFonts w:ascii="Arial" w:eastAsiaTheme="minorHAnsi" w:hAnsi="Arial" w:cs="Arial"/>
          <w:b/>
          <w:bCs/>
          <w:color w:val="2F2F2F"/>
          <w:sz w:val="18"/>
          <w:szCs w:val="18"/>
        </w:rPr>
        <w:lastRenderedPageBreak/>
        <w:t>“CUARTO</w:t>
      </w:r>
      <w:r w:rsidRPr="00C62D84">
        <w:rPr>
          <w:rFonts w:ascii="Arial" w:eastAsiaTheme="minorHAnsi" w:hAnsi="Arial" w:cs="Arial"/>
          <w:color w:val="2F2F2F"/>
          <w:sz w:val="18"/>
          <w:szCs w:val="18"/>
        </w:rPr>
        <w:t>. …</w:t>
      </w:r>
    </w:p>
    <w:p w14:paraId="7C4809CF" w14:textId="77777777" w:rsidR="00C62D84" w:rsidRPr="00C62D84" w:rsidRDefault="00C62D84" w:rsidP="00C62D84">
      <w:pPr>
        <w:autoSpaceDE w:val="0"/>
        <w:autoSpaceDN w:val="0"/>
        <w:adjustRightInd w:val="0"/>
        <w:ind w:left="426" w:right="332"/>
        <w:jc w:val="both"/>
        <w:rPr>
          <w:rFonts w:ascii="Arial" w:eastAsiaTheme="minorHAnsi" w:hAnsi="Arial" w:cs="Arial"/>
          <w:color w:val="2F2F2F"/>
          <w:sz w:val="18"/>
          <w:szCs w:val="18"/>
        </w:rPr>
      </w:pPr>
      <w:r w:rsidRPr="00C62D84">
        <w:rPr>
          <w:rFonts w:ascii="Arial" w:eastAsiaTheme="minorHAnsi" w:hAnsi="Arial" w:cs="Arial"/>
          <w:b/>
          <w:bCs/>
          <w:color w:val="2F2F2F"/>
          <w:sz w:val="18"/>
          <w:szCs w:val="18"/>
          <w:lang w:val="es-MX"/>
        </w:rPr>
        <w:t xml:space="preserve">I. </w:t>
      </w:r>
      <w:r w:rsidRPr="00C62D84">
        <w:rPr>
          <w:rFonts w:ascii="Arial" w:eastAsiaTheme="minorHAnsi" w:hAnsi="Arial" w:cs="Arial"/>
          <w:bCs/>
          <w:color w:val="2F2F2F"/>
          <w:sz w:val="18"/>
          <w:szCs w:val="18"/>
          <w:lang w:val="es-MX"/>
        </w:rPr>
        <w:t>a</w:t>
      </w:r>
      <w:r w:rsidRPr="00C62D84">
        <w:rPr>
          <w:rFonts w:ascii="Arial" w:eastAsiaTheme="minorHAnsi" w:hAnsi="Arial" w:cs="Arial"/>
          <w:b/>
          <w:bCs/>
          <w:color w:val="2F2F2F"/>
          <w:sz w:val="18"/>
          <w:szCs w:val="18"/>
          <w:lang w:val="es-MX"/>
        </w:rPr>
        <w:t xml:space="preserve"> XXXVIII. </w:t>
      </w:r>
      <w:r w:rsidRPr="00C62D84">
        <w:rPr>
          <w:rFonts w:ascii="Arial" w:eastAsiaTheme="minorHAnsi" w:hAnsi="Arial" w:cs="Arial"/>
          <w:color w:val="2F2F2F"/>
          <w:sz w:val="18"/>
          <w:szCs w:val="18"/>
          <w:lang w:val="es-MX"/>
        </w:rPr>
        <w:t>…</w:t>
      </w:r>
    </w:p>
    <w:p w14:paraId="72AD48E6" w14:textId="48B404FB" w:rsidR="00C62D84" w:rsidRPr="00C62D84" w:rsidRDefault="00C62D84" w:rsidP="00C62D84">
      <w:pPr>
        <w:autoSpaceDE w:val="0"/>
        <w:autoSpaceDN w:val="0"/>
        <w:adjustRightInd w:val="0"/>
        <w:ind w:left="426" w:right="332"/>
        <w:jc w:val="both"/>
        <w:rPr>
          <w:rFonts w:ascii="Arial" w:eastAsiaTheme="minorHAnsi" w:hAnsi="Arial" w:cs="Arial"/>
          <w:color w:val="2F2F2F"/>
          <w:sz w:val="18"/>
          <w:szCs w:val="18"/>
          <w:lang w:val="es-ES_tradnl"/>
        </w:rPr>
      </w:pPr>
      <w:r w:rsidRPr="00C62D84">
        <w:rPr>
          <w:rFonts w:ascii="Arial" w:eastAsiaTheme="minorHAnsi" w:hAnsi="Arial" w:cs="Arial"/>
          <w:b/>
          <w:bCs/>
          <w:color w:val="2F2F2F"/>
          <w:sz w:val="18"/>
          <w:szCs w:val="18"/>
          <w:lang w:val="es-ES_tradnl"/>
        </w:rPr>
        <w:t xml:space="preserve">XXXIX. Servicio de Voz: </w:t>
      </w:r>
      <w:r w:rsidRPr="00C62D84">
        <w:rPr>
          <w:rFonts w:ascii="Arial" w:eastAsiaTheme="minorHAnsi" w:hAnsi="Arial" w:cs="Arial"/>
          <w:color w:val="2F2F2F"/>
          <w:sz w:val="18"/>
          <w:szCs w:val="18"/>
          <w:lang w:val="es-ES_tradnl"/>
        </w:rPr>
        <w:t>Servicio de telecomunicaciones que permite realizar una comunicación</w:t>
      </w:r>
      <w:r w:rsidR="00717CC6">
        <w:rPr>
          <w:rFonts w:ascii="Arial" w:eastAsiaTheme="minorHAnsi" w:hAnsi="Arial" w:cs="Arial"/>
          <w:color w:val="2F2F2F"/>
          <w:sz w:val="18"/>
          <w:szCs w:val="18"/>
          <w:lang w:val="es-ES_tradnl"/>
        </w:rPr>
        <w:t xml:space="preserve"> bidireccional</w:t>
      </w:r>
      <w:r w:rsidRPr="00C62D84">
        <w:rPr>
          <w:rFonts w:ascii="Arial" w:eastAsiaTheme="minorHAnsi" w:hAnsi="Arial" w:cs="Arial"/>
          <w:color w:val="2F2F2F"/>
          <w:sz w:val="18"/>
          <w:szCs w:val="18"/>
          <w:lang w:val="es-ES_tradnl"/>
        </w:rPr>
        <w:t xml:space="preserve"> de voz</w:t>
      </w:r>
      <w:r w:rsidR="00712475">
        <w:rPr>
          <w:rFonts w:ascii="Arial" w:eastAsiaTheme="minorHAnsi" w:hAnsi="Arial" w:cs="Arial"/>
          <w:color w:val="2F2F2F"/>
          <w:sz w:val="18"/>
          <w:szCs w:val="18"/>
          <w:lang w:val="es-ES_tradnl"/>
        </w:rPr>
        <w:t>,</w:t>
      </w:r>
      <w:r w:rsidRPr="00C62D84">
        <w:rPr>
          <w:rFonts w:ascii="Arial" w:eastAsiaTheme="minorHAnsi" w:hAnsi="Arial" w:cs="Arial"/>
          <w:color w:val="2F2F2F"/>
          <w:sz w:val="18"/>
          <w:szCs w:val="18"/>
          <w:lang w:val="es-ES_tradnl"/>
        </w:rPr>
        <w:t xml:space="preserve"> a través de una red pública de telecomunicaciones</w:t>
      </w:r>
      <w:r w:rsidR="00712475">
        <w:rPr>
          <w:rFonts w:ascii="Arial" w:eastAsiaTheme="minorHAnsi" w:hAnsi="Arial" w:cs="Arial"/>
          <w:color w:val="2F2F2F"/>
          <w:sz w:val="18"/>
          <w:szCs w:val="18"/>
          <w:lang w:val="es-ES_tradnl"/>
        </w:rPr>
        <w:t>,</w:t>
      </w:r>
      <w:r w:rsidRPr="00C62D84">
        <w:rPr>
          <w:rFonts w:ascii="Arial" w:eastAsiaTheme="minorHAnsi" w:hAnsi="Arial" w:cs="Arial"/>
          <w:color w:val="2F2F2F"/>
          <w:sz w:val="18"/>
          <w:szCs w:val="18"/>
          <w:lang w:val="es-ES_tradnl"/>
        </w:rPr>
        <w:t xml:space="preserve"> para que al menos dos usuarios finales conectados a puntos de acceso de la red puedan realizar una comunicación en tiempo real, incluyendo las llamadas a través de conmutación de paquetes utilizando señalización SIP/IMS (</w:t>
      </w:r>
      <w:proofErr w:type="spellStart"/>
      <w:r w:rsidRPr="00C62D84">
        <w:rPr>
          <w:rFonts w:ascii="Arial" w:eastAsiaTheme="minorHAnsi" w:hAnsi="Arial" w:cs="Arial"/>
          <w:color w:val="2F2F2F"/>
          <w:sz w:val="18"/>
          <w:szCs w:val="18"/>
          <w:lang w:val="es-ES_tradnl"/>
        </w:rPr>
        <w:t>VoLTE</w:t>
      </w:r>
      <w:proofErr w:type="spellEnd"/>
      <w:r w:rsidRPr="00C62D84">
        <w:rPr>
          <w:rFonts w:ascii="Arial" w:eastAsiaTheme="minorHAnsi" w:hAnsi="Arial" w:cs="Arial"/>
          <w:color w:val="2F2F2F"/>
          <w:sz w:val="18"/>
          <w:szCs w:val="18"/>
          <w:lang w:val="es-ES_tradnl"/>
        </w:rPr>
        <w:t>);</w:t>
      </w:r>
    </w:p>
    <w:p w14:paraId="7CD2A5BF" w14:textId="77777777" w:rsidR="00C62D84" w:rsidRPr="00C62D84" w:rsidRDefault="00C62D84" w:rsidP="00C62D84">
      <w:pPr>
        <w:autoSpaceDE w:val="0"/>
        <w:autoSpaceDN w:val="0"/>
        <w:adjustRightInd w:val="0"/>
        <w:ind w:left="426" w:right="332"/>
        <w:jc w:val="both"/>
        <w:rPr>
          <w:rFonts w:ascii="Arial" w:eastAsiaTheme="minorHAnsi" w:hAnsi="Arial" w:cs="Arial"/>
          <w:color w:val="2F2F2F"/>
          <w:sz w:val="18"/>
          <w:szCs w:val="18"/>
          <w:lang w:val="es-ES_tradnl"/>
        </w:rPr>
      </w:pPr>
      <w:r w:rsidRPr="00C62D84">
        <w:rPr>
          <w:rFonts w:ascii="Arial" w:eastAsiaTheme="minorHAnsi" w:hAnsi="Arial" w:cs="Arial"/>
          <w:b/>
          <w:bCs/>
          <w:color w:val="2F2F2F"/>
          <w:sz w:val="18"/>
          <w:szCs w:val="18"/>
          <w:lang w:val="es-ES_tradnl"/>
        </w:rPr>
        <w:t xml:space="preserve">XL. </w:t>
      </w:r>
      <w:r w:rsidRPr="00C62D84">
        <w:rPr>
          <w:rFonts w:ascii="Arial" w:eastAsiaTheme="minorHAnsi" w:hAnsi="Arial" w:cs="Arial"/>
          <w:color w:val="2F2F2F"/>
          <w:sz w:val="18"/>
          <w:szCs w:val="18"/>
          <w:lang w:val="es-ES_tradnl"/>
        </w:rPr>
        <w:t>a</w:t>
      </w:r>
      <w:r w:rsidRPr="00C62D84">
        <w:rPr>
          <w:rFonts w:ascii="Arial" w:eastAsiaTheme="minorHAnsi" w:hAnsi="Arial" w:cs="Arial"/>
          <w:b/>
          <w:bCs/>
          <w:color w:val="2F2F2F"/>
          <w:sz w:val="18"/>
          <w:szCs w:val="18"/>
          <w:lang w:val="es-ES_tradnl"/>
        </w:rPr>
        <w:t xml:space="preserve"> XLV.</w:t>
      </w:r>
      <w:r w:rsidRPr="00C62D84">
        <w:rPr>
          <w:rFonts w:ascii="Arial" w:eastAsiaTheme="minorHAnsi" w:hAnsi="Arial" w:cs="Arial"/>
          <w:color w:val="2F2F2F"/>
          <w:sz w:val="18"/>
          <w:szCs w:val="18"/>
          <w:lang w:val="es-ES_tradnl"/>
        </w:rPr>
        <w:t xml:space="preserve"> …</w:t>
      </w:r>
    </w:p>
    <w:p w14:paraId="382D9CE1" w14:textId="77777777" w:rsidR="00C62D84" w:rsidRPr="00C62D84" w:rsidRDefault="00C62D84" w:rsidP="00C62D84">
      <w:pPr>
        <w:autoSpaceDE w:val="0"/>
        <w:autoSpaceDN w:val="0"/>
        <w:adjustRightInd w:val="0"/>
        <w:ind w:left="426" w:right="332"/>
        <w:jc w:val="both"/>
        <w:rPr>
          <w:rFonts w:ascii="Arial" w:eastAsiaTheme="minorHAnsi" w:hAnsi="Arial" w:cs="Arial"/>
          <w:color w:val="2F2F2F"/>
          <w:sz w:val="18"/>
          <w:szCs w:val="18"/>
          <w:lang w:val="es-ES_tradnl"/>
        </w:rPr>
      </w:pPr>
      <w:r w:rsidRPr="00C62D84">
        <w:rPr>
          <w:rFonts w:ascii="Arial" w:eastAsiaTheme="minorHAnsi" w:hAnsi="Arial" w:cs="Arial"/>
          <w:color w:val="2F2F2F"/>
          <w:sz w:val="18"/>
          <w:szCs w:val="18"/>
          <w:lang w:val="es-ES_tradnl"/>
        </w:rPr>
        <w:t>…</w:t>
      </w:r>
    </w:p>
    <w:p w14:paraId="48E82D64" w14:textId="77777777" w:rsidR="00C62D84" w:rsidRPr="00C62D84" w:rsidRDefault="00C62D84" w:rsidP="00C62D84">
      <w:pPr>
        <w:autoSpaceDE w:val="0"/>
        <w:autoSpaceDN w:val="0"/>
        <w:adjustRightInd w:val="0"/>
        <w:ind w:left="426" w:right="332"/>
        <w:jc w:val="both"/>
        <w:rPr>
          <w:rFonts w:ascii="Arial" w:eastAsiaTheme="minorHAnsi" w:hAnsi="Arial" w:cs="Arial"/>
          <w:color w:val="2F2F2F"/>
          <w:sz w:val="18"/>
          <w:szCs w:val="18"/>
        </w:rPr>
      </w:pPr>
      <w:r w:rsidRPr="00C62D84">
        <w:rPr>
          <w:rFonts w:ascii="Arial" w:eastAsiaTheme="minorHAnsi" w:hAnsi="Arial" w:cs="Arial"/>
          <w:b/>
          <w:bCs/>
          <w:color w:val="2F2F2F"/>
          <w:sz w:val="18"/>
          <w:szCs w:val="18"/>
        </w:rPr>
        <w:t>QUINTO</w:t>
      </w:r>
      <w:r w:rsidRPr="00C62D84">
        <w:rPr>
          <w:rFonts w:ascii="Arial" w:hAnsi="Arial" w:cs="Arial"/>
          <w:sz w:val="18"/>
          <w:szCs w:val="18"/>
          <w:shd w:val="clear" w:color="auto" w:fill="FFFFFF"/>
        </w:rPr>
        <w:t xml:space="preserve">. </w:t>
      </w:r>
      <w:r w:rsidRPr="00C62D84">
        <w:rPr>
          <w:rFonts w:ascii="Arial" w:eastAsiaTheme="minorHAnsi" w:hAnsi="Arial" w:cs="Arial"/>
          <w:color w:val="2F2F2F"/>
          <w:sz w:val="18"/>
          <w:szCs w:val="18"/>
        </w:rPr>
        <w:t>…</w:t>
      </w:r>
    </w:p>
    <w:p w14:paraId="0E224460" w14:textId="7DD83E07" w:rsidR="00C62D84" w:rsidRDefault="00C62D84" w:rsidP="00C62D84">
      <w:pPr>
        <w:pStyle w:val="Prrafodelista"/>
        <w:numPr>
          <w:ilvl w:val="0"/>
          <w:numId w:val="13"/>
        </w:numPr>
        <w:autoSpaceDE w:val="0"/>
        <w:autoSpaceDN w:val="0"/>
        <w:adjustRightInd w:val="0"/>
        <w:spacing w:line="276" w:lineRule="auto"/>
        <w:ind w:left="426" w:right="332" w:firstLine="141"/>
        <w:jc w:val="both"/>
        <w:rPr>
          <w:rFonts w:eastAsiaTheme="minorHAnsi" w:cs="Arial"/>
          <w:color w:val="2F2F2F"/>
          <w:sz w:val="18"/>
          <w:szCs w:val="18"/>
        </w:rPr>
      </w:pPr>
      <w:r w:rsidRPr="00C62D84">
        <w:rPr>
          <w:rFonts w:eastAsiaTheme="minorHAnsi" w:cs="Arial"/>
          <w:b/>
          <w:bCs/>
          <w:color w:val="2F2F2F"/>
          <w:sz w:val="18"/>
          <w:szCs w:val="18"/>
        </w:rPr>
        <w:t>Proporción de intentos de Llamada fallidos:</w:t>
      </w:r>
      <w:r w:rsidRPr="00C62D84">
        <w:rPr>
          <w:rFonts w:eastAsiaTheme="minorHAnsi" w:cs="Arial"/>
          <w:color w:val="2F2F2F"/>
          <w:sz w:val="18"/>
          <w:szCs w:val="18"/>
        </w:rPr>
        <w:t xml:space="preserve"> Estimación del grado de falta de accesibilidad al servicio, con base en la determinación del porcentaje de los intentos de Llamada fallidos entre dos Equipos Terminales Móviles específicos. Se considerarán fallidos los intentos de Llamada que superen un tiempo máximo de establecimiento de Llamada de 20 segundos.</w:t>
      </w:r>
    </w:p>
    <w:p w14:paraId="0D58B0A6" w14:textId="77777777" w:rsidR="00736D39" w:rsidRDefault="00736D39" w:rsidP="00736D39">
      <w:pPr>
        <w:autoSpaceDE w:val="0"/>
        <w:autoSpaceDN w:val="0"/>
        <w:adjustRightInd w:val="0"/>
        <w:ind w:left="426" w:right="332"/>
        <w:jc w:val="center"/>
        <w:rPr>
          <w:rFonts w:ascii="Arial" w:eastAsiaTheme="minorHAnsi" w:hAnsi="Arial" w:cs="Arial"/>
          <w:i/>
          <w:iCs/>
          <w:color w:val="2F2F2F"/>
          <w:sz w:val="18"/>
          <w:szCs w:val="18"/>
        </w:rPr>
      </w:pPr>
    </w:p>
    <w:p w14:paraId="1B6A63B2" w14:textId="2D324D4F" w:rsidR="00C62D84" w:rsidRPr="00764C50" w:rsidRDefault="00736D39" w:rsidP="00764C50">
      <w:pPr>
        <w:autoSpaceDE w:val="0"/>
        <w:autoSpaceDN w:val="0"/>
        <w:adjustRightInd w:val="0"/>
        <w:ind w:left="426" w:right="332"/>
        <w:jc w:val="center"/>
        <w:rPr>
          <w:rFonts w:ascii="Arial" w:eastAsiaTheme="minorHAnsi" w:hAnsi="Arial" w:cs="Arial"/>
          <w:i/>
          <w:iCs/>
          <w:color w:val="2F2F2F"/>
          <w:sz w:val="18"/>
          <w:szCs w:val="18"/>
        </w:rPr>
      </w:pPr>
      <w:r w:rsidRPr="00736D39">
        <w:rPr>
          <w:rFonts w:ascii="Arial" w:eastAsiaTheme="minorHAnsi" w:hAnsi="Arial" w:cs="Arial"/>
          <w:i/>
          <w:iCs/>
          <w:color w:val="2F2F2F"/>
          <w:sz w:val="18"/>
          <w:szCs w:val="18"/>
        </w:rPr>
        <w:t>Proporción de intentos de Llamada fallidos = N</w:t>
      </w:r>
      <w:r w:rsidRPr="00736D39">
        <w:rPr>
          <w:rFonts w:ascii="Arial" w:eastAsiaTheme="minorHAnsi" w:hAnsi="Arial" w:cs="Arial"/>
          <w:i/>
          <w:iCs/>
          <w:color w:val="2F2F2F"/>
          <w:sz w:val="18"/>
          <w:szCs w:val="18"/>
          <w:vertAlign w:val="subscript"/>
        </w:rPr>
        <w:t>F</w:t>
      </w:r>
      <w:r>
        <w:rPr>
          <w:rFonts w:ascii="Arial" w:eastAsiaTheme="minorHAnsi" w:hAnsi="Arial" w:cs="Arial"/>
          <w:i/>
          <w:iCs/>
          <w:color w:val="2F2F2F"/>
          <w:sz w:val="18"/>
          <w:szCs w:val="18"/>
          <w:vertAlign w:val="subscript"/>
        </w:rPr>
        <w:t xml:space="preserve"> </w:t>
      </w:r>
      <w:r w:rsidRPr="00736D39">
        <w:rPr>
          <w:rFonts w:ascii="Arial" w:eastAsiaTheme="minorHAnsi" w:hAnsi="Arial" w:cs="Arial"/>
          <w:i/>
          <w:iCs/>
          <w:color w:val="2F2F2F"/>
          <w:sz w:val="18"/>
          <w:szCs w:val="18"/>
        </w:rPr>
        <w:t>/</w:t>
      </w:r>
      <w:r>
        <w:rPr>
          <w:rFonts w:ascii="Arial" w:eastAsiaTheme="minorHAnsi" w:hAnsi="Arial" w:cs="Arial"/>
          <w:i/>
          <w:iCs/>
          <w:color w:val="2F2F2F"/>
          <w:sz w:val="18"/>
          <w:szCs w:val="18"/>
        </w:rPr>
        <w:t xml:space="preserve"> </w:t>
      </w:r>
      <w:r w:rsidRPr="00736D39">
        <w:rPr>
          <w:rFonts w:ascii="Arial" w:eastAsiaTheme="minorHAnsi" w:hAnsi="Arial" w:cs="Arial"/>
          <w:i/>
          <w:iCs/>
          <w:color w:val="2F2F2F"/>
          <w:sz w:val="18"/>
          <w:szCs w:val="18"/>
        </w:rPr>
        <w:t>N</w:t>
      </w:r>
      <w:r w:rsidRPr="00736D39">
        <w:rPr>
          <w:rFonts w:ascii="Arial" w:eastAsiaTheme="minorHAnsi" w:hAnsi="Arial" w:cs="Arial"/>
          <w:i/>
          <w:iCs/>
          <w:color w:val="2F2F2F"/>
          <w:sz w:val="18"/>
          <w:szCs w:val="18"/>
          <w:vertAlign w:val="subscript"/>
        </w:rPr>
        <w:t>T</w:t>
      </w:r>
      <w:r w:rsidRPr="00736D39">
        <w:rPr>
          <w:rFonts w:ascii="Arial" w:eastAsiaTheme="minorHAnsi" w:hAnsi="Arial" w:cs="Arial"/>
          <w:i/>
          <w:iCs/>
          <w:color w:val="2F2F2F"/>
          <w:sz w:val="18"/>
          <w:szCs w:val="18"/>
        </w:rPr>
        <w:t xml:space="preserve"> x 100%</w:t>
      </w:r>
    </w:p>
    <w:p w14:paraId="5B7F68D2" w14:textId="77777777" w:rsidR="00C62D84" w:rsidRPr="00C62D84" w:rsidRDefault="00C62D84" w:rsidP="00C62D84">
      <w:pPr>
        <w:autoSpaceDE w:val="0"/>
        <w:autoSpaceDN w:val="0"/>
        <w:adjustRightInd w:val="0"/>
        <w:ind w:left="426" w:right="332" w:firstLine="708"/>
        <w:jc w:val="both"/>
        <w:rPr>
          <w:rFonts w:ascii="Arial" w:eastAsiaTheme="minorHAnsi" w:hAnsi="Arial" w:cs="Arial"/>
          <w:b/>
          <w:bCs/>
          <w:color w:val="2F2F2F"/>
          <w:sz w:val="18"/>
          <w:szCs w:val="18"/>
        </w:rPr>
      </w:pPr>
      <w:r w:rsidRPr="00C62D84">
        <w:rPr>
          <w:rFonts w:ascii="Arial" w:eastAsiaTheme="minorHAnsi" w:hAnsi="Arial" w:cs="Arial"/>
          <w:b/>
          <w:bCs/>
          <w:color w:val="2F2F2F"/>
          <w:sz w:val="18"/>
          <w:szCs w:val="18"/>
        </w:rPr>
        <w:t>Donde</w:t>
      </w:r>
    </w:p>
    <w:p w14:paraId="41E5333B" w14:textId="7084C4A7" w:rsidR="00C62D84" w:rsidRPr="00C62D84" w:rsidRDefault="00736D39" w:rsidP="00C62D84">
      <w:pPr>
        <w:autoSpaceDE w:val="0"/>
        <w:autoSpaceDN w:val="0"/>
        <w:adjustRightInd w:val="0"/>
        <w:ind w:left="426" w:right="332" w:firstLine="708"/>
        <w:jc w:val="both"/>
        <w:rPr>
          <w:rFonts w:ascii="Arial" w:eastAsiaTheme="minorHAnsi" w:hAnsi="Arial" w:cs="Arial"/>
          <w:color w:val="2F2F2F"/>
          <w:sz w:val="18"/>
          <w:szCs w:val="18"/>
        </w:rPr>
      </w:pPr>
      <w:r w:rsidRPr="00736D39">
        <w:rPr>
          <w:rFonts w:ascii="Arial" w:eastAsiaTheme="minorHAnsi" w:hAnsi="Arial" w:cs="Arial"/>
          <w:i/>
          <w:iCs/>
          <w:color w:val="2F2F2F"/>
          <w:sz w:val="18"/>
          <w:szCs w:val="18"/>
        </w:rPr>
        <w:t>N</w:t>
      </w:r>
      <w:r w:rsidRPr="00736D39">
        <w:rPr>
          <w:rFonts w:ascii="Arial" w:eastAsiaTheme="minorHAnsi" w:hAnsi="Arial" w:cs="Arial"/>
          <w:i/>
          <w:iCs/>
          <w:color w:val="2F2F2F"/>
          <w:sz w:val="18"/>
          <w:szCs w:val="18"/>
          <w:vertAlign w:val="subscript"/>
        </w:rPr>
        <w:t>F</w:t>
      </w:r>
      <w:r w:rsidRPr="00C62D84">
        <w:rPr>
          <w:rFonts w:ascii="Arial" w:eastAsiaTheme="minorHAnsi" w:hAnsi="Arial" w:cs="Arial"/>
          <w:color w:val="2F2F2F"/>
          <w:sz w:val="18"/>
          <w:szCs w:val="18"/>
        </w:rPr>
        <w:t xml:space="preserve"> </w:t>
      </w:r>
      <w:r w:rsidR="00C62D84" w:rsidRPr="00C62D84">
        <w:rPr>
          <w:rFonts w:ascii="Arial" w:eastAsiaTheme="minorHAnsi" w:hAnsi="Arial" w:cs="Arial"/>
          <w:color w:val="2F2F2F"/>
          <w:sz w:val="18"/>
          <w:szCs w:val="18"/>
        </w:rPr>
        <w:t>es el número total de intentos de Llamada fallidos, y;</w:t>
      </w:r>
    </w:p>
    <w:p w14:paraId="10EB2A57" w14:textId="2DCD8656" w:rsidR="00C62D84" w:rsidRPr="00C62D84" w:rsidRDefault="00736D39" w:rsidP="00C62D84">
      <w:pPr>
        <w:autoSpaceDE w:val="0"/>
        <w:autoSpaceDN w:val="0"/>
        <w:adjustRightInd w:val="0"/>
        <w:ind w:left="426" w:right="332" w:firstLine="708"/>
        <w:jc w:val="both"/>
        <w:rPr>
          <w:rFonts w:ascii="Arial" w:eastAsiaTheme="minorHAnsi" w:hAnsi="Arial" w:cs="Arial"/>
          <w:color w:val="2F2F2F"/>
          <w:sz w:val="18"/>
          <w:szCs w:val="18"/>
        </w:rPr>
      </w:pPr>
      <w:r w:rsidRPr="00736D39">
        <w:rPr>
          <w:rFonts w:ascii="Arial" w:eastAsiaTheme="minorHAnsi" w:hAnsi="Arial" w:cs="Arial"/>
          <w:i/>
          <w:iCs/>
          <w:color w:val="2F2F2F"/>
          <w:sz w:val="18"/>
          <w:szCs w:val="18"/>
        </w:rPr>
        <w:t>N</w:t>
      </w:r>
      <w:r w:rsidRPr="00736D39">
        <w:rPr>
          <w:rFonts w:ascii="Arial" w:eastAsiaTheme="minorHAnsi" w:hAnsi="Arial" w:cs="Arial"/>
          <w:i/>
          <w:iCs/>
          <w:color w:val="2F2F2F"/>
          <w:sz w:val="18"/>
          <w:szCs w:val="18"/>
          <w:vertAlign w:val="subscript"/>
        </w:rPr>
        <w:t>T</w:t>
      </w:r>
      <w:r w:rsidRPr="00C62D84">
        <w:rPr>
          <w:rFonts w:ascii="Arial" w:eastAsiaTheme="minorHAnsi" w:hAnsi="Arial" w:cs="Arial"/>
          <w:color w:val="2F2F2F"/>
          <w:sz w:val="18"/>
          <w:szCs w:val="18"/>
        </w:rPr>
        <w:t xml:space="preserve"> </w:t>
      </w:r>
      <w:r w:rsidR="00C62D84" w:rsidRPr="00C62D84">
        <w:rPr>
          <w:rFonts w:ascii="Arial" w:eastAsiaTheme="minorHAnsi" w:hAnsi="Arial" w:cs="Arial"/>
          <w:color w:val="2F2F2F"/>
          <w:sz w:val="18"/>
          <w:szCs w:val="18"/>
        </w:rPr>
        <w:t>es el número total de intentos del Servicio de Voz.</w:t>
      </w:r>
    </w:p>
    <w:p w14:paraId="28C3FF28" w14:textId="77777777" w:rsidR="00C62D84" w:rsidRPr="00C62D84" w:rsidRDefault="00C62D84" w:rsidP="00C62D84">
      <w:pPr>
        <w:autoSpaceDE w:val="0"/>
        <w:autoSpaceDN w:val="0"/>
        <w:adjustRightInd w:val="0"/>
        <w:ind w:left="426" w:right="332"/>
        <w:jc w:val="both"/>
        <w:rPr>
          <w:rFonts w:ascii="Arial" w:eastAsiaTheme="minorHAnsi" w:hAnsi="Arial" w:cs="Arial"/>
          <w:color w:val="2F2F2F"/>
          <w:sz w:val="18"/>
          <w:szCs w:val="18"/>
          <w:lang w:val="es-ES_tradnl"/>
        </w:rPr>
      </w:pPr>
      <w:r w:rsidRPr="00C62D84">
        <w:rPr>
          <w:rFonts w:ascii="Arial" w:eastAsiaTheme="minorHAnsi" w:hAnsi="Arial" w:cs="Arial"/>
          <w:b/>
          <w:bCs/>
          <w:color w:val="2F2F2F"/>
          <w:sz w:val="18"/>
          <w:szCs w:val="18"/>
          <w:lang w:val="es-ES_tradnl"/>
        </w:rPr>
        <w:t xml:space="preserve">II. </w:t>
      </w:r>
      <w:r w:rsidRPr="00C62D84">
        <w:rPr>
          <w:rFonts w:ascii="Arial" w:eastAsiaTheme="minorHAnsi" w:hAnsi="Arial" w:cs="Arial"/>
          <w:color w:val="2F2F2F"/>
          <w:sz w:val="18"/>
          <w:szCs w:val="18"/>
          <w:lang w:val="es-ES_tradnl"/>
        </w:rPr>
        <w:t>a</w:t>
      </w:r>
      <w:r w:rsidRPr="00C62D84">
        <w:rPr>
          <w:rFonts w:ascii="Arial" w:eastAsiaTheme="minorHAnsi" w:hAnsi="Arial" w:cs="Arial"/>
          <w:b/>
          <w:bCs/>
          <w:color w:val="2F2F2F"/>
          <w:sz w:val="18"/>
          <w:szCs w:val="18"/>
          <w:lang w:val="es-ES_tradnl"/>
        </w:rPr>
        <w:t xml:space="preserve"> IV. </w:t>
      </w:r>
      <w:r w:rsidRPr="00C62D84">
        <w:rPr>
          <w:rFonts w:ascii="Arial" w:eastAsiaTheme="minorHAnsi" w:hAnsi="Arial" w:cs="Arial"/>
          <w:color w:val="2F2F2F"/>
          <w:sz w:val="18"/>
          <w:szCs w:val="18"/>
          <w:lang w:val="es-ES_tradnl"/>
        </w:rPr>
        <w:t>…</w:t>
      </w:r>
    </w:p>
    <w:p w14:paraId="02207A2D" w14:textId="77777777" w:rsidR="00C62D84" w:rsidRPr="00C62D84" w:rsidRDefault="00C62D84" w:rsidP="00C62D84">
      <w:pPr>
        <w:autoSpaceDE w:val="0"/>
        <w:autoSpaceDN w:val="0"/>
        <w:adjustRightInd w:val="0"/>
        <w:ind w:left="426" w:right="332"/>
        <w:jc w:val="center"/>
        <w:rPr>
          <w:rFonts w:ascii="Arial" w:eastAsiaTheme="minorHAnsi" w:hAnsi="Arial" w:cs="Arial"/>
          <w:b/>
          <w:bCs/>
          <w:sz w:val="18"/>
          <w:szCs w:val="18"/>
          <w:lang w:val="es-ES_tradnl"/>
        </w:rPr>
      </w:pPr>
      <w:r w:rsidRPr="00C62D84">
        <w:rPr>
          <w:rFonts w:ascii="Arial" w:eastAsiaTheme="minorHAnsi" w:hAnsi="Arial" w:cs="Arial"/>
          <w:b/>
          <w:bCs/>
          <w:sz w:val="18"/>
          <w:szCs w:val="18"/>
          <w:lang w:val="es-ES_tradnl"/>
        </w:rPr>
        <w:t>ANEXO I</w:t>
      </w:r>
    </w:p>
    <w:p w14:paraId="32FBBF41" w14:textId="77777777" w:rsidR="00C62D84" w:rsidRPr="00C62D84" w:rsidRDefault="00C62D84" w:rsidP="00C62D84">
      <w:pPr>
        <w:autoSpaceDE w:val="0"/>
        <w:autoSpaceDN w:val="0"/>
        <w:adjustRightInd w:val="0"/>
        <w:ind w:left="426" w:right="332"/>
        <w:jc w:val="center"/>
        <w:rPr>
          <w:rFonts w:ascii="Arial" w:eastAsiaTheme="minorHAnsi" w:hAnsi="Arial" w:cs="Arial"/>
          <w:b/>
          <w:bCs/>
          <w:sz w:val="18"/>
          <w:szCs w:val="18"/>
          <w:lang w:val="es-ES_tradnl"/>
        </w:rPr>
      </w:pPr>
      <w:r w:rsidRPr="00C62D84">
        <w:rPr>
          <w:rFonts w:ascii="Arial" w:eastAsiaTheme="minorHAnsi" w:hAnsi="Arial" w:cs="Arial"/>
          <w:b/>
          <w:bCs/>
          <w:sz w:val="18"/>
          <w:szCs w:val="18"/>
          <w:lang w:val="es-ES_tradnl"/>
        </w:rPr>
        <w:t>METODOLOGÍA DE MEDICIONES DE CALIDAD DEL SERVICIO MÓVIL</w:t>
      </w:r>
    </w:p>
    <w:p w14:paraId="7EE4EF36" w14:textId="77777777" w:rsidR="00C62D84" w:rsidRPr="00C62D84" w:rsidRDefault="00C62D84" w:rsidP="00C62D84">
      <w:pPr>
        <w:autoSpaceDE w:val="0"/>
        <w:autoSpaceDN w:val="0"/>
        <w:adjustRightInd w:val="0"/>
        <w:ind w:left="426" w:right="332"/>
        <w:jc w:val="both"/>
        <w:rPr>
          <w:rFonts w:ascii="Arial" w:eastAsiaTheme="minorHAnsi" w:hAnsi="Arial" w:cs="Arial"/>
          <w:sz w:val="18"/>
          <w:szCs w:val="18"/>
          <w:lang w:val="es-ES_tradnl"/>
        </w:rPr>
      </w:pPr>
      <w:r w:rsidRPr="00C62D84">
        <w:rPr>
          <w:rFonts w:ascii="Arial" w:eastAsiaTheme="minorHAnsi" w:hAnsi="Arial" w:cs="Arial"/>
          <w:sz w:val="18"/>
          <w:szCs w:val="18"/>
          <w:lang w:val="es-ES_tradnl"/>
        </w:rPr>
        <w:t>…</w:t>
      </w:r>
    </w:p>
    <w:p w14:paraId="2FB9F037" w14:textId="77777777" w:rsidR="00C62D84" w:rsidRPr="00C62D84" w:rsidRDefault="00C62D84" w:rsidP="00C62D84">
      <w:pPr>
        <w:autoSpaceDE w:val="0"/>
        <w:autoSpaceDN w:val="0"/>
        <w:adjustRightInd w:val="0"/>
        <w:ind w:left="426" w:right="332"/>
        <w:jc w:val="both"/>
        <w:rPr>
          <w:rFonts w:ascii="Arial" w:eastAsiaTheme="minorHAnsi" w:hAnsi="Arial" w:cs="Arial"/>
          <w:b/>
          <w:bCs/>
          <w:sz w:val="18"/>
          <w:szCs w:val="18"/>
          <w:lang w:val="es-ES_tradnl"/>
        </w:rPr>
      </w:pPr>
      <w:r w:rsidRPr="00C62D84">
        <w:rPr>
          <w:rFonts w:ascii="Arial" w:eastAsiaTheme="minorHAnsi" w:hAnsi="Arial" w:cs="Arial"/>
          <w:b/>
          <w:bCs/>
          <w:sz w:val="18"/>
          <w:szCs w:val="18"/>
          <w:lang w:val="es-ES_tradnl"/>
        </w:rPr>
        <w:t xml:space="preserve">1. Definiciones. </w:t>
      </w:r>
      <w:r w:rsidRPr="00C62D84">
        <w:rPr>
          <w:rFonts w:ascii="Arial" w:eastAsiaTheme="minorHAnsi" w:hAnsi="Arial" w:cs="Arial"/>
          <w:sz w:val="18"/>
          <w:szCs w:val="18"/>
          <w:lang w:val="es-ES_tradnl"/>
        </w:rPr>
        <w:t>…</w:t>
      </w:r>
    </w:p>
    <w:p w14:paraId="0B4142BA" w14:textId="77777777" w:rsidR="00C62D84" w:rsidRPr="00C62D84" w:rsidRDefault="00C62D84" w:rsidP="00C62D84">
      <w:pPr>
        <w:autoSpaceDE w:val="0"/>
        <w:autoSpaceDN w:val="0"/>
        <w:adjustRightInd w:val="0"/>
        <w:ind w:left="426" w:right="332"/>
        <w:jc w:val="both"/>
        <w:rPr>
          <w:rFonts w:ascii="Arial" w:eastAsiaTheme="minorHAnsi" w:hAnsi="Arial" w:cs="Arial"/>
          <w:color w:val="2F2F2F"/>
          <w:sz w:val="18"/>
          <w:szCs w:val="18"/>
          <w:lang w:val="es-ES_tradnl"/>
        </w:rPr>
      </w:pPr>
      <w:r w:rsidRPr="00C62D84">
        <w:rPr>
          <w:rFonts w:ascii="Arial" w:eastAsiaTheme="minorHAnsi" w:hAnsi="Arial" w:cs="Arial"/>
          <w:b/>
          <w:bCs/>
          <w:color w:val="2F2F2F"/>
          <w:sz w:val="18"/>
          <w:szCs w:val="18"/>
          <w:lang w:val="es-ES_tradnl"/>
        </w:rPr>
        <w:t xml:space="preserve">I. </w:t>
      </w:r>
      <w:r w:rsidRPr="00C62D84">
        <w:rPr>
          <w:rFonts w:ascii="Arial" w:eastAsiaTheme="minorHAnsi" w:hAnsi="Arial" w:cs="Arial"/>
          <w:color w:val="2F2F2F"/>
          <w:sz w:val="18"/>
          <w:szCs w:val="18"/>
          <w:lang w:val="es-ES_tradnl"/>
        </w:rPr>
        <w:t>a</w:t>
      </w:r>
      <w:r w:rsidRPr="00C62D84">
        <w:rPr>
          <w:rFonts w:ascii="Arial" w:eastAsiaTheme="minorHAnsi" w:hAnsi="Arial" w:cs="Arial"/>
          <w:b/>
          <w:bCs/>
          <w:color w:val="2F2F2F"/>
          <w:sz w:val="18"/>
          <w:szCs w:val="18"/>
          <w:lang w:val="es-ES_tradnl"/>
        </w:rPr>
        <w:t xml:space="preserve"> VIII. </w:t>
      </w:r>
      <w:r w:rsidRPr="00C62D84">
        <w:rPr>
          <w:rFonts w:ascii="Arial" w:eastAsiaTheme="minorHAnsi" w:hAnsi="Arial" w:cs="Arial"/>
          <w:color w:val="2F2F2F"/>
          <w:sz w:val="18"/>
          <w:szCs w:val="18"/>
          <w:lang w:val="es-ES_tradnl"/>
        </w:rPr>
        <w:t>…</w:t>
      </w:r>
    </w:p>
    <w:p w14:paraId="61A99DC1" w14:textId="77777777" w:rsidR="00C62D84" w:rsidRPr="00C62D84" w:rsidRDefault="00C62D84" w:rsidP="00C62D84">
      <w:pPr>
        <w:autoSpaceDE w:val="0"/>
        <w:autoSpaceDN w:val="0"/>
        <w:adjustRightInd w:val="0"/>
        <w:ind w:left="426" w:right="332"/>
        <w:jc w:val="both"/>
        <w:rPr>
          <w:rFonts w:ascii="Arial" w:eastAsiaTheme="minorHAnsi" w:hAnsi="Arial" w:cs="Arial"/>
          <w:color w:val="2F2F2F"/>
          <w:sz w:val="18"/>
          <w:szCs w:val="18"/>
          <w:lang w:val="es-MX"/>
        </w:rPr>
      </w:pPr>
      <w:r w:rsidRPr="00C62D84">
        <w:rPr>
          <w:rFonts w:ascii="Arial" w:eastAsiaTheme="minorHAnsi" w:hAnsi="Arial" w:cs="Arial"/>
          <w:b/>
          <w:bCs/>
          <w:color w:val="2F2F2F"/>
          <w:sz w:val="18"/>
          <w:szCs w:val="18"/>
          <w:lang w:val="es-MX"/>
        </w:rPr>
        <w:t xml:space="preserve">IX. Vía Primaria: </w:t>
      </w:r>
      <w:r w:rsidRPr="00C62D84">
        <w:rPr>
          <w:rFonts w:ascii="Arial" w:eastAsiaTheme="minorHAnsi" w:hAnsi="Arial" w:cs="Arial"/>
          <w:color w:val="2F2F2F"/>
          <w:sz w:val="18"/>
          <w:szCs w:val="18"/>
          <w:lang w:val="es-MX"/>
        </w:rPr>
        <w:t xml:space="preserve">Aquella </w:t>
      </w:r>
      <w:proofErr w:type="gramStart"/>
      <w:r w:rsidRPr="00C62D84">
        <w:rPr>
          <w:rFonts w:ascii="Arial" w:eastAsiaTheme="minorHAnsi" w:hAnsi="Arial" w:cs="Arial"/>
          <w:color w:val="2F2F2F"/>
          <w:sz w:val="18"/>
          <w:szCs w:val="18"/>
          <w:lang w:val="es-MX"/>
        </w:rPr>
        <w:t>que</w:t>
      </w:r>
      <w:proofErr w:type="gramEnd"/>
      <w:r w:rsidRPr="00C62D84">
        <w:rPr>
          <w:rFonts w:ascii="Arial" w:eastAsiaTheme="minorHAnsi" w:hAnsi="Arial" w:cs="Arial"/>
          <w:color w:val="2F2F2F"/>
          <w:sz w:val="18"/>
          <w:szCs w:val="18"/>
          <w:lang w:val="es-MX"/>
        </w:rPr>
        <w:t xml:space="preserve"> por su anchura, longitud, señalización y equipamiento, posibilita un amplio volumen de tránsito vehicular;</w:t>
      </w:r>
    </w:p>
    <w:p w14:paraId="4315DA31" w14:textId="77777777" w:rsidR="00C62D84" w:rsidRPr="00C62D84" w:rsidRDefault="00C62D84" w:rsidP="00C62D84">
      <w:pPr>
        <w:autoSpaceDE w:val="0"/>
        <w:autoSpaceDN w:val="0"/>
        <w:adjustRightInd w:val="0"/>
        <w:ind w:left="426" w:right="332"/>
        <w:jc w:val="both"/>
        <w:rPr>
          <w:rFonts w:ascii="Arial" w:eastAsiaTheme="minorHAnsi" w:hAnsi="Arial" w:cs="Arial"/>
          <w:color w:val="2F2F2F"/>
          <w:sz w:val="18"/>
          <w:szCs w:val="18"/>
          <w:lang w:val="es-ES_tradnl"/>
        </w:rPr>
      </w:pPr>
      <w:r w:rsidRPr="00C62D84">
        <w:rPr>
          <w:rFonts w:ascii="Arial" w:eastAsiaTheme="minorHAnsi" w:hAnsi="Arial" w:cs="Arial"/>
          <w:b/>
          <w:bCs/>
          <w:color w:val="2F2F2F"/>
          <w:sz w:val="18"/>
          <w:szCs w:val="18"/>
          <w:lang w:val="es-MX"/>
        </w:rPr>
        <w:t xml:space="preserve">X. Vía Secundaria: </w:t>
      </w:r>
      <w:r w:rsidRPr="00C62D84">
        <w:rPr>
          <w:rFonts w:ascii="Arial" w:eastAsiaTheme="minorHAnsi" w:hAnsi="Arial" w:cs="Arial"/>
          <w:color w:val="2F2F2F"/>
          <w:sz w:val="18"/>
          <w:szCs w:val="18"/>
          <w:lang w:val="es-MX"/>
        </w:rPr>
        <w:t>Aquella que permite la circulación vehicular al interior de las colonias, barrios y pueblos, y</w:t>
      </w:r>
    </w:p>
    <w:p w14:paraId="386064EA" w14:textId="77777777" w:rsidR="00C62D84" w:rsidRPr="00C62D84" w:rsidRDefault="00C62D84" w:rsidP="00C62D84">
      <w:pPr>
        <w:autoSpaceDE w:val="0"/>
        <w:autoSpaceDN w:val="0"/>
        <w:adjustRightInd w:val="0"/>
        <w:ind w:left="426" w:right="332"/>
        <w:jc w:val="both"/>
        <w:rPr>
          <w:rFonts w:ascii="Arial" w:eastAsiaTheme="minorHAnsi" w:hAnsi="Arial" w:cs="Arial"/>
          <w:color w:val="2F2F2F"/>
          <w:sz w:val="18"/>
          <w:szCs w:val="18"/>
          <w:lang w:val="es-ES_tradnl"/>
        </w:rPr>
      </w:pPr>
      <w:r w:rsidRPr="00C62D84">
        <w:rPr>
          <w:rFonts w:ascii="Arial" w:eastAsiaTheme="minorHAnsi" w:hAnsi="Arial" w:cs="Arial"/>
          <w:b/>
          <w:bCs/>
          <w:color w:val="2F2F2F"/>
          <w:sz w:val="18"/>
          <w:szCs w:val="18"/>
          <w:lang w:val="es-ES_tradnl"/>
        </w:rPr>
        <w:t xml:space="preserve">XI. </w:t>
      </w:r>
      <w:proofErr w:type="spellStart"/>
      <w:r w:rsidRPr="00C62D84">
        <w:rPr>
          <w:rFonts w:ascii="Arial" w:eastAsiaTheme="minorHAnsi" w:hAnsi="Arial" w:cs="Arial"/>
          <w:b/>
          <w:bCs/>
          <w:color w:val="2F2F2F"/>
          <w:sz w:val="18"/>
          <w:szCs w:val="18"/>
          <w:lang w:val="es-ES_tradnl"/>
        </w:rPr>
        <w:t>VoLTE</w:t>
      </w:r>
      <w:proofErr w:type="spellEnd"/>
      <w:r w:rsidRPr="00C62D84">
        <w:rPr>
          <w:rFonts w:ascii="Arial" w:eastAsiaTheme="minorHAnsi" w:hAnsi="Arial" w:cs="Arial"/>
          <w:b/>
          <w:bCs/>
          <w:color w:val="2F2F2F"/>
          <w:sz w:val="18"/>
          <w:szCs w:val="18"/>
          <w:lang w:val="es-ES_tradnl"/>
        </w:rPr>
        <w:t xml:space="preserve">: </w:t>
      </w:r>
      <w:r w:rsidRPr="00C62D84">
        <w:rPr>
          <w:rFonts w:ascii="Arial" w:eastAsiaTheme="minorHAnsi" w:hAnsi="Arial" w:cs="Arial"/>
          <w:color w:val="2F2F2F"/>
          <w:sz w:val="18"/>
          <w:szCs w:val="18"/>
          <w:lang w:val="es-ES_tradnl"/>
        </w:rPr>
        <w:t xml:space="preserve">Voz sobre LTE (del inglés, </w:t>
      </w:r>
      <w:proofErr w:type="spellStart"/>
      <w:r w:rsidRPr="00C62D84">
        <w:rPr>
          <w:rFonts w:ascii="Arial" w:eastAsiaTheme="minorHAnsi" w:hAnsi="Arial" w:cs="Arial"/>
          <w:i/>
          <w:iCs/>
          <w:color w:val="2F2F2F"/>
          <w:sz w:val="18"/>
          <w:szCs w:val="18"/>
          <w:lang w:val="es-ES_tradnl"/>
        </w:rPr>
        <w:t>Voice</w:t>
      </w:r>
      <w:proofErr w:type="spellEnd"/>
      <w:r w:rsidRPr="00C62D84">
        <w:rPr>
          <w:rFonts w:ascii="Arial" w:eastAsiaTheme="minorHAnsi" w:hAnsi="Arial" w:cs="Arial"/>
          <w:i/>
          <w:iCs/>
          <w:color w:val="2F2F2F"/>
          <w:sz w:val="18"/>
          <w:szCs w:val="18"/>
          <w:lang w:val="es-ES_tradnl"/>
        </w:rPr>
        <w:t xml:space="preserve"> </w:t>
      </w:r>
      <w:proofErr w:type="spellStart"/>
      <w:r w:rsidRPr="00C62D84">
        <w:rPr>
          <w:rFonts w:ascii="Arial" w:eastAsiaTheme="minorHAnsi" w:hAnsi="Arial" w:cs="Arial"/>
          <w:i/>
          <w:iCs/>
          <w:color w:val="2F2F2F"/>
          <w:sz w:val="18"/>
          <w:szCs w:val="18"/>
          <w:lang w:val="es-ES_tradnl"/>
        </w:rPr>
        <w:t>over</w:t>
      </w:r>
      <w:proofErr w:type="spellEnd"/>
      <w:r w:rsidRPr="00C62D84">
        <w:rPr>
          <w:rFonts w:ascii="Arial" w:eastAsiaTheme="minorHAnsi" w:hAnsi="Arial" w:cs="Arial"/>
          <w:i/>
          <w:iCs/>
          <w:color w:val="2F2F2F"/>
          <w:sz w:val="18"/>
          <w:szCs w:val="18"/>
          <w:lang w:val="es-ES_tradnl"/>
        </w:rPr>
        <w:t xml:space="preserve"> LTE</w:t>
      </w:r>
      <w:r w:rsidRPr="00C62D84">
        <w:rPr>
          <w:rFonts w:ascii="Arial" w:eastAsiaTheme="minorHAnsi" w:hAnsi="Arial" w:cs="Arial"/>
          <w:color w:val="2F2F2F"/>
          <w:sz w:val="18"/>
          <w:szCs w:val="18"/>
          <w:lang w:val="es-ES_tradnl"/>
        </w:rPr>
        <w:t>).</w:t>
      </w:r>
    </w:p>
    <w:p w14:paraId="650C3A0D" w14:textId="77777777" w:rsidR="00C62D84" w:rsidRPr="00C62D84" w:rsidRDefault="00C62D84" w:rsidP="00C62D84">
      <w:pPr>
        <w:autoSpaceDE w:val="0"/>
        <w:autoSpaceDN w:val="0"/>
        <w:adjustRightInd w:val="0"/>
        <w:ind w:left="426" w:right="332"/>
        <w:jc w:val="both"/>
        <w:rPr>
          <w:rFonts w:ascii="Arial" w:eastAsiaTheme="minorHAnsi" w:hAnsi="Arial" w:cs="Arial"/>
          <w:color w:val="2F2F2F"/>
          <w:sz w:val="18"/>
          <w:szCs w:val="18"/>
          <w:lang w:val="es-ES_tradnl"/>
        </w:rPr>
      </w:pPr>
      <w:r w:rsidRPr="00C62D84">
        <w:rPr>
          <w:rFonts w:ascii="Arial" w:eastAsiaTheme="minorHAnsi" w:hAnsi="Arial" w:cs="Arial"/>
          <w:color w:val="2F2F2F"/>
          <w:sz w:val="18"/>
          <w:szCs w:val="18"/>
          <w:lang w:val="es-ES_tradnl"/>
        </w:rPr>
        <w:t>…</w:t>
      </w:r>
    </w:p>
    <w:p w14:paraId="3B010D39" w14:textId="2022BD32" w:rsidR="009113D3" w:rsidRPr="00C62D84" w:rsidRDefault="00C62D84" w:rsidP="009113D3">
      <w:pPr>
        <w:autoSpaceDE w:val="0"/>
        <w:autoSpaceDN w:val="0"/>
        <w:adjustRightInd w:val="0"/>
        <w:ind w:left="426" w:right="332"/>
        <w:jc w:val="both"/>
        <w:rPr>
          <w:rFonts w:ascii="Arial" w:eastAsiaTheme="minorHAnsi" w:hAnsi="Arial" w:cs="Arial"/>
          <w:color w:val="2F2F2F"/>
          <w:sz w:val="18"/>
          <w:szCs w:val="18"/>
          <w:lang w:val="es-ES_tradnl"/>
        </w:rPr>
      </w:pPr>
      <w:r w:rsidRPr="00C62D84">
        <w:rPr>
          <w:rFonts w:ascii="Arial" w:eastAsiaTheme="minorHAnsi" w:hAnsi="Arial" w:cs="Arial"/>
          <w:b/>
          <w:bCs/>
          <w:color w:val="2F2F2F"/>
          <w:sz w:val="18"/>
          <w:szCs w:val="18"/>
          <w:lang w:val="es-ES_tradnl"/>
        </w:rPr>
        <w:t xml:space="preserve">2. Mediciones. </w:t>
      </w:r>
      <w:r w:rsidRPr="00C62D84">
        <w:rPr>
          <w:rFonts w:ascii="Arial" w:eastAsiaTheme="minorHAnsi" w:hAnsi="Arial" w:cs="Arial"/>
          <w:color w:val="2F2F2F"/>
          <w:sz w:val="18"/>
          <w:szCs w:val="18"/>
          <w:lang w:val="es-ES_tradnl"/>
        </w:rPr>
        <w:t xml:space="preserve">El Instituto realizará los Ejercicios de Medición con el objetivo de evaluar los Parámetros de Calidad para cada uno de los servicios ofrecidos por los Prestadores del Servicio Móvil establecidos en los presentes Lineamientos. La evaluación de los Parámetros de Calidad de los Servicios de Voz y de Mensajes Cortos se realizará dentro del área resultante de la unión de los Mapas de Cobertura Garantizada del servicio de las Tecnologías de Acceso 2G, 3G y 4G. Para el caso del Servicio de Transferencia de Datos, la evaluación </w:t>
      </w:r>
      <w:r w:rsidRPr="00C62D84">
        <w:rPr>
          <w:rFonts w:ascii="Arial" w:eastAsiaTheme="minorHAnsi" w:hAnsi="Arial" w:cs="Arial"/>
          <w:color w:val="2F2F2F"/>
          <w:sz w:val="18"/>
          <w:szCs w:val="18"/>
          <w:lang w:val="es-ES_tradnl"/>
        </w:rPr>
        <w:lastRenderedPageBreak/>
        <w:t xml:space="preserve">de los Parámetros de Calidad se realizará para cada Tecnología de Acceso dentro del área geográfica reportada en los Mapas de Cobertura Garantizada del servicio para las </w:t>
      </w:r>
      <w:r w:rsidR="009113D3" w:rsidRPr="00C62D84">
        <w:rPr>
          <w:rFonts w:ascii="Arial" w:eastAsiaTheme="minorHAnsi" w:hAnsi="Arial" w:cs="Arial"/>
          <w:color w:val="2F2F2F"/>
          <w:sz w:val="18"/>
          <w:szCs w:val="18"/>
          <w:lang w:val="es-ES_tradnl"/>
        </w:rPr>
        <w:t xml:space="preserve">Tecnologías de </w:t>
      </w:r>
      <w:bookmarkStart w:id="3" w:name="_Hlk122079390"/>
      <w:r w:rsidR="009113D3" w:rsidRPr="00C62D84">
        <w:rPr>
          <w:rFonts w:ascii="Arial" w:eastAsiaTheme="minorHAnsi" w:hAnsi="Arial" w:cs="Arial"/>
          <w:color w:val="2F2F2F"/>
          <w:sz w:val="18"/>
          <w:szCs w:val="18"/>
          <w:lang w:val="es-ES_tradnl"/>
        </w:rPr>
        <w:t>Acceso 3G</w:t>
      </w:r>
      <w:bookmarkEnd w:id="3"/>
      <w:r w:rsidR="00B925B1">
        <w:rPr>
          <w:rFonts w:ascii="Arial" w:eastAsiaTheme="minorHAnsi" w:hAnsi="Arial" w:cs="Arial"/>
          <w:color w:val="2F2F2F"/>
          <w:sz w:val="18"/>
          <w:szCs w:val="18"/>
          <w:lang w:val="es-ES_tradnl"/>
        </w:rPr>
        <w:t xml:space="preserve"> </w:t>
      </w:r>
      <w:r w:rsidR="009113D3" w:rsidRPr="00C62D84">
        <w:rPr>
          <w:rFonts w:ascii="Arial" w:eastAsiaTheme="minorHAnsi" w:hAnsi="Arial" w:cs="Arial"/>
          <w:color w:val="2F2F2F"/>
          <w:sz w:val="18"/>
          <w:szCs w:val="18"/>
          <w:lang w:val="es-ES_tradnl"/>
        </w:rPr>
        <w:t xml:space="preserve">y 4G. </w:t>
      </w:r>
    </w:p>
    <w:p w14:paraId="211BE4C8" w14:textId="32650C63" w:rsidR="00C62D84" w:rsidRPr="00C62D84" w:rsidRDefault="00C62D84" w:rsidP="00C62D84">
      <w:pPr>
        <w:autoSpaceDE w:val="0"/>
        <w:autoSpaceDN w:val="0"/>
        <w:adjustRightInd w:val="0"/>
        <w:ind w:left="426" w:right="332"/>
        <w:jc w:val="both"/>
        <w:rPr>
          <w:rFonts w:ascii="Arial" w:eastAsiaTheme="minorHAnsi" w:hAnsi="Arial" w:cs="Arial"/>
          <w:color w:val="2F2F2F"/>
          <w:sz w:val="18"/>
          <w:szCs w:val="18"/>
          <w:lang w:val="es-ES_tradnl"/>
        </w:rPr>
      </w:pPr>
    </w:p>
    <w:p w14:paraId="4624A140" w14:textId="77777777" w:rsidR="00C62D84" w:rsidRPr="00C62D84" w:rsidRDefault="00C62D84" w:rsidP="00C62D84">
      <w:pPr>
        <w:autoSpaceDE w:val="0"/>
        <w:autoSpaceDN w:val="0"/>
        <w:adjustRightInd w:val="0"/>
        <w:ind w:left="426" w:right="332"/>
        <w:jc w:val="both"/>
        <w:rPr>
          <w:rFonts w:ascii="Arial" w:eastAsiaTheme="minorHAnsi" w:hAnsi="Arial" w:cs="Arial"/>
          <w:color w:val="2F2F2F"/>
          <w:sz w:val="18"/>
          <w:szCs w:val="18"/>
          <w:lang w:val="es-ES_tradnl"/>
        </w:rPr>
      </w:pPr>
      <w:r w:rsidRPr="00C62D84">
        <w:rPr>
          <w:rFonts w:ascii="Arial" w:eastAsiaTheme="minorHAnsi" w:hAnsi="Arial" w:cs="Arial"/>
          <w:color w:val="2F2F2F"/>
          <w:sz w:val="18"/>
          <w:szCs w:val="18"/>
          <w:lang w:val="es-ES_tradnl"/>
        </w:rPr>
        <w:t>…</w:t>
      </w:r>
    </w:p>
    <w:p w14:paraId="064AF0DD" w14:textId="77777777" w:rsidR="00C62D84" w:rsidRPr="00C62D84" w:rsidRDefault="00C62D84" w:rsidP="00C62D84">
      <w:pPr>
        <w:autoSpaceDE w:val="0"/>
        <w:autoSpaceDN w:val="0"/>
        <w:adjustRightInd w:val="0"/>
        <w:ind w:left="426" w:right="332"/>
        <w:jc w:val="both"/>
        <w:rPr>
          <w:rFonts w:ascii="Arial" w:eastAsiaTheme="minorHAnsi" w:hAnsi="Arial" w:cs="Arial"/>
          <w:color w:val="2F2F2F"/>
          <w:sz w:val="18"/>
          <w:szCs w:val="18"/>
          <w:lang w:val="es-ES_tradnl"/>
        </w:rPr>
      </w:pPr>
      <w:r w:rsidRPr="00C62D84">
        <w:rPr>
          <w:rFonts w:ascii="Arial" w:hAnsi="Arial" w:cs="Arial"/>
          <w:b/>
          <w:bCs/>
          <w:sz w:val="18"/>
          <w:szCs w:val="18"/>
        </w:rPr>
        <w:t>3.</w:t>
      </w:r>
      <w:r w:rsidRPr="00C62D84">
        <w:rPr>
          <w:rFonts w:ascii="Arial" w:hAnsi="Arial" w:cs="Arial"/>
          <w:sz w:val="18"/>
          <w:szCs w:val="18"/>
        </w:rPr>
        <w:t xml:space="preserve"> a </w:t>
      </w:r>
      <w:r w:rsidRPr="00C62D84">
        <w:rPr>
          <w:rFonts w:ascii="Arial" w:hAnsi="Arial" w:cs="Arial"/>
          <w:b/>
          <w:bCs/>
          <w:sz w:val="18"/>
          <w:szCs w:val="18"/>
        </w:rPr>
        <w:t>5.</w:t>
      </w:r>
      <w:r w:rsidRPr="00C62D84">
        <w:rPr>
          <w:rFonts w:ascii="Arial" w:hAnsi="Arial" w:cs="Arial"/>
          <w:sz w:val="18"/>
          <w:szCs w:val="18"/>
        </w:rPr>
        <w:t xml:space="preserve"> …</w:t>
      </w:r>
    </w:p>
    <w:p w14:paraId="0407153F" w14:textId="5AB8C7DD" w:rsidR="00C62D84" w:rsidRPr="00C62D84" w:rsidRDefault="00C62D84" w:rsidP="00C62D84">
      <w:pPr>
        <w:ind w:left="426" w:right="332"/>
        <w:jc w:val="both"/>
        <w:rPr>
          <w:rFonts w:ascii="Arial" w:hAnsi="Arial" w:cs="Arial"/>
          <w:b/>
          <w:sz w:val="18"/>
          <w:szCs w:val="18"/>
        </w:rPr>
      </w:pPr>
      <w:r w:rsidRPr="00C62D84">
        <w:rPr>
          <w:rFonts w:ascii="Arial" w:hAnsi="Arial" w:cs="Arial"/>
          <w:b/>
          <w:sz w:val="18"/>
          <w:szCs w:val="18"/>
        </w:rPr>
        <w:t xml:space="preserve">6. Medición del Servicio de Voz. </w:t>
      </w:r>
      <w:r w:rsidRPr="00C62D84">
        <w:rPr>
          <w:rFonts w:ascii="Arial" w:hAnsi="Arial" w:cs="Arial"/>
          <w:bCs/>
          <w:sz w:val="18"/>
          <w:szCs w:val="18"/>
        </w:rPr>
        <w:t>…</w:t>
      </w:r>
    </w:p>
    <w:p w14:paraId="1EC6C5E4" w14:textId="77777777" w:rsidR="00C62D84" w:rsidRPr="00C62D84" w:rsidRDefault="00C62D84" w:rsidP="00C62D84">
      <w:pPr>
        <w:pStyle w:val="Prrafodelista"/>
        <w:numPr>
          <w:ilvl w:val="0"/>
          <w:numId w:val="16"/>
        </w:numPr>
        <w:spacing w:line="276" w:lineRule="auto"/>
        <w:ind w:left="426" w:right="332" w:firstLine="0"/>
        <w:jc w:val="both"/>
        <w:rPr>
          <w:rFonts w:eastAsia="Calibri" w:cs="Arial"/>
          <w:bCs/>
          <w:sz w:val="18"/>
          <w:szCs w:val="18"/>
        </w:rPr>
      </w:pPr>
      <w:r w:rsidRPr="00C62D84">
        <w:rPr>
          <w:rFonts w:eastAsia="Calibri" w:cs="Arial"/>
          <w:bCs/>
          <w:sz w:val="18"/>
          <w:szCs w:val="18"/>
        </w:rPr>
        <w:t>Los Eventos de los Parámetros de Calidad del Servicio de Voz se realizarán de manera simultánea a todos los Concesionarios, Concesionarios Mayoristas Móviles y, en su caso, Operadores Móviles Virtuales independientemente de la Tecnología de Acceso mediante la cual se establezca la llamada durante cada Evento. Cuando el Instituto así lo estime conveniente, se podrán realizar Eventos específicos por Concesionarios, Concesionarios Mayoristas Móviles u Operadores Móviles Virtuales en las localidades, Tecnologías de Acceso y Servicios definidas para tales efectos.</w:t>
      </w:r>
    </w:p>
    <w:p w14:paraId="4AA2718D" w14:textId="77777777" w:rsidR="00C62D84" w:rsidRPr="00C62D84" w:rsidRDefault="00C62D84" w:rsidP="00C62D84">
      <w:pPr>
        <w:pStyle w:val="Prrafodelista"/>
        <w:spacing w:line="276" w:lineRule="auto"/>
        <w:ind w:left="426" w:right="332"/>
        <w:jc w:val="both"/>
        <w:rPr>
          <w:rFonts w:eastAsia="Calibri" w:cs="Arial"/>
          <w:bCs/>
          <w:sz w:val="18"/>
          <w:szCs w:val="18"/>
        </w:rPr>
      </w:pPr>
    </w:p>
    <w:p w14:paraId="54EB1121" w14:textId="77777777" w:rsidR="00C62D84" w:rsidRPr="00C62D84" w:rsidRDefault="00C62D84" w:rsidP="00C62D84">
      <w:pPr>
        <w:pStyle w:val="Prrafodelista"/>
        <w:numPr>
          <w:ilvl w:val="0"/>
          <w:numId w:val="16"/>
        </w:numPr>
        <w:spacing w:line="276" w:lineRule="auto"/>
        <w:ind w:left="425" w:right="335" w:firstLine="0"/>
        <w:jc w:val="both"/>
        <w:rPr>
          <w:rFonts w:eastAsia="Calibri" w:cs="Arial"/>
          <w:bCs/>
          <w:sz w:val="18"/>
          <w:szCs w:val="18"/>
        </w:rPr>
      </w:pPr>
      <w:r w:rsidRPr="00C62D84">
        <w:rPr>
          <w:rFonts w:eastAsia="Calibri" w:cs="Arial"/>
          <w:bCs/>
          <w:sz w:val="18"/>
          <w:szCs w:val="18"/>
        </w:rPr>
        <w:t xml:space="preserve">El Tiempo máximo de Establecimiento de Llamada será de 20 segundos medido a partir de que se ejecuta el comando de intento de llamada en el Equipo Terminal Móvil origen hasta que se establece la conexión. En el caso de aquellas llamadas que se establezcan a través de </w:t>
      </w:r>
      <w:proofErr w:type="spellStart"/>
      <w:r w:rsidRPr="00C62D84">
        <w:rPr>
          <w:rFonts w:eastAsia="Calibri" w:cs="Arial"/>
          <w:bCs/>
          <w:sz w:val="18"/>
          <w:szCs w:val="18"/>
        </w:rPr>
        <w:t>VoLTE</w:t>
      </w:r>
      <w:proofErr w:type="spellEnd"/>
      <w:r w:rsidRPr="00C62D84">
        <w:rPr>
          <w:rFonts w:eastAsia="Calibri" w:cs="Arial"/>
          <w:bCs/>
          <w:sz w:val="18"/>
          <w:szCs w:val="18"/>
        </w:rPr>
        <w:t>, se considera que se establece la conexión cuando se recibe el mensaje del protocolo SIP “200 OK”.</w:t>
      </w:r>
    </w:p>
    <w:p w14:paraId="58FCEFD6" w14:textId="77777777" w:rsidR="00C62D84" w:rsidRPr="00C62D84" w:rsidRDefault="00C62D84" w:rsidP="00C62D84">
      <w:pPr>
        <w:spacing w:after="0"/>
        <w:ind w:left="425" w:right="335"/>
        <w:jc w:val="both"/>
        <w:rPr>
          <w:rFonts w:ascii="Arial" w:hAnsi="Arial" w:cs="Arial"/>
          <w:b/>
          <w:bCs/>
          <w:sz w:val="18"/>
          <w:szCs w:val="18"/>
        </w:rPr>
      </w:pPr>
    </w:p>
    <w:p w14:paraId="7A89BE34" w14:textId="77777777" w:rsidR="00C62D84" w:rsidRPr="00C62D84" w:rsidRDefault="00C62D84" w:rsidP="00C62D84">
      <w:pPr>
        <w:spacing w:after="0"/>
        <w:ind w:left="425" w:right="335"/>
        <w:jc w:val="both"/>
        <w:rPr>
          <w:rFonts w:ascii="Arial" w:hAnsi="Arial" w:cs="Arial"/>
          <w:bCs/>
          <w:sz w:val="18"/>
          <w:szCs w:val="18"/>
        </w:rPr>
      </w:pPr>
      <w:r w:rsidRPr="00C62D84">
        <w:rPr>
          <w:rFonts w:ascii="Arial" w:hAnsi="Arial" w:cs="Arial"/>
          <w:b/>
          <w:bCs/>
          <w:sz w:val="18"/>
          <w:szCs w:val="18"/>
        </w:rPr>
        <w:t>III.</w:t>
      </w:r>
      <w:r w:rsidRPr="00C62D84">
        <w:rPr>
          <w:rFonts w:ascii="Arial" w:hAnsi="Arial" w:cs="Arial"/>
          <w:bCs/>
          <w:sz w:val="18"/>
          <w:szCs w:val="18"/>
        </w:rPr>
        <w:t xml:space="preserve"> …</w:t>
      </w:r>
    </w:p>
    <w:p w14:paraId="1152CC73" w14:textId="77777777" w:rsidR="00C62D84" w:rsidRPr="00C62D84" w:rsidRDefault="00C62D84" w:rsidP="00C62D84">
      <w:pPr>
        <w:spacing w:after="0"/>
        <w:ind w:left="425" w:right="335"/>
        <w:jc w:val="both"/>
        <w:rPr>
          <w:rFonts w:ascii="Arial" w:hAnsi="Arial" w:cs="Arial"/>
          <w:bCs/>
          <w:sz w:val="18"/>
          <w:szCs w:val="18"/>
        </w:rPr>
      </w:pPr>
    </w:p>
    <w:p w14:paraId="307A1F7C" w14:textId="77777777" w:rsidR="00C62D84" w:rsidRPr="00C62D84" w:rsidRDefault="00C62D84" w:rsidP="00C62D84">
      <w:pPr>
        <w:pStyle w:val="Normal1"/>
        <w:widowControl w:val="0"/>
        <w:ind w:left="426" w:right="332"/>
        <w:contextualSpacing/>
        <w:jc w:val="both"/>
        <w:rPr>
          <w:sz w:val="18"/>
          <w:szCs w:val="18"/>
          <w:lang w:val="es-ES_tradnl"/>
        </w:rPr>
      </w:pPr>
      <w:r w:rsidRPr="00C62D84">
        <w:rPr>
          <w:b/>
          <w:bCs/>
          <w:sz w:val="18"/>
          <w:szCs w:val="18"/>
          <w:lang w:val="es-ES"/>
        </w:rPr>
        <w:t xml:space="preserve">IV. </w:t>
      </w:r>
      <w:r w:rsidRPr="00C62D84">
        <w:rPr>
          <w:sz w:val="18"/>
          <w:szCs w:val="18"/>
          <w:lang w:val="es-ES_tradnl"/>
        </w:rPr>
        <w:t>El tiempo de duración de los Eventos consecutivos será de un máximo de 165 segundos, lo que implica que el Tiempo de Guarda deberá ser al menos de 15 segundos.</w:t>
      </w:r>
    </w:p>
    <w:p w14:paraId="5816AB5E" w14:textId="77777777" w:rsidR="00C62D84" w:rsidRPr="00C62D84" w:rsidRDefault="00C62D84" w:rsidP="00C62D84">
      <w:pPr>
        <w:pStyle w:val="Normal1"/>
        <w:widowControl w:val="0"/>
        <w:ind w:left="426" w:right="332"/>
        <w:contextualSpacing/>
        <w:jc w:val="both"/>
        <w:rPr>
          <w:sz w:val="18"/>
          <w:szCs w:val="18"/>
          <w:lang w:val="es-ES_tradnl"/>
        </w:rPr>
      </w:pPr>
    </w:p>
    <w:p w14:paraId="78B90E63" w14:textId="77777777" w:rsidR="00C62D84" w:rsidRPr="00C62D84" w:rsidRDefault="00C62D84" w:rsidP="00C62D84">
      <w:pPr>
        <w:ind w:left="426" w:right="332"/>
        <w:jc w:val="both"/>
        <w:rPr>
          <w:rFonts w:ascii="Arial" w:hAnsi="Arial" w:cs="Arial"/>
          <w:b/>
          <w:sz w:val="18"/>
          <w:szCs w:val="18"/>
        </w:rPr>
      </w:pPr>
      <w:r w:rsidRPr="00C62D84">
        <w:rPr>
          <w:rFonts w:ascii="Arial" w:hAnsi="Arial" w:cs="Arial"/>
          <w:b/>
          <w:sz w:val="18"/>
          <w:szCs w:val="18"/>
        </w:rPr>
        <w:t xml:space="preserve">V. </w:t>
      </w:r>
      <w:r w:rsidRPr="00C62D84">
        <w:rPr>
          <w:rFonts w:ascii="Arial" w:hAnsi="Arial" w:cs="Arial"/>
          <w:bCs/>
          <w:sz w:val="18"/>
          <w:szCs w:val="18"/>
        </w:rPr>
        <w:t>…</w:t>
      </w:r>
    </w:p>
    <w:p w14:paraId="4F64609F" w14:textId="77777777" w:rsidR="00436DA2" w:rsidRPr="00C62D84" w:rsidRDefault="00436DA2" w:rsidP="00436DA2">
      <w:pPr>
        <w:pStyle w:val="Prrafodelista"/>
        <w:numPr>
          <w:ilvl w:val="0"/>
          <w:numId w:val="23"/>
        </w:numPr>
        <w:spacing w:line="276" w:lineRule="auto"/>
        <w:ind w:left="426" w:right="332" w:firstLine="0"/>
        <w:jc w:val="both"/>
        <w:rPr>
          <w:rFonts w:eastAsia="Calibri" w:cs="Arial"/>
          <w:bCs/>
          <w:sz w:val="18"/>
          <w:szCs w:val="18"/>
        </w:rPr>
      </w:pPr>
      <w:r w:rsidRPr="00C62D84">
        <w:rPr>
          <w:rFonts w:eastAsia="Calibri" w:cs="Arial"/>
          <w:bCs/>
          <w:sz w:val="18"/>
          <w:szCs w:val="18"/>
        </w:rPr>
        <w:t xml:space="preserve">El siguiente diagrama muestra la secuencia de tiempos para la Evaluación de los Parámetros del Servicio de Voz, donde “s” se refiere a segundos: </w:t>
      </w:r>
    </w:p>
    <w:p w14:paraId="6EEA336D" w14:textId="77777777" w:rsidR="00C62D84" w:rsidRPr="00C62D84" w:rsidRDefault="00C62D84" w:rsidP="00C62D84">
      <w:pPr>
        <w:pStyle w:val="Prrafodelista"/>
        <w:spacing w:line="276" w:lineRule="auto"/>
        <w:ind w:left="426" w:right="332"/>
        <w:rPr>
          <w:rFonts w:eastAsia="Calibri" w:cs="Arial"/>
          <w:bCs/>
          <w:noProof/>
          <w:sz w:val="18"/>
          <w:szCs w:val="18"/>
        </w:rPr>
      </w:pPr>
    </w:p>
    <w:p w14:paraId="29C3C174" w14:textId="5583ED35" w:rsidR="00C62D84" w:rsidRDefault="00781E81" w:rsidP="00781E81">
      <w:pPr>
        <w:pStyle w:val="Prrafodelista"/>
        <w:spacing w:line="276" w:lineRule="auto"/>
        <w:ind w:left="426" w:right="332"/>
        <w:jc w:val="center"/>
        <w:rPr>
          <w:rFonts w:eastAsia="Calibri" w:cs="Arial"/>
          <w:bCs/>
          <w:noProof/>
          <w:sz w:val="18"/>
          <w:szCs w:val="18"/>
        </w:rPr>
      </w:pPr>
      <w:r>
        <w:rPr>
          <w:noProof/>
        </w:rPr>
        <w:drawing>
          <wp:inline distT="0" distB="0" distL="0" distR="0" wp14:anchorId="621E70C1" wp14:editId="440467F5">
            <wp:extent cx="3560208" cy="1617311"/>
            <wp:effectExtent l="0" t="0" r="2540" b="2540"/>
            <wp:docPr id="1" name="Imagen 1" descr="Diagrama,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 Escala de tiempo&#10;&#10;Descripción generada automáticamente"/>
                    <pic:cNvPicPr/>
                  </pic:nvPicPr>
                  <pic:blipFill>
                    <a:blip r:embed="rId8"/>
                    <a:stretch>
                      <a:fillRect/>
                    </a:stretch>
                  </pic:blipFill>
                  <pic:spPr>
                    <a:xfrm>
                      <a:off x="0" y="0"/>
                      <a:ext cx="3591060" cy="1631326"/>
                    </a:xfrm>
                    <a:prstGeom prst="rect">
                      <a:avLst/>
                    </a:prstGeom>
                  </pic:spPr>
                </pic:pic>
              </a:graphicData>
            </a:graphic>
          </wp:inline>
        </w:drawing>
      </w:r>
      <w:r w:rsidR="00106CC0">
        <w:rPr>
          <w:rFonts w:eastAsia="Calibri" w:cs="Arial"/>
          <w:bCs/>
          <w:noProof/>
          <w:sz w:val="18"/>
          <w:szCs w:val="18"/>
        </w:rPr>
        <w:t>”</w:t>
      </w:r>
    </w:p>
    <w:p w14:paraId="4E4BCFEC" w14:textId="77777777" w:rsidR="001C252C" w:rsidRPr="00C62D84" w:rsidRDefault="001C252C" w:rsidP="00781E81">
      <w:pPr>
        <w:pStyle w:val="Prrafodelista"/>
        <w:spacing w:line="276" w:lineRule="auto"/>
        <w:ind w:left="426" w:right="332"/>
        <w:jc w:val="center"/>
        <w:rPr>
          <w:rFonts w:eastAsia="Calibri" w:cs="Arial"/>
          <w:bCs/>
          <w:noProof/>
          <w:sz w:val="18"/>
          <w:szCs w:val="18"/>
        </w:rPr>
      </w:pPr>
    </w:p>
    <w:p w14:paraId="55E1457F" w14:textId="77777777" w:rsidR="00C62D84" w:rsidRPr="00C62D84" w:rsidRDefault="00C62D84" w:rsidP="00C62D84">
      <w:pPr>
        <w:autoSpaceDE w:val="0"/>
        <w:autoSpaceDN w:val="0"/>
        <w:adjustRightInd w:val="0"/>
        <w:ind w:left="426" w:right="332"/>
        <w:jc w:val="center"/>
        <w:rPr>
          <w:rFonts w:ascii="Arial" w:eastAsiaTheme="minorHAnsi" w:hAnsi="Arial" w:cs="Arial"/>
          <w:b/>
          <w:bCs/>
          <w:color w:val="2F2F2F"/>
          <w:sz w:val="18"/>
          <w:szCs w:val="18"/>
        </w:rPr>
      </w:pPr>
      <w:r w:rsidRPr="00C62D84">
        <w:rPr>
          <w:rFonts w:ascii="Arial" w:eastAsiaTheme="minorHAnsi" w:hAnsi="Arial" w:cs="Arial"/>
          <w:b/>
          <w:bCs/>
          <w:color w:val="2F2F2F"/>
          <w:sz w:val="18"/>
          <w:szCs w:val="18"/>
        </w:rPr>
        <w:t>Transitorios</w:t>
      </w:r>
    </w:p>
    <w:p w14:paraId="3E34087B" w14:textId="77777777" w:rsidR="00C62D84" w:rsidRPr="00C62D84" w:rsidRDefault="00C62D84" w:rsidP="00C62D84">
      <w:pPr>
        <w:ind w:right="332"/>
        <w:jc w:val="both"/>
        <w:rPr>
          <w:rFonts w:ascii="Arial" w:hAnsi="Arial" w:cs="Arial"/>
          <w:b/>
          <w:sz w:val="18"/>
          <w:szCs w:val="18"/>
        </w:rPr>
      </w:pPr>
      <w:proofErr w:type="gramStart"/>
      <w:r w:rsidRPr="00C62D84">
        <w:rPr>
          <w:rFonts w:ascii="Arial" w:hAnsi="Arial" w:cs="Arial"/>
          <w:b/>
          <w:sz w:val="18"/>
          <w:szCs w:val="18"/>
        </w:rPr>
        <w:t>Primero.-</w:t>
      </w:r>
      <w:proofErr w:type="gramEnd"/>
      <w:r w:rsidRPr="00C62D84">
        <w:rPr>
          <w:rFonts w:ascii="Arial" w:hAnsi="Arial" w:cs="Arial"/>
          <w:b/>
          <w:sz w:val="18"/>
          <w:szCs w:val="18"/>
        </w:rPr>
        <w:t xml:space="preserve"> </w:t>
      </w:r>
      <w:r w:rsidRPr="00C62D84">
        <w:rPr>
          <w:rFonts w:ascii="Arial" w:hAnsi="Arial" w:cs="Arial"/>
          <w:sz w:val="18"/>
          <w:szCs w:val="18"/>
        </w:rPr>
        <w:t>Publíquese el presente Acuerdo en el Diario Oficial de la Federación, de conformidad con lo dispuesto en el artículo 46 de la Ley Federal de Telecomunicaciones y Radiodifusión, y en el portal de Internet del Instituto Federal de Telecomunicaciones.</w:t>
      </w:r>
    </w:p>
    <w:p w14:paraId="21CC13CB" w14:textId="1C1CB617" w:rsidR="00F97262" w:rsidRPr="00C62D84" w:rsidRDefault="00C62D84" w:rsidP="00863274">
      <w:pPr>
        <w:ind w:right="332"/>
        <w:jc w:val="both"/>
        <w:rPr>
          <w:rFonts w:ascii="Arial" w:eastAsia="Times New Roman" w:hAnsi="Arial" w:cs="Arial"/>
          <w:b/>
          <w:bCs/>
          <w:sz w:val="18"/>
          <w:szCs w:val="18"/>
        </w:rPr>
      </w:pPr>
      <w:proofErr w:type="gramStart"/>
      <w:r w:rsidRPr="00C62D84">
        <w:rPr>
          <w:rFonts w:ascii="Arial" w:hAnsi="Arial" w:cs="Arial"/>
          <w:b/>
          <w:sz w:val="18"/>
          <w:szCs w:val="18"/>
        </w:rPr>
        <w:t>Segundo.-</w:t>
      </w:r>
      <w:proofErr w:type="gramEnd"/>
      <w:r w:rsidRPr="00C62D84">
        <w:rPr>
          <w:rFonts w:ascii="Arial" w:hAnsi="Arial" w:cs="Arial"/>
          <w:b/>
          <w:sz w:val="18"/>
          <w:szCs w:val="18"/>
        </w:rPr>
        <w:t xml:space="preserve"> </w:t>
      </w:r>
      <w:r w:rsidRPr="00C62D84">
        <w:rPr>
          <w:rFonts w:ascii="Arial" w:hAnsi="Arial" w:cs="Arial"/>
          <w:sz w:val="18"/>
          <w:szCs w:val="18"/>
        </w:rPr>
        <w:t>El presente Acuerdo entrará en vigor el día siguiente al de su publicación en el Diario Oficial de la Federación.</w:t>
      </w:r>
    </w:p>
    <w:sectPr w:rsidR="00F97262" w:rsidRPr="00C62D84" w:rsidSect="005C10B0">
      <w:headerReference w:type="even" r:id="rId9"/>
      <w:headerReference w:type="default" r:id="rId10"/>
      <w:footerReference w:type="default" r:id="rId11"/>
      <w:headerReference w:type="first" r:id="rId12"/>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99DD0" w14:textId="77777777" w:rsidR="003E51A3" w:rsidRDefault="003E51A3" w:rsidP="000F1667">
      <w:pPr>
        <w:spacing w:after="0" w:line="240" w:lineRule="auto"/>
      </w:pPr>
      <w:r>
        <w:separator/>
      </w:r>
    </w:p>
  </w:endnote>
  <w:endnote w:type="continuationSeparator" w:id="0">
    <w:p w14:paraId="56371091" w14:textId="77777777" w:rsidR="003E51A3" w:rsidRDefault="003E51A3"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AA051F3" w14:textId="77777777" w:rsidR="00BB6A0B" w:rsidRPr="00BB6A0B" w:rsidRDefault="00BB6A0B"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sidR="00BC2262">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sidR="00BC2262">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0FBE2" w14:textId="77777777" w:rsidR="003E51A3" w:rsidRDefault="003E51A3" w:rsidP="000F1667">
      <w:pPr>
        <w:spacing w:after="0" w:line="240" w:lineRule="auto"/>
      </w:pPr>
      <w:r>
        <w:separator/>
      </w:r>
    </w:p>
  </w:footnote>
  <w:footnote w:type="continuationSeparator" w:id="0">
    <w:p w14:paraId="78892A2B" w14:textId="77777777" w:rsidR="003E51A3" w:rsidRDefault="003E51A3" w:rsidP="000F1667">
      <w:pPr>
        <w:spacing w:after="0" w:line="240" w:lineRule="auto"/>
      </w:pPr>
      <w:r>
        <w:continuationSeparator/>
      </w:r>
    </w:p>
  </w:footnote>
  <w:footnote w:id="1">
    <w:p w14:paraId="7768D18E" w14:textId="4C00C103" w:rsidR="00951596" w:rsidRPr="006D4377" w:rsidRDefault="00951596" w:rsidP="006D4377">
      <w:pPr>
        <w:pStyle w:val="Textonotapie"/>
        <w:jc w:val="both"/>
        <w:rPr>
          <w:rFonts w:ascii="Arial" w:hAnsi="Arial" w:cs="Arial"/>
          <w:sz w:val="18"/>
          <w:szCs w:val="18"/>
          <w:lang w:val="es-MX"/>
        </w:rPr>
      </w:pPr>
      <w:r w:rsidRPr="006D4377">
        <w:rPr>
          <w:rStyle w:val="Refdenotaalpie"/>
          <w:rFonts w:ascii="Arial" w:hAnsi="Arial" w:cs="Arial"/>
          <w:sz w:val="18"/>
          <w:szCs w:val="18"/>
        </w:rPr>
        <w:footnoteRef/>
      </w:r>
      <w:r w:rsidRPr="006D4377">
        <w:rPr>
          <w:rFonts w:ascii="Arial" w:hAnsi="Arial" w:cs="Arial"/>
          <w:sz w:val="18"/>
          <w:szCs w:val="18"/>
        </w:rPr>
        <w:t xml:space="preserve"> </w:t>
      </w:r>
      <w:bookmarkStart w:id="2" w:name="_Hlk120118749"/>
      <w:r w:rsidRPr="006D4377">
        <w:rPr>
          <w:rFonts w:ascii="Arial" w:hAnsi="Arial" w:cs="Arial"/>
          <w:sz w:val="18"/>
          <w:szCs w:val="18"/>
          <w:lang w:val="es-MX"/>
        </w:rPr>
        <w:t xml:space="preserve">Recomendación UIT-T G.1028 (2019), </w:t>
      </w:r>
      <w:r w:rsidRPr="006D4377">
        <w:rPr>
          <w:rFonts w:ascii="Arial" w:hAnsi="Arial" w:cs="Arial"/>
          <w:i/>
          <w:iCs/>
          <w:sz w:val="18"/>
          <w:szCs w:val="18"/>
          <w:lang w:val="es-MX"/>
        </w:rPr>
        <w:t>Calidad de extremo a extremo para servicios vocales en redes móviles 4G</w:t>
      </w:r>
      <w:r w:rsidR="00736422" w:rsidRPr="006D4377">
        <w:rPr>
          <w:rFonts w:ascii="Arial" w:hAnsi="Arial" w:cs="Arial"/>
          <w:i/>
          <w:iCs/>
          <w:sz w:val="18"/>
          <w:szCs w:val="18"/>
          <w:lang w:val="es-MX"/>
        </w:rPr>
        <w:t>.</w:t>
      </w:r>
    </w:p>
    <w:bookmarkEnd w:id="2"/>
  </w:footnote>
  <w:footnote w:id="2">
    <w:p w14:paraId="4452105A" w14:textId="53F97192" w:rsidR="00951596" w:rsidRPr="00736422" w:rsidRDefault="00951596" w:rsidP="006D4377">
      <w:pPr>
        <w:pStyle w:val="Textonotapie"/>
        <w:jc w:val="both"/>
        <w:rPr>
          <w:rFonts w:ascii="Arial" w:hAnsi="Arial" w:cs="Arial"/>
          <w:sz w:val="14"/>
          <w:szCs w:val="14"/>
          <w:lang w:val="es-MX"/>
        </w:rPr>
      </w:pPr>
      <w:r w:rsidRPr="006D4377">
        <w:rPr>
          <w:rStyle w:val="Refdenotaalpie"/>
          <w:rFonts w:ascii="Arial" w:hAnsi="Arial" w:cs="Arial"/>
          <w:sz w:val="18"/>
          <w:szCs w:val="18"/>
        </w:rPr>
        <w:footnoteRef/>
      </w:r>
      <w:r w:rsidRPr="006D4377">
        <w:rPr>
          <w:rFonts w:ascii="Arial" w:hAnsi="Arial" w:cs="Arial"/>
          <w:sz w:val="18"/>
          <w:szCs w:val="18"/>
        </w:rPr>
        <w:t xml:space="preserve"> </w:t>
      </w:r>
      <w:r w:rsidRPr="006D4377">
        <w:rPr>
          <w:rFonts w:ascii="Arial" w:hAnsi="Arial" w:cs="Arial"/>
          <w:sz w:val="18"/>
          <w:szCs w:val="18"/>
          <w:lang w:val="es-MX"/>
        </w:rPr>
        <w:t xml:space="preserve">Recomendación UIT-T G.1028.2 (2019), </w:t>
      </w:r>
      <w:r w:rsidR="00736422" w:rsidRPr="006D4377">
        <w:rPr>
          <w:rFonts w:ascii="Arial" w:hAnsi="Arial" w:cs="Arial"/>
          <w:i/>
          <w:iCs/>
          <w:sz w:val="18"/>
          <w:szCs w:val="18"/>
          <w:lang w:val="es-MX"/>
        </w:rPr>
        <w:t>Evaluación del procedimiento de repliegue de conmutación de circuitos LTE – Influencia sobre la calidad del servicio de voz.</w:t>
      </w:r>
    </w:p>
  </w:footnote>
  <w:footnote w:id="3">
    <w:p w14:paraId="067D9F98" w14:textId="677B191E" w:rsidR="00736422" w:rsidRPr="006D4377" w:rsidRDefault="00736422" w:rsidP="006D4377">
      <w:pPr>
        <w:pStyle w:val="Textonotapie"/>
        <w:jc w:val="both"/>
        <w:rPr>
          <w:rFonts w:ascii="Arial" w:hAnsi="Arial" w:cs="Arial"/>
          <w:color w:val="000000" w:themeColor="text1"/>
          <w:sz w:val="18"/>
          <w:szCs w:val="18"/>
          <w:lang w:val="en-US"/>
        </w:rPr>
      </w:pPr>
      <w:r w:rsidRPr="006D4377">
        <w:rPr>
          <w:rStyle w:val="Refdenotaalpie"/>
          <w:rFonts w:ascii="Arial" w:hAnsi="Arial" w:cs="Arial"/>
          <w:color w:val="000000" w:themeColor="text1"/>
          <w:sz w:val="18"/>
          <w:szCs w:val="18"/>
        </w:rPr>
        <w:footnoteRef/>
      </w:r>
      <w:r w:rsidRPr="006D4377">
        <w:rPr>
          <w:rFonts w:ascii="Arial" w:hAnsi="Arial" w:cs="Arial"/>
          <w:color w:val="000000" w:themeColor="text1"/>
          <w:sz w:val="18"/>
          <w:szCs w:val="18"/>
          <w:lang w:val="en-US"/>
        </w:rPr>
        <w:t xml:space="preserve"> ETSI TS 123 272 (2018), Digital cellular telecommunications system (Phase 2+) (GSM); Universal Mobile Telecommunications System (UMTS); LTE; Circuit Switched (CS) fallback in Evolved Packet System (EPS); Stage 2.</w:t>
      </w:r>
    </w:p>
  </w:footnote>
  <w:footnote w:id="4">
    <w:p w14:paraId="4D4BC4C8" w14:textId="44FB761B" w:rsidR="00736422" w:rsidRPr="006D4377" w:rsidRDefault="00736422" w:rsidP="006D4377">
      <w:pPr>
        <w:pStyle w:val="Textonotapie"/>
        <w:jc w:val="both"/>
        <w:rPr>
          <w:rFonts w:ascii="Arial" w:hAnsi="Arial" w:cs="Arial"/>
          <w:color w:val="000000" w:themeColor="text1"/>
          <w:sz w:val="18"/>
          <w:szCs w:val="18"/>
          <w:lang w:val="en-US"/>
        </w:rPr>
      </w:pPr>
      <w:r w:rsidRPr="006D4377">
        <w:rPr>
          <w:rStyle w:val="Refdenotaalpie"/>
          <w:rFonts w:ascii="Arial" w:hAnsi="Arial" w:cs="Arial"/>
          <w:color w:val="000000" w:themeColor="text1"/>
          <w:sz w:val="18"/>
          <w:szCs w:val="18"/>
        </w:rPr>
        <w:footnoteRef/>
      </w:r>
      <w:r w:rsidRPr="006D4377">
        <w:rPr>
          <w:rFonts w:ascii="Arial" w:hAnsi="Arial" w:cs="Arial"/>
          <w:color w:val="000000" w:themeColor="text1"/>
          <w:sz w:val="18"/>
          <w:szCs w:val="18"/>
          <w:lang w:val="en-US"/>
        </w:rPr>
        <w:t xml:space="preserve"> ETSI TS 102 250-5</w:t>
      </w:r>
      <w:r w:rsidR="007B50BC" w:rsidRPr="006D4377">
        <w:rPr>
          <w:rFonts w:ascii="Arial" w:hAnsi="Arial" w:cs="Arial"/>
          <w:color w:val="000000" w:themeColor="text1"/>
          <w:sz w:val="18"/>
          <w:szCs w:val="18"/>
          <w:lang w:val="en-US"/>
        </w:rPr>
        <w:t xml:space="preserve"> (2019),</w:t>
      </w:r>
      <w:r w:rsidRPr="006D4377">
        <w:rPr>
          <w:rFonts w:ascii="Arial" w:hAnsi="Arial" w:cs="Arial"/>
          <w:color w:val="000000" w:themeColor="text1"/>
          <w:sz w:val="18"/>
          <w:szCs w:val="18"/>
          <w:lang w:val="en-US"/>
        </w:rPr>
        <w:t xml:space="preserve"> </w:t>
      </w:r>
      <w:r w:rsidRPr="006D4377">
        <w:rPr>
          <w:rFonts w:ascii="Arial" w:hAnsi="Arial" w:cs="Arial"/>
          <w:i/>
          <w:iCs/>
          <w:color w:val="000000" w:themeColor="text1"/>
          <w:sz w:val="18"/>
          <w:szCs w:val="18"/>
          <w:lang w:val="en-US"/>
        </w:rPr>
        <w:t>Speech and multimedia Transmission Quality (STQ); QoS aspects for popular services in mobile networks; Part 5: Definition of typical measurement profiles</w:t>
      </w:r>
      <w:r w:rsidR="007B50BC" w:rsidRPr="006D4377">
        <w:rPr>
          <w:rFonts w:ascii="Arial" w:hAnsi="Arial" w:cs="Arial"/>
          <w:i/>
          <w:iCs/>
          <w:color w:val="000000" w:themeColor="text1"/>
          <w:sz w:val="18"/>
          <w:szCs w:val="18"/>
          <w:lang w:val="en-US"/>
        </w:rPr>
        <w:t>.</w:t>
      </w:r>
    </w:p>
  </w:footnote>
  <w:footnote w:id="5">
    <w:p w14:paraId="07D8065B" w14:textId="7078D99D" w:rsidR="00D4705C" w:rsidRPr="006D4377" w:rsidRDefault="00D4705C" w:rsidP="006D4377">
      <w:pPr>
        <w:pStyle w:val="Textonotapie"/>
        <w:jc w:val="both"/>
        <w:rPr>
          <w:rFonts w:ascii="Arial" w:hAnsi="Arial" w:cs="Arial"/>
          <w:color w:val="000000" w:themeColor="text1"/>
          <w:sz w:val="18"/>
          <w:szCs w:val="18"/>
          <w:lang w:val="es-MX"/>
        </w:rPr>
      </w:pPr>
      <w:r w:rsidRPr="006D4377">
        <w:rPr>
          <w:rStyle w:val="Refdenotaalpie"/>
          <w:rFonts w:ascii="Arial" w:hAnsi="Arial" w:cs="Arial"/>
          <w:color w:val="000000" w:themeColor="text1"/>
          <w:sz w:val="18"/>
          <w:szCs w:val="18"/>
        </w:rPr>
        <w:footnoteRef/>
      </w:r>
      <w:r w:rsidRPr="006D4377">
        <w:rPr>
          <w:rFonts w:ascii="Arial" w:hAnsi="Arial" w:cs="Arial"/>
          <w:color w:val="000000" w:themeColor="text1"/>
          <w:sz w:val="18"/>
          <w:szCs w:val="18"/>
        </w:rPr>
        <w:t xml:space="preserve"> </w:t>
      </w:r>
      <w:r w:rsidRPr="006D4377">
        <w:rPr>
          <w:rFonts w:ascii="Arial" w:hAnsi="Arial" w:cs="Arial"/>
          <w:color w:val="000000" w:themeColor="text1"/>
          <w:sz w:val="18"/>
          <w:szCs w:val="18"/>
          <w:lang w:val="es-MX"/>
        </w:rPr>
        <w:t xml:space="preserve">Disponible en la siguiente dirección electrónica: </w:t>
      </w:r>
      <w:hyperlink r:id="rId1" w:history="1">
        <w:r w:rsidRPr="006D4377">
          <w:rPr>
            <w:rStyle w:val="Hipervnculo"/>
            <w:rFonts w:ascii="Arial" w:hAnsi="Arial" w:cs="Arial"/>
            <w:color w:val="000000" w:themeColor="text1"/>
            <w:sz w:val="18"/>
            <w:szCs w:val="18"/>
            <w:lang w:val="es-MX"/>
          </w:rPr>
          <w:t>https://www.ift.org.mx/industria/consultas-publicas/consulta-publica-sobre-el-anteproyecto-del-acuerdo-por-el-que-se-modifican-los-lineamientos-que</w:t>
        </w:r>
      </w:hyperlink>
      <w:r w:rsidRPr="006D4377">
        <w:rPr>
          <w:rFonts w:ascii="Arial" w:hAnsi="Arial" w:cs="Arial"/>
          <w:color w:val="000000" w:themeColor="text1"/>
          <w:sz w:val="18"/>
          <w:szCs w:val="18"/>
          <w:lang w:val="es-MX"/>
        </w:rPr>
        <w:t xml:space="preserve"> </w:t>
      </w:r>
    </w:p>
    <w:p w14:paraId="6057CE83" w14:textId="77777777" w:rsidR="00D4705C" w:rsidRPr="00D4705C" w:rsidRDefault="00D4705C">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A4CAA" w14:textId="79624A22" w:rsidR="00160361" w:rsidRDefault="00160361">
    <w:pPr>
      <w:pStyle w:val="Encabezado"/>
    </w:pPr>
    <w:r>
      <w:rPr>
        <w:noProof/>
      </w:rPr>
      <w:pict w14:anchorId="0C5A25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9485"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7757" w14:textId="3ACFA77E" w:rsidR="00BB6A0B" w:rsidRDefault="00160361">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3067E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9486"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FD05" w14:textId="6AC1A39A" w:rsidR="00160361" w:rsidRDefault="00160361">
    <w:pPr>
      <w:pStyle w:val="Encabezado"/>
    </w:pPr>
    <w:r>
      <w:rPr>
        <w:noProof/>
      </w:rPr>
      <w:pict w14:anchorId="2D748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9484"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E678A9"/>
    <w:multiLevelType w:val="multilevel"/>
    <w:tmpl w:val="6A0E033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5"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6"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B3689D"/>
    <w:multiLevelType w:val="hybridMultilevel"/>
    <w:tmpl w:val="21C00940"/>
    <w:lvl w:ilvl="0" w:tplc="0D5E4F6A">
      <w:start w:val="3"/>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9" w15:restartNumberingAfterBreak="0">
    <w:nsid w:val="37085B16"/>
    <w:multiLevelType w:val="hybridMultilevel"/>
    <w:tmpl w:val="459AA822"/>
    <w:lvl w:ilvl="0" w:tplc="874048DE">
      <w:start w:val="39"/>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11" w15:restartNumberingAfterBreak="0">
    <w:nsid w:val="40F06607"/>
    <w:multiLevelType w:val="hybridMultilevel"/>
    <w:tmpl w:val="95B83DFE"/>
    <w:lvl w:ilvl="0" w:tplc="8DEAB6C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B2D0C"/>
    <w:multiLevelType w:val="hybridMultilevel"/>
    <w:tmpl w:val="2D708356"/>
    <w:lvl w:ilvl="0" w:tplc="EC0E66FE">
      <w:start w:val="1"/>
      <w:numFmt w:val="upperRoman"/>
      <w:lvlText w:val="%1."/>
      <w:lvlJc w:val="right"/>
      <w:pPr>
        <w:ind w:left="502"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D05117"/>
    <w:multiLevelType w:val="hybridMultilevel"/>
    <w:tmpl w:val="5AE47422"/>
    <w:lvl w:ilvl="0" w:tplc="0BDEA5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637911"/>
    <w:multiLevelType w:val="hybridMultilevel"/>
    <w:tmpl w:val="83B2B538"/>
    <w:lvl w:ilvl="0" w:tplc="0C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6AD82B57"/>
    <w:multiLevelType w:val="hybridMultilevel"/>
    <w:tmpl w:val="BDCA7AFE"/>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840992"/>
    <w:multiLevelType w:val="hybridMultilevel"/>
    <w:tmpl w:val="B356971A"/>
    <w:lvl w:ilvl="0" w:tplc="18469B84">
      <w:start w:val="5"/>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1A0B91"/>
    <w:multiLevelType w:val="hybridMultilevel"/>
    <w:tmpl w:val="87D2180A"/>
    <w:lvl w:ilvl="0" w:tplc="451E01D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7BD561C"/>
    <w:multiLevelType w:val="hybridMultilevel"/>
    <w:tmpl w:val="90987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411F3C"/>
    <w:multiLevelType w:val="hybridMultilevel"/>
    <w:tmpl w:val="709A26DE"/>
    <w:lvl w:ilvl="0" w:tplc="73782802">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A834DD"/>
    <w:multiLevelType w:val="hybridMultilevel"/>
    <w:tmpl w:val="A38474A8"/>
    <w:lvl w:ilvl="0" w:tplc="ED5A288A">
      <w:start w:val="6"/>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2"/>
  </w:num>
  <w:num w:numId="2">
    <w:abstractNumId w:val="2"/>
  </w:num>
  <w:num w:numId="3">
    <w:abstractNumId w:val="4"/>
  </w:num>
  <w:num w:numId="4">
    <w:abstractNumId w:val="5"/>
  </w:num>
  <w:num w:numId="5">
    <w:abstractNumId w:val="6"/>
  </w:num>
  <w:num w:numId="6">
    <w:abstractNumId w:val="17"/>
  </w:num>
  <w:num w:numId="7">
    <w:abstractNumId w:val="10"/>
  </w:num>
  <w:num w:numId="8">
    <w:abstractNumId w:val="8"/>
  </w:num>
  <w:num w:numId="9">
    <w:abstractNumId w:val="0"/>
  </w:num>
  <w:num w:numId="10">
    <w:abstractNumId w:val="20"/>
  </w:num>
  <w:num w:numId="11">
    <w:abstractNumId w:val="13"/>
  </w:num>
  <w:num w:numId="12">
    <w:abstractNumId w:val="3"/>
  </w:num>
  <w:num w:numId="13">
    <w:abstractNumId w:val="11"/>
  </w:num>
  <w:num w:numId="14">
    <w:abstractNumId w:val="14"/>
  </w:num>
  <w:num w:numId="15">
    <w:abstractNumId w:val="15"/>
  </w:num>
  <w:num w:numId="16">
    <w:abstractNumId w:val="21"/>
  </w:num>
  <w:num w:numId="17">
    <w:abstractNumId w:val="18"/>
  </w:num>
  <w:num w:numId="18">
    <w:abstractNumId w:val="16"/>
  </w:num>
  <w:num w:numId="19">
    <w:abstractNumId w:val="9"/>
  </w:num>
  <w:num w:numId="20">
    <w:abstractNumId w:val="1"/>
  </w:num>
  <w:num w:numId="21">
    <w:abstractNumId w:val="7"/>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07FD"/>
    <w:rsid w:val="00011227"/>
    <w:rsid w:val="00012EAF"/>
    <w:rsid w:val="00015C2E"/>
    <w:rsid w:val="00024EF0"/>
    <w:rsid w:val="00032A7C"/>
    <w:rsid w:val="00036160"/>
    <w:rsid w:val="00044CC9"/>
    <w:rsid w:val="0004749E"/>
    <w:rsid w:val="00050A90"/>
    <w:rsid w:val="00056E3F"/>
    <w:rsid w:val="000577B5"/>
    <w:rsid w:val="00080904"/>
    <w:rsid w:val="00081414"/>
    <w:rsid w:val="00086F4B"/>
    <w:rsid w:val="00092CDB"/>
    <w:rsid w:val="000A39B5"/>
    <w:rsid w:val="000A4820"/>
    <w:rsid w:val="000A6429"/>
    <w:rsid w:val="000B33AD"/>
    <w:rsid w:val="000B5379"/>
    <w:rsid w:val="000B569D"/>
    <w:rsid w:val="000B58EC"/>
    <w:rsid w:val="000C7ECF"/>
    <w:rsid w:val="000D2621"/>
    <w:rsid w:val="000E0296"/>
    <w:rsid w:val="000E5357"/>
    <w:rsid w:val="000E5D27"/>
    <w:rsid w:val="000F1667"/>
    <w:rsid w:val="000F40CA"/>
    <w:rsid w:val="00100766"/>
    <w:rsid w:val="001013A8"/>
    <w:rsid w:val="0010495D"/>
    <w:rsid w:val="00106CC0"/>
    <w:rsid w:val="0011347F"/>
    <w:rsid w:val="00114F1F"/>
    <w:rsid w:val="00117045"/>
    <w:rsid w:val="00117D9A"/>
    <w:rsid w:val="00121596"/>
    <w:rsid w:val="00121B9D"/>
    <w:rsid w:val="0012334F"/>
    <w:rsid w:val="00142C05"/>
    <w:rsid w:val="001461F4"/>
    <w:rsid w:val="0015078B"/>
    <w:rsid w:val="00150D39"/>
    <w:rsid w:val="00160361"/>
    <w:rsid w:val="00163C55"/>
    <w:rsid w:val="00163CA9"/>
    <w:rsid w:val="001712AB"/>
    <w:rsid w:val="001733F4"/>
    <w:rsid w:val="00173F38"/>
    <w:rsid w:val="0017658C"/>
    <w:rsid w:val="00176F4C"/>
    <w:rsid w:val="0018015F"/>
    <w:rsid w:val="001825D7"/>
    <w:rsid w:val="00182842"/>
    <w:rsid w:val="00192D3C"/>
    <w:rsid w:val="00197215"/>
    <w:rsid w:val="001A1158"/>
    <w:rsid w:val="001A409B"/>
    <w:rsid w:val="001A6883"/>
    <w:rsid w:val="001B5111"/>
    <w:rsid w:val="001B5FD2"/>
    <w:rsid w:val="001C252C"/>
    <w:rsid w:val="001C5D91"/>
    <w:rsid w:val="001D4543"/>
    <w:rsid w:val="001F31EE"/>
    <w:rsid w:val="0020223F"/>
    <w:rsid w:val="0020725B"/>
    <w:rsid w:val="002224BE"/>
    <w:rsid w:val="00222EC0"/>
    <w:rsid w:val="002322A9"/>
    <w:rsid w:val="0024544D"/>
    <w:rsid w:val="0028705D"/>
    <w:rsid w:val="00290BDC"/>
    <w:rsid w:val="00297A60"/>
    <w:rsid w:val="002A3C3A"/>
    <w:rsid w:val="002A6530"/>
    <w:rsid w:val="002B0DCC"/>
    <w:rsid w:val="002B5BE2"/>
    <w:rsid w:val="002B72DB"/>
    <w:rsid w:val="002C081B"/>
    <w:rsid w:val="002D6730"/>
    <w:rsid w:val="002E0994"/>
    <w:rsid w:val="002E383B"/>
    <w:rsid w:val="002E68F4"/>
    <w:rsid w:val="002F655D"/>
    <w:rsid w:val="00301288"/>
    <w:rsid w:val="003021EF"/>
    <w:rsid w:val="0031638B"/>
    <w:rsid w:val="00317527"/>
    <w:rsid w:val="0031791D"/>
    <w:rsid w:val="003313D6"/>
    <w:rsid w:val="00332058"/>
    <w:rsid w:val="0033402E"/>
    <w:rsid w:val="003352AD"/>
    <w:rsid w:val="00340F7D"/>
    <w:rsid w:val="00346F41"/>
    <w:rsid w:val="003527F3"/>
    <w:rsid w:val="00354F3D"/>
    <w:rsid w:val="00362B2E"/>
    <w:rsid w:val="00362DB1"/>
    <w:rsid w:val="003759D0"/>
    <w:rsid w:val="00375AA5"/>
    <w:rsid w:val="00377CBA"/>
    <w:rsid w:val="003858CC"/>
    <w:rsid w:val="00387087"/>
    <w:rsid w:val="00387740"/>
    <w:rsid w:val="0039221C"/>
    <w:rsid w:val="0039289C"/>
    <w:rsid w:val="00392C02"/>
    <w:rsid w:val="003953DA"/>
    <w:rsid w:val="003A35DA"/>
    <w:rsid w:val="003A3AF9"/>
    <w:rsid w:val="003A50DE"/>
    <w:rsid w:val="003A7583"/>
    <w:rsid w:val="003B32DB"/>
    <w:rsid w:val="003B55F3"/>
    <w:rsid w:val="003C5B5D"/>
    <w:rsid w:val="003D25FB"/>
    <w:rsid w:val="003D3DDB"/>
    <w:rsid w:val="003E51A3"/>
    <w:rsid w:val="003E6265"/>
    <w:rsid w:val="003F1F15"/>
    <w:rsid w:val="003F5473"/>
    <w:rsid w:val="00401260"/>
    <w:rsid w:val="00402019"/>
    <w:rsid w:val="00404795"/>
    <w:rsid w:val="00404C0B"/>
    <w:rsid w:val="0040628E"/>
    <w:rsid w:val="00436DA2"/>
    <w:rsid w:val="00440657"/>
    <w:rsid w:val="00455F64"/>
    <w:rsid w:val="00457A8B"/>
    <w:rsid w:val="004836FF"/>
    <w:rsid w:val="00493105"/>
    <w:rsid w:val="00494145"/>
    <w:rsid w:val="004A3D81"/>
    <w:rsid w:val="004A438D"/>
    <w:rsid w:val="004A787A"/>
    <w:rsid w:val="004B7FC4"/>
    <w:rsid w:val="004C3D6B"/>
    <w:rsid w:val="004C4393"/>
    <w:rsid w:val="004C4556"/>
    <w:rsid w:val="004D3BA7"/>
    <w:rsid w:val="004E2287"/>
    <w:rsid w:val="004E343B"/>
    <w:rsid w:val="004E4876"/>
    <w:rsid w:val="004E5B65"/>
    <w:rsid w:val="004E6D77"/>
    <w:rsid w:val="004F426E"/>
    <w:rsid w:val="005002AA"/>
    <w:rsid w:val="00507336"/>
    <w:rsid w:val="005105C3"/>
    <w:rsid w:val="005115E7"/>
    <w:rsid w:val="00511DA9"/>
    <w:rsid w:val="00516876"/>
    <w:rsid w:val="00522D16"/>
    <w:rsid w:val="00523FEC"/>
    <w:rsid w:val="00534698"/>
    <w:rsid w:val="00536906"/>
    <w:rsid w:val="00540002"/>
    <w:rsid w:val="005539D3"/>
    <w:rsid w:val="005642DD"/>
    <w:rsid w:val="0057058D"/>
    <w:rsid w:val="00577F3A"/>
    <w:rsid w:val="0058540A"/>
    <w:rsid w:val="00585B50"/>
    <w:rsid w:val="00594930"/>
    <w:rsid w:val="00594F1F"/>
    <w:rsid w:val="00595151"/>
    <w:rsid w:val="005A6EE2"/>
    <w:rsid w:val="005B03CA"/>
    <w:rsid w:val="005B114A"/>
    <w:rsid w:val="005B173B"/>
    <w:rsid w:val="005C10B0"/>
    <w:rsid w:val="005C765A"/>
    <w:rsid w:val="005D1983"/>
    <w:rsid w:val="005D63BB"/>
    <w:rsid w:val="005E5E76"/>
    <w:rsid w:val="005E5F8A"/>
    <w:rsid w:val="005E65BA"/>
    <w:rsid w:val="005E7BBE"/>
    <w:rsid w:val="005F1C59"/>
    <w:rsid w:val="00603B54"/>
    <w:rsid w:val="006051DD"/>
    <w:rsid w:val="00625FA8"/>
    <w:rsid w:val="0062601A"/>
    <w:rsid w:val="00626B37"/>
    <w:rsid w:val="006314C5"/>
    <w:rsid w:val="0063343A"/>
    <w:rsid w:val="006343AA"/>
    <w:rsid w:val="0063527F"/>
    <w:rsid w:val="00635534"/>
    <w:rsid w:val="00646089"/>
    <w:rsid w:val="00651D4E"/>
    <w:rsid w:val="00652B91"/>
    <w:rsid w:val="00661919"/>
    <w:rsid w:val="00663B54"/>
    <w:rsid w:val="00664C5C"/>
    <w:rsid w:val="00672D0A"/>
    <w:rsid w:val="00676B19"/>
    <w:rsid w:val="0067713B"/>
    <w:rsid w:val="00681C66"/>
    <w:rsid w:val="00681F2D"/>
    <w:rsid w:val="0068486B"/>
    <w:rsid w:val="006A1342"/>
    <w:rsid w:val="006A22AD"/>
    <w:rsid w:val="006A32E4"/>
    <w:rsid w:val="006A4D1C"/>
    <w:rsid w:val="006C4DD2"/>
    <w:rsid w:val="006D4377"/>
    <w:rsid w:val="006D57C9"/>
    <w:rsid w:val="006E0FD9"/>
    <w:rsid w:val="006E19EF"/>
    <w:rsid w:val="006E2278"/>
    <w:rsid w:val="0070008D"/>
    <w:rsid w:val="007002C0"/>
    <w:rsid w:val="00704F51"/>
    <w:rsid w:val="007102C7"/>
    <w:rsid w:val="00712475"/>
    <w:rsid w:val="00717CC6"/>
    <w:rsid w:val="00721257"/>
    <w:rsid w:val="007243B7"/>
    <w:rsid w:val="00732240"/>
    <w:rsid w:val="00736422"/>
    <w:rsid w:val="00736D39"/>
    <w:rsid w:val="007448D0"/>
    <w:rsid w:val="00747C54"/>
    <w:rsid w:val="007508B4"/>
    <w:rsid w:val="007604FF"/>
    <w:rsid w:val="00764C50"/>
    <w:rsid w:val="00765106"/>
    <w:rsid w:val="00781E81"/>
    <w:rsid w:val="007872D7"/>
    <w:rsid w:val="0078795B"/>
    <w:rsid w:val="0079767C"/>
    <w:rsid w:val="007A478B"/>
    <w:rsid w:val="007A55FC"/>
    <w:rsid w:val="007B50BC"/>
    <w:rsid w:val="007C453E"/>
    <w:rsid w:val="007C5041"/>
    <w:rsid w:val="007D31FF"/>
    <w:rsid w:val="007E6179"/>
    <w:rsid w:val="007E7555"/>
    <w:rsid w:val="007F44A8"/>
    <w:rsid w:val="00803AD1"/>
    <w:rsid w:val="00812D26"/>
    <w:rsid w:val="00814FE3"/>
    <w:rsid w:val="00817709"/>
    <w:rsid w:val="00824A3E"/>
    <w:rsid w:val="008253F1"/>
    <w:rsid w:val="0082755C"/>
    <w:rsid w:val="00836813"/>
    <w:rsid w:val="008420C6"/>
    <w:rsid w:val="00846FEC"/>
    <w:rsid w:val="008626DA"/>
    <w:rsid w:val="00863274"/>
    <w:rsid w:val="00872F3B"/>
    <w:rsid w:val="00872FB9"/>
    <w:rsid w:val="00876AB1"/>
    <w:rsid w:val="0087746B"/>
    <w:rsid w:val="00881446"/>
    <w:rsid w:val="00883BAF"/>
    <w:rsid w:val="00884DDC"/>
    <w:rsid w:val="0089270E"/>
    <w:rsid w:val="0089359F"/>
    <w:rsid w:val="008939DE"/>
    <w:rsid w:val="008A2534"/>
    <w:rsid w:val="008C1460"/>
    <w:rsid w:val="008C2456"/>
    <w:rsid w:val="008C5D54"/>
    <w:rsid w:val="008F6593"/>
    <w:rsid w:val="00902E38"/>
    <w:rsid w:val="00903576"/>
    <w:rsid w:val="009113D3"/>
    <w:rsid w:val="009202FA"/>
    <w:rsid w:val="00922C05"/>
    <w:rsid w:val="00926E0F"/>
    <w:rsid w:val="00941C94"/>
    <w:rsid w:val="00951596"/>
    <w:rsid w:val="009578C9"/>
    <w:rsid w:val="0097529C"/>
    <w:rsid w:val="00984242"/>
    <w:rsid w:val="00997133"/>
    <w:rsid w:val="009A76F7"/>
    <w:rsid w:val="009B69B4"/>
    <w:rsid w:val="009C096A"/>
    <w:rsid w:val="009C3BEC"/>
    <w:rsid w:val="009D0963"/>
    <w:rsid w:val="009D60D9"/>
    <w:rsid w:val="009D76A1"/>
    <w:rsid w:val="00A007BC"/>
    <w:rsid w:val="00A13A15"/>
    <w:rsid w:val="00A1421C"/>
    <w:rsid w:val="00A2374E"/>
    <w:rsid w:val="00A27142"/>
    <w:rsid w:val="00A360D0"/>
    <w:rsid w:val="00A449FC"/>
    <w:rsid w:val="00A54135"/>
    <w:rsid w:val="00A7368E"/>
    <w:rsid w:val="00AA01A7"/>
    <w:rsid w:val="00AA1D56"/>
    <w:rsid w:val="00AA3F0B"/>
    <w:rsid w:val="00AA6766"/>
    <w:rsid w:val="00AB36EB"/>
    <w:rsid w:val="00AB5356"/>
    <w:rsid w:val="00AB5CF1"/>
    <w:rsid w:val="00AB6CC1"/>
    <w:rsid w:val="00AC0FCD"/>
    <w:rsid w:val="00AC2CA4"/>
    <w:rsid w:val="00AC6D37"/>
    <w:rsid w:val="00AC6FE6"/>
    <w:rsid w:val="00AD1B88"/>
    <w:rsid w:val="00AE0DEA"/>
    <w:rsid w:val="00AE5F1A"/>
    <w:rsid w:val="00AF02D3"/>
    <w:rsid w:val="00AF107C"/>
    <w:rsid w:val="00AF42A4"/>
    <w:rsid w:val="00AF78B9"/>
    <w:rsid w:val="00B025D1"/>
    <w:rsid w:val="00B231CE"/>
    <w:rsid w:val="00B24ECC"/>
    <w:rsid w:val="00B25979"/>
    <w:rsid w:val="00B261DF"/>
    <w:rsid w:val="00B33186"/>
    <w:rsid w:val="00B4708D"/>
    <w:rsid w:val="00B513A6"/>
    <w:rsid w:val="00B529C6"/>
    <w:rsid w:val="00B550DB"/>
    <w:rsid w:val="00B70BD3"/>
    <w:rsid w:val="00B75550"/>
    <w:rsid w:val="00B7567C"/>
    <w:rsid w:val="00B76510"/>
    <w:rsid w:val="00B77295"/>
    <w:rsid w:val="00B8565C"/>
    <w:rsid w:val="00B925B1"/>
    <w:rsid w:val="00B93601"/>
    <w:rsid w:val="00B94C45"/>
    <w:rsid w:val="00B97A2A"/>
    <w:rsid w:val="00BB6A0B"/>
    <w:rsid w:val="00BC2262"/>
    <w:rsid w:val="00BD239E"/>
    <w:rsid w:val="00BD41D1"/>
    <w:rsid w:val="00BD4B2D"/>
    <w:rsid w:val="00BD5F0F"/>
    <w:rsid w:val="00BF05B1"/>
    <w:rsid w:val="00BF0ABC"/>
    <w:rsid w:val="00C00948"/>
    <w:rsid w:val="00C021A3"/>
    <w:rsid w:val="00C04F5B"/>
    <w:rsid w:val="00C16D1B"/>
    <w:rsid w:val="00C26DC9"/>
    <w:rsid w:val="00C31D4E"/>
    <w:rsid w:val="00C46FA9"/>
    <w:rsid w:val="00C51969"/>
    <w:rsid w:val="00C62D84"/>
    <w:rsid w:val="00C639F5"/>
    <w:rsid w:val="00C6401E"/>
    <w:rsid w:val="00C73249"/>
    <w:rsid w:val="00C73676"/>
    <w:rsid w:val="00C806C6"/>
    <w:rsid w:val="00C82C07"/>
    <w:rsid w:val="00C8657F"/>
    <w:rsid w:val="00C9799C"/>
    <w:rsid w:val="00CB3C42"/>
    <w:rsid w:val="00CC57FF"/>
    <w:rsid w:val="00CD4F4E"/>
    <w:rsid w:val="00CD5F9E"/>
    <w:rsid w:val="00CE11DD"/>
    <w:rsid w:val="00CE7A10"/>
    <w:rsid w:val="00CF40CE"/>
    <w:rsid w:val="00CF5479"/>
    <w:rsid w:val="00CF710E"/>
    <w:rsid w:val="00D024A4"/>
    <w:rsid w:val="00D16B58"/>
    <w:rsid w:val="00D2471F"/>
    <w:rsid w:val="00D269EB"/>
    <w:rsid w:val="00D30C14"/>
    <w:rsid w:val="00D35A46"/>
    <w:rsid w:val="00D36803"/>
    <w:rsid w:val="00D403CE"/>
    <w:rsid w:val="00D45275"/>
    <w:rsid w:val="00D45718"/>
    <w:rsid w:val="00D4705C"/>
    <w:rsid w:val="00D47D0D"/>
    <w:rsid w:val="00D51CB1"/>
    <w:rsid w:val="00D53891"/>
    <w:rsid w:val="00D60CCE"/>
    <w:rsid w:val="00D7270A"/>
    <w:rsid w:val="00D77F6B"/>
    <w:rsid w:val="00D81506"/>
    <w:rsid w:val="00D82951"/>
    <w:rsid w:val="00D91FCA"/>
    <w:rsid w:val="00D94EE7"/>
    <w:rsid w:val="00DA3F8A"/>
    <w:rsid w:val="00DB7E00"/>
    <w:rsid w:val="00DD074C"/>
    <w:rsid w:val="00DD5A0B"/>
    <w:rsid w:val="00DD5E68"/>
    <w:rsid w:val="00DE2B04"/>
    <w:rsid w:val="00DE2EDC"/>
    <w:rsid w:val="00DF4A2F"/>
    <w:rsid w:val="00E11369"/>
    <w:rsid w:val="00E11FC5"/>
    <w:rsid w:val="00E320C9"/>
    <w:rsid w:val="00E3668D"/>
    <w:rsid w:val="00E37FE7"/>
    <w:rsid w:val="00E44450"/>
    <w:rsid w:val="00E44A4D"/>
    <w:rsid w:val="00E47B82"/>
    <w:rsid w:val="00E547A5"/>
    <w:rsid w:val="00E5768B"/>
    <w:rsid w:val="00E612D5"/>
    <w:rsid w:val="00E621CB"/>
    <w:rsid w:val="00E63360"/>
    <w:rsid w:val="00E64094"/>
    <w:rsid w:val="00E65356"/>
    <w:rsid w:val="00E67756"/>
    <w:rsid w:val="00E86D72"/>
    <w:rsid w:val="00EA0F86"/>
    <w:rsid w:val="00EA1BA2"/>
    <w:rsid w:val="00EA618A"/>
    <w:rsid w:val="00EB1176"/>
    <w:rsid w:val="00EB2BA2"/>
    <w:rsid w:val="00EB35B6"/>
    <w:rsid w:val="00EB5598"/>
    <w:rsid w:val="00EB7A55"/>
    <w:rsid w:val="00EC035B"/>
    <w:rsid w:val="00EC1BB5"/>
    <w:rsid w:val="00EE33AB"/>
    <w:rsid w:val="00EE3732"/>
    <w:rsid w:val="00EE5E27"/>
    <w:rsid w:val="00EE6FF0"/>
    <w:rsid w:val="00EF2F16"/>
    <w:rsid w:val="00EF4C2D"/>
    <w:rsid w:val="00F02FAB"/>
    <w:rsid w:val="00F0763B"/>
    <w:rsid w:val="00F200A1"/>
    <w:rsid w:val="00F2085E"/>
    <w:rsid w:val="00F20A3A"/>
    <w:rsid w:val="00F25421"/>
    <w:rsid w:val="00F3151D"/>
    <w:rsid w:val="00F33CBE"/>
    <w:rsid w:val="00F348F5"/>
    <w:rsid w:val="00F41A76"/>
    <w:rsid w:val="00F448D5"/>
    <w:rsid w:val="00F50E0D"/>
    <w:rsid w:val="00F55C92"/>
    <w:rsid w:val="00F602D9"/>
    <w:rsid w:val="00F6634C"/>
    <w:rsid w:val="00F7215F"/>
    <w:rsid w:val="00F7261B"/>
    <w:rsid w:val="00F73233"/>
    <w:rsid w:val="00F76204"/>
    <w:rsid w:val="00F76BA6"/>
    <w:rsid w:val="00F76D2C"/>
    <w:rsid w:val="00F76DBB"/>
    <w:rsid w:val="00F869FE"/>
    <w:rsid w:val="00F955BF"/>
    <w:rsid w:val="00F97262"/>
    <w:rsid w:val="00FA523F"/>
    <w:rsid w:val="00FC672E"/>
    <w:rsid w:val="00FD6358"/>
    <w:rsid w:val="00FE50B4"/>
    <w:rsid w:val="00FF2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A89E1D8"/>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paragraph" w:styleId="Ttulo4">
    <w:name w:val="heading 4"/>
    <w:basedOn w:val="Normal"/>
    <w:next w:val="Normal"/>
    <w:link w:val="Ttulo4Car"/>
    <w:uiPriority w:val="9"/>
    <w:semiHidden/>
    <w:unhideWhenUsed/>
    <w:qFormat/>
    <w:rsid w:val="008C14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uiPriority w:val="3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link w:val="SinespaciadoCar"/>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Default">
    <w:name w:val="Default"/>
    <w:rsid w:val="004A438D"/>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customStyle="1" w:styleId="Normal1">
    <w:name w:val="Normal1"/>
    <w:rsid w:val="004A438D"/>
    <w:pPr>
      <w:spacing w:after="0" w:line="276" w:lineRule="auto"/>
    </w:pPr>
    <w:rPr>
      <w:rFonts w:ascii="Arial" w:eastAsia="Arial" w:hAnsi="Arial" w:cs="Arial"/>
      <w:color w:val="000000"/>
      <w:szCs w:val="24"/>
      <w:lang w:eastAsia="es-ES"/>
    </w:rPr>
  </w:style>
  <w:style w:type="character" w:styleId="Refdecomentario">
    <w:name w:val="annotation reference"/>
    <w:basedOn w:val="Fuentedeprrafopredeter"/>
    <w:uiPriority w:val="99"/>
    <w:semiHidden/>
    <w:unhideWhenUsed/>
    <w:rsid w:val="00EE5E27"/>
    <w:rPr>
      <w:sz w:val="16"/>
      <w:szCs w:val="16"/>
    </w:rPr>
  </w:style>
  <w:style w:type="paragraph" w:styleId="Textocomentario">
    <w:name w:val="annotation text"/>
    <w:basedOn w:val="Normal"/>
    <w:link w:val="TextocomentarioCar"/>
    <w:uiPriority w:val="99"/>
    <w:unhideWhenUsed/>
    <w:rsid w:val="00EE5E27"/>
    <w:pPr>
      <w:spacing w:line="240" w:lineRule="auto"/>
    </w:pPr>
    <w:rPr>
      <w:sz w:val="20"/>
      <w:szCs w:val="20"/>
    </w:rPr>
  </w:style>
  <w:style w:type="character" w:customStyle="1" w:styleId="TextocomentarioCar">
    <w:name w:val="Texto comentario Car"/>
    <w:basedOn w:val="Fuentedeprrafopredeter"/>
    <w:link w:val="Textocomentario"/>
    <w:uiPriority w:val="99"/>
    <w:rsid w:val="00EE5E27"/>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E5E27"/>
    <w:rPr>
      <w:b/>
      <w:bCs/>
    </w:rPr>
  </w:style>
  <w:style w:type="character" w:customStyle="1" w:styleId="AsuntodelcomentarioCar">
    <w:name w:val="Asunto del comentario Car"/>
    <w:basedOn w:val="TextocomentarioCar"/>
    <w:link w:val="Asuntodelcomentario"/>
    <w:uiPriority w:val="99"/>
    <w:semiHidden/>
    <w:rsid w:val="00EE5E27"/>
    <w:rPr>
      <w:rFonts w:ascii="Calibri" w:eastAsia="Calibri" w:hAnsi="Calibri" w:cs="Times New Roman"/>
      <w:b/>
      <w:bCs/>
      <w:sz w:val="20"/>
      <w:szCs w:val="20"/>
      <w:lang w:val="es-ES"/>
    </w:rPr>
  </w:style>
  <w:style w:type="paragraph" w:customStyle="1" w:styleId="Texto">
    <w:name w:val="Texto"/>
    <w:aliases w:val="independiente,independiente Car Car Car"/>
    <w:basedOn w:val="Normal"/>
    <w:link w:val="TextoCar"/>
    <w:qFormat/>
    <w:rsid w:val="002E099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2E0994"/>
    <w:rPr>
      <w:rFonts w:ascii="Arial" w:eastAsia="Times New Roman" w:hAnsi="Arial" w:cs="Arial"/>
      <w:sz w:val="18"/>
      <w:szCs w:val="20"/>
      <w:lang w:val="es-ES" w:eastAsia="es-ES"/>
    </w:rPr>
  </w:style>
  <w:style w:type="character" w:styleId="Mencinsinresolver">
    <w:name w:val="Unresolved Mention"/>
    <w:basedOn w:val="Fuentedeprrafopredeter"/>
    <w:uiPriority w:val="99"/>
    <w:semiHidden/>
    <w:unhideWhenUsed/>
    <w:rsid w:val="00CD4F4E"/>
    <w:rPr>
      <w:color w:val="605E5C"/>
      <w:shd w:val="clear" w:color="auto" w:fill="E1DFDD"/>
    </w:rPr>
  </w:style>
  <w:style w:type="character" w:customStyle="1" w:styleId="SinespaciadoCar">
    <w:name w:val="Sin espaciado Car"/>
    <w:basedOn w:val="Fuentedeprrafopredeter"/>
    <w:link w:val="Sinespaciado"/>
    <w:uiPriority w:val="1"/>
    <w:rsid w:val="00F97262"/>
    <w:rPr>
      <w:rFonts w:ascii="Calibri" w:eastAsia="Calibri" w:hAnsi="Calibri" w:cs="Times New Roman"/>
    </w:rPr>
  </w:style>
  <w:style w:type="paragraph" w:styleId="Textonotaalfinal">
    <w:name w:val="endnote text"/>
    <w:basedOn w:val="Normal"/>
    <w:link w:val="TextonotaalfinalCar"/>
    <w:uiPriority w:val="99"/>
    <w:semiHidden/>
    <w:unhideWhenUsed/>
    <w:rsid w:val="0095159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51596"/>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951596"/>
    <w:rPr>
      <w:vertAlign w:val="superscript"/>
    </w:rPr>
  </w:style>
  <w:style w:type="paragraph" w:styleId="Revisin">
    <w:name w:val="Revision"/>
    <w:hidden/>
    <w:uiPriority w:val="99"/>
    <w:semiHidden/>
    <w:rsid w:val="00A449FC"/>
    <w:pPr>
      <w:spacing w:after="0" w:line="240" w:lineRule="auto"/>
    </w:pPr>
    <w:rPr>
      <w:rFonts w:ascii="Calibri" w:eastAsia="Calibri" w:hAnsi="Calibri" w:cs="Times New Roman"/>
      <w:lang w:val="es-ES"/>
    </w:rPr>
  </w:style>
  <w:style w:type="character" w:customStyle="1" w:styleId="Ttulo4Car">
    <w:name w:val="Título 4 Car"/>
    <w:basedOn w:val="Fuentedeprrafopredeter"/>
    <w:link w:val="Ttulo4"/>
    <w:uiPriority w:val="9"/>
    <w:semiHidden/>
    <w:rsid w:val="008C1460"/>
    <w:rPr>
      <w:rFonts w:asciiTheme="majorHAnsi" w:eastAsiaTheme="majorEastAsia" w:hAnsiTheme="majorHAnsi" w:cstheme="majorBidi"/>
      <w:i/>
      <w:iCs/>
      <w:color w:val="2E74B5"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115">
      <w:bodyDiv w:val="1"/>
      <w:marLeft w:val="0"/>
      <w:marRight w:val="0"/>
      <w:marTop w:val="0"/>
      <w:marBottom w:val="0"/>
      <w:divBdr>
        <w:top w:val="none" w:sz="0" w:space="0" w:color="auto"/>
        <w:left w:val="none" w:sz="0" w:space="0" w:color="auto"/>
        <w:bottom w:val="none" w:sz="0" w:space="0" w:color="auto"/>
        <w:right w:val="none" w:sz="0" w:space="0" w:color="auto"/>
      </w:divBdr>
    </w:div>
    <w:div w:id="155652943">
      <w:bodyDiv w:val="1"/>
      <w:marLeft w:val="0"/>
      <w:marRight w:val="0"/>
      <w:marTop w:val="0"/>
      <w:marBottom w:val="0"/>
      <w:divBdr>
        <w:top w:val="none" w:sz="0" w:space="0" w:color="auto"/>
        <w:left w:val="none" w:sz="0" w:space="0" w:color="auto"/>
        <w:bottom w:val="none" w:sz="0" w:space="0" w:color="auto"/>
        <w:right w:val="none" w:sz="0" w:space="0" w:color="auto"/>
      </w:divBdr>
    </w:div>
    <w:div w:id="509610748">
      <w:bodyDiv w:val="1"/>
      <w:marLeft w:val="0"/>
      <w:marRight w:val="0"/>
      <w:marTop w:val="0"/>
      <w:marBottom w:val="0"/>
      <w:divBdr>
        <w:top w:val="none" w:sz="0" w:space="0" w:color="auto"/>
        <w:left w:val="none" w:sz="0" w:space="0" w:color="auto"/>
        <w:bottom w:val="none" w:sz="0" w:space="0" w:color="auto"/>
        <w:right w:val="none" w:sz="0" w:space="0" w:color="auto"/>
      </w:divBdr>
    </w:div>
    <w:div w:id="704989543">
      <w:bodyDiv w:val="1"/>
      <w:marLeft w:val="0"/>
      <w:marRight w:val="0"/>
      <w:marTop w:val="0"/>
      <w:marBottom w:val="0"/>
      <w:divBdr>
        <w:top w:val="none" w:sz="0" w:space="0" w:color="auto"/>
        <w:left w:val="none" w:sz="0" w:space="0" w:color="auto"/>
        <w:bottom w:val="none" w:sz="0" w:space="0" w:color="auto"/>
        <w:right w:val="none" w:sz="0" w:space="0" w:color="auto"/>
      </w:divBdr>
    </w:div>
    <w:div w:id="723019840">
      <w:bodyDiv w:val="1"/>
      <w:marLeft w:val="0"/>
      <w:marRight w:val="0"/>
      <w:marTop w:val="0"/>
      <w:marBottom w:val="0"/>
      <w:divBdr>
        <w:top w:val="none" w:sz="0" w:space="0" w:color="auto"/>
        <w:left w:val="none" w:sz="0" w:space="0" w:color="auto"/>
        <w:bottom w:val="none" w:sz="0" w:space="0" w:color="auto"/>
        <w:right w:val="none" w:sz="0" w:space="0" w:color="auto"/>
      </w:divBdr>
    </w:div>
    <w:div w:id="823592704">
      <w:bodyDiv w:val="1"/>
      <w:marLeft w:val="0"/>
      <w:marRight w:val="0"/>
      <w:marTop w:val="0"/>
      <w:marBottom w:val="0"/>
      <w:divBdr>
        <w:top w:val="none" w:sz="0" w:space="0" w:color="auto"/>
        <w:left w:val="none" w:sz="0" w:space="0" w:color="auto"/>
        <w:bottom w:val="none" w:sz="0" w:space="0" w:color="auto"/>
        <w:right w:val="none" w:sz="0" w:space="0" w:color="auto"/>
      </w:divBdr>
    </w:div>
    <w:div w:id="847449802">
      <w:bodyDiv w:val="1"/>
      <w:marLeft w:val="0"/>
      <w:marRight w:val="0"/>
      <w:marTop w:val="0"/>
      <w:marBottom w:val="0"/>
      <w:divBdr>
        <w:top w:val="none" w:sz="0" w:space="0" w:color="auto"/>
        <w:left w:val="none" w:sz="0" w:space="0" w:color="auto"/>
        <w:bottom w:val="none" w:sz="0" w:space="0" w:color="auto"/>
        <w:right w:val="none" w:sz="0" w:space="0" w:color="auto"/>
      </w:divBdr>
    </w:div>
    <w:div w:id="1326976271">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583833850">
      <w:bodyDiv w:val="1"/>
      <w:marLeft w:val="0"/>
      <w:marRight w:val="0"/>
      <w:marTop w:val="0"/>
      <w:marBottom w:val="0"/>
      <w:divBdr>
        <w:top w:val="none" w:sz="0" w:space="0" w:color="auto"/>
        <w:left w:val="none" w:sz="0" w:space="0" w:color="auto"/>
        <w:bottom w:val="none" w:sz="0" w:space="0" w:color="auto"/>
        <w:right w:val="none" w:sz="0" w:space="0" w:color="auto"/>
      </w:divBdr>
    </w:div>
    <w:div w:id="199683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industria/consultas-publicas/consulta-publica-sobre-el-anteproyecto-del-acuerdo-por-el-que-se-modifican-los-lineamientos-qu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4B72F-1C93-4723-9F6F-20A5E786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2406</Words>
  <Characters>13235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Villa Trapala</dc:creator>
  <cp:keywords/>
  <dc:description/>
  <cp:lastModifiedBy>Josue Teoyotl Calderon</cp:lastModifiedBy>
  <cp:revision>6</cp:revision>
  <cp:lastPrinted>2022-12-19T16:56:00Z</cp:lastPrinted>
  <dcterms:created xsi:type="dcterms:W3CDTF">2022-12-16T18:25:00Z</dcterms:created>
  <dcterms:modified xsi:type="dcterms:W3CDTF">2022-12-19T16:56:00Z</dcterms:modified>
</cp:coreProperties>
</file>