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47644364" w14:textId="77777777" w:rsidTr="00B97AE9">
        <w:trPr>
          <w:trHeight w:val="816"/>
        </w:trPr>
        <w:tc>
          <w:tcPr>
            <w:tcW w:w="2689" w:type="dxa"/>
            <w:shd w:val="clear" w:color="auto" w:fill="DBDBDB" w:themeFill="accent3" w:themeFillTint="66"/>
          </w:tcPr>
          <w:p w14:paraId="3DFF1128" w14:textId="77777777" w:rsidR="00501ADF" w:rsidRPr="0069043B" w:rsidRDefault="00501ADF" w:rsidP="00501ADF">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69043B">
              <w:rPr>
                <w:rFonts w:ascii="ITC Avant Garde" w:hAnsi="ITC Avant Garde"/>
                <w:sz w:val="18"/>
                <w:szCs w:val="18"/>
              </w:rPr>
              <w:t xml:space="preserve"> Unidad de Política Regulatoria</w:t>
            </w:r>
          </w:p>
          <w:p w14:paraId="7D4205D1" w14:textId="77777777" w:rsidR="0068307E" w:rsidRPr="00DD06A0" w:rsidRDefault="0068307E" w:rsidP="00501ADF">
            <w:pPr>
              <w:jc w:val="both"/>
              <w:rPr>
                <w:rFonts w:ascii="ITC Avant Garde" w:hAnsi="ITC Avant Garde"/>
                <w:sz w:val="18"/>
                <w:szCs w:val="18"/>
              </w:rPr>
            </w:pPr>
          </w:p>
          <w:p w14:paraId="68E61E68"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F2962CE"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51C06FAC" w14:textId="77777777" w:rsidR="0068307E" w:rsidRPr="00DD06A0" w:rsidRDefault="0068307E" w:rsidP="00501ADF">
            <w:pPr>
              <w:jc w:val="both"/>
              <w:rPr>
                <w:rFonts w:ascii="ITC Avant Garde" w:hAnsi="ITC Avant Garde"/>
                <w:b/>
                <w:sz w:val="18"/>
                <w:szCs w:val="18"/>
              </w:rPr>
            </w:pPr>
          </w:p>
          <w:p w14:paraId="5E88F678" w14:textId="44894593" w:rsidR="00B97AE9" w:rsidRPr="00DD06A0" w:rsidRDefault="00ED4227" w:rsidP="00501ADF">
            <w:pPr>
              <w:jc w:val="both"/>
              <w:rPr>
                <w:rFonts w:ascii="ITC Avant Garde" w:hAnsi="ITC Avant Garde"/>
                <w:sz w:val="18"/>
                <w:szCs w:val="18"/>
              </w:rPr>
            </w:pPr>
            <w:r w:rsidRPr="00ED4227">
              <w:rPr>
                <w:rFonts w:ascii="ITC Avant Garde" w:hAnsi="ITC Avant Garde"/>
                <w:sz w:val="18"/>
                <w:szCs w:val="18"/>
              </w:rPr>
              <w:t>MODIFICACIÓN A LOS LINEAMIENTOS QUE FIJAN LOS ÍNDICES Y PARÁMETROS DE CALIDAD A QUE DEBERÁN SUJETARSE LOS PRESTADORES DEL SERVICIO MÓVIL</w:t>
            </w:r>
          </w:p>
        </w:tc>
      </w:tr>
      <w:tr w:rsidR="006330CB" w:rsidRPr="00DD06A0" w14:paraId="54A4FB72" w14:textId="77777777" w:rsidTr="00D23BD5">
        <w:trPr>
          <w:trHeight w:val="889"/>
        </w:trPr>
        <w:tc>
          <w:tcPr>
            <w:tcW w:w="2689" w:type="dxa"/>
            <w:vMerge w:val="restart"/>
            <w:shd w:val="clear" w:color="auto" w:fill="DBDBDB" w:themeFill="accent3" w:themeFillTint="66"/>
          </w:tcPr>
          <w:p w14:paraId="6C7A3F72"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8E0FCBD" w14:textId="77777777" w:rsidR="0068307E" w:rsidRPr="00DD06A0" w:rsidRDefault="0068307E" w:rsidP="00501ADF">
            <w:pPr>
              <w:jc w:val="both"/>
              <w:rPr>
                <w:rFonts w:ascii="ITC Avant Garde" w:hAnsi="ITC Avant Garde"/>
                <w:b/>
                <w:sz w:val="18"/>
                <w:szCs w:val="18"/>
              </w:rPr>
            </w:pPr>
          </w:p>
          <w:p w14:paraId="5A4CB01B" w14:textId="2584023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B77C84">
              <w:rPr>
                <w:rFonts w:ascii="ITC Avant Garde" w:hAnsi="ITC Avant Garde"/>
                <w:sz w:val="18"/>
                <w:szCs w:val="18"/>
              </w:rPr>
              <w:t>Horacio Villalobos Tlatempa</w:t>
            </w:r>
          </w:p>
          <w:p w14:paraId="4B0CE6A8" w14:textId="1B2CA1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B77C84">
              <w:rPr>
                <w:rFonts w:ascii="ITC Avant Garde" w:hAnsi="ITC Avant Garde"/>
                <w:sz w:val="18"/>
                <w:szCs w:val="18"/>
              </w:rPr>
              <w:t>5015-4042</w:t>
            </w:r>
          </w:p>
          <w:p w14:paraId="48F9959F" w14:textId="59146771" w:rsidR="0068307E" w:rsidRPr="00B97AE9" w:rsidRDefault="0068307E" w:rsidP="00501ADF">
            <w:pPr>
              <w:jc w:val="both"/>
              <w:rPr>
                <w:rStyle w:val="Hipervnculo"/>
              </w:rPr>
            </w:pPr>
            <w:r w:rsidRPr="00DD06A0">
              <w:rPr>
                <w:rFonts w:ascii="ITC Avant Garde" w:hAnsi="ITC Avant Garde"/>
                <w:sz w:val="18"/>
                <w:szCs w:val="18"/>
              </w:rPr>
              <w:t>Correo electrónico:</w:t>
            </w:r>
            <w:r w:rsidR="0069043B">
              <w:rPr>
                <w:rFonts w:ascii="ITC Avant Garde" w:hAnsi="ITC Avant Garde"/>
                <w:sz w:val="18"/>
                <w:szCs w:val="18"/>
              </w:rPr>
              <w:t xml:space="preserve"> </w:t>
            </w:r>
            <w:proofErr w:type="gramStart"/>
            <w:r w:rsidR="006330CB" w:rsidRPr="006330CB">
              <w:rPr>
                <w:rStyle w:val="Hipervnculo"/>
                <w:rFonts w:ascii="ITC Avant Garde" w:hAnsi="ITC Avant Garde"/>
                <w:sz w:val="18"/>
                <w:szCs w:val="18"/>
              </w:rPr>
              <w:t>horacio.villalobos</w:t>
            </w:r>
            <w:proofErr w:type="gramEnd"/>
            <w:r>
              <w:fldChar w:fldCharType="begin"/>
            </w:r>
            <w:r>
              <w:instrText xml:space="preserve"> HYPERLINK "mailto:nimbe.ewald@ift.org.mx" </w:instrText>
            </w:r>
            <w:r>
              <w:fldChar w:fldCharType="separate"/>
            </w:r>
            <w:r w:rsidR="006330CB" w:rsidRPr="00C611CC">
              <w:rPr>
                <w:rStyle w:val="Hipervnculo"/>
                <w:rFonts w:ascii="ITC Avant Garde" w:hAnsi="ITC Avant Garde"/>
                <w:sz w:val="18"/>
                <w:szCs w:val="18"/>
              </w:rPr>
              <w:t>@ift.org.mx</w:t>
            </w:r>
            <w:r>
              <w:rPr>
                <w:rStyle w:val="Hipervnculo"/>
                <w:rFonts w:ascii="ITC Avant Garde" w:hAnsi="ITC Avant Garde"/>
                <w:sz w:val="18"/>
                <w:szCs w:val="18"/>
              </w:rPr>
              <w:fldChar w:fldCharType="end"/>
            </w:r>
          </w:p>
          <w:p w14:paraId="29EDBF64"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0D435DF"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08237DFD" w14:textId="0540DD71" w:rsidR="0068307E" w:rsidRPr="00DD06A0" w:rsidRDefault="00712831">
            <w:pPr>
              <w:jc w:val="center"/>
              <w:rPr>
                <w:rFonts w:ascii="ITC Avant Garde" w:hAnsi="ITC Avant Garde"/>
                <w:sz w:val="18"/>
                <w:szCs w:val="18"/>
              </w:rPr>
            </w:pPr>
            <w:r>
              <w:rPr>
                <w:rFonts w:ascii="ITC Avant Garde" w:hAnsi="ITC Avant Garde"/>
                <w:sz w:val="18"/>
                <w:szCs w:val="18"/>
              </w:rPr>
              <w:t>06</w:t>
            </w:r>
            <w:r w:rsidR="009B2D63">
              <w:rPr>
                <w:rFonts w:ascii="ITC Avant Garde" w:hAnsi="ITC Avant Garde"/>
                <w:sz w:val="18"/>
                <w:szCs w:val="18"/>
              </w:rPr>
              <w:t>/</w:t>
            </w:r>
            <w:r w:rsidR="00B97AE9">
              <w:rPr>
                <w:rFonts w:ascii="ITC Avant Garde" w:hAnsi="ITC Avant Garde"/>
                <w:sz w:val="18"/>
                <w:szCs w:val="18"/>
              </w:rPr>
              <w:t>1</w:t>
            </w:r>
            <w:r w:rsidR="001D6109">
              <w:rPr>
                <w:rFonts w:ascii="ITC Avant Garde" w:hAnsi="ITC Avant Garde"/>
                <w:sz w:val="18"/>
                <w:szCs w:val="18"/>
              </w:rPr>
              <w:t>2</w:t>
            </w:r>
            <w:r w:rsidR="00D77FC2">
              <w:rPr>
                <w:rFonts w:ascii="ITC Avant Garde" w:hAnsi="ITC Avant Garde"/>
                <w:sz w:val="18"/>
                <w:szCs w:val="18"/>
              </w:rPr>
              <w:t>/20</w:t>
            </w:r>
            <w:r w:rsidR="000A79C7">
              <w:rPr>
                <w:rFonts w:ascii="ITC Avant Garde" w:hAnsi="ITC Avant Garde"/>
                <w:sz w:val="18"/>
                <w:szCs w:val="18"/>
              </w:rPr>
              <w:t>2</w:t>
            </w:r>
            <w:r w:rsidR="00ED4227">
              <w:rPr>
                <w:rFonts w:ascii="ITC Avant Garde" w:hAnsi="ITC Avant Garde"/>
                <w:sz w:val="18"/>
                <w:szCs w:val="18"/>
              </w:rPr>
              <w:t>2</w:t>
            </w:r>
          </w:p>
        </w:tc>
      </w:tr>
      <w:tr w:rsidR="006330CB" w:rsidRPr="00DD06A0" w14:paraId="1EC586CD" w14:textId="77777777" w:rsidTr="00B97AE9">
        <w:trPr>
          <w:trHeight w:val="390"/>
        </w:trPr>
        <w:tc>
          <w:tcPr>
            <w:tcW w:w="2689" w:type="dxa"/>
            <w:vMerge/>
            <w:shd w:val="clear" w:color="auto" w:fill="DBDBDB" w:themeFill="accent3" w:themeFillTint="66"/>
          </w:tcPr>
          <w:p w14:paraId="584F288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FD24391"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7076F5ED" w14:textId="7F91284F" w:rsidR="0068307E" w:rsidRPr="00047EEC" w:rsidRDefault="00ED4227" w:rsidP="0068307E">
            <w:pPr>
              <w:jc w:val="center"/>
              <w:rPr>
                <w:rFonts w:ascii="ITC Avant Garde" w:hAnsi="ITC Avant Garde"/>
                <w:sz w:val="18"/>
                <w:szCs w:val="18"/>
                <w:highlight w:val="yellow"/>
              </w:rPr>
            </w:pPr>
            <w:r>
              <w:rPr>
                <w:rFonts w:ascii="ITC Avant Garde" w:hAnsi="ITC Avant Garde"/>
                <w:color w:val="000000" w:themeColor="text1"/>
                <w:sz w:val="18"/>
                <w:szCs w:val="18"/>
              </w:rPr>
              <w:t>19</w:t>
            </w:r>
            <w:r w:rsidRPr="00986CDA">
              <w:rPr>
                <w:rFonts w:ascii="ITC Avant Garde" w:hAnsi="ITC Avant Garde"/>
                <w:color w:val="000000" w:themeColor="text1"/>
                <w:sz w:val="18"/>
                <w:szCs w:val="18"/>
              </w:rPr>
              <w:t>/</w:t>
            </w:r>
            <w:r>
              <w:rPr>
                <w:rFonts w:ascii="ITC Avant Garde" w:hAnsi="ITC Avant Garde"/>
                <w:color w:val="000000" w:themeColor="text1"/>
                <w:sz w:val="18"/>
                <w:szCs w:val="18"/>
              </w:rPr>
              <w:t>08</w:t>
            </w:r>
            <w:r w:rsidRPr="00986CDA">
              <w:rPr>
                <w:rFonts w:ascii="ITC Avant Garde" w:hAnsi="ITC Avant Garde"/>
                <w:color w:val="000000" w:themeColor="text1"/>
                <w:sz w:val="18"/>
                <w:szCs w:val="18"/>
              </w:rPr>
              <w:t>/202</w:t>
            </w:r>
            <w:r>
              <w:rPr>
                <w:rFonts w:ascii="ITC Avant Garde" w:hAnsi="ITC Avant Garde"/>
                <w:color w:val="000000" w:themeColor="text1"/>
                <w:sz w:val="18"/>
                <w:szCs w:val="18"/>
              </w:rPr>
              <w:t>2</w:t>
            </w:r>
            <w:r w:rsidRPr="00986CDA">
              <w:rPr>
                <w:rFonts w:ascii="ITC Avant Garde" w:hAnsi="ITC Avant Garde"/>
                <w:color w:val="000000" w:themeColor="text1"/>
                <w:sz w:val="18"/>
                <w:szCs w:val="18"/>
              </w:rPr>
              <w:t xml:space="preserve"> al </w:t>
            </w:r>
            <w:r>
              <w:rPr>
                <w:rFonts w:ascii="ITC Avant Garde" w:hAnsi="ITC Avant Garde"/>
                <w:color w:val="000000" w:themeColor="text1"/>
                <w:sz w:val="18"/>
                <w:szCs w:val="18"/>
              </w:rPr>
              <w:t>15</w:t>
            </w:r>
            <w:r w:rsidRPr="00986CDA">
              <w:rPr>
                <w:rFonts w:ascii="ITC Avant Garde" w:hAnsi="ITC Avant Garde"/>
                <w:color w:val="000000" w:themeColor="text1"/>
                <w:sz w:val="18"/>
                <w:szCs w:val="18"/>
              </w:rPr>
              <w:t>/</w:t>
            </w:r>
            <w:r>
              <w:rPr>
                <w:rFonts w:ascii="ITC Avant Garde" w:hAnsi="ITC Avant Garde"/>
                <w:color w:val="000000" w:themeColor="text1"/>
                <w:sz w:val="18"/>
                <w:szCs w:val="18"/>
              </w:rPr>
              <w:t>09</w:t>
            </w:r>
            <w:r w:rsidRPr="00986CDA">
              <w:rPr>
                <w:rFonts w:ascii="ITC Avant Garde" w:hAnsi="ITC Avant Garde"/>
                <w:color w:val="000000" w:themeColor="text1"/>
                <w:sz w:val="18"/>
                <w:szCs w:val="18"/>
              </w:rPr>
              <w:t>/202</w:t>
            </w:r>
            <w:r>
              <w:rPr>
                <w:rFonts w:ascii="ITC Avant Garde" w:hAnsi="ITC Avant Garde"/>
                <w:color w:val="000000" w:themeColor="text1"/>
                <w:sz w:val="18"/>
                <w:szCs w:val="18"/>
              </w:rPr>
              <w:t>2</w:t>
            </w:r>
          </w:p>
        </w:tc>
      </w:tr>
    </w:tbl>
    <w:p w14:paraId="1AD12A23" w14:textId="77777777" w:rsidR="00501ADF" w:rsidRPr="00DD06A0" w:rsidRDefault="00501ADF" w:rsidP="00501ADF">
      <w:pPr>
        <w:jc w:val="both"/>
        <w:rPr>
          <w:rFonts w:ascii="ITC Avant Garde" w:hAnsi="ITC Avant Garde"/>
          <w:sz w:val="18"/>
          <w:szCs w:val="18"/>
        </w:rPr>
      </w:pPr>
    </w:p>
    <w:p w14:paraId="654A350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4F682FEC" w14:textId="77777777" w:rsidTr="008A48B0">
        <w:tc>
          <w:tcPr>
            <w:tcW w:w="8828" w:type="dxa"/>
            <w:shd w:val="clear" w:color="auto" w:fill="FFFFFF" w:themeFill="background1"/>
          </w:tcPr>
          <w:p w14:paraId="6AE0AC0C" w14:textId="77777777" w:rsidR="001932FC" w:rsidRPr="00DD06A0" w:rsidRDefault="001932FC" w:rsidP="008A48B0">
            <w:pPr>
              <w:shd w:val="clear" w:color="auto" w:fill="FFFFFF" w:themeFill="background1"/>
              <w:jc w:val="both"/>
              <w:rPr>
                <w:rFonts w:ascii="ITC Avant Garde" w:hAnsi="ITC Avant Garde"/>
                <w:b/>
                <w:sz w:val="18"/>
                <w:szCs w:val="18"/>
              </w:rPr>
            </w:pPr>
            <w:r w:rsidRPr="00792A90">
              <w:rPr>
                <w:rFonts w:ascii="ITC Avant Garde" w:hAnsi="ITC Avant Garde"/>
                <w:b/>
                <w:sz w:val="18"/>
                <w:szCs w:val="18"/>
              </w:rPr>
              <w:t>1.</w:t>
            </w:r>
            <w:r w:rsidR="00E6080B" w:rsidRPr="00792A90">
              <w:rPr>
                <w:rFonts w:ascii="ITC Avant Garde" w:hAnsi="ITC Avant Garde"/>
                <w:b/>
                <w:sz w:val="18"/>
                <w:szCs w:val="18"/>
              </w:rPr>
              <w:t>-</w:t>
            </w:r>
            <w:r w:rsidR="00F0449E" w:rsidRPr="00792A90">
              <w:rPr>
                <w:rFonts w:ascii="ITC Avant Garde" w:hAnsi="ITC Avant Garde"/>
                <w:b/>
                <w:sz w:val="18"/>
                <w:szCs w:val="18"/>
              </w:rPr>
              <w:t xml:space="preserve"> ¿Cuál es la problemática que</w:t>
            </w:r>
            <w:r w:rsidR="00F0449E" w:rsidRPr="00DD06A0">
              <w:rPr>
                <w:rFonts w:ascii="ITC Avant Garde" w:hAnsi="ITC Avant Garde"/>
                <w:b/>
                <w:sz w:val="18"/>
                <w:szCs w:val="18"/>
              </w:rPr>
              <w:t xml:space="preserv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8354125" w14:textId="77777777" w:rsidR="004E3B1D" w:rsidRDefault="004E3B1D" w:rsidP="008A48B0">
            <w:pPr>
              <w:shd w:val="clear" w:color="auto" w:fill="FFFFFF" w:themeFill="background1"/>
              <w:jc w:val="both"/>
              <w:rPr>
                <w:rFonts w:ascii="ITC Avant Garde" w:hAnsi="ITC Avant Garde"/>
                <w:sz w:val="18"/>
                <w:szCs w:val="18"/>
              </w:rPr>
            </w:pPr>
          </w:p>
          <w:p w14:paraId="739A0A0F" w14:textId="77777777" w:rsidR="00ED4227" w:rsidRPr="00C6097C"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El 17 de enero de 2018 fueron publicados en el Diario Oficial de la Federación los “</w:t>
            </w:r>
            <w:r w:rsidRPr="003A7F6A">
              <w:rPr>
                <w:rFonts w:ascii="ITC Avant Garde" w:hAnsi="ITC Avant Garde"/>
                <w:sz w:val="18"/>
                <w:szCs w:val="18"/>
              </w:rPr>
              <w:t xml:space="preserve">Lineamientos que fijan los índices y parámetros de calidad a que deberán sujetarse los prestadores del servicio </w:t>
            </w:r>
            <w:r>
              <w:rPr>
                <w:rFonts w:ascii="ITC Avant Garde" w:hAnsi="ITC Avant Garde"/>
                <w:sz w:val="18"/>
                <w:szCs w:val="18"/>
              </w:rPr>
              <w:t xml:space="preserve">móvil” (en lo sucesivo, los “Lineamientos”). </w:t>
            </w:r>
            <w:r w:rsidRPr="00C6097C">
              <w:rPr>
                <w:rFonts w:ascii="ITC Avant Garde" w:hAnsi="ITC Avant Garde"/>
                <w:sz w:val="18"/>
                <w:szCs w:val="18"/>
              </w:rPr>
              <w:t>Con estos Lineamientos el Pleno del Instituto Federal de Telecomunicaciones</w:t>
            </w:r>
            <w:r>
              <w:rPr>
                <w:rFonts w:ascii="ITC Avant Garde" w:hAnsi="ITC Avant Garde"/>
                <w:sz w:val="18"/>
                <w:szCs w:val="18"/>
              </w:rPr>
              <w:t xml:space="preserve"> (en lo sucesivo, el “Instituto”)</w:t>
            </w:r>
            <w:r w:rsidRPr="00C6097C">
              <w:rPr>
                <w:rFonts w:ascii="ITC Avant Garde" w:hAnsi="ITC Avant Garde"/>
                <w:sz w:val="18"/>
                <w:szCs w:val="18"/>
              </w:rPr>
              <w:t xml:space="preserve"> dio cumplimiento a lo establecido en la fracción XLVII, del artículo 15 de la Ley Federal de Telecomunicaciones y Radiodifusión (</w:t>
            </w:r>
            <w:r>
              <w:rPr>
                <w:rFonts w:ascii="ITC Avant Garde" w:hAnsi="ITC Avant Garde"/>
                <w:sz w:val="18"/>
                <w:szCs w:val="18"/>
              </w:rPr>
              <w:t>en lo sucesivo, la “</w:t>
            </w:r>
            <w:r w:rsidRPr="00C6097C">
              <w:rPr>
                <w:rFonts w:ascii="ITC Avant Garde" w:hAnsi="ITC Avant Garde"/>
                <w:sz w:val="18"/>
                <w:szCs w:val="18"/>
              </w:rPr>
              <w:t>Ley</w:t>
            </w:r>
            <w:r>
              <w:rPr>
                <w:rFonts w:ascii="ITC Avant Garde" w:hAnsi="ITC Avant Garde"/>
                <w:sz w:val="18"/>
                <w:szCs w:val="18"/>
              </w:rPr>
              <w:t>”</w:t>
            </w:r>
            <w:r w:rsidRPr="00C6097C">
              <w:rPr>
                <w:rFonts w:ascii="ITC Avant Garde" w:hAnsi="ITC Avant Garde"/>
                <w:sz w:val="18"/>
                <w:szCs w:val="18"/>
              </w:rPr>
              <w:t>), al fijar los índices de calidad por servicio a que deberán sujetarse los prestadores de los servicios de telecomunicaciones, en específico los del servicio móvil.</w:t>
            </w:r>
          </w:p>
          <w:p w14:paraId="7780CF71" w14:textId="77777777" w:rsidR="00ED4227" w:rsidRPr="00954581" w:rsidRDefault="00ED4227" w:rsidP="00ED4227">
            <w:pPr>
              <w:shd w:val="clear" w:color="auto" w:fill="FFFFFF" w:themeFill="background1"/>
              <w:jc w:val="both"/>
              <w:rPr>
                <w:rFonts w:ascii="ITC Avant Garde" w:hAnsi="ITC Avant Garde"/>
                <w:sz w:val="18"/>
                <w:szCs w:val="18"/>
              </w:rPr>
            </w:pPr>
          </w:p>
          <w:p w14:paraId="23A314C5" w14:textId="77777777" w:rsidR="00ED4227" w:rsidRDefault="00ED4227" w:rsidP="00ED4227">
            <w:pPr>
              <w:shd w:val="clear" w:color="auto" w:fill="FFFFFF" w:themeFill="background1"/>
              <w:jc w:val="both"/>
              <w:rPr>
                <w:rFonts w:ascii="ITC Avant Garde" w:hAnsi="ITC Avant Garde"/>
                <w:sz w:val="18"/>
                <w:szCs w:val="18"/>
              </w:rPr>
            </w:pPr>
            <w:r w:rsidRPr="00954581">
              <w:rPr>
                <w:rFonts w:ascii="ITC Avant Garde" w:hAnsi="ITC Avant Garde"/>
                <w:sz w:val="18"/>
                <w:szCs w:val="18"/>
              </w:rPr>
              <w:t xml:space="preserve">Gracias a </w:t>
            </w:r>
            <w:r>
              <w:rPr>
                <w:rFonts w:ascii="ITC Avant Garde" w:hAnsi="ITC Avant Garde"/>
                <w:sz w:val="18"/>
                <w:szCs w:val="18"/>
              </w:rPr>
              <w:t>esta regulación</w:t>
            </w:r>
            <w:r w:rsidRPr="00954581">
              <w:rPr>
                <w:rFonts w:ascii="ITC Avant Garde" w:hAnsi="ITC Avant Garde"/>
                <w:sz w:val="18"/>
                <w:szCs w:val="18"/>
              </w:rPr>
              <w:t xml:space="preserve">, el Instituto ha vigilado </w:t>
            </w:r>
            <w:r>
              <w:rPr>
                <w:rFonts w:ascii="ITC Avant Garde" w:hAnsi="ITC Avant Garde"/>
                <w:sz w:val="18"/>
                <w:szCs w:val="18"/>
              </w:rPr>
              <w:t xml:space="preserve">y supervisado </w:t>
            </w:r>
            <w:r w:rsidRPr="00954581">
              <w:rPr>
                <w:rFonts w:ascii="ITC Avant Garde" w:hAnsi="ITC Avant Garde"/>
                <w:sz w:val="18"/>
                <w:szCs w:val="18"/>
              </w:rPr>
              <w:t>a lo largo de los cuatro años anteriores que los servicios contratados por los usuarios finales se presten sobre bases de calidad y preserven los niveles mínimos de calidad establecidos en los Lineamientos</w:t>
            </w:r>
            <w:r>
              <w:rPr>
                <w:rFonts w:ascii="ITC Avant Garde" w:hAnsi="ITC Avant Garde"/>
                <w:sz w:val="18"/>
                <w:szCs w:val="18"/>
              </w:rPr>
              <w:t xml:space="preserve">. </w:t>
            </w:r>
          </w:p>
          <w:p w14:paraId="426080A4" w14:textId="77777777" w:rsidR="00ED4227" w:rsidRDefault="00ED4227" w:rsidP="00ED4227">
            <w:pPr>
              <w:shd w:val="clear" w:color="auto" w:fill="FFFFFF" w:themeFill="background1"/>
              <w:jc w:val="both"/>
              <w:rPr>
                <w:rFonts w:ascii="ITC Avant Garde" w:hAnsi="ITC Avant Garde"/>
                <w:sz w:val="18"/>
                <w:szCs w:val="18"/>
              </w:rPr>
            </w:pPr>
          </w:p>
          <w:p w14:paraId="0B33DA77" w14:textId="14A1AEE2"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 xml:space="preserve">Sin embargo, durante este mismo periodo, el entorno digital ha cambiado y, por ende, también las redes móviles. Los prestadores han realizado mejoras en sus redes y han transitado a nuevas tecnologías de acceso tanto para brindar un mejor servicio a sus usuarios como para poder soportar la creciente demanda del servicio. Es por esta razón que los prestadores han reducido sus redes de segunda (2G) y tercera generación (3G) para abrir paso a nuevas tecnologías de acceso como son las redes 4G o LTE </w:t>
            </w:r>
            <w:r w:rsidRPr="000509B4">
              <w:rPr>
                <w:rFonts w:ascii="ITC Avant Garde" w:hAnsi="ITC Avant Garde"/>
                <w:sz w:val="18"/>
                <w:szCs w:val="18"/>
              </w:rPr>
              <w:t>(</w:t>
            </w:r>
            <w:r w:rsidR="00792A90">
              <w:rPr>
                <w:rFonts w:ascii="ITC Avant Garde" w:hAnsi="ITC Avant Garde"/>
                <w:sz w:val="18"/>
                <w:szCs w:val="18"/>
              </w:rPr>
              <w:t xml:space="preserve">del inglés, </w:t>
            </w:r>
            <w:r w:rsidRPr="00792A90">
              <w:rPr>
                <w:rFonts w:ascii="ITC Avant Garde" w:hAnsi="ITC Avant Garde"/>
                <w:i/>
                <w:iCs/>
                <w:sz w:val="18"/>
                <w:szCs w:val="18"/>
              </w:rPr>
              <w:t>Long-</w:t>
            </w:r>
            <w:proofErr w:type="spellStart"/>
            <w:r w:rsidRPr="00792A90">
              <w:rPr>
                <w:rFonts w:ascii="ITC Avant Garde" w:hAnsi="ITC Avant Garde"/>
                <w:i/>
                <w:iCs/>
                <w:sz w:val="18"/>
                <w:szCs w:val="18"/>
              </w:rPr>
              <w:t>Term</w:t>
            </w:r>
            <w:proofErr w:type="spellEnd"/>
            <w:r w:rsidRPr="00792A90">
              <w:rPr>
                <w:rFonts w:ascii="ITC Avant Garde" w:hAnsi="ITC Avant Garde"/>
                <w:i/>
                <w:iCs/>
                <w:sz w:val="18"/>
                <w:szCs w:val="18"/>
              </w:rPr>
              <w:t xml:space="preserve"> </w:t>
            </w:r>
            <w:proofErr w:type="spellStart"/>
            <w:r w:rsidRPr="00792A90">
              <w:rPr>
                <w:rFonts w:ascii="ITC Avant Garde" w:hAnsi="ITC Avant Garde"/>
                <w:i/>
                <w:iCs/>
                <w:sz w:val="18"/>
                <w:szCs w:val="18"/>
              </w:rPr>
              <w:t>Evolution</w:t>
            </w:r>
            <w:proofErr w:type="spellEnd"/>
            <w:r w:rsidRPr="000509B4">
              <w:rPr>
                <w:rFonts w:ascii="ITC Avant Garde" w:hAnsi="ITC Avant Garde"/>
                <w:sz w:val="18"/>
                <w:szCs w:val="18"/>
              </w:rPr>
              <w:t>)</w:t>
            </w:r>
            <w:r>
              <w:rPr>
                <w:rFonts w:ascii="ITC Avant Garde" w:hAnsi="ITC Avant Garde"/>
                <w:sz w:val="18"/>
                <w:szCs w:val="18"/>
              </w:rPr>
              <w:t xml:space="preserve"> y 5G</w:t>
            </w:r>
            <w:r w:rsidRPr="00D819D4">
              <w:rPr>
                <w:rFonts w:ascii="ITC Avant Garde" w:hAnsi="ITC Avant Garde"/>
                <w:sz w:val="18"/>
                <w:szCs w:val="18"/>
              </w:rPr>
              <w:t>.</w:t>
            </w:r>
          </w:p>
          <w:p w14:paraId="5F50B443" w14:textId="77777777" w:rsidR="00ED4227" w:rsidRDefault="00ED4227" w:rsidP="00ED4227">
            <w:pPr>
              <w:shd w:val="clear" w:color="auto" w:fill="FFFFFF" w:themeFill="background1"/>
              <w:jc w:val="both"/>
              <w:rPr>
                <w:rFonts w:ascii="ITC Avant Garde" w:hAnsi="ITC Avant Garde"/>
                <w:sz w:val="18"/>
                <w:szCs w:val="18"/>
              </w:rPr>
            </w:pPr>
          </w:p>
          <w:p w14:paraId="36204E8C" w14:textId="751B17AF"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D</w:t>
            </w:r>
            <w:r w:rsidRPr="004173E1">
              <w:rPr>
                <w:rFonts w:ascii="ITC Avant Garde" w:hAnsi="ITC Avant Garde"/>
                <w:sz w:val="18"/>
                <w:szCs w:val="18"/>
              </w:rPr>
              <w:t>e acuerdo con el reporte “</w:t>
            </w:r>
            <w:proofErr w:type="spellStart"/>
            <w:r w:rsidRPr="004173E1">
              <w:rPr>
                <w:rFonts w:ascii="ITC Avant Garde" w:hAnsi="ITC Avant Garde"/>
                <w:sz w:val="18"/>
                <w:szCs w:val="18"/>
              </w:rPr>
              <w:t>The</w:t>
            </w:r>
            <w:proofErr w:type="spellEnd"/>
            <w:r w:rsidRPr="004173E1">
              <w:rPr>
                <w:rFonts w:ascii="ITC Avant Garde" w:hAnsi="ITC Avant Garde"/>
                <w:sz w:val="18"/>
                <w:szCs w:val="18"/>
              </w:rPr>
              <w:t xml:space="preserve"> Mobile </w:t>
            </w:r>
            <w:proofErr w:type="spellStart"/>
            <w:r w:rsidRPr="004173E1">
              <w:rPr>
                <w:rFonts w:ascii="ITC Avant Garde" w:hAnsi="ITC Avant Garde"/>
                <w:sz w:val="18"/>
                <w:szCs w:val="18"/>
              </w:rPr>
              <w:t>Economy</w:t>
            </w:r>
            <w:proofErr w:type="spellEnd"/>
            <w:r w:rsidRPr="004173E1">
              <w:rPr>
                <w:rFonts w:ascii="ITC Avant Garde" w:hAnsi="ITC Avant Garde"/>
                <w:sz w:val="18"/>
                <w:szCs w:val="18"/>
              </w:rPr>
              <w:t xml:space="preserve"> </w:t>
            </w:r>
            <w:proofErr w:type="spellStart"/>
            <w:r w:rsidRPr="004173E1">
              <w:rPr>
                <w:rFonts w:ascii="ITC Avant Garde" w:hAnsi="ITC Avant Garde"/>
                <w:sz w:val="18"/>
                <w:szCs w:val="18"/>
              </w:rPr>
              <w:t>Latin</w:t>
            </w:r>
            <w:proofErr w:type="spellEnd"/>
            <w:r w:rsidRPr="004173E1">
              <w:rPr>
                <w:rFonts w:ascii="ITC Avant Garde" w:hAnsi="ITC Avant Garde"/>
                <w:sz w:val="18"/>
                <w:szCs w:val="18"/>
              </w:rPr>
              <w:t xml:space="preserve"> America 2021” de la GSMA, en 2020, las redes en América Latina estaban compuestas en un 13% de redes 2G, 32% de redes 3G y 55% de redes de cuarta generación (4G). </w:t>
            </w:r>
            <w:r>
              <w:rPr>
                <w:rFonts w:ascii="ITC Avant Garde" w:hAnsi="ITC Avant Garde"/>
                <w:sz w:val="18"/>
                <w:szCs w:val="18"/>
              </w:rPr>
              <w:t>Y se prevé que, en e</w:t>
            </w:r>
            <w:r w:rsidRPr="004173E1">
              <w:rPr>
                <w:rFonts w:ascii="ITC Avant Garde" w:hAnsi="ITC Avant Garde"/>
                <w:sz w:val="18"/>
                <w:szCs w:val="18"/>
              </w:rPr>
              <w:t>l mediano plazo, los prestadores de la región comenzarán a expandir su capacidad y su cobertura con redes 4G y de quinta generación (5G). Por lo tanto, en el 2025 se espera una caída en la participación de las redes 2G y 3G, 4% y 18%, respectivamente, y una penetración del 67% de las redes 4G y la integración de las redes 5G con un 12%.</w:t>
            </w:r>
            <w:r>
              <w:rPr>
                <w:rFonts w:ascii="ITC Avant Garde" w:hAnsi="ITC Avant Garde"/>
                <w:sz w:val="18"/>
                <w:szCs w:val="18"/>
              </w:rPr>
              <w:t xml:space="preserve"> </w:t>
            </w:r>
          </w:p>
          <w:p w14:paraId="10723365" w14:textId="77777777" w:rsidR="00ED4227" w:rsidRDefault="00ED4227" w:rsidP="00ED4227">
            <w:pPr>
              <w:shd w:val="clear" w:color="auto" w:fill="FFFFFF" w:themeFill="background1"/>
              <w:jc w:val="both"/>
              <w:rPr>
                <w:rFonts w:ascii="ITC Avant Garde" w:hAnsi="ITC Avant Garde"/>
                <w:sz w:val="18"/>
                <w:szCs w:val="18"/>
              </w:rPr>
            </w:pPr>
          </w:p>
          <w:p w14:paraId="082A57B3" w14:textId="4CD16E30"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Es importante mencionar que u</w:t>
            </w:r>
            <w:r w:rsidRPr="000509B4">
              <w:rPr>
                <w:rFonts w:ascii="ITC Avant Garde" w:hAnsi="ITC Avant Garde"/>
                <w:sz w:val="18"/>
                <w:szCs w:val="18"/>
              </w:rPr>
              <w:t>na de las principales novedades de</w:t>
            </w:r>
            <w:r>
              <w:rPr>
                <w:rFonts w:ascii="ITC Avant Garde" w:hAnsi="ITC Avant Garde"/>
                <w:sz w:val="18"/>
                <w:szCs w:val="18"/>
              </w:rPr>
              <w:t xml:space="preserve"> </w:t>
            </w:r>
            <w:r w:rsidRPr="000509B4">
              <w:rPr>
                <w:rFonts w:ascii="ITC Avant Garde" w:hAnsi="ITC Avant Garde"/>
                <w:sz w:val="18"/>
                <w:szCs w:val="18"/>
              </w:rPr>
              <w:t>LTE es que es una red IP extremo a extremo,</w:t>
            </w:r>
            <w:r>
              <w:rPr>
                <w:rFonts w:ascii="ITC Avant Garde" w:hAnsi="ITC Avant Garde"/>
                <w:sz w:val="18"/>
                <w:szCs w:val="18"/>
              </w:rPr>
              <w:t xml:space="preserve"> </w:t>
            </w:r>
            <w:r w:rsidRPr="000509B4">
              <w:rPr>
                <w:rFonts w:ascii="ITC Avant Garde" w:hAnsi="ITC Avant Garde"/>
                <w:sz w:val="18"/>
                <w:szCs w:val="18"/>
              </w:rPr>
              <w:t>por lo que no existe el dominio de</w:t>
            </w:r>
            <w:r>
              <w:rPr>
                <w:rFonts w:ascii="ITC Avant Garde" w:hAnsi="ITC Avant Garde"/>
                <w:sz w:val="18"/>
                <w:szCs w:val="18"/>
              </w:rPr>
              <w:t xml:space="preserve"> </w:t>
            </w:r>
            <w:r w:rsidRPr="000509B4">
              <w:rPr>
                <w:rFonts w:ascii="ITC Avant Garde" w:hAnsi="ITC Avant Garde"/>
                <w:sz w:val="18"/>
                <w:szCs w:val="18"/>
              </w:rPr>
              <w:t>circuitos conmutados para manejar las</w:t>
            </w:r>
            <w:r>
              <w:rPr>
                <w:rFonts w:ascii="ITC Avant Garde" w:hAnsi="ITC Avant Garde"/>
                <w:sz w:val="18"/>
                <w:szCs w:val="18"/>
              </w:rPr>
              <w:t xml:space="preserve"> </w:t>
            </w:r>
            <w:r w:rsidRPr="000509B4">
              <w:rPr>
                <w:rFonts w:ascii="ITC Avant Garde" w:hAnsi="ITC Avant Garde"/>
                <w:sz w:val="18"/>
                <w:szCs w:val="18"/>
              </w:rPr>
              <w:t>llamadas de voz, tal y como ocurría en</w:t>
            </w:r>
            <w:r>
              <w:rPr>
                <w:rFonts w:ascii="ITC Avant Garde" w:hAnsi="ITC Avant Garde"/>
                <w:sz w:val="18"/>
                <w:szCs w:val="18"/>
              </w:rPr>
              <w:t xml:space="preserve"> </w:t>
            </w:r>
            <w:r w:rsidRPr="000509B4">
              <w:rPr>
                <w:rFonts w:ascii="ITC Avant Garde" w:hAnsi="ITC Avant Garde"/>
                <w:sz w:val="18"/>
                <w:szCs w:val="18"/>
              </w:rPr>
              <w:t>las tradicionales redes 2G/3G</w:t>
            </w:r>
            <w:r>
              <w:rPr>
                <w:rFonts w:ascii="ITC Avant Garde" w:hAnsi="ITC Avant Garde"/>
                <w:sz w:val="18"/>
                <w:szCs w:val="18"/>
              </w:rPr>
              <w:t xml:space="preserve">. No obstante, en redes maduras, </w:t>
            </w:r>
            <w:proofErr w:type="spellStart"/>
            <w:r w:rsidRPr="008823ED">
              <w:rPr>
                <w:rFonts w:ascii="ITC Avant Garde" w:hAnsi="ITC Avant Garde"/>
                <w:sz w:val="18"/>
                <w:szCs w:val="18"/>
              </w:rPr>
              <w:t>VoLTE</w:t>
            </w:r>
            <w:proofErr w:type="spellEnd"/>
            <w:r w:rsidRPr="008823ED">
              <w:rPr>
                <w:rFonts w:ascii="ITC Avant Garde" w:hAnsi="ITC Avant Garde"/>
                <w:sz w:val="18"/>
                <w:szCs w:val="18"/>
              </w:rPr>
              <w:t xml:space="preserve"> </w:t>
            </w:r>
            <w:r>
              <w:rPr>
                <w:rFonts w:ascii="ITC Avant Garde" w:hAnsi="ITC Avant Garde"/>
                <w:sz w:val="18"/>
                <w:szCs w:val="18"/>
              </w:rPr>
              <w:t>(</w:t>
            </w:r>
            <w:r w:rsidR="00792A90">
              <w:rPr>
                <w:rFonts w:ascii="ITC Avant Garde" w:hAnsi="ITC Avant Garde"/>
                <w:sz w:val="18"/>
                <w:szCs w:val="18"/>
              </w:rPr>
              <w:t xml:space="preserve">del inglés, </w:t>
            </w:r>
            <w:proofErr w:type="spellStart"/>
            <w:r w:rsidR="00792A90" w:rsidRPr="00792A90">
              <w:rPr>
                <w:rFonts w:ascii="ITC Avant Garde" w:hAnsi="ITC Avant Garde"/>
                <w:i/>
                <w:iCs/>
                <w:sz w:val="18"/>
                <w:szCs w:val="18"/>
              </w:rPr>
              <w:t>Voice</w:t>
            </w:r>
            <w:proofErr w:type="spellEnd"/>
            <w:r w:rsidRPr="00792A90">
              <w:rPr>
                <w:rFonts w:ascii="ITC Avant Garde" w:hAnsi="ITC Avant Garde"/>
                <w:i/>
                <w:iCs/>
                <w:sz w:val="18"/>
                <w:szCs w:val="18"/>
              </w:rPr>
              <w:t xml:space="preserve"> </w:t>
            </w:r>
            <w:proofErr w:type="spellStart"/>
            <w:r w:rsidRPr="00792A90">
              <w:rPr>
                <w:rFonts w:ascii="ITC Avant Garde" w:hAnsi="ITC Avant Garde"/>
                <w:i/>
                <w:iCs/>
                <w:sz w:val="18"/>
                <w:szCs w:val="18"/>
              </w:rPr>
              <w:t>over</w:t>
            </w:r>
            <w:proofErr w:type="spellEnd"/>
            <w:r w:rsidRPr="00792A90">
              <w:rPr>
                <w:rFonts w:ascii="ITC Avant Garde" w:hAnsi="ITC Avant Garde"/>
                <w:i/>
                <w:iCs/>
                <w:sz w:val="18"/>
                <w:szCs w:val="18"/>
              </w:rPr>
              <w:t xml:space="preserve"> LTE</w:t>
            </w:r>
            <w:r>
              <w:rPr>
                <w:rFonts w:ascii="ITC Avant Garde" w:hAnsi="ITC Avant Garde"/>
                <w:sz w:val="18"/>
                <w:szCs w:val="18"/>
              </w:rPr>
              <w:t xml:space="preserve">) </w:t>
            </w:r>
            <w:r w:rsidRPr="008823ED">
              <w:rPr>
                <w:rFonts w:ascii="ITC Avant Garde" w:hAnsi="ITC Avant Garde"/>
                <w:sz w:val="18"/>
                <w:szCs w:val="18"/>
              </w:rPr>
              <w:t>ha sido la solución para ofrecer voz sobre IP.</w:t>
            </w:r>
            <w:r>
              <w:rPr>
                <w:rFonts w:ascii="ITC Avant Garde" w:hAnsi="ITC Avant Garde"/>
                <w:sz w:val="18"/>
                <w:szCs w:val="18"/>
              </w:rPr>
              <w:t xml:space="preserve"> </w:t>
            </w:r>
          </w:p>
          <w:p w14:paraId="5B7335BB" w14:textId="77777777" w:rsidR="00ED4227" w:rsidRPr="008823ED" w:rsidRDefault="00ED4227" w:rsidP="00ED4227">
            <w:pPr>
              <w:shd w:val="clear" w:color="auto" w:fill="FFFFFF" w:themeFill="background1"/>
              <w:jc w:val="both"/>
              <w:rPr>
                <w:rFonts w:ascii="Palatino-Roman" w:hAnsi="Palatino-Roman" w:cs="Palatino-Roman"/>
                <w:sz w:val="16"/>
                <w:szCs w:val="16"/>
              </w:rPr>
            </w:pPr>
          </w:p>
          <w:p w14:paraId="6DE1409D" w14:textId="20EF2368"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 xml:space="preserve">Ahora bien, en el momento en que se concibieron y publicaron los Lineamientos, aunque ya se empezaba a tener una cobertura de LTE, </w:t>
            </w:r>
            <w:r w:rsidR="0009287A">
              <w:rPr>
                <w:rFonts w:ascii="ITC Avant Garde" w:hAnsi="ITC Avant Garde"/>
                <w:sz w:val="18"/>
                <w:szCs w:val="18"/>
              </w:rPr>
              <w:t>é</w:t>
            </w:r>
            <w:r>
              <w:rPr>
                <w:rFonts w:ascii="ITC Avant Garde" w:hAnsi="ITC Avant Garde"/>
                <w:sz w:val="18"/>
                <w:szCs w:val="18"/>
              </w:rPr>
              <w:t xml:space="preserve">sta se encontraba en una etapa temprana y los </w:t>
            </w:r>
            <w:r>
              <w:rPr>
                <w:rFonts w:ascii="ITC Avant Garde" w:hAnsi="ITC Avant Garde"/>
                <w:sz w:val="18"/>
                <w:szCs w:val="18"/>
              </w:rPr>
              <w:lastRenderedPageBreak/>
              <w:t xml:space="preserve">prestadores </w:t>
            </w:r>
            <w:r w:rsidR="0009287A">
              <w:rPr>
                <w:rFonts w:ascii="ITC Avant Garde" w:hAnsi="ITC Avant Garde"/>
                <w:sz w:val="18"/>
                <w:szCs w:val="18"/>
              </w:rPr>
              <w:t xml:space="preserve">del servicio móvil </w:t>
            </w:r>
            <w:r>
              <w:rPr>
                <w:rFonts w:ascii="ITC Avant Garde" w:hAnsi="ITC Avant Garde"/>
                <w:sz w:val="18"/>
                <w:szCs w:val="18"/>
              </w:rPr>
              <w:t xml:space="preserve">aún no ofrecían el servicio de </w:t>
            </w:r>
            <w:proofErr w:type="spellStart"/>
            <w:r>
              <w:rPr>
                <w:rFonts w:ascii="ITC Avant Garde" w:hAnsi="ITC Avant Garde"/>
                <w:sz w:val="18"/>
                <w:szCs w:val="18"/>
              </w:rPr>
              <w:t>VoLTE</w:t>
            </w:r>
            <w:proofErr w:type="spellEnd"/>
            <w:r>
              <w:rPr>
                <w:rFonts w:ascii="ITC Avant Garde" w:hAnsi="ITC Avant Garde"/>
                <w:sz w:val="18"/>
                <w:szCs w:val="18"/>
              </w:rPr>
              <w:t xml:space="preserve"> a sus usuarios, por lo que en el diseño de los Lineamientos no se contempló esta tecnología.</w:t>
            </w:r>
          </w:p>
          <w:p w14:paraId="7578C6A3" w14:textId="77777777" w:rsidR="00ED4227" w:rsidRPr="00A733CB" w:rsidRDefault="00ED4227" w:rsidP="00ED4227">
            <w:pPr>
              <w:shd w:val="clear" w:color="auto" w:fill="FFFFFF" w:themeFill="background1"/>
              <w:jc w:val="both"/>
              <w:rPr>
                <w:rFonts w:ascii="ITC Avant Garde" w:hAnsi="ITC Avant Garde"/>
                <w:sz w:val="18"/>
                <w:szCs w:val="18"/>
              </w:rPr>
            </w:pPr>
          </w:p>
          <w:p w14:paraId="356941F1" w14:textId="16F09034"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 xml:space="preserve">No obstante, al cierre </w:t>
            </w:r>
            <w:r w:rsidR="0009287A">
              <w:rPr>
                <w:rFonts w:ascii="ITC Avant Garde" w:hAnsi="ITC Avant Garde"/>
                <w:sz w:val="18"/>
                <w:szCs w:val="18"/>
              </w:rPr>
              <w:t>del primer trimestre de 2022</w:t>
            </w:r>
            <w:r>
              <w:rPr>
                <w:rFonts w:ascii="ITC Avant Garde" w:hAnsi="ITC Avant Garde"/>
                <w:sz w:val="18"/>
                <w:szCs w:val="18"/>
              </w:rPr>
              <w:t xml:space="preserve">, </w:t>
            </w:r>
            <w:r w:rsidRPr="00D819D4">
              <w:rPr>
                <w:rFonts w:ascii="ITC Avant Garde" w:hAnsi="ITC Avant Garde"/>
                <w:sz w:val="18"/>
                <w:szCs w:val="18"/>
              </w:rPr>
              <w:t xml:space="preserve">las redes </w:t>
            </w:r>
            <w:r>
              <w:rPr>
                <w:rFonts w:ascii="ITC Avant Garde" w:hAnsi="ITC Avant Garde"/>
                <w:sz w:val="18"/>
                <w:szCs w:val="18"/>
              </w:rPr>
              <w:t>LTE cuentan con una cobertura del 95%</w:t>
            </w:r>
            <w:r w:rsidR="00972063">
              <w:rPr>
                <w:rStyle w:val="Refdenotaalpie"/>
                <w:rFonts w:ascii="ITC Avant Garde" w:hAnsi="ITC Avant Garde"/>
                <w:sz w:val="18"/>
                <w:szCs w:val="18"/>
              </w:rPr>
              <w:footnoteReference w:id="2"/>
            </w:r>
            <w:r>
              <w:rPr>
                <w:rFonts w:ascii="ITC Avant Garde" w:hAnsi="ITC Avant Garde"/>
                <w:sz w:val="18"/>
                <w:szCs w:val="18"/>
              </w:rPr>
              <w:t xml:space="preserve"> de la población</w:t>
            </w:r>
            <w:r w:rsidRPr="00D819D4">
              <w:rPr>
                <w:rFonts w:ascii="ITC Avant Garde" w:hAnsi="ITC Avant Garde"/>
                <w:sz w:val="18"/>
                <w:szCs w:val="18"/>
              </w:rPr>
              <w:t xml:space="preserve"> a nivel nacional y el 78.9%</w:t>
            </w:r>
            <w:r w:rsidR="00972063">
              <w:rPr>
                <w:rStyle w:val="Refdenotaalpie"/>
                <w:rFonts w:ascii="ITC Avant Garde" w:hAnsi="ITC Avant Garde"/>
                <w:sz w:val="18"/>
                <w:szCs w:val="18"/>
              </w:rPr>
              <w:footnoteReference w:id="3"/>
            </w:r>
            <w:r w:rsidRPr="00D819D4">
              <w:rPr>
                <w:rFonts w:ascii="ITC Avant Garde" w:hAnsi="ITC Avant Garde"/>
                <w:sz w:val="18"/>
                <w:szCs w:val="18"/>
              </w:rPr>
              <w:t xml:space="preserve"> del tráfico total de datos cursa por esta tecnología</w:t>
            </w:r>
            <w:r w:rsidR="0009287A">
              <w:rPr>
                <w:rFonts w:ascii="ITC Avant Garde" w:hAnsi="ITC Avant Garde"/>
                <w:sz w:val="18"/>
                <w:szCs w:val="18"/>
              </w:rPr>
              <w:t xml:space="preserve"> y</w:t>
            </w:r>
            <w:r>
              <w:rPr>
                <w:rFonts w:ascii="ITC Avant Garde" w:hAnsi="ITC Avant Garde"/>
                <w:sz w:val="18"/>
                <w:szCs w:val="18"/>
              </w:rPr>
              <w:t xml:space="preserve"> se ofrece el servicio de </w:t>
            </w:r>
            <w:proofErr w:type="spellStart"/>
            <w:r>
              <w:rPr>
                <w:rFonts w:ascii="ITC Avant Garde" w:hAnsi="ITC Avant Garde"/>
                <w:sz w:val="18"/>
                <w:szCs w:val="18"/>
              </w:rPr>
              <w:t>VoLTE</w:t>
            </w:r>
            <w:proofErr w:type="spellEnd"/>
            <w:r>
              <w:rPr>
                <w:rFonts w:ascii="ITC Avant Garde" w:hAnsi="ITC Avant Garde"/>
                <w:sz w:val="18"/>
                <w:szCs w:val="18"/>
              </w:rPr>
              <w:t>, por lo que es imprescindible actualizar los Lineamientos de modo que se consideren los nuevos escenarios de las últimas tecnologías de acceso.</w:t>
            </w:r>
          </w:p>
          <w:p w14:paraId="22139597" w14:textId="77777777" w:rsidR="00ED4227" w:rsidRDefault="00ED4227" w:rsidP="00ED4227">
            <w:pPr>
              <w:shd w:val="clear" w:color="auto" w:fill="FFFFFF" w:themeFill="background1"/>
              <w:jc w:val="both"/>
              <w:rPr>
                <w:rFonts w:ascii="ITC Avant Garde" w:hAnsi="ITC Avant Garde"/>
                <w:sz w:val="18"/>
                <w:szCs w:val="18"/>
              </w:rPr>
            </w:pPr>
          </w:p>
          <w:p w14:paraId="3FB653AB" w14:textId="700DB9F8" w:rsidR="00727320"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Por otra parte, el hecho de que múltiples tecnologías convivan en una red tiene repercusiones en l</w:t>
            </w:r>
            <w:r w:rsidR="0009287A">
              <w:rPr>
                <w:rFonts w:ascii="ITC Avant Garde" w:hAnsi="ITC Avant Garde"/>
                <w:sz w:val="18"/>
                <w:szCs w:val="18"/>
              </w:rPr>
              <w:t>os parámetros de</w:t>
            </w:r>
            <w:r>
              <w:rPr>
                <w:rFonts w:ascii="ITC Avant Garde" w:hAnsi="ITC Avant Garde"/>
                <w:sz w:val="18"/>
                <w:szCs w:val="18"/>
              </w:rPr>
              <w:t xml:space="preserve"> calidad del servicio, principalmente </w:t>
            </w:r>
            <w:r w:rsidR="0009287A">
              <w:rPr>
                <w:rFonts w:ascii="ITC Avant Garde" w:hAnsi="ITC Avant Garde"/>
                <w:sz w:val="18"/>
                <w:szCs w:val="18"/>
              </w:rPr>
              <w:t>en</w:t>
            </w:r>
            <w:r>
              <w:rPr>
                <w:rFonts w:ascii="ITC Avant Garde" w:hAnsi="ITC Avant Garde"/>
                <w:sz w:val="18"/>
                <w:szCs w:val="18"/>
              </w:rPr>
              <w:t xml:space="preserve"> lo que refiere</w:t>
            </w:r>
            <w:r w:rsidR="0009287A">
              <w:rPr>
                <w:rFonts w:ascii="ITC Avant Garde" w:hAnsi="ITC Avant Garde"/>
                <w:sz w:val="18"/>
                <w:szCs w:val="18"/>
              </w:rPr>
              <w:t xml:space="preserve"> a</w:t>
            </w:r>
            <w:r>
              <w:rPr>
                <w:rFonts w:ascii="ITC Avant Garde" w:hAnsi="ITC Avant Garde"/>
                <w:sz w:val="18"/>
                <w:szCs w:val="18"/>
              </w:rPr>
              <w:t xml:space="preserve"> los tiempos de </w:t>
            </w:r>
            <w:r w:rsidR="0009287A">
              <w:rPr>
                <w:rFonts w:ascii="ITC Avant Garde" w:hAnsi="ITC Avant Garde"/>
                <w:sz w:val="18"/>
                <w:szCs w:val="18"/>
              </w:rPr>
              <w:t xml:space="preserve">establecimiento de llamadas </w:t>
            </w:r>
            <w:r w:rsidR="0009287A" w:rsidRPr="0009287A">
              <w:rPr>
                <w:rFonts w:ascii="ITC Avant Garde" w:hAnsi="ITC Avant Garde"/>
                <w:sz w:val="18"/>
                <w:szCs w:val="18"/>
              </w:rPr>
              <w:t xml:space="preserve">que ha sido reconocido por las recomendaciones internacionales emitidas por el sector de </w:t>
            </w:r>
            <w:r w:rsidR="00AE51AD">
              <w:rPr>
                <w:rFonts w:ascii="ITC Avant Garde" w:hAnsi="ITC Avant Garde"/>
                <w:sz w:val="18"/>
                <w:szCs w:val="18"/>
              </w:rPr>
              <w:t>N</w:t>
            </w:r>
            <w:r w:rsidR="0009287A" w:rsidRPr="0009287A">
              <w:rPr>
                <w:rFonts w:ascii="ITC Avant Garde" w:hAnsi="ITC Avant Garde"/>
                <w:sz w:val="18"/>
                <w:szCs w:val="18"/>
              </w:rPr>
              <w:t>ormalización de la Unión Internacional de Telecomunicaciones (UIT-T), así como las especificaciones técnicas del Instituto Europeo de Estándares Técnicos (ETSI)</w:t>
            </w:r>
            <w:r w:rsidR="00727320">
              <w:rPr>
                <w:rFonts w:ascii="ITC Avant Garde" w:hAnsi="ITC Avant Garde"/>
                <w:sz w:val="18"/>
                <w:szCs w:val="18"/>
              </w:rPr>
              <w:t>.</w:t>
            </w:r>
          </w:p>
          <w:p w14:paraId="3BE076EE" w14:textId="77777777" w:rsidR="00727320" w:rsidRDefault="00727320" w:rsidP="00ED4227">
            <w:pPr>
              <w:shd w:val="clear" w:color="auto" w:fill="FFFFFF" w:themeFill="background1"/>
              <w:jc w:val="both"/>
              <w:rPr>
                <w:rFonts w:ascii="ITC Avant Garde" w:hAnsi="ITC Avant Garde"/>
                <w:sz w:val="18"/>
                <w:szCs w:val="18"/>
              </w:rPr>
            </w:pPr>
          </w:p>
          <w:p w14:paraId="71077409" w14:textId="35507F0C" w:rsidR="00727320" w:rsidRDefault="00727320" w:rsidP="00ED4227">
            <w:pPr>
              <w:shd w:val="clear" w:color="auto" w:fill="FFFFFF" w:themeFill="background1"/>
              <w:jc w:val="both"/>
              <w:rPr>
                <w:rFonts w:ascii="ITC Avant Garde" w:hAnsi="ITC Avant Garde" w:cs="Arial"/>
                <w:sz w:val="18"/>
                <w:szCs w:val="18"/>
              </w:rPr>
            </w:pPr>
            <w:r w:rsidRPr="00727320">
              <w:rPr>
                <w:rFonts w:ascii="ITC Avant Garde" w:hAnsi="ITC Avant Garde" w:cs="Arial"/>
                <w:sz w:val="18"/>
                <w:szCs w:val="18"/>
              </w:rPr>
              <w:t>En las recomendaciones del UIT-T G.1028</w:t>
            </w:r>
            <w:r w:rsidRPr="00727320">
              <w:rPr>
                <w:rStyle w:val="Refdenotaalpie"/>
                <w:rFonts w:ascii="ITC Avant Garde" w:hAnsi="ITC Avant Garde" w:cs="Arial"/>
                <w:sz w:val="18"/>
                <w:szCs w:val="18"/>
              </w:rPr>
              <w:footnoteReference w:id="4"/>
            </w:r>
            <w:r w:rsidRPr="00727320">
              <w:rPr>
                <w:rFonts w:ascii="ITC Avant Garde" w:hAnsi="ITC Avant Garde" w:cs="Arial"/>
                <w:sz w:val="18"/>
                <w:szCs w:val="18"/>
              </w:rPr>
              <w:t xml:space="preserve"> y G.1028.2</w:t>
            </w:r>
            <w:r w:rsidRPr="00727320">
              <w:rPr>
                <w:rStyle w:val="Refdenotaalpie"/>
                <w:rFonts w:ascii="ITC Avant Garde" w:hAnsi="ITC Avant Garde" w:cs="Arial"/>
                <w:sz w:val="18"/>
                <w:szCs w:val="18"/>
              </w:rPr>
              <w:footnoteReference w:id="5"/>
            </w:r>
            <w:r w:rsidRPr="00727320">
              <w:rPr>
                <w:rFonts w:ascii="ITC Avant Garde" w:hAnsi="ITC Avant Garde" w:cs="Arial"/>
                <w:sz w:val="18"/>
                <w:szCs w:val="18"/>
              </w:rPr>
              <w:t xml:space="preserve">, se describen varios escenarios que pueden presentarse cuando se tienen despliegues de 2G/3G que conviven con redes 4G, ya que muchas veces la cobertura 4G se traslapa con cobertura 3G o 2G. En una red 4G, cuando aún no se tiene desplegado </w:t>
            </w:r>
            <w:proofErr w:type="spellStart"/>
            <w:r w:rsidRPr="00727320">
              <w:rPr>
                <w:rFonts w:ascii="ITC Avant Garde" w:hAnsi="ITC Avant Garde" w:cs="Arial"/>
                <w:sz w:val="18"/>
                <w:szCs w:val="18"/>
              </w:rPr>
              <w:t>VoLTE</w:t>
            </w:r>
            <w:proofErr w:type="spellEnd"/>
            <w:r w:rsidRPr="00727320">
              <w:rPr>
                <w:rFonts w:ascii="ITC Avant Garde" w:hAnsi="ITC Avant Garde" w:cs="Arial"/>
                <w:sz w:val="18"/>
                <w:szCs w:val="18"/>
              </w:rPr>
              <w:t xml:space="preserve">, las llamadas de voz se cursan a través de las redes 2G o 3G bajo un procedimiento conocido como repliegue de conmutación de circuitos (del inglés, </w:t>
            </w:r>
            <w:proofErr w:type="spellStart"/>
            <w:r w:rsidRPr="00727320">
              <w:rPr>
                <w:rFonts w:ascii="ITC Avant Garde" w:hAnsi="ITC Avant Garde" w:cs="Arial"/>
                <w:i/>
                <w:iCs/>
                <w:sz w:val="18"/>
                <w:szCs w:val="18"/>
              </w:rPr>
              <w:t>Circuit</w:t>
            </w:r>
            <w:proofErr w:type="spellEnd"/>
            <w:r w:rsidRPr="00727320">
              <w:rPr>
                <w:rFonts w:ascii="ITC Avant Garde" w:hAnsi="ITC Avant Garde" w:cs="Arial"/>
                <w:i/>
                <w:iCs/>
                <w:sz w:val="18"/>
                <w:szCs w:val="18"/>
              </w:rPr>
              <w:t xml:space="preserve"> </w:t>
            </w:r>
            <w:proofErr w:type="spellStart"/>
            <w:r w:rsidRPr="00727320">
              <w:rPr>
                <w:rFonts w:ascii="ITC Avant Garde" w:hAnsi="ITC Avant Garde" w:cs="Arial"/>
                <w:i/>
                <w:iCs/>
                <w:sz w:val="18"/>
                <w:szCs w:val="18"/>
              </w:rPr>
              <w:t>Switched</w:t>
            </w:r>
            <w:proofErr w:type="spellEnd"/>
            <w:r w:rsidRPr="00727320">
              <w:rPr>
                <w:rFonts w:ascii="ITC Avant Garde" w:hAnsi="ITC Avant Garde" w:cs="Arial"/>
                <w:i/>
                <w:iCs/>
                <w:sz w:val="18"/>
                <w:szCs w:val="18"/>
              </w:rPr>
              <w:t xml:space="preserve"> </w:t>
            </w:r>
            <w:proofErr w:type="spellStart"/>
            <w:r w:rsidRPr="00727320">
              <w:rPr>
                <w:rFonts w:ascii="ITC Avant Garde" w:hAnsi="ITC Avant Garde" w:cs="Arial"/>
                <w:i/>
                <w:iCs/>
                <w:sz w:val="18"/>
                <w:szCs w:val="18"/>
              </w:rPr>
              <w:t>Fall</w:t>
            </w:r>
            <w:proofErr w:type="spellEnd"/>
            <w:r w:rsidRPr="00727320">
              <w:rPr>
                <w:rFonts w:ascii="ITC Avant Garde" w:hAnsi="ITC Avant Garde" w:cs="Arial"/>
                <w:i/>
                <w:iCs/>
                <w:sz w:val="18"/>
                <w:szCs w:val="18"/>
              </w:rPr>
              <w:t xml:space="preserve"> Back o CSFB</w:t>
            </w:r>
            <w:r w:rsidRPr="00727320">
              <w:rPr>
                <w:rFonts w:ascii="ITC Avant Garde" w:hAnsi="ITC Avant Garde" w:cs="Arial"/>
                <w:sz w:val="18"/>
                <w:szCs w:val="18"/>
              </w:rPr>
              <w:t>) que se encuentra definido por estándares tecnológicos (ETSI TS 123 272</w:t>
            </w:r>
            <w:r w:rsidRPr="00727320">
              <w:rPr>
                <w:rStyle w:val="Refdenotaalpie"/>
                <w:rFonts w:ascii="ITC Avant Garde" w:hAnsi="ITC Avant Garde" w:cs="Arial"/>
                <w:sz w:val="18"/>
                <w:szCs w:val="18"/>
              </w:rPr>
              <w:footnoteReference w:id="6"/>
            </w:r>
            <w:r w:rsidRPr="00727320">
              <w:rPr>
                <w:rFonts w:ascii="ITC Avant Garde" w:hAnsi="ITC Avant Garde" w:cs="Arial"/>
                <w:sz w:val="18"/>
                <w:szCs w:val="18"/>
              </w:rPr>
              <w:t>). Este proceso implica un tiempo adicional que se agrega al tiempo de establecimiento de llamada, ya que hay mensajes de señalización que deben ser intercambiados a distintos niveles de la red y que la recomendación G.1028 identifica con una referencia de 6 segundos (considerando únicamente el lado que origina la llamada).</w:t>
            </w:r>
          </w:p>
          <w:p w14:paraId="6C26BB7C" w14:textId="790A3985" w:rsidR="00567FA3" w:rsidRDefault="00567FA3" w:rsidP="00ED4227">
            <w:pPr>
              <w:shd w:val="clear" w:color="auto" w:fill="FFFFFF" w:themeFill="background1"/>
              <w:jc w:val="both"/>
              <w:rPr>
                <w:rFonts w:ascii="ITC Avant Garde" w:hAnsi="ITC Avant Garde" w:cs="Arial"/>
                <w:sz w:val="18"/>
                <w:szCs w:val="18"/>
              </w:rPr>
            </w:pPr>
          </w:p>
          <w:p w14:paraId="184D93B7" w14:textId="3F6052F0" w:rsidR="00567FA3" w:rsidRPr="00567FA3" w:rsidRDefault="00567FA3" w:rsidP="00ED4227">
            <w:pPr>
              <w:shd w:val="clear" w:color="auto" w:fill="FFFFFF" w:themeFill="background1"/>
              <w:jc w:val="both"/>
              <w:rPr>
                <w:rFonts w:ascii="ITC Avant Garde" w:hAnsi="ITC Avant Garde"/>
                <w:sz w:val="18"/>
                <w:szCs w:val="18"/>
              </w:rPr>
            </w:pPr>
            <w:r w:rsidRPr="00002CCD">
              <w:rPr>
                <w:rFonts w:ascii="ITC Avant Garde" w:hAnsi="ITC Avant Garde" w:cs="Arial"/>
                <w:sz w:val="18"/>
                <w:szCs w:val="18"/>
              </w:rPr>
              <w:t>En las recomendaciones del UIT-T G.1028</w:t>
            </w:r>
            <w:r w:rsidRPr="00002CCD">
              <w:rPr>
                <w:rStyle w:val="Refdenotaalpie"/>
                <w:rFonts w:ascii="ITC Avant Garde" w:hAnsi="ITC Avant Garde" w:cs="Arial"/>
                <w:sz w:val="18"/>
                <w:szCs w:val="18"/>
              </w:rPr>
              <w:footnoteReference w:id="7"/>
            </w:r>
            <w:r w:rsidRPr="00002CCD">
              <w:rPr>
                <w:rFonts w:ascii="ITC Avant Garde" w:hAnsi="ITC Avant Garde" w:cs="Arial"/>
                <w:sz w:val="18"/>
                <w:szCs w:val="18"/>
              </w:rPr>
              <w:t xml:space="preserve"> y G.1028.2</w:t>
            </w:r>
            <w:r w:rsidRPr="00002CCD">
              <w:rPr>
                <w:rStyle w:val="Refdenotaalpie"/>
                <w:rFonts w:ascii="ITC Avant Garde" w:hAnsi="ITC Avant Garde" w:cs="Arial"/>
                <w:sz w:val="18"/>
                <w:szCs w:val="18"/>
              </w:rPr>
              <w:footnoteReference w:id="8"/>
            </w:r>
            <w:r w:rsidRPr="00002CCD">
              <w:rPr>
                <w:rFonts w:ascii="ITC Avant Garde" w:hAnsi="ITC Avant Garde" w:cs="Arial"/>
                <w:sz w:val="18"/>
                <w:szCs w:val="18"/>
              </w:rPr>
              <w:t xml:space="preserve">, se describen varios escenarios que pueden presentarse cuando se tienen despliegues de 2G/3G que conviven con redes 4G, ya que muchas veces la cobertura 4G se traslapa con cobertura 3G o 2G. En una red 4G, cuando aún no se tiene desplegado </w:t>
            </w:r>
            <w:proofErr w:type="spellStart"/>
            <w:r w:rsidRPr="00002CCD">
              <w:rPr>
                <w:rFonts w:ascii="ITC Avant Garde" w:hAnsi="ITC Avant Garde" w:cs="Arial"/>
                <w:sz w:val="18"/>
                <w:szCs w:val="18"/>
              </w:rPr>
              <w:t>VoLTE</w:t>
            </w:r>
            <w:proofErr w:type="spellEnd"/>
            <w:r w:rsidRPr="00002CCD">
              <w:rPr>
                <w:rFonts w:ascii="ITC Avant Garde" w:hAnsi="ITC Avant Garde" w:cs="Arial"/>
                <w:sz w:val="18"/>
                <w:szCs w:val="18"/>
              </w:rPr>
              <w:t xml:space="preserve">, las llamadas de voz se cursan a través de las redes 2G o 3G bajo un procedimiento conocido como repliegue de conmutación de circuitos (del inglés, </w:t>
            </w:r>
            <w:proofErr w:type="spellStart"/>
            <w:r w:rsidRPr="00002CCD">
              <w:rPr>
                <w:rFonts w:ascii="ITC Avant Garde" w:hAnsi="ITC Avant Garde" w:cs="Arial"/>
                <w:i/>
                <w:iCs/>
                <w:sz w:val="18"/>
                <w:szCs w:val="18"/>
              </w:rPr>
              <w:t>Circuit</w:t>
            </w:r>
            <w:proofErr w:type="spellEnd"/>
            <w:r w:rsidRPr="00002CCD">
              <w:rPr>
                <w:rFonts w:ascii="ITC Avant Garde" w:hAnsi="ITC Avant Garde" w:cs="Arial"/>
                <w:i/>
                <w:iCs/>
                <w:sz w:val="18"/>
                <w:szCs w:val="18"/>
              </w:rPr>
              <w:t xml:space="preserve"> </w:t>
            </w:r>
            <w:proofErr w:type="spellStart"/>
            <w:r w:rsidRPr="00002CCD">
              <w:rPr>
                <w:rFonts w:ascii="ITC Avant Garde" w:hAnsi="ITC Avant Garde" w:cs="Arial"/>
                <w:i/>
                <w:iCs/>
                <w:sz w:val="18"/>
                <w:szCs w:val="18"/>
              </w:rPr>
              <w:t>Switched</w:t>
            </w:r>
            <w:proofErr w:type="spellEnd"/>
            <w:r w:rsidRPr="00002CCD">
              <w:rPr>
                <w:rFonts w:ascii="ITC Avant Garde" w:hAnsi="ITC Avant Garde" w:cs="Arial"/>
                <w:i/>
                <w:iCs/>
                <w:sz w:val="18"/>
                <w:szCs w:val="18"/>
              </w:rPr>
              <w:t xml:space="preserve"> </w:t>
            </w:r>
            <w:proofErr w:type="spellStart"/>
            <w:r w:rsidRPr="00002CCD">
              <w:rPr>
                <w:rFonts w:ascii="ITC Avant Garde" w:hAnsi="ITC Avant Garde" w:cs="Arial"/>
                <w:i/>
                <w:iCs/>
                <w:sz w:val="18"/>
                <w:szCs w:val="18"/>
              </w:rPr>
              <w:t>Fall</w:t>
            </w:r>
            <w:proofErr w:type="spellEnd"/>
            <w:r w:rsidRPr="00002CCD">
              <w:rPr>
                <w:rFonts w:ascii="ITC Avant Garde" w:hAnsi="ITC Avant Garde" w:cs="Arial"/>
                <w:i/>
                <w:iCs/>
                <w:sz w:val="18"/>
                <w:szCs w:val="18"/>
              </w:rPr>
              <w:t xml:space="preserve"> Back o CSFB</w:t>
            </w:r>
            <w:r w:rsidRPr="00002CCD">
              <w:rPr>
                <w:rFonts w:ascii="ITC Avant Garde" w:hAnsi="ITC Avant Garde" w:cs="Arial"/>
                <w:sz w:val="18"/>
                <w:szCs w:val="18"/>
              </w:rPr>
              <w:t>) que se encuentra definido por estándares tecnológicos (ETSI TS 123 272</w:t>
            </w:r>
            <w:r w:rsidRPr="00002CCD">
              <w:rPr>
                <w:rStyle w:val="Refdenotaalpie"/>
                <w:rFonts w:ascii="ITC Avant Garde" w:hAnsi="ITC Avant Garde" w:cs="Arial"/>
                <w:sz w:val="18"/>
                <w:szCs w:val="18"/>
              </w:rPr>
              <w:footnoteReference w:id="9"/>
            </w:r>
            <w:r w:rsidRPr="00002CCD">
              <w:rPr>
                <w:rFonts w:ascii="ITC Avant Garde" w:hAnsi="ITC Avant Garde" w:cs="Arial"/>
                <w:sz w:val="18"/>
                <w:szCs w:val="18"/>
              </w:rPr>
              <w:t>). Este proceso implica un tiempo adicional que se agrega al tiempo de establecimiento de llamada, ya que hay mensajes de señalización que deben ser intercambiados a distintos niveles de la red y que la recomendación G.1028 identifica con una referencia de 6 segundos (considerando únicamente el lado que origina la llamada).</w:t>
            </w:r>
          </w:p>
          <w:p w14:paraId="579FAF9A" w14:textId="77777777" w:rsidR="00727320" w:rsidRDefault="00727320" w:rsidP="00ED4227">
            <w:pPr>
              <w:shd w:val="clear" w:color="auto" w:fill="FFFFFF" w:themeFill="background1"/>
              <w:jc w:val="both"/>
              <w:rPr>
                <w:rFonts w:ascii="ITC Avant Garde" w:hAnsi="ITC Avant Garde"/>
                <w:sz w:val="18"/>
                <w:szCs w:val="18"/>
              </w:rPr>
            </w:pPr>
          </w:p>
          <w:p w14:paraId="645E8FEE" w14:textId="1E9DEBAF" w:rsidR="00ED4227" w:rsidRDefault="00567FA3" w:rsidP="00ED4227">
            <w:pPr>
              <w:shd w:val="clear" w:color="auto" w:fill="FFFFFF" w:themeFill="background1"/>
              <w:jc w:val="both"/>
              <w:rPr>
                <w:rFonts w:ascii="ITC Avant Garde" w:hAnsi="ITC Avant Garde"/>
                <w:sz w:val="18"/>
                <w:szCs w:val="18"/>
              </w:rPr>
            </w:pPr>
            <w:r>
              <w:rPr>
                <w:rFonts w:ascii="ITC Avant Garde" w:hAnsi="ITC Avant Garde"/>
                <w:sz w:val="18"/>
                <w:szCs w:val="18"/>
              </w:rPr>
              <w:t>De modo que</w:t>
            </w:r>
            <w:r w:rsidR="00ED4227">
              <w:rPr>
                <w:rFonts w:ascii="ITC Avant Garde" w:hAnsi="ITC Avant Garde"/>
                <w:sz w:val="18"/>
                <w:szCs w:val="18"/>
              </w:rPr>
              <w:t xml:space="preserve"> cuando un usuario está haciendo uso del servicio, es altamente probable que la red alterne entre diferentes tecnologías dependiendo de la señal que el usuario esté recibiendo, lo cual implicaría tiempos de espera adicionales. Y estas repercusiones son más notorias cuando se tiene una interacción con las redes 4G, ya que se introducen tiempos que antes no existían </w:t>
            </w:r>
            <w:r>
              <w:rPr>
                <w:rFonts w:ascii="ITC Avant Garde" w:hAnsi="ITC Avant Garde"/>
                <w:sz w:val="18"/>
                <w:szCs w:val="18"/>
              </w:rPr>
              <w:t>debido al</w:t>
            </w:r>
            <w:r w:rsidR="00ED4227">
              <w:rPr>
                <w:rFonts w:ascii="ITC Avant Garde" w:hAnsi="ITC Avant Garde"/>
                <w:sz w:val="18"/>
                <w:szCs w:val="18"/>
              </w:rPr>
              <w:t xml:space="preserve"> </w:t>
            </w:r>
            <w:r w:rsidR="00ED4227" w:rsidRPr="006E2CFF">
              <w:rPr>
                <w:rFonts w:ascii="ITC Avant Garde" w:hAnsi="ITC Avant Garde"/>
                <w:sz w:val="18"/>
                <w:szCs w:val="18"/>
              </w:rPr>
              <w:t xml:space="preserve">CSFB </w:t>
            </w:r>
            <w:r w:rsidR="00ED4227">
              <w:rPr>
                <w:rFonts w:ascii="ITC Avant Garde" w:hAnsi="ITC Avant Garde"/>
                <w:sz w:val="18"/>
                <w:szCs w:val="18"/>
              </w:rPr>
              <w:t>que</w:t>
            </w:r>
            <w:r>
              <w:rPr>
                <w:rFonts w:ascii="ITC Avant Garde" w:hAnsi="ITC Avant Garde"/>
                <w:sz w:val="18"/>
                <w:szCs w:val="18"/>
              </w:rPr>
              <w:t xml:space="preserve"> como se dijo anteriormente</w:t>
            </w:r>
            <w:r w:rsidR="00ED4227">
              <w:rPr>
                <w:rFonts w:ascii="ITC Avant Garde" w:hAnsi="ITC Avant Garde"/>
                <w:sz w:val="18"/>
                <w:szCs w:val="18"/>
              </w:rPr>
              <w:t xml:space="preserve"> </w:t>
            </w:r>
            <w:r w:rsidR="00ED4227" w:rsidRPr="006E2CFF">
              <w:rPr>
                <w:rFonts w:ascii="ITC Avant Garde" w:hAnsi="ITC Avant Garde"/>
                <w:sz w:val="18"/>
                <w:szCs w:val="18"/>
              </w:rPr>
              <w:t>es la solución estándar</w:t>
            </w:r>
            <w:r w:rsidR="00ED4227">
              <w:rPr>
                <w:rFonts w:ascii="ITC Avant Garde" w:hAnsi="ITC Avant Garde"/>
                <w:sz w:val="18"/>
                <w:szCs w:val="18"/>
              </w:rPr>
              <w:t xml:space="preserve"> </w:t>
            </w:r>
            <w:r w:rsidR="00ED4227" w:rsidRPr="006E2CFF">
              <w:rPr>
                <w:rFonts w:ascii="ITC Avant Garde" w:hAnsi="ITC Avant Garde"/>
                <w:sz w:val="18"/>
                <w:szCs w:val="18"/>
              </w:rPr>
              <w:t xml:space="preserve">para ofrecer voz </w:t>
            </w:r>
            <w:r w:rsidR="00ED4227">
              <w:rPr>
                <w:rFonts w:ascii="ITC Avant Garde" w:hAnsi="ITC Avant Garde"/>
                <w:sz w:val="18"/>
                <w:szCs w:val="18"/>
              </w:rPr>
              <w:t xml:space="preserve">cuando </w:t>
            </w:r>
            <w:r w:rsidR="00ED4227" w:rsidRPr="006E2CFF">
              <w:rPr>
                <w:rFonts w:ascii="ITC Avant Garde" w:hAnsi="ITC Avant Garde"/>
                <w:sz w:val="18"/>
                <w:szCs w:val="18"/>
              </w:rPr>
              <w:t>no existe suficiente cobertura</w:t>
            </w:r>
            <w:r w:rsidR="00ED4227">
              <w:rPr>
                <w:rFonts w:ascii="ITC Avant Garde" w:hAnsi="ITC Avant Garde"/>
                <w:sz w:val="18"/>
                <w:szCs w:val="18"/>
              </w:rPr>
              <w:t xml:space="preserve"> 4G o no se cuenta con un despliegue de </w:t>
            </w:r>
            <w:proofErr w:type="spellStart"/>
            <w:r w:rsidR="00ED4227">
              <w:rPr>
                <w:rFonts w:ascii="ITC Avant Garde" w:hAnsi="ITC Avant Garde"/>
                <w:sz w:val="18"/>
                <w:szCs w:val="18"/>
              </w:rPr>
              <w:t>VoLTE</w:t>
            </w:r>
            <w:proofErr w:type="spellEnd"/>
            <w:r w:rsidR="00ED4227">
              <w:rPr>
                <w:rFonts w:ascii="ITC Avant Garde" w:hAnsi="ITC Avant Garde"/>
                <w:sz w:val="18"/>
                <w:szCs w:val="18"/>
              </w:rPr>
              <w:t>.</w:t>
            </w:r>
          </w:p>
          <w:p w14:paraId="1AC481A5" w14:textId="77777777" w:rsidR="00ED4227" w:rsidRDefault="00ED4227" w:rsidP="00ED4227">
            <w:pPr>
              <w:shd w:val="clear" w:color="auto" w:fill="FFFFFF" w:themeFill="background1"/>
              <w:jc w:val="both"/>
              <w:rPr>
                <w:rFonts w:ascii="ITC Avant Garde" w:hAnsi="ITC Avant Garde"/>
                <w:sz w:val="18"/>
                <w:szCs w:val="18"/>
              </w:rPr>
            </w:pPr>
          </w:p>
          <w:p w14:paraId="7FAE44CB" w14:textId="602DE6F1" w:rsidR="00ED4227"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Por todas las razones antes mencionadas, resulta necesaria la actualización del </w:t>
            </w:r>
            <w:r w:rsidR="0009287A" w:rsidRPr="0009287A">
              <w:rPr>
                <w:rFonts w:ascii="ITC Avant Garde" w:hAnsi="ITC Avant Garde"/>
                <w:sz w:val="18"/>
                <w:szCs w:val="18"/>
              </w:rPr>
              <w:t>tiempo máximo de</w:t>
            </w:r>
            <w:r w:rsidRPr="0009287A">
              <w:rPr>
                <w:rFonts w:ascii="ITC Avant Garde" w:hAnsi="ITC Avant Garde"/>
                <w:sz w:val="18"/>
                <w:szCs w:val="18"/>
              </w:rPr>
              <w:t xml:space="preserve"> establecimiento de Llamada,</w:t>
            </w:r>
            <w:r>
              <w:rPr>
                <w:rFonts w:ascii="ITC Avant Garde" w:hAnsi="ITC Avant Garde"/>
                <w:sz w:val="18"/>
                <w:szCs w:val="18"/>
              </w:rPr>
              <w:t xml:space="preserve"> para que se establezca un valor que refleje las nuevas características de las redes en México y se consideren los tiempos adicionales que se están introduciendo</w:t>
            </w:r>
            <w:r w:rsidR="0009287A">
              <w:rPr>
                <w:rFonts w:ascii="ITC Avant Garde" w:hAnsi="ITC Avant Garde"/>
                <w:sz w:val="18"/>
                <w:szCs w:val="18"/>
              </w:rPr>
              <w:t xml:space="preserve"> por la propia tecnología</w:t>
            </w:r>
            <w:r>
              <w:rPr>
                <w:rFonts w:ascii="ITC Avant Garde" w:hAnsi="ITC Avant Garde"/>
                <w:sz w:val="18"/>
                <w:szCs w:val="18"/>
              </w:rPr>
              <w:t xml:space="preserve">. </w:t>
            </w:r>
          </w:p>
          <w:p w14:paraId="5B92263E" w14:textId="77777777" w:rsidR="00ED4227" w:rsidRDefault="00ED4227" w:rsidP="00ED4227">
            <w:pPr>
              <w:shd w:val="clear" w:color="auto" w:fill="FFFFFF" w:themeFill="background1"/>
              <w:jc w:val="both"/>
              <w:rPr>
                <w:rFonts w:ascii="ITC Avant Garde" w:hAnsi="ITC Avant Garde"/>
                <w:sz w:val="18"/>
                <w:szCs w:val="18"/>
              </w:rPr>
            </w:pPr>
          </w:p>
          <w:p w14:paraId="10D1F42A" w14:textId="42A3F58E" w:rsidR="00ED4227" w:rsidRPr="00747989" w:rsidRDefault="00ED4227" w:rsidP="00ED4227">
            <w:pPr>
              <w:shd w:val="clear" w:color="auto" w:fill="FFFFFF" w:themeFill="background1"/>
              <w:jc w:val="both"/>
              <w:rPr>
                <w:rFonts w:ascii="ITC Avant Garde" w:hAnsi="ITC Avant Garde"/>
                <w:sz w:val="18"/>
                <w:szCs w:val="18"/>
              </w:rPr>
            </w:pPr>
            <w:r>
              <w:rPr>
                <w:rFonts w:ascii="ITC Avant Garde" w:hAnsi="ITC Avant Garde"/>
                <w:sz w:val="18"/>
                <w:szCs w:val="18"/>
              </w:rPr>
              <w:t>En resumen</w:t>
            </w:r>
            <w:r w:rsidRPr="00747989">
              <w:rPr>
                <w:rFonts w:ascii="ITC Avant Garde" w:hAnsi="ITC Avant Garde"/>
                <w:sz w:val="18"/>
                <w:szCs w:val="18"/>
              </w:rPr>
              <w:t xml:space="preserve">, </w:t>
            </w:r>
            <w:r>
              <w:rPr>
                <w:rFonts w:ascii="ITC Avant Garde" w:hAnsi="ITC Avant Garde"/>
                <w:sz w:val="18"/>
                <w:szCs w:val="18"/>
              </w:rPr>
              <w:t xml:space="preserve">es imprescindible el </w:t>
            </w:r>
            <w:r w:rsidRPr="00747989">
              <w:rPr>
                <w:rFonts w:ascii="ITC Avant Garde" w:hAnsi="ITC Avant Garde"/>
                <w:sz w:val="18"/>
                <w:szCs w:val="18"/>
              </w:rPr>
              <w:t xml:space="preserve">actualizar el instrumento regulatorio conforme a las tendencias en el servicio móvil en México, considerando los cambios en el entorno digital y las </w:t>
            </w:r>
            <w:r w:rsidR="0009287A">
              <w:rPr>
                <w:rFonts w:ascii="ITC Avant Garde" w:hAnsi="ITC Avant Garde"/>
                <w:sz w:val="18"/>
                <w:szCs w:val="18"/>
              </w:rPr>
              <w:t>estándares y recomendaciones</w:t>
            </w:r>
            <w:r w:rsidRPr="00747989">
              <w:rPr>
                <w:rFonts w:ascii="ITC Avant Garde" w:hAnsi="ITC Avant Garde"/>
                <w:sz w:val="18"/>
                <w:szCs w:val="18"/>
              </w:rPr>
              <w:t xml:space="preserve"> internacionales en la materia.</w:t>
            </w:r>
            <w:r>
              <w:rPr>
                <w:rFonts w:ascii="ITC Avant Garde" w:hAnsi="ITC Avant Garde"/>
                <w:sz w:val="18"/>
                <w:szCs w:val="18"/>
              </w:rPr>
              <w:t xml:space="preserve"> Lo anterior, ya que </w:t>
            </w:r>
            <w:r w:rsidRPr="00A733CB">
              <w:rPr>
                <w:rFonts w:ascii="ITC Avant Garde" w:hAnsi="ITC Avant Garde"/>
                <w:sz w:val="18"/>
                <w:szCs w:val="18"/>
              </w:rPr>
              <w:t>las redes 4G y 5G estarán en el centro de la economía y de la sociedad digital, por lo que se necesita</w:t>
            </w:r>
            <w:r w:rsidR="0009287A">
              <w:rPr>
                <w:rFonts w:ascii="ITC Avant Garde" w:hAnsi="ITC Avant Garde"/>
                <w:sz w:val="18"/>
                <w:szCs w:val="18"/>
              </w:rPr>
              <w:t xml:space="preserve"> un marco regulatorio actualizado que fomente su despliegue</w:t>
            </w:r>
            <w:r w:rsidRPr="00A733CB">
              <w:rPr>
                <w:rFonts w:ascii="ITC Avant Garde" w:hAnsi="ITC Avant Garde"/>
                <w:sz w:val="18"/>
                <w:szCs w:val="18"/>
              </w:rPr>
              <w:t>.</w:t>
            </w:r>
          </w:p>
          <w:p w14:paraId="0AEA0901" w14:textId="3A00E1C7" w:rsidR="00B97AE9" w:rsidRPr="00DD06A0" w:rsidRDefault="00B97AE9" w:rsidP="00ED4227">
            <w:pPr>
              <w:pStyle w:val="Default"/>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18481D5" w14:textId="77777777" w:rsidTr="00B41497">
        <w:tc>
          <w:tcPr>
            <w:tcW w:w="8828" w:type="dxa"/>
          </w:tcPr>
          <w:p w14:paraId="6B03524A" w14:textId="77777777" w:rsidR="00B41497" w:rsidRPr="00DD06A0" w:rsidRDefault="00B41497" w:rsidP="00B41497">
            <w:pPr>
              <w:jc w:val="both"/>
              <w:rPr>
                <w:rFonts w:ascii="ITC Avant Garde" w:hAnsi="ITC Avant Garde"/>
                <w:b/>
                <w:sz w:val="18"/>
                <w:szCs w:val="18"/>
              </w:rPr>
            </w:pPr>
            <w:r w:rsidRPr="00AE51AD">
              <w:rPr>
                <w:rFonts w:ascii="ITC Avant Garde" w:hAnsi="ITC Avant Garde"/>
                <w:b/>
                <w:sz w:val="18"/>
                <w:szCs w:val="18"/>
              </w:rPr>
              <w:lastRenderedPageBreak/>
              <w:t xml:space="preserve">2.- </w:t>
            </w:r>
            <w:r w:rsidR="009B3908" w:rsidRPr="00AE51AD">
              <w:rPr>
                <w:rFonts w:ascii="ITC Avant Garde" w:hAnsi="ITC Avant Garde"/>
                <w:b/>
                <w:sz w:val="18"/>
                <w:szCs w:val="18"/>
              </w:rPr>
              <w:t>Según sea el</w:t>
            </w:r>
            <w:r w:rsidR="009B3908">
              <w:rPr>
                <w:rFonts w:ascii="ITC Avant Garde" w:hAnsi="ITC Avant Garde"/>
                <w:b/>
                <w:sz w:val="18"/>
                <w:szCs w:val="18"/>
              </w:rPr>
              <w:t xml:space="preserve">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w:t>
            </w:r>
            <w:r w:rsidR="00EE38CC">
              <w:rPr>
                <w:rFonts w:ascii="ITC Avant Garde" w:hAnsi="ITC Avant Garde"/>
                <w:b/>
                <w:sz w:val="18"/>
                <w:szCs w:val="18"/>
              </w:rPr>
              <w:t>LFTR</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A7A3C1B" w14:textId="77777777" w:rsidTr="00B41497">
              <w:tc>
                <w:tcPr>
                  <w:tcW w:w="1462" w:type="dxa"/>
                  <w:shd w:val="clear" w:color="auto" w:fill="A8D08D" w:themeFill="accent6" w:themeFillTint="99"/>
                </w:tcPr>
                <w:p w14:paraId="7978CDC0"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DE5467A" w14:textId="77777777" w:rsidTr="00B41497">
              <w:tc>
                <w:tcPr>
                  <w:tcW w:w="1462" w:type="dxa"/>
                </w:tcPr>
                <w:p w14:paraId="2E60AD4E"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4E3B1D">
                    <w:rPr>
                      <w:rFonts w:ascii="ITC Avant Garde" w:hAnsi="ITC Avant Garde"/>
                      <w:sz w:val="18"/>
                      <w:szCs w:val="18"/>
                    </w:rPr>
                    <w:t xml:space="preserve"> </w:t>
                  </w:r>
                  <w:proofErr w:type="gramStart"/>
                  <w:r w:rsidR="004E3B1D">
                    <w:rPr>
                      <w:rFonts w:ascii="ITC Avant Garde" w:hAnsi="ITC Avant Garde"/>
                      <w:sz w:val="18"/>
                      <w:szCs w:val="18"/>
                    </w:rPr>
                    <w:t>( )</w:t>
                  </w:r>
                  <w:proofErr w:type="gramEnd"/>
                  <w:r w:rsidR="004E3B1D">
                    <w:rPr>
                      <w:rFonts w:ascii="ITC Avant Garde" w:hAnsi="ITC Avant Garde"/>
                      <w:sz w:val="18"/>
                      <w:szCs w:val="18"/>
                    </w:rPr>
                    <w:t xml:space="preserve"> No (</w:t>
                  </w:r>
                  <w:r w:rsidR="004E3B1D" w:rsidRPr="004E3B1D">
                    <w:rPr>
                      <w:rFonts w:ascii="ITC Avant Garde" w:hAnsi="ITC Avant Garde"/>
                      <w:b/>
                      <w:sz w:val="18"/>
                      <w:szCs w:val="18"/>
                    </w:rPr>
                    <w:t>X</w:t>
                  </w:r>
                  <w:r w:rsidR="00B41497" w:rsidRPr="00DD06A0">
                    <w:rPr>
                      <w:rFonts w:ascii="ITC Avant Garde" w:hAnsi="ITC Avant Garde"/>
                      <w:sz w:val="18"/>
                      <w:szCs w:val="18"/>
                    </w:rPr>
                    <w:t>)</w:t>
                  </w:r>
                </w:p>
              </w:tc>
            </w:tr>
          </w:tbl>
          <w:p w14:paraId="6FCD988C" w14:textId="77777777" w:rsidR="00B41497" w:rsidRPr="00DD06A0" w:rsidRDefault="00B41497" w:rsidP="00B41497">
            <w:pPr>
              <w:jc w:val="both"/>
              <w:rPr>
                <w:rFonts w:ascii="ITC Avant Garde" w:hAnsi="ITC Avant Garde"/>
                <w:sz w:val="18"/>
                <w:szCs w:val="18"/>
              </w:rPr>
            </w:pPr>
          </w:p>
          <w:p w14:paraId="3D623815" w14:textId="77777777" w:rsidR="00B41497" w:rsidRPr="00DD06A0" w:rsidRDefault="00B41497" w:rsidP="00B41497">
            <w:pPr>
              <w:jc w:val="both"/>
              <w:rPr>
                <w:rFonts w:ascii="ITC Avant Garde" w:hAnsi="ITC Avant Garde"/>
                <w:sz w:val="18"/>
                <w:szCs w:val="18"/>
              </w:rPr>
            </w:pPr>
          </w:p>
          <w:p w14:paraId="7C0E55F7" w14:textId="77777777" w:rsidR="00B41497" w:rsidRPr="00DD06A0" w:rsidRDefault="00B41497" w:rsidP="00B41497">
            <w:pPr>
              <w:jc w:val="both"/>
              <w:rPr>
                <w:rFonts w:ascii="ITC Avant Garde" w:hAnsi="ITC Avant Garde"/>
                <w:sz w:val="18"/>
                <w:szCs w:val="18"/>
              </w:rPr>
            </w:pPr>
          </w:p>
          <w:p w14:paraId="4D04EADA" w14:textId="77777777" w:rsidR="00B41497" w:rsidRPr="00DD06A0" w:rsidRDefault="00B41497" w:rsidP="00B41497">
            <w:pPr>
              <w:jc w:val="both"/>
              <w:rPr>
                <w:rFonts w:ascii="ITC Avant Garde" w:hAnsi="ITC Avant Garde"/>
                <w:sz w:val="18"/>
                <w:szCs w:val="18"/>
              </w:rPr>
            </w:pPr>
          </w:p>
          <w:p w14:paraId="50B28C6E" w14:textId="77777777" w:rsidR="009B3908" w:rsidRDefault="009B3908" w:rsidP="00B41497">
            <w:pPr>
              <w:jc w:val="both"/>
              <w:rPr>
                <w:rFonts w:ascii="ITC Avant Garde" w:hAnsi="ITC Avant Garde"/>
                <w:b/>
                <w:sz w:val="18"/>
                <w:szCs w:val="18"/>
              </w:rPr>
            </w:pPr>
          </w:p>
          <w:p w14:paraId="6CC22CA1"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70370011"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2C16D22E" w14:textId="77777777" w:rsidTr="00596FDE">
              <w:tc>
                <w:tcPr>
                  <w:tcW w:w="8602" w:type="dxa"/>
                </w:tcPr>
                <w:p w14:paraId="090A7574" w14:textId="77777777" w:rsidR="00596FDE" w:rsidRPr="00DD06A0" w:rsidRDefault="00596FDE" w:rsidP="00712831">
                  <w:pPr>
                    <w:framePr w:hSpace="141" w:wrap="around" w:vAnchor="text" w:hAnchor="margin" w:y="356"/>
                    <w:jc w:val="both"/>
                    <w:rPr>
                      <w:rFonts w:ascii="ITC Avant Garde" w:hAnsi="ITC Avant Garde"/>
                      <w:sz w:val="18"/>
                      <w:szCs w:val="18"/>
                    </w:rPr>
                  </w:pPr>
                </w:p>
                <w:p w14:paraId="71489E8E" w14:textId="77777777" w:rsidR="00596FDE" w:rsidRPr="00DD06A0" w:rsidRDefault="00596FDE" w:rsidP="00712831">
                  <w:pPr>
                    <w:framePr w:hSpace="141" w:wrap="around" w:vAnchor="text" w:hAnchor="margin" w:y="356"/>
                    <w:jc w:val="both"/>
                    <w:rPr>
                      <w:rFonts w:ascii="ITC Avant Garde" w:hAnsi="ITC Avant Garde"/>
                      <w:sz w:val="18"/>
                      <w:szCs w:val="18"/>
                    </w:rPr>
                  </w:pPr>
                </w:p>
                <w:p w14:paraId="09F7AF5E" w14:textId="77777777" w:rsidR="00552E7C" w:rsidRPr="00DD06A0" w:rsidRDefault="00552E7C" w:rsidP="00712831">
                  <w:pPr>
                    <w:framePr w:hSpace="141" w:wrap="around" w:vAnchor="text" w:hAnchor="margin" w:y="356"/>
                    <w:jc w:val="both"/>
                    <w:rPr>
                      <w:rFonts w:ascii="ITC Avant Garde" w:hAnsi="ITC Avant Garde"/>
                      <w:sz w:val="18"/>
                      <w:szCs w:val="18"/>
                    </w:rPr>
                  </w:pPr>
                </w:p>
                <w:p w14:paraId="7E0F4D56" w14:textId="77777777" w:rsidR="00552E7C" w:rsidRPr="00DD06A0" w:rsidRDefault="00552E7C" w:rsidP="00712831">
                  <w:pPr>
                    <w:framePr w:hSpace="141" w:wrap="around" w:vAnchor="text" w:hAnchor="margin" w:y="356"/>
                    <w:jc w:val="both"/>
                    <w:rPr>
                      <w:rFonts w:ascii="ITC Avant Garde" w:hAnsi="ITC Avant Garde"/>
                      <w:sz w:val="18"/>
                      <w:szCs w:val="18"/>
                    </w:rPr>
                  </w:pPr>
                </w:p>
              </w:tc>
            </w:tr>
          </w:tbl>
          <w:p w14:paraId="028A04F5" w14:textId="77777777" w:rsidR="00B41497" w:rsidRPr="00DD06A0" w:rsidRDefault="00B41497" w:rsidP="00B41497">
            <w:pPr>
              <w:jc w:val="both"/>
              <w:rPr>
                <w:rFonts w:ascii="ITC Avant Garde" w:hAnsi="ITC Avant Garde"/>
                <w:sz w:val="18"/>
                <w:szCs w:val="18"/>
              </w:rPr>
            </w:pPr>
          </w:p>
          <w:p w14:paraId="03ECE11B" w14:textId="77777777" w:rsidR="00596FDE" w:rsidRPr="00DD06A0" w:rsidRDefault="00596FDE" w:rsidP="00B41497">
            <w:pPr>
              <w:jc w:val="both"/>
              <w:rPr>
                <w:rFonts w:ascii="ITC Avant Garde" w:hAnsi="ITC Avant Garde"/>
                <w:sz w:val="18"/>
                <w:szCs w:val="18"/>
              </w:rPr>
            </w:pPr>
          </w:p>
        </w:tc>
      </w:tr>
    </w:tbl>
    <w:p w14:paraId="43759B9D" w14:textId="77777777" w:rsidR="001932FC" w:rsidRPr="00DD06A0" w:rsidRDefault="001932FC" w:rsidP="001932FC">
      <w:pPr>
        <w:jc w:val="both"/>
        <w:rPr>
          <w:rFonts w:ascii="ITC Avant Garde" w:hAnsi="ITC Avant Garde"/>
          <w:sz w:val="18"/>
          <w:szCs w:val="18"/>
        </w:rPr>
      </w:pPr>
    </w:p>
    <w:p w14:paraId="11DFBF6D"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3306C49" w14:textId="77777777" w:rsidTr="00F0449E">
        <w:tc>
          <w:tcPr>
            <w:tcW w:w="8828" w:type="dxa"/>
          </w:tcPr>
          <w:p w14:paraId="4FBF6B40" w14:textId="77777777" w:rsidR="00F0449E" w:rsidRPr="00C84BAE" w:rsidRDefault="00C9396B">
            <w:pPr>
              <w:jc w:val="both"/>
              <w:rPr>
                <w:rFonts w:ascii="ITC Avant Garde" w:hAnsi="ITC Avant Garde"/>
                <w:b/>
                <w:sz w:val="18"/>
                <w:szCs w:val="18"/>
              </w:rPr>
            </w:pPr>
            <w:r w:rsidRPr="00AE51AD">
              <w:rPr>
                <w:rFonts w:ascii="ITC Avant Garde" w:hAnsi="ITC Avant Garde"/>
                <w:b/>
                <w:sz w:val="18"/>
                <w:szCs w:val="18"/>
              </w:rPr>
              <w:t>3</w:t>
            </w:r>
            <w:r w:rsidR="00F0449E" w:rsidRPr="00AE51AD">
              <w:rPr>
                <w:rFonts w:ascii="ITC Avant Garde" w:hAnsi="ITC Avant Garde"/>
                <w:b/>
                <w:sz w:val="18"/>
                <w:szCs w:val="18"/>
              </w:rPr>
              <w:t>.- ¿En qué consiste la</w:t>
            </w:r>
            <w:r w:rsidR="00F0449E" w:rsidRPr="00C84BAE">
              <w:rPr>
                <w:rFonts w:ascii="ITC Avant Garde" w:hAnsi="ITC Avant Garde"/>
                <w:b/>
                <w:sz w:val="18"/>
                <w:szCs w:val="18"/>
              </w:rPr>
              <w:t xml:space="preserve"> propuesta de regulación e indique cómo incidirá favorablemente en la problemática antes descrita y en el desarrollo eficiente de los distintos mercados de</w:t>
            </w:r>
            <w:r w:rsidR="006E6735" w:rsidRPr="00C84BAE">
              <w:rPr>
                <w:rFonts w:ascii="ITC Avant Garde" w:hAnsi="ITC Avant Garde"/>
                <w:b/>
                <w:sz w:val="18"/>
                <w:szCs w:val="18"/>
              </w:rPr>
              <w:t xml:space="preserve"> </w:t>
            </w:r>
            <w:r w:rsidR="00F0449E" w:rsidRPr="00C84BAE">
              <w:rPr>
                <w:rFonts w:ascii="ITC Avant Garde" w:hAnsi="ITC Avant Garde"/>
                <w:b/>
                <w:sz w:val="18"/>
                <w:szCs w:val="18"/>
              </w:rPr>
              <w:t>l</w:t>
            </w:r>
            <w:r w:rsidR="006E6735" w:rsidRPr="00C84BAE">
              <w:rPr>
                <w:rFonts w:ascii="ITC Avant Garde" w:hAnsi="ITC Avant Garde"/>
                <w:b/>
                <w:sz w:val="18"/>
                <w:szCs w:val="18"/>
              </w:rPr>
              <w:t>os</w:t>
            </w:r>
            <w:r w:rsidR="00F0449E" w:rsidRPr="00C84BAE">
              <w:rPr>
                <w:rFonts w:ascii="ITC Avant Garde" w:hAnsi="ITC Avant Garde"/>
                <w:b/>
                <w:sz w:val="18"/>
                <w:szCs w:val="18"/>
              </w:rPr>
              <w:t xml:space="preserve"> sector</w:t>
            </w:r>
            <w:r w:rsidR="006E6735" w:rsidRPr="00C84BAE">
              <w:rPr>
                <w:rFonts w:ascii="ITC Avant Garde" w:hAnsi="ITC Avant Garde"/>
                <w:b/>
                <w:sz w:val="18"/>
                <w:szCs w:val="18"/>
              </w:rPr>
              <w:t>es</w:t>
            </w:r>
            <w:r w:rsidR="00F0449E" w:rsidRPr="00C84BAE">
              <w:rPr>
                <w:rFonts w:ascii="ITC Avant Garde" w:hAnsi="ITC Avant Garde"/>
                <w:b/>
                <w:sz w:val="18"/>
                <w:szCs w:val="18"/>
              </w:rPr>
              <w:t xml:space="preserve"> de telecomunicaciones y radiodifusión, antes identificados?</w:t>
            </w:r>
          </w:p>
          <w:p w14:paraId="7D8247FE" w14:textId="5B6E4979" w:rsidR="00C160B6" w:rsidRDefault="00C160B6">
            <w:pPr>
              <w:jc w:val="both"/>
              <w:rPr>
                <w:rFonts w:ascii="ITC Avant Garde" w:hAnsi="ITC Avant Garde"/>
                <w:sz w:val="18"/>
                <w:szCs w:val="18"/>
              </w:rPr>
            </w:pPr>
          </w:p>
          <w:p w14:paraId="255A45B3" w14:textId="73B58A50" w:rsidR="00C7229B" w:rsidRDefault="00C7229B">
            <w:pPr>
              <w:jc w:val="both"/>
              <w:rPr>
                <w:rFonts w:ascii="ITC Avant Garde" w:hAnsi="ITC Avant Garde"/>
                <w:sz w:val="18"/>
                <w:szCs w:val="18"/>
              </w:rPr>
            </w:pPr>
            <w:r>
              <w:rPr>
                <w:rFonts w:ascii="ITC Avant Garde" w:hAnsi="ITC Avant Garde"/>
                <w:sz w:val="18"/>
                <w:szCs w:val="18"/>
              </w:rPr>
              <w:t xml:space="preserve">La propuesta de regulación consiste en </w:t>
            </w:r>
            <w:r w:rsidR="00163CF2">
              <w:rPr>
                <w:rFonts w:ascii="ITC Avant Garde" w:hAnsi="ITC Avant Garde"/>
                <w:sz w:val="18"/>
                <w:szCs w:val="18"/>
              </w:rPr>
              <w:t xml:space="preserve">actualizar el </w:t>
            </w:r>
            <w:r w:rsidRPr="00C7229B">
              <w:rPr>
                <w:rFonts w:ascii="ITC Avant Garde" w:hAnsi="ITC Avant Garde"/>
                <w:sz w:val="18"/>
                <w:szCs w:val="18"/>
              </w:rPr>
              <w:t xml:space="preserve">tiempo </w:t>
            </w:r>
            <w:r w:rsidR="00163CF2">
              <w:rPr>
                <w:rFonts w:ascii="ITC Avant Garde" w:hAnsi="ITC Avant Garde"/>
                <w:sz w:val="18"/>
                <w:szCs w:val="18"/>
              </w:rPr>
              <w:t xml:space="preserve">máximo </w:t>
            </w:r>
            <w:r w:rsidRPr="00C7229B">
              <w:rPr>
                <w:rFonts w:ascii="ITC Avant Garde" w:hAnsi="ITC Avant Garde"/>
                <w:sz w:val="18"/>
                <w:szCs w:val="18"/>
              </w:rPr>
              <w:t>de establecimiento de llamada</w:t>
            </w:r>
            <w:r>
              <w:rPr>
                <w:rFonts w:ascii="ITC Avant Garde" w:hAnsi="ITC Avant Garde"/>
                <w:sz w:val="18"/>
                <w:szCs w:val="18"/>
              </w:rPr>
              <w:t xml:space="preserve"> definido </w:t>
            </w:r>
            <w:r w:rsidR="00163CF2">
              <w:rPr>
                <w:rFonts w:ascii="ITC Avant Garde" w:hAnsi="ITC Avant Garde"/>
                <w:sz w:val="18"/>
                <w:szCs w:val="18"/>
              </w:rPr>
              <w:t>en el parámetro de calidad Proporción de intentos de Llamada fallidos</w:t>
            </w:r>
            <w:r>
              <w:rPr>
                <w:rFonts w:ascii="ITC Avant Garde" w:hAnsi="ITC Avant Garde"/>
                <w:sz w:val="18"/>
                <w:szCs w:val="18"/>
              </w:rPr>
              <w:t>. Lo anterior</w:t>
            </w:r>
            <w:r w:rsidRPr="00C7229B">
              <w:rPr>
                <w:rFonts w:ascii="ITC Avant Garde" w:hAnsi="ITC Avant Garde"/>
                <w:sz w:val="18"/>
                <w:szCs w:val="18"/>
              </w:rPr>
              <w:t>,</w:t>
            </w:r>
            <w:r>
              <w:rPr>
                <w:rFonts w:ascii="ITC Avant Garde" w:hAnsi="ITC Avant Garde"/>
                <w:sz w:val="18"/>
                <w:szCs w:val="18"/>
              </w:rPr>
              <w:t xml:space="preserve"> aunado a la evolución y a las nuevas características de las redes móviles en México, </w:t>
            </w:r>
            <w:r w:rsidR="005A59BE">
              <w:rPr>
                <w:rFonts w:ascii="ITC Avant Garde" w:hAnsi="ITC Avant Garde"/>
                <w:sz w:val="18"/>
                <w:szCs w:val="18"/>
              </w:rPr>
              <w:t>panorama</w:t>
            </w:r>
            <w:r>
              <w:rPr>
                <w:rFonts w:ascii="ITC Avant Garde" w:hAnsi="ITC Avant Garde"/>
                <w:sz w:val="18"/>
                <w:szCs w:val="18"/>
              </w:rPr>
              <w:t xml:space="preserve"> ya descrito en el numeral de la problemática.</w:t>
            </w:r>
          </w:p>
          <w:p w14:paraId="4D5E7CEF" w14:textId="77777777" w:rsidR="00C7229B" w:rsidRDefault="00C7229B">
            <w:pPr>
              <w:jc w:val="both"/>
              <w:rPr>
                <w:rFonts w:ascii="ITC Avant Garde" w:hAnsi="ITC Avant Garde"/>
                <w:sz w:val="18"/>
                <w:szCs w:val="18"/>
              </w:rPr>
            </w:pPr>
          </w:p>
          <w:p w14:paraId="516D5101" w14:textId="4BA9F7FC" w:rsidR="005A59BE" w:rsidRPr="00747989" w:rsidRDefault="005A59BE" w:rsidP="00956766">
            <w:pPr>
              <w:jc w:val="both"/>
              <w:rPr>
                <w:rFonts w:ascii="ITC Avant Garde" w:hAnsi="ITC Avant Garde"/>
                <w:sz w:val="18"/>
                <w:szCs w:val="18"/>
              </w:rPr>
            </w:pPr>
            <w:r>
              <w:rPr>
                <w:rFonts w:ascii="ITC Avant Garde" w:hAnsi="ITC Avant Garde"/>
                <w:sz w:val="18"/>
                <w:szCs w:val="18"/>
              </w:rPr>
              <w:t>Con este cambio, la nueva modificación de regulación se alinea</w:t>
            </w:r>
            <w:r w:rsidR="00956766">
              <w:rPr>
                <w:rFonts w:ascii="ITC Avant Garde" w:hAnsi="ITC Avant Garde"/>
                <w:sz w:val="18"/>
                <w:szCs w:val="18"/>
              </w:rPr>
              <w:t>rá</w:t>
            </w:r>
            <w:r>
              <w:rPr>
                <w:rFonts w:ascii="ITC Avant Garde" w:hAnsi="ITC Avant Garde"/>
                <w:sz w:val="18"/>
                <w:szCs w:val="18"/>
              </w:rPr>
              <w:t xml:space="preserve"> </w:t>
            </w:r>
            <w:r w:rsidRPr="00747989">
              <w:rPr>
                <w:rFonts w:ascii="ITC Avant Garde" w:hAnsi="ITC Avant Garde"/>
                <w:sz w:val="18"/>
                <w:szCs w:val="18"/>
              </w:rPr>
              <w:t xml:space="preserve">a las </w:t>
            </w:r>
            <w:r w:rsidR="00956766">
              <w:rPr>
                <w:rFonts w:ascii="ITC Avant Garde" w:hAnsi="ITC Avant Garde"/>
                <w:sz w:val="18"/>
                <w:szCs w:val="18"/>
              </w:rPr>
              <w:t xml:space="preserve">nuevas </w:t>
            </w:r>
            <w:r w:rsidR="00163CF2">
              <w:rPr>
                <w:rFonts w:ascii="ITC Avant Garde" w:hAnsi="ITC Avant Garde"/>
                <w:sz w:val="18"/>
                <w:szCs w:val="18"/>
              </w:rPr>
              <w:t>tecnologías y arquitecturas</w:t>
            </w:r>
            <w:r w:rsidRPr="00747989">
              <w:rPr>
                <w:rFonts w:ascii="ITC Avant Garde" w:hAnsi="ITC Avant Garde"/>
                <w:sz w:val="18"/>
                <w:szCs w:val="18"/>
              </w:rPr>
              <w:t xml:space="preserve"> </w:t>
            </w:r>
            <w:r w:rsidR="00956766">
              <w:rPr>
                <w:rFonts w:ascii="ITC Avant Garde" w:hAnsi="ITC Avant Garde"/>
                <w:sz w:val="18"/>
                <w:szCs w:val="18"/>
              </w:rPr>
              <w:t>de las redes d</w:t>
            </w:r>
            <w:r w:rsidRPr="00747989">
              <w:rPr>
                <w:rFonts w:ascii="ITC Avant Garde" w:hAnsi="ITC Avant Garde"/>
                <w:sz w:val="18"/>
                <w:szCs w:val="18"/>
              </w:rPr>
              <w:t xml:space="preserve">el servicio móvil en México, considerando los cambios en el entorno digital </w:t>
            </w:r>
            <w:r w:rsidR="00163CF2">
              <w:rPr>
                <w:rFonts w:ascii="ITC Avant Garde" w:hAnsi="ITC Avant Garde"/>
                <w:sz w:val="18"/>
                <w:szCs w:val="18"/>
              </w:rPr>
              <w:t>y los estándares y recomendaciones</w:t>
            </w:r>
            <w:r w:rsidRPr="00747989">
              <w:rPr>
                <w:rFonts w:ascii="ITC Avant Garde" w:hAnsi="ITC Avant Garde"/>
                <w:sz w:val="18"/>
                <w:szCs w:val="18"/>
              </w:rPr>
              <w:t xml:space="preserve"> internacionales.</w:t>
            </w:r>
            <w:r>
              <w:rPr>
                <w:rFonts w:ascii="ITC Avant Garde" w:hAnsi="ITC Avant Garde"/>
                <w:sz w:val="18"/>
                <w:szCs w:val="18"/>
              </w:rPr>
              <w:t xml:space="preserve"> </w:t>
            </w:r>
            <w:r w:rsidR="00956766">
              <w:rPr>
                <w:rFonts w:ascii="ITC Avant Garde" w:hAnsi="ITC Avant Garde"/>
                <w:sz w:val="18"/>
                <w:szCs w:val="18"/>
              </w:rPr>
              <w:t>De esta manera, se</w:t>
            </w:r>
            <w:r>
              <w:rPr>
                <w:rFonts w:ascii="ITC Avant Garde" w:hAnsi="ITC Avant Garde"/>
                <w:sz w:val="18"/>
                <w:szCs w:val="18"/>
              </w:rPr>
              <w:t xml:space="preserve"> </w:t>
            </w:r>
            <w:r w:rsidR="00163CF2">
              <w:rPr>
                <w:rFonts w:ascii="ITC Avant Garde" w:hAnsi="ITC Avant Garde"/>
                <w:sz w:val="18"/>
                <w:szCs w:val="18"/>
              </w:rPr>
              <w:t>fomenta el despliegue de</w:t>
            </w:r>
            <w:r>
              <w:rPr>
                <w:rFonts w:ascii="ITC Avant Garde" w:hAnsi="ITC Avant Garde"/>
                <w:sz w:val="18"/>
                <w:szCs w:val="18"/>
              </w:rPr>
              <w:t xml:space="preserve"> </w:t>
            </w:r>
            <w:r w:rsidRPr="00A733CB">
              <w:rPr>
                <w:rFonts w:ascii="ITC Avant Garde" w:hAnsi="ITC Avant Garde"/>
                <w:sz w:val="18"/>
                <w:szCs w:val="18"/>
              </w:rPr>
              <w:t xml:space="preserve">las redes 4G y 5G </w:t>
            </w:r>
            <w:r w:rsidR="00163CF2">
              <w:rPr>
                <w:rFonts w:ascii="ITC Avant Garde" w:hAnsi="ITC Avant Garde"/>
                <w:sz w:val="18"/>
                <w:szCs w:val="18"/>
              </w:rPr>
              <w:t>al considerar el funcionamiento y la arquitectura de estas tecnologías.</w:t>
            </w:r>
          </w:p>
          <w:p w14:paraId="591D3B00" w14:textId="77777777" w:rsidR="005A59BE" w:rsidRDefault="005A59BE">
            <w:pPr>
              <w:jc w:val="both"/>
              <w:rPr>
                <w:rFonts w:ascii="ITC Avant Garde" w:hAnsi="ITC Avant Garde"/>
                <w:sz w:val="18"/>
                <w:szCs w:val="18"/>
              </w:rPr>
            </w:pPr>
          </w:p>
          <w:p w14:paraId="2D122C0B" w14:textId="77777777" w:rsidR="005A59BE" w:rsidRDefault="005A59BE">
            <w:pPr>
              <w:jc w:val="both"/>
              <w:rPr>
                <w:rFonts w:ascii="ITC Avant Garde" w:hAnsi="ITC Avant Garde"/>
                <w:sz w:val="18"/>
                <w:szCs w:val="18"/>
              </w:rPr>
            </w:pPr>
          </w:p>
          <w:p w14:paraId="59DA9FC7" w14:textId="7D7D8530" w:rsidR="00C160B6" w:rsidRPr="00DD06A0" w:rsidRDefault="00C160B6" w:rsidP="005A59BE">
            <w:pPr>
              <w:jc w:val="both"/>
              <w:rPr>
                <w:rFonts w:ascii="ITC Avant Garde" w:hAnsi="ITC Avant Garde"/>
                <w:sz w:val="18"/>
                <w:szCs w:val="18"/>
              </w:rPr>
            </w:pPr>
          </w:p>
        </w:tc>
      </w:tr>
    </w:tbl>
    <w:p w14:paraId="63B701F0"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699BC8A" w14:textId="77777777" w:rsidTr="00225DA6">
        <w:tc>
          <w:tcPr>
            <w:tcW w:w="8828" w:type="dxa"/>
          </w:tcPr>
          <w:p w14:paraId="7ED230B8" w14:textId="77777777" w:rsidR="00F0449E" w:rsidRPr="00AE51AD" w:rsidRDefault="00C9396B" w:rsidP="00225DA6">
            <w:pPr>
              <w:jc w:val="both"/>
              <w:rPr>
                <w:rFonts w:ascii="ITC Avant Garde" w:hAnsi="ITC Avant Garde"/>
                <w:b/>
                <w:sz w:val="18"/>
                <w:szCs w:val="18"/>
              </w:rPr>
            </w:pPr>
            <w:r w:rsidRPr="00AE51AD">
              <w:rPr>
                <w:rFonts w:ascii="ITC Avant Garde" w:hAnsi="ITC Avant Garde"/>
                <w:b/>
                <w:sz w:val="18"/>
                <w:szCs w:val="18"/>
              </w:rPr>
              <w:t>4</w:t>
            </w:r>
            <w:r w:rsidR="00F0449E" w:rsidRPr="00AE51AD">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AE51AD">
              <w:rPr>
                <w:rFonts w:ascii="ITC Avant Garde" w:hAnsi="ITC Avant Garde"/>
                <w:b/>
                <w:sz w:val="18"/>
                <w:szCs w:val="18"/>
              </w:rPr>
              <w:t>impactados</w:t>
            </w:r>
            <w:r w:rsidR="00F0449E" w:rsidRPr="00AE51AD">
              <w:rPr>
                <w:rFonts w:ascii="ITC Avant Garde" w:hAnsi="ITC Avant Garde"/>
                <w:b/>
                <w:sz w:val="18"/>
                <w:szCs w:val="18"/>
              </w:rPr>
              <w:t xml:space="preserve"> por la propuesta de regulación.</w:t>
            </w:r>
          </w:p>
          <w:p w14:paraId="60A40F8F" w14:textId="77777777" w:rsidR="00F0449E" w:rsidRPr="00AE51AD"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AE51AD" w14:paraId="71FBD07A" w14:textId="77777777" w:rsidTr="00972415">
              <w:tc>
                <w:tcPr>
                  <w:tcW w:w="4301" w:type="dxa"/>
                  <w:shd w:val="clear" w:color="auto" w:fill="A8D08D" w:themeFill="accent6" w:themeFillTint="99"/>
                </w:tcPr>
                <w:p w14:paraId="10F5BF96" w14:textId="77777777" w:rsidR="00972415" w:rsidRPr="00AE51AD" w:rsidRDefault="00972415" w:rsidP="00972415">
                  <w:pPr>
                    <w:jc w:val="center"/>
                    <w:rPr>
                      <w:rFonts w:ascii="ITC Avant Garde" w:hAnsi="ITC Avant Garde"/>
                      <w:b/>
                      <w:sz w:val="18"/>
                      <w:szCs w:val="18"/>
                    </w:rPr>
                  </w:pPr>
                  <w:r w:rsidRPr="00AE51AD">
                    <w:rPr>
                      <w:rFonts w:ascii="ITC Avant Garde" w:hAnsi="ITC Avant Garde"/>
                      <w:b/>
                      <w:sz w:val="18"/>
                      <w:szCs w:val="18"/>
                    </w:rPr>
                    <w:t>Población</w:t>
                  </w:r>
                </w:p>
              </w:tc>
              <w:tc>
                <w:tcPr>
                  <w:tcW w:w="4301" w:type="dxa"/>
                  <w:shd w:val="clear" w:color="auto" w:fill="A8D08D" w:themeFill="accent6" w:themeFillTint="99"/>
                </w:tcPr>
                <w:p w14:paraId="3EC3A0C7" w14:textId="77777777" w:rsidR="00972415" w:rsidRPr="00AE51AD" w:rsidRDefault="00972415" w:rsidP="00972415">
                  <w:pPr>
                    <w:jc w:val="center"/>
                    <w:rPr>
                      <w:rFonts w:ascii="ITC Avant Garde" w:hAnsi="ITC Avant Garde"/>
                      <w:b/>
                      <w:sz w:val="18"/>
                      <w:szCs w:val="18"/>
                    </w:rPr>
                  </w:pPr>
                  <w:r w:rsidRPr="00AE51AD">
                    <w:rPr>
                      <w:rFonts w:ascii="ITC Avant Garde" w:hAnsi="ITC Avant Garde"/>
                      <w:b/>
                      <w:sz w:val="18"/>
                      <w:szCs w:val="18"/>
                    </w:rPr>
                    <w:t>Cantidad</w:t>
                  </w:r>
                  <w:r w:rsidR="00CD47DC" w:rsidRPr="00AE51AD">
                    <w:rPr>
                      <w:rStyle w:val="Refdenotaalpie"/>
                      <w:rFonts w:ascii="ITC Avant Garde" w:hAnsi="ITC Avant Garde"/>
                      <w:b/>
                      <w:sz w:val="18"/>
                      <w:szCs w:val="18"/>
                    </w:rPr>
                    <w:footnoteReference w:id="10"/>
                  </w:r>
                </w:p>
              </w:tc>
            </w:tr>
            <w:tr w:rsidR="007A4362" w:rsidRPr="00AE51AD" w14:paraId="6BA32086" w14:textId="77777777" w:rsidTr="00972415">
              <w:tc>
                <w:tcPr>
                  <w:tcW w:w="4301" w:type="dxa"/>
                  <w:shd w:val="clear" w:color="auto" w:fill="E2EFD9" w:themeFill="accent6" w:themeFillTint="33"/>
                </w:tcPr>
                <w:p w14:paraId="43B86FDC" w14:textId="4D707A22" w:rsidR="007A4362" w:rsidRPr="00AE51AD" w:rsidRDefault="007A4362" w:rsidP="007A4362">
                  <w:pPr>
                    <w:jc w:val="both"/>
                    <w:rPr>
                      <w:rFonts w:ascii="ITC Avant Garde" w:hAnsi="ITC Avant Garde"/>
                      <w:sz w:val="18"/>
                      <w:szCs w:val="18"/>
                    </w:rPr>
                  </w:pPr>
                  <w:r w:rsidRPr="00AE51AD">
                    <w:rPr>
                      <w:rFonts w:ascii="ITC Avant Garde" w:hAnsi="ITC Avant Garde"/>
                      <w:sz w:val="18"/>
                      <w:szCs w:val="18"/>
                    </w:rPr>
                    <w:t>Líneas totales del servicio móvil de acceso a Internet</w:t>
                  </w:r>
                </w:p>
              </w:tc>
              <w:tc>
                <w:tcPr>
                  <w:tcW w:w="4301" w:type="dxa"/>
                  <w:shd w:val="clear" w:color="auto" w:fill="E2EFD9" w:themeFill="accent6" w:themeFillTint="33"/>
                </w:tcPr>
                <w:p w14:paraId="15A8110F" w14:textId="29DE5FED" w:rsidR="007A4362" w:rsidRPr="00AE51AD" w:rsidRDefault="00D01FA4">
                  <w:pPr>
                    <w:jc w:val="center"/>
                    <w:rPr>
                      <w:rFonts w:ascii="ITC Avant Garde" w:hAnsi="ITC Avant Garde"/>
                      <w:b/>
                      <w:sz w:val="18"/>
                      <w:szCs w:val="18"/>
                    </w:rPr>
                  </w:pPr>
                  <w:r w:rsidRPr="00AE51AD">
                    <w:rPr>
                      <w:rFonts w:ascii="ITC Avant Garde" w:hAnsi="ITC Avant Garde"/>
                      <w:b/>
                      <w:sz w:val="18"/>
                      <w:szCs w:val="18"/>
                    </w:rPr>
                    <w:t>128,224,764</w:t>
                  </w:r>
                </w:p>
              </w:tc>
            </w:tr>
            <w:tr w:rsidR="00DF7A2F" w:rsidRPr="00AE51AD" w14:paraId="1406B692" w14:textId="77777777" w:rsidTr="00972415">
              <w:tc>
                <w:tcPr>
                  <w:tcW w:w="4301" w:type="dxa"/>
                  <w:shd w:val="clear" w:color="auto" w:fill="E2EFD9" w:themeFill="accent6" w:themeFillTint="33"/>
                </w:tcPr>
                <w:p w14:paraId="601028CA" w14:textId="77777777" w:rsidR="00DF7A2F" w:rsidRPr="00AE51AD" w:rsidRDefault="00DF7A2F" w:rsidP="00DF7A2F">
                  <w:pPr>
                    <w:jc w:val="both"/>
                    <w:rPr>
                      <w:rFonts w:ascii="ITC Avant Garde" w:hAnsi="ITC Avant Garde"/>
                      <w:sz w:val="18"/>
                      <w:szCs w:val="18"/>
                    </w:rPr>
                  </w:pPr>
                  <w:r w:rsidRPr="00AE51AD">
                    <w:rPr>
                      <w:rFonts w:ascii="ITC Avant Garde" w:hAnsi="ITC Avant Garde"/>
                      <w:sz w:val="18"/>
                      <w:szCs w:val="18"/>
                    </w:rPr>
                    <w:t xml:space="preserve">Operadores del servicio </w:t>
                  </w:r>
                  <w:r w:rsidR="00775E6B" w:rsidRPr="00AE51AD">
                    <w:rPr>
                      <w:rFonts w:ascii="ITC Avant Garde" w:hAnsi="ITC Avant Garde"/>
                      <w:sz w:val="18"/>
                      <w:szCs w:val="18"/>
                    </w:rPr>
                    <w:t>móvil</w:t>
                  </w:r>
                </w:p>
              </w:tc>
              <w:tc>
                <w:tcPr>
                  <w:tcW w:w="4301" w:type="dxa"/>
                  <w:shd w:val="clear" w:color="auto" w:fill="E2EFD9" w:themeFill="accent6" w:themeFillTint="33"/>
                </w:tcPr>
                <w:p w14:paraId="66F9B0F6" w14:textId="4D8E7875" w:rsidR="00DF7A2F" w:rsidRPr="00AE51AD" w:rsidRDefault="00D01FA4" w:rsidP="00B473F0">
                  <w:pPr>
                    <w:jc w:val="center"/>
                    <w:rPr>
                      <w:rFonts w:ascii="ITC Avant Garde" w:hAnsi="ITC Avant Garde"/>
                      <w:b/>
                      <w:sz w:val="18"/>
                      <w:szCs w:val="18"/>
                    </w:rPr>
                  </w:pPr>
                  <w:r w:rsidRPr="00AE51AD">
                    <w:rPr>
                      <w:rFonts w:ascii="ITC Avant Garde" w:hAnsi="ITC Avant Garde"/>
                      <w:b/>
                      <w:sz w:val="18"/>
                      <w:szCs w:val="18"/>
                    </w:rPr>
                    <w:t>19</w:t>
                  </w:r>
                </w:p>
              </w:tc>
            </w:tr>
          </w:tbl>
          <w:p w14:paraId="6096B36A" w14:textId="77777777" w:rsidR="00972415" w:rsidRPr="00AE51AD"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AE51AD" w14:paraId="5DBB2133" w14:textId="77777777" w:rsidTr="00225DA6">
              <w:tc>
                <w:tcPr>
                  <w:tcW w:w="8602" w:type="dxa"/>
                  <w:shd w:val="clear" w:color="auto" w:fill="A8D08D" w:themeFill="accent6" w:themeFillTint="99"/>
                </w:tcPr>
                <w:p w14:paraId="106DC214" w14:textId="77777777" w:rsidR="00F0449E" w:rsidRPr="00AE51AD" w:rsidRDefault="00F0449E" w:rsidP="00225DA6">
                  <w:pPr>
                    <w:jc w:val="both"/>
                    <w:rPr>
                      <w:rFonts w:ascii="ITC Avant Garde" w:hAnsi="ITC Avant Garde"/>
                      <w:b/>
                      <w:sz w:val="18"/>
                      <w:szCs w:val="18"/>
                    </w:rPr>
                  </w:pPr>
                  <w:r w:rsidRPr="00AE51AD">
                    <w:rPr>
                      <w:rFonts w:ascii="ITC Avant Garde" w:hAnsi="ITC Avant Garde"/>
                      <w:b/>
                      <w:sz w:val="18"/>
                      <w:szCs w:val="18"/>
                    </w:rPr>
                    <w:t>Subsector o mercado</w:t>
                  </w:r>
                  <w:r w:rsidR="00553A7C" w:rsidRPr="00AE51AD">
                    <w:rPr>
                      <w:rFonts w:ascii="ITC Avant Garde" w:hAnsi="ITC Avant Garde"/>
                      <w:b/>
                      <w:sz w:val="18"/>
                      <w:szCs w:val="18"/>
                    </w:rPr>
                    <w:t xml:space="preserve"> impactado por la propuesta de regulación</w:t>
                  </w:r>
                </w:p>
              </w:tc>
            </w:tr>
            <w:tr w:rsidR="00F0449E" w:rsidRPr="00DD06A0" w14:paraId="5F3940E4" w14:textId="77777777" w:rsidTr="00225DA6">
              <w:tc>
                <w:tcPr>
                  <w:tcW w:w="8602" w:type="dxa"/>
                  <w:shd w:val="clear" w:color="auto" w:fill="E2EFD9" w:themeFill="accent6" w:themeFillTint="33"/>
                </w:tcPr>
                <w:p w14:paraId="3777442E" w14:textId="77777777" w:rsidR="00F0449E" w:rsidRDefault="0000000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956766" w:rsidRPr="00AE51AD">
                        <w:rPr>
                          <w:rFonts w:ascii="ITC Avant Garde" w:hAnsi="ITC Avant Garde"/>
                          <w:sz w:val="18"/>
                          <w:szCs w:val="18"/>
                        </w:rPr>
                        <w:t>517210 Operadores de servicios de telecomunicaciones inalámbricas</w:t>
                      </w:r>
                    </w:sdtContent>
                  </w:sdt>
                </w:p>
                <w:p w14:paraId="5E90D3BA" w14:textId="361BB586" w:rsidR="00712831" w:rsidRDefault="00712831" w:rsidP="00712831">
                  <w:pPr>
                    <w:jc w:val="both"/>
                    <w:rPr>
                      <w:rFonts w:ascii="ITC Avant Garde" w:hAnsi="ITC Avant Garde"/>
                      <w:sz w:val="18"/>
                      <w:szCs w:val="18"/>
                    </w:rPr>
                  </w:pPr>
                  <w:sdt>
                    <w:sdtPr>
                      <w:rPr>
                        <w:rFonts w:ascii="ITC Avant Garde" w:hAnsi="ITC Avant Garde"/>
                        <w:sz w:val="18"/>
                        <w:szCs w:val="18"/>
                      </w:rPr>
                      <w:alias w:val="Subsector o mercado"/>
                      <w:tag w:val="Subsector o mercado"/>
                      <w:id w:val="1075553238"/>
                      <w:placeholder>
                        <w:docPart w:val="2D410375FC4C47D58699F7C99E213C56"/>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Pr>
                          <w:rFonts w:ascii="ITC Avant Garde" w:hAnsi="ITC Avant Garde"/>
                          <w:sz w:val="18"/>
                          <w:szCs w:val="18"/>
                        </w:rPr>
                        <w:t>517910 Otros servicios de telecomunicaciones</w:t>
                      </w:r>
                    </w:sdtContent>
                  </w:sdt>
                </w:p>
                <w:p w14:paraId="6EF59A9C" w14:textId="2A34679A" w:rsidR="00712831" w:rsidRPr="00DD06A0" w:rsidRDefault="00712831" w:rsidP="00225DA6">
                  <w:pPr>
                    <w:jc w:val="both"/>
                    <w:rPr>
                      <w:rFonts w:ascii="ITC Avant Garde" w:hAnsi="ITC Avant Garde"/>
                      <w:sz w:val="18"/>
                      <w:szCs w:val="18"/>
                    </w:rPr>
                  </w:pPr>
                </w:p>
              </w:tc>
            </w:tr>
          </w:tbl>
          <w:p w14:paraId="7F143DF4" w14:textId="0A7AB12E" w:rsidR="002025CB" w:rsidRPr="00DD06A0" w:rsidRDefault="002025CB" w:rsidP="00225DA6">
            <w:pPr>
              <w:jc w:val="both"/>
              <w:rPr>
                <w:rFonts w:ascii="ITC Avant Garde" w:hAnsi="ITC Avant Garde"/>
                <w:b/>
                <w:sz w:val="18"/>
                <w:szCs w:val="18"/>
              </w:rPr>
            </w:pPr>
          </w:p>
        </w:tc>
      </w:tr>
    </w:tbl>
    <w:p w14:paraId="12E2E090"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3731CEA4" w14:textId="77777777" w:rsidTr="003C3084">
        <w:tc>
          <w:tcPr>
            <w:tcW w:w="8828" w:type="dxa"/>
          </w:tcPr>
          <w:p w14:paraId="24CDB367" w14:textId="77777777" w:rsidR="003C3084" w:rsidRPr="00DD06A0" w:rsidRDefault="00C9396B" w:rsidP="001932FC">
            <w:pPr>
              <w:jc w:val="both"/>
              <w:rPr>
                <w:rFonts w:ascii="ITC Avant Garde" w:hAnsi="ITC Avant Garde"/>
                <w:b/>
                <w:sz w:val="18"/>
                <w:szCs w:val="18"/>
              </w:rPr>
            </w:pPr>
            <w:r w:rsidRPr="00AE51AD">
              <w:rPr>
                <w:rFonts w:ascii="ITC Avant Garde" w:hAnsi="ITC Avant Garde"/>
                <w:b/>
                <w:sz w:val="18"/>
                <w:szCs w:val="18"/>
              </w:rPr>
              <w:t>5</w:t>
            </w:r>
            <w:r w:rsidR="003C3084" w:rsidRPr="00AE51AD">
              <w:rPr>
                <w:rFonts w:ascii="ITC Avant Garde" w:hAnsi="ITC Avant Garde"/>
                <w:b/>
                <w:sz w:val="18"/>
                <w:szCs w:val="18"/>
              </w:rPr>
              <w:t>.- Refiera el fundamento</w:t>
            </w:r>
            <w:r w:rsidR="003C3084" w:rsidRPr="00DD06A0">
              <w:rPr>
                <w:rFonts w:ascii="ITC Avant Garde" w:hAnsi="ITC Avant Garde"/>
                <w:b/>
                <w:sz w:val="18"/>
                <w:szCs w:val="18"/>
              </w:rPr>
              <w:t xml:space="preserve"> jurídico que da origen a la emisión de la propuesta de regulación y argumente si sustituye, complementa o elimina algún otro instrumento regulatorio vigente, de ser así, cite la fecha de su publicación en el Diario Oficial de la Federación.</w:t>
            </w:r>
          </w:p>
          <w:p w14:paraId="02684E03" w14:textId="172B74C6" w:rsidR="003C3084" w:rsidRDefault="003C3084" w:rsidP="001932FC">
            <w:pPr>
              <w:jc w:val="both"/>
              <w:rPr>
                <w:rFonts w:ascii="ITC Avant Garde" w:hAnsi="ITC Avant Garde"/>
                <w:sz w:val="18"/>
                <w:szCs w:val="18"/>
              </w:rPr>
            </w:pPr>
          </w:p>
          <w:p w14:paraId="6DF86332" w14:textId="128CACC9" w:rsidR="001F1534" w:rsidRDefault="001F1534" w:rsidP="001932FC">
            <w:pPr>
              <w:jc w:val="both"/>
              <w:rPr>
                <w:rFonts w:ascii="ITC Avant Garde" w:hAnsi="ITC Avant Garde"/>
                <w:sz w:val="18"/>
                <w:szCs w:val="18"/>
              </w:rPr>
            </w:pPr>
            <w:r w:rsidRPr="001F1534">
              <w:rPr>
                <w:rFonts w:ascii="ITC Avant Garde" w:hAnsi="ITC Avant Garde"/>
                <w:sz w:val="18"/>
                <w:szCs w:val="18"/>
              </w:rPr>
              <w:t>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mismo que entró en vigor el 17 de marzo de 2018.</w:t>
            </w:r>
          </w:p>
          <w:p w14:paraId="39CD4EDF" w14:textId="14578F2A" w:rsidR="003867EC" w:rsidRDefault="003867EC" w:rsidP="001932FC">
            <w:pPr>
              <w:jc w:val="both"/>
              <w:rPr>
                <w:rFonts w:ascii="ITC Avant Garde" w:hAnsi="ITC Avant Garde" w:cs="Arial"/>
                <w:sz w:val="18"/>
                <w:szCs w:val="18"/>
              </w:rPr>
            </w:pPr>
          </w:p>
          <w:p w14:paraId="021A6F34" w14:textId="3C62149A" w:rsidR="00702619" w:rsidRDefault="003867EC" w:rsidP="001932FC">
            <w:pPr>
              <w:jc w:val="both"/>
              <w:rPr>
                <w:rFonts w:ascii="ITC Avant Garde" w:hAnsi="ITC Avant Garde"/>
                <w:sz w:val="18"/>
                <w:szCs w:val="18"/>
              </w:rPr>
            </w:pPr>
            <w:r w:rsidRPr="003867EC">
              <w:rPr>
                <w:rFonts w:ascii="ITC Avant Garde" w:hAnsi="ITC Avant Garde"/>
                <w:sz w:val="18"/>
                <w:szCs w:val="18"/>
              </w:rPr>
              <w:t xml:space="preserve">Es </w:t>
            </w:r>
            <w:r w:rsidR="00702619">
              <w:rPr>
                <w:rFonts w:ascii="ITC Avant Garde" w:hAnsi="ITC Avant Garde"/>
                <w:sz w:val="18"/>
                <w:szCs w:val="18"/>
              </w:rPr>
              <w:t xml:space="preserve">a partir de </w:t>
            </w:r>
            <w:r>
              <w:rPr>
                <w:rFonts w:ascii="ITC Avant Garde" w:hAnsi="ITC Avant Garde"/>
                <w:sz w:val="18"/>
                <w:szCs w:val="18"/>
              </w:rPr>
              <w:t>esta</w:t>
            </w:r>
            <w:r w:rsidRPr="003867EC">
              <w:rPr>
                <w:rFonts w:ascii="ITC Avant Garde" w:hAnsi="ITC Avant Garde"/>
                <w:sz w:val="18"/>
                <w:szCs w:val="18"/>
              </w:rPr>
              <w:t xml:space="preserve"> regulación emitida </w:t>
            </w:r>
            <w:r w:rsidR="00702619">
              <w:rPr>
                <w:rFonts w:ascii="ITC Avant Garde" w:hAnsi="ITC Avant Garde"/>
                <w:sz w:val="18"/>
                <w:szCs w:val="18"/>
              </w:rPr>
              <w:t>en 2018</w:t>
            </w:r>
            <w:r w:rsidR="00E04B49">
              <w:rPr>
                <w:rFonts w:ascii="ITC Avant Garde" w:hAnsi="ITC Avant Garde"/>
                <w:sz w:val="18"/>
                <w:szCs w:val="18"/>
              </w:rPr>
              <w:t xml:space="preserve">, </w:t>
            </w:r>
            <w:r w:rsidRPr="003867EC">
              <w:rPr>
                <w:rFonts w:ascii="ITC Avant Garde" w:hAnsi="ITC Avant Garde"/>
                <w:sz w:val="18"/>
                <w:szCs w:val="18"/>
              </w:rPr>
              <w:t xml:space="preserve">se realiza </w:t>
            </w:r>
            <w:r>
              <w:rPr>
                <w:rFonts w:ascii="ITC Avant Garde" w:hAnsi="ITC Avant Garde"/>
                <w:sz w:val="18"/>
                <w:szCs w:val="18"/>
              </w:rPr>
              <w:t xml:space="preserve">la </w:t>
            </w:r>
            <w:r w:rsidR="00702619">
              <w:rPr>
                <w:rFonts w:ascii="ITC Avant Garde" w:hAnsi="ITC Avant Garde"/>
                <w:sz w:val="18"/>
                <w:szCs w:val="18"/>
              </w:rPr>
              <w:t>modificación</w:t>
            </w:r>
            <w:r w:rsidR="00E61B4F">
              <w:rPr>
                <w:rFonts w:ascii="ITC Avant Garde" w:hAnsi="ITC Avant Garde"/>
                <w:sz w:val="18"/>
                <w:szCs w:val="18"/>
              </w:rPr>
              <w:t xml:space="preserve"> de regulación la cual implica una </w:t>
            </w:r>
            <w:r w:rsidR="00E04B49">
              <w:rPr>
                <w:rFonts w:ascii="ITC Avant Garde" w:hAnsi="ITC Avant Garde"/>
                <w:sz w:val="18"/>
                <w:szCs w:val="18"/>
              </w:rPr>
              <w:t>actualización</w:t>
            </w:r>
            <w:r w:rsidR="00E61B4F">
              <w:rPr>
                <w:rFonts w:ascii="ITC Avant Garde" w:hAnsi="ITC Avant Garde"/>
                <w:sz w:val="18"/>
                <w:szCs w:val="18"/>
              </w:rPr>
              <w:t xml:space="preserve"> a partir de lo descrito en el numeral 3.</w:t>
            </w:r>
          </w:p>
          <w:p w14:paraId="382D858B" w14:textId="77777777" w:rsidR="00E61B4F" w:rsidRDefault="00E61B4F" w:rsidP="001932FC">
            <w:pPr>
              <w:jc w:val="both"/>
              <w:rPr>
                <w:rFonts w:ascii="ITC Avant Garde" w:hAnsi="ITC Avant Garde"/>
                <w:sz w:val="18"/>
                <w:szCs w:val="18"/>
              </w:rPr>
            </w:pPr>
          </w:p>
          <w:p w14:paraId="54ECB713" w14:textId="19BED538" w:rsidR="001F1534" w:rsidRPr="001F1534" w:rsidRDefault="001F1534" w:rsidP="003867EC">
            <w:pPr>
              <w:jc w:val="both"/>
              <w:rPr>
                <w:rFonts w:ascii="ITC Avant Garde" w:hAnsi="ITC Avant Garde"/>
                <w:sz w:val="18"/>
                <w:szCs w:val="18"/>
              </w:rPr>
            </w:pPr>
            <w:r w:rsidRPr="001F1534">
              <w:rPr>
                <w:rFonts w:ascii="ITC Avant Garde" w:hAnsi="ITC Avant Garde"/>
                <w:sz w:val="18"/>
                <w:szCs w:val="18"/>
              </w:rPr>
              <w:t xml:space="preserve">De igual manera, </w:t>
            </w:r>
            <w:r w:rsidR="00702619">
              <w:rPr>
                <w:rFonts w:ascii="ITC Avant Garde" w:hAnsi="ITC Avant Garde"/>
                <w:sz w:val="18"/>
                <w:szCs w:val="18"/>
              </w:rPr>
              <w:t>aunque se trata de una modificación a una regulación ya emitida, se sigue dando</w:t>
            </w:r>
            <w:r w:rsidRPr="001F1534">
              <w:rPr>
                <w:rFonts w:ascii="ITC Avant Garde" w:hAnsi="ITC Avant Garde"/>
                <w:sz w:val="18"/>
                <w:szCs w:val="18"/>
              </w:rPr>
              <w:t xml:space="preserve"> cumplimiento a lo establecido en la fracción XLVII del artículo 15 </w:t>
            </w:r>
            <w:r w:rsidR="00E04B49">
              <w:rPr>
                <w:rFonts w:ascii="ITC Avant Garde" w:hAnsi="ITC Avant Garde"/>
                <w:sz w:val="18"/>
                <w:szCs w:val="18"/>
              </w:rPr>
              <w:t>de la Ley que establece como atribución del Instituto</w:t>
            </w:r>
            <w:r w:rsidRPr="001F1534">
              <w:rPr>
                <w:rFonts w:ascii="ITC Avant Garde" w:hAnsi="ITC Avant Garde"/>
                <w:sz w:val="18"/>
                <w:szCs w:val="18"/>
              </w:rPr>
              <w:t>:</w:t>
            </w:r>
          </w:p>
          <w:p w14:paraId="18382F64" w14:textId="77777777" w:rsidR="001F1534" w:rsidRPr="001F1534" w:rsidRDefault="001F1534" w:rsidP="001F1534">
            <w:pPr>
              <w:ind w:right="1210"/>
              <w:jc w:val="both"/>
              <w:rPr>
                <w:rFonts w:ascii="ITC Avant Garde" w:hAnsi="ITC Avant Garde"/>
                <w:sz w:val="18"/>
                <w:szCs w:val="18"/>
              </w:rPr>
            </w:pPr>
          </w:p>
          <w:p w14:paraId="17D45F68" w14:textId="77777777" w:rsidR="003C3084" w:rsidRPr="001F1534" w:rsidRDefault="001F1534" w:rsidP="001F1534">
            <w:pPr>
              <w:ind w:right="1210"/>
              <w:jc w:val="both"/>
              <w:rPr>
                <w:rFonts w:ascii="ITC Avant Garde" w:hAnsi="ITC Avant Garde"/>
                <w:i/>
                <w:iCs/>
                <w:sz w:val="16"/>
                <w:szCs w:val="16"/>
              </w:rPr>
            </w:pPr>
            <w:r w:rsidRPr="001F1534">
              <w:rPr>
                <w:rFonts w:ascii="ITC Avant Garde" w:hAnsi="ITC Avant Garde"/>
                <w:i/>
                <w:iCs/>
                <w:sz w:val="16"/>
                <w:szCs w:val="16"/>
              </w:rPr>
              <w:t>“Fijar los índices de calidad por servicio a que deberán sujetarse los prestadores de los servicios de telecomunicaciones y radiodifusión, así como publicar trimestralmente los resultados de las verificaciones relativas a dichos índices;”</w:t>
            </w:r>
          </w:p>
          <w:p w14:paraId="6EBBD6F1" w14:textId="77BFE580" w:rsidR="001F1534" w:rsidRPr="00DD06A0" w:rsidRDefault="001F1534" w:rsidP="001F1534">
            <w:pPr>
              <w:ind w:right="1210"/>
              <w:jc w:val="both"/>
              <w:rPr>
                <w:rFonts w:ascii="ITC Avant Garde" w:hAnsi="ITC Avant Garde"/>
                <w:sz w:val="18"/>
                <w:szCs w:val="18"/>
              </w:rPr>
            </w:pPr>
          </w:p>
        </w:tc>
      </w:tr>
    </w:tbl>
    <w:p w14:paraId="0CD1436C" w14:textId="77777777" w:rsidR="003C3084" w:rsidRPr="00DD06A0" w:rsidRDefault="003C3084" w:rsidP="001932FC">
      <w:pPr>
        <w:jc w:val="both"/>
        <w:rPr>
          <w:rFonts w:ascii="ITC Avant Garde" w:hAnsi="ITC Avant Garde"/>
          <w:sz w:val="18"/>
          <w:szCs w:val="18"/>
        </w:rPr>
      </w:pPr>
    </w:p>
    <w:p w14:paraId="5314318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64C671A" w14:textId="77777777" w:rsidTr="00225DA6">
        <w:tc>
          <w:tcPr>
            <w:tcW w:w="8828" w:type="dxa"/>
          </w:tcPr>
          <w:p w14:paraId="48BD7AE3" w14:textId="77777777" w:rsidR="003C3084" w:rsidRPr="00DD06A0" w:rsidRDefault="00C9396B" w:rsidP="00225DA6">
            <w:pPr>
              <w:jc w:val="both"/>
              <w:rPr>
                <w:rFonts w:ascii="ITC Avant Garde" w:hAnsi="ITC Avant Garde"/>
                <w:b/>
                <w:sz w:val="18"/>
                <w:szCs w:val="18"/>
              </w:rPr>
            </w:pPr>
            <w:r w:rsidRPr="00AE51AD">
              <w:rPr>
                <w:rFonts w:ascii="ITC Avant Garde" w:hAnsi="ITC Avant Garde"/>
                <w:b/>
                <w:sz w:val="18"/>
                <w:szCs w:val="18"/>
              </w:rPr>
              <w:t>6</w:t>
            </w:r>
            <w:r w:rsidR="003C3084" w:rsidRPr="00AE51AD">
              <w:rPr>
                <w:rFonts w:ascii="ITC Avant Garde" w:hAnsi="ITC Avant Garde"/>
                <w:b/>
                <w:sz w:val="18"/>
                <w:szCs w:val="18"/>
              </w:rPr>
              <w:t>.- Para solucionar la problemática</w:t>
            </w:r>
            <w:r w:rsidR="003C3084" w:rsidRPr="00DD06A0">
              <w:rPr>
                <w:rFonts w:ascii="ITC Avant Garde" w:hAnsi="ITC Avant Garde"/>
                <w:b/>
                <w:sz w:val="18"/>
                <w:szCs w:val="18"/>
              </w:rPr>
              <w:t xml:space="preserve">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82024B1"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1"/>
              <w:gridCol w:w="2036"/>
              <w:gridCol w:w="1677"/>
              <w:gridCol w:w="3328"/>
            </w:tblGrid>
            <w:tr w:rsidR="007140E1" w:rsidRPr="00DD06A0" w14:paraId="5048467F" w14:textId="77777777" w:rsidTr="00E61B4F">
              <w:tc>
                <w:tcPr>
                  <w:tcW w:w="1562" w:type="dxa"/>
                  <w:tcBorders>
                    <w:bottom w:val="single" w:sz="4" w:space="0" w:color="auto"/>
                  </w:tcBorders>
                  <w:shd w:val="clear" w:color="auto" w:fill="A8D08D" w:themeFill="accent6" w:themeFillTint="99"/>
                </w:tcPr>
                <w:p w14:paraId="742C660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6653F31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671" w:type="dxa"/>
                  <w:shd w:val="clear" w:color="auto" w:fill="A8D08D" w:themeFill="accent6" w:themeFillTint="99"/>
                </w:tcPr>
                <w:p w14:paraId="3DA08DD8"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332" w:type="dxa"/>
                  <w:shd w:val="clear" w:color="auto" w:fill="A8D08D" w:themeFill="accent6" w:themeFillTint="99"/>
                </w:tcPr>
                <w:p w14:paraId="536E79EC"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E61B4F" w:rsidRPr="00DD06A0" w14:paraId="1F4B152E" w14:textId="77777777" w:rsidTr="00E61B4F">
              <w:sdt>
                <w:sdtPr>
                  <w:rPr>
                    <w:rFonts w:ascii="ITC Avant Garde" w:hAnsi="ITC Avant Garde"/>
                    <w:i/>
                    <w:sz w:val="18"/>
                    <w:szCs w:val="18"/>
                  </w:rPr>
                  <w:alias w:val="Alternativa evaluada"/>
                  <w:tag w:val="Alternativa evaluada"/>
                  <w:id w:val="-1278097759"/>
                  <w:placeholder>
                    <w:docPart w:val="AA891F48B58C4805B1880423E0D891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C56853" w14:textId="77777777" w:rsidR="00E61B4F" w:rsidRPr="00EF60BA" w:rsidRDefault="00E61B4F" w:rsidP="00E61B4F">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4E75CD41" w14:textId="7D268C41" w:rsidR="00E61B4F" w:rsidRPr="00DD06A0" w:rsidRDefault="00E61B4F" w:rsidP="00E04B49">
                  <w:pPr>
                    <w:rPr>
                      <w:rFonts w:ascii="ITC Avant Garde" w:hAnsi="ITC Avant Garde"/>
                      <w:sz w:val="18"/>
                      <w:szCs w:val="18"/>
                    </w:rPr>
                  </w:pPr>
                  <w:r w:rsidRPr="00477354">
                    <w:rPr>
                      <w:rFonts w:ascii="ITC Avant Garde" w:hAnsi="ITC Avant Garde"/>
                      <w:sz w:val="18"/>
                      <w:szCs w:val="18"/>
                    </w:rPr>
                    <w:t xml:space="preserve">No </w:t>
                  </w:r>
                  <w:r>
                    <w:rPr>
                      <w:rFonts w:ascii="ITC Avant Garde" w:hAnsi="ITC Avant Garde"/>
                      <w:sz w:val="18"/>
                      <w:szCs w:val="18"/>
                    </w:rPr>
                    <w:t>actualizar</w:t>
                  </w:r>
                  <w:r w:rsidRPr="00477354">
                    <w:rPr>
                      <w:rFonts w:ascii="ITC Avant Garde" w:hAnsi="ITC Avant Garde"/>
                      <w:sz w:val="18"/>
                      <w:szCs w:val="18"/>
                    </w:rPr>
                    <w:t xml:space="preserve"> la </w:t>
                  </w:r>
                  <w:r>
                    <w:rPr>
                      <w:rFonts w:ascii="ITC Avant Garde" w:hAnsi="ITC Avant Garde"/>
                      <w:sz w:val="18"/>
                      <w:szCs w:val="18"/>
                    </w:rPr>
                    <w:t>regulación</w:t>
                  </w:r>
                  <w:r w:rsidRPr="00477354">
                    <w:rPr>
                      <w:rFonts w:ascii="ITC Avant Garde" w:hAnsi="ITC Avant Garde"/>
                      <w:sz w:val="18"/>
                      <w:szCs w:val="18"/>
                    </w:rPr>
                    <w:t xml:space="preserve"> </w:t>
                  </w:r>
                  <w:r>
                    <w:rPr>
                      <w:rFonts w:ascii="ITC Avant Garde" w:hAnsi="ITC Avant Garde"/>
                      <w:sz w:val="18"/>
                      <w:szCs w:val="18"/>
                    </w:rPr>
                    <w:t xml:space="preserve">para que se consideren las actuales características de las redes en México, conforme a los </w:t>
                  </w:r>
                  <w:r>
                    <w:rPr>
                      <w:rFonts w:ascii="ITC Avant Garde" w:hAnsi="ITC Avant Garde"/>
                      <w:sz w:val="18"/>
                      <w:szCs w:val="18"/>
                    </w:rPr>
                    <w:lastRenderedPageBreak/>
                    <w:t>avances tecnológicos y la transición a nuevas generaciones de redes.</w:t>
                  </w:r>
                </w:p>
              </w:tc>
              <w:tc>
                <w:tcPr>
                  <w:tcW w:w="1671" w:type="dxa"/>
                </w:tcPr>
                <w:p w14:paraId="4ADFA50E" w14:textId="77777777" w:rsidR="00E61B4F" w:rsidRDefault="00E61B4F" w:rsidP="00E61B4F">
                  <w:pPr>
                    <w:rPr>
                      <w:rFonts w:ascii="ITC Avant Garde" w:hAnsi="ITC Avant Garde"/>
                      <w:sz w:val="18"/>
                      <w:szCs w:val="18"/>
                    </w:rPr>
                  </w:pPr>
                </w:p>
                <w:p w14:paraId="00CBE547" w14:textId="77777777" w:rsidR="00E61B4F" w:rsidRDefault="00E61B4F" w:rsidP="00E61B4F">
                  <w:pPr>
                    <w:rPr>
                      <w:rFonts w:ascii="ITC Avant Garde" w:hAnsi="ITC Avant Garde"/>
                      <w:sz w:val="18"/>
                      <w:szCs w:val="18"/>
                    </w:rPr>
                  </w:pPr>
                </w:p>
                <w:p w14:paraId="29278A71" w14:textId="77777777" w:rsidR="00E61B4F" w:rsidRDefault="00E61B4F" w:rsidP="00E61B4F">
                  <w:pPr>
                    <w:rPr>
                      <w:rFonts w:ascii="ITC Avant Garde" w:hAnsi="ITC Avant Garde"/>
                      <w:sz w:val="18"/>
                      <w:szCs w:val="18"/>
                    </w:rPr>
                  </w:pPr>
                </w:p>
                <w:p w14:paraId="6CF6ECFD" w14:textId="77777777" w:rsidR="00E61B4F" w:rsidRDefault="00E61B4F" w:rsidP="00E61B4F">
                  <w:pPr>
                    <w:rPr>
                      <w:rFonts w:ascii="ITC Avant Garde" w:hAnsi="ITC Avant Garde"/>
                      <w:sz w:val="18"/>
                      <w:szCs w:val="18"/>
                    </w:rPr>
                  </w:pPr>
                </w:p>
                <w:p w14:paraId="57EE8661" w14:textId="77777777" w:rsidR="00E61B4F" w:rsidRDefault="00E61B4F" w:rsidP="00E61B4F">
                  <w:pPr>
                    <w:rPr>
                      <w:rFonts w:ascii="ITC Avant Garde" w:hAnsi="ITC Avant Garde"/>
                      <w:sz w:val="18"/>
                      <w:szCs w:val="18"/>
                    </w:rPr>
                  </w:pPr>
                </w:p>
                <w:p w14:paraId="50CDD83F" w14:textId="74A61F03" w:rsidR="00E61B4F" w:rsidRPr="00DD06A0" w:rsidRDefault="00E61B4F" w:rsidP="00E61B4F">
                  <w:pPr>
                    <w:jc w:val="center"/>
                    <w:rPr>
                      <w:rFonts w:ascii="ITC Avant Garde" w:hAnsi="ITC Avant Garde"/>
                      <w:sz w:val="18"/>
                      <w:szCs w:val="18"/>
                    </w:rPr>
                  </w:pPr>
                  <w:r>
                    <w:rPr>
                      <w:rFonts w:ascii="ITC Avant Garde" w:hAnsi="ITC Avant Garde"/>
                      <w:sz w:val="18"/>
                      <w:szCs w:val="18"/>
                    </w:rPr>
                    <w:t>Ninguna</w:t>
                  </w:r>
                </w:p>
              </w:tc>
              <w:tc>
                <w:tcPr>
                  <w:tcW w:w="3332" w:type="dxa"/>
                </w:tcPr>
                <w:p w14:paraId="418B7D1A" w14:textId="04AACD1F" w:rsidR="00E61B4F" w:rsidRPr="00DD06A0" w:rsidRDefault="00E61B4F" w:rsidP="00E04B49">
                  <w:pPr>
                    <w:rPr>
                      <w:rFonts w:ascii="ITC Avant Garde" w:hAnsi="ITC Avant Garde"/>
                      <w:sz w:val="18"/>
                      <w:szCs w:val="18"/>
                    </w:rPr>
                  </w:pPr>
                  <w:r>
                    <w:rPr>
                      <w:rFonts w:ascii="ITC Avant Garde" w:hAnsi="ITC Avant Garde"/>
                      <w:sz w:val="18"/>
                      <w:szCs w:val="18"/>
                    </w:rPr>
                    <w:t xml:space="preserve">La regulación se mantendría obsoleta y no serviría para verificar que la prestación del servicio se brinda a los usuarios finales </w:t>
                  </w:r>
                  <w:r w:rsidR="00E04B49">
                    <w:rPr>
                      <w:rFonts w:ascii="ITC Avant Garde" w:hAnsi="ITC Avant Garde"/>
                      <w:sz w:val="18"/>
                      <w:szCs w:val="18"/>
                    </w:rPr>
                    <w:t>bajo los parámetros establecidos</w:t>
                  </w:r>
                  <w:r>
                    <w:rPr>
                      <w:rFonts w:ascii="ITC Avant Garde" w:hAnsi="ITC Avant Garde"/>
                      <w:sz w:val="18"/>
                      <w:szCs w:val="18"/>
                    </w:rPr>
                    <w:t xml:space="preserve">. Asimismo, no se reconocerían los impactos derivados de la </w:t>
                  </w:r>
                  <w:r>
                    <w:rPr>
                      <w:rFonts w:ascii="ITC Avant Garde" w:hAnsi="ITC Avant Garde"/>
                      <w:sz w:val="18"/>
                      <w:szCs w:val="18"/>
                    </w:rPr>
                    <w:lastRenderedPageBreak/>
                    <w:t xml:space="preserve">introducción de nuevas tecnologías de acceso y nuevos servicios como </w:t>
                  </w:r>
                  <w:proofErr w:type="spellStart"/>
                  <w:r>
                    <w:rPr>
                      <w:rFonts w:ascii="ITC Avant Garde" w:hAnsi="ITC Avant Garde"/>
                      <w:sz w:val="18"/>
                      <w:szCs w:val="18"/>
                    </w:rPr>
                    <w:t>VoLTE</w:t>
                  </w:r>
                  <w:proofErr w:type="spellEnd"/>
                  <w:r>
                    <w:rPr>
                      <w:rFonts w:ascii="ITC Avant Garde" w:hAnsi="ITC Avant Garde"/>
                      <w:sz w:val="18"/>
                      <w:szCs w:val="18"/>
                    </w:rPr>
                    <w:t xml:space="preserve"> que han sido reconocidos en</w:t>
                  </w:r>
                  <w:r w:rsidR="00E04B49">
                    <w:rPr>
                      <w:rFonts w:ascii="ITC Avant Garde" w:hAnsi="ITC Avant Garde"/>
                      <w:sz w:val="18"/>
                      <w:szCs w:val="18"/>
                    </w:rPr>
                    <w:t xml:space="preserve"> estándares y</w:t>
                  </w:r>
                  <w:r>
                    <w:rPr>
                      <w:rFonts w:ascii="ITC Avant Garde" w:hAnsi="ITC Avant Garde"/>
                      <w:sz w:val="18"/>
                      <w:szCs w:val="18"/>
                    </w:rPr>
                    <w:t xml:space="preserve"> recomendaciones internacionales.</w:t>
                  </w:r>
                </w:p>
              </w:tc>
            </w:tr>
            <w:tr w:rsidR="00E61B4F" w:rsidRPr="00DD06A0" w14:paraId="2F238F38" w14:textId="77777777" w:rsidTr="00E61B4F">
              <w:sdt>
                <w:sdtPr>
                  <w:rPr>
                    <w:rFonts w:ascii="ITC Avant Garde" w:hAnsi="ITC Avant Garde"/>
                    <w:i/>
                    <w:sz w:val="18"/>
                    <w:szCs w:val="18"/>
                  </w:rPr>
                  <w:alias w:val="Alternativa evaluada"/>
                  <w:tag w:val="Alternativa evaluada"/>
                  <w:id w:val="-953243621"/>
                  <w:placeholder>
                    <w:docPart w:val="89A9F4E0D63E46F1BF540BE7BC7A265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784B2C" w14:textId="15A11EB1" w:rsidR="00E61B4F" w:rsidRDefault="00E61B4F" w:rsidP="00E61B4F">
                      <w:pPr>
                        <w:jc w:val="cente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16DA2409" w14:textId="4B1D696E" w:rsidR="00E61B4F" w:rsidRPr="002447FB" w:rsidRDefault="00E61B4F" w:rsidP="00E04B49">
                  <w:pPr>
                    <w:rPr>
                      <w:rFonts w:ascii="ITC Avant Garde" w:hAnsi="ITC Avant Garde"/>
                      <w:sz w:val="18"/>
                      <w:szCs w:val="18"/>
                    </w:rPr>
                  </w:pPr>
                  <w:r>
                    <w:rPr>
                      <w:rFonts w:ascii="ITC Avant Garde" w:hAnsi="ITC Avant Garde"/>
                      <w:sz w:val="18"/>
                      <w:szCs w:val="18"/>
                    </w:rPr>
                    <w:t xml:space="preserve">Abrogar por completo los lineamientos para que las obligaciones no estén fijas a </w:t>
                  </w:r>
                  <w:r w:rsidR="00E04B49">
                    <w:rPr>
                      <w:rFonts w:ascii="ITC Avant Garde" w:hAnsi="ITC Avant Garde"/>
                      <w:sz w:val="18"/>
                      <w:szCs w:val="18"/>
                    </w:rPr>
                    <w:t>la evolución tecnológica de las redes móviles</w:t>
                  </w:r>
                  <w:r>
                    <w:rPr>
                      <w:rFonts w:ascii="ITC Avant Garde" w:hAnsi="ITC Avant Garde"/>
                      <w:sz w:val="18"/>
                      <w:szCs w:val="18"/>
                    </w:rPr>
                    <w:t>.</w:t>
                  </w:r>
                </w:p>
                <w:p w14:paraId="01452953" w14:textId="77777777" w:rsidR="00E61B4F" w:rsidRDefault="00E61B4F" w:rsidP="00E61B4F">
                  <w:pPr>
                    <w:jc w:val="center"/>
                    <w:rPr>
                      <w:rFonts w:ascii="ITC Avant Garde" w:hAnsi="ITC Avant Garde"/>
                      <w:sz w:val="18"/>
                      <w:szCs w:val="18"/>
                    </w:rPr>
                  </w:pPr>
                </w:p>
              </w:tc>
              <w:tc>
                <w:tcPr>
                  <w:tcW w:w="1671" w:type="dxa"/>
                </w:tcPr>
                <w:p w14:paraId="49A51CD9" w14:textId="77777777" w:rsidR="00E61B4F" w:rsidRPr="002447FB" w:rsidRDefault="00E61B4F" w:rsidP="00E61B4F">
                  <w:pPr>
                    <w:rPr>
                      <w:rFonts w:ascii="ITC Avant Garde" w:hAnsi="ITC Avant Garde"/>
                      <w:sz w:val="18"/>
                      <w:szCs w:val="18"/>
                    </w:rPr>
                  </w:pPr>
                </w:p>
                <w:p w14:paraId="5E5097C8" w14:textId="77777777" w:rsidR="00E61B4F" w:rsidRPr="002447FB" w:rsidRDefault="00E61B4F" w:rsidP="00E61B4F">
                  <w:pPr>
                    <w:rPr>
                      <w:rFonts w:ascii="ITC Avant Garde" w:hAnsi="ITC Avant Garde"/>
                      <w:sz w:val="18"/>
                      <w:szCs w:val="18"/>
                    </w:rPr>
                  </w:pPr>
                </w:p>
                <w:p w14:paraId="54DBC386" w14:textId="77777777" w:rsidR="00E61B4F" w:rsidRPr="002447FB" w:rsidRDefault="00E61B4F" w:rsidP="00E61B4F">
                  <w:pPr>
                    <w:rPr>
                      <w:rFonts w:ascii="ITC Avant Garde" w:hAnsi="ITC Avant Garde"/>
                      <w:sz w:val="18"/>
                      <w:szCs w:val="18"/>
                    </w:rPr>
                  </w:pPr>
                </w:p>
                <w:p w14:paraId="554F0A33" w14:textId="0DE8CCCA" w:rsidR="00E61B4F" w:rsidRDefault="00E61B4F" w:rsidP="00E61B4F">
                  <w:pPr>
                    <w:jc w:val="center"/>
                    <w:rPr>
                      <w:rFonts w:ascii="ITC Avant Garde" w:hAnsi="ITC Avant Garde"/>
                      <w:sz w:val="18"/>
                      <w:szCs w:val="18"/>
                    </w:rPr>
                  </w:pPr>
                  <w:r w:rsidRPr="002447FB">
                    <w:rPr>
                      <w:rFonts w:ascii="ITC Avant Garde" w:hAnsi="ITC Avant Garde"/>
                      <w:sz w:val="18"/>
                      <w:szCs w:val="18"/>
                    </w:rPr>
                    <w:t>Ninguna</w:t>
                  </w:r>
                </w:p>
              </w:tc>
              <w:tc>
                <w:tcPr>
                  <w:tcW w:w="3332" w:type="dxa"/>
                </w:tcPr>
                <w:p w14:paraId="37052472" w14:textId="05901281" w:rsidR="00E61B4F" w:rsidRPr="002447FB" w:rsidRDefault="00E61B4F" w:rsidP="00E61B4F">
                  <w:pPr>
                    <w:rPr>
                      <w:rFonts w:ascii="ITC Avant Garde" w:hAnsi="ITC Avant Garde"/>
                      <w:sz w:val="18"/>
                      <w:szCs w:val="18"/>
                    </w:rPr>
                  </w:pPr>
                  <w:r>
                    <w:rPr>
                      <w:rFonts w:ascii="ITC Avant Garde" w:hAnsi="ITC Avant Garde"/>
                      <w:sz w:val="18"/>
                      <w:szCs w:val="18"/>
                    </w:rPr>
                    <w:t xml:space="preserve">No solo se eliminaría el </w:t>
                  </w:r>
                  <w:r w:rsidR="00E04B49">
                    <w:rPr>
                      <w:rFonts w:ascii="ITC Avant Garde" w:hAnsi="ITC Avant Garde"/>
                      <w:sz w:val="18"/>
                      <w:szCs w:val="18"/>
                    </w:rPr>
                    <w:t>tiempo máximo de establecimiento de llamada</w:t>
                  </w:r>
                  <w:r>
                    <w:rPr>
                      <w:rFonts w:ascii="ITC Avant Garde" w:hAnsi="ITC Avant Garde"/>
                      <w:sz w:val="18"/>
                      <w:szCs w:val="18"/>
                    </w:rPr>
                    <w:t xml:space="preserve"> sino todos los parámetros, así como la metodología de verificación de </w:t>
                  </w:r>
                  <w:r w:rsidR="00E04B49">
                    <w:rPr>
                      <w:rFonts w:ascii="ITC Avant Garde" w:hAnsi="ITC Avant Garde"/>
                      <w:sz w:val="18"/>
                      <w:szCs w:val="18"/>
                    </w:rPr>
                    <w:t>é</w:t>
                  </w:r>
                  <w:r>
                    <w:rPr>
                      <w:rFonts w:ascii="ITC Avant Garde" w:hAnsi="ITC Avant Garde"/>
                      <w:sz w:val="18"/>
                      <w:szCs w:val="18"/>
                    </w:rPr>
                    <w:t xml:space="preserve">stos y otras obligaciones que permiten al Instituto </w:t>
                  </w:r>
                  <w:r w:rsidR="00E04B49">
                    <w:rPr>
                      <w:rFonts w:ascii="ITC Avant Garde" w:hAnsi="ITC Avant Garde"/>
                      <w:sz w:val="18"/>
                      <w:szCs w:val="18"/>
                    </w:rPr>
                    <w:t xml:space="preserve">monitorear la calidad en la </w:t>
                  </w:r>
                  <w:r>
                    <w:rPr>
                      <w:rFonts w:ascii="ITC Avant Garde" w:hAnsi="ITC Avant Garde"/>
                      <w:sz w:val="18"/>
                      <w:szCs w:val="18"/>
                    </w:rPr>
                    <w:t xml:space="preserve">prestación de </w:t>
                  </w:r>
                  <w:r w:rsidR="00E04B49">
                    <w:rPr>
                      <w:rFonts w:ascii="ITC Avant Garde" w:hAnsi="ITC Avant Garde"/>
                      <w:sz w:val="18"/>
                      <w:szCs w:val="18"/>
                    </w:rPr>
                    <w:t xml:space="preserve">los </w:t>
                  </w:r>
                  <w:r>
                    <w:rPr>
                      <w:rFonts w:ascii="ITC Avant Garde" w:hAnsi="ITC Avant Garde"/>
                      <w:sz w:val="18"/>
                      <w:szCs w:val="18"/>
                    </w:rPr>
                    <w:t>servicios.</w:t>
                  </w:r>
                </w:p>
                <w:p w14:paraId="4B26EB74" w14:textId="1FE3B9EA" w:rsidR="00E61B4F" w:rsidRDefault="00E61B4F" w:rsidP="00E61B4F">
                  <w:pPr>
                    <w:jc w:val="center"/>
                    <w:rPr>
                      <w:rFonts w:ascii="ITC Avant Garde" w:hAnsi="ITC Avant Garde"/>
                      <w:sz w:val="18"/>
                      <w:szCs w:val="18"/>
                    </w:rPr>
                  </w:pPr>
                </w:p>
              </w:tc>
            </w:tr>
            <w:tr w:rsidR="00BE685B" w:rsidRPr="00DD06A0" w14:paraId="288043A3" w14:textId="77777777" w:rsidTr="00E61B4F">
              <w:sdt>
                <w:sdtPr>
                  <w:rPr>
                    <w:rFonts w:ascii="ITC Avant Garde" w:hAnsi="ITC Avant Garde"/>
                    <w:i/>
                    <w:sz w:val="18"/>
                    <w:szCs w:val="18"/>
                  </w:rPr>
                  <w:alias w:val="Alternativa evaluada"/>
                  <w:tag w:val="Alternativa evaluada"/>
                  <w:id w:val="-1125158668"/>
                  <w:placeholder>
                    <w:docPart w:val="FB462569C8A542B0A25A0F638735399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852572" w14:textId="11EB276D" w:rsidR="00BE685B" w:rsidRDefault="00BE685B" w:rsidP="00E61B4F">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15FA59E3" w14:textId="0D280BF7" w:rsidR="00BE685B" w:rsidRDefault="00BE685B" w:rsidP="00E04B49">
                  <w:pPr>
                    <w:rPr>
                      <w:rFonts w:ascii="ITC Avant Garde" w:hAnsi="ITC Avant Garde"/>
                      <w:sz w:val="18"/>
                      <w:szCs w:val="18"/>
                    </w:rPr>
                  </w:pPr>
                  <w:r>
                    <w:rPr>
                      <w:rFonts w:ascii="ITC Avant Garde" w:hAnsi="ITC Avant Garde"/>
                      <w:sz w:val="18"/>
                      <w:szCs w:val="18"/>
                    </w:rPr>
                    <w:t>Permitir</w:t>
                  </w:r>
                  <w:r w:rsidRPr="00BE685B">
                    <w:rPr>
                      <w:rFonts w:ascii="ITC Avant Garde" w:hAnsi="ITC Avant Garde"/>
                      <w:sz w:val="18"/>
                      <w:szCs w:val="18"/>
                    </w:rPr>
                    <w:t xml:space="preserve"> esquemas de autorregulación, donde l</w:t>
                  </w:r>
                  <w:r>
                    <w:rPr>
                      <w:rFonts w:ascii="ITC Avant Garde" w:hAnsi="ITC Avant Garde"/>
                      <w:sz w:val="18"/>
                      <w:szCs w:val="18"/>
                    </w:rPr>
                    <w:t>a industria o l</w:t>
                  </w:r>
                  <w:r w:rsidRPr="00BE685B">
                    <w:rPr>
                      <w:rFonts w:ascii="ITC Avant Garde" w:hAnsi="ITC Avant Garde"/>
                      <w:sz w:val="18"/>
                      <w:szCs w:val="18"/>
                    </w:rPr>
                    <w:t>os propios regulados</w:t>
                  </w:r>
                  <w:r>
                    <w:rPr>
                      <w:rFonts w:ascii="ITC Avant Garde" w:hAnsi="ITC Avant Garde"/>
                      <w:sz w:val="18"/>
                      <w:szCs w:val="18"/>
                    </w:rPr>
                    <w:t xml:space="preserve"> </w:t>
                  </w:r>
                  <w:r w:rsidRPr="00BE685B">
                    <w:rPr>
                      <w:rFonts w:ascii="ITC Avant Garde" w:hAnsi="ITC Avant Garde"/>
                      <w:sz w:val="18"/>
                      <w:szCs w:val="18"/>
                    </w:rPr>
                    <w:t>son quienes, a través de diversos mecanismos (mejores prácticas, códigos de principios, entre otros), establecen sus propios parámetros técnicos</w:t>
                  </w:r>
                  <w:r>
                    <w:rPr>
                      <w:rFonts w:ascii="ITC Avant Garde" w:hAnsi="ITC Avant Garde"/>
                      <w:sz w:val="18"/>
                      <w:szCs w:val="18"/>
                    </w:rPr>
                    <w:t>.</w:t>
                  </w:r>
                </w:p>
              </w:tc>
              <w:tc>
                <w:tcPr>
                  <w:tcW w:w="1671" w:type="dxa"/>
                </w:tcPr>
                <w:p w14:paraId="319F3C00" w14:textId="77777777" w:rsidR="00BE685B" w:rsidRDefault="00BE685B" w:rsidP="00E61B4F">
                  <w:pPr>
                    <w:rPr>
                      <w:rFonts w:ascii="ITC Avant Garde" w:hAnsi="ITC Avant Garde"/>
                      <w:sz w:val="18"/>
                      <w:szCs w:val="18"/>
                    </w:rPr>
                  </w:pPr>
                  <w:r w:rsidRPr="00BE685B">
                    <w:rPr>
                      <w:rFonts w:ascii="ITC Avant Garde" w:hAnsi="ITC Avant Garde"/>
                      <w:sz w:val="18"/>
                      <w:szCs w:val="18"/>
                    </w:rPr>
                    <w:t xml:space="preserve">Un modelo de autorregulación permite al </w:t>
                  </w:r>
                  <w:r>
                    <w:rPr>
                      <w:rFonts w:ascii="ITC Avant Garde" w:hAnsi="ITC Avant Garde"/>
                      <w:sz w:val="18"/>
                      <w:szCs w:val="18"/>
                    </w:rPr>
                    <w:t xml:space="preserve">regulador </w:t>
                  </w:r>
                  <w:r w:rsidRPr="00BE685B">
                    <w:rPr>
                      <w:rFonts w:ascii="ITC Avant Garde" w:hAnsi="ITC Avant Garde"/>
                      <w:sz w:val="18"/>
                      <w:szCs w:val="18"/>
                    </w:rPr>
                    <w:t>descargar gran parte de su responsabilidad regulatoria en los actores más afectados por la reglamentación</w:t>
                  </w:r>
                  <w:r w:rsidR="00231DA1">
                    <w:rPr>
                      <w:rFonts w:ascii="ITC Avant Garde" w:hAnsi="ITC Avant Garde"/>
                      <w:sz w:val="18"/>
                      <w:szCs w:val="18"/>
                    </w:rPr>
                    <w:t>.</w:t>
                  </w:r>
                </w:p>
                <w:p w14:paraId="1B3D400F" w14:textId="77777777" w:rsidR="00231DA1" w:rsidRDefault="00231DA1" w:rsidP="00E61B4F">
                  <w:pPr>
                    <w:rPr>
                      <w:rFonts w:ascii="ITC Avant Garde" w:hAnsi="ITC Avant Garde"/>
                      <w:sz w:val="18"/>
                      <w:szCs w:val="18"/>
                    </w:rPr>
                  </w:pPr>
                </w:p>
                <w:p w14:paraId="40571A47" w14:textId="5825218A" w:rsidR="00231DA1" w:rsidRPr="002447FB" w:rsidRDefault="00231DA1" w:rsidP="00E61B4F">
                  <w:pPr>
                    <w:rPr>
                      <w:rFonts w:ascii="ITC Avant Garde" w:hAnsi="ITC Avant Garde"/>
                      <w:sz w:val="18"/>
                      <w:szCs w:val="18"/>
                    </w:rPr>
                  </w:pPr>
                  <w:r w:rsidRPr="00002CCD">
                    <w:rPr>
                      <w:rFonts w:ascii="ITC Avant Garde" w:hAnsi="ITC Avant Garde"/>
                      <w:sz w:val="18"/>
                      <w:szCs w:val="18"/>
                    </w:rPr>
                    <w:t xml:space="preserve">Así también, el gobierno </w:t>
                  </w:r>
                  <w:r>
                    <w:rPr>
                      <w:rFonts w:ascii="ITC Avant Garde" w:hAnsi="ITC Avant Garde"/>
                      <w:sz w:val="18"/>
                      <w:szCs w:val="18"/>
                    </w:rPr>
                    <w:t xml:space="preserve">puede </w:t>
                  </w:r>
                  <w:r w:rsidRPr="00002CCD">
                    <w:rPr>
                      <w:rFonts w:ascii="ITC Avant Garde" w:hAnsi="ITC Avant Garde"/>
                      <w:sz w:val="18"/>
                      <w:szCs w:val="18"/>
                    </w:rPr>
                    <w:t>c</w:t>
                  </w:r>
                  <w:r>
                    <w:rPr>
                      <w:rFonts w:ascii="ITC Avant Garde" w:hAnsi="ITC Avant Garde"/>
                      <w:sz w:val="18"/>
                      <w:szCs w:val="18"/>
                    </w:rPr>
                    <w:t>ontar</w:t>
                  </w:r>
                  <w:r w:rsidRPr="00002CCD">
                    <w:rPr>
                      <w:rFonts w:ascii="ITC Avant Garde" w:hAnsi="ITC Avant Garde"/>
                      <w:sz w:val="18"/>
                      <w:szCs w:val="18"/>
                    </w:rPr>
                    <w:t xml:space="preserve"> con cierto control</w:t>
                  </w:r>
                  <w:r>
                    <w:rPr>
                      <w:rFonts w:ascii="ITC Avant Garde" w:hAnsi="ITC Avant Garde"/>
                      <w:sz w:val="18"/>
                      <w:szCs w:val="18"/>
                    </w:rPr>
                    <w:t xml:space="preserve">, </w:t>
                  </w:r>
                  <w:r w:rsidRPr="00002CCD">
                    <w:rPr>
                      <w:rFonts w:ascii="ITC Avant Garde" w:hAnsi="ITC Avant Garde"/>
                      <w:sz w:val="18"/>
                      <w:szCs w:val="18"/>
                    </w:rPr>
                    <w:t xml:space="preserve">al mismo tiempo que la industria preserva </w:t>
                  </w:r>
                  <w:r>
                    <w:rPr>
                      <w:rFonts w:ascii="ITC Avant Garde" w:hAnsi="ITC Avant Garde"/>
                      <w:sz w:val="18"/>
                      <w:szCs w:val="18"/>
                    </w:rPr>
                    <w:t>su</w:t>
                  </w:r>
                  <w:r w:rsidRPr="00002CCD">
                    <w:rPr>
                      <w:rFonts w:ascii="ITC Avant Garde" w:hAnsi="ITC Avant Garde"/>
                      <w:sz w:val="18"/>
                      <w:szCs w:val="18"/>
                    </w:rPr>
                    <w:t xml:space="preserve"> autonomía</w:t>
                  </w:r>
                </w:p>
              </w:tc>
              <w:tc>
                <w:tcPr>
                  <w:tcW w:w="3332" w:type="dxa"/>
                </w:tcPr>
                <w:p w14:paraId="6897F433" w14:textId="28DCE3CF" w:rsidR="00BE685B" w:rsidRDefault="00BE685B" w:rsidP="00E61B4F">
                  <w:pPr>
                    <w:rPr>
                      <w:rFonts w:ascii="ITC Avant Garde" w:hAnsi="ITC Avant Garde"/>
                      <w:sz w:val="18"/>
                      <w:szCs w:val="18"/>
                    </w:rPr>
                  </w:pPr>
                  <w:r>
                    <w:rPr>
                      <w:rFonts w:ascii="ITC Avant Garde" w:hAnsi="ITC Avant Garde"/>
                      <w:sz w:val="18"/>
                      <w:szCs w:val="18"/>
                    </w:rPr>
                    <w:t xml:space="preserve">En caso de que </w:t>
                  </w:r>
                  <w:r w:rsidRPr="00BE685B">
                    <w:rPr>
                      <w:rFonts w:ascii="ITC Avant Garde" w:hAnsi="ITC Avant Garde"/>
                      <w:sz w:val="18"/>
                      <w:szCs w:val="18"/>
                    </w:rPr>
                    <w:t xml:space="preserve">la industria </w:t>
                  </w:r>
                  <w:r>
                    <w:rPr>
                      <w:rFonts w:ascii="ITC Avant Garde" w:hAnsi="ITC Avant Garde"/>
                      <w:sz w:val="18"/>
                      <w:szCs w:val="18"/>
                    </w:rPr>
                    <w:t xml:space="preserve">no se regule </w:t>
                  </w:r>
                  <w:r w:rsidRPr="00BE685B">
                    <w:rPr>
                      <w:rFonts w:ascii="ITC Avant Garde" w:hAnsi="ITC Avant Garde"/>
                      <w:sz w:val="18"/>
                      <w:szCs w:val="18"/>
                    </w:rPr>
                    <w:t>a sí misma de manera satisfactoria</w:t>
                  </w:r>
                  <w:r>
                    <w:rPr>
                      <w:rFonts w:ascii="ITC Avant Garde" w:hAnsi="ITC Avant Garde"/>
                      <w:sz w:val="18"/>
                      <w:szCs w:val="18"/>
                    </w:rPr>
                    <w:t>,</w:t>
                  </w:r>
                  <w:r w:rsidR="00712831">
                    <w:rPr>
                      <w:rFonts w:ascii="ITC Avant Garde" w:hAnsi="ITC Avant Garde"/>
                      <w:sz w:val="18"/>
                      <w:szCs w:val="18"/>
                    </w:rPr>
                    <w:t xml:space="preserve"> no </w:t>
                  </w:r>
                  <w:proofErr w:type="spellStart"/>
                  <w:r w:rsidR="00712831">
                    <w:rPr>
                      <w:rFonts w:ascii="ITC Avant Garde" w:hAnsi="ITC Avant Garde"/>
                      <w:sz w:val="18"/>
                      <w:szCs w:val="18"/>
                    </w:rPr>
                    <w:t>se</w:t>
                  </w:r>
                  <w:proofErr w:type="spellEnd"/>
                  <w:r w:rsidR="00712831">
                    <w:rPr>
                      <w:rFonts w:ascii="ITC Avant Garde" w:hAnsi="ITC Avant Garde"/>
                      <w:sz w:val="18"/>
                      <w:szCs w:val="18"/>
                    </w:rPr>
                    <w:t xml:space="preserve"> alcanzarían los niveles mínimos de calidad que se establecen en los lineamientos. Adicionalmente, no se contaría con información sobre la calidad ofrecida por los distintos prestadores del servicio móvil.</w:t>
                  </w:r>
                </w:p>
              </w:tc>
            </w:tr>
          </w:tbl>
          <w:p w14:paraId="0C617F59" w14:textId="77777777" w:rsidR="003C3084" w:rsidRPr="00DD06A0" w:rsidRDefault="003C3084" w:rsidP="00225DA6">
            <w:pPr>
              <w:jc w:val="both"/>
              <w:rPr>
                <w:rFonts w:ascii="ITC Avant Garde" w:hAnsi="ITC Avant Garde"/>
                <w:sz w:val="18"/>
                <w:szCs w:val="18"/>
              </w:rPr>
            </w:pPr>
          </w:p>
          <w:p w14:paraId="135F33A1" w14:textId="77777777" w:rsidR="002025CB" w:rsidRPr="00DD06A0" w:rsidRDefault="002025CB" w:rsidP="00225DA6">
            <w:pPr>
              <w:jc w:val="both"/>
              <w:rPr>
                <w:rFonts w:ascii="ITC Avant Garde" w:hAnsi="ITC Avant Garde"/>
                <w:sz w:val="18"/>
                <w:szCs w:val="18"/>
              </w:rPr>
            </w:pPr>
          </w:p>
        </w:tc>
      </w:tr>
    </w:tbl>
    <w:p w14:paraId="7C1C327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04958C52" w14:textId="77777777" w:rsidTr="00225DA6">
        <w:tc>
          <w:tcPr>
            <w:tcW w:w="8828" w:type="dxa"/>
          </w:tcPr>
          <w:p w14:paraId="60C8561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8033FE">
              <w:rPr>
                <w:rFonts w:ascii="ITC Avant Garde" w:hAnsi="ITC Avant Garde"/>
                <w:b/>
                <w:sz w:val="18"/>
                <w:szCs w:val="18"/>
              </w:rPr>
              <w:t>7</w:t>
            </w:r>
            <w:r w:rsidRPr="008033FE">
              <w:rPr>
                <w:rFonts w:ascii="ITC Avant Garde" w:hAnsi="ITC Avant Garde"/>
                <w:b/>
                <w:sz w:val="18"/>
                <w:szCs w:val="18"/>
              </w:rPr>
              <w:t>.- Incluya un comparativo</w:t>
            </w:r>
            <w:r w:rsidRPr="00DD06A0">
              <w:rPr>
                <w:rFonts w:ascii="ITC Avant Garde" w:hAnsi="ITC Avant Garde"/>
                <w:b/>
                <w:sz w:val="18"/>
                <w:szCs w:val="18"/>
              </w:rPr>
              <w:t xml:space="preserve"> que contemple las regulaciones implementadas en otros países a fin de solventar la problemática antes detectada o alguna similar.</w:t>
            </w:r>
          </w:p>
          <w:p w14:paraId="009BBB5A"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EB85068" w14:textId="77777777" w:rsidTr="00225DA6">
              <w:tc>
                <w:tcPr>
                  <w:tcW w:w="8602" w:type="dxa"/>
                  <w:gridSpan w:val="2"/>
                  <w:shd w:val="clear" w:color="auto" w:fill="A8D08D" w:themeFill="accent6" w:themeFillTint="99"/>
                </w:tcPr>
                <w:p w14:paraId="716F1CFF"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11812CFA" w14:textId="77777777" w:rsidTr="00DC156F">
              <w:tc>
                <w:tcPr>
                  <w:tcW w:w="3993" w:type="dxa"/>
                </w:tcPr>
                <w:p w14:paraId="0FF18F3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10FAD89" w14:textId="62E906CD" w:rsidR="00DC156F" w:rsidRPr="00DD06A0" w:rsidRDefault="00E04B49" w:rsidP="00225DA6">
                  <w:pPr>
                    <w:jc w:val="both"/>
                    <w:rPr>
                      <w:rFonts w:ascii="ITC Avant Garde" w:hAnsi="ITC Avant Garde"/>
                      <w:sz w:val="18"/>
                      <w:szCs w:val="18"/>
                    </w:rPr>
                  </w:pPr>
                  <w:r>
                    <w:rPr>
                      <w:rFonts w:ascii="ITC Avant Garde" w:hAnsi="ITC Avant Garde"/>
                      <w:sz w:val="18"/>
                      <w:szCs w:val="18"/>
                    </w:rPr>
                    <w:t>Unión Internacional de Telecomunicaciones</w:t>
                  </w:r>
                </w:p>
              </w:tc>
            </w:tr>
            <w:tr w:rsidR="00DC156F" w:rsidRPr="00DD06A0" w14:paraId="69D03BBE" w14:textId="77777777" w:rsidTr="00DC156F">
              <w:tc>
                <w:tcPr>
                  <w:tcW w:w="3993" w:type="dxa"/>
                </w:tcPr>
                <w:p w14:paraId="23A71BE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CE57542" w14:textId="768F6F17" w:rsidR="00DC156F" w:rsidRPr="00DD06A0" w:rsidRDefault="00E92786" w:rsidP="00225DA6">
                  <w:pPr>
                    <w:jc w:val="both"/>
                    <w:rPr>
                      <w:rFonts w:ascii="ITC Avant Garde" w:hAnsi="ITC Avant Garde"/>
                      <w:sz w:val="18"/>
                      <w:szCs w:val="18"/>
                    </w:rPr>
                  </w:pPr>
                  <w:r w:rsidRPr="00E92786">
                    <w:rPr>
                      <w:rFonts w:ascii="ITC Avant Garde" w:hAnsi="ITC Avant Garde"/>
                      <w:sz w:val="18"/>
                      <w:szCs w:val="18"/>
                    </w:rPr>
                    <w:t>Recomendación UIT-T G.1028 (2019), Calidad de extremo a extremo para servicios vocales en redes móviles 4G</w:t>
                  </w:r>
                </w:p>
              </w:tc>
            </w:tr>
            <w:tr w:rsidR="00DC156F" w:rsidRPr="00DD06A0" w14:paraId="1ABB9E37" w14:textId="77777777" w:rsidTr="00DC156F">
              <w:tc>
                <w:tcPr>
                  <w:tcW w:w="3993" w:type="dxa"/>
                </w:tcPr>
                <w:p w14:paraId="7490CEE6"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25E3674" w14:textId="09B3E038" w:rsidR="0024317F" w:rsidRDefault="0024317F" w:rsidP="0024317F">
                  <w:pPr>
                    <w:jc w:val="both"/>
                    <w:rPr>
                      <w:rFonts w:ascii="ITC Avant Garde" w:hAnsi="ITC Avant Garde"/>
                      <w:sz w:val="18"/>
                      <w:szCs w:val="18"/>
                    </w:rPr>
                  </w:pPr>
                  <w:r w:rsidRPr="0024317F">
                    <w:rPr>
                      <w:rFonts w:ascii="ITC Avant Garde" w:hAnsi="ITC Avant Garde"/>
                      <w:sz w:val="18"/>
                      <w:szCs w:val="18"/>
                    </w:rPr>
                    <w:tab/>
                  </w:r>
                </w:p>
                <w:p w14:paraId="235BE55F" w14:textId="79B19387" w:rsidR="0024317F" w:rsidRPr="00E92786" w:rsidRDefault="00E92786" w:rsidP="0024317F">
                  <w:pPr>
                    <w:jc w:val="both"/>
                    <w:rPr>
                      <w:rFonts w:ascii="ITC Avant Garde" w:hAnsi="ITC Avant Garde"/>
                      <w:sz w:val="18"/>
                      <w:szCs w:val="18"/>
                    </w:rPr>
                  </w:pPr>
                  <w:r w:rsidRPr="00E92786">
                    <w:rPr>
                      <w:rFonts w:ascii="ITC Avant Garde" w:hAnsi="ITC Avant Garde" w:cs="Arial"/>
                      <w:sz w:val="18"/>
                      <w:szCs w:val="18"/>
                    </w:rPr>
                    <w:t xml:space="preserve">Describe varios escenarios que pueden presentarse cuando se tienen despliegues de 2G/3G que conviven con redes 4G, ya que muchas veces la cobertura 4G se traslapa con cobertura 3G o 2G. En una red 4G, cuando aún no se tiene desplegado </w:t>
                  </w:r>
                  <w:proofErr w:type="spellStart"/>
                  <w:r w:rsidRPr="00E92786">
                    <w:rPr>
                      <w:rFonts w:ascii="ITC Avant Garde" w:hAnsi="ITC Avant Garde" w:cs="Arial"/>
                      <w:sz w:val="18"/>
                      <w:szCs w:val="18"/>
                    </w:rPr>
                    <w:t>VoLTE</w:t>
                  </w:r>
                  <w:proofErr w:type="spellEnd"/>
                  <w:r w:rsidRPr="00E92786">
                    <w:rPr>
                      <w:rFonts w:ascii="ITC Avant Garde" w:hAnsi="ITC Avant Garde" w:cs="Arial"/>
                      <w:sz w:val="18"/>
                      <w:szCs w:val="18"/>
                    </w:rPr>
                    <w:t xml:space="preserve">, las llamadas de voz se </w:t>
                  </w:r>
                  <w:r w:rsidRPr="00E92786">
                    <w:rPr>
                      <w:rFonts w:ascii="ITC Avant Garde" w:hAnsi="ITC Avant Garde" w:cs="Arial"/>
                      <w:sz w:val="18"/>
                      <w:szCs w:val="18"/>
                    </w:rPr>
                    <w:lastRenderedPageBreak/>
                    <w:t xml:space="preserve">cursan a través de las redes 2G o 3G bajo un procedimiento conocido como repliegue de conmutación de circuitos (del inglés, </w:t>
                  </w:r>
                  <w:proofErr w:type="spellStart"/>
                  <w:r w:rsidRPr="00E92786">
                    <w:rPr>
                      <w:rFonts w:ascii="ITC Avant Garde" w:hAnsi="ITC Avant Garde" w:cs="Arial"/>
                      <w:i/>
                      <w:iCs/>
                      <w:sz w:val="18"/>
                      <w:szCs w:val="18"/>
                    </w:rPr>
                    <w:t>Circuit</w:t>
                  </w:r>
                  <w:proofErr w:type="spellEnd"/>
                  <w:r w:rsidRPr="00E92786">
                    <w:rPr>
                      <w:rFonts w:ascii="ITC Avant Garde" w:hAnsi="ITC Avant Garde" w:cs="Arial"/>
                      <w:i/>
                      <w:iCs/>
                      <w:sz w:val="18"/>
                      <w:szCs w:val="18"/>
                    </w:rPr>
                    <w:t xml:space="preserve"> </w:t>
                  </w:r>
                  <w:proofErr w:type="spellStart"/>
                  <w:r w:rsidRPr="00E92786">
                    <w:rPr>
                      <w:rFonts w:ascii="ITC Avant Garde" w:hAnsi="ITC Avant Garde" w:cs="Arial"/>
                      <w:i/>
                      <w:iCs/>
                      <w:sz w:val="18"/>
                      <w:szCs w:val="18"/>
                    </w:rPr>
                    <w:t>Switched</w:t>
                  </w:r>
                  <w:proofErr w:type="spellEnd"/>
                  <w:r w:rsidRPr="00E92786">
                    <w:rPr>
                      <w:rFonts w:ascii="ITC Avant Garde" w:hAnsi="ITC Avant Garde" w:cs="Arial"/>
                      <w:i/>
                      <w:iCs/>
                      <w:sz w:val="18"/>
                      <w:szCs w:val="18"/>
                    </w:rPr>
                    <w:t xml:space="preserve"> </w:t>
                  </w:r>
                  <w:proofErr w:type="spellStart"/>
                  <w:r w:rsidRPr="00E92786">
                    <w:rPr>
                      <w:rFonts w:ascii="ITC Avant Garde" w:hAnsi="ITC Avant Garde" w:cs="Arial"/>
                      <w:i/>
                      <w:iCs/>
                      <w:sz w:val="18"/>
                      <w:szCs w:val="18"/>
                    </w:rPr>
                    <w:t>Fall</w:t>
                  </w:r>
                  <w:proofErr w:type="spellEnd"/>
                  <w:r w:rsidRPr="00E92786">
                    <w:rPr>
                      <w:rFonts w:ascii="ITC Avant Garde" w:hAnsi="ITC Avant Garde" w:cs="Arial"/>
                      <w:i/>
                      <w:iCs/>
                      <w:sz w:val="18"/>
                      <w:szCs w:val="18"/>
                    </w:rPr>
                    <w:t xml:space="preserve"> Back o CSFB</w:t>
                  </w:r>
                  <w:r w:rsidRPr="00E92786">
                    <w:rPr>
                      <w:rFonts w:ascii="ITC Avant Garde" w:hAnsi="ITC Avant Garde" w:cs="Arial"/>
                      <w:sz w:val="18"/>
                      <w:szCs w:val="18"/>
                    </w:rPr>
                    <w:t>) que se encuentra definido por estándares tecnológicos (ETSI TS 123 272</w:t>
                  </w:r>
                  <w:r w:rsidRPr="00E92786">
                    <w:rPr>
                      <w:rStyle w:val="Refdenotaalpie"/>
                      <w:rFonts w:ascii="ITC Avant Garde" w:hAnsi="ITC Avant Garde" w:cs="Arial"/>
                      <w:sz w:val="18"/>
                      <w:szCs w:val="18"/>
                    </w:rPr>
                    <w:footnoteReference w:id="11"/>
                  </w:r>
                  <w:r w:rsidRPr="00E92786">
                    <w:rPr>
                      <w:rFonts w:ascii="ITC Avant Garde" w:hAnsi="ITC Avant Garde" w:cs="Arial"/>
                      <w:sz w:val="18"/>
                      <w:szCs w:val="18"/>
                    </w:rPr>
                    <w:t>)</w:t>
                  </w:r>
                </w:p>
                <w:p w14:paraId="6BF7C132" w14:textId="41C5ED0C" w:rsidR="00387BDC" w:rsidRPr="00DD06A0" w:rsidRDefault="00387BDC" w:rsidP="009B0221">
                  <w:pPr>
                    <w:jc w:val="both"/>
                    <w:rPr>
                      <w:rFonts w:ascii="ITC Avant Garde" w:hAnsi="ITC Avant Garde"/>
                      <w:sz w:val="18"/>
                      <w:szCs w:val="18"/>
                    </w:rPr>
                  </w:pPr>
                </w:p>
              </w:tc>
            </w:tr>
            <w:tr w:rsidR="00DC156F" w:rsidRPr="00DD06A0" w14:paraId="4F4D0608" w14:textId="77777777" w:rsidTr="00DC156F">
              <w:tc>
                <w:tcPr>
                  <w:tcW w:w="3993" w:type="dxa"/>
                </w:tcPr>
                <w:p w14:paraId="2AB171F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46E8764" w14:textId="4331F318" w:rsidR="00DC156F" w:rsidRPr="00DD06A0" w:rsidRDefault="00E92786" w:rsidP="00225DA6">
                  <w:pPr>
                    <w:jc w:val="both"/>
                    <w:rPr>
                      <w:rFonts w:ascii="ITC Avant Garde" w:hAnsi="ITC Avant Garde"/>
                      <w:sz w:val="18"/>
                      <w:szCs w:val="18"/>
                    </w:rPr>
                  </w:pPr>
                  <w:r>
                    <w:rPr>
                      <w:rFonts w:ascii="ITC Avant Garde" w:hAnsi="ITC Avant Garde"/>
                      <w:sz w:val="18"/>
                      <w:szCs w:val="18"/>
                    </w:rPr>
                    <w:t>No Aplica</w:t>
                  </w:r>
                </w:p>
              </w:tc>
            </w:tr>
            <w:tr w:rsidR="00DC156F" w:rsidRPr="00DD06A0" w14:paraId="51F8C717" w14:textId="77777777" w:rsidTr="00DC156F">
              <w:tc>
                <w:tcPr>
                  <w:tcW w:w="3993" w:type="dxa"/>
                </w:tcPr>
                <w:p w14:paraId="58ED40B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6B318E6" w14:textId="06AF66D2" w:rsidR="00DC156F" w:rsidRDefault="00DC156F" w:rsidP="00C6357B">
                  <w:pPr>
                    <w:jc w:val="both"/>
                    <w:rPr>
                      <w:rFonts w:ascii="ITC Avant Garde" w:hAnsi="ITC Avant Garde"/>
                      <w:sz w:val="18"/>
                      <w:szCs w:val="18"/>
                    </w:rPr>
                  </w:pPr>
                </w:p>
                <w:p w14:paraId="20D978B7" w14:textId="1A75DD3A" w:rsidR="00987B74" w:rsidRPr="00DD06A0" w:rsidRDefault="00987B74" w:rsidP="00C6357B">
                  <w:pPr>
                    <w:jc w:val="both"/>
                    <w:rPr>
                      <w:rFonts w:ascii="ITC Avant Garde" w:hAnsi="ITC Avant Garde"/>
                      <w:sz w:val="18"/>
                      <w:szCs w:val="18"/>
                    </w:rPr>
                  </w:pPr>
                  <w:r w:rsidRPr="00987B74">
                    <w:rPr>
                      <w:rFonts w:ascii="ITC Avant Garde" w:hAnsi="ITC Avant Garde"/>
                      <w:sz w:val="18"/>
                      <w:szCs w:val="18"/>
                    </w:rPr>
                    <w:t>https://www.itu.int/rec/T-REC-G.1028-201906-I/es</w:t>
                  </w:r>
                </w:p>
              </w:tc>
            </w:tr>
            <w:tr w:rsidR="00DC156F" w:rsidRPr="00DD06A0" w14:paraId="74E68457" w14:textId="77777777" w:rsidTr="00DC156F">
              <w:tc>
                <w:tcPr>
                  <w:tcW w:w="3993" w:type="dxa"/>
                </w:tcPr>
                <w:p w14:paraId="4FFAA98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E476B26" w14:textId="7946E036" w:rsidR="00DC156F" w:rsidRPr="00DD06A0" w:rsidRDefault="000C3151" w:rsidP="00225DA6">
                  <w:pPr>
                    <w:jc w:val="both"/>
                    <w:rPr>
                      <w:rFonts w:ascii="ITC Avant Garde" w:hAnsi="ITC Avant Garde"/>
                      <w:sz w:val="18"/>
                      <w:szCs w:val="18"/>
                    </w:rPr>
                  </w:pPr>
                  <w:r>
                    <w:rPr>
                      <w:rFonts w:ascii="ITC Avant Garde" w:hAnsi="ITC Avant Garde"/>
                      <w:sz w:val="18"/>
                      <w:szCs w:val="18"/>
                    </w:rPr>
                    <w:t>Ninguna</w:t>
                  </w:r>
                </w:p>
              </w:tc>
            </w:tr>
          </w:tbl>
          <w:p w14:paraId="4A700141"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2F3F8E3E" w14:textId="77777777" w:rsidTr="00225DA6">
              <w:tc>
                <w:tcPr>
                  <w:tcW w:w="8602" w:type="dxa"/>
                  <w:gridSpan w:val="2"/>
                  <w:shd w:val="clear" w:color="auto" w:fill="A8D08D" w:themeFill="accent6" w:themeFillTint="99"/>
                </w:tcPr>
                <w:p w14:paraId="45ECF9FF"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ED4227" w14:paraId="2020CEB5" w14:textId="77777777" w:rsidTr="00225DA6">
              <w:tc>
                <w:tcPr>
                  <w:tcW w:w="3993" w:type="dxa"/>
                </w:tcPr>
                <w:p w14:paraId="3440BBD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273D0DF" w14:textId="060AC243" w:rsidR="00DC156F" w:rsidRPr="00B77C84" w:rsidRDefault="00E04B49" w:rsidP="00DC156F">
                  <w:pPr>
                    <w:jc w:val="both"/>
                    <w:rPr>
                      <w:rFonts w:ascii="ITC Avant Garde" w:hAnsi="ITC Avant Garde"/>
                      <w:sz w:val="18"/>
                      <w:szCs w:val="18"/>
                      <w:lang w:val="en-US"/>
                    </w:rPr>
                  </w:pPr>
                  <w:r>
                    <w:rPr>
                      <w:rFonts w:ascii="ITC Avant Garde" w:hAnsi="ITC Avant Garde"/>
                      <w:sz w:val="18"/>
                      <w:szCs w:val="18"/>
                    </w:rPr>
                    <w:t>Unión Internacional de Telecomunicaciones</w:t>
                  </w:r>
                </w:p>
              </w:tc>
            </w:tr>
            <w:tr w:rsidR="00DC156F" w:rsidRPr="00DD06A0" w14:paraId="3658033B" w14:textId="77777777" w:rsidTr="00225DA6">
              <w:tc>
                <w:tcPr>
                  <w:tcW w:w="3993" w:type="dxa"/>
                </w:tcPr>
                <w:p w14:paraId="25A6CB79"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AD8B302" w14:textId="2DD19F96" w:rsidR="00E92786" w:rsidRPr="00E92786" w:rsidRDefault="00E92786" w:rsidP="00306E39">
                  <w:pPr>
                    <w:jc w:val="both"/>
                    <w:rPr>
                      <w:rFonts w:ascii="ITC Avant Garde" w:hAnsi="ITC Avant Garde" w:cs="Arial"/>
                      <w:sz w:val="18"/>
                      <w:szCs w:val="18"/>
                    </w:rPr>
                  </w:pPr>
                  <w:r w:rsidRPr="00E92786">
                    <w:rPr>
                      <w:rFonts w:ascii="ITC Avant Garde" w:hAnsi="ITC Avant Garde" w:cs="Arial"/>
                      <w:sz w:val="18"/>
                      <w:szCs w:val="18"/>
                    </w:rPr>
                    <w:t>Recomendación UIT-T G.1028.2 (2019), Evaluación del procedimiento de repliegue de conmutación de circuitos LTE – Influencia sobre la calidad del servicio de voz.</w:t>
                  </w:r>
                </w:p>
              </w:tc>
            </w:tr>
            <w:tr w:rsidR="00DC156F" w:rsidRPr="00DD06A0" w14:paraId="5C9564DE" w14:textId="77777777" w:rsidTr="00225DA6">
              <w:tc>
                <w:tcPr>
                  <w:tcW w:w="3993" w:type="dxa"/>
                </w:tcPr>
                <w:p w14:paraId="6980CE6A"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D7BAC80" w14:textId="45917303" w:rsidR="00DC156F" w:rsidRPr="00E92786" w:rsidRDefault="00E92786" w:rsidP="00DC156F">
                  <w:pPr>
                    <w:jc w:val="both"/>
                    <w:rPr>
                      <w:rFonts w:ascii="ITC Avant Garde" w:hAnsi="ITC Avant Garde" w:cs="Arial"/>
                      <w:sz w:val="18"/>
                      <w:szCs w:val="18"/>
                    </w:rPr>
                  </w:pPr>
                  <w:r w:rsidRPr="00E92786">
                    <w:rPr>
                      <w:rFonts w:ascii="ITC Avant Garde" w:hAnsi="ITC Avant Garde" w:cs="Arial"/>
                      <w:sz w:val="18"/>
                      <w:szCs w:val="18"/>
                    </w:rPr>
                    <w:t xml:space="preserve">Describe varios escenarios que pueden presentarse cuando se tienen despliegues de 2G/3G que conviven con redes 4G, ya que muchas veces la cobertura 4G se traslapa con cobertura 3G o 2G. En una red 4G, cuando aún no se tiene desplegado </w:t>
                  </w:r>
                  <w:proofErr w:type="spellStart"/>
                  <w:r w:rsidRPr="00E92786">
                    <w:rPr>
                      <w:rFonts w:ascii="ITC Avant Garde" w:hAnsi="ITC Avant Garde" w:cs="Arial"/>
                      <w:sz w:val="18"/>
                      <w:szCs w:val="18"/>
                    </w:rPr>
                    <w:t>VoLTE</w:t>
                  </w:r>
                  <w:proofErr w:type="spellEnd"/>
                  <w:r w:rsidRPr="00E92786">
                    <w:rPr>
                      <w:rFonts w:ascii="ITC Avant Garde" w:hAnsi="ITC Avant Garde" w:cs="Arial"/>
                      <w:sz w:val="18"/>
                      <w:szCs w:val="18"/>
                    </w:rPr>
                    <w:t xml:space="preserve">, las llamadas de voz se cursan a través de las redes 2G o 3G bajo un procedimiento conocido como repliegue de conmutación de circuitos (del inglés, </w:t>
                  </w:r>
                  <w:proofErr w:type="spellStart"/>
                  <w:r w:rsidRPr="00E92786">
                    <w:rPr>
                      <w:rFonts w:ascii="ITC Avant Garde" w:hAnsi="ITC Avant Garde" w:cs="Arial"/>
                      <w:i/>
                      <w:iCs/>
                      <w:sz w:val="18"/>
                      <w:szCs w:val="18"/>
                    </w:rPr>
                    <w:t>Circuit</w:t>
                  </w:r>
                  <w:proofErr w:type="spellEnd"/>
                  <w:r w:rsidRPr="00E92786">
                    <w:rPr>
                      <w:rFonts w:ascii="ITC Avant Garde" w:hAnsi="ITC Avant Garde" w:cs="Arial"/>
                      <w:i/>
                      <w:iCs/>
                      <w:sz w:val="18"/>
                      <w:szCs w:val="18"/>
                    </w:rPr>
                    <w:t xml:space="preserve"> </w:t>
                  </w:r>
                  <w:proofErr w:type="spellStart"/>
                  <w:r w:rsidRPr="00E92786">
                    <w:rPr>
                      <w:rFonts w:ascii="ITC Avant Garde" w:hAnsi="ITC Avant Garde" w:cs="Arial"/>
                      <w:i/>
                      <w:iCs/>
                      <w:sz w:val="18"/>
                      <w:szCs w:val="18"/>
                    </w:rPr>
                    <w:t>Switched</w:t>
                  </w:r>
                  <w:proofErr w:type="spellEnd"/>
                  <w:r w:rsidRPr="00E92786">
                    <w:rPr>
                      <w:rFonts w:ascii="ITC Avant Garde" w:hAnsi="ITC Avant Garde" w:cs="Arial"/>
                      <w:i/>
                      <w:iCs/>
                      <w:sz w:val="18"/>
                      <w:szCs w:val="18"/>
                    </w:rPr>
                    <w:t xml:space="preserve"> </w:t>
                  </w:r>
                  <w:proofErr w:type="spellStart"/>
                  <w:r w:rsidRPr="00E92786">
                    <w:rPr>
                      <w:rFonts w:ascii="ITC Avant Garde" w:hAnsi="ITC Avant Garde" w:cs="Arial"/>
                      <w:i/>
                      <w:iCs/>
                      <w:sz w:val="18"/>
                      <w:szCs w:val="18"/>
                    </w:rPr>
                    <w:t>Fall</w:t>
                  </w:r>
                  <w:proofErr w:type="spellEnd"/>
                  <w:r w:rsidRPr="00E92786">
                    <w:rPr>
                      <w:rFonts w:ascii="ITC Avant Garde" w:hAnsi="ITC Avant Garde" w:cs="Arial"/>
                      <w:i/>
                      <w:iCs/>
                      <w:sz w:val="18"/>
                      <w:szCs w:val="18"/>
                    </w:rPr>
                    <w:t xml:space="preserve"> Back o CSFB</w:t>
                  </w:r>
                  <w:r w:rsidRPr="00E92786">
                    <w:rPr>
                      <w:rFonts w:ascii="ITC Avant Garde" w:hAnsi="ITC Avant Garde" w:cs="Arial"/>
                      <w:sz w:val="18"/>
                      <w:szCs w:val="18"/>
                    </w:rPr>
                    <w:t>) que se encuentra definido por estándares tecnológicos (ETSI TS 123 272)</w:t>
                  </w:r>
                </w:p>
              </w:tc>
            </w:tr>
            <w:tr w:rsidR="00DC156F" w:rsidRPr="00DD06A0" w14:paraId="32FE3423" w14:textId="77777777" w:rsidTr="00225DA6">
              <w:tc>
                <w:tcPr>
                  <w:tcW w:w="3993" w:type="dxa"/>
                </w:tcPr>
                <w:p w14:paraId="6A4B8598"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50F61A" w14:textId="778E4A6B" w:rsidR="00DC156F" w:rsidRPr="00DD06A0" w:rsidRDefault="00E92786" w:rsidP="00DC156F">
                  <w:pPr>
                    <w:jc w:val="both"/>
                    <w:rPr>
                      <w:rFonts w:ascii="ITC Avant Garde" w:hAnsi="ITC Avant Garde"/>
                      <w:sz w:val="18"/>
                      <w:szCs w:val="18"/>
                    </w:rPr>
                  </w:pPr>
                  <w:r>
                    <w:rPr>
                      <w:rFonts w:ascii="ITC Avant Garde" w:hAnsi="ITC Avant Garde"/>
                      <w:sz w:val="18"/>
                      <w:szCs w:val="18"/>
                    </w:rPr>
                    <w:t>No Aplica</w:t>
                  </w:r>
                </w:p>
              </w:tc>
            </w:tr>
            <w:tr w:rsidR="00DC156F" w:rsidRPr="00DD06A0" w14:paraId="591B63DE" w14:textId="77777777" w:rsidTr="00225DA6">
              <w:tc>
                <w:tcPr>
                  <w:tcW w:w="3993" w:type="dxa"/>
                </w:tcPr>
                <w:p w14:paraId="5D2303B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35398D8" w14:textId="62E74B7E" w:rsidR="00DC156F" w:rsidRPr="00DD06A0" w:rsidRDefault="00987B74" w:rsidP="00DC156F">
                  <w:pPr>
                    <w:jc w:val="both"/>
                    <w:rPr>
                      <w:rFonts w:ascii="ITC Avant Garde" w:hAnsi="ITC Avant Garde"/>
                      <w:sz w:val="18"/>
                      <w:szCs w:val="18"/>
                    </w:rPr>
                  </w:pPr>
                  <w:r w:rsidRPr="00987B74">
                    <w:rPr>
                      <w:rFonts w:ascii="ITC Avant Garde" w:hAnsi="ITC Avant Garde"/>
                      <w:sz w:val="18"/>
                      <w:szCs w:val="18"/>
                    </w:rPr>
                    <w:t>https://www.itu.int/rec/T-REC-G.1028.2-201906-I/es</w:t>
                  </w:r>
                </w:p>
              </w:tc>
            </w:tr>
            <w:tr w:rsidR="00DC156F" w:rsidRPr="00DD06A0" w14:paraId="2515237C" w14:textId="77777777" w:rsidTr="00225DA6">
              <w:tc>
                <w:tcPr>
                  <w:tcW w:w="3993" w:type="dxa"/>
                </w:tcPr>
                <w:p w14:paraId="0AD32DD8"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292640D" w14:textId="71B865FD" w:rsidR="00DC156F" w:rsidRPr="00DD06A0" w:rsidRDefault="000C3151" w:rsidP="00DC156F">
                  <w:pPr>
                    <w:jc w:val="both"/>
                    <w:rPr>
                      <w:rFonts w:ascii="ITC Avant Garde" w:hAnsi="ITC Avant Garde"/>
                      <w:sz w:val="18"/>
                      <w:szCs w:val="18"/>
                    </w:rPr>
                  </w:pPr>
                  <w:r>
                    <w:rPr>
                      <w:rFonts w:ascii="ITC Avant Garde" w:hAnsi="ITC Avant Garde"/>
                      <w:sz w:val="18"/>
                      <w:szCs w:val="18"/>
                    </w:rPr>
                    <w:t xml:space="preserve"> Ninguna</w:t>
                  </w:r>
                </w:p>
              </w:tc>
            </w:tr>
          </w:tbl>
          <w:p w14:paraId="36FF20F1" w14:textId="6C4CBD2F" w:rsidR="00D27011" w:rsidRDefault="00D27011"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E04B49" w:rsidRPr="00DD06A0" w14:paraId="2C2D5D50" w14:textId="77777777" w:rsidTr="00861479">
              <w:tc>
                <w:tcPr>
                  <w:tcW w:w="8602" w:type="dxa"/>
                  <w:gridSpan w:val="2"/>
                  <w:shd w:val="clear" w:color="auto" w:fill="A8D08D" w:themeFill="accent6" w:themeFillTint="99"/>
                </w:tcPr>
                <w:p w14:paraId="19B7686A" w14:textId="4BEF8F6C" w:rsidR="00E04B49" w:rsidRPr="00DD06A0" w:rsidRDefault="00E04B49" w:rsidP="00E04B49">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E04B49" w:rsidRPr="00ED4227" w14:paraId="4D821FB2" w14:textId="77777777" w:rsidTr="00861479">
              <w:tc>
                <w:tcPr>
                  <w:tcW w:w="3993" w:type="dxa"/>
                </w:tcPr>
                <w:p w14:paraId="63617F61"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60AAB8" w14:textId="6D41BD48" w:rsidR="00E04B49" w:rsidRPr="00E04B49" w:rsidRDefault="00E04B49" w:rsidP="00E04B49">
                  <w:pPr>
                    <w:jc w:val="both"/>
                    <w:rPr>
                      <w:rFonts w:ascii="ITC Avant Garde" w:hAnsi="ITC Avant Garde"/>
                      <w:sz w:val="18"/>
                      <w:szCs w:val="18"/>
                    </w:rPr>
                  </w:pPr>
                  <w:r>
                    <w:rPr>
                      <w:rFonts w:ascii="ITC Avant Garde" w:hAnsi="ITC Avant Garde"/>
                      <w:sz w:val="18"/>
                      <w:szCs w:val="18"/>
                    </w:rPr>
                    <w:t>Instituto Europeo de Estándares Técnicos</w:t>
                  </w:r>
                </w:p>
              </w:tc>
            </w:tr>
            <w:tr w:rsidR="00E04B49" w:rsidRPr="00002CCD" w14:paraId="28CF3477" w14:textId="77777777" w:rsidTr="00861479">
              <w:tc>
                <w:tcPr>
                  <w:tcW w:w="3993" w:type="dxa"/>
                </w:tcPr>
                <w:p w14:paraId="1406DB1D"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610AD24" w14:textId="169DD80D" w:rsidR="00E04B49" w:rsidRPr="00E04B49" w:rsidRDefault="00E04B49" w:rsidP="00E04B49">
                  <w:pPr>
                    <w:jc w:val="both"/>
                    <w:rPr>
                      <w:rFonts w:ascii="ITC Avant Garde" w:hAnsi="ITC Avant Garde" w:cs="Arial"/>
                      <w:sz w:val="18"/>
                      <w:szCs w:val="18"/>
                      <w:lang w:val="en-US"/>
                    </w:rPr>
                  </w:pPr>
                  <w:r w:rsidRPr="00E04B49">
                    <w:rPr>
                      <w:rFonts w:ascii="ITC Avant Garde" w:hAnsi="ITC Avant Garde" w:cs="Arial"/>
                      <w:sz w:val="18"/>
                      <w:szCs w:val="18"/>
                      <w:lang w:val="en-US"/>
                    </w:rPr>
                    <w:t>ETSI TS 102 250-5 (2019), Speech and multimedia Transmission Quality (STQ); QoS aspects for popular services in mobile networks; Part 5: Definition of typical measurement profiles.</w:t>
                  </w:r>
                </w:p>
              </w:tc>
            </w:tr>
            <w:tr w:rsidR="00E04B49" w:rsidRPr="00DD06A0" w14:paraId="102CA872" w14:textId="77777777" w:rsidTr="00861479">
              <w:tc>
                <w:tcPr>
                  <w:tcW w:w="3993" w:type="dxa"/>
                </w:tcPr>
                <w:p w14:paraId="301C92C5"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3376BBA" w14:textId="498BEF51" w:rsidR="00E04B49" w:rsidRPr="00E92786" w:rsidRDefault="00E04B49" w:rsidP="00E04B49">
                  <w:pPr>
                    <w:jc w:val="both"/>
                    <w:rPr>
                      <w:rFonts w:ascii="ITC Avant Garde" w:hAnsi="ITC Avant Garde" w:cs="Arial"/>
                      <w:sz w:val="18"/>
                      <w:szCs w:val="18"/>
                    </w:rPr>
                  </w:pPr>
                  <w:r>
                    <w:rPr>
                      <w:rFonts w:ascii="ITC Avant Garde" w:hAnsi="ITC Avant Garde" w:cs="Arial"/>
                      <w:sz w:val="18"/>
                      <w:szCs w:val="18"/>
                    </w:rPr>
                    <w:t xml:space="preserve">Especificación técnica del ETSI que </w:t>
                  </w:r>
                  <w:r w:rsidRPr="00E04B49">
                    <w:rPr>
                      <w:rFonts w:ascii="ITC Avant Garde" w:hAnsi="ITC Avant Garde" w:cs="Arial"/>
                      <w:sz w:val="18"/>
                      <w:szCs w:val="18"/>
                    </w:rPr>
                    <w:t>define perfiles de medición para distintos servicios</w:t>
                  </w:r>
                  <w:r>
                    <w:rPr>
                      <w:rFonts w:ascii="ITC Avant Garde" w:hAnsi="ITC Avant Garde" w:cs="Arial"/>
                      <w:sz w:val="18"/>
                      <w:szCs w:val="18"/>
                    </w:rPr>
                    <w:t>, incluyendo tiempos máximos de establecimiento de llamadas, para efectos de medición de llamadas fallidas. Esta especificación surge de un análisis de mejores prácticas en materia de medición de la calidad del servicio móvil.</w:t>
                  </w:r>
                </w:p>
              </w:tc>
            </w:tr>
            <w:tr w:rsidR="00E04B49" w:rsidRPr="00DD06A0" w14:paraId="4A74490B" w14:textId="77777777" w:rsidTr="00861479">
              <w:tc>
                <w:tcPr>
                  <w:tcW w:w="3993" w:type="dxa"/>
                </w:tcPr>
                <w:p w14:paraId="1C46EA25"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79140EA" w14:textId="77777777" w:rsidR="00E04B49" w:rsidRPr="00DD06A0" w:rsidRDefault="00E04B49" w:rsidP="00E04B49">
                  <w:pPr>
                    <w:jc w:val="both"/>
                    <w:rPr>
                      <w:rFonts w:ascii="ITC Avant Garde" w:hAnsi="ITC Avant Garde"/>
                      <w:sz w:val="18"/>
                      <w:szCs w:val="18"/>
                    </w:rPr>
                  </w:pPr>
                  <w:r>
                    <w:rPr>
                      <w:rFonts w:ascii="ITC Avant Garde" w:hAnsi="ITC Avant Garde"/>
                      <w:sz w:val="18"/>
                      <w:szCs w:val="18"/>
                    </w:rPr>
                    <w:t>No Aplica</w:t>
                  </w:r>
                </w:p>
              </w:tc>
            </w:tr>
            <w:tr w:rsidR="00E04B49" w:rsidRPr="00E04B49" w14:paraId="39E8DB8E" w14:textId="77777777" w:rsidTr="00861479">
              <w:tc>
                <w:tcPr>
                  <w:tcW w:w="3993" w:type="dxa"/>
                </w:tcPr>
                <w:p w14:paraId="6A230462"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C6C1830" w14:textId="47B6292A" w:rsidR="00E04B49" w:rsidRPr="00E04B49" w:rsidRDefault="00000000" w:rsidP="00E04B49">
                  <w:pPr>
                    <w:jc w:val="both"/>
                    <w:rPr>
                      <w:rFonts w:ascii="ITC Avant Garde" w:hAnsi="ITC Avant Garde"/>
                      <w:sz w:val="18"/>
                      <w:szCs w:val="18"/>
                    </w:rPr>
                  </w:pPr>
                  <w:hyperlink r:id="rId12" w:history="1">
                    <w:r w:rsidR="00E04B49" w:rsidRPr="00E04B49">
                      <w:rPr>
                        <w:rStyle w:val="Hipervnculo"/>
                        <w:rFonts w:ascii="ITC Avant Garde" w:hAnsi="ITC Avant Garde"/>
                        <w:sz w:val="18"/>
                        <w:szCs w:val="18"/>
                      </w:rPr>
                      <w:t>https://www.etsi.org/deliver/etsi_ts/102200_102299/10225005/02.05.01_60/ts_10225005v020501p.pdf</w:t>
                    </w:r>
                  </w:hyperlink>
                  <w:r w:rsidR="00E04B49">
                    <w:t xml:space="preserve"> </w:t>
                  </w:r>
                </w:p>
              </w:tc>
            </w:tr>
            <w:tr w:rsidR="00E04B49" w:rsidRPr="00DD06A0" w14:paraId="446305AF" w14:textId="77777777" w:rsidTr="00861479">
              <w:tc>
                <w:tcPr>
                  <w:tcW w:w="3993" w:type="dxa"/>
                </w:tcPr>
                <w:p w14:paraId="353BA290" w14:textId="77777777" w:rsidR="00E04B49" w:rsidRPr="00DD06A0" w:rsidRDefault="00E04B49" w:rsidP="00E04B49">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BD84F32" w14:textId="77777777" w:rsidR="00E04B49" w:rsidRPr="00DD06A0" w:rsidRDefault="00E04B49" w:rsidP="00E04B49">
                  <w:pPr>
                    <w:jc w:val="both"/>
                    <w:rPr>
                      <w:rFonts w:ascii="ITC Avant Garde" w:hAnsi="ITC Avant Garde"/>
                      <w:sz w:val="18"/>
                      <w:szCs w:val="18"/>
                    </w:rPr>
                  </w:pPr>
                  <w:r>
                    <w:rPr>
                      <w:rFonts w:ascii="ITC Avant Garde" w:hAnsi="ITC Avant Garde"/>
                      <w:sz w:val="18"/>
                      <w:szCs w:val="18"/>
                    </w:rPr>
                    <w:t xml:space="preserve"> Ninguna</w:t>
                  </w:r>
                </w:p>
              </w:tc>
            </w:tr>
          </w:tbl>
          <w:p w14:paraId="57029914" w14:textId="77777777" w:rsidR="00E04B49" w:rsidRDefault="00E04B49" w:rsidP="00225DA6">
            <w:pPr>
              <w:jc w:val="both"/>
              <w:rPr>
                <w:rFonts w:ascii="ITC Avant Garde" w:hAnsi="ITC Avant Garde"/>
                <w:sz w:val="18"/>
                <w:szCs w:val="18"/>
                <w:highlight w:val="yellow"/>
              </w:rPr>
            </w:pPr>
          </w:p>
          <w:p w14:paraId="79B08970" w14:textId="77777777" w:rsidR="002025CB" w:rsidRPr="00DD06A0" w:rsidRDefault="002025CB" w:rsidP="00431F48">
            <w:pPr>
              <w:jc w:val="both"/>
              <w:rPr>
                <w:rFonts w:ascii="ITC Avant Garde" w:hAnsi="ITC Avant Garde"/>
                <w:sz w:val="18"/>
                <w:szCs w:val="18"/>
                <w:highlight w:val="yellow"/>
              </w:rPr>
            </w:pPr>
          </w:p>
        </w:tc>
      </w:tr>
    </w:tbl>
    <w:p w14:paraId="7834D85D" w14:textId="77777777" w:rsidR="00F0449E" w:rsidRPr="00DD06A0" w:rsidRDefault="00F0449E" w:rsidP="001932FC">
      <w:pPr>
        <w:jc w:val="both"/>
        <w:rPr>
          <w:rFonts w:ascii="ITC Avant Garde" w:hAnsi="ITC Avant Garde"/>
          <w:sz w:val="18"/>
          <w:szCs w:val="18"/>
        </w:rPr>
      </w:pPr>
    </w:p>
    <w:p w14:paraId="1E5D58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6CFC8CDE" w14:textId="77777777" w:rsidTr="00225DA6">
        <w:tc>
          <w:tcPr>
            <w:tcW w:w="8828" w:type="dxa"/>
          </w:tcPr>
          <w:p w14:paraId="7E2960B9" w14:textId="77777777" w:rsidR="00DC156F" w:rsidRPr="00DD06A0" w:rsidRDefault="00C9396B" w:rsidP="00225DA6">
            <w:pPr>
              <w:jc w:val="both"/>
              <w:rPr>
                <w:rFonts w:ascii="ITC Avant Garde" w:hAnsi="ITC Avant Garde"/>
                <w:b/>
                <w:sz w:val="18"/>
                <w:szCs w:val="18"/>
              </w:rPr>
            </w:pPr>
            <w:r w:rsidRPr="008033FE">
              <w:rPr>
                <w:rFonts w:ascii="ITC Avant Garde" w:hAnsi="ITC Avant Garde"/>
                <w:b/>
                <w:sz w:val="18"/>
                <w:szCs w:val="18"/>
              </w:rPr>
              <w:t>8</w:t>
            </w:r>
            <w:r w:rsidR="00DC156F" w:rsidRPr="008033FE">
              <w:rPr>
                <w:rFonts w:ascii="ITC Avant Garde" w:hAnsi="ITC Avant Garde"/>
                <w:b/>
                <w:sz w:val="18"/>
                <w:szCs w:val="18"/>
              </w:rPr>
              <w:t>.- Refiera los trámites</w:t>
            </w:r>
            <w:r w:rsidR="00DC156F" w:rsidRPr="00DD06A0">
              <w:rPr>
                <w:rFonts w:ascii="ITC Avant Garde" w:hAnsi="ITC Avant Garde"/>
                <w:b/>
                <w:sz w:val="18"/>
                <w:szCs w:val="18"/>
              </w:rPr>
              <w:t xml:space="preserve"> que la regulación propuesta crea, modifica o elimina</w:t>
            </w:r>
            <w:r w:rsidR="00DC156F" w:rsidRPr="00DD06A0">
              <w:rPr>
                <w:rFonts w:ascii="ITC Avant Garde" w:hAnsi="ITC Avant Garde"/>
                <w:sz w:val="18"/>
                <w:szCs w:val="18"/>
                <w:vertAlign w:val="superscript"/>
              </w:rPr>
              <w:footnoteReference w:id="12"/>
            </w:r>
            <w:r w:rsidR="00DC156F" w:rsidRPr="00DD06A0">
              <w:rPr>
                <w:rFonts w:ascii="ITC Avant Garde" w:hAnsi="ITC Avant Garde"/>
                <w:b/>
                <w:sz w:val="18"/>
                <w:szCs w:val="18"/>
              </w:rPr>
              <w:t>.</w:t>
            </w:r>
          </w:p>
          <w:p w14:paraId="1470973D" w14:textId="77777777" w:rsidR="00DC156F" w:rsidRPr="00DD06A0" w:rsidRDefault="00DC156F" w:rsidP="00225DA6">
            <w:pPr>
              <w:jc w:val="both"/>
              <w:rPr>
                <w:rFonts w:ascii="ITC Avant Garde" w:hAnsi="ITC Avant Garde"/>
                <w:sz w:val="18"/>
                <w:szCs w:val="18"/>
              </w:rPr>
            </w:pPr>
          </w:p>
          <w:p w14:paraId="3E66C6B8" w14:textId="3DFA4702" w:rsidR="00505B08" w:rsidRPr="00DD06A0" w:rsidRDefault="00AE5D79" w:rsidP="00225DA6">
            <w:pPr>
              <w:jc w:val="both"/>
              <w:rPr>
                <w:rFonts w:ascii="ITC Avant Garde" w:hAnsi="ITC Avant Garde"/>
                <w:sz w:val="18"/>
                <w:szCs w:val="18"/>
              </w:rPr>
            </w:pPr>
            <w:r>
              <w:rPr>
                <w:rFonts w:ascii="ITC Avant Garde" w:hAnsi="ITC Avant Garde"/>
                <w:sz w:val="18"/>
                <w:szCs w:val="18"/>
              </w:rPr>
              <w:t>El Acuerdo</w:t>
            </w:r>
            <w:r w:rsidR="00CB1A03">
              <w:rPr>
                <w:rFonts w:ascii="ITC Avant Garde" w:hAnsi="ITC Avant Garde"/>
                <w:sz w:val="18"/>
                <w:szCs w:val="18"/>
              </w:rPr>
              <w:t xml:space="preserve"> no crea, modifica o elimina trámites.</w:t>
            </w:r>
          </w:p>
          <w:p w14:paraId="01386EBA" w14:textId="10DF874C" w:rsidR="00E84534" w:rsidRPr="00DD06A0" w:rsidRDefault="00E84534" w:rsidP="00225DA6">
            <w:pPr>
              <w:jc w:val="both"/>
              <w:rPr>
                <w:rFonts w:ascii="ITC Avant Garde" w:hAnsi="ITC Avant Garde"/>
                <w:sz w:val="18"/>
                <w:szCs w:val="18"/>
              </w:rPr>
            </w:pPr>
          </w:p>
        </w:tc>
      </w:tr>
    </w:tbl>
    <w:p w14:paraId="2FB5136F"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302D7720" w14:textId="77777777" w:rsidTr="00CE3C00">
        <w:tc>
          <w:tcPr>
            <w:tcW w:w="8828" w:type="dxa"/>
          </w:tcPr>
          <w:p w14:paraId="50B75A9F" w14:textId="77777777" w:rsidR="00CE3C00" w:rsidRPr="00DD06A0" w:rsidRDefault="00CE3C00" w:rsidP="00E21B49">
            <w:pPr>
              <w:jc w:val="both"/>
              <w:rPr>
                <w:rFonts w:ascii="ITC Avant Garde" w:hAnsi="ITC Avant Garde"/>
                <w:b/>
                <w:sz w:val="18"/>
                <w:szCs w:val="18"/>
              </w:rPr>
            </w:pPr>
            <w:r w:rsidRPr="008033FE">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13"/>
            </w:r>
            <w:r w:rsidRPr="00DD06A0">
              <w:rPr>
                <w:rFonts w:ascii="ITC Avant Garde" w:hAnsi="ITC Avant Garde"/>
                <w:b/>
                <w:sz w:val="18"/>
                <w:szCs w:val="18"/>
              </w:rPr>
              <w:t xml:space="preserve"> que la propuesta de regulación pudiera generar a su entrada en vigor.</w:t>
            </w:r>
          </w:p>
          <w:p w14:paraId="251C62AD"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ADD444E" w14:textId="77777777" w:rsidTr="00B73435">
              <w:tc>
                <w:tcPr>
                  <w:tcW w:w="8602" w:type="dxa"/>
                  <w:gridSpan w:val="2"/>
                  <w:shd w:val="clear" w:color="auto" w:fill="A8D08D" w:themeFill="accent6" w:themeFillTint="99"/>
                </w:tcPr>
                <w:p w14:paraId="4D024350"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BE5259C" w14:textId="77777777" w:rsidTr="00CE3C00">
              <w:tc>
                <w:tcPr>
                  <w:tcW w:w="4301" w:type="dxa"/>
                </w:tcPr>
                <w:p w14:paraId="459241EC"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16F7CFA2" w14:textId="77777777"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B058F0">
                    <w:rPr>
                      <w:rFonts w:ascii="ITC Avant Garde" w:hAnsi="ITC Avant Garde"/>
                      <w:sz w:val="18"/>
                      <w:szCs w:val="18"/>
                    </w:rPr>
                    <w:t xml:space="preserve">(  </w:t>
                  </w:r>
                  <w:proofErr w:type="gramEnd"/>
                  <w:r w:rsidR="00B058F0">
                    <w:rPr>
                      <w:rFonts w:ascii="ITC Avant Garde" w:hAnsi="ITC Avant Garde"/>
                      <w:sz w:val="18"/>
                      <w:szCs w:val="18"/>
                    </w:rPr>
                    <w:t xml:space="preserve"> ) No ( </w:t>
                  </w:r>
                  <w:r w:rsidR="00B058F0">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598795C" w14:textId="77777777" w:rsidTr="00CE3C00">
              <w:tc>
                <w:tcPr>
                  <w:tcW w:w="4301" w:type="dxa"/>
                </w:tcPr>
                <w:p w14:paraId="60E0AE8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6938D17"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w:t>
                  </w:r>
                  <w:proofErr w:type="gramStart"/>
                  <w:r w:rsidR="00B058F0">
                    <w:rPr>
                      <w:rFonts w:ascii="ITC Avant Garde" w:hAnsi="ITC Avant Garde"/>
                      <w:sz w:val="18"/>
                      <w:szCs w:val="18"/>
                    </w:rPr>
                    <w:t xml:space="preserve">(  </w:t>
                  </w:r>
                  <w:proofErr w:type="gramEnd"/>
                  <w:r w:rsidR="00B058F0">
                    <w:rPr>
                      <w:rFonts w:ascii="ITC Avant Garde" w:hAnsi="ITC Avant Garde"/>
                      <w:sz w:val="18"/>
                      <w:szCs w:val="18"/>
                    </w:rPr>
                    <w:t xml:space="preserve"> ) No ( </w:t>
                  </w:r>
                  <w:r w:rsidR="00B058F0">
                    <w:rPr>
                      <w:rFonts w:ascii="ITC Avant Garde" w:hAnsi="ITC Avant Garde"/>
                      <w:b/>
                      <w:sz w:val="18"/>
                      <w:szCs w:val="18"/>
                    </w:rPr>
                    <w:t xml:space="preserve">X </w:t>
                  </w:r>
                  <w:r w:rsidRPr="00DD06A0">
                    <w:rPr>
                      <w:rFonts w:ascii="ITC Avant Garde" w:hAnsi="ITC Avant Garde"/>
                      <w:sz w:val="18"/>
                      <w:szCs w:val="18"/>
                    </w:rPr>
                    <w:t>)</w:t>
                  </w:r>
                </w:p>
              </w:tc>
            </w:tr>
            <w:tr w:rsidR="00CE3C00" w:rsidRPr="00DD06A0" w14:paraId="3153658A" w14:textId="77777777" w:rsidTr="00CE3C00">
              <w:tc>
                <w:tcPr>
                  <w:tcW w:w="4301" w:type="dxa"/>
                </w:tcPr>
                <w:p w14:paraId="45747545"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1FC3B06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w:t>
                  </w:r>
                  <w:proofErr w:type="gramStart"/>
                  <w:r w:rsidR="00B058F0">
                    <w:rPr>
                      <w:rFonts w:ascii="ITC Avant Garde" w:hAnsi="ITC Avant Garde"/>
                      <w:sz w:val="18"/>
                      <w:szCs w:val="18"/>
                    </w:rPr>
                    <w:t xml:space="preserve">(  </w:t>
                  </w:r>
                  <w:proofErr w:type="gramEnd"/>
                  <w:r w:rsidR="00B058F0">
                    <w:rPr>
                      <w:rFonts w:ascii="ITC Avant Garde" w:hAnsi="ITC Avant Garde"/>
                      <w:sz w:val="18"/>
                      <w:szCs w:val="18"/>
                    </w:rPr>
                    <w:t xml:space="preserve"> ) No ( </w:t>
                  </w:r>
                  <w:r w:rsidR="00B058F0">
                    <w:rPr>
                      <w:rFonts w:ascii="ITC Avant Garde" w:hAnsi="ITC Avant Garde"/>
                      <w:b/>
                      <w:sz w:val="18"/>
                      <w:szCs w:val="18"/>
                    </w:rPr>
                    <w:t>X</w:t>
                  </w:r>
                  <w:r w:rsidR="00B058F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381C11BA" w14:textId="77777777" w:rsidTr="00CE3C00">
              <w:tc>
                <w:tcPr>
                  <w:tcW w:w="4301" w:type="dxa"/>
                </w:tcPr>
                <w:p w14:paraId="676B3E3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183EB114"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058F0">
                    <w:rPr>
                      <w:rFonts w:ascii="ITC Avant Garde" w:hAnsi="ITC Avant Garde"/>
                      <w:sz w:val="18"/>
                      <w:szCs w:val="18"/>
                    </w:rPr>
                    <w:t xml:space="preserve"> </w:t>
                  </w:r>
                  <w:proofErr w:type="gramStart"/>
                  <w:r w:rsidR="00B058F0">
                    <w:rPr>
                      <w:rFonts w:ascii="ITC Avant Garde" w:hAnsi="ITC Avant Garde"/>
                      <w:sz w:val="18"/>
                      <w:szCs w:val="18"/>
                    </w:rPr>
                    <w:t xml:space="preserve">(  </w:t>
                  </w:r>
                  <w:proofErr w:type="gramEnd"/>
                  <w:r w:rsidR="00B058F0">
                    <w:rPr>
                      <w:rFonts w:ascii="ITC Avant Garde" w:hAnsi="ITC Avant Garde"/>
                      <w:sz w:val="18"/>
                      <w:szCs w:val="18"/>
                    </w:rPr>
                    <w:t xml:space="preserve"> ) No ( </w:t>
                  </w:r>
                  <w:r w:rsidR="00B058F0">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17AADAFA" w14:textId="77777777" w:rsidTr="00CE3C00">
              <w:tc>
                <w:tcPr>
                  <w:tcW w:w="4301" w:type="dxa"/>
                </w:tcPr>
                <w:p w14:paraId="27E0CEA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664E4C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058F0">
                    <w:rPr>
                      <w:rFonts w:ascii="ITC Avant Garde" w:hAnsi="ITC Avant Garde"/>
                      <w:sz w:val="18"/>
                      <w:szCs w:val="18"/>
                    </w:rPr>
                    <w:t xml:space="preserve"> </w:t>
                  </w:r>
                  <w:proofErr w:type="gramStart"/>
                  <w:r w:rsidR="00B058F0">
                    <w:rPr>
                      <w:rFonts w:ascii="ITC Avant Garde" w:hAnsi="ITC Avant Garde"/>
                      <w:sz w:val="18"/>
                      <w:szCs w:val="18"/>
                    </w:rPr>
                    <w:t xml:space="preserve">(  </w:t>
                  </w:r>
                  <w:proofErr w:type="gramEnd"/>
                  <w:r w:rsidR="00B058F0">
                    <w:rPr>
                      <w:rFonts w:ascii="ITC Avant Garde" w:hAnsi="ITC Avant Garde"/>
                      <w:sz w:val="18"/>
                      <w:szCs w:val="18"/>
                    </w:rPr>
                    <w:t xml:space="preserve"> ) No ( </w:t>
                  </w:r>
                  <w:r w:rsidR="00B058F0">
                    <w:rPr>
                      <w:rFonts w:ascii="ITC Avant Garde" w:hAnsi="ITC Avant Garde"/>
                      <w:b/>
                      <w:sz w:val="18"/>
                      <w:szCs w:val="18"/>
                    </w:rPr>
                    <w:t>X</w:t>
                  </w:r>
                  <w:r w:rsidRPr="00DD06A0">
                    <w:rPr>
                      <w:rFonts w:ascii="ITC Avant Garde" w:hAnsi="ITC Avant Garde"/>
                      <w:sz w:val="18"/>
                      <w:szCs w:val="18"/>
                    </w:rPr>
                    <w:t xml:space="preserve"> )</w:t>
                  </w:r>
                </w:p>
              </w:tc>
            </w:tr>
          </w:tbl>
          <w:p w14:paraId="109F7361"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19945A66" w14:textId="77777777" w:rsidTr="0082151C">
              <w:tc>
                <w:tcPr>
                  <w:tcW w:w="8602" w:type="dxa"/>
                  <w:gridSpan w:val="2"/>
                  <w:shd w:val="clear" w:color="auto" w:fill="A8D08D" w:themeFill="accent6" w:themeFillTint="99"/>
                </w:tcPr>
                <w:p w14:paraId="43D9E789"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055A4009" w14:textId="77777777" w:rsidTr="0082151C">
              <w:tc>
                <w:tcPr>
                  <w:tcW w:w="4301" w:type="dxa"/>
                </w:tcPr>
                <w:p w14:paraId="6B5CB68C"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5ED3FB3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21184">
                    <w:rPr>
                      <w:rFonts w:ascii="ITC Avant Garde" w:hAnsi="ITC Avant Garde"/>
                      <w:sz w:val="18"/>
                      <w:szCs w:val="18"/>
                    </w:rPr>
                    <w:t xml:space="preserve"> </w:t>
                  </w:r>
                  <w:proofErr w:type="gramStart"/>
                  <w:r w:rsidR="00521184">
                    <w:rPr>
                      <w:rFonts w:ascii="ITC Avant Garde" w:hAnsi="ITC Avant Garde"/>
                      <w:sz w:val="18"/>
                      <w:szCs w:val="18"/>
                    </w:rPr>
                    <w:t xml:space="preserve">(  </w:t>
                  </w:r>
                  <w:proofErr w:type="gramEnd"/>
                  <w:r w:rsidR="00521184">
                    <w:rPr>
                      <w:rFonts w:ascii="ITC Avant Garde" w:hAnsi="ITC Avant Garde"/>
                      <w:sz w:val="18"/>
                      <w:szCs w:val="18"/>
                    </w:rPr>
                    <w:t xml:space="preserve"> ) No ( </w:t>
                  </w:r>
                  <w:r w:rsidR="0052118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40CFB02E" w14:textId="77777777" w:rsidTr="0082151C">
              <w:tc>
                <w:tcPr>
                  <w:tcW w:w="4301" w:type="dxa"/>
                </w:tcPr>
                <w:p w14:paraId="725749D2"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9B7F21B"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A25AE9">
                    <w:rPr>
                      <w:rFonts w:ascii="ITC Avant Garde" w:hAnsi="ITC Avant Garde"/>
                      <w:sz w:val="18"/>
                      <w:szCs w:val="18"/>
                    </w:rPr>
                    <w:t xml:space="preserve"> </w:t>
                  </w:r>
                  <w:proofErr w:type="gramStart"/>
                  <w:r w:rsidR="00A25AE9">
                    <w:rPr>
                      <w:rFonts w:ascii="ITC Avant Garde" w:hAnsi="ITC Avant Garde"/>
                      <w:sz w:val="18"/>
                      <w:szCs w:val="18"/>
                    </w:rPr>
                    <w:t xml:space="preserve">(  </w:t>
                  </w:r>
                  <w:proofErr w:type="gramEnd"/>
                  <w:r w:rsidR="00A25AE9">
                    <w:rPr>
                      <w:rFonts w:ascii="ITC Avant Garde" w:hAnsi="ITC Avant Garde"/>
                      <w:sz w:val="18"/>
                      <w:szCs w:val="18"/>
                    </w:rPr>
                    <w:t xml:space="preserve"> ) No ( </w:t>
                  </w:r>
                  <w:r w:rsidR="00A25AE9">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91464C1" w14:textId="77777777" w:rsidTr="005F504D">
              <w:tc>
                <w:tcPr>
                  <w:tcW w:w="4301" w:type="dxa"/>
                  <w:shd w:val="clear" w:color="auto" w:fill="auto"/>
                </w:tcPr>
                <w:p w14:paraId="7AA69B4A" w14:textId="77777777" w:rsidR="00B73435" w:rsidRPr="00DD6A3D" w:rsidRDefault="00B73435" w:rsidP="00B73435">
                  <w:pPr>
                    <w:jc w:val="both"/>
                    <w:rPr>
                      <w:rFonts w:ascii="ITC Avant Garde" w:hAnsi="ITC Avant Garde"/>
                      <w:sz w:val="18"/>
                      <w:szCs w:val="18"/>
                      <w:highlight w:val="yellow"/>
                    </w:rPr>
                  </w:pPr>
                  <w:r w:rsidRPr="002B6CC6">
                    <w:rPr>
                      <w:rFonts w:ascii="ITC Avant Garde" w:hAnsi="ITC Avant Garde"/>
                      <w:sz w:val="18"/>
                      <w:szCs w:val="18"/>
                    </w:rPr>
                    <w:t>¿Limita la libertad de los proveedores para comercializar o publicitar algún bien o servicio?</w:t>
                  </w:r>
                </w:p>
              </w:tc>
              <w:tc>
                <w:tcPr>
                  <w:tcW w:w="4301" w:type="dxa"/>
                </w:tcPr>
                <w:p w14:paraId="64A06A21" w14:textId="3EED2FA0" w:rsidR="00B73435" w:rsidRPr="00DD6A3D" w:rsidRDefault="00B73435" w:rsidP="00BE7521">
                  <w:pPr>
                    <w:jc w:val="center"/>
                    <w:rPr>
                      <w:rFonts w:ascii="ITC Avant Garde" w:hAnsi="ITC Avant Garde"/>
                      <w:sz w:val="18"/>
                      <w:szCs w:val="18"/>
                      <w:highlight w:val="yellow"/>
                    </w:rPr>
                  </w:pPr>
                  <w:r w:rsidRPr="00502661">
                    <w:rPr>
                      <w:rFonts w:ascii="ITC Avant Garde" w:hAnsi="ITC Avant Garde"/>
                      <w:sz w:val="18"/>
                      <w:szCs w:val="18"/>
                    </w:rPr>
                    <w:t>S</w:t>
                  </w:r>
                  <w:r w:rsidR="003840A8" w:rsidRPr="00502661">
                    <w:rPr>
                      <w:rFonts w:ascii="ITC Avant Garde" w:hAnsi="ITC Avant Garde"/>
                      <w:sz w:val="18"/>
                      <w:szCs w:val="18"/>
                    </w:rPr>
                    <w:t>í</w:t>
                  </w:r>
                  <w:r w:rsidR="00A25AE9" w:rsidRPr="00502661">
                    <w:rPr>
                      <w:rFonts w:ascii="ITC Avant Garde" w:hAnsi="ITC Avant Garde"/>
                      <w:sz w:val="18"/>
                      <w:szCs w:val="18"/>
                    </w:rPr>
                    <w:t xml:space="preserve"> </w:t>
                  </w:r>
                  <w:proofErr w:type="gramStart"/>
                  <w:r w:rsidR="00A25AE9" w:rsidRPr="00502661">
                    <w:rPr>
                      <w:rFonts w:ascii="ITC Avant Garde" w:hAnsi="ITC Avant Garde"/>
                      <w:sz w:val="18"/>
                      <w:szCs w:val="18"/>
                    </w:rPr>
                    <w:t>(</w:t>
                  </w:r>
                  <w:r w:rsidR="00BE7521" w:rsidRPr="00502661">
                    <w:rPr>
                      <w:rFonts w:ascii="ITC Avant Garde" w:hAnsi="ITC Avant Garde"/>
                      <w:sz w:val="18"/>
                      <w:szCs w:val="18"/>
                    </w:rPr>
                    <w:t xml:space="preserve"> </w:t>
                  </w:r>
                  <w:r w:rsidR="00A25AE9" w:rsidRPr="00502661">
                    <w:rPr>
                      <w:rFonts w:ascii="ITC Avant Garde" w:hAnsi="ITC Avant Garde"/>
                      <w:sz w:val="18"/>
                      <w:szCs w:val="18"/>
                    </w:rPr>
                    <w:t xml:space="preserve"> )</w:t>
                  </w:r>
                  <w:proofErr w:type="gramEnd"/>
                  <w:r w:rsidR="00A25AE9" w:rsidRPr="00502661">
                    <w:rPr>
                      <w:rFonts w:ascii="ITC Avant Garde" w:hAnsi="ITC Avant Garde"/>
                      <w:sz w:val="18"/>
                      <w:szCs w:val="18"/>
                    </w:rPr>
                    <w:t xml:space="preserve"> No (</w:t>
                  </w:r>
                  <w:r w:rsidR="00BE7521" w:rsidRPr="00502661">
                    <w:rPr>
                      <w:rFonts w:ascii="ITC Avant Garde" w:hAnsi="ITC Avant Garde"/>
                      <w:sz w:val="18"/>
                      <w:szCs w:val="18"/>
                    </w:rPr>
                    <w:t xml:space="preserve">  </w:t>
                  </w:r>
                  <w:r w:rsidR="002A44E5" w:rsidRPr="002A44E5">
                    <w:rPr>
                      <w:rFonts w:ascii="ITC Avant Garde" w:hAnsi="ITC Avant Garde"/>
                      <w:b/>
                      <w:bCs/>
                      <w:sz w:val="18"/>
                      <w:szCs w:val="18"/>
                    </w:rPr>
                    <w:t>X</w:t>
                  </w:r>
                  <w:r w:rsidR="00BE7521" w:rsidRPr="00502661">
                    <w:rPr>
                      <w:rFonts w:ascii="ITC Avant Garde" w:hAnsi="ITC Avant Garde"/>
                      <w:sz w:val="18"/>
                      <w:szCs w:val="18"/>
                    </w:rPr>
                    <w:t xml:space="preserve"> </w:t>
                  </w:r>
                  <w:r w:rsidRPr="00502661">
                    <w:rPr>
                      <w:rFonts w:ascii="ITC Avant Garde" w:hAnsi="ITC Avant Garde"/>
                      <w:sz w:val="18"/>
                      <w:szCs w:val="18"/>
                    </w:rPr>
                    <w:t>)</w:t>
                  </w:r>
                </w:p>
              </w:tc>
            </w:tr>
            <w:tr w:rsidR="00B73435" w:rsidRPr="00DD06A0" w14:paraId="17543ECA" w14:textId="77777777" w:rsidTr="0082151C">
              <w:tc>
                <w:tcPr>
                  <w:tcW w:w="4301" w:type="dxa"/>
                </w:tcPr>
                <w:p w14:paraId="1E6A281E"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¿Establece normas de calidad que proporcionan una ventaja a algunos proveedores sobre otros, o que están por </w:t>
                  </w:r>
                  <w:r w:rsidRPr="00DD06A0">
                    <w:rPr>
                      <w:rFonts w:ascii="ITC Avant Garde" w:hAnsi="ITC Avant Garde"/>
                      <w:sz w:val="18"/>
                      <w:szCs w:val="18"/>
                    </w:rPr>
                    <w:lastRenderedPageBreak/>
                    <w:t>encima del nivel que elegirían una parte sustancial de clientes bien informados?</w:t>
                  </w:r>
                </w:p>
              </w:tc>
              <w:tc>
                <w:tcPr>
                  <w:tcW w:w="4301" w:type="dxa"/>
                </w:tcPr>
                <w:p w14:paraId="6991BEDE"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00DD7252">
                    <w:rPr>
                      <w:rFonts w:ascii="ITC Avant Garde" w:hAnsi="ITC Avant Garde"/>
                      <w:sz w:val="18"/>
                      <w:szCs w:val="18"/>
                    </w:rPr>
                    <w:t xml:space="preserve"> </w:t>
                  </w:r>
                  <w:proofErr w:type="gramStart"/>
                  <w:r w:rsidR="00DD7252">
                    <w:rPr>
                      <w:rFonts w:ascii="ITC Avant Garde" w:hAnsi="ITC Avant Garde"/>
                      <w:sz w:val="18"/>
                      <w:szCs w:val="18"/>
                    </w:rPr>
                    <w:t xml:space="preserve">(  </w:t>
                  </w:r>
                  <w:proofErr w:type="gramEnd"/>
                  <w:r w:rsidR="00DD7252">
                    <w:rPr>
                      <w:rFonts w:ascii="ITC Avant Garde" w:hAnsi="ITC Avant Garde"/>
                      <w:sz w:val="18"/>
                      <w:szCs w:val="18"/>
                    </w:rPr>
                    <w:t xml:space="preserve">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BFC9136" w14:textId="77777777" w:rsidTr="0082151C">
              <w:tc>
                <w:tcPr>
                  <w:tcW w:w="4301" w:type="dxa"/>
                </w:tcPr>
                <w:p w14:paraId="15F993B1"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22A3ABA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D7252">
                    <w:rPr>
                      <w:rFonts w:ascii="ITC Avant Garde" w:hAnsi="ITC Avant Garde"/>
                      <w:sz w:val="18"/>
                      <w:szCs w:val="18"/>
                    </w:rPr>
                    <w:t xml:space="preserve"> </w:t>
                  </w:r>
                  <w:proofErr w:type="gramStart"/>
                  <w:r w:rsidR="00DD7252">
                    <w:rPr>
                      <w:rFonts w:ascii="ITC Avant Garde" w:hAnsi="ITC Avant Garde"/>
                      <w:sz w:val="18"/>
                      <w:szCs w:val="18"/>
                    </w:rPr>
                    <w:t xml:space="preserve">(  </w:t>
                  </w:r>
                  <w:proofErr w:type="gramEnd"/>
                  <w:r w:rsidR="00DD7252">
                    <w:rPr>
                      <w:rFonts w:ascii="ITC Avant Garde" w:hAnsi="ITC Avant Garde"/>
                      <w:sz w:val="18"/>
                      <w:szCs w:val="18"/>
                    </w:rPr>
                    <w:t xml:space="preserve"> ) No ( </w:t>
                  </w:r>
                  <w:r w:rsidR="00DD7252">
                    <w:rPr>
                      <w:rFonts w:ascii="ITC Avant Garde" w:hAnsi="ITC Avant Garde"/>
                      <w:b/>
                      <w:sz w:val="18"/>
                      <w:szCs w:val="18"/>
                    </w:rPr>
                    <w:t>X</w:t>
                  </w:r>
                  <w:r w:rsidRPr="00DD06A0">
                    <w:rPr>
                      <w:rFonts w:ascii="ITC Avant Garde" w:hAnsi="ITC Avant Garde"/>
                      <w:sz w:val="18"/>
                      <w:szCs w:val="18"/>
                    </w:rPr>
                    <w:t xml:space="preserve"> )</w:t>
                  </w:r>
                </w:p>
              </w:tc>
            </w:tr>
          </w:tbl>
          <w:p w14:paraId="235BAE45" w14:textId="77777777" w:rsidR="00B73435" w:rsidRPr="00DD06A0" w:rsidRDefault="00B73435" w:rsidP="00E21B49">
            <w:pPr>
              <w:jc w:val="both"/>
              <w:rPr>
                <w:rFonts w:ascii="ITC Avant Garde" w:hAnsi="ITC Avant Garde"/>
                <w:sz w:val="18"/>
                <w:szCs w:val="18"/>
              </w:rPr>
            </w:pPr>
          </w:p>
          <w:p w14:paraId="0F39450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5A4AA73" w14:textId="77777777" w:rsidTr="0082151C">
              <w:tc>
                <w:tcPr>
                  <w:tcW w:w="8602" w:type="dxa"/>
                  <w:gridSpan w:val="2"/>
                  <w:shd w:val="clear" w:color="auto" w:fill="A8D08D" w:themeFill="accent6" w:themeFillTint="99"/>
                </w:tcPr>
                <w:p w14:paraId="231A5E69"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2347814" w14:textId="77777777" w:rsidTr="0082151C">
              <w:tc>
                <w:tcPr>
                  <w:tcW w:w="4301" w:type="dxa"/>
                </w:tcPr>
                <w:p w14:paraId="592BE27B"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039C6752"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DD7252">
                    <w:rPr>
                      <w:rFonts w:ascii="ITC Avant Garde" w:hAnsi="ITC Avant Garde"/>
                      <w:sz w:val="18"/>
                      <w:szCs w:val="18"/>
                    </w:rPr>
                    <w:t xml:space="preserve"> </w:t>
                  </w:r>
                  <w:proofErr w:type="gramStart"/>
                  <w:r w:rsidR="00DD7252">
                    <w:rPr>
                      <w:rFonts w:ascii="ITC Avant Garde" w:hAnsi="ITC Avant Garde"/>
                      <w:sz w:val="18"/>
                      <w:szCs w:val="18"/>
                    </w:rPr>
                    <w:t xml:space="preserve">(  </w:t>
                  </w:r>
                  <w:proofErr w:type="gramEnd"/>
                  <w:r w:rsidR="00DD7252">
                    <w:rPr>
                      <w:rFonts w:ascii="ITC Avant Garde" w:hAnsi="ITC Avant Garde"/>
                      <w:sz w:val="18"/>
                      <w:szCs w:val="18"/>
                    </w:rPr>
                    <w:t xml:space="preserve">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4A9A7FB6" w14:textId="77777777" w:rsidTr="0082151C">
              <w:tc>
                <w:tcPr>
                  <w:tcW w:w="4301" w:type="dxa"/>
                </w:tcPr>
                <w:p w14:paraId="51EF4F16"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4B9E531"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D7252">
                    <w:rPr>
                      <w:rFonts w:ascii="ITC Avant Garde" w:hAnsi="ITC Avant Garde"/>
                      <w:sz w:val="18"/>
                      <w:szCs w:val="18"/>
                    </w:rPr>
                    <w:t xml:space="preserve"> </w:t>
                  </w:r>
                  <w:proofErr w:type="gramStart"/>
                  <w:r w:rsidR="00DD7252">
                    <w:rPr>
                      <w:rFonts w:ascii="ITC Avant Garde" w:hAnsi="ITC Avant Garde"/>
                      <w:sz w:val="18"/>
                      <w:szCs w:val="18"/>
                    </w:rPr>
                    <w:t xml:space="preserve">(  </w:t>
                  </w:r>
                  <w:proofErr w:type="gramEnd"/>
                  <w:r w:rsidR="00DD7252">
                    <w:rPr>
                      <w:rFonts w:ascii="ITC Avant Garde" w:hAnsi="ITC Avant Garde"/>
                      <w:sz w:val="18"/>
                      <w:szCs w:val="18"/>
                    </w:rPr>
                    <w:t xml:space="preserve">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516D77A" w14:textId="77777777" w:rsidTr="0082151C">
              <w:tc>
                <w:tcPr>
                  <w:tcW w:w="4301" w:type="dxa"/>
                </w:tcPr>
                <w:p w14:paraId="24224D13" w14:textId="4E1E967D"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52F39137"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D7252">
                    <w:rPr>
                      <w:rFonts w:ascii="ITC Avant Garde" w:hAnsi="ITC Avant Garde"/>
                      <w:sz w:val="18"/>
                      <w:szCs w:val="18"/>
                    </w:rPr>
                    <w:t xml:space="preserve"> </w:t>
                  </w:r>
                  <w:proofErr w:type="gramStart"/>
                  <w:r w:rsidR="00DD7252">
                    <w:rPr>
                      <w:rFonts w:ascii="ITC Avant Garde" w:hAnsi="ITC Avant Garde"/>
                      <w:sz w:val="18"/>
                      <w:szCs w:val="18"/>
                    </w:rPr>
                    <w:t xml:space="preserve">(  </w:t>
                  </w:r>
                  <w:proofErr w:type="gramEnd"/>
                  <w:r w:rsidR="00DD7252">
                    <w:rPr>
                      <w:rFonts w:ascii="ITC Avant Garde" w:hAnsi="ITC Avant Garde"/>
                      <w:sz w:val="18"/>
                      <w:szCs w:val="18"/>
                    </w:rPr>
                    <w:t xml:space="preserve"> ) No ( </w:t>
                  </w:r>
                  <w:r w:rsidR="00DD7252">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5FB32630" w14:textId="77777777" w:rsidTr="0082151C">
              <w:tc>
                <w:tcPr>
                  <w:tcW w:w="4301" w:type="dxa"/>
                </w:tcPr>
                <w:p w14:paraId="38553DC2"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392F1E88" w14:textId="77777777" w:rsidR="00B66051" w:rsidRPr="00DD06A0" w:rsidRDefault="00B66051" w:rsidP="00A04442">
                  <w:pPr>
                    <w:jc w:val="center"/>
                    <w:rPr>
                      <w:rFonts w:ascii="ITC Avant Garde" w:hAnsi="ITC Avant Garde"/>
                      <w:sz w:val="18"/>
                      <w:szCs w:val="18"/>
                    </w:rPr>
                  </w:pPr>
                </w:p>
              </w:tc>
            </w:tr>
          </w:tbl>
          <w:p w14:paraId="76CCF705"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5B3FC749"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BCF374F" w14:textId="77777777" w:rsidTr="00B07C14">
        <w:trPr>
          <w:trHeight w:val="1598"/>
        </w:trPr>
        <w:tc>
          <w:tcPr>
            <w:tcW w:w="8828" w:type="dxa"/>
            <w:vAlign w:val="center"/>
          </w:tcPr>
          <w:p w14:paraId="38CD325B" w14:textId="77777777" w:rsidR="00E84534" w:rsidRPr="00DD06A0" w:rsidRDefault="00CE3C00" w:rsidP="001979F8">
            <w:pPr>
              <w:rPr>
                <w:rFonts w:ascii="ITC Avant Garde" w:hAnsi="ITC Avant Garde"/>
                <w:b/>
                <w:sz w:val="18"/>
                <w:szCs w:val="18"/>
              </w:rPr>
            </w:pPr>
            <w:r w:rsidRPr="008033FE">
              <w:rPr>
                <w:rFonts w:ascii="ITC Avant Garde" w:hAnsi="ITC Avant Garde"/>
                <w:b/>
                <w:sz w:val="18"/>
                <w:szCs w:val="18"/>
              </w:rPr>
              <w:t>10</w:t>
            </w:r>
            <w:r w:rsidR="00E84534" w:rsidRPr="008033FE">
              <w:rPr>
                <w:rFonts w:ascii="ITC Avant Garde" w:hAnsi="ITC Avant Garde"/>
                <w:b/>
                <w:sz w:val="18"/>
                <w:szCs w:val="18"/>
              </w:rPr>
              <w:t>.- Describa las obligaciones,</w:t>
            </w:r>
            <w:r w:rsidR="00E84534" w:rsidRPr="00DD06A0">
              <w:rPr>
                <w:rFonts w:ascii="ITC Avant Garde" w:hAnsi="ITC Avant Garde"/>
                <w:b/>
                <w:sz w:val="18"/>
                <w:szCs w:val="18"/>
              </w:rPr>
              <w:t xml:space="preserve">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xml:space="preserve">, incluyendo una justificación sobre la necesidad de </w:t>
            </w:r>
            <w:proofErr w:type="gramStart"/>
            <w:r w:rsidR="00E84534" w:rsidRPr="00DD06A0">
              <w:rPr>
                <w:rFonts w:ascii="ITC Avant Garde" w:hAnsi="ITC Avant Garde"/>
                <w:b/>
                <w:sz w:val="18"/>
                <w:szCs w:val="18"/>
              </w:rPr>
              <w:t>las mismas</w:t>
            </w:r>
            <w:proofErr w:type="gramEnd"/>
            <w:r w:rsidR="00E84534" w:rsidRPr="00DD06A0">
              <w:rPr>
                <w:rFonts w:ascii="ITC Avant Garde" w:hAnsi="ITC Avant Garde"/>
                <w:b/>
                <w:sz w:val="18"/>
                <w:szCs w:val="18"/>
              </w:rPr>
              <w:t>.</w:t>
            </w:r>
          </w:p>
          <w:p w14:paraId="3311AA0C" w14:textId="77777777" w:rsidR="00E84534" w:rsidRPr="00DD06A0" w:rsidRDefault="00E84534" w:rsidP="00B07C14">
            <w:pPr>
              <w:jc w:val="center"/>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61"/>
              <w:gridCol w:w="1414"/>
              <w:gridCol w:w="1056"/>
              <w:gridCol w:w="1267"/>
              <w:gridCol w:w="1416"/>
              <w:gridCol w:w="1988"/>
            </w:tblGrid>
            <w:tr w:rsidR="00334A5B" w:rsidRPr="009F6650" w14:paraId="7DCB1D32" w14:textId="77777777" w:rsidTr="00AE5D79">
              <w:trPr>
                <w:jc w:val="center"/>
              </w:trPr>
              <w:tc>
                <w:tcPr>
                  <w:tcW w:w="1470" w:type="dxa"/>
                  <w:tcBorders>
                    <w:bottom w:val="single" w:sz="4" w:space="0" w:color="auto"/>
                  </w:tcBorders>
                  <w:shd w:val="clear" w:color="auto" w:fill="A8D08D" w:themeFill="accent6" w:themeFillTint="99"/>
                  <w:vAlign w:val="center"/>
                </w:tcPr>
                <w:p w14:paraId="47B551CB"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Tipo</w:t>
                  </w:r>
                </w:p>
              </w:tc>
              <w:tc>
                <w:tcPr>
                  <w:tcW w:w="1425" w:type="dxa"/>
                  <w:tcBorders>
                    <w:bottom w:val="single" w:sz="4" w:space="0" w:color="auto"/>
                  </w:tcBorders>
                  <w:shd w:val="clear" w:color="auto" w:fill="A8D08D" w:themeFill="accent6" w:themeFillTint="99"/>
                  <w:vAlign w:val="center"/>
                </w:tcPr>
                <w:p w14:paraId="120FC4DF"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Sujeto(s)</w:t>
                  </w:r>
                </w:p>
                <w:p w14:paraId="0200569D"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Obligado(s)</w:t>
                  </w:r>
                </w:p>
              </w:tc>
              <w:tc>
                <w:tcPr>
                  <w:tcW w:w="1056" w:type="dxa"/>
                  <w:shd w:val="clear" w:color="auto" w:fill="A8D08D" w:themeFill="accent6" w:themeFillTint="99"/>
                  <w:vAlign w:val="center"/>
                </w:tcPr>
                <w:p w14:paraId="62076FF8"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Artículo(s) aplicable(s)</w:t>
                  </w:r>
                </w:p>
              </w:tc>
              <w:tc>
                <w:tcPr>
                  <w:tcW w:w="1223" w:type="dxa"/>
                  <w:shd w:val="clear" w:color="auto" w:fill="A8D08D" w:themeFill="accent6" w:themeFillTint="99"/>
                  <w:vAlign w:val="center"/>
                </w:tcPr>
                <w:p w14:paraId="525F5A02"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Afectación en Competencia</w:t>
                  </w:r>
                  <w:r w:rsidR="00266011" w:rsidRPr="009F6650">
                    <w:rPr>
                      <w:rStyle w:val="Refdenotaalpie"/>
                      <w:rFonts w:ascii="ITC Avant Garde" w:hAnsi="ITC Avant Garde"/>
                      <w:b/>
                      <w:sz w:val="14"/>
                      <w:szCs w:val="18"/>
                    </w:rPr>
                    <w:footnoteReference w:id="14"/>
                  </w:r>
                </w:p>
              </w:tc>
              <w:tc>
                <w:tcPr>
                  <w:tcW w:w="1425" w:type="dxa"/>
                  <w:shd w:val="clear" w:color="auto" w:fill="A8D08D" w:themeFill="accent6" w:themeFillTint="99"/>
                  <w:vAlign w:val="center"/>
                </w:tcPr>
                <w:p w14:paraId="2F0CD233"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Sujeto(s)</w:t>
                  </w:r>
                </w:p>
                <w:p w14:paraId="19E8AF58"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Afectados(s)</w:t>
                  </w:r>
                </w:p>
              </w:tc>
              <w:tc>
                <w:tcPr>
                  <w:tcW w:w="2003" w:type="dxa"/>
                  <w:tcBorders>
                    <w:bottom w:val="single" w:sz="4" w:space="0" w:color="auto"/>
                  </w:tcBorders>
                  <w:shd w:val="clear" w:color="auto" w:fill="A8D08D" w:themeFill="accent6" w:themeFillTint="99"/>
                  <w:vAlign w:val="center"/>
                </w:tcPr>
                <w:p w14:paraId="0E9B7B05" w14:textId="77777777" w:rsidR="008A2F51" w:rsidRPr="009F6650" w:rsidRDefault="008A2F51" w:rsidP="00B07C14">
                  <w:pPr>
                    <w:jc w:val="center"/>
                    <w:rPr>
                      <w:rFonts w:ascii="ITC Avant Garde" w:hAnsi="ITC Avant Garde"/>
                      <w:b/>
                      <w:sz w:val="14"/>
                      <w:szCs w:val="18"/>
                    </w:rPr>
                  </w:pPr>
                  <w:r w:rsidRPr="009F6650">
                    <w:rPr>
                      <w:rFonts w:ascii="ITC Avant Garde" w:hAnsi="ITC Avant Garde"/>
                      <w:b/>
                      <w:sz w:val="14"/>
                      <w:szCs w:val="18"/>
                    </w:rPr>
                    <w:t>Justificación y razones para su aplicación</w:t>
                  </w:r>
                </w:p>
              </w:tc>
            </w:tr>
            <w:tr w:rsidR="005203AD" w:rsidRPr="009F6650" w14:paraId="4D63987B" w14:textId="77777777" w:rsidTr="00E56436">
              <w:trPr>
                <w:jc w:val="center"/>
              </w:trPr>
              <w:sdt>
                <w:sdtPr>
                  <w:rPr>
                    <w:rFonts w:ascii="ITC Avant Garde" w:hAnsi="ITC Avant Garde"/>
                    <w:sz w:val="14"/>
                    <w:szCs w:val="18"/>
                  </w:rPr>
                  <w:alias w:val="Tipo"/>
                  <w:tag w:val="Tipo"/>
                  <w:id w:val="1794406667"/>
                  <w:placeholder>
                    <w:docPart w:val="E2F124A7D44049F3B64B4CCF3ED29C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411C28" w14:textId="451D2E53" w:rsidR="00D01958" w:rsidRDefault="002669F6" w:rsidP="00D01958">
                      <w:pPr>
                        <w:jc w:val="center"/>
                        <w:rPr>
                          <w:rFonts w:ascii="ITC Avant Garde" w:hAnsi="ITC Avant Garde"/>
                          <w:sz w:val="14"/>
                          <w:szCs w:val="18"/>
                        </w:rPr>
                      </w:pPr>
                      <w:r>
                        <w:rPr>
                          <w:rFonts w:ascii="ITC Avant Garde" w:hAnsi="ITC Avant Garde"/>
                          <w:sz w:val="14"/>
                          <w:szCs w:val="18"/>
                        </w:rPr>
                        <w:t>Definición</w:t>
                      </w:r>
                    </w:p>
                  </w:tc>
                </w:sdtContent>
              </w:sdt>
              <w:tc>
                <w:tcPr>
                  <w:tcW w:w="1425" w:type="dxa"/>
                  <w:tcBorders>
                    <w:left w:val="single" w:sz="4" w:space="0" w:color="auto"/>
                    <w:right w:val="single" w:sz="4" w:space="0" w:color="auto"/>
                  </w:tcBorders>
                  <w:shd w:val="clear" w:color="auto" w:fill="FFFFFF" w:themeFill="background1"/>
                  <w:vAlign w:val="center"/>
                </w:tcPr>
                <w:p w14:paraId="75E2232A" w14:textId="03E08673" w:rsidR="00D01958" w:rsidRDefault="002669F6" w:rsidP="00D01958">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1056" w:type="dxa"/>
                  <w:tcBorders>
                    <w:left w:val="single" w:sz="4" w:space="0" w:color="auto"/>
                    <w:right w:val="single" w:sz="4" w:space="0" w:color="auto"/>
                  </w:tcBorders>
                  <w:shd w:val="clear" w:color="auto" w:fill="FFFFFF" w:themeFill="background1"/>
                  <w:vAlign w:val="center"/>
                </w:tcPr>
                <w:p w14:paraId="03F2430B" w14:textId="77777777" w:rsidR="002669F6" w:rsidRDefault="00AE5D79" w:rsidP="00D01958">
                  <w:pPr>
                    <w:jc w:val="center"/>
                    <w:rPr>
                      <w:rFonts w:ascii="ITC Avant Garde" w:hAnsi="ITC Avant Garde"/>
                      <w:sz w:val="14"/>
                      <w:szCs w:val="18"/>
                    </w:rPr>
                  </w:pPr>
                  <w:r>
                    <w:rPr>
                      <w:rFonts w:ascii="ITC Avant Garde" w:hAnsi="ITC Avant Garde"/>
                      <w:sz w:val="14"/>
                      <w:szCs w:val="18"/>
                    </w:rPr>
                    <w:t xml:space="preserve">Único, </w:t>
                  </w:r>
                </w:p>
                <w:p w14:paraId="7F6BED2D" w14:textId="2213DA0A" w:rsidR="00D01958" w:rsidRPr="009F6650" w:rsidRDefault="002669F6" w:rsidP="00D01958">
                  <w:pPr>
                    <w:jc w:val="center"/>
                    <w:rPr>
                      <w:rFonts w:ascii="ITC Avant Garde" w:hAnsi="ITC Avant Garde"/>
                      <w:sz w:val="14"/>
                      <w:szCs w:val="18"/>
                    </w:rPr>
                  </w:pPr>
                  <w:r>
                    <w:rPr>
                      <w:rFonts w:ascii="ITC Avant Garde" w:hAnsi="ITC Avant Garde"/>
                      <w:sz w:val="14"/>
                      <w:szCs w:val="18"/>
                    </w:rPr>
                    <w:t xml:space="preserve">Lineamiento Cuarto, </w:t>
                  </w:r>
                  <w:r w:rsidR="00AE5D79">
                    <w:rPr>
                      <w:rFonts w:ascii="ITC Avant Garde" w:hAnsi="ITC Avant Garde"/>
                      <w:sz w:val="14"/>
                      <w:szCs w:val="18"/>
                    </w:rPr>
                    <w:t xml:space="preserve">Fracción </w:t>
                  </w:r>
                  <w:r w:rsidRPr="002669F6">
                    <w:rPr>
                      <w:rFonts w:ascii="ITC Avant Garde" w:hAnsi="ITC Avant Garde"/>
                      <w:sz w:val="14"/>
                      <w:szCs w:val="18"/>
                    </w:rPr>
                    <w:t>XXXIX.</w:t>
                  </w:r>
                </w:p>
              </w:tc>
              <w:sdt>
                <w:sdtPr>
                  <w:rPr>
                    <w:rFonts w:ascii="ITC Avant Garde" w:hAnsi="ITC Avant Garde"/>
                    <w:sz w:val="14"/>
                    <w:szCs w:val="18"/>
                  </w:rPr>
                  <w:alias w:val="Tipo"/>
                  <w:tag w:val="Tipo"/>
                  <w:id w:val="1994900553"/>
                  <w:placeholder>
                    <w:docPart w:val="77B4CD936358404983BB61A374B3F7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6A76DF57" w14:textId="5E15B620" w:rsidR="00D01958" w:rsidRDefault="00334A5B" w:rsidP="00D01958">
                      <w:pPr>
                        <w:jc w:val="center"/>
                        <w:rPr>
                          <w:rFonts w:ascii="ITC Avant Garde" w:hAnsi="ITC Avant Garde"/>
                          <w:sz w:val="14"/>
                          <w:szCs w:val="18"/>
                        </w:rPr>
                      </w:pPr>
                      <w:r>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6D630084" w14:textId="310FE8AE" w:rsidR="00D01958" w:rsidRDefault="00E56436" w:rsidP="00D01958">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7C816" w14:textId="0A75FC18" w:rsidR="00D01958" w:rsidRDefault="002669F6" w:rsidP="00AE5D79">
                  <w:pPr>
                    <w:jc w:val="center"/>
                    <w:rPr>
                      <w:rFonts w:ascii="ITC Avant Garde" w:hAnsi="ITC Avant Garde"/>
                      <w:sz w:val="14"/>
                      <w:szCs w:val="18"/>
                    </w:rPr>
                  </w:pPr>
                  <w:r w:rsidRPr="002669F6">
                    <w:rPr>
                      <w:rFonts w:ascii="ITC Avant Garde" w:hAnsi="ITC Avant Garde"/>
                      <w:sz w:val="14"/>
                      <w:szCs w:val="18"/>
                    </w:rPr>
                    <w:t xml:space="preserve">Servicio de Voz: Se modifica la definición de servicio de voz </w:t>
                  </w:r>
                  <w:r w:rsidR="00E56436" w:rsidRPr="002669F6">
                    <w:rPr>
                      <w:rFonts w:ascii="ITC Avant Garde" w:hAnsi="ITC Avant Garde"/>
                      <w:sz w:val="14"/>
                      <w:szCs w:val="18"/>
                    </w:rPr>
                    <w:t xml:space="preserve">para </w:t>
                  </w:r>
                  <w:r w:rsidR="00E56436">
                    <w:rPr>
                      <w:rFonts w:ascii="ITC Avant Garde" w:hAnsi="ITC Avant Garde"/>
                      <w:sz w:val="14"/>
                      <w:szCs w:val="18"/>
                    </w:rPr>
                    <w:t>especificar aquellas</w:t>
                  </w:r>
                  <w:r w:rsidR="00E56436" w:rsidRPr="00E56436">
                    <w:rPr>
                      <w:rFonts w:ascii="ITC Avant Garde" w:hAnsi="ITC Avant Garde"/>
                      <w:sz w:val="14"/>
                      <w:szCs w:val="18"/>
                    </w:rPr>
                    <w:t xml:space="preserve"> llamadas</w:t>
                  </w:r>
                  <w:r w:rsidR="00E56436">
                    <w:rPr>
                      <w:rFonts w:ascii="ITC Avant Garde" w:hAnsi="ITC Avant Garde"/>
                      <w:sz w:val="14"/>
                      <w:szCs w:val="18"/>
                    </w:rPr>
                    <w:t xml:space="preserve"> que se realizan </w:t>
                  </w:r>
                  <w:r w:rsidR="00E56436" w:rsidRPr="00E56436">
                    <w:rPr>
                      <w:rFonts w:ascii="ITC Avant Garde" w:hAnsi="ITC Avant Garde"/>
                      <w:sz w:val="14"/>
                      <w:szCs w:val="18"/>
                    </w:rPr>
                    <w:t>a través de conmutación de paquetes</w:t>
                  </w:r>
                  <w:r w:rsidR="00E56436">
                    <w:rPr>
                      <w:rFonts w:ascii="ITC Avant Garde" w:hAnsi="ITC Avant Garde"/>
                      <w:sz w:val="14"/>
                      <w:szCs w:val="18"/>
                    </w:rPr>
                    <w:t xml:space="preserve"> que</w:t>
                  </w:r>
                  <w:r w:rsidR="00E56436" w:rsidRPr="00E56436">
                    <w:rPr>
                      <w:rFonts w:ascii="ITC Avant Garde" w:hAnsi="ITC Avant Garde"/>
                      <w:sz w:val="14"/>
                      <w:szCs w:val="18"/>
                    </w:rPr>
                    <w:t xml:space="preserve"> utilizan</w:t>
                  </w:r>
                  <w:r w:rsidR="00E56436">
                    <w:rPr>
                      <w:rFonts w:ascii="ITC Avant Garde" w:hAnsi="ITC Avant Garde"/>
                      <w:sz w:val="14"/>
                      <w:szCs w:val="18"/>
                    </w:rPr>
                    <w:t xml:space="preserve"> </w:t>
                  </w:r>
                  <w:r w:rsidR="00E56436" w:rsidRPr="00E56436">
                    <w:rPr>
                      <w:rFonts w:ascii="ITC Avant Garde" w:hAnsi="ITC Avant Garde"/>
                      <w:sz w:val="14"/>
                      <w:szCs w:val="18"/>
                    </w:rPr>
                    <w:t>señalización SIP/IMS (</w:t>
                  </w:r>
                  <w:proofErr w:type="spellStart"/>
                  <w:r w:rsidR="00E56436" w:rsidRPr="00E56436">
                    <w:rPr>
                      <w:rFonts w:ascii="ITC Avant Garde" w:hAnsi="ITC Avant Garde"/>
                      <w:sz w:val="14"/>
                      <w:szCs w:val="18"/>
                    </w:rPr>
                    <w:t>VoLTE</w:t>
                  </w:r>
                  <w:proofErr w:type="spellEnd"/>
                  <w:r w:rsidR="00E56436" w:rsidRPr="00E56436">
                    <w:rPr>
                      <w:rFonts w:ascii="ITC Avant Garde" w:hAnsi="ITC Avant Garde"/>
                      <w:sz w:val="14"/>
                      <w:szCs w:val="18"/>
                    </w:rPr>
                    <w:t>)</w:t>
                  </w:r>
                </w:p>
              </w:tc>
            </w:tr>
            <w:tr w:rsidR="00E56436" w:rsidRPr="009F6650" w14:paraId="113ABA51" w14:textId="77777777" w:rsidTr="00E56436">
              <w:trPr>
                <w:jc w:val="center"/>
              </w:trPr>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27E8" w14:textId="1FFC8EEE" w:rsidR="00E56436" w:rsidRDefault="00000000" w:rsidP="00E56436">
                  <w:pPr>
                    <w:jc w:val="center"/>
                    <w:rPr>
                      <w:rFonts w:ascii="ITC Avant Garde" w:hAnsi="ITC Avant Garde"/>
                      <w:sz w:val="14"/>
                      <w:szCs w:val="18"/>
                    </w:rPr>
                  </w:pPr>
                  <w:sdt>
                    <w:sdtPr>
                      <w:rPr>
                        <w:rFonts w:ascii="ITC Avant Garde" w:hAnsi="ITC Avant Garde"/>
                        <w:sz w:val="14"/>
                        <w:szCs w:val="18"/>
                      </w:rPr>
                      <w:alias w:val="Tipo"/>
                      <w:tag w:val="Tipo"/>
                      <w:id w:val="2122637175"/>
                      <w:placeholder>
                        <w:docPart w:val="93C921EC50AB463491F16F1BE6FA47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56436" w:rsidRPr="00E56436" w:rsidDel="003E58FD">
                        <w:rPr>
                          <w:rFonts w:ascii="ITC Avant Garde" w:hAnsi="ITC Avant Garde"/>
                          <w:sz w:val="14"/>
                          <w:szCs w:val="18"/>
                        </w:rPr>
                        <w:t>Estándar técnico</w:t>
                      </w:r>
                    </w:sdtContent>
                  </w:sdt>
                </w:p>
              </w:tc>
              <w:tc>
                <w:tcPr>
                  <w:tcW w:w="1425" w:type="dxa"/>
                  <w:tcBorders>
                    <w:left w:val="single" w:sz="4" w:space="0" w:color="auto"/>
                    <w:right w:val="single" w:sz="4" w:space="0" w:color="auto"/>
                  </w:tcBorders>
                  <w:shd w:val="clear" w:color="auto" w:fill="FFFFFF" w:themeFill="background1"/>
                  <w:vAlign w:val="center"/>
                </w:tcPr>
                <w:p w14:paraId="6E38B689" w14:textId="73BC70BC" w:rsidR="00E56436" w:rsidRDefault="00E56436" w:rsidP="00E56436">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1056" w:type="dxa"/>
                  <w:tcBorders>
                    <w:left w:val="single" w:sz="4" w:space="0" w:color="auto"/>
                    <w:right w:val="single" w:sz="4" w:space="0" w:color="auto"/>
                  </w:tcBorders>
                  <w:shd w:val="clear" w:color="auto" w:fill="FFFFFF" w:themeFill="background1"/>
                  <w:vAlign w:val="center"/>
                </w:tcPr>
                <w:p w14:paraId="1F3DCB31" w14:textId="77777777" w:rsidR="00E56436" w:rsidRDefault="00E56436" w:rsidP="00E56436">
                  <w:pPr>
                    <w:jc w:val="center"/>
                    <w:rPr>
                      <w:rFonts w:ascii="ITC Avant Garde" w:hAnsi="ITC Avant Garde"/>
                      <w:sz w:val="14"/>
                      <w:szCs w:val="18"/>
                    </w:rPr>
                  </w:pPr>
                  <w:r>
                    <w:rPr>
                      <w:rFonts w:ascii="ITC Avant Garde" w:hAnsi="ITC Avant Garde"/>
                      <w:sz w:val="14"/>
                      <w:szCs w:val="18"/>
                    </w:rPr>
                    <w:t xml:space="preserve">Único, </w:t>
                  </w:r>
                </w:p>
                <w:p w14:paraId="10BF9C02" w14:textId="1D25F923" w:rsidR="00E56436" w:rsidRDefault="00E56436" w:rsidP="00E56436">
                  <w:pPr>
                    <w:jc w:val="center"/>
                    <w:rPr>
                      <w:rFonts w:ascii="ITC Avant Garde" w:hAnsi="ITC Avant Garde"/>
                      <w:sz w:val="14"/>
                      <w:szCs w:val="18"/>
                    </w:rPr>
                  </w:pPr>
                  <w:r>
                    <w:rPr>
                      <w:rFonts w:ascii="ITC Avant Garde" w:hAnsi="ITC Avant Garde"/>
                      <w:sz w:val="14"/>
                      <w:szCs w:val="18"/>
                    </w:rPr>
                    <w:t>Lineamiento Quinto, Fracción I.</w:t>
                  </w:r>
                </w:p>
              </w:tc>
              <w:tc>
                <w:tcPr>
                  <w:tcW w:w="1223" w:type="dxa"/>
                  <w:tcBorders>
                    <w:left w:val="single" w:sz="4" w:space="0" w:color="auto"/>
                    <w:right w:val="single" w:sz="4" w:space="0" w:color="auto"/>
                  </w:tcBorders>
                  <w:shd w:val="clear" w:color="auto" w:fill="FFFFFF" w:themeFill="background1"/>
                  <w:vAlign w:val="center"/>
                </w:tcPr>
                <w:p w14:paraId="6BB36B66" w14:textId="77777777" w:rsidR="00E56436" w:rsidRDefault="00E56436" w:rsidP="00E56436">
                  <w:pPr>
                    <w:jc w:val="center"/>
                    <w:rPr>
                      <w:rFonts w:ascii="ITC Avant Garde" w:hAnsi="ITC Avant Garde"/>
                      <w:sz w:val="14"/>
                      <w:szCs w:val="18"/>
                    </w:rPr>
                  </w:pPr>
                </w:p>
                <w:p w14:paraId="602FC951" w14:textId="0F3E7FA4" w:rsidR="00E56436" w:rsidRDefault="00E56436" w:rsidP="00E56436">
                  <w:pPr>
                    <w:jc w:val="center"/>
                    <w:rPr>
                      <w:rFonts w:ascii="ITC Avant Garde" w:hAnsi="ITC Avant Garde"/>
                      <w:sz w:val="14"/>
                      <w:szCs w:val="18"/>
                    </w:rPr>
                  </w:pPr>
                  <w:r w:rsidRPr="00E56436">
                    <w:rPr>
                      <w:rFonts w:ascii="ITC Avant Garde" w:hAnsi="ITC Avant Garde"/>
                      <w:sz w:val="14"/>
                      <w:szCs w:val="18"/>
                    </w:rPr>
                    <w:t>Establece requisitos técnicos o normas de calidad para productos y servicios</w:t>
                  </w:r>
                </w:p>
                <w:p w14:paraId="21D0C47B" w14:textId="7A2107A9" w:rsidR="00E56436" w:rsidRDefault="00E56436" w:rsidP="00E56436">
                  <w:pPr>
                    <w:jc w:val="center"/>
                    <w:rPr>
                      <w:rFonts w:ascii="ITC Avant Garde" w:hAnsi="ITC Avant Garde"/>
                      <w:sz w:val="14"/>
                      <w:szCs w:val="18"/>
                    </w:rPr>
                  </w:pPr>
                </w:p>
              </w:tc>
              <w:tc>
                <w:tcPr>
                  <w:tcW w:w="1425" w:type="dxa"/>
                  <w:tcBorders>
                    <w:left w:val="single" w:sz="4" w:space="0" w:color="auto"/>
                    <w:right w:val="single" w:sz="4" w:space="0" w:color="auto"/>
                  </w:tcBorders>
                  <w:shd w:val="clear" w:color="auto" w:fill="FFFFFF" w:themeFill="background1"/>
                  <w:vAlign w:val="center"/>
                </w:tcPr>
                <w:p w14:paraId="610E6EA9" w14:textId="1D264183" w:rsidR="00E56436" w:rsidRDefault="00E56436" w:rsidP="00E56436">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82A48" w14:textId="7E5F63DE" w:rsidR="00E56436" w:rsidRPr="002669F6" w:rsidRDefault="00E56436" w:rsidP="00E56436">
                  <w:pPr>
                    <w:jc w:val="center"/>
                    <w:rPr>
                      <w:rFonts w:ascii="ITC Avant Garde" w:hAnsi="ITC Avant Garde"/>
                      <w:sz w:val="14"/>
                      <w:szCs w:val="18"/>
                    </w:rPr>
                  </w:pPr>
                  <w:r w:rsidRPr="00E56436">
                    <w:rPr>
                      <w:rFonts w:ascii="ITC Avant Garde" w:hAnsi="ITC Avant Garde"/>
                      <w:sz w:val="14"/>
                      <w:szCs w:val="18"/>
                    </w:rPr>
                    <w:t xml:space="preserve">Se </w:t>
                  </w:r>
                  <w:r>
                    <w:rPr>
                      <w:rFonts w:ascii="ITC Avant Garde" w:hAnsi="ITC Avant Garde"/>
                      <w:sz w:val="14"/>
                      <w:szCs w:val="18"/>
                    </w:rPr>
                    <w:t xml:space="preserve">modifica el </w:t>
                  </w:r>
                  <w:r w:rsidRPr="00E56436">
                    <w:rPr>
                      <w:rFonts w:ascii="ITC Avant Garde" w:hAnsi="ITC Avant Garde"/>
                      <w:sz w:val="14"/>
                      <w:szCs w:val="18"/>
                    </w:rPr>
                    <w:t xml:space="preserve">tiempo máximo de establecimiento de llamada </w:t>
                  </w:r>
                  <w:r>
                    <w:rPr>
                      <w:rFonts w:ascii="ITC Avant Garde" w:hAnsi="ITC Avant Garde"/>
                      <w:sz w:val="14"/>
                      <w:szCs w:val="18"/>
                    </w:rPr>
                    <w:t xml:space="preserve">a </w:t>
                  </w:r>
                  <w:r w:rsidRPr="00E56436">
                    <w:rPr>
                      <w:rFonts w:ascii="ITC Avant Garde" w:hAnsi="ITC Avant Garde"/>
                      <w:sz w:val="14"/>
                      <w:szCs w:val="18"/>
                    </w:rPr>
                    <w:t>20 segundos</w:t>
                  </w:r>
                  <w:r>
                    <w:rPr>
                      <w:rFonts w:ascii="ITC Avant Garde" w:hAnsi="ITC Avant Garde"/>
                      <w:sz w:val="14"/>
                      <w:szCs w:val="18"/>
                    </w:rPr>
                    <w:t>.</w:t>
                  </w:r>
                </w:p>
              </w:tc>
            </w:tr>
            <w:tr w:rsidR="00E56436" w:rsidRPr="009F6650" w14:paraId="71D43982" w14:textId="77777777" w:rsidTr="0079231C">
              <w:trPr>
                <w:jc w:val="center"/>
              </w:trPr>
              <w:sdt>
                <w:sdtPr>
                  <w:rPr>
                    <w:rFonts w:ascii="ITC Avant Garde" w:hAnsi="ITC Avant Garde"/>
                    <w:sz w:val="14"/>
                    <w:szCs w:val="18"/>
                  </w:rPr>
                  <w:alias w:val="Tipo"/>
                  <w:tag w:val="Tipo"/>
                  <w:id w:val="205148712"/>
                  <w:placeholder>
                    <w:docPart w:val="EC67535165194644BD567A79DC8FFB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9B1A62" w14:textId="0755EB0A" w:rsidR="00E56436" w:rsidRPr="00E56436" w:rsidRDefault="00E35E3C" w:rsidP="00E56436">
                      <w:pPr>
                        <w:jc w:val="center"/>
                        <w:rPr>
                          <w:rFonts w:ascii="ITC Avant Garde" w:hAnsi="ITC Avant Garde"/>
                          <w:sz w:val="14"/>
                          <w:szCs w:val="18"/>
                        </w:rPr>
                      </w:pPr>
                      <w:r>
                        <w:rPr>
                          <w:rFonts w:ascii="ITC Avant Garde" w:hAnsi="ITC Avant Garde"/>
                          <w:sz w:val="14"/>
                          <w:szCs w:val="18"/>
                        </w:rPr>
                        <w:t>Definición</w:t>
                      </w:r>
                    </w:p>
                  </w:tc>
                </w:sdtContent>
              </w:sdt>
              <w:tc>
                <w:tcPr>
                  <w:tcW w:w="1425" w:type="dxa"/>
                  <w:tcBorders>
                    <w:left w:val="single" w:sz="4" w:space="0" w:color="auto"/>
                    <w:right w:val="single" w:sz="4" w:space="0" w:color="auto"/>
                  </w:tcBorders>
                  <w:shd w:val="clear" w:color="auto" w:fill="FFFFFF" w:themeFill="background1"/>
                  <w:vAlign w:val="center"/>
                </w:tcPr>
                <w:p w14:paraId="354FE45D" w14:textId="0C71C433" w:rsidR="00E56436" w:rsidRDefault="0079231C" w:rsidP="00E56436">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1056" w:type="dxa"/>
                  <w:tcBorders>
                    <w:left w:val="single" w:sz="4" w:space="0" w:color="auto"/>
                    <w:right w:val="single" w:sz="4" w:space="0" w:color="auto"/>
                  </w:tcBorders>
                  <w:shd w:val="clear" w:color="auto" w:fill="FFFFFF" w:themeFill="background1"/>
                  <w:vAlign w:val="center"/>
                </w:tcPr>
                <w:p w14:paraId="2A7A7507" w14:textId="77777777" w:rsidR="0079231C" w:rsidRDefault="0079231C" w:rsidP="0079231C">
                  <w:pPr>
                    <w:jc w:val="center"/>
                    <w:rPr>
                      <w:rFonts w:ascii="ITC Avant Garde" w:hAnsi="ITC Avant Garde"/>
                      <w:sz w:val="14"/>
                      <w:szCs w:val="18"/>
                    </w:rPr>
                  </w:pPr>
                  <w:r>
                    <w:rPr>
                      <w:rFonts w:ascii="ITC Avant Garde" w:hAnsi="ITC Avant Garde"/>
                      <w:sz w:val="14"/>
                      <w:szCs w:val="18"/>
                    </w:rPr>
                    <w:t xml:space="preserve">Único, </w:t>
                  </w:r>
                </w:p>
                <w:p w14:paraId="5FA32843" w14:textId="04B3E50F" w:rsidR="00E56436" w:rsidRDefault="0079231C" w:rsidP="0079231C">
                  <w:pPr>
                    <w:jc w:val="center"/>
                    <w:rPr>
                      <w:rFonts w:ascii="ITC Avant Garde" w:hAnsi="ITC Avant Garde"/>
                      <w:sz w:val="14"/>
                      <w:szCs w:val="18"/>
                      <w:lang w:val="en-US"/>
                    </w:rPr>
                  </w:pPr>
                  <w:r w:rsidRPr="0079231C">
                    <w:rPr>
                      <w:rFonts w:ascii="ITC Avant Garde" w:hAnsi="ITC Avant Garde"/>
                      <w:sz w:val="14"/>
                      <w:szCs w:val="18"/>
                      <w:lang w:val="en-US"/>
                    </w:rPr>
                    <w:t xml:space="preserve">Anexo I, Numeral I, </w:t>
                  </w:r>
                  <w:proofErr w:type="spellStart"/>
                  <w:r w:rsidRPr="0079231C">
                    <w:rPr>
                      <w:rFonts w:ascii="ITC Avant Garde" w:hAnsi="ITC Avant Garde"/>
                      <w:sz w:val="14"/>
                      <w:szCs w:val="18"/>
                      <w:lang w:val="en-US"/>
                    </w:rPr>
                    <w:t>Fracción</w:t>
                  </w:r>
                  <w:proofErr w:type="spellEnd"/>
                  <w:r w:rsidRPr="0079231C">
                    <w:rPr>
                      <w:rFonts w:ascii="ITC Avant Garde" w:hAnsi="ITC Avant Garde"/>
                      <w:sz w:val="14"/>
                      <w:szCs w:val="18"/>
                      <w:lang w:val="en-US"/>
                    </w:rPr>
                    <w:t xml:space="preserve"> </w:t>
                  </w:r>
                  <w:r>
                    <w:rPr>
                      <w:rFonts w:ascii="ITC Avant Garde" w:hAnsi="ITC Avant Garde"/>
                      <w:sz w:val="14"/>
                      <w:szCs w:val="18"/>
                      <w:lang w:val="en-US"/>
                    </w:rPr>
                    <w:t>XI</w:t>
                  </w:r>
                  <w:r w:rsidRPr="0079231C">
                    <w:rPr>
                      <w:rFonts w:ascii="ITC Avant Garde" w:hAnsi="ITC Avant Garde"/>
                      <w:sz w:val="14"/>
                      <w:szCs w:val="18"/>
                      <w:lang w:val="en-US"/>
                    </w:rPr>
                    <w:t>.</w:t>
                  </w:r>
                </w:p>
                <w:p w14:paraId="54F8978E" w14:textId="24BF72C8" w:rsidR="0079231C" w:rsidRPr="0079231C" w:rsidRDefault="0079231C" w:rsidP="0079231C">
                  <w:pPr>
                    <w:jc w:val="center"/>
                    <w:rPr>
                      <w:rFonts w:ascii="ITC Avant Garde" w:hAnsi="ITC Avant Garde"/>
                      <w:sz w:val="14"/>
                      <w:szCs w:val="18"/>
                      <w:lang w:val="en-US"/>
                    </w:rPr>
                  </w:pPr>
                </w:p>
              </w:tc>
              <w:sdt>
                <w:sdtPr>
                  <w:rPr>
                    <w:rFonts w:ascii="ITC Avant Garde" w:hAnsi="ITC Avant Garde"/>
                    <w:sz w:val="14"/>
                    <w:szCs w:val="18"/>
                  </w:rPr>
                  <w:alias w:val="Tipo"/>
                  <w:tag w:val="Tipo"/>
                  <w:id w:val="198669646"/>
                  <w:placeholder>
                    <w:docPart w:val="44734450936B49ECAE75919D2CF107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5FDAFF45" w14:textId="41D37BEC" w:rsidR="00E56436" w:rsidRPr="0079231C" w:rsidRDefault="0079231C" w:rsidP="00E56436">
                      <w:pPr>
                        <w:jc w:val="center"/>
                        <w:rPr>
                          <w:rFonts w:ascii="ITC Avant Garde" w:hAnsi="ITC Avant Garde"/>
                          <w:sz w:val="14"/>
                          <w:szCs w:val="18"/>
                        </w:rPr>
                      </w:pPr>
                      <w:r w:rsidRPr="0079231C">
                        <w:rPr>
                          <w:rFonts w:ascii="ITC Avant Garde" w:hAnsi="ITC Avant Garde"/>
                          <w:sz w:val="14"/>
                          <w:szCs w:val="18"/>
                        </w:rPr>
                        <w:t xml:space="preserve">Establece requisitos técnicos o normas de calidad para </w:t>
                      </w:r>
                      <w:r w:rsidRPr="0079231C">
                        <w:rPr>
                          <w:rFonts w:ascii="ITC Avant Garde" w:hAnsi="ITC Avant Garde"/>
                          <w:sz w:val="14"/>
                          <w:szCs w:val="18"/>
                        </w:rPr>
                        <w:lastRenderedPageBreak/>
                        <w:t>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6F7FEE5A" w14:textId="03809167" w:rsidR="00E56436" w:rsidRDefault="0079231C" w:rsidP="00E56436">
                  <w:pPr>
                    <w:jc w:val="center"/>
                    <w:rPr>
                      <w:rFonts w:ascii="ITC Avant Garde" w:hAnsi="ITC Avant Garde"/>
                      <w:sz w:val="14"/>
                      <w:szCs w:val="18"/>
                    </w:rPr>
                  </w:pPr>
                  <w:r>
                    <w:rPr>
                      <w:rFonts w:ascii="ITC Avant Garde" w:hAnsi="ITC Avant Garde"/>
                      <w:sz w:val="14"/>
                      <w:szCs w:val="18"/>
                    </w:rPr>
                    <w:lastRenderedPageBreak/>
                    <w:t>Pr</w:t>
                  </w:r>
                  <w:r w:rsidRPr="002669F6">
                    <w:rPr>
                      <w:rFonts w:ascii="ITC Avant Garde" w:hAnsi="ITC Avant Garde"/>
                      <w:sz w:val="14"/>
                      <w:szCs w:val="18"/>
                    </w:rPr>
                    <w:t>estadores del servicio móvil</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EF4E" w14:textId="07BD2A00" w:rsidR="00E56436" w:rsidRPr="00E56436" w:rsidRDefault="0079231C" w:rsidP="00E56436">
                  <w:pPr>
                    <w:jc w:val="center"/>
                    <w:rPr>
                      <w:rFonts w:ascii="ITC Avant Garde" w:hAnsi="ITC Avant Garde"/>
                      <w:sz w:val="14"/>
                      <w:szCs w:val="18"/>
                    </w:rPr>
                  </w:pPr>
                  <w:proofErr w:type="spellStart"/>
                  <w:r>
                    <w:rPr>
                      <w:rFonts w:ascii="ITC Avant Garde" w:hAnsi="ITC Avant Garde"/>
                      <w:sz w:val="14"/>
                      <w:szCs w:val="18"/>
                    </w:rPr>
                    <w:t>VoLTE</w:t>
                  </w:r>
                  <w:proofErr w:type="spellEnd"/>
                  <w:r>
                    <w:rPr>
                      <w:rFonts w:ascii="ITC Avant Garde" w:hAnsi="ITC Avant Garde"/>
                      <w:sz w:val="14"/>
                      <w:szCs w:val="18"/>
                    </w:rPr>
                    <w:t xml:space="preserve">: Se integra la definición de </w:t>
                  </w:r>
                  <w:r w:rsidRPr="0079231C">
                    <w:rPr>
                      <w:rFonts w:ascii="ITC Avant Garde" w:hAnsi="ITC Avant Garde"/>
                      <w:sz w:val="14"/>
                      <w:szCs w:val="18"/>
                    </w:rPr>
                    <w:t>Voz sobre LTE</w:t>
                  </w:r>
                  <w:r>
                    <w:rPr>
                      <w:rFonts w:ascii="ITC Avant Garde" w:hAnsi="ITC Avant Garde"/>
                      <w:sz w:val="14"/>
                      <w:szCs w:val="18"/>
                    </w:rPr>
                    <w:t xml:space="preserve"> en el apartado de definiciones de la Metodología.</w:t>
                  </w:r>
                </w:p>
              </w:tc>
            </w:tr>
            <w:tr w:rsidR="0079231C" w:rsidRPr="009F6650" w14:paraId="42969A66" w14:textId="77777777" w:rsidTr="00865574">
              <w:trPr>
                <w:jc w:val="center"/>
              </w:trPr>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6EBA89" w14:textId="743BD116" w:rsidR="0079231C" w:rsidRPr="0079231C" w:rsidRDefault="0079231C" w:rsidP="0079231C">
                  <w:pPr>
                    <w:jc w:val="center"/>
                    <w:rPr>
                      <w:rFonts w:ascii="ITC Avant Garde" w:hAnsi="ITC Avant Garde"/>
                      <w:sz w:val="14"/>
                      <w:szCs w:val="18"/>
                    </w:rPr>
                  </w:pPr>
                  <w:r w:rsidRPr="0079231C">
                    <w:rPr>
                      <w:rFonts w:ascii="ITC Avant Garde" w:hAnsi="ITC Avant Garde"/>
                      <w:sz w:val="14"/>
                      <w:szCs w:val="18"/>
                    </w:rPr>
                    <w:t>Adopción o seguimiento de metodologías</w:t>
                  </w:r>
                </w:p>
              </w:tc>
              <w:tc>
                <w:tcPr>
                  <w:tcW w:w="1425" w:type="dxa"/>
                  <w:tcBorders>
                    <w:left w:val="single" w:sz="4" w:space="0" w:color="auto"/>
                    <w:right w:val="single" w:sz="4" w:space="0" w:color="auto"/>
                  </w:tcBorders>
                  <w:shd w:val="clear" w:color="auto" w:fill="FFFFFF" w:themeFill="background1"/>
                  <w:vAlign w:val="center"/>
                </w:tcPr>
                <w:p w14:paraId="6FF70151" w14:textId="1C27212E" w:rsidR="0079231C" w:rsidRDefault="00E35E3C" w:rsidP="0079231C">
                  <w:pPr>
                    <w:jc w:val="center"/>
                    <w:rPr>
                      <w:rFonts w:ascii="ITC Avant Garde" w:hAnsi="ITC Avant Garde"/>
                      <w:sz w:val="14"/>
                      <w:szCs w:val="18"/>
                    </w:rPr>
                  </w:pPr>
                  <w:r>
                    <w:rPr>
                      <w:rFonts w:ascii="ITC Avant Garde" w:hAnsi="ITC Avant Garde"/>
                      <w:sz w:val="14"/>
                      <w:szCs w:val="18"/>
                    </w:rPr>
                    <w:t>Instituto</w:t>
                  </w:r>
                </w:p>
              </w:tc>
              <w:tc>
                <w:tcPr>
                  <w:tcW w:w="1056" w:type="dxa"/>
                  <w:tcBorders>
                    <w:left w:val="single" w:sz="4" w:space="0" w:color="auto"/>
                    <w:right w:val="single" w:sz="4" w:space="0" w:color="auto"/>
                  </w:tcBorders>
                  <w:shd w:val="clear" w:color="auto" w:fill="FFFFFF" w:themeFill="background1"/>
                  <w:vAlign w:val="center"/>
                </w:tcPr>
                <w:p w14:paraId="37C556BD" w14:textId="77777777" w:rsidR="0079231C" w:rsidRDefault="0079231C" w:rsidP="0079231C">
                  <w:pPr>
                    <w:jc w:val="center"/>
                    <w:rPr>
                      <w:rFonts w:ascii="ITC Avant Garde" w:hAnsi="ITC Avant Garde"/>
                      <w:sz w:val="14"/>
                      <w:szCs w:val="18"/>
                    </w:rPr>
                  </w:pPr>
                  <w:r>
                    <w:rPr>
                      <w:rFonts w:ascii="ITC Avant Garde" w:hAnsi="ITC Avant Garde"/>
                      <w:sz w:val="14"/>
                      <w:szCs w:val="18"/>
                    </w:rPr>
                    <w:t xml:space="preserve">Único, </w:t>
                  </w:r>
                </w:p>
                <w:p w14:paraId="289D7537" w14:textId="1E0DA988" w:rsidR="0079231C" w:rsidRPr="0079231C" w:rsidRDefault="0079231C" w:rsidP="0079231C">
                  <w:pPr>
                    <w:jc w:val="center"/>
                    <w:rPr>
                      <w:rFonts w:ascii="ITC Avant Garde" w:hAnsi="ITC Avant Garde"/>
                      <w:sz w:val="14"/>
                      <w:szCs w:val="18"/>
                    </w:rPr>
                  </w:pPr>
                  <w:r w:rsidRPr="0079231C">
                    <w:rPr>
                      <w:rFonts w:ascii="ITC Avant Garde" w:hAnsi="ITC Avant Garde"/>
                      <w:sz w:val="14"/>
                      <w:szCs w:val="18"/>
                    </w:rPr>
                    <w:t>Anexo I, Numeral 2</w:t>
                  </w:r>
                </w:p>
                <w:p w14:paraId="71FA81AD" w14:textId="77777777" w:rsidR="0079231C" w:rsidRDefault="0079231C" w:rsidP="0079231C">
                  <w:pPr>
                    <w:jc w:val="center"/>
                    <w:rPr>
                      <w:rFonts w:ascii="ITC Avant Garde" w:hAnsi="ITC Avant Garde"/>
                      <w:sz w:val="14"/>
                      <w:szCs w:val="18"/>
                    </w:rPr>
                  </w:pPr>
                </w:p>
              </w:tc>
              <w:sdt>
                <w:sdtPr>
                  <w:rPr>
                    <w:rFonts w:ascii="ITC Avant Garde" w:hAnsi="ITC Avant Garde"/>
                    <w:sz w:val="14"/>
                    <w:szCs w:val="18"/>
                  </w:rPr>
                  <w:alias w:val="Tipo"/>
                  <w:tag w:val="Tipo"/>
                  <w:id w:val="472103214"/>
                  <w:placeholder>
                    <w:docPart w:val="817455EDD1D440EA8F75281536DBD8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324DB06D" w14:textId="3BA68FAE" w:rsidR="0079231C" w:rsidRPr="0079231C" w:rsidRDefault="0079231C" w:rsidP="0079231C">
                      <w:pPr>
                        <w:jc w:val="center"/>
                        <w:rPr>
                          <w:rFonts w:ascii="ITC Avant Garde" w:hAnsi="ITC Avant Garde"/>
                          <w:sz w:val="14"/>
                          <w:szCs w:val="18"/>
                        </w:rPr>
                      </w:pPr>
                      <w:r w:rsidRPr="0079231C">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697612B2" w14:textId="31EC89F6" w:rsidR="0079231C" w:rsidRDefault="0034530E" w:rsidP="0079231C">
                  <w:pPr>
                    <w:jc w:val="center"/>
                    <w:rPr>
                      <w:rFonts w:ascii="ITC Avant Garde" w:hAnsi="ITC Avant Garde"/>
                      <w:sz w:val="14"/>
                      <w:szCs w:val="18"/>
                    </w:rPr>
                  </w:pPr>
                  <w:r>
                    <w:rPr>
                      <w:rFonts w:ascii="ITC Avant Garde" w:hAnsi="ITC Avant Garde"/>
                      <w:sz w:val="14"/>
                      <w:szCs w:val="18"/>
                    </w:rPr>
                    <w:t>Instituto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86F2D" w14:textId="77777777" w:rsidR="00865574" w:rsidRDefault="00865574" w:rsidP="0079231C">
                  <w:pPr>
                    <w:jc w:val="center"/>
                    <w:rPr>
                      <w:rFonts w:ascii="ITC Avant Garde" w:hAnsi="ITC Avant Garde"/>
                      <w:sz w:val="14"/>
                      <w:szCs w:val="18"/>
                    </w:rPr>
                  </w:pPr>
                </w:p>
                <w:p w14:paraId="38C84836" w14:textId="12CC7F8E" w:rsidR="0079231C" w:rsidRDefault="0079231C" w:rsidP="0079231C">
                  <w:pPr>
                    <w:jc w:val="center"/>
                    <w:rPr>
                      <w:rFonts w:ascii="ITC Avant Garde" w:hAnsi="ITC Avant Garde"/>
                      <w:sz w:val="14"/>
                      <w:szCs w:val="18"/>
                    </w:rPr>
                  </w:pPr>
                  <w:r>
                    <w:rPr>
                      <w:rFonts w:ascii="ITC Avant Garde" w:hAnsi="ITC Avant Garde"/>
                      <w:sz w:val="14"/>
                      <w:szCs w:val="18"/>
                    </w:rPr>
                    <w:t xml:space="preserve"> Se modifica el listado de las tecnologías de acceso </w:t>
                  </w:r>
                  <w:r w:rsidR="00865574">
                    <w:rPr>
                      <w:rFonts w:ascii="ITC Avant Garde" w:hAnsi="ITC Avant Garde"/>
                      <w:sz w:val="14"/>
                      <w:szCs w:val="18"/>
                    </w:rPr>
                    <w:t xml:space="preserve">que </w:t>
                  </w:r>
                  <w:r w:rsidR="00E35E3C">
                    <w:rPr>
                      <w:rFonts w:ascii="ITC Avant Garde" w:hAnsi="ITC Avant Garde"/>
                      <w:sz w:val="14"/>
                      <w:szCs w:val="18"/>
                    </w:rPr>
                    <w:t>el Instituto deberá considerar</w:t>
                  </w:r>
                  <w:r w:rsidR="00865574">
                    <w:rPr>
                      <w:rFonts w:ascii="ITC Avant Garde" w:hAnsi="ITC Avant Garde"/>
                      <w:sz w:val="14"/>
                      <w:szCs w:val="18"/>
                    </w:rPr>
                    <w:t xml:space="preserve"> para realizar la unión de los mapas de cobertura garantizada e incluir 4G</w:t>
                  </w:r>
                  <w:r w:rsidR="00E35E3C">
                    <w:rPr>
                      <w:rFonts w:ascii="ITC Avant Garde" w:hAnsi="ITC Avant Garde"/>
                      <w:sz w:val="14"/>
                      <w:szCs w:val="18"/>
                    </w:rPr>
                    <w:t xml:space="preserve"> para el servicio de voz</w:t>
                  </w:r>
                  <w:r w:rsidR="00865574">
                    <w:rPr>
                      <w:rFonts w:ascii="ITC Avant Garde" w:hAnsi="ITC Avant Garde"/>
                      <w:sz w:val="14"/>
                      <w:szCs w:val="18"/>
                    </w:rPr>
                    <w:t>.</w:t>
                  </w:r>
                </w:p>
                <w:p w14:paraId="71B83358" w14:textId="0A0339AD" w:rsidR="00865574" w:rsidRDefault="00865574" w:rsidP="0079231C">
                  <w:pPr>
                    <w:jc w:val="center"/>
                    <w:rPr>
                      <w:rFonts w:ascii="ITC Avant Garde" w:hAnsi="ITC Avant Garde"/>
                      <w:sz w:val="14"/>
                      <w:szCs w:val="18"/>
                    </w:rPr>
                  </w:pPr>
                </w:p>
              </w:tc>
            </w:tr>
            <w:tr w:rsidR="0034530E" w:rsidRPr="009F6650" w14:paraId="0360D96E" w14:textId="77777777" w:rsidTr="00865574">
              <w:trPr>
                <w:jc w:val="center"/>
              </w:trPr>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BE8DB" w14:textId="4E7B0B09" w:rsidR="0034530E" w:rsidRPr="0079231C" w:rsidRDefault="0034530E" w:rsidP="0034530E">
                  <w:pPr>
                    <w:jc w:val="center"/>
                    <w:rPr>
                      <w:rFonts w:ascii="ITC Avant Garde" w:hAnsi="ITC Avant Garde"/>
                      <w:sz w:val="14"/>
                      <w:szCs w:val="18"/>
                    </w:rPr>
                  </w:pPr>
                  <w:r w:rsidRPr="0079231C">
                    <w:rPr>
                      <w:rFonts w:ascii="ITC Avant Garde" w:hAnsi="ITC Avant Garde"/>
                      <w:sz w:val="14"/>
                      <w:szCs w:val="18"/>
                    </w:rPr>
                    <w:t>Adopción o seguimiento de metodologías</w:t>
                  </w:r>
                </w:p>
              </w:tc>
              <w:tc>
                <w:tcPr>
                  <w:tcW w:w="1425" w:type="dxa"/>
                  <w:tcBorders>
                    <w:left w:val="single" w:sz="4" w:space="0" w:color="auto"/>
                    <w:right w:val="single" w:sz="4" w:space="0" w:color="auto"/>
                  </w:tcBorders>
                  <w:shd w:val="clear" w:color="auto" w:fill="FFFFFF" w:themeFill="background1"/>
                  <w:vAlign w:val="center"/>
                </w:tcPr>
                <w:p w14:paraId="0340BFB3" w14:textId="59562BD3" w:rsidR="0034530E" w:rsidRDefault="0034530E" w:rsidP="0034530E">
                  <w:pPr>
                    <w:jc w:val="center"/>
                    <w:rPr>
                      <w:rFonts w:ascii="ITC Avant Garde" w:hAnsi="ITC Avant Garde"/>
                      <w:sz w:val="14"/>
                      <w:szCs w:val="18"/>
                    </w:rPr>
                  </w:pPr>
                  <w:r>
                    <w:rPr>
                      <w:rFonts w:ascii="ITC Avant Garde" w:hAnsi="ITC Avant Garde"/>
                      <w:sz w:val="14"/>
                      <w:szCs w:val="18"/>
                    </w:rPr>
                    <w:t>Instituto</w:t>
                  </w:r>
                </w:p>
              </w:tc>
              <w:tc>
                <w:tcPr>
                  <w:tcW w:w="1056" w:type="dxa"/>
                  <w:tcBorders>
                    <w:left w:val="single" w:sz="4" w:space="0" w:color="auto"/>
                    <w:right w:val="single" w:sz="4" w:space="0" w:color="auto"/>
                  </w:tcBorders>
                  <w:shd w:val="clear" w:color="auto" w:fill="FFFFFF" w:themeFill="background1"/>
                  <w:vAlign w:val="center"/>
                </w:tcPr>
                <w:p w14:paraId="35DF49D6" w14:textId="77777777" w:rsidR="0034530E" w:rsidRDefault="0034530E" w:rsidP="0034530E">
                  <w:pPr>
                    <w:jc w:val="center"/>
                    <w:rPr>
                      <w:rFonts w:ascii="ITC Avant Garde" w:hAnsi="ITC Avant Garde"/>
                      <w:sz w:val="14"/>
                      <w:szCs w:val="18"/>
                    </w:rPr>
                  </w:pPr>
                  <w:r>
                    <w:rPr>
                      <w:rFonts w:ascii="ITC Avant Garde" w:hAnsi="ITC Avant Garde"/>
                      <w:sz w:val="14"/>
                      <w:szCs w:val="18"/>
                    </w:rPr>
                    <w:t xml:space="preserve">Único, </w:t>
                  </w:r>
                </w:p>
                <w:p w14:paraId="52206378" w14:textId="4581DA0C" w:rsidR="0034530E" w:rsidRPr="00353E61" w:rsidRDefault="0034530E" w:rsidP="0034530E">
                  <w:pPr>
                    <w:jc w:val="center"/>
                    <w:rPr>
                      <w:rFonts w:ascii="ITC Avant Garde" w:hAnsi="ITC Avant Garde"/>
                      <w:sz w:val="14"/>
                      <w:szCs w:val="18"/>
                    </w:rPr>
                  </w:pPr>
                  <w:r w:rsidRPr="00353E61">
                    <w:rPr>
                      <w:rFonts w:ascii="ITC Avant Garde" w:hAnsi="ITC Avant Garde"/>
                      <w:sz w:val="14"/>
                      <w:szCs w:val="18"/>
                    </w:rPr>
                    <w:t>Anexo I, Numeral 6, Fracci</w:t>
                  </w:r>
                  <w:r>
                    <w:rPr>
                      <w:rFonts w:ascii="ITC Avant Garde" w:hAnsi="ITC Avant Garde"/>
                      <w:sz w:val="14"/>
                      <w:szCs w:val="18"/>
                    </w:rPr>
                    <w:t>ó</w:t>
                  </w:r>
                  <w:r w:rsidRPr="00353E61">
                    <w:rPr>
                      <w:rFonts w:ascii="ITC Avant Garde" w:hAnsi="ITC Avant Garde"/>
                      <w:sz w:val="14"/>
                      <w:szCs w:val="18"/>
                    </w:rPr>
                    <w:t>n I</w:t>
                  </w:r>
                </w:p>
                <w:p w14:paraId="6606FAF6" w14:textId="77777777" w:rsidR="0034530E" w:rsidRDefault="0034530E" w:rsidP="0034530E">
                  <w:pPr>
                    <w:jc w:val="center"/>
                    <w:rPr>
                      <w:rFonts w:ascii="ITC Avant Garde" w:hAnsi="ITC Avant Garde"/>
                      <w:sz w:val="14"/>
                      <w:szCs w:val="18"/>
                    </w:rPr>
                  </w:pPr>
                </w:p>
              </w:tc>
              <w:sdt>
                <w:sdtPr>
                  <w:rPr>
                    <w:rFonts w:ascii="ITC Avant Garde" w:hAnsi="ITC Avant Garde"/>
                    <w:sz w:val="14"/>
                    <w:szCs w:val="18"/>
                  </w:rPr>
                  <w:alias w:val="Tipo"/>
                  <w:tag w:val="Tipo"/>
                  <w:id w:val="2133431526"/>
                  <w:placeholder>
                    <w:docPart w:val="F17A117D0862453E981AFCD4087CC6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34D68D68" w14:textId="4E680307" w:rsidR="0034530E" w:rsidRDefault="0034530E" w:rsidP="0034530E">
                      <w:pPr>
                        <w:jc w:val="center"/>
                        <w:rPr>
                          <w:rFonts w:ascii="ITC Avant Garde" w:hAnsi="ITC Avant Garde"/>
                          <w:sz w:val="14"/>
                          <w:szCs w:val="18"/>
                        </w:rPr>
                      </w:pPr>
                      <w:r w:rsidRPr="0079231C">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25FB97B0" w14:textId="3582F738" w:rsidR="0034530E" w:rsidRDefault="0034530E" w:rsidP="0034530E">
                  <w:pPr>
                    <w:jc w:val="center"/>
                    <w:rPr>
                      <w:rFonts w:ascii="ITC Avant Garde" w:hAnsi="ITC Avant Garde"/>
                      <w:sz w:val="14"/>
                      <w:szCs w:val="18"/>
                    </w:rPr>
                  </w:pPr>
                  <w:r>
                    <w:rPr>
                      <w:rFonts w:ascii="ITC Avant Garde" w:hAnsi="ITC Avant Garde"/>
                      <w:sz w:val="14"/>
                      <w:szCs w:val="18"/>
                    </w:rPr>
                    <w:t>Instituto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D0EF3" w14:textId="6216440C" w:rsidR="0034530E" w:rsidRDefault="0034530E" w:rsidP="0034530E">
                  <w:pPr>
                    <w:jc w:val="center"/>
                    <w:rPr>
                      <w:rFonts w:ascii="ITC Avant Garde" w:hAnsi="ITC Avant Garde"/>
                      <w:sz w:val="14"/>
                      <w:szCs w:val="18"/>
                    </w:rPr>
                  </w:pPr>
                  <w:r w:rsidRPr="00044A4C">
                    <w:rPr>
                      <w:rFonts w:ascii="ITC Avant Garde" w:hAnsi="ITC Avant Garde"/>
                      <w:sz w:val="14"/>
                      <w:szCs w:val="18"/>
                    </w:rPr>
                    <w:t>S</w:t>
                  </w:r>
                  <w:r>
                    <w:rPr>
                      <w:rFonts w:ascii="ITC Avant Garde" w:hAnsi="ITC Avant Garde"/>
                      <w:sz w:val="14"/>
                      <w:szCs w:val="18"/>
                    </w:rPr>
                    <w:t>e modifica la fracción permitiendo que el equipo terminal móvil con el que el Instituto haga las mediciones elija automáticamente la tecnología de acceso.</w:t>
                  </w:r>
                </w:p>
                <w:p w14:paraId="3FF70AA9" w14:textId="77777777" w:rsidR="0034530E" w:rsidRDefault="0034530E" w:rsidP="0034530E">
                  <w:pPr>
                    <w:jc w:val="center"/>
                    <w:rPr>
                      <w:rFonts w:ascii="ITC Avant Garde" w:hAnsi="ITC Avant Garde"/>
                      <w:sz w:val="14"/>
                      <w:szCs w:val="18"/>
                    </w:rPr>
                  </w:pPr>
                </w:p>
              </w:tc>
            </w:tr>
            <w:tr w:rsidR="0034530E" w:rsidRPr="009F6650" w14:paraId="5A381EF0" w14:textId="77777777" w:rsidTr="00AE5D79">
              <w:trPr>
                <w:jc w:val="center"/>
              </w:trPr>
              <w:tc>
                <w:tcPr>
                  <w:tcW w:w="1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2181D5" w14:textId="3E6B580C" w:rsidR="0034530E" w:rsidRPr="0079231C" w:rsidRDefault="0034530E" w:rsidP="0034530E">
                  <w:pPr>
                    <w:jc w:val="center"/>
                    <w:rPr>
                      <w:rFonts w:ascii="ITC Avant Garde" w:hAnsi="ITC Avant Garde"/>
                      <w:sz w:val="14"/>
                      <w:szCs w:val="18"/>
                    </w:rPr>
                  </w:pPr>
                  <w:r w:rsidRPr="0079231C">
                    <w:rPr>
                      <w:rFonts w:ascii="ITC Avant Garde" w:hAnsi="ITC Avant Garde"/>
                      <w:sz w:val="14"/>
                      <w:szCs w:val="18"/>
                    </w:rPr>
                    <w:t>Adopción o seguimiento de metodologías</w:t>
                  </w:r>
                </w:p>
              </w:tc>
              <w:tc>
                <w:tcPr>
                  <w:tcW w:w="1425" w:type="dxa"/>
                  <w:tcBorders>
                    <w:left w:val="single" w:sz="4" w:space="0" w:color="auto"/>
                    <w:bottom w:val="single" w:sz="4" w:space="0" w:color="auto"/>
                    <w:right w:val="single" w:sz="4" w:space="0" w:color="auto"/>
                  </w:tcBorders>
                  <w:shd w:val="clear" w:color="auto" w:fill="FFFFFF" w:themeFill="background1"/>
                  <w:vAlign w:val="center"/>
                </w:tcPr>
                <w:p w14:paraId="5F68530F" w14:textId="77777777" w:rsidR="0034530E" w:rsidRDefault="0034530E" w:rsidP="0034530E">
                  <w:pPr>
                    <w:jc w:val="center"/>
                    <w:rPr>
                      <w:rFonts w:ascii="ITC Avant Garde" w:hAnsi="ITC Avant Garde"/>
                      <w:sz w:val="14"/>
                      <w:szCs w:val="18"/>
                    </w:rPr>
                  </w:pPr>
                  <w:r>
                    <w:rPr>
                      <w:rFonts w:ascii="ITC Avant Garde" w:hAnsi="ITC Avant Garde"/>
                      <w:sz w:val="14"/>
                      <w:szCs w:val="18"/>
                    </w:rPr>
                    <w:t>Instituto</w:t>
                  </w:r>
                </w:p>
                <w:p w14:paraId="60BA9112" w14:textId="77777777" w:rsidR="00987B74" w:rsidRDefault="00987B74" w:rsidP="0034530E">
                  <w:pPr>
                    <w:jc w:val="center"/>
                    <w:rPr>
                      <w:rFonts w:ascii="ITC Avant Garde" w:hAnsi="ITC Avant Garde"/>
                      <w:sz w:val="14"/>
                      <w:szCs w:val="18"/>
                    </w:rPr>
                  </w:pPr>
                </w:p>
                <w:p w14:paraId="2F7EBADF" w14:textId="77CC2E88" w:rsidR="00987B74" w:rsidRDefault="00987B74" w:rsidP="0034530E">
                  <w:pPr>
                    <w:jc w:val="center"/>
                    <w:rPr>
                      <w:rFonts w:ascii="ITC Avant Garde" w:hAnsi="ITC Avant Garde"/>
                      <w:sz w:val="14"/>
                      <w:szCs w:val="18"/>
                    </w:rPr>
                  </w:pPr>
                  <w:r>
                    <w:rPr>
                      <w:rFonts w:ascii="ITC Avant Garde" w:hAnsi="ITC Avant Garde"/>
                      <w:sz w:val="14"/>
                      <w:szCs w:val="18"/>
                    </w:rPr>
                    <w:t>Pr</w:t>
                  </w:r>
                  <w:r w:rsidRPr="002669F6">
                    <w:rPr>
                      <w:rFonts w:ascii="ITC Avant Garde" w:hAnsi="ITC Avant Garde"/>
                      <w:sz w:val="14"/>
                      <w:szCs w:val="18"/>
                    </w:rPr>
                    <w:t>estadores del servicio móvil</w:t>
                  </w:r>
                </w:p>
              </w:tc>
              <w:tc>
                <w:tcPr>
                  <w:tcW w:w="1056" w:type="dxa"/>
                  <w:tcBorders>
                    <w:left w:val="single" w:sz="4" w:space="0" w:color="auto"/>
                    <w:right w:val="single" w:sz="4" w:space="0" w:color="auto"/>
                  </w:tcBorders>
                  <w:shd w:val="clear" w:color="auto" w:fill="FFFFFF" w:themeFill="background1"/>
                  <w:vAlign w:val="center"/>
                </w:tcPr>
                <w:p w14:paraId="03E697C0" w14:textId="77777777" w:rsidR="0034530E" w:rsidRDefault="0034530E" w:rsidP="0034530E">
                  <w:pPr>
                    <w:jc w:val="center"/>
                    <w:rPr>
                      <w:rFonts w:ascii="ITC Avant Garde" w:hAnsi="ITC Avant Garde"/>
                      <w:sz w:val="14"/>
                      <w:szCs w:val="18"/>
                    </w:rPr>
                  </w:pPr>
                  <w:r>
                    <w:rPr>
                      <w:rFonts w:ascii="ITC Avant Garde" w:hAnsi="ITC Avant Garde"/>
                      <w:sz w:val="14"/>
                      <w:szCs w:val="18"/>
                    </w:rPr>
                    <w:t xml:space="preserve">Único, </w:t>
                  </w:r>
                </w:p>
                <w:p w14:paraId="40584F35" w14:textId="2EA55EA3" w:rsidR="0034530E" w:rsidRPr="00353E61" w:rsidRDefault="0034530E" w:rsidP="0034530E">
                  <w:pPr>
                    <w:jc w:val="center"/>
                    <w:rPr>
                      <w:rFonts w:ascii="ITC Avant Garde" w:hAnsi="ITC Avant Garde"/>
                      <w:sz w:val="14"/>
                      <w:szCs w:val="18"/>
                    </w:rPr>
                  </w:pPr>
                  <w:r w:rsidRPr="00353E61">
                    <w:rPr>
                      <w:rFonts w:ascii="ITC Avant Garde" w:hAnsi="ITC Avant Garde"/>
                      <w:sz w:val="14"/>
                      <w:szCs w:val="18"/>
                    </w:rPr>
                    <w:t>Anexo I, Numeral 6, Fracciones II, IV y VI</w:t>
                  </w:r>
                </w:p>
                <w:p w14:paraId="2BD3C578" w14:textId="77777777" w:rsidR="0034530E" w:rsidRPr="00353E61" w:rsidRDefault="0034530E" w:rsidP="0034530E">
                  <w:pPr>
                    <w:jc w:val="center"/>
                    <w:rPr>
                      <w:rFonts w:ascii="ITC Avant Garde" w:hAnsi="ITC Avant Garde"/>
                      <w:sz w:val="14"/>
                      <w:szCs w:val="18"/>
                    </w:rPr>
                  </w:pPr>
                </w:p>
              </w:tc>
              <w:sdt>
                <w:sdtPr>
                  <w:rPr>
                    <w:rFonts w:ascii="ITC Avant Garde" w:hAnsi="ITC Avant Garde"/>
                    <w:sz w:val="14"/>
                    <w:szCs w:val="18"/>
                  </w:rPr>
                  <w:alias w:val="Tipo"/>
                  <w:tag w:val="Tipo"/>
                  <w:id w:val="2049797565"/>
                  <w:placeholder>
                    <w:docPart w:val="60EA09E61DF74B1EB409C1E8B82C6C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23" w:type="dxa"/>
                      <w:tcBorders>
                        <w:left w:val="single" w:sz="4" w:space="0" w:color="auto"/>
                        <w:right w:val="single" w:sz="4" w:space="0" w:color="auto"/>
                      </w:tcBorders>
                      <w:shd w:val="clear" w:color="auto" w:fill="FFFFFF" w:themeFill="background1"/>
                      <w:vAlign w:val="center"/>
                    </w:tcPr>
                    <w:p w14:paraId="764B58DE" w14:textId="16E36F69" w:rsidR="0034530E" w:rsidRPr="0079231C" w:rsidRDefault="0034530E" w:rsidP="0034530E">
                      <w:pPr>
                        <w:jc w:val="center"/>
                        <w:rPr>
                          <w:rFonts w:ascii="ITC Avant Garde" w:hAnsi="ITC Avant Garde"/>
                          <w:sz w:val="14"/>
                          <w:szCs w:val="18"/>
                        </w:rPr>
                      </w:pPr>
                      <w:r w:rsidRPr="0079231C">
                        <w:rPr>
                          <w:rFonts w:ascii="ITC Avant Garde" w:hAnsi="ITC Avant Garde"/>
                          <w:sz w:val="14"/>
                          <w:szCs w:val="18"/>
                        </w:rPr>
                        <w:t>Establece requisitos técnicos o normas de calidad para productos y servicios</w:t>
                      </w:r>
                    </w:p>
                  </w:tc>
                </w:sdtContent>
              </w:sdt>
              <w:tc>
                <w:tcPr>
                  <w:tcW w:w="1425" w:type="dxa"/>
                  <w:tcBorders>
                    <w:left w:val="single" w:sz="4" w:space="0" w:color="auto"/>
                    <w:right w:val="single" w:sz="4" w:space="0" w:color="auto"/>
                  </w:tcBorders>
                  <w:shd w:val="clear" w:color="auto" w:fill="FFFFFF" w:themeFill="background1"/>
                  <w:vAlign w:val="center"/>
                </w:tcPr>
                <w:p w14:paraId="439D3967" w14:textId="06ED7715" w:rsidR="0034530E" w:rsidRDefault="0034530E" w:rsidP="0034530E">
                  <w:pPr>
                    <w:jc w:val="center"/>
                    <w:rPr>
                      <w:rFonts w:ascii="ITC Avant Garde" w:hAnsi="ITC Avant Garde"/>
                      <w:sz w:val="14"/>
                      <w:szCs w:val="18"/>
                    </w:rPr>
                  </w:pPr>
                  <w:r>
                    <w:rPr>
                      <w:rFonts w:ascii="ITC Avant Garde" w:hAnsi="ITC Avant Garde"/>
                      <w:sz w:val="14"/>
                      <w:szCs w:val="18"/>
                    </w:rPr>
                    <w:t>Instituto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048B8" w14:textId="07B43AC6" w:rsidR="0034530E" w:rsidRDefault="0034530E" w:rsidP="0034530E">
                  <w:pPr>
                    <w:jc w:val="center"/>
                    <w:rPr>
                      <w:rFonts w:ascii="ITC Avant Garde" w:hAnsi="ITC Avant Garde"/>
                      <w:sz w:val="14"/>
                      <w:szCs w:val="18"/>
                    </w:rPr>
                  </w:pPr>
                  <w:r w:rsidRPr="00044A4C">
                    <w:rPr>
                      <w:rFonts w:ascii="ITC Avant Garde" w:hAnsi="ITC Avant Garde"/>
                      <w:sz w:val="14"/>
                      <w:szCs w:val="18"/>
                    </w:rPr>
                    <w:t>S</w:t>
                  </w:r>
                  <w:r>
                    <w:rPr>
                      <w:rFonts w:ascii="ITC Avant Garde" w:hAnsi="ITC Avant Garde"/>
                      <w:sz w:val="14"/>
                      <w:szCs w:val="18"/>
                    </w:rPr>
                    <w:t xml:space="preserve">e modifican las fracciones que </w:t>
                  </w:r>
                  <w:r w:rsidRPr="00044A4C">
                    <w:rPr>
                      <w:rFonts w:ascii="ITC Avant Garde" w:hAnsi="ITC Avant Garde"/>
                      <w:sz w:val="14"/>
                      <w:szCs w:val="18"/>
                    </w:rPr>
                    <w:t>establecen las características de</w:t>
                  </w:r>
                  <w:r>
                    <w:rPr>
                      <w:rFonts w:ascii="ITC Avant Garde" w:hAnsi="ITC Avant Garde"/>
                      <w:sz w:val="14"/>
                      <w:szCs w:val="18"/>
                    </w:rPr>
                    <w:t xml:space="preserve"> </w:t>
                  </w:r>
                  <w:r w:rsidR="008033FE">
                    <w:rPr>
                      <w:rFonts w:ascii="ITC Avant Garde" w:hAnsi="ITC Avant Garde"/>
                      <w:sz w:val="14"/>
                      <w:szCs w:val="18"/>
                    </w:rPr>
                    <w:t xml:space="preserve">la </w:t>
                  </w:r>
                  <w:r w:rsidR="008033FE" w:rsidRPr="00044A4C">
                    <w:rPr>
                      <w:rFonts w:ascii="ITC Avant Garde" w:hAnsi="ITC Avant Garde"/>
                      <w:sz w:val="14"/>
                      <w:szCs w:val="18"/>
                    </w:rPr>
                    <w:t>evaluación</w:t>
                  </w:r>
                  <w:r w:rsidRPr="00044A4C">
                    <w:rPr>
                      <w:rFonts w:ascii="ITC Avant Garde" w:hAnsi="ITC Avant Garde"/>
                      <w:sz w:val="14"/>
                      <w:szCs w:val="18"/>
                    </w:rPr>
                    <w:t xml:space="preserve"> del Servicio de Voz</w:t>
                  </w:r>
                  <w:r>
                    <w:rPr>
                      <w:rFonts w:ascii="ITC Avant Garde" w:hAnsi="ITC Avant Garde"/>
                      <w:sz w:val="14"/>
                      <w:szCs w:val="18"/>
                    </w:rPr>
                    <w:t xml:space="preserve"> que lleva a cabo el Instituto para considerar el nuevo escenario con un tiempo de establecimiento de llamada de 20 segundos </w:t>
                  </w:r>
                </w:p>
                <w:p w14:paraId="01B00EE5" w14:textId="3A6A7B13" w:rsidR="0034530E" w:rsidRDefault="0034530E" w:rsidP="0034530E">
                  <w:pPr>
                    <w:jc w:val="center"/>
                    <w:rPr>
                      <w:rFonts w:ascii="ITC Avant Garde" w:hAnsi="ITC Avant Garde"/>
                      <w:sz w:val="14"/>
                      <w:szCs w:val="18"/>
                    </w:rPr>
                  </w:pPr>
                </w:p>
              </w:tc>
            </w:tr>
          </w:tbl>
          <w:p w14:paraId="196827E5" w14:textId="431F309D" w:rsidR="00711C10" w:rsidRPr="008F2150" w:rsidRDefault="00711C10" w:rsidP="00B07C14">
            <w:pPr>
              <w:jc w:val="center"/>
              <w:rPr>
                <w:rFonts w:ascii="ITC Avant Garde" w:hAnsi="ITC Avant Garde"/>
                <w:i/>
                <w:sz w:val="18"/>
                <w:szCs w:val="18"/>
              </w:rPr>
            </w:pPr>
          </w:p>
        </w:tc>
      </w:tr>
    </w:tbl>
    <w:p w14:paraId="6789B799" w14:textId="77777777" w:rsidR="00E84534" w:rsidRPr="00DD06A0" w:rsidRDefault="00E84534"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11D14EFD" w14:textId="77777777" w:rsidTr="00502661">
        <w:trPr>
          <w:trHeight w:val="889"/>
        </w:trPr>
        <w:tc>
          <w:tcPr>
            <w:tcW w:w="8828" w:type="dxa"/>
          </w:tcPr>
          <w:p w14:paraId="295569FC" w14:textId="77777777" w:rsidR="005335CF" w:rsidRPr="00DD06A0" w:rsidRDefault="00376614" w:rsidP="00225DA6">
            <w:pPr>
              <w:jc w:val="both"/>
              <w:rPr>
                <w:rFonts w:ascii="ITC Avant Garde" w:hAnsi="ITC Avant Garde"/>
                <w:b/>
                <w:sz w:val="18"/>
                <w:szCs w:val="18"/>
              </w:rPr>
            </w:pPr>
            <w:r w:rsidRPr="008033FE">
              <w:rPr>
                <w:rFonts w:ascii="ITC Avant Garde" w:hAnsi="ITC Avant Garde"/>
                <w:b/>
                <w:sz w:val="18"/>
                <w:szCs w:val="18"/>
              </w:rPr>
              <w:t>11</w:t>
            </w:r>
            <w:r w:rsidR="005335CF" w:rsidRPr="008033FE">
              <w:rPr>
                <w:rFonts w:ascii="ITC Avant Garde" w:hAnsi="ITC Avant Garde"/>
                <w:b/>
                <w:sz w:val="18"/>
                <w:szCs w:val="18"/>
              </w:rPr>
              <w:t>.- Señale y describa si la</w:t>
            </w:r>
            <w:r w:rsidR="005335CF" w:rsidRPr="00DD06A0">
              <w:rPr>
                <w:rFonts w:ascii="ITC Avant Garde" w:hAnsi="ITC Avant Garde"/>
                <w:b/>
                <w:sz w:val="18"/>
                <w:szCs w:val="18"/>
              </w:rPr>
              <w:t xml:space="preserve">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4CCFB69F"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7BE52FB2" w14:textId="77777777" w:rsidTr="00023BBB">
              <w:trPr>
                <w:jc w:val="center"/>
              </w:trPr>
              <w:tc>
                <w:tcPr>
                  <w:tcW w:w="2150" w:type="dxa"/>
                  <w:tcBorders>
                    <w:bottom w:val="single" w:sz="4" w:space="0" w:color="auto"/>
                  </w:tcBorders>
                  <w:shd w:val="clear" w:color="auto" w:fill="A8D08D" w:themeFill="accent6" w:themeFillTint="99"/>
                </w:tcPr>
                <w:p w14:paraId="579DD5F1"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5D2552C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154FBE3E"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63C198" w14:textId="77777777" w:rsidR="005335CF" w:rsidRPr="00DD06A0" w:rsidRDefault="00334A5B"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0FC13CCB" w14:textId="77777777" w:rsidR="009A3582" w:rsidRDefault="009A3582" w:rsidP="001979F8">
                  <w:pPr>
                    <w:jc w:val="both"/>
                    <w:rPr>
                      <w:rFonts w:ascii="ITC Avant Garde" w:hAnsi="ITC Avant Garde"/>
                      <w:sz w:val="18"/>
                      <w:szCs w:val="18"/>
                    </w:rPr>
                  </w:pPr>
                </w:p>
                <w:p w14:paraId="6ECD1138" w14:textId="3B123D2A" w:rsidR="00353E61" w:rsidRPr="00353E61" w:rsidRDefault="00353E61" w:rsidP="00353E61">
                  <w:pPr>
                    <w:jc w:val="both"/>
                    <w:rPr>
                      <w:rFonts w:ascii="ITC Avant Garde" w:hAnsi="ITC Avant Garde"/>
                      <w:sz w:val="18"/>
                      <w:szCs w:val="18"/>
                    </w:rPr>
                  </w:pPr>
                  <w:r w:rsidRPr="00353E61">
                    <w:rPr>
                      <w:rFonts w:ascii="ITC Avant Garde" w:hAnsi="ITC Avant Garde"/>
                      <w:sz w:val="18"/>
                      <w:szCs w:val="18"/>
                    </w:rPr>
                    <w:t>La modificación de los Lineamientos no tiene ningún efecto negativo en el comercio nacional</w:t>
                  </w:r>
                  <w:r w:rsidR="0034530E">
                    <w:rPr>
                      <w:rFonts w:ascii="ITC Avant Garde" w:hAnsi="ITC Avant Garde"/>
                      <w:sz w:val="18"/>
                      <w:szCs w:val="18"/>
                    </w:rPr>
                    <w:t xml:space="preserve"> y sí permite una </w:t>
                  </w:r>
                  <w:r w:rsidRPr="00353E61">
                    <w:rPr>
                      <w:rFonts w:ascii="ITC Avant Garde" w:hAnsi="ITC Avant Garde"/>
                      <w:sz w:val="18"/>
                      <w:szCs w:val="18"/>
                    </w:rPr>
                    <w:t>alinea</w:t>
                  </w:r>
                  <w:r w:rsidR="0034530E">
                    <w:rPr>
                      <w:rFonts w:ascii="ITC Avant Garde" w:hAnsi="ITC Avant Garde"/>
                      <w:sz w:val="18"/>
                      <w:szCs w:val="18"/>
                    </w:rPr>
                    <w:t>ción de la regulación</w:t>
                  </w:r>
                  <w:r w:rsidRPr="00353E61">
                    <w:rPr>
                      <w:rFonts w:ascii="ITC Avant Garde" w:hAnsi="ITC Avant Garde"/>
                      <w:sz w:val="18"/>
                      <w:szCs w:val="18"/>
                    </w:rPr>
                    <w:t xml:space="preserve"> a la evolución del entorno digital de los últimos despliegues comerciales de voz a través de redes LTE (</w:t>
                  </w:r>
                  <w:proofErr w:type="spellStart"/>
                  <w:r w:rsidRPr="00353E61">
                    <w:rPr>
                      <w:rFonts w:ascii="ITC Avant Garde" w:hAnsi="ITC Avant Garde"/>
                      <w:sz w:val="18"/>
                      <w:szCs w:val="18"/>
                    </w:rPr>
                    <w:t>VoLTE</w:t>
                  </w:r>
                  <w:proofErr w:type="spellEnd"/>
                  <w:r w:rsidRPr="00353E61">
                    <w:rPr>
                      <w:rFonts w:ascii="ITC Avant Garde" w:hAnsi="ITC Avant Garde"/>
                      <w:sz w:val="18"/>
                      <w:szCs w:val="18"/>
                    </w:rPr>
                    <w:t>)</w:t>
                  </w:r>
                  <w:r>
                    <w:rPr>
                      <w:rFonts w:ascii="ITC Avant Garde" w:hAnsi="ITC Avant Garde"/>
                      <w:sz w:val="18"/>
                      <w:szCs w:val="18"/>
                    </w:rPr>
                    <w:t>.</w:t>
                  </w:r>
                </w:p>
                <w:p w14:paraId="5747BC2A" w14:textId="77777777" w:rsidR="00D02A3C" w:rsidRDefault="00D02A3C" w:rsidP="001979F8">
                  <w:pPr>
                    <w:jc w:val="both"/>
                    <w:rPr>
                      <w:rFonts w:ascii="ITC Avant Garde" w:hAnsi="ITC Avant Garde"/>
                      <w:sz w:val="18"/>
                      <w:szCs w:val="18"/>
                    </w:rPr>
                  </w:pPr>
                </w:p>
                <w:p w14:paraId="25E67629" w14:textId="0345E35C" w:rsidR="001979F8" w:rsidRPr="00DD06A0" w:rsidRDefault="001979F8" w:rsidP="001979F8">
                  <w:pPr>
                    <w:jc w:val="both"/>
                    <w:rPr>
                      <w:rFonts w:ascii="ITC Avant Garde" w:hAnsi="ITC Avant Garde"/>
                      <w:sz w:val="18"/>
                      <w:szCs w:val="18"/>
                    </w:rPr>
                  </w:pPr>
                </w:p>
              </w:tc>
            </w:tr>
          </w:tbl>
          <w:p w14:paraId="2F41FE9B" w14:textId="77777777" w:rsidR="002025CB" w:rsidRPr="00DD06A0" w:rsidRDefault="002025CB" w:rsidP="00225DA6">
            <w:pPr>
              <w:jc w:val="both"/>
              <w:rPr>
                <w:rFonts w:ascii="ITC Avant Garde" w:hAnsi="ITC Avant Garde"/>
                <w:sz w:val="18"/>
                <w:szCs w:val="18"/>
                <w:highlight w:val="yellow"/>
              </w:rPr>
            </w:pPr>
          </w:p>
        </w:tc>
      </w:tr>
    </w:tbl>
    <w:p w14:paraId="25CFE8BF" w14:textId="77777777" w:rsidR="003A3E18" w:rsidRPr="00DD06A0" w:rsidRDefault="003A3E18"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63D186D9" w14:textId="77777777" w:rsidTr="00A35A74">
        <w:tc>
          <w:tcPr>
            <w:tcW w:w="8828" w:type="dxa"/>
          </w:tcPr>
          <w:p w14:paraId="3420C101" w14:textId="77777777" w:rsidR="00A35A74" w:rsidRPr="00DD06A0" w:rsidRDefault="00A35A74" w:rsidP="00A35A74">
            <w:pPr>
              <w:jc w:val="both"/>
              <w:rPr>
                <w:rFonts w:ascii="ITC Avant Garde" w:hAnsi="ITC Avant Garde"/>
                <w:b/>
                <w:sz w:val="18"/>
                <w:szCs w:val="18"/>
              </w:rPr>
            </w:pPr>
            <w:r w:rsidRPr="008033FE">
              <w:rPr>
                <w:rFonts w:ascii="ITC Avant Garde" w:hAnsi="ITC Avant Garde"/>
                <w:b/>
                <w:sz w:val="18"/>
                <w:szCs w:val="18"/>
              </w:rPr>
              <w:t>1</w:t>
            </w:r>
            <w:r w:rsidR="00376614" w:rsidRPr="008033FE">
              <w:rPr>
                <w:rFonts w:ascii="ITC Avant Garde" w:hAnsi="ITC Avant Garde"/>
                <w:b/>
                <w:sz w:val="18"/>
                <w:szCs w:val="18"/>
              </w:rPr>
              <w:t>2</w:t>
            </w:r>
            <w:r w:rsidRPr="008033FE">
              <w:rPr>
                <w:rFonts w:ascii="ITC Avant Garde" w:hAnsi="ITC Avant Garde"/>
                <w:b/>
                <w:sz w:val="18"/>
                <w:szCs w:val="18"/>
              </w:rPr>
              <w:t>. Indique si la propuesta de</w:t>
            </w:r>
            <w:r w:rsidRPr="00DD06A0">
              <w:rPr>
                <w:rFonts w:ascii="ITC Avant Garde" w:hAnsi="ITC Avant Garde"/>
                <w:b/>
                <w:sz w:val="18"/>
                <w:szCs w:val="18"/>
              </w:rPr>
              <w:t xml:space="preserv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4D7215B5" w14:textId="77777777" w:rsidR="00497344" w:rsidRDefault="00497344" w:rsidP="00353E61">
            <w:pPr>
              <w:jc w:val="both"/>
              <w:rPr>
                <w:rFonts w:ascii="ITC Avant Garde" w:hAnsi="ITC Avant Garde"/>
                <w:sz w:val="18"/>
                <w:szCs w:val="18"/>
              </w:rPr>
            </w:pPr>
          </w:p>
          <w:p w14:paraId="1A91D4D4" w14:textId="244DDAE1" w:rsidR="00C7407A" w:rsidRDefault="00353E61" w:rsidP="00353E61">
            <w:pPr>
              <w:jc w:val="both"/>
              <w:rPr>
                <w:rFonts w:ascii="ITC Avant Garde" w:hAnsi="ITC Avant Garde"/>
                <w:sz w:val="18"/>
                <w:szCs w:val="18"/>
              </w:rPr>
            </w:pPr>
            <w:r w:rsidRPr="00353E61">
              <w:rPr>
                <w:rFonts w:ascii="ITC Avant Garde" w:hAnsi="ITC Avant Garde"/>
                <w:sz w:val="18"/>
                <w:szCs w:val="18"/>
              </w:rPr>
              <w:t xml:space="preserve">Desde la perspectiva del usuario final, la introducción de </w:t>
            </w:r>
            <w:proofErr w:type="spellStart"/>
            <w:r w:rsidRPr="00353E61">
              <w:rPr>
                <w:rFonts w:ascii="ITC Avant Garde" w:hAnsi="ITC Avant Garde"/>
                <w:sz w:val="18"/>
                <w:szCs w:val="18"/>
              </w:rPr>
              <w:t>VoLTE</w:t>
            </w:r>
            <w:proofErr w:type="spellEnd"/>
            <w:r w:rsidRPr="00353E61">
              <w:rPr>
                <w:rFonts w:ascii="ITC Avant Garde" w:hAnsi="ITC Avant Garde"/>
                <w:sz w:val="18"/>
                <w:szCs w:val="18"/>
              </w:rPr>
              <w:t xml:space="preserve"> en las redes móviles tiene un impacto en la calidad de servicio de extremo a extremo que ha sido reconocido por las recomendaciones internacionales emitidas por l</w:t>
            </w:r>
            <w:r w:rsidR="00817D98">
              <w:rPr>
                <w:rFonts w:ascii="ITC Avant Garde" w:hAnsi="ITC Avant Garde"/>
                <w:sz w:val="18"/>
                <w:szCs w:val="18"/>
              </w:rPr>
              <w:t>a</w:t>
            </w:r>
            <w:r w:rsidRPr="00353E61">
              <w:rPr>
                <w:rFonts w:ascii="ITC Avant Garde" w:hAnsi="ITC Avant Garde"/>
                <w:sz w:val="18"/>
                <w:szCs w:val="18"/>
              </w:rPr>
              <w:t xml:space="preserve"> UIT-T, así como las especificaciones técnicas del ETSI</w:t>
            </w:r>
            <w:r w:rsidR="00C7407A">
              <w:rPr>
                <w:rFonts w:ascii="ITC Avant Garde" w:hAnsi="ITC Avant Garde"/>
                <w:sz w:val="18"/>
                <w:szCs w:val="18"/>
              </w:rPr>
              <w:t xml:space="preserve">. </w:t>
            </w:r>
            <w:r w:rsidR="003A489B">
              <w:rPr>
                <w:rFonts w:ascii="ITC Avant Garde" w:hAnsi="ITC Avant Garde"/>
                <w:sz w:val="18"/>
                <w:szCs w:val="18"/>
              </w:rPr>
              <w:t>De esta manera, se otorga certeza a los prestadores del servicio móvil de que el marco normativo está alineado a la evolución tecnológica, así como a los estándares y recomendaciones internacionales más actuales.</w:t>
            </w:r>
          </w:p>
          <w:p w14:paraId="454BC8C2" w14:textId="25B90D27" w:rsidR="00C7407A" w:rsidRDefault="00C7407A" w:rsidP="00353E61">
            <w:pPr>
              <w:jc w:val="both"/>
              <w:rPr>
                <w:rFonts w:ascii="ITC Avant Garde" w:hAnsi="ITC Avant Garde"/>
                <w:sz w:val="18"/>
                <w:szCs w:val="18"/>
              </w:rPr>
            </w:pPr>
          </w:p>
          <w:p w14:paraId="473A68D5" w14:textId="41C7FD96" w:rsidR="00F6201C" w:rsidRDefault="00F6201C" w:rsidP="00353E61">
            <w:pPr>
              <w:jc w:val="both"/>
              <w:rPr>
                <w:rFonts w:ascii="ITC Avant Garde" w:hAnsi="ITC Avant Garde"/>
                <w:sz w:val="18"/>
                <w:szCs w:val="18"/>
              </w:rPr>
            </w:pPr>
            <w:r>
              <w:rPr>
                <w:rFonts w:ascii="ITC Avant Garde" w:hAnsi="ITC Avant Garde"/>
                <w:sz w:val="18"/>
                <w:szCs w:val="18"/>
              </w:rPr>
              <w:t>Por otro lado, el proyecto no implica ningún tipo de afectación</w:t>
            </w:r>
            <w:r w:rsidR="00BB6AC9">
              <w:rPr>
                <w:rFonts w:ascii="ITC Avant Garde" w:hAnsi="ITC Avant Garde"/>
                <w:sz w:val="18"/>
                <w:szCs w:val="18"/>
              </w:rPr>
              <w:t xml:space="preserve"> para los usuarios finales, considerando</w:t>
            </w:r>
            <w:r>
              <w:rPr>
                <w:rFonts w:ascii="ITC Avant Garde" w:hAnsi="ITC Avant Garde"/>
                <w:sz w:val="18"/>
                <w:szCs w:val="18"/>
              </w:rPr>
              <w:t xml:space="preserve"> lo s</w:t>
            </w:r>
            <w:r w:rsidRPr="00F6201C">
              <w:rPr>
                <w:rFonts w:ascii="ITC Avant Garde" w:hAnsi="ITC Avant Garde"/>
                <w:sz w:val="18"/>
                <w:szCs w:val="18"/>
              </w:rPr>
              <w:t xml:space="preserve">eñalado en el numeral IX del </w:t>
            </w:r>
            <w:r w:rsidRPr="00002CCD">
              <w:rPr>
                <w:rFonts w:ascii="ITC Avant Garde" w:hAnsi="ITC Avant Garde"/>
                <w:i/>
                <w:iCs/>
                <w:sz w:val="18"/>
                <w:szCs w:val="18"/>
              </w:rPr>
              <w:t xml:space="preserve">Acuerdo mediante el cual la Procuraduría Federal del Consumidor y el Instituto Federal de Telecomunicaciones determinan los derechos mínimos que deben incluirse en la carta a que hace referencia el artículo 191 de la Ley Federal de </w:t>
            </w:r>
            <w:r w:rsidRPr="00002CCD">
              <w:rPr>
                <w:rFonts w:ascii="ITC Avant Garde" w:hAnsi="ITC Avant Garde"/>
                <w:i/>
                <w:iCs/>
                <w:sz w:val="18"/>
                <w:szCs w:val="18"/>
              </w:rPr>
              <w:lastRenderedPageBreak/>
              <w:t>Telecomunicaciones y Radiodifusión</w:t>
            </w:r>
            <w:r w:rsidR="00817D98">
              <w:rPr>
                <w:rStyle w:val="Refdenotaalpie"/>
                <w:rFonts w:ascii="ITC Avant Garde" w:hAnsi="ITC Avant Garde"/>
                <w:sz w:val="18"/>
                <w:szCs w:val="18"/>
              </w:rPr>
              <w:footnoteReference w:id="15"/>
            </w:r>
            <w:r w:rsidR="00B840E7" w:rsidRPr="00002CCD">
              <w:rPr>
                <w:rFonts w:ascii="ITC Avant Garde" w:hAnsi="ITC Avant Garde"/>
                <w:sz w:val="18"/>
                <w:szCs w:val="18"/>
              </w:rPr>
              <w:t>,</w:t>
            </w:r>
            <w:r w:rsidR="00BB6AC9">
              <w:rPr>
                <w:rFonts w:ascii="ITC Avant Garde" w:hAnsi="ITC Avant Garde"/>
                <w:sz w:val="18"/>
                <w:szCs w:val="18"/>
              </w:rPr>
              <w:t xml:space="preserve"> en la cual</w:t>
            </w:r>
            <w:r w:rsidRPr="00F6201C">
              <w:rPr>
                <w:rFonts w:ascii="ITC Avant Garde" w:hAnsi="ITC Avant Garde"/>
                <w:sz w:val="18"/>
                <w:szCs w:val="18"/>
              </w:rPr>
              <w:t xml:space="preserve"> se aborda, de manera general, el derecho a la calidad en el servicio móvil que los usuarios tienen derecho a recibir</w:t>
            </w:r>
            <w:r w:rsidR="00BB6AC9">
              <w:rPr>
                <w:rFonts w:ascii="ITC Avant Garde" w:hAnsi="ITC Avant Garde"/>
                <w:sz w:val="18"/>
                <w:szCs w:val="18"/>
              </w:rPr>
              <w:t>.</w:t>
            </w:r>
          </w:p>
          <w:p w14:paraId="645107CA" w14:textId="77777777" w:rsidR="00F6201C" w:rsidRDefault="00F6201C" w:rsidP="00353E61">
            <w:pPr>
              <w:jc w:val="both"/>
              <w:rPr>
                <w:rFonts w:ascii="ITC Avant Garde" w:hAnsi="ITC Avant Garde"/>
                <w:sz w:val="18"/>
                <w:szCs w:val="18"/>
              </w:rPr>
            </w:pPr>
          </w:p>
          <w:p w14:paraId="621070BA" w14:textId="5B238E35" w:rsidR="00353E61" w:rsidRDefault="00C7407A" w:rsidP="00353E61">
            <w:pPr>
              <w:jc w:val="both"/>
              <w:rPr>
                <w:rFonts w:ascii="ITC Avant Garde" w:hAnsi="ITC Avant Garde"/>
                <w:sz w:val="18"/>
                <w:szCs w:val="18"/>
              </w:rPr>
            </w:pPr>
            <w:r>
              <w:rPr>
                <w:rFonts w:ascii="ITC Avant Garde" w:hAnsi="ITC Avant Garde"/>
                <w:sz w:val="18"/>
                <w:szCs w:val="18"/>
              </w:rPr>
              <w:t xml:space="preserve">Por </w:t>
            </w:r>
            <w:r w:rsidR="000346BC">
              <w:rPr>
                <w:rFonts w:ascii="ITC Avant Garde" w:hAnsi="ITC Avant Garde"/>
                <w:sz w:val="18"/>
                <w:szCs w:val="18"/>
              </w:rPr>
              <w:t>el</w:t>
            </w:r>
            <w:r>
              <w:rPr>
                <w:rFonts w:ascii="ITC Avant Garde" w:hAnsi="ITC Avant Garde"/>
                <w:sz w:val="18"/>
                <w:szCs w:val="18"/>
              </w:rPr>
              <w:t xml:space="preserve"> </w:t>
            </w:r>
            <w:r w:rsidR="000346BC">
              <w:rPr>
                <w:rFonts w:ascii="ITC Avant Garde" w:hAnsi="ITC Avant Garde"/>
                <w:sz w:val="18"/>
                <w:szCs w:val="18"/>
              </w:rPr>
              <w:t>contrario</w:t>
            </w:r>
            <w:r w:rsidR="00353E61" w:rsidRPr="00353E61">
              <w:rPr>
                <w:rFonts w:ascii="ITC Avant Garde" w:hAnsi="ITC Avant Garde"/>
                <w:sz w:val="18"/>
                <w:szCs w:val="18"/>
              </w:rPr>
              <w:t xml:space="preserve">, </w:t>
            </w:r>
            <w:r>
              <w:rPr>
                <w:rFonts w:ascii="ITC Avant Garde" w:hAnsi="ITC Avant Garde"/>
                <w:sz w:val="18"/>
                <w:szCs w:val="18"/>
              </w:rPr>
              <w:t>las modificaciones en</w:t>
            </w:r>
            <w:r w:rsidR="00353E61" w:rsidRPr="00353E61">
              <w:rPr>
                <w:rFonts w:ascii="ITC Avant Garde" w:hAnsi="ITC Avant Garde"/>
                <w:sz w:val="18"/>
                <w:szCs w:val="18"/>
              </w:rPr>
              <w:t xml:space="preserve"> los Lineamientos</w:t>
            </w:r>
            <w:r>
              <w:rPr>
                <w:rFonts w:ascii="ITC Avant Garde" w:hAnsi="ITC Avant Garde"/>
                <w:sz w:val="18"/>
                <w:szCs w:val="18"/>
              </w:rPr>
              <w:t xml:space="preserve"> refuerzan el derecho de los usuarios para recibir un servicio </w:t>
            </w:r>
            <w:r w:rsidR="00C14CA6">
              <w:rPr>
                <w:rFonts w:ascii="ITC Avant Garde" w:hAnsi="ITC Avant Garde"/>
                <w:sz w:val="18"/>
                <w:szCs w:val="18"/>
              </w:rPr>
              <w:t xml:space="preserve">móvil </w:t>
            </w:r>
            <w:r w:rsidR="003A489B">
              <w:rPr>
                <w:rFonts w:ascii="ITC Avant Garde" w:hAnsi="ITC Avant Garde"/>
                <w:sz w:val="18"/>
                <w:szCs w:val="18"/>
              </w:rPr>
              <w:t>con parámetros alineados a</w:t>
            </w:r>
            <w:r w:rsidR="00C14CA6">
              <w:rPr>
                <w:rFonts w:ascii="ITC Avant Garde" w:hAnsi="ITC Avant Garde"/>
                <w:sz w:val="18"/>
                <w:szCs w:val="18"/>
              </w:rPr>
              <w:t xml:space="preserve"> estándares </w:t>
            </w:r>
            <w:r w:rsidR="003A489B">
              <w:rPr>
                <w:rFonts w:ascii="ITC Avant Garde" w:hAnsi="ITC Avant Garde"/>
                <w:sz w:val="18"/>
                <w:szCs w:val="18"/>
              </w:rPr>
              <w:t xml:space="preserve">y recomendaciones internacionales </w:t>
            </w:r>
            <w:r w:rsidR="00C14CA6">
              <w:rPr>
                <w:rFonts w:ascii="ITC Avant Garde" w:hAnsi="ITC Avant Garde"/>
                <w:sz w:val="18"/>
                <w:szCs w:val="18"/>
              </w:rPr>
              <w:t>de</w:t>
            </w:r>
            <w:r>
              <w:rPr>
                <w:rFonts w:ascii="ITC Avant Garde" w:hAnsi="ITC Avant Garde"/>
                <w:sz w:val="18"/>
                <w:szCs w:val="18"/>
              </w:rPr>
              <w:t xml:space="preserve"> calidad</w:t>
            </w:r>
            <w:r w:rsidR="003A489B">
              <w:rPr>
                <w:rFonts w:ascii="ITC Avant Garde" w:hAnsi="ITC Avant Garde"/>
                <w:sz w:val="18"/>
                <w:szCs w:val="18"/>
              </w:rPr>
              <w:t xml:space="preserve"> de servicio</w:t>
            </w:r>
            <w:r w:rsidR="00C14CA6">
              <w:rPr>
                <w:rFonts w:ascii="ITC Avant Garde" w:hAnsi="ITC Avant Garde"/>
                <w:sz w:val="18"/>
                <w:szCs w:val="18"/>
              </w:rPr>
              <w:t xml:space="preserve">. </w:t>
            </w:r>
            <w:r w:rsidR="003A489B">
              <w:rPr>
                <w:rFonts w:ascii="ITC Avant Garde" w:hAnsi="ITC Avant Garde"/>
                <w:sz w:val="18"/>
                <w:szCs w:val="18"/>
              </w:rPr>
              <w:t xml:space="preserve">Sin embargo, la introducción de </w:t>
            </w:r>
            <w:proofErr w:type="spellStart"/>
            <w:r w:rsidR="003A489B">
              <w:rPr>
                <w:rFonts w:ascii="ITC Avant Garde" w:hAnsi="ITC Avant Garde"/>
                <w:sz w:val="18"/>
                <w:szCs w:val="18"/>
              </w:rPr>
              <w:t>VoLTE</w:t>
            </w:r>
            <w:proofErr w:type="spellEnd"/>
            <w:r w:rsidR="003A489B">
              <w:rPr>
                <w:rFonts w:ascii="ITC Avant Garde" w:hAnsi="ITC Avant Garde"/>
                <w:sz w:val="18"/>
                <w:szCs w:val="18"/>
              </w:rPr>
              <w:t xml:space="preserve"> en la red y, en su caso, el uso de CSFB</w:t>
            </w:r>
            <w:r w:rsidR="00507CCD">
              <w:rPr>
                <w:rFonts w:ascii="ITC Avant Garde" w:hAnsi="ITC Avant Garde"/>
                <w:sz w:val="18"/>
                <w:szCs w:val="18"/>
              </w:rPr>
              <w:t xml:space="preserve"> </w:t>
            </w:r>
            <w:r w:rsidR="003A489B">
              <w:rPr>
                <w:rFonts w:ascii="ITC Avant Garde" w:hAnsi="ITC Avant Garde"/>
                <w:sz w:val="18"/>
                <w:szCs w:val="18"/>
              </w:rPr>
              <w:t>cuando hay una convivencia de diversas tecnologías de acceso en una red, es</w:t>
            </w:r>
            <w:r>
              <w:rPr>
                <w:rFonts w:ascii="ITC Avant Garde" w:hAnsi="ITC Avant Garde"/>
                <w:sz w:val="18"/>
                <w:szCs w:val="18"/>
              </w:rPr>
              <w:t xml:space="preserve"> transparente </w:t>
            </w:r>
            <w:r w:rsidR="003A489B">
              <w:rPr>
                <w:rFonts w:ascii="ITC Avant Garde" w:hAnsi="ITC Avant Garde"/>
                <w:sz w:val="18"/>
                <w:szCs w:val="18"/>
              </w:rPr>
              <w:t>para los</w:t>
            </w:r>
            <w:r w:rsidR="00C14CA6">
              <w:rPr>
                <w:rFonts w:ascii="ITC Avant Garde" w:hAnsi="ITC Avant Garde"/>
                <w:sz w:val="18"/>
                <w:szCs w:val="18"/>
              </w:rPr>
              <w:t xml:space="preserve"> </w:t>
            </w:r>
            <w:r w:rsidR="003A489B">
              <w:rPr>
                <w:rFonts w:ascii="ITC Avant Garde" w:hAnsi="ITC Avant Garde"/>
                <w:sz w:val="18"/>
                <w:szCs w:val="18"/>
              </w:rPr>
              <w:t>usuarios finales.</w:t>
            </w:r>
            <w:r w:rsidR="00C14CA6">
              <w:rPr>
                <w:rFonts w:ascii="ITC Avant Garde" w:hAnsi="ITC Avant Garde"/>
                <w:sz w:val="18"/>
                <w:szCs w:val="18"/>
              </w:rPr>
              <w:t xml:space="preserve"> </w:t>
            </w:r>
          </w:p>
          <w:p w14:paraId="7D2DDF04" w14:textId="3D578830" w:rsidR="00353E61" w:rsidRPr="00DD06A0" w:rsidRDefault="00353E61" w:rsidP="00353E61">
            <w:pPr>
              <w:jc w:val="both"/>
              <w:rPr>
                <w:rFonts w:ascii="ITC Avant Garde" w:hAnsi="ITC Avant Garde"/>
                <w:sz w:val="18"/>
                <w:szCs w:val="18"/>
              </w:rPr>
            </w:pPr>
          </w:p>
        </w:tc>
      </w:tr>
    </w:tbl>
    <w:p w14:paraId="782F3055" w14:textId="77777777" w:rsidR="008933E4" w:rsidRPr="00DD06A0" w:rsidRDefault="008933E4" w:rsidP="00787A86">
      <w:pPr>
        <w:spacing w:after="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10B51FC9" w14:textId="77777777" w:rsidTr="00D500A9">
        <w:tc>
          <w:tcPr>
            <w:tcW w:w="8828" w:type="dxa"/>
          </w:tcPr>
          <w:p w14:paraId="455E3699" w14:textId="77777777" w:rsidR="00D500A9" w:rsidRPr="00DD06A0" w:rsidRDefault="00D500A9" w:rsidP="00225DA6">
            <w:pPr>
              <w:jc w:val="both"/>
              <w:rPr>
                <w:rFonts w:ascii="ITC Avant Garde" w:hAnsi="ITC Avant Garde"/>
                <w:b/>
                <w:sz w:val="18"/>
                <w:szCs w:val="18"/>
              </w:rPr>
            </w:pPr>
            <w:r w:rsidRPr="00196AE9">
              <w:rPr>
                <w:rFonts w:ascii="ITC Avant Garde" w:hAnsi="ITC Avant Garde"/>
                <w:b/>
                <w:sz w:val="18"/>
                <w:szCs w:val="18"/>
              </w:rPr>
              <w:t>1</w:t>
            </w:r>
            <w:r w:rsidR="00376614" w:rsidRPr="00196AE9">
              <w:rPr>
                <w:rFonts w:ascii="ITC Avant Garde" w:hAnsi="ITC Avant Garde"/>
                <w:b/>
                <w:sz w:val="18"/>
                <w:szCs w:val="18"/>
              </w:rPr>
              <w:t>3</w:t>
            </w:r>
            <w:r w:rsidRPr="00196AE9">
              <w:rPr>
                <w:rFonts w:ascii="ITC Avant Garde" w:hAnsi="ITC Avant Garde"/>
                <w:b/>
                <w:sz w:val="18"/>
                <w:szCs w:val="18"/>
              </w:rPr>
              <w:t>.- Indique, por grupo de</w:t>
            </w:r>
            <w:r w:rsidRPr="00DD06A0">
              <w:rPr>
                <w:rFonts w:ascii="ITC Avant Garde" w:hAnsi="ITC Avant Garde"/>
                <w:b/>
                <w:sz w:val="18"/>
                <w:szCs w:val="18"/>
              </w:rPr>
              <w:t xml:space="preserve"> población, los costos</w:t>
            </w:r>
            <w:r w:rsidR="00503ECB" w:rsidRPr="00DD06A0">
              <w:rPr>
                <w:rStyle w:val="Refdenotaalpie"/>
                <w:rFonts w:ascii="ITC Avant Garde" w:hAnsi="ITC Avant Garde"/>
                <w:b/>
                <w:sz w:val="18"/>
                <w:szCs w:val="18"/>
              </w:rPr>
              <w:footnoteReference w:id="16"/>
            </w:r>
            <w:r w:rsidRPr="00DD06A0">
              <w:rPr>
                <w:rFonts w:ascii="ITC Avant Garde" w:hAnsi="ITC Avant Garde"/>
                <w:b/>
                <w:sz w:val="18"/>
                <w:szCs w:val="18"/>
              </w:rPr>
              <w:t xml:space="preserve"> y los beneficios más significativos derivados de la propuesta de regulación. </w:t>
            </w:r>
          </w:p>
          <w:p w14:paraId="4A616007" w14:textId="77777777" w:rsidR="00D500A9" w:rsidRPr="00DD06A0"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3419"/>
              <w:gridCol w:w="1255"/>
              <w:gridCol w:w="1255"/>
              <w:gridCol w:w="1115"/>
            </w:tblGrid>
            <w:tr w:rsidR="00D500A9" w:rsidRPr="00DD06A0" w14:paraId="67F4228A" w14:textId="77777777" w:rsidTr="00B97AE9">
              <w:trPr>
                <w:jc w:val="center"/>
              </w:trPr>
              <w:tc>
                <w:tcPr>
                  <w:tcW w:w="8602" w:type="dxa"/>
                  <w:gridSpan w:val="5"/>
                  <w:tcBorders>
                    <w:bottom w:val="single" w:sz="4" w:space="0" w:color="auto"/>
                  </w:tcBorders>
                  <w:shd w:val="clear" w:color="auto" w:fill="A8D08D" w:themeFill="accent6" w:themeFillTint="99"/>
                </w:tcPr>
                <w:p w14:paraId="14ADBB3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334A5B" w:rsidRPr="00DD06A0" w14:paraId="5F4A0BE7" w14:textId="77777777" w:rsidTr="008239A6">
              <w:trPr>
                <w:jc w:val="center"/>
              </w:trPr>
              <w:tc>
                <w:tcPr>
                  <w:tcW w:w="1558" w:type="dxa"/>
                  <w:tcBorders>
                    <w:bottom w:val="single" w:sz="4" w:space="0" w:color="auto"/>
                  </w:tcBorders>
                  <w:shd w:val="clear" w:color="auto" w:fill="A8D08D" w:themeFill="accent6" w:themeFillTint="99"/>
                  <w:vAlign w:val="center"/>
                </w:tcPr>
                <w:p w14:paraId="1BDE081D"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Población</w:t>
                  </w:r>
                </w:p>
              </w:tc>
              <w:tc>
                <w:tcPr>
                  <w:tcW w:w="3419" w:type="dxa"/>
                  <w:tcBorders>
                    <w:bottom w:val="single" w:sz="4" w:space="0" w:color="auto"/>
                  </w:tcBorders>
                  <w:shd w:val="clear" w:color="auto" w:fill="A8D08D" w:themeFill="accent6" w:themeFillTint="99"/>
                  <w:vAlign w:val="center"/>
                </w:tcPr>
                <w:p w14:paraId="2FE9FD4E"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Descripción</w:t>
                  </w:r>
                </w:p>
              </w:tc>
              <w:tc>
                <w:tcPr>
                  <w:tcW w:w="1255" w:type="dxa"/>
                  <w:tcBorders>
                    <w:bottom w:val="single" w:sz="4" w:space="0" w:color="auto"/>
                  </w:tcBorders>
                  <w:shd w:val="clear" w:color="auto" w:fill="A8D08D" w:themeFill="accent6" w:themeFillTint="99"/>
                  <w:vAlign w:val="center"/>
                </w:tcPr>
                <w:p w14:paraId="3EA758BA"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Costos</w:t>
                  </w:r>
                </w:p>
              </w:tc>
              <w:tc>
                <w:tcPr>
                  <w:tcW w:w="1255" w:type="dxa"/>
                  <w:tcBorders>
                    <w:bottom w:val="single" w:sz="2" w:space="0" w:color="auto"/>
                  </w:tcBorders>
                  <w:shd w:val="clear" w:color="auto" w:fill="A8D08D" w:themeFill="accent6" w:themeFillTint="99"/>
                  <w:vAlign w:val="center"/>
                </w:tcPr>
                <w:p w14:paraId="3503A4AC"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Beneficios</w:t>
                  </w:r>
                </w:p>
              </w:tc>
              <w:tc>
                <w:tcPr>
                  <w:tcW w:w="1115" w:type="dxa"/>
                  <w:shd w:val="clear" w:color="auto" w:fill="A8D08D" w:themeFill="accent6" w:themeFillTint="99"/>
                  <w:vAlign w:val="center"/>
                </w:tcPr>
                <w:p w14:paraId="67D130CD"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Beneficio Neto</w:t>
                  </w:r>
                </w:p>
              </w:tc>
            </w:tr>
            <w:tr w:rsidR="00334A5B" w:rsidRPr="00DD06A0" w14:paraId="19DE55FB" w14:textId="77777777" w:rsidTr="008239A6">
              <w:trPr>
                <w:jc w:val="center"/>
              </w:trPr>
              <w:tc>
                <w:tcPr>
                  <w:tcW w:w="1558" w:type="dxa"/>
                  <w:tcBorders>
                    <w:top w:val="single" w:sz="4" w:space="0" w:color="auto"/>
                    <w:left w:val="single" w:sz="4" w:space="0" w:color="auto"/>
                    <w:bottom w:val="single" w:sz="4" w:space="0" w:color="auto"/>
                    <w:right w:val="single" w:sz="4" w:space="0" w:color="auto"/>
                  </w:tcBorders>
                </w:tcPr>
                <w:p w14:paraId="36B7782E" w14:textId="37CAC7D8" w:rsidR="00D500A9" w:rsidRPr="002178DE" w:rsidRDefault="00000000"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334A5B" w:rsidRPr="002178DE">
                        <w:rPr>
                          <w:rFonts w:ascii="ITC Avant Garde" w:hAnsi="ITC Avant Garde"/>
                          <w:sz w:val="18"/>
                          <w:szCs w:val="18"/>
                        </w:rPr>
                        <w:t>Concesionarios</w:t>
                      </w:r>
                    </w:sdtContent>
                  </w:sdt>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5B1468FA" w14:textId="26DC8A55" w:rsidR="000C3151" w:rsidRDefault="008239A6" w:rsidP="000C3151">
                  <w:pPr>
                    <w:autoSpaceDE w:val="0"/>
                    <w:autoSpaceDN w:val="0"/>
                    <w:adjustRightInd w:val="0"/>
                    <w:jc w:val="both"/>
                    <w:rPr>
                      <w:rFonts w:ascii="ITC Avant Garde" w:hAnsi="ITC Avant Garde" w:cs="Arial"/>
                      <w:sz w:val="18"/>
                      <w:szCs w:val="18"/>
                    </w:rPr>
                  </w:pPr>
                  <w:r w:rsidRPr="00196AE9">
                    <w:rPr>
                      <w:rFonts w:ascii="ITC Avant Garde" w:hAnsi="ITC Avant Garde" w:cs="Arial"/>
                      <w:sz w:val="18"/>
                      <w:szCs w:val="18"/>
                    </w:rPr>
                    <w:t>L</w:t>
                  </w:r>
                  <w:r w:rsidR="000C3151" w:rsidRPr="00196AE9">
                    <w:rPr>
                      <w:rFonts w:ascii="ITC Avant Garde" w:hAnsi="ITC Avant Garde" w:cs="Arial"/>
                      <w:sz w:val="18"/>
                      <w:szCs w:val="18"/>
                    </w:rPr>
                    <w:t>os prestadores del servicio móvil</w:t>
                  </w:r>
                  <w:r w:rsidR="00903916" w:rsidRPr="00196AE9">
                    <w:rPr>
                      <w:rFonts w:ascii="ITC Avant Garde" w:hAnsi="ITC Avant Garde" w:cs="Arial"/>
                      <w:sz w:val="18"/>
                      <w:szCs w:val="18"/>
                    </w:rPr>
                    <w:t xml:space="preserve"> en Mé</w:t>
                  </w:r>
                  <w:r w:rsidR="00E70DA4" w:rsidRPr="00196AE9">
                    <w:rPr>
                      <w:rFonts w:ascii="ITC Avant Garde" w:hAnsi="ITC Avant Garde" w:cs="Arial"/>
                      <w:sz w:val="18"/>
                      <w:szCs w:val="18"/>
                    </w:rPr>
                    <w:t>x</w:t>
                  </w:r>
                  <w:r w:rsidR="00903916" w:rsidRPr="00196AE9">
                    <w:rPr>
                      <w:rFonts w:ascii="ITC Avant Garde" w:hAnsi="ITC Avant Garde" w:cs="Arial"/>
                      <w:sz w:val="18"/>
                      <w:szCs w:val="18"/>
                    </w:rPr>
                    <w:t>i</w:t>
                  </w:r>
                  <w:r w:rsidR="00E70DA4" w:rsidRPr="00196AE9">
                    <w:rPr>
                      <w:rFonts w:ascii="ITC Avant Garde" w:hAnsi="ITC Avant Garde" w:cs="Arial"/>
                      <w:sz w:val="18"/>
                      <w:szCs w:val="18"/>
                    </w:rPr>
                    <w:t>c</w:t>
                  </w:r>
                  <w:r w:rsidR="00903916" w:rsidRPr="00196AE9">
                    <w:rPr>
                      <w:rFonts w:ascii="ITC Avant Garde" w:hAnsi="ITC Avant Garde" w:cs="Arial"/>
                      <w:sz w:val="18"/>
                      <w:szCs w:val="18"/>
                    </w:rPr>
                    <w:t>o</w:t>
                  </w:r>
                  <w:r w:rsidR="000C3151" w:rsidRPr="00196AE9">
                    <w:rPr>
                      <w:rFonts w:ascii="ITC Avant Garde" w:hAnsi="ITC Avant Garde" w:cs="Arial"/>
                      <w:sz w:val="18"/>
                      <w:szCs w:val="18"/>
                    </w:rPr>
                    <w:t xml:space="preserve"> han realizado actualizaciones</w:t>
                  </w:r>
                  <w:r w:rsidRPr="00196AE9">
                    <w:rPr>
                      <w:rFonts w:ascii="ITC Avant Garde" w:hAnsi="ITC Avant Garde" w:cs="Arial"/>
                      <w:sz w:val="18"/>
                      <w:szCs w:val="18"/>
                    </w:rPr>
                    <w:t xml:space="preserve"> progresivas</w:t>
                  </w:r>
                  <w:r w:rsidR="000C3151" w:rsidRPr="00196AE9">
                    <w:rPr>
                      <w:rFonts w:ascii="ITC Avant Garde" w:hAnsi="ITC Avant Garde" w:cs="Arial"/>
                      <w:sz w:val="18"/>
                      <w:szCs w:val="18"/>
                    </w:rPr>
                    <w:t xml:space="preserve"> en sus redes y han transitado a nuevas tecnologías de acceso. Por esta </w:t>
                  </w:r>
                  <w:r w:rsidR="00E70DA4" w:rsidRPr="00196AE9">
                    <w:rPr>
                      <w:rFonts w:ascii="ITC Avant Garde" w:hAnsi="ITC Avant Garde" w:cs="Arial"/>
                      <w:sz w:val="18"/>
                      <w:szCs w:val="18"/>
                    </w:rPr>
                    <w:t>razón, se</w:t>
                  </w:r>
                  <w:r w:rsidR="000C3151" w:rsidRPr="00196AE9">
                    <w:rPr>
                      <w:rFonts w:ascii="ITC Avant Garde" w:hAnsi="ITC Avant Garde" w:cs="Arial"/>
                      <w:sz w:val="18"/>
                      <w:szCs w:val="18"/>
                    </w:rPr>
                    <w:t xml:space="preserve"> ha observado el apagado de redes 2G y 3G para abrir paso a nuevas tecnologías de acceso como son las redes 4G y 5G.</w:t>
                  </w:r>
                </w:p>
                <w:p w14:paraId="75B39B58" w14:textId="77777777" w:rsidR="00196AE9" w:rsidRPr="00196AE9" w:rsidRDefault="00196AE9" w:rsidP="000C3151">
                  <w:pPr>
                    <w:autoSpaceDE w:val="0"/>
                    <w:autoSpaceDN w:val="0"/>
                    <w:adjustRightInd w:val="0"/>
                    <w:jc w:val="both"/>
                    <w:rPr>
                      <w:rFonts w:ascii="ITC Avant Garde" w:hAnsi="ITC Avant Garde" w:cs="Arial"/>
                      <w:sz w:val="18"/>
                      <w:szCs w:val="18"/>
                    </w:rPr>
                  </w:pPr>
                </w:p>
                <w:p w14:paraId="1817BB73" w14:textId="6D2B27BF" w:rsidR="00EC4073" w:rsidRPr="00196AE9" w:rsidRDefault="00EC4073" w:rsidP="000C3151">
                  <w:pPr>
                    <w:autoSpaceDE w:val="0"/>
                    <w:autoSpaceDN w:val="0"/>
                    <w:adjustRightInd w:val="0"/>
                    <w:jc w:val="both"/>
                    <w:rPr>
                      <w:rFonts w:ascii="ITC Avant Garde" w:hAnsi="ITC Avant Garde" w:cs="Arial"/>
                      <w:sz w:val="18"/>
                      <w:szCs w:val="18"/>
                    </w:rPr>
                  </w:pPr>
                  <w:r w:rsidRPr="00196AE9">
                    <w:rPr>
                      <w:rFonts w:ascii="ITC Avant Garde" w:hAnsi="ITC Avant Garde" w:cs="Arial"/>
                      <w:sz w:val="18"/>
                      <w:szCs w:val="18"/>
                    </w:rPr>
                    <w:t xml:space="preserve">Adicional a lo anterior, los prestadores del servicio móvil han introducido el servicio de voz sobre LTE o </w:t>
                  </w:r>
                  <w:proofErr w:type="spellStart"/>
                  <w:r w:rsidRPr="00196AE9">
                    <w:rPr>
                      <w:rFonts w:ascii="ITC Avant Garde" w:hAnsi="ITC Avant Garde" w:cs="Arial"/>
                      <w:sz w:val="18"/>
                      <w:szCs w:val="18"/>
                    </w:rPr>
                    <w:t>VoLTE</w:t>
                  </w:r>
                  <w:proofErr w:type="spellEnd"/>
                  <w:r w:rsidRPr="00196AE9">
                    <w:rPr>
                      <w:rFonts w:ascii="ITC Avant Garde" w:hAnsi="ITC Avant Garde" w:cs="Arial"/>
                      <w:sz w:val="18"/>
                      <w:szCs w:val="18"/>
                    </w:rPr>
                    <w:t xml:space="preserve"> que se refiere al servicio de </w:t>
                  </w:r>
                  <w:r w:rsidR="007E55FC" w:rsidRPr="00196AE9">
                    <w:rPr>
                      <w:rFonts w:ascii="ITC Avant Garde" w:hAnsi="ITC Avant Garde" w:cs="Arial"/>
                      <w:sz w:val="18"/>
                      <w:szCs w:val="18"/>
                    </w:rPr>
                    <w:t>voz</w:t>
                  </w:r>
                  <w:r w:rsidR="00C33686">
                    <w:rPr>
                      <w:rFonts w:ascii="ITC Avant Garde" w:hAnsi="ITC Avant Garde" w:cs="Arial"/>
                      <w:sz w:val="18"/>
                      <w:szCs w:val="18"/>
                    </w:rPr>
                    <w:t xml:space="preserve"> </w:t>
                  </w:r>
                  <w:r w:rsidRPr="00196AE9">
                    <w:rPr>
                      <w:rFonts w:ascii="ITC Avant Garde" w:hAnsi="ITC Avant Garde" w:cs="Arial"/>
                      <w:sz w:val="18"/>
                      <w:szCs w:val="18"/>
                    </w:rPr>
                    <w:t xml:space="preserve">bajo el esquema de conmutación de paquetes, es decir, bajo una arquitectura de red IP. Dado que el servicio de </w:t>
                  </w:r>
                  <w:proofErr w:type="spellStart"/>
                  <w:r w:rsidRPr="00196AE9">
                    <w:rPr>
                      <w:rFonts w:ascii="ITC Avant Garde" w:hAnsi="ITC Avant Garde" w:cs="Arial"/>
                      <w:sz w:val="18"/>
                      <w:szCs w:val="18"/>
                    </w:rPr>
                    <w:t>VoLTE</w:t>
                  </w:r>
                  <w:proofErr w:type="spellEnd"/>
                  <w:r w:rsidRPr="00196AE9">
                    <w:rPr>
                      <w:rFonts w:ascii="ITC Avant Garde" w:hAnsi="ITC Avant Garde" w:cs="Arial"/>
                      <w:sz w:val="18"/>
                      <w:szCs w:val="18"/>
                    </w:rPr>
                    <w:t xml:space="preserve"> y, en general, la tecnología 4G no se encuentra disponible en la totalidad de la cobertura de las redes, en ocasiones las llamadas tienen que ser cursadas por las redes 3G o 2G (CSFB) cuando la cobertura se sobrepone con 4G o 5G. </w:t>
                  </w:r>
                  <w:r w:rsidR="00C33686">
                    <w:rPr>
                      <w:rFonts w:ascii="ITC Avant Garde" w:hAnsi="ITC Avant Garde" w:cs="Arial"/>
                      <w:sz w:val="18"/>
                      <w:szCs w:val="18"/>
                    </w:rPr>
                    <w:t>En los casos que</w:t>
                  </w:r>
                  <w:r w:rsidRPr="00196AE9">
                    <w:rPr>
                      <w:rFonts w:ascii="ITC Avant Garde" w:hAnsi="ITC Avant Garde" w:cs="Arial"/>
                      <w:sz w:val="18"/>
                      <w:szCs w:val="18"/>
                    </w:rPr>
                    <w:t xml:space="preserve"> sólo </w:t>
                  </w:r>
                  <w:r w:rsidR="00C33686">
                    <w:rPr>
                      <w:rFonts w:ascii="ITC Avant Garde" w:hAnsi="ITC Avant Garde" w:cs="Arial"/>
                      <w:sz w:val="18"/>
                      <w:szCs w:val="18"/>
                    </w:rPr>
                    <w:t>exista</w:t>
                  </w:r>
                  <w:r w:rsidRPr="00196AE9">
                    <w:rPr>
                      <w:rFonts w:ascii="ITC Avant Garde" w:hAnsi="ITC Avant Garde" w:cs="Arial"/>
                      <w:sz w:val="18"/>
                      <w:szCs w:val="18"/>
                    </w:rPr>
                    <w:t xml:space="preserve"> cobertura 2G o 3G, las llamadas se </w:t>
                  </w:r>
                  <w:r w:rsidR="007E55FC" w:rsidRPr="00196AE9">
                    <w:rPr>
                      <w:rFonts w:ascii="ITC Avant Garde" w:hAnsi="ITC Avant Garde" w:cs="Arial"/>
                      <w:sz w:val="18"/>
                      <w:szCs w:val="18"/>
                    </w:rPr>
                    <w:t>cursarán</w:t>
                  </w:r>
                  <w:r w:rsidRPr="00196AE9">
                    <w:rPr>
                      <w:rFonts w:ascii="ITC Avant Garde" w:hAnsi="ITC Avant Garde" w:cs="Arial"/>
                      <w:sz w:val="18"/>
                      <w:szCs w:val="18"/>
                    </w:rPr>
                    <w:t xml:space="preserve"> como llamadas de voz a través de conmutación de circuitos (como tradicionalmente se han llevado a cabo).</w:t>
                  </w:r>
                </w:p>
                <w:p w14:paraId="0B155815" w14:textId="77777777" w:rsidR="00E92786" w:rsidRPr="00196AE9" w:rsidRDefault="00E92786" w:rsidP="00E92786">
                  <w:pPr>
                    <w:autoSpaceDE w:val="0"/>
                    <w:autoSpaceDN w:val="0"/>
                    <w:adjustRightInd w:val="0"/>
                    <w:jc w:val="both"/>
                    <w:rPr>
                      <w:rFonts w:ascii="ITC Avant Garde" w:hAnsi="ITC Avant Garde" w:cs="Arial"/>
                      <w:sz w:val="18"/>
                      <w:szCs w:val="18"/>
                    </w:rPr>
                  </w:pPr>
                </w:p>
                <w:p w14:paraId="056557B5" w14:textId="02FFC946" w:rsidR="00E92786" w:rsidRPr="00196AE9" w:rsidRDefault="00C33686" w:rsidP="00E92786">
                  <w:pPr>
                    <w:autoSpaceDE w:val="0"/>
                    <w:autoSpaceDN w:val="0"/>
                    <w:adjustRightInd w:val="0"/>
                    <w:jc w:val="both"/>
                    <w:rPr>
                      <w:rFonts w:ascii="Arial" w:hAnsi="Arial" w:cs="Arial"/>
                      <w:sz w:val="20"/>
                      <w:szCs w:val="20"/>
                    </w:rPr>
                  </w:pPr>
                  <w:r>
                    <w:rPr>
                      <w:rFonts w:ascii="ITC Avant Garde" w:hAnsi="ITC Avant Garde" w:cs="Arial"/>
                      <w:sz w:val="18"/>
                      <w:szCs w:val="18"/>
                    </w:rPr>
                    <w:t>Ahora bien, la</w:t>
                  </w:r>
                  <w:r w:rsidR="00EC4073" w:rsidRPr="00196AE9">
                    <w:rPr>
                      <w:rFonts w:ascii="ITC Avant Garde" w:hAnsi="ITC Avant Garde" w:cs="Arial"/>
                      <w:sz w:val="18"/>
                      <w:szCs w:val="18"/>
                    </w:rPr>
                    <w:t xml:space="preserve"> actualización de los lineamientos considera un</w:t>
                  </w:r>
                  <w:r w:rsidR="00E92786" w:rsidRPr="00196AE9">
                    <w:rPr>
                      <w:rFonts w:ascii="ITC Avant Garde" w:hAnsi="ITC Avant Garde" w:cs="Arial"/>
                      <w:sz w:val="18"/>
                      <w:szCs w:val="18"/>
                    </w:rPr>
                    <w:t xml:space="preserve"> tiempo adicional que se agrega al tiempo de establecimiento de llamada, ya que hay mensajes de señalización que deben ser intercambiados a distintos niveles de la red y que la recomendación G.1028</w:t>
                  </w:r>
                  <w:r w:rsidR="00EC4073" w:rsidRPr="00196AE9">
                    <w:rPr>
                      <w:rStyle w:val="Refdenotaalpie"/>
                      <w:rFonts w:ascii="ITC Avant Garde" w:hAnsi="ITC Avant Garde" w:cs="Arial"/>
                      <w:sz w:val="18"/>
                      <w:szCs w:val="18"/>
                    </w:rPr>
                    <w:footnoteReference w:id="17"/>
                  </w:r>
                  <w:r w:rsidR="00E92786" w:rsidRPr="00196AE9">
                    <w:rPr>
                      <w:rFonts w:ascii="ITC Avant Garde" w:hAnsi="ITC Avant Garde" w:cs="Arial"/>
                      <w:sz w:val="18"/>
                      <w:szCs w:val="18"/>
                    </w:rPr>
                    <w:t xml:space="preserve"> identifica con una referencia de 6 segundos (considerando únicamente el lado que origina la llamada). Tomando como referencia el tiempo para el CSFB establecido en la recomendación G.1028 y considerando que tanto el lado que origina la llamada como el que la recibe pudieran agotar un proceso de CSFB para establecer la llamada, se estim</w:t>
                  </w:r>
                  <w:r w:rsidR="00EC4073" w:rsidRPr="00196AE9">
                    <w:rPr>
                      <w:rFonts w:ascii="ITC Avant Garde" w:hAnsi="ITC Avant Garde" w:cs="Arial"/>
                      <w:sz w:val="18"/>
                      <w:szCs w:val="18"/>
                    </w:rPr>
                    <w:t>ó</w:t>
                  </w:r>
                  <w:r w:rsidR="00E92786" w:rsidRPr="00196AE9">
                    <w:rPr>
                      <w:rFonts w:ascii="ITC Avant Garde" w:hAnsi="ITC Avant Garde" w:cs="Arial"/>
                      <w:sz w:val="18"/>
                      <w:szCs w:val="18"/>
                    </w:rPr>
                    <w:t xml:space="preserve"> necesario aumentar en 12 segundos el tiempo máximo de establecimiento de llamada para considerarla como fallida. Por lo tanto, se contempla un tiempo máximo de establecimiento de llamada de </w:t>
                  </w:r>
                  <w:r w:rsidR="00EC4073" w:rsidRPr="00196AE9">
                    <w:rPr>
                      <w:rFonts w:ascii="ITC Avant Garde" w:hAnsi="ITC Avant Garde" w:cs="Arial"/>
                      <w:sz w:val="18"/>
                      <w:szCs w:val="18"/>
                    </w:rPr>
                    <w:t xml:space="preserve">(6+6+8) </w:t>
                  </w:r>
                  <w:r w:rsidR="00E92786" w:rsidRPr="00196AE9">
                    <w:rPr>
                      <w:rFonts w:ascii="ITC Avant Garde" w:hAnsi="ITC Avant Garde" w:cs="Arial"/>
                      <w:sz w:val="18"/>
                      <w:szCs w:val="18"/>
                    </w:rPr>
                    <w:t>20 segundos</w:t>
                  </w:r>
                  <w:r w:rsidR="00EC4073" w:rsidRPr="00196AE9">
                    <w:rPr>
                      <w:rFonts w:ascii="ITC Avant Garde" w:hAnsi="ITC Avant Garde" w:cs="Arial"/>
                      <w:sz w:val="18"/>
                      <w:szCs w:val="18"/>
                    </w:rPr>
                    <w:t>.</w:t>
                  </w:r>
                  <w:r w:rsidR="00E92786" w:rsidRPr="00196AE9">
                    <w:rPr>
                      <w:rFonts w:ascii="Arial" w:hAnsi="Arial" w:cs="Arial"/>
                      <w:sz w:val="20"/>
                      <w:szCs w:val="20"/>
                    </w:rPr>
                    <w:t xml:space="preserve"> </w:t>
                  </w:r>
                </w:p>
                <w:p w14:paraId="0DE99D61" w14:textId="56474AA9" w:rsidR="002A7194" w:rsidRPr="00196AE9" w:rsidRDefault="002A7194" w:rsidP="00E92786">
                  <w:pPr>
                    <w:autoSpaceDE w:val="0"/>
                    <w:autoSpaceDN w:val="0"/>
                    <w:adjustRightInd w:val="0"/>
                    <w:jc w:val="both"/>
                    <w:rPr>
                      <w:rFonts w:ascii="ITC Avant Garde" w:hAnsi="ITC Avant Garde" w:cs="Arial"/>
                      <w:sz w:val="18"/>
                      <w:szCs w:val="18"/>
                    </w:rPr>
                  </w:pPr>
                </w:p>
                <w:p w14:paraId="525001AB" w14:textId="21CEA806" w:rsidR="002A7194" w:rsidRPr="00196AE9" w:rsidRDefault="002A7194" w:rsidP="00E92786">
                  <w:pPr>
                    <w:autoSpaceDE w:val="0"/>
                    <w:autoSpaceDN w:val="0"/>
                    <w:adjustRightInd w:val="0"/>
                    <w:jc w:val="both"/>
                    <w:rPr>
                      <w:rFonts w:ascii="ITC Avant Garde" w:hAnsi="ITC Avant Garde" w:cs="Arial"/>
                      <w:sz w:val="18"/>
                      <w:szCs w:val="18"/>
                    </w:rPr>
                  </w:pPr>
                  <w:r w:rsidRPr="00196AE9">
                    <w:rPr>
                      <w:rFonts w:ascii="ITC Avant Garde" w:hAnsi="ITC Avant Garde" w:cs="Arial"/>
                      <w:sz w:val="18"/>
                      <w:szCs w:val="18"/>
                    </w:rPr>
                    <w:t xml:space="preserve">En resumen, </w:t>
                  </w:r>
                  <w:r w:rsidR="00EC4073" w:rsidRPr="00196AE9">
                    <w:rPr>
                      <w:rFonts w:ascii="ITC Avant Garde" w:hAnsi="ITC Avant Garde" w:cs="Arial"/>
                      <w:sz w:val="18"/>
                      <w:szCs w:val="18"/>
                    </w:rPr>
                    <w:t>dado que la modificación a los lineamientos considera el</w:t>
                  </w:r>
                  <w:r w:rsidR="001D2147" w:rsidRPr="00196AE9">
                    <w:rPr>
                      <w:rFonts w:ascii="ITC Avant Garde" w:hAnsi="ITC Avant Garde" w:cs="Arial"/>
                      <w:sz w:val="18"/>
                      <w:szCs w:val="18"/>
                    </w:rPr>
                    <w:t xml:space="preserve"> actual</w:t>
                  </w:r>
                  <w:r w:rsidRPr="00196AE9">
                    <w:rPr>
                      <w:rFonts w:ascii="ITC Avant Garde" w:hAnsi="ITC Avant Garde" w:cs="Arial"/>
                      <w:sz w:val="18"/>
                      <w:szCs w:val="18"/>
                    </w:rPr>
                    <w:t xml:space="preserve"> modo de funcionamiento de las distintas redes de los prestadores que ofrecen el servicio móvil en México, el cual se trata de un proceso bien definido por estándares </w:t>
                  </w:r>
                  <w:r w:rsidR="001D2147" w:rsidRPr="00196AE9">
                    <w:rPr>
                      <w:rFonts w:ascii="ITC Avant Garde" w:hAnsi="ITC Avant Garde" w:cs="Arial"/>
                      <w:sz w:val="18"/>
                      <w:szCs w:val="18"/>
                    </w:rPr>
                    <w:t xml:space="preserve">aplicable </w:t>
                  </w:r>
                  <w:r w:rsidRPr="00196AE9">
                    <w:rPr>
                      <w:rFonts w:ascii="ITC Avant Garde" w:hAnsi="ITC Avant Garde" w:cs="Arial"/>
                      <w:sz w:val="18"/>
                      <w:szCs w:val="18"/>
                    </w:rPr>
                    <w:t xml:space="preserve">para aquellos escenarios en los que </w:t>
                  </w:r>
                  <w:r w:rsidR="001D2147" w:rsidRPr="00196AE9">
                    <w:rPr>
                      <w:rFonts w:ascii="ITC Avant Garde" w:hAnsi="ITC Avant Garde" w:cs="Arial"/>
                      <w:sz w:val="18"/>
                      <w:szCs w:val="18"/>
                    </w:rPr>
                    <w:t xml:space="preserve">aún </w:t>
                  </w:r>
                  <w:r w:rsidRPr="00196AE9">
                    <w:rPr>
                      <w:rFonts w:ascii="ITC Avant Garde" w:hAnsi="ITC Avant Garde" w:cs="Arial"/>
                      <w:sz w:val="18"/>
                      <w:szCs w:val="18"/>
                    </w:rPr>
                    <w:t>se tenga una convivencia de varias tecnologías de acceso</w:t>
                  </w:r>
                  <w:r w:rsidR="00EC4073" w:rsidRPr="00196AE9">
                    <w:rPr>
                      <w:rFonts w:ascii="ITC Avant Garde" w:hAnsi="ITC Avant Garde" w:cs="Arial"/>
                      <w:sz w:val="18"/>
                      <w:szCs w:val="18"/>
                    </w:rPr>
                    <w:t>,</w:t>
                  </w:r>
                  <w:r w:rsidRPr="00196AE9">
                    <w:rPr>
                      <w:rFonts w:ascii="ITC Avant Garde" w:hAnsi="ITC Avant Garde" w:cs="Arial"/>
                      <w:sz w:val="18"/>
                      <w:szCs w:val="18"/>
                    </w:rPr>
                    <w:t xml:space="preserve"> </w:t>
                  </w:r>
                  <w:r w:rsidR="001D2147" w:rsidRPr="00196AE9">
                    <w:rPr>
                      <w:rFonts w:ascii="ITC Avant Garde" w:hAnsi="ITC Avant Garde" w:cs="Arial"/>
                      <w:sz w:val="18"/>
                      <w:szCs w:val="18"/>
                    </w:rPr>
                    <w:t xml:space="preserve">se considera </w:t>
                  </w:r>
                  <w:r w:rsidR="00EC4073" w:rsidRPr="00196AE9">
                    <w:rPr>
                      <w:rFonts w:ascii="ITC Avant Garde" w:hAnsi="ITC Avant Garde" w:cs="Arial"/>
                      <w:sz w:val="18"/>
                      <w:szCs w:val="18"/>
                    </w:rPr>
                    <w:t xml:space="preserve">que </w:t>
                  </w:r>
                  <w:r w:rsidR="001D2147" w:rsidRPr="00196AE9">
                    <w:rPr>
                      <w:rFonts w:ascii="ITC Avant Garde" w:hAnsi="ITC Avant Garde" w:cs="Arial"/>
                      <w:sz w:val="18"/>
                      <w:szCs w:val="18"/>
                    </w:rPr>
                    <w:t>no existe un costo adicional que los prestadores del servicio tengan que incurrir, ya que sus redes operan bajo estos estándares</w:t>
                  </w:r>
                  <w:r w:rsidR="00EC4073" w:rsidRPr="00196AE9">
                    <w:rPr>
                      <w:rFonts w:ascii="ITC Avant Garde" w:hAnsi="ITC Avant Garde" w:cs="Arial"/>
                      <w:sz w:val="18"/>
                      <w:szCs w:val="18"/>
                    </w:rPr>
                    <w:t xml:space="preserve"> y arquitecturas. </w:t>
                  </w:r>
                </w:p>
                <w:p w14:paraId="1010A388" w14:textId="77777777" w:rsidR="00EC4073" w:rsidRPr="00196AE9" w:rsidRDefault="00EC4073" w:rsidP="00E92786">
                  <w:pPr>
                    <w:autoSpaceDE w:val="0"/>
                    <w:autoSpaceDN w:val="0"/>
                    <w:adjustRightInd w:val="0"/>
                    <w:jc w:val="both"/>
                    <w:rPr>
                      <w:rFonts w:ascii="ITC Avant Garde" w:hAnsi="ITC Avant Garde" w:cs="Arial"/>
                      <w:sz w:val="18"/>
                      <w:szCs w:val="18"/>
                    </w:rPr>
                  </w:pPr>
                </w:p>
                <w:p w14:paraId="0AC1A9D4" w14:textId="31BB9908" w:rsidR="00EC4073" w:rsidRPr="00196AE9" w:rsidRDefault="00EC4073" w:rsidP="00E92786">
                  <w:pPr>
                    <w:autoSpaceDE w:val="0"/>
                    <w:autoSpaceDN w:val="0"/>
                    <w:adjustRightInd w:val="0"/>
                    <w:jc w:val="both"/>
                    <w:rPr>
                      <w:rFonts w:ascii="ITC Avant Garde" w:hAnsi="ITC Avant Garde" w:cs="Arial"/>
                      <w:sz w:val="18"/>
                      <w:szCs w:val="18"/>
                    </w:rPr>
                  </w:pPr>
                  <w:r w:rsidRPr="00196AE9">
                    <w:rPr>
                      <w:rFonts w:ascii="ITC Avant Garde" w:hAnsi="ITC Avant Garde" w:cs="Arial"/>
                      <w:sz w:val="18"/>
                      <w:szCs w:val="18"/>
                    </w:rPr>
                    <w:t xml:space="preserve">Adicionalmente la modificación a los lineamientos no plantea como obligación proveer el servicio de voz a través de </w:t>
                  </w:r>
                  <w:proofErr w:type="spellStart"/>
                  <w:r w:rsidRPr="00196AE9">
                    <w:rPr>
                      <w:rFonts w:ascii="ITC Avant Garde" w:hAnsi="ITC Avant Garde" w:cs="Arial"/>
                      <w:sz w:val="18"/>
                      <w:szCs w:val="18"/>
                    </w:rPr>
                    <w:t>VoLTE</w:t>
                  </w:r>
                  <w:proofErr w:type="spellEnd"/>
                  <w:r w:rsidRPr="00196AE9">
                    <w:rPr>
                      <w:rFonts w:ascii="ITC Avant Garde" w:hAnsi="ITC Avant Garde" w:cs="Arial"/>
                      <w:sz w:val="18"/>
                      <w:szCs w:val="18"/>
                    </w:rPr>
                    <w:t xml:space="preserve"> ni el despliegue de redes 4G, por lo que no se requiere ni de despliegue de infraestructura ni de configuraciones en las redes que </w:t>
                  </w:r>
                  <w:r w:rsidRPr="00196AE9">
                    <w:rPr>
                      <w:rFonts w:ascii="ITC Avant Garde" w:hAnsi="ITC Avant Garde" w:cs="Arial"/>
                      <w:sz w:val="18"/>
                      <w:szCs w:val="18"/>
                    </w:rPr>
                    <w:lastRenderedPageBreak/>
                    <w:t>permitan cumplir con las obligaciones.</w:t>
                  </w:r>
                </w:p>
                <w:p w14:paraId="04EA9815" w14:textId="36D91EBE" w:rsidR="00413E13" w:rsidRPr="00196AE9" w:rsidRDefault="00413E13" w:rsidP="00E92786">
                  <w:pPr>
                    <w:autoSpaceDE w:val="0"/>
                    <w:autoSpaceDN w:val="0"/>
                    <w:adjustRightInd w:val="0"/>
                    <w:jc w:val="both"/>
                    <w:rPr>
                      <w:rFonts w:ascii="ITC Avant Garde" w:hAnsi="ITC Avant Garde" w:cs="Arial"/>
                      <w:sz w:val="18"/>
                      <w:szCs w:val="18"/>
                    </w:rPr>
                  </w:pPr>
                </w:p>
                <w:p w14:paraId="427D32F1" w14:textId="633312D2" w:rsidR="00413E13" w:rsidRPr="00196AE9" w:rsidRDefault="00413E13" w:rsidP="00E92786">
                  <w:pPr>
                    <w:autoSpaceDE w:val="0"/>
                    <w:autoSpaceDN w:val="0"/>
                    <w:adjustRightInd w:val="0"/>
                    <w:jc w:val="both"/>
                    <w:rPr>
                      <w:rFonts w:ascii="ITC Avant Garde" w:hAnsi="ITC Avant Garde" w:cs="Arial"/>
                      <w:sz w:val="18"/>
                      <w:szCs w:val="18"/>
                    </w:rPr>
                  </w:pPr>
                  <w:r w:rsidRPr="00196AE9">
                    <w:rPr>
                      <w:rFonts w:ascii="ITC Avant Garde" w:hAnsi="ITC Avant Garde" w:cs="Arial"/>
                      <w:sz w:val="18"/>
                      <w:szCs w:val="18"/>
                    </w:rPr>
                    <w:t xml:space="preserve">Por otro lado, para efectos de los ejercicios de medición que lleva a cabo el Instituto, los prestadores del servicio móvil entregan trimestralmente los mapas de cobertura garantizada donde ellos mismos definen la zona geográfica en la que se comprometen a cumplir con los índices de calidad establecidos por el Instituto, por lo que, tampoco se considera que la modificación les genere algún costo </w:t>
                  </w:r>
                  <w:r w:rsidR="00F8213E" w:rsidRPr="00196AE9">
                    <w:rPr>
                      <w:rFonts w:ascii="ITC Avant Garde" w:hAnsi="ITC Avant Garde" w:cs="Arial"/>
                      <w:sz w:val="18"/>
                      <w:szCs w:val="18"/>
                    </w:rPr>
                    <w:t>adicional para el cumplimiento aún cuando se considere la oportunidad de medir 4G.</w:t>
                  </w:r>
                </w:p>
                <w:p w14:paraId="378A5FB1" w14:textId="7D6509BA" w:rsidR="002178DE" w:rsidRPr="002178DE" w:rsidRDefault="002178DE" w:rsidP="006022A0">
                  <w:pPr>
                    <w:rPr>
                      <w:rFonts w:ascii="ITC Avant Garde" w:hAnsi="ITC Avant Garde"/>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85E11E" w14:textId="3B5561AB" w:rsidR="00D500A9" w:rsidRPr="00227EA2" w:rsidRDefault="002178DE" w:rsidP="00EC72B2">
                  <w:pPr>
                    <w:jc w:val="center"/>
                    <w:rPr>
                      <w:rFonts w:ascii="ITC Avant Garde" w:hAnsi="ITC Avant Garde"/>
                      <w:sz w:val="18"/>
                      <w:szCs w:val="18"/>
                      <w:highlight w:val="yellow"/>
                    </w:rPr>
                  </w:pPr>
                  <w:r w:rsidRPr="002178DE">
                    <w:rPr>
                      <w:rFonts w:ascii="ITC Avant Garde" w:hAnsi="ITC Avant Garde"/>
                      <w:sz w:val="18"/>
                      <w:szCs w:val="18"/>
                    </w:rPr>
                    <w:lastRenderedPageBreak/>
                    <w:t>$0.00</w:t>
                  </w:r>
                </w:p>
              </w:tc>
              <w:tc>
                <w:tcPr>
                  <w:tcW w:w="1255" w:type="dxa"/>
                  <w:tcBorders>
                    <w:left w:val="single" w:sz="4" w:space="0" w:color="auto"/>
                    <w:right w:val="single" w:sz="4" w:space="0" w:color="auto"/>
                  </w:tcBorders>
                  <w:shd w:val="clear" w:color="auto" w:fill="FFFFFF" w:themeFill="background1"/>
                </w:tcPr>
                <w:p w14:paraId="751A113D" w14:textId="77777777" w:rsidR="00D500A9" w:rsidRPr="00227EA2" w:rsidRDefault="00D500A9" w:rsidP="00225DA6">
                  <w:pPr>
                    <w:jc w:val="center"/>
                    <w:rPr>
                      <w:rFonts w:ascii="ITC Avant Garde" w:hAnsi="ITC Avant Garde"/>
                      <w:sz w:val="18"/>
                      <w:szCs w:val="18"/>
                      <w:highlight w:val="yellow"/>
                    </w:rPr>
                  </w:pPr>
                </w:p>
              </w:tc>
              <w:tc>
                <w:tcPr>
                  <w:tcW w:w="1115" w:type="dxa"/>
                  <w:tcBorders>
                    <w:left w:val="single" w:sz="4" w:space="0" w:color="auto"/>
                    <w:right w:val="single" w:sz="4" w:space="0" w:color="auto"/>
                  </w:tcBorders>
                  <w:shd w:val="clear" w:color="auto" w:fill="FFFFFF" w:themeFill="background1"/>
                </w:tcPr>
                <w:p w14:paraId="04144D18" w14:textId="77777777" w:rsidR="00D500A9" w:rsidRPr="00227EA2" w:rsidRDefault="00D500A9" w:rsidP="00225DA6">
                  <w:pPr>
                    <w:jc w:val="center"/>
                    <w:rPr>
                      <w:rFonts w:ascii="ITC Avant Garde" w:hAnsi="ITC Avant Garde"/>
                      <w:sz w:val="18"/>
                      <w:szCs w:val="18"/>
                      <w:highlight w:val="yellow"/>
                    </w:rPr>
                  </w:pPr>
                </w:p>
              </w:tc>
            </w:tr>
            <w:tr w:rsidR="00C33686" w:rsidRPr="00DD06A0" w14:paraId="30CAFFBE" w14:textId="77777777" w:rsidTr="008239A6">
              <w:trPr>
                <w:jc w:val="center"/>
              </w:trPr>
              <w:tc>
                <w:tcPr>
                  <w:tcW w:w="1558" w:type="dxa"/>
                  <w:tcBorders>
                    <w:top w:val="single" w:sz="4" w:space="0" w:color="auto"/>
                    <w:left w:val="single" w:sz="4" w:space="0" w:color="auto"/>
                    <w:bottom w:val="single" w:sz="4" w:space="0" w:color="auto"/>
                    <w:right w:val="single" w:sz="4" w:space="0" w:color="auto"/>
                  </w:tcBorders>
                </w:tcPr>
                <w:p w14:paraId="7755F750" w14:textId="31CD7C0F" w:rsidR="00C33686" w:rsidRDefault="00C33686" w:rsidP="00225DA6">
                  <w:pPr>
                    <w:jc w:val="center"/>
                    <w:rPr>
                      <w:rFonts w:ascii="ITC Avant Garde" w:hAnsi="ITC Avant Garde"/>
                      <w:sz w:val="18"/>
                      <w:szCs w:val="18"/>
                    </w:rPr>
                  </w:pPr>
                  <w:sdt>
                    <w:sdtPr>
                      <w:rPr>
                        <w:rFonts w:ascii="ITC Avant Garde" w:hAnsi="ITC Avant Garde"/>
                        <w:sz w:val="18"/>
                        <w:szCs w:val="18"/>
                      </w:rPr>
                      <w:alias w:val="Población"/>
                      <w:tag w:val="Población"/>
                      <w:id w:val="1066079794"/>
                      <w:placeholder>
                        <w:docPart w:val="B9C99084238E48A1BED746C7514ED76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Pr>
                          <w:rFonts w:ascii="ITC Avant Garde" w:hAnsi="ITC Avant Garde"/>
                          <w:sz w:val="18"/>
                          <w:szCs w:val="18"/>
                        </w:rPr>
                        <w:t>Usuarios</w:t>
                      </w:r>
                    </w:sdtContent>
                  </w:sdt>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2FAA2402" w14:textId="21F090B4" w:rsidR="00C33686" w:rsidRDefault="00C33686" w:rsidP="000C3151">
                  <w:pPr>
                    <w:autoSpaceDE w:val="0"/>
                    <w:autoSpaceDN w:val="0"/>
                    <w:adjustRightInd w:val="0"/>
                    <w:jc w:val="both"/>
                    <w:rPr>
                      <w:rFonts w:ascii="ITC Avant Garde" w:hAnsi="ITC Avant Garde" w:cs="Arial"/>
                      <w:sz w:val="18"/>
                      <w:szCs w:val="18"/>
                    </w:rPr>
                  </w:pPr>
                  <w:r>
                    <w:rPr>
                      <w:rFonts w:ascii="ITC Avant Garde" w:hAnsi="ITC Avant Garde" w:cs="Arial"/>
                      <w:sz w:val="18"/>
                      <w:szCs w:val="18"/>
                    </w:rPr>
                    <w:t xml:space="preserve">Los usuarios finales no tendrán un costo asociado por la regulación ya que el considerar el servicio de </w:t>
                  </w:r>
                  <w:proofErr w:type="spellStart"/>
                  <w:r>
                    <w:rPr>
                      <w:rFonts w:ascii="ITC Avant Garde" w:hAnsi="ITC Avant Garde" w:cs="Arial"/>
                      <w:sz w:val="18"/>
                      <w:szCs w:val="18"/>
                    </w:rPr>
                    <w:t>VoLTE</w:t>
                  </w:r>
                  <w:proofErr w:type="spellEnd"/>
                  <w:r>
                    <w:rPr>
                      <w:rFonts w:ascii="ITC Avant Garde" w:hAnsi="ITC Avant Garde" w:cs="Arial"/>
                      <w:sz w:val="18"/>
                      <w:szCs w:val="18"/>
                    </w:rPr>
                    <w:t xml:space="preserve"> prestado por las redes de los prestadores del servicio no implica que los usuarios finales deban realizar una sustitución de equipos, pues este servicio no se ofrece en toda la cobertura de los operadores y no todos los teléfonos que existen en el mercado mexicano y que se conectan a las redes móviles soportan la tecnología 4G o </w:t>
                  </w:r>
                  <w:proofErr w:type="spellStart"/>
                  <w:r>
                    <w:rPr>
                      <w:rFonts w:ascii="ITC Avant Garde" w:hAnsi="ITC Avant Garde" w:cs="Arial"/>
                      <w:sz w:val="18"/>
                      <w:szCs w:val="18"/>
                    </w:rPr>
                    <w:t>VoLTE</w:t>
                  </w:r>
                  <w:proofErr w:type="spellEnd"/>
                  <w:r>
                    <w:rPr>
                      <w:rFonts w:ascii="ITC Avant Garde" w:hAnsi="ITC Avant Garde" w:cs="Arial"/>
                      <w:sz w:val="18"/>
                      <w:szCs w:val="18"/>
                    </w:rPr>
                    <w:t>.</w:t>
                  </w:r>
                </w:p>
                <w:p w14:paraId="37FDA4A2" w14:textId="6CFD46E4" w:rsidR="00C33686" w:rsidRPr="00196AE9" w:rsidRDefault="00C33686" w:rsidP="000C3151">
                  <w:pPr>
                    <w:autoSpaceDE w:val="0"/>
                    <w:autoSpaceDN w:val="0"/>
                    <w:adjustRightInd w:val="0"/>
                    <w:jc w:val="both"/>
                    <w:rPr>
                      <w:rFonts w:ascii="ITC Avant Garde" w:hAnsi="ITC Avant Garde" w:cs="Arial"/>
                      <w:sz w:val="18"/>
                      <w:szCs w:val="18"/>
                    </w:rPr>
                  </w:pPr>
                  <w:r>
                    <w:rPr>
                      <w:rFonts w:ascii="ITC Avant Garde" w:hAnsi="ITC Avant Garde" w:cs="Arial"/>
                      <w:sz w:val="18"/>
                      <w:szCs w:val="18"/>
                    </w:rPr>
                    <w:t xml:space="preserve">Dado que la modificación a los lineamientos no implica una obligación para los prestadores del servicio de proveer cobertura 4G o </w:t>
                  </w:r>
                  <w:proofErr w:type="spellStart"/>
                  <w:r>
                    <w:rPr>
                      <w:rFonts w:ascii="ITC Avant Garde" w:hAnsi="ITC Avant Garde" w:cs="Arial"/>
                      <w:sz w:val="18"/>
                      <w:szCs w:val="18"/>
                    </w:rPr>
                    <w:t>VoLTE</w:t>
                  </w:r>
                  <w:proofErr w:type="spellEnd"/>
                  <w:r>
                    <w:rPr>
                      <w:rFonts w:ascii="ITC Avant Garde" w:hAnsi="ITC Avant Garde" w:cs="Arial"/>
                      <w:sz w:val="18"/>
                      <w:szCs w:val="18"/>
                    </w:rPr>
                    <w:t xml:space="preserve">, no </w:t>
                  </w:r>
                  <w:proofErr w:type="spellStart"/>
                  <w:r>
                    <w:rPr>
                      <w:rFonts w:ascii="ITC Avant Garde" w:hAnsi="ITC Avant Garde" w:cs="Arial"/>
                      <w:sz w:val="18"/>
                      <w:szCs w:val="18"/>
                    </w:rPr>
                    <w:t>se</w:t>
                  </w:r>
                  <w:proofErr w:type="spellEnd"/>
                  <w:r>
                    <w:rPr>
                      <w:rFonts w:ascii="ITC Avant Garde" w:hAnsi="ITC Avant Garde" w:cs="Arial"/>
                      <w:sz w:val="18"/>
                      <w:szCs w:val="18"/>
                    </w:rPr>
                    <w:t xml:space="preserve"> estima que los usuarios tengan que actualizar sus equipos terminales móviles</w:t>
                  </w:r>
                  <w:r w:rsidR="00806DBB">
                    <w:rPr>
                      <w:rFonts w:ascii="ITC Avant Garde" w:hAnsi="ITC Avant Garde" w:cs="Arial"/>
                      <w:sz w:val="18"/>
                      <w:szCs w:val="18"/>
                    </w:rPr>
                    <w:t xml:space="preserve"> y, por lo tanto, se reitera </w:t>
                  </w:r>
                  <w:r>
                    <w:rPr>
                      <w:rFonts w:ascii="ITC Avant Garde" w:hAnsi="ITC Avant Garde" w:cs="Arial"/>
                      <w:sz w:val="18"/>
                      <w:szCs w:val="18"/>
                    </w:rPr>
                    <w:t>que la regulación</w:t>
                  </w:r>
                  <w:r w:rsidR="00806DBB">
                    <w:rPr>
                      <w:rFonts w:ascii="ITC Avant Garde" w:hAnsi="ITC Avant Garde" w:cs="Arial"/>
                      <w:sz w:val="18"/>
                      <w:szCs w:val="18"/>
                    </w:rPr>
                    <w:t xml:space="preserve"> no</w:t>
                  </w:r>
                  <w:r>
                    <w:rPr>
                      <w:rFonts w:ascii="ITC Avant Garde" w:hAnsi="ITC Avant Garde" w:cs="Arial"/>
                      <w:sz w:val="18"/>
                      <w:szCs w:val="18"/>
                    </w:rPr>
                    <w:t xml:space="preserve"> les gener</w:t>
                  </w:r>
                  <w:r w:rsidR="00806DBB">
                    <w:rPr>
                      <w:rFonts w:ascii="ITC Avant Garde" w:hAnsi="ITC Avant Garde" w:cs="Arial"/>
                      <w:sz w:val="18"/>
                      <w:szCs w:val="18"/>
                    </w:rPr>
                    <w:t>a</w:t>
                  </w:r>
                  <w:r>
                    <w:rPr>
                      <w:rFonts w:ascii="ITC Avant Garde" w:hAnsi="ITC Avant Garde" w:cs="Arial"/>
                      <w:sz w:val="18"/>
                      <w:szCs w:val="18"/>
                    </w:rPr>
                    <w:t xml:space="preserve"> un costo.</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A1BC56" w14:textId="5E5A45EA" w:rsidR="00C33686" w:rsidRPr="002178DE" w:rsidRDefault="00806DBB" w:rsidP="00EC72B2">
                  <w:pPr>
                    <w:jc w:val="center"/>
                    <w:rPr>
                      <w:rFonts w:ascii="ITC Avant Garde" w:hAnsi="ITC Avant Garde"/>
                      <w:sz w:val="18"/>
                      <w:szCs w:val="18"/>
                    </w:rPr>
                  </w:pPr>
                  <w:r>
                    <w:rPr>
                      <w:rFonts w:ascii="ITC Avant Garde" w:hAnsi="ITC Avant Garde"/>
                      <w:sz w:val="18"/>
                      <w:szCs w:val="18"/>
                    </w:rPr>
                    <w:t>$0.00</w:t>
                  </w:r>
                </w:p>
              </w:tc>
              <w:tc>
                <w:tcPr>
                  <w:tcW w:w="1255" w:type="dxa"/>
                  <w:tcBorders>
                    <w:left w:val="single" w:sz="4" w:space="0" w:color="auto"/>
                    <w:right w:val="single" w:sz="4" w:space="0" w:color="auto"/>
                  </w:tcBorders>
                  <w:shd w:val="clear" w:color="auto" w:fill="FFFFFF" w:themeFill="background1"/>
                </w:tcPr>
                <w:p w14:paraId="0FC2EEC9" w14:textId="77777777" w:rsidR="00C33686" w:rsidRPr="00227EA2" w:rsidRDefault="00C33686" w:rsidP="00225DA6">
                  <w:pPr>
                    <w:jc w:val="center"/>
                    <w:rPr>
                      <w:rFonts w:ascii="ITC Avant Garde" w:hAnsi="ITC Avant Garde"/>
                      <w:sz w:val="18"/>
                      <w:szCs w:val="18"/>
                      <w:highlight w:val="yellow"/>
                    </w:rPr>
                  </w:pPr>
                </w:p>
              </w:tc>
              <w:tc>
                <w:tcPr>
                  <w:tcW w:w="1115" w:type="dxa"/>
                  <w:tcBorders>
                    <w:left w:val="single" w:sz="4" w:space="0" w:color="auto"/>
                    <w:right w:val="single" w:sz="4" w:space="0" w:color="auto"/>
                  </w:tcBorders>
                  <w:shd w:val="clear" w:color="auto" w:fill="FFFFFF" w:themeFill="background1"/>
                </w:tcPr>
                <w:p w14:paraId="444F49B2" w14:textId="77777777" w:rsidR="00C33686" w:rsidRPr="00227EA2" w:rsidRDefault="00C33686" w:rsidP="00225DA6">
                  <w:pPr>
                    <w:jc w:val="center"/>
                    <w:rPr>
                      <w:rFonts w:ascii="ITC Avant Garde" w:hAnsi="ITC Avant Garde"/>
                      <w:sz w:val="18"/>
                      <w:szCs w:val="18"/>
                      <w:highlight w:val="yellow"/>
                    </w:rPr>
                  </w:pPr>
                </w:p>
              </w:tc>
            </w:tr>
            <w:tr w:rsidR="00334A5B" w:rsidRPr="00DD06A0" w14:paraId="748E846F" w14:textId="77777777" w:rsidTr="008239A6">
              <w:trPr>
                <w:trHeight w:val="99"/>
                <w:jc w:val="center"/>
              </w:trPr>
              <w:tc>
                <w:tcPr>
                  <w:tcW w:w="1558" w:type="dxa"/>
                  <w:tcBorders>
                    <w:top w:val="single" w:sz="4" w:space="0" w:color="auto"/>
                    <w:left w:val="nil"/>
                    <w:bottom w:val="nil"/>
                    <w:right w:val="nil"/>
                  </w:tcBorders>
                  <w:shd w:val="clear" w:color="auto" w:fill="FFFFFF" w:themeFill="background1"/>
                </w:tcPr>
                <w:p w14:paraId="7AB7ADBA" w14:textId="77777777" w:rsidR="00B9253F" w:rsidRPr="00227EA2" w:rsidRDefault="00B9253F" w:rsidP="00B9253F">
                  <w:pPr>
                    <w:jc w:val="center"/>
                    <w:rPr>
                      <w:rFonts w:ascii="ITC Avant Garde" w:hAnsi="ITC Avant Garde"/>
                      <w:b/>
                      <w:sz w:val="18"/>
                      <w:szCs w:val="18"/>
                      <w:highlight w:val="yellow"/>
                    </w:rPr>
                  </w:pPr>
                </w:p>
              </w:tc>
              <w:tc>
                <w:tcPr>
                  <w:tcW w:w="3419" w:type="dxa"/>
                  <w:tcBorders>
                    <w:top w:val="single" w:sz="4" w:space="0" w:color="auto"/>
                    <w:left w:val="nil"/>
                    <w:bottom w:val="nil"/>
                    <w:right w:val="single" w:sz="4" w:space="0" w:color="auto"/>
                  </w:tcBorders>
                  <w:shd w:val="clear" w:color="auto" w:fill="FFFFFF" w:themeFill="background1"/>
                </w:tcPr>
                <w:p w14:paraId="7390A3DD" w14:textId="77777777" w:rsidR="00B9253F" w:rsidRPr="00227EA2" w:rsidRDefault="00B9253F" w:rsidP="00B9253F">
                  <w:pPr>
                    <w:jc w:val="center"/>
                    <w:rPr>
                      <w:rFonts w:ascii="ITC Avant Garde" w:hAnsi="ITC Avant Garde"/>
                      <w:b/>
                      <w:sz w:val="18"/>
                      <w:szCs w:val="18"/>
                      <w:highlight w:val="yellow"/>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EB59B0"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Acumulado</w:t>
                  </w:r>
                </w:p>
              </w:tc>
              <w:tc>
                <w:tcPr>
                  <w:tcW w:w="1255" w:type="dxa"/>
                  <w:tcBorders>
                    <w:left w:val="single" w:sz="4" w:space="0" w:color="auto"/>
                    <w:right w:val="single" w:sz="4" w:space="0" w:color="auto"/>
                  </w:tcBorders>
                  <w:shd w:val="clear" w:color="auto" w:fill="auto"/>
                </w:tcPr>
                <w:p w14:paraId="75DC66E9"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Acumulado</w:t>
                  </w:r>
                </w:p>
              </w:tc>
              <w:tc>
                <w:tcPr>
                  <w:tcW w:w="1115" w:type="dxa"/>
                  <w:tcBorders>
                    <w:left w:val="single" w:sz="4" w:space="0" w:color="auto"/>
                    <w:right w:val="single" w:sz="4" w:space="0" w:color="auto"/>
                  </w:tcBorders>
                  <w:shd w:val="clear" w:color="auto" w:fill="auto"/>
                </w:tcPr>
                <w:p w14:paraId="2364FEC5" w14:textId="77777777" w:rsidR="00B9253F" w:rsidRPr="00B94CEC" w:rsidRDefault="00B9253F" w:rsidP="00B9253F">
                  <w:pPr>
                    <w:jc w:val="center"/>
                    <w:rPr>
                      <w:rFonts w:ascii="ITC Avant Garde" w:hAnsi="ITC Avant Garde"/>
                      <w:b/>
                      <w:sz w:val="18"/>
                      <w:szCs w:val="18"/>
                    </w:rPr>
                  </w:pPr>
                  <w:r w:rsidRPr="00B94CEC">
                    <w:rPr>
                      <w:rFonts w:ascii="ITC Avant Garde" w:hAnsi="ITC Avant Garde"/>
                      <w:b/>
                      <w:sz w:val="18"/>
                      <w:szCs w:val="18"/>
                    </w:rPr>
                    <w:t>Total</w:t>
                  </w:r>
                </w:p>
              </w:tc>
            </w:tr>
            <w:tr w:rsidR="00334A5B" w:rsidRPr="00DD06A0" w14:paraId="44C51A2E" w14:textId="77777777" w:rsidTr="008239A6">
              <w:trPr>
                <w:jc w:val="center"/>
              </w:trPr>
              <w:tc>
                <w:tcPr>
                  <w:tcW w:w="1558" w:type="dxa"/>
                  <w:tcBorders>
                    <w:top w:val="nil"/>
                    <w:left w:val="nil"/>
                    <w:bottom w:val="nil"/>
                    <w:right w:val="nil"/>
                  </w:tcBorders>
                  <w:shd w:val="clear" w:color="auto" w:fill="FFFFFF" w:themeFill="background1"/>
                </w:tcPr>
                <w:p w14:paraId="1A7B915C" w14:textId="77777777" w:rsidR="00B9253F" w:rsidRPr="00227EA2" w:rsidDel="000233D7" w:rsidRDefault="00B9253F" w:rsidP="00B9253F">
                  <w:pPr>
                    <w:jc w:val="center"/>
                    <w:rPr>
                      <w:rFonts w:ascii="ITC Avant Garde" w:hAnsi="ITC Avant Garde"/>
                      <w:b/>
                      <w:sz w:val="18"/>
                      <w:szCs w:val="18"/>
                      <w:highlight w:val="yellow"/>
                    </w:rPr>
                  </w:pPr>
                </w:p>
              </w:tc>
              <w:tc>
                <w:tcPr>
                  <w:tcW w:w="3419" w:type="dxa"/>
                  <w:tcBorders>
                    <w:top w:val="nil"/>
                    <w:left w:val="nil"/>
                    <w:bottom w:val="nil"/>
                    <w:right w:val="single" w:sz="4" w:space="0" w:color="auto"/>
                  </w:tcBorders>
                  <w:shd w:val="clear" w:color="auto" w:fill="FFFFFF" w:themeFill="background1"/>
                </w:tcPr>
                <w:p w14:paraId="118433CB" w14:textId="77777777" w:rsidR="00B9253F" w:rsidRPr="00227EA2" w:rsidDel="000233D7" w:rsidRDefault="00B9253F" w:rsidP="00B9253F">
                  <w:pPr>
                    <w:jc w:val="center"/>
                    <w:rPr>
                      <w:rFonts w:ascii="ITC Avant Garde" w:hAnsi="ITC Avant Garde"/>
                      <w:b/>
                      <w:sz w:val="18"/>
                      <w:szCs w:val="18"/>
                      <w:highlight w:val="yellow"/>
                    </w:rPr>
                  </w:pPr>
                </w:p>
              </w:tc>
              <w:tc>
                <w:tcPr>
                  <w:tcW w:w="1255" w:type="dxa"/>
                  <w:tcBorders>
                    <w:top w:val="single" w:sz="4" w:space="0" w:color="auto"/>
                    <w:left w:val="single" w:sz="4" w:space="0" w:color="auto"/>
                    <w:right w:val="single" w:sz="4" w:space="0" w:color="auto"/>
                  </w:tcBorders>
                  <w:shd w:val="clear" w:color="auto" w:fill="auto"/>
                </w:tcPr>
                <w:p w14:paraId="17C39D29" w14:textId="3A9D0E9E" w:rsidR="00B9253F" w:rsidRPr="00B94CEC" w:rsidRDefault="000E4A53" w:rsidP="000E4A53">
                  <w:pPr>
                    <w:jc w:val="center"/>
                    <w:rPr>
                      <w:rFonts w:ascii="ITC Avant Garde" w:hAnsi="ITC Avant Garde"/>
                      <w:sz w:val="18"/>
                      <w:szCs w:val="18"/>
                    </w:rPr>
                  </w:pPr>
                  <w:r w:rsidRPr="00B94CEC">
                    <w:rPr>
                      <w:rFonts w:ascii="ITC Avant Garde" w:hAnsi="ITC Avant Garde"/>
                      <w:sz w:val="18"/>
                      <w:szCs w:val="18"/>
                    </w:rPr>
                    <w:t>$</w:t>
                  </w:r>
                  <w:r w:rsidR="00B94CEC" w:rsidRPr="00B94CEC">
                    <w:rPr>
                      <w:rFonts w:ascii="ITC Avant Garde" w:hAnsi="ITC Avant Garde"/>
                      <w:sz w:val="18"/>
                      <w:szCs w:val="18"/>
                    </w:rPr>
                    <w:t>0.00</w:t>
                  </w:r>
                </w:p>
              </w:tc>
              <w:tc>
                <w:tcPr>
                  <w:tcW w:w="1255" w:type="dxa"/>
                  <w:tcBorders>
                    <w:left w:val="single" w:sz="4" w:space="0" w:color="auto"/>
                    <w:right w:val="single" w:sz="4" w:space="0" w:color="auto"/>
                  </w:tcBorders>
                  <w:shd w:val="clear" w:color="auto" w:fill="auto"/>
                </w:tcPr>
                <w:p w14:paraId="4670DA07" w14:textId="539E7A3E" w:rsidR="00B9253F" w:rsidRPr="00227EA2" w:rsidRDefault="00903916" w:rsidP="00B9253F">
                  <w:pPr>
                    <w:jc w:val="center"/>
                    <w:rPr>
                      <w:rFonts w:ascii="ITC Avant Garde" w:hAnsi="ITC Avant Garde"/>
                      <w:sz w:val="18"/>
                      <w:szCs w:val="18"/>
                      <w:highlight w:val="yellow"/>
                    </w:rPr>
                  </w:pPr>
                  <w:r w:rsidRPr="00B94CEC">
                    <w:rPr>
                      <w:rFonts w:ascii="ITC Avant Garde" w:hAnsi="ITC Avant Garde"/>
                      <w:sz w:val="18"/>
                      <w:szCs w:val="18"/>
                    </w:rPr>
                    <w:t>$0.00</w:t>
                  </w:r>
                </w:p>
              </w:tc>
              <w:tc>
                <w:tcPr>
                  <w:tcW w:w="1115" w:type="dxa"/>
                  <w:tcBorders>
                    <w:left w:val="single" w:sz="4" w:space="0" w:color="auto"/>
                    <w:right w:val="single" w:sz="4" w:space="0" w:color="auto"/>
                  </w:tcBorders>
                  <w:shd w:val="clear" w:color="auto" w:fill="auto"/>
                </w:tcPr>
                <w:p w14:paraId="726917DB" w14:textId="01C48C2C" w:rsidR="00B9253F" w:rsidRPr="00227EA2" w:rsidRDefault="00903916" w:rsidP="000E4A53">
                  <w:pPr>
                    <w:jc w:val="center"/>
                    <w:rPr>
                      <w:rFonts w:ascii="ITC Avant Garde" w:hAnsi="ITC Avant Garde"/>
                      <w:b/>
                      <w:sz w:val="18"/>
                      <w:szCs w:val="18"/>
                      <w:highlight w:val="yellow"/>
                    </w:rPr>
                  </w:pPr>
                  <w:r w:rsidRPr="00B94CEC">
                    <w:rPr>
                      <w:rFonts w:ascii="ITC Avant Garde" w:hAnsi="ITC Avant Garde"/>
                      <w:sz w:val="18"/>
                      <w:szCs w:val="18"/>
                    </w:rPr>
                    <w:t>$0.00</w:t>
                  </w:r>
                </w:p>
              </w:tc>
            </w:tr>
          </w:tbl>
          <w:p w14:paraId="588A26A9" w14:textId="61BDBF12" w:rsidR="00673EAE" w:rsidRDefault="00673EAE" w:rsidP="00225DA6">
            <w:pPr>
              <w:jc w:val="both"/>
              <w:rPr>
                <w:rFonts w:ascii="ITC Avant Garde" w:hAnsi="ITC Avant Garde"/>
                <w:sz w:val="18"/>
                <w:szCs w:val="18"/>
                <w:highlight w:val="yellow"/>
              </w:rPr>
            </w:pPr>
          </w:p>
          <w:p w14:paraId="475811FF" w14:textId="18B7322A" w:rsidR="00903916" w:rsidRDefault="00903916" w:rsidP="00225DA6">
            <w:pPr>
              <w:jc w:val="both"/>
              <w:rPr>
                <w:rFonts w:ascii="ITC Avant Garde" w:hAnsi="ITC Avant Garde"/>
                <w:sz w:val="18"/>
                <w:szCs w:val="18"/>
                <w:highlight w:val="yellow"/>
              </w:rPr>
            </w:pPr>
          </w:p>
          <w:p w14:paraId="470C3685" w14:textId="1FD840F2" w:rsidR="00903916" w:rsidRDefault="00903916" w:rsidP="00225DA6">
            <w:pPr>
              <w:jc w:val="both"/>
              <w:rPr>
                <w:rFonts w:ascii="ITC Avant Garde" w:hAnsi="ITC Avant Garde"/>
                <w:sz w:val="18"/>
                <w:szCs w:val="18"/>
                <w:highlight w:val="yellow"/>
              </w:rPr>
            </w:pPr>
          </w:p>
          <w:p w14:paraId="46404D6B" w14:textId="77777777" w:rsidR="00903916" w:rsidRDefault="00903916"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558"/>
              <w:gridCol w:w="3112"/>
              <w:gridCol w:w="3589"/>
            </w:tblGrid>
            <w:tr w:rsidR="00D500A9" w:rsidRPr="00DD06A0" w14:paraId="7E112B03" w14:textId="77777777" w:rsidTr="00A77082">
              <w:trPr>
                <w:jc w:val="center"/>
              </w:trPr>
              <w:tc>
                <w:tcPr>
                  <w:tcW w:w="8259" w:type="dxa"/>
                  <w:gridSpan w:val="3"/>
                  <w:tcBorders>
                    <w:bottom w:val="single" w:sz="4" w:space="0" w:color="auto"/>
                  </w:tcBorders>
                  <w:shd w:val="clear" w:color="auto" w:fill="A8D08D" w:themeFill="accent6" w:themeFillTint="99"/>
                  <w:vAlign w:val="center"/>
                </w:tcPr>
                <w:p w14:paraId="46F9F3F7"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37552180" w14:textId="77777777" w:rsidTr="0058531D">
              <w:trPr>
                <w:jc w:val="center"/>
              </w:trPr>
              <w:tc>
                <w:tcPr>
                  <w:tcW w:w="1558" w:type="dxa"/>
                  <w:tcBorders>
                    <w:bottom w:val="single" w:sz="4" w:space="0" w:color="auto"/>
                  </w:tcBorders>
                  <w:shd w:val="clear" w:color="auto" w:fill="A8D08D" w:themeFill="accent6" w:themeFillTint="99"/>
                  <w:vAlign w:val="center"/>
                </w:tcPr>
                <w:p w14:paraId="73ABFB96"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Población</w:t>
                  </w:r>
                </w:p>
              </w:tc>
              <w:tc>
                <w:tcPr>
                  <w:tcW w:w="3112" w:type="dxa"/>
                  <w:tcBorders>
                    <w:bottom w:val="single" w:sz="4" w:space="0" w:color="auto"/>
                  </w:tcBorders>
                  <w:shd w:val="clear" w:color="auto" w:fill="A8D08D" w:themeFill="accent6" w:themeFillTint="99"/>
                  <w:vAlign w:val="center"/>
                </w:tcPr>
                <w:p w14:paraId="27DFA01B" w14:textId="77777777" w:rsidR="00D500A9" w:rsidRPr="00DD06A0" w:rsidRDefault="00D500A9" w:rsidP="0058555E">
                  <w:pPr>
                    <w:jc w:val="center"/>
                    <w:rPr>
                      <w:rFonts w:ascii="ITC Avant Garde" w:hAnsi="ITC Avant Garde"/>
                      <w:b/>
                      <w:sz w:val="18"/>
                      <w:szCs w:val="18"/>
                    </w:rPr>
                  </w:pPr>
                  <w:r w:rsidRPr="00DD06A0">
                    <w:rPr>
                      <w:rFonts w:ascii="ITC Avant Garde" w:hAnsi="ITC Avant Garde"/>
                      <w:b/>
                      <w:sz w:val="18"/>
                      <w:szCs w:val="18"/>
                    </w:rPr>
                    <w:t>Costos</w:t>
                  </w:r>
                </w:p>
              </w:tc>
              <w:tc>
                <w:tcPr>
                  <w:tcW w:w="3589" w:type="dxa"/>
                  <w:tcBorders>
                    <w:bottom w:val="single" w:sz="2" w:space="0" w:color="auto"/>
                  </w:tcBorders>
                  <w:shd w:val="clear" w:color="auto" w:fill="A8D08D" w:themeFill="accent6" w:themeFillTint="99"/>
                  <w:vAlign w:val="center"/>
                </w:tcPr>
                <w:p w14:paraId="490DF3F7"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383E8C72" w14:textId="77777777" w:rsidTr="0058531D">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vAlign w:val="center"/>
                    </w:tcPr>
                    <w:p w14:paraId="57F2EC03" w14:textId="2F448710" w:rsidR="00D500A9" w:rsidRPr="00AA6694" w:rsidRDefault="0058531D" w:rsidP="006F04FD">
                      <w:pPr>
                        <w:jc w:val="center"/>
                        <w:rPr>
                          <w:rFonts w:ascii="ITC Avant Garde" w:hAnsi="ITC Avant Garde"/>
                          <w:sz w:val="18"/>
                          <w:szCs w:val="18"/>
                        </w:rPr>
                      </w:pPr>
                      <w:r>
                        <w:rPr>
                          <w:rFonts w:ascii="ITC Avant Garde" w:hAnsi="ITC Avant Garde"/>
                          <w:sz w:val="18"/>
                          <w:szCs w:val="18"/>
                        </w:rPr>
                        <w:t>Industria</w:t>
                      </w:r>
                    </w:p>
                  </w:tc>
                </w:sdtContent>
              </w:sdt>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261742B" w14:textId="77777777" w:rsidR="00D500A9" w:rsidRPr="00AA6694" w:rsidRDefault="00D500A9" w:rsidP="006F04FD">
                  <w:pPr>
                    <w:jc w:val="center"/>
                    <w:rPr>
                      <w:rFonts w:ascii="ITC Avant Garde" w:hAnsi="ITC Avant Garde"/>
                      <w:sz w:val="18"/>
                      <w:szCs w:val="18"/>
                    </w:rPr>
                  </w:pPr>
                </w:p>
              </w:tc>
              <w:tc>
                <w:tcPr>
                  <w:tcW w:w="3589" w:type="dxa"/>
                  <w:tcBorders>
                    <w:left w:val="single" w:sz="4" w:space="0" w:color="auto"/>
                    <w:right w:val="single" w:sz="4" w:space="0" w:color="auto"/>
                  </w:tcBorders>
                  <w:shd w:val="clear" w:color="auto" w:fill="FFFFFF" w:themeFill="background1"/>
                  <w:vAlign w:val="center"/>
                </w:tcPr>
                <w:p w14:paraId="2DBC9F78" w14:textId="3A616171" w:rsidR="00D500A9" w:rsidRPr="00227EA2" w:rsidRDefault="0058531D" w:rsidP="0058531D">
                  <w:pPr>
                    <w:rPr>
                      <w:rFonts w:ascii="ITC Avant Garde" w:hAnsi="ITC Avant Garde"/>
                      <w:sz w:val="18"/>
                      <w:szCs w:val="18"/>
                      <w:highlight w:val="yellow"/>
                    </w:rPr>
                  </w:pPr>
                  <w:r w:rsidRPr="0058531D">
                    <w:rPr>
                      <w:rFonts w:ascii="ITC Avant Garde" w:hAnsi="ITC Avant Garde"/>
                      <w:sz w:val="18"/>
                      <w:szCs w:val="18"/>
                    </w:rPr>
                    <w:t>Cont</w:t>
                  </w:r>
                  <w:r>
                    <w:rPr>
                      <w:rFonts w:ascii="ITC Avant Garde" w:hAnsi="ITC Avant Garde"/>
                      <w:sz w:val="18"/>
                      <w:szCs w:val="18"/>
                    </w:rPr>
                    <w:t xml:space="preserve">ar con la certeza de que el marco normativo se encuentra alineado a los estándares y recomendaciones internacionales más actuales, además de considerar </w:t>
                  </w:r>
                  <w:r>
                    <w:rPr>
                      <w:rFonts w:ascii="ITC Avant Garde" w:hAnsi="ITC Avant Garde"/>
                      <w:sz w:val="18"/>
                      <w:szCs w:val="18"/>
                    </w:rPr>
                    <w:lastRenderedPageBreak/>
                    <w:t>las particularidades del despliegue escalonado que se ha llevado a cabo en el país de nuevas tecnologías como lo es el servicio de voz sobre LTE (</w:t>
                  </w:r>
                  <w:proofErr w:type="spellStart"/>
                  <w:r>
                    <w:rPr>
                      <w:rFonts w:ascii="ITC Avant Garde" w:hAnsi="ITC Avant Garde"/>
                      <w:sz w:val="18"/>
                      <w:szCs w:val="18"/>
                    </w:rPr>
                    <w:t>VoLTE</w:t>
                  </w:r>
                  <w:proofErr w:type="spellEnd"/>
                  <w:r>
                    <w:rPr>
                      <w:rFonts w:ascii="ITC Avant Garde" w:hAnsi="ITC Avant Garde"/>
                      <w:sz w:val="18"/>
                      <w:szCs w:val="18"/>
                    </w:rPr>
                    <w:t>), 4G o 5G. Asimismo, la modificación a los lineamientos reconoce el funcionamiento de las arquitecturas de las redes y los mensajes de señalización adicionales que se tienen que intercambiar a nivel del núcleo de la red y que implican un aumento en el tiempo de establecimiento de llamada, sin que éste llegue a superar el tiempo máximo establecido para el 100% de las llamadas.</w:t>
                  </w:r>
                </w:p>
              </w:tc>
            </w:tr>
            <w:tr w:rsidR="006F04FD" w:rsidRPr="00DD06A0" w14:paraId="72315B20" w14:textId="77777777" w:rsidTr="0058531D">
              <w:trPr>
                <w:jc w:val="center"/>
              </w:trPr>
              <w:sdt>
                <w:sdtPr>
                  <w:rPr>
                    <w:rFonts w:ascii="ITC Avant Garde" w:hAnsi="ITC Avant Garde"/>
                    <w:sz w:val="18"/>
                    <w:szCs w:val="18"/>
                  </w:rPr>
                  <w:alias w:val="Población"/>
                  <w:tag w:val="Población"/>
                  <w:id w:val="56213418"/>
                  <w:placeholder>
                    <w:docPart w:val="08F0B3558D644FBC9BE91D0459B568E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Content>
                  <w:tc>
                    <w:tcPr>
                      <w:tcW w:w="1558" w:type="dxa"/>
                      <w:tcBorders>
                        <w:top w:val="single" w:sz="4" w:space="0" w:color="auto"/>
                        <w:left w:val="single" w:sz="4" w:space="0" w:color="auto"/>
                        <w:bottom w:val="single" w:sz="4" w:space="0" w:color="auto"/>
                        <w:right w:val="single" w:sz="4" w:space="0" w:color="auto"/>
                      </w:tcBorders>
                      <w:vAlign w:val="center"/>
                    </w:tcPr>
                    <w:p w14:paraId="2864EFA9" w14:textId="0755902D" w:rsidR="006F04FD" w:rsidRPr="00DD06A0" w:rsidRDefault="0058531D" w:rsidP="006F04FD">
                      <w:pPr>
                        <w:jc w:val="center"/>
                        <w:rPr>
                          <w:rFonts w:ascii="ITC Avant Garde" w:hAnsi="ITC Avant Garde"/>
                          <w:sz w:val="18"/>
                          <w:szCs w:val="18"/>
                        </w:rPr>
                      </w:pPr>
                      <w:r>
                        <w:rPr>
                          <w:rFonts w:ascii="ITC Avant Garde" w:hAnsi="ITC Avant Garde"/>
                          <w:sz w:val="18"/>
                          <w:szCs w:val="18"/>
                        </w:rPr>
                        <w:t>U</w:t>
                      </w:r>
                      <w:r w:rsidR="00334A5B">
                        <w:rPr>
                          <w:rFonts w:ascii="ITC Avant Garde" w:hAnsi="ITC Avant Garde"/>
                          <w:sz w:val="18"/>
                          <w:szCs w:val="18"/>
                        </w:rPr>
                        <w:t>suarios</w:t>
                      </w:r>
                    </w:p>
                  </w:tc>
                </w:sdtContent>
              </w:sdt>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2C63B15B" w14:textId="1BEC9039" w:rsidR="006F04FD" w:rsidRPr="00DD06A0" w:rsidRDefault="0058531D" w:rsidP="0058531D">
                  <w:pPr>
                    <w:rPr>
                      <w:rFonts w:ascii="ITC Avant Garde" w:hAnsi="ITC Avant Garde"/>
                      <w:sz w:val="18"/>
                      <w:szCs w:val="18"/>
                    </w:rPr>
                  </w:pPr>
                  <w:r>
                    <w:rPr>
                      <w:rFonts w:ascii="ITC Avant Garde" w:hAnsi="ITC Avant Garde"/>
                      <w:sz w:val="18"/>
                      <w:szCs w:val="18"/>
                    </w:rPr>
                    <w:t>Se considera que la modificación a los lineamientos no traería un costo directo a los usuarios finales ya que e</w:t>
                  </w:r>
                  <w:r w:rsidRPr="0058531D">
                    <w:rPr>
                      <w:rFonts w:ascii="ITC Avant Garde" w:hAnsi="ITC Avant Garde"/>
                      <w:sz w:val="18"/>
                      <w:szCs w:val="18"/>
                    </w:rPr>
                    <w:t>l establecer un tiempo máximo de establecimiento de llamada no implica que el total de las llamadas se vayan a establecer en los 20 segundos ya que este umbral se establece para efecto del índice de calidad de proporción de llamadas fallidas, considerando como fallidas todas aquellas llamadas que se establezcan en más de 20 segundos. Por otro lado, la proporción de llamadas fallidas</w:t>
                  </w:r>
                  <w:r w:rsidR="008239A6">
                    <w:rPr>
                      <w:rFonts w:ascii="ITC Avant Garde" w:hAnsi="ITC Avant Garde"/>
                      <w:sz w:val="18"/>
                      <w:szCs w:val="18"/>
                    </w:rPr>
                    <w:t>, que no se modifica,</w:t>
                  </w:r>
                  <w:r w:rsidRPr="0058531D">
                    <w:rPr>
                      <w:rFonts w:ascii="ITC Avant Garde" w:hAnsi="ITC Avant Garde"/>
                      <w:sz w:val="18"/>
                      <w:szCs w:val="18"/>
                    </w:rPr>
                    <w:t xml:space="preserve"> debe ser menor o igual al 3%, lo cual implica que, a lo más, 3 de cada 100 llamadas se establecerán en más de 20 segundos y los 97 restantes se debe establecer en un tiempo menor.</w:t>
                  </w:r>
                </w:p>
              </w:tc>
              <w:tc>
                <w:tcPr>
                  <w:tcW w:w="3589" w:type="dxa"/>
                  <w:tcBorders>
                    <w:left w:val="single" w:sz="4" w:space="0" w:color="auto"/>
                    <w:right w:val="single" w:sz="4" w:space="0" w:color="auto"/>
                  </w:tcBorders>
                  <w:shd w:val="clear" w:color="auto" w:fill="FFFFFF" w:themeFill="background1"/>
                  <w:vAlign w:val="center"/>
                </w:tcPr>
                <w:p w14:paraId="6C1EBC79" w14:textId="7E68004F" w:rsidR="006F04FD" w:rsidRPr="00DD06A0" w:rsidRDefault="008239A6" w:rsidP="008239A6">
                  <w:pPr>
                    <w:rPr>
                      <w:rFonts w:ascii="ITC Avant Garde" w:hAnsi="ITC Avant Garde"/>
                      <w:sz w:val="18"/>
                      <w:szCs w:val="18"/>
                    </w:rPr>
                  </w:pPr>
                  <w:r>
                    <w:rPr>
                      <w:rFonts w:ascii="ITC Avant Garde" w:hAnsi="ITC Avant Garde"/>
                      <w:sz w:val="18"/>
                      <w:szCs w:val="18"/>
                    </w:rPr>
                    <w:t xml:space="preserve">El beneficio para los usuarios finales deriva de que el Instituto estará monitoreando el servicio de voz en la manera en que funciona este servicio desde la perspectiva del usuario final, es decir, bajo un ambiente equivalente al uso que genera cualquier persona. Esto dado que las mediciones del servicio de voz que lleve a cabo el Instituto se harán independientemente de la tecnología. Al respecto, en la operación normal de las redes móviles, los teléfonos se conectan a la mejor tecnología disponible, por lo tanto, las mediciones se harán de esa manera (dejando que la tecnología </w:t>
                  </w:r>
                  <w:r w:rsidR="00806DBB">
                    <w:rPr>
                      <w:rFonts w:ascii="ITC Avant Garde" w:hAnsi="ITC Avant Garde"/>
                      <w:sz w:val="18"/>
                      <w:szCs w:val="18"/>
                    </w:rPr>
                    <w:t>s</w:t>
                  </w:r>
                  <w:r>
                    <w:rPr>
                      <w:rFonts w:ascii="ITC Avant Garde" w:hAnsi="ITC Avant Garde"/>
                      <w:sz w:val="18"/>
                      <w:szCs w:val="18"/>
                    </w:rPr>
                    <w:t>e elija de manera automática, como sucede en la realidad). De esta manera</w:t>
                  </w:r>
                  <w:r w:rsidR="00806DBB">
                    <w:rPr>
                      <w:rFonts w:ascii="ITC Avant Garde" w:hAnsi="ITC Avant Garde"/>
                      <w:sz w:val="18"/>
                      <w:szCs w:val="18"/>
                    </w:rPr>
                    <w:t>,</w:t>
                  </w:r>
                  <w:r>
                    <w:rPr>
                      <w:rFonts w:ascii="ITC Avant Garde" w:hAnsi="ITC Avant Garde"/>
                      <w:sz w:val="18"/>
                      <w:szCs w:val="18"/>
                    </w:rPr>
                    <w:t xml:space="preserve"> se contará con información del comportamiento de las llamadas que se cursan bajo la tecnología de acceso 4G, con </w:t>
                  </w:r>
                  <w:proofErr w:type="spellStart"/>
                  <w:r>
                    <w:rPr>
                      <w:rFonts w:ascii="ITC Avant Garde" w:hAnsi="ITC Avant Garde"/>
                      <w:sz w:val="18"/>
                      <w:szCs w:val="18"/>
                    </w:rPr>
                    <w:t>VoLTE</w:t>
                  </w:r>
                  <w:proofErr w:type="spellEnd"/>
                  <w:r>
                    <w:rPr>
                      <w:rFonts w:ascii="ITC Avant Garde" w:hAnsi="ITC Avant Garde"/>
                      <w:sz w:val="18"/>
                      <w:szCs w:val="18"/>
                    </w:rPr>
                    <w:t xml:space="preserve"> o aquellas llamadas que tienen que atravesar por un proceso de cambio de tecnología de acceso o CSFB.</w:t>
                  </w:r>
                </w:p>
              </w:tc>
            </w:tr>
          </w:tbl>
          <w:p w14:paraId="6A81CD7D" w14:textId="77777777" w:rsidR="00787A86" w:rsidRPr="00DD06A0" w:rsidRDefault="00787A86" w:rsidP="00225DA6">
            <w:pPr>
              <w:jc w:val="both"/>
              <w:rPr>
                <w:rFonts w:ascii="ITC Avant Garde" w:hAnsi="ITC Avant Garde"/>
                <w:sz w:val="18"/>
                <w:szCs w:val="18"/>
              </w:rPr>
            </w:pPr>
            <w:r>
              <w:rPr>
                <w:rFonts w:ascii="ITC Avant Garde" w:hAnsi="ITC Avant Garde"/>
                <w:sz w:val="18"/>
                <w:szCs w:val="18"/>
              </w:rPr>
              <w:t xml:space="preserve">    </w:t>
            </w:r>
          </w:p>
        </w:tc>
      </w:tr>
    </w:tbl>
    <w:p w14:paraId="0F9120AA" w14:textId="77777777" w:rsidR="009C21D6" w:rsidRPr="00DD06A0" w:rsidRDefault="009C21D6" w:rsidP="00E21B49">
      <w:pPr>
        <w:jc w:val="both"/>
        <w:rPr>
          <w:rFonts w:ascii="ITC Avant Garde" w:hAnsi="ITC Avant Garde"/>
          <w:sz w:val="18"/>
          <w:szCs w:val="18"/>
        </w:rPr>
      </w:pPr>
    </w:p>
    <w:p w14:paraId="4D9EC78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075535BA" w14:textId="77777777" w:rsidTr="00225DA6">
        <w:tc>
          <w:tcPr>
            <w:tcW w:w="8828" w:type="dxa"/>
          </w:tcPr>
          <w:p w14:paraId="5F59D24C" w14:textId="77777777" w:rsidR="001432F7" w:rsidRPr="00DD06A0" w:rsidRDefault="00376614" w:rsidP="001432F7">
            <w:pPr>
              <w:jc w:val="both"/>
              <w:rPr>
                <w:rFonts w:ascii="ITC Avant Garde" w:hAnsi="ITC Avant Garde"/>
                <w:b/>
                <w:sz w:val="18"/>
                <w:szCs w:val="18"/>
              </w:rPr>
            </w:pPr>
            <w:r w:rsidRPr="00196AE9">
              <w:rPr>
                <w:rFonts w:ascii="ITC Avant Garde" w:hAnsi="ITC Avant Garde"/>
                <w:b/>
                <w:sz w:val="18"/>
                <w:szCs w:val="18"/>
              </w:rPr>
              <w:t>14</w:t>
            </w:r>
            <w:r w:rsidR="001432F7" w:rsidRPr="00196AE9">
              <w:rPr>
                <w:rFonts w:ascii="ITC Avant Garde" w:hAnsi="ITC Avant Garde"/>
                <w:b/>
                <w:sz w:val="18"/>
                <w:szCs w:val="18"/>
              </w:rPr>
              <w:t>.- Describa los recursos</w:t>
            </w:r>
            <w:r w:rsidR="001432F7" w:rsidRPr="00DD06A0">
              <w:rPr>
                <w:rFonts w:ascii="ITC Avant Garde" w:hAnsi="ITC Avant Garde"/>
                <w:b/>
                <w:sz w:val="18"/>
                <w:szCs w:val="18"/>
              </w:rPr>
              <w:t xml:space="preserve">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3E58D4C"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2D18C75E" w14:textId="77777777" w:rsidTr="00023BBB">
              <w:trPr>
                <w:jc w:val="center"/>
              </w:trPr>
              <w:tc>
                <w:tcPr>
                  <w:tcW w:w="1368" w:type="dxa"/>
                  <w:tcBorders>
                    <w:bottom w:val="single" w:sz="4" w:space="0" w:color="auto"/>
                  </w:tcBorders>
                  <w:shd w:val="clear" w:color="auto" w:fill="A8D08D" w:themeFill="accent6" w:themeFillTint="99"/>
                </w:tcPr>
                <w:p w14:paraId="686A4E5C"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14D10A3"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148428AA"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0BF6FFFC" w14:textId="77777777" w:rsidTr="00B07C14">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5312C" w14:textId="77777777" w:rsidR="001432F7" w:rsidRPr="00DD06A0" w:rsidRDefault="00334A5B" w:rsidP="00B07C14">
                      <w:pPr>
                        <w:jc w:val="cente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1E5C3E87" w14:textId="4C8B79C2" w:rsidR="001432F7" w:rsidRPr="00DD06A0" w:rsidRDefault="0051453E" w:rsidP="004A4789">
                  <w:pPr>
                    <w:rPr>
                      <w:rFonts w:ascii="ITC Avant Garde" w:hAnsi="ITC Avant Garde"/>
                      <w:sz w:val="18"/>
                      <w:szCs w:val="18"/>
                    </w:rPr>
                  </w:pPr>
                  <w:r>
                    <w:rPr>
                      <w:rFonts w:ascii="ITC Avant Garde" w:hAnsi="ITC Avant Garde"/>
                      <w:sz w:val="18"/>
                      <w:szCs w:val="18"/>
                    </w:rPr>
                    <w:t>El Instituto</w:t>
                  </w:r>
                  <w:r w:rsidR="00E10077">
                    <w:rPr>
                      <w:rFonts w:ascii="ITC Avant Garde" w:hAnsi="ITC Avant Garde"/>
                      <w:sz w:val="18"/>
                      <w:szCs w:val="18"/>
                    </w:rPr>
                    <w:t>, a través de la</w:t>
                  </w:r>
                  <w:r w:rsidR="00AD5D4D">
                    <w:rPr>
                      <w:rFonts w:ascii="ITC Avant Garde" w:hAnsi="ITC Avant Garde"/>
                      <w:sz w:val="18"/>
                      <w:szCs w:val="18"/>
                    </w:rPr>
                    <w:t xml:space="preserve"> Dirección de Vigilancia del Espectro Radioeléctrico de la Unidad de Cumplimiento</w:t>
                  </w:r>
                  <w:r w:rsidR="00E10077">
                    <w:rPr>
                      <w:rFonts w:ascii="ITC Avant Garde" w:hAnsi="ITC Avant Garde"/>
                      <w:sz w:val="18"/>
                      <w:szCs w:val="18"/>
                    </w:rPr>
                    <w:t xml:space="preserve">, </w:t>
                  </w:r>
                  <w:r>
                    <w:rPr>
                      <w:rFonts w:ascii="ITC Avant Garde" w:hAnsi="ITC Avant Garde"/>
                      <w:sz w:val="18"/>
                      <w:szCs w:val="18"/>
                    </w:rPr>
                    <w:t xml:space="preserve">proporcionará </w:t>
                  </w:r>
                  <w:r w:rsidR="00B07C14">
                    <w:rPr>
                      <w:rFonts w:ascii="ITC Avant Garde" w:hAnsi="ITC Avant Garde"/>
                      <w:sz w:val="18"/>
                      <w:szCs w:val="18"/>
                    </w:rPr>
                    <w:t xml:space="preserve">recursos humanos </w:t>
                  </w:r>
                  <w:r w:rsidR="00227EA2">
                    <w:rPr>
                      <w:rFonts w:ascii="ITC Avant Garde" w:hAnsi="ITC Avant Garde"/>
                      <w:sz w:val="18"/>
                      <w:szCs w:val="18"/>
                    </w:rPr>
                    <w:t xml:space="preserve">para llevar a cabo </w:t>
                  </w:r>
                  <w:r w:rsidR="00A77082">
                    <w:rPr>
                      <w:rFonts w:ascii="ITC Avant Garde" w:hAnsi="ITC Avant Garde"/>
                      <w:sz w:val="18"/>
                      <w:szCs w:val="18"/>
                    </w:rPr>
                    <w:t xml:space="preserve">los </w:t>
                  </w:r>
                  <w:r w:rsidR="00A77082" w:rsidRPr="00A77082">
                    <w:rPr>
                      <w:rFonts w:ascii="ITC Avant Garde" w:hAnsi="ITC Avant Garde"/>
                      <w:sz w:val="18"/>
                      <w:szCs w:val="18"/>
                    </w:rPr>
                    <w:t xml:space="preserve">ejercicios de medición basados en la metodología de </w:t>
                  </w:r>
                  <w:r w:rsidR="00A77082" w:rsidRPr="00A77082">
                    <w:rPr>
                      <w:rFonts w:ascii="ITC Avant Garde" w:hAnsi="ITC Avant Garde"/>
                      <w:sz w:val="18"/>
                      <w:szCs w:val="18"/>
                    </w:rPr>
                    <w:lastRenderedPageBreak/>
                    <w:t xml:space="preserve">mediciones </w:t>
                  </w:r>
                  <w:r w:rsidR="00A77082">
                    <w:rPr>
                      <w:rFonts w:ascii="ITC Avant Garde" w:hAnsi="ITC Avant Garde"/>
                      <w:sz w:val="18"/>
                      <w:szCs w:val="18"/>
                    </w:rPr>
                    <w:t>de los Lineamientos</w:t>
                  </w:r>
                  <w:r w:rsidR="00630C94">
                    <w:rPr>
                      <w:rFonts w:ascii="ITC Avant Garde" w:hAnsi="ITC Avant Garde"/>
                      <w:sz w:val="18"/>
                      <w:szCs w:val="18"/>
                    </w:rPr>
                    <w:t>, l</w:t>
                  </w:r>
                  <w:r w:rsidR="00A77082" w:rsidRPr="00A77082">
                    <w:rPr>
                      <w:rFonts w:ascii="ITC Avant Garde" w:hAnsi="ITC Avant Garde"/>
                      <w:sz w:val="18"/>
                      <w:szCs w:val="18"/>
                    </w:rPr>
                    <w:t>a cual tiene por objeto dar certeza jurídica mediante el establecimiento de un procedimiento de mediciones claro, preciso y objetivo para evaluar los parámetros de calidad a que deben sujetarse los prestadores del servicio móvil</w:t>
                  </w:r>
                  <w:r w:rsidR="00630C94">
                    <w:rPr>
                      <w:rFonts w:ascii="ITC Avant Garde" w:hAnsi="ITC Avant Garde"/>
                      <w:sz w:val="18"/>
                      <w:szCs w:val="18"/>
                    </w:rPr>
                    <w:t>,</w:t>
                  </w:r>
                  <w:r w:rsidR="003A489B">
                    <w:rPr>
                      <w:rFonts w:ascii="ITC Avant Garde" w:hAnsi="ITC Avant Garde"/>
                      <w:sz w:val="18"/>
                      <w:szCs w:val="18"/>
                    </w:rPr>
                    <w:t xml:space="preserve"> y que, con la actualización propuesta, incluye la medición del servicio de voz en todas las tecnologías de acceso que estuvieran disponibles</w:t>
                  </w:r>
                  <w:r w:rsidR="00630C94">
                    <w:rPr>
                      <w:rFonts w:ascii="ITC Avant Garde" w:hAnsi="ITC Avant Garde"/>
                      <w:sz w:val="18"/>
                      <w:szCs w:val="18"/>
                    </w:rPr>
                    <w:t>.</w:t>
                  </w:r>
                </w:p>
              </w:tc>
              <w:tc>
                <w:tcPr>
                  <w:tcW w:w="1632" w:type="dxa"/>
                  <w:tcBorders>
                    <w:left w:val="single" w:sz="4" w:space="0" w:color="auto"/>
                  </w:tcBorders>
                  <w:shd w:val="clear" w:color="auto" w:fill="FFFFFF" w:themeFill="background1"/>
                  <w:vAlign w:val="center"/>
                </w:tcPr>
                <w:p w14:paraId="53D776D7" w14:textId="72BECB25" w:rsidR="001432F7" w:rsidRPr="00DD06A0" w:rsidRDefault="00630C94" w:rsidP="00B07C14">
                  <w:pPr>
                    <w:jc w:val="center"/>
                    <w:rPr>
                      <w:rFonts w:ascii="ITC Avant Garde" w:hAnsi="ITC Avant Garde"/>
                      <w:sz w:val="18"/>
                      <w:szCs w:val="18"/>
                    </w:rPr>
                  </w:pPr>
                  <w:r>
                    <w:rPr>
                      <w:rFonts w:ascii="ITC Avant Garde" w:hAnsi="ITC Avant Garde"/>
                      <w:sz w:val="18"/>
                      <w:szCs w:val="18"/>
                    </w:rPr>
                    <w:lastRenderedPageBreak/>
                    <w:t>4 a 5 personas</w:t>
                  </w:r>
                </w:p>
              </w:tc>
            </w:tr>
            <w:tr w:rsidR="003A489B" w:rsidRPr="00DD06A0" w14:paraId="1DEF8DCD" w14:textId="77777777" w:rsidTr="00B07C14">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B9CF26" w14:textId="0B6767F9" w:rsidR="003A489B" w:rsidRDefault="003A489B" w:rsidP="00B07C14">
                  <w:pPr>
                    <w:jc w:val="center"/>
                    <w:rPr>
                      <w:rFonts w:ascii="ITC Avant Garde" w:hAnsi="ITC Avant Garde"/>
                      <w:sz w:val="18"/>
                      <w:szCs w:val="18"/>
                    </w:rPr>
                  </w:pPr>
                  <w:r>
                    <w:rPr>
                      <w:rFonts w:ascii="ITC Avant Garde" w:hAnsi="ITC Avant Garde"/>
                      <w:sz w:val="18"/>
                      <w:szCs w:val="18"/>
                    </w:rPr>
                    <w:t>Equipo</w:t>
                  </w:r>
                </w:p>
              </w:tc>
              <w:tc>
                <w:tcPr>
                  <w:tcW w:w="5602" w:type="dxa"/>
                  <w:tcBorders>
                    <w:left w:val="single" w:sz="4" w:space="0" w:color="auto"/>
                    <w:right w:val="single" w:sz="4" w:space="0" w:color="auto"/>
                  </w:tcBorders>
                  <w:shd w:val="clear" w:color="auto" w:fill="FFFFFF" w:themeFill="background1"/>
                  <w:vAlign w:val="center"/>
                </w:tcPr>
                <w:p w14:paraId="7F4CECF2" w14:textId="3B4635FE" w:rsidR="003A489B" w:rsidRDefault="003A489B" w:rsidP="004A4789">
                  <w:pPr>
                    <w:rPr>
                      <w:rFonts w:ascii="ITC Avant Garde" w:hAnsi="ITC Avant Garde"/>
                      <w:sz w:val="18"/>
                      <w:szCs w:val="18"/>
                    </w:rPr>
                  </w:pPr>
                  <w:r>
                    <w:rPr>
                      <w:rFonts w:ascii="ITC Avant Garde" w:hAnsi="ITC Avant Garde"/>
                      <w:sz w:val="18"/>
                      <w:szCs w:val="18"/>
                    </w:rPr>
                    <w:t>Se requiere del uso de un equipo de medición especializado que la Unidad de Cumplimiento del Instituto utilizará para realizar las mediciones. Sin embargo, la obligación de contar con este equipo de medición sigue vigente desde la emisión de los lineamientos de calidad</w:t>
                  </w:r>
                  <w:r w:rsidR="00F25716">
                    <w:rPr>
                      <w:rFonts w:ascii="ITC Avant Garde" w:hAnsi="ITC Avant Garde"/>
                      <w:sz w:val="18"/>
                      <w:szCs w:val="18"/>
                    </w:rPr>
                    <w:t xml:space="preserve"> en 2018.</w:t>
                  </w:r>
                  <w:r w:rsidR="004A4789">
                    <w:rPr>
                      <w:rFonts w:ascii="ITC Avant Garde" w:hAnsi="ITC Avant Garde"/>
                      <w:sz w:val="18"/>
                      <w:szCs w:val="18"/>
                    </w:rPr>
                    <w:t xml:space="preserve"> Como parte del equipo de medición debe seguirse considerando los vehículos necesarios para el transporte del personal del Instituto.</w:t>
                  </w:r>
                </w:p>
              </w:tc>
              <w:tc>
                <w:tcPr>
                  <w:tcW w:w="1632" w:type="dxa"/>
                  <w:tcBorders>
                    <w:left w:val="single" w:sz="4" w:space="0" w:color="auto"/>
                  </w:tcBorders>
                  <w:shd w:val="clear" w:color="auto" w:fill="FFFFFF" w:themeFill="background1"/>
                  <w:vAlign w:val="center"/>
                </w:tcPr>
                <w:p w14:paraId="452B01C4" w14:textId="30D66476" w:rsidR="003A489B" w:rsidRDefault="00F25716" w:rsidP="00B07C14">
                  <w:pPr>
                    <w:jc w:val="center"/>
                    <w:rPr>
                      <w:rFonts w:ascii="ITC Avant Garde" w:hAnsi="ITC Avant Garde"/>
                      <w:sz w:val="18"/>
                      <w:szCs w:val="18"/>
                    </w:rPr>
                  </w:pPr>
                  <w:r>
                    <w:rPr>
                      <w:rFonts w:ascii="ITC Avant Garde" w:hAnsi="ITC Avant Garde"/>
                      <w:sz w:val="18"/>
                      <w:szCs w:val="18"/>
                    </w:rPr>
                    <w:t>1 equipo de medición</w:t>
                  </w:r>
                </w:p>
              </w:tc>
            </w:tr>
          </w:tbl>
          <w:p w14:paraId="5C3141CB" w14:textId="77777777" w:rsidR="001432F7" w:rsidRPr="00DD06A0" w:rsidRDefault="001432F7" w:rsidP="00225DA6">
            <w:pPr>
              <w:jc w:val="both"/>
              <w:rPr>
                <w:rFonts w:ascii="ITC Avant Garde" w:hAnsi="ITC Avant Garde"/>
                <w:b/>
                <w:sz w:val="18"/>
                <w:szCs w:val="18"/>
              </w:rPr>
            </w:pPr>
          </w:p>
          <w:p w14:paraId="68B60174" w14:textId="77777777" w:rsidR="00B91D01" w:rsidRDefault="00376614" w:rsidP="00225DA6">
            <w:pPr>
              <w:jc w:val="both"/>
              <w:rPr>
                <w:rFonts w:ascii="ITC Avant Garde" w:hAnsi="ITC Avant Garde"/>
                <w:b/>
                <w:sz w:val="18"/>
                <w:szCs w:val="18"/>
              </w:rPr>
            </w:pPr>
            <w:r w:rsidRPr="00196AE9">
              <w:rPr>
                <w:rFonts w:ascii="ITC Avant Garde" w:hAnsi="ITC Avant Garde"/>
                <w:b/>
                <w:sz w:val="18"/>
                <w:szCs w:val="18"/>
              </w:rPr>
              <w:t>14</w:t>
            </w:r>
            <w:r w:rsidR="00B91D01" w:rsidRPr="00196AE9">
              <w:rPr>
                <w:rFonts w:ascii="ITC Avant Garde" w:hAnsi="ITC Avant Garde"/>
                <w:b/>
                <w:sz w:val="18"/>
                <w:szCs w:val="18"/>
              </w:rPr>
              <w:t>.</w:t>
            </w:r>
            <w:r w:rsidR="001432F7" w:rsidRPr="00196AE9">
              <w:rPr>
                <w:rFonts w:ascii="ITC Avant Garde" w:hAnsi="ITC Avant Garde"/>
                <w:b/>
                <w:sz w:val="18"/>
                <w:szCs w:val="18"/>
              </w:rPr>
              <w:t>1</w:t>
            </w:r>
            <w:r w:rsidR="00F3345B" w:rsidRPr="00196AE9">
              <w:rPr>
                <w:rFonts w:ascii="ITC Avant Garde" w:hAnsi="ITC Avant Garde"/>
                <w:b/>
                <w:sz w:val="18"/>
                <w:szCs w:val="18"/>
              </w:rPr>
              <w:t>.</w:t>
            </w:r>
            <w:r w:rsidR="00B91D01" w:rsidRPr="00196AE9">
              <w:rPr>
                <w:rFonts w:ascii="ITC Avant Garde" w:hAnsi="ITC Avant Garde"/>
                <w:b/>
                <w:sz w:val="18"/>
                <w:szCs w:val="18"/>
              </w:rPr>
              <w:t>- Describa los mecanismos que</w:t>
            </w:r>
            <w:r w:rsidR="00B91D01" w:rsidRPr="00DD06A0">
              <w:rPr>
                <w:rFonts w:ascii="ITC Avant Garde" w:hAnsi="ITC Avant Garde"/>
                <w:b/>
                <w:sz w:val="18"/>
                <w:szCs w:val="18"/>
              </w:rPr>
              <w:t xml:space="preserve"> la propuesta de regulación contiene para asegurar su cumplimiento, eficiencia y efectividad. </w:t>
            </w:r>
          </w:p>
          <w:p w14:paraId="2962B0E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7CAC8F52" w14:textId="77777777" w:rsidTr="0058555E">
              <w:trPr>
                <w:jc w:val="center"/>
              </w:trPr>
              <w:tc>
                <w:tcPr>
                  <w:tcW w:w="1368" w:type="dxa"/>
                  <w:tcBorders>
                    <w:bottom w:val="single" w:sz="4" w:space="0" w:color="auto"/>
                  </w:tcBorders>
                  <w:shd w:val="clear" w:color="auto" w:fill="A8D08D" w:themeFill="accent6" w:themeFillTint="99"/>
                  <w:vAlign w:val="center"/>
                </w:tcPr>
                <w:p w14:paraId="4A289D9A"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vAlign w:val="center"/>
                </w:tcPr>
                <w:p w14:paraId="1332EC13"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vAlign w:val="center"/>
                </w:tcPr>
                <w:p w14:paraId="23974130" w14:textId="77777777" w:rsidR="002025CB" w:rsidRPr="00DD06A0" w:rsidRDefault="002025CB" w:rsidP="0058555E">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5B6B9CD6" w14:textId="77777777" w:rsidTr="0058555E">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034889" w14:textId="44767597" w:rsidR="002025CB" w:rsidRPr="00DD06A0" w:rsidRDefault="00A77082" w:rsidP="007A7D29">
                      <w:pPr>
                        <w:jc w:val="cente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61122" w14:textId="66AA61FD" w:rsidR="007A7D29" w:rsidRPr="007A7D29" w:rsidRDefault="007A7D29" w:rsidP="004A4789">
                  <w:pPr>
                    <w:rPr>
                      <w:rFonts w:ascii="ITC Avant Garde" w:hAnsi="ITC Avant Garde"/>
                      <w:sz w:val="18"/>
                      <w:szCs w:val="18"/>
                    </w:rPr>
                  </w:pPr>
                  <w:r>
                    <w:rPr>
                      <w:rFonts w:ascii="ITC Avant Garde" w:hAnsi="ITC Avant Garde"/>
                      <w:sz w:val="18"/>
                      <w:szCs w:val="18"/>
                    </w:rPr>
                    <w:t xml:space="preserve">El Anexo I de los Lineamientos contiene una metodología de mediciones con el fin de </w:t>
                  </w:r>
                  <w:r w:rsidRPr="007A7D29">
                    <w:rPr>
                      <w:rFonts w:ascii="ITC Avant Garde" w:hAnsi="ITC Avant Garde"/>
                      <w:sz w:val="18"/>
                      <w:szCs w:val="18"/>
                    </w:rPr>
                    <w:t>medir los Índices y Parámetros de Calidad establecidos en los Lineamientos</w:t>
                  </w:r>
                  <w:r>
                    <w:rPr>
                      <w:rFonts w:ascii="ITC Avant Garde" w:hAnsi="ITC Avant Garde"/>
                      <w:sz w:val="18"/>
                      <w:szCs w:val="18"/>
                    </w:rPr>
                    <w:t>. Por lo tanto,</w:t>
                  </w:r>
                  <w:r w:rsidRPr="007A7D29">
                    <w:rPr>
                      <w:rFonts w:ascii="ITC Avant Garde" w:hAnsi="ITC Avant Garde"/>
                      <w:sz w:val="18"/>
                      <w:szCs w:val="18"/>
                    </w:rPr>
                    <w:t xml:space="preserve"> el</w:t>
                  </w:r>
                </w:p>
                <w:p w14:paraId="1D1C2749" w14:textId="65522D68" w:rsidR="007A7D29" w:rsidRPr="007A7D29" w:rsidRDefault="007A7D29" w:rsidP="004A4789">
                  <w:pPr>
                    <w:rPr>
                      <w:rFonts w:ascii="ITC Avant Garde" w:hAnsi="ITC Avant Garde"/>
                      <w:sz w:val="18"/>
                      <w:szCs w:val="18"/>
                    </w:rPr>
                  </w:pPr>
                  <w:r w:rsidRPr="007A7D29">
                    <w:rPr>
                      <w:rFonts w:ascii="ITC Avant Garde" w:hAnsi="ITC Avant Garde"/>
                      <w:sz w:val="18"/>
                      <w:szCs w:val="18"/>
                    </w:rPr>
                    <w:t>Instituto</w:t>
                  </w:r>
                  <w:r w:rsidR="00AD5D4D">
                    <w:rPr>
                      <w:rFonts w:ascii="ITC Avant Garde" w:hAnsi="ITC Avant Garde"/>
                      <w:sz w:val="18"/>
                      <w:szCs w:val="18"/>
                    </w:rPr>
                    <w:t>, a través de la Dirección de Vigilancia del Espectro Radioeléctrico de la Unidad de Cumplimiento,</w:t>
                  </w:r>
                  <w:r w:rsidRPr="007A7D29">
                    <w:rPr>
                      <w:rFonts w:ascii="ITC Avant Garde" w:hAnsi="ITC Avant Garde"/>
                      <w:sz w:val="18"/>
                      <w:szCs w:val="18"/>
                    </w:rPr>
                    <w:t xml:space="preserve"> realizará </w:t>
                  </w:r>
                  <w:r>
                    <w:rPr>
                      <w:rFonts w:ascii="ITC Avant Garde" w:hAnsi="ITC Avant Garde"/>
                      <w:sz w:val="18"/>
                      <w:szCs w:val="18"/>
                    </w:rPr>
                    <w:t>a lo largo de cada año, diversos e</w:t>
                  </w:r>
                  <w:r w:rsidRPr="007A7D29">
                    <w:rPr>
                      <w:rFonts w:ascii="ITC Avant Garde" w:hAnsi="ITC Avant Garde"/>
                      <w:sz w:val="18"/>
                      <w:szCs w:val="18"/>
                    </w:rPr>
                    <w:t>jercicio</w:t>
                  </w:r>
                  <w:r>
                    <w:rPr>
                      <w:rFonts w:ascii="ITC Avant Garde" w:hAnsi="ITC Avant Garde"/>
                      <w:sz w:val="18"/>
                      <w:szCs w:val="18"/>
                    </w:rPr>
                    <w:t>s</w:t>
                  </w:r>
                  <w:r w:rsidRPr="007A7D29">
                    <w:rPr>
                      <w:rFonts w:ascii="ITC Avant Garde" w:hAnsi="ITC Avant Garde"/>
                      <w:sz w:val="18"/>
                      <w:szCs w:val="18"/>
                    </w:rPr>
                    <w:t xml:space="preserve"> de </w:t>
                  </w:r>
                  <w:r>
                    <w:rPr>
                      <w:rFonts w:ascii="ITC Avant Garde" w:hAnsi="ITC Avant Garde"/>
                      <w:sz w:val="18"/>
                      <w:szCs w:val="18"/>
                    </w:rPr>
                    <w:t>m</w:t>
                  </w:r>
                  <w:r w:rsidRPr="007A7D29">
                    <w:rPr>
                      <w:rFonts w:ascii="ITC Avant Garde" w:hAnsi="ITC Avant Garde"/>
                      <w:sz w:val="18"/>
                      <w:szCs w:val="18"/>
                    </w:rPr>
                    <w:t>edición de conformidad con las disposiciones aplicables y basándose en la metodología de</w:t>
                  </w:r>
                </w:p>
                <w:p w14:paraId="30025A1B" w14:textId="0FE5E43B" w:rsidR="009E2E8F" w:rsidRDefault="007A7D29" w:rsidP="004A4789">
                  <w:pPr>
                    <w:rPr>
                      <w:rFonts w:ascii="ITC Avant Garde" w:hAnsi="ITC Avant Garde"/>
                      <w:sz w:val="18"/>
                      <w:szCs w:val="18"/>
                    </w:rPr>
                  </w:pPr>
                  <w:r>
                    <w:rPr>
                      <w:rFonts w:ascii="ITC Avant Garde" w:hAnsi="ITC Avant Garde"/>
                      <w:sz w:val="18"/>
                      <w:szCs w:val="18"/>
                    </w:rPr>
                    <w:t>me</w:t>
                  </w:r>
                  <w:r w:rsidRPr="007A7D29">
                    <w:rPr>
                      <w:rFonts w:ascii="ITC Avant Garde" w:hAnsi="ITC Avant Garde"/>
                      <w:sz w:val="18"/>
                      <w:szCs w:val="18"/>
                    </w:rPr>
                    <w:t xml:space="preserve">diciones </w:t>
                  </w:r>
                  <w:r>
                    <w:rPr>
                      <w:rFonts w:ascii="ITC Avant Garde" w:hAnsi="ITC Avant Garde"/>
                      <w:sz w:val="18"/>
                      <w:szCs w:val="18"/>
                    </w:rPr>
                    <w:t xml:space="preserve">para </w:t>
                  </w:r>
                  <w:r w:rsidRPr="007A7D29">
                    <w:rPr>
                      <w:rFonts w:ascii="ITC Avant Garde" w:hAnsi="ITC Avant Garde"/>
                      <w:sz w:val="18"/>
                      <w:szCs w:val="18"/>
                    </w:rPr>
                    <w:t>verifica</w:t>
                  </w:r>
                  <w:r>
                    <w:rPr>
                      <w:rFonts w:ascii="ITC Avant Garde" w:hAnsi="ITC Avant Garde"/>
                      <w:sz w:val="18"/>
                      <w:szCs w:val="18"/>
                    </w:rPr>
                    <w:t xml:space="preserve">r </w:t>
                  </w:r>
                  <w:r w:rsidRPr="007A7D29">
                    <w:rPr>
                      <w:rFonts w:ascii="ITC Avant Garde" w:hAnsi="ITC Avant Garde"/>
                      <w:sz w:val="18"/>
                      <w:szCs w:val="18"/>
                    </w:rPr>
                    <w:t>el cumplimiento de lo dispuesto en los Lineamientos</w:t>
                  </w:r>
                  <w:r w:rsidR="004A4789">
                    <w:rPr>
                      <w:rFonts w:ascii="ITC Avant Garde" w:hAnsi="ITC Avant Garde"/>
                      <w:sz w:val="18"/>
                      <w:szCs w:val="18"/>
                    </w:rPr>
                    <w:t>, incluyendo las actualizaciones para considerar la evaluación del servicio de voz sobre LTE, en los casos en que esté disponible</w:t>
                  </w:r>
                  <w:r>
                    <w:rPr>
                      <w:rFonts w:ascii="ITC Avant Garde" w:hAnsi="ITC Avant Garde"/>
                      <w:sz w:val="18"/>
                      <w:szCs w:val="18"/>
                    </w:rPr>
                    <w:t>.</w:t>
                  </w:r>
                </w:p>
                <w:p w14:paraId="4D60078C" w14:textId="77777777" w:rsidR="009E2E8F" w:rsidRPr="00DD06A0" w:rsidRDefault="009E2E8F" w:rsidP="007A7D29">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0B0D5349" w14:textId="1940D82F" w:rsidR="007A7D29" w:rsidRDefault="007A7D29" w:rsidP="004A4789">
                  <w:pPr>
                    <w:rPr>
                      <w:rFonts w:ascii="ITC Avant Garde" w:hAnsi="ITC Avant Garde"/>
                      <w:sz w:val="18"/>
                      <w:szCs w:val="18"/>
                    </w:rPr>
                  </w:pPr>
                  <w:r w:rsidRPr="00DC24B8">
                    <w:rPr>
                      <w:rFonts w:ascii="ITC Avant Garde" w:hAnsi="ITC Avant Garde"/>
                      <w:sz w:val="18"/>
                      <w:szCs w:val="18"/>
                    </w:rPr>
                    <w:t xml:space="preserve">Se estima que se requiera de </w:t>
                  </w:r>
                  <w:r>
                    <w:rPr>
                      <w:rFonts w:ascii="ITC Avant Garde" w:hAnsi="ITC Avant Garde"/>
                      <w:sz w:val="18"/>
                      <w:szCs w:val="18"/>
                    </w:rPr>
                    <w:t>4</w:t>
                  </w:r>
                  <w:r w:rsidRPr="00DC24B8">
                    <w:rPr>
                      <w:rFonts w:ascii="ITC Avant Garde" w:hAnsi="ITC Avant Garde"/>
                      <w:sz w:val="18"/>
                      <w:szCs w:val="18"/>
                    </w:rPr>
                    <w:t xml:space="preserve"> a 5 recursos humanos que </w:t>
                  </w:r>
                  <w:r>
                    <w:rPr>
                      <w:rFonts w:ascii="ITC Avant Garde" w:hAnsi="ITC Avant Garde"/>
                      <w:sz w:val="18"/>
                      <w:szCs w:val="18"/>
                    </w:rPr>
                    <w:t>lleven a cabo los ejercicios de medición tal y como lo precisa la metodología de medición del Anexo I</w:t>
                  </w:r>
                  <w:r w:rsidRPr="00DC24B8">
                    <w:rPr>
                      <w:rFonts w:ascii="ITC Avant Garde" w:hAnsi="ITC Avant Garde"/>
                      <w:sz w:val="18"/>
                      <w:szCs w:val="18"/>
                    </w:rPr>
                    <w:t xml:space="preserve">, de tal manera que se pueda corroborar el cumplimiento. </w:t>
                  </w:r>
                </w:p>
                <w:p w14:paraId="780E65FD" w14:textId="191B8D04" w:rsidR="00D0596C" w:rsidRPr="00DD06A0" w:rsidRDefault="007A7D29" w:rsidP="004A4789">
                  <w:pPr>
                    <w:rPr>
                      <w:rFonts w:ascii="ITC Avant Garde" w:hAnsi="ITC Avant Garde"/>
                      <w:sz w:val="18"/>
                      <w:szCs w:val="18"/>
                    </w:rPr>
                  </w:pPr>
                  <w:r>
                    <w:rPr>
                      <w:rFonts w:ascii="ITC Avant Garde" w:hAnsi="ITC Avant Garde"/>
                      <w:sz w:val="18"/>
                      <w:szCs w:val="18"/>
                    </w:rPr>
                    <w:t xml:space="preserve">Así también, se requiere </w:t>
                  </w:r>
                  <w:r w:rsidR="004A4789">
                    <w:rPr>
                      <w:rFonts w:ascii="ITC Avant Garde" w:hAnsi="ITC Avant Garde"/>
                      <w:sz w:val="18"/>
                      <w:szCs w:val="18"/>
                    </w:rPr>
                    <w:t>del equipo de medición con el que</w:t>
                  </w:r>
                  <w:r>
                    <w:rPr>
                      <w:rFonts w:ascii="ITC Avant Garde" w:hAnsi="ITC Avant Garde"/>
                      <w:sz w:val="18"/>
                      <w:szCs w:val="18"/>
                    </w:rPr>
                    <w:t xml:space="preserve"> se realizarán las mediciones</w:t>
                  </w:r>
                  <w:r w:rsidR="004A4789">
                    <w:rPr>
                      <w:rFonts w:ascii="ITC Avant Garde" w:hAnsi="ITC Avant Garde"/>
                      <w:sz w:val="18"/>
                      <w:szCs w:val="18"/>
                    </w:rPr>
                    <w:t xml:space="preserve">. </w:t>
                  </w:r>
                  <w:r w:rsidR="00C9460D">
                    <w:rPr>
                      <w:rFonts w:ascii="ITC Avant Garde" w:hAnsi="ITC Avant Garde"/>
                      <w:sz w:val="18"/>
                      <w:szCs w:val="18"/>
                    </w:rPr>
                    <w:t xml:space="preserve">Finalmente, dado que los ejercicios deben llevarse a cabo a lo largo del territorio </w:t>
                  </w:r>
                  <w:r w:rsidR="004A4789">
                    <w:rPr>
                      <w:rFonts w:ascii="ITC Avant Garde" w:hAnsi="ITC Avant Garde"/>
                      <w:sz w:val="18"/>
                      <w:szCs w:val="18"/>
                    </w:rPr>
                    <w:t>nacional</w:t>
                  </w:r>
                  <w:r w:rsidR="00C9460D">
                    <w:rPr>
                      <w:rFonts w:ascii="ITC Avant Garde" w:hAnsi="ITC Avant Garde"/>
                      <w:sz w:val="18"/>
                      <w:szCs w:val="18"/>
                    </w:rPr>
                    <w:t xml:space="preserve">, se debe contar con equipos de transporte para que los recursos humanos se puedan desplazar </w:t>
                  </w:r>
                  <w:r w:rsidR="004A4789">
                    <w:rPr>
                      <w:rFonts w:ascii="ITC Avant Garde" w:hAnsi="ITC Avant Garde"/>
                      <w:sz w:val="18"/>
                      <w:szCs w:val="18"/>
                    </w:rPr>
                    <w:t>con el equipo de medición.</w:t>
                  </w:r>
                  <w:r w:rsidR="00C9460D">
                    <w:rPr>
                      <w:rFonts w:ascii="ITC Avant Garde" w:hAnsi="ITC Avant Garde"/>
                      <w:sz w:val="18"/>
                      <w:szCs w:val="18"/>
                    </w:rPr>
                    <w:t xml:space="preserve"> </w:t>
                  </w:r>
                </w:p>
              </w:tc>
            </w:tr>
          </w:tbl>
          <w:p w14:paraId="143A745E" w14:textId="5EBB6F6A" w:rsidR="00B91D01" w:rsidRDefault="00787A86" w:rsidP="00225DA6">
            <w:pPr>
              <w:jc w:val="both"/>
              <w:rPr>
                <w:rFonts w:ascii="ITC Avant Garde" w:hAnsi="ITC Avant Garde"/>
                <w:b/>
                <w:sz w:val="18"/>
                <w:szCs w:val="18"/>
              </w:rPr>
            </w:pPr>
            <w:r>
              <w:rPr>
                <w:rFonts w:ascii="ITC Avant Garde" w:hAnsi="ITC Avant Garde"/>
                <w:b/>
                <w:sz w:val="18"/>
                <w:szCs w:val="18"/>
              </w:rPr>
              <w:t xml:space="preserve">  </w:t>
            </w:r>
          </w:p>
          <w:p w14:paraId="218F08E6" w14:textId="77777777" w:rsidR="009E2E8F" w:rsidRPr="00DD06A0" w:rsidRDefault="009E2E8F" w:rsidP="00225DA6">
            <w:pPr>
              <w:jc w:val="both"/>
              <w:rPr>
                <w:rFonts w:ascii="ITC Avant Garde" w:hAnsi="ITC Avant Garde"/>
                <w:b/>
                <w:sz w:val="18"/>
                <w:szCs w:val="18"/>
              </w:rPr>
            </w:pPr>
          </w:p>
        </w:tc>
      </w:tr>
    </w:tbl>
    <w:p w14:paraId="6AFACFB3"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3F56934" w14:textId="77777777" w:rsidTr="0051453E">
        <w:tc>
          <w:tcPr>
            <w:tcW w:w="8828" w:type="dxa"/>
            <w:vAlign w:val="center"/>
          </w:tcPr>
          <w:p w14:paraId="32FEE989" w14:textId="77777777" w:rsidR="009E2E8F" w:rsidRDefault="00B91D01" w:rsidP="0051453E">
            <w:pPr>
              <w:jc w:val="center"/>
              <w:rPr>
                <w:rFonts w:ascii="ITC Avant Garde" w:hAnsi="ITC Avant Garde"/>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p>
          <w:p w14:paraId="7851E8A2" w14:textId="77777777" w:rsidR="00B91D01" w:rsidRDefault="00376614" w:rsidP="00497344">
            <w:pPr>
              <w:rPr>
                <w:rFonts w:ascii="ITC Avant Garde" w:hAnsi="ITC Avant Garde"/>
                <w:b/>
                <w:sz w:val="18"/>
                <w:szCs w:val="18"/>
              </w:rPr>
            </w:pPr>
            <w:r w:rsidRPr="00196AE9">
              <w:rPr>
                <w:rFonts w:ascii="ITC Avant Garde" w:hAnsi="ITC Avant Garde"/>
                <w:b/>
                <w:sz w:val="18"/>
                <w:szCs w:val="18"/>
              </w:rPr>
              <w:t>15</w:t>
            </w:r>
            <w:r w:rsidR="00B91D01" w:rsidRPr="00196AE9">
              <w:rPr>
                <w:rFonts w:ascii="ITC Avant Garde" w:hAnsi="ITC Avant Garde"/>
                <w:b/>
                <w:sz w:val="18"/>
                <w:szCs w:val="18"/>
              </w:rPr>
              <w:t xml:space="preserve">.- Explique </w:t>
            </w:r>
            <w:r w:rsidR="001432F7" w:rsidRPr="00196AE9">
              <w:rPr>
                <w:rFonts w:ascii="ITC Avant Garde" w:hAnsi="ITC Avant Garde"/>
                <w:b/>
                <w:sz w:val="18"/>
                <w:szCs w:val="18"/>
              </w:rPr>
              <w:t>los métodos</w:t>
            </w:r>
            <w:r w:rsidR="00B91D01"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00B91D01" w:rsidRPr="00DD06A0">
              <w:rPr>
                <w:rFonts w:ascii="ITC Avant Garde" w:hAnsi="ITC Avant Garde"/>
                <w:b/>
                <w:sz w:val="18"/>
                <w:szCs w:val="18"/>
              </w:rPr>
              <w:t xml:space="preserve"> para evaluar la implementación de la propuesta de regulación.</w:t>
            </w:r>
          </w:p>
          <w:p w14:paraId="79569412" w14:textId="77777777" w:rsidR="009E2E8F" w:rsidRPr="00DD06A0" w:rsidRDefault="009E2E8F" w:rsidP="0051453E">
            <w:pPr>
              <w:jc w:val="center"/>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663"/>
              <w:gridCol w:w="1400"/>
              <w:gridCol w:w="2028"/>
              <w:gridCol w:w="3511"/>
            </w:tblGrid>
            <w:tr w:rsidR="00B91D01" w:rsidRPr="00DD06A0" w14:paraId="10622EA4" w14:textId="77777777" w:rsidTr="00145A45">
              <w:trPr>
                <w:jc w:val="center"/>
              </w:trPr>
              <w:tc>
                <w:tcPr>
                  <w:tcW w:w="1724" w:type="dxa"/>
                  <w:tcBorders>
                    <w:bottom w:val="single" w:sz="4" w:space="0" w:color="auto"/>
                  </w:tcBorders>
                  <w:shd w:val="clear" w:color="auto" w:fill="A8D08D" w:themeFill="accent6" w:themeFillTint="99"/>
                </w:tcPr>
                <w:p w14:paraId="097B753F"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Método</w:t>
                  </w:r>
                </w:p>
              </w:tc>
              <w:tc>
                <w:tcPr>
                  <w:tcW w:w="1418" w:type="dxa"/>
                  <w:tcBorders>
                    <w:bottom w:val="single" w:sz="4" w:space="0" w:color="auto"/>
                  </w:tcBorders>
                  <w:shd w:val="clear" w:color="auto" w:fill="A8D08D" w:themeFill="accent6" w:themeFillTint="99"/>
                </w:tcPr>
                <w:p w14:paraId="604DAB5B"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Periodo</w:t>
                  </w:r>
                </w:p>
              </w:tc>
              <w:tc>
                <w:tcPr>
                  <w:tcW w:w="1701" w:type="dxa"/>
                  <w:tcBorders>
                    <w:bottom w:val="single" w:sz="4" w:space="0" w:color="auto"/>
                  </w:tcBorders>
                  <w:shd w:val="clear" w:color="auto" w:fill="A8D08D" w:themeFill="accent6" w:themeFillTint="99"/>
                </w:tcPr>
                <w:p w14:paraId="1EB3A81D"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Evaluador</w:t>
                  </w:r>
                </w:p>
              </w:tc>
              <w:tc>
                <w:tcPr>
                  <w:tcW w:w="3759" w:type="dxa"/>
                  <w:tcBorders>
                    <w:bottom w:val="single" w:sz="4" w:space="0" w:color="auto"/>
                  </w:tcBorders>
                  <w:shd w:val="clear" w:color="auto" w:fill="A8D08D" w:themeFill="accent6" w:themeFillTint="99"/>
                </w:tcPr>
                <w:p w14:paraId="6D452325" w14:textId="77777777" w:rsidR="00B91D01" w:rsidRPr="00DD06A0" w:rsidRDefault="00B91D01" w:rsidP="0051453E">
                  <w:pPr>
                    <w:jc w:val="center"/>
                    <w:rPr>
                      <w:rFonts w:ascii="ITC Avant Garde" w:hAnsi="ITC Avant Garde"/>
                      <w:b/>
                      <w:sz w:val="18"/>
                      <w:szCs w:val="18"/>
                    </w:rPr>
                  </w:pPr>
                  <w:r w:rsidRPr="00DD06A0">
                    <w:rPr>
                      <w:rFonts w:ascii="ITC Avant Garde" w:hAnsi="ITC Avant Garde"/>
                      <w:b/>
                      <w:sz w:val="18"/>
                      <w:szCs w:val="18"/>
                    </w:rPr>
                    <w:t>Descripción</w:t>
                  </w:r>
                </w:p>
              </w:tc>
            </w:tr>
            <w:tr w:rsidR="006129CA" w:rsidRPr="00DD06A0" w14:paraId="7AB73578" w14:textId="77777777" w:rsidTr="00145A45">
              <w:trPr>
                <w:trHeight w:val="3665"/>
                <w:jc w:val="center"/>
              </w:trPr>
              <w:sdt>
                <w:sdtPr>
                  <w:rPr>
                    <w:rFonts w:ascii="ITC Avant Garde" w:hAnsi="ITC Avant Garde"/>
                    <w:sz w:val="18"/>
                    <w:szCs w:val="18"/>
                  </w:rPr>
                  <w:alias w:val="Método"/>
                  <w:tag w:val="Método"/>
                  <w:id w:val="913519636"/>
                  <w:placeholder>
                    <w:docPart w:val="9F9D00A25532418E877858E12062CA7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40825" w14:textId="020E9C58" w:rsidR="006129CA" w:rsidRPr="00DD06A0" w:rsidRDefault="006129CA" w:rsidP="006129CA">
                      <w:pPr>
                        <w:jc w:val="center"/>
                        <w:rPr>
                          <w:rFonts w:ascii="ITC Avant Garde" w:hAnsi="ITC Avant Garde"/>
                          <w:sz w:val="18"/>
                          <w:szCs w:val="18"/>
                        </w:rPr>
                      </w:pPr>
                      <w:r w:rsidDel="003E58FD">
                        <w:rPr>
                          <w:rFonts w:ascii="ITC Avant Garde" w:hAnsi="ITC Avant Garde"/>
                          <w:sz w:val="18"/>
                          <w:szCs w:val="18"/>
                        </w:rPr>
                        <w:t>Análisis costo beneficio de la regulación</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D9409E" w14:textId="07320C14" w:rsidR="006129CA" w:rsidRPr="00DD06A0" w:rsidRDefault="00196AE9" w:rsidP="006129CA">
                  <w:pPr>
                    <w:jc w:val="center"/>
                    <w:rPr>
                      <w:rFonts w:ascii="ITC Avant Garde" w:hAnsi="ITC Avant Garde"/>
                      <w:sz w:val="18"/>
                      <w:szCs w:val="18"/>
                    </w:rPr>
                  </w:pPr>
                  <w:r>
                    <w:rPr>
                      <w:rFonts w:ascii="ITC Avant Garde" w:hAnsi="ITC Avant Garde"/>
                      <w:sz w:val="18"/>
                      <w:szCs w:val="18"/>
                    </w:rPr>
                    <w:t>Quinquenal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0CAB0" w14:textId="1A5285C5" w:rsidR="006129CA" w:rsidRPr="00DD06A0" w:rsidRDefault="006129CA" w:rsidP="006129CA">
                  <w:pPr>
                    <w:jc w:val="center"/>
                    <w:rPr>
                      <w:rFonts w:ascii="ITC Avant Garde" w:hAnsi="ITC Avant Garde"/>
                      <w:sz w:val="18"/>
                      <w:szCs w:val="18"/>
                    </w:rPr>
                  </w:pPr>
                  <w:r>
                    <w:rPr>
                      <w:rFonts w:ascii="ITC Avant Garde" w:hAnsi="ITC Avant Garde"/>
                      <w:sz w:val="18"/>
                      <w:szCs w:val="18"/>
                    </w:rPr>
                    <w:t>Instituto Federal de Telecomunicaciones</w:t>
                  </w:r>
                </w:p>
              </w:tc>
              <w:tc>
                <w:tcPr>
                  <w:tcW w:w="3759" w:type="dxa"/>
                  <w:tcBorders>
                    <w:top w:val="single" w:sz="4" w:space="0" w:color="auto"/>
                    <w:left w:val="single" w:sz="4" w:space="0" w:color="auto"/>
                    <w:bottom w:val="single" w:sz="4" w:space="0" w:color="auto"/>
                  </w:tcBorders>
                  <w:shd w:val="clear" w:color="auto" w:fill="FFFFFF" w:themeFill="background1"/>
                </w:tcPr>
                <w:p w14:paraId="6AE29A13" w14:textId="77777777" w:rsidR="006129CA" w:rsidRDefault="006129CA" w:rsidP="00987587">
                  <w:pPr>
                    <w:rPr>
                      <w:rFonts w:ascii="ITC Avant Garde" w:hAnsi="ITC Avant Garde"/>
                      <w:sz w:val="18"/>
                      <w:szCs w:val="18"/>
                    </w:rPr>
                  </w:pPr>
                  <w:r>
                    <w:rPr>
                      <w:rFonts w:ascii="ITC Avant Garde" w:hAnsi="ITC Avant Garde"/>
                      <w:sz w:val="18"/>
                      <w:szCs w:val="18"/>
                    </w:rPr>
                    <w:t>El análisis costo beneficio analiza el impacto de la regulación, ya que describe y cuantifica las ventajas (ingresos) y desventajas (costes y gastos) del proyecto de regulación aplicada resultando directamente con la economía del bienestar. Por lo tanto, es un instrumento de análisis económico que describe efectos positivos y negativos cuantificados en términos monetarios.</w:t>
                  </w:r>
                </w:p>
                <w:p w14:paraId="58A6311E" w14:textId="123DBDFF" w:rsidR="006129CA" w:rsidRPr="00DD06A0" w:rsidRDefault="006129CA" w:rsidP="00987587">
                  <w:pPr>
                    <w:rPr>
                      <w:rFonts w:ascii="ITC Avant Garde" w:hAnsi="ITC Avant Garde"/>
                      <w:sz w:val="18"/>
                      <w:szCs w:val="18"/>
                    </w:rPr>
                  </w:pPr>
                  <w:r>
                    <w:rPr>
                      <w:rFonts w:ascii="ITC Avant Garde" w:hAnsi="ITC Avant Garde"/>
                      <w:sz w:val="18"/>
                      <w:szCs w:val="18"/>
                    </w:rPr>
                    <w:t>El objetivo consiste en relacionar los costos que implicaría a los regulados la nueva política regulatoria con los beneficios esperados, de tal forma que se busquen los mayores beneficios y menores costos.</w:t>
                  </w:r>
                </w:p>
              </w:tc>
            </w:tr>
          </w:tbl>
          <w:p w14:paraId="618B3A2C" w14:textId="77777777" w:rsidR="00B91D01" w:rsidRPr="00DD06A0" w:rsidRDefault="00B91D01" w:rsidP="0051453E">
            <w:pPr>
              <w:jc w:val="center"/>
              <w:rPr>
                <w:rFonts w:ascii="ITC Avant Garde" w:hAnsi="ITC Avant Garde"/>
                <w:b/>
                <w:sz w:val="18"/>
                <w:szCs w:val="18"/>
                <w:highlight w:val="yellow"/>
              </w:rPr>
            </w:pPr>
          </w:p>
          <w:p w14:paraId="3543944F" w14:textId="4D42A55E" w:rsidR="00B91D01" w:rsidRPr="00DD06A0" w:rsidRDefault="00B91D01" w:rsidP="00497344">
            <w:pPr>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8"/>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10CEF4FF" w14:textId="383A9F41" w:rsidR="00C6266E" w:rsidRDefault="00C6266E" w:rsidP="00497344">
            <w:pPr>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145A45" w:rsidRPr="00DF61B5" w14:paraId="6EBD7F98" w14:textId="77777777" w:rsidTr="003B7C78">
              <w:trPr>
                <w:jc w:val="center"/>
              </w:trPr>
              <w:tc>
                <w:tcPr>
                  <w:tcW w:w="1867" w:type="dxa"/>
                  <w:tcBorders>
                    <w:bottom w:val="single" w:sz="4" w:space="0" w:color="auto"/>
                  </w:tcBorders>
                  <w:shd w:val="clear" w:color="auto" w:fill="A8D08D" w:themeFill="accent6" w:themeFillTint="99"/>
                </w:tcPr>
                <w:p w14:paraId="063EEB98" w14:textId="77777777" w:rsidR="00145A45" w:rsidRPr="008E21C9" w:rsidRDefault="00145A45" w:rsidP="00145A45">
                  <w:pPr>
                    <w:jc w:val="center"/>
                    <w:rPr>
                      <w:rFonts w:ascii="ITC Avant Garde" w:hAnsi="ITC Avant Garde"/>
                      <w:b/>
                      <w:sz w:val="18"/>
                      <w:szCs w:val="18"/>
                    </w:rPr>
                  </w:pPr>
                  <w:r w:rsidRPr="008E21C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6E0CEC1" w14:textId="77777777" w:rsidR="00145A45" w:rsidRPr="008E21C9" w:rsidRDefault="00145A45" w:rsidP="00145A45">
                  <w:pPr>
                    <w:jc w:val="center"/>
                    <w:rPr>
                      <w:rFonts w:ascii="ITC Avant Garde" w:hAnsi="ITC Avant Garde"/>
                      <w:b/>
                      <w:sz w:val="18"/>
                      <w:szCs w:val="18"/>
                    </w:rPr>
                  </w:pPr>
                  <w:r w:rsidRPr="008E21C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968A637" w14:textId="77777777" w:rsidR="00145A45" w:rsidRPr="008E21C9" w:rsidRDefault="00145A45" w:rsidP="00145A45">
                  <w:pPr>
                    <w:jc w:val="center"/>
                    <w:rPr>
                      <w:rFonts w:ascii="ITC Avant Garde" w:hAnsi="ITC Avant Garde"/>
                      <w:b/>
                      <w:sz w:val="18"/>
                      <w:szCs w:val="18"/>
                    </w:rPr>
                  </w:pPr>
                  <w:r w:rsidRPr="008E21C9">
                    <w:rPr>
                      <w:rFonts w:ascii="ITC Avant Garde" w:hAnsi="ITC Avant Garde"/>
                      <w:b/>
                      <w:sz w:val="18"/>
                      <w:szCs w:val="18"/>
                    </w:rPr>
                    <w:t>Interpretación</w:t>
                  </w:r>
                </w:p>
              </w:tc>
            </w:tr>
            <w:tr w:rsidR="00145A45" w:rsidRPr="00DF61B5" w14:paraId="5ADFC497" w14:textId="77777777" w:rsidTr="003B7C78">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78B2A" w14:textId="22365EDD" w:rsidR="00145A45" w:rsidRDefault="00145A45" w:rsidP="00145A45">
                  <w:pPr>
                    <w:jc w:val="center"/>
                    <w:rPr>
                      <w:rFonts w:ascii="ITC Avant Garde" w:hAnsi="ITC Avant Garde"/>
                      <w:sz w:val="18"/>
                      <w:szCs w:val="18"/>
                    </w:rPr>
                  </w:pPr>
                  <w:r>
                    <w:rPr>
                      <w:rFonts w:ascii="ITC Avant Garde" w:hAnsi="ITC Avant Garde"/>
                      <w:sz w:val="18"/>
                      <w:szCs w:val="18"/>
                    </w:rPr>
                    <w:t xml:space="preserve">Índice General de Satisfacción publicado en el </w:t>
                  </w:r>
                  <w:r w:rsidR="00E70DA4">
                    <w:rPr>
                      <w:rFonts w:ascii="ITC Avant Garde" w:hAnsi="ITC Avant Garde"/>
                      <w:sz w:val="18"/>
                      <w:szCs w:val="18"/>
                    </w:rPr>
                    <w:t>reporte emitido</w:t>
                  </w:r>
                  <w:r>
                    <w:rPr>
                      <w:rFonts w:ascii="ITC Avant Garde" w:hAnsi="ITC Avant Garde"/>
                      <w:sz w:val="18"/>
                      <w:szCs w:val="18"/>
                    </w:rPr>
                    <w:t xml:space="preserve"> por el IFT “Comportamiento de los Indicadores de los mercados regulados”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2299C1" w14:textId="77777777" w:rsidR="00145A45" w:rsidRDefault="00145A45" w:rsidP="00145A45">
                  <w:pPr>
                    <w:jc w:val="center"/>
                    <w:rPr>
                      <w:rFonts w:ascii="ITC Avant Garde" w:hAnsi="ITC Avant Garde"/>
                      <w:sz w:val="18"/>
                      <w:szCs w:val="18"/>
                    </w:rPr>
                  </w:pPr>
                  <w:r>
                    <w:rPr>
                      <w:rFonts w:ascii="ITC Avant Garde" w:hAnsi="ITC Avant Garde"/>
                      <w:sz w:val="18"/>
                      <w:szCs w:val="18"/>
                    </w:rPr>
                    <w:t>Año regulación / Año base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B71769A" w14:textId="77777777" w:rsidR="00145A45" w:rsidRPr="00BD18BE" w:rsidRDefault="00145A45" w:rsidP="00145A45">
                  <w:pPr>
                    <w:jc w:val="both"/>
                    <w:rPr>
                      <w:rFonts w:ascii="ITC Avant Garde" w:hAnsi="ITC Avant Garde"/>
                      <w:sz w:val="18"/>
                      <w:szCs w:val="18"/>
                    </w:rPr>
                  </w:pPr>
                  <w:r>
                    <w:rPr>
                      <w:rFonts w:ascii="ITC Avant Garde" w:hAnsi="ITC Avant Garde"/>
                      <w:sz w:val="18"/>
                      <w:szCs w:val="18"/>
                    </w:rPr>
                    <w:t xml:space="preserve">Permite medir la percepción de satisfacción de los servicios de telecomunicaciones a través de la siguiente fórmula </w:t>
                  </w:r>
                  <w:r>
                    <w:rPr>
                      <w:noProof/>
                      <w:lang w:eastAsia="es-MX"/>
                    </w:rPr>
                    <w:drawing>
                      <wp:inline distT="0" distB="0" distL="0" distR="0" wp14:anchorId="5585BC1B" wp14:editId="068E3D31">
                        <wp:extent cx="740020" cy="153909"/>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6777" cy="165713"/>
                                </a:xfrm>
                                <a:prstGeom prst="rect">
                                  <a:avLst/>
                                </a:prstGeom>
                              </pic:spPr>
                            </pic:pic>
                          </a:graphicData>
                        </a:graphic>
                      </wp:inline>
                    </w:drawing>
                  </w:r>
                  <w:r>
                    <w:rPr>
                      <w:rFonts w:ascii="ITC Avant Garde" w:hAnsi="ITC Avant Garde"/>
                      <w:sz w:val="18"/>
                      <w:szCs w:val="18"/>
                    </w:rPr>
                    <w:t xml:space="preserve"> donde </w:t>
                  </w:r>
                  <w:r w:rsidRPr="00BD18BE">
                    <w:rPr>
                      <w:rFonts w:ascii="ITC Avant Garde" w:hAnsi="ITC Avant Garde"/>
                      <w:i/>
                      <w:sz w:val="18"/>
                      <w:szCs w:val="18"/>
                    </w:rPr>
                    <w:t>IGS</w:t>
                  </w:r>
                  <w:r>
                    <w:rPr>
                      <w:rFonts w:ascii="ITC Avant Garde" w:hAnsi="ITC Avant Garde"/>
                      <w:sz w:val="18"/>
                      <w:szCs w:val="18"/>
                    </w:rPr>
                    <w:t xml:space="preserve"> es el Índice General </w:t>
                  </w:r>
                  <w:r w:rsidRPr="00BD18BE">
                    <w:rPr>
                      <w:rFonts w:ascii="ITC Avant Garde" w:hAnsi="ITC Avant Garde"/>
                      <w:sz w:val="18"/>
                      <w:szCs w:val="18"/>
                    </w:rPr>
                    <w:t xml:space="preserve">de Satisfacción, </w:t>
                  </w:r>
                  <w:r w:rsidRPr="00BD18BE">
                    <w:rPr>
                      <w:rFonts w:ascii="ITC Avant Garde" w:hAnsi="ITC Avant Garde"/>
                      <w:i/>
                      <w:sz w:val="18"/>
                      <w:szCs w:val="18"/>
                    </w:rPr>
                    <w:t>j</w:t>
                  </w:r>
                  <w:r w:rsidRPr="00BD18BE">
                    <w:rPr>
                      <w:rFonts w:ascii="ITC Avant Garde" w:hAnsi="ITC Avant Garde"/>
                      <w:sz w:val="18"/>
                      <w:szCs w:val="18"/>
                    </w:rPr>
                    <w:t xml:space="preserve"> representa la pregunta analizada, </w:t>
                  </w:r>
                  <w:r w:rsidRPr="00BD18BE">
                    <w:rPr>
                      <w:rFonts w:ascii="ITC Avant Garde" w:hAnsi="ITC Avant Garde"/>
                      <w:i/>
                      <w:sz w:val="18"/>
                      <w:szCs w:val="18"/>
                    </w:rPr>
                    <w:t>i</w:t>
                  </w:r>
                  <w:r w:rsidRPr="00BD18BE">
                    <w:rPr>
                      <w:rFonts w:ascii="ITC Avant Garde" w:hAnsi="ITC Avant Garde"/>
                      <w:sz w:val="18"/>
                      <w:szCs w:val="18"/>
                    </w:rPr>
                    <w:t xml:space="preserve"> es</w:t>
                  </w:r>
                  <w:r>
                    <w:rPr>
                      <w:rFonts w:ascii="ITC Avant Garde" w:hAnsi="ITC Avant Garde"/>
                      <w:sz w:val="18"/>
                      <w:szCs w:val="18"/>
                    </w:rPr>
                    <w:t xml:space="preserve"> la unidad de análisis, en este </w:t>
                  </w:r>
                  <w:r w:rsidRPr="00BD18BE">
                    <w:rPr>
                      <w:rFonts w:ascii="ITC Avant Garde" w:hAnsi="ITC Avant Garde"/>
                      <w:sz w:val="18"/>
                      <w:szCs w:val="18"/>
                    </w:rPr>
                    <w:t xml:space="preserve">caso corresponde al usuario encuestado, </w:t>
                  </w:r>
                  <w:r w:rsidRPr="00BD18BE">
                    <w:rPr>
                      <w:rFonts w:ascii="ITC Avant Garde" w:hAnsi="ITC Avant Garde"/>
                      <w:i/>
                      <w:sz w:val="18"/>
                      <w:szCs w:val="18"/>
                    </w:rPr>
                    <w:t>n</w:t>
                  </w:r>
                  <w:r w:rsidRPr="00BD18BE">
                    <w:rPr>
                      <w:rFonts w:ascii="ITC Avant Garde" w:hAnsi="ITC Avant Garde"/>
                      <w:sz w:val="18"/>
                      <w:szCs w:val="18"/>
                    </w:rPr>
                    <w:t xml:space="preserve"> es el número</w:t>
                  </w:r>
                  <w:r>
                    <w:rPr>
                      <w:rFonts w:ascii="ITC Avant Garde" w:hAnsi="ITC Avant Garde"/>
                      <w:sz w:val="18"/>
                      <w:szCs w:val="18"/>
                    </w:rPr>
                    <w:t xml:space="preserve"> total de usuarios encuestados, </w:t>
                  </w:r>
                  <w:proofErr w:type="spellStart"/>
                  <w:r w:rsidRPr="00BD18BE">
                    <w:rPr>
                      <w:rFonts w:ascii="ITC Avant Garde" w:hAnsi="ITC Avant Garde"/>
                      <w:sz w:val="18"/>
                      <w:szCs w:val="18"/>
                    </w:rPr>
                    <w:t>I</w:t>
                  </w:r>
                  <w:r w:rsidRPr="00BD18BE">
                    <w:rPr>
                      <w:rFonts w:ascii="ITC Avant Garde" w:hAnsi="ITC Avant Garde"/>
                      <w:sz w:val="18"/>
                      <w:szCs w:val="18"/>
                      <w:vertAlign w:val="subscript"/>
                    </w:rPr>
                    <w:t>ij</w:t>
                  </w:r>
                  <w:proofErr w:type="spellEnd"/>
                  <w:r w:rsidRPr="00BD18BE">
                    <w:rPr>
                      <w:rFonts w:ascii="ITC Avant Garde" w:hAnsi="ITC Avant Garde"/>
                      <w:sz w:val="18"/>
                      <w:szCs w:val="18"/>
                    </w:rPr>
                    <w:t xml:space="preserve"> es la respuesta </w:t>
                  </w:r>
                  <w:proofErr w:type="spellStart"/>
                  <w:r w:rsidRPr="00BD18BE">
                    <w:rPr>
                      <w:rFonts w:ascii="ITC Avant Garde" w:hAnsi="ITC Avant Garde"/>
                      <w:sz w:val="18"/>
                      <w:szCs w:val="18"/>
                    </w:rPr>
                    <w:t>re-escalada</w:t>
                  </w:r>
                  <w:proofErr w:type="spellEnd"/>
                  <w:r w:rsidRPr="00BD18BE">
                    <w:rPr>
                      <w:rFonts w:ascii="ITC Avant Garde" w:hAnsi="ITC Avant Garde"/>
                      <w:sz w:val="18"/>
                      <w:szCs w:val="18"/>
                    </w:rPr>
                    <w:t xml:space="preserve"> del usuario encuestado i en la pregunta </w:t>
                  </w:r>
                  <w:r w:rsidRPr="00BD18BE">
                    <w:rPr>
                      <w:rFonts w:ascii="ITC Avant Garde" w:hAnsi="ITC Avant Garde"/>
                      <w:i/>
                      <w:sz w:val="18"/>
                      <w:szCs w:val="18"/>
                    </w:rPr>
                    <w:t>j</w:t>
                  </w:r>
                  <w:r w:rsidRPr="00BD18BE">
                    <w:rPr>
                      <w:rFonts w:ascii="ITC Avant Garde" w:hAnsi="ITC Avant Garde"/>
                      <w:sz w:val="18"/>
                      <w:szCs w:val="18"/>
                    </w:rPr>
                    <w:t xml:space="preserve"> y </w:t>
                  </w:r>
                  <w:proofErr w:type="spellStart"/>
                  <w:r w:rsidRPr="00BD18BE">
                    <w:rPr>
                      <w:rFonts w:ascii="ITC Avant Garde" w:hAnsi="ITC Avant Garde"/>
                      <w:i/>
                      <w:sz w:val="18"/>
                      <w:szCs w:val="18"/>
                    </w:rPr>
                    <w:t>w</w:t>
                  </w:r>
                  <w:r w:rsidRPr="00BD18BE">
                    <w:rPr>
                      <w:rFonts w:ascii="ITC Avant Garde" w:hAnsi="ITC Avant Garde"/>
                      <w:i/>
                      <w:sz w:val="18"/>
                      <w:szCs w:val="18"/>
                      <w:vertAlign w:val="subscript"/>
                    </w:rPr>
                    <w:t>i</w:t>
                  </w:r>
                  <w:proofErr w:type="spellEnd"/>
                  <w:r>
                    <w:rPr>
                      <w:rFonts w:ascii="ITC Avant Garde" w:hAnsi="ITC Avant Garde"/>
                      <w:sz w:val="18"/>
                      <w:szCs w:val="18"/>
                    </w:rPr>
                    <w:t xml:space="preserve"> es el peso </w:t>
                  </w:r>
                  <w:r w:rsidRPr="00BD18BE">
                    <w:rPr>
                      <w:rFonts w:ascii="ITC Avant Garde" w:hAnsi="ITC Avant Garde"/>
                      <w:sz w:val="18"/>
                      <w:szCs w:val="18"/>
                    </w:rPr>
                    <w:t>asignado por el factor de expansión a cada usuario encuestado</w:t>
                  </w:r>
                  <w:r>
                    <w:rPr>
                      <w:rFonts w:ascii="ITC Avant Garde" w:hAnsi="ITC Avant Garde"/>
                      <w:sz w:val="18"/>
                      <w:szCs w:val="18"/>
                    </w:rPr>
                    <w:t xml:space="preserve">. </w:t>
                  </w:r>
                  <w:r w:rsidRPr="006D0073">
                    <w:rPr>
                      <w:rFonts w:ascii="ITC Avant Garde" w:hAnsi="ITC Avant Garde"/>
                      <w:sz w:val="18"/>
                      <w:szCs w:val="18"/>
                    </w:rPr>
                    <w:t xml:space="preserve">El IGS se integra por los Índices de Satisfacción: Calidad </w:t>
                  </w:r>
                  <w:r>
                    <w:rPr>
                      <w:rFonts w:ascii="ITC Avant Garde" w:hAnsi="ITC Avant Garde"/>
                      <w:sz w:val="18"/>
                      <w:szCs w:val="18"/>
                    </w:rPr>
                    <w:t xml:space="preserve">percibida, Valor por el dinero, </w:t>
                  </w:r>
                  <w:r w:rsidRPr="006D0073">
                    <w:rPr>
                      <w:rFonts w:ascii="ITC Avant Garde" w:hAnsi="ITC Avant Garde"/>
                      <w:sz w:val="18"/>
                      <w:szCs w:val="18"/>
                    </w:rPr>
                    <w:t>Confianza o Lealtad y Experiencia</w:t>
                  </w:r>
                  <w:r>
                    <w:rPr>
                      <w:rFonts w:ascii="ITC Avant Garde" w:hAnsi="ITC Avant Garde"/>
                      <w:sz w:val="18"/>
                      <w:szCs w:val="18"/>
                    </w:rPr>
                    <w:t>.</w:t>
                  </w:r>
                </w:p>
              </w:tc>
            </w:tr>
          </w:tbl>
          <w:p w14:paraId="60EDCFBA" w14:textId="324550C9" w:rsidR="00B91D01" w:rsidRDefault="00B91D01" w:rsidP="00145A45">
            <w:pPr>
              <w:rPr>
                <w:rFonts w:ascii="ITC Avant Garde" w:hAnsi="ITC Avant Garde"/>
                <w:sz w:val="18"/>
                <w:szCs w:val="18"/>
              </w:rPr>
            </w:pPr>
          </w:p>
          <w:p w14:paraId="2838FAEC" w14:textId="77777777" w:rsidR="000C5506" w:rsidRPr="00DD06A0" w:rsidRDefault="000C5506" w:rsidP="0051453E">
            <w:pPr>
              <w:jc w:val="center"/>
              <w:rPr>
                <w:rFonts w:ascii="ITC Avant Garde" w:hAnsi="ITC Avant Garde"/>
                <w:sz w:val="18"/>
                <w:szCs w:val="18"/>
              </w:rPr>
            </w:pPr>
          </w:p>
          <w:p w14:paraId="69EDD446" w14:textId="77777777" w:rsidR="00E30249" w:rsidRPr="00DD06A0" w:rsidRDefault="00E30249" w:rsidP="0051453E">
            <w:pPr>
              <w:jc w:val="center"/>
              <w:rPr>
                <w:rFonts w:ascii="ITC Avant Garde" w:hAnsi="ITC Avant Garde"/>
                <w:sz w:val="18"/>
                <w:szCs w:val="18"/>
              </w:rPr>
            </w:pPr>
          </w:p>
        </w:tc>
      </w:tr>
    </w:tbl>
    <w:p w14:paraId="58D1DFAF" w14:textId="77777777" w:rsidR="002025CB" w:rsidRPr="00DD06A0" w:rsidRDefault="002025CB" w:rsidP="0086684A">
      <w:pPr>
        <w:jc w:val="both"/>
        <w:rPr>
          <w:rFonts w:ascii="ITC Avant Garde" w:hAnsi="ITC Avant Garde"/>
          <w:sz w:val="18"/>
          <w:szCs w:val="18"/>
        </w:rPr>
      </w:pPr>
    </w:p>
    <w:p w14:paraId="067F16B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15FAF4C" w14:textId="77777777" w:rsidTr="00225DA6">
        <w:tc>
          <w:tcPr>
            <w:tcW w:w="8828" w:type="dxa"/>
          </w:tcPr>
          <w:p w14:paraId="549731A9" w14:textId="77777777" w:rsidR="00242CD9" w:rsidRPr="007B7F4A" w:rsidRDefault="00376614" w:rsidP="00225DA6">
            <w:pPr>
              <w:jc w:val="both"/>
              <w:rPr>
                <w:rFonts w:ascii="ITC Avant Garde" w:hAnsi="ITC Avant Garde"/>
                <w:b/>
                <w:sz w:val="18"/>
                <w:szCs w:val="18"/>
              </w:rPr>
            </w:pPr>
            <w:r w:rsidRPr="00196AE9">
              <w:rPr>
                <w:rFonts w:ascii="ITC Avant Garde" w:hAnsi="ITC Avant Garde"/>
                <w:b/>
                <w:sz w:val="18"/>
                <w:szCs w:val="18"/>
              </w:rPr>
              <w:t>16</w:t>
            </w:r>
            <w:r w:rsidR="00242CD9" w:rsidRPr="00196AE9">
              <w:rPr>
                <w:rFonts w:ascii="ITC Avant Garde" w:hAnsi="ITC Avant Garde"/>
                <w:b/>
                <w:sz w:val="18"/>
                <w:szCs w:val="18"/>
              </w:rPr>
              <w:t xml:space="preserve">.- Solo en </w:t>
            </w:r>
            <w:r w:rsidR="00342CBF" w:rsidRPr="00196AE9">
              <w:rPr>
                <w:rFonts w:ascii="ITC Avant Garde" w:hAnsi="ITC Avant Garde"/>
                <w:b/>
                <w:sz w:val="18"/>
                <w:szCs w:val="18"/>
              </w:rPr>
              <w:t xml:space="preserve">los </w:t>
            </w:r>
            <w:r w:rsidR="00242CD9" w:rsidRPr="00196AE9">
              <w:rPr>
                <w:rFonts w:ascii="ITC Avant Garde" w:hAnsi="ITC Avant Garde"/>
                <w:b/>
                <w:sz w:val="18"/>
                <w:szCs w:val="18"/>
              </w:rPr>
              <w:t>caso</w:t>
            </w:r>
            <w:r w:rsidR="00342CBF" w:rsidRPr="00196AE9">
              <w:rPr>
                <w:rFonts w:ascii="ITC Avant Garde" w:hAnsi="ITC Avant Garde"/>
                <w:b/>
                <w:sz w:val="18"/>
                <w:szCs w:val="18"/>
              </w:rPr>
              <w:t>s</w:t>
            </w:r>
            <w:r w:rsidR="005465C4" w:rsidRPr="00196AE9">
              <w:rPr>
                <w:rFonts w:ascii="ITC Avant Garde" w:hAnsi="ITC Avant Garde"/>
                <w:b/>
                <w:sz w:val="18"/>
                <w:szCs w:val="18"/>
              </w:rPr>
              <w:t xml:space="preserve"> de</w:t>
            </w:r>
            <w:r w:rsidR="00242CD9" w:rsidRPr="000D7971">
              <w:rPr>
                <w:rFonts w:ascii="ITC Avant Garde" w:hAnsi="ITC Avant Garde"/>
                <w:b/>
                <w:sz w:val="18"/>
                <w:szCs w:val="18"/>
              </w:rPr>
              <w:t xml:space="preserve"> </w:t>
            </w:r>
            <w:r w:rsidR="00720673" w:rsidRPr="000D7971">
              <w:rPr>
                <w:rFonts w:ascii="ITC Avant Garde" w:hAnsi="ITC Avant Garde"/>
                <w:b/>
                <w:sz w:val="18"/>
                <w:szCs w:val="18"/>
              </w:rPr>
              <w:t xml:space="preserve">una </w:t>
            </w:r>
            <w:r w:rsidR="00242CD9" w:rsidRPr="000D7971">
              <w:rPr>
                <w:rFonts w:ascii="ITC Avant Garde" w:hAnsi="ITC Avant Garde"/>
                <w:b/>
                <w:sz w:val="18"/>
                <w:szCs w:val="18"/>
              </w:rPr>
              <w:t>consulta pública de integración o de evaluación para la elaboración de una propuesta de regulación, seleccione y detalle</w:t>
            </w:r>
            <w:r w:rsidR="00AB3BA3" w:rsidRPr="000D7971">
              <w:rPr>
                <w:rFonts w:ascii="ITC Avant Garde" w:hAnsi="ITC Avant Garde"/>
                <w:b/>
                <w:sz w:val="18"/>
                <w:szCs w:val="18"/>
              </w:rPr>
              <w:t>.</w:t>
            </w:r>
            <w:r w:rsidR="00242CD9" w:rsidRPr="000D7971">
              <w:rPr>
                <w:rStyle w:val="Refdenotaalpie"/>
                <w:rFonts w:ascii="ITC Avant Garde" w:hAnsi="ITC Avant Garde"/>
                <w:b/>
                <w:sz w:val="18"/>
                <w:szCs w:val="18"/>
              </w:rPr>
              <w:footnoteReference w:id="19"/>
            </w:r>
            <w:r w:rsidR="001576FA" w:rsidRPr="000D7971">
              <w:rPr>
                <w:rFonts w:ascii="ITC Avant Garde" w:hAnsi="ITC Avant Garde"/>
                <w:b/>
                <w:sz w:val="18"/>
                <w:szCs w:val="18"/>
              </w:rPr>
              <w:t xml:space="preserve"> </w:t>
            </w:r>
            <w:r w:rsidR="00AB3BA3" w:rsidRPr="000D7971">
              <w:rPr>
                <w:rFonts w:ascii="ITC Avant Garde" w:hAnsi="ITC Avant Garde"/>
                <w:b/>
                <w:sz w:val="18"/>
                <w:szCs w:val="18"/>
              </w:rPr>
              <w:t>A</w:t>
            </w:r>
            <w:r w:rsidR="001576FA" w:rsidRPr="000D7971">
              <w:rPr>
                <w:rFonts w:ascii="ITC Avant Garde" w:hAnsi="ITC Avant Garde"/>
                <w:b/>
                <w:sz w:val="18"/>
                <w:szCs w:val="18"/>
              </w:rPr>
              <w:t>greg</w:t>
            </w:r>
            <w:r w:rsidR="00AB3BA3" w:rsidRPr="000D7971">
              <w:rPr>
                <w:rFonts w:ascii="ITC Avant Garde" w:hAnsi="ITC Avant Garde"/>
                <w:b/>
                <w:sz w:val="18"/>
                <w:szCs w:val="18"/>
              </w:rPr>
              <w:t>ue</w:t>
            </w:r>
            <w:r w:rsidR="001576FA" w:rsidRPr="000D7971">
              <w:rPr>
                <w:rFonts w:ascii="ITC Avant Garde" w:hAnsi="ITC Avant Garde"/>
                <w:b/>
                <w:sz w:val="18"/>
                <w:szCs w:val="18"/>
              </w:rPr>
              <w:t xml:space="preserve"> las filas que considere </w:t>
            </w:r>
            <w:r w:rsidR="00AB3BA3" w:rsidRPr="000D7971">
              <w:rPr>
                <w:rFonts w:ascii="ITC Avant Garde" w:hAnsi="ITC Avant Garde"/>
                <w:b/>
                <w:sz w:val="18"/>
                <w:szCs w:val="18"/>
              </w:rPr>
              <w:t>necesarias</w:t>
            </w:r>
            <w:r w:rsidR="001576FA" w:rsidRPr="000D7971">
              <w:rPr>
                <w:rFonts w:ascii="ITC Avant Garde" w:hAnsi="ITC Avant Garde"/>
                <w:b/>
                <w:sz w:val="18"/>
                <w:szCs w:val="18"/>
              </w:rPr>
              <w:t>.</w:t>
            </w:r>
          </w:p>
          <w:p w14:paraId="47590FAA" w14:textId="77777777" w:rsidR="00242CD9" w:rsidRPr="007B7F4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821"/>
            </w:tblGrid>
            <w:tr w:rsidR="00242CD9" w:rsidRPr="007B7F4A" w14:paraId="1CDD9EB7" w14:textId="77777777" w:rsidTr="00B97AE9">
              <w:trPr>
                <w:trHeight w:val="342"/>
              </w:trPr>
              <w:tc>
                <w:tcPr>
                  <w:tcW w:w="4821" w:type="dxa"/>
                  <w:shd w:val="clear" w:color="auto" w:fill="A8D08D" w:themeFill="accent6" w:themeFillTint="99"/>
                </w:tcPr>
                <w:p w14:paraId="3EBABC7B" w14:textId="77777777" w:rsidR="00242CD9" w:rsidRPr="007B7F4A" w:rsidRDefault="00242CD9" w:rsidP="00225DA6">
                  <w:pPr>
                    <w:jc w:val="center"/>
                    <w:rPr>
                      <w:rFonts w:ascii="ITC Avant Garde" w:hAnsi="ITC Avant Garde"/>
                      <w:b/>
                      <w:sz w:val="18"/>
                      <w:szCs w:val="18"/>
                    </w:rPr>
                  </w:pPr>
                  <w:r w:rsidRPr="007B7F4A">
                    <w:rPr>
                      <w:rFonts w:ascii="ITC Avant Garde" w:hAnsi="ITC Avant Garde"/>
                      <w:b/>
                      <w:sz w:val="18"/>
                      <w:szCs w:val="18"/>
                    </w:rPr>
                    <w:t>Tipo de Consulta Pública realizada</w:t>
                  </w:r>
                </w:p>
              </w:tc>
            </w:tr>
            <w:tr w:rsidR="00242CD9" w:rsidRPr="007B7F4A" w14:paraId="19D75938" w14:textId="77777777" w:rsidTr="00B97AE9">
              <w:trPr>
                <w:trHeight w:val="332"/>
              </w:trPr>
              <w:tc>
                <w:tcPr>
                  <w:tcW w:w="4821" w:type="dxa"/>
                </w:tcPr>
                <w:p w14:paraId="7D1E98C3" w14:textId="1B08DFF4" w:rsidR="00242CD9" w:rsidRPr="007B7F4A" w:rsidRDefault="00000000" w:rsidP="00225DA6">
                  <w:pPr>
                    <w:jc w:val="both"/>
                    <w:rPr>
                      <w:rFonts w:ascii="ITC Avant Garde" w:hAnsi="ITC Avant Garde"/>
                      <w:sz w:val="18"/>
                      <w:szCs w:val="18"/>
                    </w:rPr>
                  </w:pPr>
                  <w:sdt>
                    <w:sdtPr>
                      <w:rPr>
                        <w:rFonts w:ascii="ITC Avant Garde" w:hAnsi="ITC Avant Garde"/>
                        <w:sz w:val="18"/>
                        <w:szCs w:val="18"/>
                      </w:rPr>
                      <w:alias w:val="Tipo de Consulta Pública realizada"/>
                      <w:tag w:val="Tipo de Consulta Pública realizada"/>
                      <w:id w:val="-1163013831"/>
                      <w:placeholder>
                        <w:docPart w:val="2609157F9132401491211C262A6E0324"/>
                      </w:placeholder>
                      <w:showingPlcHdr/>
                      <w15:color w:val="339966"/>
                      <w:comboBox>
                        <w:listItem w:value="Elija un elemento."/>
                        <w:listItem w:displayText="De integración de la información" w:value="De integración de la información"/>
                        <w:listItem w:displayText="De evaluación" w:value="De evaluación"/>
                      </w:comboBox>
                    </w:sdtPr>
                    <w:sdtContent>
                      <w:r w:rsidR="006129CA" w:rsidRPr="00F23B5B">
                        <w:rPr>
                          <w:rStyle w:val="Textodelmarcadordeposicin"/>
                        </w:rPr>
                        <w:t>Elija un elemento.</w:t>
                      </w:r>
                    </w:sdtContent>
                  </w:sdt>
                </w:p>
              </w:tc>
            </w:tr>
          </w:tbl>
          <w:p w14:paraId="4131C427" w14:textId="77777777" w:rsidR="002025CB" w:rsidRPr="007B7F4A" w:rsidRDefault="002025CB" w:rsidP="00225DA6">
            <w:pPr>
              <w:jc w:val="both"/>
              <w:rPr>
                <w:rFonts w:ascii="ITC Avant Garde" w:hAnsi="ITC Avant Garde"/>
                <w:sz w:val="18"/>
                <w:szCs w:val="18"/>
              </w:rPr>
            </w:pPr>
          </w:p>
          <w:p w14:paraId="6DE8A71B" w14:textId="77777777" w:rsidR="00673EAE" w:rsidRPr="00AA6694" w:rsidRDefault="00673EAE" w:rsidP="006129CA">
            <w:pPr>
              <w:jc w:val="both"/>
              <w:rPr>
                <w:rFonts w:ascii="ITC Avant Garde" w:hAnsi="ITC Avant Garde"/>
                <w:sz w:val="18"/>
                <w:szCs w:val="18"/>
                <w:highlight w:val="yellow"/>
              </w:rPr>
            </w:pPr>
          </w:p>
        </w:tc>
      </w:tr>
    </w:tbl>
    <w:p w14:paraId="1ED4AD16" w14:textId="77777777" w:rsidR="00242CD9" w:rsidRPr="00DD06A0" w:rsidRDefault="00242CD9" w:rsidP="0086684A">
      <w:pPr>
        <w:jc w:val="both"/>
        <w:rPr>
          <w:rFonts w:ascii="ITC Avant Garde" w:hAnsi="ITC Avant Garde"/>
          <w:sz w:val="18"/>
          <w:szCs w:val="18"/>
        </w:rPr>
      </w:pPr>
    </w:p>
    <w:p w14:paraId="6000DA7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56C2DDC0" w14:textId="77777777" w:rsidTr="00225DA6">
        <w:tc>
          <w:tcPr>
            <w:tcW w:w="8828" w:type="dxa"/>
            <w:tcBorders>
              <w:bottom w:val="single" w:sz="4" w:space="0" w:color="auto"/>
            </w:tcBorders>
          </w:tcPr>
          <w:p w14:paraId="1BCAE1C7" w14:textId="77777777" w:rsidR="00242CD9" w:rsidRPr="002637C6" w:rsidRDefault="00376614" w:rsidP="00225DA6">
            <w:pPr>
              <w:jc w:val="both"/>
              <w:rPr>
                <w:rFonts w:ascii="ITC Avant Garde" w:hAnsi="ITC Avant Garde"/>
                <w:b/>
                <w:sz w:val="18"/>
                <w:szCs w:val="18"/>
              </w:rPr>
            </w:pPr>
            <w:r w:rsidRPr="00196AE9">
              <w:rPr>
                <w:rFonts w:ascii="ITC Avant Garde" w:hAnsi="ITC Avant Garde"/>
                <w:b/>
                <w:sz w:val="18"/>
                <w:szCs w:val="18"/>
              </w:rPr>
              <w:t>17</w:t>
            </w:r>
            <w:r w:rsidR="00242CD9" w:rsidRPr="00196AE9">
              <w:rPr>
                <w:rFonts w:ascii="ITC Avant Garde" w:hAnsi="ITC Avant Garde"/>
                <w:b/>
                <w:sz w:val="18"/>
                <w:szCs w:val="18"/>
              </w:rPr>
              <w:t>.- Enumere las fuentes</w:t>
            </w:r>
            <w:r w:rsidR="00242CD9" w:rsidRPr="002637C6">
              <w:rPr>
                <w:rFonts w:ascii="ITC Avant Garde" w:hAnsi="ITC Avant Garde"/>
                <w:b/>
                <w:sz w:val="18"/>
                <w:szCs w:val="18"/>
              </w:rPr>
              <w:t xml:space="preserve"> académicas, científicas, de asociaciones, instituciones privadas</w:t>
            </w:r>
            <w:r w:rsidR="00356E5F" w:rsidRPr="002637C6">
              <w:rPr>
                <w:rFonts w:ascii="ITC Avant Garde" w:hAnsi="ITC Avant Garde"/>
                <w:b/>
                <w:sz w:val="18"/>
                <w:szCs w:val="18"/>
              </w:rPr>
              <w:t xml:space="preserve"> o públicas</w:t>
            </w:r>
            <w:r w:rsidR="00242CD9" w:rsidRPr="002637C6">
              <w:rPr>
                <w:rFonts w:ascii="ITC Avant Garde" w:hAnsi="ITC Avant Garde"/>
                <w:b/>
                <w:sz w:val="18"/>
                <w:szCs w:val="18"/>
              </w:rPr>
              <w:t>, internacionales o gubernamentales consultadas en la elaboración de la propuesta de regulación:</w:t>
            </w:r>
          </w:p>
          <w:p w14:paraId="51444624" w14:textId="77777777" w:rsidR="00242CD9" w:rsidRPr="002637C6" w:rsidRDefault="00242CD9" w:rsidP="00225DA6">
            <w:pPr>
              <w:jc w:val="both"/>
              <w:rPr>
                <w:rFonts w:ascii="ITC Avant Garde" w:hAnsi="ITC Avant Garde"/>
                <w:sz w:val="18"/>
                <w:szCs w:val="18"/>
              </w:rPr>
            </w:pPr>
          </w:p>
          <w:p w14:paraId="0B4F45CD" w14:textId="77777777" w:rsidR="004022DE" w:rsidRPr="009448E4" w:rsidRDefault="004022DE" w:rsidP="004022DE">
            <w:pPr>
              <w:pStyle w:val="Prrafodelista"/>
              <w:numPr>
                <w:ilvl w:val="0"/>
                <w:numId w:val="24"/>
              </w:numPr>
              <w:spacing w:line="252" w:lineRule="auto"/>
              <w:jc w:val="both"/>
              <w:rPr>
                <w:rFonts w:ascii="ITC Avant Garde" w:hAnsi="ITC Avant Garde"/>
                <w:sz w:val="18"/>
                <w:szCs w:val="18"/>
              </w:rPr>
            </w:pPr>
            <w:r w:rsidRPr="009448E4">
              <w:rPr>
                <w:rFonts w:ascii="ITC Avant Garde" w:hAnsi="ITC Avant Garde"/>
                <w:sz w:val="18"/>
                <w:szCs w:val="18"/>
              </w:rPr>
              <w:t>ACUERDO mediante el cual el Pleno del Instituto Federal de Telecomunicaciones aprueba y emite los lineamientos que fijan los índices</w:t>
            </w:r>
            <w:r>
              <w:rPr>
                <w:rFonts w:ascii="ITC Avant Garde" w:hAnsi="ITC Avant Garde"/>
                <w:sz w:val="18"/>
                <w:szCs w:val="18"/>
              </w:rPr>
              <w:t xml:space="preserve"> </w:t>
            </w:r>
            <w:r w:rsidRPr="009448E4">
              <w:rPr>
                <w:rFonts w:ascii="ITC Avant Garde" w:hAnsi="ITC Avant Garde"/>
                <w:sz w:val="18"/>
                <w:szCs w:val="18"/>
              </w:rPr>
              <w:t>y parámetros de calidad a que deberán sujetarse los prestadores del servicio móvil y se abroga el Plan Técnico Fundamental de Calidad</w:t>
            </w:r>
            <w:r>
              <w:rPr>
                <w:rFonts w:ascii="ITC Avant Garde" w:hAnsi="ITC Avant Garde"/>
                <w:sz w:val="18"/>
                <w:szCs w:val="18"/>
              </w:rPr>
              <w:t xml:space="preserve"> </w:t>
            </w:r>
            <w:r w:rsidRPr="009448E4">
              <w:rPr>
                <w:rFonts w:ascii="ITC Avant Garde" w:hAnsi="ITC Avant Garde"/>
                <w:sz w:val="18"/>
                <w:szCs w:val="18"/>
              </w:rPr>
              <w:t>del Servicio Local Móvil publicado el 30 de agosto de 2011, así como la metodología de mediciones del Plan Técnico Fundamental de</w:t>
            </w:r>
            <w:r>
              <w:rPr>
                <w:rFonts w:ascii="ITC Avant Garde" w:hAnsi="ITC Avant Garde"/>
                <w:sz w:val="18"/>
                <w:szCs w:val="18"/>
              </w:rPr>
              <w:t xml:space="preserve"> </w:t>
            </w:r>
            <w:r w:rsidRPr="009448E4">
              <w:rPr>
                <w:rFonts w:ascii="ITC Avant Garde" w:hAnsi="ITC Avant Garde"/>
                <w:sz w:val="18"/>
                <w:szCs w:val="18"/>
              </w:rPr>
              <w:t>Calidad del Servicio Local Móvil publicada el 27 de junio de 2012.</w:t>
            </w:r>
          </w:p>
          <w:p w14:paraId="7B358304" w14:textId="77777777" w:rsidR="004022DE" w:rsidRPr="00D6362E" w:rsidRDefault="004022DE" w:rsidP="004022DE">
            <w:pPr>
              <w:pStyle w:val="Prrafodelista"/>
              <w:jc w:val="both"/>
              <w:rPr>
                <w:rFonts w:ascii="ITC Avant Garde" w:hAnsi="ITC Avant Garde"/>
                <w:sz w:val="18"/>
                <w:szCs w:val="18"/>
                <w:u w:val="single"/>
              </w:rPr>
            </w:pPr>
          </w:p>
          <w:p w14:paraId="4EF01D79" w14:textId="77777777" w:rsidR="004022DE" w:rsidRPr="007504E2" w:rsidRDefault="004022DE" w:rsidP="004022DE">
            <w:pPr>
              <w:pStyle w:val="Prrafodelista"/>
              <w:numPr>
                <w:ilvl w:val="0"/>
                <w:numId w:val="24"/>
              </w:numPr>
              <w:spacing w:line="252" w:lineRule="auto"/>
              <w:jc w:val="both"/>
              <w:rPr>
                <w:rFonts w:ascii="ITC Avant Garde" w:hAnsi="ITC Avant Garde"/>
                <w:sz w:val="18"/>
                <w:szCs w:val="18"/>
                <w:lang w:val="en-US"/>
              </w:rPr>
            </w:pPr>
            <w:r w:rsidRPr="007504E2">
              <w:rPr>
                <w:rFonts w:ascii="ITC Avant Garde" w:hAnsi="ITC Avant Garde"/>
                <w:sz w:val="18"/>
                <w:szCs w:val="18"/>
                <w:lang w:val="en-US"/>
              </w:rPr>
              <w:t>The Mobile Economy Latin America 2021, GSMA, 2021</w:t>
            </w:r>
          </w:p>
          <w:p w14:paraId="6CA78FE2" w14:textId="77777777" w:rsidR="004022DE" w:rsidRPr="007504E2" w:rsidRDefault="00000000" w:rsidP="004022DE">
            <w:pPr>
              <w:pStyle w:val="Prrafodelista"/>
              <w:spacing w:line="252" w:lineRule="auto"/>
              <w:jc w:val="both"/>
              <w:rPr>
                <w:rFonts w:ascii="ITC Avant Garde" w:hAnsi="ITC Avant Garde"/>
                <w:sz w:val="18"/>
                <w:szCs w:val="18"/>
                <w:lang w:val="en-US"/>
              </w:rPr>
            </w:pPr>
            <w:hyperlink r:id="rId14" w:history="1">
              <w:r w:rsidR="004022DE" w:rsidRPr="007504E2">
                <w:rPr>
                  <w:rStyle w:val="Hipervnculo"/>
                  <w:rFonts w:ascii="ITC Avant Garde" w:hAnsi="ITC Avant Garde"/>
                  <w:sz w:val="18"/>
                  <w:szCs w:val="18"/>
                  <w:lang w:val="en-US"/>
                </w:rPr>
                <w:t>https://www.gsma.com/latinamerica/resources/the-mobile-economy-latin-america-2021/</w:t>
              </w:r>
            </w:hyperlink>
          </w:p>
          <w:p w14:paraId="7347C4A3" w14:textId="77777777" w:rsidR="004022DE" w:rsidRPr="007504E2" w:rsidRDefault="004022DE" w:rsidP="004022DE">
            <w:pPr>
              <w:pStyle w:val="Prrafodelista"/>
              <w:spacing w:line="252" w:lineRule="auto"/>
              <w:jc w:val="both"/>
              <w:rPr>
                <w:rFonts w:ascii="ITC Avant Garde" w:hAnsi="ITC Avant Garde"/>
                <w:sz w:val="18"/>
                <w:szCs w:val="18"/>
                <w:lang w:val="en-US"/>
              </w:rPr>
            </w:pPr>
          </w:p>
          <w:p w14:paraId="234FA504" w14:textId="77777777" w:rsidR="004022DE" w:rsidRPr="009448E4" w:rsidRDefault="004022DE" w:rsidP="004022DE">
            <w:pPr>
              <w:pStyle w:val="Prrafodelista"/>
              <w:numPr>
                <w:ilvl w:val="0"/>
                <w:numId w:val="24"/>
              </w:numPr>
              <w:spacing w:line="252" w:lineRule="auto"/>
              <w:jc w:val="both"/>
              <w:rPr>
                <w:rFonts w:ascii="ITC Avant Garde" w:hAnsi="ITC Avant Garde"/>
                <w:sz w:val="18"/>
                <w:szCs w:val="18"/>
              </w:rPr>
            </w:pPr>
            <w:r w:rsidRPr="009448E4">
              <w:rPr>
                <w:rFonts w:ascii="ITC Avant Garde" w:hAnsi="ITC Avant Garde"/>
                <w:sz w:val="18"/>
                <w:szCs w:val="18"/>
              </w:rPr>
              <w:t>Anuario Estadístico 2021, IFT, 2021</w:t>
            </w:r>
          </w:p>
          <w:p w14:paraId="417A5169" w14:textId="77777777" w:rsidR="004022DE" w:rsidRDefault="00000000" w:rsidP="004022DE">
            <w:pPr>
              <w:pStyle w:val="Prrafodelista"/>
              <w:spacing w:line="252" w:lineRule="auto"/>
              <w:jc w:val="both"/>
              <w:rPr>
                <w:rFonts w:ascii="ITC Avant Garde" w:hAnsi="ITC Avant Garde"/>
                <w:sz w:val="18"/>
                <w:szCs w:val="18"/>
              </w:rPr>
            </w:pPr>
            <w:hyperlink r:id="rId15" w:history="1">
              <w:r w:rsidR="004022DE" w:rsidRPr="0073390A">
                <w:rPr>
                  <w:rStyle w:val="Hipervnculo"/>
                  <w:rFonts w:ascii="ITC Avant Garde" w:hAnsi="ITC Avant Garde"/>
                  <w:sz w:val="18"/>
                  <w:szCs w:val="18"/>
                </w:rPr>
                <w:t>https://www.ift.org.mx/sites/default/files/contenidogeneral/estadisticas/anuarioestadistico2021.pdf</w:t>
              </w:r>
            </w:hyperlink>
          </w:p>
          <w:p w14:paraId="0C920383" w14:textId="77777777" w:rsidR="004022DE" w:rsidRPr="009448E4" w:rsidRDefault="004022DE" w:rsidP="004022DE">
            <w:pPr>
              <w:pStyle w:val="Prrafodelista"/>
              <w:spacing w:line="252" w:lineRule="auto"/>
              <w:jc w:val="both"/>
              <w:rPr>
                <w:rFonts w:ascii="ITC Avant Garde" w:hAnsi="ITC Avant Garde"/>
                <w:sz w:val="18"/>
                <w:szCs w:val="18"/>
              </w:rPr>
            </w:pPr>
          </w:p>
          <w:p w14:paraId="589D6E50" w14:textId="77777777" w:rsidR="004022DE" w:rsidRPr="009448E4" w:rsidRDefault="004022DE" w:rsidP="004022DE">
            <w:pPr>
              <w:pStyle w:val="Prrafodelista"/>
              <w:numPr>
                <w:ilvl w:val="0"/>
                <w:numId w:val="24"/>
              </w:numPr>
              <w:spacing w:line="252" w:lineRule="auto"/>
              <w:jc w:val="both"/>
              <w:rPr>
                <w:rFonts w:ascii="ITC Avant Garde" w:hAnsi="ITC Avant Garde"/>
                <w:sz w:val="18"/>
                <w:szCs w:val="18"/>
              </w:rPr>
            </w:pPr>
            <w:r w:rsidRPr="009448E4">
              <w:rPr>
                <w:rFonts w:ascii="ITC Avant Garde" w:hAnsi="ITC Avant Garde"/>
                <w:sz w:val="18"/>
                <w:szCs w:val="18"/>
              </w:rPr>
              <w:t xml:space="preserve">Cuarto Informe Trimestral Estadístico 2020, IFT, </w:t>
            </w:r>
            <w:r>
              <w:rPr>
                <w:rFonts w:ascii="ITC Avant Garde" w:hAnsi="ITC Avant Garde"/>
                <w:sz w:val="18"/>
                <w:szCs w:val="18"/>
              </w:rPr>
              <w:t>2021</w:t>
            </w:r>
          </w:p>
          <w:p w14:paraId="2A9DD5F8" w14:textId="77777777" w:rsidR="004022DE" w:rsidRPr="009448E4" w:rsidRDefault="004022DE" w:rsidP="004022DE">
            <w:pPr>
              <w:spacing w:line="252" w:lineRule="auto"/>
              <w:jc w:val="both"/>
              <w:rPr>
                <w:rFonts w:ascii="ITC Avant Garde" w:hAnsi="ITC Avant Garde"/>
                <w:sz w:val="18"/>
                <w:szCs w:val="18"/>
              </w:rPr>
            </w:pPr>
            <w:r>
              <w:rPr>
                <w:rFonts w:ascii="ITC Avant Garde" w:hAnsi="ITC Avant Garde"/>
                <w:sz w:val="18"/>
                <w:szCs w:val="18"/>
              </w:rPr>
              <w:t xml:space="preserve">               </w:t>
            </w:r>
            <w:hyperlink r:id="rId16" w:history="1">
              <w:r w:rsidRPr="0073390A">
                <w:rPr>
                  <w:rStyle w:val="Hipervnculo"/>
                  <w:rFonts w:ascii="ITC Avant Garde" w:hAnsi="ITC Avant Garde"/>
                  <w:sz w:val="18"/>
                  <w:szCs w:val="18"/>
                </w:rPr>
                <w:t>https://www.ift.org.mx/sites/default/files/contenidogeneral/estadisticas/ite4t2020_1.pdf</w:t>
              </w:r>
            </w:hyperlink>
          </w:p>
          <w:p w14:paraId="04265BF2" w14:textId="77777777" w:rsidR="004022DE" w:rsidRDefault="004022DE" w:rsidP="004022DE">
            <w:pPr>
              <w:pStyle w:val="Prrafodelista"/>
              <w:spacing w:line="252" w:lineRule="auto"/>
              <w:jc w:val="both"/>
              <w:rPr>
                <w:rFonts w:ascii="ITC Avant Garde" w:hAnsi="ITC Avant Garde"/>
                <w:sz w:val="18"/>
                <w:szCs w:val="18"/>
              </w:rPr>
            </w:pPr>
          </w:p>
          <w:p w14:paraId="4EA20604" w14:textId="77777777" w:rsidR="004022DE" w:rsidRDefault="004022DE" w:rsidP="004022DE">
            <w:pPr>
              <w:pStyle w:val="Prrafodelista"/>
              <w:numPr>
                <w:ilvl w:val="0"/>
                <w:numId w:val="24"/>
              </w:numPr>
              <w:spacing w:line="252" w:lineRule="auto"/>
              <w:jc w:val="both"/>
              <w:rPr>
                <w:rFonts w:ascii="ITC Avant Garde" w:hAnsi="ITC Avant Garde"/>
                <w:sz w:val="18"/>
                <w:szCs w:val="18"/>
              </w:rPr>
            </w:pPr>
            <w:r w:rsidRPr="009448E4">
              <w:rPr>
                <w:rFonts w:ascii="ITC Avant Garde" w:hAnsi="ITC Avant Garde"/>
                <w:sz w:val="18"/>
                <w:szCs w:val="18"/>
              </w:rPr>
              <w:t xml:space="preserve">Pronósticos de los Servicios de Telecomunicaciones, IFT, </w:t>
            </w:r>
            <w:proofErr w:type="gramStart"/>
            <w:r w:rsidRPr="009448E4">
              <w:rPr>
                <w:rFonts w:ascii="ITC Avant Garde" w:hAnsi="ITC Avant Garde"/>
                <w:sz w:val="18"/>
                <w:szCs w:val="18"/>
              </w:rPr>
              <w:t>Diciembre</w:t>
            </w:r>
            <w:proofErr w:type="gramEnd"/>
            <w:r w:rsidRPr="009448E4">
              <w:rPr>
                <w:rFonts w:ascii="ITC Avant Garde" w:hAnsi="ITC Avant Garde"/>
                <w:sz w:val="18"/>
                <w:szCs w:val="18"/>
              </w:rPr>
              <w:t xml:space="preserve"> 2021</w:t>
            </w:r>
          </w:p>
          <w:p w14:paraId="7554F188" w14:textId="26061E41" w:rsidR="00242CD9" w:rsidRPr="002637C6" w:rsidRDefault="00000000" w:rsidP="00196AE9">
            <w:pPr>
              <w:pStyle w:val="Prrafodelista"/>
              <w:spacing w:line="252" w:lineRule="auto"/>
              <w:jc w:val="both"/>
              <w:rPr>
                <w:rFonts w:ascii="ITC Avant Garde" w:hAnsi="ITC Avant Garde"/>
                <w:sz w:val="18"/>
                <w:szCs w:val="18"/>
              </w:rPr>
            </w:pPr>
            <w:hyperlink r:id="rId17" w:history="1">
              <w:r w:rsidR="004022DE" w:rsidRPr="0073390A">
                <w:rPr>
                  <w:rStyle w:val="Hipervnculo"/>
                  <w:rFonts w:ascii="ITC Avant Garde" w:hAnsi="ITC Avant Garde"/>
                  <w:sz w:val="18"/>
                  <w:szCs w:val="18"/>
                </w:rPr>
                <w:t>https://www.ift.org.mx/sites/default/files/contenidogeneral/estadisticas/PronosticosTelecom2021.pdf</w:t>
              </w:r>
            </w:hyperlink>
          </w:p>
        </w:tc>
      </w:tr>
      <w:tr w:rsidR="00242CD9" w:rsidRPr="00DD06A0" w14:paraId="43741ACE" w14:textId="77777777" w:rsidTr="00225DA6">
        <w:tc>
          <w:tcPr>
            <w:tcW w:w="8828" w:type="dxa"/>
            <w:tcBorders>
              <w:top w:val="single" w:sz="4" w:space="0" w:color="auto"/>
              <w:left w:val="nil"/>
              <w:bottom w:val="nil"/>
              <w:right w:val="nil"/>
            </w:tcBorders>
          </w:tcPr>
          <w:p w14:paraId="0591BFB4" w14:textId="77777777" w:rsidR="00242CD9" w:rsidRPr="00DD06A0" w:rsidRDefault="00242CD9" w:rsidP="00225DA6">
            <w:pPr>
              <w:rPr>
                <w:rFonts w:ascii="ITC Avant Garde" w:hAnsi="ITC Avant Garde"/>
                <w:sz w:val="18"/>
                <w:szCs w:val="18"/>
              </w:rPr>
            </w:pPr>
          </w:p>
        </w:tc>
      </w:tr>
    </w:tbl>
    <w:p w14:paraId="58353670" w14:textId="09BFACCE" w:rsidR="00242CD9" w:rsidRPr="00DD06A0" w:rsidRDefault="00242CD9" w:rsidP="006A2CD0">
      <w:pPr>
        <w:jc w:val="both"/>
        <w:rPr>
          <w:rFonts w:ascii="ITC Avant Garde" w:hAnsi="ITC Avant Garde"/>
          <w:sz w:val="18"/>
          <w:szCs w:val="18"/>
        </w:rPr>
      </w:pPr>
    </w:p>
    <w:sectPr w:rsidR="00242CD9" w:rsidRPr="00DD06A0">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D559" w14:textId="77777777" w:rsidR="00A90822" w:rsidRDefault="00A90822" w:rsidP="00501ADF">
      <w:pPr>
        <w:spacing w:after="0" w:line="240" w:lineRule="auto"/>
      </w:pPr>
      <w:r>
        <w:separator/>
      </w:r>
    </w:p>
  </w:endnote>
  <w:endnote w:type="continuationSeparator" w:id="0">
    <w:p w14:paraId="0617085C" w14:textId="77777777" w:rsidR="00A90822" w:rsidRDefault="00A90822" w:rsidP="00501ADF">
      <w:pPr>
        <w:spacing w:after="0" w:line="240" w:lineRule="auto"/>
      </w:pPr>
      <w:r>
        <w:continuationSeparator/>
      </w:r>
    </w:p>
  </w:endnote>
  <w:endnote w:type="continuationNotice" w:id="1">
    <w:p w14:paraId="25334635" w14:textId="77777777" w:rsidR="00A90822" w:rsidRDefault="00A90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75F3678" w14:textId="47A52D85" w:rsidR="00582A8E" w:rsidRPr="00CD4362" w:rsidRDefault="00582A8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9</w:t>
            </w:r>
            <w:r w:rsidRPr="003466D4">
              <w:rPr>
                <w:rFonts w:asciiTheme="majorHAnsi" w:hAnsiTheme="majorHAnsi"/>
                <w:b/>
                <w:bCs/>
                <w:sz w:val="18"/>
                <w:szCs w:val="18"/>
              </w:rPr>
              <w:fldChar w:fldCharType="end"/>
            </w:r>
          </w:p>
        </w:sdtContent>
      </w:sdt>
    </w:sdtContent>
  </w:sdt>
  <w:p w14:paraId="5AB97C33" w14:textId="77777777" w:rsidR="00582A8E" w:rsidRDefault="00582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0FD3" w14:textId="77777777" w:rsidR="00A90822" w:rsidRDefault="00A90822" w:rsidP="00501ADF">
      <w:pPr>
        <w:spacing w:after="0" w:line="240" w:lineRule="auto"/>
      </w:pPr>
      <w:r>
        <w:separator/>
      </w:r>
    </w:p>
  </w:footnote>
  <w:footnote w:type="continuationSeparator" w:id="0">
    <w:p w14:paraId="1856C29D" w14:textId="77777777" w:rsidR="00A90822" w:rsidRDefault="00A90822" w:rsidP="00501ADF">
      <w:pPr>
        <w:spacing w:after="0" w:line="240" w:lineRule="auto"/>
      </w:pPr>
      <w:r>
        <w:continuationSeparator/>
      </w:r>
    </w:p>
  </w:footnote>
  <w:footnote w:type="continuationNotice" w:id="1">
    <w:p w14:paraId="41A21BB7" w14:textId="77777777" w:rsidR="00A90822" w:rsidRDefault="00A90822">
      <w:pPr>
        <w:spacing w:after="0" w:line="240" w:lineRule="auto"/>
      </w:pPr>
    </w:p>
  </w:footnote>
  <w:footnote w:id="2">
    <w:p w14:paraId="05C2ED7C" w14:textId="662323DC" w:rsidR="00972063" w:rsidRPr="00002CCD" w:rsidRDefault="00972063">
      <w:pPr>
        <w:pStyle w:val="Textonotapie"/>
        <w:rPr>
          <w:rFonts w:ascii="Arial" w:hAnsi="Arial" w:cs="Arial"/>
          <w:sz w:val="14"/>
          <w:szCs w:val="14"/>
        </w:rPr>
      </w:pPr>
      <w:r w:rsidRPr="00002CCD">
        <w:rPr>
          <w:rStyle w:val="Refdenotaalpie"/>
          <w:rFonts w:ascii="Arial" w:hAnsi="Arial" w:cs="Arial"/>
          <w:sz w:val="14"/>
          <w:szCs w:val="14"/>
        </w:rPr>
        <w:footnoteRef/>
      </w:r>
      <w:r w:rsidRPr="00002CCD">
        <w:rPr>
          <w:rStyle w:val="Refdenotaalpie"/>
          <w:rFonts w:ascii="Arial" w:hAnsi="Arial" w:cs="Arial"/>
          <w:sz w:val="14"/>
          <w:szCs w:val="14"/>
        </w:rPr>
        <w:t xml:space="preserve"> </w:t>
      </w:r>
      <w:hyperlink r:id="rId1" w:history="1">
        <w:r w:rsidR="00712831" w:rsidRPr="009E10D5">
          <w:rPr>
            <w:rStyle w:val="Hipervnculo"/>
            <w:rFonts w:ascii="Arial" w:hAnsi="Arial" w:cs="Arial"/>
            <w:sz w:val="14"/>
            <w:szCs w:val="14"/>
          </w:rPr>
          <w:t>https://www.ift.org.mx/politica-regulatoria/estudios</w:t>
        </w:r>
      </w:hyperlink>
      <w:r w:rsidR="00712831">
        <w:rPr>
          <w:rFonts w:ascii="Arial" w:hAnsi="Arial" w:cs="Arial"/>
          <w:sz w:val="14"/>
          <w:szCs w:val="14"/>
        </w:rPr>
        <w:t xml:space="preserve"> </w:t>
      </w:r>
    </w:p>
  </w:footnote>
  <w:footnote w:id="3">
    <w:p w14:paraId="25D8E1C6" w14:textId="05984CC9" w:rsidR="00972063" w:rsidRDefault="00972063">
      <w:pPr>
        <w:pStyle w:val="Textonotapie"/>
      </w:pPr>
      <w:r>
        <w:rPr>
          <w:rStyle w:val="Refdenotaalpie"/>
        </w:rPr>
        <w:footnoteRef/>
      </w:r>
      <w:r>
        <w:t xml:space="preserve"> </w:t>
      </w:r>
      <w:r w:rsidRPr="00002CCD">
        <w:rPr>
          <w:rFonts w:ascii="Arial" w:hAnsi="Arial" w:cs="Arial"/>
          <w:sz w:val="14"/>
          <w:szCs w:val="14"/>
        </w:rPr>
        <w:t>Pronósticos de los Servicios de Telecomunicaciones</w:t>
      </w:r>
      <w:r>
        <w:rPr>
          <w:rFonts w:ascii="Arial" w:hAnsi="Arial" w:cs="Arial"/>
          <w:sz w:val="14"/>
          <w:szCs w:val="14"/>
        </w:rPr>
        <w:t xml:space="preserve">, </w:t>
      </w:r>
      <w:r w:rsidRPr="00972063">
        <w:rPr>
          <w:rFonts w:ascii="Arial" w:hAnsi="Arial" w:cs="Arial"/>
          <w:sz w:val="14"/>
          <w:szCs w:val="14"/>
        </w:rPr>
        <w:t>https://www.ift.org.mx/estadisticas/pronosticos-de-los-servicios-de-telecomunicaciones</w:t>
      </w:r>
    </w:p>
  </w:footnote>
  <w:footnote w:id="4">
    <w:p w14:paraId="113DEB10" w14:textId="77777777" w:rsidR="00727320" w:rsidRPr="00736422" w:rsidRDefault="00727320" w:rsidP="00727320">
      <w:pPr>
        <w:pStyle w:val="Textonotapie"/>
        <w:rPr>
          <w:rFonts w:ascii="Arial" w:hAnsi="Arial" w:cs="Arial"/>
          <w:sz w:val="14"/>
          <w:szCs w:val="14"/>
        </w:rPr>
      </w:pPr>
      <w:r w:rsidRPr="00736422">
        <w:rPr>
          <w:rStyle w:val="Refdenotaalpie"/>
          <w:rFonts w:ascii="Arial" w:hAnsi="Arial" w:cs="Arial"/>
          <w:sz w:val="14"/>
          <w:szCs w:val="14"/>
        </w:rPr>
        <w:footnoteRef/>
      </w:r>
      <w:r w:rsidRPr="00736422">
        <w:rPr>
          <w:rFonts w:ascii="Arial" w:hAnsi="Arial" w:cs="Arial"/>
          <w:sz w:val="14"/>
          <w:szCs w:val="14"/>
        </w:rPr>
        <w:t xml:space="preserve"> </w:t>
      </w:r>
      <w:bookmarkStart w:id="0" w:name="_Hlk120118749"/>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bookmarkEnd w:id="0"/>
  </w:footnote>
  <w:footnote w:id="5">
    <w:p w14:paraId="0F6F6DE0" w14:textId="77777777" w:rsidR="00727320" w:rsidRPr="00736422" w:rsidRDefault="00727320" w:rsidP="00727320">
      <w:pPr>
        <w:pStyle w:val="Textonotapie"/>
        <w:rPr>
          <w:rFonts w:ascii="Arial" w:hAnsi="Arial" w:cs="Arial"/>
          <w:sz w:val="14"/>
          <w:szCs w:val="14"/>
        </w:rPr>
      </w:pPr>
      <w:r w:rsidRPr="00736422">
        <w:rPr>
          <w:rStyle w:val="Refdenotaalpie"/>
          <w:rFonts w:ascii="Arial" w:hAnsi="Arial" w:cs="Arial"/>
          <w:sz w:val="14"/>
          <w:szCs w:val="14"/>
        </w:rPr>
        <w:footnoteRef/>
      </w:r>
      <w:r w:rsidRPr="00736422">
        <w:rPr>
          <w:rFonts w:ascii="Arial" w:hAnsi="Arial" w:cs="Arial"/>
          <w:sz w:val="14"/>
          <w:szCs w:val="14"/>
        </w:rPr>
        <w:t xml:space="preserve"> 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6">
    <w:p w14:paraId="40D6F288" w14:textId="77777777" w:rsidR="00727320" w:rsidRPr="00736422" w:rsidRDefault="00727320" w:rsidP="00727320">
      <w:pPr>
        <w:pStyle w:val="Textonotapie"/>
        <w:rPr>
          <w:lang w:val="en-US"/>
        </w:rPr>
      </w:pPr>
      <w:r w:rsidRPr="00736422">
        <w:rPr>
          <w:rStyle w:val="Refdenotaalpie"/>
          <w:rFonts w:ascii="Arial" w:hAnsi="Arial" w:cs="Arial"/>
          <w:sz w:val="14"/>
          <w:szCs w:val="14"/>
        </w:rPr>
        <w:footnoteRef/>
      </w:r>
      <w:r w:rsidRPr="00736422">
        <w:rPr>
          <w:rFonts w:ascii="Arial" w:hAnsi="Arial" w:cs="Arial"/>
          <w:sz w:val="14"/>
          <w:szCs w:val="14"/>
          <w:lang w:val="en-US"/>
        </w:rPr>
        <w:t xml:space="preserve"> ETSI TS 123 272 (2018), Digital cellular telecommunications system (Phase 2+) (GSM); Universal Mobile Telecommunications System (UMTS); LTE; Circuit Switched (CS) fallback in Evolved Packet System (EPS); Stage 2.</w:t>
      </w:r>
    </w:p>
  </w:footnote>
  <w:footnote w:id="7">
    <w:p w14:paraId="6D5A87B1" w14:textId="77777777" w:rsidR="00567FA3" w:rsidRPr="00736422" w:rsidRDefault="00567FA3" w:rsidP="00567FA3">
      <w:pPr>
        <w:pStyle w:val="Textonotapie"/>
        <w:rPr>
          <w:rFonts w:ascii="Arial" w:hAnsi="Arial" w:cs="Arial"/>
          <w:sz w:val="14"/>
          <w:szCs w:val="14"/>
        </w:rPr>
      </w:pPr>
      <w:r w:rsidRPr="00736422">
        <w:rPr>
          <w:rStyle w:val="Refdenotaalpie"/>
          <w:rFonts w:ascii="Arial" w:hAnsi="Arial" w:cs="Arial"/>
          <w:sz w:val="14"/>
          <w:szCs w:val="14"/>
        </w:rPr>
        <w:footnoteRef/>
      </w:r>
      <w:r w:rsidRPr="00736422">
        <w:rPr>
          <w:rFonts w:ascii="Arial" w:hAnsi="Arial" w:cs="Arial"/>
          <w:sz w:val="14"/>
          <w:szCs w:val="14"/>
        </w:rPr>
        <w:t xml:space="preserve"> Recomendación UIT-T G.1028 (2019), </w:t>
      </w:r>
      <w:r w:rsidRPr="00736422">
        <w:rPr>
          <w:rFonts w:ascii="Arial" w:hAnsi="Arial" w:cs="Arial"/>
          <w:i/>
          <w:iCs/>
          <w:sz w:val="14"/>
          <w:szCs w:val="14"/>
        </w:rPr>
        <w:t>Calidad de extremo a extremo para servicios vocales en redes móviles 4G.</w:t>
      </w:r>
    </w:p>
  </w:footnote>
  <w:footnote w:id="8">
    <w:p w14:paraId="45148E95" w14:textId="77777777" w:rsidR="00567FA3" w:rsidRPr="00736422" w:rsidRDefault="00567FA3" w:rsidP="00567FA3">
      <w:pPr>
        <w:pStyle w:val="Textonotapie"/>
        <w:rPr>
          <w:rFonts w:ascii="Arial" w:hAnsi="Arial" w:cs="Arial"/>
          <w:sz w:val="14"/>
          <w:szCs w:val="14"/>
        </w:rPr>
      </w:pPr>
      <w:r w:rsidRPr="00736422">
        <w:rPr>
          <w:rStyle w:val="Refdenotaalpie"/>
          <w:rFonts w:ascii="Arial" w:hAnsi="Arial" w:cs="Arial"/>
          <w:sz w:val="14"/>
          <w:szCs w:val="14"/>
        </w:rPr>
        <w:footnoteRef/>
      </w:r>
      <w:r w:rsidRPr="00736422">
        <w:rPr>
          <w:rFonts w:ascii="Arial" w:hAnsi="Arial" w:cs="Arial"/>
          <w:sz w:val="14"/>
          <w:szCs w:val="14"/>
        </w:rPr>
        <w:t xml:space="preserve"> 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9">
    <w:p w14:paraId="40AEB894" w14:textId="77777777" w:rsidR="00567FA3" w:rsidRPr="00736422" w:rsidRDefault="00567FA3" w:rsidP="00567FA3">
      <w:pPr>
        <w:pStyle w:val="Textonotapie"/>
        <w:rPr>
          <w:lang w:val="en-US"/>
        </w:rPr>
      </w:pPr>
      <w:r w:rsidRPr="00736422">
        <w:rPr>
          <w:rStyle w:val="Refdenotaalpie"/>
          <w:rFonts w:ascii="Arial" w:hAnsi="Arial" w:cs="Arial"/>
          <w:sz w:val="14"/>
          <w:szCs w:val="14"/>
        </w:rPr>
        <w:footnoteRef/>
      </w:r>
      <w:r w:rsidRPr="00736422">
        <w:rPr>
          <w:rFonts w:ascii="Arial" w:hAnsi="Arial" w:cs="Arial"/>
          <w:sz w:val="14"/>
          <w:szCs w:val="14"/>
          <w:lang w:val="en-US"/>
        </w:rPr>
        <w:t xml:space="preserve"> ETSI TS 123 272 (2018), Digital cellular telecommunications system (Phase 2+) (GSM); Universal Mobile Telecommunications System (UMTS); LTE; Circuit Switched (CS) fallback in Evolved Packet System (EPS); Stage 2.</w:t>
      </w:r>
    </w:p>
  </w:footnote>
  <w:footnote w:id="10">
    <w:p w14:paraId="37143984" w14:textId="6DCB5F4C" w:rsidR="00582A8E" w:rsidRDefault="00582A8E">
      <w:pPr>
        <w:pStyle w:val="Textonotapie"/>
      </w:pPr>
      <w:r>
        <w:rPr>
          <w:rStyle w:val="Refdenotaalpie"/>
        </w:rPr>
        <w:footnoteRef/>
      </w:r>
      <w:r>
        <w:t xml:space="preserve"> </w:t>
      </w:r>
      <w:r w:rsidRPr="00E70DA4">
        <w:rPr>
          <w:rFonts w:ascii="ITC Avant Garde" w:hAnsi="ITC Avant Garde"/>
          <w:sz w:val="12"/>
          <w:szCs w:val="12"/>
        </w:rPr>
        <w:t>Banco de Información de Telecomunicaciones (diciembre 202</w:t>
      </w:r>
      <w:r w:rsidR="00956766" w:rsidRPr="00E70DA4">
        <w:rPr>
          <w:rFonts w:ascii="ITC Avant Garde" w:hAnsi="ITC Avant Garde"/>
          <w:sz w:val="12"/>
          <w:szCs w:val="12"/>
        </w:rPr>
        <w:t>2</w:t>
      </w:r>
      <w:r w:rsidRPr="00E70DA4">
        <w:rPr>
          <w:rFonts w:ascii="ITC Avant Garde" w:hAnsi="ITC Avant Garde"/>
          <w:sz w:val="12"/>
          <w:szCs w:val="12"/>
        </w:rPr>
        <w:t>)</w:t>
      </w:r>
      <w:r w:rsidR="00FA5595" w:rsidRPr="00E70DA4">
        <w:rPr>
          <w:rFonts w:ascii="ITC Avant Garde" w:hAnsi="ITC Avant Garde"/>
          <w:sz w:val="12"/>
          <w:szCs w:val="12"/>
        </w:rPr>
        <w:t xml:space="preserve">, Número de Líneas del Servicio Móvil de Telefonía -Datos a marzo 2022- </w:t>
      </w:r>
      <w:r w:rsidRPr="00E70DA4">
        <w:rPr>
          <w:rFonts w:ascii="ITC Avant Garde" w:hAnsi="ITC Avant Garde"/>
          <w:sz w:val="12"/>
          <w:szCs w:val="12"/>
        </w:rPr>
        <w:t xml:space="preserve"> </w:t>
      </w:r>
      <w:hyperlink r:id="rId2" w:history="1">
        <w:r w:rsidRPr="00E70DA4">
          <w:rPr>
            <w:rStyle w:val="Hipervnculo"/>
            <w:rFonts w:ascii="ITC Avant Garde" w:hAnsi="ITC Avant Garde"/>
            <w:sz w:val="12"/>
            <w:szCs w:val="12"/>
          </w:rPr>
          <w:t>https://bit.ift.org.mx/BitWebApp/</w:t>
        </w:r>
      </w:hyperlink>
      <w:r>
        <w:rPr>
          <w:rStyle w:val="Hipervnculo"/>
          <w:sz w:val="16"/>
          <w:szCs w:val="16"/>
        </w:rPr>
        <w:t xml:space="preserve">  </w:t>
      </w:r>
    </w:p>
  </w:footnote>
  <w:footnote w:id="11">
    <w:p w14:paraId="507BF310" w14:textId="77777777" w:rsidR="00E92786" w:rsidRPr="00736422" w:rsidRDefault="00E92786" w:rsidP="00E92786">
      <w:pPr>
        <w:pStyle w:val="Textonotapie"/>
        <w:rPr>
          <w:lang w:val="en-US"/>
        </w:rPr>
      </w:pPr>
      <w:r w:rsidRPr="00736422">
        <w:rPr>
          <w:rStyle w:val="Refdenotaalpie"/>
          <w:rFonts w:ascii="Arial" w:hAnsi="Arial" w:cs="Arial"/>
          <w:sz w:val="14"/>
          <w:szCs w:val="14"/>
        </w:rPr>
        <w:footnoteRef/>
      </w:r>
      <w:r w:rsidRPr="00736422">
        <w:rPr>
          <w:rFonts w:ascii="Arial" w:hAnsi="Arial" w:cs="Arial"/>
          <w:sz w:val="14"/>
          <w:szCs w:val="14"/>
          <w:lang w:val="en-US"/>
        </w:rPr>
        <w:t xml:space="preserve"> </w:t>
      </w:r>
      <w:r w:rsidRPr="0009287A">
        <w:rPr>
          <w:rFonts w:ascii="ITC Avant Garde" w:hAnsi="ITC Avant Garde"/>
          <w:sz w:val="12"/>
          <w:szCs w:val="12"/>
          <w:lang w:val="en-US"/>
        </w:rPr>
        <w:t>ETSI TS 123 272 (2018), Digital cellular telecommunications system (Phase 2+) (GSM); Universal Mobile Telecommunications System (UMTS); LTE; Circuit Switched (CS) fallback in Evolved Packet System (EPS); Stage 2</w:t>
      </w:r>
      <w:r w:rsidRPr="00736422">
        <w:rPr>
          <w:rFonts w:ascii="Arial" w:hAnsi="Arial" w:cs="Arial"/>
          <w:sz w:val="14"/>
          <w:szCs w:val="14"/>
          <w:lang w:val="en-US"/>
        </w:rPr>
        <w:t>.</w:t>
      </w:r>
    </w:p>
  </w:footnote>
  <w:footnote w:id="12">
    <w:p w14:paraId="1DEF4749" w14:textId="77777777" w:rsidR="00582A8E" w:rsidRPr="00DD06A0" w:rsidRDefault="00582A8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CF30EB">
        <w:rPr>
          <w:rFonts w:ascii="ITC Avant Garde" w:hAnsi="ITC Avant Garde"/>
          <w:sz w:val="12"/>
          <w:szCs w:val="12"/>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3">
    <w:p w14:paraId="477D71CA" w14:textId="3BBBFF18" w:rsidR="00582A8E" w:rsidRPr="00C13B8E" w:rsidRDefault="00582A8E" w:rsidP="00CF30EB">
      <w:pPr>
        <w:spacing w:line="240" w:lineRule="auto"/>
        <w:jc w:val="both"/>
        <w:rPr>
          <w:rFonts w:ascii="Calibri Light" w:hAnsi="Calibri Light"/>
          <w:color w:val="1F497D"/>
        </w:rPr>
      </w:pPr>
      <w:r>
        <w:rPr>
          <w:rStyle w:val="Refdenotaalpie"/>
        </w:rPr>
        <w:footnoteRef/>
      </w:r>
      <w:r w:rsidR="00CF30EB">
        <w:t xml:space="preserve"> </w:t>
      </w:r>
      <w:r w:rsidRPr="00CF30EB">
        <w:rPr>
          <w:rFonts w:ascii="ITC Avant Garde" w:hAnsi="ITC Avant Garde"/>
          <w:sz w:val="12"/>
          <w:szCs w:val="12"/>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4">
    <w:p w14:paraId="32831D16" w14:textId="77777777" w:rsidR="00582A8E" w:rsidRPr="00C13B8E" w:rsidRDefault="00582A8E"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5">
    <w:p w14:paraId="2E02B70D" w14:textId="4F0BA131" w:rsidR="00817D98" w:rsidRPr="00002CCD" w:rsidRDefault="00817D98">
      <w:pPr>
        <w:pStyle w:val="Textonotapie"/>
        <w:rPr>
          <w:rFonts w:ascii="ITC Avant Garde" w:hAnsi="ITC Avant Garde"/>
          <w:sz w:val="12"/>
          <w:szCs w:val="12"/>
        </w:rPr>
      </w:pPr>
      <w:r>
        <w:rPr>
          <w:rStyle w:val="Refdenotaalpie"/>
        </w:rPr>
        <w:footnoteRef/>
      </w:r>
      <w:r>
        <w:t xml:space="preserve"> </w:t>
      </w:r>
      <w:r w:rsidRPr="00002CCD">
        <w:rPr>
          <w:rFonts w:ascii="ITC Avant Garde" w:hAnsi="ITC Avant Garde"/>
          <w:sz w:val="12"/>
          <w:szCs w:val="12"/>
        </w:rPr>
        <w:t>https://www.dof.gob.mx/nota_detalle.php?codigo=5641266&amp;fecha=25/01/2022#gsc.tab=0</w:t>
      </w:r>
    </w:p>
  </w:footnote>
  <w:footnote w:id="16">
    <w:p w14:paraId="6AFFB280" w14:textId="77777777" w:rsidR="00582A8E" w:rsidRPr="00E70DA4" w:rsidRDefault="00582A8E">
      <w:pPr>
        <w:pStyle w:val="Textonotapie"/>
        <w:jc w:val="both"/>
        <w:rPr>
          <w:rFonts w:ascii="ITC Avant Garde" w:hAnsi="ITC Avant Garde"/>
          <w:sz w:val="12"/>
          <w:szCs w:val="12"/>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E70DA4">
        <w:rPr>
          <w:rFonts w:ascii="ITC Avant Garde" w:hAnsi="ITC Avant Garde"/>
          <w:sz w:val="12"/>
          <w:szCs w:val="12"/>
        </w:rPr>
        <w:t>Se considera que una propuesta regulatoria genera costos de cumplimiento cuando sus medidas propuestas actualizan uno o más de los siguientes criterios:</w:t>
      </w:r>
    </w:p>
    <w:p w14:paraId="6E6FCCB6" w14:textId="77777777" w:rsidR="00582A8E" w:rsidRPr="00E70DA4" w:rsidRDefault="00582A8E">
      <w:pPr>
        <w:pStyle w:val="Textonotapie"/>
        <w:jc w:val="both"/>
        <w:rPr>
          <w:rFonts w:ascii="ITC Avant Garde" w:hAnsi="ITC Avant Garde"/>
          <w:sz w:val="12"/>
          <w:szCs w:val="12"/>
        </w:rPr>
      </w:pPr>
      <w:r w:rsidRPr="00E70DA4">
        <w:rPr>
          <w:rFonts w:ascii="ITC Avant Garde" w:hAnsi="ITC Avant Garde"/>
          <w:sz w:val="12"/>
          <w:szCs w:val="12"/>
        </w:rPr>
        <w:t>a) Crea nuevas obligaciones o hace más estrictas las obligaciones existentes;</w:t>
      </w:r>
    </w:p>
    <w:p w14:paraId="520D57D4" w14:textId="77777777" w:rsidR="00582A8E" w:rsidRPr="00E70DA4" w:rsidRDefault="00582A8E">
      <w:pPr>
        <w:pStyle w:val="Textonotapie"/>
        <w:jc w:val="both"/>
        <w:rPr>
          <w:rFonts w:ascii="ITC Avant Garde" w:hAnsi="ITC Avant Garde"/>
          <w:sz w:val="12"/>
          <w:szCs w:val="12"/>
        </w:rPr>
      </w:pPr>
      <w:r w:rsidRPr="00E70DA4">
        <w:rPr>
          <w:rFonts w:ascii="ITC Avant Garde" w:hAnsi="ITC Avant Garde"/>
          <w:sz w:val="12"/>
          <w:szCs w:val="12"/>
        </w:rPr>
        <w:t>b) Crea o modifica Trámites (excepto cuando la modificación simplifica y facilita su cumplimiento);</w:t>
      </w:r>
    </w:p>
    <w:p w14:paraId="64EF47A4" w14:textId="77777777" w:rsidR="00582A8E" w:rsidRPr="00E70DA4" w:rsidRDefault="00582A8E">
      <w:pPr>
        <w:pStyle w:val="Textonotapie"/>
        <w:jc w:val="both"/>
        <w:rPr>
          <w:rFonts w:ascii="ITC Avant Garde" w:hAnsi="ITC Avant Garde"/>
          <w:sz w:val="12"/>
          <w:szCs w:val="12"/>
        </w:rPr>
      </w:pPr>
      <w:r w:rsidRPr="00E70DA4">
        <w:rPr>
          <w:rFonts w:ascii="ITC Avant Garde" w:hAnsi="ITC Avant Garde"/>
          <w:sz w:val="12"/>
          <w:szCs w:val="12"/>
        </w:rPr>
        <w:t>c) Reduce o restringe derechos o prestaciones; o,</w:t>
      </w:r>
    </w:p>
    <w:p w14:paraId="4A9C406F" w14:textId="77777777" w:rsidR="00582A8E" w:rsidRPr="00DD06A0" w:rsidRDefault="00582A8E" w:rsidP="005707DC">
      <w:pPr>
        <w:pStyle w:val="Textonotapie"/>
        <w:jc w:val="both"/>
        <w:rPr>
          <w:rFonts w:ascii="ITC Avant Garde" w:hAnsi="ITC Avant Garde"/>
          <w:sz w:val="16"/>
          <w:szCs w:val="16"/>
        </w:rPr>
      </w:pPr>
      <w:r w:rsidRPr="00E70DA4">
        <w:rPr>
          <w:rFonts w:ascii="ITC Avant Garde" w:hAnsi="ITC Avant Garde"/>
          <w:sz w:val="12"/>
          <w:szCs w:val="12"/>
        </w:rPr>
        <w:t xml:space="preserve">d) Establece definiciones, clasificaciones, caracterizaciones o cualquier otro término de referencia que, </w:t>
      </w:r>
      <w:proofErr w:type="gramStart"/>
      <w:r w:rsidRPr="00E70DA4">
        <w:rPr>
          <w:rFonts w:ascii="ITC Avant Garde" w:hAnsi="ITC Avant Garde"/>
          <w:sz w:val="12"/>
          <w:szCs w:val="12"/>
        </w:rPr>
        <w:t>conjuntamente con</w:t>
      </w:r>
      <w:proofErr w:type="gramEnd"/>
      <w:r w:rsidRPr="00E70DA4">
        <w:rPr>
          <w:rFonts w:ascii="ITC Avant Garde" w:hAnsi="ITC Avant Garde"/>
          <w:sz w:val="12"/>
          <w:szCs w:val="12"/>
        </w:rPr>
        <w:t xml:space="preserve"> otra disposición en vigor o con una disposición futura, afecten o puedan afectar los derechos, obligaciones, prestaciones o trámites.</w:t>
      </w:r>
    </w:p>
  </w:footnote>
  <w:footnote w:id="17">
    <w:p w14:paraId="4A063071" w14:textId="53F953F0" w:rsidR="00EC4073" w:rsidRPr="00EC4073" w:rsidRDefault="00EC4073">
      <w:pPr>
        <w:pStyle w:val="Textonotapie"/>
      </w:pPr>
      <w:r>
        <w:rPr>
          <w:rStyle w:val="Refdenotaalpie"/>
        </w:rPr>
        <w:footnoteRef/>
      </w:r>
      <w:r w:rsidRPr="00EC4073">
        <w:t xml:space="preserve"> </w:t>
      </w:r>
      <w:r w:rsidRPr="00EC4073">
        <w:rPr>
          <w:rFonts w:ascii="ITC Avant Garde" w:hAnsi="ITC Avant Garde"/>
          <w:sz w:val="12"/>
          <w:szCs w:val="12"/>
        </w:rPr>
        <w:t>Recomendación UIT-T G.1028 (2019), Calidad de extremo a extremo para servicios vocales en redes móviles 4G.</w:t>
      </w:r>
    </w:p>
  </w:footnote>
  <w:footnote w:id="18">
    <w:p w14:paraId="6760C4B4" w14:textId="77777777" w:rsidR="00582A8E" w:rsidRPr="00DD06A0" w:rsidRDefault="00582A8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E70DA4">
        <w:rPr>
          <w:rFonts w:ascii="ITC Avant Garde" w:hAnsi="ITC Avant Garde"/>
          <w:sz w:val="12"/>
          <w:szCs w:val="12"/>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9">
    <w:p w14:paraId="06671A31" w14:textId="77777777" w:rsidR="00582A8E" w:rsidRPr="00DD06A0" w:rsidRDefault="00582A8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E70DA4">
        <w:rPr>
          <w:rFonts w:ascii="ITC Avant Garde" w:hAnsi="ITC Avant Garde"/>
          <w:sz w:val="12"/>
          <w:szCs w:val="12"/>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0F17" w14:textId="77777777" w:rsidR="00582A8E" w:rsidRPr="00501ADF" w:rsidRDefault="00582A8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5858DC7E" wp14:editId="640FA37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74AB6F88" w14:textId="77777777" w:rsidR="00582A8E" w:rsidRPr="00DD06A0" w:rsidRDefault="00582A8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8DC7E"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74AB6F88" w14:textId="77777777" w:rsidR="00582A8E" w:rsidRPr="00DD06A0" w:rsidRDefault="00582A8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6FFEAD2" wp14:editId="62E05028">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273BC34" w14:textId="77777777" w:rsidR="00582A8E" w:rsidRDefault="00582A8E">
    <w:pPr>
      <w:pStyle w:val="Encabezado"/>
    </w:pPr>
  </w:p>
  <w:p w14:paraId="2D07B803" w14:textId="77777777" w:rsidR="00582A8E" w:rsidRDefault="00582A8E">
    <w:pPr>
      <w:pStyle w:val="Encabezado"/>
    </w:pPr>
  </w:p>
  <w:p w14:paraId="1C2B0983" w14:textId="77777777" w:rsidR="00582A8E" w:rsidRDefault="00582A8E">
    <w:pPr>
      <w:pStyle w:val="Encabezado"/>
    </w:pPr>
    <w:r>
      <w:rPr>
        <w:noProof/>
        <w:lang w:eastAsia="es-MX"/>
      </w:rPr>
      <mc:AlternateContent>
        <mc:Choice Requires="wps">
          <w:drawing>
            <wp:anchor distT="0" distB="0" distL="114300" distR="114300" simplePos="0" relativeHeight="251658240" behindDoc="0" locked="0" layoutInCell="1" allowOverlap="1" wp14:anchorId="526FEE83" wp14:editId="2B1E0B9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B86847F"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A189678" w14:textId="77777777" w:rsidR="00582A8E" w:rsidRDefault="00582A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5pt;height:11.35pt" o:bullet="t">
        <v:imagedata r:id="rId1" o:title="mso40D7"/>
      </v:shape>
    </w:pict>
  </w:numPicBullet>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73FD7"/>
    <w:multiLevelType w:val="hybridMultilevel"/>
    <w:tmpl w:val="0E50501A"/>
    <w:lvl w:ilvl="0" w:tplc="555892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5E2A20"/>
    <w:multiLevelType w:val="hybridMultilevel"/>
    <w:tmpl w:val="B85071A0"/>
    <w:lvl w:ilvl="0" w:tplc="18D4DA92">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E50B54"/>
    <w:multiLevelType w:val="hybridMultilevel"/>
    <w:tmpl w:val="BD06159C"/>
    <w:lvl w:ilvl="0" w:tplc="4D6A46B6">
      <w:start w:val="1"/>
      <w:numFmt w:val="decimal"/>
      <w:lvlText w:val="%1)"/>
      <w:lvlJc w:val="left"/>
      <w:pPr>
        <w:ind w:left="720" w:hanging="360"/>
      </w:pPr>
      <w:rPr>
        <w:rFonts w:ascii="ITC Avant Garde" w:eastAsiaTheme="minorHAnsi" w:hAnsi="ITC Avant Garde"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35483"/>
    <w:multiLevelType w:val="hybridMultilevel"/>
    <w:tmpl w:val="BBEA757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1821A9"/>
    <w:multiLevelType w:val="hybridMultilevel"/>
    <w:tmpl w:val="1BD2B962"/>
    <w:lvl w:ilvl="0" w:tplc="53CC21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951E17"/>
    <w:multiLevelType w:val="hybridMultilevel"/>
    <w:tmpl w:val="A936F302"/>
    <w:lvl w:ilvl="0" w:tplc="E9F6380C">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C30C98"/>
    <w:multiLevelType w:val="hybridMultilevel"/>
    <w:tmpl w:val="91804850"/>
    <w:lvl w:ilvl="0" w:tplc="3F282B24">
      <w:start w:val="3"/>
      <w:numFmt w:val="bullet"/>
      <w:lvlText w:val="-"/>
      <w:lvlJc w:val="left"/>
      <w:pPr>
        <w:ind w:left="360" w:hanging="360"/>
      </w:pPr>
      <w:rPr>
        <w:rFonts w:ascii="ITC Avant Garde" w:eastAsiaTheme="minorHAnsi" w:hAnsi="ITC Avant Garde"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430841"/>
    <w:multiLevelType w:val="hybridMultilevel"/>
    <w:tmpl w:val="13C4A320"/>
    <w:lvl w:ilvl="0" w:tplc="DE1EBEF4">
      <w:numFmt w:val="bullet"/>
      <w:lvlText w:val="-"/>
      <w:lvlJc w:val="left"/>
      <w:pPr>
        <w:ind w:left="360" w:hanging="360"/>
      </w:pPr>
      <w:rPr>
        <w:rFonts w:ascii="ITC Avant Garde" w:eastAsiaTheme="minorHAnsi" w:hAnsi="ITC Avant Garde"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2562349"/>
    <w:multiLevelType w:val="hybridMultilevel"/>
    <w:tmpl w:val="EACAF248"/>
    <w:lvl w:ilvl="0" w:tplc="44A29232">
      <w:start w:val="4"/>
      <w:numFmt w:val="bullet"/>
      <w:lvlText w:val=""/>
      <w:lvlJc w:val="left"/>
      <w:pPr>
        <w:ind w:left="760" w:hanging="360"/>
      </w:pPr>
      <w:rPr>
        <w:rFonts w:ascii="Symbol" w:eastAsiaTheme="minorHAnsi" w:hAnsi="Symbol" w:cstheme="minorBidi"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1"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6884171">
    <w:abstractNumId w:val="5"/>
  </w:num>
  <w:num w:numId="2" w16cid:durableId="1913075484">
    <w:abstractNumId w:val="6"/>
  </w:num>
  <w:num w:numId="3" w16cid:durableId="2019309670">
    <w:abstractNumId w:val="13"/>
  </w:num>
  <w:num w:numId="4" w16cid:durableId="693920753">
    <w:abstractNumId w:val="22"/>
  </w:num>
  <w:num w:numId="5" w16cid:durableId="861940750">
    <w:abstractNumId w:val="8"/>
  </w:num>
  <w:num w:numId="6" w16cid:durableId="842622101">
    <w:abstractNumId w:val="18"/>
  </w:num>
  <w:num w:numId="7" w16cid:durableId="1424953456">
    <w:abstractNumId w:val="14"/>
  </w:num>
  <w:num w:numId="8" w16cid:durableId="1922793292">
    <w:abstractNumId w:val="0"/>
  </w:num>
  <w:num w:numId="9" w16cid:durableId="962032940">
    <w:abstractNumId w:val="12"/>
  </w:num>
  <w:num w:numId="10" w16cid:durableId="1536431311">
    <w:abstractNumId w:val="11"/>
  </w:num>
  <w:num w:numId="11" w16cid:durableId="174271731">
    <w:abstractNumId w:val="17"/>
  </w:num>
  <w:num w:numId="12" w16cid:durableId="1988511101">
    <w:abstractNumId w:val="4"/>
  </w:num>
  <w:num w:numId="13" w16cid:durableId="1972784155">
    <w:abstractNumId w:val="4"/>
  </w:num>
  <w:num w:numId="14" w16cid:durableId="13726835">
    <w:abstractNumId w:val="16"/>
  </w:num>
  <w:num w:numId="15" w16cid:durableId="779841911">
    <w:abstractNumId w:val="15"/>
  </w:num>
  <w:num w:numId="16" w16cid:durableId="381103359">
    <w:abstractNumId w:val="2"/>
  </w:num>
  <w:num w:numId="17" w16cid:durableId="1026709164">
    <w:abstractNumId w:val="20"/>
  </w:num>
  <w:num w:numId="18" w16cid:durableId="793327479">
    <w:abstractNumId w:val="7"/>
  </w:num>
  <w:num w:numId="19" w16cid:durableId="132218312">
    <w:abstractNumId w:val="1"/>
  </w:num>
  <w:num w:numId="20" w16cid:durableId="594633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896905">
    <w:abstractNumId w:val="10"/>
  </w:num>
  <w:num w:numId="22" w16cid:durableId="2052030354">
    <w:abstractNumId w:val="19"/>
  </w:num>
  <w:num w:numId="23" w16cid:durableId="425805406">
    <w:abstractNumId w:val="21"/>
  </w:num>
  <w:num w:numId="24" w16cid:durableId="399448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5B4"/>
    <w:rsid w:val="00002CCD"/>
    <w:rsid w:val="0000528F"/>
    <w:rsid w:val="000059C8"/>
    <w:rsid w:val="00011096"/>
    <w:rsid w:val="00016C61"/>
    <w:rsid w:val="00021347"/>
    <w:rsid w:val="00021824"/>
    <w:rsid w:val="00023BBB"/>
    <w:rsid w:val="000271CF"/>
    <w:rsid w:val="0002789A"/>
    <w:rsid w:val="00027C2E"/>
    <w:rsid w:val="0003021E"/>
    <w:rsid w:val="00031337"/>
    <w:rsid w:val="0003274F"/>
    <w:rsid w:val="000346BC"/>
    <w:rsid w:val="00036391"/>
    <w:rsid w:val="00040B9F"/>
    <w:rsid w:val="00042FF4"/>
    <w:rsid w:val="00044A4C"/>
    <w:rsid w:val="00044D30"/>
    <w:rsid w:val="00045DEC"/>
    <w:rsid w:val="00047EEC"/>
    <w:rsid w:val="000525CE"/>
    <w:rsid w:val="0005396B"/>
    <w:rsid w:val="00053ED6"/>
    <w:rsid w:val="00054F32"/>
    <w:rsid w:val="00056852"/>
    <w:rsid w:val="000632F7"/>
    <w:rsid w:val="000639EE"/>
    <w:rsid w:val="0006478F"/>
    <w:rsid w:val="00066DC2"/>
    <w:rsid w:val="00072473"/>
    <w:rsid w:val="00073DB1"/>
    <w:rsid w:val="0008388F"/>
    <w:rsid w:val="000864CA"/>
    <w:rsid w:val="000901BD"/>
    <w:rsid w:val="0009287A"/>
    <w:rsid w:val="00092976"/>
    <w:rsid w:val="00097C5D"/>
    <w:rsid w:val="000A44BC"/>
    <w:rsid w:val="000A6113"/>
    <w:rsid w:val="000A79C7"/>
    <w:rsid w:val="000B15E3"/>
    <w:rsid w:val="000B1D99"/>
    <w:rsid w:val="000B2285"/>
    <w:rsid w:val="000B74F7"/>
    <w:rsid w:val="000C3151"/>
    <w:rsid w:val="000C4BF1"/>
    <w:rsid w:val="000C5326"/>
    <w:rsid w:val="000C5506"/>
    <w:rsid w:val="000D1A71"/>
    <w:rsid w:val="000D7971"/>
    <w:rsid w:val="000E161C"/>
    <w:rsid w:val="000E213C"/>
    <w:rsid w:val="000E4310"/>
    <w:rsid w:val="000E4A53"/>
    <w:rsid w:val="000F1068"/>
    <w:rsid w:val="000F152A"/>
    <w:rsid w:val="000F48E5"/>
    <w:rsid w:val="00102103"/>
    <w:rsid w:val="001036EE"/>
    <w:rsid w:val="00110266"/>
    <w:rsid w:val="0011044D"/>
    <w:rsid w:val="00110844"/>
    <w:rsid w:val="001128D4"/>
    <w:rsid w:val="0011694D"/>
    <w:rsid w:val="00117429"/>
    <w:rsid w:val="0012566F"/>
    <w:rsid w:val="00126284"/>
    <w:rsid w:val="0013160A"/>
    <w:rsid w:val="001325D9"/>
    <w:rsid w:val="001334A3"/>
    <w:rsid w:val="00133F02"/>
    <w:rsid w:val="00136258"/>
    <w:rsid w:val="0014075D"/>
    <w:rsid w:val="00141468"/>
    <w:rsid w:val="001420EF"/>
    <w:rsid w:val="00142567"/>
    <w:rsid w:val="001432F7"/>
    <w:rsid w:val="00145A45"/>
    <w:rsid w:val="00145F52"/>
    <w:rsid w:val="0015650C"/>
    <w:rsid w:val="001576FA"/>
    <w:rsid w:val="00161D3F"/>
    <w:rsid w:val="00161F94"/>
    <w:rsid w:val="00163CF2"/>
    <w:rsid w:val="001727EA"/>
    <w:rsid w:val="0017489D"/>
    <w:rsid w:val="00177331"/>
    <w:rsid w:val="00190843"/>
    <w:rsid w:val="00192BB7"/>
    <w:rsid w:val="001932FC"/>
    <w:rsid w:val="00194A29"/>
    <w:rsid w:val="00196AE9"/>
    <w:rsid w:val="001979F8"/>
    <w:rsid w:val="00197CED"/>
    <w:rsid w:val="001A3104"/>
    <w:rsid w:val="001A6216"/>
    <w:rsid w:val="001A695F"/>
    <w:rsid w:val="001B2C4E"/>
    <w:rsid w:val="001B4EC7"/>
    <w:rsid w:val="001C3985"/>
    <w:rsid w:val="001C5415"/>
    <w:rsid w:val="001D2147"/>
    <w:rsid w:val="001D50AB"/>
    <w:rsid w:val="001D6109"/>
    <w:rsid w:val="001D6735"/>
    <w:rsid w:val="001E271C"/>
    <w:rsid w:val="001E4737"/>
    <w:rsid w:val="001E6907"/>
    <w:rsid w:val="001F1534"/>
    <w:rsid w:val="001F3C2B"/>
    <w:rsid w:val="001F4091"/>
    <w:rsid w:val="001F47CE"/>
    <w:rsid w:val="001F5D03"/>
    <w:rsid w:val="001F631F"/>
    <w:rsid w:val="001F71EA"/>
    <w:rsid w:val="002025CB"/>
    <w:rsid w:val="00206067"/>
    <w:rsid w:val="00206E48"/>
    <w:rsid w:val="00207FA2"/>
    <w:rsid w:val="00213FB6"/>
    <w:rsid w:val="002157E2"/>
    <w:rsid w:val="002165DC"/>
    <w:rsid w:val="0021671B"/>
    <w:rsid w:val="002178DE"/>
    <w:rsid w:val="0022153F"/>
    <w:rsid w:val="00221DE7"/>
    <w:rsid w:val="002220C2"/>
    <w:rsid w:val="00225DA6"/>
    <w:rsid w:val="0022741B"/>
    <w:rsid w:val="00227EA2"/>
    <w:rsid w:val="00231566"/>
    <w:rsid w:val="00231C43"/>
    <w:rsid w:val="00231DA1"/>
    <w:rsid w:val="00233B04"/>
    <w:rsid w:val="00242CD9"/>
    <w:rsid w:val="0024317F"/>
    <w:rsid w:val="002547B4"/>
    <w:rsid w:val="0025635A"/>
    <w:rsid w:val="00260074"/>
    <w:rsid w:val="0026131C"/>
    <w:rsid w:val="002637C6"/>
    <w:rsid w:val="0026442A"/>
    <w:rsid w:val="00266011"/>
    <w:rsid w:val="0026633D"/>
    <w:rsid w:val="002669F6"/>
    <w:rsid w:val="002700A3"/>
    <w:rsid w:val="002701F6"/>
    <w:rsid w:val="00275D93"/>
    <w:rsid w:val="00280495"/>
    <w:rsid w:val="002839F6"/>
    <w:rsid w:val="002848BC"/>
    <w:rsid w:val="002851D7"/>
    <w:rsid w:val="00286496"/>
    <w:rsid w:val="002958ED"/>
    <w:rsid w:val="00295E97"/>
    <w:rsid w:val="0029624F"/>
    <w:rsid w:val="00296F51"/>
    <w:rsid w:val="002A0818"/>
    <w:rsid w:val="002A231B"/>
    <w:rsid w:val="002A44E5"/>
    <w:rsid w:val="002A555F"/>
    <w:rsid w:val="002A7194"/>
    <w:rsid w:val="002A726B"/>
    <w:rsid w:val="002B0DBB"/>
    <w:rsid w:val="002B670F"/>
    <w:rsid w:val="002B6CC6"/>
    <w:rsid w:val="002B780B"/>
    <w:rsid w:val="002C0D86"/>
    <w:rsid w:val="002C2362"/>
    <w:rsid w:val="002C5EC3"/>
    <w:rsid w:val="002D6154"/>
    <w:rsid w:val="002E0392"/>
    <w:rsid w:val="002E12CB"/>
    <w:rsid w:val="002E1F86"/>
    <w:rsid w:val="002E53CF"/>
    <w:rsid w:val="002E61B6"/>
    <w:rsid w:val="002E72C5"/>
    <w:rsid w:val="002E7B54"/>
    <w:rsid w:val="002F0AAB"/>
    <w:rsid w:val="002F27E6"/>
    <w:rsid w:val="0030055F"/>
    <w:rsid w:val="003039BF"/>
    <w:rsid w:val="00305A61"/>
    <w:rsid w:val="00306E39"/>
    <w:rsid w:val="00310F8E"/>
    <w:rsid w:val="00314643"/>
    <w:rsid w:val="00317FD5"/>
    <w:rsid w:val="00321446"/>
    <w:rsid w:val="00323D08"/>
    <w:rsid w:val="00324508"/>
    <w:rsid w:val="00326797"/>
    <w:rsid w:val="00330DE3"/>
    <w:rsid w:val="00334A5B"/>
    <w:rsid w:val="00334A8D"/>
    <w:rsid w:val="00340D67"/>
    <w:rsid w:val="00340F5E"/>
    <w:rsid w:val="00341560"/>
    <w:rsid w:val="00342671"/>
    <w:rsid w:val="00342CBF"/>
    <w:rsid w:val="003439A2"/>
    <w:rsid w:val="00343F2B"/>
    <w:rsid w:val="00344D0C"/>
    <w:rsid w:val="0034530E"/>
    <w:rsid w:val="00345D60"/>
    <w:rsid w:val="003461A6"/>
    <w:rsid w:val="003466D4"/>
    <w:rsid w:val="003523C1"/>
    <w:rsid w:val="00353E61"/>
    <w:rsid w:val="00355C76"/>
    <w:rsid w:val="00356E5F"/>
    <w:rsid w:val="0036062D"/>
    <w:rsid w:val="00360887"/>
    <w:rsid w:val="003645F6"/>
    <w:rsid w:val="00365DD0"/>
    <w:rsid w:val="0036632D"/>
    <w:rsid w:val="0036645A"/>
    <w:rsid w:val="00366881"/>
    <w:rsid w:val="00376614"/>
    <w:rsid w:val="00376BB2"/>
    <w:rsid w:val="003825CF"/>
    <w:rsid w:val="00382ACD"/>
    <w:rsid w:val="003840A8"/>
    <w:rsid w:val="003852AB"/>
    <w:rsid w:val="00385BE7"/>
    <w:rsid w:val="003867EC"/>
    <w:rsid w:val="00387BDC"/>
    <w:rsid w:val="0039105F"/>
    <w:rsid w:val="0039184E"/>
    <w:rsid w:val="003A14D8"/>
    <w:rsid w:val="003A26C6"/>
    <w:rsid w:val="003A3E18"/>
    <w:rsid w:val="003A489B"/>
    <w:rsid w:val="003A524A"/>
    <w:rsid w:val="003A5D36"/>
    <w:rsid w:val="003A7FA4"/>
    <w:rsid w:val="003C1039"/>
    <w:rsid w:val="003C3084"/>
    <w:rsid w:val="003C476B"/>
    <w:rsid w:val="003C6FEE"/>
    <w:rsid w:val="003C7D72"/>
    <w:rsid w:val="003E1090"/>
    <w:rsid w:val="003F05E7"/>
    <w:rsid w:val="003F07F7"/>
    <w:rsid w:val="003F12D0"/>
    <w:rsid w:val="003F39D2"/>
    <w:rsid w:val="003F6631"/>
    <w:rsid w:val="004022DE"/>
    <w:rsid w:val="004105A7"/>
    <w:rsid w:val="00411B5B"/>
    <w:rsid w:val="00413E13"/>
    <w:rsid w:val="00413E89"/>
    <w:rsid w:val="00423651"/>
    <w:rsid w:val="00427F29"/>
    <w:rsid w:val="0043031F"/>
    <w:rsid w:val="00431631"/>
    <w:rsid w:val="00431F48"/>
    <w:rsid w:val="00435A5D"/>
    <w:rsid w:val="00444E63"/>
    <w:rsid w:val="0045409C"/>
    <w:rsid w:val="00457386"/>
    <w:rsid w:val="00457E37"/>
    <w:rsid w:val="0046183D"/>
    <w:rsid w:val="004666B9"/>
    <w:rsid w:val="00470385"/>
    <w:rsid w:val="0047396F"/>
    <w:rsid w:val="004743EF"/>
    <w:rsid w:val="00477183"/>
    <w:rsid w:val="00477EE2"/>
    <w:rsid w:val="00484EEE"/>
    <w:rsid w:val="004965D1"/>
    <w:rsid w:val="00497344"/>
    <w:rsid w:val="004A0367"/>
    <w:rsid w:val="004A0585"/>
    <w:rsid w:val="004A4789"/>
    <w:rsid w:val="004A6C57"/>
    <w:rsid w:val="004B6836"/>
    <w:rsid w:val="004D1106"/>
    <w:rsid w:val="004D152B"/>
    <w:rsid w:val="004D2C81"/>
    <w:rsid w:val="004D5B4A"/>
    <w:rsid w:val="004E0DA9"/>
    <w:rsid w:val="004E3B1D"/>
    <w:rsid w:val="004E6E05"/>
    <w:rsid w:val="004E7170"/>
    <w:rsid w:val="004F049A"/>
    <w:rsid w:val="004F0F3A"/>
    <w:rsid w:val="004F3F40"/>
    <w:rsid w:val="004F6ABE"/>
    <w:rsid w:val="004F6F5D"/>
    <w:rsid w:val="004F76A1"/>
    <w:rsid w:val="00501ADF"/>
    <w:rsid w:val="00502661"/>
    <w:rsid w:val="00503ECB"/>
    <w:rsid w:val="00505B08"/>
    <w:rsid w:val="00507CCD"/>
    <w:rsid w:val="00510390"/>
    <w:rsid w:val="0051453E"/>
    <w:rsid w:val="00515576"/>
    <w:rsid w:val="005203AD"/>
    <w:rsid w:val="00521184"/>
    <w:rsid w:val="00526412"/>
    <w:rsid w:val="00530DA4"/>
    <w:rsid w:val="005335CF"/>
    <w:rsid w:val="00533F9A"/>
    <w:rsid w:val="00540129"/>
    <w:rsid w:val="00542979"/>
    <w:rsid w:val="00545B45"/>
    <w:rsid w:val="005465C4"/>
    <w:rsid w:val="005500E4"/>
    <w:rsid w:val="0055086C"/>
    <w:rsid w:val="00552E7C"/>
    <w:rsid w:val="00553A7C"/>
    <w:rsid w:val="00557F8B"/>
    <w:rsid w:val="00560409"/>
    <w:rsid w:val="0056472E"/>
    <w:rsid w:val="00564D46"/>
    <w:rsid w:val="00564E84"/>
    <w:rsid w:val="005665BE"/>
    <w:rsid w:val="00567FA3"/>
    <w:rsid w:val="005707DC"/>
    <w:rsid w:val="005724FF"/>
    <w:rsid w:val="00574EAE"/>
    <w:rsid w:val="005754DD"/>
    <w:rsid w:val="00575791"/>
    <w:rsid w:val="00575914"/>
    <w:rsid w:val="00575929"/>
    <w:rsid w:val="00576D36"/>
    <w:rsid w:val="00581729"/>
    <w:rsid w:val="005818F0"/>
    <w:rsid w:val="0058208E"/>
    <w:rsid w:val="0058266F"/>
    <w:rsid w:val="00582A8E"/>
    <w:rsid w:val="0058531D"/>
    <w:rsid w:val="0058555E"/>
    <w:rsid w:val="00585FE8"/>
    <w:rsid w:val="00587662"/>
    <w:rsid w:val="00596FDE"/>
    <w:rsid w:val="005A4093"/>
    <w:rsid w:val="005A40FB"/>
    <w:rsid w:val="005A59BE"/>
    <w:rsid w:val="005A6B82"/>
    <w:rsid w:val="005A7AF8"/>
    <w:rsid w:val="005B16B4"/>
    <w:rsid w:val="005B5D65"/>
    <w:rsid w:val="005C1B7E"/>
    <w:rsid w:val="005C6B76"/>
    <w:rsid w:val="005D1C1F"/>
    <w:rsid w:val="005D3BA6"/>
    <w:rsid w:val="005E56A1"/>
    <w:rsid w:val="005E5EF9"/>
    <w:rsid w:val="005E6489"/>
    <w:rsid w:val="005E64B2"/>
    <w:rsid w:val="005F2EC3"/>
    <w:rsid w:val="005F360B"/>
    <w:rsid w:val="005F504D"/>
    <w:rsid w:val="00601BB2"/>
    <w:rsid w:val="006022A0"/>
    <w:rsid w:val="00605301"/>
    <w:rsid w:val="006129CA"/>
    <w:rsid w:val="0062123D"/>
    <w:rsid w:val="00623290"/>
    <w:rsid w:val="00625F27"/>
    <w:rsid w:val="00630BFD"/>
    <w:rsid w:val="00630C94"/>
    <w:rsid w:val="00631478"/>
    <w:rsid w:val="006330CB"/>
    <w:rsid w:val="0064130B"/>
    <w:rsid w:val="0064367A"/>
    <w:rsid w:val="00643B57"/>
    <w:rsid w:val="00643C18"/>
    <w:rsid w:val="00647ED1"/>
    <w:rsid w:val="00652172"/>
    <w:rsid w:val="00654509"/>
    <w:rsid w:val="00660014"/>
    <w:rsid w:val="0066091C"/>
    <w:rsid w:val="0066264C"/>
    <w:rsid w:val="00665992"/>
    <w:rsid w:val="006662E2"/>
    <w:rsid w:val="006717D5"/>
    <w:rsid w:val="00673EAE"/>
    <w:rsid w:val="006755E7"/>
    <w:rsid w:val="0068307E"/>
    <w:rsid w:val="006860E2"/>
    <w:rsid w:val="0069043B"/>
    <w:rsid w:val="006A29AF"/>
    <w:rsid w:val="006A2CD0"/>
    <w:rsid w:val="006B0FA0"/>
    <w:rsid w:val="006B3DF6"/>
    <w:rsid w:val="006B4D9B"/>
    <w:rsid w:val="006B5741"/>
    <w:rsid w:val="006C395A"/>
    <w:rsid w:val="006C5417"/>
    <w:rsid w:val="006C5932"/>
    <w:rsid w:val="006D2CDA"/>
    <w:rsid w:val="006D36D8"/>
    <w:rsid w:val="006D3EAB"/>
    <w:rsid w:val="006D5008"/>
    <w:rsid w:val="006D7A08"/>
    <w:rsid w:val="006E237C"/>
    <w:rsid w:val="006E27FA"/>
    <w:rsid w:val="006E4127"/>
    <w:rsid w:val="006E5EB5"/>
    <w:rsid w:val="006E6735"/>
    <w:rsid w:val="006F04FD"/>
    <w:rsid w:val="006F3B10"/>
    <w:rsid w:val="006F3E88"/>
    <w:rsid w:val="006F3F05"/>
    <w:rsid w:val="00701C56"/>
    <w:rsid w:val="00702619"/>
    <w:rsid w:val="00710360"/>
    <w:rsid w:val="00711C10"/>
    <w:rsid w:val="00712831"/>
    <w:rsid w:val="0071365C"/>
    <w:rsid w:val="007140E1"/>
    <w:rsid w:val="00716314"/>
    <w:rsid w:val="00720673"/>
    <w:rsid w:val="00722A0E"/>
    <w:rsid w:val="00722C3F"/>
    <w:rsid w:val="00723BBB"/>
    <w:rsid w:val="007252B2"/>
    <w:rsid w:val="00726208"/>
    <w:rsid w:val="00726FD1"/>
    <w:rsid w:val="00727320"/>
    <w:rsid w:val="00727813"/>
    <w:rsid w:val="00730C94"/>
    <w:rsid w:val="007367D4"/>
    <w:rsid w:val="007440FC"/>
    <w:rsid w:val="00744193"/>
    <w:rsid w:val="00745696"/>
    <w:rsid w:val="00752353"/>
    <w:rsid w:val="00752E09"/>
    <w:rsid w:val="00760C47"/>
    <w:rsid w:val="00763172"/>
    <w:rsid w:val="00763AE0"/>
    <w:rsid w:val="0077220A"/>
    <w:rsid w:val="0077372B"/>
    <w:rsid w:val="00773730"/>
    <w:rsid w:val="00775E6B"/>
    <w:rsid w:val="0077609B"/>
    <w:rsid w:val="007772B9"/>
    <w:rsid w:val="00777FF3"/>
    <w:rsid w:val="0078391E"/>
    <w:rsid w:val="00784828"/>
    <w:rsid w:val="0078556A"/>
    <w:rsid w:val="00787A86"/>
    <w:rsid w:val="00790373"/>
    <w:rsid w:val="0079137D"/>
    <w:rsid w:val="0079231C"/>
    <w:rsid w:val="00792A90"/>
    <w:rsid w:val="007969D8"/>
    <w:rsid w:val="00796EAC"/>
    <w:rsid w:val="007A4362"/>
    <w:rsid w:val="007A7D29"/>
    <w:rsid w:val="007B60E8"/>
    <w:rsid w:val="007B621F"/>
    <w:rsid w:val="007B66A7"/>
    <w:rsid w:val="007B6B06"/>
    <w:rsid w:val="007B7F4A"/>
    <w:rsid w:val="007C088B"/>
    <w:rsid w:val="007C319D"/>
    <w:rsid w:val="007D303F"/>
    <w:rsid w:val="007D481B"/>
    <w:rsid w:val="007D4E5B"/>
    <w:rsid w:val="007E55FC"/>
    <w:rsid w:val="007F634D"/>
    <w:rsid w:val="007F69B7"/>
    <w:rsid w:val="007F77F5"/>
    <w:rsid w:val="008004AE"/>
    <w:rsid w:val="00800501"/>
    <w:rsid w:val="00801FED"/>
    <w:rsid w:val="008033FE"/>
    <w:rsid w:val="00804F49"/>
    <w:rsid w:val="00806DBB"/>
    <w:rsid w:val="00817D98"/>
    <w:rsid w:val="008202B1"/>
    <w:rsid w:val="0082151C"/>
    <w:rsid w:val="0082308D"/>
    <w:rsid w:val="008239A6"/>
    <w:rsid w:val="008246F2"/>
    <w:rsid w:val="00825642"/>
    <w:rsid w:val="00826696"/>
    <w:rsid w:val="00827FA3"/>
    <w:rsid w:val="00831ADD"/>
    <w:rsid w:val="00832172"/>
    <w:rsid w:val="00836E59"/>
    <w:rsid w:val="00843597"/>
    <w:rsid w:val="00844FE0"/>
    <w:rsid w:val="008465DF"/>
    <w:rsid w:val="00846C35"/>
    <w:rsid w:val="00851F89"/>
    <w:rsid w:val="008520C1"/>
    <w:rsid w:val="00853A05"/>
    <w:rsid w:val="00865574"/>
    <w:rsid w:val="00865C2C"/>
    <w:rsid w:val="0086684A"/>
    <w:rsid w:val="00870931"/>
    <w:rsid w:val="008717BB"/>
    <w:rsid w:val="00874784"/>
    <w:rsid w:val="00874853"/>
    <w:rsid w:val="0087655C"/>
    <w:rsid w:val="008765D1"/>
    <w:rsid w:val="00876A95"/>
    <w:rsid w:val="00876D05"/>
    <w:rsid w:val="00877ABA"/>
    <w:rsid w:val="00886690"/>
    <w:rsid w:val="00891C40"/>
    <w:rsid w:val="008933E4"/>
    <w:rsid w:val="00894944"/>
    <w:rsid w:val="00894D45"/>
    <w:rsid w:val="00896305"/>
    <w:rsid w:val="00896D6B"/>
    <w:rsid w:val="008A16C4"/>
    <w:rsid w:val="008A1900"/>
    <w:rsid w:val="008A22F3"/>
    <w:rsid w:val="008A2F51"/>
    <w:rsid w:val="008A38DF"/>
    <w:rsid w:val="008A3C5C"/>
    <w:rsid w:val="008A3CB2"/>
    <w:rsid w:val="008A3F9C"/>
    <w:rsid w:val="008A48B0"/>
    <w:rsid w:val="008A5702"/>
    <w:rsid w:val="008C3D3E"/>
    <w:rsid w:val="008C561C"/>
    <w:rsid w:val="008C5F5F"/>
    <w:rsid w:val="008C76AF"/>
    <w:rsid w:val="008D3455"/>
    <w:rsid w:val="008D67A6"/>
    <w:rsid w:val="008D6813"/>
    <w:rsid w:val="008E1350"/>
    <w:rsid w:val="008E1821"/>
    <w:rsid w:val="008E3011"/>
    <w:rsid w:val="008E7FF5"/>
    <w:rsid w:val="008F2150"/>
    <w:rsid w:val="00901BAE"/>
    <w:rsid w:val="009036F6"/>
    <w:rsid w:val="00903916"/>
    <w:rsid w:val="00904802"/>
    <w:rsid w:val="009115C1"/>
    <w:rsid w:val="00911690"/>
    <w:rsid w:val="00913DCD"/>
    <w:rsid w:val="00915B6E"/>
    <w:rsid w:val="009275A2"/>
    <w:rsid w:val="00931DB2"/>
    <w:rsid w:val="00936ABB"/>
    <w:rsid w:val="00945500"/>
    <w:rsid w:val="00945AAC"/>
    <w:rsid w:val="0094746D"/>
    <w:rsid w:val="0095222D"/>
    <w:rsid w:val="00953825"/>
    <w:rsid w:val="00956766"/>
    <w:rsid w:val="009575A2"/>
    <w:rsid w:val="00957C28"/>
    <w:rsid w:val="00960757"/>
    <w:rsid w:val="0096794E"/>
    <w:rsid w:val="00972063"/>
    <w:rsid w:val="00972415"/>
    <w:rsid w:val="00975294"/>
    <w:rsid w:val="0098148D"/>
    <w:rsid w:val="009846E4"/>
    <w:rsid w:val="00987587"/>
    <w:rsid w:val="00987B74"/>
    <w:rsid w:val="009904AE"/>
    <w:rsid w:val="009A0A65"/>
    <w:rsid w:val="009A3582"/>
    <w:rsid w:val="009A504C"/>
    <w:rsid w:val="009A7BB9"/>
    <w:rsid w:val="009B0221"/>
    <w:rsid w:val="009B0360"/>
    <w:rsid w:val="009B2D63"/>
    <w:rsid w:val="009B3566"/>
    <w:rsid w:val="009B3908"/>
    <w:rsid w:val="009B75AB"/>
    <w:rsid w:val="009C21D6"/>
    <w:rsid w:val="009C4FD5"/>
    <w:rsid w:val="009D0F15"/>
    <w:rsid w:val="009D3717"/>
    <w:rsid w:val="009D3DC7"/>
    <w:rsid w:val="009D4EBE"/>
    <w:rsid w:val="009E10A3"/>
    <w:rsid w:val="009E2E8F"/>
    <w:rsid w:val="009E5383"/>
    <w:rsid w:val="009E7E89"/>
    <w:rsid w:val="009F6650"/>
    <w:rsid w:val="00A0193A"/>
    <w:rsid w:val="00A028BC"/>
    <w:rsid w:val="00A04442"/>
    <w:rsid w:val="00A04DC8"/>
    <w:rsid w:val="00A14610"/>
    <w:rsid w:val="00A147C0"/>
    <w:rsid w:val="00A1622C"/>
    <w:rsid w:val="00A1676B"/>
    <w:rsid w:val="00A17580"/>
    <w:rsid w:val="00A20E88"/>
    <w:rsid w:val="00A22A4C"/>
    <w:rsid w:val="00A24A60"/>
    <w:rsid w:val="00A251C0"/>
    <w:rsid w:val="00A25249"/>
    <w:rsid w:val="00A25AE9"/>
    <w:rsid w:val="00A271EC"/>
    <w:rsid w:val="00A3275D"/>
    <w:rsid w:val="00A328CC"/>
    <w:rsid w:val="00A33019"/>
    <w:rsid w:val="00A35A74"/>
    <w:rsid w:val="00A40D98"/>
    <w:rsid w:val="00A41460"/>
    <w:rsid w:val="00A4383D"/>
    <w:rsid w:val="00A44496"/>
    <w:rsid w:val="00A45793"/>
    <w:rsid w:val="00A52180"/>
    <w:rsid w:val="00A529FD"/>
    <w:rsid w:val="00A61896"/>
    <w:rsid w:val="00A724AB"/>
    <w:rsid w:val="00A73AD8"/>
    <w:rsid w:val="00A73B0C"/>
    <w:rsid w:val="00A76561"/>
    <w:rsid w:val="00A76C37"/>
    <w:rsid w:val="00A77082"/>
    <w:rsid w:val="00A90822"/>
    <w:rsid w:val="00A918CC"/>
    <w:rsid w:val="00A956EB"/>
    <w:rsid w:val="00A95F2E"/>
    <w:rsid w:val="00AA6694"/>
    <w:rsid w:val="00AB0191"/>
    <w:rsid w:val="00AB1AA8"/>
    <w:rsid w:val="00AB226A"/>
    <w:rsid w:val="00AB2A9E"/>
    <w:rsid w:val="00AB3BA3"/>
    <w:rsid w:val="00AC5022"/>
    <w:rsid w:val="00AD4689"/>
    <w:rsid w:val="00AD5D4D"/>
    <w:rsid w:val="00AD7125"/>
    <w:rsid w:val="00AD7413"/>
    <w:rsid w:val="00AE0FD8"/>
    <w:rsid w:val="00AE1AC5"/>
    <w:rsid w:val="00AE41C1"/>
    <w:rsid w:val="00AE51AD"/>
    <w:rsid w:val="00AE54E7"/>
    <w:rsid w:val="00AE57D8"/>
    <w:rsid w:val="00AE5D79"/>
    <w:rsid w:val="00AF1341"/>
    <w:rsid w:val="00AF267F"/>
    <w:rsid w:val="00AF76CF"/>
    <w:rsid w:val="00B0252D"/>
    <w:rsid w:val="00B02D84"/>
    <w:rsid w:val="00B02E28"/>
    <w:rsid w:val="00B04A20"/>
    <w:rsid w:val="00B058F0"/>
    <w:rsid w:val="00B072DB"/>
    <w:rsid w:val="00B07C14"/>
    <w:rsid w:val="00B1128B"/>
    <w:rsid w:val="00B120E1"/>
    <w:rsid w:val="00B141DF"/>
    <w:rsid w:val="00B14971"/>
    <w:rsid w:val="00B14F33"/>
    <w:rsid w:val="00B15AF6"/>
    <w:rsid w:val="00B15F35"/>
    <w:rsid w:val="00B16B16"/>
    <w:rsid w:val="00B2226E"/>
    <w:rsid w:val="00B22577"/>
    <w:rsid w:val="00B2268D"/>
    <w:rsid w:val="00B2348E"/>
    <w:rsid w:val="00B24B9B"/>
    <w:rsid w:val="00B26C14"/>
    <w:rsid w:val="00B32663"/>
    <w:rsid w:val="00B32DB4"/>
    <w:rsid w:val="00B3355F"/>
    <w:rsid w:val="00B35C9B"/>
    <w:rsid w:val="00B35CA0"/>
    <w:rsid w:val="00B41497"/>
    <w:rsid w:val="00B42555"/>
    <w:rsid w:val="00B473F0"/>
    <w:rsid w:val="00B53E8B"/>
    <w:rsid w:val="00B577B7"/>
    <w:rsid w:val="00B60B76"/>
    <w:rsid w:val="00B6461E"/>
    <w:rsid w:val="00B66051"/>
    <w:rsid w:val="00B73435"/>
    <w:rsid w:val="00B74C55"/>
    <w:rsid w:val="00B76C9A"/>
    <w:rsid w:val="00B76F99"/>
    <w:rsid w:val="00B77C84"/>
    <w:rsid w:val="00B80D19"/>
    <w:rsid w:val="00B82437"/>
    <w:rsid w:val="00B83693"/>
    <w:rsid w:val="00B83B4D"/>
    <w:rsid w:val="00B840E7"/>
    <w:rsid w:val="00B91D01"/>
    <w:rsid w:val="00B9253F"/>
    <w:rsid w:val="00B940EB"/>
    <w:rsid w:val="00B94CEC"/>
    <w:rsid w:val="00B9534D"/>
    <w:rsid w:val="00B97AE9"/>
    <w:rsid w:val="00B97C55"/>
    <w:rsid w:val="00BA6819"/>
    <w:rsid w:val="00BB0FCA"/>
    <w:rsid w:val="00BB1B78"/>
    <w:rsid w:val="00BB5452"/>
    <w:rsid w:val="00BB5C59"/>
    <w:rsid w:val="00BB6AC9"/>
    <w:rsid w:val="00BC2A05"/>
    <w:rsid w:val="00BC3480"/>
    <w:rsid w:val="00BC3F68"/>
    <w:rsid w:val="00BC7ADA"/>
    <w:rsid w:val="00BD365A"/>
    <w:rsid w:val="00BD3740"/>
    <w:rsid w:val="00BD466D"/>
    <w:rsid w:val="00BD7058"/>
    <w:rsid w:val="00BE685B"/>
    <w:rsid w:val="00BE7521"/>
    <w:rsid w:val="00BF19C0"/>
    <w:rsid w:val="00BF4409"/>
    <w:rsid w:val="00C000C3"/>
    <w:rsid w:val="00C02707"/>
    <w:rsid w:val="00C07034"/>
    <w:rsid w:val="00C128A9"/>
    <w:rsid w:val="00C13B8E"/>
    <w:rsid w:val="00C14B46"/>
    <w:rsid w:val="00C14B49"/>
    <w:rsid w:val="00C14CA6"/>
    <w:rsid w:val="00C160B6"/>
    <w:rsid w:val="00C20770"/>
    <w:rsid w:val="00C23217"/>
    <w:rsid w:val="00C2465A"/>
    <w:rsid w:val="00C2517A"/>
    <w:rsid w:val="00C25817"/>
    <w:rsid w:val="00C26EF8"/>
    <w:rsid w:val="00C31790"/>
    <w:rsid w:val="00C33686"/>
    <w:rsid w:val="00C4158D"/>
    <w:rsid w:val="00C50E57"/>
    <w:rsid w:val="00C521A5"/>
    <w:rsid w:val="00C53AF8"/>
    <w:rsid w:val="00C55285"/>
    <w:rsid w:val="00C56A89"/>
    <w:rsid w:val="00C6266E"/>
    <w:rsid w:val="00C6357B"/>
    <w:rsid w:val="00C64CD5"/>
    <w:rsid w:val="00C70B8D"/>
    <w:rsid w:val="00C7229B"/>
    <w:rsid w:val="00C7407A"/>
    <w:rsid w:val="00C77AC5"/>
    <w:rsid w:val="00C81772"/>
    <w:rsid w:val="00C82A16"/>
    <w:rsid w:val="00C84BAE"/>
    <w:rsid w:val="00C87669"/>
    <w:rsid w:val="00C90779"/>
    <w:rsid w:val="00C917FC"/>
    <w:rsid w:val="00C91FE4"/>
    <w:rsid w:val="00C9396B"/>
    <w:rsid w:val="00C939D1"/>
    <w:rsid w:val="00C940F7"/>
    <w:rsid w:val="00C9460D"/>
    <w:rsid w:val="00C95A68"/>
    <w:rsid w:val="00CA0648"/>
    <w:rsid w:val="00CA5A61"/>
    <w:rsid w:val="00CA73AD"/>
    <w:rsid w:val="00CB1A03"/>
    <w:rsid w:val="00CB409F"/>
    <w:rsid w:val="00CC6995"/>
    <w:rsid w:val="00CD1EF9"/>
    <w:rsid w:val="00CD4362"/>
    <w:rsid w:val="00CD47DC"/>
    <w:rsid w:val="00CD5E2A"/>
    <w:rsid w:val="00CE1DED"/>
    <w:rsid w:val="00CE2F13"/>
    <w:rsid w:val="00CE3C00"/>
    <w:rsid w:val="00CE50CC"/>
    <w:rsid w:val="00CE5C9B"/>
    <w:rsid w:val="00CF1C87"/>
    <w:rsid w:val="00CF30EB"/>
    <w:rsid w:val="00CF642C"/>
    <w:rsid w:val="00CF74F0"/>
    <w:rsid w:val="00D0103F"/>
    <w:rsid w:val="00D01958"/>
    <w:rsid w:val="00D01FA4"/>
    <w:rsid w:val="00D02A3C"/>
    <w:rsid w:val="00D04F27"/>
    <w:rsid w:val="00D0596C"/>
    <w:rsid w:val="00D06BA6"/>
    <w:rsid w:val="00D06E26"/>
    <w:rsid w:val="00D1261E"/>
    <w:rsid w:val="00D1746B"/>
    <w:rsid w:val="00D1779C"/>
    <w:rsid w:val="00D21B65"/>
    <w:rsid w:val="00D221B5"/>
    <w:rsid w:val="00D22433"/>
    <w:rsid w:val="00D23BD5"/>
    <w:rsid w:val="00D2443C"/>
    <w:rsid w:val="00D27011"/>
    <w:rsid w:val="00D36F8B"/>
    <w:rsid w:val="00D407B0"/>
    <w:rsid w:val="00D4219E"/>
    <w:rsid w:val="00D500A9"/>
    <w:rsid w:val="00D52B06"/>
    <w:rsid w:val="00D52C89"/>
    <w:rsid w:val="00D63687"/>
    <w:rsid w:val="00D65D77"/>
    <w:rsid w:val="00D67FED"/>
    <w:rsid w:val="00D71DE4"/>
    <w:rsid w:val="00D760B2"/>
    <w:rsid w:val="00D77FC2"/>
    <w:rsid w:val="00D8575B"/>
    <w:rsid w:val="00D87902"/>
    <w:rsid w:val="00D932D9"/>
    <w:rsid w:val="00D950A9"/>
    <w:rsid w:val="00D976C3"/>
    <w:rsid w:val="00DA147D"/>
    <w:rsid w:val="00DA6CB6"/>
    <w:rsid w:val="00DA76FB"/>
    <w:rsid w:val="00DB301E"/>
    <w:rsid w:val="00DB62FA"/>
    <w:rsid w:val="00DC0DDF"/>
    <w:rsid w:val="00DC156F"/>
    <w:rsid w:val="00DC2B70"/>
    <w:rsid w:val="00DC6E0D"/>
    <w:rsid w:val="00DD06A0"/>
    <w:rsid w:val="00DD1A77"/>
    <w:rsid w:val="00DD4D9A"/>
    <w:rsid w:val="00DD61A0"/>
    <w:rsid w:val="00DD6A3D"/>
    <w:rsid w:val="00DD7252"/>
    <w:rsid w:val="00DE184B"/>
    <w:rsid w:val="00DE3B58"/>
    <w:rsid w:val="00DF204E"/>
    <w:rsid w:val="00DF2286"/>
    <w:rsid w:val="00DF735D"/>
    <w:rsid w:val="00DF7853"/>
    <w:rsid w:val="00DF7A2F"/>
    <w:rsid w:val="00E0142C"/>
    <w:rsid w:val="00E016AD"/>
    <w:rsid w:val="00E04B49"/>
    <w:rsid w:val="00E05F1C"/>
    <w:rsid w:val="00E079E4"/>
    <w:rsid w:val="00E10077"/>
    <w:rsid w:val="00E10E60"/>
    <w:rsid w:val="00E16AC7"/>
    <w:rsid w:val="00E21B49"/>
    <w:rsid w:val="00E21D33"/>
    <w:rsid w:val="00E24CB1"/>
    <w:rsid w:val="00E25EA5"/>
    <w:rsid w:val="00E27972"/>
    <w:rsid w:val="00E27D1A"/>
    <w:rsid w:val="00E30249"/>
    <w:rsid w:val="00E3567A"/>
    <w:rsid w:val="00E35E3C"/>
    <w:rsid w:val="00E360A5"/>
    <w:rsid w:val="00E36D44"/>
    <w:rsid w:val="00E443C7"/>
    <w:rsid w:val="00E461B5"/>
    <w:rsid w:val="00E5520A"/>
    <w:rsid w:val="00E56436"/>
    <w:rsid w:val="00E6080B"/>
    <w:rsid w:val="00E61B4F"/>
    <w:rsid w:val="00E6711B"/>
    <w:rsid w:val="00E70DA4"/>
    <w:rsid w:val="00E72966"/>
    <w:rsid w:val="00E73B8D"/>
    <w:rsid w:val="00E757D5"/>
    <w:rsid w:val="00E77247"/>
    <w:rsid w:val="00E81BD4"/>
    <w:rsid w:val="00E837B9"/>
    <w:rsid w:val="00E839D8"/>
    <w:rsid w:val="00E8424E"/>
    <w:rsid w:val="00E84534"/>
    <w:rsid w:val="00E86CEB"/>
    <w:rsid w:val="00E92786"/>
    <w:rsid w:val="00EA03B2"/>
    <w:rsid w:val="00EA2492"/>
    <w:rsid w:val="00EB08E9"/>
    <w:rsid w:val="00EB249C"/>
    <w:rsid w:val="00EB24EB"/>
    <w:rsid w:val="00EB4B21"/>
    <w:rsid w:val="00EC1911"/>
    <w:rsid w:val="00EC315D"/>
    <w:rsid w:val="00EC4073"/>
    <w:rsid w:val="00EC5B9B"/>
    <w:rsid w:val="00EC72B2"/>
    <w:rsid w:val="00ED2479"/>
    <w:rsid w:val="00ED3888"/>
    <w:rsid w:val="00ED4227"/>
    <w:rsid w:val="00ED71F7"/>
    <w:rsid w:val="00EE1938"/>
    <w:rsid w:val="00EE38CC"/>
    <w:rsid w:val="00EF0B1E"/>
    <w:rsid w:val="00EF209F"/>
    <w:rsid w:val="00EF2C3E"/>
    <w:rsid w:val="00EF60BA"/>
    <w:rsid w:val="00EF64A0"/>
    <w:rsid w:val="00EF6BA5"/>
    <w:rsid w:val="00EF7B81"/>
    <w:rsid w:val="00F002B8"/>
    <w:rsid w:val="00F004E7"/>
    <w:rsid w:val="00F00A4F"/>
    <w:rsid w:val="00F013F5"/>
    <w:rsid w:val="00F0140F"/>
    <w:rsid w:val="00F03A53"/>
    <w:rsid w:val="00F0449E"/>
    <w:rsid w:val="00F05E26"/>
    <w:rsid w:val="00F22525"/>
    <w:rsid w:val="00F25716"/>
    <w:rsid w:val="00F26B55"/>
    <w:rsid w:val="00F3123F"/>
    <w:rsid w:val="00F31821"/>
    <w:rsid w:val="00F33358"/>
    <w:rsid w:val="00F3345B"/>
    <w:rsid w:val="00F3648B"/>
    <w:rsid w:val="00F41021"/>
    <w:rsid w:val="00F419BB"/>
    <w:rsid w:val="00F434F5"/>
    <w:rsid w:val="00F52456"/>
    <w:rsid w:val="00F52640"/>
    <w:rsid w:val="00F54471"/>
    <w:rsid w:val="00F600F0"/>
    <w:rsid w:val="00F60CAE"/>
    <w:rsid w:val="00F6159A"/>
    <w:rsid w:val="00F6201C"/>
    <w:rsid w:val="00F63897"/>
    <w:rsid w:val="00F716CB"/>
    <w:rsid w:val="00F74B4C"/>
    <w:rsid w:val="00F75204"/>
    <w:rsid w:val="00F81A0C"/>
    <w:rsid w:val="00F8213E"/>
    <w:rsid w:val="00F9297B"/>
    <w:rsid w:val="00F97894"/>
    <w:rsid w:val="00F97C2A"/>
    <w:rsid w:val="00FA2A94"/>
    <w:rsid w:val="00FA323F"/>
    <w:rsid w:val="00FA4934"/>
    <w:rsid w:val="00FA4DB9"/>
    <w:rsid w:val="00FA5595"/>
    <w:rsid w:val="00FA7064"/>
    <w:rsid w:val="00FB00F7"/>
    <w:rsid w:val="00FB13F5"/>
    <w:rsid w:val="00FB19C9"/>
    <w:rsid w:val="00FB44D0"/>
    <w:rsid w:val="00FB54DC"/>
    <w:rsid w:val="00FB60D3"/>
    <w:rsid w:val="00FB6915"/>
    <w:rsid w:val="00FC1CE0"/>
    <w:rsid w:val="00FC2EAA"/>
    <w:rsid w:val="00FD4B26"/>
    <w:rsid w:val="00FE39ED"/>
    <w:rsid w:val="00FE4AA6"/>
    <w:rsid w:val="00FE5778"/>
    <w:rsid w:val="00FE73BB"/>
    <w:rsid w:val="00FF2593"/>
    <w:rsid w:val="00FF66D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5B4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Paragraphe de liste1,Bulletr List Paragraph,列出段落,列出段落1,Cuadros,Lista general,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Bullet List Car,FooterText Car,numbered Car,List Paragraph1 Car,Paragraphe de liste1 Car,Bulletr List Paragraph Car,列出段落 Car,列出段落1 Car,Cuadros Car,Lista general Car,Cuadrícula media 1 - Énfasis 21 Car"/>
    <w:basedOn w:val="Fuentedeprrafopredeter"/>
    <w:link w:val="Prrafodelista"/>
    <w:uiPriority w:val="34"/>
    <w:locked/>
    <w:rsid w:val="009E10A3"/>
  </w:style>
  <w:style w:type="character" w:styleId="Hipervnculovisitado">
    <w:name w:val="FollowedHyperlink"/>
    <w:basedOn w:val="Fuentedeprrafopredeter"/>
    <w:uiPriority w:val="99"/>
    <w:semiHidden/>
    <w:unhideWhenUsed/>
    <w:rsid w:val="002B780B"/>
    <w:rPr>
      <w:color w:val="954F72" w:themeColor="followedHyperlink"/>
      <w:u w:val="single"/>
    </w:rPr>
  </w:style>
  <w:style w:type="paragraph" w:customStyle="1" w:styleId="Normal1">
    <w:name w:val="Normal1"/>
    <w:rsid w:val="00EF209F"/>
    <w:pPr>
      <w:spacing w:after="0" w:line="276" w:lineRule="auto"/>
    </w:pPr>
    <w:rPr>
      <w:rFonts w:ascii="Arial" w:eastAsia="Arial" w:hAnsi="Arial" w:cs="Arial"/>
      <w:color w:val="000000"/>
      <w:szCs w:val="24"/>
      <w:lang w:eastAsia="es-ES"/>
    </w:rPr>
  </w:style>
  <w:style w:type="paragraph" w:customStyle="1" w:styleId="Default">
    <w:name w:val="Default"/>
    <w:rsid w:val="0012566F"/>
    <w:pPr>
      <w:autoSpaceDE w:val="0"/>
      <w:autoSpaceDN w:val="0"/>
      <w:adjustRightInd w:val="0"/>
      <w:spacing w:after="0" w:line="240" w:lineRule="auto"/>
    </w:pPr>
    <w:rPr>
      <w:rFonts w:ascii="Source Sans Variable" w:hAnsi="Source Sans Variable" w:cs="Source Sans Variable"/>
      <w:color w:val="000000"/>
      <w:sz w:val="24"/>
      <w:szCs w:val="24"/>
    </w:rPr>
  </w:style>
  <w:style w:type="paragraph" w:styleId="HTMLconformatoprevio">
    <w:name w:val="HTML Preformatted"/>
    <w:basedOn w:val="Normal"/>
    <w:link w:val="HTMLconformatoprevioCar"/>
    <w:uiPriority w:val="99"/>
    <w:semiHidden/>
    <w:unhideWhenUsed/>
    <w:rsid w:val="009D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D0F15"/>
    <w:rPr>
      <w:rFonts w:ascii="Courier New" w:eastAsia="Times New Roman" w:hAnsi="Courier New" w:cs="Courier New"/>
      <w:sz w:val="20"/>
      <w:szCs w:val="20"/>
      <w:lang w:eastAsia="es-MX"/>
    </w:rPr>
  </w:style>
  <w:style w:type="paragraph" w:styleId="Sinespaciado">
    <w:name w:val="No Spacing"/>
    <w:uiPriority w:val="1"/>
    <w:qFormat/>
    <w:rsid w:val="009D0F15"/>
    <w:pPr>
      <w:spacing w:after="0" w:line="240" w:lineRule="auto"/>
    </w:pPr>
  </w:style>
  <w:style w:type="paragraph" w:styleId="Textonotaalfinal">
    <w:name w:val="endnote text"/>
    <w:basedOn w:val="Normal"/>
    <w:link w:val="TextonotaalfinalCar"/>
    <w:uiPriority w:val="99"/>
    <w:semiHidden/>
    <w:unhideWhenUsed/>
    <w:rsid w:val="002178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78DE"/>
    <w:rPr>
      <w:sz w:val="20"/>
      <w:szCs w:val="20"/>
    </w:rPr>
  </w:style>
  <w:style w:type="character" w:styleId="Refdenotaalfinal">
    <w:name w:val="endnote reference"/>
    <w:basedOn w:val="Fuentedeprrafopredeter"/>
    <w:uiPriority w:val="99"/>
    <w:semiHidden/>
    <w:unhideWhenUsed/>
    <w:rsid w:val="002178DE"/>
    <w:rPr>
      <w:vertAlign w:val="superscript"/>
    </w:rPr>
  </w:style>
  <w:style w:type="character" w:styleId="Mencinsinresolver">
    <w:name w:val="Unresolved Mention"/>
    <w:basedOn w:val="Fuentedeprrafopredeter"/>
    <w:uiPriority w:val="99"/>
    <w:semiHidden/>
    <w:unhideWhenUsed/>
    <w:rsid w:val="00217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88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831357">
      <w:bodyDiv w:val="1"/>
      <w:marLeft w:val="0"/>
      <w:marRight w:val="0"/>
      <w:marTop w:val="0"/>
      <w:marBottom w:val="0"/>
      <w:divBdr>
        <w:top w:val="none" w:sz="0" w:space="0" w:color="auto"/>
        <w:left w:val="none" w:sz="0" w:space="0" w:color="auto"/>
        <w:bottom w:val="none" w:sz="0" w:space="0" w:color="auto"/>
        <w:right w:val="none" w:sz="0" w:space="0" w:color="auto"/>
      </w:divBdr>
    </w:div>
    <w:div w:id="670986259">
      <w:bodyDiv w:val="1"/>
      <w:marLeft w:val="0"/>
      <w:marRight w:val="0"/>
      <w:marTop w:val="0"/>
      <w:marBottom w:val="0"/>
      <w:divBdr>
        <w:top w:val="none" w:sz="0" w:space="0" w:color="auto"/>
        <w:left w:val="none" w:sz="0" w:space="0" w:color="auto"/>
        <w:bottom w:val="none" w:sz="0" w:space="0" w:color="auto"/>
        <w:right w:val="none" w:sz="0" w:space="0" w:color="auto"/>
      </w:divBdr>
    </w:div>
    <w:div w:id="991299383">
      <w:bodyDiv w:val="1"/>
      <w:marLeft w:val="0"/>
      <w:marRight w:val="0"/>
      <w:marTop w:val="0"/>
      <w:marBottom w:val="0"/>
      <w:divBdr>
        <w:top w:val="none" w:sz="0" w:space="0" w:color="auto"/>
        <w:left w:val="none" w:sz="0" w:space="0" w:color="auto"/>
        <w:bottom w:val="none" w:sz="0" w:space="0" w:color="auto"/>
        <w:right w:val="none" w:sz="0" w:space="0" w:color="auto"/>
      </w:divBdr>
    </w:div>
    <w:div w:id="1324167121">
      <w:bodyDiv w:val="1"/>
      <w:marLeft w:val="0"/>
      <w:marRight w:val="0"/>
      <w:marTop w:val="0"/>
      <w:marBottom w:val="0"/>
      <w:divBdr>
        <w:top w:val="none" w:sz="0" w:space="0" w:color="auto"/>
        <w:left w:val="none" w:sz="0" w:space="0" w:color="auto"/>
        <w:bottom w:val="none" w:sz="0" w:space="0" w:color="auto"/>
        <w:right w:val="none" w:sz="0" w:space="0" w:color="auto"/>
      </w:divBdr>
    </w:div>
    <w:div w:id="1385133032">
      <w:bodyDiv w:val="1"/>
      <w:marLeft w:val="0"/>
      <w:marRight w:val="0"/>
      <w:marTop w:val="0"/>
      <w:marBottom w:val="0"/>
      <w:divBdr>
        <w:top w:val="none" w:sz="0" w:space="0" w:color="auto"/>
        <w:left w:val="none" w:sz="0" w:space="0" w:color="auto"/>
        <w:bottom w:val="none" w:sz="0" w:space="0" w:color="auto"/>
        <w:right w:val="none" w:sz="0" w:space="0" w:color="auto"/>
      </w:divBdr>
    </w:div>
    <w:div w:id="1782800735">
      <w:bodyDiv w:val="1"/>
      <w:marLeft w:val="0"/>
      <w:marRight w:val="0"/>
      <w:marTop w:val="0"/>
      <w:marBottom w:val="0"/>
      <w:divBdr>
        <w:top w:val="none" w:sz="0" w:space="0" w:color="auto"/>
        <w:left w:val="none" w:sz="0" w:space="0" w:color="auto"/>
        <w:bottom w:val="none" w:sz="0" w:space="0" w:color="auto"/>
        <w:right w:val="none" w:sz="0" w:space="0" w:color="auto"/>
      </w:divBdr>
    </w:div>
    <w:div w:id="1897545313">
      <w:bodyDiv w:val="1"/>
      <w:marLeft w:val="0"/>
      <w:marRight w:val="0"/>
      <w:marTop w:val="0"/>
      <w:marBottom w:val="0"/>
      <w:divBdr>
        <w:top w:val="none" w:sz="0" w:space="0" w:color="auto"/>
        <w:left w:val="none" w:sz="0" w:space="0" w:color="auto"/>
        <w:bottom w:val="none" w:sz="0" w:space="0" w:color="auto"/>
        <w:right w:val="none" w:sz="0" w:space="0" w:color="auto"/>
      </w:divBdr>
    </w:div>
    <w:div w:id="2052463119">
      <w:bodyDiv w:val="1"/>
      <w:marLeft w:val="0"/>
      <w:marRight w:val="0"/>
      <w:marTop w:val="0"/>
      <w:marBottom w:val="0"/>
      <w:divBdr>
        <w:top w:val="none" w:sz="0" w:space="0" w:color="auto"/>
        <w:left w:val="none" w:sz="0" w:space="0" w:color="auto"/>
        <w:bottom w:val="none" w:sz="0" w:space="0" w:color="auto"/>
        <w:right w:val="none" w:sz="0" w:space="0" w:color="auto"/>
      </w:divBdr>
      <w:divsChild>
        <w:div w:id="1457065411">
          <w:marLeft w:val="0"/>
          <w:marRight w:val="0"/>
          <w:marTop w:val="0"/>
          <w:marBottom w:val="0"/>
          <w:divBdr>
            <w:top w:val="none" w:sz="0" w:space="0" w:color="auto"/>
            <w:left w:val="none" w:sz="0" w:space="0" w:color="auto"/>
            <w:bottom w:val="none" w:sz="0" w:space="0" w:color="auto"/>
            <w:right w:val="none" w:sz="0" w:space="0" w:color="auto"/>
          </w:divBdr>
          <w:divsChild>
            <w:div w:id="1115564107">
              <w:marLeft w:val="0"/>
              <w:marRight w:val="0"/>
              <w:marTop w:val="0"/>
              <w:marBottom w:val="0"/>
              <w:divBdr>
                <w:top w:val="none" w:sz="0" w:space="0" w:color="auto"/>
                <w:left w:val="none" w:sz="0" w:space="0" w:color="auto"/>
                <w:bottom w:val="none" w:sz="0" w:space="0" w:color="auto"/>
                <w:right w:val="none" w:sz="0" w:space="0" w:color="auto"/>
              </w:divBdr>
              <w:divsChild>
                <w:div w:id="5671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tsi.org/deliver/etsi_ts/102200_102299/10225005/02.05.01_60/ts_10225005v020501p.pdf" TargetMode="External"/><Relationship Id="rId17" Type="http://schemas.openxmlformats.org/officeDocument/2006/relationships/hyperlink" Target="https://www.ift.org.mx/sites/default/files/contenidogeneral/estadisticas/PronosticosTelecom2021.pdf" TargetMode="External"/><Relationship Id="rId2" Type="http://schemas.openxmlformats.org/officeDocument/2006/relationships/customXml" Target="../customXml/item2.xml"/><Relationship Id="rId16" Type="http://schemas.openxmlformats.org/officeDocument/2006/relationships/hyperlink" Target="https://www.ift.org.mx/sites/default/files/contenidogeneral/estadisticas/ite4t2020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ft.org.mx/sites/default/files/contenidogeneral/estadisticas/anuarioestadistico2021.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sma.com/latinamerica/resources/the-mobile-economy-latin-america-20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it.ift.org.mx/BitWebApp/" TargetMode="External"/><Relationship Id="rId1" Type="http://schemas.openxmlformats.org/officeDocument/2006/relationships/hyperlink" Target="https://www.ift.org.mx/politica-regulatoria/estud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08F0B3558D644FBC9BE91D0459B568EB"/>
        <w:category>
          <w:name w:val="General"/>
          <w:gallery w:val="placeholder"/>
        </w:category>
        <w:types>
          <w:type w:val="bbPlcHdr"/>
        </w:types>
        <w:behaviors>
          <w:behavior w:val="content"/>
        </w:behaviors>
        <w:guid w:val="{F24BBA52-1887-4DE1-84D5-1EA754245FA7}"/>
      </w:docPartPr>
      <w:docPartBody>
        <w:p w:rsidR="00FA20D4" w:rsidRDefault="001A5EF7" w:rsidP="001A5EF7">
          <w:pPr>
            <w:pStyle w:val="08F0B3558D644FBC9BE91D0459B568EB"/>
          </w:pPr>
          <w:r w:rsidRPr="0063029E">
            <w:rPr>
              <w:rStyle w:val="Textodelmarcadordeposicin"/>
              <w:sz w:val="16"/>
              <w:szCs w:val="20"/>
            </w:rPr>
            <w:t>Elija un elemento.</w:t>
          </w:r>
        </w:p>
      </w:docPartBody>
    </w:docPart>
    <w:docPart>
      <w:docPartPr>
        <w:name w:val="E2F124A7D44049F3B64B4CCF3ED29CA4"/>
        <w:category>
          <w:name w:val="General"/>
          <w:gallery w:val="placeholder"/>
        </w:category>
        <w:types>
          <w:type w:val="bbPlcHdr"/>
        </w:types>
        <w:behaviors>
          <w:behavior w:val="content"/>
        </w:behaviors>
        <w:guid w:val="{76C52020-0451-440E-B5C0-1335DF1441A7}"/>
      </w:docPartPr>
      <w:docPartBody>
        <w:p w:rsidR="00571EE4" w:rsidRDefault="00563B58" w:rsidP="00563B58">
          <w:pPr>
            <w:pStyle w:val="E2F124A7D44049F3B64B4CCF3ED29CA4"/>
          </w:pPr>
          <w:r w:rsidRPr="00E84534">
            <w:rPr>
              <w:rStyle w:val="Textodelmarcadordeposicin"/>
              <w:sz w:val="20"/>
              <w:szCs w:val="20"/>
            </w:rPr>
            <w:t>Elija un elemento.</w:t>
          </w:r>
        </w:p>
      </w:docPartBody>
    </w:docPart>
    <w:docPart>
      <w:docPartPr>
        <w:name w:val="77B4CD936358404983BB61A374B3F74F"/>
        <w:category>
          <w:name w:val="General"/>
          <w:gallery w:val="placeholder"/>
        </w:category>
        <w:types>
          <w:type w:val="bbPlcHdr"/>
        </w:types>
        <w:behaviors>
          <w:behavior w:val="content"/>
        </w:behaviors>
        <w:guid w:val="{188576BA-3008-4A6E-8C92-BAC2098EA8D1}"/>
      </w:docPartPr>
      <w:docPartBody>
        <w:p w:rsidR="00571EE4" w:rsidRDefault="00563B58" w:rsidP="00563B58">
          <w:pPr>
            <w:pStyle w:val="77B4CD936358404983BB61A374B3F74F"/>
          </w:pPr>
          <w:r w:rsidRPr="00B35CA0">
            <w:rPr>
              <w:rStyle w:val="Textodelmarcadordeposicin"/>
              <w:sz w:val="20"/>
              <w:szCs w:val="20"/>
            </w:rPr>
            <w:t>Elija un elemento.</w:t>
          </w:r>
        </w:p>
      </w:docPartBody>
    </w:docPart>
    <w:docPart>
      <w:docPartPr>
        <w:name w:val="2609157F9132401491211C262A6E0324"/>
        <w:category>
          <w:name w:val="General"/>
          <w:gallery w:val="placeholder"/>
        </w:category>
        <w:types>
          <w:type w:val="bbPlcHdr"/>
        </w:types>
        <w:behaviors>
          <w:behavior w:val="content"/>
        </w:behaviors>
        <w:guid w:val="{28E812D7-41FB-4B0D-81F0-211AC6167C5E}"/>
      </w:docPartPr>
      <w:docPartBody>
        <w:p w:rsidR="008A3286" w:rsidRDefault="00BE796C">
          <w:pPr>
            <w:pStyle w:val="2609157F9132401491211C262A6E0324"/>
          </w:pPr>
          <w:r w:rsidRPr="00F23B5B">
            <w:rPr>
              <w:rStyle w:val="Textodelmarcadordeposicin"/>
            </w:rPr>
            <w:t>Elija un elemento.</w:t>
          </w:r>
        </w:p>
      </w:docPartBody>
    </w:docPart>
    <w:docPart>
      <w:docPartPr>
        <w:name w:val="AA891F48B58C4805B1880423E0D891A8"/>
        <w:category>
          <w:name w:val="General"/>
          <w:gallery w:val="placeholder"/>
        </w:category>
        <w:types>
          <w:type w:val="bbPlcHdr"/>
        </w:types>
        <w:behaviors>
          <w:behavior w:val="content"/>
        </w:behaviors>
        <w:guid w:val="{EBB9C9C4-688D-458B-B0EB-074F56D82DA2}"/>
      </w:docPartPr>
      <w:docPartBody>
        <w:p w:rsidR="008D72BC" w:rsidRDefault="000F7FAD" w:rsidP="000F7FAD">
          <w:pPr>
            <w:pStyle w:val="AA891F48B58C4805B1880423E0D891A8"/>
          </w:pPr>
          <w:r w:rsidRPr="00B76C9A">
            <w:rPr>
              <w:rStyle w:val="Textodelmarcadordeposicin"/>
              <w:sz w:val="20"/>
            </w:rPr>
            <w:t>Elija un elemento.</w:t>
          </w:r>
        </w:p>
      </w:docPartBody>
    </w:docPart>
    <w:docPart>
      <w:docPartPr>
        <w:name w:val="89A9F4E0D63E46F1BF540BE7BC7A2650"/>
        <w:category>
          <w:name w:val="General"/>
          <w:gallery w:val="placeholder"/>
        </w:category>
        <w:types>
          <w:type w:val="bbPlcHdr"/>
        </w:types>
        <w:behaviors>
          <w:behavior w:val="content"/>
        </w:behaviors>
        <w:guid w:val="{34B9F596-0204-432D-A71F-FFF60ECFF416}"/>
      </w:docPartPr>
      <w:docPartBody>
        <w:p w:rsidR="008D72BC" w:rsidRDefault="000F7FAD" w:rsidP="000F7FAD">
          <w:pPr>
            <w:pStyle w:val="89A9F4E0D63E46F1BF540BE7BC7A2650"/>
          </w:pPr>
          <w:r w:rsidRPr="00B76C9A">
            <w:rPr>
              <w:rStyle w:val="Textodelmarcadordeposicin"/>
              <w:sz w:val="20"/>
            </w:rPr>
            <w:t>Elija un elemento.</w:t>
          </w:r>
        </w:p>
      </w:docPartBody>
    </w:docPart>
    <w:docPart>
      <w:docPartPr>
        <w:name w:val="93C921EC50AB463491F16F1BE6FA478B"/>
        <w:category>
          <w:name w:val="General"/>
          <w:gallery w:val="placeholder"/>
        </w:category>
        <w:types>
          <w:type w:val="bbPlcHdr"/>
        </w:types>
        <w:behaviors>
          <w:behavior w:val="content"/>
        </w:behaviors>
        <w:guid w:val="{EE38074B-8BA7-4144-BC60-F407B5AEFE4A}"/>
      </w:docPartPr>
      <w:docPartBody>
        <w:p w:rsidR="008D72BC" w:rsidRDefault="000F7FAD" w:rsidP="000F7FAD">
          <w:pPr>
            <w:pStyle w:val="93C921EC50AB463491F16F1BE6FA478B"/>
          </w:pPr>
          <w:r w:rsidRPr="00E84534">
            <w:rPr>
              <w:rStyle w:val="Textodelmarcadordeposicin"/>
              <w:sz w:val="20"/>
              <w:szCs w:val="20"/>
            </w:rPr>
            <w:t>Elija un elemento.</w:t>
          </w:r>
        </w:p>
      </w:docPartBody>
    </w:docPart>
    <w:docPart>
      <w:docPartPr>
        <w:name w:val="44734450936B49ECAE75919D2CF10772"/>
        <w:category>
          <w:name w:val="General"/>
          <w:gallery w:val="placeholder"/>
        </w:category>
        <w:types>
          <w:type w:val="bbPlcHdr"/>
        </w:types>
        <w:behaviors>
          <w:behavior w:val="content"/>
        </w:behaviors>
        <w:guid w:val="{B9B1D6FF-2C1D-4D22-84F3-4EC001D6DD05}"/>
      </w:docPartPr>
      <w:docPartBody>
        <w:p w:rsidR="008D72BC" w:rsidRDefault="000F7FAD" w:rsidP="000F7FAD">
          <w:pPr>
            <w:pStyle w:val="44734450936B49ECAE75919D2CF10772"/>
          </w:pPr>
          <w:r w:rsidRPr="00B35CA0">
            <w:rPr>
              <w:rStyle w:val="Textodelmarcadordeposicin"/>
              <w:sz w:val="20"/>
              <w:szCs w:val="20"/>
            </w:rPr>
            <w:t>Elija un elemento.</w:t>
          </w:r>
        </w:p>
      </w:docPartBody>
    </w:docPart>
    <w:docPart>
      <w:docPartPr>
        <w:name w:val="817455EDD1D440EA8F75281536DBD853"/>
        <w:category>
          <w:name w:val="General"/>
          <w:gallery w:val="placeholder"/>
        </w:category>
        <w:types>
          <w:type w:val="bbPlcHdr"/>
        </w:types>
        <w:behaviors>
          <w:behavior w:val="content"/>
        </w:behaviors>
        <w:guid w:val="{860EFCC1-42B8-41DC-8241-F2D988158CE1}"/>
      </w:docPartPr>
      <w:docPartBody>
        <w:p w:rsidR="008D72BC" w:rsidRDefault="000F7FAD" w:rsidP="000F7FAD">
          <w:pPr>
            <w:pStyle w:val="817455EDD1D440EA8F75281536DBD853"/>
          </w:pPr>
          <w:r w:rsidRPr="00B35CA0">
            <w:rPr>
              <w:rStyle w:val="Textodelmarcadordeposicin"/>
              <w:sz w:val="20"/>
              <w:szCs w:val="20"/>
            </w:rPr>
            <w:t>Elija un elemento.</w:t>
          </w:r>
        </w:p>
      </w:docPartBody>
    </w:docPart>
    <w:docPart>
      <w:docPartPr>
        <w:name w:val="9F9D00A25532418E877858E12062CA77"/>
        <w:category>
          <w:name w:val="General"/>
          <w:gallery w:val="placeholder"/>
        </w:category>
        <w:types>
          <w:type w:val="bbPlcHdr"/>
        </w:types>
        <w:behaviors>
          <w:behavior w:val="content"/>
        </w:behaviors>
        <w:guid w:val="{5610934E-20C5-401B-8F67-6A4294D31402}"/>
      </w:docPartPr>
      <w:docPartBody>
        <w:p w:rsidR="00BA5130" w:rsidRDefault="008D72BC" w:rsidP="008D72BC">
          <w:pPr>
            <w:pStyle w:val="9F9D00A25532418E877858E12062CA77"/>
          </w:pPr>
          <w:r w:rsidRPr="00B91D01">
            <w:rPr>
              <w:rStyle w:val="Textodelmarcadordeposicin"/>
              <w:sz w:val="20"/>
              <w:szCs w:val="20"/>
            </w:rPr>
            <w:t>Elija un elemento.</w:t>
          </w:r>
        </w:p>
      </w:docPartBody>
    </w:docPart>
    <w:docPart>
      <w:docPartPr>
        <w:name w:val="EC67535165194644BD567A79DC8FFB28"/>
        <w:category>
          <w:name w:val="General"/>
          <w:gallery w:val="placeholder"/>
        </w:category>
        <w:types>
          <w:type w:val="bbPlcHdr"/>
        </w:types>
        <w:behaviors>
          <w:behavior w:val="content"/>
        </w:behaviors>
        <w:guid w:val="{32242832-3DDE-48F5-BFD5-1F503346468F}"/>
      </w:docPartPr>
      <w:docPartBody>
        <w:p w:rsidR="00A97A23" w:rsidRDefault="00DF0C7B" w:rsidP="00DF0C7B">
          <w:pPr>
            <w:pStyle w:val="EC67535165194644BD567A79DC8FFB28"/>
          </w:pPr>
          <w:r w:rsidRPr="00E84534">
            <w:rPr>
              <w:rStyle w:val="Textodelmarcadordeposicin"/>
              <w:sz w:val="20"/>
              <w:szCs w:val="20"/>
            </w:rPr>
            <w:t>Elija un elemento.</w:t>
          </w:r>
        </w:p>
      </w:docPartBody>
    </w:docPart>
    <w:docPart>
      <w:docPartPr>
        <w:name w:val="F17A117D0862453E981AFCD4087CC621"/>
        <w:category>
          <w:name w:val="General"/>
          <w:gallery w:val="placeholder"/>
        </w:category>
        <w:types>
          <w:type w:val="bbPlcHdr"/>
        </w:types>
        <w:behaviors>
          <w:behavior w:val="content"/>
        </w:behaviors>
        <w:guid w:val="{16DEF805-A62F-462C-BECD-B8CDF7BDC598}"/>
      </w:docPartPr>
      <w:docPartBody>
        <w:p w:rsidR="00A97A23" w:rsidRDefault="00DF0C7B" w:rsidP="00DF0C7B">
          <w:pPr>
            <w:pStyle w:val="F17A117D0862453E981AFCD4087CC621"/>
          </w:pPr>
          <w:r w:rsidRPr="00B35CA0">
            <w:rPr>
              <w:rStyle w:val="Textodelmarcadordeposicin"/>
              <w:sz w:val="20"/>
              <w:szCs w:val="20"/>
            </w:rPr>
            <w:t>Elija un elemento.</w:t>
          </w:r>
        </w:p>
      </w:docPartBody>
    </w:docPart>
    <w:docPart>
      <w:docPartPr>
        <w:name w:val="60EA09E61DF74B1EB409C1E8B82C6C9F"/>
        <w:category>
          <w:name w:val="General"/>
          <w:gallery w:val="placeholder"/>
        </w:category>
        <w:types>
          <w:type w:val="bbPlcHdr"/>
        </w:types>
        <w:behaviors>
          <w:behavior w:val="content"/>
        </w:behaviors>
        <w:guid w:val="{80E17E56-E2EC-4A0E-80B0-FA3BEAA7836F}"/>
      </w:docPartPr>
      <w:docPartBody>
        <w:p w:rsidR="00A97A23" w:rsidRDefault="00DF0C7B" w:rsidP="00DF0C7B">
          <w:pPr>
            <w:pStyle w:val="60EA09E61DF74B1EB409C1E8B82C6C9F"/>
          </w:pPr>
          <w:r w:rsidRPr="00B35CA0">
            <w:rPr>
              <w:rStyle w:val="Textodelmarcadordeposicin"/>
              <w:sz w:val="20"/>
              <w:szCs w:val="20"/>
            </w:rPr>
            <w:t>Elija un elemento.</w:t>
          </w:r>
        </w:p>
      </w:docPartBody>
    </w:docPart>
    <w:docPart>
      <w:docPartPr>
        <w:name w:val="FB462569C8A542B0A25A0F6387353997"/>
        <w:category>
          <w:name w:val="General"/>
          <w:gallery w:val="placeholder"/>
        </w:category>
        <w:types>
          <w:type w:val="bbPlcHdr"/>
        </w:types>
        <w:behaviors>
          <w:behavior w:val="content"/>
        </w:behaviors>
        <w:guid w:val="{F46F8826-7591-4654-9D49-603F42A65CC9}"/>
      </w:docPartPr>
      <w:docPartBody>
        <w:p w:rsidR="0062109E" w:rsidRDefault="004F68D6" w:rsidP="004F68D6">
          <w:pPr>
            <w:pStyle w:val="FB462569C8A542B0A25A0F6387353997"/>
          </w:pPr>
          <w:r w:rsidRPr="00B76C9A">
            <w:rPr>
              <w:rStyle w:val="Textodelmarcadordeposicin"/>
              <w:sz w:val="20"/>
            </w:rPr>
            <w:t>Elija un elemento.</w:t>
          </w:r>
        </w:p>
      </w:docPartBody>
    </w:docPart>
    <w:docPart>
      <w:docPartPr>
        <w:name w:val="2D410375FC4C47D58699F7C99E213C56"/>
        <w:category>
          <w:name w:val="General"/>
          <w:gallery w:val="placeholder"/>
        </w:category>
        <w:types>
          <w:type w:val="bbPlcHdr"/>
        </w:types>
        <w:behaviors>
          <w:behavior w:val="content"/>
        </w:behaviors>
        <w:guid w:val="{55082A56-87C7-418D-877C-AF2AB11C7ADB}"/>
      </w:docPartPr>
      <w:docPartBody>
        <w:p w:rsidR="00000000" w:rsidRDefault="0062109E" w:rsidP="0062109E">
          <w:pPr>
            <w:pStyle w:val="2D410375FC4C47D58699F7C99E213C56"/>
          </w:pPr>
          <w:r w:rsidRPr="00B76C9A">
            <w:rPr>
              <w:rStyle w:val="Textodelmarcadordeposicin"/>
              <w:sz w:val="20"/>
              <w:szCs w:val="20"/>
            </w:rPr>
            <w:t>Elija un elemento.</w:t>
          </w:r>
        </w:p>
      </w:docPartBody>
    </w:docPart>
    <w:docPart>
      <w:docPartPr>
        <w:name w:val="B9C99084238E48A1BED746C7514ED76F"/>
        <w:category>
          <w:name w:val="General"/>
          <w:gallery w:val="placeholder"/>
        </w:category>
        <w:types>
          <w:type w:val="bbPlcHdr"/>
        </w:types>
        <w:behaviors>
          <w:behavior w:val="content"/>
        </w:behaviors>
        <w:guid w:val="{00E1F3FB-ABCD-4E9D-B963-D91D0AD499A4}"/>
      </w:docPartPr>
      <w:docPartBody>
        <w:p w:rsidR="00000000" w:rsidRDefault="0062109E" w:rsidP="0062109E">
          <w:pPr>
            <w:pStyle w:val="B9C99084238E48A1BED746C7514ED76F"/>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C0862"/>
    <w:rsid w:val="000D737F"/>
    <w:rsid w:val="000E2B5F"/>
    <w:rsid w:val="000F7FAD"/>
    <w:rsid w:val="00164C97"/>
    <w:rsid w:val="0019555E"/>
    <w:rsid w:val="001A31F6"/>
    <w:rsid w:val="001A5EF7"/>
    <w:rsid w:val="001C1417"/>
    <w:rsid w:val="001C7584"/>
    <w:rsid w:val="001E7385"/>
    <w:rsid w:val="002023A1"/>
    <w:rsid w:val="002043B9"/>
    <w:rsid w:val="00224029"/>
    <w:rsid w:val="00264757"/>
    <w:rsid w:val="00276686"/>
    <w:rsid w:val="00293177"/>
    <w:rsid w:val="002A1D16"/>
    <w:rsid w:val="002B64F1"/>
    <w:rsid w:val="002C3043"/>
    <w:rsid w:val="002C70E0"/>
    <w:rsid w:val="002D3EC8"/>
    <w:rsid w:val="002E6DC9"/>
    <w:rsid w:val="002F7729"/>
    <w:rsid w:val="003116F9"/>
    <w:rsid w:val="0036092E"/>
    <w:rsid w:val="0037209C"/>
    <w:rsid w:val="00386F84"/>
    <w:rsid w:val="00387BED"/>
    <w:rsid w:val="00390336"/>
    <w:rsid w:val="0039799F"/>
    <w:rsid w:val="003C4117"/>
    <w:rsid w:val="003E5BA0"/>
    <w:rsid w:val="00402EE8"/>
    <w:rsid w:val="00424618"/>
    <w:rsid w:val="00430A94"/>
    <w:rsid w:val="00456CCA"/>
    <w:rsid w:val="004807AA"/>
    <w:rsid w:val="004973C4"/>
    <w:rsid w:val="004B6772"/>
    <w:rsid w:val="004D7B84"/>
    <w:rsid w:val="004F1F81"/>
    <w:rsid w:val="004F3F5A"/>
    <w:rsid w:val="004F68D6"/>
    <w:rsid w:val="00502052"/>
    <w:rsid w:val="0051267B"/>
    <w:rsid w:val="00563B58"/>
    <w:rsid w:val="00571EE4"/>
    <w:rsid w:val="005908B3"/>
    <w:rsid w:val="005B1FB0"/>
    <w:rsid w:val="005B43F8"/>
    <w:rsid w:val="005C0ED9"/>
    <w:rsid w:val="005F179D"/>
    <w:rsid w:val="0061327C"/>
    <w:rsid w:val="00616AFD"/>
    <w:rsid w:val="0062109E"/>
    <w:rsid w:val="006430A9"/>
    <w:rsid w:val="0065451C"/>
    <w:rsid w:val="00661486"/>
    <w:rsid w:val="00664216"/>
    <w:rsid w:val="006831BB"/>
    <w:rsid w:val="006C5CB7"/>
    <w:rsid w:val="006D365C"/>
    <w:rsid w:val="006F2A89"/>
    <w:rsid w:val="00704DDD"/>
    <w:rsid w:val="00747B64"/>
    <w:rsid w:val="0078204A"/>
    <w:rsid w:val="0079275F"/>
    <w:rsid w:val="007B21D2"/>
    <w:rsid w:val="007C6D13"/>
    <w:rsid w:val="00845DE9"/>
    <w:rsid w:val="00856CBC"/>
    <w:rsid w:val="008570E9"/>
    <w:rsid w:val="008705DA"/>
    <w:rsid w:val="0088582F"/>
    <w:rsid w:val="008A0143"/>
    <w:rsid w:val="008A1296"/>
    <w:rsid w:val="008A3286"/>
    <w:rsid w:val="008D72BC"/>
    <w:rsid w:val="008E6F19"/>
    <w:rsid w:val="00924F24"/>
    <w:rsid w:val="00961943"/>
    <w:rsid w:val="009720FA"/>
    <w:rsid w:val="0099225F"/>
    <w:rsid w:val="009A1088"/>
    <w:rsid w:val="009A4950"/>
    <w:rsid w:val="009B3D6D"/>
    <w:rsid w:val="009E2DFF"/>
    <w:rsid w:val="009F14C8"/>
    <w:rsid w:val="00A033BC"/>
    <w:rsid w:val="00A97A23"/>
    <w:rsid w:val="00AB65DF"/>
    <w:rsid w:val="00AE0DF9"/>
    <w:rsid w:val="00AE666F"/>
    <w:rsid w:val="00B13BF1"/>
    <w:rsid w:val="00B26BC0"/>
    <w:rsid w:val="00B4618D"/>
    <w:rsid w:val="00B555C7"/>
    <w:rsid w:val="00B65410"/>
    <w:rsid w:val="00B90A3C"/>
    <w:rsid w:val="00B978AB"/>
    <w:rsid w:val="00BA5130"/>
    <w:rsid w:val="00BB74CD"/>
    <w:rsid w:val="00BE1793"/>
    <w:rsid w:val="00BE796C"/>
    <w:rsid w:val="00C05A95"/>
    <w:rsid w:val="00C446FE"/>
    <w:rsid w:val="00C60CC3"/>
    <w:rsid w:val="00C90276"/>
    <w:rsid w:val="00C92176"/>
    <w:rsid w:val="00C9611F"/>
    <w:rsid w:val="00CB3DE4"/>
    <w:rsid w:val="00CB7BB6"/>
    <w:rsid w:val="00CC45B8"/>
    <w:rsid w:val="00CD30ED"/>
    <w:rsid w:val="00CE79B6"/>
    <w:rsid w:val="00D24404"/>
    <w:rsid w:val="00D35CA7"/>
    <w:rsid w:val="00D55A9F"/>
    <w:rsid w:val="00D5643F"/>
    <w:rsid w:val="00D727CE"/>
    <w:rsid w:val="00DD05CA"/>
    <w:rsid w:val="00DF0C7B"/>
    <w:rsid w:val="00E355EB"/>
    <w:rsid w:val="00E80742"/>
    <w:rsid w:val="00E95F33"/>
    <w:rsid w:val="00EB20CF"/>
    <w:rsid w:val="00EC3B63"/>
    <w:rsid w:val="00EE5AE2"/>
    <w:rsid w:val="00F124E8"/>
    <w:rsid w:val="00F4060E"/>
    <w:rsid w:val="00F655E6"/>
    <w:rsid w:val="00F76F86"/>
    <w:rsid w:val="00FA20D4"/>
    <w:rsid w:val="00FC00C8"/>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109E"/>
    <w:rPr>
      <w:color w:val="808080"/>
    </w:rPr>
  </w:style>
  <w:style w:type="paragraph" w:customStyle="1" w:styleId="AA891F48B58C4805B1880423E0D891A8">
    <w:name w:val="AA891F48B58C4805B1880423E0D891A8"/>
    <w:rsid w:val="000F7FAD"/>
  </w:style>
  <w:style w:type="paragraph" w:customStyle="1" w:styleId="89A9F4E0D63E46F1BF540BE7BC7A2650">
    <w:name w:val="89A9F4E0D63E46F1BF540BE7BC7A2650"/>
    <w:rsid w:val="000F7FAD"/>
  </w:style>
  <w:style w:type="paragraph" w:customStyle="1" w:styleId="9F9D00A25532418E877858E12062CA77">
    <w:name w:val="9F9D00A25532418E877858E12062CA77"/>
    <w:rsid w:val="008D72BC"/>
  </w:style>
  <w:style w:type="paragraph" w:customStyle="1" w:styleId="93C921EC50AB463491F16F1BE6FA478B">
    <w:name w:val="93C921EC50AB463491F16F1BE6FA478B"/>
    <w:rsid w:val="000F7FAD"/>
  </w:style>
  <w:style w:type="paragraph" w:customStyle="1" w:styleId="44734450936B49ECAE75919D2CF10772">
    <w:name w:val="44734450936B49ECAE75919D2CF10772"/>
    <w:rsid w:val="000F7FAD"/>
  </w:style>
  <w:style w:type="paragraph" w:customStyle="1" w:styleId="817455EDD1D440EA8F75281536DBD853">
    <w:name w:val="817455EDD1D440EA8F75281536DBD853"/>
    <w:rsid w:val="000F7FAD"/>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EC67535165194644BD567A79DC8FFB28">
    <w:name w:val="EC67535165194644BD567A79DC8FFB28"/>
    <w:rsid w:val="00DF0C7B"/>
  </w:style>
  <w:style w:type="paragraph" w:customStyle="1" w:styleId="08F0B3558D644FBC9BE91D0459B568EB">
    <w:name w:val="08F0B3558D644FBC9BE91D0459B568EB"/>
    <w:rsid w:val="001A5EF7"/>
  </w:style>
  <w:style w:type="paragraph" w:customStyle="1" w:styleId="E2F124A7D44049F3B64B4CCF3ED29CA4">
    <w:name w:val="E2F124A7D44049F3B64B4CCF3ED29CA4"/>
    <w:rsid w:val="00563B58"/>
  </w:style>
  <w:style w:type="paragraph" w:customStyle="1" w:styleId="77B4CD936358404983BB61A374B3F74F">
    <w:name w:val="77B4CD936358404983BB61A374B3F74F"/>
    <w:rsid w:val="00563B58"/>
  </w:style>
  <w:style w:type="paragraph" w:customStyle="1" w:styleId="2609157F9132401491211C262A6E0324">
    <w:name w:val="2609157F9132401491211C262A6E0324"/>
  </w:style>
  <w:style w:type="paragraph" w:customStyle="1" w:styleId="F17A117D0862453E981AFCD4087CC621">
    <w:name w:val="F17A117D0862453E981AFCD4087CC621"/>
    <w:rsid w:val="00DF0C7B"/>
  </w:style>
  <w:style w:type="paragraph" w:customStyle="1" w:styleId="60EA09E61DF74B1EB409C1E8B82C6C9F">
    <w:name w:val="60EA09E61DF74B1EB409C1E8B82C6C9F"/>
    <w:rsid w:val="00DF0C7B"/>
  </w:style>
  <w:style w:type="paragraph" w:customStyle="1" w:styleId="FB462569C8A542B0A25A0F6387353997">
    <w:name w:val="FB462569C8A542B0A25A0F6387353997"/>
    <w:rsid w:val="004F68D6"/>
  </w:style>
  <w:style w:type="paragraph" w:customStyle="1" w:styleId="CD9D887585D04CBAA37F0948D1C0A1C1">
    <w:name w:val="CD9D887585D04CBAA37F0948D1C0A1C1"/>
    <w:rsid w:val="0062109E"/>
  </w:style>
  <w:style w:type="paragraph" w:customStyle="1" w:styleId="2D410375FC4C47D58699F7C99E213C56">
    <w:name w:val="2D410375FC4C47D58699F7C99E213C56"/>
    <w:rsid w:val="0062109E"/>
  </w:style>
  <w:style w:type="paragraph" w:customStyle="1" w:styleId="B9C99084238E48A1BED746C7514ED76F">
    <w:name w:val="B9C99084238E48A1BED746C7514ED76F"/>
    <w:rsid w:val="00621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74746-0FBB-428C-873A-8A299B4D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6C5DA100-B358-45EA-B810-83F7A0E1B088}">
  <ds:schemaRefs>
    <ds:schemaRef ds:uri="http://schemas.openxmlformats.org/officeDocument/2006/bibliography"/>
  </ds:schemaRefs>
</ds:datastoreItem>
</file>

<file path=customXml/itemProps5.xml><?xml version="1.0" encoding="utf-8"?>
<ds:datastoreItem xmlns:ds="http://schemas.openxmlformats.org/officeDocument/2006/customXml" ds:itemID="{A1FB16DF-AF67-4E53-BDC6-4D718A57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5612</Words>
  <Characters>30871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Autor</cp:lastModifiedBy>
  <cp:revision>4</cp:revision>
  <cp:lastPrinted>2019-11-11T23:36:00Z</cp:lastPrinted>
  <dcterms:created xsi:type="dcterms:W3CDTF">2022-12-06T23:38:00Z</dcterms:created>
  <dcterms:modified xsi:type="dcterms:W3CDTF">2022-12-06T23:57:00Z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0x010100C217EAEA52169245A5DADC40A7407967</vt:lpwstr>
  </property>
  <property fmtid="{D5CDD505-2E9C-101B-9397-08002B2CF9AE}" pid="3" name="_DocHome">
    <vt:i4>1885056291</vt:i4>
  </property>
</Properties>
</file>