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694"/>
        <w:gridCol w:w="3116"/>
        <w:gridCol w:w="3018"/>
      </w:tblGrid>
      <w:tr w:rsidR="00501ADF" w:rsidRPr="00DD06A0" w14:paraId="18B5B100" w14:textId="77777777" w:rsidTr="00D23BD5">
        <w:trPr>
          <w:trHeight w:val="816"/>
        </w:trPr>
        <w:tc>
          <w:tcPr>
            <w:tcW w:w="2689" w:type="dxa"/>
            <w:shd w:val="clear" w:color="auto" w:fill="DBDBDB" w:themeFill="accent3" w:themeFillTint="66"/>
          </w:tcPr>
          <w:p w14:paraId="17A70319" w14:textId="77777777" w:rsidR="00B56F04" w:rsidRPr="0069043B" w:rsidRDefault="00501ADF" w:rsidP="00B56F04">
            <w:pPr>
              <w:jc w:val="both"/>
              <w:rPr>
                <w:rFonts w:ascii="ITC Avant Garde" w:hAnsi="ITC Avant Garde"/>
                <w:sz w:val="18"/>
                <w:szCs w:val="18"/>
              </w:rPr>
            </w:pPr>
            <w:r w:rsidRPr="00DD06A0">
              <w:rPr>
                <w:rFonts w:ascii="ITC Avant Garde" w:hAnsi="ITC Avant Garde"/>
                <w:b/>
                <w:sz w:val="18"/>
                <w:szCs w:val="18"/>
              </w:rPr>
              <w:t xml:space="preserve">Unidad </w:t>
            </w:r>
            <w:r w:rsidR="00072473" w:rsidRPr="00DD06A0">
              <w:rPr>
                <w:rFonts w:ascii="ITC Avant Garde" w:hAnsi="ITC Avant Garde"/>
                <w:b/>
                <w:sz w:val="18"/>
                <w:szCs w:val="18"/>
              </w:rPr>
              <w:t>A</w:t>
            </w:r>
            <w:r w:rsidRPr="00DD06A0">
              <w:rPr>
                <w:rFonts w:ascii="ITC Avant Garde" w:hAnsi="ITC Avant Garde"/>
                <w:b/>
                <w:sz w:val="18"/>
                <w:szCs w:val="18"/>
              </w:rPr>
              <w:t>dministrativa</w:t>
            </w:r>
            <w:r w:rsidR="00D23BD5" w:rsidRPr="00DD06A0">
              <w:rPr>
                <w:rFonts w:ascii="ITC Avant Garde" w:hAnsi="ITC Avant Garde"/>
                <w:b/>
                <w:sz w:val="18"/>
                <w:szCs w:val="18"/>
              </w:rPr>
              <w:t xml:space="preserve"> </w:t>
            </w:r>
            <w:r w:rsidR="000A6113" w:rsidRPr="00DD06A0">
              <w:rPr>
                <w:rFonts w:ascii="ITC Avant Garde" w:hAnsi="ITC Avant Garde"/>
                <w:b/>
                <w:sz w:val="18"/>
                <w:szCs w:val="18"/>
              </w:rPr>
              <w:t xml:space="preserve">o Coordinación General </w:t>
            </w:r>
            <w:r w:rsidR="00D23BD5" w:rsidRPr="00DD06A0">
              <w:rPr>
                <w:rFonts w:ascii="ITC Avant Garde" w:hAnsi="ITC Avant Garde"/>
                <w:b/>
                <w:sz w:val="18"/>
                <w:szCs w:val="18"/>
              </w:rPr>
              <w:t>del Instituto</w:t>
            </w:r>
            <w:r w:rsidRPr="00DD06A0">
              <w:rPr>
                <w:rFonts w:ascii="ITC Avant Garde" w:hAnsi="ITC Avant Garde"/>
                <w:b/>
                <w:sz w:val="18"/>
                <w:szCs w:val="18"/>
              </w:rPr>
              <w:t>:</w:t>
            </w:r>
            <w:r w:rsidR="00B56F04">
              <w:rPr>
                <w:rFonts w:ascii="ITC Avant Garde" w:hAnsi="ITC Avant Garde"/>
                <w:b/>
                <w:sz w:val="18"/>
                <w:szCs w:val="18"/>
              </w:rPr>
              <w:t xml:space="preserve"> </w:t>
            </w:r>
            <w:r w:rsidR="00B56F04">
              <w:rPr>
                <w:rFonts w:ascii="ITC Avant Garde" w:hAnsi="ITC Avant Garde"/>
                <w:sz w:val="18"/>
                <w:szCs w:val="18"/>
              </w:rPr>
              <w:t>Unidad de Política Regulatoria</w:t>
            </w:r>
          </w:p>
          <w:p w14:paraId="7D2E8EA6" w14:textId="77777777" w:rsidR="0068307E" w:rsidRPr="00DD06A0"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7E237BD3" w14:textId="0861F67A" w:rsidR="0068307E" w:rsidRPr="00830AF9" w:rsidRDefault="00830AF9" w:rsidP="00501ADF">
            <w:pPr>
              <w:jc w:val="both"/>
              <w:rPr>
                <w:rFonts w:ascii="ITC Avant Garde" w:hAnsi="ITC Avant Garde"/>
                <w:color w:val="000000" w:themeColor="text1"/>
                <w:sz w:val="18"/>
                <w:szCs w:val="18"/>
              </w:rPr>
            </w:pPr>
            <w:r w:rsidRPr="00830AF9">
              <w:rPr>
                <w:rFonts w:ascii="ITC Avant Garde" w:hAnsi="ITC Avant Garde"/>
                <w:b/>
                <w:color w:val="000000" w:themeColor="text1"/>
                <w:sz w:val="18"/>
                <w:szCs w:val="18"/>
              </w:rPr>
              <w:t>TÍTULO DE LA PROPUESTA DE REGULACIÓN:</w:t>
            </w:r>
          </w:p>
          <w:p w14:paraId="325241DE" w14:textId="59A1B61E" w:rsidR="0068307E" w:rsidRPr="00830AF9" w:rsidRDefault="00A32D5F" w:rsidP="004C1748">
            <w:pPr>
              <w:pStyle w:val="Prrafodelista"/>
              <w:widowControl w:val="0"/>
              <w:ind w:left="0" w:firstLine="2"/>
              <w:jc w:val="both"/>
              <w:rPr>
                <w:rFonts w:ascii="ITC Avant Garde" w:hAnsi="ITC Avant Garde"/>
                <w:color w:val="000000" w:themeColor="text1"/>
                <w:sz w:val="16"/>
                <w:szCs w:val="16"/>
              </w:rPr>
            </w:pPr>
            <w:r w:rsidRPr="00640EA3">
              <w:rPr>
                <w:rFonts w:ascii="ITC Avant Garde" w:hAnsi="ITC Avant Garde"/>
                <w:color w:val="000000" w:themeColor="text1"/>
                <w:sz w:val="16"/>
                <w:szCs w:val="16"/>
              </w:rPr>
              <w:t>MODIFICACIÓN</w:t>
            </w:r>
            <w:r w:rsidR="00830AF9" w:rsidRPr="00640EA3">
              <w:rPr>
                <w:rFonts w:ascii="ITC Avant Garde" w:hAnsi="ITC Avant Garde"/>
                <w:color w:val="000000" w:themeColor="text1"/>
                <w:sz w:val="16"/>
                <w:szCs w:val="16"/>
              </w:rPr>
              <w:t xml:space="preserve"> </w:t>
            </w:r>
            <w:r w:rsidRPr="00640EA3">
              <w:rPr>
                <w:rFonts w:ascii="ITC Avant Garde" w:hAnsi="ITC Avant Garde"/>
                <w:color w:val="000000" w:themeColor="text1"/>
                <w:sz w:val="16"/>
                <w:szCs w:val="16"/>
              </w:rPr>
              <w:t>A</w:t>
            </w:r>
            <w:r w:rsidR="00830AF9" w:rsidRPr="00640EA3">
              <w:rPr>
                <w:rFonts w:ascii="ITC Avant Garde" w:hAnsi="ITC Avant Garde"/>
                <w:color w:val="000000" w:themeColor="text1"/>
                <w:sz w:val="16"/>
                <w:szCs w:val="16"/>
              </w:rPr>
              <w:t xml:space="preserve"> </w:t>
            </w:r>
            <w:r w:rsidR="00830AF9" w:rsidRPr="00830AF9">
              <w:rPr>
                <w:rFonts w:ascii="ITC Avant Garde" w:hAnsi="ITC Avant Garde"/>
                <w:color w:val="000000" w:themeColor="text1"/>
                <w:sz w:val="16"/>
                <w:szCs w:val="16"/>
              </w:rPr>
              <w:t xml:space="preserve">LOS LINEAMIENTOS QUE FIJAN LOS ÍNDICES Y PARÁMETROS DE CALIDAD A QUE DEBERÁN SUJETARSE LOS PRESTADORES DEL SERVICIO </w:t>
            </w:r>
            <w:r w:rsidR="001C241C">
              <w:rPr>
                <w:rFonts w:ascii="ITC Avant Garde" w:hAnsi="ITC Avant Garde"/>
                <w:color w:val="000000" w:themeColor="text1"/>
                <w:sz w:val="16"/>
                <w:szCs w:val="16"/>
              </w:rPr>
              <w:t>MÓVIL</w:t>
            </w:r>
          </w:p>
        </w:tc>
      </w:tr>
      <w:tr w:rsidR="0068307E" w:rsidRPr="00DD06A0" w14:paraId="4D2E7A57" w14:textId="77777777" w:rsidTr="00D23BD5">
        <w:trPr>
          <w:trHeight w:val="889"/>
        </w:trPr>
        <w:tc>
          <w:tcPr>
            <w:tcW w:w="2689" w:type="dxa"/>
            <w:vMerge w:val="restart"/>
            <w:shd w:val="clear" w:color="auto" w:fill="DBDBDB" w:themeFill="accent3" w:themeFillTint="66"/>
          </w:tcPr>
          <w:p w14:paraId="0D540E31" w14:textId="77777777" w:rsidR="0068307E" w:rsidRPr="00DD06A0" w:rsidRDefault="00D23BD5" w:rsidP="00501ADF">
            <w:pPr>
              <w:jc w:val="both"/>
              <w:rPr>
                <w:rFonts w:ascii="ITC Avant Garde" w:hAnsi="ITC Avant Garde"/>
                <w:b/>
                <w:sz w:val="18"/>
                <w:szCs w:val="18"/>
              </w:rPr>
            </w:pPr>
            <w:r w:rsidRPr="00DD06A0">
              <w:rPr>
                <w:rFonts w:ascii="ITC Avant Garde" w:hAnsi="ITC Avant Garde"/>
                <w:b/>
                <w:sz w:val="18"/>
                <w:szCs w:val="18"/>
              </w:rPr>
              <w:t>Responsable de la propuesta de regulación</w:t>
            </w:r>
            <w:r w:rsidR="0068307E" w:rsidRPr="00DD06A0">
              <w:rPr>
                <w:rFonts w:ascii="ITC Avant Garde" w:hAnsi="ITC Avant Garde"/>
                <w:b/>
                <w:sz w:val="18"/>
                <w:szCs w:val="18"/>
              </w:rPr>
              <w:t>:</w:t>
            </w:r>
          </w:p>
          <w:p w14:paraId="6CB12253" w14:textId="77777777" w:rsidR="0068307E" w:rsidRPr="00DD06A0" w:rsidRDefault="0068307E" w:rsidP="00501ADF">
            <w:pPr>
              <w:jc w:val="both"/>
              <w:rPr>
                <w:rFonts w:ascii="ITC Avant Garde" w:hAnsi="ITC Avant Garde"/>
                <w:b/>
                <w:sz w:val="18"/>
                <w:szCs w:val="18"/>
              </w:rPr>
            </w:pPr>
          </w:p>
          <w:p w14:paraId="627EB0A7" w14:textId="77777777" w:rsidR="00B56F04" w:rsidRPr="00DD06A0" w:rsidRDefault="00B56F04" w:rsidP="00B544D8">
            <w:pPr>
              <w:jc w:val="both"/>
              <w:rPr>
                <w:rFonts w:ascii="ITC Avant Garde" w:hAnsi="ITC Avant Garde"/>
                <w:sz w:val="18"/>
                <w:szCs w:val="18"/>
              </w:rPr>
            </w:pPr>
            <w:r w:rsidRPr="00DD06A0">
              <w:rPr>
                <w:rFonts w:ascii="ITC Avant Garde" w:hAnsi="ITC Avant Garde"/>
                <w:sz w:val="18"/>
                <w:szCs w:val="18"/>
              </w:rPr>
              <w:t xml:space="preserve">Nombre: </w:t>
            </w:r>
            <w:r w:rsidR="00B544D8">
              <w:rPr>
                <w:rFonts w:ascii="ITC Avant Garde" w:hAnsi="ITC Avant Garde"/>
                <w:sz w:val="18"/>
                <w:szCs w:val="18"/>
              </w:rPr>
              <w:t>Horacio Villalobos Tlatempa</w:t>
            </w:r>
            <w:r w:rsidRPr="00DD06A0">
              <w:rPr>
                <w:rFonts w:ascii="ITC Avant Garde" w:hAnsi="ITC Avant Garde"/>
                <w:sz w:val="18"/>
                <w:szCs w:val="18"/>
              </w:rPr>
              <w:t xml:space="preserve">: </w:t>
            </w:r>
            <w:r w:rsidR="00B544D8">
              <w:rPr>
                <w:rFonts w:ascii="ITC Avant Garde" w:hAnsi="ITC Avant Garde"/>
                <w:sz w:val="18"/>
                <w:szCs w:val="18"/>
              </w:rPr>
              <w:t>5015-404</w:t>
            </w:r>
            <w:r w:rsidRPr="0069043B">
              <w:rPr>
                <w:rFonts w:ascii="ITC Avant Garde" w:hAnsi="ITC Avant Garde"/>
                <w:sz w:val="18"/>
                <w:szCs w:val="18"/>
              </w:rPr>
              <w:t>2</w:t>
            </w:r>
          </w:p>
          <w:p w14:paraId="314BE317" w14:textId="77777777" w:rsidR="00B56F04" w:rsidRPr="00DD06A0" w:rsidRDefault="00B56F04" w:rsidP="00B56F04">
            <w:pPr>
              <w:jc w:val="both"/>
              <w:rPr>
                <w:rFonts w:ascii="ITC Avant Garde" w:hAnsi="ITC Avant Garde"/>
                <w:sz w:val="18"/>
                <w:szCs w:val="18"/>
              </w:rPr>
            </w:pPr>
            <w:r w:rsidRPr="00DD06A0">
              <w:rPr>
                <w:rFonts w:ascii="ITC Avant Garde" w:hAnsi="ITC Avant Garde"/>
                <w:sz w:val="18"/>
                <w:szCs w:val="18"/>
              </w:rPr>
              <w:t>Correo electrónico:</w:t>
            </w:r>
            <w:r>
              <w:rPr>
                <w:rFonts w:ascii="ITC Avant Garde" w:hAnsi="ITC Avant Garde"/>
                <w:sz w:val="18"/>
                <w:szCs w:val="18"/>
              </w:rPr>
              <w:t xml:space="preserve"> </w:t>
            </w:r>
            <w:hyperlink r:id="rId11" w:history="1">
              <w:r w:rsidR="00B544D8" w:rsidRPr="00CE48B5">
                <w:rPr>
                  <w:rStyle w:val="Hipervnculo"/>
                  <w:rFonts w:ascii="ITC Avant Garde" w:hAnsi="ITC Avant Garde"/>
                  <w:sz w:val="18"/>
                  <w:szCs w:val="18"/>
                </w:rPr>
                <w:t>horacio.villalobos@ift.org.mx</w:t>
              </w:r>
            </w:hyperlink>
          </w:p>
          <w:p w14:paraId="4753BCD3" w14:textId="77777777" w:rsidR="0068307E" w:rsidRPr="00DD06A0"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727FD1D3" w14:textId="79C1E938" w:rsidR="0068307E" w:rsidRPr="00DD06A0" w:rsidRDefault="0068307E" w:rsidP="006E5EB5">
            <w:pPr>
              <w:jc w:val="both"/>
              <w:rPr>
                <w:rFonts w:ascii="ITC Avant Garde" w:hAnsi="ITC Avant Garde"/>
                <w:b/>
                <w:sz w:val="18"/>
                <w:szCs w:val="18"/>
              </w:rPr>
            </w:pPr>
            <w:r w:rsidRPr="00DD06A0">
              <w:rPr>
                <w:rFonts w:ascii="ITC Avant Garde" w:hAnsi="ITC Avant Garde"/>
                <w:b/>
                <w:sz w:val="18"/>
                <w:szCs w:val="18"/>
              </w:rPr>
              <w:t>Fecha de elaboración</w:t>
            </w:r>
            <w:r w:rsidR="00D23BD5" w:rsidRPr="00DD06A0">
              <w:rPr>
                <w:rFonts w:ascii="ITC Avant Garde" w:hAnsi="ITC Avant Garde"/>
                <w:b/>
                <w:sz w:val="18"/>
                <w:szCs w:val="18"/>
              </w:rPr>
              <w:t xml:space="preserve"> del análisis de </w:t>
            </w:r>
            <w:r w:rsidR="001C241C">
              <w:rPr>
                <w:rFonts w:ascii="ITC Avant Garde" w:hAnsi="ITC Avant Garde"/>
                <w:b/>
                <w:sz w:val="18"/>
                <w:szCs w:val="18"/>
              </w:rPr>
              <w:t xml:space="preserve">nulo </w:t>
            </w:r>
            <w:r w:rsidR="00D23BD5" w:rsidRPr="00DD06A0">
              <w:rPr>
                <w:rFonts w:ascii="ITC Avant Garde" w:hAnsi="ITC Avant Garde"/>
                <w:b/>
                <w:sz w:val="18"/>
                <w:szCs w:val="18"/>
              </w:rPr>
              <w:t>impacto regulatorio</w:t>
            </w:r>
            <w:r w:rsidRPr="00DD06A0">
              <w:rPr>
                <w:rFonts w:ascii="ITC Avant Garde" w:hAnsi="ITC Avant Garde"/>
                <w:b/>
                <w:sz w:val="18"/>
                <w:szCs w:val="18"/>
              </w:rPr>
              <w:t>:</w:t>
            </w:r>
          </w:p>
        </w:tc>
        <w:tc>
          <w:tcPr>
            <w:tcW w:w="3021" w:type="dxa"/>
            <w:shd w:val="clear" w:color="auto" w:fill="DBDBDB" w:themeFill="accent3" w:themeFillTint="66"/>
            <w:vAlign w:val="center"/>
          </w:tcPr>
          <w:p w14:paraId="2CA1906D" w14:textId="4245A622" w:rsidR="0068307E" w:rsidRPr="00DD06A0" w:rsidRDefault="001C241C" w:rsidP="00B544D8">
            <w:pPr>
              <w:jc w:val="center"/>
              <w:rPr>
                <w:rFonts w:ascii="ITC Avant Garde" w:hAnsi="ITC Avant Garde"/>
                <w:sz w:val="18"/>
                <w:szCs w:val="18"/>
              </w:rPr>
            </w:pPr>
            <w:r>
              <w:rPr>
                <w:rFonts w:ascii="ITC Avant Garde" w:hAnsi="ITC Avant Garde"/>
                <w:sz w:val="18"/>
                <w:szCs w:val="18"/>
              </w:rPr>
              <w:t>02</w:t>
            </w:r>
            <w:r w:rsidR="0068307E" w:rsidRPr="00201DF2">
              <w:rPr>
                <w:rFonts w:ascii="ITC Avant Garde" w:hAnsi="ITC Avant Garde"/>
                <w:sz w:val="18"/>
                <w:szCs w:val="18"/>
              </w:rPr>
              <w:t>/</w:t>
            </w:r>
            <w:r>
              <w:rPr>
                <w:rFonts w:ascii="ITC Avant Garde" w:hAnsi="ITC Avant Garde"/>
                <w:sz w:val="18"/>
                <w:szCs w:val="18"/>
              </w:rPr>
              <w:t>08</w:t>
            </w:r>
            <w:r w:rsidR="0068307E" w:rsidRPr="00201DF2">
              <w:rPr>
                <w:rFonts w:ascii="ITC Avant Garde" w:hAnsi="ITC Avant Garde"/>
                <w:sz w:val="18"/>
                <w:szCs w:val="18"/>
              </w:rPr>
              <w:t>/</w:t>
            </w:r>
            <w:r w:rsidR="00B544D8" w:rsidRPr="00201DF2">
              <w:rPr>
                <w:rFonts w:ascii="ITC Avant Garde" w:hAnsi="ITC Avant Garde"/>
                <w:sz w:val="18"/>
                <w:szCs w:val="18"/>
              </w:rPr>
              <w:t>20</w:t>
            </w:r>
            <w:r w:rsidR="00ED2706" w:rsidRPr="00201DF2">
              <w:rPr>
                <w:rFonts w:ascii="ITC Avant Garde" w:hAnsi="ITC Avant Garde"/>
                <w:sz w:val="18"/>
                <w:szCs w:val="18"/>
              </w:rPr>
              <w:t>2</w:t>
            </w:r>
            <w:r>
              <w:rPr>
                <w:rFonts w:ascii="ITC Avant Garde" w:hAnsi="ITC Avant Garde"/>
                <w:sz w:val="18"/>
                <w:szCs w:val="18"/>
              </w:rPr>
              <w:t>2</w:t>
            </w:r>
          </w:p>
        </w:tc>
        <w:bookmarkStart w:id="0" w:name="_GoBack"/>
        <w:bookmarkEnd w:id="0"/>
      </w:tr>
      <w:tr w:rsidR="0068307E" w:rsidRPr="00DD06A0" w14:paraId="3BD7340B" w14:textId="77777777" w:rsidTr="00D23BD5">
        <w:trPr>
          <w:trHeight w:val="390"/>
        </w:trPr>
        <w:tc>
          <w:tcPr>
            <w:tcW w:w="2689" w:type="dxa"/>
            <w:vMerge/>
            <w:shd w:val="clear" w:color="auto" w:fill="DBDBDB" w:themeFill="accent3" w:themeFillTint="66"/>
          </w:tcPr>
          <w:p w14:paraId="0B184628" w14:textId="77777777" w:rsidR="0068307E" w:rsidRPr="00DD06A0"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3D482B3F" w14:textId="77777777" w:rsidR="0068307E" w:rsidRPr="00DD06A0" w:rsidRDefault="006E5EB5" w:rsidP="006E5EB5">
            <w:pPr>
              <w:jc w:val="both"/>
              <w:rPr>
                <w:rFonts w:ascii="ITC Avant Garde" w:hAnsi="ITC Avant Garde"/>
                <w:b/>
                <w:sz w:val="18"/>
                <w:szCs w:val="18"/>
              </w:rPr>
            </w:pPr>
            <w:r w:rsidRPr="00DD06A0">
              <w:rPr>
                <w:rFonts w:ascii="ITC Avant Garde" w:hAnsi="ITC Avant Garde"/>
                <w:b/>
                <w:sz w:val="18"/>
                <w:szCs w:val="18"/>
              </w:rPr>
              <w:t>En su caso, f</w:t>
            </w:r>
            <w:r w:rsidR="0068307E" w:rsidRPr="00DD06A0">
              <w:rPr>
                <w:rFonts w:ascii="ITC Avant Garde" w:hAnsi="ITC Avant Garde"/>
                <w:b/>
                <w:sz w:val="18"/>
                <w:szCs w:val="18"/>
              </w:rPr>
              <w:t xml:space="preserve">echa de inicio </w:t>
            </w:r>
            <w:r w:rsidR="00D23BD5" w:rsidRPr="00DD06A0">
              <w:rPr>
                <w:rFonts w:ascii="ITC Avant Garde" w:hAnsi="ITC Avant Garde"/>
                <w:b/>
                <w:sz w:val="18"/>
                <w:szCs w:val="18"/>
              </w:rPr>
              <w:t xml:space="preserve">y conclusión </w:t>
            </w:r>
            <w:r w:rsidR="0068307E" w:rsidRPr="00DD06A0">
              <w:rPr>
                <w:rFonts w:ascii="ITC Avant Garde" w:hAnsi="ITC Avant Garde"/>
                <w:b/>
                <w:sz w:val="18"/>
                <w:szCs w:val="18"/>
              </w:rPr>
              <w:t>de la consulta pública:</w:t>
            </w:r>
          </w:p>
        </w:tc>
        <w:tc>
          <w:tcPr>
            <w:tcW w:w="3021" w:type="dxa"/>
            <w:shd w:val="clear" w:color="auto" w:fill="DBDBDB" w:themeFill="accent3" w:themeFillTint="66"/>
            <w:vAlign w:val="center"/>
          </w:tcPr>
          <w:p w14:paraId="14AFEB01" w14:textId="0501A30F" w:rsidR="0068307E" w:rsidRPr="00986CDA" w:rsidRDefault="00640EA3" w:rsidP="00B544D8">
            <w:pPr>
              <w:jc w:val="center"/>
              <w:rPr>
                <w:rFonts w:ascii="ITC Avant Garde" w:hAnsi="ITC Avant Garde"/>
                <w:color w:val="000000" w:themeColor="text1"/>
                <w:sz w:val="18"/>
                <w:szCs w:val="18"/>
              </w:rPr>
            </w:pPr>
            <w:r>
              <w:rPr>
                <w:rFonts w:ascii="ITC Avant Garde" w:hAnsi="ITC Avant Garde"/>
                <w:color w:val="000000" w:themeColor="text1"/>
                <w:sz w:val="18"/>
                <w:szCs w:val="18"/>
              </w:rPr>
              <w:t>19</w:t>
            </w:r>
            <w:r w:rsidR="0068307E" w:rsidRPr="00986CDA">
              <w:rPr>
                <w:rFonts w:ascii="ITC Avant Garde" w:hAnsi="ITC Avant Garde"/>
                <w:color w:val="000000" w:themeColor="text1"/>
                <w:sz w:val="18"/>
                <w:szCs w:val="18"/>
              </w:rPr>
              <w:t>/</w:t>
            </w:r>
            <w:r>
              <w:rPr>
                <w:rFonts w:ascii="ITC Avant Garde" w:hAnsi="ITC Avant Garde"/>
                <w:color w:val="000000" w:themeColor="text1"/>
                <w:sz w:val="18"/>
                <w:szCs w:val="18"/>
              </w:rPr>
              <w:t>08</w:t>
            </w:r>
            <w:r w:rsidR="00B544D8" w:rsidRPr="00986CDA">
              <w:rPr>
                <w:rFonts w:ascii="ITC Avant Garde" w:hAnsi="ITC Avant Garde"/>
                <w:color w:val="000000" w:themeColor="text1"/>
                <w:sz w:val="18"/>
                <w:szCs w:val="18"/>
              </w:rPr>
              <w:t>/20</w:t>
            </w:r>
            <w:r w:rsidR="00ED2706" w:rsidRPr="00986CDA">
              <w:rPr>
                <w:rFonts w:ascii="ITC Avant Garde" w:hAnsi="ITC Avant Garde"/>
                <w:color w:val="000000" w:themeColor="text1"/>
                <w:sz w:val="18"/>
                <w:szCs w:val="18"/>
              </w:rPr>
              <w:t>2</w:t>
            </w:r>
            <w:r w:rsidR="001C241C">
              <w:rPr>
                <w:rFonts w:ascii="ITC Avant Garde" w:hAnsi="ITC Avant Garde"/>
                <w:color w:val="000000" w:themeColor="text1"/>
                <w:sz w:val="18"/>
                <w:szCs w:val="18"/>
              </w:rPr>
              <w:t>2</w:t>
            </w:r>
            <w:r w:rsidR="00B544D8" w:rsidRPr="00986CDA">
              <w:rPr>
                <w:rFonts w:ascii="ITC Avant Garde" w:hAnsi="ITC Avant Garde"/>
                <w:color w:val="000000" w:themeColor="text1"/>
                <w:sz w:val="18"/>
                <w:szCs w:val="18"/>
              </w:rPr>
              <w:t xml:space="preserve"> a</w:t>
            </w:r>
            <w:r w:rsidR="00986CDA" w:rsidRPr="00986CDA">
              <w:rPr>
                <w:rFonts w:ascii="ITC Avant Garde" w:hAnsi="ITC Avant Garde"/>
                <w:color w:val="000000" w:themeColor="text1"/>
                <w:sz w:val="18"/>
                <w:szCs w:val="18"/>
              </w:rPr>
              <w:t>l</w:t>
            </w:r>
            <w:r w:rsidR="00B544D8" w:rsidRPr="00986CDA">
              <w:rPr>
                <w:rFonts w:ascii="ITC Avant Garde" w:hAnsi="ITC Avant Garde"/>
                <w:color w:val="000000" w:themeColor="text1"/>
                <w:sz w:val="18"/>
                <w:szCs w:val="18"/>
              </w:rPr>
              <w:t xml:space="preserve"> </w:t>
            </w:r>
            <w:r>
              <w:rPr>
                <w:rFonts w:ascii="ITC Avant Garde" w:hAnsi="ITC Avant Garde"/>
                <w:color w:val="000000" w:themeColor="text1"/>
                <w:sz w:val="18"/>
                <w:szCs w:val="18"/>
              </w:rPr>
              <w:t>15</w:t>
            </w:r>
            <w:r w:rsidR="00D23BD5" w:rsidRPr="00986CDA">
              <w:rPr>
                <w:rFonts w:ascii="ITC Avant Garde" w:hAnsi="ITC Avant Garde"/>
                <w:color w:val="000000" w:themeColor="text1"/>
                <w:sz w:val="18"/>
                <w:szCs w:val="18"/>
              </w:rPr>
              <w:t>/</w:t>
            </w:r>
            <w:r>
              <w:rPr>
                <w:rFonts w:ascii="ITC Avant Garde" w:hAnsi="ITC Avant Garde"/>
                <w:color w:val="000000" w:themeColor="text1"/>
                <w:sz w:val="18"/>
                <w:szCs w:val="18"/>
              </w:rPr>
              <w:t>09</w:t>
            </w:r>
            <w:r w:rsidR="00D23BD5" w:rsidRPr="00986CDA">
              <w:rPr>
                <w:rFonts w:ascii="ITC Avant Garde" w:hAnsi="ITC Avant Garde"/>
                <w:color w:val="000000" w:themeColor="text1"/>
                <w:sz w:val="18"/>
                <w:szCs w:val="18"/>
              </w:rPr>
              <w:t>/</w:t>
            </w:r>
            <w:r w:rsidR="00B544D8" w:rsidRPr="00986CDA">
              <w:rPr>
                <w:rFonts w:ascii="ITC Avant Garde" w:hAnsi="ITC Avant Garde"/>
                <w:color w:val="000000" w:themeColor="text1"/>
                <w:sz w:val="18"/>
                <w:szCs w:val="18"/>
              </w:rPr>
              <w:t>20</w:t>
            </w:r>
            <w:r w:rsidR="00ED2706" w:rsidRPr="00986CDA">
              <w:rPr>
                <w:rFonts w:ascii="ITC Avant Garde" w:hAnsi="ITC Avant Garde"/>
                <w:color w:val="000000" w:themeColor="text1"/>
                <w:sz w:val="18"/>
                <w:szCs w:val="18"/>
              </w:rPr>
              <w:t>2</w:t>
            </w:r>
            <w:r w:rsidR="001C241C">
              <w:rPr>
                <w:rFonts w:ascii="ITC Avant Garde" w:hAnsi="ITC Avant Garde"/>
                <w:color w:val="000000" w:themeColor="text1"/>
                <w:sz w:val="18"/>
                <w:szCs w:val="18"/>
              </w:rPr>
              <w:t>2</w:t>
            </w:r>
          </w:p>
        </w:tc>
      </w:tr>
    </w:tbl>
    <w:p w14:paraId="49F46A0E" w14:textId="77777777" w:rsidR="00501ADF" w:rsidRPr="00DD06A0" w:rsidRDefault="00501ADF" w:rsidP="00501ADF">
      <w:pPr>
        <w:jc w:val="both"/>
        <w:rPr>
          <w:rFonts w:ascii="ITC Avant Garde" w:hAnsi="ITC Avant Garde"/>
          <w:sz w:val="18"/>
          <w:szCs w:val="18"/>
        </w:rPr>
      </w:pPr>
    </w:p>
    <w:p w14:paraId="40956FAE" w14:textId="77777777" w:rsidR="001932FC" w:rsidRPr="00DD06A0" w:rsidRDefault="001932FC" w:rsidP="0068307E">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 DEFINICIÓN DEL PROBLEMA Y OBJETIVOS GENERALES DE LA </w:t>
      </w:r>
      <w:r w:rsidR="00D23BD5" w:rsidRPr="00DD06A0">
        <w:rPr>
          <w:rFonts w:ascii="ITC Avant Garde" w:hAnsi="ITC Avant Garde"/>
          <w:b/>
          <w:sz w:val="18"/>
          <w:szCs w:val="18"/>
        </w:rPr>
        <w:t xml:space="preserve">PROPUESTA DE </w:t>
      </w:r>
      <w:r w:rsidRPr="00DD06A0">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DD06A0" w14:paraId="2B1C6F0C" w14:textId="77777777" w:rsidTr="008A48B0">
        <w:tc>
          <w:tcPr>
            <w:tcW w:w="8828" w:type="dxa"/>
            <w:shd w:val="clear" w:color="auto" w:fill="FFFFFF" w:themeFill="background1"/>
          </w:tcPr>
          <w:p w14:paraId="3FEA42D3" w14:textId="038B7E3A" w:rsidR="001932FC" w:rsidRPr="00DD06A0" w:rsidRDefault="001932FC" w:rsidP="008A48B0">
            <w:pPr>
              <w:shd w:val="clear" w:color="auto" w:fill="FFFFFF" w:themeFill="background1"/>
              <w:jc w:val="both"/>
              <w:rPr>
                <w:rFonts w:ascii="ITC Avant Garde" w:hAnsi="ITC Avant Garde"/>
                <w:b/>
                <w:sz w:val="18"/>
                <w:szCs w:val="18"/>
              </w:rPr>
            </w:pPr>
            <w:r w:rsidRPr="00797C3A">
              <w:rPr>
                <w:rFonts w:ascii="ITC Avant Garde" w:hAnsi="ITC Avant Garde"/>
                <w:b/>
                <w:sz w:val="18"/>
                <w:szCs w:val="18"/>
              </w:rPr>
              <w:t>1.</w:t>
            </w:r>
            <w:r w:rsidR="00E6080B" w:rsidRPr="00797C3A">
              <w:rPr>
                <w:rFonts w:ascii="ITC Avant Garde" w:hAnsi="ITC Avant Garde"/>
                <w:b/>
                <w:sz w:val="18"/>
                <w:szCs w:val="18"/>
              </w:rPr>
              <w:t>-</w:t>
            </w:r>
            <w:r w:rsidR="00F0449E" w:rsidRPr="00797C3A">
              <w:rPr>
                <w:rFonts w:ascii="ITC Avant Garde" w:hAnsi="ITC Avant Garde"/>
                <w:b/>
                <w:sz w:val="18"/>
                <w:szCs w:val="18"/>
              </w:rPr>
              <w:t xml:space="preserve"> </w:t>
            </w:r>
            <w:r w:rsidR="001C241C">
              <w:rPr>
                <w:rFonts w:ascii="ITC Avant Garde" w:hAnsi="ITC Avant Garde"/>
                <w:b/>
                <w:sz w:val="18"/>
                <w:szCs w:val="18"/>
              </w:rPr>
              <w:t>Explique brevemente la problemática que pretende prevenir o resolver la propuesta de regulación, así como en qué consiste ésta y sus objetivos generales:</w:t>
            </w:r>
          </w:p>
          <w:p w14:paraId="19125F9D" w14:textId="77777777" w:rsidR="00F0449E" w:rsidRDefault="00F0449E" w:rsidP="008A48B0">
            <w:pPr>
              <w:shd w:val="clear" w:color="auto" w:fill="FFFFFF" w:themeFill="background1"/>
              <w:jc w:val="both"/>
              <w:rPr>
                <w:rFonts w:ascii="ITC Avant Garde" w:hAnsi="ITC Avant Garde"/>
                <w:sz w:val="18"/>
                <w:szCs w:val="18"/>
              </w:rPr>
            </w:pPr>
          </w:p>
          <w:p w14:paraId="77E1CCD9" w14:textId="31215924" w:rsidR="00205DEC" w:rsidRPr="00C6097C" w:rsidRDefault="00AA0F30" w:rsidP="00C6097C">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w:t>
            </w:r>
            <w:r w:rsidR="00C54161">
              <w:rPr>
                <w:rFonts w:ascii="ITC Avant Garde" w:hAnsi="ITC Avant Garde"/>
                <w:sz w:val="18"/>
                <w:szCs w:val="18"/>
              </w:rPr>
              <w:t>17</w:t>
            </w:r>
            <w:r>
              <w:rPr>
                <w:rFonts w:ascii="ITC Avant Garde" w:hAnsi="ITC Avant Garde"/>
                <w:sz w:val="18"/>
                <w:szCs w:val="18"/>
              </w:rPr>
              <w:t xml:space="preserve"> de </w:t>
            </w:r>
            <w:r w:rsidR="00C54161">
              <w:rPr>
                <w:rFonts w:ascii="ITC Avant Garde" w:hAnsi="ITC Avant Garde"/>
                <w:sz w:val="18"/>
                <w:szCs w:val="18"/>
              </w:rPr>
              <w:t>en</w:t>
            </w:r>
            <w:r w:rsidR="003A7F6A">
              <w:rPr>
                <w:rFonts w:ascii="ITC Avant Garde" w:hAnsi="ITC Avant Garde"/>
                <w:sz w:val="18"/>
                <w:szCs w:val="18"/>
              </w:rPr>
              <w:t>ero</w:t>
            </w:r>
            <w:r>
              <w:rPr>
                <w:rFonts w:ascii="ITC Avant Garde" w:hAnsi="ITC Avant Garde"/>
                <w:sz w:val="18"/>
                <w:szCs w:val="18"/>
              </w:rPr>
              <w:t xml:space="preserve"> de 20</w:t>
            </w:r>
            <w:r w:rsidR="00C54161">
              <w:rPr>
                <w:rFonts w:ascii="ITC Avant Garde" w:hAnsi="ITC Avant Garde"/>
                <w:sz w:val="18"/>
                <w:szCs w:val="18"/>
              </w:rPr>
              <w:t>18</w:t>
            </w:r>
            <w:r>
              <w:rPr>
                <w:rFonts w:ascii="ITC Avant Garde" w:hAnsi="ITC Avant Garde"/>
                <w:sz w:val="18"/>
                <w:szCs w:val="18"/>
              </w:rPr>
              <w:t xml:space="preserve"> fueron publicados en el Diario Oficial de la Federación los “</w:t>
            </w:r>
            <w:r w:rsidR="003A7F6A" w:rsidRPr="003A7F6A">
              <w:rPr>
                <w:rFonts w:ascii="ITC Avant Garde" w:hAnsi="ITC Avant Garde"/>
                <w:sz w:val="18"/>
                <w:szCs w:val="18"/>
              </w:rPr>
              <w:t xml:space="preserve">Lineamientos que fijan los índices y parámetros de calidad a que deberán sujetarse los prestadores del servicio </w:t>
            </w:r>
            <w:r w:rsidR="0012117B">
              <w:rPr>
                <w:rFonts w:ascii="ITC Avant Garde" w:hAnsi="ITC Avant Garde"/>
                <w:sz w:val="18"/>
                <w:szCs w:val="18"/>
              </w:rPr>
              <w:t>móvil</w:t>
            </w:r>
            <w:r>
              <w:rPr>
                <w:rFonts w:ascii="ITC Avant Garde" w:hAnsi="ITC Avant Garde"/>
                <w:sz w:val="18"/>
                <w:szCs w:val="18"/>
              </w:rPr>
              <w:t>”</w:t>
            </w:r>
            <w:r w:rsidR="005C2A92">
              <w:rPr>
                <w:rFonts w:ascii="ITC Avant Garde" w:hAnsi="ITC Avant Garde"/>
                <w:sz w:val="18"/>
                <w:szCs w:val="18"/>
              </w:rPr>
              <w:t xml:space="preserve"> (en lo sucesivo</w:t>
            </w:r>
            <w:r w:rsidR="00F20994">
              <w:rPr>
                <w:rFonts w:ascii="ITC Avant Garde" w:hAnsi="ITC Avant Garde"/>
                <w:sz w:val="18"/>
                <w:szCs w:val="18"/>
              </w:rPr>
              <w:t>,</w:t>
            </w:r>
            <w:r w:rsidR="005C2A92">
              <w:rPr>
                <w:rFonts w:ascii="ITC Avant Garde" w:hAnsi="ITC Avant Garde"/>
                <w:sz w:val="18"/>
                <w:szCs w:val="18"/>
              </w:rPr>
              <w:t xml:space="preserve"> los </w:t>
            </w:r>
            <w:r w:rsidR="00F20994">
              <w:rPr>
                <w:rFonts w:ascii="ITC Avant Garde" w:hAnsi="ITC Avant Garde"/>
                <w:sz w:val="18"/>
                <w:szCs w:val="18"/>
              </w:rPr>
              <w:t>“</w:t>
            </w:r>
            <w:r w:rsidR="005C2A92">
              <w:rPr>
                <w:rFonts w:ascii="ITC Avant Garde" w:hAnsi="ITC Avant Garde"/>
                <w:sz w:val="18"/>
                <w:szCs w:val="18"/>
              </w:rPr>
              <w:t>Lineamientos</w:t>
            </w:r>
            <w:r w:rsidR="00F20994">
              <w:rPr>
                <w:rFonts w:ascii="ITC Avant Garde" w:hAnsi="ITC Avant Garde"/>
                <w:sz w:val="18"/>
                <w:szCs w:val="18"/>
              </w:rPr>
              <w:t>”</w:t>
            </w:r>
            <w:r w:rsidR="005C2A92">
              <w:rPr>
                <w:rFonts w:ascii="ITC Avant Garde" w:hAnsi="ITC Avant Garde"/>
                <w:sz w:val="18"/>
                <w:szCs w:val="18"/>
              </w:rPr>
              <w:t>)</w:t>
            </w:r>
            <w:r>
              <w:rPr>
                <w:rFonts w:ascii="ITC Avant Garde" w:hAnsi="ITC Avant Garde"/>
                <w:sz w:val="18"/>
                <w:szCs w:val="18"/>
              </w:rPr>
              <w:t>.</w:t>
            </w:r>
            <w:r w:rsidR="00C6097C">
              <w:rPr>
                <w:rFonts w:ascii="ITC Avant Garde" w:hAnsi="ITC Avant Garde"/>
                <w:sz w:val="18"/>
                <w:szCs w:val="18"/>
              </w:rPr>
              <w:t xml:space="preserve"> </w:t>
            </w:r>
            <w:r w:rsidR="00C6097C" w:rsidRPr="00C6097C">
              <w:rPr>
                <w:rFonts w:ascii="ITC Avant Garde" w:hAnsi="ITC Avant Garde"/>
                <w:sz w:val="18"/>
                <w:szCs w:val="18"/>
              </w:rPr>
              <w:t>Con estos Lineamientos</w:t>
            </w:r>
            <w:r w:rsidR="00205DEC" w:rsidRPr="00C6097C">
              <w:rPr>
                <w:rFonts w:ascii="ITC Avant Garde" w:hAnsi="ITC Avant Garde"/>
                <w:sz w:val="18"/>
                <w:szCs w:val="18"/>
              </w:rPr>
              <w:t xml:space="preserve"> el Pleno del Instituto Federal de Telecomunicaciones</w:t>
            </w:r>
            <w:r w:rsidR="00954581">
              <w:rPr>
                <w:rFonts w:ascii="ITC Avant Garde" w:hAnsi="ITC Avant Garde"/>
                <w:sz w:val="18"/>
                <w:szCs w:val="18"/>
              </w:rPr>
              <w:t xml:space="preserve"> (en lo sucesivo, el “Instituto”)</w:t>
            </w:r>
            <w:r w:rsidR="00205DEC" w:rsidRPr="00C6097C">
              <w:rPr>
                <w:rFonts w:ascii="ITC Avant Garde" w:hAnsi="ITC Avant Garde"/>
                <w:sz w:val="18"/>
                <w:szCs w:val="18"/>
              </w:rPr>
              <w:t xml:space="preserve"> </w:t>
            </w:r>
            <w:r w:rsidR="00C6097C" w:rsidRPr="00C6097C">
              <w:rPr>
                <w:rFonts w:ascii="ITC Avant Garde" w:hAnsi="ITC Avant Garde"/>
                <w:sz w:val="18"/>
                <w:szCs w:val="18"/>
              </w:rPr>
              <w:t>dio</w:t>
            </w:r>
            <w:r w:rsidR="00205DEC" w:rsidRPr="00C6097C">
              <w:rPr>
                <w:rFonts w:ascii="ITC Avant Garde" w:hAnsi="ITC Avant Garde"/>
                <w:sz w:val="18"/>
                <w:szCs w:val="18"/>
              </w:rPr>
              <w:t xml:space="preserve"> cumplimiento a lo establecido en la fracción XLVII, del artículo 15 de la Ley Federal de Telecomunicaciones y Radiodifusión (</w:t>
            </w:r>
            <w:r w:rsidR="00954581">
              <w:rPr>
                <w:rFonts w:ascii="ITC Avant Garde" w:hAnsi="ITC Avant Garde"/>
                <w:sz w:val="18"/>
                <w:szCs w:val="18"/>
              </w:rPr>
              <w:t>en lo sucesivo, la “</w:t>
            </w:r>
            <w:r w:rsidR="00205DEC" w:rsidRPr="00C6097C">
              <w:rPr>
                <w:rFonts w:ascii="ITC Avant Garde" w:hAnsi="ITC Avant Garde"/>
                <w:sz w:val="18"/>
                <w:szCs w:val="18"/>
              </w:rPr>
              <w:t>Ley</w:t>
            </w:r>
            <w:r w:rsidR="00954581">
              <w:rPr>
                <w:rFonts w:ascii="ITC Avant Garde" w:hAnsi="ITC Avant Garde"/>
                <w:sz w:val="18"/>
                <w:szCs w:val="18"/>
              </w:rPr>
              <w:t>”</w:t>
            </w:r>
            <w:r w:rsidR="00205DEC" w:rsidRPr="00C6097C">
              <w:rPr>
                <w:rFonts w:ascii="ITC Avant Garde" w:hAnsi="ITC Avant Garde"/>
                <w:sz w:val="18"/>
                <w:szCs w:val="18"/>
              </w:rPr>
              <w:t>), al fijar los índices de calidad por servicio a que deberán sujetarse los prestadores de los servicios de telecomunicaciones, en específico los del servicio móvil.</w:t>
            </w:r>
          </w:p>
          <w:p w14:paraId="5968B6DD" w14:textId="77777777" w:rsidR="00205DEC" w:rsidRPr="00954581" w:rsidRDefault="00205DEC" w:rsidP="008A48B0">
            <w:pPr>
              <w:shd w:val="clear" w:color="auto" w:fill="FFFFFF" w:themeFill="background1"/>
              <w:jc w:val="both"/>
              <w:rPr>
                <w:rFonts w:ascii="ITC Avant Garde" w:hAnsi="ITC Avant Garde"/>
                <w:sz w:val="18"/>
                <w:szCs w:val="18"/>
              </w:rPr>
            </w:pPr>
          </w:p>
          <w:p w14:paraId="6116BA28" w14:textId="79C39A29" w:rsidR="00205DEC" w:rsidRDefault="00954581" w:rsidP="00954581">
            <w:pPr>
              <w:shd w:val="clear" w:color="auto" w:fill="FFFFFF" w:themeFill="background1"/>
              <w:jc w:val="both"/>
              <w:rPr>
                <w:rFonts w:ascii="ITC Avant Garde" w:hAnsi="ITC Avant Garde"/>
                <w:sz w:val="18"/>
                <w:szCs w:val="18"/>
              </w:rPr>
            </w:pPr>
            <w:r w:rsidRPr="00954581">
              <w:rPr>
                <w:rFonts w:ascii="ITC Avant Garde" w:hAnsi="ITC Avant Garde"/>
                <w:sz w:val="18"/>
                <w:szCs w:val="18"/>
              </w:rPr>
              <w:t xml:space="preserve">Gracias a </w:t>
            </w:r>
            <w:r>
              <w:rPr>
                <w:rFonts w:ascii="ITC Avant Garde" w:hAnsi="ITC Avant Garde"/>
                <w:sz w:val="18"/>
                <w:szCs w:val="18"/>
              </w:rPr>
              <w:t>esta regulación</w:t>
            </w:r>
            <w:r w:rsidRPr="00954581">
              <w:rPr>
                <w:rFonts w:ascii="ITC Avant Garde" w:hAnsi="ITC Avant Garde"/>
                <w:sz w:val="18"/>
                <w:szCs w:val="18"/>
              </w:rPr>
              <w:t xml:space="preserve">, el Instituto ha vigilado </w:t>
            </w:r>
            <w:r w:rsidR="00F245C1">
              <w:rPr>
                <w:rFonts w:ascii="ITC Avant Garde" w:hAnsi="ITC Avant Garde"/>
                <w:sz w:val="18"/>
                <w:szCs w:val="18"/>
              </w:rPr>
              <w:t xml:space="preserve">y supervisado </w:t>
            </w:r>
            <w:r w:rsidRPr="00954581">
              <w:rPr>
                <w:rFonts w:ascii="ITC Avant Garde" w:hAnsi="ITC Avant Garde"/>
                <w:sz w:val="18"/>
                <w:szCs w:val="18"/>
              </w:rPr>
              <w:t>a lo largo de los cuatro años anteriores que los servicios contratados por los usuarios finales se presten sobre bases de calidad y preserven los niveles mínimos de calidad establecidos en los Lineamientos</w:t>
            </w:r>
            <w:r>
              <w:rPr>
                <w:rFonts w:ascii="ITC Avant Garde" w:hAnsi="ITC Avant Garde"/>
                <w:sz w:val="18"/>
                <w:szCs w:val="18"/>
              </w:rPr>
              <w:t xml:space="preserve">. </w:t>
            </w:r>
          </w:p>
          <w:p w14:paraId="637AC815" w14:textId="069F2A3B" w:rsidR="00954581" w:rsidRDefault="00954581" w:rsidP="00954581">
            <w:pPr>
              <w:shd w:val="clear" w:color="auto" w:fill="FFFFFF" w:themeFill="background1"/>
              <w:jc w:val="both"/>
              <w:rPr>
                <w:rFonts w:ascii="ITC Avant Garde" w:hAnsi="ITC Avant Garde"/>
                <w:sz w:val="18"/>
                <w:szCs w:val="18"/>
              </w:rPr>
            </w:pPr>
          </w:p>
          <w:p w14:paraId="3FF077A2" w14:textId="2AA25683" w:rsidR="00205DEC" w:rsidRDefault="00F11510" w:rsidP="00454F66">
            <w:pPr>
              <w:shd w:val="clear" w:color="auto" w:fill="FFFFFF" w:themeFill="background1"/>
              <w:jc w:val="both"/>
              <w:rPr>
                <w:rFonts w:ascii="ITC Avant Garde" w:hAnsi="ITC Avant Garde"/>
                <w:sz w:val="18"/>
                <w:szCs w:val="18"/>
              </w:rPr>
            </w:pPr>
            <w:r>
              <w:rPr>
                <w:rFonts w:ascii="ITC Avant Garde" w:hAnsi="ITC Avant Garde"/>
                <w:sz w:val="18"/>
                <w:szCs w:val="18"/>
              </w:rPr>
              <w:t xml:space="preserve">Sin embargo, durante este </w:t>
            </w:r>
            <w:r w:rsidR="006E2CFF">
              <w:rPr>
                <w:rFonts w:ascii="ITC Avant Garde" w:hAnsi="ITC Avant Garde"/>
                <w:sz w:val="18"/>
                <w:szCs w:val="18"/>
              </w:rPr>
              <w:t xml:space="preserve">mismo </w:t>
            </w:r>
            <w:r>
              <w:rPr>
                <w:rFonts w:ascii="ITC Avant Garde" w:hAnsi="ITC Avant Garde"/>
                <w:sz w:val="18"/>
                <w:szCs w:val="18"/>
              </w:rPr>
              <w:t>periodo</w:t>
            </w:r>
            <w:r w:rsidR="001E3D6A">
              <w:rPr>
                <w:rFonts w:ascii="ITC Avant Garde" w:hAnsi="ITC Avant Garde"/>
                <w:sz w:val="18"/>
                <w:szCs w:val="18"/>
              </w:rPr>
              <w:t>,</w:t>
            </w:r>
            <w:r w:rsidR="00954581">
              <w:rPr>
                <w:rFonts w:ascii="ITC Avant Garde" w:hAnsi="ITC Avant Garde"/>
                <w:sz w:val="18"/>
                <w:szCs w:val="18"/>
              </w:rPr>
              <w:t xml:space="preserve"> el entorno digital ha cambi</w:t>
            </w:r>
            <w:r w:rsidR="00454F66">
              <w:rPr>
                <w:rFonts w:ascii="ITC Avant Garde" w:hAnsi="ITC Avant Garde"/>
                <w:sz w:val="18"/>
                <w:szCs w:val="18"/>
              </w:rPr>
              <w:t>ado</w:t>
            </w:r>
            <w:r w:rsidR="00954581">
              <w:rPr>
                <w:rFonts w:ascii="ITC Avant Garde" w:hAnsi="ITC Avant Garde"/>
                <w:sz w:val="18"/>
                <w:szCs w:val="18"/>
              </w:rPr>
              <w:t xml:space="preserve"> </w:t>
            </w:r>
            <w:r w:rsidR="00F245C1">
              <w:rPr>
                <w:rFonts w:ascii="ITC Avant Garde" w:hAnsi="ITC Avant Garde"/>
                <w:sz w:val="18"/>
                <w:szCs w:val="18"/>
              </w:rPr>
              <w:t>y</w:t>
            </w:r>
            <w:r w:rsidR="001E3D6A">
              <w:rPr>
                <w:rFonts w:ascii="ITC Avant Garde" w:hAnsi="ITC Avant Garde"/>
                <w:sz w:val="18"/>
                <w:szCs w:val="18"/>
              </w:rPr>
              <w:t>,</w:t>
            </w:r>
            <w:r w:rsidR="00F245C1">
              <w:rPr>
                <w:rFonts w:ascii="ITC Avant Garde" w:hAnsi="ITC Avant Garde"/>
                <w:sz w:val="18"/>
                <w:szCs w:val="18"/>
              </w:rPr>
              <w:t xml:space="preserve"> por ende, también</w:t>
            </w:r>
            <w:r w:rsidR="00954581">
              <w:rPr>
                <w:rFonts w:ascii="ITC Avant Garde" w:hAnsi="ITC Avant Garde"/>
                <w:sz w:val="18"/>
                <w:szCs w:val="18"/>
              </w:rPr>
              <w:t xml:space="preserve"> las redes</w:t>
            </w:r>
            <w:r w:rsidR="00F245C1">
              <w:rPr>
                <w:rFonts w:ascii="ITC Avant Garde" w:hAnsi="ITC Avant Garde"/>
                <w:sz w:val="18"/>
                <w:szCs w:val="18"/>
              </w:rPr>
              <w:t xml:space="preserve"> móviles. Los prestadores han realizado mejoras en sus redes y han transitado a nuevas tecnologías de acceso tanto </w:t>
            </w:r>
            <w:r w:rsidR="001C24C3">
              <w:rPr>
                <w:rFonts w:ascii="ITC Avant Garde" w:hAnsi="ITC Avant Garde"/>
                <w:sz w:val="18"/>
                <w:szCs w:val="18"/>
              </w:rPr>
              <w:t xml:space="preserve">para </w:t>
            </w:r>
            <w:r w:rsidR="00F245C1">
              <w:rPr>
                <w:rFonts w:ascii="ITC Avant Garde" w:hAnsi="ITC Avant Garde"/>
                <w:sz w:val="18"/>
                <w:szCs w:val="18"/>
              </w:rPr>
              <w:t xml:space="preserve">brindar un mejor servicio a sus usuarios como </w:t>
            </w:r>
            <w:r w:rsidR="001C24C3">
              <w:rPr>
                <w:rFonts w:ascii="ITC Avant Garde" w:hAnsi="ITC Avant Garde"/>
                <w:sz w:val="18"/>
                <w:szCs w:val="18"/>
              </w:rPr>
              <w:t xml:space="preserve">para </w:t>
            </w:r>
            <w:r w:rsidR="00F245C1">
              <w:rPr>
                <w:rFonts w:ascii="ITC Avant Garde" w:hAnsi="ITC Avant Garde"/>
                <w:sz w:val="18"/>
                <w:szCs w:val="18"/>
              </w:rPr>
              <w:t>poder soportar la creciente demanda del servicio. Es por esta razón que los prestadores han reducido sus redes de segunda (2G) y tercera generación (3G) para abrir paso a nuevas tecnologías de acceso como son las redes 4G</w:t>
            </w:r>
            <w:r w:rsidR="00CA1332">
              <w:rPr>
                <w:rFonts w:ascii="ITC Avant Garde" w:hAnsi="ITC Avant Garde"/>
                <w:sz w:val="18"/>
                <w:szCs w:val="18"/>
              </w:rPr>
              <w:t xml:space="preserve"> o LTE </w:t>
            </w:r>
            <w:r w:rsidR="00CA1332" w:rsidRPr="000509B4">
              <w:rPr>
                <w:rFonts w:ascii="ITC Avant Garde" w:hAnsi="ITC Avant Garde"/>
                <w:sz w:val="18"/>
                <w:szCs w:val="18"/>
              </w:rPr>
              <w:t>(Long-</w:t>
            </w:r>
            <w:proofErr w:type="spellStart"/>
            <w:r w:rsidR="00CA1332" w:rsidRPr="000509B4">
              <w:rPr>
                <w:rFonts w:ascii="ITC Avant Garde" w:hAnsi="ITC Avant Garde"/>
                <w:sz w:val="18"/>
                <w:szCs w:val="18"/>
              </w:rPr>
              <w:t>Term</w:t>
            </w:r>
            <w:proofErr w:type="spellEnd"/>
            <w:r w:rsidR="00CA1332" w:rsidRPr="000509B4">
              <w:rPr>
                <w:rFonts w:ascii="ITC Avant Garde" w:hAnsi="ITC Avant Garde"/>
                <w:sz w:val="18"/>
                <w:szCs w:val="18"/>
              </w:rPr>
              <w:t xml:space="preserve"> </w:t>
            </w:r>
            <w:proofErr w:type="spellStart"/>
            <w:r w:rsidR="00CA1332" w:rsidRPr="000509B4">
              <w:rPr>
                <w:rFonts w:ascii="ITC Avant Garde" w:hAnsi="ITC Avant Garde"/>
                <w:sz w:val="18"/>
                <w:szCs w:val="18"/>
              </w:rPr>
              <w:t>Evolution</w:t>
            </w:r>
            <w:proofErr w:type="spellEnd"/>
            <w:r w:rsidR="00CA1332" w:rsidRPr="000509B4">
              <w:rPr>
                <w:rFonts w:ascii="ITC Avant Garde" w:hAnsi="ITC Avant Garde"/>
                <w:sz w:val="18"/>
                <w:szCs w:val="18"/>
              </w:rPr>
              <w:t>)</w:t>
            </w:r>
            <w:r w:rsidR="00F245C1">
              <w:rPr>
                <w:rFonts w:ascii="ITC Avant Garde" w:hAnsi="ITC Avant Garde"/>
                <w:sz w:val="18"/>
                <w:szCs w:val="18"/>
              </w:rPr>
              <w:t xml:space="preserve"> y 5G</w:t>
            </w:r>
            <w:r w:rsidR="00D819D4" w:rsidRPr="00D819D4">
              <w:rPr>
                <w:rFonts w:ascii="ITC Avant Garde" w:hAnsi="ITC Avant Garde"/>
                <w:sz w:val="18"/>
                <w:szCs w:val="18"/>
              </w:rPr>
              <w:t>.</w:t>
            </w:r>
          </w:p>
          <w:p w14:paraId="173E9131" w14:textId="77777777" w:rsidR="00F245C1" w:rsidRDefault="00F245C1" w:rsidP="00454F66">
            <w:pPr>
              <w:shd w:val="clear" w:color="auto" w:fill="FFFFFF" w:themeFill="background1"/>
              <w:jc w:val="both"/>
              <w:rPr>
                <w:rFonts w:ascii="ITC Avant Garde" w:hAnsi="ITC Avant Garde"/>
                <w:sz w:val="18"/>
                <w:szCs w:val="18"/>
              </w:rPr>
            </w:pPr>
          </w:p>
          <w:p w14:paraId="54DC9F4B" w14:textId="4D6D883C" w:rsidR="002340D3" w:rsidRDefault="00F11510" w:rsidP="004173E1">
            <w:pPr>
              <w:shd w:val="clear" w:color="auto" w:fill="FFFFFF" w:themeFill="background1"/>
              <w:jc w:val="both"/>
              <w:rPr>
                <w:rFonts w:ascii="ITC Avant Garde" w:hAnsi="ITC Avant Garde"/>
                <w:sz w:val="18"/>
                <w:szCs w:val="18"/>
              </w:rPr>
            </w:pPr>
            <w:r>
              <w:rPr>
                <w:rFonts w:ascii="ITC Avant Garde" w:hAnsi="ITC Avant Garde"/>
                <w:sz w:val="18"/>
                <w:szCs w:val="18"/>
              </w:rPr>
              <w:t>D</w:t>
            </w:r>
            <w:r w:rsidR="004173E1" w:rsidRPr="004173E1">
              <w:rPr>
                <w:rFonts w:ascii="ITC Avant Garde" w:hAnsi="ITC Avant Garde"/>
                <w:sz w:val="18"/>
                <w:szCs w:val="18"/>
              </w:rPr>
              <w:t>e acuerdo con el reporte “</w:t>
            </w:r>
            <w:proofErr w:type="spellStart"/>
            <w:r w:rsidR="004173E1" w:rsidRPr="004173E1">
              <w:rPr>
                <w:rFonts w:ascii="ITC Avant Garde" w:hAnsi="ITC Avant Garde"/>
                <w:sz w:val="18"/>
                <w:szCs w:val="18"/>
              </w:rPr>
              <w:t>The</w:t>
            </w:r>
            <w:proofErr w:type="spellEnd"/>
            <w:r w:rsidR="004173E1" w:rsidRPr="004173E1">
              <w:rPr>
                <w:rFonts w:ascii="ITC Avant Garde" w:hAnsi="ITC Avant Garde"/>
                <w:sz w:val="18"/>
                <w:szCs w:val="18"/>
              </w:rPr>
              <w:t xml:space="preserve"> Mobile </w:t>
            </w:r>
            <w:proofErr w:type="spellStart"/>
            <w:r w:rsidR="004173E1" w:rsidRPr="004173E1">
              <w:rPr>
                <w:rFonts w:ascii="ITC Avant Garde" w:hAnsi="ITC Avant Garde"/>
                <w:sz w:val="18"/>
                <w:szCs w:val="18"/>
              </w:rPr>
              <w:t>Economy</w:t>
            </w:r>
            <w:proofErr w:type="spellEnd"/>
            <w:r w:rsidR="004173E1" w:rsidRPr="004173E1">
              <w:rPr>
                <w:rFonts w:ascii="ITC Avant Garde" w:hAnsi="ITC Avant Garde"/>
                <w:sz w:val="18"/>
                <w:szCs w:val="18"/>
              </w:rPr>
              <w:t xml:space="preserve"> </w:t>
            </w:r>
            <w:proofErr w:type="spellStart"/>
            <w:r w:rsidR="004173E1" w:rsidRPr="004173E1">
              <w:rPr>
                <w:rFonts w:ascii="ITC Avant Garde" w:hAnsi="ITC Avant Garde"/>
                <w:sz w:val="18"/>
                <w:szCs w:val="18"/>
              </w:rPr>
              <w:t>Latin</w:t>
            </w:r>
            <w:proofErr w:type="spellEnd"/>
            <w:r w:rsidR="004173E1" w:rsidRPr="004173E1">
              <w:rPr>
                <w:rFonts w:ascii="ITC Avant Garde" w:hAnsi="ITC Avant Garde"/>
                <w:sz w:val="18"/>
                <w:szCs w:val="18"/>
              </w:rPr>
              <w:t xml:space="preserve"> America 2021” de la GSMA, </w:t>
            </w:r>
            <w:r w:rsidR="002340D3" w:rsidRPr="004173E1">
              <w:rPr>
                <w:rFonts w:ascii="ITC Avant Garde" w:hAnsi="ITC Avant Garde"/>
                <w:sz w:val="18"/>
                <w:szCs w:val="18"/>
              </w:rPr>
              <w:t xml:space="preserve">en 2020, las redes en América Latina estaban compuestas en un 13% de redes de segunda generación (2G), 32% de redes de tercera generación (3G) y 55% de redes de cuarta generación (4G). </w:t>
            </w:r>
            <w:r w:rsidR="001C24C3">
              <w:rPr>
                <w:rFonts w:ascii="ITC Avant Garde" w:hAnsi="ITC Avant Garde"/>
                <w:sz w:val="18"/>
                <w:szCs w:val="18"/>
              </w:rPr>
              <w:t>Y se prevé que, en e</w:t>
            </w:r>
            <w:r w:rsidR="002340D3" w:rsidRPr="004173E1">
              <w:rPr>
                <w:rFonts w:ascii="ITC Avant Garde" w:hAnsi="ITC Avant Garde"/>
                <w:sz w:val="18"/>
                <w:szCs w:val="18"/>
              </w:rPr>
              <w:t>l mediano plazo, los prestadores de la región comenzarán a expandir su capacidad y su cobertura con redes 4G y de quinta generación (5G). Por lo tanto, en el 2025 se espera una caída en la participación de las redes 2G y 3G, 4% y 18%, respectivamente, y una penetración del 67% de las redes 4G y la integración de las redes 5G con un 12%.</w:t>
            </w:r>
            <w:r w:rsidR="004173E1">
              <w:rPr>
                <w:rFonts w:ascii="ITC Avant Garde" w:hAnsi="ITC Avant Garde"/>
                <w:sz w:val="18"/>
                <w:szCs w:val="18"/>
              </w:rPr>
              <w:t xml:space="preserve"> </w:t>
            </w:r>
          </w:p>
          <w:p w14:paraId="184DE28C" w14:textId="7D80005D" w:rsidR="007504E2" w:rsidRDefault="007504E2" w:rsidP="004173E1">
            <w:pPr>
              <w:shd w:val="clear" w:color="auto" w:fill="FFFFFF" w:themeFill="background1"/>
              <w:jc w:val="both"/>
              <w:rPr>
                <w:rFonts w:ascii="ITC Avant Garde" w:hAnsi="ITC Avant Garde"/>
                <w:sz w:val="18"/>
                <w:szCs w:val="18"/>
              </w:rPr>
            </w:pPr>
          </w:p>
          <w:p w14:paraId="536C0F33" w14:textId="2CA96C6C" w:rsidR="008823ED" w:rsidRDefault="008823ED" w:rsidP="008823ED">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 importante </w:t>
            </w:r>
            <w:r w:rsidR="004C6461">
              <w:rPr>
                <w:rFonts w:ascii="ITC Avant Garde" w:hAnsi="ITC Avant Garde"/>
                <w:sz w:val="18"/>
                <w:szCs w:val="18"/>
              </w:rPr>
              <w:t xml:space="preserve">también </w:t>
            </w:r>
            <w:r>
              <w:rPr>
                <w:rFonts w:ascii="ITC Avant Garde" w:hAnsi="ITC Avant Garde"/>
                <w:sz w:val="18"/>
                <w:szCs w:val="18"/>
              </w:rPr>
              <w:t>mencionar que u</w:t>
            </w:r>
            <w:r w:rsidR="000509B4" w:rsidRPr="000509B4">
              <w:rPr>
                <w:rFonts w:ascii="ITC Avant Garde" w:hAnsi="ITC Avant Garde"/>
                <w:sz w:val="18"/>
                <w:szCs w:val="18"/>
              </w:rPr>
              <w:t>na de las principales novedades de</w:t>
            </w:r>
            <w:r>
              <w:rPr>
                <w:rFonts w:ascii="ITC Avant Garde" w:hAnsi="ITC Avant Garde"/>
                <w:sz w:val="18"/>
                <w:szCs w:val="18"/>
              </w:rPr>
              <w:t xml:space="preserve"> </w:t>
            </w:r>
            <w:r w:rsidR="000509B4" w:rsidRPr="000509B4">
              <w:rPr>
                <w:rFonts w:ascii="ITC Avant Garde" w:hAnsi="ITC Avant Garde"/>
                <w:sz w:val="18"/>
                <w:szCs w:val="18"/>
              </w:rPr>
              <w:t>LTE es que es una red IP extremo a extremo,</w:t>
            </w:r>
            <w:r w:rsidR="000509B4">
              <w:rPr>
                <w:rFonts w:ascii="ITC Avant Garde" w:hAnsi="ITC Avant Garde"/>
                <w:sz w:val="18"/>
                <w:szCs w:val="18"/>
              </w:rPr>
              <w:t xml:space="preserve"> </w:t>
            </w:r>
            <w:r w:rsidR="000509B4" w:rsidRPr="000509B4">
              <w:rPr>
                <w:rFonts w:ascii="ITC Avant Garde" w:hAnsi="ITC Avant Garde"/>
                <w:sz w:val="18"/>
                <w:szCs w:val="18"/>
              </w:rPr>
              <w:t>por lo que no existe el dominio de</w:t>
            </w:r>
            <w:r w:rsidR="00F11510">
              <w:rPr>
                <w:rFonts w:ascii="ITC Avant Garde" w:hAnsi="ITC Avant Garde"/>
                <w:sz w:val="18"/>
                <w:szCs w:val="18"/>
              </w:rPr>
              <w:t xml:space="preserve"> </w:t>
            </w:r>
            <w:r w:rsidR="000509B4" w:rsidRPr="000509B4">
              <w:rPr>
                <w:rFonts w:ascii="ITC Avant Garde" w:hAnsi="ITC Avant Garde"/>
                <w:sz w:val="18"/>
                <w:szCs w:val="18"/>
              </w:rPr>
              <w:t>circuitos conmutados para manejar las</w:t>
            </w:r>
            <w:r w:rsidR="000509B4">
              <w:rPr>
                <w:rFonts w:ascii="ITC Avant Garde" w:hAnsi="ITC Avant Garde"/>
                <w:sz w:val="18"/>
                <w:szCs w:val="18"/>
              </w:rPr>
              <w:t xml:space="preserve"> </w:t>
            </w:r>
            <w:r w:rsidR="000509B4" w:rsidRPr="000509B4">
              <w:rPr>
                <w:rFonts w:ascii="ITC Avant Garde" w:hAnsi="ITC Avant Garde"/>
                <w:sz w:val="18"/>
                <w:szCs w:val="18"/>
              </w:rPr>
              <w:t>llamadas de voz, tal y como ocurría en</w:t>
            </w:r>
            <w:r w:rsidR="000509B4">
              <w:rPr>
                <w:rFonts w:ascii="ITC Avant Garde" w:hAnsi="ITC Avant Garde"/>
                <w:sz w:val="18"/>
                <w:szCs w:val="18"/>
              </w:rPr>
              <w:t xml:space="preserve"> </w:t>
            </w:r>
            <w:r w:rsidR="000509B4" w:rsidRPr="000509B4">
              <w:rPr>
                <w:rFonts w:ascii="ITC Avant Garde" w:hAnsi="ITC Avant Garde"/>
                <w:sz w:val="18"/>
                <w:szCs w:val="18"/>
              </w:rPr>
              <w:t>las tradicionales redes 2G/3G</w:t>
            </w:r>
            <w:r>
              <w:rPr>
                <w:rFonts w:ascii="ITC Avant Garde" w:hAnsi="ITC Avant Garde"/>
                <w:sz w:val="18"/>
                <w:szCs w:val="18"/>
              </w:rPr>
              <w:t xml:space="preserve">. No obstante, </w:t>
            </w:r>
            <w:r w:rsidR="00CA1332">
              <w:rPr>
                <w:rFonts w:ascii="ITC Avant Garde" w:hAnsi="ITC Avant Garde"/>
                <w:sz w:val="18"/>
                <w:szCs w:val="18"/>
              </w:rPr>
              <w:t xml:space="preserve">en redes maduras, </w:t>
            </w:r>
            <w:proofErr w:type="spellStart"/>
            <w:r w:rsidRPr="008823ED">
              <w:rPr>
                <w:rFonts w:ascii="ITC Avant Garde" w:hAnsi="ITC Avant Garde"/>
                <w:sz w:val="18"/>
                <w:szCs w:val="18"/>
              </w:rPr>
              <w:t>VoLTE</w:t>
            </w:r>
            <w:proofErr w:type="spellEnd"/>
            <w:r w:rsidRPr="008823ED">
              <w:rPr>
                <w:rFonts w:ascii="ITC Avant Garde" w:hAnsi="ITC Avant Garde"/>
                <w:sz w:val="18"/>
                <w:szCs w:val="18"/>
              </w:rPr>
              <w:t xml:space="preserve"> </w:t>
            </w:r>
            <w:r w:rsidR="00CA1332">
              <w:rPr>
                <w:rFonts w:ascii="ITC Avant Garde" w:hAnsi="ITC Avant Garde"/>
                <w:sz w:val="18"/>
                <w:szCs w:val="18"/>
              </w:rPr>
              <w:t>(</w:t>
            </w:r>
            <w:proofErr w:type="spellStart"/>
            <w:r w:rsidR="00CA1332">
              <w:rPr>
                <w:rFonts w:ascii="ITC Avant Garde" w:hAnsi="ITC Avant Garde"/>
                <w:sz w:val="18"/>
                <w:szCs w:val="18"/>
              </w:rPr>
              <w:t>Voice</w:t>
            </w:r>
            <w:proofErr w:type="spellEnd"/>
            <w:r w:rsidR="00CA1332">
              <w:rPr>
                <w:rFonts w:ascii="ITC Avant Garde" w:hAnsi="ITC Avant Garde"/>
                <w:sz w:val="18"/>
                <w:szCs w:val="18"/>
              </w:rPr>
              <w:t xml:space="preserve"> </w:t>
            </w:r>
            <w:proofErr w:type="spellStart"/>
            <w:r w:rsidR="00CA1332">
              <w:rPr>
                <w:rFonts w:ascii="ITC Avant Garde" w:hAnsi="ITC Avant Garde"/>
                <w:sz w:val="18"/>
                <w:szCs w:val="18"/>
              </w:rPr>
              <w:t>over</w:t>
            </w:r>
            <w:proofErr w:type="spellEnd"/>
            <w:r w:rsidR="00CA1332">
              <w:rPr>
                <w:rFonts w:ascii="ITC Avant Garde" w:hAnsi="ITC Avant Garde"/>
                <w:sz w:val="18"/>
                <w:szCs w:val="18"/>
              </w:rPr>
              <w:t xml:space="preserve"> LTE)</w:t>
            </w:r>
            <w:r w:rsidR="00966E95">
              <w:rPr>
                <w:rFonts w:ascii="ITC Avant Garde" w:hAnsi="ITC Avant Garde"/>
                <w:sz w:val="18"/>
                <w:szCs w:val="18"/>
              </w:rPr>
              <w:t xml:space="preserve"> </w:t>
            </w:r>
            <w:r w:rsidRPr="008823ED">
              <w:rPr>
                <w:rFonts w:ascii="ITC Avant Garde" w:hAnsi="ITC Avant Garde"/>
                <w:sz w:val="18"/>
                <w:szCs w:val="18"/>
              </w:rPr>
              <w:t>ha sido la solución para ofrecer voz sobre IP.</w:t>
            </w:r>
            <w:r>
              <w:rPr>
                <w:rFonts w:ascii="ITC Avant Garde" w:hAnsi="ITC Avant Garde"/>
                <w:sz w:val="18"/>
                <w:szCs w:val="18"/>
              </w:rPr>
              <w:t xml:space="preserve"> </w:t>
            </w:r>
          </w:p>
          <w:p w14:paraId="3F4A1914" w14:textId="77777777" w:rsidR="00CA1332" w:rsidRPr="008823ED" w:rsidRDefault="00CA1332" w:rsidP="008823ED">
            <w:pPr>
              <w:shd w:val="clear" w:color="auto" w:fill="FFFFFF" w:themeFill="background1"/>
              <w:jc w:val="both"/>
              <w:rPr>
                <w:rFonts w:ascii="Palatino-Roman" w:hAnsi="Palatino-Roman" w:cs="Palatino-Roman"/>
                <w:sz w:val="16"/>
                <w:szCs w:val="16"/>
              </w:rPr>
            </w:pPr>
          </w:p>
          <w:p w14:paraId="4E174B50" w14:textId="3C6A0001" w:rsidR="008823ED" w:rsidRDefault="008823ED" w:rsidP="008823ED">
            <w:pPr>
              <w:shd w:val="clear" w:color="auto" w:fill="FFFFFF" w:themeFill="background1"/>
              <w:jc w:val="both"/>
              <w:rPr>
                <w:rFonts w:ascii="ITC Avant Garde" w:hAnsi="ITC Avant Garde"/>
                <w:sz w:val="18"/>
                <w:szCs w:val="18"/>
              </w:rPr>
            </w:pPr>
            <w:r>
              <w:rPr>
                <w:rFonts w:ascii="ITC Avant Garde" w:hAnsi="ITC Avant Garde"/>
                <w:sz w:val="18"/>
                <w:szCs w:val="18"/>
              </w:rPr>
              <w:t>Ahora bien, en el momento en que se concibieron y publicaron los Lineamientos, aunque ya se empezaba a tener una</w:t>
            </w:r>
            <w:r w:rsidR="00CA1332">
              <w:rPr>
                <w:rFonts w:ascii="ITC Avant Garde" w:hAnsi="ITC Avant Garde"/>
                <w:sz w:val="18"/>
                <w:szCs w:val="18"/>
              </w:rPr>
              <w:t xml:space="preserve"> </w:t>
            </w:r>
            <w:r>
              <w:rPr>
                <w:rFonts w:ascii="ITC Avant Garde" w:hAnsi="ITC Avant Garde"/>
                <w:sz w:val="18"/>
                <w:szCs w:val="18"/>
              </w:rPr>
              <w:t>cobertura de LT</w:t>
            </w:r>
            <w:r w:rsidR="00CA1332">
              <w:rPr>
                <w:rFonts w:ascii="ITC Avant Garde" w:hAnsi="ITC Avant Garde"/>
                <w:sz w:val="18"/>
                <w:szCs w:val="18"/>
              </w:rPr>
              <w:t xml:space="preserve">E, esta </w:t>
            </w:r>
            <w:r w:rsidR="00F23D1D">
              <w:rPr>
                <w:rFonts w:ascii="ITC Avant Garde" w:hAnsi="ITC Avant Garde"/>
                <w:sz w:val="18"/>
                <w:szCs w:val="18"/>
              </w:rPr>
              <w:t>se encontraba en una etapa temprana</w:t>
            </w:r>
            <w:r w:rsidR="00CA1332">
              <w:rPr>
                <w:rFonts w:ascii="ITC Avant Garde" w:hAnsi="ITC Avant Garde"/>
                <w:sz w:val="18"/>
                <w:szCs w:val="18"/>
              </w:rPr>
              <w:t xml:space="preserve"> y</w:t>
            </w:r>
            <w:r w:rsidR="00966E95">
              <w:rPr>
                <w:rFonts w:ascii="ITC Avant Garde" w:hAnsi="ITC Avant Garde"/>
                <w:sz w:val="18"/>
                <w:szCs w:val="18"/>
              </w:rPr>
              <w:t xml:space="preserve">, </w:t>
            </w:r>
            <w:r w:rsidR="00CA1332">
              <w:rPr>
                <w:rFonts w:ascii="ITC Avant Garde" w:hAnsi="ITC Avant Garde"/>
                <w:sz w:val="18"/>
                <w:szCs w:val="18"/>
              </w:rPr>
              <w:t xml:space="preserve">además, </w:t>
            </w:r>
            <w:r w:rsidR="00CA1332">
              <w:rPr>
                <w:rFonts w:ascii="ITC Avant Garde" w:hAnsi="ITC Avant Garde"/>
                <w:sz w:val="18"/>
                <w:szCs w:val="18"/>
              </w:rPr>
              <w:lastRenderedPageBreak/>
              <w:t>los prestadores</w:t>
            </w:r>
            <w:r>
              <w:rPr>
                <w:rFonts w:ascii="ITC Avant Garde" w:hAnsi="ITC Avant Garde"/>
                <w:sz w:val="18"/>
                <w:szCs w:val="18"/>
              </w:rPr>
              <w:t xml:space="preserve"> </w:t>
            </w:r>
            <w:r w:rsidR="00CA1332">
              <w:rPr>
                <w:rFonts w:ascii="ITC Avant Garde" w:hAnsi="ITC Avant Garde"/>
                <w:sz w:val="18"/>
                <w:szCs w:val="18"/>
              </w:rPr>
              <w:t>aún no</w:t>
            </w:r>
            <w:r>
              <w:rPr>
                <w:rFonts w:ascii="ITC Avant Garde" w:hAnsi="ITC Avant Garde"/>
                <w:sz w:val="18"/>
                <w:szCs w:val="18"/>
              </w:rPr>
              <w:t xml:space="preserve"> ofrecía</w:t>
            </w:r>
            <w:r w:rsidR="00CA1332">
              <w:rPr>
                <w:rFonts w:ascii="ITC Avant Garde" w:hAnsi="ITC Avant Garde"/>
                <w:sz w:val="18"/>
                <w:szCs w:val="18"/>
              </w:rPr>
              <w:t>n</w:t>
            </w:r>
            <w:r>
              <w:rPr>
                <w:rFonts w:ascii="ITC Avant Garde" w:hAnsi="ITC Avant Garde"/>
                <w:sz w:val="18"/>
                <w:szCs w:val="18"/>
              </w:rPr>
              <w:t xml:space="preserve"> el servicio de </w:t>
            </w:r>
            <w:proofErr w:type="spellStart"/>
            <w:r>
              <w:rPr>
                <w:rFonts w:ascii="ITC Avant Garde" w:hAnsi="ITC Avant Garde"/>
                <w:sz w:val="18"/>
                <w:szCs w:val="18"/>
              </w:rPr>
              <w:t>VoLTE</w:t>
            </w:r>
            <w:proofErr w:type="spellEnd"/>
            <w:r w:rsidR="00966E95">
              <w:rPr>
                <w:rFonts w:ascii="ITC Avant Garde" w:hAnsi="ITC Avant Garde"/>
                <w:sz w:val="18"/>
                <w:szCs w:val="18"/>
              </w:rPr>
              <w:t xml:space="preserve"> a sus usuarios</w:t>
            </w:r>
            <w:r>
              <w:rPr>
                <w:rFonts w:ascii="ITC Avant Garde" w:hAnsi="ITC Avant Garde"/>
                <w:sz w:val="18"/>
                <w:szCs w:val="18"/>
              </w:rPr>
              <w:t>, por lo que</w:t>
            </w:r>
            <w:r w:rsidR="00CA1332">
              <w:rPr>
                <w:rFonts w:ascii="ITC Avant Garde" w:hAnsi="ITC Avant Garde"/>
                <w:sz w:val="18"/>
                <w:szCs w:val="18"/>
              </w:rPr>
              <w:t xml:space="preserve"> en el diseño de</w:t>
            </w:r>
            <w:r>
              <w:rPr>
                <w:rFonts w:ascii="ITC Avant Garde" w:hAnsi="ITC Avant Garde"/>
                <w:sz w:val="18"/>
                <w:szCs w:val="18"/>
              </w:rPr>
              <w:t xml:space="preserve"> los Lineamientos no </w:t>
            </w:r>
            <w:r w:rsidR="00CA1332">
              <w:rPr>
                <w:rFonts w:ascii="ITC Avant Garde" w:hAnsi="ITC Avant Garde"/>
                <w:sz w:val="18"/>
                <w:szCs w:val="18"/>
              </w:rPr>
              <w:t>se contempló esta tecnología.</w:t>
            </w:r>
          </w:p>
          <w:p w14:paraId="7070B850" w14:textId="77777777" w:rsidR="00CA1332" w:rsidRPr="00A733CB" w:rsidRDefault="00CA1332" w:rsidP="008823ED">
            <w:pPr>
              <w:shd w:val="clear" w:color="auto" w:fill="FFFFFF" w:themeFill="background1"/>
              <w:jc w:val="both"/>
              <w:rPr>
                <w:rFonts w:ascii="ITC Avant Garde" w:hAnsi="ITC Avant Garde"/>
                <w:sz w:val="18"/>
                <w:szCs w:val="18"/>
              </w:rPr>
            </w:pPr>
          </w:p>
          <w:p w14:paraId="4D2CB968" w14:textId="15FFA7BB" w:rsidR="00CA1332" w:rsidRDefault="00CA1332" w:rsidP="006E2CFF">
            <w:pPr>
              <w:shd w:val="clear" w:color="auto" w:fill="FFFFFF" w:themeFill="background1"/>
              <w:jc w:val="both"/>
              <w:rPr>
                <w:rFonts w:ascii="ITC Avant Garde" w:hAnsi="ITC Avant Garde"/>
                <w:sz w:val="18"/>
                <w:szCs w:val="18"/>
              </w:rPr>
            </w:pPr>
            <w:r>
              <w:rPr>
                <w:rFonts w:ascii="ITC Avant Garde" w:hAnsi="ITC Avant Garde"/>
                <w:sz w:val="18"/>
                <w:szCs w:val="18"/>
              </w:rPr>
              <w:t xml:space="preserve">No obstante, </w:t>
            </w:r>
            <w:r w:rsidR="00F23D1D">
              <w:rPr>
                <w:rFonts w:ascii="ITC Avant Garde" w:hAnsi="ITC Avant Garde"/>
                <w:sz w:val="18"/>
                <w:szCs w:val="18"/>
              </w:rPr>
              <w:t>al cierre de 2021</w:t>
            </w:r>
            <w:r>
              <w:rPr>
                <w:rFonts w:ascii="ITC Avant Garde" w:hAnsi="ITC Avant Garde"/>
                <w:sz w:val="18"/>
                <w:szCs w:val="18"/>
              </w:rPr>
              <w:t xml:space="preserve">, </w:t>
            </w:r>
            <w:r w:rsidRPr="00D819D4">
              <w:rPr>
                <w:rFonts w:ascii="ITC Avant Garde" w:hAnsi="ITC Avant Garde"/>
                <w:sz w:val="18"/>
                <w:szCs w:val="18"/>
              </w:rPr>
              <w:t xml:space="preserve">las redes </w:t>
            </w:r>
            <w:r>
              <w:rPr>
                <w:rFonts w:ascii="ITC Avant Garde" w:hAnsi="ITC Avant Garde"/>
                <w:sz w:val="18"/>
                <w:szCs w:val="18"/>
              </w:rPr>
              <w:t xml:space="preserve">LTE </w:t>
            </w:r>
            <w:r w:rsidR="00F23D1D">
              <w:rPr>
                <w:rFonts w:ascii="ITC Avant Garde" w:hAnsi="ITC Avant Garde"/>
                <w:sz w:val="18"/>
                <w:szCs w:val="18"/>
              </w:rPr>
              <w:t>cuentan con una cobertura del 95% de la población</w:t>
            </w:r>
            <w:r w:rsidRPr="00D819D4">
              <w:rPr>
                <w:rFonts w:ascii="ITC Avant Garde" w:hAnsi="ITC Avant Garde"/>
                <w:sz w:val="18"/>
                <w:szCs w:val="18"/>
              </w:rPr>
              <w:t xml:space="preserve"> a nivel nacional y el 78.9% del tráfico total de datos cursa por esta tecnología</w:t>
            </w:r>
            <w:r w:rsidR="000C5340">
              <w:rPr>
                <w:rFonts w:ascii="ITC Avant Garde" w:hAnsi="ITC Avant Garde"/>
                <w:sz w:val="18"/>
                <w:szCs w:val="18"/>
              </w:rPr>
              <w:t>,</w:t>
            </w:r>
            <w:r w:rsidR="00AD0A0F">
              <w:rPr>
                <w:rFonts w:ascii="ITC Avant Garde" w:hAnsi="ITC Avant Garde"/>
                <w:sz w:val="18"/>
                <w:szCs w:val="18"/>
              </w:rPr>
              <w:t xml:space="preserve"> </w:t>
            </w:r>
            <w:r w:rsidR="000C5340">
              <w:rPr>
                <w:rFonts w:ascii="ITC Avant Garde" w:hAnsi="ITC Avant Garde"/>
                <w:sz w:val="18"/>
                <w:szCs w:val="18"/>
              </w:rPr>
              <w:t xml:space="preserve">también </w:t>
            </w:r>
            <w:r w:rsidR="00AD0A0F">
              <w:rPr>
                <w:rFonts w:ascii="ITC Avant Garde" w:hAnsi="ITC Avant Garde"/>
                <w:sz w:val="18"/>
                <w:szCs w:val="18"/>
              </w:rPr>
              <w:t xml:space="preserve">ya se ofrece el servicio de </w:t>
            </w:r>
            <w:proofErr w:type="spellStart"/>
            <w:r w:rsidR="00AD0A0F">
              <w:rPr>
                <w:rFonts w:ascii="ITC Avant Garde" w:hAnsi="ITC Avant Garde"/>
                <w:sz w:val="18"/>
                <w:szCs w:val="18"/>
              </w:rPr>
              <w:t>VoLTE</w:t>
            </w:r>
            <w:proofErr w:type="spellEnd"/>
            <w:r w:rsidR="00AD0A0F">
              <w:rPr>
                <w:rFonts w:ascii="ITC Avant Garde" w:hAnsi="ITC Avant Garde"/>
                <w:sz w:val="18"/>
                <w:szCs w:val="18"/>
              </w:rPr>
              <w:t>, por lo que es imprescindible actualizar los Lineamientos de modo que se consideren los nuevos escenarios de las últimas tecnologías de acceso.</w:t>
            </w:r>
          </w:p>
          <w:p w14:paraId="7F8CE83E" w14:textId="77777777" w:rsidR="00CA1332" w:rsidRDefault="00CA1332" w:rsidP="006E2CFF">
            <w:pPr>
              <w:shd w:val="clear" w:color="auto" w:fill="FFFFFF" w:themeFill="background1"/>
              <w:jc w:val="both"/>
              <w:rPr>
                <w:rFonts w:ascii="ITC Avant Garde" w:hAnsi="ITC Avant Garde"/>
                <w:sz w:val="18"/>
                <w:szCs w:val="18"/>
              </w:rPr>
            </w:pPr>
          </w:p>
          <w:p w14:paraId="6C4F9611" w14:textId="62DCF1C3" w:rsidR="00751286" w:rsidRDefault="00B60D02" w:rsidP="00671D94">
            <w:pPr>
              <w:shd w:val="clear" w:color="auto" w:fill="FFFFFF" w:themeFill="background1"/>
              <w:jc w:val="both"/>
              <w:rPr>
                <w:rFonts w:ascii="ITC Avant Garde" w:hAnsi="ITC Avant Garde"/>
                <w:sz w:val="18"/>
                <w:szCs w:val="18"/>
              </w:rPr>
            </w:pPr>
            <w:r>
              <w:rPr>
                <w:rFonts w:ascii="ITC Avant Garde" w:hAnsi="ITC Avant Garde"/>
                <w:sz w:val="18"/>
                <w:szCs w:val="18"/>
              </w:rPr>
              <w:t>Por otra parte</w:t>
            </w:r>
            <w:r w:rsidR="001E3D6A">
              <w:rPr>
                <w:rFonts w:ascii="ITC Avant Garde" w:hAnsi="ITC Avant Garde"/>
                <w:sz w:val="18"/>
                <w:szCs w:val="18"/>
              </w:rPr>
              <w:t>,</w:t>
            </w:r>
            <w:r w:rsidR="00671D94">
              <w:rPr>
                <w:rFonts w:ascii="ITC Avant Garde" w:hAnsi="ITC Avant Garde"/>
                <w:sz w:val="18"/>
                <w:szCs w:val="18"/>
              </w:rPr>
              <w:t xml:space="preserve"> </w:t>
            </w:r>
            <w:r w:rsidR="003C5122">
              <w:rPr>
                <w:rFonts w:ascii="ITC Avant Garde" w:hAnsi="ITC Avant Garde"/>
                <w:sz w:val="18"/>
                <w:szCs w:val="18"/>
              </w:rPr>
              <w:t xml:space="preserve">el hecho de que </w:t>
            </w:r>
            <w:r w:rsidR="00671D94">
              <w:rPr>
                <w:rFonts w:ascii="ITC Avant Garde" w:hAnsi="ITC Avant Garde"/>
                <w:sz w:val="18"/>
                <w:szCs w:val="18"/>
              </w:rPr>
              <w:t xml:space="preserve">múltiples </w:t>
            </w:r>
            <w:r w:rsidR="003C5122">
              <w:rPr>
                <w:rFonts w:ascii="ITC Avant Garde" w:hAnsi="ITC Avant Garde"/>
                <w:sz w:val="18"/>
                <w:szCs w:val="18"/>
              </w:rPr>
              <w:t>tecnologías convivan</w:t>
            </w:r>
            <w:r w:rsidR="00671D94">
              <w:rPr>
                <w:rFonts w:ascii="ITC Avant Garde" w:hAnsi="ITC Avant Garde"/>
                <w:sz w:val="18"/>
                <w:szCs w:val="18"/>
              </w:rPr>
              <w:t xml:space="preserve"> en un</w:t>
            </w:r>
            <w:r w:rsidR="003C5122">
              <w:rPr>
                <w:rFonts w:ascii="ITC Avant Garde" w:hAnsi="ITC Avant Garde"/>
                <w:sz w:val="18"/>
                <w:szCs w:val="18"/>
              </w:rPr>
              <w:t xml:space="preserve">a </w:t>
            </w:r>
            <w:r w:rsidR="00671D94">
              <w:rPr>
                <w:rFonts w:ascii="ITC Avant Garde" w:hAnsi="ITC Avant Garde"/>
                <w:sz w:val="18"/>
                <w:szCs w:val="18"/>
              </w:rPr>
              <w:t>red</w:t>
            </w:r>
            <w:r w:rsidR="003C5122">
              <w:rPr>
                <w:rFonts w:ascii="ITC Avant Garde" w:hAnsi="ITC Avant Garde"/>
                <w:sz w:val="18"/>
                <w:szCs w:val="18"/>
              </w:rPr>
              <w:t xml:space="preserve"> tiene repercusiones en</w:t>
            </w:r>
            <w:r w:rsidR="001E3D6A">
              <w:rPr>
                <w:rFonts w:ascii="ITC Avant Garde" w:hAnsi="ITC Avant Garde"/>
                <w:sz w:val="18"/>
                <w:szCs w:val="18"/>
              </w:rPr>
              <w:t xml:space="preserve"> </w:t>
            </w:r>
            <w:r w:rsidR="00671D94">
              <w:rPr>
                <w:rFonts w:ascii="ITC Avant Garde" w:hAnsi="ITC Avant Garde"/>
                <w:sz w:val="18"/>
                <w:szCs w:val="18"/>
              </w:rPr>
              <w:t>la calidad del servicio,</w:t>
            </w:r>
            <w:r w:rsidR="003C5122">
              <w:rPr>
                <w:rFonts w:ascii="ITC Avant Garde" w:hAnsi="ITC Avant Garde"/>
                <w:sz w:val="18"/>
                <w:szCs w:val="18"/>
              </w:rPr>
              <w:t xml:space="preserve"> principalmente </w:t>
            </w:r>
            <w:r w:rsidR="008C0B3D">
              <w:rPr>
                <w:rFonts w:ascii="ITC Avant Garde" w:hAnsi="ITC Avant Garde"/>
                <w:sz w:val="18"/>
                <w:szCs w:val="18"/>
              </w:rPr>
              <w:t>a lo que refiere los tiempos de respuesta; por ejemplo, cuando un usuario está haciendo uso del servicio, es altamente probable que</w:t>
            </w:r>
            <w:r w:rsidR="003C5122">
              <w:rPr>
                <w:rFonts w:ascii="ITC Avant Garde" w:hAnsi="ITC Avant Garde"/>
                <w:sz w:val="18"/>
                <w:szCs w:val="18"/>
              </w:rPr>
              <w:t xml:space="preserve"> </w:t>
            </w:r>
            <w:r w:rsidR="00346B74">
              <w:rPr>
                <w:rFonts w:ascii="ITC Avant Garde" w:hAnsi="ITC Avant Garde"/>
                <w:sz w:val="18"/>
                <w:szCs w:val="18"/>
              </w:rPr>
              <w:t xml:space="preserve">la red </w:t>
            </w:r>
            <w:r w:rsidR="00BF45CF">
              <w:rPr>
                <w:rFonts w:ascii="ITC Avant Garde" w:hAnsi="ITC Avant Garde"/>
                <w:sz w:val="18"/>
                <w:szCs w:val="18"/>
              </w:rPr>
              <w:t>altern</w:t>
            </w:r>
            <w:r w:rsidR="008C0B3D">
              <w:rPr>
                <w:rFonts w:ascii="ITC Avant Garde" w:hAnsi="ITC Avant Garde"/>
                <w:sz w:val="18"/>
                <w:szCs w:val="18"/>
              </w:rPr>
              <w:t>e</w:t>
            </w:r>
            <w:r w:rsidR="00BF45CF">
              <w:rPr>
                <w:rFonts w:ascii="ITC Avant Garde" w:hAnsi="ITC Avant Garde"/>
                <w:sz w:val="18"/>
                <w:szCs w:val="18"/>
              </w:rPr>
              <w:t xml:space="preserve"> entre diferentes</w:t>
            </w:r>
            <w:r w:rsidR="003C5122">
              <w:rPr>
                <w:rFonts w:ascii="ITC Avant Garde" w:hAnsi="ITC Avant Garde"/>
                <w:sz w:val="18"/>
                <w:szCs w:val="18"/>
              </w:rPr>
              <w:t xml:space="preserve"> tecnologías</w:t>
            </w:r>
            <w:r w:rsidR="00346B74">
              <w:rPr>
                <w:rFonts w:ascii="ITC Avant Garde" w:hAnsi="ITC Avant Garde"/>
                <w:sz w:val="18"/>
                <w:szCs w:val="18"/>
              </w:rPr>
              <w:t xml:space="preserve"> dependiendo de la señal que el usuario </w:t>
            </w:r>
            <w:r w:rsidR="00BF45CF">
              <w:rPr>
                <w:rFonts w:ascii="ITC Avant Garde" w:hAnsi="ITC Avant Garde"/>
                <w:sz w:val="18"/>
                <w:szCs w:val="18"/>
              </w:rPr>
              <w:t xml:space="preserve">esté </w:t>
            </w:r>
            <w:r w:rsidR="00346B74">
              <w:rPr>
                <w:rFonts w:ascii="ITC Avant Garde" w:hAnsi="ITC Avant Garde"/>
                <w:sz w:val="18"/>
                <w:szCs w:val="18"/>
              </w:rPr>
              <w:t>recib</w:t>
            </w:r>
            <w:r w:rsidR="00BF45CF">
              <w:rPr>
                <w:rFonts w:ascii="ITC Avant Garde" w:hAnsi="ITC Avant Garde"/>
                <w:sz w:val="18"/>
                <w:szCs w:val="18"/>
              </w:rPr>
              <w:t>iendo</w:t>
            </w:r>
            <w:r w:rsidR="00BB7A6E">
              <w:rPr>
                <w:rFonts w:ascii="ITC Avant Garde" w:hAnsi="ITC Avant Garde"/>
                <w:sz w:val="18"/>
                <w:szCs w:val="18"/>
              </w:rPr>
              <w:t>,</w:t>
            </w:r>
            <w:r w:rsidR="008C0B3D">
              <w:rPr>
                <w:rFonts w:ascii="ITC Avant Garde" w:hAnsi="ITC Avant Garde"/>
                <w:sz w:val="18"/>
                <w:szCs w:val="18"/>
              </w:rPr>
              <w:t xml:space="preserve"> lo cual implicaría tiempos de espera adicionales</w:t>
            </w:r>
            <w:r w:rsidR="00346B74">
              <w:rPr>
                <w:rFonts w:ascii="ITC Avant Garde" w:hAnsi="ITC Avant Garde"/>
                <w:sz w:val="18"/>
                <w:szCs w:val="18"/>
              </w:rPr>
              <w:t>.</w:t>
            </w:r>
            <w:r>
              <w:rPr>
                <w:rFonts w:ascii="ITC Avant Garde" w:hAnsi="ITC Avant Garde"/>
                <w:sz w:val="18"/>
                <w:szCs w:val="18"/>
              </w:rPr>
              <w:t xml:space="preserve"> </w:t>
            </w:r>
            <w:r w:rsidR="008C0B3D">
              <w:rPr>
                <w:rFonts w:ascii="ITC Avant Garde" w:hAnsi="ITC Avant Garde"/>
                <w:sz w:val="18"/>
                <w:szCs w:val="18"/>
              </w:rPr>
              <w:t>Y e</w:t>
            </w:r>
            <w:r w:rsidR="00751286">
              <w:rPr>
                <w:rFonts w:ascii="ITC Avant Garde" w:hAnsi="ITC Avant Garde"/>
                <w:sz w:val="18"/>
                <w:szCs w:val="18"/>
              </w:rPr>
              <w:t xml:space="preserve">stas repercusiones son más notorias cuando se tiene una interacción con las redes </w:t>
            </w:r>
            <w:r w:rsidR="00671D94">
              <w:rPr>
                <w:rFonts w:ascii="ITC Avant Garde" w:hAnsi="ITC Avant Garde"/>
                <w:sz w:val="18"/>
                <w:szCs w:val="18"/>
              </w:rPr>
              <w:t>4G</w:t>
            </w:r>
            <w:r w:rsidR="00751286">
              <w:rPr>
                <w:rFonts w:ascii="ITC Avant Garde" w:hAnsi="ITC Avant Garde"/>
                <w:sz w:val="18"/>
                <w:szCs w:val="18"/>
              </w:rPr>
              <w:t xml:space="preserve">, ya que </w:t>
            </w:r>
            <w:r w:rsidR="006A146D">
              <w:rPr>
                <w:rFonts w:ascii="ITC Avant Garde" w:hAnsi="ITC Avant Garde"/>
                <w:sz w:val="18"/>
                <w:szCs w:val="18"/>
              </w:rPr>
              <w:t>se</w:t>
            </w:r>
            <w:r w:rsidR="00BB7A6E">
              <w:rPr>
                <w:rFonts w:ascii="ITC Avant Garde" w:hAnsi="ITC Avant Garde"/>
                <w:sz w:val="18"/>
                <w:szCs w:val="18"/>
              </w:rPr>
              <w:t xml:space="preserve"> </w:t>
            </w:r>
            <w:r w:rsidR="008C0B3D">
              <w:rPr>
                <w:rFonts w:ascii="ITC Avant Garde" w:hAnsi="ITC Avant Garde"/>
                <w:sz w:val="18"/>
                <w:szCs w:val="18"/>
              </w:rPr>
              <w:t xml:space="preserve">introducen tiempos que antes no existían </w:t>
            </w:r>
            <w:r w:rsidR="00BB7A6E">
              <w:rPr>
                <w:rFonts w:ascii="ITC Avant Garde" w:hAnsi="ITC Avant Garde"/>
                <w:sz w:val="18"/>
                <w:szCs w:val="18"/>
              </w:rPr>
              <w:t>al tener que pasar</w:t>
            </w:r>
            <w:r w:rsidR="008C0B3D">
              <w:rPr>
                <w:rFonts w:ascii="ITC Avant Garde" w:hAnsi="ITC Avant Garde"/>
                <w:sz w:val="18"/>
                <w:szCs w:val="18"/>
              </w:rPr>
              <w:t xml:space="preserve"> de una tecnología a otra</w:t>
            </w:r>
            <w:r w:rsidR="006A146D">
              <w:rPr>
                <w:rFonts w:ascii="ITC Avant Garde" w:hAnsi="ITC Avant Garde"/>
                <w:sz w:val="18"/>
                <w:szCs w:val="18"/>
              </w:rPr>
              <w:t xml:space="preserve"> o l</w:t>
            </w:r>
            <w:r>
              <w:rPr>
                <w:rFonts w:ascii="ITC Avant Garde" w:hAnsi="ITC Avant Garde"/>
                <w:sz w:val="18"/>
                <w:szCs w:val="18"/>
              </w:rPr>
              <w:t xml:space="preserve">o que se conoce como </w:t>
            </w:r>
            <w:r w:rsidRPr="006E2CFF">
              <w:rPr>
                <w:rFonts w:ascii="ITC Avant Garde" w:hAnsi="ITC Avant Garde"/>
                <w:sz w:val="18"/>
                <w:szCs w:val="18"/>
              </w:rPr>
              <w:t>CSFB (</w:t>
            </w:r>
            <w:proofErr w:type="spellStart"/>
            <w:r w:rsidRPr="006E2CFF">
              <w:rPr>
                <w:rFonts w:ascii="ITC Avant Garde" w:hAnsi="ITC Avant Garde"/>
                <w:sz w:val="18"/>
                <w:szCs w:val="18"/>
              </w:rPr>
              <w:t>Circuit</w:t>
            </w:r>
            <w:proofErr w:type="spellEnd"/>
            <w:r w:rsidRPr="006E2CFF">
              <w:rPr>
                <w:rFonts w:ascii="ITC Avant Garde" w:hAnsi="ITC Avant Garde"/>
                <w:sz w:val="18"/>
                <w:szCs w:val="18"/>
              </w:rPr>
              <w:t xml:space="preserve"> </w:t>
            </w:r>
            <w:proofErr w:type="spellStart"/>
            <w:r w:rsidRPr="006E2CFF">
              <w:rPr>
                <w:rFonts w:ascii="ITC Avant Garde" w:hAnsi="ITC Avant Garde"/>
                <w:sz w:val="18"/>
                <w:szCs w:val="18"/>
              </w:rPr>
              <w:t>Switched</w:t>
            </w:r>
            <w:proofErr w:type="spellEnd"/>
            <w:r>
              <w:rPr>
                <w:rFonts w:ascii="ITC Avant Garde" w:hAnsi="ITC Avant Garde"/>
                <w:sz w:val="18"/>
                <w:szCs w:val="18"/>
              </w:rPr>
              <w:t xml:space="preserve"> </w:t>
            </w:r>
            <w:proofErr w:type="spellStart"/>
            <w:r w:rsidRPr="006E2CFF">
              <w:rPr>
                <w:rFonts w:ascii="ITC Avant Garde" w:hAnsi="ITC Avant Garde"/>
                <w:sz w:val="18"/>
                <w:szCs w:val="18"/>
              </w:rPr>
              <w:t>Fall</w:t>
            </w:r>
            <w:proofErr w:type="spellEnd"/>
            <w:r w:rsidR="00F23D1D">
              <w:rPr>
                <w:rFonts w:ascii="ITC Avant Garde" w:hAnsi="ITC Avant Garde"/>
                <w:sz w:val="18"/>
                <w:szCs w:val="18"/>
              </w:rPr>
              <w:t xml:space="preserve"> B</w:t>
            </w:r>
            <w:r w:rsidRPr="006E2CFF">
              <w:rPr>
                <w:rFonts w:ascii="ITC Avant Garde" w:hAnsi="ITC Avant Garde"/>
                <w:sz w:val="18"/>
                <w:szCs w:val="18"/>
              </w:rPr>
              <w:t>ack)</w:t>
            </w:r>
            <w:r w:rsidR="006A146D">
              <w:rPr>
                <w:rFonts w:ascii="ITC Avant Garde" w:hAnsi="ITC Avant Garde"/>
                <w:sz w:val="18"/>
                <w:szCs w:val="18"/>
              </w:rPr>
              <w:t xml:space="preserve"> que</w:t>
            </w:r>
            <w:r>
              <w:rPr>
                <w:rFonts w:ascii="ITC Avant Garde" w:hAnsi="ITC Avant Garde"/>
                <w:sz w:val="18"/>
                <w:szCs w:val="18"/>
              </w:rPr>
              <w:t xml:space="preserve"> </w:t>
            </w:r>
            <w:r w:rsidRPr="006E2CFF">
              <w:rPr>
                <w:rFonts w:ascii="ITC Avant Garde" w:hAnsi="ITC Avant Garde"/>
                <w:sz w:val="18"/>
                <w:szCs w:val="18"/>
              </w:rPr>
              <w:t>es la solución estándar</w:t>
            </w:r>
            <w:r>
              <w:rPr>
                <w:rFonts w:ascii="ITC Avant Garde" w:hAnsi="ITC Avant Garde"/>
                <w:sz w:val="18"/>
                <w:szCs w:val="18"/>
              </w:rPr>
              <w:t xml:space="preserve"> </w:t>
            </w:r>
            <w:r w:rsidRPr="006E2CFF">
              <w:rPr>
                <w:rFonts w:ascii="ITC Avant Garde" w:hAnsi="ITC Avant Garde"/>
                <w:sz w:val="18"/>
                <w:szCs w:val="18"/>
              </w:rPr>
              <w:t xml:space="preserve">para ofrecer voz </w:t>
            </w:r>
            <w:r>
              <w:rPr>
                <w:rFonts w:ascii="ITC Avant Garde" w:hAnsi="ITC Avant Garde"/>
                <w:sz w:val="18"/>
                <w:szCs w:val="18"/>
              </w:rPr>
              <w:t xml:space="preserve">cuando </w:t>
            </w:r>
            <w:r w:rsidRPr="006E2CFF">
              <w:rPr>
                <w:rFonts w:ascii="ITC Avant Garde" w:hAnsi="ITC Avant Garde"/>
                <w:sz w:val="18"/>
                <w:szCs w:val="18"/>
              </w:rPr>
              <w:t>no existe suficiente cobertura</w:t>
            </w:r>
            <w:r w:rsidR="00F23D1D">
              <w:rPr>
                <w:rFonts w:ascii="ITC Avant Garde" w:hAnsi="ITC Avant Garde"/>
                <w:sz w:val="18"/>
                <w:szCs w:val="18"/>
              </w:rPr>
              <w:t xml:space="preserve"> 4G o no se cuenta con un despliegue de </w:t>
            </w:r>
            <w:proofErr w:type="spellStart"/>
            <w:r w:rsidR="00F23D1D">
              <w:rPr>
                <w:rFonts w:ascii="ITC Avant Garde" w:hAnsi="ITC Avant Garde"/>
                <w:sz w:val="18"/>
                <w:szCs w:val="18"/>
              </w:rPr>
              <w:t>VoLTE</w:t>
            </w:r>
            <w:proofErr w:type="spellEnd"/>
            <w:r>
              <w:rPr>
                <w:rFonts w:ascii="ITC Avant Garde" w:hAnsi="ITC Avant Garde"/>
                <w:sz w:val="18"/>
                <w:szCs w:val="18"/>
              </w:rPr>
              <w:t>.</w:t>
            </w:r>
          </w:p>
          <w:p w14:paraId="73204FDD" w14:textId="1CDDA14B" w:rsidR="00751286" w:rsidRDefault="00751286" w:rsidP="00671D94">
            <w:pPr>
              <w:shd w:val="clear" w:color="auto" w:fill="FFFFFF" w:themeFill="background1"/>
              <w:jc w:val="both"/>
              <w:rPr>
                <w:rFonts w:ascii="ITC Avant Garde" w:hAnsi="ITC Avant Garde"/>
                <w:sz w:val="18"/>
                <w:szCs w:val="18"/>
              </w:rPr>
            </w:pPr>
          </w:p>
          <w:p w14:paraId="587F1568" w14:textId="3708CFE1" w:rsidR="001E3D6A" w:rsidRDefault="00751286" w:rsidP="00671D94">
            <w:pPr>
              <w:shd w:val="clear" w:color="auto" w:fill="FFFFFF" w:themeFill="background1"/>
              <w:jc w:val="both"/>
              <w:rPr>
                <w:rFonts w:ascii="ITC Avant Garde" w:hAnsi="ITC Avant Garde"/>
                <w:sz w:val="18"/>
                <w:szCs w:val="18"/>
              </w:rPr>
            </w:pPr>
            <w:r>
              <w:rPr>
                <w:rFonts w:ascii="ITC Avant Garde" w:hAnsi="ITC Avant Garde"/>
                <w:sz w:val="18"/>
                <w:szCs w:val="18"/>
              </w:rPr>
              <w:t xml:space="preserve">Por </w:t>
            </w:r>
            <w:r w:rsidR="008C0B3D">
              <w:rPr>
                <w:rFonts w:ascii="ITC Avant Garde" w:hAnsi="ITC Avant Garde"/>
                <w:sz w:val="18"/>
                <w:szCs w:val="18"/>
              </w:rPr>
              <w:t>todas l</w:t>
            </w:r>
            <w:r>
              <w:rPr>
                <w:rFonts w:ascii="ITC Avant Garde" w:hAnsi="ITC Avant Garde"/>
                <w:sz w:val="18"/>
                <w:szCs w:val="18"/>
              </w:rPr>
              <w:t>as razones antes mencionadas</w:t>
            </w:r>
            <w:r w:rsidR="008C0B3D">
              <w:rPr>
                <w:rFonts w:ascii="ITC Avant Garde" w:hAnsi="ITC Avant Garde"/>
                <w:sz w:val="18"/>
                <w:szCs w:val="18"/>
              </w:rPr>
              <w:t>,</w:t>
            </w:r>
            <w:r>
              <w:rPr>
                <w:rFonts w:ascii="ITC Avant Garde" w:hAnsi="ITC Avant Garde"/>
                <w:sz w:val="18"/>
                <w:szCs w:val="18"/>
              </w:rPr>
              <w:t xml:space="preserve"> </w:t>
            </w:r>
            <w:r w:rsidR="001E3D6A">
              <w:rPr>
                <w:rFonts w:ascii="ITC Avant Garde" w:hAnsi="ITC Avant Garde"/>
                <w:sz w:val="18"/>
                <w:szCs w:val="18"/>
              </w:rPr>
              <w:t>resulta necesari</w:t>
            </w:r>
            <w:r>
              <w:rPr>
                <w:rFonts w:ascii="ITC Avant Garde" w:hAnsi="ITC Avant Garde"/>
                <w:sz w:val="18"/>
                <w:szCs w:val="18"/>
              </w:rPr>
              <w:t>a</w:t>
            </w:r>
            <w:r w:rsidR="001E3D6A">
              <w:rPr>
                <w:rFonts w:ascii="ITC Avant Garde" w:hAnsi="ITC Avant Garde"/>
                <w:sz w:val="18"/>
                <w:szCs w:val="18"/>
              </w:rPr>
              <w:t xml:space="preserve"> la actualización</w:t>
            </w:r>
            <w:r w:rsidR="008C0B3D">
              <w:rPr>
                <w:rFonts w:ascii="ITC Avant Garde" w:hAnsi="ITC Avant Garde"/>
                <w:sz w:val="18"/>
                <w:szCs w:val="18"/>
              </w:rPr>
              <w:t xml:space="preserve"> </w:t>
            </w:r>
            <w:r w:rsidR="001E3D6A">
              <w:rPr>
                <w:rFonts w:ascii="ITC Avant Garde" w:hAnsi="ITC Avant Garde"/>
                <w:sz w:val="18"/>
                <w:szCs w:val="18"/>
              </w:rPr>
              <w:t>del valor del índice de</w:t>
            </w:r>
            <w:r w:rsidR="00671D94">
              <w:rPr>
                <w:rFonts w:ascii="ITC Avant Garde" w:hAnsi="ITC Avant Garde"/>
                <w:sz w:val="18"/>
                <w:szCs w:val="18"/>
              </w:rPr>
              <w:t>l</w:t>
            </w:r>
            <w:r w:rsidR="00BB7A6E">
              <w:rPr>
                <w:rFonts w:ascii="ITC Avant Garde" w:hAnsi="ITC Avant Garde"/>
                <w:sz w:val="18"/>
                <w:szCs w:val="18"/>
              </w:rPr>
              <w:t xml:space="preserve"> parámetro</w:t>
            </w:r>
            <w:r w:rsidR="00671D94">
              <w:rPr>
                <w:rFonts w:ascii="ITC Avant Garde" w:hAnsi="ITC Avant Garde"/>
                <w:sz w:val="18"/>
                <w:szCs w:val="18"/>
              </w:rPr>
              <w:t xml:space="preserve"> </w:t>
            </w:r>
            <w:r w:rsidR="00671D94" w:rsidRPr="00BB7A6E">
              <w:rPr>
                <w:rFonts w:ascii="ITC Avant Garde" w:hAnsi="ITC Avant Garde"/>
                <w:i/>
                <w:iCs/>
                <w:sz w:val="18"/>
                <w:szCs w:val="18"/>
              </w:rPr>
              <w:t>Tiempo promedio de establecimiento de Llamada</w:t>
            </w:r>
            <w:r w:rsidR="002008AB">
              <w:rPr>
                <w:rFonts w:ascii="ITC Avant Garde" w:hAnsi="ITC Avant Garde"/>
                <w:sz w:val="18"/>
                <w:szCs w:val="18"/>
              </w:rPr>
              <w:t xml:space="preserve">, para que se establezca un valor que </w:t>
            </w:r>
            <w:r w:rsidR="00BB7A6E">
              <w:rPr>
                <w:rFonts w:ascii="ITC Avant Garde" w:hAnsi="ITC Avant Garde"/>
                <w:sz w:val="18"/>
                <w:szCs w:val="18"/>
              </w:rPr>
              <w:t>refleje las</w:t>
            </w:r>
            <w:r w:rsidR="007563E8">
              <w:rPr>
                <w:rFonts w:ascii="ITC Avant Garde" w:hAnsi="ITC Avant Garde"/>
                <w:sz w:val="18"/>
                <w:szCs w:val="18"/>
              </w:rPr>
              <w:t xml:space="preserve"> nuevas características de las</w:t>
            </w:r>
            <w:r w:rsidR="00BB7A6E">
              <w:rPr>
                <w:rFonts w:ascii="ITC Avant Garde" w:hAnsi="ITC Avant Garde"/>
                <w:sz w:val="18"/>
                <w:szCs w:val="18"/>
              </w:rPr>
              <w:t xml:space="preserve"> redes en México y se consideren</w:t>
            </w:r>
            <w:r w:rsidR="002008AB">
              <w:rPr>
                <w:rFonts w:ascii="ITC Avant Garde" w:hAnsi="ITC Avant Garde"/>
                <w:sz w:val="18"/>
                <w:szCs w:val="18"/>
              </w:rPr>
              <w:t xml:space="preserve"> los tiempos adicionales que </w:t>
            </w:r>
            <w:r w:rsidR="00BB7A6E">
              <w:rPr>
                <w:rFonts w:ascii="ITC Avant Garde" w:hAnsi="ITC Avant Garde"/>
                <w:sz w:val="18"/>
                <w:szCs w:val="18"/>
              </w:rPr>
              <w:t>se</w:t>
            </w:r>
            <w:r w:rsidR="002008AB">
              <w:rPr>
                <w:rFonts w:ascii="ITC Avant Garde" w:hAnsi="ITC Avant Garde"/>
                <w:sz w:val="18"/>
                <w:szCs w:val="18"/>
              </w:rPr>
              <w:t xml:space="preserve"> </w:t>
            </w:r>
            <w:r w:rsidR="00BB7A6E">
              <w:rPr>
                <w:rFonts w:ascii="ITC Avant Garde" w:hAnsi="ITC Avant Garde"/>
                <w:sz w:val="18"/>
                <w:szCs w:val="18"/>
              </w:rPr>
              <w:t xml:space="preserve">están </w:t>
            </w:r>
            <w:r w:rsidR="002008AB">
              <w:rPr>
                <w:rFonts w:ascii="ITC Avant Garde" w:hAnsi="ITC Avant Garde"/>
                <w:sz w:val="18"/>
                <w:szCs w:val="18"/>
              </w:rPr>
              <w:t>introduciendo.</w:t>
            </w:r>
            <w:r w:rsidR="00BB7A6E">
              <w:rPr>
                <w:rFonts w:ascii="ITC Avant Garde" w:hAnsi="ITC Avant Garde"/>
                <w:sz w:val="18"/>
                <w:szCs w:val="18"/>
              </w:rPr>
              <w:t xml:space="preserve"> </w:t>
            </w:r>
          </w:p>
          <w:p w14:paraId="31BAC47E" w14:textId="77777777" w:rsidR="00205DEC" w:rsidRDefault="00205DEC" w:rsidP="008A48B0">
            <w:pPr>
              <w:shd w:val="clear" w:color="auto" w:fill="FFFFFF" w:themeFill="background1"/>
              <w:jc w:val="both"/>
              <w:rPr>
                <w:rFonts w:ascii="ITC Avant Garde" w:hAnsi="ITC Avant Garde"/>
                <w:sz w:val="18"/>
                <w:szCs w:val="18"/>
              </w:rPr>
            </w:pPr>
          </w:p>
          <w:p w14:paraId="41D17A01" w14:textId="61DDF06B" w:rsidR="00205DEC" w:rsidRPr="00747989" w:rsidRDefault="007563E8" w:rsidP="00747989">
            <w:pPr>
              <w:shd w:val="clear" w:color="auto" w:fill="FFFFFF" w:themeFill="background1"/>
              <w:jc w:val="both"/>
              <w:rPr>
                <w:rFonts w:ascii="ITC Avant Garde" w:hAnsi="ITC Avant Garde"/>
                <w:sz w:val="18"/>
                <w:szCs w:val="18"/>
              </w:rPr>
            </w:pPr>
            <w:r>
              <w:rPr>
                <w:rFonts w:ascii="ITC Avant Garde" w:hAnsi="ITC Avant Garde"/>
                <w:sz w:val="18"/>
                <w:szCs w:val="18"/>
              </w:rPr>
              <w:t>En resumen</w:t>
            </w:r>
            <w:r w:rsidR="00205DEC" w:rsidRPr="00747989">
              <w:rPr>
                <w:rFonts w:ascii="ITC Avant Garde" w:hAnsi="ITC Avant Garde"/>
                <w:sz w:val="18"/>
                <w:szCs w:val="18"/>
              </w:rPr>
              <w:t xml:space="preserve">, </w:t>
            </w:r>
            <w:r>
              <w:rPr>
                <w:rFonts w:ascii="ITC Avant Garde" w:hAnsi="ITC Avant Garde"/>
                <w:sz w:val="18"/>
                <w:szCs w:val="18"/>
              </w:rPr>
              <w:t xml:space="preserve">es imprescindible el </w:t>
            </w:r>
            <w:r w:rsidR="00A733CB" w:rsidRPr="00747989">
              <w:rPr>
                <w:rFonts w:ascii="ITC Avant Garde" w:hAnsi="ITC Avant Garde"/>
                <w:sz w:val="18"/>
                <w:szCs w:val="18"/>
              </w:rPr>
              <w:t>actualizar</w:t>
            </w:r>
            <w:r w:rsidR="00205DEC" w:rsidRPr="00747989">
              <w:rPr>
                <w:rFonts w:ascii="ITC Avant Garde" w:hAnsi="ITC Avant Garde"/>
                <w:sz w:val="18"/>
                <w:szCs w:val="18"/>
              </w:rPr>
              <w:t xml:space="preserve"> </w:t>
            </w:r>
            <w:r w:rsidR="00A733CB" w:rsidRPr="00747989">
              <w:rPr>
                <w:rFonts w:ascii="ITC Avant Garde" w:hAnsi="ITC Avant Garde"/>
                <w:sz w:val="18"/>
                <w:szCs w:val="18"/>
              </w:rPr>
              <w:t>el</w:t>
            </w:r>
            <w:r w:rsidR="00205DEC" w:rsidRPr="00747989">
              <w:rPr>
                <w:rFonts w:ascii="ITC Avant Garde" w:hAnsi="ITC Avant Garde"/>
                <w:sz w:val="18"/>
                <w:szCs w:val="18"/>
              </w:rPr>
              <w:t xml:space="preserve"> instrumento regulatorio conforme a las tendencias en el servicio móvil en México, considerando </w:t>
            </w:r>
            <w:r w:rsidR="00747989" w:rsidRPr="00747989">
              <w:rPr>
                <w:rFonts w:ascii="ITC Avant Garde" w:hAnsi="ITC Avant Garde"/>
                <w:sz w:val="18"/>
                <w:szCs w:val="18"/>
              </w:rPr>
              <w:t xml:space="preserve">los cambios en el entorno digital y </w:t>
            </w:r>
            <w:r w:rsidR="00205DEC" w:rsidRPr="00747989">
              <w:rPr>
                <w:rFonts w:ascii="ITC Avant Garde" w:hAnsi="ITC Avant Garde"/>
                <w:sz w:val="18"/>
                <w:szCs w:val="18"/>
              </w:rPr>
              <w:t>las mejores prácticas internacionales en la materia</w:t>
            </w:r>
            <w:r w:rsidR="00747989" w:rsidRPr="00747989">
              <w:rPr>
                <w:rFonts w:ascii="ITC Avant Garde" w:hAnsi="ITC Avant Garde"/>
                <w:sz w:val="18"/>
                <w:szCs w:val="18"/>
              </w:rPr>
              <w:t>.</w:t>
            </w:r>
            <w:r>
              <w:rPr>
                <w:rFonts w:ascii="ITC Avant Garde" w:hAnsi="ITC Avant Garde"/>
                <w:sz w:val="18"/>
                <w:szCs w:val="18"/>
              </w:rPr>
              <w:t xml:space="preserve"> Lo anterior, </w:t>
            </w:r>
            <w:r w:rsidR="007B6509">
              <w:rPr>
                <w:rFonts w:ascii="ITC Avant Garde" w:hAnsi="ITC Avant Garde"/>
                <w:sz w:val="18"/>
                <w:szCs w:val="18"/>
              </w:rPr>
              <w:t>ya</w:t>
            </w:r>
            <w:r>
              <w:rPr>
                <w:rFonts w:ascii="ITC Avant Garde" w:hAnsi="ITC Avant Garde"/>
                <w:sz w:val="18"/>
                <w:szCs w:val="18"/>
              </w:rPr>
              <w:t xml:space="preserve"> que </w:t>
            </w:r>
            <w:r w:rsidRPr="00A733CB">
              <w:rPr>
                <w:rFonts w:ascii="ITC Avant Garde" w:hAnsi="ITC Avant Garde"/>
                <w:sz w:val="18"/>
                <w:szCs w:val="18"/>
              </w:rPr>
              <w:t>las redes 4G y 5G estarán en el centro de la economía y de la sociedad digital, por lo que se necesitan políticas y regulaciones de apoyo para que esto sea una realidad.</w:t>
            </w:r>
          </w:p>
          <w:p w14:paraId="26A1FAE4" w14:textId="77777777" w:rsidR="0083591F" w:rsidRPr="00205DEC" w:rsidRDefault="0083591F" w:rsidP="008A48B0">
            <w:pPr>
              <w:shd w:val="clear" w:color="auto" w:fill="FFFFFF" w:themeFill="background1"/>
              <w:jc w:val="both"/>
              <w:rPr>
                <w:rFonts w:ascii="ITC Avant Garde" w:hAnsi="ITC Avant Garde"/>
                <w:sz w:val="18"/>
                <w:szCs w:val="18"/>
                <w:lang w:val="es-ES_tradnl"/>
              </w:rPr>
            </w:pPr>
          </w:p>
          <w:p w14:paraId="46078F97" w14:textId="77777777" w:rsidR="001932FC" w:rsidRPr="00DD06A0" w:rsidRDefault="001932FC" w:rsidP="0012117B">
            <w:pPr>
              <w:shd w:val="clear" w:color="auto" w:fill="FFFFFF" w:themeFill="background1"/>
              <w:jc w:val="both"/>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DD06A0" w14:paraId="37D0371B" w14:textId="77777777" w:rsidTr="00B41497">
        <w:tc>
          <w:tcPr>
            <w:tcW w:w="8828" w:type="dxa"/>
          </w:tcPr>
          <w:p w14:paraId="7CDCE364" w14:textId="77777777" w:rsidR="00B41497" w:rsidRPr="00DD06A0" w:rsidRDefault="00B41497" w:rsidP="00B41497">
            <w:pPr>
              <w:jc w:val="both"/>
              <w:rPr>
                <w:rFonts w:ascii="ITC Avant Garde" w:hAnsi="ITC Avant Garde"/>
                <w:b/>
                <w:sz w:val="18"/>
                <w:szCs w:val="18"/>
              </w:rPr>
            </w:pPr>
            <w:r w:rsidRPr="00797C3A">
              <w:rPr>
                <w:rFonts w:ascii="ITC Avant Garde" w:hAnsi="ITC Avant Garde"/>
                <w:b/>
                <w:sz w:val="18"/>
                <w:szCs w:val="18"/>
              </w:rPr>
              <w:lastRenderedPageBreak/>
              <w:t xml:space="preserve">2.- </w:t>
            </w:r>
            <w:r w:rsidR="009B3908" w:rsidRPr="00797C3A">
              <w:rPr>
                <w:rFonts w:ascii="ITC Avant Garde" w:hAnsi="ITC Avant Garde"/>
                <w:b/>
                <w:sz w:val="18"/>
                <w:szCs w:val="18"/>
              </w:rPr>
              <w:t>Según</w:t>
            </w:r>
            <w:r w:rsidR="009B3908">
              <w:rPr>
                <w:rFonts w:ascii="ITC Avant Garde" w:hAnsi="ITC Avant Garde"/>
                <w:b/>
                <w:sz w:val="18"/>
                <w:szCs w:val="18"/>
              </w:rPr>
              <w:t xml:space="preserve"> sea el caso, c</w:t>
            </w:r>
            <w:r w:rsidRPr="00DD06A0">
              <w:rPr>
                <w:rFonts w:ascii="ITC Avant Garde" w:hAnsi="ITC Avant Garde"/>
                <w:b/>
                <w:sz w:val="18"/>
                <w:szCs w:val="18"/>
              </w:rPr>
              <w:t xml:space="preserve">onforme a lo señalado por </w:t>
            </w:r>
            <w:r w:rsidR="009B3908">
              <w:rPr>
                <w:rFonts w:ascii="ITC Avant Garde" w:hAnsi="ITC Avant Garde"/>
                <w:b/>
                <w:sz w:val="18"/>
                <w:szCs w:val="18"/>
              </w:rPr>
              <w:t>los</w:t>
            </w:r>
            <w:r w:rsidRPr="00DD06A0">
              <w:rPr>
                <w:rFonts w:ascii="ITC Avant Garde" w:hAnsi="ITC Avant Garde"/>
                <w:b/>
                <w:sz w:val="18"/>
                <w:szCs w:val="18"/>
              </w:rPr>
              <w:t xml:space="preserve"> artículo</w:t>
            </w:r>
            <w:r w:rsidR="009B3908">
              <w:rPr>
                <w:rFonts w:ascii="ITC Avant Garde" w:hAnsi="ITC Avant Garde"/>
                <w:b/>
                <w:sz w:val="18"/>
                <w:szCs w:val="18"/>
              </w:rPr>
              <w:t>s</w:t>
            </w:r>
            <w:r w:rsidRPr="00DD06A0">
              <w:rPr>
                <w:rFonts w:ascii="ITC Avant Garde" w:hAnsi="ITC Avant Garde"/>
                <w:b/>
                <w:sz w:val="18"/>
                <w:szCs w:val="18"/>
              </w:rPr>
              <w:t xml:space="preserve"> 51 de la Ley Federal de Telecomunicaciones y Radiodifusión</w:t>
            </w:r>
            <w:r w:rsidR="009B3908">
              <w:rPr>
                <w:rFonts w:ascii="ITC Avant Garde" w:hAnsi="ITC Avant Garde"/>
                <w:b/>
                <w:sz w:val="18"/>
                <w:szCs w:val="18"/>
              </w:rPr>
              <w:t xml:space="preserve"> y 12, fracción XXII, de la Ley Federal de Competencia Económica</w:t>
            </w:r>
            <w:r w:rsidR="00CE2F13">
              <w:rPr>
                <w:rFonts w:ascii="ITC Avant Garde" w:hAnsi="ITC Avant Garde"/>
                <w:b/>
                <w:sz w:val="18"/>
                <w:szCs w:val="18"/>
              </w:rPr>
              <w:t>,</w:t>
            </w:r>
            <w:r w:rsidRPr="00DD06A0">
              <w:rPr>
                <w:rFonts w:ascii="ITC Avant Garde" w:hAnsi="ITC Avant Garde"/>
                <w:b/>
                <w:sz w:val="18"/>
                <w:szCs w:val="18"/>
              </w:rPr>
              <w:t xml:space="preserve"> ¿</w:t>
            </w:r>
            <w:r w:rsidR="00CE2F13">
              <w:rPr>
                <w:rFonts w:ascii="ITC Avant Garde" w:hAnsi="ITC Avant Garde"/>
                <w:b/>
                <w:sz w:val="18"/>
                <w:szCs w:val="18"/>
              </w:rPr>
              <w:t>c</w:t>
            </w:r>
            <w:r w:rsidRPr="00DD06A0">
              <w:rPr>
                <w:rFonts w:ascii="ITC Avant Garde" w:hAnsi="ITC Avant Garde"/>
                <w:b/>
                <w:sz w:val="18"/>
                <w:szCs w:val="18"/>
              </w:rPr>
              <w:t xml:space="preserve">onsidera que la publicidad de la propuesta de regulación pueda comprometer los efectos que se pretenden </w:t>
            </w:r>
            <w:r w:rsidR="00E016AD" w:rsidRPr="00DD06A0">
              <w:rPr>
                <w:rFonts w:ascii="ITC Avant Garde" w:hAnsi="ITC Avant Garde"/>
                <w:b/>
                <w:sz w:val="18"/>
                <w:szCs w:val="18"/>
              </w:rPr>
              <w:t xml:space="preserve">prevenir o resolver </w:t>
            </w:r>
            <w:r w:rsidRPr="00DD06A0">
              <w:rPr>
                <w:rFonts w:ascii="ITC Avant Garde" w:hAnsi="ITC Avant Garde"/>
                <w:b/>
                <w:sz w:val="18"/>
                <w:szCs w:val="18"/>
              </w:rPr>
              <w:t xml:space="preserve">con </w:t>
            </w:r>
            <w:r w:rsidR="00326797" w:rsidRPr="00DD06A0">
              <w:rPr>
                <w:rFonts w:ascii="ITC Avant Garde" w:hAnsi="ITC Avant Garde"/>
                <w:b/>
                <w:sz w:val="18"/>
                <w:szCs w:val="18"/>
              </w:rPr>
              <w:t xml:space="preserve">su </w:t>
            </w:r>
            <w:r w:rsidRPr="00DD06A0">
              <w:rPr>
                <w:rFonts w:ascii="ITC Avant Garde" w:hAnsi="ITC Avant Garde"/>
                <w:b/>
                <w:sz w:val="18"/>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DD06A0" w14:paraId="15517ED0" w14:textId="77777777" w:rsidTr="00B41497">
              <w:tc>
                <w:tcPr>
                  <w:tcW w:w="1462" w:type="dxa"/>
                  <w:shd w:val="clear" w:color="auto" w:fill="A8D08D" w:themeFill="accent6" w:themeFillTint="99"/>
                </w:tcPr>
                <w:p w14:paraId="410C70D5" w14:textId="77777777" w:rsidR="00B41497" w:rsidRPr="00DD06A0" w:rsidRDefault="00B41497" w:rsidP="00B41497">
                  <w:pPr>
                    <w:jc w:val="center"/>
                    <w:rPr>
                      <w:rFonts w:ascii="ITC Avant Garde" w:hAnsi="ITC Avant Garde"/>
                      <w:b/>
                      <w:sz w:val="18"/>
                      <w:szCs w:val="18"/>
                    </w:rPr>
                  </w:pPr>
                  <w:r w:rsidRPr="00DD06A0">
                    <w:rPr>
                      <w:rFonts w:ascii="ITC Avant Garde" w:hAnsi="ITC Avant Garde"/>
                      <w:b/>
                      <w:sz w:val="18"/>
                      <w:szCs w:val="18"/>
                    </w:rPr>
                    <w:t>Seleccione</w:t>
                  </w:r>
                </w:p>
              </w:tc>
            </w:tr>
            <w:tr w:rsidR="00B41497" w:rsidRPr="00DD06A0" w14:paraId="6650DFD8" w14:textId="77777777" w:rsidTr="00B41497">
              <w:tc>
                <w:tcPr>
                  <w:tcW w:w="1462" w:type="dxa"/>
                </w:tcPr>
                <w:p w14:paraId="727AA676" w14:textId="77777777" w:rsidR="00B41497" w:rsidRPr="00DD06A0" w:rsidRDefault="00C2465A" w:rsidP="00B41497">
                  <w:pPr>
                    <w:jc w:val="center"/>
                    <w:rPr>
                      <w:rFonts w:ascii="ITC Avant Garde" w:hAnsi="ITC Avant Garde"/>
                      <w:sz w:val="18"/>
                      <w:szCs w:val="18"/>
                    </w:rPr>
                  </w:pPr>
                  <w:r>
                    <w:rPr>
                      <w:rFonts w:ascii="ITC Avant Garde" w:hAnsi="ITC Avant Garde"/>
                      <w:sz w:val="18"/>
                      <w:szCs w:val="18"/>
                    </w:rPr>
                    <w:t>Sí</w:t>
                  </w:r>
                  <w:r w:rsidR="00B41497" w:rsidRPr="00DD06A0">
                    <w:rPr>
                      <w:rFonts w:ascii="ITC Avant Garde" w:hAnsi="ITC Avant Garde"/>
                      <w:sz w:val="18"/>
                      <w:szCs w:val="18"/>
                    </w:rPr>
                    <w:t xml:space="preserve"> </w:t>
                  </w:r>
                  <w:proofErr w:type="gramStart"/>
                  <w:r w:rsidR="00B41497" w:rsidRPr="00DD06A0">
                    <w:rPr>
                      <w:rFonts w:ascii="ITC Avant Garde" w:hAnsi="ITC Avant Garde"/>
                      <w:sz w:val="18"/>
                      <w:szCs w:val="18"/>
                    </w:rPr>
                    <w:t>( )</w:t>
                  </w:r>
                  <w:proofErr w:type="gramEnd"/>
                  <w:r w:rsidR="00B41497" w:rsidRPr="00DD06A0">
                    <w:rPr>
                      <w:rFonts w:ascii="ITC Avant Garde" w:hAnsi="ITC Avant Garde"/>
                      <w:sz w:val="18"/>
                      <w:szCs w:val="18"/>
                    </w:rPr>
                    <w:t xml:space="preserve"> No (</w:t>
                  </w:r>
                  <w:r w:rsidR="00DB08B1">
                    <w:rPr>
                      <w:rFonts w:ascii="ITC Avant Garde" w:hAnsi="ITC Avant Garde"/>
                      <w:sz w:val="18"/>
                      <w:szCs w:val="18"/>
                    </w:rPr>
                    <w:t xml:space="preserve"> X</w:t>
                  </w:r>
                  <w:r w:rsidR="00B41497" w:rsidRPr="00DD06A0">
                    <w:rPr>
                      <w:rFonts w:ascii="ITC Avant Garde" w:hAnsi="ITC Avant Garde"/>
                      <w:sz w:val="18"/>
                      <w:szCs w:val="18"/>
                    </w:rPr>
                    <w:t xml:space="preserve"> )</w:t>
                  </w:r>
                </w:p>
              </w:tc>
            </w:tr>
          </w:tbl>
          <w:p w14:paraId="47A85FB9" w14:textId="77777777" w:rsidR="00B41497" w:rsidRPr="00DD06A0" w:rsidRDefault="00B41497" w:rsidP="00B41497">
            <w:pPr>
              <w:jc w:val="both"/>
              <w:rPr>
                <w:rFonts w:ascii="ITC Avant Garde" w:hAnsi="ITC Avant Garde"/>
                <w:sz w:val="18"/>
                <w:szCs w:val="18"/>
              </w:rPr>
            </w:pPr>
          </w:p>
          <w:p w14:paraId="216D1885" w14:textId="77777777" w:rsidR="00B41497" w:rsidRPr="00DD06A0" w:rsidRDefault="00B41497" w:rsidP="00B41497">
            <w:pPr>
              <w:jc w:val="both"/>
              <w:rPr>
                <w:rFonts w:ascii="ITC Avant Garde" w:hAnsi="ITC Avant Garde"/>
                <w:sz w:val="18"/>
                <w:szCs w:val="18"/>
              </w:rPr>
            </w:pPr>
          </w:p>
          <w:p w14:paraId="715277C3" w14:textId="77777777" w:rsidR="00B41497" w:rsidRPr="00DD06A0" w:rsidRDefault="00B41497" w:rsidP="00B41497">
            <w:pPr>
              <w:jc w:val="both"/>
              <w:rPr>
                <w:rFonts w:ascii="ITC Avant Garde" w:hAnsi="ITC Avant Garde"/>
                <w:sz w:val="18"/>
                <w:szCs w:val="18"/>
              </w:rPr>
            </w:pPr>
          </w:p>
          <w:p w14:paraId="03C95EB1" w14:textId="77777777" w:rsidR="00B41497" w:rsidRPr="00DD06A0" w:rsidRDefault="00B41497" w:rsidP="00B41497">
            <w:pPr>
              <w:jc w:val="both"/>
              <w:rPr>
                <w:rFonts w:ascii="ITC Avant Garde" w:hAnsi="ITC Avant Garde"/>
                <w:sz w:val="18"/>
                <w:szCs w:val="18"/>
              </w:rPr>
            </w:pPr>
          </w:p>
          <w:p w14:paraId="5F4260AD" w14:textId="77777777" w:rsidR="009B3908" w:rsidRDefault="009B3908" w:rsidP="00B41497">
            <w:pPr>
              <w:jc w:val="both"/>
              <w:rPr>
                <w:rFonts w:ascii="ITC Avant Garde" w:hAnsi="ITC Avant Garde"/>
                <w:b/>
                <w:sz w:val="18"/>
                <w:szCs w:val="18"/>
              </w:rPr>
            </w:pPr>
          </w:p>
          <w:p w14:paraId="1083A56B" w14:textId="77777777" w:rsidR="00B41497" w:rsidRPr="00DD06A0" w:rsidRDefault="00B41497" w:rsidP="00B41497">
            <w:pPr>
              <w:jc w:val="both"/>
              <w:rPr>
                <w:rFonts w:ascii="ITC Avant Garde" w:hAnsi="ITC Avant Garde"/>
                <w:sz w:val="18"/>
                <w:szCs w:val="18"/>
              </w:rPr>
            </w:pPr>
            <w:r w:rsidRPr="00DD06A0">
              <w:rPr>
                <w:rFonts w:ascii="ITC Avant Garde" w:hAnsi="ITC Avant Garde"/>
                <w:b/>
                <w:sz w:val="18"/>
                <w:szCs w:val="18"/>
              </w:rPr>
              <w:t>En caso de que la respuesta sea afirmativa, justifique</w:t>
            </w:r>
            <w:r w:rsidR="00CD1EF9">
              <w:rPr>
                <w:rFonts w:ascii="ITC Avant Garde" w:hAnsi="ITC Avant Garde"/>
                <w:b/>
                <w:sz w:val="18"/>
                <w:szCs w:val="18"/>
              </w:rPr>
              <w:t xml:space="preserve"> y fundamente</w:t>
            </w:r>
            <w:r w:rsidRPr="00DD06A0">
              <w:rPr>
                <w:rFonts w:ascii="ITC Avant Garde" w:hAnsi="ITC Avant Garde"/>
                <w:b/>
                <w:sz w:val="18"/>
                <w:szCs w:val="18"/>
              </w:rPr>
              <w:t xml:space="preserve"> </w:t>
            </w:r>
            <w:r w:rsidR="00326797" w:rsidRPr="00DD06A0">
              <w:rPr>
                <w:rFonts w:ascii="ITC Avant Garde" w:hAnsi="ITC Avant Garde"/>
                <w:b/>
                <w:sz w:val="18"/>
                <w:szCs w:val="18"/>
              </w:rPr>
              <w:t>la razón por la cual su publicidad puede comprometer los efectos que se pretenden lograr con la propuesta regulatoria</w:t>
            </w:r>
            <w:r w:rsidRPr="00DD06A0">
              <w:rPr>
                <w:rFonts w:ascii="ITC Avant Garde" w:hAnsi="ITC Avant Garde"/>
                <w:b/>
                <w:sz w:val="18"/>
                <w:szCs w:val="18"/>
              </w:rPr>
              <w:t>:</w:t>
            </w:r>
          </w:p>
          <w:p w14:paraId="256DA1CF" w14:textId="77777777" w:rsidR="00B41497" w:rsidRPr="00DD06A0"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DD06A0" w14:paraId="5B75D691" w14:textId="77777777" w:rsidTr="00596FDE">
              <w:tc>
                <w:tcPr>
                  <w:tcW w:w="8602" w:type="dxa"/>
                </w:tcPr>
                <w:p w14:paraId="79E554EB" w14:textId="77777777" w:rsidR="00596FDE" w:rsidRPr="00DD06A0" w:rsidRDefault="00596FDE" w:rsidP="005B3499">
                  <w:pPr>
                    <w:framePr w:hSpace="141" w:wrap="around" w:vAnchor="text" w:hAnchor="margin" w:y="356"/>
                    <w:jc w:val="both"/>
                    <w:rPr>
                      <w:rFonts w:ascii="ITC Avant Garde" w:hAnsi="ITC Avant Garde"/>
                      <w:sz w:val="18"/>
                      <w:szCs w:val="18"/>
                    </w:rPr>
                  </w:pPr>
                </w:p>
                <w:p w14:paraId="6DF7A997" w14:textId="77777777" w:rsidR="00596FDE" w:rsidRPr="00DD06A0" w:rsidRDefault="00596FDE" w:rsidP="005B3499">
                  <w:pPr>
                    <w:framePr w:hSpace="141" w:wrap="around" w:vAnchor="text" w:hAnchor="margin" w:y="356"/>
                    <w:jc w:val="both"/>
                    <w:rPr>
                      <w:rFonts w:ascii="ITC Avant Garde" w:hAnsi="ITC Avant Garde"/>
                      <w:sz w:val="18"/>
                      <w:szCs w:val="18"/>
                    </w:rPr>
                  </w:pPr>
                </w:p>
                <w:p w14:paraId="5131E730" w14:textId="77777777" w:rsidR="00552E7C" w:rsidRPr="00DD06A0" w:rsidRDefault="00552E7C" w:rsidP="005B3499">
                  <w:pPr>
                    <w:framePr w:hSpace="141" w:wrap="around" w:vAnchor="text" w:hAnchor="margin" w:y="356"/>
                    <w:jc w:val="both"/>
                    <w:rPr>
                      <w:rFonts w:ascii="ITC Avant Garde" w:hAnsi="ITC Avant Garde"/>
                      <w:sz w:val="18"/>
                      <w:szCs w:val="18"/>
                    </w:rPr>
                  </w:pPr>
                </w:p>
                <w:p w14:paraId="027EF47B" w14:textId="77777777" w:rsidR="00552E7C" w:rsidRPr="00DD06A0" w:rsidRDefault="00552E7C" w:rsidP="005B3499">
                  <w:pPr>
                    <w:framePr w:hSpace="141" w:wrap="around" w:vAnchor="text" w:hAnchor="margin" w:y="356"/>
                    <w:jc w:val="both"/>
                    <w:rPr>
                      <w:rFonts w:ascii="ITC Avant Garde" w:hAnsi="ITC Avant Garde"/>
                      <w:sz w:val="18"/>
                      <w:szCs w:val="18"/>
                    </w:rPr>
                  </w:pPr>
                </w:p>
              </w:tc>
            </w:tr>
          </w:tbl>
          <w:p w14:paraId="52B5683F" w14:textId="77777777" w:rsidR="00B41497" w:rsidRPr="00DD06A0" w:rsidRDefault="00B41497" w:rsidP="00B41497">
            <w:pPr>
              <w:jc w:val="both"/>
              <w:rPr>
                <w:rFonts w:ascii="ITC Avant Garde" w:hAnsi="ITC Avant Garde"/>
                <w:sz w:val="18"/>
                <w:szCs w:val="18"/>
              </w:rPr>
            </w:pPr>
          </w:p>
          <w:p w14:paraId="146D1520" w14:textId="77777777" w:rsidR="00596FDE" w:rsidRPr="00DD06A0" w:rsidRDefault="00596FDE" w:rsidP="00B41497">
            <w:pPr>
              <w:jc w:val="both"/>
              <w:rPr>
                <w:rFonts w:ascii="ITC Avant Garde" w:hAnsi="ITC Avant Garde"/>
                <w:sz w:val="18"/>
                <w:szCs w:val="18"/>
              </w:rPr>
            </w:pPr>
          </w:p>
        </w:tc>
      </w:tr>
    </w:tbl>
    <w:p w14:paraId="49DECF6A" w14:textId="77777777" w:rsidR="001932FC" w:rsidRPr="00DD06A0" w:rsidRDefault="001932FC" w:rsidP="001932FC">
      <w:pPr>
        <w:jc w:val="both"/>
        <w:rPr>
          <w:rFonts w:ascii="ITC Avant Garde" w:hAnsi="ITC Avant Garde"/>
          <w:sz w:val="18"/>
          <w:szCs w:val="18"/>
        </w:rPr>
      </w:pPr>
    </w:p>
    <w:p w14:paraId="2B803084" w14:textId="77777777" w:rsidR="00AA6231" w:rsidRPr="00DD06A0" w:rsidRDefault="00AA6231" w:rsidP="001932FC">
      <w:pPr>
        <w:jc w:val="both"/>
        <w:rPr>
          <w:rFonts w:ascii="ITC Avant Garde" w:hAnsi="ITC Avant Garde"/>
          <w:sz w:val="18"/>
          <w:szCs w:val="18"/>
        </w:rPr>
      </w:pPr>
    </w:p>
    <w:p w14:paraId="22A6FDDB" w14:textId="592908AB" w:rsidR="003C3084" w:rsidRPr="00DD06A0" w:rsidRDefault="003C3084" w:rsidP="003C3084">
      <w:pPr>
        <w:shd w:val="clear" w:color="auto" w:fill="A8D08D" w:themeFill="accent6" w:themeFillTint="99"/>
        <w:jc w:val="both"/>
        <w:rPr>
          <w:rFonts w:ascii="ITC Avant Garde" w:hAnsi="ITC Avant Garde"/>
          <w:b/>
          <w:sz w:val="18"/>
          <w:szCs w:val="18"/>
        </w:rPr>
      </w:pPr>
      <w:r w:rsidRPr="00DD06A0">
        <w:rPr>
          <w:rFonts w:ascii="ITC Avant Garde" w:hAnsi="ITC Avant Garde"/>
          <w:b/>
          <w:sz w:val="18"/>
          <w:szCs w:val="18"/>
        </w:rPr>
        <w:t xml:space="preserve">II. </w:t>
      </w:r>
      <w:r w:rsidR="001C241C">
        <w:rPr>
          <w:rFonts w:ascii="ITC Avant Garde" w:hAnsi="ITC Avant Garde"/>
          <w:b/>
          <w:sz w:val="18"/>
          <w:szCs w:val="18"/>
        </w:rPr>
        <w:t>IMPACTO</w:t>
      </w:r>
      <w:r w:rsidRPr="00DD06A0">
        <w:rPr>
          <w:rFonts w:ascii="ITC Avant Garde" w:hAnsi="ITC Avant Garde"/>
          <w:b/>
          <w:sz w:val="18"/>
          <w:szCs w:val="18"/>
        </w:rPr>
        <w:t xml:space="preserve"> DE LA PROPUESTA DE REGULACIÓN.</w:t>
      </w:r>
    </w:p>
    <w:tbl>
      <w:tblPr>
        <w:tblStyle w:val="Tablaconcuadrcula"/>
        <w:tblW w:w="0" w:type="auto"/>
        <w:tblLook w:val="04A0" w:firstRow="1" w:lastRow="0" w:firstColumn="1" w:lastColumn="0" w:noHBand="0" w:noVBand="1"/>
      </w:tblPr>
      <w:tblGrid>
        <w:gridCol w:w="8828"/>
      </w:tblGrid>
      <w:tr w:rsidR="003C3084" w:rsidRPr="00DD06A0" w14:paraId="1B2BA609" w14:textId="77777777" w:rsidTr="00225DA6">
        <w:tc>
          <w:tcPr>
            <w:tcW w:w="8828" w:type="dxa"/>
          </w:tcPr>
          <w:p w14:paraId="7B65809D" w14:textId="334368DA" w:rsidR="003C3084" w:rsidRPr="001C241C" w:rsidRDefault="001C241C" w:rsidP="00225DA6">
            <w:pPr>
              <w:jc w:val="both"/>
              <w:rPr>
                <w:rFonts w:ascii="ITC Avant Garde" w:hAnsi="ITC Avant Garde"/>
                <w:b/>
                <w:strike/>
                <w:sz w:val="18"/>
                <w:szCs w:val="18"/>
              </w:rPr>
            </w:pPr>
            <w:r>
              <w:rPr>
                <w:rFonts w:ascii="ITC Avant Garde" w:hAnsi="ITC Avant Garde"/>
                <w:b/>
                <w:sz w:val="18"/>
                <w:szCs w:val="18"/>
              </w:rPr>
              <w:lastRenderedPageBreak/>
              <w:t>3</w:t>
            </w:r>
            <w:r w:rsidR="003C3084" w:rsidRPr="00797C3A">
              <w:rPr>
                <w:rFonts w:ascii="ITC Avant Garde" w:hAnsi="ITC Avant Garde"/>
                <w:b/>
                <w:sz w:val="18"/>
                <w:szCs w:val="18"/>
              </w:rPr>
              <w:t>.- Para solucionar la</w:t>
            </w:r>
            <w:r w:rsidR="003C3084" w:rsidRPr="00DD06A0">
              <w:rPr>
                <w:rFonts w:ascii="ITC Avant Garde" w:hAnsi="ITC Avant Garde"/>
                <w:b/>
                <w:sz w:val="18"/>
                <w:szCs w:val="18"/>
              </w:rPr>
              <w:t xml:space="preserve"> problemática identificada, describa las alternativas valoradas y señale las razones por</w:t>
            </w:r>
            <w:r w:rsidR="004F76A1" w:rsidRPr="00DD06A0">
              <w:rPr>
                <w:rFonts w:ascii="ITC Avant Garde" w:hAnsi="ITC Avant Garde"/>
                <w:b/>
                <w:sz w:val="18"/>
                <w:szCs w:val="18"/>
              </w:rPr>
              <w:t xml:space="preserve"> las cuales fueron descartadas</w:t>
            </w:r>
            <w:r>
              <w:rPr>
                <w:rFonts w:ascii="ITC Avant Garde" w:hAnsi="ITC Avant Garde"/>
                <w:b/>
                <w:sz w:val="18"/>
                <w:szCs w:val="18"/>
              </w:rPr>
              <w:t>.</w:t>
            </w:r>
          </w:p>
          <w:p w14:paraId="00040C60" w14:textId="7136BFB1" w:rsidR="003C3084" w:rsidRPr="00DD06A0" w:rsidRDefault="003C3084" w:rsidP="00225DA6">
            <w:pPr>
              <w:jc w:val="both"/>
              <w:rPr>
                <w:rFonts w:ascii="ITC Avant Garde" w:hAnsi="ITC Avant Garde"/>
                <w:sz w:val="18"/>
                <w:szCs w:val="18"/>
              </w:rPr>
            </w:pPr>
            <w:r w:rsidRPr="00DD06A0">
              <w:rPr>
                <w:rFonts w:ascii="ITC Avant Garde" w:hAnsi="ITC Avant Garde"/>
                <w:sz w:val="18"/>
                <w:szCs w:val="18"/>
              </w:rPr>
              <w:t>Seleccione las alternativas aplicables y</w:t>
            </w:r>
            <w:r w:rsidR="00B76C9A" w:rsidRPr="00DD06A0">
              <w:rPr>
                <w:rFonts w:ascii="ITC Avant Garde" w:hAnsi="ITC Avant Garde"/>
                <w:sz w:val="18"/>
                <w:szCs w:val="18"/>
              </w:rPr>
              <w:t>,</w:t>
            </w:r>
            <w:r w:rsidRPr="00DD06A0">
              <w:rPr>
                <w:rFonts w:ascii="ITC Avant Garde" w:hAnsi="ITC Avant Garde"/>
                <w:sz w:val="18"/>
                <w:szCs w:val="18"/>
              </w:rPr>
              <w:t xml:space="preserve"> en su c</w:t>
            </w:r>
            <w:r w:rsidR="00E3567A" w:rsidRPr="00DD06A0">
              <w:rPr>
                <w:rFonts w:ascii="ITC Avant Garde" w:hAnsi="ITC Avant Garde"/>
                <w:sz w:val="18"/>
                <w:szCs w:val="18"/>
              </w:rPr>
              <w:t>aso, seleccione y describa otra. C</w:t>
            </w:r>
            <w:r w:rsidRPr="00DD06A0">
              <w:rPr>
                <w:rFonts w:ascii="ITC Avant Garde" w:hAnsi="ITC Avant Garde"/>
                <w:sz w:val="18"/>
                <w:szCs w:val="18"/>
              </w:rPr>
              <w:t>onsidere al menos</w:t>
            </w:r>
            <w:r w:rsidR="00736609">
              <w:rPr>
                <w:rFonts w:ascii="ITC Avant Garde" w:hAnsi="ITC Avant Garde"/>
                <w:sz w:val="18"/>
                <w:szCs w:val="18"/>
              </w:rPr>
              <w:t xml:space="preserve"> dos</w:t>
            </w:r>
            <w:r w:rsidRPr="00DD06A0">
              <w:rPr>
                <w:rFonts w:ascii="ITC Avant Garde" w:hAnsi="ITC Avant Garde"/>
                <w:sz w:val="18"/>
                <w:szCs w:val="18"/>
              </w:rPr>
              <w:t xml:space="preserve"> opciones entre las cuales se encuentre la opción de no intervención.</w:t>
            </w:r>
            <w:r w:rsidR="00773730" w:rsidRPr="00DD06A0">
              <w:rPr>
                <w:rFonts w:ascii="ITC Avant Garde" w:hAnsi="ITC Avant Garde"/>
                <w:sz w:val="18"/>
                <w:szCs w:val="18"/>
              </w:rPr>
              <w:t xml:space="preserve"> </w:t>
            </w:r>
            <w:r w:rsidR="00435A5D" w:rsidRPr="00DD06A0">
              <w:rPr>
                <w:rFonts w:ascii="ITC Avant Garde" w:hAnsi="ITC Avant Garde"/>
                <w:sz w:val="18"/>
                <w:szCs w:val="18"/>
              </w:rPr>
              <w:t>Agregue las filas que considere necesarias</w:t>
            </w:r>
            <w:r w:rsidR="00773730" w:rsidRPr="00DD06A0">
              <w:rPr>
                <w:rFonts w:ascii="ITC Avant Garde" w:hAnsi="ITC Avant Garde"/>
                <w:sz w:val="18"/>
                <w:szCs w:val="18"/>
              </w:rPr>
              <w:t>.</w:t>
            </w:r>
          </w:p>
          <w:p w14:paraId="365B6803" w14:textId="77777777" w:rsidR="003C3084" w:rsidRPr="00DD06A0" w:rsidRDefault="003C3084"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171"/>
              <w:gridCol w:w="2689"/>
              <w:gridCol w:w="1976"/>
              <w:gridCol w:w="2766"/>
            </w:tblGrid>
            <w:tr w:rsidR="007140E1" w:rsidRPr="00DD06A0" w14:paraId="4630CEBF" w14:textId="77777777" w:rsidTr="00E755ED">
              <w:tc>
                <w:tcPr>
                  <w:tcW w:w="1171" w:type="dxa"/>
                  <w:tcBorders>
                    <w:bottom w:val="single" w:sz="4" w:space="0" w:color="auto"/>
                  </w:tcBorders>
                  <w:shd w:val="clear" w:color="auto" w:fill="A8D08D" w:themeFill="accent6" w:themeFillTint="99"/>
                </w:tcPr>
                <w:p w14:paraId="6BB20A37"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 xml:space="preserve">Alternativa evaluada </w:t>
                  </w:r>
                </w:p>
              </w:tc>
              <w:tc>
                <w:tcPr>
                  <w:tcW w:w="2689" w:type="dxa"/>
                  <w:shd w:val="clear" w:color="auto" w:fill="A8D08D" w:themeFill="accent6" w:themeFillTint="99"/>
                </w:tcPr>
                <w:p w14:paraId="283EC07D"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Descripción</w:t>
                  </w:r>
                </w:p>
              </w:tc>
              <w:tc>
                <w:tcPr>
                  <w:tcW w:w="1976" w:type="dxa"/>
                  <w:shd w:val="clear" w:color="auto" w:fill="A8D08D" w:themeFill="accent6" w:themeFillTint="99"/>
                </w:tcPr>
                <w:p w14:paraId="0A6B5374"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Ventajas</w:t>
                  </w:r>
                </w:p>
              </w:tc>
              <w:tc>
                <w:tcPr>
                  <w:tcW w:w="2766" w:type="dxa"/>
                  <w:shd w:val="clear" w:color="auto" w:fill="A8D08D" w:themeFill="accent6" w:themeFillTint="99"/>
                </w:tcPr>
                <w:p w14:paraId="526D4D06" w14:textId="77777777" w:rsidR="007140E1" w:rsidRPr="00DD06A0" w:rsidRDefault="007140E1" w:rsidP="00225DA6">
                  <w:pPr>
                    <w:jc w:val="center"/>
                    <w:rPr>
                      <w:rFonts w:ascii="ITC Avant Garde" w:hAnsi="ITC Avant Garde"/>
                      <w:b/>
                      <w:sz w:val="18"/>
                      <w:szCs w:val="18"/>
                    </w:rPr>
                  </w:pPr>
                  <w:r w:rsidRPr="00DD06A0">
                    <w:rPr>
                      <w:rFonts w:ascii="ITC Avant Garde" w:hAnsi="ITC Avant Garde"/>
                      <w:b/>
                      <w:sz w:val="18"/>
                      <w:szCs w:val="18"/>
                    </w:rPr>
                    <w:t>Desventajas</w:t>
                  </w:r>
                </w:p>
              </w:tc>
            </w:tr>
            <w:tr w:rsidR="007140E1" w:rsidRPr="00DD06A0" w14:paraId="2A39EFBF" w14:textId="77777777" w:rsidTr="00E755ED">
              <w:sdt>
                <w:sdtPr>
                  <w:rPr>
                    <w:rFonts w:ascii="ITC Avant Garde" w:hAnsi="ITC Avant Garde"/>
                    <w:i/>
                    <w:sz w:val="18"/>
                    <w:szCs w:val="18"/>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1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97860FC" w14:textId="17F75A8C" w:rsidR="007140E1" w:rsidRPr="00EF60BA" w:rsidRDefault="00477354" w:rsidP="00225DA6">
                      <w:pPr>
                        <w:rPr>
                          <w:rFonts w:ascii="ITC Avant Garde" w:hAnsi="ITC Avant Garde"/>
                          <w:i/>
                          <w:sz w:val="18"/>
                          <w:szCs w:val="18"/>
                        </w:rPr>
                      </w:pPr>
                      <w:r>
                        <w:rPr>
                          <w:rFonts w:ascii="ITC Avant Garde" w:hAnsi="ITC Avant Garde"/>
                          <w:i/>
                          <w:sz w:val="18"/>
                          <w:szCs w:val="18"/>
                        </w:rPr>
                        <w:t>No emitir regulación alguna</w:t>
                      </w:r>
                    </w:p>
                  </w:tc>
                </w:sdtContent>
              </w:sdt>
              <w:tc>
                <w:tcPr>
                  <w:tcW w:w="2689" w:type="dxa"/>
                  <w:tcBorders>
                    <w:left w:val="single" w:sz="4" w:space="0" w:color="auto"/>
                  </w:tcBorders>
                </w:tcPr>
                <w:p w14:paraId="7A2D7717" w14:textId="77777777" w:rsidR="00334C37" w:rsidRDefault="00334C37" w:rsidP="00A32D5F">
                  <w:pPr>
                    <w:rPr>
                      <w:rFonts w:ascii="ITC Avant Garde" w:hAnsi="ITC Avant Garde"/>
                      <w:sz w:val="18"/>
                      <w:szCs w:val="18"/>
                    </w:rPr>
                  </w:pPr>
                </w:p>
                <w:p w14:paraId="25E057F1" w14:textId="3F4E5A31" w:rsidR="007140E1" w:rsidRPr="00DD06A0" w:rsidRDefault="00477354" w:rsidP="00A32D5F">
                  <w:pPr>
                    <w:rPr>
                      <w:rFonts w:ascii="ITC Avant Garde" w:hAnsi="ITC Avant Garde"/>
                      <w:sz w:val="18"/>
                      <w:szCs w:val="18"/>
                    </w:rPr>
                  </w:pPr>
                  <w:r w:rsidRPr="00477354">
                    <w:rPr>
                      <w:rFonts w:ascii="ITC Avant Garde" w:hAnsi="ITC Avant Garde"/>
                      <w:sz w:val="18"/>
                      <w:szCs w:val="18"/>
                    </w:rPr>
                    <w:t xml:space="preserve">No </w:t>
                  </w:r>
                  <w:r w:rsidR="00A11A57">
                    <w:rPr>
                      <w:rFonts w:ascii="ITC Avant Garde" w:hAnsi="ITC Avant Garde"/>
                      <w:sz w:val="18"/>
                      <w:szCs w:val="18"/>
                    </w:rPr>
                    <w:t>actualizar</w:t>
                  </w:r>
                  <w:r w:rsidRPr="00477354">
                    <w:rPr>
                      <w:rFonts w:ascii="ITC Avant Garde" w:hAnsi="ITC Avant Garde"/>
                      <w:sz w:val="18"/>
                      <w:szCs w:val="18"/>
                    </w:rPr>
                    <w:t xml:space="preserve"> la </w:t>
                  </w:r>
                  <w:r w:rsidR="00B53499">
                    <w:rPr>
                      <w:rFonts w:ascii="ITC Avant Garde" w:hAnsi="ITC Avant Garde"/>
                      <w:sz w:val="18"/>
                      <w:szCs w:val="18"/>
                    </w:rPr>
                    <w:t>regulación</w:t>
                  </w:r>
                  <w:r w:rsidRPr="00477354">
                    <w:rPr>
                      <w:rFonts w:ascii="ITC Avant Garde" w:hAnsi="ITC Avant Garde"/>
                      <w:sz w:val="18"/>
                      <w:szCs w:val="18"/>
                    </w:rPr>
                    <w:t xml:space="preserve"> </w:t>
                  </w:r>
                  <w:r w:rsidR="00A11A57">
                    <w:rPr>
                      <w:rFonts w:ascii="ITC Avant Garde" w:hAnsi="ITC Avant Garde"/>
                      <w:sz w:val="18"/>
                      <w:szCs w:val="18"/>
                    </w:rPr>
                    <w:t>para que se considere</w:t>
                  </w:r>
                  <w:r w:rsidR="00F51F63">
                    <w:rPr>
                      <w:rFonts w:ascii="ITC Avant Garde" w:hAnsi="ITC Avant Garde"/>
                      <w:sz w:val="18"/>
                      <w:szCs w:val="18"/>
                    </w:rPr>
                    <w:t>n</w:t>
                  </w:r>
                  <w:r w:rsidR="00A11A57">
                    <w:rPr>
                      <w:rFonts w:ascii="ITC Avant Garde" w:hAnsi="ITC Avant Garde"/>
                      <w:sz w:val="18"/>
                      <w:szCs w:val="18"/>
                    </w:rPr>
                    <w:t xml:space="preserve"> las actuales características de las redes en México, conforme a los avances tecnológicos y la transición a nuevas generaciones de redes.</w:t>
                  </w:r>
                </w:p>
              </w:tc>
              <w:tc>
                <w:tcPr>
                  <w:tcW w:w="1976" w:type="dxa"/>
                </w:tcPr>
                <w:p w14:paraId="2A9A753F" w14:textId="77777777" w:rsidR="007140E1" w:rsidRDefault="007140E1" w:rsidP="00A32D5F">
                  <w:pPr>
                    <w:rPr>
                      <w:rFonts w:ascii="ITC Avant Garde" w:hAnsi="ITC Avant Garde"/>
                      <w:sz w:val="18"/>
                      <w:szCs w:val="18"/>
                    </w:rPr>
                  </w:pPr>
                </w:p>
                <w:p w14:paraId="0290AA50" w14:textId="77777777" w:rsidR="00A92698" w:rsidRDefault="00A92698" w:rsidP="00A32D5F">
                  <w:pPr>
                    <w:rPr>
                      <w:rFonts w:ascii="ITC Avant Garde" w:hAnsi="ITC Avant Garde"/>
                      <w:sz w:val="18"/>
                      <w:szCs w:val="18"/>
                    </w:rPr>
                  </w:pPr>
                </w:p>
                <w:p w14:paraId="02E269ED" w14:textId="77777777" w:rsidR="00A92698" w:rsidRDefault="00A92698" w:rsidP="00A32D5F">
                  <w:pPr>
                    <w:rPr>
                      <w:rFonts w:ascii="ITC Avant Garde" w:hAnsi="ITC Avant Garde"/>
                      <w:sz w:val="18"/>
                      <w:szCs w:val="18"/>
                    </w:rPr>
                  </w:pPr>
                </w:p>
                <w:p w14:paraId="430658AE" w14:textId="77777777" w:rsidR="00A92698" w:rsidRDefault="00A92698" w:rsidP="00A32D5F">
                  <w:pPr>
                    <w:rPr>
                      <w:rFonts w:ascii="ITC Avant Garde" w:hAnsi="ITC Avant Garde"/>
                      <w:sz w:val="18"/>
                      <w:szCs w:val="18"/>
                    </w:rPr>
                  </w:pPr>
                </w:p>
                <w:p w14:paraId="6584E2CC" w14:textId="77777777" w:rsidR="00A92698" w:rsidRDefault="00A92698" w:rsidP="00A32D5F">
                  <w:pPr>
                    <w:rPr>
                      <w:rFonts w:ascii="ITC Avant Garde" w:hAnsi="ITC Avant Garde"/>
                      <w:sz w:val="18"/>
                      <w:szCs w:val="18"/>
                    </w:rPr>
                  </w:pPr>
                </w:p>
                <w:p w14:paraId="35FD8B45" w14:textId="77777777" w:rsidR="00A92698" w:rsidRPr="00DD06A0" w:rsidRDefault="00A92698" w:rsidP="00A32D5F">
                  <w:pPr>
                    <w:rPr>
                      <w:rFonts w:ascii="ITC Avant Garde" w:hAnsi="ITC Avant Garde"/>
                      <w:sz w:val="18"/>
                      <w:szCs w:val="18"/>
                    </w:rPr>
                  </w:pPr>
                  <w:r>
                    <w:rPr>
                      <w:rFonts w:ascii="ITC Avant Garde" w:hAnsi="ITC Avant Garde"/>
                      <w:sz w:val="18"/>
                      <w:szCs w:val="18"/>
                    </w:rPr>
                    <w:t>Ninguna</w:t>
                  </w:r>
                </w:p>
              </w:tc>
              <w:tc>
                <w:tcPr>
                  <w:tcW w:w="2766" w:type="dxa"/>
                </w:tcPr>
                <w:p w14:paraId="2A9B7DE8" w14:textId="219BA015" w:rsidR="007140E1" w:rsidRPr="00DD06A0" w:rsidRDefault="00A11A57" w:rsidP="00A32D5F">
                  <w:pPr>
                    <w:rPr>
                      <w:rFonts w:ascii="ITC Avant Garde" w:hAnsi="ITC Avant Garde"/>
                      <w:sz w:val="18"/>
                      <w:szCs w:val="18"/>
                    </w:rPr>
                  </w:pPr>
                  <w:r>
                    <w:rPr>
                      <w:rFonts w:ascii="ITC Avant Garde" w:hAnsi="ITC Avant Garde"/>
                      <w:sz w:val="18"/>
                      <w:szCs w:val="18"/>
                    </w:rPr>
                    <w:t xml:space="preserve">La regulación se </w:t>
                  </w:r>
                  <w:r w:rsidR="00EE26B0">
                    <w:rPr>
                      <w:rFonts w:ascii="ITC Avant Garde" w:hAnsi="ITC Avant Garde"/>
                      <w:sz w:val="18"/>
                      <w:szCs w:val="18"/>
                    </w:rPr>
                    <w:t>mantendría</w:t>
                  </w:r>
                  <w:r>
                    <w:rPr>
                      <w:rFonts w:ascii="ITC Avant Garde" w:hAnsi="ITC Avant Garde"/>
                      <w:sz w:val="18"/>
                      <w:szCs w:val="18"/>
                    </w:rPr>
                    <w:t xml:space="preserve"> obsoleta y no serviría para verificar que la prestación del servicio </w:t>
                  </w:r>
                  <w:r w:rsidR="00F51F63">
                    <w:rPr>
                      <w:rFonts w:ascii="ITC Avant Garde" w:hAnsi="ITC Avant Garde"/>
                      <w:sz w:val="18"/>
                      <w:szCs w:val="18"/>
                    </w:rPr>
                    <w:t>se</w:t>
                  </w:r>
                  <w:r w:rsidR="00EE26B0">
                    <w:rPr>
                      <w:rFonts w:ascii="ITC Avant Garde" w:hAnsi="ITC Avant Garde"/>
                      <w:sz w:val="18"/>
                      <w:szCs w:val="18"/>
                    </w:rPr>
                    <w:t xml:space="preserve"> brinda </w:t>
                  </w:r>
                  <w:r w:rsidR="00F51F63">
                    <w:rPr>
                      <w:rFonts w:ascii="ITC Avant Garde" w:hAnsi="ITC Avant Garde"/>
                      <w:sz w:val="18"/>
                      <w:szCs w:val="18"/>
                    </w:rPr>
                    <w:t xml:space="preserve">a los usuarios finales </w:t>
                  </w:r>
                  <w:r w:rsidR="00EE26B0">
                    <w:rPr>
                      <w:rFonts w:ascii="ITC Avant Garde" w:hAnsi="ITC Avant Garde"/>
                      <w:sz w:val="18"/>
                      <w:szCs w:val="18"/>
                    </w:rPr>
                    <w:t>en condiciones de calidad</w:t>
                  </w:r>
                  <w:r w:rsidR="00F51F63">
                    <w:rPr>
                      <w:rFonts w:ascii="ITC Avant Garde" w:hAnsi="ITC Avant Garde"/>
                      <w:sz w:val="18"/>
                      <w:szCs w:val="18"/>
                    </w:rPr>
                    <w:t>.</w:t>
                  </w:r>
                  <w:r w:rsidR="00F23D1D">
                    <w:rPr>
                      <w:rFonts w:ascii="ITC Avant Garde" w:hAnsi="ITC Avant Garde"/>
                      <w:sz w:val="18"/>
                      <w:szCs w:val="18"/>
                    </w:rPr>
                    <w:t xml:space="preserve"> </w:t>
                  </w:r>
                  <w:proofErr w:type="gramStart"/>
                  <w:r w:rsidR="00F23D1D">
                    <w:rPr>
                      <w:rFonts w:ascii="ITC Avant Garde" w:hAnsi="ITC Avant Garde"/>
                      <w:sz w:val="18"/>
                      <w:szCs w:val="18"/>
                    </w:rPr>
                    <w:t>Asimismo</w:t>
                  </w:r>
                  <w:proofErr w:type="gramEnd"/>
                  <w:r w:rsidR="00F23D1D">
                    <w:rPr>
                      <w:rFonts w:ascii="ITC Avant Garde" w:hAnsi="ITC Avant Garde"/>
                      <w:sz w:val="18"/>
                      <w:szCs w:val="18"/>
                    </w:rPr>
                    <w:t xml:space="preserve"> no se reconocerían los impactos derivados de la introducción de nuevas tecnologías de acceso y nuevos servicios como </w:t>
                  </w:r>
                  <w:proofErr w:type="spellStart"/>
                  <w:r w:rsidR="00F23D1D">
                    <w:rPr>
                      <w:rFonts w:ascii="ITC Avant Garde" w:hAnsi="ITC Avant Garde"/>
                      <w:sz w:val="18"/>
                      <w:szCs w:val="18"/>
                    </w:rPr>
                    <w:t>VoLTE</w:t>
                  </w:r>
                  <w:proofErr w:type="spellEnd"/>
                  <w:r w:rsidR="00F23D1D">
                    <w:rPr>
                      <w:rFonts w:ascii="ITC Avant Garde" w:hAnsi="ITC Avant Garde"/>
                      <w:sz w:val="18"/>
                      <w:szCs w:val="18"/>
                    </w:rPr>
                    <w:t xml:space="preserve"> que han sido reconocidos en recomendaciones internacionales.</w:t>
                  </w:r>
                </w:p>
              </w:tc>
            </w:tr>
            <w:tr w:rsidR="00790373" w:rsidRPr="00DD06A0" w14:paraId="628434CA" w14:textId="77777777" w:rsidTr="00E755ED">
              <w:sdt>
                <w:sdtPr>
                  <w:rPr>
                    <w:rFonts w:ascii="ITC Avant Garde" w:hAnsi="ITC Avant Garde"/>
                    <w:i/>
                    <w:sz w:val="18"/>
                    <w:szCs w:val="18"/>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17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BAF2A49" w14:textId="7673883E" w:rsidR="00790373" w:rsidRPr="00EF60BA" w:rsidRDefault="00F51F63" w:rsidP="00790373">
                      <w:pPr>
                        <w:rPr>
                          <w:rFonts w:ascii="ITC Avant Garde" w:hAnsi="ITC Avant Garde"/>
                          <w:i/>
                          <w:sz w:val="18"/>
                          <w:szCs w:val="18"/>
                        </w:rPr>
                      </w:pPr>
                      <w:r>
                        <w:rPr>
                          <w:rFonts w:ascii="ITC Avant Garde" w:hAnsi="ITC Avant Garde"/>
                          <w:i/>
                          <w:sz w:val="18"/>
                          <w:szCs w:val="18"/>
                        </w:rPr>
                        <w:t>Eliminar regulación</w:t>
                      </w:r>
                    </w:p>
                  </w:tc>
                </w:sdtContent>
              </w:sdt>
              <w:tc>
                <w:tcPr>
                  <w:tcW w:w="2689" w:type="dxa"/>
                  <w:tcBorders>
                    <w:left w:val="single" w:sz="4" w:space="0" w:color="auto"/>
                  </w:tcBorders>
                </w:tcPr>
                <w:p w14:paraId="59F5F953" w14:textId="77777777" w:rsidR="00334C37" w:rsidRPr="002447FB" w:rsidRDefault="00334C37" w:rsidP="00A32D5F">
                  <w:pPr>
                    <w:rPr>
                      <w:rFonts w:ascii="ITC Avant Garde" w:hAnsi="ITC Avant Garde"/>
                      <w:sz w:val="18"/>
                      <w:szCs w:val="18"/>
                    </w:rPr>
                  </w:pPr>
                </w:p>
                <w:p w14:paraId="39EB1CE1" w14:textId="327DCD4B" w:rsidR="00334C37" w:rsidRPr="002447FB" w:rsidRDefault="00F51F63" w:rsidP="00A32D5F">
                  <w:pPr>
                    <w:rPr>
                      <w:rFonts w:ascii="ITC Avant Garde" w:hAnsi="ITC Avant Garde"/>
                      <w:sz w:val="18"/>
                      <w:szCs w:val="18"/>
                    </w:rPr>
                  </w:pPr>
                  <w:r>
                    <w:rPr>
                      <w:rFonts w:ascii="ITC Avant Garde" w:hAnsi="ITC Avant Garde"/>
                      <w:sz w:val="18"/>
                      <w:szCs w:val="18"/>
                    </w:rPr>
                    <w:t>Abrogar por completo los lineamientos</w:t>
                  </w:r>
                  <w:r w:rsidR="00E755ED">
                    <w:rPr>
                      <w:rFonts w:ascii="ITC Avant Garde" w:hAnsi="ITC Avant Garde"/>
                      <w:sz w:val="18"/>
                      <w:szCs w:val="18"/>
                    </w:rPr>
                    <w:t xml:space="preserve"> para que las obligaciones no estén fijas a redes que están volviéndose obsoletas.</w:t>
                  </w:r>
                </w:p>
                <w:p w14:paraId="0BBFC5E6" w14:textId="77777777" w:rsidR="00790373" w:rsidRPr="002447FB" w:rsidRDefault="00790373" w:rsidP="00A32D5F">
                  <w:pPr>
                    <w:rPr>
                      <w:rFonts w:ascii="ITC Avant Garde" w:hAnsi="ITC Avant Garde"/>
                      <w:sz w:val="18"/>
                      <w:szCs w:val="18"/>
                    </w:rPr>
                  </w:pPr>
                </w:p>
              </w:tc>
              <w:tc>
                <w:tcPr>
                  <w:tcW w:w="1976" w:type="dxa"/>
                </w:tcPr>
                <w:p w14:paraId="5717BA15" w14:textId="77777777" w:rsidR="00790373" w:rsidRPr="002447FB" w:rsidRDefault="00790373" w:rsidP="00A32D5F">
                  <w:pPr>
                    <w:rPr>
                      <w:rFonts w:ascii="ITC Avant Garde" w:hAnsi="ITC Avant Garde"/>
                      <w:sz w:val="18"/>
                      <w:szCs w:val="18"/>
                    </w:rPr>
                  </w:pPr>
                </w:p>
                <w:p w14:paraId="444A93F1" w14:textId="77777777" w:rsidR="00334C37" w:rsidRPr="002447FB" w:rsidRDefault="00334C37" w:rsidP="00A32D5F">
                  <w:pPr>
                    <w:rPr>
                      <w:rFonts w:ascii="ITC Avant Garde" w:hAnsi="ITC Avant Garde"/>
                      <w:sz w:val="18"/>
                      <w:szCs w:val="18"/>
                    </w:rPr>
                  </w:pPr>
                </w:p>
                <w:p w14:paraId="7C1A55FF" w14:textId="77777777" w:rsidR="00334C37" w:rsidRPr="002447FB" w:rsidRDefault="00334C37" w:rsidP="00A32D5F">
                  <w:pPr>
                    <w:rPr>
                      <w:rFonts w:ascii="ITC Avant Garde" w:hAnsi="ITC Avant Garde"/>
                      <w:sz w:val="18"/>
                      <w:szCs w:val="18"/>
                    </w:rPr>
                  </w:pPr>
                </w:p>
                <w:p w14:paraId="1962027D" w14:textId="77777777" w:rsidR="00334C37" w:rsidRPr="002447FB" w:rsidRDefault="00334C37" w:rsidP="00A32D5F">
                  <w:pPr>
                    <w:rPr>
                      <w:rFonts w:ascii="ITC Avant Garde" w:hAnsi="ITC Avant Garde"/>
                      <w:sz w:val="18"/>
                      <w:szCs w:val="18"/>
                    </w:rPr>
                  </w:pPr>
                  <w:r w:rsidRPr="002447FB">
                    <w:rPr>
                      <w:rFonts w:ascii="ITC Avant Garde" w:hAnsi="ITC Avant Garde"/>
                      <w:sz w:val="18"/>
                      <w:szCs w:val="18"/>
                    </w:rPr>
                    <w:t>Ninguna</w:t>
                  </w:r>
                </w:p>
              </w:tc>
              <w:tc>
                <w:tcPr>
                  <w:tcW w:w="2766" w:type="dxa"/>
                </w:tcPr>
                <w:p w14:paraId="600629C9" w14:textId="45D20A74" w:rsidR="00334C37" w:rsidRPr="002447FB" w:rsidRDefault="00E755ED" w:rsidP="00A32D5F">
                  <w:pPr>
                    <w:rPr>
                      <w:rFonts w:ascii="ITC Avant Garde" w:hAnsi="ITC Avant Garde"/>
                      <w:sz w:val="18"/>
                      <w:szCs w:val="18"/>
                    </w:rPr>
                  </w:pPr>
                  <w:r>
                    <w:rPr>
                      <w:rFonts w:ascii="ITC Avant Garde" w:hAnsi="ITC Avant Garde"/>
                      <w:sz w:val="18"/>
                      <w:szCs w:val="18"/>
                    </w:rPr>
                    <w:t>No solo se eliminaría el parámetro al cuál se quiere cambiar en índice sino todo</w:t>
                  </w:r>
                  <w:r w:rsidR="00A32D5F">
                    <w:rPr>
                      <w:rFonts w:ascii="ITC Avant Garde" w:hAnsi="ITC Avant Garde"/>
                      <w:sz w:val="18"/>
                      <w:szCs w:val="18"/>
                    </w:rPr>
                    <w:t>s</w:t>
                  </w:r>
                  <w:r>
                    <w:rPr>
                      <w:rFonts w:ascii="ITC Avant Garde" w:hAnsi="ITC Avant Garde"/>
                      <w:sz w:val="18"/>
                      <w:szCs w:val="18"/>
                    </w:rPr>
                    <w:t xml:space="preserve"> </w:t>
                  </w:r>
                  <w:r w:rsidR="00A32D5F">
                    <w:rPr>
                      <w:rFonts w:ascii="ITC Avant Garde" w:hAnsi="ITC Avant Garde"/>
                      <w:sz w:val="18"/>
                      <w:szCs w:val="18"/>
                    </w:rPr>
                    <w:t>los parámetros</w:t>
                  </w:r>
                  <w:r>
                    <w:rPr>
                      <w:rFonts w:ascii="ITC Avant Garde" w:hAnsi="ITC Avant Garde"/>
                      <w:sz w:val="18"/>
                      <w:szCs w:val="18"/>
                    </w:rPr>
                    <w:t xml:space="preserve">, así como la metodología de </w:t>
                  </w:r>
                  <w:r w:rsidR="00A32D5F">
                    <w:rPr>
                      <w:rFonts w:ascii="ITC Avant Garde" w:hAnsi="ITC Avant Garde"/>
                      <w:sz w:val="18"/>
                      <w:szCs w:val="18"/>
                    </w:rPr>
                    <w:t>verificación de estos</w:t>
                  </w:r>
                  <w:r>
                    <w:rPr>
                      <w:rFonts w:ascii="ITC Avant Garde" w:hAnsi="ITC Avant Garde"/>
                      <w:sz w:val="18"/>
                      <w:szCs w:val="18"/>
                    </w:rPr>
                    <w:t xml:space="preserve"> y otras obligaciones que permiten al Instituto poder velar por </w:t>
                  </w:r>
                  <w:r w:rsidR="00A32D5F">
                    <w:rPr>
                      <w:rFonts w:ascii="ITC Avant Garde" w:hAnsi="ITC Avant Garde"/>
                      <w:sz w:val="18"/>
                      <w:szCs w:val="18"/>
                    </w:rPr>
                    <w:t>la prestación de servicios en términos</w:t>
                  </w:r>
                  <w:r>
                    <w:rPr>
                      <w:rFonts w:ascii="ITC Avant Garde" w:hAnsi="ITC Avant Garde"/>
                      <w:sz w:val="18"/>
                      <w:szCs w:val="18"/>
                    </w:rPr>
                    <w:t xml:space="preserve"> de calidad para los usuarios finales.</w:t>
                  </w:r>
                </w:p>
                <w:p w14:paraId="677DDC95" w14:textId="77777777" w:rsidR="00790373" w:rsidRPr="002447FB" w:rsidRDefault="00790373" w:rsidP="00A32D5F">
                  <w:pPr>
                    <w:rPr>
                      <w:rFonts w:ascii="ITC Avant Garde" w:hAnsi="ITC Avant Garde"/>
                      <w:sz w:val="18"/>
                      <w:szCs w:val="18"/>
                    </w:rPr>
                  </w:pPr>
                </w:p>
              </w:tc>
            </w:tr>
          </w:tbl>
          <w:p w14:paraId="04EA2279" w14:textId="77777777" w:rsidR="003C3084" w:rsidRPr="00DD06A0" w:rsidRDefault="003C3084" w:rsidP="00225DA6">
            <w:pPr>
              <w:jc w:val="both"/>
              <w:rPr>
                <w:rFonts w:ascii="ITC Avant Garde" w:hAnsi="ITC Avant Garde"/>
                <w:sz w:val="18"/>
                <w:szCs w:val="18"/>
              </w:rPr>
            </w:pPr>
          </w:p>
          <w:p w14:paraId="25391D74" w14:textId="77777777" w:rsidR="002025CB" w:rsidRPr="00DD06A0" w:rsidRDefault="002025CB" w:rsidP="00225DA6">
            <w:pPr>
              <w:jc w:val="both"/>
              <w:rPr>
                <w:rFonts w:ascii="ITC Avant Garde" w:hAnsi="ITC Avant Garde"/>
                <w:sz w:val="18"/>
                <w:szCs w:val="18"/>
              </w:rPr>
            </w:pPr>
          </w:p>
        </w:tc>
      </w:tr>
    </w:tbl>
    <w:p w14:paraId="1CF4E15F" w14:textId="77777777" w:rsidR="00AA6231" w:rsidRPr="00DD06A0" w:rsidRDefault="00AA6231" w:rsidP="00AA6231">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A6231" w:rsidRPr="00DD06A0" w14:paraId="4DAF6F34" w14:textId="77777777" w:rsidTr="00FE36F5">
        <w:tc>
          <w:tcPr>
            <w:tcW w:w="8828" w:type="dxa"/>
          </w:tcPr>
          <w:p w14:paraId="7976CAE1" w14:textId="41322013" w:rsidR="00AA6231" w:rsidRPr="00DD06A0" w:rsidRDefault="001A55D6" w:rsidP="00FE36F5">
            <w:pPr>
              <w:jc w:val="both"/>
              <w:rPr>
                <w:rFonts w:ascii="ITC Avant Garde" w:hAnsi="ITC Avant Garde"/>
                <w:b/>
                <w:sz w:val="18"/>
                <w:szCs w:val="18"/>
              </w:rPr>
            </w:pPr>
            <w:r>
              <w:rPr>
                <w:rFonts w:ascii="ITC Avant Garde" w:hAnsi="ITC Avant Garde"/>
                <w:b/>
                <w:sz w:val="18"/>
                <w:szCs w:val="18"/>
              </w:rPr>
              <w:t>4</w:t>
            </w:r>
            <w:r w:rsidR="00AA6231" w:rsidRPr="00797C3A">
              <w:rPr>
                <w:rFonts w:ascii="ITC Avant Garde" w:hAnsi="ITC Avant Garde"/>
                <w:b/>
                <w:sz w:val="18"/>
                <w:szCs w:val="18"/>
              </w:rPr>
              <w:t xml:space="preserve">. </w:t>
            </w:r>
            <w:r>
              <w:rPr>
                <w:rFonts w:ascii="ITC Avant Garde" w:hAnsi="ITC Avant Garde"/>
                <w:b/>
                <w:sz w:val="18"/>
                <w:szCs w:val="18"/>
              </w:rPr>
              <w:t>Justifique las razones por las que considera que la propuesta de regulación no genera costos de cumplimiento, independientemente de los beneficios que ésta genere:</w:t>
            </w:r>
          </w:p>
          <w:p w14:paraId="5D5223FB" w14:textId="77777777" w:rsidR="00AA6231" w:rsidRPr="00DD06A0" w:rsidRDefault="00AA6231" w:rsidP="00FE36F5">
            <w:pPr>
              <w:jc w:val="both"/>
              <w:rPr>
                <w:rFonts w:ascii="ITC Avant Garde" w:hAnsi="ITC Avant Garde"/>
                <w:sz w:val="18"/>
                <w:szCs w:val="18"/>
              </w:rPr>
            </w:pPr>
          </w:p>
          <w:p w14:paraId="0C36D86E" w14:textId="514AB600" w:rsidR="00E755ED" w:rsidRDefault="00E755ED" w:rsidP="00E755ED">
            <w:pPr>
              <w:jc w:val="both"/>
              <w:rPr>
                <w:rFonts w:ascii="ITC Avant Garde" w:hAnsi="ITC Avant Garde"/>
                <w:sz w:val="18"/>
                <w:szCs w:val="18"/>
              </w:rPr>
            </w:pPr>
            <w:r w:rsidRPr="00E755ED">
              <w:rPr>
                <w:rFonts w:ascii="ITC Avant Garde" w:hAnsi="ITC Avant Garde"/>
                <w:sz w:val="18"/>
                <w:szCs w:val="18"/>
              </w:rPr>
              <w:t xml:space="preserve">El Acuerdo mediante el cual el Pleno del Instituto Federal de Telecomunicaciones modifica los Lineamientos </w:t>
            </w:r>
            <w:r w:rsidR="00A32D5F" w:rsidRPr="00A32D5F">
              <w:rPr>
                <w:rFonts w:ascii="ITC Avant Garde" w:hAnsi="ITC Avant Garde"/>
                <w:sz w:val="18"/>
                <w:szCs w:val="18"/>
              </w:rPr>
              <w:t>que fijan los índices y parámetros de calidad a que deberán sujetarse los prestadores del servicio móvil</w:t>
            </w:r>
            <w:r w:rsidRPr="00E755ED">
              <w:rPr>
                <w:rFonts w:ascii="ITC Avant Garde" w:hAnsi="ITC Avant Garde"/>
                <w:sz w:val="18"/>
                <w:szCs w:val="18"/>
              </w:rPr>
              <w:t>, no genera costos de cumplimiento, a partir de lo siguiente:</w:t>
            </w:r>
          </w:p>
          <w:p w14:paraId="3A34F0F2" w14:textId="77777777" w:rsidR="00A32D5F" w:rsidRPr="00E755ED" w:rsidRDefault="00A32D5F" w:rsidP="00E755ED">
            <w:pPr>
              <w:jc w:val="both"/>
              <w:rPr>
                <w:rFonts w:ascii="ITC Avant Garde" w:hAnsi="ITC Avant Garde"/>
                <w:sz w:val="18"/>
                <w:szCs w:val="18"/>
              </w:rPr>
            </w:pPr>
          </w:p>
          <w:p w14:paraId="2F19BBAB" w14:textId="77777777" w:rsidR="00E755ED" w:rsidRPr="00E755ED" w:rsidRDefault="00E755ED" w:rsidP="00E755ED">
            <w:pPr>
              <w:jc w:val="both"/>
              <w:rPr>
                <w:rFonts w:ascii="ITC Avant Garde" w:hAnsi="ITC Avant Garde"/>
                <w:sz w:val="18"/>
                <w:szCs w:val="18"/>
              </w:rPr>
            </w:pPr>
            <w:r w:rsidRPr="00E755ED">
              <w:rPr>
                <w:rFonts w:ascii="ITC Avant Garde" w:hAnsi="ITC Avant Garde"/>
                <w:sz w:val="18"/>
                <w:szCs w:val="18"/>
              </w:rPr>
              <w:t>- No crea nuevas obligaciones ni hace más estrictas las existentes;</w:t>
            </w:r>
          </w:p>
          <w:p w14:paraId="09416DF2" w14:textId="1C0C50AE" w:rsidR="00E755ED" w:rsidRPr="00E755ED" w:rsidRDefault="00E755ED" w:rsidP="00E755ED">
            <w:pPr>
              <w:jc w:val="both"/>
              <w:rPr>
                <w:rFonts w:ascii="ITC Avant Garde" w:hAnsi="ITC Avant Garde"/>
                <w:sz w:val="18"/>
                <w:szCs w:val="18"/>
              </w:rPr>
            </w:pPr>
            <w:r w:rsidRPr="00E755ED">
              <w:rPr>
                <w:rFonts w:ascii="ITC Avant Garde" w:hAnsi="ITC Avant Garde"/>
                <w:sz w:val="18"/>
                <w:szCs w:val="18"/>
              </w:rPr>
              <w:t>- No crea ni modifica Trámites;</w:t>
            </w:r>
          </w:p>
          <w:p w14:paraId="2E239E71" w14:textId="77777777" w:rsidR="00E755ED" w:rsidRPr="00E755ED" w:rsidRDefault="00E755ED" w:rsidP="00E755ED">
            <w:pPr>
              <w:jc w:val="both"/>
              <w:rPr>
                <w:rFonts w:ascii="ITC Avant Garde" w:hAnsi="ITC Avant Garde"/>
                <w:sz w:val="18"/>
                <w:szCs w:val="18"/>
              </w:rPr>
            </w:pPr>
            <w:r w:rsidRPr="00E755ED">
              <w:rPr>
                <w:rFonts w:ascii="ITC Avant Garde" w:hAnsi="ITC Avant Garde"/>
                <w:sz w:val="18"/>
                <w:szCs w:val="18"/>
              </w:rPr>
              <w:t>- No reduce ni restringe derechos o prestaciones a los particulares;</w:t>
            </w:r>
          </w:p>
          <w:p w14:paraId="059E3826" w14:textId="77777777" w:rsidR="00AA6231" w:rsidRDefault="00E755ED" w:rsidP="00E755ED">
            <w:pPr>
              <w:jc w:val="both"/>
              <w:rPr>
                <w:rFonts w:ascii="ITC Avant Garde" w:hAnsi="ITC Avant Garde"/>
                <w:sz w:val="18"/>
                <w:szCs w:val="18"/>
              </w:rPr>
            </w:pPr>
            <w:r w:rsidRPr="00E755ED">
              <w:rPr>
                <w:rFonts w:ascii="ITC Avant Garde" w:hAnsi="ITC Avant Garde"/>
                <w:sz w:val="18"/>
                <w:szCs w:val="18"/>
              </w:rPr>
              <w:t>- No establece ni modifica definiciones, clasificaciones, metodologías, criterios, caracterizaciones o cualquier otro término de referencia, afectando derechos, obligaciones, prestaciones o trámites.</w:t>
            </w:r>
          </w:p>
          <w:p w14:paraId="3B1C7489" w14:textId="1F7FD1BE" w:rsidR="00A32D5F" w:rsidRPr="00DD06A0" w:rsidRDefault="00A32D5F" w:rsidP="00E755ED">
            <w:pPr>
              <w:jc w:val="both"/>
              <w:rPr>
                <w:rFonts w:ascii="ITC Avant Garde" w:hAnsi="ITC Avant Garde"/>
                <w:sz w:val="18"/>
                <w:szCs w:val="18"/>
              </w:rPr>
            </w:pPr>
          </w:p>
        </w:tc>
      </w:tr>
    </w:tbl>
    <w:p w14:paraId="04DA084D" w14:textId="77777777" w:rsidR="00DC156F" w:rsidRPr="00DD06A0"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DD06A0" w14:paraId="064FDEB2" w14:textId="77777777" w:rsidTr="00CE3C00">
        <w:tc>
          <w:tcPr>
            <w:tcW w:w="8828" w:type="dxa"/>
          </w:tcPr>
          <w:p w14:paraId="4C2C31C6" w14:textId="77777777" w:rsidR="00CE3C00" w:rsidRPr="00DD06A0" w:rsidRDefault="00CE3C00" w:rsidP="00E21B49">
            <w:pPr>
              <w:jc w:val="both"/>
              <w:rPr>
                <w:rFonts w:ascii="ITC Avant Garde" w:hAnsi="ITC Avant Garde"/>
                <w:sz w:val="18"/>
                <w:szCs w:val="18"/>
              </w:rPr>
            </w:pPr>
          </w:p>
          <w:p w14:paraId="567E6473" w14:textId="77777777" w:rsidR="00A04442" w:rsidRPr="00DD06A0"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581"/>
              <w:gridCol w:w="4963"/>
              <w:gridCol w:w="2058"/>
            </w:tblGrid>
            <w:tr w:rsidR="001A55D6" w:rsidRPr="001A55D6" w14:paraId="107A3EFC" w14:textId="77777777" w:rsidTr="001A55D6">
              <w:tc>
                <w:tcPr>
                  <w:tcW w:w="1581" w:type="dxa"/>
                  <w:vMerge w:val="restart"/>
                  <w:shd w:val="clear" w:color="auto" w:fill="auto"/>
                </w:tcPr>
                <w:p w14:paraId="6D25A283" w14:textId="77777777" w:rsidR="001A55D6" w:rsidRPr="00DD06A0" w:rsidRDefault="001A55D6" w:rsidP="001A55D6">
                  <w:pPr>
                    <w:rPr>
                      <w:rFonts w:ascii="ITC Avant Garde" w:hAnsi="ITC Avant Garde"/>
                      <w:b/>
                      <w:sz w:val="18"/>
                      <w:szCs w:val="18"/>
                    </w:rPr>
                  </w:pPr>
                  <w:r>
                    <w:rPr>
                      <w:rFonts w:ascii="ITC Avant Garde" w:hAnsi="ITC Avant Garde"/>
                      <w:b/>
                      <w:sz w:val="18"/>
                      <w:szCs w:val="18"/>
                    </w:rPr>
                    <w:t>5</w:t>
                  </w:r>
                  <w:r w:rsidRPr="00797C3A">
                    <w:rPr>
                      <w:rFonts w:ascii="ITC Avant Garde" w:hAnsi="ITC Avant Garde"/>
                      <w:b/>
                      <w:sz w:val="18"/>
                      <w:szCs w:val="18"/>
                    </w:rPr>
                    <w:t xml:space="preserve">.- </w:t>
                  </w:r>
                  <w:r>
                    <w:rPr>
                      <w:rFonts w:ascii="ITC Avant Garde" w:hAnsi="ITC Avant Garde"/>
                      <w:b/>
                      <w:sz w:val="18"/>
                      <w:szCs w:val="18"/>
                    </w:rPr>
                    <w:t>Indique cuál(es) de los siguientes criterios actualiza la propuesta de regulación</w:t>
                  </w:r>
                  <w:r w:rsidRPr="00DD06A0">
                    <w:rPr>
                      <w:rFonts w:ascii="ITC Avant Garde" w:hAnsi="ITC Avant Garde"/>
                      <w:b/>
                      <w:sz w:val="18"/>
                      <w:szCs w:val="18"/>
                    </w:rPr>
                    <w:t>.</w:t>
                  </w:r>
                </w:p>
                <w:p w14:paraId="441067C8" w14:textId="77777777" w:rsidR="001A55D6" w:rsidRDefault="001A55D6" w:rsidP="0082151C">
                  <w:pPr>
                    <w:jc w:val="both"/>
                    <w:rPr>
                      <w:rFonts w:ascii="ITC Avant Garde" w:hAnsi="ITC Avant Garde"/>
                      <w:b/>
                      <w:sz w:val="18"/>
                      <w:szCs w:val="18"/>
                    </w:rPr>
                  </w:pPr>
                </w:p>
              </w:tc>
              <w:tc>
                <w:tcPr>
                  <w:tcW w:w="4963" w:type="dxa"/>
                  <w:shd w:val="clear" w:color="auto" w:fill="92D050"/>
                </w:tcPr>
                <w:p w14:paraId="446A3FF8" w14:textId="25DF4D29" w:rsidR="001A55D6" w:rsidRPr="001A55D6" w:rsidRDefault="001A55D6" w:rsidP="001A55D6">
                  <w:pPr>
                    <w:jc w:val="center"/>
                    <w:rPr>
                      <w:rFonts w:ascii="ITC Avant Garde" w:hAnsi="ITC Avant Garde"/>
                      <w:b/>
                      <w:bCs/>
                      <w:sz w:val="18"/>
                      <w:szCs w:val="18"/>
                    </w:rPr>
                  </w:pPr>
                  <w:r w:rsidRPr="001A55D6">
                    <w:rPr>
                      <w:rFonts w:ascii="ITC Avant Garde" w:hAnsi="ITC Avant Garde"/>
                      <w:b/>
                      <w:bCs/>
                      <w:sz w:val="18"/>
                      <w:szCs w:val="18"/>
                    </w:rPr>
                    <w:t>Acciones</w:t>
                  </w:r>
                </w:p>
              </w:tc>
              <w:tc>
                <w:tcPr>
                  <w:tcW w:w="2058" w:type="dxa"/>
                  <w:shd w:val="clear" w:color="auto" w:fill="92D050"/>
                </w:tcPr>
                <w:p w14:paraId="3B24DE8B" w14:textId="3E02781B" w:rsidR="001A55D6" w:rsidRPr="001A55D6" w:rsidRDefault="001A55D6" w:rsidP="001A55D6">
                  <w:pPr>
                    <w:jc w:val="center"/>
                    <w:rPr>
                      <w:rFonts w:ascii="ITC Avant Garde" w:hAnsi="ITC Avant Garde"/>
                      <w:b/>
                      <w:bCs/>
                      <w:sz w:val="18"/>
                      <w:szCs w:val="18"/>
                    </w:rPr>
                  </w:pPr>
                  <w:r w:rsidRPr="001A55D6">
                    <w:rPr>
                      <w:rFonts w:ascii="ITC Avant Garde" w:hAnsi="ITC Avant Garde"/>
                      <w:b/>
                      <w:bCs/>
                      <w:sz w:val="18"/>
                      <w:szCs w:val="18"/>
                    </w:rPr>
                    <w:t>Seleccione</w:t>
                  </w:r>
                </w:p>
              </w:tc>
            </w:tr>
            <w:tr w:rsidR="001A55D6" w:rsidRPr="00DD06A0" w14:paraId="3A42EF4E" w14:textId="77777777" w:rsidTr="001A55D6">
              <w:tc>
                <w:tcPr>
                  <w:tcW w:w="1581" w:type="dxa"/>
                  <w:vMerge/>
                  <w:shd w:val="clear" w:color="auto" w:fill="auto"/>
                </w:tcPr>
                <w:p w14:paraId="311B45AA" w14:textId="77777777" w:rsidR="001A55D6" w:rsidRPr="00DD06A0" w:rsidRDefault="001A55D6" w:rsidP="0082151C">
                  <w:pPr>
                    <w:jc w:val="both"/>
                    <w:rPr>
                      <w:rFonts w:ascii="ITC Avant Garde" w:hAnsi="ITC Avant Garde"/>
                      <w:sz w:val="18"/>
                      <w:szCs w:val="18"/>
                    </w:rPr>
                  </w:pPr>
                </w:p>
              </w:tc>
              <w:tc>
                <w:tcPr>
                  <w:tcW w:w="4963" w:type="dxa"/>
                </w:tcPr>
                <w:p w14:paraId="3607B14D" w14:textId="4C6F996A" w:rsidR="001A55D6" w:rsidRPr="00DD06A0" w:rsidRDefault="001A55D6" w:rsidP="0082151C">
                  <w:pPr>
                    <w:jc w:val="both"/>
                    <w:rPr>
                      <w:rFonts w:ascii="ITC Avant Garde" w:hAnsi="ITC Avant Garde"/>
                      <w:sz w:val="18"/>
                      <w:szCs w:val="18"/>
                    </w:rPr>
                  </w:pPr>
                  <w:r>
                    <w:rPr>
                      <w:rFonts w:ascii="ITC Avant Garde" w:hAnsi="ITC Avant Garde"/>
                      <w:sz w:val="18"/>
                      <w:szCs w:val="18"/>
                    </w:rPr>
                    <w:t>Crea nuevas obligaciones y/o sanciones o hace más estrictas las existentes.</w:t>
                  </w:r>
                </w:p>
              </w:tc>
              <w:tc>
                <w:tcPr>
                  <w:tcW w:w="2058" w:type="dxa"/>
                </w:tcPr>
                <w:p w14:paraId="6029AF9C" w14:textId="77777777" w:rsidR="001A55D6" w:rsidRPr="00DD06A0" w:rsidRDefault="001A55D6" w:rsidP="00DC2B70">
                  <w:pPr>
                    <w:jc w:val="center"/>
                    <w:rPr>
                      <w:rFonts w:ascii="ITC Avant Garde" w:hAnsi="ITC Avant Garde"/>
                      <w:sz w:val="18"/>
                      <w:szCs w:val="18"/>
                    </w:rPr>
                  </w:pPr>
                  <w:proofErr w:type="gramStart"/>
                  <w:r w:rsidRPr="00DD06A0">
                    <w:rPr>
                      <w:rFonts w:ascii="ITC Avant Garde" w:hAnsi="ITC Avant Garde"/>
                      <w:sz w:val="18"/>
                      <w:szCs w:val="18"/>
                    </w:rPr>
                    <w:t>S</w:t>
                  </w:r>
                  <w:r>
                    <w:rPr>
                      <w:rFonts w:ascii="ITC Avant Garde" w:hAnsi="ITC Avant Garde"/>
                      <w:sz w:val="18"/>
                      <w:szCs w:val="18"/>
                    </w:rPr>
                    <w:t xml:space="preserve">í(  </w:t>
                  </w:r>
                  <w:proofErr w:type="gramEnd"/>
                  <w:r>
                    <w:rPr>
                      <w:rFonts w:ascii="ITC Avant Garde" w:hAnsi="ITC Avant Garde"/>
                      <w:sz w:val="18"/>
                      <w:szCs w:val="18"/>
                    </w:rPr>
                    <w:t xml:space="preserve"> ) No ( </w:t>
                  </w:r>
                  <w:r w:rsidRPr="00E21CE4">
                    <w:rPr>
                      <w:rFonts w:ascii="ITC Avant Garde" w:hAnsi="ITC Avant Garde"/>
                      <w:b/>
                      <w:sz w:val="18"/>
                      <w:szCs w:val="18"/>
                    </w:rPr>
                    <w:t>X</w:t>
                  </w:r>
                  <w:r w:rsidRPr="00DD06A0">
                    <w:rPr>
                      <w:rFonts w:ascii="ITC Avant Garde" w:hAnsi="ITC Avant Garde"/>
                      <w:sz w:val="18"/>
                      <w:szCs w:val="18"/>
                    </w:rPr>
                    <w:t xml:space="preserve"> )</w:t>
                  </w:r>
                </w:p>
              </w:tc>
            </w:tr>
            <w:tr w:rsidR="001A55D6" w:rsidRPr="00DD06A0" w14:paraId="0073E29C" w14:textId="77777777" w:rsidTr="001A55D6">
              <w:tc>
                <w:tcPr>
                  <w:tcW w:w="1581" w:type="dxa"/>
                  <w:vMerge/>
                  <w:shd w:val="clear" w:color="auto" w:fill="auto"/>
                </w:tcPr>
                <w:p w14:paraId="51690E06" w14:textId="77777777" w:rsidR="001A55D6" w:rsidRPr="00DD06A0" w:rsidRDefault="001A55D6" w:rsidP="00E21B49">
                  <w:pPr>
                    <w:jc w:val="both"/>
                    <w:rPr>
                      <w:rFonts w:ascii="ITC Avant Garde" w:hAnsi="ITC Avant Garde"/>
                      <w:sz w:val="18"/>
                      <w:szCs w:val="18"/>
                    </w:rPr>
                  </w:pPr>
                </w:p>
              </w:tc>
              <w:tc>
                <w:tcPr>
                  <w:tcW w:w="4963" w:type="dxa"/>
                </w:tcPr>
                <w:p w14:paraId="34E351F0" w14:textId="159BF561" w:rsidR="001A55D6" w:rsidRPr="00DD06A0" w:rsidRDefault="001A55D6" w:rsidP="00E21B49">
                  <w:pPr>
                    <w:jc w:val="both"/>
                    <w:rPr>
                      <w:rFonts w:ascii="ITC Avant Garde" w:hAnsi="ITC Avant Garde"/>
                      <w:sz w:val="18"/>
                      <w:szCs w:val="18"/>
                    </w:rPr>
                  </w:pPr>
                  <w:r>
                    <w:rPr>
                      <w:rFonts w:ascii="ITC Avant Garde" w:hAnsi="ITC Avant Garde"/>
                      <w:sz w:val="18"/>
                      <w:szCs w:val="18"/>
                    </w:rPr>
                    <w:t>Modifica o crea Trámites que signifiquen mayores cargas administrativas o costos de cumplimiento</w:t>
                  </w:r>
                  <w:r w:rsidR="00D550D5">
                    <w:rPr>
                      <w:rStyle w:val="Refdenotaalpie"/>
                      <w:rFonts w:ascii="ITC Avant Garde" w:hAnsi="ITC Avant Garde"/>
                      <w:sz w:val="18"/>
                      <w:szCs w:val="18"/>
                    </w:rPr>
                    <w:footnoteReference w:id="2"/>
                  </w:r>
                  <w:r>
                    <w:rPr>
                      <w:rFonts w:ascii="ITC Avant Garde" w:hAnsi="ITC Avant Garde"/>
                      <w:sz w:val="18"/>
                      <w:szCs w:val="18"/>
                    </w:rPr>
                    <w:t>.</w:t>
                  </w:r>
                </w:p>
              </w:tc>
              <w:tc>
                <w:tcPr>
                  <w:tcW w:w="2058" w:type="dxa"/>
                </w:tcPr>
                <w:p w14:paraId="0FCB2C6C" w14:textId="77777777" w:rsidR="001A55D6" w:rsidRPr="00DD06A0" w:rsidRDefault="001A55D6"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 xml:space="preserve">í </w:t>
                  </w:r>
                  <w:proofErr w:type="gramStart"/>
                  <w:r>
                    <w:rPr>
                      <w:rFonts w:ascii="ITC Avant Garde" w:hAnsi="ITC Avant Garde"/>
                      <w:sz w:val="18"/>
                      <w:szCs w:val="18"/>
                    </w:rPr>
                    <w:t xml:space="preserve">(  </w:t>
                  </w:r>
                  <w:proofErr w:type="gramEnd"/>
                  <w:r>
                    <w:rPr>
                      <w:rFonts w:ascii="ITC Avant Garde" w:hAnsi="ITC Avant Garde"/>
                      <w:sz w:val="18"/>
                      <w:szCs w:val="18"/>
                    </w:rPr>
                    <w:t xml:space="preserve"> ) No ( </w:t>
                  </w:r>
                  <w:r w:rsidRPr="00E21CE4">
                    <w:rPr>
                      <w:rFonts w:ascii="ITC Avant Garde" w:hAnsi="ITC Avant Garde"/>
                      <w:b/>
                      <w:sz w:val="18"/>
                      <w:szCs w:val="18"/>
                    </w:rPr>
                    <w:t>X</w:t>
                  </w:r>
                  <w:r w:rsidRPr="00DD06A0">
                    <w:rPr>
                      <w:rFonts w:ascii="ITC Avant Garde" w:hAnsi="ITC Avant Garde"/>
                      <w:sz w:val="18"/>
                      <w:szCs w:val="18"/>
                    </w:rPr>
                    <w:t xml:space="preserve"> )</w:t>
                  </w:r>
                </w:p>
              </w:tc>
            </w:tr>
            <w:tr w:rsidR="001A55D6" w:rsidRPr="00DD06A0" w14:paraId="21F11B51" w14:textId="77777777" w:rsidTr="001A55D6">
              <w:tc>
                <w:tcPr>
                  <w:tcW w:w="1581" w:type="dxa"/>
                  <w:vMerge/>
                  <w:shd w:val="clear" w:color="auto" w:fill="auto"/>
                </w:tcPr>
                <w:p w14:paraId="67ABC07C" w14:textId="77777777" w:rsidR="001A55D6" w:rsidRPr="00DD06A0" w:rsidRDefault="001A55D6" w:rsidP="00E21B49">
                  <w:pPr>
                    <w:jc w:val="both"/>
                    <w:rPr>
                      <w:rFonts w:ascii="ITC Avant Garde" w:hAnsi="ITC Avant Garde"/>
                      <w:sz w:val="18"/>
                      <w:szCs w:val="18"/>
                    </w:rPr>
                  </w:pPr>
                </w:p>
              </w:tc>
              <w:tc>
                <w:tcPr>
                  <w:tcW w:w="4963" w:type="dxa"/>
                </w:tcPr>
                <w:p w14:paraId="78C93710" w14:textId="5263AC2F" w:rsidR="001A55D6" w:rsidRPr="00DD06A0" w:rsidRDefault="00D550D5" w:rsidP="00E21B49">
                  <w:pPr>
                    <w:jc w:val="both"/>
                    <w:rPr>
                      <w:rFonts w:ascii="ITC Avant Garde" w:hAnsi="ITC Avant Garde"/>
                      <w:sz w:val="18"/>
                      <w:szCs w:val="18"/>
                    </w:rPr>
                  </w:pPr>
                  <w:r>
                    <w:rPr>
                      <w:rFonts w:ascii="ITC Avant Garde" w:hAnsi="ITC Avant Garde"/>
                      <w:sz w:val="18"/>
                      <w:szCs w:val="18"/>
                    </w:rPr>
                    <w:t>Reduce o restringe prestaciones o derechos.</w:t>
                  </w:r>
                </w:p>
              </w:tc>
              <w:tc>
                <w:tcPr>
                  <w:tcW w:w="2058" w:type="dxa"/>
                </w:tcPr>
                <w:p w14:paraId="5A524A16" w14:textId="77777777" w:rsidR="001A55D6" w:rsidRPr="00DD06A0" w:rsidRDefault="001A55D6" w:rsidP="00B73435">
                  <w:pPr>
                    <w:jc w:val="center"/>
                    <w:rPr>
                      <w:rFonts w:ascii="ITC Avant Garde" w:hAnsi="ITC Avant Garde"/>
                      <w:sz w:val="18"/>
                      <w:szCs w:val="18"/>
                    </w:rPr>
                  </w:pPr>
                  <w:r w:rsidRPr="00DD06A0">
                    <w:rPr>
                      <w:rFonts w:ascii="ITC Avant Garde" w:hAnsi="ITC Avant Garde"/>
                      <w:sz w:val="18"/>
                      <w:szCs w:val="18"/>
                    </w:rPr>
                    <w:t>S</w:t>
                  </w:r>
                  <w:r>
                    <w:rPr>
                      <w:rFonts w:ascii="ITC Avant Garde" w:hAnsi="ITC Avant Garde"/>
                      <w:sz w:val="18"/>
                      <w:szCs w:val="18"/>
                    </w:rPr>
                    <w:t xml:space="preserve">í </w:t>
                  </w:r>
                  <w:proofErr w:type="gramStart"/>
                  <w:r>
                    <w:rPr>
                      <w:rFonts w:ascii="ITC Avant Garde" w:hAnsi="ITC Avant Garde"/>
                      <w:sz w:val="18"/>
                      <w:szCs w:val="18"/>
                    </w:rPr>
                    <w:t xml:space="preserve">(  </w:t>
                  </w:r>
                  <w:proofErr w:type="gramEnd"/>
                  <w:r>
                    <w:rPr>
                      <w:rFonts w:ascii="ITC Avant Garde" w:hAnsi="ITC Avant Garde"/>
                      <w:sz w:val="18"/>
                      <w:szCs w:val="18"/>
                    </w:rPr>
                    <w:t xml:space="preserve"> ) No ( </w:t>
                  </w:r>
                  <w:r w:rsidRPr="00E21CE4">
                    <w:rPr>
                      <w:rFonts w:ascii="ITC Avant Garde" w:hAnsi="ITC Avant Garde"/>
                      <w:b/>
                      <w:sz w:val="18"/>
                      <w:szCs w:val="18"/>
                    </w:rPr>
                    <w:t>X</w:t>
                  </w:r>
                  <w:r w:rsidRPr="00DD06A0">
                    <w:rPr>
                      <w:rFonts w:ascii="ITC Avant Garde" w:hAnsi="ITC Avant Garde"/>
                      <w:sz w:val="18"/>
                      <w:szCs w:val="18"/>
                    </w:rPr>
                    <w:t xml:space="preserve"> )</w:t>
                  </w:r>
                </w:p>
              </w:tc>
            </w:tr>
            <w:tr w:rsidR="001A55D6" w:rsidRPr="00DD06A0" w14:paraId="18113F7B" w14:textId="77777777" w:rsidTr="001A55D6">
              <w:tc>
                <w:tcPr>
                  <w:tcW w:w="1581" w:type="dxa"/>
                  <w:vMerge/>
                  <w:shd w:val="clear" w:color="auto" w:fill="auto"/>
                </w:tcPr>
                <w:p w14:paraId="158FA939" w14:textId="77777777" w:rsidR="001A55D6" w:rsidRPr="00DD06A0" w:rsidRDefault="001A55D6" w:rsidP="00E21B49">
                  <w:pPr>
                    <w:jc w:val="both"/>
                    <w:rPr>
                      <w:rFonts w:ascii="ITC Avant Garde" w:hAnsi="ITC Avant Garde"/>
                      <w:sz w:val="18"/>
                      <w:szCs w:val="18"/>
                    </w:rPr>
                  </w:pPr>
                </w:p>
              </w:tc>
              <w:tc>
                <w:tcPr>
                  <w:tcW w:w="4963" w:type="dxa"/>
                </w:tcPr>
                <w:p w14:paraId="39B1A66D" w14:textId="6D317502" w:rsidR="001A55D6" w:rsidRPr="00DD06A0" w:rsidRDefault="00D550D5" w:rsidP="00E21B49">
                  <w:pPr>
                    <w:jc w:val="both"/>
                    <w:rPr>
                      <w:rFonts w:ascii="ITC Avant Garde" w:hAnsi="ITC Avant Garde"/>
                      <w:sz w:val="18"/>
                      <w:szCs w:val="18"/>
                    </w:rPr>
                  </w:pPr>
                  <w:r>
                    <w:rPr>
                      <w:rFonts w:ascii="ITC Avant Garde" w:hAnsi="ITC Avant Garde"/>
                      <w:sz w:val="18"/>
                      <w:szCs w:val="18"/>
                    </w:rPr>
                    <w:t>Establece o modifica definiciones, clasificaciones, metodologías, criterios, caracterizaciones o cualquier otro término de referencia, afectando derechos, obligaciones, prestaciones o trámites.</w:t>
                  </w:r>
                </w:p>
              </w:tc>
              <w:tc>
                <w:tcPr>
                  <w:tcW w:w="2058" w:type="dxa"/>
                </w:tcPr>
                <w:p w14:paraId="6F4A7FAF" w14:textId="77777777" w:rsidR="001A55D6" w:rsidRPr="00DD06A0" w:rsidRDefault="001A55D6" w:rsidP="00B73435">
                  <w:pPr>
                    <w:jc w:val="center"/>
                    <w:rPr>
                      <w:rFonts w:ascii="ITC Avant Garde" w:hAnsi="ITC Avant Garde"/>
                      <w:sz w:val="18"/>
                      <w:szCs w:val="18"/>
                    </w:rPr>
                  </w:pPr>
                  <w:r>
                    <w:rPr>
                      <w:rFonts w:ascii="ITC Avant Garde" w:hAnsi="ITC Avant Garde"/>
                      <w:sz w:val="18"/>
                      <w:szCs w:val="18"/>
                    </w:rPr>
                    <w:t xml:space="preserve">Sí </w:t>
                  </w:r>
                  <w:proofErr w:type="gramStart"/>
                  <w:r>
                    <w:rPr>
                      <w:rFonts w:ascii="ITC Avant Garde" w:hAnsi="ITC Avant Garde"/>
                      <w:sz w:val="18"/>
                      <w:szCs w:val="18"/>
                    </w:rPr>
                    <w:t xml:space="preserve">(  </w:t>
                  </w:r>
                  <w:proofErr w:type="gramEnd"/>
                  <w:r>
                    <w:rPr>
                      <w:rFonts w:ascii="ITC Avant Garde" w:hAnsi="ITC Avant Garde"/>
                      <w:sz w:val="18"/>
                      <w:szCs w:val="18"/>
                    </w:rPr>
                    <w:t xml:space="preserve"> ) No ( </w:t>
                  </w:r>
                  <w:r w:rsidRPr="00E21CE4">
                    <w:rPr>
                      <w:rFonts w:ascii="ITC Avant Garde" w:hAnsi="ITC Avant Garde"/>
                      <w:b/>
                      <w:sz w:val="18"/>
                      <w:szCs w:val="18"/>
                    </w:rPr>
                    <w:t xml:space="preserve">X </w:t>
                  </w:r>
                  <w:r w:rsidRPr="00DD06A0">
                    <w:rPr>
                      <w:rFonts w:ascii="ITC Avant Garde" w:hAnsi="ITC Avant Garde"/>
                      <w:sz w:val="18"/>
                      <w:szCs w:val="18"/>
                    </w:rPr>
                    <w:t>)</w:t>
                  </w:r>
                </w:p>
              </w:tc>
            </w:tr>
          </w:tbl>
          <w:p w14:paraId="08B79806" w14:textId="21DCC048" w:rsidR="00CE3C00" w:rsidRPr="00DD06A0" w:rsidRDefault="00CE3C00" w:rsidP="00E21B49">
            <w:pPr>
              <w:jc w:val="both"/>
              <w:rPr>
                <w:rFonts w:ascii="ITC Avant Garde" w:hAnsi="ITC Avant Garde"/>
                <w:sz w:val="18"/>
                <w:szCs w:val="18"/>
              </w:rPr>
            </w:pPr>
          </w:p>
        </w:tc>
      </w:tr>
    </w:tbl>
    <w:p w14:paraId="4AC771FD" w14:textId="606CDBB0" w:rsidR="00F573D5" w:rsidRDefault="00F573D5" w:rsidP="00E21B49">
      <w:pPr>
        <w:jc w:val="both"/>
        <w:rPr>
          <w:rFonts w:ascii="ITC Avant Garde" w:hAnsi="ITC Avant Garde"/>
          <w:sz w:val="18"/>
          <w:szCs w:val="18"/>
        </w:rPr>
      </w:pPr>
    </w:p>
    <w:p w14:paraId="1C59BA5B" w14:textId="5A6D4F05" w:rsidR="00242CD9" w:rsidRPr="00DD06A0" w:rsidRDefault="008F3F30" w:rsidP="00242CD9">
      <w:pPr>
        <w:shd w:val="clear" w:color="auto" w:fill="A8D08D" w:themeFill="accent6" w:themeFillTint="99"/>
        <w:jc w:val="both"/>
        <w:rPr>
          <w:rFonts w:ascii="ITC Avant Garde" w:hAnsi="ITC Avant Garde"/>
          <w:b/>
          <w:sz w:val="18"/>
          <w:szCs w:val="18"/>
        </w:rPr>
      </w:pPr>
      <w:r>
        <w:rPr>
          <w:rFonts w:ascii="ITC Avant Garde" w:hAnsi="ITC Avant Garde"/>
          <w:b/>
          <w:sz w:val="18"/>
          <w:szCs w:val="18"/>
        </w:rPr>
        <w:t>III</w:t>
      </w:r>
      <w:r w:rsidR="00242CD9" w:rsidRPr="00DD06A0">
        <w:rPr>
          <w:rFonts w:ascii="ITC Avant Garde" w:hAnsi="ITC Avant Garde"/>
          <w:b/>
          <w:sz w:val="18"/>
          <w:szCs w:val="18"/>
        </w:rPr>
        <w:t xml:space="preserve">. BIBLIOGRAFÍA O REFERENCIAS </w:t>
      </w:r>
      <w:r w:rsidR="00D71DE4" w:rsidRPr="00DD06A0">
        <w:rPr>
          <w:rFonts w:ascii="ITC Avant Garde" w:hAnsi="ITC Avant Garde"/>
          <w:b/>
          <w:sz w:val="18"/>
          <w:szCs w:val="18"/>
        </w:rPr>
        <w:t>DE CUALQUIER ÍNDOLE</w:t>
      </w:r>
      <w:r w:rsidR="00242CD9" w:rsidRPr="00DD06A0">
        <w:rPr>
          <w:rFonts w:ascii="ITC Avant Garde" w:hAnsi="ITC Avant Garde"/>
          <w:b/>
          <w:sz w:val="18"/>
          <w:szCs w:val="18"/>
        </w:rPr>
        <w:t xml:space="preserve"> QUE SE HAYAN UTILIZADO EN LA ELABORACIÓN DE LA PROPUESTA DE REGULACIÓN.</w:t>
      </w:r>
    </w:p>
    <w:tbl>
      <w:tblPr>
        <w:tblStyle w:val="Tablaconcuadrcula"/>
        <w:tblW w:w="8784" w:type="dxa"/>
        <w:tblLayout w:type="fixed"/>
        <w:tblLook w:val="04A0" w:firstRow="1" w:lastRow="0" w:firstColumn="1" w:lastColumn="0" w:noHBand="0" w:noVBand="1"/>
      </w:tblPr>
      <w:tblGrid>
        <w:gridCol w:w="8784"/>
      </w:tblGrid>
      <w:tr w:rsidR="00242CD9" w:rsidRPr="00834403" w14:paraId="20A80332" w14:textId="77777777" w:rsidTr="008F3F30">
        <w:tc>
          <w:tcPr>
            <w:tcW w:w="8784" w:type="dxa"/>
            <w:tcBorders>
              <w:bottom w:val="single" w:sz="4" w:space="0" w:color="auto"/>
            </w:tcBorders>
          </w:tcPr>
          <w:p w14:paraId="394EE743" w14:textId="11170DE5" w:rsidR="00242CD9" w:rsidRPr="008F3F30" w:rsidRDefault="008F3F30" w:rsidP="00225DA6">
            <w:pPr>
              <w:jc w:val="both"/>
              <w:rPr>
                <w:rFonts w:ascii="ITC Avant Garde" w:hAnsi="ITC Avant Garde"/>
                <w:b/>
                <w:bCs/>
                <w:sz w:val="18"/>
                <w:szCs w:val="18"/>
              </w:rPr>
            </w:pPr>
            <w:r w:rsidRPr="008F3F30">
              <w:rPr>
                <w:rFonts w:ascii="ITC Avant Garde" w:hAnsi="ITC Avant Garde"/>
                <w:b/>
                <w:bCs/>
                <w:sz w:val="18"/>
                <w:szCs w:val="18"/>
              </w:rPr>
              <w:t>6</w:t>
            </w:r>
            <w:r w:rsidR="00242CD9" w:rsidRPr="008F3F30">
              <w:rPr>
                <w:rFonts w:ascii="ITC Avant Garde" w:hAnsi="ITC Avant Garde"/>
                <w:b/>
                <w:bCs/>
                <w:sz w:val="18"/>
                <w:szCs w:val="18"/>
              </w:rPr>
              <w:t xml:space="preserve">.- </w:t>
            </w:r>
            <w:r w:rsidRPr="008F3F30">
              <w:rPr>
                <w:rFonts w:ascii="ITC Avant Garde" w:hAnsi="ITC Avant Garde"/>
                <w:b/>
                <w:bCs/>
                <w:sz w:val="18"/>
                <w:szCs w:val="18"/>
              </w:rPr>
              <w:t>Enliste los datos bibliográficos o las direcciones electrónicas consultadas para el diseño y redacción de la propuesta de regulación, así como cualquier otra documentación que se considere de interés.</w:t>
            </w:r>
          </w:p>
          <w:p w14:paraId="6F003D4C" w14:textId="77777777" w:rsidR="00F84FD1" w:rsidRPr="00F84FD1" w:rsidRDefault="00F84FD1" w:rsidP="00225DA6">
            <w:pPr>
              <w:jc w:val="both"/>
              <w:rPr>
                <w:rFonts w:ascii="ITC Avant Garde" w:hAnsi="ITC Avant Garde"/>
                <w:sz w:val="18"/>
                <w:szCs w:val="18"/>
              </w:rPr>
            </w:pPr>
          </w:p>
          <w:p w14:paraId="72AE054F" w14:textId="77777777" w:rsidR="0078122E" w:rsidRDefault="0078122E" w:rsidP="0078122E">
            <w:pPr>
              <w:pStyle w:val="Prrafodelista"/>
              <w:spacing w:line="252" w:lineRule="auto"/>
              <w:jc w:val="both"/>
              <w:rPr>
                <w:rFonts w:ascii="ITC Avant Garde" w:hAnsi="ITC Avant Garde"/>
                <w:sz w:val="18"/>
                <w:szCs w:val="18"/>
              </w:rPr>
            </w:pPr>
          </w:p>
          <w:p w14:paraId="2B88B8EC" w14:textId="70FF49C0" w:rsidR="002340D3" w:rsidRPr="009448E4" w:rsidRDefault="009448E4" w:rsidP="009448E4">
            <w:pPr>
              <w:pStyle w:val="Prrafodelista"/>
              <w:numPr>
                <w:ilvl w:val="0"/>
                <w:numId w:val="15"/>
              </w:numPr>
              <w:spacing w:line="252" w:lineRule="auto"/>
              <w:jc w:val="both"/>
              <w:rPr>
                <w:rFonts w:ascii="ITC Avant Garde" w:hAnsi="ITC Avant Garde"/>
                <w:sz w:val="18"/>
                <w:szCs w:val="18"/>
              </w:rPr>
            </w:pPr>
            <w:r w:rsidRPr="009448E4">
              <w:rPr>
                <w:rFonts w:ascii="ITC Avant Garde" w:hAnsi="ITC Avant Garde"/>
                <w:sz w:val="18"/>
                <w:szCs w:val="18"/>
              </w:rPr>
              <w:t>ACUERDO mediante el cual el Pleno del Instituto Federal de Telecomunicaciones aprueba y emite los lineamientos que fijan los índices</w:t>
            </w:r>
            <w:r>
              <w:rPr>
                <w:rFonts w:ascii="ITC Avant Garde" w:hAnsi="ITC Avant Garde"/>
                <w:sz w:val="18"/>
                <w:szCs w:val="18"/>
              </w:rPr>
              <w:t xml:space="preserve"> </w:t>
            </w:r>
            <w:r w:rsidRPr="009448E4">
              <w:rPr>
                <w:rFonts w:ascii="ITC Avant Garde" w:hAnsi="ITC Avant Garde"/>
                <w:sz w:val="18"/>
                <w:szCs w:val="18"/>
              </w:rPr>
              <w:t>y parámetros de calidad a que deberán sujetarse los prestadores del servicio móvil y se abroga el Plan Técnico Fundamental de Calidad</w:t>
            </w:r>
            <w:r>
              <w:rPr>
                <w:rFonts w:ascii="ITC Avant Garde" w:hAnsi="ITC Avant Garde"/>
                <w:sz w:val="18"/>
                <w:szCs w:val="18"/>
              </w:rPr>
              <w:t xml:space="preserve"> </w:t>
            </w:r>
            <w:r w:rsidRPr="009448E4">
              <w:rPr>
                <w:rFonts w:ascii="ITC Avant Garde" w:hAnsi="ITC Avant Garde"/>
                <w:sz w:val="18"/>
                <w:szCs w:val="18"/>
              </w:rPr>
              <w:t>del Servicio Local Móvil publicado el 30 de agosto de 2011, así como la metodología de mediciones del Plan Técnico Fundamental de</w:t>
            </w:r>
            <w:r>
              <w:rPr>
                <w:rFonts w:ascii="ITC Avant Garde" w:hAnsi="ITC Avant Garde"/>
                <w:sz w:val="18"/>
                <w:szCs w:val="18"/>
              </w:rPr>
              <w:t xml:space="preserve"> </w:t>
            </w:r>
            <w:r w:rsidRPr="009448E4">
              <w:rPr>
                <w:rFonts w:ascii="ITC Avant Garde" w:hAnsi="ITC Avant Garde"/>
                <w:sz w:val="18"/>
                <w:szCs w:val="18"/>
              </w:rPr>
              <w:t>Calidad del Servicio Local Móvil publicada el 27 de junio de 2012.</w:t>
            </w:r>
          </w:p>
          <w:p w14:paraId="6249A510" w14:textId="77777777" w:rsidR="009448E4" w:rsidRPr="00D6362E" w:rsidRDefault="009448E4" w:rsidP="009448E4">
            <w:pPr>
              <w:pStyle w:val="Prrafodelista"/>
              <w:jc w:val="both"/>
              <w:rPr>
                <w:rFonts w:ascii="ITC Avant Garde" w:hAnsi="ITC Avant Garde"/>
                <w:sz w:val="18"/>
                <w:szCs w:val="18"/>
                <w:u w:val="single"/>
              </w:rPr>
            </w:pPr>
          </w:p>
          <w:p w14:paraId="598F0356" w14:textId="77777777" w:rsidR="002340D3" w:rsidRPr="007504E2" w:rsidRDefault="002340D3" w:rsidP="009448E4">
            <w:pPr>
              <w:pStyle w:val="Prrafodelista"/>
              <w:numPr>
                <w:ilvl w:val="0"/>
                <w:numId w:val="15"/>
              </w:numPr>
              <w:spacing w:line="252" w:lineRule="auto"/>
              <w:jc w:val="both"/>
              <w:rPr>
                <w:rFonts w:ascii="ITC Avant Garde" w:hAnsi="ITC Avant Garde"/>
                <w:sz w:val="18"/>
                <w:szCs w:val="18"/>
                <w:lang w:val="en-US"/>
              </w:rPr>
            </w:pPr>
            <w:r w:rsidRPr="007504E2">
              <w:rPr>
                <w:rFonts w:ascii="ITC Avant Garde" w:hAnsi="ITC Avant Garde"/>
                <w:sz w:val="18"/>
                <w:szCs w:val="18"/>
                <w:lang w:val="en-US"/>
              </w:rPr>
              <w:t>The Mobile Economy Latin America 2021, GSMA, 2021</w:t>
            </w:r>
          </w:p>
          <w:p w14:paraId="5E7FE264" w14:textId="272DC8F1" w:rsidR="002340D3" w:rsidRPr="007504E2" w:rsidRDefault="00A24629" w:rsidP="009448E4">
            <w:pPr>
              <w:pStyle w:val="Prrafodelista"/>
              <w:spacing w:line="252" w:lineRule="auto"/>
              <w:jc w:val="both"/>
              <w:rPr>
                <w:rFonts w:ascii="ITC Avant Garde" w:hAnsi="ITC Avant Garde"/>
                <w:sz w:val="18"/>
                <w:szCs w:val="18"/>
                <w:lang w:val="en-US"/>
              </w:rPr>
            </w:pPr>
            <w:r>
              <w:fldChar w:fldCharType="begin"/>
            </w:r>
            <w:r w:rsidRPr="005B3499">
              <w:rPr>
                <w:lang w:val="en-US"/>
              </w:rPr>
              <w:instrText xml:space="preserve"> HYPERLINK "https://www.gsma.com/latinamerica/resources/the-mobile-economy-latin-america-2021/" </w:instrText>
            </w:r>
            <w:r>
              <w:fldChar w:fldCharType="separate"/>
            </w:r>
            <w:r w:rsidR="009448E4" w:rsidRPr="007504E2">
              <w:rPr>
                <w:rStyle w:val="Hipervnculo"/>
                <w:rFonts w:ascii="ITC Avant Garde" w:hAnsi="ITC Avant Garde"/>
                <w:sz w:val="18"/>
                <w:szCs w:val="18"/>
                <w:lang w:val="en-US"/>
              </w:rPr>
              <w:t>https://www.gsma.com/latinamerica/resources/the-mobile-economy-latin-america-2021/</w:t>
            </w:r>
            <w:r>
              <w:rPr>
                <w:rStyle w:val="Hipervnculo"/>
                <w:rFonts w:ascii="ITC Avant Garde" w:hAnsi="ITC Avant Garde"/>
                <w:sz w:val="18"/>
                <w:szCs w:val="18"/>
                <w:lang w:val="en-US"/>
              </w:rPr>
              <w:fldChar w:fldCharType="end"/>
            </w:r>
          </w:p>
          <w:p w14:paraId="61FFE333" w14:textId="77777777" w:rsidR="002340D3" w:rsidRPr="007504E2" w:rsidRDefault="002340D3" w:rsidP="009448E4">
            <w:pPr>
              <w:pStyle w:val="Prrafodelista"/>
              <w:spacing w:line="252" w:lineRule="auto"/>
              <w:jc w:val="both"/>
              <w:rPr>
                <w:rFonts w:ascii="ITC Avant Garde" w:hAnsi="ITC Avant Garde"/>
                <w:sz w:val="18"/>
                <w:szCs w:val="18"/>
                <w:lang w:val="en-US"/>
              </w:rPr>
            </w:pPr>
          </w:p>
          <w:p w14:paraId="30BC14B0" w14:textId="77777777" w:rsidR="002340D3" w:rsidRPr="009448E4" w:rsidRDefault="002340D3" w:rsidP="009448E4">
            <w:pPr>
              <w:pStyle w:val="Prrafodelista"/>
              <w:numPr>
                <w:ilvl w:val="0"/>
                <w:numId w:val="15"/>
              </w:numPr>
              <w:spacing w:line="252" w:lineRule="auto"/>
              <w:jc w:val="both"/>
              <w:rPr>
                <w:rFonts w:ascii="ITC Avant Garde" w:hAnsi="ITC Avant Garde"/>
                <w:sz w:val="18"/>
                <w:szCs w:val="18"/>
              </w:rPr>
            </w:pPr>
            <w:r w:rsidRPr="009448E4">
              <w:rPr>
                <w:rFonts w:ascii="ITC Avant Garde" w:hAnsi="ITC Avant Garde"/>
                <w:sz w:val="18"/>
                <w:szCs w:val="18"/>
              </w:rPr>
              <w:t>Anuario Estadístico 2021, IFT, 2021</w:t>
            </w:r>
          </w:p>
          <w:p w14:paraId="3A7272C3" w14:textId="6ACD1533" w:rsidR="002340D3" w:rsidRDefault="00A24629" w:rsidP="009448E4">
            <w:pPr>
              <w:pStyle w:val="Prrafodelista"/>
              <w:spacing w:line="252" w:lineRule="auto"/>
              <w:jc w:val="both"/>
              <w:rPr>
                <w:rFonts w:ascii="ITC Avant Garde" w:hAnsi="ITC Avant Garde"/>
                <w:sz w:val="18"/>
                <w:szCs w:val="18"/>
              </w:rPr>
            </w:pPr>
            <w:hyperlink r:id="rId12" w:history="1">
              <w:r w:rsidR="009448E4" w:rsidRPr="0073390A">
                <w:rPr>
                  <w:rStyle w:val="Hipervnculo"/>
                  <w:rFonts w:ascii="ITC Avant Garde" w:hAnsi="ITC Avant Garde"/>
                  <w:sz w:val="18"/>
                  <w:szCs w:val="18"/>
                </w:rPr>
                <w:t>https://www.ift.org.mx/sites/default/files/contenidogeneral/estadisticas/anuarioestadistico2021.pdf</w:t>
              </w:r>
            </w:hyperlink>
          </w:p>
          <w:p w14:paraId="58B3358B" w14:textId="77777777" w:rsidR="009448E4" w:rsidRPr="009448E4" w:rsidRDefault="009448E4" w:rsidP="009448E4">
            <w:pPr>
              <w:pStyle w:val="Prrafodelista"/>
              <w:spacing w:line="252" w:lineRule="auto"/>
              <w:jc w:val="both"/>
              <w:rPr>
                <w:rFonts w:ascii="ITC Avant Garde" w:hAnsi="ITC Avant Garde"/>
                <w:sz w:val="18"/>
                <w:szCs w:val="18"/>
              </w:rPr>
            </w:pPr>
          </w:p>
          <w:p w14:paraId="53A97FFA" w14:textId="4341FD6E" w:rsidR="002340D3" w:rsidRPr="009448E4" w:rsidRDefault="002340D3" w:rsidP="009448E4">
            <w:pPr>
              <w:pStyle w:val="Prrafodelista"/>
              <w:numPr>
                <w:ilvl w:val="0"/>
                <w:numId w:val="15"/>
              </w:numPr>
              <w:spacing w:line="252" w:lineRule="auto"/>
              <w:jc w:val="both"/>
              <w:rPr>
                <w:rFonts w:ascii="ITC Avant Garde" w:hAnsi="ITC Avant Garde"/>
                <w:sz w:val="18"/>
                <w:szCs w:val="18"/>
              </w:rPr>
            </w:pPr>
            <w:r w:rsidRPr="009448E4">
              <w:rPr>
                <w:rFonts w:ascii="ITC Avant Garde" w:hAnsi="ITC Avant Garde"/>
                <w:sz w:val="18"/>
                <w:szCs w:val="18"/>
              </w:rPr>
              <w:t xml:space="preserve">Cuarto Informe Trimestral Estadístico 2020, IFT, </w:t>
            </w:r>
            <w:r w:rsidR="00FA6E97">
              <w:rPr>
                <w:rFonts w:ascii="ITC Avant Garde" w:hAnsi="ITC Avant Garde"/>
                <w:sz w:val="18"/>
                <w:szCs w:val="18"/>
              </w:rPr>
              <w:t>2021</w:t>
            </w:r>
          </w:p>
          <w:p w14:paraId="289F6B32" w14:textId="16580A7F" w:rsidR="002340D3" w:rsidRPr="009448E4" w:rsidRDefault="009448E4" w:rsidP="009448E4">
            <w:pPr>
              <w:spacing w:line="252" w:lineRule="auto"/>
              <w:jc w:val="both"/>
              <w:rPr>
                <w:rFonts w:ascii="ITC Avant Garde" w:hAnsi="ITC Avant Garde"/>
                <w:sz w:val="18"/>
                <w:szCs w:val="18"/>
              </w:rPr>
            </w:pPr>
            <w:r>
              <w:rPr>
                <w:rFonts w:ascii="ITC Avant Garde" w:hAnsi="ITC Avant Garde"/>
                <w:sz w:val="18"/>
                <w:szCs w:val="18"/>
              </w:rPr>
              <w:t xml:space="preserve">               </w:t>
            </w:r>
            <w:hyperlink r:id="rId13" w:history="1">
              <w:r w:rsidRPr="0073390A">
                <w:rPr>
                  <w:rStyle w:val="Hipervnculo"/>
                  <w:rFonts w:ascii="ITC Avant Garde" w:hAnsi="ITC Avant Garde"/>
                  <w:sz w:val="18"/>
                  <w:szCs w:val="18"/>
                </w:rPr>
                <w:t>https://www.ift.org.mx/sites/default/files/contenidogeneral/estadisticas/ite4t2020_1.pdf</w:t>
              </w:r>
            </w:hyperlink>
          </w:p>
          <w:p w14:paraId="06F4EBC9" w14:textId="77777777" w:rsidR="009448E4" w:rsidRDefault="009448E4" w:rsidP="009448E4">
            <w:pPr>
              <w:pStyle w:val="Prrafodelista"/>
              <w:spacing w:line="252" w:lineRule="auto"/>
              <w:jc w:val="both"/>
              <w:rPr>
                <w:rFonts w:ascii="ITC Avant Garde" w:hAnsi="ITC Avant Garde"/>
                <w:sz w:val="18"/>
                <w:szCs w:val="18"/>
              </w:rPr>
            </w:pPr>
          </w:p>
          <w:p w14:paraId="49BC2C15" w14:textId="77777777" w:rsidR="009448E4" w:rsidRDefault="002340D3" w:rsidP="009448E4">
            <w:pPr>
              <w:pStyle w:val="Prrafodelista"/>
              <w:numPr>
                <w:ilvl w:val="0"/>
                <w:numId w:val="15"/>
              </w:numPr>
              <w:spacing w:line="252" w:lineRule="auto"/>
              <w:jc w:val="both"/>
              <w:rPr>
                <w:rFonts w:ascii="ITC Avant Garde" w:hAnsi="ITC Avant Garde"/>
                <w:sz w:val="18"/>
                <w:szCs w:val="18"/>
              </w:rPr>
            </w:pPr>
            <w:r w:rsidRPr="009448E4">
              <w:rPr>
                <w:rFonts w:ascii="ITC Avant Garde" w:hAnsi="ITC Avant Garde"/>
                <w:sz w:val="18"/>
                <w:szCs w:val="18"/>
              </w:rPr>
              <w:t xml:space="preserve">Pronósticos de los Servicios de Telecomunicaciones, IFT, </w:t>
            </w:r>
            <w:proofErr w:type="gramStart"/>
            <w:r w:rsidRPr="009448E4">
              <w:rPr>
                <w:rFonts w:ascii="ITC Avant Garde" w:hAnsi="ITC Avant Garde"/>
                <w:sz w:val="18"/>
                <w:szCs w:val="18"/>
              </w:rPr>
              <w:t>Diciembre</w:t>
            </w:r>
            <w:proofErr w:type="gramEnd"/>
            <w:r w:rsidRPr="009448E4">
              <w:rPr>
                <w:rFonts w:ascii="ITC Avant Garde" w:hAnsi="ITC Avant Garde"/>
                <w:sz w:val="18"/>
                <w:szCs w:val="18"/>
              </w:rPr>
              <w:t xml:space="preserve"> 2021</w:t>
            </w:r>
          </w:p>
          <w:p w14:paraId="5E6C63EB" w14:textId="1C8A6E40" w:rsidR="002340D3" w:rsidRPr="009448E4" w:rsidRDefault="00A24629" w:rsidP="009448E4">
            <w:pPr>
              <w:pStyle w:val="Prrafodelista"/>
              <w:spacing w:line="252" w:lineRule="auto"/>
              <w:jc w:val="both"/>
              <w:rPr>
                <w:rFonts w:ascii="ITC Avant Garde" w:hAnsi="ITC Avant Garde"/>
                <w:sz w:val="18"/>
                <w:szCs w:val="18"/>
              </w:rPr>
            </w:pPr>
            <w:hyperlink r:id="rId14" w:history="1">
              <w:r w:rsidR="00FA6E97" w:rsidRPr="0073390A">
                <w:rPr>
                  <w:rStyle w:val="Hipervnculo"/>
                  <w:rFonts w:ascii="ITC Avant Garde" w:hAnsi="ITC Avant Garde"/>
                  <w:sz w:val="18"/>
                  <w:szCs w:val="18"/>
                </w:rPr>
                <w:t>https://www.ift.org.mx/sites/default/files/contenidogeneral/estadisticas/PronosticosTelecom2021.pdf</w:t>
              </w:r>
            </w:hyperlink>
          </w:p>
          <w:p w14:paraId="49175F18" w14:textId="26DF5D02" w:rsidR="002340D3" w:rsidRPr="00D6362E" w:rsidRDefault="002340D3" w:rsidP="00225DA6">
            <w:pPr>
              <w:jc w:val="both"/>
              <w:rPr>
                <w:rFonts w:ascii="ITC Avant Garde" w:hAnsi="ITC Avant Garde"/>
                <w:sz w:val="18"/>
                <w:szCs w:val="18"/>
              </w:rPr>
            </w:pPr>
          </w:p>
        </w:tc>
      </w:tr>
      <w:tr w:rsidR="00242CD9" w:rsidRPr="00834403" w14:paraId="226AC44C" w14:textId="77777777" w:rsidTr="008F3F30">
        <w:tc>
          <w:tcPr>
            <w:tcW w:w="8784" w:type="dxa"/>
            <w:tcBorders>
              <w:top w:val="single" w:sz="4" w:space="0" w:color="auto"/>
              <w:left w:val="nil"/>
              <w:bottom w:val="nil"/>
              <w:right w:val="nil"/>
            </w:tcBorders>
          </w:tcPr>
          <w:p w14:paraId="688F6915" w14:textId="77777777" w:rsidR="00242CD9" w:rsidRPr="00D6362E" w:rsidRDefault="00242CD9" w:rsidP="00225DA6">
            <w:pPr>
              <w:rPr>
                <w:rFonts w:ascii="ITC Avant Garde" w:hAnsi="ITC Avant Garde"/>
                <w:sz w:val="18"/>
                <w:szCs w:val="18"/>
              </w:rPr>
            </w:pPr>
          </w:p>
          <w:p w14:paraId="60BF3540" w14:textId="77777777" w:rsidR="00242CD9" w:rsidRPr="00D6362E" w:rsidRDefault="00242CD9" w:rsidP="00225DA6">
            <w:pPr>
              <w:rPr>
                <w:rFonts w:ascii="ITC Avant Garde" w:hAnsi="ITC Avant Garde"/>
                <w:sz w:val="18"/>
                <w:szCs w:val="18"/>
              </w:rPr>
            </w:pPr>
          </w:p>
        </w:tc>
      </w:tr>
    </w:tbl>
    <w:p w14:paraId="74F96E99" w14:textId="77777777" w:rsidR="00242CD9" w:rsidRPr="00D6362E" w:rsidRDefault="00242CD9">
      <w:pPr>
        <w:jc w:val="both"/>
        <w:rPr>
          <w:rFonts w:ascii="ITC Avant Garde" w:hAnsi="ITC Avant Garde"/>
          <w:sz w:val="18"/>
          <w:szCs w:val="18"/>
        </w:rPr>
      </w:pPr>
    </w:p>
    <w:sectPr w:rsidR="00242CD9" w:rsidRPr="00D6362E">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B6C8" w14:textId="77777777" w:rsidR="00A24629" w:rsidRDefault="00A24629" w:rsidP="00501ADF">
      <w:pPr>
        <w:spacing w:after="0" w:line="240" w:lineRule="auto"/>
      </w:pPr>
      <w:r>
        <w:separator/>
      </w:r>
    </w:p>
  </w:endnote>
  <w:endnote w:type="continuationSeparator" w:id="0">
    <w:p w14:paraId="182C6B4A" w14:textId="77777777" w:rsidR="00A24629" w:rsidRDefault="00A24629" w:rsidP="00501ADF">
      <w:pPr>
        <w:spacing w:after="0" w:line="240" w:lineRule="auto"/>
      </w:pPr>
      <w:r>
        <w:continuationSeparator/>
      </w:r>
    </w:p>
  </w:endnote>
  <w:endnote w:type="continuationNotice" w:id="1">
    <w:p w14:paraId="194315F0" w14:textId="77777777" w:rsidR="00A24629" w:rsidRDefault="00A24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34DED2D2" w14:textId="22FDC2E9" w:rsidR="00895FF6" w:rsidRPr="00CD4362" w:rsidRDefault="00895FF6"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Pr>
                <w:rFonts w:asciiTheme="majorHAnsi" w:hAnsiTheme="majorHAnsi"/>
                <w:b/>
                <w:bCs/>
                <w:noProof/>
                <w:sz w:val="18"/>
                <w:szCs w:val="18"/>
              </w:rPr>
              <w:t>4</w:t>
            </w:r>
            <w:r w:rsidRPr="003466D4">
              <w:rPr>
                <w:rFonts w:asciiTheme="majorHAnsi" w:hAnsiTheme="majorHAnsi"/>
                <w:b/>
                <w:bCs/>
                <w:sz w:val="18"/>
                <w:szCs w:val="18"/>
              </w:rPr>
              <w:fldChar w:fldCharType="end"/>
            </w:r>
          </w:p>
        </w:sdtContent>
      </w:sdt>
    </w:sdtContent>
  </w:sdt>
  <w:p w14:paraId="634A94A2" w14:textId="77777777" w:rsidR="00895FF6" w:rsidRDefault="00895F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5A2B4" w14:textId="77777777" w:rsidR="00A24629" w:rsidRDefault="00A24629" w:rsidP="00501ADF">
      <w:pPr>
        <w:spacing w:after="0" w:line="240" w:lineRule="auto"/>
      </w:pPr>
      <w:r>
        <w:separator/>
      </w:r>
    </w:p>
  </w:footnote>
  <w:footnote w:type="continuationSeparator" w:id="0">
    <w:p w14:paraId="0ABD07DB" w14:textId="77777777" w:rsidR="00A24629" w:rsidRDefault="00A24629" w:rsidP="00501ADF">
      <w:pPr>
        <w:spacing w:after="0" w:line="240" w:lineRule="auto"/>
      </w:pPr>
      <w:r>
        <w:continuationSeparator/>
      </w:r>
    </w:p>
  </w:footnote>
  <w:footnote w:type="continuationNotice" w:id="1">
    <w:p w14:paraId="72F64EE9" w14:textId="77777777" w:rsidR="00A24629" w:rsidRDefault="00A24629">
      <w:pPr>
        <w:spacing w:after="0" w:line="240" w:lineRule="auto"/>
      </w:pPr>
    </w:p>
  </w:footnote>
  <w:footnote w:id="2">
    <w:p w14:paraId="7A014263" w14:textId="77777777" w:rsidR="00D550D5" w:rsidRPr="00A32D5F" w:rsidRDefault="00D550D5" w:rsidP="00A32D5F">
      <w:pPr>
        <w:pStyle w:val="Default"/>
        <w:jc w:val="both"/>
        <w:rPr>
          <w:rFonts w:ascii="ITC Avant Garde" w:hAnsi="ITC Avant Garde" w:cs="ITC Avant Garde"/>
          <w:sz w:val="12"/>
          <w:szCs w:val="12"/>
        </w:rPr>
      </w:pPr>
      <w:r>
        <w:rPr>
          <w:rStyle w:val="Refdenotaalpie"/>
        </w:rPr>
        <w:footnoteRef/>
      </w:r>
      <w:r>
        <w:t xml:space="preserve"> </w:t>
      </w:r>
      <w:r w:rsidRPr="00A32D5F">
        <w:rPr>
          <w:rFonts w:ascii="ITC Avant Garde" w:hAnsi="ITC Avant Garde" w:cs="ITC Avant Garde"/>
          <w:sz w:val="12"/>
          <w:szCs w:val="12"/>
        </w:rPr>
        <w:t xml:space="preserve">De conformidad con lo previsto en el artículo 3, fracción XXI de la Ley General de Mejora Regulatoria, por trámite se entiende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1B214822" w14:textId="50E86CD6" w:rsidR="00D550D5" w:rsidRDefault="00D550D5" w:rsidP="00A32D5F">
      <w:pPr>
        <w:pStyle w:val="Textonotapie"/>
        <w:jc w:val="both"/>
      </w:pPr>
      <w:r w:rsidRPr="00A32D5F">
        <w:rPr>
          <w:rFonts w:ascii="ITC Avant Garde" w:hAnsi="ITC Avant Garde" w:cs="ITC Avant Garde"/>
          <w:color w:val="000000"/>
          <w:sz w:val="12"/>
          <w:szCs w:val="12"/>
        </w:rPr>
        <w:t>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w:t>
      </w:r>
      <w:r w:rsidRPr="00D550D5">
        <w:rPr>
          <w:rFonts w:ascii="ITC Avant Garde" w:hAnsi="ITC Avant Garde" w:cs="ITC Avant Garde"/>
          <w:color w:val="000000"/>
          <w:sz w:val="16"/>
          <w:szCs w:val="16"/>
        </w:rPr>
        <w:t xml:space="preserve">: </w:t>
      </w:r>
      <w:hyperlink r:id="rId1" w:history="1">
        <w:r w:rsidRPr="00A32D5F">
          <w:rPr>
            <w:rStyle w:val="Hipervnculo"/>
            <w:rFonts w:ascii="ITC Avant Garde" w:hAnsi="ITC Avant Garde" w:cs="ITC Avant Garde"/>
            <w:sz w:val="12"/>
            <w:szCs w:val="12"/>
          </w:rPr>
          <w:t>http://www.diputados.gob.mx/LeyesBiblio/pdf/LGMR_180518.pdf</w:t>
        </w:r>
      </w:hyperlink>
      <w:r w:rsidRPr="00A32D5F">
        <w:rPr>
          <w:rFonts w:ascii="ITC Avant Garde" w:hAnsi="ITC Avant Garde" w:cs="ITC Avant Garde"/>
          <w:color w:val="000000"/>
          <w:sz w:val="12"/>
          <w:szCs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63102" w14:textId="77777777" w:rsidR="00895FF6" w:rsidRPr="00501ADF" w:rsidRDefault="00895FF6"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58241" behindDoc="0" locked="0" layoutInCell="1" allowOverlap="1" wp14:anchorId="01FFBBF9" wp14:editId="4ADAEBBD">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2802BC94" w14:textId="3AAD52F6" w:rsidR="00895FF6" w:rsidRPr="00DD06A0" w:rsidRDefault="00895FF6" w:rsidP="00804F49">
                          <w:pPr>
                            <w:jc w:val="right"/>
                            <w:rPr>
                              <w:rFonts w:ascii="ITC Avant Garde" w:hAnsi="ITC Avant Garde"/>
                              <w:sz w:val="20"/>
                            </w:rPr>
                          </w:pPr>
                          <w:r w:rsidRPr="00DD06A0">
                            <w:rPr>
                              <w:rFonts w:ascii="ITC Avant Garde" w:hAnsi="ITC Avant Garde"/>
                              <w:sz w:val="20"/>
                            </w:rPr>
                            <w:t xml:space="preserve">ANÁLISIS DE </w:t>
                          </w:r>
                          <w:r w:rsidR="005B3499">
                            <w:rPr>
                              <w:rFonts w:ascii="ITC Avant Garde" w:hAnsi="ITC Avant Garde"/>
                              <w:sz w:val="20"/>
                            </w:rPr>
                            <w:t xml:space="preserve">NULO </w:t>
                          </w:r>
                          <w:r w:rsidRPr="00DD06A0">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FBBF9"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2802BC94" w14:textId="3AAD52F6" w:rsidR="00895FF6" w:rsidRPr="00DD06A0" w:rsidRDefault="00895FF6" w:rsidP="00804F49">
                    <w:pPr>
                      <w:jc w:val="right"/>
                      <w:rPr>
                        <w:rFonts w:ascii="ITC Avant Garde" w:hAnsi="ITC Avant Garde"/>
                        <w:sz w:val="20"/>
                      </w:rPr>
                    </w:pPr>
                    <w:r w:rsidRPr="00DD06A0">
                      <w:rPr>
                        <w:rFonts w:ascii="ITC Avant Garde" w:hAnsi="ITC Avant Garde"/>
                        <w:sz w:val="20"/>
                      </w:rPr>
                      <w:t xml:space="preserve">ANÁLISIS DE </w:t>
                    </w:r>
                    <w:r w:rsidR="005B3499">
                      <w:rPr>
                        <w:rFonts w:ascii="ITC Avant Garde" w:hAnsi="ITC Avant Garde"/>
                        <w:sz w:val="20"/>
                      </w:rPr>
                      <w:t xml:space="preserve">NULO </w:t>
                    </w:r>
                    <w:r w:rsidRPr="00DD06A0">
                      <w:rPr>
                        <w:rFonts w:ascii="ITC Avant Garde" w:hAnsi="ITC Avant Garde"/>
                        <w:sz w:val="20"/>
                      </w:rPr>
                      <w:t>IMPACTO REGULATORIO</w:t>
                    </w:r>
                  </w:p>
                </w:txbxContent>
              </v:textbox>
              <w10:wrap type="square" anchorx="margin"/>
            </v:shape>
          </w:pict>
        </mc:Fallback>
      </mc:AlternateContent>
    </w:r>
    <w:r>
      <w:rPr>
        <w:noProof/>
        <w:lang w:eastAsia="es-MX"/>
      </w:rPr>
      <w:drawing>
        <wp:anchor distT="0" distB="0" distL="114300" distR="114300" simplePos="0" relativeHeight="251658242" behindDoc="1" locked="0" layoutInCell="1" allowOverlap="1" wp14:anchorId="4B9298EA" wp14:editId="52011F06">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2BD315BC" w14:textId="77777777" w:rsidR="00895FF6" w:rsidRDefault="00895FF6">
    <w:pPr>
      <w:pStyle w:val="Encabezado"/>
    </w:pPr>
  </w:p>
  <w:p w14:paraId="5BF59873" w14:textId="77777777" w:rsidR="00895FF6" w:rsidRDefault="00895FF6">
    <w:pPr>
      <w:pStyle w:val="Encabezado"/>
    </w:pPr>
  </w:p>
  <w:p w14:paraId="77E654BB" w14:textId="77777777" w:rsidR="00895FF6" w:rsidRDefault="00895FF6">
    <w:pPr>
      <w:pStyle w:val="Encabezado"/>
    </w:pPr>
    <w:r>
      <w:rPr>
        <w:noProof/>
        <w:lang w:eastAsia="es-MX"/>
      </w:rPr>
      <mc:AlternateContent>
        <mc:Choice Requires="wps">
          <w:drawing>
            <wp:anchor distT="0" distB="0" distL="114300" distR="114300" simplePos="0" relativeHeight="251658240" behindDoc="0" locked="0" layoutInCell="1" allowOverlap="1" wp14:anchorId="1010171A" wp14:editId="545305D4">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4E3D34" id="Conector recto 2" o:spid="_x0000_s1026" style="position:absolute;flip:y;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5A4D8BC8" w14:textId="77777777" w:rsidR="00895FF6" w:rsidRDefault="00895F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91530"/>
    <w:multiLevelType w:val="hybridMultilevel"/>
    <w:tmpl w:val="EA1610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C10E92"/>
    <w:multiLevelType w:val="hybridMultilevel"/>
    <w:tmpl w:val="3EC2F8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A7BE2"/>
    <w:multiLevelType w:val="hybridMultilevel"/>
    <w:tmpl w:val="D110CDD4"/>
    <w:lvl w:ilvl="0" w:tplc="11F2BD3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3002D6"/>
    <w:multiLevelType w:val="hybridMultilevel"/>
    <w:tmpl w:val="E40C5D68"/>
    <w:lvl w:ilvl="0" w:tplc="D786A91E">
      <w:start w:val="1"/>
      <w:numFmt w:val="decimal"/>
      <w:lvlText w:val="%1."/>
      <w:lvlJc w:val="left"/>
      <w:pPr>
        <w:ind w:left="720" w:hanging="360"/>
      </w:pPr>
      <w:rPr>
        <w:rFonts w:hint="default"/>
        <w:b/>
      </w:rPr>
    </w:lvl>
    <w:lvl w:ilvl="1" w:tplc="1F76782E">
      <w:start w:val="1"/>
      <w:numFmt w:val="upperRoman"/>
      <w:lvlText w:val="%2."/>
      <w:lvlJc w:val="right"/>
      <w:pPr>
        <w:ind w:left="1440" w:hanging="360"/>
      </w:pPr>
      <w:rPr>
        <w:b/>
        <w:color w:val="000000" w:themeColor="text1"/>
      </w:rPr>
    </w:lvl>
    <w:lvl w:ilvl="2" w:tplc="080A0019">
      <w:start w:val="1"/>
      <w:numFmt w:val="lowerLetter"/>
      <w:lvlText w:val="%3."/>
      <w:lvlJc w:val="left"/>
      <w:pPr>
        <w:ind w:left="2160" w:hanging="180"/>
      </w:pPr>
      <w:rPr>
        <w:rFonts w:hint="default"/>
      </w:rPr>
    </w:lvl>
    <w:lvl w:ilvl="3" w:tplc="F85C961A">
      <w:start w:val="1"/>
      <w:numFmt w:val="upperRoman"/>
      <w:lvlText w:val="%4."/>
      <w:lvlJc w:val="left"/>
      <w:pPr>
        <w:ind w:left="3240" w:hanging="720"/>
      </w:pPr>
      <w:rPr>
        <w:rFonts w:hint="default"/>
      </w:rPr>
    </w:lvl>
    <w:lvl w:ilvl="4" w:tplc="FA2C10AA">
      <w:start w:val="1"/>
      <w:numFmt w:val="lowerLetter"/>
      <w:lvlText w:val="%5)"/>
      <w:lvlJc w:val="left"/>
      <w:pPr>
        <w:ind w:left="3600" w:hanging="36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04700E"/>
    <w:multiLevelType w:val="hybridMultilevel"/>
    <w:tmpl w:val="4F1EB4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0D4810"/>
    <w:multiLevelType w:val="hybridMultilevel"/>
    <w:tmpl w:val="7E1C85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1F3779"/>
    <w:multiLevelType w:val="hybridMultilevel"/>
    <w:tmpl w:val="C74660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070AB3"/>
    <w:multiLevelType w:val="hybridMultilevel"/>
    <w:tmpl w:val="1320FE9E"/>
    <w:lvl w:ilvl="0" w:tplc="080A0013">
      <w:start w:val="1"/>
      <w:numFmt w:val="upperRoman"/>
      <w:lvlText w:val="%1."/>
      <w:lvlJc w:val="right"/>
      <w:pPr>
        <w:ind w:left="720" w:hanging="360"/>
      </w:pPr>
    </w:lvl>
    <w:lvl w:ilvl="1" w:tplc="AB7C3304">
      <w:start w:val="1"/>
      <w:numFmt w:val="upperRoman"/>
      <w:lvlText w:val="%2."/>
      <w:lvlJc w:val="right"/>
      <w:pPr>
        <w:ind w:left="1440" w:hanging="360"/>
      </w:pPr>
      <w:rPr>
        <w:b/>
      </w:r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70481A"/>
    <w:multiLevelType w:val="hybridMultilevel"/>
    <w:tmpl w:val="2C2628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C70B7F"/>
    <w:multiLevelType w:val="hybridMultilevel"/>
    <w:tmpl w:val="86E23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8C4016"/>
    <w:multiLevelType w:val="hybridMultilevel"/>
    <w:tmpl w:val="74CE8D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3AA30A5"/>
    <w:multiLevelType w:val="hybridMultilevel"/>
    <w:tmpl w:val="A1E8C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90A7674"/>
    <w:multiLevelType w:val="hybridMultilevel"/>
    <w:tmpl w:val="FE140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A51056"/>
    <w:multiLevelType w:val="hybridMultilevel"/>
    <w:tmpl w:val="EB909A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638075E"/>
    <w:multiLevelType w:val="hybridMultilevel"/>
    <w:tmpl w:val="74AEDA9A"/>
    <w:lvl w:ilvl="0" w:tplc="D918278C">
      <w:numFmt w:val="bullet"/>
      <w:lvlText w:val="-"/>
      <w:lvlJc w:val="left"/>
      <w:pPr>
        <w:ind w:left="720" w:hanging="360"/>
      </w:pPr>
      <w:rPr>
        <w:rFonts w:ascii="ITC Avant Garde" w:eastAsia="Calibri" w:hAnsi="ITC Avant Garde"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25"/>
  </w:num>
  <w:num w:numId="5">
    <w:abstractNumId w:val="11"/>
  </w:num>
  <w:num w:numId="6">
    <w:abstractNumId w:val="22"/>
  </w:num>
  <w:num w:numId="7">
    <w:abstractNumId w:val="16"/>
  </w:num>
  <w:num w:numId="8">
    <w:abstractNumId w:val="1"/>
  </w:num>
  <w:num w:numId="9">
    <w:abstractNumId w:val="14"/>
  </w:num>
  <w:num w:numId="10">
    <w:abstractNumId w:val="13"/>
  </w:num>
  <w:num w:numId="11">
    <w:abstractNumId w:val="18"/>
  </w:num>
  <w:num w:numId="12">
    <w:abstractNumId w:val="7"/>
  </w:num>
  <w:num w:numId="13">
    <w:abstractNumId w:val="24"/>
  </w:num>
  <w:num w:numId="14">
    <w:abstractNumId w:val="24"/>
  </w:num>
  <w:num w:numId="15">
    <w:abstractNumId w:val="12"/>
  </w:num>
  <w:num w:numId="16">
    <w:abstractNumId w:val="20"/>
  </w:num>
  <w:num w:numId="17">
    <w:abstractNumId w:val="5"/>
  </w:num>
  <w:num w:numId="18">
    <w:abstractNumId w:val="4"/>
  </w:num>
  <w:num w:numId="19">
    <w:abstractNumId w:val="21"/>
  </w:num>
  <w:num w:numId="20">
    <w:abstractNumId w:val="10"/>
  </w:num>
  <w:num w:numId="21">
    <w:abstractNumId w:val="2"/>
  </w:num>
  <w:num w:numId="22">
    <w:abstractNumId w:val="9"/>
  </w:num>
  <w:num w:numId="23">
    <w:abstractNumId w:val="17"/>
  </w:num>
  <w:num w:numId="24">
    <w:abstractNumId w:val="0"/>
  </w:num>
  <w:num w:numId="25">
    <w:abstractNumId w:val="23"/>
  </w:num>
  <w:num w:numId="26">
    <w:abstractNumId w:val="19"/>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00992"/>
    <w:rsid w:val="00000BDD"/>
    <w:rsid w:val="00003906"/>
    <w:rsid w:val="00003CD4"/>
    <w:rsid w:val="000048DC"/>
    <w:rsid w:val="0000528F"/>
    <w:rsid w:val="00016C61"/>
    <w:rsid w:val="00021824"/>
    <w:rsid w:val="00023BBB"/>
    <w:rsid w:val="0002680F"/>
    <w:rsid w:val="000271CF"/>
    <w:rsid w:val="0003021E"/>
    <w:rsid w:val="00031C71"/>
    <w:rsid w:val="0003274F"/>
    <w:rsid w:val="00033A9A"/>
    <w:rsid w:val="00036391"/>
    <w:rsid w:val="00037562"/>
    <w:rsid w:val="0003780F"/>
    <w:rsid w:val="00040654"/>
    <w:rsid w:val="00040B9F"/>
    <w:rsid w:val="00041D74"/>
    <w:rsid w:val="00044455"/>
    <w:rsid w:val="00044D30"/>
    <w:rsid w:val="00044FC1"/>
    <w:rsid w:val="000509B4"/>
    <w:rsid w:val="000525CE"/>
    <w:rsid w:val="00052991"/>
    <w:rsid w:val="00053ED6"/>
    <w:rsid w:val="00054F32"/>
    <w:rsid w:val="00056852"/>
    <w:rsid w:val="00056DFF"/>
    <w:rsid w:val="00061240"/>
    <w:rsid w:val="0006192D"/>
    <w:rsid w:val="0006478F"/>
    <w:rsid w:val="00070C10"/>
    <w:rsid w:val="00070F56"/>
    <w:rsid w:val="00072473"/>
    <w:rsid w:val="00074D4C"/>
    <w:rsid w:val="00075F2E"/>
    <w:rsid w:val="000769DE"/>
    <w:rsid w:val="0008388F"/>
    <w:rsid w:val="000864CA"/>
    <w:rsid w:val="0008738C"/>
    <w:rsid w:val="00087B6A"/>
    <w:rsid w:val="00090623"/>
    <w:rsid w:val="00092976"/>
    <w:rsid w:val="00097C5D"/>
    <w:rsid w:val="000A109E"/>
    <w:rsid w:val="000A6113"/>
    <w:rsid w:val="000B1D99"/>
    <w:rsid w:val="000B2CD4"/>
    <w:rsid w:val="000B30DA"/>
    <w:rsid w:val="000B47C4"/>
    <w:rsid w:val="000B61B3"/>
    <w:rsid w:val="000B6275"/>
    <w:rsid w:val="000B7370"/>
    <w:rsid w:val="000B74F7"/>
    <w:rsid w:val="000C0229"/>
    <w:rsid w:val="000C0A85"/>
    <w:rsid w:val="000C4BF1"/>
    <w:rsid w:val="000C4CE4"/>
    <w:rsid w:val="000C5340"/>
    <w:rsid w:val="000C577F"/>
    <w:rsid w:val="000C7014"/>
    <w:rsid w:val="000D0E45"/>
    <w:rsid w:val="000D1814"/>
    <w:rsid w:val="000D1A71"/>
    <w:rsid w:val="000D2F20"/>
    <w:rsid w:val="000E1BD5"/>
    <w:rsid w:val="000E1CF2"/>
    <w:rsid w:val="000E2A74"/>
    <w:rsid w:val="000E2C57"/>
    <w:rsid w:val="000E41EE"/>
    <w:rsid w:val="000E4310"/>
    <w:rsid w:val="000E7281"/>
    <w:rsid w:val="000F0A03"/>
    <w:rsid w:val="000F1068"/>
    <w:rsid w:val="000F152A"/>
    <w:rsid w:val="000F48E5"/>
    <w:rsid w:val="000F5A3D"/>
    <w:rsid w:val="0010239E"/>
    <w:rsid w:val="00110844"/>
    <w:rsid w:val="00111053"/>
    <w:rsid w:val="00113CD6"/>
    <w:rsid w:val="00114500"/>
    <w:rsid w:val="00116366"/>
    <w:rsid w:val="00120A88"/>
    <w:rsid w:val="0012117B"/>
    <w:rsid w:val="00122B87"/>
    <w:rsid w:val="001259AE"/>
    <w:rsid w:val="00126284"/>
    <w:rsid w:val="00126359"/>
    <w:rsid w:val="0013160A"/>
    <w:rsid w:val="001325D9"/>
    <w:rsid w:val="001334A3"/>
    <w:rsid w:val="00133F02"/>
    <w:rsid w:val="00134D9F"/>
    <w:rsid w:val="00136258"/>
    <w:rsid w:val="001403AE"/>
    <w:rsid w:val="00141468"/>
    <w:rsid w:val="00141E76"/>
    <w:rsid w:val="001420EF"/>
    <w:rsid w:val="001431D3"/>
    <w:rsid w:val="001432F7"/>
    <w:rsid w:val="001563EC"/>
    <w:rsid w:val="00156A38"/>
    <w:rsid w:val="001576FA"/>
    <w:rsid w:val="00157F28"/>
    <w:rsid w:val="0016056F"/>
    <w:rsid w:val="001619D0"/>
    <w:rsid w:val="00161F94"/>
    <w:rsid w:val="00166A63"/>
    <w:rsid w:val="001730EA"/>
    <w:rsid w:val="00175E87"/>
    <w:rsid w:val="00176B73"/>
    <w:rsid w:val="00182961"/>
    <w:rsid w:val="00187A9C"/>
    <w:rsid w:val="00190365"/>
    <w:rsid w:val="00192BB7"/>
    <w:rsid w:val="001932FC"/>
    <w:rsid w:val="00194A29"/>
    <w:rsid w:val="00195164"/>
    <w:rsid w:val="00197E36"/>
    <w:rsid w:val="001A159E"/>
    <w:rsid w:val="001A3827"/>
    <w:rsid w:val="001A4E97"/>
    <w:rsid w:val="001A55D6"/>
    <w:rsid w:val="001A57F1"/>
    <w:rsid w:val="001A5D33"/>
    <w:rsid w:val="001A6216"/>
    <w:rsid w:val="001A6430"/>
    <w:rsid w:val="001A695F"/>
    <w:rsid w:val="001B2C4E"/>
    <w:rsid w:val="001B4EC7"/>
    <w:rsid w:val="001C0954"/>
    <w:rsid w:val="001C1FA4"/>
    <w:rsid w:val="001C241C"/>
    <w:rsid w:val="001C24C3"/>
    <w:rsid w:val="001C2609"/>
    <w:rsid w:val="001C5415"/>
    <w:rsid w:val="001D030E"/>
    <w:rsid w:val="001D1089"/>
    <w:rsid w:val="001D1151"/>
    <w:rsid w:val="001D50AB"/>
    <w:rsid w:val="001E396F"/>
    <w:rsid w:val="001E3D6A"/>
    <w:rsid w:val="001E4423"/>
    <w:rsid w:val="001E5135"/>
    <w:rsid w:val="001F0AE9"/>
    <w:rsid w:val="001F0F15"/>
    <w:rsid w:val="001F4091"/>
    <w:rsid w:val="001F47CE"/>
    <w:rsid w:val="001F631F"/>
    <w:rsid w:val="002008AB"/>
    <w:rsid w:val="00201DF2"/>
    <w:rsid w:val="00202010"/>
    <w:rsid w:val="00202560"/>
    <w:rsid w:val="002025CB"/>
    <w:rsid w:val="00205DEC"/>
    <w:rsid w:val="00206868"/>
    <w:rsid w:val="00207BB0"/>
    <w:rsid w:val="00213158"/>
    <w:rsid w:val="00213FB6"/>
    <w:rsid w:val="00215837"/>
    <w:rsid w:val="0022018B"/>
    <w:rsid w:val="00221DE7"/>
    <w:rsid w:val="002220C2"/>
    <w:rsid w:val="002241B0"/>
    <w:rsid w:val="00225DA6"/>
    <w:rsid w:val="0022741B"/>
    <w:rsid w:val="00233646"/>
    <w:rsid w:val="002340D3"/>
    <w:rsid w:val="00242224"/>
    <w:rsid w:val="0024232A"/>
    <w:rsid w:val="00242CD9"/>
    <w:rsid w:val="002447FB"/>
    <w:rsid w:val="0024495F"/>
    <w:rsid w:val="00254CD0"/>
    <w:rsid w:val="0025635A"/>
    <w:rsid w:val="00260074"/>
    <w:rsid w:val="00260954"/>
    <w:rsid w:val="0026442A"/>
    <w:rsid w:val="00266011"/>
    <w:rsid w:val="0026633D"/>
    <w:rsid w:val="00266C24"/>
    <w:rsid w:val="002674A3"/>
    <w:rsid w:val="002700A3"/>
    <w:rsid w:val="00275D93"/>
    <w:rsid w:val="0027741A"/>
    <w:rsid w:val="0028121D"/>
    <w:rsid w:val="002835D4"/>
    <w:rsid w:val="00286496"/>
    <w:rsid w:val="00286A69"/>
    <w:rsid w:val="00291D4D"/>
    <w:rsid w:val="00295E97"/>
    <w:rsid w:val="00296A65"/>
    <w:rsid w:val="00296F51"/>
    <w:rsid w:val="002A5432"/>
    <w:rsid w:val="002A555F"/>
    <w:rsid w:val="002A5B42"/>
    <w:rsid w:val="002A6829"/>
    <w:rsid w:val="002B0C62"/>
    <w:rsid w:val="002B3AEA"/>
    <w:rsid w:val="002B670F"/>
    <w:rsid w:val="002C0D86"/>
    <w:rsid w:val="002C2362"/>
    <w:rsid w:val="002C4BF9"/>
    <w:rsid w:val="002C67F6"/>
    <w:rsid w:val="002D0F5D"/>
    <w:rsid w:val="002D1BC5"/>
    <w:rsid w:val="002D1C16"/>
    <w:rsid w:val="002D319A"/>
    <w:rsid w:val="002D50A7"/>
    <w:rsid w:val="002D52C4"/>
    <w:rsid w:val="002E12CB"/>
    <w:rsid w:val="002E1405"/>
    <w:rsid w:val="002E29A4"/>
    <w:rsid w:val="002E3816"/>
    <w:rsid w:val="002E4B19"/>
    <w:rsid w:val="002E72C5"/>
    <w:rsid w:val="002E7B54"/>
    <w:rsid w:val="002E7E39"/>
    <w:rsid w:val="002F18B9"/>
    <w:rsid w:val="002F5B03"/>
    <w:rsid w:val="002F771E"/>
    <w:rsid w:val="002F7E32"/>
    <w:rsid w:val="0030055F"/>
    <w:rsid w:val="00301BE6"/>
    <w:rsid w:val="003039BF"/>
    <w:rsid w:val="00305474"/>
    <w:rsid w:val="00305A61"/>
    <w:rsid w:val="00310F8E"/>
    <w:rsid w:val="003175FA"/>
    <w:rsid w:val="0032013E"/>
    <w:rsid w:val="00321446"/>
    <w:rsid w:val="00323D08"/>
    <w:rsid w:val="003241DC"/>
    <w:rsid w:val="00326797"/>
    <w:rsid w:val="0033057A"/>
    <w:rsid w:val="00333DE3"/>
    <w:rsid w:val="00334A8D"/>
    <w:rsid w:val="00334C37"/>
    <w:rsid w:val="00337D95"/>
    <w:rsid w:val="003403DF"/>
    <w:rsid w:val="00341560"/>
    <w:rsid w:val="00342CBF"/>
    <w:rsid w:val="00344D0C"/>
    <w:rsid w:val="00345D60"/>
    <w:rsid w:val="003461A6"/>
    <w:rsid w:val="00346514"/>
    <w:rsid w:val="003466D4"/>
    <w:rsid w:val="00346B74"/>
    <w:rsid w:val="00352037"/>
    <w:rsid w:val="003523BB"/>
    <w:rsid w:val="003523C1"/>
    <w:rsid w:val="003523EE"/>
    <w:rsid w:val="003559DB"/>
    <w:rsid w:val="00356E5F"/>
    <w:rsid w:val="0036062D"/>
    <w:rsid w:val="0036250E"/>
    <w:rsid w:val="00362BB7"/>
    <w:rsid w:val="003645F6"/>
    <w:rsid w:val="00365D5A"/>
    <w:rsid w:val="0036632D"/>
    <w:rsid w:val="00366881"/>
    <w:rsid w:val="00367138"/>
    <w:rsid w:val="00367214"/>
    <w:rsid w:val="00370B59"/>
    <w:rsid w:val="00372634"/>
    <w:rsid w:val="00376515"/>
    <w:rsid w:val="00376614"/>
    <w:rsid w:val="00376BB2"/>
    <w:rsid w:val="0038097B"/>
    <w:rsid w:val="00380EAE"/>
    <w:rsid w:val="00381410"/>
    <w:rsid w:val="00382143"/>
    <w:rsid w:val="003825CF"/>
    <w:rsid w:val="00382ACD"/>
    <w:rsid w:val="003840A8"/>
    <w:rsid w:val="003852AB"/>
    <w:rsid w:val="003901C6"/>
    <w:rsid w:val="0039105F"/>
    <w:rsid w:val="0039113B"/>
    <w:rsid w:val="003912D7"/>
    <w:rsid w:val="0039184E"/>
    <w:rsid w:val="00391EB7"/>
    <w:rsid w:val="003952B1"/>
    <w:rsid w:val="003971FB"/>
    <w:rsid w:val="003A3E18"/>
    <w:rsid w:val="003A43CD"/>
    <w:rsid w:val="003A524A"/>
    <w:rsid w:val="003A7F6A"/>
    <w:rsid w:val="003B2289"/>
    <w:rsid w:val="003B2DEC"/>
    <w:rsid w:val="003C01B9"/>
    <w:rsid w:val="003C1605"/>
    <w:rsid w:val="003C3084"/>
    <w:rsid w:val="003C5122"/>
    <w:rsid w:val="003C6FEE"/>
    <w:rsid w:val="003D0DF5"/>
    <w:rsid w:val="003D14E1"/>
    <w:rsid w:val="003D6101"/>
    <w:rsid w:val="003E08D1"/>
    <w:rsid w:val="003E1A2C"/>
    <w:rsid w:val="003E76F1"/>
    <w:rsid w:val="003F05E7"/>
    <w:rsid w:val="003F12D0"/>
    <w:rsid w:val="004046F6"/>
    <w:rsid w:val="00405B10"/>
    <w:rsid w:val="00411B5B"/>
    <w:rsid w:val="0041241E"/>
    <w:rsid w:val="00413E89"/>
    <w:rsid w:val="00415F7B"/>
    <w:rsid w:val="004173E1"/>
    <w:rsid w:val="00423EDC"/>
    <w:rsid w:val="00427F29"/>
    <w:rsid w:val="0043031F"/>
    <w:rsid w:val="00430F2B"/>
    <w:rsid w:val="00432FB0"/>
    <w:rsid w:val="00434EFB"/>
    <w:rsid w:val="00435A5D"/>
    <w:rsid w:val="00437148"/>
    <w:rsid w:val="00437580"/>
    <w:rsid w:val="00441C0C"/>
    <w:rsid w:val="00444E63"/>
    <w:rsid w:val="004458F8"/>
    <w:rsid w:val="00451CF9"/>
    <w:rsid w:val="0045409C"/>
    <w:rsid w:val="00454F66"/>
    <w:rsid w:val="00457E37"/>
    <w:rsid w:val="00462090"/>
    <w:rsid w:val="0046242E"/>
    <w:rsid w:val="004710A6"/>
    <w:rsid w:val="00477354"/>
    <w:rsid w:val="00477EE2"/>
    <w:rsid w:val="004846FF"/>
    <w:rsid w:val="00484EEE"/>
    <w:rsid w:val="00487625"/>
    <w:rsid w:val="00492641"/>
    <w:rsid w:val="00492C9A"/>
    <w:rsid w:val="0049774A"/>
    <w:rsid w:val="004A0585"/>
    <w:rsid w:val="004A1AFB"/>
    <w:rsid w:val="004A6C57"/>
    <w:rsid w:val="004A7168"/>
    <w:rsid w:val="004A774D"/>
    <w:rsid w:val="004A7A78"/>
    <w:rsid w:val="004B0F32"/>
    <w:rsid w:val="004B20DE"/>
    <w:rsid w:val="004B2F5D"/>
    <w:rsid w:val="004B6836"/>
    <w:rsid w:val="004B79E3"/>
    <w:rsid w:val="004C1748"/>
    <w:rsid w:val="004C2913"/>
    <w:rsid w:val="004C6461"/>
    <w:rsid w:val="004D0CC0"/>
    <w:rsid w:val="004D2231"/>
    <w:rsid w:val="004D2926"/>
    <w:rsid w:val="004D2C81"/>
    <w:rsid w:val="004D38F4"/>
    <w:rsid w:val="004D5503"/>
    <w:rsid w:val="004D5B4A"/>
    <w:rsid w:val="004D67DF"/>
    <w:rsid w:val="004D6873"/>
    <w:rsid w:val="004D743F"/>
    <w:rsid w:val="004E0DA9"/>
    <w:rsid w:val="004E1D46"/>
    <w:rsid w:val="004E7170"/>
    <w:rsid w:val="004F049A"/>
    <w:rsid w:val="004F2532"/>
    <w:rsid w:val="004F4DA2"/>
    <w:rsid w:val="004F6ABE"/>
    <w:rsid w:val="004F76A1"/>
    <w:rsid w:val="00500CB4"/>
    <w:rsid w:val="00501ADF"/>
    <w:rsid w:val="005027FE"/>
    <w:rsid w:val="005032DE"/>
    <w:rsid w:val="00503CE8"/>
    <w:rsid w:val="00503ECB"/>
    <w:rsid w:val="005043E6"/>
    <w:rsid w:val="005047E7"/>
    <w:rsid w:val="005059EA"/>
    <w:rsid w:val="00505B08"/>
    <w:rsid w:val="00510390"/>
    <w:rsid w:val="005158F9"/>
    <w:rsid w:val="00517094"/>
    <w:rsid w:val="005246AB"/>
    <w:rsid w:val="00526719"/>
    <w:rsid w:val="005309B8"/>
    <w:rsid w:val="00530DA4"/>
    <w:rsid w:val="00532B80"/>
    <w:rsid w:val="00532C80"/>
    <w:rsid w:val="005335CF"/>
    <w:rsid w:val="00533F9A"/>
    <w:rsid w:val="005349F1"/>
    <w:rsid w:val="00536CF3"/>
    <w:rsid w:val="00540129"/>
    <w:rsid w:val="00542979"/>
    <w:rsid w:val="00542FC4"/>
    <w:rsid w:val="0054571F"/>
    <w:rsid w:val="005465C4"/>
    <w:rsid w:val="005500E4"/>
    <w:rsid w:val="0055086C"/>
    <w:rsid w:val="005516C9"/>
    <w:rsid w:val="00551F4F"/>
    <w:rsid w:val="00552445"/>
    <w:rsid w:val="00552E7C"/>
    <w:rsid w:val="00553917"/>
    <w:rsid w:val="00553A7C"/>
    <w:rsid w:val="00553E5F"/>
    <w:rsid w:val="0055552A"/>
    <w:rsid w:val="00556A91"/>
    <w:rsid w:val="00557F8B"/>
    <w:rsid w:val="00560409"/>
    <w:rsid w:val="00560CC7"/>
    <w:rsid w:val="00561889"/>
    <w:rsid w:val="0056216F"/>
    <w:rsid w:val="0056472E"/>
    <w:rsid w:val="00565ED0"/>
    <w:rsid w:val="005665BE"/>
    <w:rsid w:val="00566AC5"/>
    <w:rsid w:val="0056729F"/>
    <w:rsid w:val="005707DC"/>
    <w:rsid w:val="00571606"/>
    <w:rsid w:val="00573BD9"/>
    <w:rsid w:val="00574EAE"/>
    <w:rsid w:val="005753E2"/>
    <w:rsid w:val="005754DD"/>
    <w:rsid w:val="00575914"/>
    <w:rsid w:val="00575929"/>
    <w:rsid w:val="005818F0"/>
    <w:rsid w:val="00585FE8"/>
    <w:rsid w:val="00587662"/>
    <w:rsid w:val="00591035"/>
    <w:rsid w:val="0059503B"/>
    <w:rsid w:val="00596867"/>
    <w:rsid w:val="00596FDE"/>
    <w:rsid w:val="005A1843"/>
    <w:rsid w:val="005A30FD"/>
    <w:rsid w:val="005A40FB"/>
    <w:rsid w:val="005A54DA"/>
    <w:rsid w:val="005A6B82"/>
    <w:rsid w:val="005B3499"/>
    <w:rsid w:val="005B5D65"/>
    <w:rsid w:val="005C0E7A"/>
    <w:rsid w:val="005C2A92"/>
    <w:rsid w:val="005D2FC0"/>
    <w:rsid w:val="005D41A3"/>
    <w:rsid w:val="005D7F86"/>
    <w:rsid w:val="005E5EF9"/>
    <w:rsid w:val="005E6815"/>
    <w:rsid w:val="005F2F3B"/>
    <w:rsid w:val="005F360B"/>
    <w:rsid w:val="0061128C"/>
    <w:rsid w:val="006146EF"/>
    <w:rsid w:val="00614831"/>
    <w:rsid w:val="00620925"/>
    <w:rsid w:val="00623290"/>
    <w:rsid w:val="006235DD"/>
    <w:rsid w:val="00625F27"/>
    <w:rsid w:val="006305B8"/>
    <w:rsid w:val="00630BFD"/>
    <w:rsid w:val="00631478"/>
    <w:rsid w:val="006316B6"/>
    <w:rsid w:val="006322F7"/>
    <w:rsid w:val="006323E7"/>
    <w:rsid w:val="00637767"/>
    <w:rsid w:val="00640EA3"/>
    <w:rsid w:val="00643C18"/>
    <w:rsid w:val="0064618F"/>
    <w:rsid w:val="00647BB0"/>
    <w:rsid w:val="00651D02"/>
    <w:rsid w:val="006557A8"/>
    <w:rsid w:val="00657286"/>
    <w:rsid w:val="00657DC1"/>
    <w:rsid w:val="0066091C"/>
    <w:rsid w:val="00660E01"/>
    <w:rsid w:val="0066264C"/>
    <w:rsid w:val="00662846"/>
    <w:rsid w:val="006662E2"/>
    <w:rsid w:val="006676AC"/>
    <w:rsid w:val="00667837"/>
    <w:rsid w:val="00670C72"/>
    <w:rsid w:val="00671411"/>
    <w:rsid w:val="006717D5"/>
    <w:rsid w:val="00671D94"/>
    <w:rsid w:val="00673EAE"/>
    <w:rsid w:val="006744DD"/>
    <w:rsid w:val="0067479B"/>
    <w:rsid w:val="006776AD"/>
    <w:rsid w:val="0068307E"/>
    <w:rsid w:val="006A146D"/>
    <w:rsid w:val="006A2E57"/>
    <w:rsid w:val="006A31CA"/>
    <w:rsid w:val="006B0FA0"/>
    <w:rsid w:val="006B3569"/>
    <w:rsid w:val="006B3DF6"/>
    <w:rsid w:val="006B4411"/>
    <w:rsid w:val="006B4D9B"/>
    <w:rsid w:val="006C2513"/>
    <w:rsid w:val="006C2F5F"/>
    <w:rsid w:val="006C33C9"/>
    <w:rsid w:val="006C395A"/>
    <w:rsid w:val="006C5932"/>
    <w:rsid w:val="006C5BBA"/>
    <w:rsid w:val="006D2CDA"/>
    <w:rsid w:val="006D36D8"/>
    <w:rsid w:val="006D3EAB"/>
    <w:rsid w:val="006D7908"/>
    <w:rsid w:val="006D7A08"/>
    <w:rsid w:val="006E1642"/>
    <w:rsid w:val="006E2531"/>
    <w:rsid w:val="006E2CFF"/>
    <w:rsid w:val="006E4FC9"/>
    <w:rsid w:val="006E5EB5"/>
    <w:rsid w:val="006E6735"/>
    <w:rsid w:val="006E6A82"/>
    <w:rsid w:val="006F141B"/>
    <w:rsid w:val="006F3B10"/>
    <w:rsid w:val="006F3F05"/>
    <w:rsid w:val="006F624B"/>
    <w:rsid w:val="007023CE"/>
    <w:rsid w:val="00704319"/>
    <w:rsid w:val="00711C10"/>
    <w:rsid w:val="007140E1"/>
    <w:rsid w:val="00715D03"/>
    <w:rsid w:val="007177F5"/>
    <w:rsid w:val="00720673"/>
    <w:rsid w:val="00720982"/>
    <w:rsid w:val="00722A0E"/>
    <w:rsid w:val="007236F7"/>
    <w:rsid w:val="00723BBB"/>
    <w:rsid w:val="00726208"/>
    <w:rsid w:val="00726FD1"/>
    <w:rsid w:val="00727813"/>
    <w:rsid w:val="00730C94"/>
    <w:rsid w:val="007352CD"/>
    <w:rsid w:val="00736609"/>
    <w:rsid w:val="0074301B"/>
    <w:rsid w:val="007440FC"/>
    <w:rsid w:val="007445FF"/>
    <w:rsid w:val="0074504C"/>
    <w:rsid w:val="00746554"/>
    <w:rsid w:val="00747989"/>
    <w:rsid w:val="007504E2"/>
    <w:rsid w:val="00751286"/>
    <w:rsid w:val="00752C36"/>
    <w:rsid w:val="00752E09"/>
    <w:rsid w:val="007560AE"/>
    <w:rsid w:val="007563E8"/>
    <w:rsid w:val="007572EF"/>
    <w:rsid w:val="00760C47"/>
    <w:rsid w:val="00763683"/>
    <w:rsid w:val="00763ACC"/>
    <w:rsid w:val="0076584C"/>
    <w:rsid w:val="0077220A"/>
    <w:rsid w:val="0077372B"/>
    <w:rsid w:val="00773730"/>
    <w:rsid w:val="0077609B"/>
    <w:rsid w:val="0078122E"/>
    <w:rsid w:val="0078556A"/>
    <w:rsid w:val="00787EA8"/>
    <w:rsid w:val="00790373"/>
    <w:rsid w:val="0079137D"/>
    <w:rsid w:val="00792AE9"/>
    <w:rsid w:val="00792F9C"/>
    <w:rsid w:val="00794767"/>
    <w:rsid w:val="007969D8"/>
    <w:rsid w:val="00797C3A"/>
    <w:rsid w:val="007A0C3C"/>
    <w:rsid w:val="007A7280"/>
    <w:rsid w:val="007B00B1"/>
    <w:rsid w:val="007B26E3"/>
    <w:rsid w:val="007B6509"/>
    <w:rsid w:val="007B6B06"/>
    <w:rsid w:val="007C088B"/>
    <w:rsid w:val="007C1FDF"/>
    <w:rsid w:val="007C319D"/>
    <w:rsid w:val="007C3AEF"/>
    <w:rsid w:val="007C72CC"/>
    <w:rsid w:val="007C7EF8"/>
    <w:rsid w:val="007D066B"/>
    <w:rsid w:val="007D1F22"/>
    <w:rsid w:val="007D3021"/>
    <w:rsid w:val="007D4E5B"/>
    <w:rsid w:val="007D4FA3"/>
    <w:rsid w:val="007D5619"/>
    <w:rsid w:val="007D7684"/>
    <w:rsid w:val="007E2323"/>
    <w:rsid w:val="007E35B8"/>
    <w:rsid w:val="007F0264"/>
    <w:rsid w:val="007F08B2"/>
    <w:rsid w:val="007F2B7C"/>
    <w:rsid w:val="007F38AE"/>
    <w:rsid w:val="007F4841"/>
    <w:rsid w:val="00800501"/>
    <w:rsid w:val="00801FED"/>
    <w:rsid w:val="00803A13"/>
    <w:rsid w:val="00804F49"/>
    <w:rsid w:val="0082151C"/>
    <w:rsid w:val="00821CF6"/>
    <w:rsid w:val="00821D24"/>
    <w:rsid w:val="0082308D"/>
    <w:rsid w:val="00825642"/>
    <w:rsid w:val="00826696"/>
    <w:rsid w:val="00830AF9"/>
    <w:rsid w:val="00831ADD"/>
    <w:rsid w:val="008324D6"/>
    <w:rsid w:val="00834403"/>
    <w:rsid w:val="008350CD"/>
    <w:rsid w:val="0083591F"/>
    <w:rsid w:val="00836E59"/>
    <w:rsid w:val="00844933"/>
    <w:rsid w:val="00845247"/>
    <w:rsid w:val="008472FF"/>
    <w:rsid w:val="00850960"/>
    <w:rsid w:val="00855524"/>
    <w:rsid w:val="00864541"/>
    <w:rsid w:val="008666BD"/>
    <w:rsid w:val="0086684A"/>
    <w:rsid w:val="00870931"/>
    <w:rsid w:val="00871CC8"/>
    <w:rsid w:val="00873052"/>
    <w:rsid w:val="00874784"/>
    <w:rsid w:val="00875CD1"/>
    <w:rsid w:val="008765D1"/>
    <w:rsid w:val="00876D05"/>
    <w:rsid w:val="008773A5"/>
    <w:rsid w:val="00877A33"/>
    <w:rsid w:val="00877ABA"/>
    <w:rsid w:val="00877C61"/>
    <w:rsid w:val="00880FF6"/>
    <w:rsid w:val="00881B80"/>
    <w:rsid w:val="008823ED"/>
    <w:rsid w:val="008871B2"/>
    <w:rsid w:val="008933E4"/>
    <w:rsid w:val="00894848"/>
    <w:rsid w:val="00894944"/>
    <w:rsid w:val="00894A59"/>
    <w:rsid w:val="00895FF6"/>
    <w:rsid w:val="00896305"/>
    <w:rsid w:val="00896D6B"/>
    <w:rsid w:val="008A06FB"/>
    <w:rsid w:val="008A16C4"/>
    <w:rsid w:val="008A1900"/>
    <w:rsid w:val="008A2F51"/>
    <w:rsid w:val="008A3C5C"/>
    <w:rsid w:val="008A48B0"/>
    <w:rsid w:val="008A723D"/>
    <w:rsid w:val="008A73B4"/>
    <w:rsid w:val="008B02E5"/>
    <w:rsid w:val="008B272D"/>
    <w:rsid w:val="008C0B3D"/>
    <w:rsid w:val="008C4607"/>
    <w:rsid w:val="008C561C"/>
    <w:rsid w:val="008C5F5F"/>
    <w:rsid w:val="008C76AF"/>
    <w:rsid w:val="008D1702"/>
    <w:rsid w:val="008D1C70"/>
    <w:rsid w:val="008D21E1"/>
    <w:rsid w:val="008D4AE5"/>
    <w:rsid w:val="008D57E3"/>
    <w:rsid w:val="008D5D66"/>
    <w:rsid w:val="008D6813"/>
    <w:rsid w:val="008E1821"/>
    <w:rsid w:val="008E1DE3"/>
    <w:rsid w:val="008E2313"/>
    <w:rsid w:val="008E273E"/>
    <w:rsid w:val="008E3011"/>
    <w:rsid w:val="008E313D"/>
    <w:rsid w:val="008E7FF5"/>
    <w:rsid w:val="008F0188"/>
    <w:rsid w:val="008F3F30"/>
    <w:rsid w:val="008F4D65"/>
    <w:rsid w:val="008F7531"/>
    <w:rsid w:val="00907612"/>
    <w:rsid w:val="009109FA"/>
    <w:rsid w:val="00910A18"/>
    <w:rsid w:val="009115C1"/>
    <w:rsid w:val="00913DCD"/>
    <w:rsid w:val="00914F3D"/>
    <w:rsid w:val="00915B6E"/>
    <w:rsid w:val="0092016B"/>
    <w:rsid w:val="00923EBE"/>
    <w:rsid w:val="009242E3"/>
    <w:rsid w:val="00927503"/>
    <w:rsid w:val="009275A2"/>
    <w:rsid w:val="00927838"/>
    <w:rsid w:val="00930038"/>
    <w:rsid w:val="00931DB2"/>
    <w:rsid w:val="00935841"/>
    <w:rsid w:val="00936042"/>
    <w:rsid w:val="00937671"/>
    <w:rsid w:val="00937FAE"/>
    <w:rsid w:val="00943596"/>
    <w:rsid w:val="00943604"/>
    <w:rsid w:val="009448E4"/>
    <w:rsid w:val="00944ADB"/>
    <w:rsid w:val="00945AAC"/>
    <w:rsid w:val="00947DF9"/>
    <w:rsid w:val="0095222D"/>
    <w:rsid w:val="00953825"/>
    <w:rsid w:val="00954581"/>
    <w:rsid w:val="00954D74"/>
    <w:rsid w:val="009575A2"/>
    <w:rsid w:val="00957C28"/>
    <w:rsid w:val="00960757"/>
    <w:rsid w:val="009618D8"/>
    <w:rsid w:val="009634C9"/>
    <w:rsid w:val="00966E95"/>
    <w:rsid w:val="00967476"/>
    <w:rsid w:val="009710D3"/>
    <w:rsid w:val="00972415"/>
    <w:rsid w:val="00972F90"/>
    <w:rsid w:val="009731FA"/>
    <w:rsid w:val="00975294"/>
    <w:rsid w:val="009771CF"/>
    <w:rsid w:val="009811A1"/>
    <w:rsid w:val="009825F9"/>
    <w:rsid w:val="00986CDA"/>
    <w:rsid w:val="0098780E"/>
    <w:rsid w:val="00995B8A"/>
    <w:rsid w:val="009A504C"/>
    <w:rsid w:val="009A56D9"/>
    <w:rsid w:val="009A5CB6"/>
    <w:rsid w:val="009B0360"/>
    <w:rsid w:val="009B17CD"/>
    <w:rsid w:val="009B327C"/>
    <w:rsid w:val="009B3908"/>
    <w:rsid w:val="009B5422"/>
    <w:rsid w:val="009C1CB7"/>
    <w:rsid w:val="009C1F42"/>
    <w:rsid w:val="009C21D6"/>
    <w:rsid w:val="009C4FD5"/>
    <w:rsid w:val="009D3717"/>
    <w:rsid w:val="009D3DC7"/>
    <w:rsid w:val="009E17D1"/>
    <w:rsid w:val="009E3642"/>
    <w:rsid w:val="009E5412"/>
    <w:rsid w:val="009E5933"/>
    <w:rsid w:val="009E7F28"/>
    <w:rsid w:val="009F09B1"/>
    <w:rsid w:val="009F191F"/>
    <w:rsid w:val="009F34E2"/>
    <w:rsid w:val="009F3CC1"/>
    <w:rsid w:val="009F760B"/>
    <w:rsid w:val="00A0193A"/>
    <w:rsid w:val="00A028BC"/>
    <w:rsid w:val="00A03DD5"/>
    <w:rsid w:val="00A04442"/>
    <w:rsid w:val="00A04DC8"/>
    <w:rsid w:val="00A05034"/>
    <w:rsid w:val="00A11A57"/>
    <w:rsid w:val="00A11C35"/>
    <w:rsid w:val="00A14610"/>
    <w:rsid w:val="00A147C0"/>
    <w:rsid w:val="00A1622C"/>
    <w:rsid w:val="00A17580"/>
    <w:rsid w:val="00A20E88"/>
    <w:rsid w:val="00A22A4C"/>
    <w:rsid w:val="00A23285"/>
    <w:rsid w:val="00A24053"/>
    <w:rsid w:val="00A24629"/>
    <w:rsid w:val="00A24A60"/>
    <w:rsid w:val="00A25249"/>
    <w:rsid w:val="00A3048B"/>
    <w:rsid w:val="00A31FD1"/>
    <w:rsid w:val="00A328CC"/>
    <w:rsid w:val="00A32D5F"/>
    <w:rsid w:val="00A33FBE"/>
    <w:rsid w:val="00A35A74"/>
    <w:rsid w:val="00A35F29"/>
    <w:rsid w:val="00A40D98"/>
    <w:rsid w:val="00A41460"/>
    <w:rsid w:val="00A4383D"/>
    <w:rsid w:val="00A45793"/>
    <w:rsid w:val="00A52180"/>
    <w:rsid w:val="00A5521C"/>
    <w:rsid w:val="00A579A2"/>
    <w:rsid w:val="00A62A14"/>
    <w:rsid w:val="00A676A3"/>
    <w:rsid w:val="00A70F74"/>
    <w:rsid w:val="00A724AB"/>
    <w:rsid w:val="00A733CB"/>
    <w:rsid w:val="00A73AD8"/>
    <w:rsid w:val="00A73B0C"/>
    <w:rsid w:val="00A76C37"/>
    <w:rsid w:val="00A846E2"/>
    <w:rsid w:val="00A90236"/>
    <w:rsid w:val="00A912C0"/>
    <w:rsid w:val="00A91706"/>
    <w:rsid w:val="00A918CC"/>
    <w:rsid w:val="00A91D53"/>
    <w:rsid w:val="00A92698"/>
    <w:rsid w:val="00AA0F30"/>
    <w:rsid w:val="00AA210D"/>
    <w:rsid w:val="00AA5E77"/>
    <w:rsid w:val="00AA6231"/>
    <w:rsid w:val="00AA7D98"/>
    <w:rsid w:val="00AB226A"/>
    <w:rsid w:val="00AB3BA3"/>
    <w:rsid w:val="00AB6693"/>
    <w:rsid w:val="00AD0A0F"/>
    <w:rsid w:val="00AD1AAD"/>
    <w:rsid w:val="00AD42B5"/>
    <w:rsid w:val="00AD4689"/>
    <w:rsid w:val="00AD5352"/>
    <w:rsid w:val="00AD6DEA"/>
    <w:rsid w:val="00AD7125"/>
    <w:rsid w:val="00AE0FD8"/>
    <w:rsid w:val="00AE2593"/>
    <w:rsid w:val="00AE41C1"/>
    <w:rsid w:val="00AE7855"/>
    <w:rsid w:val="00AF0530"/>
    <w:rsid w:val="00AF1341"/>
    <w:rsid w:val="00AF76CF"/>
    <w:rsid w:val="00B01BAA"/>
    <w:rsid w:val="00B0252D"/>
    <w:rsid w:val="00B02D84"/>
    <w:rsid w:val="00B11330"/>
    <w:rsid w:val="00B141DF"/>
    <w:rsid w:val="00B14F33"/>
    <w:rsid w:val="00B15AF6"/>
    <w:rsid w:val="00B16B16"/>
    <w:rsid w:val="00B17DC5"/>
    <w:rsid w:val="00B17E26"/>
    <w:rsid w:val="00B20C75"/>
    <w:rsid w:val="00B22577"/>
    <w:rsid w:val="00B2268D"/>
    <w:rsid w:val="00B24F6D"/>
    <w:rsid w:val="00B26EF3"/>
    <w:rsid w:val="00B3355F"/>
    <w:rsid w:val="00B353ED"/>
    <w:rsid w:val="00B35CA0"/>
    <w:rsid w:val="00B41497"/>
    <w:rsid w:val="00B41609"/>
    <w:rsid w:val="00B42555"/>
    <w:rsid w:val="00B462C5"/>
    <w:rsid w:val="00B53499"/>
    <w:rsid w:val="00B53524"/>
    <w:rsid w:val="00B53E8B"/>
    <w:rsid w:val="00B544D8"/>
    <w:rsid w:val="00B5474D"/>
    <w:rsid w:val="00B5485C"/>
    <w:rsid w:val="00B56F04"/>
    <w:rsid w:val="00B577B7"/>
    <w:rsid w:val="00B60D02"/>
    <w:rsid w:val="00B63809"/>
    <w:rsid w:val="00B6461E"/>
    <w:rsid w:val="00B66051"/>
    <w:rsid w:val="00B66128"/>
    <w:rsid w:val="00B67394"/>
    <w:rsid w:val="00B73435"/>
    <w:rsid w:val="00B74C55"/>
    <w:rsid w:val="00B76443"/>
    <w:rsid w:val="00B76C9A"/>
    <w:rsid w:val="00B813E1"/>
    <w:rsid w:val="00B9036D"/>
    <w:rsid w:val="00B91D01"/>
    <w:rsid w:val="00B92FBB"/>
    <w:rsid w:val="00B930A3"/>
    <w:rsid w:val="00B940EB"/>
    <w:rsid w:val="00B9707C"/>
    <w:rsid w:val="00B97B16"/>
    <w:rsid w:val="00B97C55"/>
    <w:rsid w:val="00BA0771"/>
    <w:rsid w:val="00BA0CFB"/>
    <w:rsid w:val="00BA1E02"/>
    <w:rsid w:val="00BA6819"/>
    <w:rsid w:val="00BA7400"/>
    <w:rsid w:val="00BB2064"/>
    <w:rsid w:val="00BB37A7"/>
    <w:rsid w:val="00BB5452"/>
    <w:rsid w:val="00BB5C59"/>
    <w:rsid w:val="00BB7A6E"/>
    <w:rsid w:val="00BC2A05"/>
    <w:rsid w:val="00BC3F68"/>
    <w:rsid w:val="00BC48AC"/>
    <w:rsid w:val="00BC5460"/>
    <w:rsid w:val="00BC7ADA"/>
    <w:rsid w:val="00BD15E8"/>
    <w:rsid w:val="00BD365A"/>
    <w:rsid w:val="00BD3740"/>
    <w:rsid w:val="00BD383A"/>
    <w:rsid w:val="00BD466D"/>
    <w:rsid w:val="00BE0419"/>
    <w:rsid w:val="00BE068E"/>
    <w:rsid w:val="00BE3F33"/>
    <w:rsid w:val="00BE5DC8"/>
    <w:rsid w:val="00BF19C0"/>
    <w:rsid w:val="00BF24F3"/>
    <w:rsid w:val="00BF4409"/>
    <w:rsid w:val="00BF45CF"/>
    <w:rsid w:val="00BF4610"/>
    <w:rsid w:val="00BF47E7"/>
    <w:rsid w:val="00BF4B2C"/>
    <w:rsid w:val="00BF65B2"/>
    <w:rsid w:val="00BF6B1E"/>
    <w:rsid w:val="00C000C3"/>
    <w:rsid w:val="00C01BD4"/>
    <w:rsid w:val="00C02C58"/>
    <w:rsid w:val="00C07034"/>
    <w:rsid w:val="00C106E0"/>
    <w:rsid w:val="00C10729"/>
    <w:rsid w:val="00C124BC"/>
    <w:rsid w:val="00C128A9"/>
    <w:rsid w:val="00C13B8E"/>
    <w:rsid w:val="00C14B46"/>
    <w:rsid w:val="00C162E9"/>
    <w:rsid w:val="00C17324"/>
    <w:rsid w:val="00C20770"/>
    <w:rsid w:val="00C20C55"/>
    <w:rsid w:val="00C2465A"/>
    <w:rsid w:val="00C25F0D"/>
    <w:rsid w:val="00C31790"/>
    <w:rsid w:val="00C32E45"/>
    <w:rsid w:val="00C36191"/>
    <w:rsid w:val="00C37161"/>
    <w:rsid w:val="00C41450"/>
    <w:rsid w:val="00C47A44"/>
    <w:rsid w:val="00C508CD"/>
    <w:rsid w:val="00C50E57"/>
    <w:rsid w:val="00C51B37"/>
    <w:rsid w:val="00C54161"/>
    <w:rsid w:val="00C54A31"/>
    <w:rsid w:val="00C55F14"/>
    <w:rsid w:val="00C56A89"/>
    <w:rsid w:val="00C6097C"/>
    <w:rsid w:val="00C64CD5"/>
    <w:rsid w:val="00C70666"/>
    <w:rsid w:val="00C70B8D"/>
    <w:rsid w:val="00C736D8"/>
    <w:rsid w:val="00C74D06"/>
    <w:rsid w:val="00C77AC5"/>
    <w:rsid w:val="00C81772"/>
    <w:rsid w:val="00C902B1"/>
    <w:rsid w:val="00C90779"/>
    <w:rsid w:val="00C917FC"/>
    <w:rsid w:val="00C9396B"/>
    <w:rsid w:val="00C942AA"/>
    <w:rsid w:val="00C95526"/>
    <w:rsid w:val="00C96F14"/>
    <w:rsid w:val="00CA1332"/>
    <w:rsid w:val="00CA4217"/>
    <w:rsid w:val="00CA5A61"/>
    <w:rsid w:val="00CA71A7"/>
    <w:rsid w:val="00CB2593"/>
    <w:rsid w:val="00CB2776"/>
    <w:rsid w:val="00CB409F"/>
    <w:rsid w:val="00CB6B89"/>
    <w:rsid w:val="00CB7172"/>
    <w:rsid w:val="00CB73FD"/>
    <w:rsid w:val="00CC0256"/>
    <w:rsid w:val="00CC0473"/>
    <w:rsid w:val="00CC0A0A"/>
    <w:rsid w:val="00CC13FB"/>
    <w:rsid w:val="00CC3D6D"/>
    <w:rsid w:val="00CC4B3C"/>
    <w:rsid w:val="00CC6AE9"/>
    <w:rsid w:val="00CD058A"/>
    <w:rsid w:val="00CD0B8B"/>
    <w:rsid w:val="00CD1EF9"/>
    <w:rsid w:val="00CD2762"/>
    <w:rsid w:val="00CD4362"/>
    <w:rsid w:val="00CD5E2A"/>
    <w:rsid w:val="00CE2F13"/>
    <w:rsid w:val="00CE3C00"/>
    <w:rsid w:val="00CE50CC"/>
    <w:rsid w:val="00CE5C9B"/>
    <w:rsid w:val="00CF1C87"/>
    <w:rsid w:val="00CF34B7"/>
    <w:rsid w:val="00CF54BD"/>
    <w:rsid w:val="00CF5688"/>
    <w:rsid w:val="00CF642C"/>
    <w:rsid w:val="00CF74F0"/>
    <w:rsid w:val="00CF7D68"/>
    <w:rsid w:val="00CF7E0B"/>
    <w:rsid w:val="00D007CE"/>
    <w:rsid w:val="00D0103F"/>
    <w:rsid w:val="00D0183D"/>
    <w:rsid w:val="00D04F27"/>
    <w:rsid w:val="00D0568C"/>
    <w:rsid w:val="00D057F9"/>
    <w:rsid w:val="00D06098"/>
    <w:rsid w:val="00D06BA6"/>
    <w:rsid w:val="00D0713E"/>
    <w:rsid w:val="00D21B65"/>
    <w:rsid w:val="00D220CE"/>
    <w:rsid w:val="00D221B5"/>
    <w:rsid w:val="00D22433"/>
    <w:rsid w:val="00D23BD5"/>
    <w:rsid w:val="00D30FB3"/>
    <w:rsid w:val="00D3437F"/>
    <w:rsid w:val="00D3674B"/>
    <w:rsid w:val="00D416A9"/>
    <w:rsid w:val="00D47798"/>
    <w:rsid w:val="00D500A9"/>
    <w:rsid w:val="00D51C0C"/>
    <w:rsid w:val="00D52B06"/>
    <w:rsid w:val="00D52C89"/>
    <w:rsid w:val="00D550D5"/>
    <w:rsid w:val="00D572E5"/>
    <w:rsid w:val="00D635B4"/>
    <w:rsid w:val="00D6362E"/>
    <w:rsid w:val="00D67FED"/>
    <w:rsid w:val="00D71DE4"/>
    <w:rsid w:val="00D728D5"/>
    <w:rsid w:val="00D819D4"/>
    <w:rsid w:val="00D83157"/>
    <w:rsid w:val="00D86838"/>
    <w:rsid w:val="00D87210"/>
    <w:rsid w:val="00D87902"/>
    <w:rsid w:val="00D976C3"/>
    <w:rsid w:val="00DA0286"/>
    <w:rsid w:val="00DA146E"/>
    <w:rsid w:val="00DA6CB6"/>
    <w:rsid w:val="00DA7291"/>
    <w:rsid w:val="00DA76FB"/>
    <w:rsid w:val="00DA7F37"/>
    <w:rsid w:val="00DB08B1"/>
    <w:rsid w:val="00DB3A3B"/>
    <w:rsid w:val="00DB56D5"/>
    <w:rsid w:val="00DC156F"/>
    <w:rsid w:val="00DC2B70"/>
    <w:rsid w:val="00DC32B8"/>
    <w:rsid w:val="00DD06A0"/>
    <w:rsid w:val="00DD4960"/>
    <w:rsid w:val="00DD4D9A"/>
    <w:rsid w:val="00DD61A0"/>
    <w:rsid w:val="00DE602D"/>
    <w:rsid w:val="00DE7B22"/>
    <w:rsid w:val="00DF133A"/>
    <w:rsid w:val="00DF1AF2"/>
    <w:rsid w:val="00DF7853"/>
    <w:rsid w:val="00E00A02"/>
    <w:rsid w:val="00E016AD"/>
    <w:rsid w:val="00E04F3C"/>
    <w:rsid w:val="00E05F1C"/>
    <w:rsid w:val="00E11178"/>
    <w:rsid w:val="00E15157"/>
    <w:rsid w:val="00E16AC7"/>
    <w:rsid w:val="00E21B49"/>
    <w:rsid w:val="00E21CE4"/>
    <w:rsid w:val="00E25EA5"/>
    <w:rsid w:val="00E27972"/>
    <w:rsid w:val="00E313E2"/>
    <w:rsid w:val="00E3156C"/>
    <w:rsid w:val="00E327ED"/>
    <w:rsid w:val="00E35218"/>
    <w:rsid w:val="00E3567A"/>
    <w:rsid w:val="00E360A5"/>
    <w:rsid w:val="00E36E79"/>
    <w:rsid w:val="00E41B67"/>
    <w:rsid w:val="00E435A9"/>
    <w:rsid w:val="00E447A5"/>
    <w:rsid w:val="00E45E03"/>
    <w:rsid w:val="00E6080B"/>
    <w:rsid w:val="00E6711B"/>
    <w:rsid w:val="00E71846"/>
    <w:rsid w:val="00E72966"/>
    <w:rsid w:val="00E73153"/>
    <w:rsid w:val="00E755ED"/>
    <w:rsid w:val="00E757D5"/>
    <w:rsid w:val="00E76414"/>
    <w:rsid w:val="00E8063A"/>
    <w:rsid w:val="00E80B09"/>
    <w:rsid w:val="00E81BD4"/>
    <w:rsid w:val="00E84534"/>
    <w:rsid w:val="00E866DF"/>
    <w:rsid w:val="00E86AD0"/>
    <w:rsid w:val="00E960F4"/>
    <w:rsid w:val="00EA0B84"/>
    <w:rsid w:val="00EA16E6"/>
    <w:rsid w:val="00EA2853"/>
    <w:rsid w:val="00EA335F"/>
    <w:rsid w:val="00EA7924"/>
    <w:rsid w:val="00EB08E9"/>
    <w:rsid w:val="00EB0EED"/>
    <w:rsid w:val="00EB24EB"/>
    <w:rsid w:val="00EB48D5"/>
    <w:rsid w:val="00EC1911"/>
    <w:rsid w:val="00EC315D"/>
    <w:rsid w:val="00ED1B0E"/>
    <w:rsid w:val="00ED2115"/>
    <w:rsid w:val="00ED2479"/>
    <w:rsid w:val="00ED2706"/>
    <w:rsid w:val="00ED2718"/>
    <w:rsid w:val="00ED3888"/>
    <w:rsid w:val="00EE26B0"/>
    <w:rsid w:val="00EE381E"/>
    <w:rsid w:val="00EE5C28"/>
    <w:rsid w:val="00EF46C8"/>
    <w:rsid w:val="00EF47D6"/>
    <w:rsid w:val="00EF5366"/>
    <w:rsid w:val="00EF60BA"/>
    <w:rsid w:val="00EF7103"/>
    <w:rsid w:val="00EF7B81"/>
    <w:rsid w:val="00F00A4F"/>
    <w:rsid w:val="00F013F5"/>
    <w:rsid w:val="00F0140F"/>
    <w:rsid w:val="00F014D8"/>
    <w:rsid w:val="00F032B9"/>
    <w:rsid w:val="00F0449E"/>
    <w:rsid w:val="00F06166"/>
    <w:rsid w:val="00F079F2"/>
    <w:rsid w:val="00F1128F"/>
    <w:rsid w:val="00F11510"/>
    <w:rsid w:val="00F11784"/>
    <w:rsid w:val="00F14D7F"/>
    <w:rsid w:val="00F20994"/>
    <w:rsid w:val="00F2362E"/>
    <w:rsid w:val="00F23D1D"/>
    <w:rsid w:val="00F245C1"/>
    <w:rsid w:val="00F251EB"/>
    <w:rsid w:val="00F25778"/>
    <w:rsid w:val="00F26B55"/>
    <w:rsid w:val="00F26B97"/>
    <w:rsid w:val="00F3123F"/>
    <w:rsid w:val="00F31821"/>
    <w:rsid w:val="00F33358"/>
    <w:rsid w:val="00F3345B"/>
    <w:rsid w:val="00F36244"/>
    <w:rsid w:val="00F40DC5"/>
    <w:rsid w:val="00F419BB"/>
    <w:rsid w:val="00F42092"/>
    <w:rsid w:val="00F43406"/>
    <w:rsid w:val="00F51F63"/>
    <w:rsid w:val="00F52358"/>
    <w:rsid w:val="00F52456"/>
    <w:rsid w:val="00F52640"/>
    <w:rsid w:val="00F53C73"/>
    <w:rsid w:val="00F5414A"/>
    <w:rsid w:val="00F573D5"/>
    <w:rsid w:val="00F600F0"/>
    <w:rsid w:val="00F60CAE"/>
    <w:rsid w:val="00F6159A"/>
    <w:rsid w:val="00F6672C"/>
    <w:rsid w:val="00F716CB"/>
    <w:rsid w:val="00F740F3"/>
    <w:rsid w:val="00F77F18"/>
    <w:rsid w:val="00F81A0C"/>
    <w:rsid w:val="00F83DCF"/>
    <w:rsid w:val="00F84FD1"/>
    <w:rsid w:val="00F9297B"/>
    <w:rsid w:val="00FA2A94"/>
    <w:rsid w:val="00FA323F"/>
    <w:rsid w:val="00FA410D"/>
    <w:rsid w:val="00FA4934"/>
    <w:rsid w:val="00FA4DB9"/>
    <w:rsid w:val="00FA6E97"/>
    <w:rsid w:val="00FA7064"/>
    <w:rsid w:val="00FB00F7"/>
    <w:rsid w:val="00FB13F5"/>
    <w:rsid w:val="00FB19C9"/>
    <w:rsid w:val="00FB54DC"/>
    <w:rsid w:val="00FB6915"/>
    <w:rsid w:val="00FB692D"/>
    <w:rsid w:val="00FC00F4"/>
    <w:rsid w:val="00FC2E7C"/>
    <w:rsid w:val="00FC2EAA"/>
    <w:rsid w:val="00FC578A"/>
    <w:rsid w:val="00FD105B"/>
    <w:rsid w:val="00FD6269"/>
    <w:rsid w:val="00FD6429"/>
    <w:rsid w:val="00FE00EF"/>
    <w:rsid w:val="00FE08B4"/>
    <w:rsid w:val="00FE1F7E"/>
    <w:rsid w:val="00FE39ED"/>
    <w:rsid w:val="00FE4509"/>
    <w:rsid w:val="00FE4AA6"/>
    <w:rsid w:val="00FE5778"/>
    <w:rsid w:val="00FF1082"/>
    <w:rsid w:val="00FF16C8"/>
    <w:rsid w:val="00FF357E"/>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CA62F"/>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BE04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C02C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basedOn w:val="Normal"/>
    <w:link w:val="TextonotapieCar"/>
    <w:uiPriority w:val="99"/>
    <w:unhideWhenUsed/>
    <w:rsid w:val="00DC156F"/>
    <w:pPr>
      <w:spacing w:after="0" w:line="240" w:lineRule="auto"/>
    </w:pPr>
    <w:rPr>
      <w:sz w:val="20"/>
      <w:szCs w:val="20"/>
    </w:rPr>
  </w:style>
  <w:style w:type="character" w:customStyle="1" w:styleId="TextonotapieCar">
    <w:name w:val="Texto nota pie Car"/>
    <w:basedOn w:val="Fuentedeprrafopredeter"/>
    <w:link w:val="Textonotapie"/>
    <w:uiPriority w:val="99"/>
    <w:rsid w:val="00DC156F"/>
    <w:rPr>
      <w:sz w:val="20"/>
      <w:szCs w:val="20"/>
    </w:rPr>
  </w:style>
  <w:style w:type="character" w:styleId="Refdenotaalpie">
    <w:name w:val="footnote reference"/>
    <w:basedOn w:val="Fuentedeprrafopredeter"/>
    <w:uiPriority w:val="99"/>
    <w:semiHidden/>
    <w:unhideWhenUsed/>
    <w:rsid w:val="00DC156F"/>
    <w:rPr>
      <w:vertAlign w:val="superscript"/>
    </w:rPr>
  </w:style>
  <w:style w:type="character" w:styleId="Refdecomentario">
    <w:name w:val="annotation reference"/>
    <w:basedOn w:val="Fuentedeprrafopredeter"/>
    <w:uiPriority w:val="99"/>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link w:val="Prrafodelista"/>
    <w:uiPriority w:val="34"/>
    <w:rsid w:val="00CA4217"/>
  </w:style>
  <w:style w:type="paragraph" w:customStyle="1" w:styleId="Default">
    <w:name w:val="Default"/>
    <w:rsid w:val="006323E7"/>
    <w:pPr>
      <w:autoSpaceDE w:val="0"/>
      <w:autoSpaceDN w:val="0"/>
      <w:adjustRightInd w:val="0"/>
      <w:spacing w:after="0" w:line="240" w:lineRule="auto"/>
    </w:pPr>
    <w:rPr>
      <w:rFonts w:ascii="Calibri" w:hAnsi="Calibri" w:cs="Calibri"/>
      <w:color w:val="000000"/>
      <w:sz w:val="24"/>
      <w:szCs w:val="24"/>
    </w:rPr>
  </w:style>
  <w:style w:type="character" w:customStyle="1" w:styleId="Mencinsinresolver1">
    <w:name w:val="Mención sin resolver1"/>
    <w:basedOn w:val="Fuentedeprrafopredeter"/>
    <w:uiPriority w:val="99"/>
    <w:semiHidden/>
    <w:unhideWhenUsed/>
    <w:rsid w:val="005A30FD"/>
    <w:rPr>
      <w:color w:val="605E5C"/>
      <w:shd w:val="clear" w:color="auto" w:fill="E1DFDD"/>
    </w:rPr>
  </w:style>
  <w:style w:type="character" w:styleId="Hipervnculovisitado">
    <w:name w:val="FollowedHyperlink"/>
    <w:basedOn w:val="Fuentedeprrafopredeter"/>
    <w:uiPriority w:val="99"/>
    <w:semiHidden/>
    <w:unhideWhenUsed/>
    <w:rsid w:val="001E5135"/>
    <w:rPr>
      <w:color w:val="954F72" w:themeColor="followedHyperlink"/>
      <w:u w:val="single"/>
    </w:rPr>
  </w:style>
  <w:style w:type="character" w:styleId="Mencinsinresolver">
    <w:name w:val="Unresolved Mention"/>
    <w:basedOn w:val="Fuentedeprrafopredeter"/>
    <w:uiPriority w:val="99"/>
    <w:semiHidden/>
    <w:unhideWhenUsed/>
    <w:rsid w:val="00944ADB"/>
    <w:rPr>
      <w:color w:val="605E5C"/>
      <w:shd w:val="clear" w:color="auto" w:fill="E1DFDD"/>
    </w:rPr>
  </w:style>
  <w:style w:type="character" w:customStyle="1" w:styleId="Ttulo1Car">
    <w:name w:val="Título 1 Car"/>
    <w:basedOn w:val="Fuentedeprrafopredeter"/>
    <w:link w:val="Ttulo1"/>
    <w:uiPriority w:val="9"/>
    <w:rsid w:val="00BE0419"/>
    <w:rPr>
      <w:rFonts w:ascii="Times New Roman" w:eastAsia="Times New Roman" w:hAnsi="Times New Roman" w:cs="Times New Roman"/>
      <w:b/>
      <w:bCs/>
      <w:kern w:val="36"/>
      <w:sz w:val="48"/>
      <w:szCs w:val="48"/>
      <w:lang w:eastAsia="es-MX"/>
    </w:rPr>
  </w:style>
  <w:style w:type="character" w:styleId="Textoennegrita">
    <w:name w:val="Strong"/>
    <w:basedOn w:val="Fuentedeprrafopredeter"/>
    <w:uiPriority w:val="22"/>
    <w:qFormat/>
    <w:rsid w:val="00BE0419"/>
    <w:rPr>
      <w:b/>
      <w:bCs/>
    </w:rPr>
  </w:style>
  <w:style w:type="character" w:customStyle="1" w:styleId="Ttulo2Car">
    <w:name w:val="Título 2 Car"/>
    <w:basedOn w:val="Fuentedeprrafopredeter"/>
    <w:link w:val="Ttulo2"/>
    <w:uiPriority w:val="9"/>
    <w:semiHidden/>
    <w:rsid w:val="00C02C58"/>
    <w:rPr>
      <w:rFonts w:asciiTheme="majorHAnsi" w:eastAsiaTheme="majorEastAsia" w:hAnsiTheme="majorHAnsi" w:cstheme="majorBidi"/>
      <w:color w:val="2E74B5" w:themeColor="accent1" w:themeShade="BF"/>
      <w:sz w:val="26"/>
      <w:szCs w:val="26"/>
    </w:rPr>
  </w:style>
  <w:style w:type="paragraph" w:styleId="Sinespaciado">
    <w:name w:val="No Spacing"/>
    <w:uiPriority w:val="1"/>
    <w:qFormat/>
    <w:rsid w:val="00C02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883">
      <w:bodyDiv w:val="1"/>
      <w:marLeft w:val="0"/>
      <w:marRight w:val="0"/>
      <w:marTop w:val="0"/>
      <w:marBottom w:val="0"/>
      <w:divBdr>
        <w:top w:val="none" w:sz="0" w:space="0" w:color="auto"/>
        <w:left w:val="none" w:sz="0" w:space="0" w:color="auto"/>
        <w:bottom w:val="none" w:sz="0" w:space="0" w:color="auto"/>
        <w:right w:val="none" w:sz="0" w:space="0" w:color="auto"/>
      </w:divBdr>
    </w:div>
    <w:div w:id="231814692">
      <w:bodyDiv w:val="1"/>
      <w:marLeft w:val="0"/>
      <w:marRight w:val="0"/>
      <w:marTop w:val="0"/>
      <w:marBottom w:val="0"/>
      <w:divBdr>
        <w:top w:val="none" w:sz="0" w:space="0" w:color="auto"/>
        <w:left w:val="none" w:sz="0" w:space="0" w:color="auto"/>
        <w:bottom w:val="none" w:sz="0" w:space="0" w:color="auto"/>
        <w:right w:val="none" w:sz="0" w:space="0" w:color="auto"/>
      </w:divBdr>
    </w:div>
    <w:div w:id="307826466">
      <w:bodyDiv w:val="1"/>
      <w:marLeft w:val="0"/>
      <w:marRight w:val="0"/>
      <w:marTop w:val="0"/>
      <w:marBottom w:val="0"/>
      <w:divBdr>
        <w:top w:val="none" w:sz="0" w:space="0" w:color="auto"/>
        <w:left w:val="none" w:sz="0" w:space="0" w:color="auto"/>
        <w:bottom w:val="none" w:sz="0" w:space="0" w:color="auto"/>
        <w:right w:val="none" w:sz="0" w:space="0" w:color="auto"/>
      </w:divBdr>
    </w:div>
    <w:div w:id="343631800">
      <w:bodyDiv w:val="1"/>
      <w:marLeft w:val="0"/>
      <w:marRight w:val="0"/>
      <w:marTop w:val="0"/>
      <w:marBottom w:val="0"/>
      <w:divBdr>
        <w:top w:val="none" w:sz="0" w:space="0" w:color="auto"/>
        <w:left w:val="none" w:sz="0" w:space="0" w:color="auto"/>
        <w:bottom w:val="none" w:sz="0" w:space="0" w:color="auto"/>
        <w:right w:val="none" w:sz="0" w:space="0" w:color="auto"/>
      </w:divBdr>
    </w:div>
    <w:div w:id="372508970">
      <w:bodyDiv w:val="1"/>
      <w:marLeft w:val="0"/>
      <w:marRight w:val="0"/>
      <w:marTop w:val="0"/>
      <w:marBottom w:val="0"/>
      <w:divBdr>
        <w:top w:val="none" w:sz="0" w:space="0" w:color="auto"/>
        <w:left w:val="none" w:sz="0" w:space="0" w:color="auto"/>
        <w:bottom w:val="none" w:sz="0" w:space="0" w:color="auto"/>
        <w:right w:val="none" w:sz="0" w:space="0" w:color="auto"/>
      </w:divBdr>
      <w:divsChild>
        <w:div w:id="1898783390">
          <w:marLeft w:val="0"/>
          <w:marRight w:val="0"/>
          <w:marTop w:val="0"/>
          <w:marBottom w:val="0"/>
          <w:divBdr>
            <w:top w:val="none" w:sz="0" w:space="0" w:color="auto"/>
            <w:left w:val="none" w:sz="0" w:space="0" w:color="auto"/>
            <w:bottom w:val="none" w:sz="0" w:space="0" w:color="auto"/>
            <w:right w:val="none" w:sz="0" w:space="0" w:color="auto"/>
          </w:divBdr>
          <w:divsChild>
            <w:div w:id="170343578">
              <w:marLeft w:val="0"/>
              <w:marRight w:val="0"/>
              <w:marTop w:val="0"/>
              <w:marBottom w:val="0"/>
              <w:divBdr>
                <w:top w:val="none" w:sz="0" w:space="0" w:color="auto"/>
                <w:left w:val="none" w:sz="0" w:space="0" w:color="auto"/>
                <w:bottom w:val="none" w:sz="0" w:space="0" w:color="auto"/>
                <w:right w:val="none" w:sz="0" w:space="0" w:color="auto"/>
              </w:divBdr>
              <w:divsChild>
                <w:div w:id="38741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24558">
      <w:bodyDiv w:val="1"/>
      <w:marLeft w:val="0"/>
      <w:marRight w:val="0"/>
      <w:marTop w:val="0"/>
      <w:marBottom w:val="0"/>
      <w:divBdr>
        <w:top w:val="none" w:sz="0" w:space="0" w:color="auto"/>
        <w:left w:val="none" w:sz="0" w:space="0" w:color="auto"/>
        <w:bottom w:val="none" w:sz="0" w:space="0" w:color="auto"/>
        <w:right w:val="none" w:sz="0" w:space="0" w:color="auto"/>
      </w:divBdr>
      <w:divsChild>
        <w:div w:id="1999922043">
          <w:marLeft w:val="0"/>
          <w:marRight w:val="0"/>
          <w:marTop w:val="0"/>
          <w:marBottom w:val="0"/>
          <w:divBdr>
            <w:top w:val="none" w:sz="0" w:space="0" w:color="auto"/>
            <w:left w:val="none" w:sz="0" w:space="0" w:color="auto"/>
            <w:bottom w:val="none" w:sz="0" w:space="0" w:color="auto"/>
            <w:right w:val="none" w:sz="0" w:space="0" w:color="auto"/>
          </w:divBdr>
        </w:div>
      </w:divsChild>
    </w:div>
    <w:div w:id="452752934">
      <w:bodyDiv w:val="1"/>
      <w:marLeft w:val="0"/>
      <w:marRight w:val="0"/>
      <w:marTop w:val="0"/>
      <w:marBottom w:val="0"/>
      <w:divBdr>
        <w:top w:val="none" w:sz="0" w:space="0" w:color="auto"/>
        <w:left w:val="none" w:sz="0" w:space="0" w:color="auto"/>
        <w:bottom w:val="none" w:sz="0" w:space="0" w:color="auto"/>
        <w:right w:val="none" w:sz="0" w:space="0" w:color="auto"/>
      </w:divBdr>
      <w:divsChild>
        <w:div w:id="396325086">
          <w:marLeft w:val="0"/>
          <w:marRight w:val="0"/>
          <w:marTop w:val="0"/>
          <w:marBottom w:val="0"/>
          <w:divBdr>
            <w:top w:val="none" w:sz="0" w:space="0" w:color="auto"/>
            <w:left w:val="none" w:sz="0" w:space="0" w:color="auto"/>
            <w:bottom w:val="none" w:sz="0" w:space="0" w:color="auto"/>
            <w:right w:val="none" w:sz="0" w:space="0" w:color="auto"/>
          </w:divBdr>
        </w:div>
      </w:divsChild>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282888">
      <w:bodyDiv w:val="1"/>
      <w:marLeft w:val="0"/>
      <w:marRight w:val="0"/>
      <w:marTop w:val="0"/>
      <w:marBottom w:val="0"/>
      <w:divBdr>
        <w:top w:val="none" w:sz="0" w:space="0" w:color="auto"/>
        <w:left w:val="none" w:sz="0" w:space="0" w:color="auto"/>
        <w:bottom w:val="none" w:sz="0" w:space="0" w:color="auto"/>
        <w:right w:val="none" w:sz="0" w:space="0" w:color="auto"/>
      </w:divBdr>
    </w:div>
    <w:div w:id="533151329">
      <w:bodyDiv w:val="1"/>
      <w:marLeft w:val="0"/>
      <w:marRight w:val="0"/>
      <w:marTop w:val="0"/>
      <w:marBottom w:val="0"/>
      <w:divBdr>
        <w:top w:val="none" w:sz="0" w:space="0" w:color="auto"/>
        <w:left w:val="none" w:sz="0" w:space="0" w:color="auto"/>
        <w:bottom w:val="none" w:sz="0" w:space="0" w:color="auto"/>
        <w:right w:val="none" w:sz="0" w:space="0" w:color="auto"/>
      </w:divBdr>
      <w:divsChild>
        <w:div w:id="1434128529">
          <w:marLeft w:val="0"/>
          <w:marRight w:val="0"/>
          <w:marTop w:val="0"/>
          <w:marBottom w:val="0"/>
          <w:divBdr>
            <w:top w:val="none" w:sz="0" w:space="0" w:color="auto"/>
            <w:left w:val="none" w:sz="0" w:space="0" w:color="auto"/>
            <w:bottom w:val="none" w:sz="0" w:space="0" w:color="auto"/>
            <w:right w:val="none" w:sz="0" w:space="0" w:color="auto"/>
          </w:divBdr>
        </w:div>
      </w:divsChild>
    </w:div>
    <w:div w:id="581720239">
      <w:bodyDiv w:val="1"/>
      <w:marLeft w:val="0"/>
      <w:marRight w:val="0"/>
      <w:marTop w:val="0"/>
      <w:marBottom w:val="0"/>
      <w:divBdr>
        <w:top w:val="none" w:sz="0" w:space="0" w:color="auto"/>
        <w:left w:val="none" w:sz="0" w:space="0" w:color="auto"/>
        <w:bottom w:val="none" w:sz="0" w:space="0" w:color="auto"/>
        <w:right w:val="none" w:sz="0" w:space="0" w:color="auto"/>
      </w:divBdr>
      <w:divsChild>
        <w:div w:id="1841693533">
          <w:marLeft w:val="0"/>
          <w:marRight w:val="0"/>
          <w:marTop w:val="0"/>
          <w:marBottom w:val="0"/>
          <w:divBdr>
            <w:top w:val="none" w:sz="0" w:space="0" w:color="auto"/>
            <w:left w:val="none" w:sz="0" w:space="0" w:color="auto"/>
            <w:bottom w:val="none" w:sz="0" w:space="0" w:color="auto"/>
            <w:right w:val="none" w:sz="0" w:space="0" w:color="auto"/>
          </w:divBdr>
        </w:div>
      </w:divsChild>
    </w:div>
    <w:div w:id="605235007">
      <w:bodyDiv w:val="1"/>
      <w:marLeft w:val="0"/>
      <w:marRight w:val="0"/>
      <w:marTop w:val="0"/>
      <w:marBottom w:val="0"/>
      <w:divBdr>
        <w:top w:val="none" w:sz="0" w:space="0" w:color="auto"/>
        <w:left w:val="none" w:sz="0" w:space="0" w:color="auto"/>
        <w:bottom w:val="none" w:sz="0" w:space="0" w:color="auto"/>
        <w:right w:val="none" w:sz="0" w:space="0" w:color="auto"/>
      </w:divBdr>
    </w:div>
    <w:div w:id="799033006">
      <w:bodyDiv w:val="1"/>
      <w:marLeft w:val="0"/>
      <w:marRight w:val="0"/>
      <w:marTop w:val="0"/>
      <w:marBottom w:val="0"/>
      <w:divBdr>
        <w:top w:val="none" w:sz="0" w:space="0" w:color="auto"/>
        <w:left w:val="none" w:sz="0" w:space="0" w:color="auto"/>
        <w:bottom w:val="none" w:sz="0" w:space="0" w:color="auto"/>
        <w:right w:val="none" w:sz="0" w:space="0" w:color="auto"/>
      </w:divBdr>
      <w:divsChild>
        <w:div w:id="2030716083">
          <w:marLeft w:val="0"/>
          <w:marRight w:val="0"/>
          <w:marTop w:val="0"/>
          <w:marBottom w:val="0"/>
          <w:divBdr>
            <w:top w:val="none" w:sz="0" w:space="0" w:color="auto"/>
            <w:left w:val="none" w:sz="0" w:space="0" w:color="auto"/>
            <w:bottom w:val="none" w:sz="0" w:space="0" w:color="auto"/>
            <w:right w:val="none" w:sz="0" w:space="0" w:color="auto"/>
          </w:divBdr>
        </w:div>
      </w:divsChild>
    </w:div>
    <w:div w:id="909540445">
      <w:bodyDiv w:val="1"/>
      <w:marLeft w:val="0"/>
      <w:marRight w:val="0"/>
      <w:marTop w:val="0"/>
      <w:marBottom w:val="0"/>
      <w:divBdr>
        <w:top w:val="none" w:sz="0" w:space="0" w:color="auto"/>
        <w:left w:val="none" w:sz="0" w:space="0" w:color="auto"/>
        <w:bottom w:val="none" w:sz="0" w:space="0" w:color="auto"/>
        <w:right w:val="none" w:sz="0" w:space="0" w:color="auto"/>
      </w:divBdr>
    </w:div>
    <w:div w:id="1089235557">
      <w:bodyDiv w:val="1"/>
      <w:marLeft w:val="0"/>
      <w:marRight w:val="0"/>
      <w:marTop w:val="0"/>
      <w:marBottom w:val="0"/>
      <w:divBdr>
        <w:top w:val="none" w:sz="0" w:space="0" w:color="auto"/>
        <w:left w:val="none" w:sz="0" w:space="0" w:color="auto"/>
        <w:bottom w:val="none" w:sz="0" w:space="0" w:color="auto"/>
        <w:right w:val="none" w:sz="0" w:space="0" w:color="auto"/>
      </w:divBdr>
      <w:divsChild>
        <w:div w:id="400031769">
          <w:marLeft w:val="0"/>
          <w:marRight w:val="0"/>
          <w:marTop w:val="0"/>
          <w:marBottom w:val="0"/>
          <w:divBdr>
            <w:top w:val="none" w:sz="0" w:space="0" w:color="auto"/>
            <w:left w:val="none" w:sz="0" w:space="0" w:color="auto"/>
            <w:bottom w:val="none" w:sz="0" w:space="0" w:color="auto"/>
            <w:right w:val="none" w:sz="0" w:space="0" w:color="auto"/>
          </w:divBdr>
        </w:div>
      </w:divsChild>
    </w:div>
    <w:div w:id="1190410828">
      <w:bodyDiv w:val="1"/>
      <w:marLeft w:val="0"/>
      <w:marRight w:val="0"/>
      <w:marTop w:val="0"/>
      <w:marBottom w:val="0"/>
      <w:divBdr>
        <w:top w:val="none" w:sz="0" w:space="0" w:color="auto"/>
        <w:left w:val="none" w:sz="0" w:space="0" w:color="auto"/>
        <w:bottom w:val="none" w:sz="0" w:space="0" w:color="auto"/>
        <w:right w:val="none" w:sz="0" w:space="0" w:color="auto"/>
      </w:divBdr>
      <w:divsChild>
        <w:div w:id="20789017">
          <w:marLeft w:val="0"/>
          <w:marRight w:val="0"/>
          <w:marTop w:val="0"/>
          <w:marBottom w:val="0"/>
          <w:divBdr>
            <w:top w:val="none" w:sz="0" w:space="0" w:color="auto"/>
            <w:left w:val="none" w:sz="0" w:space="0" w:color="auto"/>
            <w:bottom w:val="none" w:sz="0" w:space="0" w:color="auto"/>
            <w:right w:val="none" w:sz="0" w:space="0" w:color="auto"/>
          </w:divBdr>
        </w:div>
      </w:divsChild>
    </w:div>
    <w:div w:id="1424953970">
      <w:bodyDiv w:val="1"/>
      <w:marLeft w:val="0"/>
      <w:marRight w:val="0"/>
      <w:marTop w:val="0"/>
      <w:marBottom w:val="0"/>
      <w:divBdr>
        <w:top w:val="none" w:sz="0" w:space="0" w:color="auto"/>
        <w:left w:val="none" w:sz="0" w:space="0" w:color="auto"/>
        <w:bottom w:val="none" w:sz="0" w:space="0" w:color="auto"/>
        <w:right w:val="none" w:sz="0" w:space="0" w:color="auto"/>
      </w:divBdr>
    </w:div>
    <w:div w:id="1484156061">
      <w:bodyDiv w:val="1"/>
      <w:marLeft w:val="0"/>
      <w:marRight w:val="0"/>
      <w:marTop w:val="0"/>
      <w:marBottom w:val="0"/>
      <w:divBdr>
        <w:top w:val="none" w:sz="0" w:space="0" w:color="auto"/>
        <w:left w:val="none" w:sz="0" w:space="0" w:color="auto"/>
        <w:bottom w:val="none" w:sz="0" w:space="0" w:color="auto"/>
        <w:right w:val="none" w:sz="0" w:space="0" w:color="auto"/>
      </w:divBdr>
    </w:div>
    <w:div w:id="1497459156">
      <w:bodyDiv w:val="1"/>
      <w:marLeft w:val="0"/>
      <w:marRight w:val="0"/>
      <w:marTop w:val="0"/>
      <w:marBottom w:val="0"/>
      <w:divBdr>
        <w:top w:val="none" w:sz="0" w:space="0" w:color="auto"/>
        <w:left w:val="none" w:sz="0" w:space="0" w:color="auto"/>
        <w:bottom w:val="none" w:sz="0" w:space="0" w:color="auto"/>
        <w:right w:val="none" w:sz="0" w:space="0" w:color="auto"/>
      </w:divBdr>
      <w:divsChild>
        <w:div w:id="1629320055">
          <w:marLeft w:val="0"/>
          <w:marRight w:val="0"/>
          <w:marTop w:val="0"/>
          <w:marBottom w:val="0"/>
          <w:divBdr>
            <w:top w:val="none" w:sz="0" w:space="0" w:color="auto"/>
            <w:left w:val="none" w:sz="0" w:space="0" w:color="auto"/>
            <w:bottom w:val="none" w:sz="0" w:space="0" w:color="auto"/>
            <w:right w:val="none" w:sz="0" w:space="0" w:color="auto"/>
          </w:divBdr>
        </w:div>
      </w:divsChild>
    </w:div>
    <w:div w:id="1574244810">
      <w:bodyDiv w:val="1"/>
      <w:marLeft w:val="0"/>
      <w:marRight w:val="0"/>
      <w:marTop w:val="0"/>
      <w:marBottom w:val="0"/>
      <w:divBdr>
        <w:top w:val="none" w:sz="0" w:space="0" w:color="auto"/>
        <w:left w:val="none" w:sz="0" w:space="0" w:color="auto"/>
        <w:bottom w:val="none" w:sz="0" w:space="0" w:color="auto"/>
        <w:right w:val="none" w:sz="0" w:space="0" w:color="auto"/>
      </w:divBdr>
      <w:divsChild>
        <w:div w:id="1612665834">
          <w:marLeft w:val="0"/>
          <w:marRight w:val="0"/>
          <w:marTop w:val="0"/>
          <w:marBottom w:val="0"/>
          <w:divBdr>
            <w:top w:val="none" w:sz="0" w:space="0" w:color="auto"/>
            <w:left w:val="none" w:sz="0" w:space="0" w:color="auto"/>
            <w:bottom w:val="none" w:sz="0" w:space="0" w:color="auto"/>
            <w:right w:val="none" w:sz="0" w:space="0" w:color="auto"/>
          </w:divBdr>
        </w:div>
      </w:divsChild>
    </w:div>
    <w:div w:id="1578634936">
      <w:bodyDiv w:val="1"/>
      <w:marLeft w:val="0"/>
      <w:marRight w:val="0"/>
      <w:marTop w:val="0"/>
      <w:marBottom w:val="0"/>
      <w:divBdr>
        <w:top w:val="none" w:sz="0" w:space="0" w:color="auto"/>
        <w:left w:val="none" w:sz="0" w:space="0" w:color="auto"/>
        <w:bottom w:val="none" w:sz="0" w:space="0" w:color="auto"/>
        <w:right w:val="none" w:sz="0" w:space="0" w:color="auto"/>
      </w:divBdr>
    </w:div>
    <w:div w:id="1659110586">
      <w:bodyDiv w:val="1"/>
      <w:marLeft w:val="0"/>
      <w:marRight w:val="0"/>
      <w:marTop w:val="0"/>
      <w:marBottom w:val="0"/>
      <w:divBdr>
        <w:top w:val="none" w:sz="0" w:space="0" w:color="auto"/>
        <w:left w:val="none" w:sz="0" w:space="0" w:color="auto"/>
        <w:bottom w:val="none" w:sz="0" w:space="0" w:color="auto"/>
        <w:right w:val="none" w:sz="0" w:space="0" w:color="auto"/>
      </w:divBdr>
    </w:div>
    <w:div w:id="1688829660">
      <w:bodyDiv w:val="1"/>
      <w:marLeft w:val="0"/>
      <w:marRight w:val="0"/>
      <w:marTop w:val="0"/>
      <w:marBottom w:val="0"/>
      <w:divBdr>
        <w:top w:val="none" w:sz="0" w:space="0" w:color="auto"/>
        <w:left w:val="none" w:sz="0" w:space="0" w:color="auto"/>
        <w:bottom w:val="none" w:sz="0" w:space="0" w:color="auto"/>
        <w:right w:val="none" w:sz="0" w:space="0" w:color="auto"/>
      </w:divBdr>
    </w:div>
    <w:div w:id="1896967291">
      <w:bodyDiv w:val="1"/>
      <w:marLeft w:val="0"/>
      <w:marRight w:val="0"/>
      <w:marTop w:val="0"/>
      <w:marBottom w:val="0"/>
      <w:divBdr>
        <w:top w:val="none" w:sz="0" w:space="0" w:color="auto"/>
        <w:left w:val="none" w:sz="0" w:space="0" w:color="auto"/>
        <w:bottom w:val="none" w:sz="0" w:space="0" w:color="auto"/>
        <w:right w:val="none" w:sz="0" w:space="0" w:color="auto"/>
      </w:divBdr>
      <w:divsChild>
        <w:div w:id="763376216">
          <w:marLeft w:val="0"/>
          <w:marRight w:val="0"/>
          <w:marTop w:val="0"/>
          <w:marBottom w:val="0"/>
          <w:divBdr>
            <w:top w:val="none" w:sz="0" w:space="0" w:color="auto"/>
            <w:left w:val="none" w:sz="0" w:space="0" w:color="auto"/>
            <w:bottom w:val="none" w:sz="0" w:space="0" w:color="auto"/>
            <w:right w:val="none" w:sz="0" w:space="0" w:color="auto"/>
          </w:divBdr>
        </w:div>
      </w:divsChild>
    </w:div>
    <w:div w:id="2010403936">
      <w:bodyDiv w:val="1"/>
      <w:marLeft w:val="0"/>
      <w:marRight w:val="0"/>
      <w:marTop w:val="0"/>
      <w:marBottom w:val="0"/>
      <w:divBdr>
        <w:top w:val="none" w:sz="0" w:space="0" w:color="auto"/>
        <w:left w:val="none" w:sz="0" w:space="0" w:color="auto"/>
        <w:bottom w:val="none" w:sz="0" w:space="0" w:color="auto"/>
        <w:right w:val="none" w:sz="0" w:space="0" w:color="auto"/>
      </w:divBdr>
    </w:div>
    <w:div w:id="21386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t.org.mx/sites/default/files/contenidogeneral/estadisticas/ite4t2020_1.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t.org.mx/sites/default/files/contenidogeneral/estadisticas/anuarioestadistico202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acio.villalobo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ft.org.mx/sites/default/files/contenidogeneral/estadisticas/PronosticosTelecom20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C7"/>
    <w:rsid w:val="00065E78"/>
    <w:rsid w:val="000A1AC5"/>
    <w:rsid w:val="000B1DE8"/>
    <w:rsid w:val="000C0862"/>
    <w:rsid w:val="000D737F"/>
    <w:rsid w:val="000E2B5F"/>
    <w:rsid w:val="00135236"/>
    <w:rsid w:val="00164C97"/>
    <w:rsid w:val="00175F99"/>
    <w:rsid w:val="0019555E"/>
    <w:rsid w:val="001970C0"/>
    <w:rsid w:val="001A31F6"/>
    <w:rsid w:val="001E7385"/>
    <w:rsid w:val="002023A1"/>
    <w:rsid w:val="002043B9"/>
    <w:rsid w:val="00256880"/>
    <w:rsid w:val="00293177"/>
    <w:rsid w:val="002A1D16"/>
    <w:rsid w:val="002B64F1"/>
    <w:rsid w:val="002C3043"/>
    <w:rsid w:val="002C70E0"/>
    <w:rsid w:val="002D3EC8"/>
    <w:rsid w:val="002F7729"/>
    <w:rsid w:val="00300E05"/>
    <w:rsid w:val="00326BFB"/>
    <w:rsid w:val="003559CA"/>
    <w:rsid w:val="0037209C"/>
    <w:rsid w:val="00381493"/>
    <w:rsid w:val="003854E6"/>
    <w:rsid w:val="00386F84"/>
    <w:rsid w:val="00387BED"/>
    <w:rsid w:val="003C4117"/>
    <w:rsid w:val="003E5BA0"/>
    <w:rsid w:val="00402EE8"/>
    <w:rsid w:val="004257FF"/>
    <w:rsid w:val="00427628"/>
    <w:rsid w:val="00475190"/>
    <w:rsid w:val="004973C4"/>
    <w:rsid w:val="004D7B84"/>
    <w:rsid w:val="004F1F81"/>
    <w:rsid w:val="00502052"/>
    <w:rsid w:val="005036F0"/>
    <w:rsid w:val="0051267B"/>
    <w:rsid w:val="00523FC1"/>
    <w:rsid w:val="00526327"/>
    <w:rsid w:val="0055477B"/>
    <w:rsid w:val="005B1FB0"/>
    <w:rsid w:val="005B43F8"/>
    <w:rsid w:val="005D4E35"/>
    <w:rsid w:val="005F179D"/>
    <w:rsid w:val="0061327C"/>
    <w:rsid w:val="006226F0"/>
    <w:rsid w:val="00633283"/>
    <w:rsid w:val="006430A9"/>
    <w:rsid w:val="0065451C"/>
    <w:rsid w:val="00654B6E"/>
    <w:rsid w:val="00664216"/>
    <w:rsid w:val="006A630E"/>
    <w:rsid w:val="006B048A"/>
    <w:rsid w:val="006C5CB7"/>
    <w:rsid w:val="006D0DB8"/>
    <w:rsid w:val="006D365C"/>
    <w:rsid w:val="006D5055"/>
    <w:rsid w:val="006F2A89"/>
    <w:rsid w:val="00704DDD"/>
    <w:rsid w:val="007056E5"/>
    <w:rsid w:val="00727884"/>
    <w:rsid w:val="00741405"/>
    <w:rsid w:val="00747753"/>
    <w:rsid w:val="00747B64"/>
    <w:rsid w:val="007751D9"/>
    <w:rsid w:val="0078204A"/>
    <w:rsid w:val="007A02A3"/>
    <w:rsid w:val="007B21D2"/>
    <w:rsid w:val="007B4AC3"/>
    <w:rsid w:val="007C6D13"/>
    <w:rsid w:val="007F1F35"/>
    <w:rsid w:val="00856CBC"/>
    <w:rsid w:val="008570E9"/>
    <w:rsid w:val="0088582F"/>
    <w:rsid w:val="008A0143"/>
    <w:rsid w:val="008A1296"/>
    <w:rsid w:val="008D256F"/>
    <w:rsid w:val="008E6F19"/>
    <w:rsid w:val="00922720"/>
    <w:rsid w:val="00924F24"/>
    <w:rsid w:val="00951A9E"/>
    <w:rsid w:val="00961943"/>
    <w:rsid w:val="009720FA"/>
    <w:rsid w:val="0099225F"/>
    <w:rsid w:val="009A1088"/>
    <w:rsid w:val="009A4950"/>
    <w:rsid w:val="009E2DFF"/>
    <w:rsid w:val="009E5672"/>
    <w:rsid w:val="00A033BC"/>
    <w:rsid w:val="00A42422"/>
    <w:rsid w:val="00A52A0A"/>
    <w:rsid w:val="00A568D1"/>
    <w:rsid w:val="00A76DED"/>
    <w:rsid w:val="00AB2D25"/>
    <w:rsid w:val="00AC36F0"/>
    <w:rsid w:val="00AE0DF9"/>
    <w:rsid w:val="00AE666F"/>
    <w:rsid w:val="00B13BF1"/>
    <w:rsid w:val="00B17BDF"/>
    <w:rsid w:val="00B26BC0"/>
    <w:rsid w:val="00B43986"/>
    <w:rsid w:val="00B518E3"/>
    <w:rsid w:val="00B555C7"/>
    <w:rsid w:val="00B730A5"/>
    <w:rsid w:val="00B90A3C"/>
    <w:rsid w:val="00B978AB"/>
    <w:rsid w:val="00BB74CD"/>
    <w:rsid w:val="00BE796C"/>
    <w:rsid w:val="00C05A95"/>
    <w:rsid w:val="00C2080E"/>
    <w:rsid w:val="00C41F69"/>
    <w:rsid w:val="00C446FE"/>
    <w:rsid w:val="00C60CC3"/>
    <w:rsid w:val="00C60CFF"/>
    <w:rsid w:val="00C92176"/>
    <w:rsid w:val="00C9611F"/>
    <w:rsid w:val="00CB3DE4"/>
    <w:rsid w:val="00CB7BB6"/>
    <w:rsid w:val="00CC2548"/>
    <w:rsid w:val="00CE1C03"/>
    <w:rsid w:val="00D24404"/>
    <w:rsid w:val="00D35CA7"/>
    <w:rsid w:val="00D55A9F"/>
    <w:rsid w:val="00D5643F"/>
    <w:rsid w:val="00D808A9"/>
    <w:rsid w:val="00DA712E"/>
    <w:rsid w:val="00DD05CA"/>
    <w:rsid w:val="00DE1B05"/>
    <w:rsid w:val="00E31AA2"/>
    <w:rsid w:val="00E80742"/>
    <w:rsid w:val="00E95F33"/>
    <w:rsid w:val="00EC4411"/>
    <w:rsid w:val="00ED0F46"/>
    <w:rsid w:val="00ED3D08"/>
    <w:rsid w:val="00EE4B1D"/>
    <w:rsid w:val="00EE5AE2"/>
    <w:rsid w:val="00EF2DD1"/>
    <w:rsid w:val="00F11126"/>
    <w:rsid w:val="00F124E8"/>
    <w:rsid w:val="00F4060E"/>
    <w:rsid w:val="00F46C9D"/>
    <w:rsid w:val="00F76F86"/>
    <w:rsid w:val="00F922A8"/>
    <w:rsid w:val="00FA2B1C"/>
    <w:rsid w:val="00FF0564"/>
    <w:rsid w:val="00FF3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46C9D"/>
    <w:rPr>
      <w:color w:val="808080"/>
    </w:rPr>
  </w:style>
  <w:style w:type="paragraph" w:customStyle="1" w:styleId="2AB7C83E04DA4575AB65583F099C59F6">
    <w:name w:val="2AB7C83E04DA4575AB65583F099C59F6"/>
    <w:rsid w:val="0078204A"/>
  </w:style>
  <w:style w:type="paragraph" w:customStyle="1" w:styleId="676272EAD4A645D9BD28A8CF0D01D837">
    <w:name w:val="676272EAD4A645D9BD28A8CF0D01D837"/>
    <w:rsid w:val="006C5C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8437F34DCEA1443BB5A7624A70FAA57" ma:contentTypeVersion="0" ma:contentTypeDescription="Crear nuevo documento." ma:contentTypeScope="" ma:versionID="6e2cb8e61d24a85d87f694c5b624c215">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B21EE9-E95E-48F0-AFF1-ED1385575C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4.xml><?xml version="1.0" encoding="utf-8"?>
<ds:datastoreItem xmlns:ds="http://schemas.openxmlformats.org/officeDocument/2006/customXml" ds:itemID="{951C5CBA-A5EE-4FEC-8123-4CCC3519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1674</Words>
  <Characters>9211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Teoyotl Calderon</dc:creator>
  <cp:keywords/>
  <dc:description/>
  <cp:lastModifiedBy>Josue Teoyotl Calderon</cp:lastModifiedBy>
  <cp:revision>5</cp:revision>
  <cp:lastPrinted>2022-08-18T22:27:00Z</cp:lastPrinted>
  <dcterms:created xsi:type="dcterms:W3CDTF">2022-08-04T17:05:00Z</dcterms:created>
  <dcterms:modified xsi:type="dcterms:W3CDTF">2022-08-18T22:28:00Z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0x01010088437F34DCEA1443BB5A7624A70FAA57</vt:lpwstr>
  </property>
  <property fmtid="{D5CDD505-2E9C-101B-9397-08002B2CF9AE}" pid="3" name="_DocHome">
    <vt:i4>1885056291</vt:i4>
  </property>
</Properties>
</file>