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DF349" w14:textId="77777777" w:rsidR="004A5964" w:rsidRPr="004A5964" w:rsidRDefault="004A5964" w:rsidP="004A5964">
      <w:pPr>
        <w:pStyle w:val="Sinespaciado"/>
        <w:jc w:val="center"/>
        <w:rPr>
          <w:b/>
          <w:bCs/>
          <w:sz w:val="28"/>
        </w:rPr>
      </w:pPr>
      <w:bookmarkStart w:id="0" w:name="_GoBack"/>
      <w:bookmarkEnd w:id="0"/>
      <w:r w:rsidRPr="004A5964">
        <w:rPr>
          <w:b/>
          <w:bCs/>
          <w:sz w:val="28"/>
        </w:rPr>
        <w:t>Propuesta de modificaciones a la Oferta de Compartición de Infraestructura Pasiva de Telmex/Telnor 2023</w:t>
      </w:r>
    </w:p>
    <w:p w14:paraId="2DAB243E" w14:textId="77777777" w:rsidR="004A5964" w:rsidRDefault="004A5964" w:rsidP="005C28C7">
      <w:pPr>
        <w:pStyle w:val="Sinespaciado"/>
        <w:rPr>
          <w:b/>
          <w:bCs/>
        </w:rPr>
      </w:pPr>
    </w:p>
    <w:p w14:paraId="199A2782" w14:textId="77777777" w:rsidR="004919FB" w:rsidRDefault="00E44664" w:rsidP="005C28C7">
      <w:pPr>
        <w:pStyle w:val="Sinespaciado"/>
      </w:pPr>
      <w:r w:rsidRPr="00E44664">
        <w:rPr>
          <w:b/>
          <w:bCs/>
        </w:rPr>
        <w:t xml:space="preserve">ANEXO ÚNICO </w:t>
      </w:r>
      <w:r w:rsidRPr="00E44664">
        <w:rPr>
          <w:b/>
          <w:bCs/>
          <w:i/>
          <w:iCs/>
        </w:rPr>
        <w:t>“Oferta de Referencia para el Servicio de Acceso y Uso Compartido de Infraestructura Pasiva de las Divisiones Mayoristas de Telmex y Telnor”</w:t>
      </w:r>
    </w:p>
    <w:p w14:paraId="49EA568E" w14:textId="77777777" w:rsidR="00E44664" w:rsidRDefault="00E44664" w:rsidP="005C28C7">
      <w:pPr>
        <w:pStyle w:val="Sinespaciad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420"/>
        <w:gridCol w:w="1560"/>
        <w:gridCol w:w="3541"/>
        <w:gridCol w:w="3707"/>
      </w:tblGrid>
      <w:tr w:rsidR="008E3369" w:rsidRPr="000C2AAE" w14:paraId="25B48457" w14:textId="77777777" w:rsidTr="001274D9">
        <w:trPr>
          <w:trHeight w:val="346"/>
          <w:tblHeader/>
        </w:trPr>
        <w:tc>
          <w:tcPr>
            <w:tcW w:w="260" w:type="pct"/>
            <w:shd w:val="clear" w:color="auto" w:fill="1F497D" w:themeFill="text2"/>
            <w:vAlign w:val="center"/>
          </w:tcPr>
          <w:p w14:paraId="3E07657F" w14:textId="77777777" w:rsidR="008E3369" w:rsidRPr="00196812" w:rsidRDefault="008E3369" w:rsidP="00D66FC4">
            <w:pPr>
              <w:spacing w:after="0" w:line="240" w:lineRule="auto"/>
              <w:jc w:val="center"/>
              <w:rPr>
                <w:rFonts w:eastAsia="Times New Roman" w:cs="Arial"/>
                <w:color w:val="FFFFFF" w:themeColor="background1"/>
                <w:sz w:val="20"/>
                <w:szCs w:val="20"/>
                <w:lang w:eastAsia="es-MX"/>
              </w:rPr>
            </w:pPr>
            <w:r w:rsidRPr="00196812">
              <w:rPr>
                <w:rFonts w:eastAsia="Times New Roman" w:cs="Arial"/>
                <w:b/>
                <w:bCs/>
                <w:color w:val="FFFFFF" w:themeColor="background1"/>
                <w:sz w:val="20"/>
                <w:szCs w:val="20"/>
                <w:lang w:eastAsia="es-MX"/>
              </w:rPr>
              <w:t>No</w:t>
            </w:r>
          </w:p>
        </w:tc>
        <w:tc>
          <w:tcPr>
            <w:tcW w:w="658" w:type="pct"/>
            <w:shd w:val="clear" w:color="auto" w:fill="1F497D" w:themeFill="text2"/>
            <w:vAlign w:val="center"/>
          </w:tcPr>
          <w:p w14:paraId="3CCD7FCB" w14:textId="77777777" w:rsidR="008E3369" w:rsidRPr="00B41DD2" w:rsidRDefault="008E3369" w:rsidP="00D66FC4">
            <w:pPr>
              <w:spacing w:after="0" w:line="240" w:lineRule="auto"/>
              <w:jc w:val="center"/>
              <w:rPr>
                <w:rFonts w:eastAsia="Times New Roman" w:cs="Arial"/>
                <w:color w:val="FFFFFF" w:themeColor="background1"/>
                <w:sz w:val="20"/>
                <w:szCs w:val="20"/>
                <w:lang w:eastAsia="es-MX"/>
              </w:rPr>
            </w:pPr>
            <w:proofErr w:type="gramStart"/>
            <w:r w:rsidRPr="00B41DD2">
              <w:rPr>
                <w:rFonts w:eastAsia="Times New Roman" w:cs="Arial"/>
                <w:b/>
                <w:bCs/>
                <w:color w:val="FFFFFF" w:themeColor="background1"/>
                <w:sz w:val="20"/>
                <w:szCs w:val="20"/>
                <w:lang w:eastAsia="es-MX"/>
              </w:rPr>
              <w:t>Cláusula,/</w:t>
            </w:r>
            <w:proofErr w:type="gramEnd"/>
            <w:r w:rsidRPr="00B41DD2">
              <w:rPr>
                <w:rFonts w:eastAsia="Times New Roman" w:cs="Arial"/>
                <w:b/>
                <w:bCs/>
                <w:color w:val="FFFFFF" w:themeColor="background1"/>
                <w:sz w:val="20"/>
                <w:szCs w:val="20"/>
                <w:lang w:eastAsia="es-MX"/>
              </w:rPr>
              <w:t>Sección/Numeral</w:t>
            </w:r>
          </w:p>
        </w:tc>
        <w:tc>
          <w:tcPr>
            <w:tcW w:w="723" w:type="pct"/>
            <w:shd w:val="clear" w:color="auto" w:fill="1F497D" w:themeFill="text2"/>
            <w:vAlign w:val="center"/>
          </w:tcPr>
          <w:p w14:paraId="32AC739A" w14:textId="77777777" w:rsidR="008E3369" w:rsidRPr="00B41DD2" w:rsidRDefault="008E3369" w:rsidP="00D66FC4">
            <w:pPr>
              <w:spacing w:after="0" w:line="240" w:lineRule="auto"/>
              <w:jc w:val="center"/>
              <w:rPr>
                <w:rFonts w:eastAsia="Times New Roman" w:cs="Arial"/>
                <w:b/>
                <w:bCs/>
                <w:color w:val="FFFFFF" w:themeColor="background1"/>
                <w:sz w:val="20"/>
                <w:szCs w:val="20"/>
                <w:lang w:eastAsia="es-MX"/>
              </w:rPr>
            </w:pPr>
            <w:r w:rsidRPr="00B41DD2">
              <w:rPr>
                <w:rFonts w:eastAsia="Times New Roman" w:cs="Arial"/>
                <w:b/>
                <w:bCs/>
                <w:color w:val="FFFFFF" w:themeColor="background1"/>
                <w:sz w:val="20"/>
                <w:szCs w:val="20"/>
                <w:lang w:eastAsia="es-MX"/>
              </w:rPr>
              <w:t>Tema</w:t>
            </w:r>
          </w:p>
        </w:tc>
        <w:tc>
          <w:tcPr>
            <w:tcW w:w="1641" w:type="pct"/>
            <w:shd w:val="clear" w:color="auto" w:fill="1F497D" w:themeFill="text2"/>
            <w:vAlign w:val="center"/>
          </w:tcPr>
          <w:p w14:paraId="1CDBA128" w14:textId="77777777" w:rsidR="008E3369" w:rsidRPr="00B41DD2" w:rsidRDefault="008E3369" w:rsidP="00D66FC4">
            <w:pPr>
              <w:spacing w:after="0" w:line="240" w:lineRule="auto"/>
              <w:jc w:val="center"/>
              <w:rPr>
                <w:rFonts w:eastAsia="Times New Roman" w:cs="Arial"/>
                <w:b/>
                <w:bCs/>
                <w:color w:val="FFFFFF" w:themeColor="background1"/>
                <w:sz w:val="20"/>
                <w:szCs w:val="20"/>
                <w:lang w:eastAsia="es-MX"/>
              </w:rPr>
            </w:pPr>
            <w:r w:rsidRPr="00B41DD2">
              <w:rPr>
                <w:rFonts w:eastAsia="Times New Roman" w:cs="Arial"/>
                <w:b/>
                <w:bCs/>
                <w:color w:val="FFFFFF" w:themeColor="background1"/>
                <w:sz w:val="20"/>
                <w:szCs w:val="20"/>
                <w:lang w:eastAsia="es-MX"/>
              </w:rPr>
              <w:t>Modificación</w:t>
            </w:r>
            <w:r>
              <w:rPr>
                <w:rFonts w:eastAsia="Times New Roman" w:cs="Arial"/>
                <w:b/>
                <w:bCs/>
                <w:color w:val="FFFFFF" w:themeColor="background1"/>
                <w:sz w:val="20"/>
                <w:szCs w:val="20"/>
                <w:lang w:eastAsia="es-MX"/>
              </w:rPr>
              <w:t>/Adición</w:t>
            </w:r>
          </w:p>
        </w:tc>
        <w:tc>
          <w:tcPr>
            <w:tcW w:w="1718" w:type="pct"/>
            <w:tcBorders>
              <w:bottom w:val="single" w:sz="4" w:space="0" w:color="000000" w:themeColor="text1"/>
            </w:tcBorders>
            <w:shd w:val="clear" w:color="auto" w:fill="1F497D" w:themeFill="text2"/>
            <w:vAlign w:val="center"/>
          </w:tcPr>
          <w:p w14:paraId="30C23693" w14:textId="77777777" w:rsidR="008E3369" w:rsidRPr="00B41DD2" w:rsidRDefault="008E3369" w:rsidP="00196812">
            <w:pPr>
              <w:spacing w:after="0" w:line="240" w:lineRule="auto"/>
              <w:jc w:val="center"/>
              <w:rPr>
                <w:rFonts w:eastAsia="Times New Roman" w:cs="Arial"/>
                <w:color w:val="FFFFFF" w:themeColor="background1"/>
                <w:sz w:val="20"/>
                <w:szCs w:val="20"/>
                <w:highlight w:val="green"/>
                <w:lang w:eastAsia="es-MX"/>
              </w:rPr>
            </w:pPr>
            <w:r w:rsidRPr="00B41DD2">
              <w:rPr>
                <w:rFonts w:eastAsia="Times New Roman" w:cs="Arial"/>
                <w:b/>
                <w:bCs/>
                <w:color w:val="FFFFFF" w:themeColor="background1"/>
                <w:sz w:val="20"/>
                <w:szCs w:val="20"/>
                <w:lang w:eastAsia="es-MX"/>
              </w:rPr>
              <w:t>Justificación a Instituto</w:t>
            </w:r>
          </w:p>
        </w:tc>
      </w:tr>
      <w:tr w:rsidR="001274D9" w:rsidRPr="008E3369" w14:paraId="1A345202" w14:textId="77777777" w:rsidTr="001274D9">
        <w:trPr>
          <w:trHeight w:val="1650"/>
        </w:trPr>
        <w:tc>
          <w:tcPr>
            <w:tcW w:w="260" w:type="pct"/>
            <w:vAlign w:val="center"/>
          </w:tcPr>
          <w:p w14:paraId="3C3C2909" w14:textId="6E7845FD" w:rsidR="001274D9" w:rsidRPr="008E3369" w:rsidRDefault="001274D9" w:rsidP="00D66FC4">
            <w:pPr>
              <w:spacing w:after="0" w:line="240" w:lineRule="auto"/>
              <w:jc w:val="center"/>
              <w:rPr>
                <w:rFonts w:eastAsia="Times New Roman" w:cs="Arial"/>
                <w:color w:val="000000"/>
                <w:lang w:eastAsia="es-MX"/>
              </w:rPr>
            </w:pPr>
            <w:r>
              <w:rPr>
                <w:rFonts w:eastAsia="Times New Roman" w:cs="Arial"/>
                <w:color w:val="000000"/>
                <w:lang w:eastAsia="es-MX"/>
              </w:rPr>
              <w:t>1</w:t>
            </w:r>
          </w:p>
        </w:tc>
        <w:tc>
          <w:tcPr>
            <w:tcW w:w="658" w:type="pct"/>
            <w:vMerge w:val="restart"/>
            <w:vAlign w:val="center"/>
          </w:tcPr>
          <w:p w14:paraId="6AFF1BDA" w14:textId="6C8FF4B6" w:rsidR="001274D9" w:rsidRPr="008E3369" w:rsidRDefault="001274D9" w:rsidP="00CC4C47">
            <w:pPr>
              <w:spacing w:after="0" w:line="240" w:lineRule="auto"/>
              <w:jc w:val="center"/>
              <w:rPr>
                <w:rFonts w:eastAsia="Times New Roman" w:cs="Arial"/>
                <w:lang w:eastAsia="es-MX"/>
              </w:rPr>
            </w:pPr>
            <w:r w:rsidRPr="008E3369">
              <w:rPr>
                <w:rFonts w:eastAsia="Times New Roman" w:cs="Arial"/>
                <w:lang w:eastAsia="es-MX"/>
              </w:rPr>
              <w:t>I. Definiciones</w:t>
            </w:r>
          </w:p>
        </w:tc>
        <w:tc>
          <w:tcPr>
            <w:tcW w:w="723" w:type="pct"/>
            <w:shd w:val="clear" w:color="auto" w:fill="auto"/>
            <w:vAlign w:val="center"/>
          </w:tcPr>
          <w:p w14:paraId="57DC7560" w14:textId="00B3FB49" w:rsidR="001274D9" w:rsidRPr="008E3369" w:rsidRDefault="001274D9" w:rsidP="006769C8">
            <w:pPr>
              <w:spacing w:after="0" w:line="240" w:lineRule="auto"/>
              <w:jc w:val="both"/>
              <w:rPr>
                <w:rFonts w:eastAsia="Times New Roman" w:cs="Arial"/>
                <w:lang w:eastAsia="es-MX"/>
              </w:rPr>
            </w:pPr>
            <w:r>
              <w:rPr>
                <w:rFonts w:eastAsia="Times New Roman" w:cs="Arial"/>
                <w:lang w:eastAsia="es-MX"/>
              </w:rPr>
              <w:t>AEP</w:t>
            </w:r>
          </w:p>
        </w:tc>
        <w:tc>
          <w:tcPr>
            <w:tcW w:w="1641" w:type="pct"/>
            <w:shd w:val="clear" w:color="auto" w:fill="auto"/>
            <w:vAlign w:val="center"/>
          </w:tcPr>
          <w:p w14:paraId="3F8FD564" w14:textId="32024587" w:rsidR="001274D9" w:rsidRPr="008E3369" w:rsidRDefault="001274D9" w:rsidP="001274D9">
            <w:pPr>
              <w:pStyle w:val="aaaIFTnormal"/>
              <w:spacing w:after="0"/>
              <w:rPr>
                <w:rFonts w:asciiTheme="minorHAnsi" w:hAnsiTheme="minorHAnsi" w:cstheme="minorHAnsi"/>
              </w:rPr>
            </w:pPr>
            <w:r w:rsidRPr="001274D9">
              <w:rPr>
                <w:rFonts w:asciiTheme="minorHAnsi" w:eastAsiaTheme="minorHAnsi" w:hAnsiTheme="minorHAnsi" w:cs="Arial"/>
                <w:b/>
                <w:bCs w:val="0"/>
                <w:strike/>
                <w:color w:val="FF0000"/>
              </w:rPr>
              <w:t>AEP: Cualquier conjunto de combinaciones de agentes económicos que integran al AEP, esto es, las Empresas minoristas Telmex y Telnor, y/o las nuevas empresas mayoristas (EM y DM).</w:t>
            </w:r>
          </w:p>
        </w:tc>
        <w:tc>
          <w:tcPr>
            <w:tcW w:w="1718" w:type="pct"/>
            <w:tcBorders>
              <w:top w:val="single" w:sz="4" w:space="0" w:color="000000" w:themeColor="text1"/>
            </w:tcBorders>
            <w:vAlign w:val="center"/>
          </w:tcPr>
          <w:p w14:paraId="0BFA3E4A" w14:textId="56B28485" w:rsidR="001274D9" w:rsidRPr="008E3369" w:rsidRDefault="001274D9" w:rsidP="001274D9">
            <w:pPr>
              <w:pStyle w:val="pf0"/>
              <w:jc w:val="both"/>
              <w:rPr>
                <w:rFonts w:eastAsia="Times New Roman" w:cs="Arial"/>
                <w:color w:val="000000"/>
                <w:highlight w:val="yellow"/>
              </w:rPr>
            </w:pPr>
            <w:r w:rsidRPr="001274D9">
              <w:rPr>
                <w:rFonts w:asciiTheme="minorHAnsi" w:eastAsia="Times New Roman" w:hAnsiTheme="minorHAnsi" w:cs="Arial"/>
              </w:rPr>
              <w:t>Se propone eliminar esta definición con base a</w:t>
            </w:r>
            <w:r>
              <w:rPr>
                <w:rFonts w:asciiTheme="minorHAnsi" w:eastAsia="Times New Roman" w:hAnsiTheme="minorHAnsi" w:cs="Arial"/>
              </w:rPr>
              <w:t xml:space="preserve"> que l</w:t>
            </w:r>
            <w:r w:rsidRPr="001274D9">
              <w:rPr>
                <w:rFonts w:asciiTheme="minorHAnsi" w:eastAsia="Times New Roman" w:hAnsiTheme="minorHAnsi"/>
              </w:rPr>
              <w:t>as EM no forman parte del AEP, son causahabientes de sus derechos y obligaciones por virtud de la Separación Funcional, que no es lo mismo.</w:t>
            </w:r>
          </w:p>
        </w:tc>
      </w:tr>
      <w:tr w:rsidR="001274D9" w:rsidRPr="008E3369" w14:paraId="37B0D7DC" w14:textId="77777777" w:rsidTr="001274D9">
        <w:trPr>
          <w:trHeight w:val="1650"/>
        </w:trPr>
        <w:tc>
          <w:tcPr>
            <w:tcW w:w="260" w:type="pct"/>
            <w:vAlign w:val="center"/>
          </w:tcPr>
          <w:p w14:paraId="1945B667" w14:textId="0E0A34F1" w:rsidR="001274D9" w:rsidRPr="008E3369" w:rsidRDefault="001274D9" w:rsidP="00D66FC4">
            <w:pPr>
              <w:spacing w:after="0" w:line="240" w:lineRule="auto"/>
              <w:jc w:val="center"/>
              <w:rPr>
                <w:rFonts w:eastAsia="Times New Roman" w:cs="Arial"/>
                <w:color w:val="000000"/>
                <w:lang w:eastAsia="es-MX"/>
              </w:rPr>
            </w:pPr>
            <w:r>
              <w:rPr>
                <w:rFonts w:eastAsia="Times New Roman" w:cs="Arial"/>
                <w:color w:val="000000"/>
                <w:lang w:eastAsia="es-MX"/>
              </w:rPr>
              <w:t>2</w:t>
            </w:r>
          </w:p>
        </w:tc>
        <w:tc>
          <w:tcPr>
            <w:tcW w:w="658" w:type="pct"/>
            <w:vMerge/>
            <w:vAlign w:val="center"/>
          </w:tcPr>
          <w:p w14:paraId="22735B1F" w14:textId="50B9376B" w:rsidR="001274D9" w:rsidRPr="008E3369" w:rsidRDefault="001274D9" w:rsidP="00CC4C47">
            <w:pPr>
              <w:spacing w:after="0" w:line="240" w:lineRule="auto"/>
              <w:jc w:val="center"/>
              <w:rPr>
                <w:rFonts w:eastAsia="Times New Roman" w:cs="Arial"/>
                <w:lang w:eastAsia="es-MX"/>
              </w:rPr>
            </w:pPr>
          </w:p>
        </w:tc>
        <w:tc>
          <w:tcPr>
            <w:tcW w:w="723" w:type="pct"/>
            <w:shd w:val="clear" w:color="auto" w:fill="auto"/>
            <w:vAlign w:val="center"/>
          </w:tcPr>
          <w:p w14:paraId="3E7B759A" w14:textId="77777777" w:rsidR="001274D9" w:rsidRPr="008E3369" w:rsidRDefault="001274D9" w:rsidP="006769C8">
            <w:pPr>
              <w:spacing w:after="0" w:line="240" w:lineRule="auto"/>
              <w:jc w:val="both"/>
              <w:rPr>
                <w:rFonts w:eastAsia="Times New Roman" w:cs="Arial"/>
                <w:lang w:eastAsia="es-MX"/>
              </w:rPr>
            </w:pPr>
            <w:r w:rsidRPr="008E3369">
              <w:rPr>
                <w:rFonts w:eastAsia="Times New Roman" w:cs="Arial"/>
                <w:lang w:eastAsia="es-MX"/>
              </w:rPr>
              <w:t xml:space="preserve">Análisis Estructural. </w:t>
            </w:r>
          </w:p>
          <w:p w14:paraId="215B5769" w14:textId="77777777" w:rsidR="001274D9" w:rsidRPr="008E3369" w:rsidRDefault="001274D9" w:rsidP="006769C8">
            <w:pPr>
              <w:spacing w:after="0" w:line="240" w:lineRule="auto"/>
              <w:jc w:val="both"/>
              <w:rPr>
                <w:rFonts w:eastAsia="Times New Roman" w:cs="Arial"/>
                <w:lang w:eastAsia="es-MX"/>
              </w:rPr>
            </w:pPr>
            <w:r w:rsidRPr="008E3369">
              <w:rPr>
                <w:rFonts w:eastAsia="Times New Roman" w:cs="Arial"/>
                <w:lang w:eastAsia="es-MX"/>
              </w:rPr>
              <w:t>Pág. 4</w:t>
            </w:r>
          </w:p>
        </w:tc>
        <w:tc>
          <w:tcPr>
            <w:tcW w:w="1641" w:type="pct"/>
            <w:shd w:val="clear" w:color="auto" w:fill="auto"/>
            <w:vAlign w:val="center"/>
          </w:tcPr>
          <w:p w14:paraId="222CAE44" w14:textId="77777777" w:rsidR="001274D9" w:rsidRPr="008E3369" w:rsidRDefault="001274D9" w:rsidP="00C35B82">
            <w:pPr>
              <w:spacing w:after="0" w:line="240" w:lineRule="auto"/>
              <w:jc w:val="both"/>
              <w:rPr>
                <w:rFonts w:cs="Arial"/>
                <w:color w:val="548DD4" w:themeColor="text2" w:themeTint="99"/>
              </w:rPr>
            </w:pPr>
            <w:r w:rsidRPr="008E3369">
              <w:rPr>
                <w:rFonts w:cs="Arial"/>
                <w:b/>
                <w:color w:val="548DD4" w:themeColor="text2" w:themeTint="99"/>
              </w:rPr>
              <w:t>Análisis Estructural</w:t>
            </w:r>
            <w:r w:rsidRPr="008E3369">
              <w:rPr>
                <w:rFonts w:cs="Arial"/>
                <w:color w:val="548DD4" w:themeColor="text2" w:themeTint="99"/>
              </w:rPr>
              <w:t>: Análisis que se realiza a petición del CS / AS para revisar la capacidad de carga de la Torre.</w:t>
            </w:r>
          </w:p>
          <w:p w14:paraId="272624AC" w14:textId="77777777" w:rsidR="001274D9" w:rsidRPr="008E3369" w:rsidRDefault="001274D9" w:rsidP="00A66D09">
            <w:pPr>
              <w:spacing w:after="0" w:line="240" w:lineRule="auto"/>
              <w:jc w:val="both"/>
              <w:rPr>
                <w:rFonts w:eastAsia="Times New Roman" w:cs="Arial"/>
                <w:highlight w:val="yellow"/>
                <w:lang w:eastAsia="es-MX"/>
              </w:rPr>
            </w:pPr>
          </w:p>
        </w:tc>
        <w:tc>
          <w:tcPr>
            <w:tcW w:w="1718" w:type="pct"/>
            <w:tcBorders>
              <w:top w:val="single" w:sz="4" w:space="0" w:color="000000" w:themeColor="text1"/>
            </w:tcBorders>
          </w:tcPr>
          <w:p w14:paraId="7D599646" w14:textId="77777777" w:rsidR="001274D9" w:rsidRPr="008E3369" w:rsidRDefault="001274D9" w:rsidP="00FB14B7">
            <w:pPr>
              <w:spacing w:after="0" w:line="240" w:lineRule="auto"/>
              <w:ind w:right="1917"/>
              <w:jc w:val="center"/>
              <w:rPr>
                <w:rFonts w:eastAsia="Times New Roman" w:cs="Arial"/>
                <w:color w:val="000000"/>
                <w:highlight w:val="yellow"/>
                <w:lang w:eastAsia="es-MX"/>
              </w:rPr>
            </w:pPr>
          </w:p>
          <w:p w14:paraId="70E6F9AE" w14:textId="7CD4C5CC" w:rsidR="001274D9" w:rsidRPr="008E3369" w:rsidRDefault="001274D9" w:rsidP="00FB14B7">
            <w:pPr>
              <w:spacing w:after="0" w:line="240" w:lineRule="auto"/>
              <w:jc w:val="both"/>
              <w:rPr>
                <w:rFonts w:eastAsia="Times New Roman" w:cs="Arial"/>
                <w:color w:val="000000"/>
                <w:highlight w:val="yellow"/>
                <w:lang w:eastAsia="es-MX"/>
              </w:rPr>
            </w:pPr>
            <w:r w:rsidRPr="008E3369">
              <w:rPr>
                <w:rFonts w:eastAsia="Times New Roman" w:cs="Arial"/>
                <w:lang w:eastAsia="es-MX"/>
              </w:rPr>
              <w:t>Se solicita incorporar en el apartado de definiciones el concepto de “Análisis Estructural”, ya que es indispensable contar con los cálculos y análisis pertinentes para asegurar que la instalación cumpla con la normativa técnica sobre las cargas gravitacionales sobre la estructura de la torre, fuerzas del viento y de sismos.</w:t>
            </w:r>
          </w:p>
          <w:p w14:paraId="68058AF5" w14:textId="77777777" w:rsidR="001274D9" w:rsidRPr="008E3369" w:rsidRDefault="001274D9" w:rsidP="00FB14B7">
            <w:pPr>
              <w:spacing w:after="0" w:line="240" w:lineRule="auto"/>
              <w:ind w:right="1917"/>
              <w:jc w:val="center"/>
              <w:rPr>
                <w:rFonts w:eastAsia="Times New Roman" w:cs="Arial"/>
                <w:color w:val="FF0000"/>
                <w:highlight w:val="yellow"/>
                <w:lang w:eastAsia="es-MX"/>
              </w:rPr>
            </w:pPr>
          </w:p>
        </w:tc>
      </w:tr>
      <w:tr w:rsidR="001274D9" w:rsidRPr="008E3369" w14:paraId="4C5CBA99" w14:textId="77777777" w:rsidTr="001274D9">
        <w:trPr>
          <w:trHeight w:val="1650"/>
        </w:trPr>
        <w:tc>
          <w:tcPr>
            <w:tcW w:w="260" w:type="pct"/>
            <w:vAlign w:val="center"/>
          </w:tcPr>
          <w:p w14:paraId="481E9079" w14:textId="17C321DC" w:rsidR="001274D9" w:rsidRPr="008E3369" w:rsidRDefault="001274D9" w:rsidP="00D66FC4">
            <w:pPr>
              <w:spacing w:after="0" w:line="240" w:lineRule="auto"/>
              <w:jc w:val="center"/>
              <w:rPr>
                <w:rFonts w:eastAsia="Times New Roman" w:cs="Arial"/>
                <w:color w:val="000000"/>
                <w:lang w:eastAsia="es-MX"/>
              </w:rPr>
            </w:pPr>
            <w:r>
              <w:rPr>
                <w:rFonts w:eastAsia="Times New Roman" w:cs="Arial"/>
                <w:color w:val="000000"/>
                <w:lang w:eastAsia="es-MX"/>
              </w:rPr>
              <w:t>3</w:t>
            </w:r>
          </w:p>
        </w:tc>
        <w:tc>
          <w:tcPr>
            <w:tcW w:w="658" w:type="pct"/>
            <w:vMerge/>
            <w:vAlign w:val="center"/>
          </w:tcPr>
          <w:p w14:paraId="57995157" w14:textId="77777777" w:rsidR="001274D9" w:rsidRPr="008E3369" w:rsidRDefault="001274D9" w:rsidP="00CC4C47">
            <w:pPr>
              <w:spacing w:after="0" w:line="240" w:lineRule="auto"/>
              <w:jc w:val="center"/>
              <w:rPr>
                <w:rFonts w:eastAsia="Times New Roman" w:cs="Arial"/>
                <w:lang w:eastAsia="es-MX"/>
              </w:rPr>
            </w:pPr>
          </w:p>
        </w:tc>
        <w:tc>
          <w:tcPr>
            <w:tcW w:w="723" w:type="pct"/>
            <w:shd w:val="clear" w:color="auto" w:fill="auto"/>
            <w:vAlign w:val="center"/>
          </w:tcPr>
          <w:p w14:paraId="2FD25936" w14:textId="77777777" w:rsidR="001274D9" w:rsidRPr="008E3369" w:rsidRDefault="001274D9" w:rsidP="0094737E">
            <w:pPr>
              <w:spacing w:after="0" w:line="240" w:lineRule="auto"/>
              <w:jc w:val="both"/>
              <w:rPr>
                <w:rFonts w:eastAsia="Times New Roman" w:cs="Arial"/>
                <w:lang w:eastAsia="es-MX"/>
              </w:rPr>
            </w:pPr>
            <w:r w:rsidRPr="008E3369">
              <w:rPr>
                <w:rFonts w:eastAsia="Times New Roman" w:cs="Arial"/>
                <w:lang w:eastAsia="es-MX"/>
              </w:rPr>
              <w:t>Infraestructura Pasiva a cargo de la DM. Pág. 5</w:t>
            </w:r>
          </w:p>
        </w:tc>
        <w:tc>
          <w:tcPr>
            <w:tcW w:w="1641" w:type="pct"/>
            <w:shd w:val="clear" w:color="auto" w:fill="auto"/>
            <w:vAlign w:val="center"/>
          </w:tcPr>
          <w:p w14:paraId="33B547F5" w14:textId="108E8788" w:rsidR="001274D9" w:rsidRPr="008E3369" w:rsidRDefault="001274D9" w:rsidP="00BD0211">
            <w:pPr>
              <w:spacing w:after="0" w:line="240" w:lineRule="auto"/>
              <w:jc w:val="both"/>
              <w:rPr>
                <w:rFonts w:eastAsia="Times New Roman" w:cs="Arial"/>
                <w:lang w:eastAsia="es-MX"/>
              </w:rPr>
            </w:pPr>
            <w:r w:rsidRPr="008E3369">
              <w:rPr>
                <w:rFonts w:eastAsia="Times New Roman" w:cs="Arial"/>
                <w:b/>
                <w:lang w:eastAsia="es-MX"/>
              </w:rPr>
              <w:t xml:space="preserve">Infraestructura Pasiva </w:t>
            </w:r>
            <w:r w:rsidRPr="008E3369">
              <w:rPr>
                <w:rFonts w:eastAsia="Times New Roman" w:cs="Arial"/>
                <w:b/>
                <w:color w:val="548DD4" w:themeColor="text2" w:themeTint="99"/>
                <w:lang w:eastAsia="es-MX"/>
              </w:rPr>
              <w:t>de la DM</w:t>
            </w:r>
            <w:r w:rsidRPr="008E3369">
              <w:rPr>
                <w:rFonts w:eastAsia="Times New Roman" w:cs="Arial"/>
                <w:lang w:eastAsia="es-MX"/>
              </w:rPr>
              <w:t xml:space="preserve">: Elementos accesorios </w:t>
            </w:r>
            <w:r w:rsidRPr="008E3369">
              <w:rPr>
                <w:rFonts w:eastAsia="Times New Roman" w:cs="Arial"/>
                <w:b/>
                <w:color w:val="548DD4" w:themeColor="text2" w:themeTint="99"/>
                <w:lang w:eastAsia="es-MX"/>
              </w:rPr>
              <w:t xml:space="preserve">existentes </w:t>
            </w:r>
            <w:r w:rsidRPr="008E3369">
              <w:rPr>
                <w:rFonts w:eastAsia="Times New Roman" w:cs="Arial"/>
                <w:lang w:eastAsia="es-MX"/>
              </w:rPr>
              <w:t xml:space="preserve">que </w:t>
            </w:r>
            <w:r w:rsidRPr="008E3369">
              <w:rPr>
                <w:rFonts w:eastAsia="Times New Roman" w:cs="Arial"/>
                <w:b/>
                <w:color w:val="548DD4" w:themeColor="text2" w:themeTint="99"/>
                <w:lang w:eastAsia="es-MX"/>
              </w:rPr>
              <w:t xml:space="preserve">coadyuvan con la operación de los elementos </w:t>
            </w:r>
            <w:r w:rsidRPr="008E3369">
              <w:rPr>
                <w:rFonts w:cs="Arial"/>
                <w:b/>
                <w:strike/>
                <w:color w:val="FF0000"/>
              </w:rPr>
              <w:t xml:space="preserve">proporcionan soporte a </w:t>
            </w:r>
            <w:r w:rsidRPr="008E3369">
              <w:rPr>
                <w:rFonts w:eastAsia="Times New Roman" w:cs="Arial"/>
                <w:lang w:eastAsia="es-MX"/>
              </w:rPr>
              <w:t xml:space="preserve">de </w:t>
            </w:r>
            <w:r w:rsidRPr="008E3369">
              <w:rPr>
                <w:rFonts w:cs="Arial"/>
                <w:b/>
                <w:strike/>
                <w:color w:val="FF0000"/>
              </w:rPr>
              <w:t>la</w:t>
            </w:r>
            <w:r w:rsidRPr="008E3369">
              <w:rPr>
                <w:rFonts w:eastAsia="Times New Roman" w:cs="Arial"/>
                <w:lang w:eastAsia="es-MX"/>
              </w:rPr>
              <w:t xml:space="preserve"> infraestructura activa </w:t>
            </w:r>
            <w:r w:rsidRPr="008E3369">
              <w:rPr>
                <w:rFonts w:eastAsia="Times New Roman" w:cs="Arial"/>
                <w:b/>
                <w:color w:val="548DD4" w:themeColor="text2" w:themeTint="99"/>
                <w:lang w:eastAsia="es-MX"/>
              </w:rPr>
              <w:t>del CS o AS,</w:t>
            </w:r>
            <w:r w:rsidRPr="008E3369">
              <w:rPr>
                <w:rFonts w:eastAsia="Times New Roman" w:cs="Arial"/>
                <w:lang w:eastAsia="es-MX"/>
              </w:rPr>
              <w:t xml:space="preserve"> entre otros, </w:t>
            </w:r>
            <w:r w:rsidRPr="008E3369">
              <w:rPr>
                <w:rFonts w:cs="Arial"/>
                <w:b/>
                <w:strike/>
                <w:color w:val="FF0000"/>
              </w:rPr>
              <w:t>bastidores, cableado subterráneo y aéreo, canalizaciones, construcciones, ductos, obras, postes</w:t>
            </w:r>
            <w:r w:rsidRPr="008E3369">
              <w:rPr>
                <w:rFonts w:cs="Arial"/>
                <w:b/>
                <w:color w:val="FF0000"/>
              </w:rPr>
              <w:t xml:space="preserve"> </w:t>
            </w:r>
            <w:r w:rsidRPr="008E3369">
              <w:rPr>
                <w:rFonts w:eastAsia="Times New Roman" w:cs="Arial"/>
                <w:lang w:eastAsia="es-MX"/>
              </w:rPr>
              <w:t xml:space="preserve">sistemas de suministro y respaldo de energía eléctrica, sistemas de climatización, </w:t>
            </w:r>
            <w:r w:rsidRPr="008E3369">
              <w:rPr>
                <w:rFonts w:eastAsia="Times New Roman" w:cs="Arial"/>
                <w:b/>
                <w:color w:val="548DD4" w:themeColor="text2" w:themeTint="99"/>
                <w:lang w:eastAsia="es-MX"/>
              </w:rPr>
              <w:t>salas en</w:t>
            </w:r>
            <w:r w:rsidRPr="008E3369">
              <w:rPr>
                <w:rFonts w:eastAsia="Times New Roman" w:cs="Arial"/>
                <w:lang w:eastAsia="es-MX"/>
              </w:rPr>
              <w:t xml:space="preserve"> sitios, torres </w:t>
            </w:r>
            <w:r w:rsidRPr="008E3369">
              <w:rPr>
                <w:rFonts w:eastAsia="Times New Roman" w:cs="Arial"/>
                <w:b/>
                <w:color w:val="548DD4" w:themeColor="text2" w:themeTint="99"/>
                <w:lang w:eastAsia="es-MX"/>
              </w:rPr>
              <w:t xml:space="preserve">escalerillas </w:t>
            </w:r>
            <w:r w:rsidRPr="008E3369">
              <w:rPr>
                <w:rFonts w:eastAsia="Times New Roman" w:cs="Arial"/>
                <w:lang w:eastAsia="es-MX"/>
              </w:rPr>
              <w:t xml:space="preserve">y demás aditamentos, </w:t>
            </w:r>
            <w:r w:rsidRPr="008E3369">
              <w:rPr>
                <w:rFonts w:cs="Arial"/>
                <w:b/>
                <w:strike/>
                <w:color w:val="FF0000"/>
              </w:rPr>
              <w:t>incluyendo derechos de vía</w:t>
            </w:r>
            <w:r w:rsidRPr="008E3369">
              <w:rPr>
                <w:rFonts w:eastAsia="Times New Roman" w:cs="Arial"/>
                <w:lang w:eastAsia="es-MX"/>
              </w:rPr>
              <w:t>, que sean necesarios para la instalación y operación de las redes, así como para la prestación de servicios de telecomunicaciones y radiodifusión.</w:t>
            </w:r>
          </w:p>
        </w:tc>
        <w:tc>
          <w:tcPr>
            <w:tcW w:w="1718" w:type="pct"/>
            <w:tcBorders>
              <w:top w:val="single" w:sz="4" w:space="0" w:color="000000" w:themeColor="text1"/>
            </w:tcBorders>
            <w:vAlign w:val="center"/>
          </w:tcPr>
          <w:p w14:paraId="4C964597" w14:textId="77777777" w:rsidR="001274D9" w:rsidRPr="008E3369" w:rsidRDefault="001274D9" w:rsidP="00804584">
            <w:pPr>
              <w:jc w:val="both"/>
            </w:pPr>
            <w:r w:rsidRPr="008E3369">
              <w:rPr>
                <w:bCs/>
              </w:rPr>
              <w:t>Considerando que la definición de la Infraestructura Pasiva se encuentra en el art. 3 numeral XXVIII de la LFTR, se solicita solo incluir en la ORCI de la DM los elementos a su cargo para especificar su alcance en la oferta, por lo anterior se propone eliminar aquellos</w:t>
            </w:r>
            <w:r w:rsidRPr="008E3369">
              <w:t xml:space="preserve"> elementos que corresponden a la EM. </w:t>
            </w:r>
          </w:p>
          <w:p w14:paraId="5F1958C8" w14:textId="77777777" w:rsidR="001274D9" w:rsidRDefault="001274D9" w:rsidP="006C1E4C">
            <w:pPr>
              <w:jc w:val="both"/>
            </w:pPr>
            <w:r>
              <w:t>Se adiciona el término</w:t>
            </w:r>
            <w:r w:rsidRPr="008E3369">
              <w:t xml:space="preserve"> salas </w:t>
            </w:r>
            <w:r>
              <w:t>para los</w:t>
            </w:r>
            <w:r w:rsidRPr="008E3369">
              <w:t xml:space="preserve"> sitio</w:t>
            </w:r>
            <w:r>
              <w:t>s,</w:t>
            </w:r>
            <w:r w:rsidRPr="008E3369">
              <w:t xml:space="preserve"> </w:t>
            </w:r>
            <w:r>
              <w:t>a fin de abarcar las salas en los sitios de Telmex</w:t>
            </w:r>
            <w:r w:rsidRPr="008E3369">
              <w:t>.</w:t>
            </w:r>
          </w:p>
          <w:p w14:paraId="426FE916" w14:textId="6A6FD2BC" w:rsidR="001274D9" w:rsidRDefault="001274D9" w:rsidP="006C1E4C">
            <w:pPr>
              <w:jc w:val="both"/>
            </w:pPr>
            <w:r w:rsidRPr="008E3369">
              <w:t>También se propone adicionar escalerillas que son elementos para la conexión de los sistemas radiantes</w:t>
            </w:r>
            <w:r>
              <w:t>.</w:t>
            </w:r>
          </w:p>
          <w:p w14:paraId="482847F1" w14:textId="1A1BB00D" w:rsidR="001274D9" w:rsidRPr="008E3369" w:rsidRDefault="001274D9" w:rsidP="006C1E4C">
            <w:pPr>
              <w:jc w:val="both"/>
            </w:pPr>
          </w:p>
        </w:tc>
      </w:tr>
      <w:tr w:rsidR="001274D9" w:rsidRPr="008E3369" w14:paraId="5FF8DE1F" w14:textId="77777777" w:rsidTr="001274D9">
        <w:trPr>
          <w:trHeight w:val="1650"/>
        </w:trPr>
        <w:tc>
          <w:tcPr>
            <w:tcW w:w="260" w:type="pct"/>
            <w:tcBorders>
              <w:top w:val="single" w:sz="4" w:space="0" w:color="auto"/>
              <w:left w:val="single" w:sz="4" w:space="0" w:color="auto"/>
              <w:bottom w:val="single" w:sz="4" w:space="0" w:color="auto"/>
            </w:tcBorders>
            <w:vAlign w:val="center"/>
          </w:tcPr>
          <w:p w14:paraId="1C6F5574" w14:textId="1C1F5AC4" w:rsidR="001274D9" w:rsidRPr="008E3369" w:rsidRDefault="001274D9" w:rsidP="00D66FC4">
            <w:pPr>
              <w:spacing w:after="0" w:line="240" w:lineRule="auto"/>
              <w:jc w:val="center"/>
              <w:rPr>
                <w:rFonts w:eastAsia="Times New Roman" w:cs="Arial"/>
                <w:color w:val="000000"/>
                <w:lang w:eastAsia="es-MX"/>
              </w:rPr>
            </w:pPr>
            <w:r>
              <w:rPr>
                <w:rFonts w:eastAsia="Times New Roman" w:cs="Arial"/>
                <w:color w:val="000000"/>
                <w:lang w:eastAsia="es-MX"/>
              </w:rPr>
              <w:t>4</w:t>
            </w:r>
          </w:p>
        </w:tc>
        <w:tc>
          <w:tcPr>
            <w:tcW w:w="658" w:type="pct"/>
            <w:vMerge/>
            <w:vAlign w:val="center"/>
          </w:tcPr>
          <w:p w14:paraId="762DFCC2" w14:textId="77777777" w:rsidR="001274D9" w:rsidRPr="008E3369" w:rsidRDefault="001274D9" w:rsidP="00FA3CB3">
            <w:pPr>
              <w:spacing w:after="0" w:line="240" w:lineRule="auto"/>
              <w:jc w:val="center"/>
              <w:rPr>
                <w:rFonts w:eastAsia="Times New Roman" w:cs="Arial"/>
                <w:lang w:eastAsia="es-MX"/>
              </w:rPr>
            </w:pPr>
          </w:p>
        </w:tc>
        <w:tc>
          <w:tcPr>
            <w:tcW w:w="723" w:type="pct"/>
            <w:tcBorders>
              <w:top w:val="single" w:sz="4" w:space="0" w:color="auto"/>
              <w:bottom w:val="single" w:sz="4" w:space="0" w:color="auto"/>
              <w:right w:val="single" w:sz="4" w:space="0" w:color="auto"/>
            </w:tcBorders>
            <w:shd w:val="clear" w:color="auto" w:fill="auto"/>
            <w:vAlign w:val="center"/>
          </w:tcPr>
          <w:p w14:paraId="5D469277" w14:textId="77777777" w:rsidR="001274D9" w:rsidRPr="008E3369" w:rsidRDefault="001274D9" w:rsidP="00D66FC4">
            <w:pPr>
              <w:spacing w:after="0" w:line="240" w:lineRule="auto"/>
              <w:jc w:val="both"/>
            </w:pPr>
            <w:r w:rsidRPr="008E3369">
              <w:t xml:space="preserve">Espacio en Piso </w:t>
            </w:r>
            <w:r w:rsidRPr="008E3369">
              <w:rPr>
                <w:rFonts w:eastAsia="Times New Roman" w:cs="Arial"/>
                <w:lang w:eastAsia="es-MX"/>
              </w:rPr>
              <w:t>Pág. 5</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tcPr>
          <w:p w14:paraId="486A2D50" w14:textId="3DF7AE75" w:rsidR="001274D9" w:rsidRPr="008E3369" w:rsidRDefault="001274D9" w:rsidP="00862E48">
            <w:pPr>
              <w:pStyle w:val="aaaIFTnormal"/>
              <w:spacing w:after="0"/>
              <w:rPr>
                <w:rFonts w:asciiTheme="minorHAnsi" w:hAnsiTheme="minorHAnsi" w:cstheme="minorHAnsi"/>
              </w:rPr>
            </w:pPr>
            <w:r w:rsidRPr="008E3369">
              <w:rPr>
                <w:rFonts w:asciiTheme="minorHAnsi" w:hAnsiTheme="minorHAnsi" w:cstheme="minorHAnsi"/>
                <w:b/>
              </w:rPr>
              <w:t>Espacio en Piso:</w:t>
            </w:r>
            <w:r w:rsidRPr="008E3369">
              <w:rPr>
                <w:rFonts w:asciiTheme="minorHAnsi" w:hAnsiTheme="minorHAnsi" w:cstheme="minorHAnsi"/>
                <w:b/>
                <w:i/>
              </w:rPr>
              <w:t xml:space="preserve"> </w:t>
            </w:r>
            <w:r w:rsidRPr="008E3369">
              <w:rPr>
                <w:rFonts w:asciiTheme="minorHAnsi" w:hAnsiTheme="minorHAnsi" w:cstheme="minorHAnsi"/>
              </w:rPr>
              <w:t xml:space="preserve">Espacios distintos a las Torres, tales como azoteas y piso para la instalación de equipos transceptores, así como sus auxiliares (tales como sistema de fuerza y/o bancos de batería de respaldo, </w:t>
            </w:r>
            <w:r w:rsidRPr="008E3369">
              <w:rPr>
                <w:rFonts w:asciiTheme="minorHAnsi" w:hAnsiTheme="minorHAnsi" w:cstheme="minorHAnsi"/>
              </w:rPr>
              <w:lastRenderedPageBreak/>
              <w:t xml:space="preserve">sistemas de </w:t>
            </w:r>
            <w:r w:rsidRPr="008E3369">
              <w:rPr>
                <w:rFonts w:asciiTheme="minorHAnsi" w:eastAsiaTheme="minorHAnsi" w:hAnsiTheme="minorHAnsi" w:cs="Arial"/>
                <w:b/>
                <w:bCs w:val="0"/>
                <w:strike/>
                <w:color w:val="FF0000"/>
              </w:rPr>
              <w:t>aire acondicionado</w:t>
            </w:r>
            <w:r w:rsidRPr="008E3369">
              <w:rPr>
                <w:rFonts w:asciiTheme="minorHAnsi" w:hAnsiTheme="minorHAnsi" w:cstheme="minorHAnsi"/>
                <w:color w:val="FF0000"/>
              </w:rPr>
              <w:t xml:space="preserve">, </w:t>
            </w:r>
            <w:r w:rsidRPr="008E3369">
              <w:rPr>
                <w:rFonts w:asciiTheme="minorHAnsi" w:eastAsia="Times New Roman" w:hAnsiTheme="minorHAnsi" w:cs="Arial"/>
                <w:b/>
                <w:bCs w:val="0"/>
                <w:color w:val="548DD4" w:themeColor="text2" w:themeTint="99"/>
                <w:lang w:eastAsia="es-MX"/>
              </w:rPr>
              <w:t>climatización</w:t>
            </w:r>
            <w:r w:rsidRPr="008E3369">
              <w:rPr>
                <w:rFonts w:asciiTheme="minorHAnsi" w:hAnsiTheme="minorHAnsi" w:cstheme="minorHAnsi"/>
              </w:rPr>
              <w:t xml:space="preserve"> Distribuidor General, </w:t>
            </w:r>
            <w:proofErr w:type="spellStart"/>
            <w:r w:rsidRPr="008E3369">
              <w:rPr>
                <w:rFonts w:asciiTheme="minorHAnsi" w:hAnsiTheme="minorHAnsi" w:cstheme="minorHAnsi"/>
              </w:rPr>
              <w:t>DFO’s</w:t>
            </w:r>
            <w:proofErr w:type="spellEnd"/>
            <w:r w:rsidRPr="008E3369">
              <w:rPr>
                <w:rFonts w:asciiTheme="minorHAnsi" w:hAnsiTheme="minorHAnsi" w:cstheme="minorHAnsi"/>
              </w:rPr>
              <w:t xml:space="preserve"> alarmas y demás elementos activos). Incluye los espacios para gabinetes, para maniobras y pasos de personas.</w:t>
            </w:r>
          </w:p>
        </w:tc>
        <w:tc>
          <w:tcPr>
            <w:tcW w:w="1718" w:type="pct"/>
            <w:tcBorders>
              <w:top w:val="single" w:sz="4" w:space="0" w:color="auto"/>
              <w:left w:val="single" w:sz="4" w:space="0" w:color="auto"/>
              <w:bottom w:val="single" w:sz="4" w:space="0" w:color="auto"/>
              <w:right w:val="single" w:sz="4" w:space="0" w:color="auto"/>
            </w:tcBorders>
            <w:vAlign w:val="center"/>
          </w:tcPr>
          <w:p w14:paraId="75307B58" w14:textId="0043BA88" w:rsidR="001274D9" w:rsidRPr="008E3369" w:rsidRDefault="001274D9" w:rsidP="00B10F83">
            <w:pPr>
              <w:spacing w:after="0" w:line="240" w:lineRule="auto"/>
              <w:ind w:right="-48"/>
              <w:jc w:val="both"/>
              <w:rPr>
                <w:rFonts w:eastAsia="Times New Roman" w:cs="Arial"/>
                <w:color w:val="000000"/>
                <w:lang w:eastAsia="es-MX"/>
              </w:rPr>
            </w:pPr>
            <w:r w:rsidRPr="008E3369">
              <w:rPr>
                <w:rFonts w:eastAsia="Times New Roman" w:cs="Arial"/>
                <w:color w:val="000000"/>
                <w:lang w:eastAsia="es-MX"/>
              </w:rPr>
              <w:lastRenderedPageBreak/>
              <w:t xml:space="preserve">Se propone incorporar el término sistemas de climatización para homologar el término de manera general en toda la Oferta de Compartición de Infraestructura Pasiva y no limitarlo a solo aire acondicionado y </w:t>
            </w:r>
            <w:r w:rsidRPr="008E3369">
              <w:rPr>
                <w:rFonts w:eastAsia="Times New Roman" w:cs="Arial"/>
                <w:color w:val="000000"/>
                <w:lang w:eastAsia="es-MX"/>
              </w:rPr>
              <w:lastRenderedPageBreak/>
              <w:t>adicionalmente estaría acorde con la definición de la LFTR.</w:t>
            </w:r>
          </w:p>
        </w:tc>
      </w:tr>
      <w:tr w:rsidR="001274D9" w:rsidRPr="008E3369" w14:paraId="13ADE295" w14:textId="30680DD6" w:rsidTr="001274D9">
        <w:trPr>
          <w:trHeight w:val="1650"/>
        </w:trPr>
        <w:tc>
          <w:tcPr>
            <w:tcW w:w="260" w:type="pct"/>
            <w:tcBorders>
              <w:top w:val="single" w:sz="4" w:space="0" w:color="auto"/>
              <w:left w:val="single" w:sz="4" w:space="0" w:color="auto"/>
              <w:bottom w:val="single" w:sz="4" w:space="0" w:color="auto"/>
            </w:tcBorders>
            <w:vAlign w:val="center"/>
          </w:tcPr>
          <w:p w14:paraId="2D01DD69" w14:textId="79E9E32C" w:rsidR="001274D9" w:rsidRPr="008E3369" w:rsidRDefault="001274D9" w:rsidP="00BA709C">
            <w:pPr>
              <w:spacing w:after="0" w:line="240" w:lineRule="auto"/>
              <w:jc w:val="center"/>
              <w:rPr>
                <w:rFonts w:eastAsia="Times New Roman" w:cs="Arial"/>
                <w:color w:val="000000"/>
                <w:lang w:eastAsia="es-MX"/>
              </w:rPr>
            </w:pPr>
            <w:r>
              <w:rPr>
                <w:rFonts w:eastAsia="Times New Roman" w:cs="Arial"/>
                <w:color w:val="000000"/>
                <w:lang w:eastAsia="es-MX"/>
              </w:rPr>
              <w:lastRenderedPageBreak/>
              <w:t>5</w:t>
            </w:r>
          </w:p>
        </w:tc>
        <w:tc>
          <w:tcPr>
            <w:tcW w:w="658" w:type="pct"/>
            <w:vMerge/>
            <w:tcBorders>
              <w:bottom w:val="single" w:sz="4" w:space="0" w:color="auto"/>
            </w:tcBorders>
            <w:vAlign w:val="center"/>
          </w:tcPr>
          <w:p w14:paraId="3B97D6E4" w14:textId="77777777" w:rsidR="001274D9" w:rsidRPr="008E3369" w:rsidRDefault="001274D9" w:rsidP="00BA709C">
            <w:pPr>
              <w:spacing w:after="0" w:line="240" w:lineRule="auto"/>
              <w:jc w:val="center"/>
              <w:rPr>
                <w:rFonts w:eastAsia="Times New Roman" w:cs="Arial"/>
                <w:lang w:eastAsia="es-MX"/>
              </w:rPr>
            </w:pPr>
          </w:p>
        </w:tc>
        <w:tc>
          <w:tcPr>
            <w:tcW w:w="723" w:type="pct"/>
            <w:tcBorders>
              <w:top w:val="single" w:sz="4" w:space="0" w:color="auto"/>
              <w:bottom w:val="single" w:sz="4" w:space="0" w:color="auto"/>
              <w:right w:val="single" w:sz="4" w:space="0" w:color="auto"/>
            </w:tcBorders>
            <w:shd w:val="clear" w:color="auto" w:fill="auto"/>
            <w:vAlign w:val="center"/>
          </w:tcPr>
          <w:p w14:paraId="4B1BC930" w14:textId="2B6B1C42" w:rsidR="001274D9" w:rsidRPr="008E3369" w:rsidRDefault="001274D9" w:rsidP="00BA709C">
            <w:pPr>
              <w:spacing w:after="0" w:line="240" w:lineRule="auto"/>
              <w:jc w:val="both"/>
            </w:pPr>
            <w:r w:rsidRPr="008E3369">
              <w:t xml:space="preserve">Sitios, Predios y Espacios Físicos </w:t>
            </w:r>
            <w:r w:rsidRPr="008E3369">
              <w:rPr>
                <w:rFonts w:eastAsia="Times New Roman" w:cs="Arial"/>
                <w:lang w:eastAsia="es-MX"/>
              </w:rPr>
              <w:t>Pág. 5</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tcPr>
          <w:p w14:paraId="0402008C" w14:textId="6E1AADE8" w:rsidR="001274D9" w:rsidRPr="008E3369" w:rsidRDefault="001274D9" w:rsidP="000C53D8">
            <w:pPr>
              <w:pStyle w:val="aaaIFTnormal"/>
              <w:spacing w:after="0"/>
              <w:rPr>
                <w:rFonts w:asciiTheme="minorHAnsi" w:hAnsiTheme="minorHAnsi" w:cstheme="minorHAnsi"/>
                <w:b/>
              </w:rPr>
            </w:pPr>
            <w:r w:rsidRPr="008E3369">
              <w:rPr>
                <w:rFonts w:asciiTheme="minorHAnsi" w:hAnsiTheme="minorHAnsi" w:cstheme="minorHAnsi"/>
                <w:b/>
              </w:rPr>
              <w:t xml:space="preserve">Sitios, Predios y Espacios Físicos: </w:t>
            </w:r>
            <w:r w:rsidRPr="008E3369">
              <w:rPr>
                <w:rFonts w:asciiTheme="minorHAnsi" w:hAnsiTheme="minorHAnsi" w:cstheme="minorHAnsi"/>
              </w:rPr>
              <w:t xml:space="preserve">Edificaciones, predios, </w:t>
            </w:r>
            <w:r w:rsidRPr="008E3369">
              <w:rPr>
                <w:rFonts w:asciiTheme="minorHAnsi" w:eastAsia="Times New Roman" w:hAnsiTheme="minorHAnsi" w:cs="Arial"/>
                <w:b/>
                <w:bCs w:val="0"/>
                <w:color w:val="548DD4" w:themeColor="text2" w:themeTint="99"/>
                <w:lang w:eastAsia="es-MX"/>
              </w:rPr>
              <w:t>salas en</w:t>
            </w:r>
            <w:r w:rsidRPr="008E3369">
              <w:rPr>
                <w:rFonts w:asciiTheme="minorHAnsi" w:hAnsiTheme="minorHAnsi" w:cstheme="minorHAnsi"/>
              </w:rPr>
              <w:t xml:space="preserve"> </w:t>
            </w:r>
            <w:r w:rsidRPr="008E3369">
              <w:rPr>
                <w:rFonts w:asciiTheme="minorHAnsi" w:eastAsia="Times New Roman" w:hAnsiTheme="minorHAnsi" w:cs="Arial"/>
                <w:b/>
                <w:bCs w:val="0"/>
                <w:color w:val="548DD4" w:themeColor="text2" w:themeTint="99"/>
                <w:lang w:eastAsia="es-MX"/>
              </w:rPr>
              <w:t>sitios</w:t>
            </w:r>
            <w:r w:rsidRPr="008E3369">
              <w:rPr>
                <w:rFonts w:asciiTheme="minorHAnsi" w:hAnsiTheme="minorHAnsi" w:cstheme="minorHAnsi"/>
              </w:rPr>
              <w:t xml:space="preserve"> y terrenos que se podrán compartir para que los concesionaros solicitantes puedan desplegar redes públicas para proporcionar servicios de telecomunicaciones.</w:t>
            </w:r>
          </w:p>
        </w:tc>
        <w:tc>
          <w:tcPr>
            <w:tcW w:w="1718" w:type="pct"/>
            <w:tcBorders>
              <w:top w:val="single" w:sz="4" w:space="0" w:color="auto"/>
              <w:left w:val="single" w:sz="4" w:space="0" w:color="auto"/>
              <w:bottom w:val="single" w:sz="4" w:space="0" w:color="auto"/>
              <w:right w:val="single" w:sz="4" w:space="0" w:color="auto"/>
            </w:tcBorders>
          </w:tcPr>
          <w:p w14:paraId="7CD27049" w14:textId="77777777" w:rsidR="001274D9" w:rsidRDefault="001274D9" w:rsidP="006C1E4C">
            <w:pPr>
              <w:jc w:val="both"/>
            </w:pPr>
            <w:r>
              <w:t>Se adiciona el término</w:t>
            </w:r>
            <w:r w:rsidRPr="008E3369">
              <w:t xml:space="preserve"> salas </w:t>
            </w:r>
            <w:r>
              <w:t>para los</w:t>
            </w:r>
            <w:r w:rsidRPr="008E3369">
              <w:t xml:space="preserve"> sitio</w:t>
            </w:r>
            <w:r>
              <w:t>s,</w:t>
            </w:r>
            <w:r w:rsidRPr="008E3369">
              <w:t xml:space="preserve"> </w:t>
            </w:r>
            <w:r>
              <w:t>a fin de abarcar las salas en los sitios de Telmex</w:t>
            </w:r>
            <w:r w:rsidRPr="008E3369">
              <w:t>.</w:t>
            </w:r>
          </w:p>
          <w:p w14:paraId="5BDBA09F" w14:textId="508E43F8" w:rsidR="001274D9" w:rsidRPr="008E3369" w:rsidRDefault="001274D9" w:rsidP="001654B8">
            <w:pPr>
              <w:spacing w:after="0" w:line="240" w:lineRule="auto"/>
              <w:ind w:right="-48"/>
              <w:jc w:val="both"/>
              <w:rPr>
                <w:rFonts w:eastAsia="Times New Roman" w:cs="Arial"/>
                <w:color w:val="000000"/>
                <w:lang w:eastAsia="es-MX"/>
              </w:rPr>
            </w:pPr>
          </w:p>
        </w:tc>
      </w:tr>
      <w:tr w:rsidR="008E3369" w:rsidRPr="008E3369" w14:paraId="1B5FDA17" w14:textId="77777777" w:rsidTr="001274D9">
        <w:trPr>
          <w:trHeight w:val="1650"/>
        </w:trPr>
        <w:tc>
          <w:tcPr>
            <w:tcW w:w="260" w:type="pct"/>
            <w:tcBorders>
              <w:top w:val="single" w:sz="4" w:space="0" w:color="auto"/>
              <w:left w:val="single" w:sz="4" w:space="0" w:color="auto"/>
              <w:bottom w:val="single" w:sz="4" w:space="0" w:color="auto"/>
            </w:tcBorders>
            <w:vAlign w:val="center"/>
          </w:tcPr>
          <w:p w14:paraId="0AAD597C" w14:textId="1A58C912" w:rsidR="008E3369" w:rsidRPr="008E3369" w:rsidRDefault="001274D9" w:rsidP="00BA709C">
            <w:pPr>
              <w:jc w:val="center"/>
              <w:rPr>
                <w:rFonts w:eastAsia="Times New Roman" w:cs="Arial"/>
                <w:color w:val="000000"/>
                <w:lang w:eastAsia="es-MX"/>
              </w:rPr>
            </w:pPr>
            <w:r>
              <w:rPr>
                <w:rFonts w:eastAsia="Times New Roman" w:cs="Arial"/>
                <w:color w:val="000000"/>
                <w:lang w:eastAsia="es-MX"/>
              </w:rPr>
              <w:t>6</w:t>
            </w:r>
          </w:p>
        </w:tc>
        <w:tc>
          <w:tcPr>
            <w:tcW w:w="658" w:type="pct"/>
            <w:tcBorders>
              <w:top w:val="single" w:sz="4" w:space="0" w:color="auto"/>
              <w:bottom w:val="single" w:sz="4" w:space="0" w:color="auto"/>
              <w:right w:val="single" w:sz="4" w:space="0" w:color="auto"/>
            </w:tcBorders>
            <w:vAlign w:val="center"/>
          </w:tcPr>
          <w:p w14:paraId="374EA52B" w14:textId="77777777" w:rsidR="008E3369" w:rsidRPr="008E3369" w:rsidRDefault="008E3369" w:rsidP="00BA709C">
            <w:pPr>
              <w:rPr>
                <w:rFonts w:eastAsia="Times New Roman" w:cs="Arial"/>
                <w:color w:val="000000"/>
                <w:lang w:eastAsia="es-MX"/>
              </w:rPr>
            </w:pPr>
            <w:r w:rsidRPr="008E3369">
              <w:rPr>
                <w:rFonts w:eastAsia="Times New Roman" w:cs="Arial"/>
                <w:color w:val="000000"/>
                <w:lang w:eastAsia="es-MX"/>
              </w:rPr>
              <w:t>IV.1. Alternativa en caso de Falla o Intermitencias del SEG</w:t>
            </w: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5F232229" w14:textId="77777777" w:rsidR="008E3369" w:rsidRPr="008E3369" w:rsidRDefault="008E3369" w:rsidP="00BA709C">
            <w:pPr>
              <w:rPr>
                <w:rFonts w:eastAsia="Times New Roman" w:cs="Arial"/>
                <w:color w:val="000000"/>
                <w:lang w:eastAsia="es-MX"/>
              </w:rPr>
            </w:pPr>
            <w:r w:rsidRPr="008E3369">
              <w:rPr>
                <w:rFonts w:eastAsia="Times New Roman" w:cs="Arial"/>
                <w:color w:val="000000"/>
                <w:lang w:eastAsia="es-MX"/>
              </w:rPr>
              <w:t xml:space="preserve">Datos de contacto en caso de falla </w:t>
            </w:r>
            <w:r w:rsidRPr="008E3369">
              <w:rPr>
                <w:rFonts w:eastAsia="Times New Roman" w:cs="Arial"/>
                <w:lang w:eastAsia="es-MX"/>
              </w:rPr>
              <w:t>Pág. 9</w:t>
            </w:r>
          </w:p>
        </w:tc>
        <w:tc>
          <w:tcPr>
            <w:tcW w:w="1641" w:type="pct"/>
            <w:tcBorders>
              <w:top w:val="single" w:sz="4" w:space="0" w:color="auto"/>
              <w:left w:val="single" w:sz="4" w:space="0" w:color="auto"/>
              <w:bottom w:val="single" w:sz="4" w:space="0" w:color="auto"/>
              <w:right w:val="single" w:sz="4" w:space="0" w:color="auto"/>
            </w:tcBorders>
            <w:shd w:val="clear" w:color="auto" w:fill="auto"/>
          </w:tcPr>
          <w:p w14:paraId="61E259EE" w14:textId="77777777" w:rsidR="008E3369" w:rsidRPr="008E3369" w:rsidRDefault="008E3369" w:rsidP="00BA709C">
            <w:pPr>
              <w:spacing w:after="0"/>
              <w:jc w:val="both"/>
              <w:rPr>
                <w:rFonts w:cstheme="minorHAnsi"/>
                <w:lang w:eastAsia="es-MX"/>
              </w:rPr>
            </w:pPr>
            <w:r w:rsidRPr="008E3369">
              <w:rPr>
                <w:rFonts w:eastAsia="Times New Roman" w:cs="Arial"/>
                <w:color w:val="000000"/>
                <w:lang w:eastAsia="es-MX"/>
              </w:rPr>
              <w:t>El CS podrá utilizar el medi</w:t>
            </w:r>
            <w:r w:rsidRPr="008E3369">
              <w:rPr>
                <w:rFonts w:cstheme="minorHAnsi"/>
                <w:lang w:eastAsia="es-MX"/>
              </w:rPr>
              <w:t>o alterno en caso de que el SEG no se encuentre disponible por fallas o intermitencias. Lo anterior se llevará a cabo conforme a lo siguiente:</w:t>
            </w:r>
          </w:p>
          <w:p w14:paraId="43A0F3E6" w14:textId="77777777" w:rsidR="008E3369" w:rsidRPr="008E3369" w:rsidRDefault="008E3369" w:rsidP="00BA709C">
            <w:pPr>
              <w:spacing w:after="0"/>
              <w:jc w:val="both"/>
              <w:rPr>
                <w:b/>
              </w:rPr>
            </w:pPr>
            <w:r w:rsidRPr="008E3369">
              <w:rPr>
                <w:rFonts w:cstheme="minorHAnsi"/>
                <w:lang w:eastAsia="es-MX"/>
              </w:rPr>
              <w:t xml:space="preserve">La División Mayorista pondrá a disposición del CS o AS el siguiente número telefónico </w:t>
            </w:r>
            <w:r w:rsidRPr="008E3369">
              <w:rPr>
                <w:rFonts w:cstheme="minorHAnsi"/>
                <w:b/>
                <w:color w:val="548DD4" w:themeColor="text2" w:themeTint="99"/>
                <w:lang w:eastAsia="es-MX"/>
              </w:rPr>
              <w:t>800 7134 100</w:t>
            </w:r>
            <w:r w:rsidRPr="008E3369">
              <w:rPr>
                <w:rFonts w:cstheme="minorHAnsi"/>
                <w:lang w:eastAsia="es-MX"/>
              </w:rPr>
              <w:t xml:space="preserve"> que corresponde al centro telefónico de atención de la División Mayorista, y/o el siguiente correo electrónico </w:t>
            </w:r>
            <w:r w:rsidRPr="008E3369">
              <w:rPr>
                <w:rFonts w:cstheme="minorHAnsi"/>
                <w:b/>
                <w:color w:val="548DD4" w:themeColor="text2" w:themeTint="99"/>
                <w:lang w:eastAsia="es-MX"/>
              </w:rPr>
              <w:t>caosuper@telmex.com</w:t>
            </w:r>
            <w:r w:rsidRPr="008E3369">
              <w:rPr>
                <w:rFonts w:cstheme="minorHAnsi"/>
                <w:lang w:eastAsia="es-MX"/>
              </w:rPr>
              <w:t xml:space="preserve"> los cuales representan el medio alterno al que se deberán remitir respetando los indicadores y términos señalados en la presente Oferta.</w:t>
            </w:r>
          </w:p>
        </w:tc>
        <w:tc>
          <w:tcPr>
            <w:tcW w:w="1718" w:type="pct"/>
            <w:tcBorders>
              <w:top w:val="single" w:sz="4" w:space="0" w:color="auto"/>
              <w:left w:val="single" w:sz="4" w:space="0" w:color="auto"/>
              <w:bottom w:val="single" w:sz="4" w:space="0" w:color="auto"/>
              <w:right w:val="single" w:sz="4" w:space="0" w:color="auto"/>
            </w:tcBorders>
            <w:vAlign w:val="center"/>
          </w:tcPr>
          <w:p w14:paraId="10B9A2BD" w14:textId="77777777" w:rsidR="008E3369" w:rsidRPr="008E3369" w:rsidRDefault="008E3369" w:rsidP="00BA709C">
            <w:pPr>
              <w:spacing w:after="0" w:line="240" w:lineRule="auto"/>
              <w:ind w:right="-48"/>
              <w:jc w:val="both"/>
              <w:rPr>
                <w:rFonts w:eastAsia="Times New Roman" w:cstheme="minorHAnsi"/>
                <w:color w:val="000000"/>
                <w:lang w:eastAsia="es-MX"/>
              </w:rPr>
            </w:pPr>
            <w:r w:rsidRPr="008E3369">
              <w:rPr>
                <w:rFonts w:eastAsia="Times New Roman" w:cstheme="minorHAnsi"/>
                <w:color w:val="000000"/>
                <w:lang w:eastAsia="es-MX"/>
              </w:rPr>
              <w:t>Se adiciona a la oferta el número telefónico y el correo electrónico señalados como medios alternos de atención en caso de indisponibilidad del SEG.</w:t>
            </w:r>
          </w:p>
          <w:p w14:paraId="3CA4DA84" w14:textId="36265251" w:rsidR="008E3369" w:rsidRPr="008E3369" w:rsidRDefault="008E3369" w:rsidP="00BA709C">
            <w:pPr>
              <w:spacing w:after="0" w:line="240" w:lineRule="auto"/>
              <w:ind w:right="-48"/>
              <w:jc w:val="both"/>
              <w:rPr>
                <w:rFonts w:eastAsia="Times New Roman" w:cs="Arial"/>
                <w:color w:val="000000"/>
                <w:lang w:eastAsia="es-MX"/>
              </w:rPr>
            </w:pPr>
          </w:p>
        </w:tc>
      </w:tr>
      <w:tr w:rsidR="008E3369" w:rsidRPr="008E3369" w14:paraId="6389B40B" w14:textId="77777777" w:rsidTr="001274D9">
        <w:trPr>
          <w:trHeight w:val="1650"/>
        </w:trPr>
        <w:tc>
          <w:tcPr>
            <w:tcW w:w="260" w:type="pct"/>
            <w:tcBorders>
              <w:top w:val="single" w:sz="4" w:space="0" w:color="auto"/>
              <w:left w:val="single" w:sz="4" w:space="0" w:color="auto"/>
              <w:bottom w:val="single" w:sz="4" w:space="0" w:color="auto"/>
            </w:tcBorders>
            <w:vAlign w:val="center"/>
          </w:tcPr>
          <w:p w14:paraId="473E598E" w14:textId="6B0CB3D2" w:rsidR="008E3369" w:rsidRPr="008E3369" w:rsidDel="00964385" w:rsidRDefault="001274D9" w:rsidP="00BA709C">
            <w:pPr>
              <w:spacing w:after="0" w:line="240" w:lineRule="auto"/>
              <w:jc w:val="center"/>
              <w:rPr>
                <w:rFonts w:eastAsia="Times New Roman" w:cs="Arial"/>
                <w:color w:val="000000"/>
                <w:lang w:eastAsia="es-MX"/>
              </w:rPr>
            </w:pPr>
            <w:r>
              <w:rPr>
                <w:rFonts w:eastAsia="Times New Roman" w:cs="Arial"/>
                <w:color w:val="000000"/>
                <w:lang w:eastAsia="es-MX"/>
              </w:rPr>
              <w:t>7</w:t>
            </w:r>
          </w:p>
        </w:tc>
        <w:tc>
          <w:tcPr>
            <w:tcW w:w="658" w:type="pct"/>
            <w:tcBorders>
              <w:top w:val="single" w:sz="4" w:space="0" w:color="auto"/>
              <w:bottom w:val="single" w:sz="4" w:space="0" w:color="auto"/>
              <w:right w:val="single" w:sz="4" w:space="0" w:color="auto"/>
            </w:tcBorders>
            <w:vAlign w:val="center"/>
          </w:tcPr>
          <w:p w14:paraId="3DFE7514" w14:textId="77777777" w:rsidR="008E3369" w:rsidRPr="008E3369" w:rsidRDefault="008E3369" w:rsidP="00BA709C">
            <w:pPr>
              <w:spacing w:after="0" w:line="240" w:lineRule="auto"/>
              <w:rPr>
                <w:bCs/>
                <w:lang w:eastAsia="es-ES"/>
              </w:rPr>
            </w:pPr>
            <w:r w:rsidRPr="008E3369">
              <w:rPr>
                <w:bCs/>
                <w:lang w:eastAsia="es-ES"/>
              </w:rPr>
              <w:t>V.1.1 Alcance</w:t>
            </w: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65DE4798" w14:textId="77777777" w:rsidR="008E3369" w:rsidRPr="008E3369" w:rsidRDefault="008E3369" w:rsidP="00BA709C">
            <w:pPr>
              <w:spacing w:after="0" w:line="240" w:lineRule="auto"/>
              <w:jc w:val="both"/>
              <w:rPr>
                <w:rFonts w:eastAsia="Times New Roman" w:cs="Arial"/>
                <w:color w:val="000000"/>
                <w:lang w:eastAsia="es-MX"/>
              </w:rPr>
            </w:pPr>
            <w:r w:rsidRPr="008E3369">
              <w:rPr>
                <w:rFonts w:eastAsia="Times New Roman" w:cs="Arial"/>
                <w:color w:val="000000"/>
                <w:lang w:eastAsia="es-MX"/>
              </w:rPr>
              <w:t xml:space="preserve">Sistemas de Aire Acondicionado </w:t>
            </w:r>
            <w:r w:rsidRPr="008E3369">
              <w:rPr>
                <w:rFonts w:eastAsia="Times New Roman" w:cs="Arial"/>
                <w:lang w:eastAsia="es-MX"/>
              </w:rPr>
              <w:t>Pág. 12</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tcPr>
          <w:p w14:paraId="1B6D8F6D" w14:textId="77777777" w:rsidR="008E3369" w:rsidRPr="008E3369" w:rsidRDefault="008E3369" w:rsidP="00BA709C">
            <w:pPr>
              <w:pStyle w:val="IFTnormal"/>
              <w:spacing w:after="0"/>
              <w:rPr>
                <w:rFonts w:asciiTheme="minorHAnsi" w:hAnsiTheme="minorHAnsi"/>
              </w:rPr>
            </w:pPr>
            <w:r w:rsidRPr="008E3369">
              <w:rPr>
                <w:rFonts w:asciiTheme="minorHAnsi" w:hAnsiTheme="minorHAnsi"/>
              </w:rPr>
              <w:t>•</w:t>
            </w:r>
            <w:r w:rsidRPr="008E3369">
              <w:rPr>
                <w:rFonts w:asciiTheme="minorHAnsi" w:hAnsiTheme="minorHAnsi"/>
              </w:rPr>
              <w:tab/>
              <w:t xml:space="preserve">Sistemas de </w:t>
            </w:r>
            <w:r w:rsidRPr="008E3369">
              <w:rPr>
                <w:rFonts w:asciiTheme="minorHAnsi" w:eastAsiaTheme="minorHAnsi" w:hAnsiTheme="minorHAnsi" w:cs="Arial"/>
                <w:b/>
                <w:bCs w:val="0"/>
                <w:strike/>
                <w:color w:val="FF0000"/>
              </w:rPr>
              <w:t xml:space="preserve">Aire </w:t>
            </w:r>
            <w:proofErr w:type="gramStart"/>
            <w:r w:rsidRPr="008E3369">
              <w:rPr>
                <w:rFonts w:asciiTheme="minorHAnsi" w:eastAsiaTheme="minorHAnsi" w:hAnsiTheme="minorHAnsi" w:cs="Arial"/>
                <w:b/>
                <w:bCs w:val="0"/>
                <w:strike/>
                <w:color w:val="FF0000"/>
              </w:rPr>
              <w:t>Acondicionado</w:t>
            </w:r>
            <w:r w:rsidRPr="008E3369">
              <w:rPr>
                <w:rFonts w:asciiTheme="minorHAnsi" w:hAnsiTheme="minorHAnsi"/>
              </w:rPr>
              <w:t xml:space="preserve">  </w:t>
            </w:r>
            <w:r w:rsidRPr="008E3369">
              <w:rPr>
                <w:rFonts w:asciiTheme="minorHAnsi" w:hAnsiTheme="minorHAnsi"/>
                <w:b/>
                <w:color w:val="548DD4" w:themeColor="text2" w:themeTint="99"/>
              </w:rPr>
              <w:t>climatización</w:t>
            </w:r>
            <w:proofErr w:type="gramEnd"/>
            <w:r w:rsidRPr="008E3369">
              <w:rPr>
                <w:rFonts w:asciiTheme="minorHAnsi" w:hAnsiTheme="minorHAnsi"/>
              </w:rPr>
              <w:t>: Constituido por aquellos que se encuentren al interior del Sitio y que no formen parte o se encuentren integrados a cualquier elemento activo en el Sitio.</w:t>
            </w:r>
          </w:p>
        </w:tc>
        <w:tc>
          <w:tcPr>
            <w:tcW w:w="1718" w:type="pct"/>
            <w:tcBorders>
              <w:top w:val="single" w:sz="4" w:space="0" w:color="auto"/>
              <w:left w:val="single" w:sz="4" w:space="0" w:color="auto"/>
              <w:bottom w:val="single" w:sz="4" w:space="0" w:color="auto"/>
              <w:right w:val="single" w:sz="4" w:space="0" w:color="auto"/>
            </w:tcBorders>
            <w:vAlign w:val="center"/>
          </w:tcPr>
          <w:p w14:paraId="55241014" w14:textId="26BDBD57" w:rsidR="008E3369" w:rsidRPr="008E3369" w:rsidRDefault="008E3369" w:rsidP="00BA709C">
            <w:pPr>
              <w:spacing w:after="0" w:line="240" w:lineRule="auto"/>
              <w:ind w:right="-48"/>
              <w:jc w:val="both"/>
              <w:rPr>
                <w:rFonts w:eastAsia="Times New Roman" w:cs="Arial"/>
                <w:color w:val="000000"/>
                <w:lang w:eastAsia="es-MX"/>
              </w:rPr>
            </w:pPr>
            <w:r w:rsidRPr="008E3369">
              <w:rPr>
                <w:rFonts w:eastAsia="Times New Roman" w:cs="Arial"/>
                <w:color w:val="000000"/>
                <w:lang w:eastAsia="es-MX"/>
              </w:rPr>
              <w:t xml:space="preserve">Se propone cambiar el término de aire acondicionado por sistemas de climatización, para homologar los términos y en concordancia con la definición contenida </w:t>
            </w:r>
            <w:r w:rsidRPr="008E3369">
              <w:rPr>
                <w:bCs/>
              </w:rPr>
              <w:t>en el art. 3 numeral XXVIII de la LFTR.</w:t>
            </w:r>
            <w:r w:rsidRPr="008E3369">
              <w:rPr>
                <w:rFonts w:eastAsia="Times New Roman" w:cs="Arial"/>
                <w:color w:val="000000"/>
                <w:lang w:eastAsia="es-MX"/>
              </w:rPr>
              <w:t xml:space="preserve"> </w:t>
            </w:r>
          </w:p>
        </w:tc>
      </w:tr>
      <w:tr w:rsidR="008E3369" w:rsidRPr="008E3369" w14:paraId="28838D07" w14:textId="77777777" w:rsidTr="001274D9">
        <w:trPr>
          <w:trHeight w:val="1650"/>
        </w:trPr>
        <w:tc>
          <w:tcPr>
            <w:tcW w:w="260" w:type="pct"/>
            <w:tcBorders>
              <w:top w:val="single" w:sz="4" w:space="0" w:color="auto"/>
              <w:left w:val="single" w:sz="4" w:space="0" w:color="auto"/>
              <w:bottom w:val="single" w:sz="4" w:space="0" w:color="auto"/>
            </w:tcBorders>
            <w:vAlign w:val="center"/>
          </w:tcPr>
          <w:p w14:paraId="62EE004C" w14:textId="0E78F3A0" w:rsidR="008E3369" w:rsidRPr="008E3369" w:rsidRDefault="001274D9" w:rsidP="00BA709C">
            <w:pPr>
              <w:spacing w:after="0" w:line="240" w:lineRule="auto"/>
              <w:jc w:val="center"/>
              <w:rPr>
                <w:rFonts w:eastAsia="Times New Roman" w:cs="Arial"/>
                <w:color w:val="000000"/>
                <w:lang w:eastAsia="es-MX"/>
              </w:rPr>
            </w:pPr>
            <w:r>
              <w:rPr>
                <w:rFonts w:eastAsia="Times New Roman" w:cs="Arial"/>
                <w:color w:val="000000"/>
                <w:lang w:eastAsia="es-MX"/>
              </w:rPr>
              <w:t>8</w:t>
            </w:r>
          </w:p>
        </w:tc>
        <w:tc>
          <w:tcPr>
            <w:tcW w:w="658" w:type="pct"/>
            <w:tcBorders>
              <w:top w:val="single" w:sz="4" w:space="0" w:color="auto"/>
              <w:bottom w:val="single" w:sz="4" w:space="0" w:color="auto"/>
              <w:right w:val="single" w:sz="4" w:space="0" w:color="auto"/>
            </w:tcBorders>
            <w:vAlign w:val="center"/>
          </w:tcPr>
          <w:p w14:paraId="5F8E5E91" w14:textId="14EFE88C" w:rsidR="008E3369" w:rsidRPr="008E3369" w:rsidRDefault="008E3369" w:rsidP="00BA709C">
            <w:pPr>
              <w:spacing w:after="0" w:line="240" w:lineRule="auto"/>
              <w:rPr>
                <w:rFonts w:eastAsia="Calibri" w:cs="Calibri"/>
              </w:rPr>
            </w:pPr>
            <w:r w:rsidRPr="008E3369">
              <w:rPr>
                <w:rFonts w:eastAsia="Times New Roman" w:cstheme="minorHAnsi"/>
                <w:color w:val="000000"/>
                <w:lang w:eastAsia="es-MX"/>
              </w:rPr>
              <w:t>V.3.2. Análisis de Factibilidad</w:t>
            </w: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1F08394F" w14:textId="77777777" w:rsidR="008E3369" w:rsidRPr="008E3369" w:rsidRDefault="008E3369" w:rsidP="00BA709C">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 xml:space="preserve">Análisis Estructural. </w:t>
            </w:r>
          </w:p>
          <w:p w14:paraId="73CEBD49" w14:textId="198B5AC0" w:rsidR="008E3369" w:rsidRPr="008E3369" w:rsidRDefault="008E3369" w:rsidP="00BA709C">
            <w:pPr>
              <w:spacing w:after="0" w:line="240" w:lineRule="auto"/>
              <w:jc w:val="both"/>
              <w:rPr>
                <w:rFonts w:eastAsia="Times New Roman" w:cs="Arial"/>
                <w:color w:val="000000"/>
                <w:lang w:eastAsia="es-MX"/>
              </w:rPr>
            </w:pPr>
            <w:r w:rsidRPr="008E3369">
              <w:rPr>
                <w:rFonts w:eastAsia="Times New Roman" w:cstheme="minorHAnsi"/>
                <w:color w:val="000000"/>
                <w:lang w:eastAsia="es-MX"/>
              </w:rPr>
              <w:t>Pág. 17</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tcPr>
          <w:p w14:paraId="1225436E" w14:textId="77777777" w:rsidR="008E3369" w:rsidRPr="008E3369" w:rsidRDefault="008E3369" w:rsidP="00BA709C">
            <w:pPr>
              <w:pStyle w:val="IFTnormal"/>
              <w:spacing w:after="0"/>
              <w:rPr>
                <w:rFonts w:asciiTheme="minorHAnsi" w:hAnsiTheme="minorHAnsi" w:cstheme="minorHAnsi"/>
                <w:lang w:eastAsia="es-MX"/>
              </w:rPr>
            </w:pPr>
            <w:r w:rsidRPr="008E3369">
              <w:rPr>
                <w:rFonts w:asciiTheme="minorHAnsi" w:hAnsiTheme="minorHAnsi" w:cstheme="minorHAnsi"/>
                <w:lang w:eastAsia="es-MX"/>
              </w:rPr>
              <w:t xml:space="preserve">­ Análisis de frecuencias necesarios para garantizar la correcta operación de los sistemas existentes, así como un uso adecuado del espectro radioeléctrico en puntos comunes. </w:t>
            </w:r>
          </w:p>
          <w:p w14:paraId="3A9897F8" w14:textId="77777777" w:rsidR="008E3369" w:rsidRPr="008E3369" w:rsidRDefault="008E3369" w:rsidP="00BA709C">
            <w:pPr>
              <w:pStyle w:val="IFTnormal"/>
              <w:spacing w:after="0"/>
              <w:rPr>
                <w:rFonts w:asciiTheme="minorHAnsi" w:hAnsiTheme="minorHAnsi" w:cstheme="minorHAnsi"/>
                <w:lang w:eastAsia="es-MX"/>
              </w:rPr>
            </w:pPr>
          </w:p>
          <w:p w14:paraId="0B0AEA1A" w14:textId="77777777" w:rsidR="008E3369" w:rsidRPr="008E3369" w:rsidRDefault="008E3369" w:rsidP="00BA709C">
            <w:pPr>
              <w:pStyle w:val="IFTnormal"/>
              <w:spacing w:after="0"/>
              <w:rPr>
                <w:rFonts w:asciiTheme="minorHAnsi" w:eastAsiaTheme="minorHAnsi" w:hAnsiTheme="minorHAnsi" w:cstheme="minorHAnsi"/>
                <w:b/>
                <w:bCs w:val="0"/>
                <w:strike/>
                <w:color w:val="FF0000"/>
              </w:rPr>
            </w:pPr>
            <w:r w:rsidRPr="008E3369">
              <w:rPr>
                <w:rFonts w:asciiTheme="minorHAnsi" w:eastAsiaTheme="minorHAnsi" w:hAnsiTheme="minorHAnsi" w:cstheme="minorHAnsi"/>
                <w:b/>
                <w:bCs w:val="0"/>
                <w:strike/>
                <w:color w:val="FF0000"/>
              </w:rPr>
              <w:t xml:space="preserve">­ Análisis estructural de torre para garantizar la integridad física de la </w:t>
            </w:r>
            <w:r w:rsidRPr="008E3369">
              <w:rPr>
                <w:rFonts w:asciiTheme="minorHAnsi" w:eastAsiaTheme="minorHAnsi" w:hAnsiTheme="minorHAnsi" w:cstheme="minorHAnsi"/>
                <w:b/>
                <w:bCs w:val="0"/>
                <w:strike/>
                <w:color w:val="FF0000"/>
              </w:rPr>
              <w:lastRenderedPageBreak/>
              <w:t>misma. Este análisis contendrá los cálculos y análisis pertinentes para asegurar que la instalación cumpla con la normativa técnica sobre cargas gravitacionales sobre la estructura de la torre, fuerzas del viento y fuerzas de sismo.</w:t>
            </w:r>
          </w:p>
          <w:p w14:paraId="7FC4778C" w14:textId="77777777" w:rsidR="008E3369" w:rsidRPr="008E3369" w:rsidRDefault="008E3369" w:rsidP="00BA709C">
            <w:pPr>
              <w:pStyle w:val="IFTnormal"/>
              <w:spacing w:after="0" w:line="240" w:lineRule="auto"/>
              <w:rPr>
                <w:rFonts w:asciiTheme="minorHAnsi" w:hAnsiTheme="minorHAnsi"/>
                <w:lang w:eastAsia="es-MX"/>
              </w:rPr>
            </w:pPr>
          </w:p>
        </w:tc>
        <w:tc>
          <w:tcPr>
            <w:tcW w:w="1718" w:type="pct"/>
            <w:tcBorders>
              <w:top w:val="single" w:sz="4" w:space="0" w:color="auto"/>
              <w:left w:val="single" w:sz="4" w:space="0" w:color="auto"/>
              <w:bottom w:val="single" w:sz="4" w:space="0" w:color="auto"/>
              <w:right w:val="single" w:sz="4" w:space="0" w:color="auto"/>
            </w:tcBorders>
            <w:vAlign w:val="center"/>
          </w:tcPr>
          <w:p w14:paraId="3CC3953A" w14:textId="77777777" w:rsidR="008E3369" w:rsidRPr="008E3369" w:rsidRDefault="008E3369" w:rsidP="00BA709C">
            <w:pPr>
              <w:spacing w:after="0" w:line="240" w:lineRule="auto"/>
              <w:jc w:val="both"/>
              <w:rPr>
                <w:rFonts w:eastAsia="Times New Roman" w:cs="Arial"/>
                <w:color w:val="000000"/>
                <w:lang w:eastAsia="es-MX"/>
              </w:rPr>
            </w:pPr>
            <w:r w:rsidRPr="008E3369">
              <w:rPr>
                <w:rFonts w:eastAsia="Times New Roman" w:cs="Arial"/>
                <w:color w:val="000000"/>
                <w:lang w:eastAsia="es-MX"/>
              </w:rPr>
              <w:lastRenderedPageBreak/>
              <w:t xml:space="preserve">Se solicita eliminar de la </w:t>
            </w:r>
            <w:proofErr w:type="gramStart"/>
            <w:r w:rsidRPr="008E3369">
              <w:rPr>
                <w:rFonts w:eastAsia="Times New Roman" w:cs="Arial"/>
                <w:color w:val="000000"/>
                <w:lang w:eastAsia="es-MX"/>
              </w:rPr>
              <w:t>sección  “</w:t>
            </w:r>
            <w:proofErr w:type="gramEnd"/>
            <w:r w:rsidRPr="008E3369">
              <w:rPr>
                <w:rFonts w:eastAsia="Times New Roman" w:cs="Arial"/>
                <w:color w:val="000000"/>
                <w:lang w:eastAsia="es-MX"/>
              </w:rPr>
              <w:t>Análisis de Factibilidad”, la actividad de “Análisis Estructural”, ya que es un estudio que se realiza solo cuando la estructura de la torre tenga características que pudieran llegar a vulnerar la normatividad técnica, como pueden ser; la antigüedad de la estructura metálica, factores climáticos, y un grado alto de ocupación.</w:t>
            </w:r>
          </w:p>
          <w:p w14:paraId="3640AB3C" w14:textId="77777777" w:rsidR="008E3369" w:rsidRPr="008E3369" w:rsidRDefault="008E3369" w:rsidP="00BA709C">
            <w:pPr>
              <w:spacing w:after="0" w:line="240" w:lineRule="auto"/>
              <w:ind w:right="-48"/>
              <w:jc w:val="both"/>
              <w:rPr>
                <w:rFonts w:eastAsia="Times New Roman" w:cs="Arial"/>
                <w:color w:val="000000"/>
                <w:lang w:eastAsia="es-MX"/>
              </w:rPr>
            </w:pPr>
          </w:p>
          <w:p w14:paraId="2F2B3B02" w14:textId="17237924" w:rsidR="008E3369" w:rsidRPr="008E3369" w:rsidRDefault="008E3369" w:rsidP="00BA709C">
            <w:pPr>
              <w:jc w:val="both"/>
              <w:rPr>
                <w:rFonts w:eastAsia="Times New Roman" w:cs="Arial"/>
                <w:lang w:eastAsia="es-MX"/>
              </w:rPr>
            </w:pPr>
            <w:r w:rsidRPr="008E3369">
              <w:rPr>
                <w:rFonts w:eastAsia="Times New Roman" w:cs="Arial"/>
                <w:lang w:eastAsia="es-MX"/>
              </w:rPr>
              <w:t xml:space="preserve">Además se le solicita al Instituto que considere que el costo de un Análisis Estructural puede ser de más de $80,000 pesos y que dicha actividad está considerada en la oferta vigente como parte de la revisión que </w:t>
            </w:r>
            <w:proofErr w:type="gramStart"/>
            <w:r w:rsidRPr="008E3369">
              <w:rPr>
                <w:rFonts w:eastAsia="Times New Roman" w:cs="Arial"/>
                <w:lang w:eastAsia="es-MX"/>
              </w:rPr>
              <w:t>se  realiza</w:t>
            </w:r>
            <w:proofErr w:type="gramEnd"/>
            <w:r w:rsidRPr="008E3369">
              <w:rPr>
                <w:rFonts w:eastAsia="Times New Roman" w:cs="Arial"/>
                <w:lang w:eastAsia="es-MX"/>
              </w:rPr>
              <w:t xml:space="preserve"> en el “Análisis de Factibilidad“, cuya tarifa es de $5,362.52 pesos. Por lo </w:t>
            </w:r>
            <w:proofErr w:type="gramStart"/>
            <w:r w:rsidRPr="008E3369">
              <w:rPr>
                <w:rFonts w:eastAsia="Times New Roman" w:cs="Arial"/>
                <w:lang w:eastAsia="es-MX"/>
              </w:rPr>
              <w:t>tanto</w:t>
            </w:r>
            <w:proofErr w:type="gramEnd"/>
            <w:r w:rsidRPr="008E3369">
              <w:rPr>
                <w:rFonts w:eastAsia="Times New Roman" w:cs="Arial"/>
                <w:lang w:eastAsia="es-MX"/>
              </w:rPr>
              <w:t xml:space="preserve"> no está justificado que el Estudio de Análisis estructural sea una de las actividades que forme parte del Análisis de Factibilidad.</w:t>
            </w:r>
          </w:p>
        </w:tc>
      </w:tr>
      <w:tr w:rsidR="008E3369" w:rsidRPr="008E3369" w14:paraId="070A2EC8" w14:textId="77777777" w:rsidTr="001274D9">
        <w:trPr>
          <w:trHeight w:val="1650"/>
        </w:trPr>
        <w:tc>
          <w:tcPr>
            <w:tcW w:w="260" w:type="pct"/>
            <w:tcBorders>
              <w:top w:val="single" w:sz="4" w:space="0" w:color="auto"/>
              <w:left w:val="single" w:sz="4" w:space="0" w:color="auto"/>
              <w:bottom w:val="single" w:sz="4" w:space="0" w:color="auto"/>
            </w:tcBorders>
            <w:vAlign w:val="center"/>
          </w:tcPr>
          <w:p w14:paraId="59C5FC17" w14:textId="5DD33181" w:rsidR="008E3369" w:rsidRPr="008E3369" w:rsidRDefault="001274D9" w:rsidP="00BA709C">
            <w:pPr>
              <w:spacing w:after="0" w:line="240" w:lineRule="auto"/>
              <w:jc w:val="center"/>
              <w:rPr>
                <w:rFonts w:eastAsia="Times New Roman" w:cstheme="minorHAnsi"/>
                <w:color w:val="000000"/>
                <w:lang w:eastAsia="es-MX"/>
              </w:rPr>
            </w:pPr>
            <w:r>
              <w:rPr>
                <w:rFonts w:eastAsia="Times New Roman" w:cstheme="minorHAnsi"/>
                <w:color w:val="000000"/>
                <w:lang w:eastAsia="es-MX"/>
              </w:rPr>
              <w:lastRenderedPageBreak/>
              <w:t>9</w:t>
            </w:r>
          </w:p>
        </w:tc>
        <w:tc>
          <w:tcPr>
            <w:tcW w:w="658" w:type="pct"/>
            <w:tcBorders>
              <w:top w:val="single" w:sz="4" w:space="0" w:color="auto"/>
              <w:bottom w:val="single" w:sz="4" w:space="0" w:color="auto"/>
              <w:right w:val="single" w:sz="4" w:space="0" w:color="auto"/>
            </w:tcBorders>
            <w:vAlign w:val="center"/>
          </w:tcPr>
          <w:p w14:paraId="1B64E130" w14:textId="2C29206D" w:rsidR="008E3369" w:rsidRPr="008E3369" w:rsidRDefault="008E3369" w:rsidP="00BA709C">
            <w:pPr>
              <w:pStyle w:val="IFTnormal"/>
              <w:spacing w:after="0"/>
              <w:jc w:val="left"/>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VI.1 Acondicionamiento de la Infraestructura</w:t>
            </w: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325F7014" w14:textId="77777777" w:rsidR="008E3369" w:rsidRPr="008E3369" w:rsidRDefault="008E3369" w:rsidP="00BA709C">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 xml:space="preserve">Criterios de determinación de acondicionamiento de infraestructura y metodología. </w:t>
            </w:r>
          </w:p>
          <w:p w14:paraId="43EED903" w14:textId="125B6C1C" w:rsidR="008E3369" w:rsidRPr="008E3369" w:rsidRDefault="008E3369" w:rsidP="00BA709C">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Pág. 20</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tcPr>
          <w:p w14:paraId="584F3487" w14:textId="77777777" w:rsidR="008E3369" w:rsidRPr="008E3369" w:rsidRDefault="008E3369" w:rsidP="00BA709C">
            <w:pPr>
              <w:pStyle w:val="IFTnormal"/>
              <w:spacing w:after="0"/>
              <w:rPr>
                <w:rFonts w:asciiTheme="minorHAnsi" w:hAnsiTheme="minorHAnsi" w:cstheme="minorHAnsi"/>
                <w:lang w:val="es-ES" w:eastAsia="es-MX"/>
              </w:rPr>
            </w:pPr>
            <w:r w:rsidRPr="008E3369">
              <w:rPr>
                <w:rFonts w:asciiTheme="minorHAnsi" w:hAnsiTheme="minorHAnsi" w:cstheme="minorHAnsi"/>
                <w:lang w:val="es-ES" w:eastAsia="es-MX"/>
              </w:rPr>
              <w:t>Criterios de determinación de Acondicionamiento de Infraestructura y Metodología:</w:t>
            </w:r>
          </w:p>
          <w:p w14:paraId="2408D7D1" w14:textId="719F0E62" w:rsidR="008E3369" w:rsidRPr="008E3369" w:rsidRDefault="008E3369" w:rsidP="00BA709C">
            <w:pPr>
              <w:pStyle w:val="IFTnormal"/>
              <w:spacing w:after="0"/>
              <w:rPr>
                <w:rFonts w:asciiTheme="minorHAnsi" w:hAnsiTheme="minorHAnsi" w:cstheme="minorHAnsi"/>
                <w:lang w:eastAsia="es-MX"/>
              </w:rPr>
            </w:pPr>
            <w:r w:rsidRPr="008E3369">
              <w:rPr>
                <w:rFonts w:asciiTheme="minorHAnsi" w:hAnsiTheme="minorHAnsi" w:cstheme="minorHAnsi"/>
                <w:lang w:val="es-ES" w:eastAsia="es-MX"/>
              </w:rPr>
              <w:t>2. Para la consideración del Trabajo Especial de Acondicionamiento de Infraestructura, la División Mayorista habrá de haber agotado las alternativas de atención a cada solicitud de Servicio de Acceso y Uso Compartido de Infraestructura bajo las condiciones imperantes de disposición de elementos de infraestructura en el espacio destinado</w:t>
            </w:r>
            <w:r w:rsidRPr="008E3369">
              <w:rPr>
                <w:rFonts w:asciiTheme="minorHAnsi" w:hAnsiTheme="minorHAnsi" w:cstheme="minorHAnsi"/>
                <w:color w:val="548DD4" w:themeColor="text2" w:themeTint="99"/>
                <w:lang w:val="es-ES" w:eastAsia="es-MX"/>
              </w:rPr>
              <w:t>.</w:t>
            </w:r>
            <w:r w:rsidRPr="008E3369">
              <w:rPr>
                <w:rFonts w:asciiTheme="minorHAnsi" w:hAnsiTheme="minorHAnsi" w:cstheme="minorHAnsi"/>
                <w:lang w:val="es-ES" w:eastAsia="es-MX"/>
              </w:rPr>
              <w:t xml:space="preserve"> </w:t>
            </w:r>
            <w:proofErr w:type="spellStart"/>
            <w:r w:rsidRPr="008E3369">
              <w:rPr>
                <w:rFonts w:asciiTheme="minorHAnsi" w:hAnsiTheme="minorHAnsi" w:cstheme="minorHAnsi"/>
                <w:b/>
                <w:strike/>
                <w:color w:val="FF0000"/>
                <w:lang w:val="es-ES" w:eastAsia="es-MX"/>
              </w:rPr>
              <w:t>p</w:t>
            </w:r>
            <w:r w:rsidRPr="008E3369">
              <w:rPr>
                <w:rFonts w:asciiTheme="minorHAnsi" w:hAnsiTheme="minorHAnsi" w:cstheme="minorHAnsi"/>
                <w:b/>
                <w:color w:val="548DD4" w:themeColor="text2" w:themeTint="99"/>
                <w:lang w:val="es-ES" w:eastAsia="es-MX"/>
              </w:rPr>
              <w:t>P</w:t>
            </w:r>
            <w:r w:rsidRPr="008E3369">
              <w:rPr>
                <w:rFonts w:asciiTheme="minorHAnsi" w:hAnsiTheme="minorHAnsi" w:cstheme="minorHAnsi"/>
                <w:lang w:val="es-ES" w:eastAsia="es-MX"/>
              </w:rPr>
              <w:t>or</w:t>
            </w:r>
            <w:proofErr w:type="spellEnd"/>
            <w:r w:rsidRPr="008E3369">
              <w:rPr>
                <w:rFonts w:asciiTheme="minorHAnsi" w:hAnsiTheme="minorHAnsi" w:cstheme="minorHAnsi"/>
                <w:lang w:val="es-ES" w:eastAsia="es-MX"/>
              </w:rPr>
              <w:t xml:space="preserve"> lo que deberá realizar a requerimiento del CS porque se </w:t>
            </w:r>
            <w:proofErr w:type="spellStart"/>
            <w:r w:rsidRPr="008E3369">
              <w:rPr>
                <w:rFonts w:asciiTheme="minorHAnsi" w:hAnsiTheme="minorHAnsi" w:cstheme="minorHAnsi"/>
                <w:lang w:val="es-ES" w:eastAsia="es-MX"/>
              </w:rPr>
              <w:t>detect</w:t>
            </w:r>
            <w:r w:rsidRPr="008E3369">
              <w:rPr>
                <w:rFonts w:asciiTheme="minorHAnsi" w:hAnsiTheme="minorHAnsi" w:cstheme="minorHAnsi"/>
                <w:b/>
                <w:color w:val="548DD4" w:themeColor="text2" w:themeTint="99"/>
                <w:lang w:val="es-ES" w:eastAsia="es-MX"/>
              </w:rPr>
              <w:t>ó</w:t>
            </w:r>
            <w:r w:rsidRPr="008E3369">
              <w:rPr>
                <w:rFonts w:asciiTheme="minorHAnsi" w:hAnsiTheme="minorHAnsi" w:cstheme="minorHAnsi"/>
                <w:b/>
                <w:strike/>
                <w:color w:val="FF0000"/>
                <w:lang w:val="es-ES" w:eastAsia="es-MX"/>
              </w:rPr>
              <w:t>e</w:t>
            </w:r>
            <w:proofErr w:type="spellEnd"/>
            <w:r w:rsidRPr="008E3369">
              <w:rPr>
                <w:rFonts w:asciiTheme="minorHAnsi" w:hAnsiTheme="minorHAnsi" w:cstheme="minorHAnsi"/>
                <w:lang w:val="es-ES" w:eastAsia="es-MX"/>
              </w:rPr>
              <w:t xml:space="preserve"> necesidad o interés de reforzar las condiciones de la Infraestructura Pasiva a ocupar por parte del CS, </w:t>
            </w:r>
            <w:r w:rsidRPr="008E3369">
              <w:rPr>
                <w:rFonts w:asciiTheme="minorHAnsi" w:hAnsiTheme="minorHAnsi" w:cstheme="minorHAnsi"/>
                <w:b/>
                <w:color w:val="548DD4" w:themeColor="text2" w:themeTint="99"/>
                <w:lang w:val="es-ES" w:eastAsia="es-MX"/>
              </w:rPr>
              <w:t xml:space="preserve">como la elaboración de un Análisis Estructural, </w:t>
            </w:r>
            <w:r w:rsidRPr="008E3369">
              <w:rPr>
                <w:rFonts w:asciiTheme="minorHAnsi" w:hAnsiTheme="minorHAnsi" w:cstheme="minorHAnsi"/>
                <w:lang w:val="es-ES" w:eastAsia="es-MX"/>
              </w:rPr>
              <w:t>o cuando sea necesario realizar una actividad de acondicionamiento que ayude durante la instalación de equipos por parte del CS o AS.</w:t>
            </w:r>
          </w:p>
        </w:tc>
        <w:tc>
          <w:tcPr>
            <w:tcW w:w="1718" w:type="pct"/>
            <w:tcBorders>
              <w:top w:val="single" w:sz="4" w:space="0" w:color="auto"/>
              <w:left w:val="single" w:sz="4" w:space="0" w:color="auto"/>
              <w:bottom w:val="single" w:sz="4" w:space="0" w:color="auto"/>
              <w:right w:val="single" w:sz="4" w:space="0" w:color="auto"/>
            </w:tcBorders>
            <w:vAlign w:val="center"/>
          </w:tcPr>
          <w:p w14:paraId="7DF7C2A7" w14:textId="77777777" w:rsidR="008E3369" w:rsidRPr="008E3369" w:rsidRDefault="008E3369" w:rsidP="00BA709C">
            <w:pPr>
              <w:spacing w:after="0" w:line="240" w:lineRule="auto"/>
              <w:ind w:right="-48"/>
              <w:jc w:val="both"/>
              <w:rPr>
                <w:rFonts w:eastAsia="Times New Roman" w:cs="Arial"/>
                <w:color w:val="000000"/>
                <w:highlight w:val="yellow"/>
                <w:lang w:eastAsia="es-MX"/>
              </w:rPr>
            </w:pPr>
          </w:p>
          <w:p w14:paraId="24F38704" w14:textId="77777777" w:rsidR="008E3369" w:rsidRPr="008E3369" w:rsidRDefault="008E3369" w:rsidP="00BA709C">
            <w:pPr>
              <w:spacing w:after="0" w:line="240" w:lineRule="auto"/>
              <w:ind w:right="-48"/>
              <w:jc w:val="both"/>
              <w:rPr>
                <w:rFonts w:eastAsia="Times New Roman" w:cs="Arial"/>
                <w:color w:val="000000"/>
                <w:lang w:eastAsia="es-MX"/>
              </w:rPr>
            </w:pPr>
            <w:r w:rsidRPr="008E3369">
              <w:rPr>
                <w:rFonts w:eastAsia="Times New Roman" w:cs="Arial"/>
                <w:color w:val="000000"/>
                <w:lang w:eastAsia="es-MX"/>
              </w:rPr>
              <w:t xml:space="preserve">Se solicita considerar como una actividad adicional del Trabajo Especial “Acondicionamiento de la </w:t>
            </w:r>
            <w:proofErr w:type="gramStart"/>
            <w:r w:rsidRPr="008E3369">
              <w:rPr>
                <w:rFonts w:eastAsia="Times New Roman" w:cs="Arial"/>
                <w:color w:val="000000"/>
                <w:lang w:eastAsia="es-MX"/>
              </w:rPr>
              <w:t>Infraestructura”  el</w:t>
            </w:r>
            <w:proofErr w:type="gramEnd"/>
            <w:r w:rsidRPr="008E3369">
              <w:rPr>
                <w:rFonts w:eastAsia="Times New Roman" w:cs="Arial"/>
                <w:color w:val="000000"/>
                <w:lang w:eastAsia="es-MX"/>
              </w:rPr>
              <w:t xml:space="preserve"> Análisis Estructural, actividad que consiste en un estudio que se realiza solo cuando se  considere indispensable contar con los cálculos y análisis pertinentes para asegurar que la instalación cumpla con la normativa técnica sobre las cargas gravitacionales sobre la estructura de la torre, fuerzas del viento y de sismos o un alto grado de ocupación.</w:t>
            </w:r>
          </w:p>
          <w:p w14:paraId="2D8F7228" w14:textId="77777777" w:rsidR="008E3369" w:rsidRPr="008E3369" w:rsidRDefault="008E3369" w:rsidP="00BA709C">
            <w:pPr>
              <w:spacing w:after="0" w:line="240" w:lineRule="auto"/>
              <w:ind w:right="-48"/>
              <w:jc w:val="both"/>
              <w:rPr>
                <w:rFonts w:eastAsia="Times New Roman" w:cs="Arial"/>
                <w:color w:val="000000"/>
                <w:highlight w:val="yellow"/>
                <w:lang w:eastAsia="es-MX"/>
              </w:rPr>
            </w:pPr>
          </w:p>
          <w:p w14:paraId="731B29DE" w14:textId="77777777" w:rsidR="008E3369" w:rsidRPr="008E3369" w:rsidRDefault="008E3369" w:rsidP="00BA709C">
            <w:pPr>
              <w:spacing w:after="0" w:line="240" w:lineRule="auto"/>
              <w:ind w:right="-48"/>
              <w:jc w:val="both"/>
              <w:rPr>
                <w:rFonts w:eastAsia="Times New Roman" w:cs="Arial"/>
                <w:color w:val="000000"/>
                <w:lang w:eastAsia="es-MX"/>
              </w:rPr>
            </w:pPr>
          </w:p>
          <w:p w14:paraId="74221278" w14:textId="77777777" w:rsidR="008E3369" w:rsidRPr="008E3369" w:rsidRDefault="008E3369" w:rsidP="00BA709C">
            <w:pPr>
              <w:spacing w:after="0" w:line="240" w:lineRule="auto"/>
              <w:ind w:right="-48"/>
              <w:jc w:val="both"/>
              <w:rPr>
                <w:rFonts w:eastAsia="Times New Roman" w:cs="Arial"/>
                <w:lang w:eastAsia="es-MX"/>
              </w:rPr>
            </w:pPr>
          </w:p>
          <w:p w14:paraId="5A2B8A4A" w14:textId="77777777" w:rsidR="008E3369" w:rsidRPr="008E3369" w:rsidRDefault="008E3369" w:rsidP="00BA709C">
            <w:pPr>
              <w:jc w:val="both"/>
              <w:rPr>
                <w:rFonts w:eastAsia="Times New Roman" w:cs="Arial"/>
                <w:lang w:eastAsia="es-MX"/>
              </w:rPr>
            </w:pPr>
          </w:p>
          <w:p w14:paraId="7E75C4C1" w14:textId="77777777" w:rsidR="008E3369" w:rsidRPr="008E3369" w:rsidRDefault="008E3369" w:rsidP="00BA709C">
            <w:pPr>
              <w:spacing w:after="0" w:line="240" w:lineRule="auto"/>
              <w:ind w:right="-48"/>
              <w:jc w:val="both"/>
              <w:rPr>
                <w:rFonts w:eastAsia="Times New Roman" w:cs="Arial"/>
                <w:color w:val="000000"/>
                <w:lang w:eastAsia="es-MX"/>
              </w:rPr>
            </w:pPr>
          </w:p>
        </w:tc>
      </w:tr>
    </w:tbl>
    <w:p w14:paraId="6DAD4D10" w14:textId="77777777" w:rsidR="00E44664" w:rsidRPr="008E3369" w:rsidRDefault="00E44664" w:rsidP="00E44664">
      <w:pPr>
        <w:pStyle w:val="Sinespaciado"/>
      </w:pPr>
    </w:p>
    <w:p w14:paraId="2C723E93" w14:textId="77777777" w:rsidR="00D66FC4" w:rsidRPr="008E3369" w:rsidRDefault="00D66FC4" w:rsidP="00D66FC4">
      <w:pPr>
        <w:pStyle w:val="Sinespaciado"/>
        <w:rPr>
          <w:b/>
        </w:rPr>
      </w:pPr>
      <w:r w:rsidRPr="008E3369">
        <w:rPr>
          <w:b/>
        </w:rPr>
        <w:t xml:space="preserve">ANEXO 2 </w:t>
      </w:r>
      <w:r w:rsidRPr="008E3369">
        <w:rPr>
          <w:b/>
          <w:i/>
        </w:rPr>
        <w:t>“NORMAS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3"/>
        <w:gridCol w:w="1448"/>
        <w:gridCol w:w="1701"/>
        <w:gridCol w:w="3401"/>
        <w:gridCol w:w="3707"/>
      </w:tblGrid>
      <w:tr w:rsidR="00D66FC4" w:rsidRPr="008E3369" w14:paraId="5FF91292" w14:textId="77777777" w:rsidTr="005B02B8">
        <w:trPr>
          <w:trHeight w:val="346"/>
          <w:tblHeader/>
        </w:trPr>
        <w:tc>
          <w:tcPr>
            <w:tcW w:w="247" w:type="pct"/>
            <w:shd w:val="clear" w:color="auto" w:fill="1F497D" w:themeFill="text2"/>
            <w:vAlign w:val="center"/>
          </w:tcPr>
          <w:p w14:paraId="35D74646" w14:textId="77777777" w:rsidR="00D66FC4" w:rsidRPr="008E3369" w:rsidRDefault="00D66FC4" w:rsidP="00D66FC4">
            <w:pPr>
              <w:spacing w:after="0" w:line="240" w:lineRule="auto"/>
              <w:jc w:val="center"/>
              <w:rPr>
                <w:rFonts w:eastAsia="Times New Roman" w:cs="Arial"/>
                <w:color w:val="FFFFFF" w:themeColor="background1"/>
                <w:lang w:eastAsia="es-MX"/>
              </w:rPr>
            </w:pPr>
            <w:r w:rsidRPr="008E3369">
              <w:rPr>
                <w:rFonts w:eastAsia="Times New Roman" w:cs="Arial"/>
                <w:b/>
                <w:bCs/>
                <w:color w:val="FFFFFF" w:themeColor="background1"/>
                <w:lang w:eastAsia="es-MX"/>
              </w:rPr>
              <w:lastRenderedPageBreak/>
              <w:t>No</w:t>
            </w:r>
          </w:p>
        </w:tc>
        <w:tc>
          <w:tcPr>
            <w:tcW w:w="671" w:type="pct"/>
            <w:shd w:val="clear" w:color="auto" w:fill="1F497D" w:themeFill="text2"/>
            <w:vAlign w:val="center"/>
          </w:tcPr>
          <w:p w14:paraId="1EAFC01A" w14:textId="77777777" w:rsidR="00D66FC4" w:rsidRPr="008E3369" w:rsidRDefault="00D66FC4" w:rsidP="00D66FC4">
            <w:pPr>
              <w:spacing w:after="0" w:line="240" w:lineRule="auto"/>
              <w:jc w:val="center"/>
              <w:rPr>
                <w:rFonts w:eastAsia="Times New Roman" w:cs="Arial"/>
                <w:color w:val="FFFFFF" w:themeColor="background1"/>
                <w:lang w:eastAsia="es-MX"/>
              </w:rPr>
            </w:pPr>
            <w:proofErr w:type="gramStart"/>
            <w:r w:rsidRPr="008E3369">
              <w:rPr>
                <w:rFonts w:eastAsia="Times New Roman" w:cs="Arial"/>
                <w:b/>
                <w:bCs/>
                <w:color w:val="FFFFFF" w:themeColor="background1"/>
                <w:lang w:eastAsia="es-MX"/>
              </w:rPr>
              <w:t>Cláusula,/</w:t>
            </w:r>
            <w:proofErr w:type="gramEnd"/>
            <w:r w:rsidRPr="008E3369">
              <w:rPr>
                <w:rFonts w:eastAsia="Times New Roman" w:cs="Arial"/>
                <w:b/>
                <w:bCs/>
                <w:color w:val="FFFFFF" w:themeColor="background1"/>
                <w:lang w:eastAsia="es-MX"/>
              </w:rPr>
              <w:t>Sección/Numeral</w:t>
            </w:r>
          </w:p>
        </w:tc>
        <w:tc>
          <w:tcPr>
            <w:tcW w:w="788" w:type="pct"/>
            <w:shd w:val="clear" w:color="auto" w:fill="1F497D" w:themeFill="text2"/>
            <w:vAlign w:val="center"/>
          </w:tcPr>
          <w:p w14:paraId="576962A9" w14:textId="77777777" w:rsidR="00D66FC4" w:rsidRPr="008E3369" w:rsidRDefault="00D66FC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Tema</w:t>
            </w:r>
          </w:p>
        </w:tc>
        <w:tc>
          <w:tcPr>
            <w:tcW w:w="1576" w:type="pct"/>
            <w:shd w:val="clear" w:color="auto" w:fill="1F497D" w:themeFill="text2"/>
            <w:vAlign w:val="center"/>
          </w:tcPr>
          <w:p w14:paraId="00FAD699" w14:textId="77777777" w:rsidR="00D66FC4" w:rsidRPr="008E3369" w:rsidRDefault="00D66FC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Modificación/Adición</w:t>
            </w:r>
          </w:p>
        </w:tc>
        <w:tc>
          <w:tcPr>
            <w:tcW w:w="1718" w:type="pct"/>
            <w:tcBorders>
              <w:bottom w:val="single" w:sz="4" w:space="0" w:color="000000" w:themeColor="text1"/>
            </w:tcBorders>
            <w:shd w:val="clear" w:color="auto" w:fill="1F497D" w:themeFill="text2"/>
            <w:vAlign w:val="center"/>
          </w:tcPr>
          <w:p w14:paraId="32075FF5" w14:textId="77777777" w:rsidR="00D66FC4" w:rsidRPr="008E3369" w:rsidRDefault="00D66FC4" w:rsidP="00D66FC4">
            <w:pPr>
              <w:spacing w:after="0" w:line="240" w:lineRule="auto"/>
              <w:jc w:val="center"/>
              <w:rPr>
                <w:rFonts w:eastAsia="Times New Roman" w:cs="Arial"/>
                <w:color w:val="FFFFFF" w:themeColor="background1"/>
                <w:highlight w:val="green"/>
                <w:lang w:eastAsia="es-MX"/>
              </w:rPr>
            </w:pPr>
            <w:r w:rsidRPr="008E3369">
              <w:rPr>
                <w:rFonts w:eastAsia="Times New Roman" w:cs="Arial"/>
                <w:b/>
                <w:bCs/>
                <w:color w:val="FFFFFF" w:themeColor="background1"/>
                <w:lang w:eastAsia="es-MX"/>
              </w:rPr>
              <w:t>Justificación a Instituto</w:t>
            </w:r>
          </w:p>
        </w:tc>
      </w:tr>
      <w:tr w:rsidR="00D66FC4" w:rsidRPr="008E3369" w14:paraId="0CD90AE7" w14:textId="77777777" w:rsidTr="005B02B8">
        <w:trPr>
          <w:trHeight w:val="1650"/>
        </w:trPr>
        <w:tc>
          <w:tcPr>
            <w:tcW w:w="247" w:type="pct"/>
            <w:tcBorders>
              <w:top w:val="single" w:sz="4" w:space="0" w:color="auto"/>
              <w:left w:val="single" w:sz="4" w:space="0" w:color="auto"/>
              <w:bottom w:val="single" w:sz="4" w:space="0" w:color="auto"/>
              <w:right w:val="single" w:sz="4" w:space="0" w:color="auto"/>
            </w:tcBorders>
            <w:vAlign w:val="center"/>
          </w:tcPr>
          <w:p w14:paraId="714A44D7" w14:textId="77777777" w:rsidR="00D66FC4" w:rsidRPr="008E3369" w:rsidRDefault="00D66FC4" w:rsidP="00D66FC4">
            <w:pPr>
              <w:spacing w:after="0" w:line="240" w:lineRule="auto"/>
              <w:jc w:val="center"/>
              <w:rPr>
                <w:rFonts w:eastAsia="Times New Roman" w:cstheme="minorHAnsi"/>
                <w:color w:val="000000"/>
                <w:lang w:eastAsia="es-MX"/>
              </w:rPr>
            </w:pPr>
          </w:p>
          <w:p w14:paraId="493FCD83" w14:textId="64C7363D" w:rsidR="00D66FC4" w:rsidRPr="008E3369" w:rsidRDefault="001274D9" w:rsidP="00D66FC4">
            <w:pPr>
              <w:spacing w:after="0" w:line="240" w:lineRule="auto"/>
              <w:jc w:val="center"/>
              <w:rPr>
                <w:rFonts w:eastAsia="Times New Roman" w:cstheme="minorHAnsi"/>
                <w:color w:val="000000"/>
                <w:lang w:eastAsia="es-MX"/>
              </w:rPr>
            </w:pPr>
            <w:r>
              <w:rPr>
                <w:rFonts w:eastAsia="Times New Roman" w:cstheme="minorHAnsi"/>
                <w:color w:val="000000"/>
                <w:lang w:eastAsia="es-MX"/>
              </w:rPr>
              <w:t>10</w:t>
            </w:r>
          </w:p>
        </w:tc>
        <w:tc>
          <w:tcPr>
            <w:tcW w:w="671" w:type="pct"/>
            <w:tcBorders>
              <w:top w:val="single" w:sz="4" w:space="0" w:color="auto"/>
              <w:left w:val="single" w:sz="4" w:space="0" w:color="auto"/>
              <w:bottom w:val="single" w:sz="4" w:space="0" w:color="auto"/>
              <w:right w:val="single" w:sz="4" w:space="0" w:color="auto"/>
            </w:tcBorders>
            <w:vAlign w:val="center"/>
          </w:tcPr>
          <w:p w14:paraId="2FBBF986" w14:textId="77777777" w:rsidR="00D66FC4" w:rsidRPr="008E3369" w:rsidRDefault="00F920D3" w:rsidP="00D66FC4">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3.2 Análisis de Factibilidad</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596068D6" w14:textId="77777777" w:rsidR="00D66FC4" w:rsidRPr="008E3369" w:rsidRDefault="00D66FC4" w:rsidP="00D66FC4">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Análisis Estructural</w:t>
            </w:r>
          </w:p>
        </w:tc>
        <w:tc>
          <w:tcPr>
            <w:tcW w:w="1576" w:type="pct"/>
            <w:tcBorders>
              <w:top w:val="single" w:sz="4" w:space="0" w:color="auto"/>
              <w:left w:val="single" w:sz="4" w:space="0" w:color="auto"/>
              <w:bottom w:val="single" w:sz="4" w:space="0" w:color="auto"/>
              <w:right w:val="single" w:sz="4" w:space="0" w:color="auto"/>
            </w:tcBorders>
            <w:shd w:val="clear" w:color="auto" w:fill="auto"/>
          </w:tcPr>
          <w:p w14:paraId="62A2CDCE" w14:textId="77777777" w:rsidR="00F920D3" w:rsidRPr="008E3369" w:rsidRDefault="00F920D3" w:rsidP="00447B13">
            <w:pPr>
              <w:spacing w:after="0"/>
              <w:jc w:val="both"/>
              <w:rPr>
                <w:rFonts w:eastAsia="Calibri" w:cs="Calibri"/>
                <w:bCs/>
                <w:lang w:eastAsia="es-MX"/>
              </w:rPr>
            </w:pPr>
            <w:r w:rsidRPr="008E3369">
              <w:rPr>
                <w:rFonts w:eastAsia="Calibri" w:cs="Calibri"/>
                <w:bCs/>
                <w:lang w:eastAsia="es-MX"/>
              </w:rPr>
              <w:t>Con base en la información proporcionada por el CS o AS en su Anteproyecto, la División Mayorista realizará el Análisis de Factibilidad que contempla lo siguiente:</w:t>
            </w:r>
          </w:p>
          <w:p w14:paraId="1ABE3F8A" w14:textId="77777777" w:rsidR="00F920D3" w:rsidRPr="008E3369" w:rsidRDefault="00F920D3" w:rsidP="00F920D3">
            <w:pPr>
              <w:pStyle w:val="IFTnormal"/>
              <w:spacing w:after="0"/>
              <w:rPr>
                <w:rFonts w:asciiTheme="minorHAnsi" w:hAnsiTheme="minorHAnsi"/>
                <w:lang w:eastAsia="es-MX"/>
              </w:rPr>
            </w:pPr>
          </w:p>
          <w:p w14:paraId="0F985399" w14:textId="77777777" w:rsidR="00F920D3" w:rsidRPr="008E3369" w:rsidRDefault="00F920D3" w:rsidP="00F920D3">
            <w:pPr>
              <w:pStyle w:val="IFTnormal"/>
              <w:spacing w:after="0"/>
              <w:rPr>
                <w:rFonts w:asciiTheme="minorHAnsi" w:hAnsiTheme="minorHAnsi"/>
                <w:lang w:eastAsia="es-MX"/>
              </w:rPr>
            </w:pPr>
            <w:r w:rsidRPr="008E3369">
              <w:rPr>
                <w:rFonts w:asciiTheme="minorHAnsi" w:hAnsiTheme="minorHAnsi"/>
                <w:lang w:eastAsia="es-MX"/>
              </w:rPr>
              <w:t xml:space="preserve">­ Análisis de frecuencias necesarios para garantizar la correcta operación de los sistemas existentes, así como un uso adecuado del espectro radioeléctrico en puntos comunes. </w:t>
            </w:r>
          </w:p>
          <w:p w14:paraId="61CBCC7A" w14:textId="77777777" w:rsidR="00D66FC4" w:rsidRPr="008E3369" w:rsidRDefault="00F920D3" w:rsidP="00F920D3">
            <w:pPr>
              <w:pStyle w:val="IFTnormal"/>
              <w:spacing w:after="0"/>
              <w:rPr>
                <w:rFonts w:asciiTheme="minorHAnsi" w:hAnsiTheme="minorHAnsi"/>
                <w:b/>
                <w:lang w:eastAsia="es-MX"/>
              </w:rPr>
            </w:pPr>
            <w:r w:rsidRPr="008E3369">
              <w:rPr>
                <w:rFonts w:asciiTheme="minorHAnsi" w:eastAsiaTheme="minorHAnsi" w:hAnsiTheme="minorHAnsi" w:cs="Arial"/>
                <w:b/>
                <w:bCs w:val="0"/>
                <w:strike/>
                <w:color w:val="FF0000"/>
              </w:rPr>
              <w:t>­ Análisis estructural de torre para garantizar la integridad física de la misma. Este análisis contendrá los cálculos y análisis pertinentes para asegurar que la instalación cumpla con la normativa técnica sobre cargas gravitacionales sobre la estructura de la torre, fuerzas del viento y fuerzas de sismo.</w:t>
            </w:r>
          </w:p>
        </w:tc>
        <w:tc>
          <w:tcPr>
            <w:tcW w:w="1718" w:type="pct"/>
            <w:tcBorders>
              <w:top w:val="single" w:sz="4" w:space="0" w:color="auto"/>
              <w:left w:val="single" w:sz="4" w:space="0" w:color="auto"/>
              <w:bottom w:val="single" w:sz="4" w:space="0" w:color="auto"/>
              <w:right w:val="single" w:sz="4" w:space="0" w:color="auto"/>
            </w:tcBorders>
            <w:vAlign w:val="center"/>
          </w:tcPr>
          <w:p w14:paraId="6270517D" w14:textId="77777777" w:rsidR="008B47FC" w:rsidRPr="008E3369" w:rsidRDefault="008B47FC" w:rsidP="008B47FC">
            <w:pPr>
              <w:spacing w:after="0" w:line="240" w:lineRule="auto"/>
              <w:jc w:val="both"/>
              <w:rPr>
                <w:rFonts w:eastAsia="Times New Roman" w:cs="Arial"/>
                <w:color w:val="000000"/>
                <w:lang w:eastAsia="es-MX"/>
              </w:rPr>
            </w:pPr>
            <w:r w:rsidRPr="008E3369">
              <w:rPr>
                <w:rFonts w:eastAsia="Times New Roman" w:cs="Arial"/>
                <w:color w:val="000000"/>
                <w:lang w:eastAsia="es-MX"/>
              </w:rPr>
              <w:t xml:space="preserve">Se solicita eliminar de la </w:t>
            </w:r>
            <w:proofErr w:type="gramStart"/>
            <w:r w:rsidRPr="008E3369">
              <w:rPr>
                <w:rFonts w:eastAsia="Times New Roman" w:cs="Arial"/>
                <w:color w:val="000000"/>
                <w:lang w:eastAsia="es-MX"/>
              </w:rPr>
              <w:t>sección  “</w:t>
            </w:r>
            <w:proofErr w:type="gramEnd"/>
            <w:r w:rsidRPr="008E3369">
              <w:rPr>
                <w:rFonts w:eastAsia="Times New Roman" w:cs="Arial"/>
                <w:color w:val="000000"/>
                <w:lang w:eastAsia="es-MX"/>
              </w:rPr>
              <w:t>Análisis de Factibilidad”, la actividad de “Análisis Estructural”, ya que es un estudio que se realiza solo cuando la estructura de la torre tenga características que pudieran llegar a vulnerar la normatividad técnica, como pueden ser; la antigüedad de la estructura metálica, factores climáticos, y un grado alto de ocupación.</w:t>
            </w:r>
          </w:p>
          <w:p w14:paraId="09F31B34" w14:textId="77777777" w:rsidR="003812C9" w:rsidRPr="008E3369" w:rsidRDefault="003812C9" w:rsidP="003812C9">
            <w:pPr>
              <w:spacing w:after="0" w:line="240" w:lineRule="auto"/>
              <w:ind w:right="-48"/>
              <w:jc w:val="both"/>
              <w:rPr>
                <w:rFonts w:eastAsia="Times New Roman" w:cs="Arial"/>
                <w:color w:val="000000"/>
                <w:lang w:eastAsia="es-MX"/>
              </w:rPr>
            </w:pPr>
          </w:p>
          <w:p w14:paraId="6DA24EB6" w14:textId="77777777" w:rsidR="003812C9" w:rsidRPr="008E3369" w:rsidRDefault="003812C9" w:rsidP="003812C9">
            <w:pPr>
              <w:jc w:val="both"/>
              <w:rPr>
                <w:rFonts w:eastAsia="Times New Roman" w:cs="Arial"/>
                <w:lang w:eastAsia="es-MX"/>
              </w:rPr>
            </w:pPr>
            <w:r w:rsidRPr="008E3369">
              <w:rPr>
                <w:rFonts w:eastAsia="Times New Roman" w:cs="Arial"/>
                <w:lang w:eastAsia="es-MX"/>
              </w:rPr>
              <w:t xml:space="preserve">Además se le solicita al Instituto que considere que el costo de un Análisis Estructural puede ser de más de $80,000 pesos y que dicha actividad está considerada en la oferta vigente como parte de la revisión que </w:t>
            </w:r>
            <w:proofErr w:type="gramStart"/>
            <w:r w:rsidRPr="008E3369">
              <w:rPr>
                <w:rFonts w:eastAsia="Times New Roman" w:cs="Arial"/>
                <w:lang w:eastAsia="es-MX"/>
              </w:rPr>
              <w:t>se  realiza</w:t>
            </w:r>
            <w:proofErr w:type="gramEnd"/>
            <w:r w:rsidRPr="008E3369">
              <w:rPr>
                <w:rFonts w:eastAsia="Times New Roman" w:cs="Arial"/>
                <w:lang w:eastAsia="es-MX"/>
              </w:rPr>
              <w:t xml:space="preserve"> en el “Análisis de Factibilidad“, cuya tarifa es de $5,362.52 pesos. Por lo </w:t>
            </w:r>
            <w:proofErr w:type="gramStart"/>
            <w:r w:rsidRPr="008E3369">
              <w:rPr>
                <w:rFonts w:eastAsia="Times New Roman" w:cs="Arial"/>
                <w:lang w:eastAsia="es-MX"/>
              </w:rPr>
              <w:t>tanto</w:t>
            </w:r>
            <w:proofErr w:type="gramEnd"/>
            <w:r w:rsidRPr="008E3369">
              <w:rPr>
                <w:rFonts w:eastAsia="Times New Roman" w:cs="Arial"/>
                <w:lang w:eastAsia="es-MX"/>
              </w:rPr>
              <w:t xml:space="preserve"> no está justificado que el Estudio de Análisis estructural sea una de las actividades que forme parte del Análisis de Factibilidad.</w:t>
            </w:r>
          </w:p>
          <w:p w14:paraId="06B29A60" w14:textId="77777777" w:rsidR="00F36768" w:rsidRPr="008E3369" w:rsidRDefault="00F36768" w:rsidP="00F257F6">
            <w:pPr>
              <w:spacing w:after="0" w:line="240" w:lineRule="auto"/>
              <w:jc w:val="both"/>
              <w:rPr>
                <w:rFonts w:eastAsia="Times New Roman" w:cs="Arial"/>
                <w:color w:val="000000"/>
                <w:highlight w:val="yellow"/>
                <w:lang w:eastAsia="es-MX"/>
              </w:rPr>
            </w:pPr>
          </w:p>
        </w:tc>
      </w:tr>
    </w:tbl>
    <w:p w14:paraId="7D83F1F7" w14:textId="77777777" w:rsidR="00D66FC4" w:rsidRPr="008E3369" w:rsidRDefault="00D66FC4" w:rsidP="00E44664">
      <w:pPr>
        <w:pStyle w:val="Sinespaciado"/>
      </w:pPr>
    </w:p>
    <w:p w14:paraId="09B50BA3" w14:textId="77777777" w:rsidR="00DC1DD2" w:rsidRPr="008E3369" w:rsidRDefault="00DC1DD2" w:rsidP="00B00EF9">
      <w:pPr>
        <w:pStyle w:val="Sinespaciado"/>
        <w:rPr>
          <w:b/>
        </w:rPr>
      </w:pPr>
    </w:p>
    <w:p w14:paraId="49E69DD2" w14:textId="77777777" w:rsidR="00B00EF9" w:rsidRPr="008E3369" w:rsidRDefault="00B00EF9" w:rsidP="00B00EF9">
      <w:pPr>
        <w:pStyle w:val="Sinespaciado"/>
        <w:rPr>
          <w:b/>
          <w:i/>
        </w:rPr>
      </w:pPr>
      <w:r w:rsidRPr="008E3369">
        <w:rPr>
          <w:b/>
        </w:rPr>
        <w:t xml:space="preserve">ANEXO 3 </w:t>
      </w:r>
      <w:r w:rsidRPr="008E3369">
        <w:rPr>
          <w:b/>
          <w:i/>
        </w:rPr>
        <w:t>“PROCEDIMIENTO DE ATENCIÓN DE FALLAS, CONTINUIDAD DEL SERVICIO Y GESTIÓN DE INCIDENCIAS”</w:t>
      </w:r>
    </w:p>
    <w:p w14:paraId="2F415C54" w14:textId="77777777" w:rsidR="00E90104" w:rsidRPr="008E3369" w:rsidRDefault="00E90104" w:rsidP="00B00EF9">
      <w:pPr>
        <w:pStyle w:val="Sinespaciad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3"/>
        <w:gridCol w:w="1448"/>
        <w:gridCol w:w="1701"/>
        <w:gridCol w:w="3401"/>
        <w:gridCol w:w="3707"/>
      </w:tblGrid>
      <w:tr w:rsidR="00082EA6" w:rsidRPr="008E3369" w14:paraId="3BFD1138" w14:textId="77777777" w:rsidTr="005B02B8">
        <w:trPr>
          <w:trHeight w:val="346"/>
          <w:tblHeader/>
        </w:trPr>
        <w:tc>
          <w:tcPr>
            <w:tcW w:w="247" w:type="pct"/>
            <w:shd w:val="clear" w:color="auto" w:fill="1F497D" w:themeFill="text2"/>
            <w:vAlign w:val="center"/>
          </w:tcPr>
          <w:p w14:paraId="797FD096" w14:textId="77777777" w:rsidR="00B00EF9" w:rsidRPr="008E3369" w:rsidRDefault="00B00EF9" w:rsidP="00F44068">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No</w:t>
            </w:r>
          </w:p>
        </w:tc>
        <w:tc>
          <w:tcPr>
            <w:tcW w:w="671" w:type="pct"/>
            <w:shd w:val="clear" w:color="auto" w:fill="1F497D" w:themeFill="text2"/>
            <w:vAlign w:val="center"/>
          </w:tcPr>
          <w:p w14:paraId="37721509" w14:textId="77777777" w:rsidR="00B00EF9" w:rsidRPr="008E3369" w:rsidRDefault="00B00EF9" w:rsidP="00F44068">
            <w:pPr>
              <w:spacing w:after="0" w:line="240" w:lineRule="auto"/>
              <w:jc w:val="center"/>
              <w:rPr>
                <w:rFonts w:eastAsia="Times New Roman" w:cs="Arial"/>
                <w:b/>
                <w:bCs/>
                <w:color w:val="FFFFFF" w:themeColor="background1"/>
                <w:lang w:eastAsia="es-MX"/>
              </w:rPr>
            </w:pPr>
            <w:proofErr w:type="gramStart"/>
            <w:r w:rsidRPr="008E3369">
              <w:rPr>
                <w:rFonts w:eastAsia="Times New Roman" w:cs="Arial"/>
                <w:b/>
                <w:bCs/>
                <w:color w:val="FFFFFF" w:themeColor="background1"/>
                <w:lang w:eastAsia="es-MX"/>
              </w:rPr>
              <w:t>Cláusula,/</w:t>
            </w:r>
            <w:proofErr w:type="gramEnd"/>
            <w:r w:rsidRPr="008E3369">
              <w:rPr>
                <w:rFonts w:eastAsia="Times New Roman" w:cs="Arial"/>
                <w:b/>
                <w:bCs/>
                <w:color w:val="FFFFFF" w:themeColor="background1"/>
                <w:lang w:eastAsia="es-MX"/>
              </w:rPr>
              <w:t>Sección/Numeral</w:t>
            </w:r>
          </w:p>
        </w:tc>
        <w:tc>
          <w:tcPr>
            <w:tcW w:w="788" w:type="pct"/>
            <w:shd w:val="clear" w:color="auto" w:fill="1F497D" w:themeFill="text2"/>
            <w:vAlign w:val="center"/>
          </w:tcPr>
          <w:p w14:paraId="2E9DCE91" w14:textId="77777777" w:rsidR="00B00EF9" w:rsidRPr="008E3369" w:rsidRDefault="00B00EF9" w:rsidP="00F44068">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Tema</w:t>
            </w:r>
          </w:p>
        </w:tc>
        <w:tc>
          <w:tcPr>
            <w:tcW w:w="1576" w:type="pct"/>
            <w:shd w:val="clear" w:color="auto" w:fill="1F497D" w:themeFill="text2"/>
            <w:vAlign w:val="center"/>
          </w:tcPr>
          <w:p w14:paraId="770A5169" w14:textId="77777777" w:rsidR="00B00EF9" w:rsidRPr="008E3369" w:rsidRDefault="00B00EF9" w:rsidP="00F44068">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Modificación/Adición</w:t>
            </w:r>
          </w:p>
        </w:tc>
        <w:tc>
          <w:tcPr>
            <w:tcW w:w="1718" w:type="pct"/>
            <w:tcBorders>
              <w:bottom w:val="single" w:sz="4" w:space="0" w:color="000000" w:themeColor="text1"/>
            </w:tcBorders>
            <w:shd w:val="clear" w:color="auto" w:fill="1F497D" w:themeFill="text2"/>
            <w:vAlign w:val="center"/>
          </w:tcPr>
          <w:p w14:paraId="61E226F3" w14:textId="77777777" w:rsidR="00B00EF9" w:rsidRPr="008E3369" w:rsidRDefault="00B00EF9" w:rsidP="00F44068">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Justificación a Instituto</w:t>
            </w:r>
          </w:p>
        </w:tc>
      </w:tr>
      <w:tr w:rsidR="00082EA6" w:rsidRPr="008E3369" w14:paraId="3D2EA829" w14:textId="77777777" w:rsidTr="005B02B8">
        <w:trPr>
          <w:trHeight w:val="346"/>
          <w:tblHeader/>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14:paraId="768A5C1F" w14:textId="345B8E48" w:rsidR="00B00EF9" w:rsidRPr="008E3369" w:rsidRDefault="001274D9" w:rsidP="00B00EF9">
            <w:pPr>
              <w:spacing w:after="0" w:line="240" w:lineRule="auto"/>
              <w:jc w:val="center"/>
              <w:rPr>
                <w:rFonts w:eastAsia="Times New Roman" w:cs="Arial"/>
                <w:bCs/>
                <w:lang w:eastAsia="es-MX"/>
              </w:rPr>
            </w:pPr>
            <w:r>
              <w:rPr>
                <w:rFonts w:eastAsia="Times New Roman" w:cs="Arial"/>
                <w:bCs/>
                <w:lang w:eastAsia="es-MX"/>
              </w:rPr>
              <w:t>11</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4FCF5BE" w14:textId="77777777" w:rsidR="00B00EF9" w:rsidRPr="008E3369" w:rsidRDefault="00B00EF9" w:rsidP="00B00EF9">
            <w:pPr>
              <w:spacing w:after="0" w:line="240" w:lineRule="auto"/>
              <w:jc w:val="center"/>
              <w:rPr>
                <w:rFonts w:eastAsia="Times New Roman" w:cs="Arial"/>
                <w:bCs/>
                <w:lang w:eastAsia="es-MX"/>
              </w:rPr>
            </w:pPr>
            <w:r w:rsidRPr="008E3369">
              <w:rPr>
                <w:rFonts w:eastAsia="Times New Roman" w:cs="Arial"/>
                <w:bCs/>
                <w:lang w:eastAsia="es-MX"/>
              </w:rPr>
              <w:t>2</w:t>
            </w:r>
            <w:r w:rsidR="005525F9" w:rsidRPr="008E3369">
              <w:rPr>
                <w:rFonts w:eastAsia="Times New Roman" w:cs="Arial"/>
                <w:bCs/>
                <w:lang w:eastAsia="es-MX"/>
              </w:rPr>
              <w:t>.</w:t>
            </w:r>
            <w:r w:rsidRPr="008E3369">
              <w:rPr>
                <w:rFonts w:eastAsia="Times New Roman" w:cs="Arial"/>
                <w:bCs/>
                <w:lang w:eastAsia="es-MX"/>
              </w:rPr>
              <w:t xml:space="preserve"> Contacto</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676C43D3" w14:textId="77777777" w:rsidR="00B00EF9" w:rsidRPr="008E3369" w:rsidRDefault="00B00EF9" w:rsidP="00B00EF9">
            <w:pPr>
              <w:spacing w:after="0" w:line="240" w:lineRule="auto"/>
              <w:jc w:val="center"/>
              <w:rPr>
                <w:rFonts w:eastAsia="Times New Roman" w:cs="Arial"/>
                <w:bCs/>
                <w:lang w:eastAsia="es-MX"/>
              </w:rPr>
            </w:pPr>
            <w:r w:rsidRPr="008E3369">
              <w:rPr>
                <w:rFonts w:eastAsia="Times New Roman" w:cs="Arial"/>
                <w:bCs/>
                <w:lang w:eastAsia="es-MX"/>
              </w:rPr>
              <w:t>Datos de contacto en caso de falla</w:t>
            </w:r>
          </w:p>
        </w:tc>
        <w:tc>
          <w:tcPr>
            <w:tcW w:w="1576" w:type="pct"/>
            <w:tcBorders>
              <w:top w:val="single" w:sz="4" w:space="0" w:color="auto"/>
              <w:left w:val="single" w:sz="4" w:space="0" w:color="auto"/>
              <w:bottom w:val="single" w:sz="4" w:space="0" w:color="auto"/>
              <w:right w:val="single" w:sz="4" w:space="0" w:color="auto"/>
            </w:tcBorders>
            <w:shd w:val="clear" w:color="auto" w:fill="auto"/>
            <w:vAlign w:val="center"/>
          </w:tcPr>
          <w:p w14:paraId="3F72F2A2" w14:textId="77777777" w:rsidR="00B00EF9" w:rsidRPr="008E3369" w:rsidRDefault="00B00EF9" w:rsidP="00447B13">
            <w:pPr>
              <w:spacing w:after="0" w:line="240" w:lineRule="auto"/>
              <w:jc w:val="both"/>
              <w:rPr>
                <w:rFonts w:eastAsia="Times New Roman" w:cs="Arial"/>
                <w:b/>
                <w:bCs/>
                <w:lang w:eastAsia="es-MX"/>
              </w:rPr>
            </w:pPr>
            <w:r w:rsidRPr="008E3369">
              <w:rPr>
                <w:rFonts w:eastAsia="Times New Roman" w:cs="Arial"/>
                <w:bCs/>
                <w:lang w:eastAsia="es-MX"/>
              </w:rPr>
              <w:t xml:space="preserve">La División Mayorista pondrá a disposición del CS o AS el siguiente número telefónico </w:t>
            </w:r>
            <w:r w:rsidRPr="008E3369">
              <w:rPr>
                <w:rFonts w:eastAsia="Calibri" w:cstheme="minorHAnsi"/>
                <w:b/>
                <w:bCs/>
                <w:color w:val="548DD4" w:themeColor="text2" w:themeTint="99"/>
                <w:lang w:val="es-ES" w:eastAsia="es-MX"/>
              </w:rPr>
              <w:t>800 7134 100</w:t>
            </w:r>
            <w:r w:rsidRPr="008E3369">
              <w:rPr>
                <w:rFonts w:eastAsia="Times New Roman" w:cs="Arial"/>
                <w:bCs/>
                <w:lang w:eastAsia="es-MX"/>
              </w:rPr>
              <w:t xml:space="preserve"> que corresponde al centro telefónico de atención de la División Mayorista, y/o el siguiente correo electrónico </w:t>
            </w:r>
            <w:r w:rsidRPr="008E3369">
              <w:rPr>
                <w:rFonts w:eastAsia="Times New Roman" w:cs="Arial"/>
                <w:b/>
                <w:bCs/>
                <w:lang w:eastAsia="es-MX"/>
              </w:rPr>
              <w:t>caosuper@telmex.com</w:t>
            </w:r>
            <w:r w:rsidRPr="008E3369">
              <w:rPr>
                <w:rFonts w:eastAsia="Times New Roman" w:cs="Arial"/>
                <w:bCs/>
                <w:lang w:eastAsia="es-MX"/>
              </w:rPr>
              <w:t xml:space="preserve"> los cuales representan el medio alterno al que se deberán remitir respetando los indicadores y términos señalados en la presente Oferta</w:t>
            </w:r>
            <w:r w:rsidRPr="008E3369">
              <w:rPr>
                <w:rFonts w:eastAsia="Times New Roman" w:cs="Arial"/>
                <w:b/>
                <w:bCs/>
                <w:lang w:eastAsia="es-MX"/>
              </w:rPr>
              <w:t>.</w:t>
            </w:r>
          </w:p>
        </w:tc>
        <w:tc>
          <w:tcPr>
            <w:tcW w:w="1718" w:type="pct"/>
            <w:tcBorders>
              <w:top w:val="single" w:sz="4" w:space="0" w:color="auto"/>
              <w:left w:val="single" w:sz="4" w:space="0" w:color="auto"/>
              <w:bottom w:val="single" w:sz="4" w:space="0" w:color="000000" w:themeColor="text1"/>
              <w:right w:val="single" w:sz="4" w:space="0" w:color="auto"/>
            </w:tcBorders>
            <w:shd w:val="clear" w:color="auto" w:fill="auto"/>
            <w:vAlign w:val="center"/>
          </w:tcPr>
          <w:p w14:paraId="37D309CB" w14:textId="77777777" w:rsidR="00082EA6" w:rsidRPr="008E3369" w:rsidRDefault="00082EA6" w:rsidP="00082EA6">
            <w:pPr>
              <w:spacing w:after="0" w:line="240" w:lineRule="auto"/>
              <w:ind w:right="-48"/>
              <w:jc w:val="both"/>
              <w:rPr>
                <w:rFonts w:eastAsia="Times New Roman" w:cstheme="minorHAnsi"/>
                <w:color w:val="000000"/>
                <w:lang w:eastAsia="es-MX"/>
              </w:rPr>
            </w:pPr>
            <w:r w:rsidRPr="008E3369">
              <w:rPr>
                <w:rFonts w:eastAsia="Times New Roman" w:cstheme="minorHAnsi"/>
                <w:color w:val="000000"/>
                <w:lang w:eastAsia="es-MX"/>
              </w:rPr>
              <w:t>Se adiciona a la oferta el número telefónico y el correo electrónico señalados como medios alternos de atención en caso de indisponibilidad del SEG</w:t>
            </w:r>
          </w:p>
          <w:p w14:paraId="362B7B87" w14:textId="77777777" w:rsidR="00B00EF9" w:rsidRPr="008E3369" w:rsidRDefault="00B00EF9" w:rsidP="00447B13">
            <w:pPr>
              <w:spacing w:after="0" w:line="240" w:lineRule="auto"/>
              <w:jc w:val="both"/>
              <w:rPr>
                <w:rFonts w:eastAsia="Times New Roman" w:cs="Arial"/>
                <w:bCs/>
                <w:lang w:eastAsia="es-MX"/>
              </w:rPr>
            </w:pPr>
          </w:p>
        </w:tc>
      </w:tr>
    </w:tbl>
    <w:p w14:paraId="41F5F6A0" w14:textId="77777777" w:rsidR="00C85C35" w:rsidRPr="008E3369" w:rsidRDefault="00C85C35" w:rsidP="00C85C35">
      <w:pPr>
        <w:pStyle w:val="Sinespaciado"/>
        <w:rPr>
          <w:b/>
          <w:bCs/>
        </w:rPr>
      </w:pPr>
    </w:p>
    <w:p w14:paraId="140327C7" w14:textId="77777777" w:rsidR="00C85C35" w:rsidRPr="008E3369" w:rsidRDefault="00C85C35" w:rsidP="00C85C35">
      <w:pPr>
        <w:pStyle w:val="Sinespaciado"/>
        <w:rPr>
          <w:b/>
          <w:bCs/>
        </w:rPr>
      </w:pPr>
    </w:p>
    <w:p w14:paraId="5819B3FD" w14:textId="77777777" w:rsidR="00E44664" w:rsidRPr="008E3369" w:rsidRDefault="00E44664" w:rsidP="00C85C35">
      <w:pPr>
        <w:pStyle w:val="Sinespaciado"/>
      </w:pPr>
      <w:r w:rsidRPr="008E3369">
        <w:rPr>
          <w:b/>
          <w:bCs/>
        </w:rPr>
        <w:t xml:space="preserve">ANEXO </w:t>
      </w:r>
      <w:r w:rsidR="00F257F6" w:rsidRPr="008E3369">
        <w:rPr>
          <w:b/>
          <w:bCs/>
        </w:rPr>
        <w:t>A</w:t>
      </w:r>
      <w:r w:rsidRPr="008E3369">
        <w:rPr>
          <w:b/>
          <w:bCs/>
        </w:rPr>
        <w:t xml:space="preserve"> </w:t>
      </w:r>
      <w:r w:rsidRPr="008E3369">
        <w:rPr>
          <w:b/>
          <w:bCs/>
          <w:i/>
          <w:iCs/>
        </w:rPr>
        <w:t>“</w:t>
      </w:r>
      <w:r w:rsidR="00F257F6" w:rsidRPr="008E3369">
        <w:rPr>
          <w:b/>
          <w:bCs/>
          <w:i/>
          <w:iCs/>
        </w:rPr>
        <w:t>TARIFAS</w:t>
      </w:r>
      <w:r w:rsidRPr="008E3369">
        <w:rPr>
          <w:b/>
          <w:bCs/>
          <w:i/>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3"/>
        <w:gridCol w:w="1448"/>
        <w:gridCol w:w="1701"/>
        <w:gridCol w:w="3543"/>
        <w:gridCol w:w="3565"/>
      </w:tblGrid>
      <w:tr w:rsidR="00E44664" w:rsidRPr="008E3369" w14:paraId="24CAA234" w14:textId="77777777" w:rsidTr="005B02B8">
        <w:trPr>
          <w:trHeight w:val="346"/>
          <w:tblHeader/>
        </w:trPr>
        <w:tc>
          <w:tcPr>
            <w:tcW w:w="247" w:type="pct"/>
            <w:shd w:val="clear" w:color="auto" w:fill="1F497D" w:themeFill="text2"/>
            <w:vAlign w:val="center"/>
          </w:tcPr>
          <w:p w14:paraId="6D1AE1AD" w14:textId="77777777" w:rsidR="00E44664" w:rsidRPr="008E3369" w:rsidRDefault="00E44664" w:rsidP="00D66FC4">
            <w:pPr>
              <w:spacing w:after="0" w:line="240" w:lineRule="auto"/>
              <w:jc w:val="center"/>
              <w:rPr>
                <w:rFonts w:eastAsia="Times New Roman" w:cs="Arial"/>
                <w:color w:val="FFFFFF" w:themeColor="background1"/>
                <w:lang w:eastAsia="es-MX"/>
              </w:rPr>
            </w:pPr>
            <w:r w:rsidRPr="008E3369">
              <w:rPr>
                <w:rFonts w:eastAsia="Times New Roman" w:cs="Arial"/>
                <w:b/>
                <w:bCs/>
                <w:color w:val="FFFFFF" w:themeColor="background1"/>
                <w:lang w:eastAsia="es-MX"/>
              </w:rPr>
              <w:lastRenderedPageBreak/>
              <w:t>No</w:t>
            </w:r>
          </w:p>
        </w:tc>
        <w:tc>
          <w:tcPr>
            <w:tcW w:w="671" w:type="pct"/>
            <w:shd w:val="clear" w:color="auto" w:fill="1F497D" w:themeFill="text2"/>
            <w:vAlign w:val="center"/>
          </w:tcPr>
          <w:p w14:paraId="3B5091D9" w14:textId="77777777" w:rsidR="00E44664" w:rsidRPr="008E3369" w:rsidRDefault="00E44664" w:rsidP="00D66FC4">
            <w:pPr>
              <w:spacing w:after="0" w:line="240" w:lineRule="auto"/>
              <w:jc w:val="center"/>
              <w:rPr>
                <w:rFonts w:eastAsia="Times New Roman" w:cs="Arial"/>
                <w:color w:val="FFFFFF" w:themeColor="background1"/>
                <w:lang w:eastAsia="es-MX"/>
              </w:rPr>
            </w:pPr>
            <w:proofErr w:type="gramStart"/>
            <w:r w:rsidRPr="008E3369">
              <w:rPr>
                <w:rFonts w:eastAsia="Times New Roman" w:cs="Arial"/>
                <w:b/>
                <w:bCs/>
                <w:color w:val="FFFFFF" w:themeColor="background1"/>
                <w:lang w:eastAsia="es-MX"/>
              </w:rPr>
              <w:t>Cláusula,/</w:t>
            </w:r>
            <w:proofErr w:type="gramEnd"/>
            <w:r w:rsidRPr="008E3369">
              <w:rPr>
                <w:rFonts w:eastAsia="Times New Roman" w:cs="Arial"/>
                <w:b/>
                <w:bCs/>
                <w:color w:val="FFFFFF" w:themeColor="background1"/>
                <w:lang w:eastAsia="es-MX"/>
              </w:rPr>
              <w:t>Sección/Numeral</w:t>
            </w:r>
          </w:p>
        </w:tc>
        <w:tc>
          <w:tcPr>
            <w:tcW w:w="788" w:type="pct"/>
            <w:shd w:val="clear" w:color="auto" w:fill="1F497D" w:themeFill="text2"/>
            <w:vAlign w:val="center"/>
          </w:tcPr>
          <w:p w14:paraId="1CF8102B" w14:textId="77777777" w:rsidR="00E44664" w:rsidRPr="008E3369" w:rsidRDefault="00E4466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Tema</w:t>
            </w:r>
          </w:p>
        </w:tc>
        <w:tc>
          <w:tcPr>
            <w:tcW w:w="1642" w:type="pct"/>
            <w:shd w:val="clear" w:color="auto" w:fill="1F497D" w:themeFill="text2"/>
            <w:vAlign w:val="center"/>
          </w:tcPr>
          <w:p w14:paraId="73910F65" w14:textId="77777777" w:rsidR="00E44664" w:rsidRPr="008E3369" w:rsidRDefault="00E4466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Modificación/Adición</w:t>
            </w:r>
          </w:p>
        </w:tc>
        <w:tc>
          <w:tcPr>
            <w:tcW w:w="1652" w:type="pct"/>
            <w:tcBorders>
              <w:bottom w:val="single" w:sz="4" w:space="0" w:color="000000" w:themeColor="text1"/>
            </w:tcBorders>
            <w:shd w:val="clear" w:color="auto" w:fill="1F497D" w:themeFill="text2"/>
            <w:vAlign w:val="center"/>
          </w:tcPr>
          <w:p w14:paraId="1F08845D" w14:textId="77777777" w:rsidR="00E44664" w:rsidRPr="008E3369" w:rsidRDefault="00E44664" w:rsidP="00D66FC4">
            <w:pPr>
              <w:spacing w:after="0" w:line="240" w:lineRule="auto"/>
              <w:jc w:val="center"/>
              <w:rPr>
                <w:rFonts w:eastAsia="Times New Roman" w:cs="Arial"/>
                <w:color w:val="FFFFFF" w:themeColor="background1"/>
                <w:highlight w:val="green"/>
                <w:lang w:eastAsia="es-MX"/>
              </w:rPr>
            </w:pPr>
            <w:r w:rsidRPr="008E3369">
              <w:rPr>
                <w:rFonts w:eastAsia="Times New Roman" w:cs="Arial"/>
                <w:b/>
                <w:bCs/>
                <w:color w:val="FFFFFF" w:themeColor="background1"/>
                <w:lang w:eastAsia="es-MX"/>
              </w:rPr>
              <w:t>Justificación a Instituto</w:t>
            </w:r>
          </w:p>
        </w:tc>
      </w:tr>
      <w:tr w:rsidR="00B43C67" w:rsidRPr="008E3369" w14:paraId="654687F3" w14:textId="77777777" w:rsidTr="00E055EB">
        <w:trPr>
          <w:trHeight w:val="7025"/>
        </w:trPr>
        <w:tc>
          <w:tcPr>
            <w:tcW w:w="247" w:type="pct"/>
            <w:tcBorders>
              <w:top w:val="single" w:sz="4" w:space="0" w:color="auto"/>
              <w:left w:val="single" w:sz="4" w:space="0" w:color="auto"/>
              <w:bottom w:val="single" w:sz="4" w:space="0" w:color="auto"/>
              <w:right w:val="single" w:sz="4" w:space="0" w:color="auto"/>
            </w:tcBorders>
            <w:vAlign w:val="center"/>
          </w:tcPr>
          <w:p w14:paraId="0CBD6422" w14:textId="1BE18FBB" w:rsidR="00B43C67" w:rsidRPr="008E3369" w:rsidRDefault="001274D9" w:rsidP="00AD0194">
            <w:pPr>
              <w:spacing w:after="0" w:line="240" w:lineRule="auto"/>
              <w:jc w:val="center"/>
              <w:rPr>
                <w:rFonts w:eastAsia="Times New Roman" w:cstheme="minorHAnsi"/>
                <w:color w:val="000000"/>
                <w:lang w:eastAsia="es-MX"/>
              </w:rPr>
            </w:pPr>
            <w:r>
              <w:rPr>
                <w:rFonts w:eastAsia="Times New Roman" w:cstheme="minorHAnsi"/>
                <w:color w:val="000000"/>
                <w:lang w:eastAsia="es-MX"/>
              </w:rPr>
              <w:t>12</w:t>
            </w:r>
          </w:p>
        </w:tc>
        <w:tc>
          <w:tcPr>
            <w:tcW w:w="671" w:type="pct"/>
            <w:tcBorders>
              <w:top w:val="single" w:sz="4" w:space="0" w:color="auto"/>
              <w:left w:val="single" w:sz="4" w:space="0" w:color="auto"/>
              <w:bottom w:val="single" w:sz="4" w:space="0" w:color="auto"/>
              <w:right w:val="single" w:sz="4" w:space="0" w:color="auto"/>
            </w:tcBorders>
            <w:vAlign w:val="center"/>
          </w:tcPr>
          <w:p w14:paraId="58B72B84" w14:textId="77777777" w:rsidR="00B43C67" w:rsidRPr="008E3369" w:rsidRDefault="00B43C67" w:rsidP="00855266">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Anexo “A” Tarifas</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60D4584" w14:textId="77777777" w:rsidR="00B43C67" w:rsidRPr="008E3369" w:rsidRDefault="00B43C67" w:rsidP="00855266">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Tarifas</w:t>
            </w:r>
          </w:p>
        </w:tc>
        <w:tc>
          <w:tcPr>
            <w:tcW w:w="1642" w:type="pct"/>
            <w:tcBorders>
              <w:top w:val="single" w:sz="4" w:space="0" w:color="auto"/>
              <w:left w:val="single" w:sz="4" w:space="0" w:color="auto"/>
              <w:bottom w:val="single" w:sz="4" w:space="0" w:color="auto"/>
              <w:right w:val="single" w:sz="4" w:space="0" w:color="auto"/>
            </w:tcBorders>
            <w:shd w:val="clear" w:color="auto" w:fill="auto"/>
            <w:vAlign w:val="center"/>
          </w:tcPr>
          <w:p w14:paraId="46309545" w14:textId="77777777" w:rsidR="0037796C" w:rsidRPr="008E3369" w:rsidRDefault="0037796C" w:rsidP="0037796C">
            <w:pPr>
              <w:pStyle w:val="IFTnormal"/>
              <w:spacing w:after="0"/>
              <w:rPr>
                <w:rFonts w:asciiTheme="minorHAnsi" w:hAnsiTheme="minorHAnsi"/>
                <w:lang w:eastAsia="es-MX"/>
              </w:rPr>
            </w:pPr>
            <w:r w:rsidRPr="008E3369">
              <w:rPr>
                <w:rFonts w:asciiTheme="minorHAnsi" w:hAnsiTheme="minorHAnsi"/>
                <w:lang w:eastAsia="es-MX"/>
              </w:rPr>
              <w:t>1.Por el acceso y uso de Espacio Aprobado en Torre</w:t>
            </w:r>
          </w:p>
          <w:p w14:paraId="50DB5A5F" w14:textId="77777777" w:rsidR="00FA5E50" w:rsidRPr="008E3369" w:rsidRDefault="0037796C" w:rsidP="0037796C">
            <w:pPr>
              <w:pStyle w:val="IFTnormal"/>
              <w:spacing w:after="0"/>
              <w:rPr>
                <w:rFonts w:asciiTheme="minorHAnsi" w:hAnsiTheme="minorHAnsi"/>
                <w:strike/>
                <w:color w:val="FF0000"/>
                <w:lang w:eastAsia="es-MX"/>
              </w:rPr>
            </w:pPr>
            <w:r w:rsidRPr="008E3369">
              <w:rPr>
                <w:rFonts w:asciiTheme="minorHAnsi" w:hAnsiTheme="minorHAnsi"/>
                <w:strike/>
                <w:color w:val="FF0000"/>
                <w:lang w:eastAsia="es-MX"/>
              </w:rPr>
              <w:t>•Estructura situada en una azotea</w:t>
            </w:r>
          </w:p>
          <w:p w14:paraId="0A26D458" w14:textId="77777777" w:rsidR="0037796C" w:rsidRPr="008E3369" w:rsidRDefault="0037796C" w:rsidP="0037796C">
            <w:pPr>
              <w:pStyle w:val="IFTnormal"/>
              <w:spacing w:after="0"/>
              <w:rPr>
                <w:rFonts w:asciiTheme="minorHAnsi" w:hAnsiTheme="minorHAnsi"/>
                <w:strike/>
                <w:color w:val="FF0000"/>
                <w:lang w:eastAsia="es-MX"/>
              </w:rPr>
            </w:pPr>
            <w:r w:rsidRPr="008E3369">
              <w:rPr>
                <w:rFonts w:asciiTheme="minorHAnsi" w:hAnsiTheme="minorHAnsi"/>
                <w:noProof/>
                <w:lang w:eastAsia="es-MX"/>
              </w:rPr>
              <w:drawing>
                <wp:inline distT="0" distB="0" distL="0" distR="0" wp14:anchorId="20AEA34C" wp14:editId="66BB6516">
                  <wp:extent cx="2428240" cy="34417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8240" cy="344170"/>
                          </a:xfrm>
                          <a:prstGeom prst="rect">
                            <a:avLst/>
                          </a:prstGeom>
                          <a:noFill/>
                          <a:ln>
                            <a:noFill/>
                          </a:ln>
                        </pic:spPr>
                      </pic:pic>
                    </a:graphicData>
                  </a:graphic>
                </wp:inline>
              </w:drawing>
            </w:r>
          </w:p>
          <w:p w14:paraId="0EACE1AE" w14:textId="77777777" w:rsidR="0037796C" w:rsidRPr="008E3369" w:rsidRDefault="0037796C" w:rsidP="0037796C">
            <w:pPr>
              <w:pStyle w:val="IFTnormal"/>
              <w:spacing w:after="0"/>
              <w:rPr>
                <w:rFonts w:asciiTheme="minorHAnsi" w:hAnsiTheme="minorHAnsi"/>
                <w:strike/>
                <w:color w:val="FF0000"/>
                <w:lang w:eastAsia="es-MX"/>
              </w:rPr>
            </w:pPr>
            <w:r w:rsidRPr="008E3369">
              <w:rPr>
                <w:rFonts w:asciiTheme="minorHAnsi" w:hAnsiTheme="minorHAnsi"/>
                <w:strike/>
                <w:color w:val="FF0000"/>
                <w:lang w:eastAsia="es-MX"/>
              </w:rPr>
              <w:t>Estructura situada al nivel del suelo</w:t>
            </w:r>
          </w:p>
          <w:p w14:paraId="195A7C0C" w14:textId="77777777" w:rsidR="0037796C" w:rsidRPr="008E3369" w:rsidRDefault="0037796C" w:rsidP="0037796C">
            <w:pPr>
              <w:pStyle w:val="IFTnormal"/>
              <w:spacing w:after="0"/>
              <w:rPr>
                <w:rFonts w:asciiTheme="minorHAnsi" w:hAnsiTheme="minorHAnsi"/>
                <w:strike/>
                <w:color w:val="FF0000"/>
                <w:lang w:eastAsia="es-MX"/>
              </w:rPr>
            </w:pPr>
          </w:p>
          <w:p w14:paraId="3F5595CD" w14:textId="77777777" w:rsidR="0037796C" w:rsidRPr="008E3369" w:rsidRDefault="0037796C" w:rsidP="0037796C">
            <w:pPr>
              <w:pStyle w:val="IFTnormal"/>
              <w:spacing w:after="0"/>
              <w:rPr>
                <w:rFonts w:asciiTheme="minorHAnsi" w:hAnsiTheme="minorHAnsi"/>
                <w:strike/>
                <w:color w:val="FF0000"/>
                <w:lang w:eastAsia="es-MX"/>
              </w:rPr>
            </w:pPr>
          </w:p>
          <w:p w14:paraId="5160B137" w14:textId="77777777" w:rsidR="0037796C" w:rsidRPr="008E3369" w:rsidRDefault="0037796C" w:rsidP="0037796C">
            <w:pPr>
              <w:pStyle w:val="IFTnormal"/>
              <w:spacing w:after="0"/>
              <w:rPr>
                <w:rFonts w:asciiTheme="minorHAnsi" w:hAnsiTheme="minorHAnsi"/>
                <w:strike/>
                <w:color w:val="FF0000"/>
                <w:lang w:eastAsia="es-MX"/>
              </w:rPr>
            </w:pPr>
            <w:r w:rsidRPr="008E3369">
              <w:rPr>
                <w:rFonts w:asciiTheme="minorHAnsi" w:hAnsiTheme="minorHAnsi"/>
                <w:noProof/>
                <w:lang w:eastAsia="es-MX"/>
              </w:rPr>
              <w:drawing>
                <wp:inline distT="0" distB="0" distL="0" distR="0" wp14:anchorId="3E21EBF6" wp14:editId="36661695">
                  <wp:extent cx="2428240" cy="48069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8240" cy="480695"/>
                          </a:xfrm>
                          <a:prstGeom prst="rect">
                            <a:avLst/>
                          </a:prstGeom>
                          <a:noFill/>
                          <a:ln>
                            <a:noFill/>
                          </a:ln>
                        </pic:spPr>
                      </pic:pic>
                    </a:graphicData>
                  </a:graphic>
                </wp:inline>
              </w:drawing>
            </w:r>
          </w:p>
          <w:p w14:paraId="057B595C" w14:textId="77777777" w:rsidR="0037796C" w:rsidRPr="008E3369" w:rsidRDefault="0037796C" w:rsidP="0037796C">
            <w:pPr>
              <w:spacing w:after="0" w:line="240" w:lineRule="auto"/>
              <w:jc w:val="both"/>
              <w:rPr>
                <w:rFonts w:eastAsia="Calibri" w:cstheme="minorHAnsi"/>
                <w:b/>
                <w:bCs/>
                <w:color w:val="548DD4" w:themeColor="text2" w:themeTint="99"/>
                <w:lang w:val="es-ES" w:eastAsia="es-MX"/>
              </w:rPr>
            </w:pPr>
            <w:r w:rsidRPr="008E3369">
              <w:rPr>
                <w:rFonts w:eastAsia="Calibri" w:cstheme="minorHAnsi"/>
                <w:b/>
                <w:bCs/>
                <w:color w:val="548DD4" w:themeColor="text2" w:themeTint="99"/>
                <w:lang w:val="es-ES" w:eastAsia="es-MX"/>
              </w:rPr>
              <w:t>Por sistema instalado: Contraprestación mensual</w:t>
            </w:r>
          </w:p>
          <w:p w14:paraId="681FD1BF" w14:textId="77777777" w:rsidR="0037796C" w:rsidRPr="008E3369" w:rsidRDefault="0037796C" w:rsidP="0037796C">
            <w:pPr>
              <w:pStyle w:val="IFTnormal"/>
              <w:spacing w:after="0"/>
              <w:rPr>
                <w:rFonts w:asciiTheme="minorHAnsi" w:hAnsiTheme="minorHAnsi"/>
                <w:strike/>
                <w:color w:val="FF0000"/>
                <w:lang w:eastAsia="es-MX"/>
              </w:rPr>
            </w:pPr>
          </w:p>
          <w:p w14:paraId="27BE767D" w14:textId="0427DA73" w:rsidR="0037796C" w:rsidRPr="008E3369" w:rsidRDefault="00ED2814" w:rsidP="0037796C">
            <w:pPr>
              <w:pStyle w:val="IFTnormal"/>
              <w:spacing w:after="0"/>
              <w:rPr>
                <w:rFonts w:asciiTheme="minorHAnsi" w:hAnsiTheme="minorHAnsi"/>
                <w:strike/>
                <w:color w:val="FF0000"/>
                <w:lang w:eastAsia="es-MX"/>
              </w:rPr>
            </w:pPr>
            <w:r w:rsidRPr="00ED2814">
              <w:rPr>
                <w:rFonts w:asciiTheme="minorHAnsi" w:hAnsiTheme="minorHAnsi"/>
                <w:strike/>
                <w:noProof/>
                <w:color w:val="FF0000"/>
                <w:lang w:eastAsia="es-MX"/>
              </w:rPr>
              <w:drawing>
                <wp:inline distT="0" distB="0" distL="0" distR="0" wp14:anchorId="2AB8174D" wp14:editId="00DE1E72">
                  <wp:extent cx="2197899" cy="1023257"/>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068" r="7045" b="16376"/>
                          <a:stretch/>
                        </pic:blipFill>
                        <pic:spPr bwMode="auto">
                          <a:xfrm>
                            <a:off x="0" y="0"/>
                            <a:ext cx="2221253" cy="1034130"/>
                          </a:xfrm>
                          <a:prstGeom prst="rect">
                            <a:avLst/>
                          </a:prstGeom>
                          <a:noFill/>
                          <a:ln>
                            <a:noFill/>
                          </a:ln>
                          <a:extLst>
                            <a:ext uri="{53640926-AAD7-44D8-BBD7-CCE9431645EC}">
                              <a14:shadowObscured xmlns:a14="http://schemas.microsoft.com/office/drawing/2010/main"/>
                            </a:ext>
                          </a:extLst>
                        </pic:spPr>
                      </pic:pic>
                    </a:graphicData>
                  </a:graphic>
                </wp:inline>
              </w:drawing>
            </w:r>
          </w:p>
          <w:p w14:paraId="50D454AE" w14:textId="77777777" w:rsidR="0037796C" w:rsidRPr="008E3369" w:rsidRDefault="0037796C" w:rsidP="0037796C">
            <w:pPr>
              <w:pStyle w:val="IFTnormal"/>
              <w:spacing w:after="0"/>
              <w:rPr>
                <w:rFonts w:asciiTheme="minorHAnsi" w:hAnsiTheme="minorHAnsi"/>
                <w:strike/>
                <w:color w:val="FF0000"/>
                <w:lang w:eastAsia="es-MX"/>
              </w:rPr>
            </w:pPr>
          </w:p>
          <w:p w14:paraId="7CC164AF" w14:textId="77777777" w:rsidR="0037796C" w:rsidRPr="008E3369" w:rsidRDefault="0037796C" w:rsidP="0037796C">
            <w:pPr>
              <w:pStyle w:val="IFTnormal"/>
              <w:spacing w:after="0"/>
              <w:rPr>
                <w:rFonts w:asciiTheme="minorHAnsi" w:hAnsiTheme="minorHAnsi"/>
                <w:lang w:eastAsia="es-MX"/>
              </w:rPr>
            </w:pPr>
          </w:p>
        </w:tc>
        <w:tc>
          <w:tcPr>
            <w:tcW w:w="1652" w:type="pct"/>
            <w:tcBorders>
              <w:top w:val="single" w:sz="4" w:space="0" w:color="auto"/>
              <w:left w:val="single" w:sz="4" w:space="0" w:color="auto"/>
              <w:bottom w:val="single" w:sz="4" w:space="0" w:color="auto"/>
              <w:right w:val="single" w:sz="4" w:space="0" w:color="auto"/>
            </w:tcBorders>
          </w:tcPr>
          <w:p w14:paraId="224086BC" w14:textId="77777777" w:rsidR="004F62C8" w:rsidRPr="008E3369" w:rsidRDefault="004F62C8" w:rsidP="00FB14B7">
            <w:pPr>
              <w:spacing w:after="0" w:line="240" w:lineRule="auto"/>
              <w:ind w:right="-48"/>
              <w:jc w:val="both"/>
              <w:rPr>
                <w:rFonts w:eastAsia="Times New Roman" w:cs="Arial"/>
                <w:color w:val="000000"/>
                <w:lang w:eastAsia="es-MX"/>
              </w:rPr>
            </w:pPr>
          </w:p>
          <w:p w14:paraId="207DA933" w14:textId="77777777" w:rsidR="00B36EBB" w:rsidRPr="008E3369" w:rsidRDefault="00B36EBB" w:rsidP="00C84FF7">
            <w:pPr>
              <w:spacing w:after="0" w:line="240" w:lineRule="auto"/>
              <w:ind w:right="-48"/>
              <w:jc w:val="both"/>
              <w:rPr>
                <w:rFonts w:eastAsia="Times New Roman" w:cs="Arial"/>
                <w:color w:val="000000"/>
                <w:lang w:eastAsia="es-MX"/>
              </w:rPr>
            </w:pPr>
            <w:r w:rsidRPr="008E3369">
              <w:rPr>
                <w:rFonts w:eastAsia="Times New Roman" w:cs="Arial"/>
                <w:color w:val="000000"/>
                <w:lang w:eastAsia="es-MX"/>
              </w:rPr>
              <w:t>Se solicita que al determinar las tarifas del servicio de espacio en torre además de considerar el tipo de torre se considere el costo del terreno de acuerdo a su ubicación, con base en la clasificación de regiones socioeconómicas de México, elaborada por el Instituto Nacional de Estadística y Geografía (INEGI) referida por IFT en la misma ORCI.</w:t>
            </w:r>
          </w:p>
          <w:p w14:paraId="0FD0C746" w14:textId="77777777" w:rsidR="00B36EBB" w:rsidRPr="008E3369" w:rsidRDefault="00B36EBB" w:rsidP="00C84FF7">
            <w:pPr>
              <w:spacing w:after="0" w:line="240" w:lineRule="auto"/>
              <w:ind w:right="-48"/>
              <w:jc w:val="both"/>
              <w:rPr>
                <w:rFonts w:eastAsia="Times New Roman" w:cs="Arial"/>
                <w:color w:val="000000"/>
                <w:lang w:eastAsia="es-MX"/>
              </w:rPr>
            </w:pPr>
          </w:p>
          <w:p w14:paraId="57796F51" w14:textId="77777777" w:rsidR="00B36EBB" w:rsidRPr="008E3369" w:rsidRDefault="00B36EBB" w:rsidP="00B36EBB">
            <w:pPr>
              <w:spacing w:after="0" w:line="240" w:lineRule="auto"/>
              <w:ind w:right="-48"/>
              <w:jc w:val="both"/>
              <w:rPr>
                <w:rFonts w:eastAsia="Times New Roman" w:cs="Arial"/>
                <w:color w:val="000000"/>
                <w:lang w:eastAsia="es-MX"/>
              </w:rPr>
            </w:pPr>
            <w:r w:rsidRPr="008E3369">
              <w:rPr>
                <w:rFonts w:eastAsia="Times New Roman" w:cs="Arial"/>
                <w:color w:val="000000"/>
                <w:lang w:eastAsia="es-MX"/>
              </w:rPr>
              <w:t>Por lo anterior se propone que se determinen las tarifas en 5 niveles como se determinan por el propio Instituto al autorizar la Oferta de Compartición de Infraestructura Pasiva de los otros sujetos obligados a prestar dichos servicios.</w:t>
            </w:r>
          </w:p>
          <w:p w14:paraId="68B05AAD" w14:textId="77777777" w:rsidR="00B36EBB" w:rsidRPr="008E3369" w:rsidRDefault="00B36EBB" w:rsidP="00C84FF7">
            <w:pPr>
              <w:spacing w:after="0" w:line="240" w:lineRule="auto"/>
              <w:ind w:right="-48"/>
              <w:jc w:val="both"/>
              <w:rPr>
                <w:rFonts w:eastAsia="Times New Roman" w:cs="Arial"/>
                <w:color w:val="000000"/>
                <w:lang w:eastAsia="es-MX"/>
              </w:rPr>
            </w:pPr>
          </w:p>
          <w:p w14:paraId="5093A066" w14:textId="77777777" w:rsidR="00B36EBB" w:rsidRPr="008E3369" w:rsidRDefault="00B36EBB" w:rsidP="00B36EBB">
            <w:pPr>
              <w:spacing w:after="0" w:line="240" w:lineRule="auto"/>
              <w:ind w:right="-48"/>
              <w:jc w:val="both"/>
              <w:rPr>
                <w:rFonts w:eastAsia="Times New Roman" w:cs="Arial"/>
                <w:color w:val="000000"/>
                <w:lang w:eastAsia="es-MX"/>
              </w:rPr>
            </w:pPr>
            <w:r w:rsidRPr="008E3369">
              <w:rPr>
                <w:rFonts w:eastAsia="Times New Roman" w:cs="Arial"/>
                <w:color w:val="000000"/>
                <w:lang w:eastAsia="es-MX"/>
              </w:rPr>
              <w:t xml:space="preserve">Cabe señalar que, los criterios tarifarios basados en la clasificación de regiones socioeconómicas de México, elaborada por el INEGI, son considerados por el propio Instituto para la asignación de tarifas </w:t>
            </w:r>
            <w:r w:rsidR="008B47FC" w:rsidRPr="008E3369">
              <w:rPr>
                <w:rFonts w:eastAsia="Times New Roman" w:cs="Arial"/>
                <w:color w:val="000000"/>
                <w:lang w:eastAsia="es-MX"/>
              </w:rPr>
              <w:t>en otras ofertas de</w:t>
            </w:r>
            <w:r w:rsidRPr="008E3369">
              <w:rPr>
                <w:rFonts w:eastAsia="Times New Roman" w:cs="Arial"/>
                <w:color w:val="000000"/>
                <w:lang w:eastAsia="es-MX"/>
              </w:rPr>
              <w:t xml:space="preserve"> Telmex/Telnor:</w:t>
            </w:r>
          </w:p>
          <w:p w14:paraId="4A7D4511" w14:textId="77777777" w:rsidR="00B36EBB" w:rsidRPr="008E3369" w:rsidRDefault="00B36EBB" w:rsidP="00B36EBB">
            <w:pPr>
              <w:pStyle w:val="Prrafodelista"/>
              <w:numPr>
                <w:ilvl w:val="0"/>
                <w:numId w:val="14"/>
              </w:numPr>
              <w:spacing w:after="0" w:line="240" w:lineRule="auto"/>
              <w:ind w:right="-48"/>
              <w:jc w:val="both"/>
              <w:rPr>
                <w:rFonts w:eastAsia="Times New Roman" w:cs="Arial"/>
                <w:color w:val="000000"/>
                <w:lang w:eastAsia="es-MX"/>
              </w:rPr>
            </w:pPr>
            <w:r w:rsidRPr="008E3369">
              <w:rPr>
                <w:rFonts w:eastAsia="Times New Roman" w:cs="Arial"/>
                <w:color w:val="000000"/>
                <w:lang w:eastAsia="es-MX"/>
              </w:rPr>
              <w:t>Servicio de “Acceso y Uso de Espacio en Piso” que forma parte de los servicios de “Acceso y uso de Espacio Aprobado en Torre”, y</w:t>
            </w:r>
          </w:p>
          <w:p w14:paraId="42CF791D" w14:textId="77777777" w:rsidR="00B36EBB" w:rsidRPr="008E3369" w:rsidRDefault="00B36EBB" w:rsidP="00B36EBB">
            <w:pPr>
              <w:spacing w:after="0" w:line="240" w:lineRule="auto"/>
              <w:ind w:right="-48"/>
              <w:jc w:val="both"/>
              <w:rPr>
                <w:rFonts w:eastAsia="Times New Roman" w:cs="Arial"/>
                <w:color w:val="000000"/>
                <w:lang w:eastAsia="es-MX"/>
              </w:rPr>
            </w:pPr>
            <w:r w:rsidRPr="008E3369">
              <w:rPr>
                <w:rFonts w:eastAsia="Times New Roman" w:cs="Arial"/>
                <w:color w:val="000000"/>
                <w:lang w:eastAsia="es-MX"/>
              </w:rPr>
              <w:t>Servicios interconexión (coubicaciones), del CMI</w:t>
            </w:r>
          </w:p>
          <w:p w14:paraId="2C662281" w14:textId="77777777" w:rsidR="00B43C67" w:rsidRPr="008E3369" w:rsidRDefault="00B43C67" w:rsidP="003812C9">
            <w:pPr>
              <w:spacing w:after="0" w:line="240" w:lineRule="auto"/>
              <w:ind w:right="-48"/>
              <w:jc w:val="both"/>
              <w:rPr>
                <w:rFonts w:eastAsia="Times New Roman" w:cs="Arial"/>
                <w:color w:val="000000"/>
                <w:lang w:eastAsia="es-MX"/>
              </w:rPr>
            </w:pPr>
          </w:p>
        </w:tc>
      </w:tr>
    </w:tbl>
    <w:p w14:paraId="5DDA745B" w14:textId="77777777" w:rsidR="00C0204F" w:rsidRDefault="00165A0C">
      <w:r>
        <w:tab/>
      </w:r>
    </w:p>
    <w:sectPr w:rsidR="00C0204F" w:rsidSect="0044059B">
      <w:pgSz w:w="12240" w:h="15840"/>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EE8AC" w16cex:dateUtc="2022-07-05T21:43:00Z"/>
  <w16cex:commentExtensible w16cex:durableId="266EE8C4" w16cex:dateUtc="2022-07-05T21:43:00Z"/>
  <w16cex:commentExtensible w16cex:durableId="266EEB1E" w16cex:dateUtc="2022-07-05T21:53:00Z"/>
  <w16cex:commentExtensible w16cex:durableId="266EE919" w16cex:dateUtc="2022-07-05T21:45:00Z"/>
  <w16cex:commentExtensible w16cex:durableId="266EF991" w16cex:dateUtc="2022-07-05T22:55:00Z"/>
  <w16cex:commentExtensible w16cex:durableId="266F1412" w16cex:dateUtc="2022-07-06T00:48:00Z"/>
  <w16cex:commentExtensible w16cex:durableId="266F1521" w16cex:dateUtc="2022-07-06T00:53:00Z"/>
  <w16cex:commentExtensible w16cex:durableId="266F154B" w16cex:dateUtc="2022-07-06T00:53:00Z"/>
  <w16cex:commentExtensible w16cex:durableId="266F1762" w16cex:dateUtc="2022-07-06T01:02:00Z"/>
  <w16cex:commentExtensible w16cex:durableId="266FDF32" w16cex:dateUtc="2022-07-06T15:15:00Z"/>
  <w16cex:commentExtensible w16cex:durableId="266FDF7A" w16cex:dateUtc="2022-07-06T15:16:00Z"/>
  <w16cex:commentExtensible w16cex:durableId="266FDFDC" w16cex:dateUtc="2022-07-06T15:18:00Z"/>
  <w16cex:commentExtensible w16cex:durableId="266FECF3" w16cex:dateUtc="2022-07-06T16:13:00Z"/>
  <w16cex:commentExtensible w16cex:durableId="266FE0BF" w16cex:dateUtc="2022-07-06T15:21:00Z"/>
  <w16cex:commentExtensible w16cex:durableId="266FE221" w16cex:dateUtc="2022-07-06T15:27:00Z"/>
  <w16cex:commentExtensible w16cex:durableId="266FE251" w16cex:dateUtc="2022-07-06T15:28:00Z"/>
  <w16cex:commentExtensible w16cex:durableId="266FE493" w16cex:dateUtc="2022-07-06T15:38:00Z"/>
  <w16cex:commentExtensible w16cex:durableId="266FE4F8" w16cex:dateUtc="2022-07-06T15:39:00Z"/>
  <w16cex:commentExtensible w16cex:durableId="266FE54E" w16cex:dateUtc="2022-07-06T15:41:00Z"/>
  <w16cex:commentExtensible w16cex:durableId="266FE59C" w16cex:dateUtc="2022-07-06T15:42:00Z"/>
  <w16cex:commentExtensible w16cex:durableId="266FE7A1" w16cex:dateUtc="2022-07-06T15:51:00Z"/>
  <w16cex:commentExtensible w16cex:durableId="266FE7CE" w16cex:dateUtc="2022-07-06T15:51:00Z"/>
  <w16cex:commentExtensible w16cex:durableId="266FE87E" w16cex:dateUtc="2022-07-06T15:54:00Z"/>
  <w16cex:commentExtensible w16cex:durableId="2655DC0F" w16cex:dateUtc="2022-06-16T21:42:00Z"/>
  <w16cex:commentExtensible w16cex:durableId="266FF0B9" w16cex:dateUtc="2022-07-06T16:30:00Z"/>
  <w16cex:commentExtensible w16cex:durableId="266FF3B9" w16cex:dateUtc="2022-07-06T16:42:00Z"/>
  <w16cex:commentExtensible w16cex:durableId="2655DD3B" w16cex:dateUtc="2022-06-16T21:47:00Z"/>
  <w16cex:commentExtensible w16cex:durableId="266FF1AD" w16cex:dateUtc="2022-07-06T16:34:00Z"/>
  <w16cex:commentExtensible w16cex:durableId="266FF222" w16cex:dateUtc="2022-07-06T16:36:00Z"/>
  <w16cex:commentExtensible w16cex:durableId="2655E2B0" w16cex:dateUtc="2022-06-16T21:47:00Z"/>
  <w16cex:commentExtensible w16cex:durableId="266FF23D" w16cex:dateUtc="2022-07-06T16:36:00Z"/>
  <w16cex:commentExtensible w16cex:durableId="2655ED37" w16cex:dateUtc="2022-06-16T22:56:00Z"/>
  <w16cex:commentExtensible w16cex:durableId="266FF323" w16cex:dateUtc="2022-07-06T16: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0CF60" w14:textId="77777777" w:rsidR="00814121" w:rsidRDefault="00814121" w:rsidP="00C36698">
      <w:pPr>
        <w:spacing w:after="0" w:line="240" w:lineRule="auto"/>
      </w:pPr>
      <w:r>
        <w:separator/>
      </w:r>
    </w:p>
  </w:endnote>
  <w:endnote w:type="continuationSeparator" w:id="0">
    <w:p w14:paraId="39E0F2A2" w14:textId="77777777" w:rsidR="00814121" w:rsidRDefault="00814121"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6950E" w14:textId="77777777" w:rsidR="00814121" w:rsidRDefault="00814121" w:rsidP="00C36698">
      <w:pPr>
        <w:spacing w:after="0" w:line="240" w:lineRule="auto"/>
      </w:pPr>
      <w:r>
        <w:separator/>
      </w:r>
    </w:p>
  </w:footnote>
  <w:footnote w:type="continuationSeparator" w:id="0">
    <w:p w14:paraId="214F632A" w14:textId="77777777" w:rsidR="00814121" w:rsidRDefault="00814121" w:rsidP="00C366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F934E8"/>
    <w:multiLevelType w:val="hybridMultilevel"/>
    <w:tmpl w:val="BC78EAF0"/>
    <w:lvl w:ilvl="0" w:tplc="080A0015">
      <w:start w:val="1"/>
      <w:numFmt w:val="upp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9992FE5"/>
    <w:multiLevelType w:val="hybridMultilevel"/>
    <w:tmpl w:val="F84C3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3FD126C"/>
    <w:multiLevelType w:val="hybridMultilevel"/>
    <w:tmpl w:val="D9E24E7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519517EF"/>
    <w:multiLevelType w:val="hybridMultilevel"/>
    <w:tmpl w:val="BD666D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CB0BD0"/>
    <w:multiLevelType w:val="hybridMultilevel"/>
    <w:tmpl w:val="0E02B4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4964219"/>
    <w:multiLevelType w:val="multilevel"/>
    <w:tmpl w:val="FB2430F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C40129"/>
    <w:multiLevelType w:val="multilevel"/>
    <w:tmpl w:val="668A555E"/>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1"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3" w15:restartNumberingAfterBreak="0">
    <w:nsid w:val="7B316302"/>
    <w:multiLevelType w:val="multilevel"/>
    <w:tmpl w:val="EE9A0D92"/>
    <w:lvl w:ilvl="0">
      <w:start w:val="4"/>
      <w:numFmt w:val="decimal"/>
      <w:lvlText w:val="%1"/>
      <w:lvlJc w:val="left"/>
      <w:pPr>
        <w:ind w:left="360" w:hanging="360"/>
      </w:pPr>
      <w:rPr>
        <w:rFonts w:hint="default"/>
      </w:rPr>
    </w:lvl>
    <w:lvl w:ilvl="1">
      <w:start w:val="7"/>
      <w:numFmt w:val="decimal"/>
      <w:pStyle w:val="1TitPrin"/>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num w:numId="1">
    <w:abstractNumId w:val="12"/>
  </w:num>
  <w:num w:numId="2">
    <w:abstractNumId w:val="5"/>
  </w:num>
  <w:num w:numId="3">
    <w:abstractNumId w:val="0"/>
  </w:num>
  <w:num w:numId="4">
    <w:abstractNumId w:val="11"/>
  </w:num>
  <w:num w:numId="5">
    <w:abstractNumId w:val="9"/>
  </w:num>
  <w:num w:numId="6">
    <w:abstractNumId w:val="13"/>
  </w:num>
  <w:num w:numId="7">
    <w:abstractNumId w:val="10"/>
  </w:num>
  <w:num w:numId="8">
    <w:abstractNumId w:val="8"/>
  </w:num>
  <w:num w:numId="9">
    <w:abstractNumId w:val="7"/>
  </w:num>
  <w:num w:numId="10">
    <w:abstractNumId w:val="3"/>
  </w:num>
  <w:num w:numId="11">
    <w:abstractNumId w:val="4"/>
  </w:num>
  <w:num w:numId="12">
    <w:abstractNumId w:val="6"/>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698"/>
    <w:rsid w:val="00002373"/>
    <w:rsid w:val="00002EC7"/>
    <w:rsid w:val="00016209"/>
    <w:rsid w:val="0002586E"/>
    <w:rsid w:val="00031E17"/>
    <w:rsid w:val="000419D3"/>
    <w:rsid w:val="00056AD8"/>
    <w:rsid w:val="00066DD9"/>
    <w:rsid w:val="0007024B"/>
    <w:rsid w:val="000807B4"/>
    <w:rsid w:val="00082EA6"/>
    <w:rsid w:val="00083FFE"/>
    <w:rsid w:val="0009677B"/>
    <w:rsid w:val="0009743F"/>
    <w:rsid w:val="00097632"/>
    <w:rsid w:val="000B585E"/>
    <w:rsid w:val="000C53D8"/>
    <w:rsid w:val="000C6730"/>
    <w:rsid w:val="000D06F8"/>
    <w:rsid w:val="000D2BF6"/>
    <w:rsid w:val="000D74A5"/>
    <w:rsid w:val="000E2A50"/>
    <w:rsid w:val="00117F0E"/>
    <w:rsid w:val="00125439"/>
    <w:rsid w:val="00125787"/>
    <w:rsid w:val="001274D9"/>
    <w:rsid w:val="00135C46"/>
    <w:rsid w:val="001373B2"/>
    <w:rsid w:val="0014115E"/>
    <w:rsid w:val="0015380C"/>
    <w:rsid w:val="0015627D"/>
    <w:rsid w:val="0016067D"/>
    <w:rsid w:val="001654B8"/>
    <w:rsid w:val="00165A0C"/>
    <w:rsid w:val="00196812"/>
    <w:rsid w:val="0019681A"/>
    <w:rsid w:val="001B325B"/>
    <w:rsid w:val="001B5BCA"/>
    <w:rsid w:val="001C6CCC"/>
    <w:rsid w:val="001C766D"/>
    <w:rsid w:val="001E126E"/>
    <w:rsid w:val="001E2816"/>
    <w:rsid w:val="001F1F0C"/>
    <w:rsid w:val="00200850"/>
    <w:rsid w:val="00201EB5"/>
    <w:rsid w:val="00210B4E"/>
    <w:rsid w:val="00250734"/>
    <w:rsid w:val="00251D6E"/>
    <w:rsid w:val="0025387B"/>
    <w:rsid w:val="00253A7A"/>
    <w:rsid w:val="002610AB"/>
    <w:rsid w:val="0029611E"/>
    <w:rsid w:val="002A3147"/>
    <w:rsid w:val="002A39A3"/>
    <w:rsid w:val="002D0E25"/>
    <w:rsid w:val="002D4484"/>
    <w:rsid w:val="002F0A10"/>
    <w:rsid w:val="002F203E"/>
    <w:rsid w:val="00310CCA"/>
    <w:rsid w:val="00317A62"/>
    <w:rsid w:val="00336E55"/>
    <w:rsid w:val="003423C1"/>
    <w:rsid w:val="00343207"/>
    <w:rsid w:val="00343257"/>
    <w:rsid w:val="00343FAC"/>
    <w:rsid w:val="003555C8"/>
    <w:rsid w:val="0035582D"/>
    <w:rsid w:val="00355C3E"/>
    <w:rsid w:val="00362CD8"/>
    <w:rsid w:val="0036515A"/>
    <w:rsid w:val="003669A8"/>
    <w:rsid w:val="00373C74"/>
    <w:rsid w:val="00377926"/>
    <w:rsid w:val="0037796C"/>
    <w:rsid w:val="003812C9"/>
    <w:rsid w:val="003A0AF2"/>
    <w:rsid w:val="003A5EF8"/>
    <w:rsid w:val="003B3D4D"/>
    <w:rsid w:val="003C047C"/>
    <w:rsid w:val="003C666B"/>
    <w:rsid w:val="003D2861"/>
    <w:rsid w:val="003F48E9"/>
    <w:rsid w:val="003F50A9"/>
    <w:rsid w:val="00403427"/>
    <w:rsid w:val="00430BD4"/>
    <w:rsid w:val="0044059B"/>
    <w:rsid w:val="00447B13"/>
    <w:rsid w:val="00453BBD"/>
    <w:rsid w:val="00455198"/>
    <w:rsid w:val="00456541"/>
    <w:rsid w:val="00472FC2"/>
    <w:rsid w:val="0047456B"/>
    <w:rsid w:val="00476FD3"/>
    <w:rsid w:val="004809C0"/>
    <w:rsid w:val="00484BB5"/>
    <w:rsid w:val="004919FB"/>
    <w:rsid w:val="004A5964"/>
    <w:rsid w:val="004A5E5F"/>
    <w:rsid w:val="004A6DE1"/>
    <w:rsid w:val="004C2655"/>
    <w:rsid w:val="004C4377"/>
    <w:rsid w:val="004C59A7"/>
    <w:rsid w:val="004C5A09"/>
    <w:rsid w:val="004E05E1"/>
    <w:rsid w:val="004E0A47"/>
    <w:rsid w:val="004F03D1"/>
    <w:rsid w:val="004F518A"/>
    <w:rsid w:val="004F6138"/>
    <w:rsid w:val="004F62C8"/>
    <w:rsid w:val="00503FD1"/>
    <w:rsid w:val="00533377"/>
    <w:rsid w:val="005339D0"/>
    <w:rsid w:val="005500CC"/>
    <w:rsid w:val="005510F0"/>
    <w:rsid w:val="00551471"/>
    <w:rsid w:val="005525F9"/>
    <w:rsid w:val="00552D0E"/>
    <w:rsid w:val="00560274"/>
    <w:rsid w:val="00560789"/>
    <w:rsid w:val="00560C47"/>
    <w:rsid w:val="00573243"/>
    <w:rsid w:val="00576DB9"/>
    <w:rsid w:val="005821C2"/>
    <w:rsid w:val="00582458"/>
    <w:rsid w:val="00582B22"/>
    <w:rsid w:val="00592DE7"/>
    <w:rsid w:val="005944AD"/>
    <w:rsid w:val="00594EE9"/>
    <w:rsid w:val="005A4667"/>
    <w:rsid w:val="005B02B8"/>
    <w:rsid w:val="005B0338"/>
    <w:rsid w:val="005B25D1"/>
    <w:rsid w:val="005B4107"/>
    <w:rsid w:val="005B5AB9"/>
    <w:rsid w:val="005C232C"/>
    <w:rsid w:val="005C28C7"/>
    <w:rsid w:val="005C2D06"/>
    <w:rsid w:val="005C3037"/>
    <w:rsid w:val="005C3D28"/>
    <w:rsid w:val="005D3E91"/>
    <w:rsid w:val="005D401F"/>
    <w:rsid w:val="005D519E"/>
    <w:rsid w:val="005D5C87"/>
    <w:rsid w:val="005E6640"/>
    <w:rsid w:val="005E740F"/>
    <w:rsid w:val="005F5EEF"/>
    <w:rsid w:val="00604EE9"/>
    <w:rsid w:val="00613216"/>
    <w:rsid w:val="00613ABA"/>
    <w:rsid w:val="0062473D"/>
    <w:rsid w:val="00625DB6"/>
    <w:rsid w:val="0062707C"/>
    <w:rsid w:val="0064580D"/>
    <w:rsid w:val="00650217"/>
    <w:rsid w:val="00662938"/>
    <w:rsid w:val="0067106C"/>
    <w:rsid w:val="00673C34"/>
    <w:rsid w:val="006764F2"/>
    <w:rsid w:val="006769C8"/>
    <w:rsid w:val="006803A7"/>
    <w:rsid w:val="00684BBD"/>
    <w:rsid w:val="00685963"/>
    <w:rsid w:val="00694C19"/>
    <w:rsid w:val="006A78B4"/>
    <w:rsid w:val="006B5D43"/>
    <w:rsid w:val="006C038C"/>
    <w:rsid w:val="006C1E4C"/>
    <w:rsid w:val="006D0F41"/>
    <w:rsid w:val="006D2AAD"/>
    <w:rsid w:val="006F7D2F"/>
    <w:rsid w:val="00712764"/>
    <w:rsid w:val="00735BA4"/>
    <w:rsid w:val="00745F8D"/>
    <w:rsid w:val="007476F5"/>
    <w:rsid w:val="00751D13"/>
    <w:rsid w:val="007560D8"/>
    <w:rsid w:val="00756D53"/>
    <w:rsid w:val="0075737A"/>
    <w:rsid w:val="00757421"/>
    <w:rsid w:val="007623B9"/>
    <w:rsid w:val="00762767"/>
    <w:rsid w:val="00763AFA"/>
    <w:rsid w:val="00773C48"/>
    <w:rsid w:val="00776F09"/>
    <w:rsid w:val="00781C4A"/>
    <w:rsid w:val="00787CD7"/>
    <w:rsid w:val="007942FD"/>
    <w:rsid w:val="007954EC"/>
    <w:rsid w:val="00797121"/>
    <w:rsid w:val="007C7B15"/>
    <w:rsid w:val="007D6059"/>
    <w:rsid w:val="007E41A8"/>
    <w:rsid w:val="007E4F80"/>
    <w:rsid w:val="007E61B4"/>
    <w:rsid w:val="007E7779"/>
    <w:rsid w:val="00800A20"/>
    <w:rsid w:val="00804584"/>
    <w:rsid w:val="0080688F"/>
    <w:rsid w:val="00812708"/>
    <w:rsid w:val="00814121"/>
    <w:rsid w:val="00822437"/>
    <w:rsid w:val="00833701"/>
    <w:rsid w:val="0083582C"/>
    <w:rsid w:val="00842F7F"/>
    <w:rsid w:val="00845CC9"/>
    <w:rsid w:val="00855266"/>
    <w:rsid w:val="00862E48"/>
    <w:rsid w:val="00871243"/>
    <w:rsid w:val="00877CA3"/>
    <w:rsid w:val="00884741"/>
    <w:rsid w:val="008939BC"/>
    <w:rsid w:val="008A22A6"/>
    <w:rsid w:val="008B1735"/>
    <w:rsid w:val="008B2733"/>
    <w:rsid w:val="008B47FC"/>
    <w:rsid w:val="008B6183"/>
    <w:rsid w:val="008D0F79"/>
    <w:rsid w:val="008D44C0"/>
    <w:rsid w:val="008D7D90"/>
    <w:rsid w:val="008E1327"/>
    <w:rsid w:val="008E3369"/>
    <w:rsid w:val="00902E80"/>
    <w:rsid w:val="009034B4"/>
    <w:rsid w:val="009043C7"/>
    <w:rsid w:val="00905708"/>
    <w:rsid w:val="00912BDE"/>
    <w:rsid w:val="00917D04"/>
    <w:rsid w:val="00926DB8"/>
    <w:rsid w:val="00930E62"/>
    <w:rsid w:val="00944B38"/>
    <w:rsid w:val="0094737E"/>
    <w:rsid w:val="00961A26"/>
    <w:rsid w:val="00963EF2"/>
    <w:rsid w:val="00964385"/>
    <w:rsid w:val="00966D3B"/>
    <w:rsid w:val="009816D9"/>
    <w:rsid w:val="00986CAD"/>
    <w:rsid w:val="00995D73"/>
    <w:rsid w:val="009A05B9"/>
    <w:rsid w:val="009A14AF"/>
    <w:rsid w:val="009A156F"/>
    <w:rsid w:val="009A4138"/>
    <w:rsid w:val="009B0FA9"/>
    <w:rsid w:val="009B246C"/>
    <w:rsid w:val="009C4B83"/>
    <w:rsid w:val="009D3DA3"/>
    <w:rsid w:val="009E6329"/>
    <w:rsid w:val="009F1747"/>
    <w:rsid w:val="009F4147"/>
    <w:rsid w:val="00A01125"/>
    <w:rsid w:val="00A23604"/>
    <w:rsid w:val="00A23F53"/>
    <w:rsid w:val="00A42044"/>
    <w:rsid w:val="00A428C4"/>
    <w:rsid w:val="00A51914"/>
    <w:rsid w:val="00A536B5"/>
    <w:rsid w:val="00A55855"/>
    <w:rsid w:val="00A60DBF"/>
    <w:rsid w:val="00A613A8"/>
    <w:rsid w:val="00A66D09"/>
    <w:rsid w:val="00A66D2A"/>
    <w:rsid w:val="00A8291C"/>
    <w:rsid w:val="00A836F0"/>
    <w:rsid w:val="00A92C4B"/>
    <w:rsid w:val="00A93F41"/>
    <w:rsid w:val="00AA6318"/>
    <w:rsid w:val="00AB0F8E"/>
    <w:rsid w:val="00AB68FD"/>
    <w:rsid w:val="00AC0B20"/>
    <w:rsid w:val="00AD0194"/>
    <w:rsid w:val="00AE0B02"/>
    <w:rsid w:val="00AE75D5"/>
    <w:rsid w:val="00AF6CDD"/>
    <w:rsid w:val="00B00EF9"/>
    <w:rsid w:val="00B023D5"/>
    <w:rsid w:val="00B05B97"/>
    <w:rsid w:val="00B10F83"/>
    <w:rsid w:val="00B134CC"/>
    <w:rsid w:val="00B21128"/>
    <w:rsid w:val="00B256BB"/>
    <w:rsid w:val="00B265C5"/>
    <w:rsid w:val="00B279FA"/>
    <w:rsid w:val="00B335A6"/>
    <w:rsid w:val="00B34F9C"/>
    <w:rsid w:val="00B36EBB"/>
    <w:rsid w:val="00B3792A"/>
    <w:rsid w:val="00B40F35"/>
    <w:rsid w:val="00B41DD2"/>
    <w:rsid w:val="00B43C67"/>
    <w:rsid w:val="00B44D90"/>
    <w:rsid w:val="00B5742C"/>
    <w:rsid w:val="00B616D3"/>
    <w:rsid w:val="00B73CE7"/>
    <w:rsid w:val="00B7544B"/>
    <w:rsid w:val="00BA3604"/>
    <w:rsid w:val="00BA6910"/>
    <w:rsid w:val="00BA709C"/>
    <w:rsid w:val="00BB2CA9"/>
    <w:rsid w:val="00BC792E"/>
    <w:rsid w:val="00BD0211"/>
    <w:rsid w:val="00BD2166"/>
    <w:rsid w:val="00BD310B"/>
    <w:rsid w:val="00C0204F"/>
    <w:rsid w:val="00C134E6"/>
    <w:rsid w:val="00C25C8F"/>
    <w:rsid w:val="00C27330"/>
    <w:rsid w:val="00C34D79"/>
    <w:rsid w:val="00C35B82"/>
    <w:rsid w:val="00C36698"/>
    <w:rsid w:val="00C422F7"/>
    <w:rsid w:val="00C435FA"/>
    <w:rsid w:val="00C45807"/>
    <w:rsid w:val="00C52A5D"/>
    <w:rsid w:val="00C576AA"/>
    <w:rsid w:val="00C57ED3"/>
    <w:rsid w:val="00C61074"/>
    <w:rsid w:val="00C70C38"/>
    <w:rsid w:val="00C711D1"/>
    <w:rsid w:val="00C84FF7"/>
    <w:rsid w:val="00C85C35"/>
    <w:rsid w:val="00CA011A"/>
    <w:rsid w:val="00CA7729"/>
    <w:rsid w:val="00CB2472"/>
    <w:rsid w:val="00CB5163"/>
    <w:rsid w:val="00CB5739"/>
    <w:rsid w:val="00CC4C47"/>
    <w:rsid w:val="00CC579D"/>
    <w:rsid w:val="00CC6544"/>
    <w:rsid w:val="00CD262D"/>
    <w:rsid w:val="00CD44AC"/>
    <w:rsid w:val="00CE0ABC"/>
    <w:rsid w:val="00CE64A5"/>
    <w:rsid w:val="00CF637E"/>
    <w:rsid w:val="00CF70FA"/>
    <w:rsid w:val="00D02FE3"/>
    <w:rsid w:val="00D06F3F"/>
    <w:rsid w:val="00D0720B"/>
    <w:rsid w:val="00D13A37"/>
    <w:rsid w:val="00D16202"/>
    <w:rsid w:val="00D17A87"/>
    <w:rsid w:val="00D27815"/>
    <w:rsid w:val="00D30C1D"/>
    <w:rsid w:val="00D36CF8"/>
    <w:rsid w:val="00D66FC4"/>
    <w:rsid w:val="00D75BCD"/>
    <w:rsid w:val="00D863D3"/>
    <w:rsid w:val="00D87C13"/>
    <w:rsid w:val="00D902AE"/>
    <w:rsid w:val="00DA571E"/>
    <w:rsid w:val="00DB642A"/>
    <w:rsid w:val="00DC1DD2"/>
    <w:rsid w:val="00DD698D"/>
    <w:rsid w:val="00DF22A6"/>
    <w:rsid w:val="00E055EB"/>
    <w:rsid w:val="00E06DB9"/>
    <w:rsid w:val="00E14CFB"/>
    <w:rsid w:val="00E2531D"/>
    <w:rsid w:val="00E25BA4"/>
    <w:rsid w:val="00E44664"/>
    <w:rsid w:val="00E45947"/>
    <w:rsid w:val="00E466EB"/>
    <w:rsid w:val="00E506EE"/>
    <w:rsid w:val="00E63E25"/>
    <w:rsid w:val="00E66A54"/>
    <w:rsid w:val="00E90104"/>
    <w:rsid w:val="00EB761F"/>
    <w:rsid w:val="00EC62A2"/>
    <w:rsid w:val="00ED2814"/>
    <w:rsid w:val="00ED4B47"/>
    <w:rsid w:val="00EE7163"/>
    <w:rsid w:val="00EF7248"/>
    <w:rsid w:val="00F02F75"/>
    <w:rsid w:val="00F136D9"/>
    <w:rsid w:val="00F2090D"/>
    <w:rsid w:val="00F232E9"/>
    <w:rsid w:val="00F257F6"/>
    <w:rsid w:val="00F26CE3"/>
    <w:rsid w:val="00F36768"/>
    <w:rsid w:val="00F37AE5"/>
    <w:rsid w:val="00F5789F"/>
    <w:rsid w:val="00F61A77"/>
    <w:rsid w:val="00F66F1F"/>
    <w:rsid w:val="00F7359A"/>
    <w:rsid w:val="00F81BD1"/>
    <w:rsid w:val="00F920D3"/>
    <w:rsid w:val="00F9529A"/>
    <w:rsid w:val="00FA36BF"/>
    <w:rsid w:val="00FA3CB3"/>
    <w:rsid w:val="00FA5E50"/>
    <w:rsid w:val="00FA7053"/>
    <w:rsid w:val="00FB14B7"/>
    <w:rsid w:val="00FB420C"/>
    <w:rsid w:val="00FB5CBB"/>
    <w:rsid w:val="00FB645C"/>
    <w:rsid w:val="00FB6CE5"/>
    <w:rsid w:val="00FC1859"/>
    <w:rsid w:val="00FC6E8C"/>
    <w:rsid w:val="00FD513A"/>
    <w:rsid w:val="00FD66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B521"/>
  <w15:docId w15:val="{B1484095-4964-4208-996B-E388B64C3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6698"/>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nhideWhenUsed/>
    <w:qFormat/>
    <w:rsid w:val="00C36698"/>
    <w:rPr>
      <w:vertAlign w:val="superscript"/>
    </w:rPr>
  </w:style>
  <w:style w:type="paragraph" w:customStyle="1" w:styleId="1TitPrin">
    <w:name w:val="1TitPrin"/>
    <w:basedOn w:val="Ttulo1"/>
    <w:link w:val="1TitPrinCar"/>
    <w:autoRedefine/>
    <w:qFormat/>
    <w:rsid w:val="00C36698"/>
    <w:pPr>
      <w:keepNext w:val="0"/>
      <w:keepLines w:val="0"/>
      <w:numPr>
        <w:ilvl w:val="1"/>
        <w:numId w:val="6"/>
      </w:numPr>
      <w:spacing w:before="0"/>
      <w:ind w:left="862"/>
      <w:jc w:val="both"/>
      <w:outlineLvl w:val="1"/>
    </w:pPr>
    <w:rPr>
      <w:rFonts w:asciiTheme="minorHAnsi" w:eastAsia="Calibri" w:hAnsiTheme="minorHAnsi" w:cs="Times New Roman"/>
      <w:b w:val="0"/>
      <w:color w:val="auto"/>
      <w:sz w:val="20"/>
      <w:szCs w:val="20"/>
      <w:lang w:eastAsia="es-ES"/>
    </w:rPr>
  </w:style>
  <w:style w:type="character" w:customStyle="1" w:styleId="1TitPrinCar">
    <w:name w:val="1TitPrin Car"/>
    <w:link w:val="1TitPrin"/>
    <w:rsid w:val="00C36698"/>
    <w:rPr>
      <w:rFonts w:eastAsia="Calibri" w:cs="Times New Roman"/>
      <w:bCs/>
      <w:sz w:val="20"/>
      <w:szCs w:val="20"/>
      <w:lang w:eastAsia="es-ES"/>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1"/>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nhideWhenUsed/>
    <w:qFormat/>
    <w:rsid w:val="00C36698"/>
    <w:pPr>
      <w:spacing w:after="0" w:line="240" w:lineRule="auto"/>
    </w:pPr>
    <w:rPr>
      <w:sz w:val="20"/>
      <w:szCs w:val="20"/>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iPriority w:val="99"/>
    <w:unhideWhenUsed/>
    <w:rsid w:val="00BD2166"/>
    <w:rPr>
      <w:sz w:val="16"/>
      <w:szCs w:val="16"/>
    </w:rPr>
  </w:style>
  <w:style w:type="paragraph" w:styleId="Textocomentario">
    <w:name w:val="annotation text"/>
    <w:basedOn w:val="Normal"/>
    <w:link w:val="TextocomentarioCar"/>
    <w:uiPriority w:val="99"/>
    <w:unhideWhenUsed/>
    <w:rsid w:val="00BD2166"/>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styleId="Sinespaciado">
    <w:name w:val="No Spacing"/>
    <w:uiPriority w:val="1"/>
    <w:qFormat/>
    <w:rsid w:val="005C28C7"/>
    <w:pPr>
      <w:spacing w:after="0" w:line="240" w:lineRule="auto"/>
    </w:pPr>
  </w:style>
  <w:style w:type="paragraph" w:styleId="Revisin">
    <w:name w:val="Revision"/>
    <w:hidden/>
    <w:uiPriority w:val="99"/>
    <w:semiHidden/>
    <w:rsid w:val="001B325B"/>
    <w:pPr>
      <w:spacing w:after="0" w:line="240" w:lineRule="auto"/>
    </w:pPr>
  </w:style>
  <w:style w:type="paragraph" w:customStyle="1" w:styleId="aaaIFTnormal">
    <w:name w:val="aaa IFT normal"/>
    <w:basedOn w:val="Normal"/>
    <w:link w:val="aaaIFTnormalCar"/>
    <w:qFormat/>
    <w:rsid w:val="0075737A"/>
    <w:pPr>
      <w:spacing w:after="240"/>
      <w:jc w:val="both"/>
    </w:pPr>
    <w:rPr>
      <w:rFonts w:ascii="Arial" w:eastAsia="MS Mincho" w:hAnsi="Arial" w:cs="Calibri"/>
      <w:bCs/>
    </w:rPr>
  </w:style>
  <w:style w:type="character" w:customStyle="1" w:styleId="aaaIFTnormalCar">
    <w:name w:val="aaa IFT normal Car"/>
    <w:link w:val="aaaIFTnormal"/>
    <w:qFormat/>
    <w:rsid w:val="0075737A"/>
    <w:rPr>
      <w:rFonts w:ascii="Arial" w:eastAsia="MS Mincho" w:hAnsi="Arial" w:cs="Calibri"/>
      <w:bCs/>
    </w:rPr>
  </w:style>
  <w:style w:type="paragraph" w:customStyle="1" w:styleId="pf0">
    <w:name w:val="pf0"/>
    <w:basedOn w:val="Normal"/>
    <w:rsid w:val="001274D9"/>
    <w:pPr>
      <w:spacing w:before="100" w:beforeAutospacing="1" w:after="100" w:afterAutospacing="1" w:line="240" w:lineRule="auto"/>
    </w:pPr>
    <w:rPr>
      <w:rFonts w:ascii="Calibri" w:hAnsi="Calibri" w:cs="Calibri"/>
      <w:lang w:eastAsia="es-MX"/>
    </w:rPr>
  </w:style>
  <w:style w:type="character" w:customStyle="1" w:styleId="cf01">
    <w:name w:val="cf01"/>
    <w:basedOn w:val="Fuentedeprrafopredeter"/>
    <w:rsid w:val="001274D9"/>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314409">
      <w:bodyDiv w:val="1"/>
      <w:marLeft w:val="0"/>
      <w:marRight w:val="0"/>
      <w:marTop w:val="0"/>
      <w:marBottom w:val="0"/>
      <w:divBdr>
        <w:top w:val="none" w:sz="0" w:space="0" w:color="auto"/>
        <w:left w:val="none" w:sz="0" w:space="0" w:color="auto"/>
        <w:bottom w:val="none" w:sz="0" w:space="0" w:color="auto"/>
        <w:right w:val="none" w:sz="0" w:space="0" w:color="auto"/>
      </w:divBdr>
    </w:div>
    <w:div w:id="702289597">
      <w:bodyDiv w:val="1"/>
      <w:marLeft w:val="0"/>
      <w:marRight w:val="0"/>
      <w:marTop w:val="0"/>
      <w:marBottom w:val="0"/>
      <w:divBdr>
        <w:top w:val="none" w:sz="0" w:space="0" w:color="auto"/>
        <w:left w:val="none" w:sz="0" w:space="0" w:color="auto"/>
        <w:bottom w:val="none" w:sz="0" w:space="0" w:color="auto"/>
        <w:right w:val="none" w:sz="0" w:space="0" w:color="auto"/>
      </w:divBdr>
    </w:div>
    <w:div w:id="1259564907">
      <w:bodyDiv w:val="1"/>
      <w:marLeft w:val="0"/>
      <w:marRight w:val="0"/>
      <w:marTop w:val="0"/>
      <w:marBottom w:val="0"/>
      <w:divBdr>
        <w:top w:val="none" w:sz="0" w:space="0" w:color="auto"/>
        <w:left w:val="none" w:sz="0" w:space="0" w:color="auto"/>
        <w:bottom w:val="none" w:sz="0" w:space="0" w:color="auto"/>
        <w:right w:val="none" w:sz="0" w:space="0" w:color="auto"/>
      </w:divBdr>
    </w:div>
    <w:div w:id="1345279291">
      <w:bodyDiv w:val="1"/>
      <w:marLeft w:val="0"/>
      <w:marRight w:val="0"/>
      <w:marTop w:val="0"/>
      <w:marBottom w:val="0"/>
      <w:divBdr>
        <w:top w:val="none" w:sz="0" w:space="0" w:color="auto"/>
        <w:left w:val="none" w:sz="0" w:space="0" w:color="auto"/>
        <w:bottom w:val="none" w:sz="0" w:space="0" w:color="auto"/>
        <w:right w:val="none" w:sz="0" w:space="0" w:color="auto"/>
      </w:divBdr>
    </w:div>
    <w:div w:id="1693721644">
      <w:bodyDiv w:val="1"/>
      <w:marLeft w:val="0"/>
      <w:marRight w:val="0"/>
      <w:marTop w:val="0"/>
      <w:marBottom w:val="0"/>
      <w:divBdr>
        <w:top w:val="none" w:sz="0" w:space="0" w:color="auto"/>
        <w:left w:val="none" w:sz="0" w:space="0" w:color="auto"/>
        <w:bottom w:val="none" w:sz="0" w:space="0" w:color="auto"/>
        <w:right w:val="none" w:sz="0" w:space="0" w:color="auto"/>
      </w:divBdr>
    </w:div>
    <w:div w:id="208236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2884DF3A-BEBF-478C-993D-B20DF4FD71BE}">
  <ds:schemaRefs>
    <ds:schemaRef ds:uri="http://schemas.openxmlformats.org/officeDocument/2006/bibliography"/>
  </ds:schemaRefs>
</ds:datastoreItem>
</file>

<file path=customXml/itemProps2.xml><?xml version="1.0" encoding="utf-8"?>
<ds:datastoreItem xmlns:ds="http://schemas.openxmlformats.org/officeDocument/2006/customXml" ds:itemID="{14CB176D-D516-4EE8-A54D-FDCD0C1978C1}"/>
</file>

<file path=customXml/itemProps3.xml><?xml version="1.0" encoding="utf-8"?>
<ds:datastoreItem xmlns:ds="http://schemas.openxmlformats.org/officeDocument/2006/customXml" ds:itemID="{B112C6DF-40EE-4583-9CB9-0C63A1AB1E4B}"/>
</file>

<file path=customXml/itemProps4.xml><?xml version="1.0" encoding="utf-8"?>
<ds:datastoreItem xmlns:ds="http://schemas.openxmlformats.org/officeDocument/2006/customXml" ds:itemID="{3545ABAC-1E4A-4E37-A2D3-05DAB2DE77B6}"/>
</file>

<file path=docProps/app.xml><?xml version="1.0" encoding="utf-8"?>
<Properties xmlns="http://schemas.openxmlformats.org/officeDocument/2006/extended-properties" xmlns:vt="http://schemas.openxmlformats.org/officeDocument/2006/docPropsVTypes">
  <Template>Normal</Template>
  <TotalTime>0</TotalTime>
  <Pages>5</Pages>
  <Words>1714</Words>
  <Characters>9427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jsavila</dc:creator>
  <cp:lastModifiedBy>Cynthia Daniela Alvarez</cp:lastModifiedBy>
  <cp:revision>2</cp:revision>
  <cp:lastPrinted>2022-05-02T17:31:00Z</cp:lastPrinted>
  <dcterms:created xsi:type="dcterms:W3CDTF">2022-07-20T17:50:00Z</dcterms:created>
  <dcterms:modified xsi:type="dcterms:W3CDTF">2022-07-20T17:50:00Z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